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078FB3" w14:textId="58FD8A07" w:rsidR="00F06E14" w:rsidRPr="00A51D1A" w:rsidRDefault="00957AD6" w:rsidP="00A47E79">
      <w:pPr>
        <w:pStyle w:val="ACMAReportTitle"/>
      </w:pPr>
      <w:bookmarkStart w:id="0" w:name="_GoBack"/>
      <w:bookmarkEnd w:id="0"/>
      <w:r>
        <w:t>The ACMA’s long</w:t>
      </w:r>
      <w:r w:rsidR="00573DD3">
        <w:t>-</w:t>
      </w:r>
      <w:r>
        <w:t>term strategy for the 803</w:t>
      </w:r>
      <w:r w:rsidR="00573DD3">
        <w:t>–</w:t>
      </w:r>
      <w:r>
        <w:t>960 MHz band</w:t>
      </w:r>
    </w:p>
    <w:p w14:paraId="0E2066ED" w14:textId="77777777" w:rsidR="00957AD6" w:rsidRDefault="00957AD6" w:rsidP="00957AD6">
      <w:pPr>
        <w:pStyle w:val="ACMAReportSubTitle"/>
      </w:pPr>
      <w:r>
        <w:rPr>
          <w:rFonts w:cs="Arial"/>
          <w:color w:val="7F7F7F" w:themeColor="text1" w:themeTint="80"/>
          <w:sz w:val="48"/>
        </w:rPr>
        <w:t>Decision</w:t>
      </w:r>
      <w:r w:rsidRPr="00BF0FC3">
        <w:rPr>
          <w:rFonts w:cs="Arial"/>
          <w:color w:val="7F7F7F" w:themeColor="text1" w:themeTint="80"/>
          <w:sz w:val="48"/>
        </w:rPr>
        <w:t xml:space="preserve"> paper</w:t>
      </w:r>
    </w:p>
    <w:p w14:paraId="0C193B9D" w14:textId="5AA49E28" w:rsidR="00F06E14" w:rsidRDefault="0067403B" w:rsidP="00D47AEB">
      <w:pPr>
        <w:pStyle w:val="ACMAReportDate"/>
        <w:spacing w:after="720"/>
      </w:pPr>
      <w:r>
        <w:t xml:space="preserve">NOVEMBER </w:t>
      </w:r>
      <w:r w:rsidR="00A47E79">
        <w:t>2015</w:t>
      </w:r>
    </w:p>
    <w:p w14:paraId="3F109B46" w14:textId="77777777" w:rsidR="00C97736" w:rsidRPr="000D76E0" w:rsidRDefault="00C97736" w:rsidP="0041071D">
      <w:pPr>
        <w:rPr>
          <w:rFonts w:cs="Arial"/>
        </w:rPr>
      </w:pPr>
    </w:p>
    <w:p w14:paraId="7B21B0D5" w14:textId="77777777" w:rsidR="00C97736" w:rsidRPr="000D76E0" w:rsidRDefault="00C97736" w:rsidP="0041071D">
      <w:pPr>
        <w:rPr>
          <w:rFonts w:cs="Arial"/>
        </w:rPr>
        <w:sectPr w:rsidR="00C97736" w:rsidRPr="000D76E0" w:rsidSect="00FB2EA1">
          <w:headerReference w:type="even" r:id="rId11"/>
          <w:headerReference w:type="default" r:id="rId12"/>
          <w:footerReference w:type="even" r:id="rId13"/>
          <w:footerReference w:type="default" r:id="rId14"/>
          <w:headerReference w:type="first" r:id="rId15"/>
          <w:footerReference w:type="first" r:id="rId16"/>
          <w:pgSz w:w="11906" w:h="16838" w:code="9"/>
          <w:pgMar w:top="3924" w:right="1797" w:bottom="1134" w:left="1134" w:header="709" w:footer="454" w:gutter="0"/>
          <w:cols w:space="708"/>
          <w:docGrid w:linePitch="360"/>
        </w:sectPr>
      </w:pPr>
    </w:p>
    <w:p w14:paraId="5689C481" w14:textId="77777777" w:rsidR="0005011A" w:rsidRPr="00F44F3A" w:rsidRDefault="0005011A" w:rsidP="00FC07B9">
      <w:pPr>
        <w:pStyle w:val="ACMACorporateAddressHeader"/>
      </w:pPr>
      <w:r w:rsidRPr="00F44F3A">
        <w:lastRenderedPageBreak/>
        <w:t>Canberra</w:t>
      </w:r>
    </w:p>
    <w:p w14:paraId="7E445CB4"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FA56F69" w14:textId="77777777" w:rsidR="0005011A" w:rsidRPr="00FC07B9" w:rsidRDefault="0005011A" w:rsidP="00FC07B9">
      <w:pPr>
        <w:pStyle w:val="ACMACorporateAddresses"/>
      </w:pPr>
      <w:r w:rsidRPr="00FC07B9">
        <w:t>PO Box 78</w:t>
      </w:r>
      <w:r w:rsidRPr="00FC07B9">
        <w:br/>
        <w:t>Belconnen ACT 2616</w:t>
      </w:r>
    </w:p>
    <w:p w14:paraId="28AFD91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D2878A2" w14:textId="77777777" w:rsidR="0005011A" w:rsidRPr="00F44F3A" w:rsidRDefault="0005011A" w:rsidP="00FC07B9">
      <w:pPr>
        <w:pStyle w:val="ACMACorporateAddressHeader"/>
      </w:pPr>
      <w:r w:rsidRPr="00F44F3A">
        <w:t>Melbourne</w:t>
      </w:r>
    </w:p>
    <w:p w14:paraId="14A8D5EA"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2C233D9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5EFF6E1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82EB808" w14:textId="77777777" w:rsidR="0005011A" w:rsidRPr="00F44F3A" w:rsidRDefault="0005011A" w:rsidP="00FC07B9">
      <w:pPr>
        <w:pStyle w:val="ACMACorporateAddressHeader"/>
      </w:pPr>
      <w:r w:rsidRPr="00F44F3A">
        <w:t>Sydney</w:t>
      </w:r>
    </w:p>
    <w:p w14:paraId="0356B85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0E9B1C0"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054E0AE"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33C2318" w14:textId="77777777" w:rsidR="00140318" w:rsidRPr="006D46E5" w:rsidRDefault="00140318" w:rsidP="00FC07B9">
      <w:pPr>
        <w:pStyle w:val="ACMACopyrightHeader"/>
      </w:pPr>
      <w:r w:rsidRPr="00140318">
        <w:t>Copyright notice</w:t>
      </w:r>
    </w:p>
    <w:p w14:paraId="551B05D1" w14:textId="77777777" w:rsidR="00140318" w:rsidRPr="006D46E5" w:rsidRDefault="00623FF9" w:rsidP="00623FF9">
      <w:pPr>
        <w:pStyle w:val="ACMACClogo"/>
      </w:pPr>
      <w:r w:rsidRPr="00623FF9">
        <w:rPr>
          <w:noProof/>
        </w:rPr>
        <w:drawing>
          <wp:inline distT="0" distB="0" distL="0" distR="0" wp14:anchorId="4341CD64" wp14:editId="4E714427">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08BB0250" w14:textId="77777777" w:rsidR="00140318" w:rsidRPr="00431792" w:rsidRDefault="00AD11C8" w:rsidP="00FC07B9">
      <w:pPr>
        <w:pStyle w:val="ACMACorporateAddresses"/>
        <w:rPr>
          <w:rStyle w:val="Hyperlink"/>
        </w:rPr>
      </w:pPr>
      <w:hyperlink r:id="rId19" w:tooltip="Creative Commons Licenses" w:history="1">
        <w:r w:rsidR="00140318" w:rsidRPr="00431792">
          <w:rPr>
            <w:rStyle w:val="Hyperlink"/>
          </w:rPr>
          <w:t>http://creativecommons.org/licenses/by/3.0/au/</w:t>
        </w:r>
      </w:hyperlink>
    </w:p>
    <w:p w14:paraId="0954734F"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07D852AD" w14:textId="77777777" w:rsidR="00140318" w:rsidRPr="006D46E5" w:rsidRDefault="00140318" w:rsidP="00FC07B9">
      <w:pPr>
        <w:pStyle w:val="ACMACorporateAddresses"/>
      </w:pPr>
      <w:r w:rsidRPr="006D46E5">
        <w:t>We request attribution as: © Commonwealth of Australia (Australian Communic</w:t>
      </w:r>
      <w:r w:rsidR="008408FF">
        <w:t>ations and Media Authority) 2015</w:t>
      </w:r>
      <w:r w:rsidRPr="006D46E5">
        <w:t>.</w:t>
      </w:r>
    </w:p>
    <w:p w14:paraId="10E87A70" w14:textId="77777777" w:rsidR="00140318" w:rsidRPr="006D46E5" w:rsidRDefault="00140318" w:rsidP="00FC07B9">
      <w:pPr>
        <w:pStyle w:val="ACMACorporateAddresses"/>
      </w:pPr>
      <w:r>
        <w:t>All other rights are reserved.</w:t>
      </w:r>
    </w:p>
    <w:p w14:paraId="41ADC805"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2DF3D89" w14:textId="77777777" w:rsidR="00140318" w:rsidRPr="006D46E5" w:rsidRDefault="00140318" w:rsidP="00FC07B9">
      <w:pPr>
        <w:pStyle w:val="ACMACorporateAddresses"/>
      </w:pPr>
      <w:r w:rsidRPr="006D46E5">
        <w:t>Written enquiries may be sent to:</w:t>
      </w:r>
    </w:p>
    <w:p w14:paraId="094882D2"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20" w:history="1">
        <w:r w:rsidRPr="00431792">
          <w:rPr>
            <w:rStyle w:val="Hyperlink"/>
          </w:rPr>
          <w:t>candinfo@acma.gov.au</w:t>
        </w:r>
      </w:hyperlink>
    </w:p>
    <w:p w14:paraId="3DCF61CB" w14:textId="77777777" w:rsidR="00D16FE3" w:rsidRDefault="00D16FE3" w:rsidP="00D16FE3">
      <w:pPr>
        <w:pStyle w:val="ACMACorporateAddresses"/>
        <w:rPr>
          <w:rStyle w:val="Hyperlink"/>
        </w:rPr>
      </w:pPr>
    </w:p>
    <w:p w14:paraId="57E788BA" w14:textId="77777777" w:rsidR="00D16FE3" w:rsidRPr="00D16FE3" w:rsidRDefault="00D16FE3" w:rsidP="00D16FE3">
      <w:pPr>
        <w:pStyle w:val="ACMACorporateAddresses"/>
        <w:sectPr w:rsidR="00D16FE3" w:rsidRPr="00D16FE3" w:rsidSect="005C2C6F">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14:paraId="1049EB8B" w14:textId="77777777" w:rsidR="002C625F" w:rsidRDefault="004403FA">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 </w:instrText>
      </w:r>
      <w:r>
        <w:rPr>
          <w:rFonts w:cs="Arial"/>
          <w:b w:val="0"/>
        </w:rPr>
        <w:fldChar w:fldCharType="separate"/>
      </w:r>
      <w:hyperlink w:anchor="_Toc434999430" w:history="1">
        <w:r w:rsidR="002C625F" w:rsidRPr="007475E2">
          <w:rPr>
            <w:rStyle w:val="Hyperlink"/>
          </w:rPr>
          <w:t>Executive summary</w:t>
        </w:r>
        <w:r w:rsidR="002C625F">
          <w:rPr>
            <w:webHidden/>
          </w:rPr>
          <w:tab/>
        </w:r>
        <w:r w:rsidR="002C625F">
          <w:rPr>
            <w:webHidden/>
          </w:rPr>
          <w:fldChar w:fldCharType="begin"/>
        </w:r>
        <w:r w:rsidR="002C625F">
          <w:rPr>
            <w:webHidden/>
          </w:rPr>
          <w:instrText xml:space="preserve"> PAGEREF _Toc434999430 \h </w:instrText>
        </w:r>
        <w:r w:rsidR="002C625F">
          <w:rPr>
            <w:webHidden/>
          </w:rPr>
        </w:r>
        <w:r w:rsidR="002C625F">
          <w:rPr>
            <w:webHidden/>
          </w:rPr>
          <w:fldChar w:fldCharType="separate"/>
        </w:r>
        <w:r w:rsidR="00C90431">
          <w:rPr>
            <w:webHidden/>
          </w:rPr>
          <w:t>1</w:t>
        </w:r>
        <w:r w:rsidR="002C625F">
          <w:rPr>
            <w:webHidden/>
          </w:rPr>
          <w:fldChar w:fldCharType="end"/>
        </w:r>
      </w:hyperlink>
    </w:p>
    <w:p w14:paraId="7EDDDB0E" w14:textId="77777777" w:rsidR="002C625F" w:rsidRDefault="00AD11C8">
      <w:pPr>
        <w:pStyle w:val="TOC1"/>
        <w:rPr>
          <w:rFonts w:asciiTheme="minorHAnsi" w:eastAsiaTheme="minorEastAsia" w:hAnsiTheme="minorHAnsi" w:cstheme="minorBidi"/>
          <w:b w:val="0"/>
          <w:spacing w:val="0"/>
          <w:sz w:val="22"/>
          <w:szCs w:val="22"/>
        </w:rPr>
      </w:pPr>
      <w:hyperlink w:anchor="_Toc434999431" w:history="1">
        <w:r w:rsidR="002C625F" w:rsidRPr="007475E2">
          <w:rPr>
            <w:rStyle w:val="Hyperlink"/>
          </w:rPr>
          <w:t>Glossary</w:t>
        </w:r>
        <w:r w:rsidR="002C625F">
          <w:rPr>
            <w:webHidden/>
          </w:rPr>
          <w:tab/>
        </w:r>
        <w:r w:rsidR="002C625F">
          <w:rPr>
            <w:webHidden/>
          </w:rPr>
          <w:fldChar w:fldCharType="begin"/>
        </w:r>
        <w:r w:rsidR="002C625F">
          <w:rPr>
            <w:webHidden/>
          </w:rPr>
          <w:instrText xml:space="preserve"> PAGEREF _Toc434999431 \h </w:instrText>
        </w:r>
        <w:r w:rsidR="002C625F">
          <w:rPr>
            <w:webHidden/>
          </w:rPr>
        </w:r>
        <w:r w:rsidR="002C625F">
          <w:rPr>
            <w:webHidden/>
          </w:rPr>
          <w:fldChar w:fldCharType="separate"/>
        </w:r>
        <w:r w:rsidR="00C90431">
          <w:rPr>
            <w:webHidden/>
          </w:rPr>
          <w:t>3</w:t>
        </w:r>
        <w:r w:rsidR="002C625F">
          <w:rPr>
            <w:webHidden/>
          </w:rPr>
          <w:fldChar w:fldCharType="end"/>
        </w:r>
      </w:hyperlink>
    </w:p>
    <w:p w14:paraId="2029A4B2" w14:textId="77777777" w:rsidR="002C625F" w:rsidRDefault="00AD11C8">
      <w:pPr>
        <w:pStyle w:val="TOC1"/>
        <w:tabs>
          <w:tab w:val="left" w:pos="885"/>
        </w:tabs>
        <w:rPr>
          <w:rFonts w:asciiTheme="minorHAnsi" w:eastAsiaTheme="minorEastAsia" w:hAnsiTheme="minorHAnsi" w:cstheme="minorBidi"/>
          <w:b w:val="0"/>
          <w:spacing w:val="0"/>
          <w:sz w:val="22"/>
          <w:szCs w:val="22"/>
        </w:rPr>
      </w:pPr>
      <w:hyperlink w:anchor="_Toc434999432" w:history="1">
        <w:r w:rsidR="002C625F" w:rsidRPr="007475E2">
          <w:rPr>
            <w:rStyle w:val="Hyperlink"/>
          </w:rPr>
          <w:t>1.</w:t>
        </w:r>
        <w:r w:rsidR="002C625F">
          <w:rPr>
            <w:rFonts w:asciiTheme="minorHAnsi" w:eastAsiaTheme="minorEastAsia" w:hAnsiTheme="minorHAnsi" w:cstheme="minorBidi"/>
            <w:b w:val="0"/>
            <w:spacing w:val="0"/>
            <w:sz w:val="22"/>
            <w:szCs w:val="22"/>
          </w:rPr>
          <w:tab/>
        </w:r>
        <w:r w:rsidR="002C625F" w:rsidRPr="007475E2">
          <w:rPr>
            <w:rStyle w:val="Hyperlink"/>
          </w:rPr>
          <w:t>Introduction</w:t>
        </w:r>
        <w:r w:rsidR="002C625F">
          <w:rPr>
            <w:webHidden/>
          </w:rPr>
          <w:tab/>
        </w:r>
        <w:r w:rsidR="002C625F">
          <w:rPr>
            <w:webHidden/>
          </w:rPr>
          <w:fldChar w:fldCharType="begin"/>
        </w:r>
        <w:r w:rsidR="002C625F">
          <w:rPr>
            <w:webHidden/>
          </w:rPr>
          <w:instrText xml:space="preserve"> PAGEREF _Toc434999432 \h </w:instrText>
        </w:r>
        <w:r w:rsidR="002C625F">
          <w:rPr>
            <w:webHidden/>
          </w:rPr>
        </w:r>
        <w:r w:rsidR="002C625F">
          <w:rPr>
            <w:webHidden/>
          </w:rPr>
          <w:fldChar w:fldCharType="separate"/>
        </w:r>
        <w:r w:rsidR="00C90431">
          <w:rPr>
            <w:webHidden/>
          </w:rPr>
          <w:t>7</w:t>
        </w:r>
        <w:r w:rsidR="002C625F">
          <w:rPr>
            <w:webHidden/>
          </w:rPr>
          <w:fldChar w:fldCharType="end"/>
        </w:r>
      </w:hyperlink>
    </w:p>
    <w:p w14:paraId="789FF6D6" w14:textId="77777777" w:rsidR="002C625F" w:rsidRDefault="00AD11C8">
      <w:pPr>
        <w:pStyle w:val="TOC2"/>
        <w:rPr>
          <w:rFonts w:asciiTheme="minorHAnsi" w:eastAsiaTheme="minorEastAsia" w:hAnsiTheme="minorHAnsi" w:cstheme="minorBidi"/>
          <w:spacing w:val="0"/>
          <w:sz w:val="22"/>
          <w:szCs w:val="22"/>
        </w:rPr>
      </w:pPr>
      <w:hyperlink w:anchor="_Toc434999433" w:history="1">
        <w:r w:rsidR="002C625F" w:rsidRPr="007475E2">
          <w:rPr>
            <w:rStyle w:val="Hyperlink"/>
          </w:rPr>
          <w:t>1.1</w:t>
        </w:r>
        <w:r w:rsidR="002C625F">
          <w:rPr>
            <w:rFonts w:asciiTheme="minorHAnsi" w:eastAsiaTheme="minorEastAsia" w:hAnsiTheme="minorHAnsi" w:cstheme="minorBidi"/>
            <w:spacing w:val="0"/>
            <w:sz w:val="22"/>
            <w:szCs w:val="22"/>
          </w:rPr>
          <w:tab/>
        </w:r>
        <w:r w:rsidR="002C625F" w:rsidRPr="007475E2">
          <w:rPr>
            <w:rStyle w:val="Hyperlink"/>
          </w:rPr>
          <w:t>Background</w:t>
        </w:r>
        <w:r w:rsidR="002C625F">
          <w:rPr>
            <w:webHidden/>
          </w:rPr>
          <w:tab/>
        </w:r>
        <w:r w:rsidR="002C625F">
          <w:rPr>
            <w:webHidden/>
          </w:rPr>
          <w:fldChar w:fldCharType="begin"/>
        </w:r>
        <w:r w:rsidR="002C625F">
          <w:rPr>
            <w:webHidden/>
          </w:rPr>
          <w:instrText xml:space="preserve"> PAGEREF _Toc434999433 \h </w:instrText>
        </w:r>
        <w:r w:rsidR="002C625F">
          <w:rPr>
            <w:webHidden/>
          </w:rPr>
        </w:r>
        <w:r w:rsidR="002C625F">
          <w:rPr>
            <w:webHidden/>
          </w:rPr>
          <w:fldChar w:fldCharType="separate"/>
        </w:r>
        <w:r w:rsidR="00C90431">
          <w:rPr>
            <w:webHidden/>
          </w:rPr>
          <w:t>7</w:t>
        </w:r>
        <w:r w:rsidR="002C625F">
          <w:rPr>
            <w:webHidden/>
          </w:rPr>
          <w:fldChar w:fldCharType="end"/>
        </w:r>
      </w:hyperlink>
    </w:p>
    <w:p w14:paraId="2BCD5619" w14:textId="77777777" w:rsidR="002C625F" w:rsidRDefault="00AD11C8">
      <w:pPr>
        <w:pStyle w:val="TOC2"/>
        <w:rPr>
          <w:rFonts w:asciiTheme="minorHAnsi" w:eastAsiaTheme="minorEastAsia" w:hAnsiTheme="minorHAnsi" w:cstheme="minorBidi"/>
          <w:spacing w:val="0"/>
          <w:sz w:val="22"/>
          <w:szCs w:val="22"/>
        </w:rPr>
      </w:pPr>
      <w:hyperlink w:anchor="_Toc434999434" w:history="1">
        <w:r w:rsidR="002C625F" w:rsidRPr="007475E2">
          <w:rPr>
            <w:rStyle w:val="Hyperlink"/>
          </w:rPr>
          <w:t>1.2</w:t>
        </w:r>
        <w:r w:rsidR="002C625F">
          <w:rPr>
            <w:rFonts w:asciiTheme="minorHAnsi" w:eastAsiaTheme="minorEastAsia" w:hAnsiTheme="minorHAnsi" w:cstheme="minorBidi"/>
            <w:spacing w:val="0"/>
            <w:sz w:val="22"/>
            <w:szCs w:val="22"/>
          </w:rPr>
          <w:tab/>
        </w:r>
        <w:r w:rsidR="002C625F" w:rsidRPr="007475E2">
          <w:rPr>
            <w:rStyle w:val="Hyperlink"/>
          </w:rPr>
          <w:t>Drivers of the review</w:t>
        </w:r>
        <w:r w:rsidR="002C625F">
          <w:rPr>
            <w:webHidden/>
          </w:rPr>
          <w:tab/>
        </w:r>
        <w:r w:rsidR="002C625F">
          <w:rPr>
            <w:webHidden/>
          </w:rPr>
          <w:fldChar w:fldCharType="begin"/>
        </w:r>
        <w:r w:rsidR="002C625F">
          <w:rPr>
            <w:webHidden/>
          </w:rPr>
          <w:instrText xml:space="preserve"> PAGEREF _Toc434999434 \h </w:instrText>
        </w:r>
        <w:r w:rsidR="002C625F">
          <w:rPr>
            <w:webHidden/>
          </w:rPr>
        </w:r>
        <w:r w:rsidR="002C625F">
          <w:rPr>
            <w:webHidden/>
          </w:rPr>
          <w:fldChar w:fldCharType="separate"/>
        </w:r>
        <w:r w:rsidR="00C90431">
          <w:rPr>
            <w:webHidden/>
          </w:rPr>
          <w:t>8</w:t>
        </w:r>
        <w:r w:rsidR="002C625F">
          <w:rPr>
            <w:webHidden/>
          </w:rPr>
          <w:fldChar w:fldCharType="end"/>
        </w:r>
      </w:hyperlink>
    </w:p>
    <w:p w14:paraId="7F6CB55A" w14:textId="77777777" w:rsidR="002C625F" w:rsidRDefault="00AD11C8">
      <w:pPr>
        <w:pStyle w:val="TOC2"/>
        <w:rPr>
          <w:rFonts w:asciiTheme="minorHAnsi" w:eastAsiaTheme="minorEastAsia" w:hAnsiTheme="minorHAnsi" w:cstheme="minorBidi"/>
          <w:spacing w:val="0"/>
          <w:sz w:val="22"/>
          <w:szCs w:val="22"/>
        </w:rPr>
      </w:pPr>
      <w:hyperlink w:anchor="_Toc434999435" w:history="1">
        <w:r w:rsidR="002C625F" w:rsidRPr="007475E2">
          <w:rPr>
            <w:rStyle w:val="Hyperlink"/>
          </w:rPr>
          <w:t>1.3</w:t>
        </w:r>
        <w:r w:rsidR="002C625F">
          <w:rPr>
            <w:rFonts w:asciiTheme="minorHAnsi" w:eastAsiaTheme="minorEastAsia" w:hAnsiTheme="minorHAnsi" w:cstheme="minorBidi"/>
            <w:spacing w:val="0"/>
            <w:sz w:val="22"/>
            <w:szCs w:val="22"/>
          </w:rPr>
          <w:tab/>
        </w:r>
        <w:r w:rsidR="002C625F" w:rsidRPr="007475E2">
          <w:rPr>
            <w:rStyle w:val="Hyperlink"/>
          </w:rPr>
          <w:t>Purpose of this paper</w:t>
        </w:r>
        <w:r w:rsidR="002C625F">
          <w:rPr>
            <w:webHidden/>
          </w:rPr>
          <w:tab/>
        </w:r>
        <w:r w:rsidR="002C625F">
          <w:rPr>
            <w:webHidden/>
          </w:rPr>
          <w:fldChar w:fldCharType="begin"/>
        </w:r>
        <w:r w:rsidR="002C625F">
          <w:rPr>
            <w:webHidden/>
          </w:rPr>
          <w:instrText xml:space="preserve"> PAGEREF _Toc434999435 \h </w:instrText>
        </w:r>
        <w:r w:rsidR="002C625F">
          <w:rPr>
            <w:webHidden/>
          </w:rPr>
        </w:r>
        <w:r w:rsidR="002C625F">
          <w:rPr>
            <w:webHidden/>
          </w:rPr>
          <w:fldChar w:fldCharType="separate"/>
        </w:r>
        <w:r w:rsidR="00C90431">
          <w:rPr>
            <w:webHidden/>
          </w:rPr>
          <w:t>9</w:t>
        </w:r>
        <w:r w:rsidR="002C625F">
          <w:rPr>
            <w:webHidden/>
          </w:rPr>
          <w:fldChar w:fldCharType="end"/>
        </w:r>
      </w:hyperlink>
    </w:p>
    <w:p w14:paraId="08762759" w14:textId="77777777" w:rsidR="002C625F" w:rsidRDefault="00AD11C8">
      <w:pPr>
        <w:pStyle w:val="TOC2"/>
        <w:rPr>
          <w:rFonts w:asciiTheme="minorHAnsi" w:eastAsiaTheme="minorEastAsia" w:hAnsiTheme="minorHAnsi" w:cstheme="minorBidi"/>
          <w:spacing w:val="0"/>
          <w:sz w:val="22"/>
          <w:szCs w:val="22"/>
        </w:rPr>
      </w:pPr>
      <w:hyperlink w:anchor="_Toc434999436" w:history="1">
        <w:r w:rsidR="002C625F" w:rsidRPr="007475E2">
          <w:rPr>
            <w:rStyle w:val="Hyperlink"/>
          </w:rPr>
          <w:t>1.4</w:t>
        </w:r>
        <w:r w:rsidR="002C625F">
          <w:rPr>
            <w:rFonts w:asciiTheme="minorHAnsi" w:eastAsiaTheme="minorEastAsia" w:hAnsiTheme="minorHAnsi" w:cstheme="minorBidi"/>
            <w:spacing w:val="0"/>
            <w:sz w:val="22"/>
            <w:szCs w:val="22"/>
          </w:rPr>
          <w:tab/>
        </w:r>
        <w:r w:rsidR="002C625F" w:rsidRPr="007475E2">
          <w:rPr>
            <w:rStyle w:val="Hyperlink"/>
          </w:rPr>
          <w:t>Scope</w:t>
        </w:r>
        <w:r w:rsidR="002C625F">
          <w:rPr>
            <w:webHidden/>
          </w:rPr>
          <w:tab/>
        </w:r>
        <w:r w:rsidR="002C625F">
          <w:rPr>
            <w:webHidden/>
          </w:rPr>
          <w:fldChar w:fldCharType="begin"/>
        </w:r>
        <w:r w:rsidR="002C625F">
          <w:rPr>
            <w:webHidden/>
          </w:rPr>
          <w:instrText xml:space="preserve"> PAGEREF _Toc434999436 \h </w:instrText>
        </w:r>
        <w:r w:rsidR="002C625F">
          <w:rPr>
            <w:webHidden/>
          </w:rPr>
        </w:r>
        <w:r w:rsidR="002C625F">
          <w:rPr>
            <w:webHidden/>
          </w:rPr>
          <w:fldChar w:fldCharType="separate"/>
        </w:r>
        <w:r w:rsidR="00C90431">
          <w:rPr>
            <w:webHidden/>
          </w:rPr>
          <w:t>9</w:t>
        </w:r>
        <w:r w:rsidR="002C625F">
          <w:rPr>
            <w:webHidden/>
          </w:rPr>
          <w:fldChar w:fldCharType="end"/>
        </w:r>
      </w:hyperlink>
    </w:p>
    <w:p w14:paraId="37D0394E" w14:textId="77777777" w:rsidR="002C625F" w:rsidRDefault="00AD11C8">
      <w:pPr>
        <w:pStyle w:val="TOC2"/>
        <w:rPr>
          <w:rFonts w:asciiTheme="minorHAnsi" w:eastAsiaTheme="minorEastAsia" w:hAnsiTheme="minorHAnsi" w:cstheme="minorBidi"/>
          <w:spacing w:val="0"/>
          <w:sz w:val="22"/>
          <w:szCs w:val="22"/>
        </w:rPr>
      </w:pPr>
      <w:hyperlink w:anchor="_Toc434999437" w:history="1">
        <w:r w:rsidR="002C625F" w:rsidRPr="007475E2">
          <w:rPr>
            <w:rStyle w:val="Hyperlink"/>
          </w:rPr>
          <w:t>1.5</w:t>
        </w:r>
        <w:r w:rsidR="002C625F">
          <w:rPr>
            <w:rFonts w:asciiTheme="minorHAnsi" w:eastAsiaTheme="minorEastAsia" w:hAnsiTheme="minorHAnsi" w:cstheme="minorBidi"/>
            <w:spacing w:val="0"/>
            <w:sz w:val="22"/>
            <w:szCs w:val="22"/>
          </w:rPr>
          <w:tab/>
        </w:r>
        <w:r w:rsidR="002C625F" w:rsidRPr="007475E2">
          <w:rPr>
            <w:rStyle w:val="Hyperlink"/>
          </w:rPr>
          <w:t>Review objectives</w:t>
        </w:r>
        <w:r w:rsidR="002C625F">
          <w:rPr>
            <w:webHidden/>
          </w:rPr>
          <w:tab/>
        </w:r>
        <w:r w:rsidR="002C625F">
          <w:rPr>
            <w:webHidden/>
          </w:rPr>
          <w:fldChar w:fldCharType="begin"/>
        </w:r>
        <w:r w:rsidR="002C625F">
          <w:rPr>
            <w:webHidden/>
          </w:rPr>
          <w:instrText xml:space="preserve"> PAGEREF _Toc434999437 \h </w:instrText>
        </w:r>
        <w:r w:rsidR="002C625F">
          <w:rPr>
            <w:webHidden/>
          </w:rPr>
        </w:r>
        <w:r w:rsidR="002C625F">
          <w:rPr>
            <w:webHidden/>
          </w:rPr>
          <w:fldChar w:fldCharType="separate"/>
        </w:r>
        <w:r w:rsidR="00C90431">
          <w:rPr>
            <w:webHidden/>
          </w:rPr>
          <w:t>10</w:t>
        </w:r>
        <w:r w:rsidR="002C625F">
          <w:rPr>
            <w:webHidden/>
          </w:rPr>
          <w:fldChar w:fldCharType="end"/>
        </w:r>
      </w:hyperlink>
    </w:p>
    <w:p w14:paraId="4A33331C" w14:textId="77777777" w:rsidR="002C625F" w:rsidRDefault="00AD11C8">
      <w:pPr>
        <w:pStyle w:val="TOC2"/>
        <w:rPr>
          <w:rFonts w:asciiTheme="minorHAnsi" w:eastAsiaTheme="minorEastAsia" w:hAnsiTheme="minorHAnsi" w:cstheme="minorBidi"/>
          <w:spacing w:val="0"/>
          <w:sz w:val="22"/>
          <w:szCs w:val="22"/>
        </w:rPr>
      </w:pPr>
      <w:hyperlink w:anchor="_Toc434999438" w:history="1">
        <w:r w:rsidR="002C625F" w:rsidRPr="007475E2">
          <w:rPr>
            <w:rStyle w:val="Hyperlink"/>
          </w:rPr>
          <w:t>1.6</w:t>
        </w:r>
        <w:r w:rsidR="002C625F">
          <w:rPr>
            <w:rFonts w:asciiTheme="minorHAnsi" w:eastAsiaTheme="minorEastAsia" w:hAnsiTheme="minorHAnsi" w:cstheme="minorBidi"/>
            <w:spacing w:val="0"/>
            <w:sz w:val="22"/>
            <w:szCs w:val="22"/>
          </w:rPr>
          <w:tab/>
        </w:r>
        <w:r w:rsidR="002C625F" w:rsidRPr="007475E2">
          <w:rPr>
            <w:rStyle w:val="Hyperlink"/>
          </w:rPr>
          <w:t>Legislative and policy framework</w:t>
        </w:r>
        <w:r w:rsidR="002C625F">
          <w:rPr>
            <w:webHidden/>
          </w:rPr>
          <w:tab/>
        </w:r>
        <w:r w:rsidR="002C625F">
          <w:rPr>
            <w:webHidden/>
          </w:rPr>
          <w:fldChar w:fldCharType="begin"/>
        </w:r>
        <w:r w:rsidR="002C625F">
          <w:rPr>
            <w:webHidden/>
          </w:rPr>
          <w:instrText xml:space="preserve"> PAGEREF _Toc434999438 \h </w:instrText>
        </w:r>
        <w:r w:rsidR="002C625F">
          <w:rPr>
            <w:webHidden/>
          </w:rPr>
        </w:r>
        <w:r w:rsidR="002C625F">
          <w:rPr>
            <w:webHidden/>
          </w:rPr>
          <w:fldChar w:fldCharType="separate"/>
        </w:r>
        <w:r w:rsidR="00C90431">
          <w:rPr>
            <w:webHidden/>
          </w:rPr>
          <w:t>10</w:t>
        </w:r>
        <w:r w:rsidR="002C625F">
          <w:rPr>
            <w:webHidden/>
          </w:rPr>
          <w:fldChar w:fldCharType="end"/>
        </w:r>
      </w:hyperlink>
    </w:p>
    <w:p w14:paraId="293CA7D8" w14:textId="77777777" w:rsidR="002C625F" w:rsidRDefault="00AD11C8">
      <w:pPr>
        <w:pStyle w:val="TOC2"/>
        <w:rPr>
          <w:rFonts w:asciiTheme="minorHAnsi" w:eastAsiaTheme="minorEastAsia" w:hAnsiTheme="minorHAnsi" w:cstheme="minorBidi"/>
          <w:spacing w:val="0"/>
          <w:sz w:val="22"/>
          <w:szCs w:val="22"/>
        </w:rPr>
      </w:pPr>
      <w:hyperlink w:anchor="_Toc434999439" w:history="1">
        <w:r w:rsidR="002C625F" w:rsidRPr="007475E2">
          <w:rPr>
            <w:rStyle w:val="Hyperlink"/>
          </w:rPr>
          <w:t>1.7</w:t>
        </w:r>
        <w:r w:rsidR="002C625F">
          <w:rPr>
            <w:rFonts w:asciiTheme="minorHAnsi" w:eastAsiaTheme="minorEastAsia" w:hAnsiTheme="minorHAnsi" w:cstheme="minorBidi"/>
            <w:spacing w:val="0"/>
            <w:sz w:val="22"/>
            <w:szCs w:val="22"/>
          </w:rPr>
          <w:tab/>
        </w:r>
        <w:r w:rsidR="002C625F" w:rsidRPr="007475E2">
          <w:rPr>
            <w:rStyle w:val="Hyperlink"/>
          </w:rPr>
          <w:t>The Spectrum Review</w:t>
        </w:r>
        <w:r w:rsidR="002C625F">
          <w:rPr>
            <w:webHidden/>
          </w:rPr>
          <w:tab/>
        </w:r>
        <w:r w:rsidR="002C625F">
          <w:rPr>
            <w:webHidden/>
          </w:rPr>
          <w:fldChar w:fldCharType="begin"/>
        </w:r>
        <w:r w:rsidR="002C625F">
          <w:rPr>
            <w:webHidden/>
          </w:rPr>
          <w:instrText xml:space="preserve"> PAGEREF _Toc434999439 \h </w:instrText>
        </w:r>
        <w:r w:rsidR="002C625F">
          <w:rPr>
            <w:webHidden/>
          </w:rPr>
        </w:r>
        <w:r w:rsidR="002C625F">
          <w:rPr>
            <w:webHidden/>
          </w:rPr>
          <w:fldChar w:fldCharType="separate"/>
        </w:r>
        <w:r w:rsidR="00C90431">
          <w:rPr>
            <w:webHidden/>
          </w:rPr>
          <w:t>10</w:t>
        </w:r>
        <w:r w:rsidR="002C625F">
          <w:rPr>
            <w:webHidden/>
          </w:rPr>
          <w:fldChar w:fldCharType="end"/>
        </w:r>
      </w:hyperlink>
    </w:p>
    <w:p w14:paraId="16FFC7D0" w14:textId="77777777" w:rsidR="002C625F" w:rsidRDefault="00AD11C8">
      <w:pPr>
        <w:pStyle w:val="TOC1"/>
        <w:tabs>
          <w:tab w:val="left" w:pos="885"/>
        </w:tabs>
        <w:rPr>
          <w:rFonts w:asciiTheme="minorHAnsi" w:eastAsiaTheme="minorEastAsia" w:hAnsiTheme="minorHAnsi" w:cstheme="minorBidi"/>
          <w:b w:val="0"/>
          <w:spacing w:val="0"/>
          <w:sz w:val="22"/>
          <w:szCs w:val="22"/>
        </w:rPr>
      </w:pPr>
      <w:hyperlink w:anchor="_Toc434999440" w:history="1">
        <w:r w:rsidR="002C625F" w:rsidRPr="007475E2">
          <w:rPr>
            <w:rStyle w:val="Hyperlink"/>
          </w:rPr>
          <w:t>2.</w:t>
        </w:r>
        <w:r w:rsidR="002C625F">
          <w:rPr>
            <w:rFonts w:asciiTheme="minorHAnsi" w:eastAsiaTheme="minorEastAsia" w:hAnsiTheme="minorHAnsi" w:cstheme="minorBidi"/>
            <w:b w:val="0"/>
            <w:spacing w:val="0"/>
            <w:sz w:val="22"/>
            <w:szCs w:val="22"/>
          </w:rPr>
          <w:tab/>
        </w:r>
        <w:r w:rsidR="002C625F" w:rsidRPr="007475E2">
          <w:rPr>
            <w:rStyle w:val="Hyperlink"/>
          </w:rPr>
          <w:t>Changes in approach since previous consultation</w:t>
        </w:r>
        <w:r w:rsidR="002C625F">
          <w:rPr>
            <w:webHidden/>
          </w:rPr>
          <w:tab/>
        </w:r>
        <w:r w:rsidR="002C625F">
          <w:rPr>
            <w:webHidden/>
          </w:rPr>
          <w:fldChar w:fldCharType="begin"/>
        </w:r>
        <w:r w:rsidR="002C625F">
          <w:rPr>
            <w:webHidden/>
          </w:rPr>
          <w:instrText xml:space="preserve"> PAGEREF _Toc434999440 \h </w:instrText>
        </w:r>
        <w:r w:rsidR="002C625F">
          <w:rPr>
            <w:webHidden/>
          </w:rPr>
        </w:r>
        <w:r w:rsidR="002C625F">
          <w:rPr>
            <w:webHidden/>
          </w:rPr>
          <w:fldChar w:fldCharType="separate"/>
        </w:r>
        <w:r w:rsidR="00C90431">
          <w:rPr>
            <w:webHidden/>
          </w:rPr>
          <w:t>12</w:t>
        </w:r>
        <w:r w:rsidR="002C625F">
          <w:rPr>
            <w:webHidden/>
          </w:rPr>
          <w:fldChar w:fldCharType="end"/>
        </w:r>
      </w:hyperlink>
    </w:p>
    <w:p w14:paraId="6DA12ED5" w14:textId="5F60E5E5" w:rsidR="002C625F" w:rsidRDefault="00AD11C8">
      <w:pPr>
        <w:pStyle w:val="TOC1"/>
        <w:tabs>
          <w:tab w:val="left" w:pos="885"/>
        </w:tabs>
        <w:rPr>
          <w:rFonts w:asciiTheme="minorHAnsi" w:eastAsiaTheme="minorEastAsia" w:hAnsiTheme="minorHAnsi" w:cstheme="minorBidi"/>
          <w:b w:val="0"/>
          <w:spacing w:val="0"/>
          <w:sz w:val="22"/>
          <w:szCs w:val="22"/>
        </w:rPr>
      </w:pPr>
      <w:hyperlink w:anchor="_Toc434999441" w:history="1">
        <w:r w:rsidR="002C625F" w:rsidRPr="007475E2">
          <w:rPr>
            <w:rStyle w:val="Hyperlink"/>
          </w:rPr>
          <w:t>3.</w:t>
        </w:r>
        <w:r w:rsidR="002C625F">
          <w:rPr>
            <w:rFonts w:asciiTheme="minorHAnsi" w:eastAsiaTheme="minorEastAsia" w:hAnsiTheme="minorHAnsi" w:cstheme="minorBidi"/>
            <w:b w:val="0"/>
            <w:spacing w:val="0"/>
            <w:sz w:val="22"/>
            <w:szCs w:val="22"/>
          </w:rPr>
          <w:tab/>
        </w:r>
        <w:r w:rsidR="002C625F" w:rsidRPr="007475E2">
          <w:rPr>
            <w:rStyle w:val="Hyperlink"/>
          </w:rPr>
          <w:t>New arrangements for the 800 and 900 MHz bands</w:t>
        </w:r>
        <w:r w:rsidR="002C625F">
          <w:rPr>
            <w:webHidden/>
          </w:rPr>
          <w:tab/>
        </w:r>
        <w:r w:rsidR="002C625F">
          <w:rPr>
            <w:webHidden/>
          </w:rPr>
          <w:tab/>
        </w:r>
        <w:r w:rsidR="002C625F">
          <w:rPr>
            <w:webHidden/>
          </w:rPr>
          <w:fldChar w:fldCharType="begin"/>
        </w:r>
        <w:r w:rsidR="002C625F">
          <w:rPr>
            <w:webHidden/>
          </w:rPr>
          <w:instrText xml:space="preserve"> PAGEREF _Toc434999441 \h </w:instrText>
        </w:r>
        <w:r w:rsidR="002C625F">
          <w:rPr>
            <w:webHidden/>
          </w:rPr>
        </w:r>
        <w:r w:rsidR="002C625F">
          <w:rPr>
            <w:webHidden/>
          </w:rPr>
          <w:fldChar w:fldCharType="separate"/>
        </w:r>
        <w:r w:rsidR="00C90431">
          <w:rPr>
            <w:webHidden/>
          </w:rPr>
          <w:t>13</w:t>
        </w:r>
        <w:r w:rsidR="002C625F">
          <w:rPr>
            <w:webHidden/>
          </w:rPr>
          <w:fldChar w:fldCharType="end"/>
        </w:r>
      </w:hyperlink>
    </w:p>
    <w:p w14:paraId="5B8E8B07" w14:textId="77777777" w:rsidR="002C625F" w:rsidRDefault="00AD11C8">
      <w:pPr>
        <w:pStyle w:val="TOC2"/>
        <w:rPr>
          <w:rFonts w:asciiTheme="minorHAnsi" w:eastAsiaTheme="minorEastAsia" w:hAnsiTheme="minorHAnsi" w:cstheme="minorBidi"/>
          <w:spacing w:val="0"/>
          <w:sz w:val="22"/>
          <w:szCs w:val="22"/>
        </w:rPr>
      </w:pPr>
      <w:hyperlink w:anchor="_Toc434999442" w:history="1">
        <w:r w:rsidR="002C625F" w:rsidRPr="007475E2">
          <w:rPr>
            <w:rStyle w:val="Hyperlink"/>
          </w:rPr>
          <w:t>3.1</w:t>
        </w:r>
        <w:r w:rsidR="002C625F">
          <w:rPr>
            <w:rFonts w:asciiTheme="minorHAnsi" w:eastAsiaTheme="minorEastAsia" w:hAnsiTheme="minorHAnsi" w:cstheme="minorBidi"/>
            <w:spacing w:val="0"/>
            <w:sz w:val="22"/>
            <w:szCs w:val="22"/>
          </w:rPr>
          <w:tab/>
        </w:r>
        <w:r w:rsidR="002C625F" w:rsidRPr="007475E2">
          <w:rPr>
            <w:rStyle w:val="Hyperlink"/>
          </w:rPr>
          <w:t>Laying the foundations for a flexible transition strategy</w:t>
        </w:r>
        <w:r w:rsidR="002C625F">
          <w:rPr>
            <w:webHidden/>
          </w:rPr>
          <w:tab/>
        </w:r>
        <w:r w:rsidR="002C625F">
          <w:rPr>
            <w:webHidden/>
          </w:rPr>
          <w:fldChar w:fldCharType="begin"/>
        </w:r>
        <w:r w:rsidR="002C625F">
          <w:rPr>
            <w:webHidden/>
          </w:rPr>
          <w:instrText xml:space="preserve"> PAGEREF _Toc434999442 \h </w:instrText>
        </w:r>
        <w:r w:rsidR="002C625F">
          <w:rPr>
            <w:webHidden/>
          </w:rPr>
        </w:r>
        <w:r w:rsidR="002C625F">
          <w:rPr>
            <w:webHidden/>
          </w:rPr>
          <w:fldChar w:fldCharType="separate"/>
        </w:r>
        <w:r w:rsidR="00C90431">
          <w:rPr>
            <w:webHidden/>
          </w:rPr>
          <w:t>13</w:t>
        </w:r>
        <w:r w:rsidR="002C625F">
          <w:rPr>
            <w:webHidden/>
          </w:rPr>
          <w:fldChar w:fldCharType="end"/>
        </w:r>
      </w:hyperlink>
    </w:p>
    <w:p w14:paraId="067869E2" w14:textId="77777777" w:rsidR="002C625F" w:rsidRDefault="00AD11C8">
      <w:pPr>
        <w:pStyle w:val="TOC3"/>
        <w:tabs>
          <w:tab w:val="left" w:pos="885"/>
        </w:tabs>
        <w:rPr>
          <w:rFonts w:asciiTheme="minorHAnsi" w:eastAsiaTheme="minorEastAsia" w:hAnsiTheme="minorHAnsi" w:cstheme="minorBidi"/>
        </w:rPr>
      </w:pPr>
      <w:hyperlink w:anchor="_Toc434999443" w:history="1">
        <w:r w:rsidR="002C625F" w:rsidRPr="007475E2">
          <w:rPr>
            <w:rStyle w:val="Hyperlink"/>
          </w:rPr>
          <w:t>3.1.1</w:t>
        </w:r>
        <w:r w:rsidR="002C625F">
          <w:rPr>
            <w:rFonts w:asciiTheme="minorHAnsi" w:eastAsiaTheme="minorEastAsia" w:hAnsiTheme="minorHAnsi" w:cstheme="minorBidi"/>
          </w:rPr>
          <w:tab/>
        </w:r>
        <w:r w:rsidR="002C625F" w:rsidRPr="007475E2">
          <w:rPr>
            <w:rStyle w:val="Hyperlink"/>
          </w:rPr>
          <w:t>A more flexible band planning regime</w:t>
        </w:r>
        <w:r w:rsidR="002C625F">
          <w:rPr>
            <w:webHidden/>
          </w:rPr>
          <w:tab/>
        </w:r>
        <w:r w:rsidR="002C625F">
          <w:rPr>
            <w:webHidden/>
          </w:rPr>
          <w:fldChar w:fldCharType="begin"/>
        </w:r>
        <w:r w:rsidR="002C625F">
          <w:rPr>
            <w:webHidden/>
          </w:rPr>
          <w:instrText xml:space="preserve"> PAGEREF _Toc434999443 \h </w:instrText>
        </w:r>
        <w:r w:rsidR="002C625F">
          <w:rPr>
            <w:webHidden/>
          </w:rPr>
        </w:r>
        <w:r w:rsidR="002C625F">
          <w:rPr>
            <w:webHidden/>
          </w:rPr>
          <w:fldChar w:fldCharType="separate"/>
        </w:r>
        <w:r w:rsidR="00C90431">
          <w:rPr>
            <w:webHidden/>
          </w:rPr>
          <w:t>13</w:t>
        </w:r>
        <w:r w:rsidR="002C625F">
          <w:rPr>
            <w:webHidden/>
          </w:rPr>
          <w:fldChar w:fldCharType="end"/>
        </w:r>
      </w:hyperlink>
    </w:p>
    <w:p w14:paraId="5482AA83" w14:textId="77777777" w:rsidR="002C625F" w:rsidRDefault="00AD11C8">
      <w:pPr>
        <w:pStyle w:val="TOC3"/>
        <w:tabs>
          <w:tab w:val="left" w:pos="885"/>
        </w:tabs>
        <w:rPr>
          <w:rFonts w:asciiTheme="minorHAnsi" w:eastAsiaTheme="minorEastAsia" w:hAnsiTheme="minorHAnsi" w:cstheme="minorBidi"/>
        </w:rPr>
      </w:pPr>
      <w:hyperlink w:anchor="_Toc434999444" w:history="1">
        <w:r w:rsidR="002C625F" w:rsidRPr="007475E2">
          <w:rPr>
            <w:rStyle w:val="Hyperlink"/>
          </w:rPr>
          <w:t>3.1.2</w:t>
        </w:r>
        <w:r w:rsidR="002C625F">
          <w:rPr>
            <w:rFonts w:asciiTheme="minorHAnsi" w:eastAsiaTheme="minorEastAsia" w:hAnsiTheme="minorHAnsi" w:cstheme="minorBidi"/>
          </w:rPr>
          <w:tab/>
        </w:r>
        <w:r w:rsidR="002C625F" w:rsidRPr="007475E2">
          <w:rPr>
            <w:rStyle w:val="Hyperlink"/>
          </w:rPr>
          <w:t>Simplification of planning for fixed services</w:t>
        </w:r>
        <w:r w:rsidR="002C625F">
          <w:rPr>
            <w:webHidden/>
          </w:rPr>
          <w:tab/>
        </w:r>
        <w:r w:rsidR="002C625F">
          <w:rPr>
            <w:webHidden/>
          </w:rPr>
          <w:fldChar w:fldCharType="begin"/>
        </w:r>
        <w:r w:rsidR="002C625F">
          <w:rPr>
            <w:webHidden/>
          </w:rPr>
          <w:instrText xml:space="preserve"> PAGEREF _Toc434999444 \h </w:instrText>
        </w:r>
        <w:r w:rsidR="002C625F">
          <w:rPr>
            <w:webHidden/>
          </w:rPr>
        </w:r>
        <w:r w:rsidR="002C625F">
          <w:rPr>
            <w:webHidden/>
          </w:rPr>
          <w:fldChar w:fldCharType="separate"/>
        </w:r>
        <w:r w:rsidR="00C90431">
          <w:rPr>
            <w:webHidden/>
          </w:rPr>
          <w:t>14</w:t>
        </w:r>
        <w:r w:rsidR="002C625F">
          <w:rPr>
            <w:webHidden/>
          </w:rPr>
          <w:fldChar w:fldCharType="end"/>
        </w:r>
      </w:hyperlink>
    </w:p>
    <w:p w14:paraId="33D45243" w14:textId="77777777" w:rsidR="002C625F" w:rsidRDefault="00AD11C8">
      <w:pPr>
        <w:pStyle w:val="TOC2"/>
        <w:rPr>
          <w:rFonts w:asciiTheme="minorHAnsi" w:eastAsiaTheme="minorEastAsia" w:hAnsiTheme="minorHAnsi" w:cstheme="minorBidi"/>
          <w:spacing w:val="0"/>
          <w:sz w:val="22"/>
          <w:szCs w:val="22"/>
        </w:rPr>
      </w:pPr>
      <w:hyperlink w:anchor="_Toc434999445" w:history="1">
        <w:r w:rsidR="002C625F" w:rsidRPr="007475E2">
          <w:rPr>
            <w:rStyle w:val="Hyperlink"/>
          </w:rPr>
          <w:t>3.2</w:t>
        </w:r>
        <w:r w:rsidR="002C625F">
          <w:rPr>
            <w:rFonts w:asciiTheme="minorHAnsi" w:eastAsiaTheme="minorEastAsia" w:hAnsiTheme="minorHAnsi" w:cstheme="minorBidi"/>
            <w:spacing w:val="0"/>
            <w:sz w:val="22"/>
            <w:szCs w:val="22"/>
          </w:rPr>
          <w:tab/>
        </w:r>
        <w:r w:rsidR="002C625F" w:rsidRPr="007475E2">
          <w:rPr>
            <w:rStyle w:val="Hyperlink"/>
          </w:rPr>
          <w:t>Overview and implications</w:t>
        </w:r>
        <w:r w:rsidR="002C625F">
          <w:rPr>
            <w:webHidden/>
          </w:rPr>
          <w:tab/>
        </w:r>
        <w:r w:rsidR="002C625F">
          <w:rPr>
            <w:webHidden/>
          </w:rPr>
          <w:fldChar w:fldCharType="begin"/>
        </w:r>
        <w:r w:rsidR="002C625F">
          <w:rPr>
            <w:webHidden/>
          </w:rPr>
          <w:instrText xml:space="preserve"> PAGEREF _Toc434999445 \h </w:instrText>
        </w:r>
        <w:r w:rsidR="002C625F">
          <w:rPr>
            <w:webHidden/>
          </w:rPr>
        </w:r>
        <w:r w:rsidR="002C625F">
          <w:rPr>
            <w:webHidden/>
          </w:rPr>
          <w:fldChar w:fldCharType="separate"/>
        </w:r>
        <w:r w:rsidR="00C90431">
          <w:rPr>
            <w:webHidden/>
          </w:rPr>
          <w:t>16</w:t>
        </w:r>
        <w:r w:rsidR="002C625F">
          <w:rPr>
            <w:webHidden/>
          </w:rPr>
          <w:fldChar w:fldCharType="end"/>
        </w:r>
      </w:hyperlink>
    </w:p>
    <w:p w14:paraId="736492AD" w14:textId="77777777" w:rsidR="002C625F" w:rsidRDefault="00AD11C8">
      <w:pPr>
        <w:pStyle w:val="TOC3"/>
        <w:tabs>
          <w:tab w:val="left" w:pos="885"/>
        </w:tabs>
        <w:rPr>
          <w:rFonts w:asciiTheme="minorHAnsi" w:eastAsiaTheme="minorEastAsia" w:hAnsiTheme="minorHAnsi" w:cstheme="minorBidi"/>
        </w:rPr>
      </w:pPr>
      <w:hyperlink w:anchor="_Toc434999446" w:history="1">
        <w:r w:rsidR="002C625F" w:rsidRPr="007475E2">
          <w:rPr>
            <w:rStyle w:val="Hyperlink"/>
          </w:rPr>
          <w:t>3.2.1</w:t>
        </w:r>
        <w:r w:rsidR="002C625F">
          <w:rPr>
            <w:rFonts w:asciiTheme="minorHAnsi" w:eastAsiaTheme="minorEastAsia" w:hAnsiTheme="minorHAnsi" w:cstheme="minorBidi"/>
          </w:rPr>
          <w:tab/>
        </w:r>
        <w:r w:rsidR="002C625F" w:rsidRPr="007475E2">
          <w:rPr>
            <w:rStyle w:val="Hyperlink"/>
          </w:rPr>
          <w:t>Overview of arrangements</w:t>
        </w:r>
        <w:r w:rsidR="002C625F">
          <w:rPr>
            <w:webHidden/>
          </w:rPr>
          <w:tab/>
        </w:r>
        <w:r w:rsidR="002C625F">
          <w:rPr>
            <w:webHidden/>
          </w:rPr>
          <w:fldChar w:fldCharType="begin"/>
        </w:r>
        <w:r w:rsidR="002C625F">
          <w:rPr>
            <w:webHidden/>
          </w:rPr>
          <w:instrText xml:space="preserve"> PAGEREF _Toc434999446 \h </w:instrText>
        </w:r>
        <w:r w:rsidR="002C625F">
          <w:rPr>
            <w:webHidden/>
          </w:rPr>
        </w:r>
        <w:r w:rsidR="002C625F">
          <w:rPr>
            <w:webHidden/>
          </w:rPr>
          <w:fldChar w:fldCharType="separate"/>
        </w:r>
        <w:r w:rsidR="00C90431">
          <w:rPr>
            <w:webHidden/>
          </w:rPr>
          <w:t>16</w:t>
        </w:r>
        <w:r w:rsidR="002C625F">
          <w:rPr>
            <w:webHidden/>
          </w:rPr>
          <w:fldChar w:fldCharType="end"/>
        </w:r>
      </w:hyperlink>
    </w:p>
    <w:p w14:paraId="745BFBD8" w14:textId="77777777" w:rsidR="002C625F" w:rsidRDefault="00AD11C8">
      <w:pPr>
        <w:pStyle w:val="TOC3"/>
        <w:tabs>
          <w:tab w:val="left" w:pos="885"/>
        </w:tabs>
        <w:rPr>
          <w:rFonts w:asciiTheme="minorHAnsi" w:eastAsiaTheme="minorEastAsia" w:hAnsiTheme="minorHAnsi" w:cstheme="minorBidi"/>
        </w:rPr>
      </w:pPr>
      <w:hyperlink w:anchor="_Toc434999447" w:history="1">
        <w:r w:rsidR="002C625F" w:rsidRPr="007475E2">
          <w:rPr>
            <w:rStyle w:val="Hyperlink"/>
          </w:rPr>
          <w:t>3.2.2</w:t>
        </w:r>
        <w:r w:rsidR="002C625F">
          <w:rPr>
            <w:rFonts w:asciiTheme="minorHAnsi" w:eastAsiaTheme="minorEastAsia" w:hAnsiTheme="minorHAnsi" w:cstheme="minorBidi"/>
          </w:rPr>
          <w:tab/>
        </w:r>
        <w:r w:rsidR="002C625F" w:rsidRPr="007475E2">
          <w:rPr>
            <w:rStyle w:val="Hyperlink"/>
          </w:rPr>
          <w:t>Services not affected</w:t>
        </w:r>
        <w:r w:rsidR="002C625F">
          <w:rPr>
            <w:webHidden/>
          </w:rPr>
          <w:tab/>
        </w:r>
        <w:r w:rsidR="002C625F">
          <w:rPr>
            <w:webHidden/>
          </w:rPr>
          <w:fldChar w:fldCharType="begin"/>
        </w:r>
        <w:r w:rsidR="002C625F">
          <w:rPr>
            <w:webHidden/>
          </w:rPr>
          <w:instrText xml:space="preserve"> PAGEREF _Toc434999447 \h </w:instrText>
        </w:r>
        <w:r w:rsidR="002C625F">
          <w:rPr>
            <w:webHidden/>
          </w:rPr>
        </w:r>
        <w:r w:rsidR="002C625F">
          <w:rPr>
            <w:webHidden/>
          </w:rPr>
          <w:fldChar w:fldCharType="separate"/>
        </w:r>
        <w:r w:rsidR="00C90431">
          <w:rPr>
            <w:webHidden/>
          </w:rPr>
          <w:t>17</w:t>
        </w:r>
        <w:r w:rsidR="002C625F">
          <w:rPr>
            <w:webHidden/>
          </w:rPr>
          <w:fldChar w:fldCharType="end"/>
        </w:r>
      </w:hyperlink>
    </w:p>
    <w:p w14:paraId="07D97732" w14:textId="77777777" w:rsidR="002C625F" w:rsidRDefault="00AD11C8">
      <w:pPr>
        <w:pStyle w:val="TOC3"/>
        <w:tabs>
          <w:tab w:val="left" w:pos="885"/>
        </w:tabs>
        <w:rPr>
          <w:rFonts w:asciiTheme="minorHAnsi" w:eastAsiaTheme="minorEastAsia" w:hAnsiTheme="minorHAnsi" w:cstheme="minorBidi"/>
        </w:rPr>
      </w:pPr>
      <w:hyperlink w:anchor="_Toc434999448" w:history="1">
        <w:r w:rsidR="002C625F" w:rsidRPr="007475E2">
          <w:rPr>
            <w:rStyle w:val="Hyperlink"/>
          </w:rPr>
          <w:t>3.2.3</w:t>
        </w:r>
        <w:r w:rsidR="002C625F">
          <w:rPr>
            <w:rFonts w:asciiTheme="minorHAnsi" w:eastAsiaTheme="minorEastAsia" w:hAnsiTheme="minorHAnsi" w:cstheme="minorBidi"/>
          </w:rPr>
          <w:tab/>
        </w:r>
        <w:r w:rsidR="002C625F" w:rsidRPr="007475E2">
          <w:rPr>
            <w:rStyle w:val="Hyperlink"/>
          </w:rPr>
          <w:t>Implications for affected users</w:t>
        </w:r>
        <w:r w:rsidR="002C625F">
          <w:rPr>
            <w:webHidden/>
          </w:rPr>
          <w:tab/>
        </w:r>
        <w:r w:rsidR="002C625F">
          <w:rPr>
            <w:webHidden/>
          </w:rPr>
          <w:fldChar w:fldCharType="begin"/>
        </w:r>
        <w:r w:rsidR="002C625F">
          <w:rPr>
            <w:webHidden/>
          </w:rPr>
          <w:instrText xml:space="preserve"> PAGEREF _Toc434999448 \h </w:instrText>
        </w:r>
        <w:r w:rsidR="002C625F">
          <w:rPr>
            <w:webHidden/>
          </w:rPr>
        </w:r>
        <w:r w:rsidR="002C625F">
          <w:rPr>
            <w:webHidden/>
          </w:rPr>
          <w:fldChar w:fldCharType="separate"/>
        </w:r>
        <w:r w:rsidR="00C90431">
          <w:rPr>
            <w:webHidden/>
          </w:rPr>
          <w:t>17</w:t>
        </w:r>
        <w:r w:rsidR="002C625F">
          <w:rPr>
            <w:webHidden/>
          </w:rPr>
          <w:fldChar w:fldCharType="end"/>
        </w:r>
      </w:hyperlink>
    </w:p>
    <w:p w14:paraId="3CBE7808" w14:textId="77777777" w:rsidR="002C625F" w:rsidRDefault="00AD11C8">
      <w:pPr>
        <w:pStyle w:val="TOC2"/>
        <w:rPr>
          <w:rFonts w:asciiTheme="minorHAnsi" w:eastAsiaTheme="minorEastAsia" w:hAnsiTheme="minorHAnsi" w:cstheme="minorBidi"/>
          <w:spacing w:val="0"/>
          <w:sz w:val="22"/>
          <w:szCs w:val="22"/>
        </w:rPr>
      </w:pPr>
      <w:hyperlink w:anchor="_Toc434999449" w:history="1">
        <w:r w:rsidR="002C625F" w:rsidRPr="007475E2">
          <w:rPr>
            <w:rStyle w:val="Hyperlink"/>
          </w:rPr>
          <w:t>3.3</w:t>
        </w:r>
        <w:r w:rsidR="002C625F">
          <w:rPr>
            <w:rFonts w:asciiTheme="minorHAnsi" w:eastAsiaTheme="minorEastAsia" w:hAnsiTheme="minorHAnsi" w:cstheme="minorBidi"/>
            <w:spacing w:val="0"/>
            <w:sz w:val="22"/>
            <w:szCs w:val="22"/>
          </w:rPr>
          <w:tab/>
        </w:r>
        <w:r w:rsidR="002C625F" w:rsidRPr="007475E2">
          <w:rPr>
            <w:rStyle w:val="Hyperlink"/>
          </w:rPr>
          <w:t>Implementation plan</w:t>
        </w:r>
        <w:r w:rsidR="002C625F">
          <w:rPr>
            <w:webHidden/>
          </w:rPr>
          <w:tab/>
        </w:r>
        <w:r w:rsidR="002C625F">
          <w:rPr>
            <w:webHidden/>
          </w:rPr>
          <w:fldChar w:fldCharType="begin"/>
        </w:r>
        <w:r w:rsidR="002C625F">
          <w:rPr>
            <w:webHidden/>
          </w:rPr>
          <w:instrText xml:space="preserve"> PAGEREF _Toc434999449 \h </w:instrText>
        </w:r>
        <w:r w:rsidR="002C625F">
          <w:rPr>
            <w:webHidden/>
          </w:rPr>
        </w:r>
        <w:r w:rsidR="002C625F">
          <w:rPr>
            <w:webHidden/>
          </w:rPr>
          <w:fldChar w:fldCharType="separate"/>
        </w:r>
        <w:r w:rsidR="00C90431">
          <w:rPr>
            <w:webHidden/>
          </w:rPr>
          <w:t>27</w:t>
        </w:r>
        <w:r w:rsidR="002C625F">
          <w:rPr>
            <w:webHidden/>
          </w:rPr>
          <w:fldChar w:fldCharType="end"/>
        </w:r>
      </w:hyperlink>
    </w:p>
    <w:p w14:paraId="720F8D97" w14:textId="77777777" w:rsidR="002C625F" w:rsidRDefault="00AD11C8">
      <w:pPr>
        <w:pStyle w:val="TOC3"/>
        <w:tabs>
          <w:tab w:val="left" w:pos="885"/>
        </w:tabs>
        <w:rPr>
          <w:rFonts w:asciiTheme="minorHAnsi" w:eastAsiaTheme="minorEastAsia" w:hAnsiTheme="minorHAnsi" w:cstheme="minorBidi"/>
        </w:rPr>
      </w:pPr>
      <w:hyperlink w:anchor="_Toc434999450" w:history="1">
        <w:r w:rsidR="002C625F" w:rsidRPr="007475E2">
          <w:rPr>
            <w:rStyle w:val="Hyperlink"/>
          </w:rPr>
          <w:t>3.3.1</w:t>
        </w:r>
        <w:r w:rsidR="002C625F">
          <w:rPr>
            <w:rFonts w:asciiTheme="minorHAnsi" w:eastAsiaTheme="minorEastAsia" w:hAnsiTheme="minorHAnsi" w:cstheme="minorBidi"/>
          </w:rPr>
          <w:tab/>
        </w:r>
        <w:r w:rsidR="002C625F" w:rsidRPr="007475E2">
          <w:rPr>
            <w:rStyle w:val="Hyperlink"/>
          </w:rPr>
          <w:t>Actions to be undertaken by industry and operators</w:t>
        </w:r>
        <w:r w:rsidR="002C625F">
          <w:rPr>
            <w:webHidden/>
          </w:rPr>
          <w:tab/>
        </w:r>
        <w:r w:rsidR="002C625F">
          <w:rPr>
            <w:webHidden/>
          </w:rPr>
          <w:fldChar w:fldCharType="begin"/>
        </w:r>
        <w:r w:rsidR="002C625F">
          <w:rPr>
            <w:webHidden/>
          </w:rPr>
          <w:instrText xml:space="preserve"> PAGEREF _Toc434999450 \h </w:instrText>
        </w:r>
        <w:r w:rsidR="002C625F">
          <w:rPr>
            <w:webHidden/>
          </w:rPr>
        </w:r>
        <w:r w:rsidR="002C625F">
          <w:rPr>
            <w:webHidden/>
          </w:rPr>
          <w:fldChar w:fldCharType="separate"/>
        </w:r>
        <w:r w:rsidR="00C90431">
          <w:rPr>
            <w:webHidden/>
          </w:rPr>
          <w:t>27</w:t>
        </w:r>
        <w:r w:rsidR="002C625F">
          <w:rPr>
            <w:webHidden/>
          </w:rPr>
          <w:fldChar w:fldCharType="end"/>
        </w:r>
      </w:hyperlink>
    </w:p>
    <w:p w14:paraId="59B7CD05" w14:textId="77777777" w:rsidR="002C625F" w:rsidRDefault="00AD11C8">
      <w:pPr>
        <w:pStyle w:val="TOC3"/>
        <w:tabs>
          <w:tab w:val="left" w:pos="885"/>
        </w:tabs>
        <w:rPr>
          <w:rFonts w:asciiTheme="minorHAnsi" w:eastAsiaTheme="minorEastAsia" w:hAnsiTheme="minorHAnsi" w:cstheme="minorBidi"/>
        </w:rPr>
      </w:pPr>
      <w:hyperlink w:anchor="_Toc434999451" w:history="1">
        <w:r w:rsidR="002C625F" w:rsidRPr="007475E2">
          <w:rPr>
            <w:rStyle w:val="Hyperlink"/>
          </w:rPr>
          <w:t>3.3.2</w:t>
        </w:r>
        <w:r w:rsidR="002C625F">
          <w:rPr>
            <w:rFonts w:asciiTheme="minorHAnsi" w:eastAsiaTheme="minorEastAsia" w:hAnsiTheme="minorHAnsi" w:cstheme="minorBidi"/>
          </w:rPr>
          <w:tab/>
        </w:r>
        <w:r w:rsidR="002C625F" w:rsidRPr="007475E2">
          <w:rPr>
            <w:rStyle w:val="Hyperlink"/>
          </w:rPr>
          <w:t>Actions to be taken by the ACMA</w:t>
        </w:r>
        <w:r w:rsidR="002C625F">
          <w:rPr>
            <w:webHidden/>
          </w:rPr>
          <w:tab/>
        </w:r>
        <w:r w:rsidR="002C625F">
          <w:rPr>
            <w:webHidden/>
          </w:rPr>
          <w:fldChar w:fldCharType="begin"/>
        </w:r>
        <w:r w:rsidR="002C625F">
          <w:rPr>
            <w:webHidden/>
          </w:rPr>
          <w:instrText xml:space="preserve"> PAGEREF _Toc434999451 \h </w:instrText>
        </w:r>
        <w:r w:rsidR="002C625F">
          <w:rPr>
            <w:webHidden/>
          </w:rPr>
        </w:r>
        <w:r w:rsidR="002C625F">
          <w:rPr>
            <w:webHidden/>
          </w:rPr>
          <w:fldChar w:fldCharType="separate"/>
        </w:r>
        <w:r w:rsidR="00C90431">
          <w:rPr>
            <w:webHidden/>
          </w:rPr>
          <w:t>31</w:t>
        </w:r>
        <w:r w:rsidR="002C625F">
          <w:rPr>
            <w:webHidden/>
          </w:rPr>
          <w:fldChar w:fldCharType="end"/>
        </w:r>
      </w:hyperlink>
    </w:p>
    <w:p w14:paraId="7B4119B2" w14:textId="07B775CE" w:rsidR="002C625F" w:rsidRDefault="00AD11C8">
      <w:pPr>
        <w:pStyle w:val="TOC3"/>
        <w:tabs>
          <w:tab w:val="left" w:pos="885"/>
        </w:tabs>
        <w:rPr>
          <w:rFonts w:asciiTheme="minorHAnsi" w:eastAsiaTheme="minorEastAsia" w:hAnsiTheme="minorHAnsi" w:cstheme="minorBidi"/>
        </w:rPr>
      </w:pPr>
      <w:hyperlink w:anchor="_Toc434999452" w:history="1">
        <w:r w:rsidR="002C625F" w:rsidRPr="007475E2">
          <w:rPr>
            <w:rStyle w:val="Hyperlink"/>
          </w:rPr>
          <w:t>3.3.3</w:t>
        </w:r>
        <w:r w:rsidR="002C625F">
          <w:rPr>
            <w:rFonts w:asciiTheme="minorHAnsi" w:eastAsiaTheme="minorEastAsia" w:hAnsiTheme="minorHAnsi" w:cstheme="minorBidi"/>
          </w:rPr>
          <w:tab/>
        </w:r>
        <w:r w:rsidR="002C625F" w:rsidRPr="007475E2">
          <w:rPr>
            <w:rStyle w:val="Hyperlink"/>
          </w:rPr>
          <w:t>Embargo 64</w:t>
        </w:r>
        <w:r w:rsidR="002C625F">
          <w:rPr>
            <w:webHidden/>
          </w:rPr>
          <w:tab/>
        </w:r>
        <w:r w:rsidR="002C625F">
          <w:rPr>
            <w:webHidden/>
          </w:rPr>
          <w:fldChar w:fldCharType="begin"/>
        </w:r>
        <w:r w:rsidR="002C625F">
          <w:rPr>
            <w:webHidden/>
          </w:rPr>
          <w:instrText xml:space="preserve"> PAGEREF _Toc434999452 \h </w:instrText>
        </w:r>
        <w:r w:rsidR="002C625F">
          <w:rPr>
            <w:webHidden/>
          </w:rPr>
        </w:r>
        <w:r w:rsidR="002C625F">
          <w:rPr>
            <w:webHidden/>
          </w:rPr>
          <w:fldChar w:fldCharType="separate"/>
        </w:r>
        <w:r w:rsidR="00C90431">
          <w:rPr>
            <w:webHidden/>
          </w:rPr>
          <w:t>37</w:t>
        </w:r>
        <w:r w:rsidR="002C625F">
          <w:rPr>
            <w:webHidden/>
          </w:rPr>
          <w:fldChar w:fldCharType="end"/>
        </w:r>
      </w:hyperlink>
    </w:p>
    <w:p w14:paraId="0B83BC8D" w14:textId="77777777" w:rsidR="002C625F" w:rsidRDefault="00AD11C8">
      <w:pPr>
        <w:pStyle w:val="TOC1"/>
        <w:tabs>
          <w:tab w:val="left" w:pos="885"/>
        </w:tabs>
        <w:rPr>
          <w:rFonts w:asciiTheme="minorHAnsi" w:eastAsiaTheme="minorEastAsia" w:hAnsiTheme="minorHAnsi" w:cstheme="minorBidi"/>
          <w:b w:val="0"/>
          <w:spacing w:val="0"/>
          <w:sz w:val="22"/>
          <w:szCs w:val="22"/>
        </w:rPr>
      </w:pPr>
      <w:hyperlink w:anchor="_Toc434999453" w:history="1">
        <w:r w:rsidR="002C625F" w:rsidRPr="007475E2">
          <w:rPr>
            <w:rStyle w:val="Hyperlink"/>
          </w:rPr>
          <w:t>4.</w:t>
        </w:r>
        <w:r w:rsidR="002C625F">
          <w:rPr>
            <w:rFonts w:asciiTheme="minorHAnsi" w:eastAsiaTheme="minorEastAsia" w:hAnsiTheme="minorHAnsi" w:cstheme="minorBidi"/>
            <w:b w:val="0"/>
            <w:spacing w:val="0"/>
            <w:sz w:val="22"/>
            <w:szCs w:val="22"/>
          </w:rPr>
          <w:tab/>
        </w:r>
        <w:r w:rsidR="002C625F" w:rsidRPr="007475E2">
          <w:rPr>
            <w:rStyle w:val="Hyperlink"/>
          </w:rPr>
          <w:t>Proposed amendments to existing mobile broadband spectrum arrangements</w:t>
        </w:r>
        <w:r w:rsidR="002C625F">
          <w:rPr>
            <w:webHidden/>
          </w:rPr>
          <w:tab/>
        </w:r>
        <w:r w:rsidR="002C625F">
          <w:rPr>
            <w:webHidden/>
          </w:rPr>
          <w:fldChar w:fldCharType="begin"/>
        </w:r>
        <w:r w:rsidR="002C625F">
          <w:rPr>
            <w:webHidden/>
          </w:rPr>
          <w:instrText xml:space="preserve"> PAGEREF _Toc434999453 \h </w:instrText>
        </w:r>
        <w:r w:rsidR="002C625F">
          <w:rPr>
            <w:webHidden/>
          </w:rPr>
        </w:r>
        <w:r w:rsidR="002C625F">
          <w:rPr>
            <w:webHidden/>
          </w:rPr>
          <w:fldChar w:fldCharType="separate"/>
        </w:r>
        <w:r w:rsidR="00C90431">
          <w:rPr>
            <w:webHidden/>
          </w:rPr>
          <w:t>39</w:t>
        </w:r>
        <w:r w:rsidR="002C625F">
          <w:rPr>
            <w:webHidden/>
          </w:rPr>
          <w:fldChar w:fldCharType="end"/>
        </w:r>
      </w:hyperlink>
    </w:p>
    <w:p w14:paraId="57E51C80" w14:textId="77777777" w:rsidR="002C625F" w:rsidRDefault="00AD11C8">
      <w:pPr>
        <w:pStyle w:val="TOC2"/>
        <w:rPr>
          <w:rFonts w:asciiTheme="minorHAnsi" w:eastAsiaTheme="minorEastAsia" w:hAnsiTheme="minorHAnsi" w:cstheme="minorBidi"/>
          <w:spacing w:val="0"/>
          <w:sz w:val="22"/>
          <w:szCs w:val="22"/>
        </w:rPr>
      </w:pPr>
      <w:hyperlink w:anchor="_Toc434999454" w:history="1">
        <w:r w:rsidR="002C625F" w:rsidRPr="007475E2">
          <w:rPr>
            <w:rStyle w:val="Hyperlink"/>
          </w:rPr>
          <w:t>4.1</w:t>
        </w:r>
        <w:r w:rsidR="002C625F">
          <w:rPr>
            <w:rFonts w:asciiTheme="minorHAnsi" w:eastAsiaTheme="minorEastAsia" w:hAnsiTheme="minorHAnsi" w:cstheme="minorBidi"/>
            <w:spacing w:val="0"/>
            <w:sz w:val="22"/>
            <w:szCs w:val="22"/>
          </w:rPr>
          <w:tab/>
        </w:r>
        <w:r w:rsidR="002C625F" w:rsidRPr="007475E2">
          <w:rPr>
            <w:rStyle w:val="Hyperlink"/>
          </w:rPr>
          <w:t>Relationship to the review</w:t>
        </w:r>
        <w:r w:rsidR="002C625F">
          <w:rPr>
            <w:webHidden/>
          </w:rPr>
          <w:tab/>
        </w:r>
        <w:r w:rsidR="002C625F">
          <w:rPr>
            <w:webHidden/>
          </w:rPr>
          <w:fldChar w:fldCharType="begin"/>
        </w:r>
        <w:r w:rsidR="002C625F">
          <w:rPr>
            <w:webHidden/>
          </w:rPr>
          <w:instrText xml:space="preserve"> PAGEREF _Toc434999454 \h </w:instrText>
        </w:r>
        <w:r w:rsidR="002C625F">
          <w:rPr>
            <w:webHidden/>
          </w:rPr>
        </w:r>
        <w:r w:rsidR="002C625F">
          <w:rPr>
            <w:webHidden/>
          </w:rPr>
          <w:fldChar w:fldCharType="separate"/>
        </w:r>
        <w:r w:rsidR="00C90431">
          <w:rPr>
            <w:webHidden/>
          </w:rPr>
          <w:t>39</w:t>
        </w:r>
        <w:r w:rsidR="002C625F">
          <w:rPr>
            <w:webHidden/>
          </w:rPr>
          <w:fldChar w:fldCharType="end"/>
        </w:r>
      </w:hyperlink>
    </w:p>
    <w:p w14:paraId="0B834BF2" w14:textId="77777777" w:rsidR="002C625F" w:rsidRDefault="00AD11C8">
      <w:pPr>
        <w:pStyle w:val="TOC2"/>
        <w:rPr>
          <w:rFonts w:asciiTheme="minorHAnsi" w:eastAsiaTheme="minorEastAsia" w:hAnsiTheme="minorHAnsi" w:cstheme="minorBidi"/>
          <w:spacing w:val="0"/>
          <w:sz w:val="22"/>
          <w:szCs w:val="22"/>
        </w:rPr>
      </w:pPr>
      <w:hyperlink w:anchor="_Toc434999455" w:history="1">
        <w:r w:rsidR="002C625F" w:rsidRPr="007475E2">
          <w:rPr>
            <w:rStyle w:val="Hyperlink"/>
          </w:rPr>
          <w:t>4.2</w:t>
        </w:r>
        <w:r w:rsidR="002C625F">
          <w:rPr>
            <w:rFonts w:asciiTheme="minorHAnsi" w:eastAsiaTheme="minorEastAsia" w:hAnsiTheme="minorHAnsi" w:cstheme="minorBidi"/>
            <w:spacing w:val="0"/>
            <w:sz w:val="22"/>
            <w:szCs w:val="22"/>
          </w:rPr>
          <w:tab/>
        </w:r>
        <w:r w:rsidR="002C625F" w:rsidRPr="007475E2">
          <w:rPr>
            <w:rStyle w:val="Hyperlink"/>
          </w:rPr>
          <w:t>Rationale</w:t>
        </w:r>
        <w:r w:rsidR="002C625F">
          <w:rPr>
            <w:webHidden/>
          </w:rPr>
          <w:tab/>
        </w:r>
        <w:r w:rsidR="002C625F">
          <w:rPr>
            <w:webHidden/>
          </w:rPr>
          <w:fldChar w:fldCharType="begin"/>
        </w:r>
        <w:r w:rsidR="002C625F">
          <w:rPr>
            <w:webHidden/>
          </w:rPr>
          <w:instrText xml:space="preserve"> PAGEREF _Toc434999455 \h </w:instrText>
        </w:r>
        <w:r w:rsidR="002C625F">
          <w:rPr>
            <w:webHidden/>
          </w:rPr>
        </w:r>
        <w:r w:rsidR="002C625F">
          <w:rPr>
            <w:webHidden/>
          </w:rPr>
          <w:fldChar w:fldCharType="separate"/>
        </w:r>
        <w:r w:rsidR="00C90431">
          <w:rPr>
            <w:webHidden/>
          </w:rPr>
          <w:t>39</w:t>
        </w:r>
        <w:r w:rsidR="002C625F">
          <w:rPr>
            <w:webHidden/>
          </w:rPr>
          <w:fldChar w:fldCharType="end"/>
        </w:r>
      </w:hyperlink>
    </w:p>
    <w:p w14:paraId="4705368A" w14:textId="77777777" w:rsidR="002C625F" w:rsidRDefault="00AD11C8">
      <w:pPr>
        <w:pStyle w:val="TOC2"/>
        <w:rPr>
          <w:rFonts w:asciiTheme="minorHAnsi" w:eastAsiaTheme="minorEastAsia" w:hAnsiTheme="minorHAnsi" w:cstheme="minorBidi"/>
          <w:spacing w:val="0"/>
          <w:sz w:val="22"/>
          <w:szCs w:val="22"/>
        </w:rPr>
      </w:pPr>
      <w:hyperlink w:anchor="_Toc434999456" w:history="1">
        <w:r w:rsidR="002C625F" w:rsidRPr="007475E2">
          <w:rPr>
            <w:rStyle w:val="Hyperlink"/>
          </w:rPr>
          <w:t>4.3</w:t>
        </w:r>
        <w:r w:rsidR="002C625F">
          <w:rPr>
            <w:rFonts w:asciiTheme="minorHAnsi" w:eastAsiaTheme="minorEastAsia" w:hAnsiTheme="minorHAnsi" w:cstheme="minorBidi"/>
            <w:spacing w:val="0"/>
            <w:sz w:val="22"/>
            <w:szCs w:val="22"/>
          </w:rPr>
          <w:tab/>
        </w:r>
        <w:r w:rsidR="002C625F" w:rsidRPr="007475E2">
          <w:rPr>
            <w:rStyle w:val="Hyperlink"/>
          </w:rPr>
          <w:t>Technical considerations</w:t>
        </w:r>
        <w:r w:rsidR="002C625F">
          <w:rPr>
            <w:webHidden/>
          </w:rPr>
          <w:tab/>
        </w:r>
        <w:r w:rsidR="002C625F">
          <w:rPr>
            <w:webHidden/>
          </w:rPr>
          <w:fldChar w:fldCharType="begin"/>
        </w:r>
        <w:r w:rsidR="002C625F">
          <w:rPr>
            <w:webHidden/>
          </w:rPr>
          <w:instrText xml:space="preserve"> PAGEREF _Toc434999456 \h </w:instrText>
        </w:r>
        <w:r w:rsidR="002C625F">
          <w:rPr>
            <w:webHidden/>
          </w:rPr>
        </w:r>
        <w:r w:rsidR="002C625F">
          <w:rPr>
            <w:webHidden/>
          </w:rPr>
          <w:fldChar w:fldCharType="separate"/>
        </w:r>
        <w:r w:rsidR="00C90431">
          <w:rPr>
            <w:webHidden/>
          </w:rPr>
          <w:t>41</w:t>
        </w:r>
        <w:r w:rsidR="002C625F">
          <w:rPr>
            <w:webHidden/>
          </w:rPr>
          <w:fldChar w:fldCharType="end"/>
        </w:r>
      </w:hyperlink>
    </w:p>
    <w:p w14:paraId="2E0A2BBE" w14:textId="77777777" w:rsidR="002C625F" w:rsidRDefault="00AD11C8">
      <w:pPr>
        <w:pStyle w:val="TOC2"/>
        <w:rPr>
          <w:rFonts w:asciiTheme="minorHAnsi" w:eastAsiaTheme="minorEastAsia" w:hAnsiTheme="minorHAnsi" w:cstheme="minorBidi"/>
          <w:spacing w:val="0"/>
          <w:sz w:val="22"/>
          <w:szCs w:val="22"/>
        </w:rPr>
      </w:pPr>
      <w:hyperlink w:anchor="_Toc434999457" w:history="1">
        <w:r w:rsidR="002C625F" w:rsidRPr="007475E2">
          <w:rPr>
            <w:rStyle w:val="Hyperlink"/>
          </w:rPr>
          <w:t>4.4</w:t>
        </w:r>
        <w:r w:rsidR="002C625F">
          <w:rPr>
            <w:rFonts w:asciiTheme="minorHAnsi" w:eastAsiaTheme="minorEastAsia" w:hAnsiTheme="minorHAnsi" w:cstheme="minorBidi"/>
            <w:spacing w:val="0"/>
            <w:sz w:val="22"/>
            <w:szCs w:val="22"/>
          </w:rPr>
          <w:tab/>
        </w:r>
        <w:r w:rsidR="002C625F" w:rsidRPr="007475E2">
          <w:rPr>
            <w:rStyle w:val="Hyperlink"/>
          </w:rPr>
          <w:t>Proposal to downshift the 850 MHz band</w:t>
        </w:r>
        <w:r w:rsidR="002C625F">
          <w:rPr>
            <w:webHidden/>
          </w:rPr>
          <w:tab/>
        </w:r>
        <w:r w:rsidR="002C625F">
          <w:rPr>
            <w:webHidden/>
          </w:rPr>
          <w:fldChar w:fldCharType="begin"/>
        </w:r>
        <w:r w:rsidR="002C625F">
          <w:rPr>
            <w:webHidden/>
          </w:rPr>
          <w:instrText xml:space="preserve"> PAGEREF _Toc434999457 \h </w:instrText>
        </w:r>
        <w:r w:rsidR="002C625F">
          <w:rPr>
            <w:webHidden/>
          </w:rPr>
        </w:r>
        <w:r w:rsidR="002C625F">
          <w:rPr>
            <w:webHidden/>
          </w:rPr>
          <w:fldChar w:fldCharType="separate"/>
        </w:r>
        <w:r w:rsidR="00C90431">
          <w:rPr>
            <w:webHidden/>
          </w:rPr>
          <w:t>42</w:t>
        </w:r>
        <w:r w:rsidR="002C625F">
          <w:rPr>
            <w:webHidden/>
          </w:rPr>
          <w:fldChar w:fldCharType="end"/>
        </w:r>
      </w:hyperlink>
    </w:p>
    <w:p w14:paraId="573CE92B" w14:textId="77777777" w:rsidR="002C625F" w:rsidRDefault="00AD11C8">
      <w:pPr>
        <w:pStyle w:val="TOC2"/>
        <w:rPr>
          <w:rFonts w:asciiTheme="minorHAnsi" w:eastAsiaTheme="minorEastAsia" w:hAnsiTheme="minorHAnsi" w:cstheme="minorBidi"/>
          <w:spacing w:val="0"/>
          <w:sz w:val="22"/>
          <w:szCs w:val="22"/>
        </w:rPr>
      </w:pPr>
      <w:hyperlink w:anchor="_Toc434999458" w:history="1">
        <w:r w:rsidR="002C625F" w:rsidRPr="007475E2">
          <w:rPr>
            <w:rStyle w:val="Hyperlink"/>
          </w:rPr>
          <w:t>4.5</w:t>
        </w:r>
        <w:r w:rsidR="002C625F">
          <w:rPr>
            <w:rFonts w:asciiTheme="minorHAnsi" w:eastAsiaTheme="minorEastAsia" w:hAnsiTheme="minorHAnsi" w:cstheme="minorBidi"/>
            <w:spacing w:val="0"/>
            <w:sz w:val="22"/>
            <w:szCs w:val="22"/>
          </w:rPr>
          <w:tab/>
        </w:r>
        <w:r w:rsidR="002C625F" w:rsidRPr="007475E2">
          <w:rPr>
            <w:rStyle w:val="Hyperlink"/>
          </w:rPr>
          <w:t>Way forward</w:t>
        </w:r>
        <w:r w:rsidR="002C625F">
          <w:rPr>
            <w:webHidden/>
          </w:rPr>
          <w:tab/>
        </w:r>
        <w:r w:rsidR="002C625F">
          <w:rPr>
            <w:webHidden/>
          </w:rPr>
          <w:fldChar w:fldCharType="begin"/>
        </w:r>
        <w:r w:rsidR="002C625F">
          <w:rPr>
            <w:webHidden/>
          </w:rPr>
          <w:instrText xml:space="preserve"> PAGEREF _Toc434999458 \h </w:instrText>
        </w:r>
        <w:r w:rsidR="002C625F">
          <w:rPr>
            <w:webHidden/>
          </w:rPr>
        </w:r>
        <w:r w:rsidR="002C625F">
          <w:rPr>
            <w:webHidden/>
          </w:rPr>
          <w:fldChar w:fldCharType="separate"/>
        </w:r>
        <w:r w:rsidR="00C90431">
          <w:rPr>
            <w:webHidden/>
          </w:rPr>
          <w:t>43</w:t>
        </w:r>
        <w:r w:rsidR="002C625F">
          <w:rPr>
            <w:webHidden/>
          </w:rPr>
          <w:fldChar w:fldCharType="end"/>
        </w:r>
      </w:hyperlink>
    </w:p>
    <w:p w14:paraId="56CA0BF5" w14:textId="77777777" w:rsidR="002C625F" w:rsidRDefault="00AD11C8">
      <w:pPr>
        <w:pStyle w:val="TOC1"/>
        <w:rPr>
          <w:rFonts w:asciiTheme="minorHAnsi" w:eastAsiaTheme="minorEastAsia" w:hAnsiTheme="minorHAnsi" w:cstheme="minorBidi"/>
          <w:b w:val="0"/>
          <w:spacing w:val="0"/>
          <w:sz w:val="22"/>
          <w:szCs w:val="22"/>
        </w:rPr>
      </w:pPr>
      <w:hyperlink w:anchor="_Toc434999459" w:history="1">
        <w:r w:rsidR="002C625F" w:rsidRPr="007475E2">
          <w:rPr>
            <w:rStyle w:val="Hyperlink"/>
          </w:rPr>
          <w:t>Attachment 1—Legislative and policy framework: Relevant extracts</w:t>
        </w:r>
        <w:r w:rsidR="002C625F">
          <w:rPr>
            <w:webHidden/>
          </w:rPr>
          <w:tab/>
        </w:r>
        <w:r w:rsidR="002C625F">
          <w:rPr>
            <w:webHidden/>
          </w:rPr>
          <w:fldChar w:fldCharType="begin"/>
        </w:r>
        <w:r w:rsidR="002C625F">
          <w:rPr>
            <w:webHidden/>
          </w:rPr>
          <w:instrText xml:space="preserve"> PAGEREF _Toc434999459 \h </w:instrText>
        </w:r>
        <w:r w:rsidR="002C625F">
          <w:rPr>
            <w:webHidden/>
          </w:rPr>
        </w:r>
        <w:r w:rsidR="002C625F">
          <w:rPr>
            <w:webHidden/>
          </w:rPr>
          <w:fldChar w:fldCharType="separate"/>
        </w:r>
        <w:r w:rsidR="00C90431">
          <w:rPr>
            <w:webHidden/>
          </w:rPr>
          <w:t>44</w:t>
        </w:r>
        <w:r w:rsidR="002C625F">
          <w:rPr>
            <w:webHidden/>
          </w:rPr>
          <w:fldChar w:fldCharType="end"/>
        </w:r>
      </w:hyperlink>
    </w:p>
    <w:p w14:paraId="2039A114" w14:textId="77777777" w:rsidR="002C625F" w:rsidRDefault="00AD11C8">
      <w:pPr>
        <w:pStyle w:val="TOC2"/>
        <w:rPr>
          <w:rFonts w:asciiTheme="minorHAnsi" w:eastAsiaTheme="minorEastAsia" w:hAnsiTheme="minorHAnsi" w:cstheme="minorBidi"/>
          <w:spacing w:val="0"/>
          <w:sz w:val="22"/>
          <w:szCs w:val="22"/>
        </w:rPr>
      </w:pPr>
      <w:hyperlink w:anchor="_Toc434999460" w:history="1">
        <w:r w:rsidR="002C625F" w:rsidRPr="007475E2">
          <w:rPr>
            <w:rStyle w:val="Hyperlink"/>
          </w:rPr>
          <w:t xml:space="preserve">The Object of the </w:t>
        </w:r>
        <w:r w:rsidR="002C625F" w:rsidRPr="007475E2">
          <w:rPr>
            <w:rStyle w:val="Hyperlink"/>
            <w:i/>
          </w:rPr>
          <w:t>Radiocommunications Act 1992</w:t>
        </w:r>
        <w:r w:rsidR="002C625F">
          <w:rPr>
            <w:webHidden/>
          </w:rPr>
          <w:tab/>
        </w:r>
        <w:r w:rsidR="002C625F">
          <w:rPr>
            <w:webHidden/>
          </w:rPr>
          <w:fldChar w:fldCharType="begin"/>
        </w:r>
        <w:r w:rsidR="002C625F">
          <w:rPr>
            <w:webHidden/>
          </w:rPr>
          <w:instrText xml:space="preserve"> PAGEREF _Toc434999460 \h </w:instrText>
        </w:r>
        <w:r w:rsidR="002C625F">
          <w:rPr>
            <w:webHidden/>
          </w:rPr>
        </w:r>
        <w:r w:rsidR="002C625F">
          <w:rPr>
            <w:webHidden/>
          </w:rPr>
          <w:fldChar w:fldCharType="separate"/>
        </w:r>
        <w:r w:rsidR="00C90431">
          <w:rPr>
            <w:webHidden/>
          </w:rPr>
          <w:t>44</w:t>
        </w:r>
        <w:r w:rsidR="002C625F">
          <w:rPr>
            <w:webHidden/>
          </w:rPr>
          <w:fldChar w:fldCharType="end"/>
        </w:r>
      </w:hyperlink>
    </w:p>
    <w:p w14:paraId="5DE54565" w14:textId="77777777" w:rsidR="002C625F" w:rsidRDefault="00AD11C8">
      <w:pPr>
        <w:pStyle w:val="TOC2"/>
        <w:rPr>
          <w:rFonts w:asciiTheme="minorHAnsi" w:eastAsiaTheme="minorEastAsia" w:hAnsiTheme="minorHAnsi" w:cstheme="minorBidi"/>
          <w:spacing w:val="0"/>
          <w:sz w:val="22"/>
          <w:szCs w:val="22"/>
        </w:rPr>
      </w:pPr>
      <w:hyperlink w:anchor="_Toc434999461" w:history="1">
        <w:r w:rsidR="002C625F" w:rsidRPr="007475E2">
          <w:rPr>
            <w:rStyle w:val="Hyperlink"/>
          </w:rPr>
          <w:t>Principles for Spectrum Management</w:t>
        </w:r>
        <w:r w:rsidR="002C625F">
          <w:rPr>
            <w:webHidden/>
          </w:rPr>
          <w:tab/>
        </w:r>
        <w:r w:rsidR="002C625F">
          <w:rPr>
            <w:webHidden/>
          </w:rPr>
          <w:fldChar w:fldCharType="begin"/>
        </w:r>
        <w:r w:rsidR="002C625F">
          <w:rPr>
            <w:webHidden/>
          </w:rPr>
          <w:instrText xml:space="preserve"> PAGEREF _Toc434999461 \h </w:instrText>
        </w:r>
        <w:r w:rsidR="002C625F">
          <w:rPr>
            <w:webHidden/>
          </w:rPr>
        </w:r>
        <w:r w:rsidR="002C625F">
          <w:rPr>
            <w:webHidden/>
          </w:rPr>
          <w:fldChar w:fldCharType="separate"/>
        </w:r>
        <w:r w:rsidR="00C90431">
          <w:rPr>
            <w:webHidden/>
          </w:rPr>
          <w:t>44</w:t>
        </w:r>
        <w:r w:rsidR="002C625F">
          <w:rPr>
            <w:webHidden/>
          </w:rPr>
          <w:fldChar w:fldCharType="end"/>
        </w:r>
      </w:hyperlink>
    </w:p>
    <w:p w14:paraId="3FA41852" w14:textId="77777777" w:rsidR="002C625F" w:rsidRDefault="00AD11C8">
      <w:pPr>
        <w:pStyle w:val="TOC1"/>
        <w:rPr>
          <w:rFonts w:asciiTheme="minorHAnsi" w:eastAsiaTheme="minorEastAsia" w:hAnsiTheme="minorHAnsi" w:cstheme="minorBidi"/>
          <w:b w:val="0"/>
          <w:spacing w:val="0"/>
          <w:sz w:val="22"/>
          <w:szCs w:val="22"/>
        </w:rPr>
      </w:pPr>
      <w:hyperlink w:anchor="_Toc434999462" w:history="1">
        <w:r w:rsidR="002C625F" w:rsidRPr="007475E2">
          <w:rPr>
            <w:rStyle w:val="Hyperlink"/>
          </w:rPr>
          <w:t>Attachment 2—Channel plan for relocated point-to-multipoint services</w:t>
        </w:r>
        <w:r w:rsidR="002C625F">
          <w:rPr>
            <w:webHidden/>
          </w:rPr>
          <w:tab/>
        </w:r>
        <w:r w:rsidR="002C625F">
          <w:rPr>
            <w:webHidden/>
          </w:rPr>
          <w:fldChar w:fldCharType="begin"/>
        </w:r>
        <w:r w:rsidR="002C625F">
          <w:rPr>
            <w:webHidden/>
          </w:rPr>
          <w:instrText xml:space="preserve"> PAGEREF _Toc434999462 \h </w:instrText>
        </w:r>
        <w:r w:rsidR="002C625F">
          <w:rPr>
            <w:webHidden/>
          </w:rPr>
        </w:r>
        <w:r w:rsidR="002C625F">
          <w:rPr>
            <w:webHidden/>
          </w:rPr>
          <w:fldChar w:fldCharType="separate"/>
        </w:r>
        <w:r w:rsidR="00C90431">
          <w:rPr>
            <w:webHidden/>
          </w:rPr>
          <w:t>46</w:t>
        </w:r>
        <w:r w:rsidR="002C625F">
          <w:rPr>
            <w:webHidden/>
          </w:rPr>
          <w:fldChar w:fldCharType="end"/>
        </w:r>
      </w:hyperlink>
    </w:p>
    <w:p w14:paraId="049568E8" w14:textId="77777777" w:rsidR="000A4A51" w:rsidRPr="000D76E0" w:rsidRDefault="004403FA">
      <w:pPr>
        <w:rPr>
          <w:rFonts w:cs="Arial"/>
        </w:rPr>
      </w:pPr>
      <w:r>
        <w:rPr>
          <w:rFonts w:cs="Arial"/>
          <w:b/>
        </w:rPr>
        <w:fldChar w:fldCharType="end"/>
      </w:r>
    </w:p>
    <w:p w14:paraId="72E63E2E" w14:textId="77777777" w:rsidR="004D56FF" w:rsidRPr="000D76E0" w:rsidRDefault="004D56FF">
      <w:pPr>
        <w:rPr>
          <w:rFonts w:cs="Arial"/>
        </w:rPr>
        <w:sectPr w:rsidR="004D56FF" w:rsidRPr="000D76E0" w:rsidSect="00FB2EA1">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14:paraId="05EC69DE" w14:textId="77777777" w:rsidR="00A47E79" w:rsidRPr="00761967" w:rsidRDefault="00A47E79" w:rsidP="00761967">
      <w:pPr>
        <w:pStyle w:val="Heading1"/>
      </w:pPr>
      <w:bookmarkStart w:id="1" w:name="_Toc425928788"/>
      <w:bookmarkStart w:id="2" w:name="_Toc434999430"/>
      <w:r w:rsidRPr="00761967">
        <w:t>Executive summary</w:t>
      </w:r>
      <w:bookmarkEnd w:id="1"/>
      <w:bookmarkEnd w:id="2"/>
    </w:p>
    <w:p w14:paraId="59A62690" w14:textId="3C0A1BCA" w:rsidR="00957AD6" w:rsidRDefault="00957AD6" w:rsidP="002F5C70">
      <w:pPr>
        <w:pStyle w:val="CommentText"/>
        <w:spacing w:line="240" w:lineRule="atLeast"/>
      </w:pPr>
      <w:r w:rsidRPr="00D432DC">
        <w:rPr>
          <w:rFonts w:cs="Arial"/>
        </w:rPr>
        <w:t xml:space="preserve">The Australian Communications and Media Authority (the ACMA) commenced a </w:t>
      </w:r>
      <w:r w:rsidRPr="00C15180">
        <w:rPr>
          <w:rFonts w:cs="Arial"/>
        </w:rPr>
        <w:t xml:space="preserve">review of arrangements in the 803–960 MHz frequency band </w:t>
      </w:r>
      <w:r w:rsidR="0069487A">
        <w:rPr>
          <w:rFonts w:cs="Arial"/>
        </w:rPr>
        <w:t xml:space="preserve">(the </w:t>
      </w:r>
      <w:r w:rsidR="00E42DD2">
        <w:rPr>
          <w:rFonts w:cs="Arial"/>
        </w:rPr>
        <w:t>r</w:t>
      </w:r>
      <w:r w:rsidR="0069487A">
        <w:rPr>
          <w:rFonts w:cs="Arial"/>
        </w:rPr>
        <w:t xml:space="preserve">eview) </w:t>
      </w:r>
      <w:r w:rsidRPr="00C15180">
        <w:rPr>
          <w:rFonts w:cs="Arial"/>
        </w:rPr>
        <w:t>in May 2011</w:t>
      </w:r>
      <w:r>
        <w:rPr>
          <w:rFonts w:cs="Arial"/>
        </w:rPr>
        <w:t>, with the release of the discussion paper</w:t>
      </w:r>
      <w:r w:rsidRPr="00C15180">
        <w:rPr>
          <w:rFonts w:cs="Arial"/>
        </w:rPr>
        <w:t xml:space="preserve"> </w:t>
      </w:r>
      <w:r w:rsidRPr="00C15180">
        <w:rPr>
          <w:rFonts w:cs="Arial"/>
          <w:i/>
        </w:rPr>
        <w:t>The 900 MHz band—Exploring new opportunities</w:t>
      </w:r>
      <w:r w:rsidRPr="00C15180">
        <w:rPr>
          <w:rFonts w:cs="Arial"/>
        </w:rPr>
        <w:t xml:space="preserve"> </w:t>
      </w:r>
      <w:r w:rsidRPr="00C15180">
        <w:rPr>
          <w:rFonts w:cs="Arial"/>
          <w:i/>
        </w:rPr>
        <w:t>(</w:t>
      </w:r>
      <w:hyperlink r:id="rId30" w:history="1">
        <w:r w:rsidRPr="00C15180">
          <w:rPr>
            <w:rStyle w:val="Hyperlink"/>
            <w:rFonts w:cs="Arial"/>
            <w:i/>
          </w:rPr>
          <w:t xml:space="preserve">Exploring </w:t>
        </w:r>
        <w:r w:rsidR="007D28E7">
          <w:rPr>
            <w:rStyle w:val="Hyperlink"/>
            <w:rFonts w:cs="Arial"/>
            <w:i/>
          </w:rPr>
          <w:t>n</w:t>
        </w:r>
        <w:r w:rsidRPr="00C15180">
          <w:rPr>
            <w:rStyle w:val="Hyperlink"/>
            <w:rFonts w:cs="Arial"/>
            <w:i/>
          </w:rPr>
          <w:t xml:space="preserve">ew </w:t>
        </w:r>
        <w:r w:rsidR="007D28E7">
          <w:rPr>
            <w:rStyle w:val="Hyperlink"/>
            <w:rFonts w:cs="Arial"/>
            <w:i/>
          </w:rPr>
          <w:t>o</w:t>
        </w:r>
        <w:r w:rsidRPr="00C15180">
          <w:rPr>
            <w:rStyle w:val="Hyperlink"/>
            <w:rFonts w:cs="Arial"/>
            <w:i/>
          </w:rPr>
          <w:t>pportunities</w:t>
        </w:r>
      </w:hyperlink>
      <w:r w:rsidRPr="00191F1C">
        <w:rPr>
          <w:rFonts w:cs="Arial"/>
        </w:rPr>
        <w:t>). This was</w:t>
      </w:r>
      <w:r w:rsidRPr="00C15180">
        <w:rPr>
          <w:rFonts w:cs="Arial"/>
        </w:rPr>
        <w:t xml:space="preserve"> followed in 2012 with a second paper </w:t>
      </w:r>
      <w:r>
        <w:rPr>
          <w:rFonts w:cs="Arial"/>
        </w:rPr>
        <w:t>en</w:t>
      </w:r>
      <w:r w:rsidRPr="00C15180">
        <w:rPr>
          <w:rFonts w:cs="Arial"/>
        </w:rPr>
        <w:t>titled</w:t>
      </w:r>
      <w:r w:rsidR="00E33377">
        <w:rPr>
          <w:rFonts w:cs="Arial"/>
        </w:rPr>
        <w:t>,</w:t>
      </w:r>
      <w:r w:rsidRPr="00C15180">
        <w:rPr>
          <w:rFonts w:cs="Arial"/>
        </w:rPr>
        <w:t xml:space="preserve"> </w:t>
      </w:r>
      <w:r w:rsidRPr="00C15180">
        <w:rPr>
          <w:rFonts w:cs="Arial"/>
          <w:i/>
        </w:rPr>
        <w:t>The 803</w:t>
      </w:r>
      <w:r w:rsidR="007D28E7">
        <w:rPr>
          <w:rFonts w:cs="Arial"/>
          <w:i/>
        </w:rPr>
        <w:t>–</w:t>
      </w:r>
      <w:r w:rsidRPr="00C15180">
        <w:rPr>
          <w:rFonts w:cs="Arial"/>
          <w:i/>
        </w:rPr>
        <w:t xml:space="preserve">960 MHz band: options for future change </w:t>
      </w:r>
      <w:r w:rsidRPr="00C15180">
        <w:rPr>
          <w:rFonts w:cs="Arial"/>
        </w:rPr>
        <w:t>(</w:t>
      </w:r>
      <w:hyperlink r:id="rId31" w:history="1">
        <w:r w:rsidRPr="00C15180">
          <w:rPr>
            <w:rStyle w:val="Hyperlink"/>
            <w:rFonts w:cs="Arial"/>
            <w:i/>
          </w:rPr>
          <w:t xml:space="preserve">Future </w:t>
        </w:r>
        <w:r w:rsidR="007D28E7">
          <w:rPr>
            <w:rStyle w:val="Hyperlink"/>
            <w:rFonts w:cs="Arial"/>
            <w:i/>
          </w:rPr>
          <w:t>o</w:t>
        </w:r>
        <w:r w:rsidRPr="00C15180">
          <w:rPr>
            <w:rStyle w:val="Hyperlink"/>
            <w:rFonts w:cs="Arial"/>
            <w:i/>
          </w:rPr>
          <w:t>ptions</w:t>
        </w:r>
      </w:hyperlink>
      <w:r w:rsidRPr="00C15180">
        <w:rPr>
          <w:rFonts w:cs="Arial"/>
        </w:rPr>
        <w:t xml:space="preserve">). </w:t>
      </w:r>
    </w:p>
    <w:p w14:paraId="56225600" w14:textId="6AD8EDC5" w:rsidR="00957AD6" w:rsidRDefault="00957AD6" w:rsidP="002F5C70">
      <w:pPr>
        <w:rPr>
          <w:rFonts w:cs="Arial"/>
        </w:rPr>
      </w:pPr>
      <w:r>
        <w:rPr>
          <w:rFonts w:cs="Arial"/>
        </w:rPr>
        <w:t xml:space="preserve">The </w:t>
      </w:r>
      <w:r w:rsidRPr="00FA6913">
        <w:rPr>
          <w:rFonts w:cs="Arial"/>
          <w:i/>
        </w:rPr>
        <w:t xml:space="preserve">Future </w:t>
      </w:r>
      <w:r w:rsidR="007D28E7">
        <w:rPr>
          <w:rFonts w:cs="Arial"/>
          <w:i/>
        </w:rPr>
        <w:t>o</w:t>
      </w:r>
      <w:r w:rsidRPr="00FA6913">
        <w:rPr>
          <w:rFonts w:cs="Arial"/>
          <w:i/>
        </w:rPr>
        <w:t>ptions</w:t>
      </w:r>
      <w:r>
        <w:rPr>
          <w:rFonts w:cs="Arial"/>
        </w:rPr>
        <w:t xml:space="preserve"> paper sought comment on a range of specific band planning proposals, including options for re</w:t>
      </w:r>
      <w:r w:rsidR="00DF6B3B">
        <w:rPr>
          <w:rFonts w:cs="Arial"/>
        </w:rPr>
        <w:t>-</w:t>
      </w:r>
      <w:r>
        <w:rPr>
          <w:rFonts w:cs="Arial"/>
        </w:rPr>
        <w:t>farming the so-called ‘850 MHz expansion’ band</w:t>
      </w:r>
      <w:r>
        <w:rPr>
          <w:rStyle w:val="FootnoteReference"/>
          <w:rFonts w:cs="Arial"/>
        </w:rPr>
        <w:footnoteReference w:id="2"/>
      </w:r>
      <w:r>
        <w:rPr>
          <w:rFonts w:cs="Arial"/>
        </w:rPr>
        <w:t xml:space="preserve"> for additional mobile broadband services, options for replanning the 900 MHz </w:t>
      </w:r>
      <w:r w:rsidR="00DF6B3B">
        <w:rPr>
          <w:rFonts w:cs="Arial"/>
        </w:rPr>
        <w:t xml:space="preserve">digital </w:t>
      </w:r>
      <w:r>
        <w:rPr>
          <w:rFonts w:cs="Arial"/>
        </w:rPr>
        <w:t xml:space="preserve">cellular mobile </w:t>
      </w:r>
      <w:r w:rsidR="00DF6B3B">
        <w:rPr>
          <w:rFonts w:cs="Arial"/>
        </w:rPr>
        <w:t xml:space="preserve">telephone </w:t>
      </w:r>
      <w:r>
        <w:rPr>
          <w:rFonts w:cs="Arial"/>
        </w:rPr>
        <w:t>band into 5 MHz blocks (or multiples thereof), facilitating the introduction of new and emerging low interference potential technologies and overall band planning options to implement these measures.</w:t>
      </w:r>
    </w:p>
    <w:p w14:paraId="7E4A2938" w14:textId="36F1B2A5" w:rsidR="00957AD6" w:rsidRDefault="00957AD6" w:rsidP="002F5C70">
      <w:pPr>
        <w:pStyle w:val="ListBullet"/>
        <w:spacing w:after="240"/>
        <w:rPr>
          <w:rFonts w:cs="Arial"/>
        </w:rPr>
      </w:pPr>
      <w:r>
        <w:rPr>
          <w:rFonts w:cs="Arial"/>
        </w:rPr>
        <w:t>This paper contains a range of decisions on reforms to the structure of the 803</w:t>
      </w:r>
      <w:r w:rsidR="007D28E7">
        <w:rPr>
          <w:rFonts w:cs="Arial"/>
        </w:rPr>
        <w:t>–</w:t>
      </w:r>
      <w:r>
        <w:rPr>
          <w:rFonts w:cs="Arial"/>
        </w:rPr>
        <w:t>960</w:t>
      </w:r>
      <w:r w:rsidR="00DF6B3B">
        <w:rPr>
          <w:rFonts w:cs="Arial"/>
        </w:rPr>
        <w:t> </w:t>
      </w:r>
      <w:r>
        <w:rPr>
          <w:rFonts w:cs="Arial"/>
        </w:rPr>
        <w:t xml:space="preserve">MHz band, as well as a detailed plan for the implementation of these reforms. These reforms will help ensure that </w:t>
      </w:r>
      <w:r w:rsidR="00D827FC">
        <w:rPr>
          <w:rFonts w:cs="Arial"/>
        </w:rPr>
        <w:t xml:space="preserve">the </w:t>
      </w:r>
      <w:r w:rsidR="00D827FC">
        <w:t>public benefit derived from the use of this band is maximised</w:t>
      </w:r>
      <w:r w:rsidR="007D28E7">
        <w:rPr>
          <w:rFonts w:cs="Arial"/>
        </w:rPr>
        <w:t>—</w:t>
      </w:r>
      <w:r>
        <w:rPr>
          <w:rFonts w:cs="Arial"/>
        </w:rPr>
        <w:t>a key driver for the ACMA in its spectrum management role. However, as is often the case, some operators will be adversely affected in the process. In particular, operators in the fixed and land mobile services will be affected</w:t>
      </w:r>
      <w:r w:rsidR="0069487A">
        <w:rPr>
          <w:rFonts w:cs="Arial"/>
        </w:rPr>
        <w:t xml:space="preserve"> </w:t>
      </w:r>
      <w:r>
        <w:rPr>
          <w:rFonts w:cs="Arial"/>
        </w:rPr>
        <w:t xml:space="preserve">by a reduction of the overall bandwidth allocated to these </w:t>
      </w:r>
      <w:r w:rsidR="0069487A">
        <w:rPr>
          <w:rFonts w:cs="Arial"/>
        </w:rPr>
        <w:t>services</w:t>
      </w:r>
      <w:r>
        <w:rPr>
          <w:rFonts w:cs="Arial"/>
        </w:rPr>
        <w:t>, and many will be required to retune their equipment. To help mitigate this, the reforms will be implemented over a long period to provide notice well in advance of future changes, and allow for better alignment of these necessary changes with normal technology refresh cycles.</w:t>
      </w:r>
    </w:p>
    <w:p w14:paraId="7E1C46C5" w14:textId="715F2BF2" w:rsidR="00957AD6" w:rsidRDefault="00095E07" w:rsidP="002F5C70">
      <w:pPr>
        <w:pStyle w:val="ListBullet"/>
        <w:spacing w:after="240"/>
        <w:rPr>
          <w:rFonts w:cs="Arial"/>
        </w:rPr>
      </w:pPr>
      <w:r w:rsidRPr="0067403B">
        <w:rPr>
          <w:rFonts w:cs="Arial"/>
        </w:rPr>
        <w:t xml:space="preserve">One of the key </w:t>
      </w:r>
      <w:r w:rsidR="003724E7" w:rsidRPr="0067403B">
        <w:rPr>
          <w:rFonts w:cs="Arial"/>
        </w:rPr>
        <w:t>issues</w:t>
      </w:r>
      <w:r w:rsidR="00305D32" w:rsidRPr="0067403B">
        <w:rPr>
          <w:rFonts w:cs="Arial"/>
        </w:rPr>
        <w:t xml:space="preserve"> in</w:t>
      </w:r>
      <w:r w:rsidR="00957AD6" w:rsidRPr="0067403B">
        <w:rPr>
          <w:rFonts w:cs="Arial"/>
        </w:rPr>
        <w:t xml:space="preserve"> the </w:t>
      </w:r>
      <w:r w:rsidR="00957AD6" w:rsidRPr="0067403B">
        <w:rPr>
          <w:rFonts w:cs="Arial"/>
          <w:i/>
        </w:rPr>
        <w:t xml:space="preserve">Future </w:t>
      </w:r>
      <w:r w:rsidR="007D28E7">
        <w:rPr>
          <w:rFonts w:cs="Arial"/>
          <w:i/>
        </w:rPr>
        <w:t>o</w:t>
      </w:r>
      <w:r w:rsidR="00957AD6" w:rsidRPr="0067403B">
        <w:rPr>
          <w:rFonts w:cs="Arial"/>
          <w:i/>
        </w:rPr>
        <w:t xml:space="preserve">ptions </w:t>
      </w:r>
      <w:r w:rsidR="00957AD6" w:rsidRPr="0067403B">
        <w:rPr>
          <w:rFonts w:cs="Arial"/>
        </w:rPr>
        <w:t xml:space="preserve">paper </w:t>
      </w:r>
      <w:r w:rsidR="00305D32" w:rsidRPr="0067403B">
        <w:rPr>
          <w:rFonts w:cs="Arial"/>
        </w:rPr>
        <w:t xml:space="preserve">related to </w:t>
      </w:r>
      <w:r w:rsidR="00957AD6" w:rsidRPr="0067403B">
        <w:rPr>
          <w:rFonts w:cs="Arial"/>
        </w:rPr>
        <w:t xml:space="preserve">ongoing deliberations on spectrum requirements to support a Public Safety Mobile Broadband (PSMB) capability, for which the ACMA had previously agreed to set aside spectrum from the reconfigured 800 MHz band. </w:t>
      </w:r>
      <w:r w:rsidR="00491C77">
        <w:rPr>
          <w:rFonts w:cs="Arial"/>
        </w:rPr>
        <w:t>T</w:t>
      </w:r>
      <w:r w:rsidR="003724E7" w:rsidRPr="0067403B">
        <w:rPr>
          <w:rFonts w:cs="Arial"/>
        </w:rPr>
        <w:t xml:space="preserve">he government has been </w:t>
      </w:r>
      <w:r w:rsidR="00957AD6" w:rsidRPr="0067403B">
        <w:rPr>
          <w:rFonts w:cs="Arial"/>
        </w:rPr>
        <w:t xml:space="preserve">considering the best approach to </w:t>
      </w:r>
      <w:r w:rsidR="000E598B" w:rsidRPr="0067403B">
        <w:rPr>
          <w:rFonts w:cs="Arial"/>
        </w:rPr>
        <w:t>providing</w:t>
      </w:r>
      <w:r w:rsidR="00957AD6" w:rsidRPr="0067403B">
        <w:rPr>
          <w:rFonts w:cs="Arial"/>
        </w:rPr>
        <w:t xml:space="preserve"> mobile broadband capacity </w:t>
      </w:r>
      <w:r w:rsidR="0069487A" w:rsidRPr="0067403B">
        <w:rPr>
          <w:rFonts w:cs="Arial"/>
        </w:rPr>
        <w:t>for</w:t>
      </w:r>
      <w:r w:rsidR="00957AD6" w:rsidRPr="0067403B">
        <w:rPr>
          <w:rFonts w:cs="Arial"/>
        </w:rPr>
        <w:t xml:space="preserve"> public safety agencies and the matter is currently being studied</w:t>
      </w:r>
      <w:r w:rsidR="0069487A" w:rsidRPr="0067403B">
        <w:rPr>
          <w:rFonts w:cs="Arial"/>
        </w:rPr>
        <w:t xml:space="preserve"> </w:t>
      </w:r>
      <w:r w:rsidR="00957AD6" w:rsidRPr="0067403B">
        <w:rPr>
          <w:rFonts w:cs="Arial"/>
        </w:rPr>
        <w:t>by the Productivity Commission.</w:t>
      </w:r>
      <w:r w:rsidR="00122884" w:rsidRPr="0067403B">
        <w:rPr>
          <w:rFonts w:cs="Arial"/>
        </w:rPr>
        <w:t xml:space="preserve"> Different options under consideration </w:t>
      </w:r>
      <w:r w:rsidR="00D25648" w:rsidRPr="0067403B">
        <w:rPr>
          <w:rFonts w:cs="Arial"/>
        </w:rPr>
        <w:t>may</w:t>
      </w:r>
      <w:r w:rsidR="00122884" w:rsidRPr="0067403B">
        <w:rPr>
          <w:rFonts w:cs="Arial"/>
        </w:rPr>
        <w:t xml:space="preserve"> have </w:t>
      </w:r>
      <w:r w:rsidR="00D25648" w:rsidRPr="0067403B">
        <w:rPr>
          <w:rFonts w:cs="Arial"/>
        </w:rPr>
        <w:t>differing</w:t>
      </w:r>
      <w:r w:rsidR="00122884" w:rsidRPr="0067403B">
        <w:rPr>
          <w:rFonts w:cs="Arial"/>
        </w:rPr>
        <w:t xml:space="preserve"> implications for the 800 MHz </w:t>
      </w:r>
      <w:r w:rsidR="00D25648" w:rsidRPr="0067403B">
        <w:rPr>
          <w:rFonts w:cs="Arial"/>
        </w:rPr>
        <w:t>band</w:t>
      </w:r>
      <w:r w:rsidR="00122884" w:rsidRPr="0067403B">
        <w:rPr>
          <w:rFonts w:cs="Arial"/>
        </w:rPr>
        <w:t>.</w:t>
      </w:r>
      <w:r w:rsidR="00957AD6" w:rsidRPr="0067403B">
        <w:rPr>
          <w:rFonts w:cs="Arial"/>
        </w:rPr>
        <w:t xml:space="preserve"> </w:t>
      </w:r>
    </w:p>
    <w:p w14:paraId="1DD3F678" w14:textId="24FA44EE" w:rsidR="00957AD6" w:rsidRDefault="00B717A2" w:rsidP="002F5C70">
      <w:pPr>
        <w:pStyle w:val="ListBullet"/>
        <w:spacing w:after="240"/>
        <w:rPr>
          <w:rFonts w:cs="Arial"/>
        </w:rPr>
      </w:pPr>
      <w:r>
        <w:rPr>
          <w:rFonts w:cs="Arial"/>
        </w:rPr>
        <w:t xml:space="preserve">The ACMA has </w:t>
      </w:r>
      <w:r w:rsidR="00957AD6" w:rsidRPr="000F61D3">
        <w:rPr>
          <w:rFonts w:cs="Arial"/>
        </w:rPr>
        <w:t xml:space="preserve">previously foreshadowed </w:t>
      </w:r>
      <w:r w:rsidR="00957AD6">
        <w:rPr>
          <w:rFonts w:cs="Arial"/>
        </w:rPr>
        <w:t>that frequency</w:t>
      </w:r>
      <w:r w:rsidR="00957AD6" w:rsidRPr="000F61D3">
        <w:rPr>
          <w:rFonts w:cs="Arial"/>
        </w:rPr>
        <w:t xml:space="preserve"> arrangements for cellular services in the 900 MHz ‘GSM’ band (890</w:t>
      </w:r>
      <w:r w:rsidR="007D28E7">
        <w:rPr>
          <w:rFonts w:cs="Arial"/>
        </w:rPr>
        <w:t>–</w:t>
      </w:r>
      <w:r w:rsidR="00957AD6" w:rsidRPr="000F61D3">
        <w:rPr>
          <w:rFonts w:cs="Arial"/>
        </w:rPr>
        <w:t>915/935</w:t>
      </w:r>
      <w:r w:rsidR="007D28E7">
        <w:rPr>
          <w:rFonts w:cs="Arial"/>
        </w:rPr>
        <w:t>–</w:t>
      </w:r>
      <w:r w:rsidR="00957AD6" w:rsidRPr="000F61D3">
        <w:rPr>
          <w:rFonts w:cs="Arial"/>
        </w:rPr>
        <w:t>960 MHz</w:t>
      </w:r>
      <w:r w:rsidR="00957AD6">
        <w:rPr>
          <w:rFonts w:cs="Arial"/>
        </w:rPr>
        <w:t>, so named for its historic use for the delivery of 2G Global System for Mobile services</w:t>
      </w:r>
      <w:r w:rsidR="003724E7">
        <w:rPr>
          <w:rFonts w:cs="Arial"/>
        </w:rPr>
        <w:t>, or GSM</w:t>
      </w:r>
      <w:r w:rsidR="00957AD6" w:rsidRPr="000F61D3">
        <w:rPr>
          <w:rFonts w:cs="Arial"/>
        </w:rPr>
        <w:t>) would</w:t>
      </w:r>
      <w:r w:rsidR="00957AD6">
        <w:rPr>
          <w:rFonts w:cs="Arial"/>
        </w:rPr>
        <w:t xml:space="preserve"> be reconfigured as part of th</w:t>
      </w:r>
      <w:r w:rsidR="0069487A">
        <w:rPr>
          <w:rFonts w:cs="Arial"/>
        </w:rPr>
        <w:t>e</w:t>
      </w:r>
      <w:r w:rsidR="00957AD6">
        <w:rPr>
          <w:rFonts w:cs="Arial"/>
        </w:rPr>
        <w:t xml:space="preserve"> </w:t>
      </w:r>
      <w:r w:rsidR="00957AD6" w:rsidDel="0069487A">
        <w:rPr>
          <w:rFonts w:cs="Arial"/>
        </w:rPr>
        <w:t>r</w:t>
      </w:r>
      <w:r w:rsidR="00957AD6">
        <w:rPr>
          <w:rFonts w:cs="Arial"/>
        </w:rPr>
        <w:t xml:space="preserve">eview. </w:t>
      </w:r>
      <w:r>
        <w:rPr>
          <w:rFonts w:cs="Arial"/>
        </w:rPr>
        <w:t xml:space="preserve">However, identifying the best option or options for achieving this reconfiguration </w:t>
      </w:r>
      <w:r w:rsidR="00957AD6">
        <w:rPr>
          <w:rFonts w:cs="Arial"/>
        </w:rPr>
        <w:t xml:space="preserve">is a complex issue and will require </w:t>
      </w:r>
      <w:r>
        <w:rPr>
          <w:rFonts w:cs="Arial"/>
        </w:rPr>
        <w:t xml:space="preserve">further </w:t>
      </w:r>
      <w:r w:rsidR="00957AD6">
        <w:rPr>
          <w:rFonts w:cs="Arial"/>
        </w:rPr>
        <w:t xml:space="preserve">consideration before any long-term decisions </w:t>
      </w:r>
      <w:r w:rsidR="00A62DEC">
        <w:rPr>
          <w:rFonts w:cs="Arial"/>
        </w:rPr>
        <w:t>are</w:t>
      </w:r>
      <w:r w:rsidR="00957AD6">
        <w:rPr>
          <w:rFonts w:cs="Arial"/>
        </w:rPr>
        <w:t xml:space="preserve"> made.</w:t>
      </w:r>
    </w:p>
    <w:p w14:paraId="67A319A8" w14:textId="3FF4D0F9" w:rsidR="00957AD6" w:rsidRPr="00387E32" w:rsidRDefault="00CF7010" w:rsidP="0069487A">
      <w:pPr>
        <w:pStyle w:val="ListBullet"/>
        <w:rPr>
          <w:rFonts w:cs="Arial"/>
        </w:rPr>
      </w:pPr>
      <w:r>
        <w:rPr>
          <w:rFonts w:cs="Arial"/>
        </w:rPr>
        <w:t>While b</w:t>
      </w:r>
      <w:r w:rsidR="00957AD6">
        <w:rPr>
          <w:rFonts w:cs="Arial"/>
        </w:rPr>
        <w:t xml:space="preserve">oth of these issues remain </w:t>
      </w:r>
      <w:r>
        <w:rPr>
          <w:rFonts w:cs="Arial"/>
        </w:rPr>
        <w:t>important, i</w:t>
      </w:r>
      <w:r w:rsidR="00957AD6">
        <w:rPr>
          <w:rFonts w:cs="Arial"/>
        </w:rPr>
        <w:t xml:space="preserve">n order to progress the </w:t>
      </w:r>
      <w:r w:rsidR="00E803F1">
        <w:rPr>
          <w:rFonts w:cs="Arial"/>
        </w:rPr>
        <w:t>r</w:t>
      </w:r>
      <w:r w:rsidR="00957AD6">
        <w:rPr>
          <w:rFonts w:cs="Arial"/>
        </w:rPr>
        <w:t xml:space="preserve">eview and </w:t>
      </w:r>
      <w:r w:rsidR="00957AD6" w:rsidRPr="00387E32">
        <w:rPr>
          <w:rFonts w:cs="Arial"/>
        </w:rPr>
        <w:t>provide long-term certainty to other users of the band</w:t>
      </w:r>
      <w:r w:rsidR="00491C77" w:rsidRPr="00387E32">
        <w:rPr>
          <w:rFonts w:cs="Arial"/>
        </w:rPr>
        <w:t>,</w:t>
      </w:r>
      <w:r w:rsidR="00957AD6" w:rsidRPr="00387E32">
        <w:rPr>
          <w:rFonts w:cs="Arial"/>
        </w:rPr>
        <w:t xml:space="preserve"> it has been decided to:</w:t>
      </w:r>
    </w:p>
    <w:p w14:paraId="2E9662AB" w14:textId="27A50D4E" w:rsidR="007D28E7" w:rsidRPr="00387E32" w:rsidRDefault="00CF7010" w:rsidP="0069487A">
      <w:pPr>
        <w:pStyle w:val="ListBullet"/>
        <w:numPr>
          <w:ilvl w:val="0"/>
          <w:numId w:val="1"/>
        </w:numPr>
        <w:rPr>
          <w:rFonts w:cs="Arial"/>
          <w:szCs w:val="20"/>
        </w:rPr>
      </w:pPr>
      <w:bookmarkStart w:id="3" w:name="_Toc425928789"/>
      <w:r w:rsidRPr="00387E32">
        <w:rPr>
          <w:rFonts w:cs="Arial"/>
          <w:szCs w:val="20"/>
        </w:rPr>
        <w:t>Progress</w:t>
      </w:r>
      <w:r w:rsidR="00957AD6" w:rsidRPr="00387E32">
        <w:rPr>
          <w:rFonts w:cs="Arial"/>
          <w:szCs w:val="20"/>
        </w:rPr>
        <w:t xml:space="preserve"> planning for additional spectrum for mobile broadband, but reserve any decisions on </w:t>
      </w:r>
      <w:r w:rsidR="00B1277D" w:rsidRPr="00387E32">
        <w:rPr>
          <w:rFonts w:cs="Arial"/>
          <w:szCs w:val="20"/>
        </w:rPr>
        <w:t>allocation of this spectrum</w:t>
      </w:r>
      <w:r w:rsidR="00957AD6" w:rsidRPr="00387E32">
        <w:rPr>
          <w:rFonts w:cs="Arial"/>
          <w:szCs w:val="20"/>
        </w:rPr>
        <w:t xml:space="preserve"> until government policy on spectrum for PSMB is </w:t>
      </w:r>
      <w:r w:rsidR="00A62DEC" w:rsidRPr="00387E32">
        <w:rPr>
          <w:rFonts w:cs="Arial"/>
          <w:szCs w:val="20"/>
        </w:rPr>
        <w:t>settled</w:t>
      </w:r>
      <w:r w:rsidR="008C22C9" w:rsidRPr="00387E32">
        <w:rPr>
          <w:rFonts w:cs="Arial"/>
          <w:szCs w:val="20"/>
        </w:rPr>
        <w:t xml:space="preserve">. </w:t>
      </w:r>
      <w:r w:rsidR="00122884" w:rsidRPr="00387E32">
        <w:rPr>
          <w:rFonts w:cs="Arial"/>
          <w:szCs w:val="20"/>
        </w:rPr>
        <w:t xml:space="preserve">Depending on the </w:t>
      </w:r>
      <w:r w:rsidR="00B1277D" w:rsidRPr="00387E32">
        <w:rPr>
          <w:rFonts w:cs="Arial"/>
          <w:szCs w:val="20"/>
        </w:rPr>
        <w:t xml:space="preserve">response of the </w:t>
      </w:r>
      <w:r w:rsidR="00122884" w:rsidRPr="00387E32">
        <w:rPr>
          <w:rFonts w:cs="Arial"/>
          <w:szCs w:val="20"/>
        </w:rPr>
        <w:t xml:space="preserve">government </w:t>
      </w:r>
      <w:r w:rsidR="00B1277D" w:rsidRPr="00387E32">
        <w:rPr>
          <w:rFonts w:cs="Arial"/>
          <w:szCs w:val="20"/>
        </w:rPr>
        <w:t>to</w:t>
      </w:r>
      <w:r w:rsidR="00122884" w:rsidRPr="00387E32">
        <w:rPr>
          <w:rFonts w:cs="Arial"/>
          <w:szCs w:val="20"/>
        </w:rPr>
        <w:t xml:space="preserve"> </w:t>
      </w:r>
      <w:r w:rsidR="00B1277D" w:rsidRPr="00387E32">
        <w:rPr>
          <w:rFonts w:cs="Arial"/>
          <w:szCs w:val="20"/>
        </w:rPr>
        <w:t xml:space="preserve">the </w:t>
      </w:r>
      <w:r w:rsidR="00122884" w:rsidRPr="00387E32">
        <w:rPr>
          <w:rFonts w:cs="Arial"/>
          <w:szCs w:val="20"/>
        </w:rPr>
        <w:t xml:space="preserve">recommendations of the </w:t>
      </w:r>
      <w:r w:rsidR="00491C77" w:rsidRPr="00387E32">
        <w:rPr>
          <w:rFonts w:cs="Arial"/>
          <w:szCs w:val="20"/>
        </w:rPr>
        <w:t xml:space="preserve">Productivity </w:t>
      </w:r>
      <w:r w:rsidR="00122884" w:rsidRPr="00387E32">
        <w:rPr>
          <w:rFonts w:cs="Arial"/>
          <w:szCs w:val="20"/>
        </w:rPr>
        <w:t>C</w:t>
      </w:r>
      <w:r w:rsidR="00491C77" w:rsidRPr="00387E32">
        <w:rPr>
          <w:rFonts w:cs="Arial"/>
          <w:szCs w:val="20"/>
        </w:rPr>
        <w:t>ommission</w:t>
      </w:r>
      <w:r w:rsidR="00122884" w:rsidRPr="00387E32">
        <w:rPr>
          <w:rFonts w:cs="Arial"/>
          <w:szCs w:val="20"/>
        </w:rPr>
        <w:t>, all of th</w:t>
      </w:r>
      <w:r w:rsidR="00B1277D" w:rsidRPr="00387E32">
        <w:rPr>
          <w:rFonts w:cs="Arial"/>
          <w:szCs w:val="20"/>
        </w:rPr>
        <w:t>e</w:t>
      </w:r>
      <w:r w:rsidR="00122884" w:rsidRPr="00387E32">
        <w:rPr>
          <w:rFonts w:cs="Arial"/>
          <w:szCs w:val="20"/>
        </w:rPr>
        <w:t xml:space="preserve"> spectrum </w:t>
      </w:r>
      <w:r w:rsidR="00B1277D" w:rsidRPr="00387E32">
        <w:rPr>
          <w:rFonts w:cs="Arial"/>
          <w:szCs w:val="20"/>
        </w:rPr>
        <w:t xml:space="preserve">in question </w:t>
      </w:r>
      <w:r w:rsidR="00122884" w:rsidRPr="00387E32">
        <w:rPr>
          <w:rFonts w:cs="Arial"/>
          <w:szCs w:val="20"/>
        </w:rPr>
        <w:t>may</w:t>
      </w:r>
      <w:r w:rsidR="00D25648" w:rsidRPr="00387E32">
        <w:rPr>
          <w:rFonts w:cs="Arial"/>
          <w:szCs w:val="20"/>
        </w:rPr>
        <w:t xml:space="preserve"> ultimately</w:t>
      </w:r>
      <w:r w:rsidR="00122884" w:rsidRPr="00387E32">
        <w:rPr>
          <w:rFonts w:cs="Arial"/>
          <w:szCs w:val="20"/>
        </w:rPr>
        <w:t xml:space="preserve"> be made available to commercial interests, or </w:t>
      </w:r>
      <w:r w:rsidR="00B1277D" w:rsidRPr="00387E32">
        <w:rPr>
          <w:rFonts w:cs="Arial"/>
          <w:szCs w:val="20"/>
        </w:rPr>
        <w:t xml:space="preserve">some </w:t>
      </w:r>
      <w:r w:rsidR="00387E32" w:rsidRPr="00387E32">
        <w:rPr>
          <w:rFonts w:cs="Arial"/>
          <w:szCs w:val="20"/>
        </w:rPr>
        <w:t xml:space="preserve">made available </w:t>
      </w:r>
      <w:r w:rsidR="00B1277D" w:rsidRPr="00387E32">
        <w:rPr>
          <w:rFonts w:cs="Arial"/>
          <w:szCs w:val="20"/>
        </w:rPr>
        <w:t>for (non-commercial) PSM</w:t>
      </w:r>
      <w:r w:rsidR="00E77C4B" w:rsidRPr="00387E32">
        <w:rPr>
          <w:rFonts w:cs="Arial"/>
          <w:szCs w:val="20"/>
        </w:rPr>
        <w:t>B</w:t>
      </w:r>
      <w:r w:rsidR="00B1277D" w:rsidRPr="00387E32">
        <w:rPr>
          <w:rFonts w:cs="Arial"/>
          <w:szCs w:val="20"/>
        </w:rPr>
        <w:t xml:space="preserve"> use. As these different outcomes have different implications for some of the incumbent services in the bands, </w:t>
      </w:r>
      <w:r w:rsidR="006A7ACC" w:rsidRPr="00387E32">
        <w:rPr>
          <w:rFonts w:cs="Arial"/>
          <w:szCs w:val="20"/>
        </w:rPr>
        <w:t xml:space="preserve">this paper describes </w:t>
      </w:r>
      <w:r w:rsidR="00D25648" w:rsidRPr="00387E32">
        <w:rPr>
          <w:rFonts w:cs="Arial"/>
          <w:szCs w:val="20"/>
        </w:rPr>
        <w:t xml:space="preserve">some potential </w:t>
      </w:r>
      <w:r w:rsidR="008C22C9" w:rsidRPr="00387E32">
        <w:rPr>
          <w:rFonts w:cs="Arial"/>
          <w:szCs w:val="20"/>
        </w:rPr>
        <w:t xml:space="preserve">contingencies </w:t>
      </w:r>
      <w:r w:rsidR="006A7ACC" w:rsidRPr="00387E32">
        <w:rPr>
          <w:rFonts w:cs="Arial"/>
          <w:szCs w:val="20"/>
        </w:rPr>
        <w:t xml:space="preserve">that </w:t>
      </w:r>
      <w:r w:rsidR="00B1277D" w:rsidRPr="00387E32">
        <w:rPr>
          <w:rFonts w:cs="Arial"/>
          <w:szCs w:val="20"/>
        </w:rPr>
        <w:t>would flow from any decision to allocate spectrum for PSM</w:t>
      </w:r>
      <w:r w:rsidR="00E77C4B" w:rsidRPr="00387E32">
        <w:rPr>
          <w:rFonts w:cs="Arial"/>
          <w:szCs w:val="20"/>
        </w:rPr>
        <w:t>B</w:t>
      </w:r>
      <w:r w:rsidR="00B1277D" w:rsidRPr="00387E32">
        <w:rPr>
          <w:rFonts w:cs="Arial"/>
          <w:szCs w:val="20"/>
        </w:rPr>
        <w:t xml:space="preserve"> use. </w:t>
      </w:r>
      <w:r w:rsidR="006A7ACC" w:rsidRPr="00387E32">
        <w:rPr>
          <w:rFonts w:cs="Arial"/>
          <w:szCs w:val="20"/>
        </w:rPr>
        <w:t>Th</w:t>
      </w:r>
      <w:r w:rsidR="00B1277D" w:rsidRPr="00387E32">
        <w:rPr>
          <w:rFonts w:cs="Arial"/>
          <w:szCs w:val="20"/>
        </w:rPr>
        <w:t xml:space="preserve">is </w:t>
      </w:r>
      <w:r w:rsidR="005F376B" w:rsidRPr="00387E32">
        <w:rPr>
          <w:rFonts w:cs="Arial"/>
          <w:szCs w:val="20"/>
        </w:rPr>
        <w:t xml:space="preserve">exploration of </w:t>
      </w:r>
      <w:r w:rsidR="00B1277D" w:rsidRPr="00387E32">
        <w:rPr>
          <w:rFonts w:cs="Arial"/>
          <w:szCs w:val="20"/>
        </w:rPr>
        <w:t>contingenc</w:t>
      </w:r>
      <w:r w:rsidR="005F376B" w:rsidRPr="00387E32">
        <w:rPr>
          <w:rFonts w:cs="Arial"/>
          <w:szCs w:val="20"/>
        </w:rPr>
        <w:t>ies</w:t>
      </w:r>
      <w:r w:rsidR="00B1277D" w:rsidRPr="00387E32">
        <w:rPr>
          <w:rFonts w:cs="Arial"/>
          <w:szCs w:val="20"/>
        </w:rPr>
        <w:t xml:space="preserve"> is </w:t>
      </w:r>
      <w:r w:rsidR="005F376B" w:rsidRPr="00387E32">
        <w:rPr>
          <w:rFonts w:cs="Arial"/>
          <w:szCs w:val="20"/>
        </w:rPr>
        <w:t>intended</w:t>
      </w:r>
      <w:r w:rsidR="00B1277D" w:rsidRPr="00387E32">
        <w:rPr>
          <w:rFonts w:cs="Arial"/>
          <w:szCs w:val="20"/>
        </w:rPr>
        <w:t xml:space="preserve"> </w:t>
      </w:r>
      <w:r w:rsidR="006A7ACC" w:rsidRPr="00387E32">
        <w:rPr>
          <w:rFonts w:cs="Arial"/>
          <w:szCs w:val="20"/>
        </w:rPr>
        <w:t xml:space="preserve">to </w:t>
      </w:r>
      <w:r w:rsidR="00B1277D" w:rsidRPr="00387E32">
        <w:rPr>
          <w:rFonts w:cs="Arial"/>
          <w:szCs w:val="20"/>
        </w:rPr>
        <w:t xml:space="preserve">maximise certainty </w:t>
      </w:r>
      <w:r w:rsidR="00A62DEC" w:rsidRPr="00387E32">
        <w:rPr>
          <w:rFonts w:cs="Arial"/>
          <w:szCs w:val="20"/>
        </w:rPr>
        <w:t>for</w:t>
      </w:r>
      <w:r w:rsidR="00B1277D" w:rsidRPr="00387E32">
        <w:rPr>
          <w:rFonts w:cs="Arial"/>
          <w:szCs w:val="20"/>
        </w:rPr>
        <w:t xml:space="preserve"> incumbent services in the band and </w:t>
      </w:r>
      <w:r w:rsidR="006A7ACC" w:rsidRPr="00387E32">
        <w:rPr>
          <w:rFonts w:cs="Arial"/>
          <w:szCs w:val="20"/>
        </w:rPr>
        <w:t>ensure a clear way forward</w:t>
      </w:r>
      <w:r w:rsidR="00387E32">
        <w:rPr>
          <w:rFonts w:cs="Arial"/>
          <w:szCs w:val="20"/>
        </w:rPr>
        <w:t xml:space="preserve"> </w:t>
      </w:r>
      <w:r w:rsidR="00A62DEC" w:rsidRPr="00387E32">
        <w:rPr>
          <w:rFonts w:cs="Arial"/>
          <w:szCs w:val="20"/>
        </w:rPr>
        <w:t>when</w:t>
      </w:r>
      <w:r w:rsidR="006A7ACC" w:rsidRPr="00387E32">
        <w:rPr>
          <w:rFonts w:cs="Arial"/>
          <w:szCs w:val="20"/>
        </w:rPr>
        <w:t xml:space="preserve"> </w:t>
      </w:r>
      <w:r w:rsidR="00B1277D" w:rsidRPr="00387E32">
        <w:rPr>
          <w:rFonts w:cs="Arial"/>
          <w:szCs w:val="20"/>
        </w:rPr>
        <w:t xml:space="preserve">decisions </w:t>
      </w:r>
      <w:r w:rsidR="00A62DEC" w:rsidRPr="00387E32">
        <w:rPr>
          <w:rFonts w:cs="Arial"/>
          <w:szCs w:val="20"/>
        </w:rPr>
        <w:t>are made following</w:t>
      </w:r>
      <w:r w:rsidR="00B1277D" w:rsidRPr="00387E32">
        <w:rPr>
          <w:rFonts w:cs="Arial"/>
          <w:szCs w:val="20"/>
        </w:rPr>
        <w:t xml:space="preserve"> the P</w:t>
      </w:r>
      <w:r w:rsidR="00387E32">
        <w:rPr>
          <w:rFonts w:cs="Arial"/>
          <w:szCs w:val="20"/>
        </w:rPr>
        <w:t xml:space="preserve">roductivity </w:t>
      </w:r>
      <w:r w:rsidR="00B1277D" w:rsidRPr="00387E32">
        <w:rPr>
          <w:rFonts w:cs="Arial"/>
          <w:szCs w:val="20"/>
        </w:rPr>
        <w:t>C</w:t>
      </w:r>
      <w:r w:rsidR="00387E32">
        <w:rPr>
          <w:rFonts w:cs="Arial"/>
          <w:szCs w:val="20"/>
        </w:rPr>
        <w:t>ommission</w:t>
      </w:r>
      <w:r w:rsidR="00B1277D" w:rsidRPr="00387E32">
        <w:rPr>
          <w:rFonts w:cs="Arial"/>
          <w:szCs w:val="20"/>
        </w:rPr>
        <w:t>’s report</w:t>
      </w:r>
      <w:r w:rsidR="007D28E7">
        <w:rPr>
          <w:rFonts w:cs="Arial"/>
          <w:szCs w:val="20"/>
        </w:rPr>
        <w:t>—</w:t>
      </w:r>
      <w:r w:rsidR="00A62DEC" w:rsidRPr="00387E32">
        <w:rPr>
          <w:rFonts w:cs="Arial"/>
          <w:szCs w:val="20"/>
        </w:rPr>
        <w:t>i</w:t>
      </w:r>
      <w:r w:rsidR="005F376B" w:rsidRPr="00387E32">
        <w:rPr>
          <w:rFonts w:cs="Arial"/>
          <w:szCs w:val="20"/>
        </w:rPr>
        <w:t>t is not</w:t>
      </w:r>
      <w:r w:rsidR="006A7ACC" w:rsidRPr="00387E32">
        <w:rPr>
          <w:rFonts w:cs="Arial"/>
          <w:szCs w:val="20"/>
        </w:rPr>
        <w:t xml:space="preserve"> intended to </w:t>
      </w:r>
      <w:r w:rsidR="00B1277D" w:rsidRPr="00387E32">
        <w:rPr>
          <w:rFonts w:cs="Arial"/>
          <w:szCs w:val="20"/>
        </w:rPr>
        <w:t xml:space="preserve">anticipate or </w:t>
      </w:r>
      <w:r w:rsidR="006A7ACC" w:rsidRPr="00387E32">
        <w:rPr>
          <w:rFonts w:cs="Arial"/>
          <w:szCs w:val="20"/>
        </w:rPr>
        <w:t xml:space="preserve">influence </w:t>
      </w:r>
      <w:r w:rsidR="00425230" w:rsidRPr="00387E32">
        <w:rPr>
          <w:rFonts w:cs="Arial"/>
          <w:szCs w:val="20"/>
        </w:rPr>
        <w:t>government</w:t>
      </w:r>
      <w:r w:rsidR="006A7ACC" w:rsidRPr="00387E32">
        <w:rPr>
          <w:rFonts w:cs="Arial"/>
          <w:szCs w:val="20"/>
        </w:rPr>
        <w:t xml:space="preserve"> consideration</w:t>
      </w:r>
      <w:r w:rsidR="00425230" w:rsidRPr="00387E32">
        <w:rPr>
          <w:rFonts w:cs="Arial"/>
          <w:szCs w:val="20"/>
        </w:rPr>
        <w:t xml:space="preserve"> of </w:t>
      </w:r>
      <w:r w:rsidR="00E77C4B" w:rsidRPr="00387E32">
        <w:rPr>
          <w:rFonts w:cs="Arial"/>
          <w:szCs w:val="20"/>
        </w:rPr>
        <w:t>PSMB</w:t>
      </w:r>
      <w:r w:rsidR="005F376B" w:rsidRPr="00387E32">
        <w:rPr>
          <w:rFonts w:cs="Arial"/>
          <w:szCs w:val="20"/>
        </w:rPr>
        <w:t>.</w:t>
      </w:r>
    </w:p>
    <w:p w14:paraId="0E2397A4" w14:textId="33C959E7" w:rsidR="00957AD6" w:rsidRPr="0069487A" w:rsidRDefault="00957AD6" w:rsidP="007D28E7">
      <w:pPr>
        <w:pStyle w:val="ListBullet"/>
        <w:numPr>
          <w:ilvl w:val="0"/>
          <w:numId w:val="1"/>
        </w:numPr>
        <w:spacing w:after="240"/>
      </w:pPr>
      <w:r w:rsidRPr="0069487A">
        <w:t>‘</w:t>
      </w:r>
      <w:r w:rsidR="005F376B">
        <w:t>D</w:t>
      </w:r>
      <w:r w:rsidRPr="0069487A">
        <w:t xml:space="preserve">ecouple’ the replanning of the 900 MHz GSM band from the other reforms set out in this paper, for </w:t>
      </w:r>
      <w:r w:rsidRPr="007D28E7">
        <w:t>consideration</w:t>
      </w:r>
      <w:r w:rsidRPr="0069487A">
        <w:t xml:space="preserve"> as part of a separate, dedicated process. </w:t>
      </w:r>
    </w:p>
    <w:p w14:paraId="067D2F18" w14:textId="77777777" w:rsidR="00957AD6" w:rsidRDefault="00957AD6" w:rsidP="002F5C70">
      <w:pPr>
        <w:pStyle w:val="ListBullet"/>
        <w:rPr>
          <w:rFonts w:cs="Arial"/>
        </w:rPr>
      </w:pPr>
      <w:r>
        <w:rPr>
          <w:rFonts w:cs="Arial"/>
        </w:rPr>
        <w:t xml:space="preserve">The key planning decisions that are contained in this paper include: </w:t>
      </w:r>
    </w:p>
    <w:p w14:paraId="0B846E42" w14:textId="01FC3505" w:rsidR="00957AD6" w:rsidRPr="0069487A" w:rsidRDefault="000F375D" w:rsidP="0069487A">
      <w:pPr>
        <w:pStyle w:val="ListBullet"/>
        <w:numPr>
          <w:ilvl w:val="0"/>
          <w:numId w:val="1"/>
        </w:numPr>
        <w:rPr>
          <w:rFonts w:cs="Arial"/>
          <w:szCs w:val="20"/>
        </w:rPr>
      </w:pPr>
      <w:r>
        <w:rPr>
          <w:rFonts w:cs="Arial"/>
          <w:szCs w:val="20"/>
        </w:rPr>
        <w:t>n</w:t>
      </w:r>
      <w:r w:rsidR="00957AD6" w:rsidRPr="0069487A">
        <w:rPr>
          <w:rFonts w:cs="Arial"/>
          <w:szCs w:val="20"/>
        </w:rPr>
        <w:t>ew spectrum for mobile broadband</w:t>
      </w:r>
    </w:p>
    <w:p w14:paraId="728698D7" w14:textId="438A9F76" w:rsidR="00957AD6" w:rsidRPr="0069487A" w:rsidRDefault="000F375D" w:rsidP="0069487A">
      <w:pPr>
        <w:pStyle w:val="ListBullet"/>
        <w:numPr>
          <w:ilvl w:val="0"/>
          <w:numId w:val="1"/>
        </w:numPr>
        <w:rPr>
          <w:rFonts w:cs="Arial"/>
          <w:szCs w:val="20"/>
        </w:rPr>
      </w:pPr>
      <w:r>
        <w:rPr>
          <w:rFonts w:cs="Arial"/>
          <w:szCs w:val="20"/>
        </w:rPr>
        <w:t>n</w:t>
      </w:r>
      <w:r w:rsidR="00957AD6" w:rsidRPr="0069487A">
        <w:rPr>
          <w:rFonts w:cs="Arial"/>
          <w:szCs w:val="20"/>
        </w:rPr>
        <w:t>ew spectrum to support low power, low duty cycle communications suitable for some types of machine-to-machine communications such as smart infrastructure</w:t>
      </w:r>
      <w:r w:rsidR="00C0770D">
        <w:rPr>
          <w:rFonts w:cs="Arial"/>
          <w:szCs w:val="20"/>
        </w:rPr>
        <w:t>,</w:t>
      </w:r>
      <w:r w:rsidR="00957AD6" w:rsidRPr="0069487A">
        <w:rPr>
          <w:rFonts w:cs="Arial"/>
          <w:szCs w:val="20"/>
        </w:rPr>
        <w:t xml:space="preserve"> metering and control</w:t>
      </w:r>
    </w:p>
    <w:p w14:paraId="30A25928" w14:textId="381456E0" w:rsidR="00957AD6" w:rsidRPr="0069487A" w:rsidRDefault="00C0770D" w:rsidP="0069487A">
      <w:pPr>
        <w:pStyle w:val="ListBullet"/>
        <w:numPr>
          <w:ilvl w:val="0"/>
          <w:numId w:val="1"/>
        </w:numPr>
        <w:rPr>
          <w:rFonts w:cs="Arial"/>
          <w:szCs w:val="20"/>
        </w:rPr>
      </w:pPr>
      <w:r>
        <w:rPr>
          <w:rFonts w:cs="Arial"/>
          <w:szCs w:val="20"/>
        </w:rPr>
        <w:t>n</w:t>
      </w:r>
      <w:r w:rsidR="00957AD6" w:rsidRPr="0069487A">
        <w:rPr>
          <w:rFonts w:cs="Arial"/>
          <w:szCs w:val="20"/>
        </w:rPr>
        <w:t>ew frequency arrangements for the trunked land mobile service (TLMS), including changes to bandwidth allocations</w:t>
      </w:r>
    </w:p>
    <w:p w14:paraId="5F43207B" w14:textId="7F559428" w:rsidR="00957AD6" w:rsidRPr="0069487A" w:rsidRDefault="00C0770D" w:rsidP="0069487A">
      <w:pPr>
        <w:pStyle w:val="ListBullet"/>
        <w:numPr>
          <w:ilvl w:val="0"/>
          <w:numId w:val="1"/>
        </w:numPr>
        <w:rPr>
          <w:rFonts w:cs="Arial"/>
          <w:szCs w:val="20"/>
        </w:rPr>
      </w:pPr>
      <w:r>
        <w:rPr>
          <w:rFonts w:cs="Arial"/>
          <w:szCs w:val="20"/>
        </w:rPr>
        <w:t>n</w:t>
      </w:r>
      <w:r w:rsidR="00957AD6" w:rsidRPr="0069487A">
        <w:rPr>
          <w:rFonts w:cs="Arial"/>
          <w:szCs w:val="20"/>
        </w:rPr>
        <w:t>ew frequency arrangements for two-frequency fixed links, including changes to bandwidth allocations and frequency duplex splits</w:t>
      </w:r>
    </w:p>
    <w:p w14:paraId="1500E509" w14:textId="2CA05892" w:rsidR="007D28E7" w:rsidRPr="0069487A" w:rsidRDefault="00C0770D" w:rsidP="007D28E7">
      <w:pPr>
        <w:pStyle w:val="ListBullet"/>
        <w:numPr>
          <w:ilvl w:val="0"/>
          <w:numId w:val="1"/>
        </w:numPr>
        <w:spacing w:after="240"/>
        <w:rPr>
          <w:rFonts w:cs="Arial"/>
          <w:szCs w:val="20"/>
        </w:rPr>
      </w:pPr>
      <w:r w:rsidRPr="007D28E7">
        <w:rPr>
          <w:rFonts w:cs="Arial"/>
          <w:szCs w:val="20"/>
        </w:rPr>
        <w:t>a</w:t>
      </w:r>
      <w:r w:rsidR="00957AD6" w:rsidRPr="007D28E7">
        <w:rPr>
          <w:rFonts w:cs="Arial"/>
          <w:szCs w:val="20"/>
        </w:rPr>
        <w:t xml:space="preserve"> general ‘defragmentation’ of the 800 MHz band (to improve efficiency) a</w:t>
      </w:r>
      <w:r w:rsidR="00957AD6" w:rsidRPr="00E33377">
        <w:rPr>
          <w:rFonts w:cs="Arial"/>
          <w:szCs w:val="20"/>
        </w:rPr>
        <w:t>nd red tape reduction through a simpli</w:t>
      </w:r>
      <w:r w:rsidRPr="00953340">
        <w:rPr>
          <w:rFonts w:cs="Arial"/>
          <w:szCs w:val="20"/>
        </w:rPr>
        <w:t>fi</w:t>
      </w:r>
      <w:r w:rsidR="00957AD6" w:rsidRPr="00953340">
        <w:rPr>
          <w:rFonts w:cs="Arial"/>
          <w:szCs w:val="20"/>
        </w:rPr>
        <w:t>cation of fixed link sub-types and associated licensing and assignment instructions.</w:t>
      </w:r>
      <w:r w:rsidR="007D28E7" w:rsidRPr="0069487A" w:rsidDel="007D28E7">
        <w:rPr>
          <w:szCs w:val="20"/>
        </w:rPr>
        <w:t xml:space="preserve"> </w:t>
      </w:r>
    </w:p>
    <w:p w14:paraId="4FF67394" w14:textId="77777777" w:rsidR="00957AD6" w:rsidRPr="00761967" w:rsidRDefault="00957AD6" w:rsidP="007D28E7">
      <w:pPr>
        <w:pStyle w:val="Heading1"/>
      </w:pPr>
      <w:bookmarkStart w:id="4" w:name="_Toc434999431"/>
      <w:r>
        <w:t>Glossary</w:t>
      </w:r>
      <w:bookmarkEnd w:id="4"/>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957AD6" w:rsidRPr="006D46E5" w14:paraId="22A98BF5" w14:textId="77777777" w:rsidTr="000C7414">
        <w:trPr>
          <w:cantSplit/>
          <w:tblHeader/>
        </w:trPr>
        <w:tc>
          <w:tcPr>
            <w:tcW w:w="2524" w:type="dxa"/>
            <w:shd w:val="clear" w:color="auto" w:fill="404040" w:themeFill="text1" w:themeFillTint="BF"/>
            <w:vAlign w:val="center"/>
          </w:tcPr>
          <w:p w14:paraId="3CBCDECA" w14:textId="77777777" w:rsidR="00957AD6" w:rsidRPr="006D46E5" w:rsidRDefault="00840FE5" w:rsidP="000C7414">
            <w:pPr>
              <w:pStyle w:val="TableHeading"/>
              <w:spacing w:line="240" w:lineRule="auto"/>
              <w:rPr>
                <w:rFonts w:cs="Arial"/>
                <w:color w:val="FFFFFF" w:themeColor="background1"/>
              </w:rPr>
            </w:pPr>
            <w:r>
              <w:rPr>
                <w:rFonts w:cs="Arial"/>
                <w:color w:val="FFFFFF" w:themeColor="background1"/>
              </w:rPr>
              <w:t>Term</w:t>
            </w:r>
          </w:p>
        </w:tc>
        <w:tc>
          <w:tcPr>
            <w:tcW w:w="6980" w:type="dxa"/>
            <w:shd w:val="clear" w:color="auto" w:fill="404040" w:themeFill="text1" w:themeFillTint="BF"/>
            <w:vAlign w:val="center"/>
          </w:tcPr>
          <w:p w14:paraId="34BBC60C" w14:textId="77777777" w:rsidR="00957AD6" w:rsidRPr="006D46E5" w:rsidRDefault="00840FE5" w:rsidP="000C7414">
            <w:pPr>
              <w:pStyle w:val="TableHeading"/>
              <w:spacing w:line="240" w:lineRule="auto"/>
              <w:rPr>
                <w:rFonts w:cs="Arial"/>
                <w:color w:val="FFFFFF" w:themeColor="background1"/>
              </w:rPr>
            </w:pPr>
            <w:r>
              <w:rPr>
                <w:rFonts w:cs="Arial"/>
                <w:color w:val="FFFFFF" w:themeColor="background1"/>
              </w:rPr>
              <w:t>Definition</w:t>
            </w:r>
          </w:p>
        </w:tc>
      </w:tr>
      <w:tr w:rsidR="00840FE5" w:rsidRPr="006D46E5" w14:paraId="1E83824B" w14:textId="77777777" w:rsidTr="000C7414">
        <w:trPr>
          <w:cantSplit/>
        </w:trPr>
        <w:tc>
          <w:tcPr>
            <w:tcW w:w="2524" w:type="dxa"/>
            <w:tcBorders>
              <w:bottom w:val="single" w:sz="4" w:space="0" w:color="auto"/>
            </w:tcBorders>
            <w:vAlign w:val="center"/>
          </w:tcPr>
          <w:p w14:paraId="5D6B086C" w14:textId="77777777" w:rsidR="00840FE5" w:rsidRPr="006D46E5" w:rsidRDefault="00840FE5" w:rsidP="000C7414">
            <w:pPr>
              <w:pStyle w:val="TableBody"/>
              <w:rPr>
                <w:rFonts w:cs="Arial"/>
              </w:rPr>
            </w:pPr>
            <w:r w:rsidRPr="00356137">
              <w:rPr>
                <w:rFonts w:cs="Arial"/>
                <w:szCs w:val="20"/>
              </w:rPr>
              <w:t>2G</w:t>
            </w:r>
          </w:p>
        </w:tc>
        <w:tc>
          <w:tcPr>
            <w:tcW w:w="6980" w:type="dxa"/>
            <w:tcBorders>
              <w:bottom w:val="single" w:sz="4" w:space="0" w:color="auto"/>
            </w:tcBorders>
            <w:vAlign w:val="center"/>
          </w:tcPr>
          <w:p w14:paraId="6E2F0FF1" w14:textId="4F7F8561" w:rsidR="00840FE5" w:rsidRPr="006D46E5" w:rsidRDefault="000C7414" w:rsidP="000C7414">
            <w:pPr>
              <w:pStyle w:val="TableBody"/>
              <w:rPr>
                <w:rFonts w:cs="Arial"/>
              </w:rPr>
            </w:pPr>
            <w:r>
              <w:rPr>
                <w:rFonts w:cs="Arial"/>
                <w:szCs w:val="20"/>
              </w:rPr>
              <w:t>Second</w:t>
            </w:r>
            <w:r w:rsidRPr="00BB0E86">
              <w:rPr>
                <w:rFonts w:cs="Arial"/>
                <w:szCs w:val="20"/>
              </w:rPr>
              <w:t xml:space="preserve"> </w:t>
            </w:r>
            <w:r w:rsidR="00840FE5" w:rsidRPr="00BB0E86">
              <w:rPr>
                <w:rFonts w:cs="Arial"/>
                <w:szCs w:val="20"/>
              </w:rPr>
              <w:t>generation or 2G is the generation of standards that includes GSM technologies.</w:t>
            </w:r>
          </w:p>
        </w:tc>
      </w:tr>
      <w:tr w:rsidR="00840FE5" w:rsidRPr="006D46E5" w14:paraId="72ED3404" w14:textId="77777777" w:rsidTr="000C7414">
        <w:trPr>
          <w:cantSplit/>
        </w:trPr>
        <w:tc>
          <w:tcPr>
            <w:tcW w:w="2524" w:type="dxa"/>
            <w:shd w:val="clear" w:color="auto" w:fill="F2F2F2" w:themeFill="background1" w:themeFillShade="F2"/>
            <w:vAlign w:val="center"/>
          </w:tcPr>
          <w:p w14:paraId="362A46E5" w14:textId="77777777" w:rsidR="00840FE5" w:rsidRPr="006D46E5" w:rsidRDefault="00840FE5" w:rsidP="000C7414">
            <w:pPr>
              <w:pStyle w:val="TableBody"/>
              <w:rPr>
                <w:rFonts w:cs="Arial"/>
              </w:rPr>
            </w:pPr>
            <w:r w:rsidRPr="00356137">
              <w:rPr>
                <w:rFonts w:cs="Arial"/>
                <w:szCs w:val="20"/>
              </w:rPr>
              <w:t>3G</w:t>
            </w:r>
          </w:p>
        </w:tc>
        <w:tc>
          <w:tcPr>
            <w:tcW w:w="6980" w:type="dxa"/>
            <w:shd w:val="clear" w:color="auto" w:fill="F2F2F2" w:themeFill="background1" w:themeFillShade="F2"/>
            <w:vAlign w:val="center"/>
          </w:tcPr>
          <w:p w14:paraId="0EEE9C41" w14:textId="765C427D" w:rsidR="00840FE5" w:rsidRPr="006D46E5" w:rsidRDefault="000C7414" w:rsidP="000C7414">
            <w:pPr>
              <w:pStyle w:val="TableBody"/>
              <w:rPr>
                <w:rFonts w:cs="Arial"/>
              </w:rPr>
            </w:pPr>
            <w:r>
              <w:rPr>
                <w:rFonts w:cs="Arial"/>
                <w:szCs w:val="20"/>
              </w:rPr>
              <w:t>Third</w:t>
            </w:r>
            <w:r w:rsidRPr="00BB0E86">
              <w:rPr>
                <w:rFonts w:cs="Arial"/>
                <w:szCs w:val="20"/>
              </w:rPr>
              <w:t xml:space="preserve"> </w:t>
            </w:r>
            <w:r w:rsidR="00840FE5" w:rsidRPr="00BB0E86">
              <w:rPr>
                <w:rFonts w:cs="Arial"/>
                <w:szCs w:val="20"/>
              </w:rPr>
              <w:t>generation or 3G is the generation of 3GPP standards that includes UMTS and technologies that provide both voice and mobile broadband access services.</w:t>
            </w:r>
          </w:p>
        </w:tc>
      </w:tr>
      <w:tr w:rsidR="00840FE5" w:rsidRPr="006D46E5" w14:paraId="52B5A318" w14:textId="77777777" w:rsidTr="000C7414">
        <w:trPr>
          <w:cantSplit/>
        </w:trPr>
        <w:tc>
          <w:tcPr>
            <w:tcW w:w="2524" w:type="dxa"/>
            <w:vAlign w:val="center"/>
          </w:tcPr>
          <w:p w14:paraId="10F16575" w14:textId="77777777" w:rsidR="00840FE5" w:rsidRPr="006D46E5" w:rsidRDefault="00840FE5" w:rsidP="000C7414">
            <w:pPr>
              <w:pStyle w:val="TableBody"/>
              <w:rPr>
                <w:rFonts w:cs="Arial"/>
              </w:rPr>
            </w:pPr>
            <w:r w:rsidRPr="00356137">
              <w:rPr>
                <w:rFonts w:cs="Arial"/>
                <w:szCs w:val="20"/>
              </w:rPr>
              <w:t>3GPP</w:t>
            </w:r>
          </w:p>
        </w:tc>
        <w:tc>
          <w:tcPr>
            <w:tcW w:w="6980" w:type="dxa"/>
            <w:vAlign w:val="center"/>
          </w:tcPr>
          <w:p w14:paraId="17CDF17A" w14:textId="77777777" w:rsidR="00840FE5" w:rsidRPr="006D46E5" w:rsidRDefault="00840FE5" w:rsidP="000C7414">
            <w:pPr>
              <w:pStyle w:val="TableBody"/>
              <w:rPr>
                <w:rFonts w:cs="Arial"/>
              </w:rPr>
            </w:pPr>
            <w:r w:rsidRPr="00BB0E86">
              <w:rPr>
                <w:rFonts w:cs="Arial"/>
                <w:szCs w:val="20"/>
              </w:rPr>
              <w:t>3</w:t>
            </w:r>
            <w:r w:rsidRPr="00BB0E86">
              <w:rPr>
                <w:rFonts w:cs="Arial"/>
                <w:szCs w:val="20"/>
                <w:vertAlign w:val="superscript"/>
              </w:rPr>
              <w:t>rd</w:t>
            </w:r>
            <w:r w:rsidRPr="00BB0E86">
              <w:rPr>
                <w:rFonts w:cs="Arial"/>
                <w:szCs w:val="20"/>
              </w:rPr>
              <w:t xml:space="preserve"> Generation Partnership Project is the international body responsible for the standardisation of (cellular) mobile (including broadband) telecommunications.</w:t>
            </w:r>
          </w:p>
        </w:tc>
      </w:tr>
      <w:tr w:rsidR="00840FE5" w:rsidRPr="006D46E5" w14:paraId="1C5E3EC2" w14:textId="77777777" w:rsidTr="000C7414">
        <w:trPr>
          <w:cantSplit/>
        </w:trPr>
        <w:tc>
          <w:tcPr>
            <w:tcW w:w="2524" w:type="dxa"/>
            <w:shd w:val="clear" w:color="auto" w:fill="F2F2F2" w:themeFill="background1" w:themeFillShade="F2"/>
            <w:vAlign w:val="center"/>
          </w:tcPr>
          <w:p w14:paraId="1D3EBE64" w14:textId="77777777" w:rsidR="00840FE5" w:rsidRDefault="00840FE5" w:rsidP="000C7414">
            <w:pPr>
              <w:pStyle w:val="TableBody"/>
              <w:rPr>
                <w:rFonts w:cs="Arial"/>
              </w:rPr>
            </w:pPr>
            <w:r w:rsidRPr="00356137">
              <w:rPr>
                <w:rFonts w:cs="Arial"/>
                <w:szCs w:val="20"/>
              </w:rPr>
              <w:t>4G</w:t>
            </w:r>
          </w:p>
        </w:tc>
        <w:tc>
          <w:tcPr>
            <w:tcW w:w="6980" w:type="dxa"/>
            <w:shd w:val="clear" w:color="auto" w:fill="F2F2F2" w:themeFill="background1" w:themeFillShade="F2"/>
            <w:vAlign w:val="center"/>
          </w:tcPr>
          <w:p w14:paraId="0B1AC0AC" w14:textId="77777777" w:rsidR="00840FE5" w:rsidRDefault="00840FE5" w:rsidP="000C7414">
            <w:pPr>
              <w:pStyle w:val="TableBody"/>
              <w:rPr>
                <w:rFonts w:cs="Arial"/>
              </w:rPr>
            </w:pPr>
            <w:r w:rsidRPr="00BB0E86">
              <w:rPr>
                <w:rFonts w:cs="Arial"/>
                <w:szCs w:val="20"/>
              </w:rPr>
              <w:t>Fourth generation or 4G is the generation of 3GPP standards that includes LTE technologies that provide broadband data access services.</w:t>
            </w:r>
          </w:p>
        </w:tc>
      </w:tr>
      <w:tr w:rsidR="00840FE5" w:rsidRPr="006D46E5" w14:paraId="22229A62" w14:textId="77777777" w:rsidTr="000C7414">
        <w:trPr>
          <w:cantSplit/>
        </w:trPr>
        <w:tc>
          <w:tcPr>
            <w:tcW w:w="2524" w:type="dxa"/>
            <w:vAlign w:val="center"/>
          </w:tcPr>
          <w:p w14:paraId="669A5BC3" w14:textId="77777777" w:rsidR="00840FE5" w:rsidRDefault="00840FE5" w:rsidP="000C7414">
            <w:pPr>
              <w:pStyle w:val="TableBody"/>
              <w:rPr>
                <w:rFonts w:cs="Arial"/>
              </w:rPr>
            </w:pPr>
            <w:r w:rsidRPr="00356137">
              <w:rPr>
                <w:rFonts w:cs="Arial"/>
                <w:szCs w:val="20"/>
              </w:rPr>
              <w:t>800 MHz band</w:t>
            </w:r>
          </w:p>
        </w:tc>
        <w:tc>
          <w:tcPr>
            <w:tcW w:w="6980" w:type="dxa"/>
            <w:vAlign w:val="center"/>
          </w:tcPr>
          <w:p w14:paraId="4ABF2606" w14:textId="5F1A2A95" w:rsidR="00840FE5" w:rsidRDefault="00840FE5" w:rsidP="000C7414">
            <w:pPr>
              <w:pStyle w:val="TableBody"/>
              <w:rPr>
                <w:rFonts w:cs="Arial"/>
              </w:rPr>
            </w:pPr>
            <w:r w:rsidRPr="00BB0E86">
              <w:rPr>
                <w:rFonts w:cs="Arial"/>
                <w:szCs w:val="20"/>
              </w:rPr>
              <w:t>The frequencies covered by the 800 MHz band plan, being 803</w:t>
            </w:r>
            <w:r w:rsidR="007D28E7">
              <w:rPr>
                <w:rFonts w:cs="Arial"/>
                <w:szCs w:val="20"/>
              </w:rPr>
              <w:t>–</w:t>
            </w:r>
            <w:r w:rsidRPr="00BB0E86">
              <w:rPr>
                <w:rFonts w:cs="Arial"/>
                <w:szCs w:val="20"/>
              </w:rPr>
              <w:t>890 MHz</w:t>
            </w:r>
            <w:r w:rsidR="000C7414">
              <w:rPr>
                <w:rFonts w:cs="Arial"/>
                <w:szCs w:val="20"/>
              </w:rPr>
              <w:t>.</w:t>
            </w:r>
          </w:p>
        </w:tc>
      </w:tr>
      <w:tr w:rsidR="00840FE5" w:rsidRPr="006D46E5" w14:paraId="6A1C9B27" w14:textId="77777777" w:rsidTr="000C7414">
        <w:trPr>
          <w:cantSplit/>
        </w:trPr>
        <w:tc>
          <w:tcPr>
            <w:tcW w:w="2524" w:type="dxa"/>
            <w:tcBorders>
              <w:bottom w:val="single" w:sz="4" w:space="0" w:color="auto"/>
            </w:tcBorders>
            <w:shd w:val="clear" w:color="auto" w:fill="F2F2F2" w:themeFill="background1" w:themeFillShade="F2"/>
            <w:vAlign w:val="center"/>
          </w:tcPr>
          <w:p w14:paraId="24897227" w14:textId="77777777" w:rsidR="00840FE5" w:rsidRDefault="00840FE5" w:rsidP="000C7414">
            <w:pPr>
              <w:pStyle w:val="TableBody"/>
              <w:rPr>
                <w:rFonts w:cs="Arial"/>
              </w:rPr>
            </w:pPr>
            <w:r w:rsidRPr="00356137">
              <w:rPr>
                <w:rFonts w:cs="Arial"/>
                <w:szCs w:val="20"/>
              </w:rPr>
              <w:t>850 MHz band</w:t>
            </w:r>
          </w:p>
        </w:tc>
        <w:tc>
          <w:tcPr>
            <w:tcW w:w="6980" w:type="dxa"/>
            <w:tcBorders>
              <w:bottom w:val="single" w:sz="4" w:space="0" w:color="auto"/>
            </w:tcBorders>
            <w:shd w:val="clear" w:color="auto" w:fill="F2F2F2" w:themeFill="background1" w:themeFillShade="F2"/>
            <w:vAlign w:val="center"/>
          </w:tcPr>
          <w:p w14:paraId="47ECFFC2" w14:textId="03EC1AFC" w:rsidR="00840FE5" w:rsidRDefault="00840FE5" w:rsidP="000C7414">
            <w:pPr>
              <w:pStyle w:val="TableBody"/>
              <w:rPr>
                <w:rFonts w:cs="Arial"/>
              </w:rPr>
            </w:pPr>
            <w:r w:rsidRPr="00BB0E86">
              <w:rPr>
                <w:rFonts w:cs="Arial"/>
                <w:szCs w:val="20"/>
              </w:rPr>
              <w:t>The frequency segments within the 800 MHz band currently licen</w:t>
            </w:r>
            <w:r>
              <w:rPr>
                <w:rFonts w:cs="Arial"/>
                <w:szCs w:val="20"/>
              </w:rPr>
              <w:t>s</w:t>
            </w:r>
            <w:r w:rsidRPr="00BB0E86">
              <w:rPr>
                <w:rFonts w:cs="Arial"/>
                <w:szCs w:val="20"/>
              </w:rPr>
              <w:t xml:space="preserve">ed </w:t>
            </w:r>
            <w:r w:rsidR="000C7414">
              <w:rPr>
                <w:rFonts w:cs="Arial"/>
                <w:szCs w:val="20"/>
              </w:rPr>
              <w:t xml:space="preserve">via spectrum licence </w:t>
            </w:r>
            <w:r w:rsidRPr="00BB0E86">
              <w:rPr>
                <w:rFonts w:cs="Arial"/>
                <w:szCs w:val="20"/>
              </w:rPr>
              <w:t>to Telstra and Vodafone</w:t>
            </w:r>
            <w:r w:rsidR="000C7414">
              <w:rPr>
                <w:rFonts w:cs="Arial"/>
                <w:szCs w:val="20"/>
              </w:rPr>
              <w:t xml:space="preserve"> Hutchison Australia (VHA)</w:t>
            </w:r>
            <w:r w:rsidRPr="00BB0E86">
              <w:rPr>
                <w:rFonts w:cs="Arial"/>
                <w:szCs w:val="20"/>
              </w:rPr>
              <w:t xml:space="preserve"> for the provision of 3</w:t>
            </w:r>
            <w:r w:rsidR="00387E32">
              <w:rPr>
                <w:rFonts w:cs="Arial"/>
                <w:szCs w:val="20"/>
              </w:rPr>
              <w:t>G</w:t>
            </w:r>
            <w:r w:rsidRPr="00BB0E86">
              <w:rPr>
                <w:rFonts w:cs="Arial"/>
                <w:szCs w:val="20"/>
              </w:rPr>
              <w:t xml:space="preserve"> and 4G services (825</w:t>
            </w:r>
            <w:r w:rsidR="007D28E7">
              <w:rPr>
                <w:rFonts w:cs="Arial"/>
                <w:szCs w:val="20"/>
              </w:rPr>
              <w:t>–</w:t>
            </w:r>
            <w:r w:rsidRPr="00BB0E86">
              <w:rPr>
                <w:rFonts w:cs="Arial"/>
                <w:szCs w:val="20"/>
              </w:rPr>
              <w:t>245/870</w:t>
            </w:r>
            <w:r w:rsidR="007D28E7">
              <w:rPr>
                <w:rFonts w:cs="Arial"/>
                <w:szCs w:val="20"/>
              </w:rPr>
              <w:t>–</w:t>
            </w:r>
            <w:r w:rsidRPr="00BB0E86">
              <w:rPr>
                <w:rFonts w:cs="Arial"/>
                <w:szCs w:val="20"/>
              </w:rPr>
              <w:t>890 MHz)</w:t>
            </w:r>
            <w:r w:rsidR="000C7414">
              <w:rPr>
                <w:rFonts w:cs="Arial"/>
                <w:szCs w:val="20"/>
              </w:rPr>
              <w:t>.</w:t>
            </w:r>
            <w:r w:rsidRPr="00BB0E86">
              <w:rPr>
                <w:rFonts w:cs="Arial"/>
                <w:szCs w:val="20"/>
              </w:rPr>
              <w:t xml:space="preserve"> </w:t>
            </w:r>
          </w:p>
        </w:tc>
      </w:tr>
      <w:tr w:rsidR="00840FE5" w:rsidRPr="006D46E5" w14:paraId="2D8FD039" w14:textId="77777777" w:rsidTr="000C7414">
        <w:trPr>
          <w:cantSplit/>
        </w:trPr>
        <w:tc>
          <w:tcPr>
            <w:tcW w:w="2524" w:type="dxa"/>
            <w:tcBorders>
              <w:bottom w:val="single" w:sz="4" w:space="0" w:color="auto"/>
            </w:tcBorders>
            <w:vAlign w:val="center"/>
          </w:tcPr>
          <w:p w14:paraId="667913AA" w14:textId="77777777" w:rsidR="00840FE5" w:rsidRPr="006D46E5" w:rsidRDefault="00840FE5" w:rsidP="000C7414">
            <w:pPr>
              <w:pStyle w:val="TableBody"/>
              <w:rPr>
                <w:rFonts w:cs="Arial"/>
              </w:rPr>
            </w:pPr>
            <w:r w:rsidRPr="00356137">
              <w:rPr>
                <w:rFonts w:cs="Arial"/>
                <w:szCs w:val="20"/>
              </w:rPr>
              <w:t>850 MHz ‘expansion’ band</w:t>
            </w:r>
          </w:p>
        </w:tc>
        <w:tc>
          <w:tcPr>
            <w:tcW w:w="6980" w:type="dxa"/>
            <w:tcBorders>
              <w:bottom w:val="single" w:sz="4" w:space="0" w:color="auto"/>
            </w:tcBorders>
            <w:vAlign w:val="center"/>
          </w:tcPr>
          <w:p w14:paraId="4DF43B32" w14:textId="77777777" w:rsidR="00840FE5" w:rsidRPr="006D46E5" w:rsidRDefault="00840FE5" w:rsidP="000C7414">
            <w:pPr>
              <w:pStyle w:val="TableBody"/>
              <w:rPr>
                <w:rFonts w:cs="Arial"/>
              </w:rPr>
            </w:pPr>
            <w:r w:rsidRPr="00BB0E86">
              <w:rPr>
                <w:rFonts w:cs="Arial"/>
                <w:szCs w:val="20"/>
              </w:rPr>
              <w:t xml:space="preserve">The FDD-paired frequencies lower-adjacent to the 850 MHz band that are standardised by </w:t>
            </w:r>
            <w:r w:rsidR="000C7414">
              <w:rPr>
                <w:rFonts w:cs="Arial"/>
                <w:szCs w:val="20"/>
              </w:rPr>
              <w:t xml:space="preserve">the </w:t>
            </w:r>
            <w:r w:rsidRPr="00BB0E86">
              <w:rPr>
                <w:rFonts w:cs="Arial"/>
                <w:szCs w:val="20"/>
              </w:rPr>
              <w:t>3GPP for 4G technologies (3GPP bands 26 and 27).</w:t>
            </w:r>
          </w:p>
        </w:tc>
      </w:tr>
      <w:tr w:rsidR="00840FE5" w:rsidRPr="006D46E5" w14:paraId="34F26F90" w14:textId="77777777" w:rsidTr="000C7414">
        <w:trPr>
          <w:cantSplit/>
        </w:trPr>
        <w:tc>
          <w:tcPr>
            <w:tcW w:w="2524" w:type="dxa"/>
            <w:shd w:val="clear" w:color="auto" w:fill="F2F2F2" w:themeFill="background1" w:themeFillShade="F2"/>
            <w:vAlign w:val="center"/>
          </w:tcPr>
          <w:p w14:paraId="0133D322" w14:textId="77777777" w:rsidR="00840FE5" w:rsidRPr="006D46E5" w:rsidRDefault="00840FE5" w:rsidP="000C7414">
            <w:pPr>
              <w:pStyle w:val="TableBody"/>
              <w:rPr>
                <w:rFonts w:cs="Arial"/>
              </w:rPr>
            </w:pPr>
            <w:r w:rsidRPr="00356137">
              <w:rPr>
                <w:rFonts w:cs="Arial"/>
                <w:szCs w:val="20"/>
              </w:rPr>
              <w:t>900 MHz band</w:t>
            </w:r>
          </w:p>
        </w:tc>
        <w:tc>
          <w:tcPr>
            <w:tcW w:w="6980" w:type="dxa"/>
            <w:shd w:val="clear" w:color="auto" w:fill="F2F2F2" w:themeFill="background1" w:themeFillShade="F2"/>
            <w:vAlign w:val="center"/>
          </w:tcPr>
          <w:p w14:paraId="3C376A36" w14:textId="77777777" w:rsidR="00840FE5" w:rsidRPr="006D46E5" w:rsidRDefault="00840FE5" w:rsidP="000C7414">
            <w:pPr>
              <w:pStyle w:val="TableBody"/>
              <w:rPr>
                <w:rFonts w:cs="Arial"/>
              </w:rPr>
            </w:pPr>
            <w:r w:rsidRPr="00BB0E86">
              <w:rPr>
                <w:rFonts w:cs="Arial"/>
                <w:szCs w:val="20"/>
              </w:rPr>
              <w:t>The frequencies covered by the 900 MHz band plan, being 890-960 MHz</w:t>
            </w:r>
            <w:r w:rsidR="000C7414">
              <w:rPr>
                <w:rFonts w:cs="Arial"/>
                <w:szCs w:val="20"/>
              </w:rPr>
              <w:t>.</w:t>
            </w:r>
          </w:p>
        </w:tc>
      </w:tr>
      <w:tr w:rsidR="00840FE5" w:rsidRPr="006D46E5" w14:paraId="2B20E39D" w14:textId="77777777" w:rsidTr="000C7414">
        <w:trPr>
          <w:cantSplit/>
        </w:trPr>
        <w:tc>
          <w:tcPr>
            <w:tcW w:w="2524" w:type="dxa"/>
            <w:vAlign w:val="center"/>
          </w:tcPr>
          <w:p w14:paraId="53AEB35D" w14:textId="77777777" w:rsidR="00840FE5" w:rsidRPr="006D46E5" w:rsidRDefault="00840FE5" w:rsidP="000C7414">
            <w:pPr>
              <w:pStyle w:val="TableBody"/>
              <w:rPr>
                <w:rFonts w:cs="Arial"/>
              </w:rPr>
            </w:pPr>
            <w:r w:rsidRPr="00356137">
              <w:rPr>
                <w:rFonts w:cs="Arial"/>
                <w:szCs w:val="20"/>
              </w:rPr>
              <w:t>900 MHz ‘GSM’ band</w:t>
            </w:r>
          </w:p>
        </w:tc>
        <w:tc>
          <w:tcPr>
            <w:tcW w:w="6980" w:type="dxa"/>
            <w:vAlign w:val="center"/>
          </w:tcPr>
          <w:p w14:paraId="7023DEA2" w14:textId="77777777" w:rsidR="00840FE5" w:rsidRPr="006D46E5" w:rsidRDefault="00840FE5" w:rsidP="000C7414">
            <w:pPr>
              <w:pStyle w:val="TableBody"/>
              <w:rPr>
                <w:rFonts w:cs="Arial"/>
              </w:rPr>
            </w:pPr>
            <w:r w:rsidRPr="00BB0E86">
              <w:rPr>
                <w:rFonts w:cs="Arial"/>
                <w:szCs w:val="20"/>
              </w:rPr>
              <w:t>See ‘GSM band’</w:t>
            </w:r>
          </w:p>
        </w:tc>
      </w:tr>
      <w:tr w:rsidR="00840FE5" w14:paraId="4045BD37" w14:textId="77777777" w:rsidTr="000C7414">
        <w:trPr>
          <w:cantSplit/>
        </w:trPr>
        <w:tc>
          <w:tcPr>
            <w:tcW w:w="2524" w:type="dxa"/>
            <w:shd w:val="clear" w:color="auto" w:fill="F2F2F2" w:themeFill="background1" w:themeFillShade="F2"/>
            <w:vAlign w:val="center"/>
          </w:tcPr>
          <w:p w14:paraId="27C8D421" w14:textId="77777777" w:rsidR="00840FE5" w:rsidRDefault="00840FE5" w:rsidP="000C7414">
            <w:pPr>
              <w:pStyle w:val="TableBody"/>
              <w:rPr>
                <w:rFonts w:cs="Arial"/>
              </w:rPr>
            </w:pPr>
            <w:r w:rsidRPr="00356137">
              <w:rPr>
                <w:rFonts w:cs="Arial"/>
                <w:szCs w:val="20"/>
              </w:rPr>
              <w:t>Allocation</w:t>
            </w:r>
          </w:p>
        </w:tc>
        <w:tc>
          <w:tcPr>
            <w:tcW w:w="6980" w:type="dxa"/>
            <w:shd w:val="clear" w:color="auto" w:fill="F2F2F2" w:themeFill="background1" w:themeFillShade="F2"/>
            <w:vAlign w:val="center"/>
          </w:tcPr>
          <w:p w14:paraId="5E7EC483" w14:textId="6B8D0153" w:rsidR="00840FE5" w:rsidRDefault="00840FE5" w:rsidP="000C7414">
            <w:pPr>
              <w:pStyle w:val="TableBody"/>
              <w:rPr>
                <w:rFonts w:cs="Arial"/>
              </w:rPr>
            </w:pPr>
            <w:r w:rsidRPr="00BB0E86">
              <w:rPr>
                <w:rFonts w:cs="Arial"/>
                <w:szCs w:val="20"/>
              </w:rPr>
              <w:t xml:space="preserve">For the purposes of radiofrequency spectrum planning, an allocation is a specific range of frequencies allocated </w:t>
            </w:r>
            <w:r w:rsidR="000C7414">
              <w:rPr>
                <w:rFonts w:cs="Arial"/>
                <w:szCs w:val="20"/>
              </w:rPr>
              <w:t>for</w:t>
            </w:r>
            <w:r w:rsidR="000C7414" w:rsidRPr="00BB0E86">
              <w:rPr>
                <w:rFonts w:cs="Arial"/>
                <w:szCs w:val="20"/>
              </w:rPr>
              <w:t xml:space="preserve"> </w:t>
            </w:r>
            <w:r w:rsidRPr="00BB0E86">
              <w:rPr>
                <w:rFonts w:cs="Arial"/>
                <w:szCs w:val="20"/>
              </w:rPr>
              <w:t>use by one or more radiocommunications services within a band plan or spectrum plan.</w:t>
            </w:r>
          </w:p>
        </w:tc>
      </w:tr>
      <w:tr w:rsidR="00840FE5" w14:paraId="271B3E0F" w14:textId="77777777" w:rsidTr="000C7414">
        <w:trPr>
          <w:cantSplit/>
        </w:trPr>
        <w:tc>
          <w:tcPr>
            <w:tcW w:w="2524" w:type="dxa"/>
            <w:vAlign w:val="center"/>
          </w:tcPr>
          <w:p w14:paraId="4E78C8D6" w14:textId="77777777" w:rsidR="00840FE5" w:rsidRDefault="00840FE5" w:rsidP="000C7414">
            <w:pPr>
              <w:pStyle w:val="TableBody"/>
              <w:rPr>
                <w:rFonts w:cs="Arial"/>
              </w:rPr>
            </w:pPr>
            <w:r w:rsidRPr="00356137">
              <w:rPr>
                <w:rFonts w:cs="Arial"/>
                <w:szCs w:val="20"/>
              </w:rPr>
              <w:t>Apparatus licence</w:t>
            </w:r>
          </w:p>
        </w:tc>
        <w:tc>
          <w:tcPr>
            <w:tcW w:w="6980" w:type="dxa"/>
            <w:vAlign w:val="center"/>
          </w:tcPr>
          <w:p w14:paraId="0ABD9C20" w14:textId="13D3D7DE" w:rsidR="00840FE5" w:rsidRDefault="00840FE5" w:rsidP="000C7414">
            <w:pPr>
              <w:pStyle w:val="TableBody"/>
              <w:rPr>
                <w:rFonts w:cs="Arial"/>
              </w:rPr>
            </w:pPr>
            <w:r w:rsidRPr="00BB0E86">
              <w:rPr>
                <w:rFonts w:cs="Arial"/>
                <w:szCs w:val="20"/>
              </w:rPr>
              <w:t xml:space="preserve">An apparatus licence authorises, under the </w:t>
            </w:r>
            <w:r w:rsidRPr="00AC7321">
              <w:rPr>
                <w:rFonts w:cs="Arial"/>
                <w:i/>
                <w:szCs w:val="20"/>
              </w:rPr>
              <w:t>Radiocommunications Act 1992</w:t>
            </w:r>
            <w:r w:rsidRPr="00BB0E86">
              <w:rPr>
                <w:rFonts w:cs="Arial"/>
                <w:szCs w:val="20"/>
              </w:rPr>
              <w:t xml:space="preserve">, the use of a particular service type, in a particular frequency range and at a particular geographic location for a period of up to </w:t>
            </w:r>
            <w:r w:rsidR="007D28E7">
              <w:rPr>
                <w:rFonts w:cs="Arial"/>
                <w:szCs w:val="20"/>
              </w:rPr>
              <w:t>five</w:t>
            </w:r>
            <w:r w:rsidRPr="00BB0E86">
              <w:rPr>
                <w:rFonts w:cs="Arial"/>
                <w:szCs w:val="20"/>
              </w:rPr>
              <w:t xml:space="preserve"> years. </w:t>
            </w:r>
          </w:p>
        </w:tc>
      </w:tr>
      <w:tr w:rsidR="00840FE5" w14:paraId="543AA668" w14:textId="77777777" w:rsidTr="000C7414">
        <w:trPr>
          <w:cantSplit/>
        </w:trPr>
        <w:tc>
          <w:tcPr>
            <w:tcW w:w="2524" w:type="dxa"/>
            <w:shd w:val="clear" w:color="auto" w:fill="F2F2F2" w:themeFill="background1" w:themeFillShade="F2"/>
            <w:vAlign w:val="center"/>
          </w:tcPr>
          <w:p w14:paraId="5B289565" w14:textId="77777777" w:rsidR="00840FE5" w:rsidRDefault="00840FE5" w:rsidP="000C7414">
            <w:pPr>
              <w:pStyle w:val="TableBody"/>
              <w:rPr>
                <w:rFonts w:cs="Arial"/>
              </w:rPr>
            </w:pPr>
            <w:r w:rsidRPr="00356137">
              <w:rPr>
                <w:rFonts w:cs="Arial"/>
                <w:szCs w:val="20"/>
              </w:rPr>
              <w:t>Band plan</w:t>
            </w:r>
          </w:p>
        </w:tc>
        <w:tc>
          <w:tcPr>
            <w:tcW w:w="6980" w:type="dxa"/>
            <w:shd w:val="clear" w:color="auto" w:fill="F2F2F2" w:themeFill="background1" w:themeFillShade="F2"/>
            <w:vAlign w:val="center"/>
          </w:tcPr>
          <w:p w14:paraId="3EF83CA0" w14:textId="77777777" w:rsidR="00840FE5" w:rsidRDefault="00840FE5" w:rsidP="000C7414">
            <w:pPr>
              <w:pStyle w:val="TableBody"/>
              <w:rPr>
                <w:rFonts w:cs="Arial"/>
              </w:rPr>
            </w:pPr>
            <w:r w:rsidRPr="00BB0E86">
              <w:rPr>
                <w:rFonts w:cs="Arial"/>
                <w:szCs w:val="20"/>
              </w:rPr>
              <w:t>Either an administrative or legislative instrument that sets out the allocations of frequencies to services within a specific radiofrequency band.</w:t>
            </w:r>
          </w:p>
        </w:tc>
      </w:tr>
      <w:tr w:rsidR="00840FE5" w14:paraId="56F5A23C" w14:textId="77777777" w:rsidTr="000C7414">
        <w:trPr>
          <w:cantSplit/>
        </w:trPr>
        <w:tc>
          <w:tcPr>
            <w:tcW w:w="2524" w:type="dxa"/>
            <w:tcBorders>
              <w:bottom w:val="single" w:sz="4" w:space="0" w:color="auto"/>
            </w:tcBorders>
            <w:shd w:val="clear" w:color="auto" w:fill="FFFFFF" w:themeFill="background1"/>
            <w:vAlign w:val="center"/>
          </w:tcPr>
          <w:p w14:paraId="690ECD47" w14:textId="77777777" w:rsidR="00840FE5" w:rsidRDefault="00840FE5" w:rsidP="000C7414">
            <w:pPr>
              <w:pStyle w:val="TableBody"/>
              <w:rPr>
                <w:rFonts w:cs="Arial"/>
              </w:rPr>
            </w:pPr>
            <w:r w:rsidRPr="00356137">
              <w:rPr>
                <w:rFonts w:cs="Arial"/>
                <w:szCs w:val="20"/>
              </w:rPr>
              <w:t>Cellular</w:t>
            </w:r>
          </w:p>
        </w:tc>
        <w:tc>
          <w:tcPr>
            <w:tcW w:w="6980" w:type="dxa"/>
            <w:tcBorders>
              <w:bottom w:val="single" w:sz="4" w:space="0" w:color="auto"/>
            </w:tcBorders>
            <w:shd w:val="clear" w:color="auto" w:fill="FFFFFF" w:themeFill="background1"/>
            <w:vAlign w:val="center"/>
          </w:tcPr>
          <w:p w14:paraId="77E61367" w14:textId="77777777" w:rsidR="00840FE5" w:rsidRPr="00BB0E86" w:rsidRDefault="00840FE5" w:rsidP="000C7414">
            <w:pPr>
              <w:spacing w:after="0" w:line="240" w:lineRule="auto"/>
              <w:rPr>
                <w:rFonts w:cs="Arial"/>
                <w:szCs w:val="20"/>
              </w:rPr>
            </w:pPr>
            <w:r w:rsidRPr="00BB0E86">
              <w:rPr>
                <w:rFonts w:cs="Arial"/>
                <w:szCs w:val="20"/>
              </w:rPr>
              <w:t>A cellular network is a network of radiocommunications services distributed over land areas called cells. Each cell is serviced by a base station, each of which is inter-connected via a core network. User devices connected to cellular networks can be seamlessly passed between cells.</w:t>
            </w:r>
          </w:p>
          <w:p w14:paraId="508344DD" w14:textId="77777777" w:rsidR="00840FE5" w:rsidRDefault="00840FE5" w:rsidP="000C7414">
            <w:pPr>
              <w:pStyle w:val="TableBody"/>
              <w:rPr>
                <w:rFonts w:cs="Arial"/>
              </w:rPr>
            </w:pPr>
            <w:r w:rsidRPr="00BB0E86">
              <w:rPr>
                <w:rFonts w:cs="Arial"/>
                <w:szCs w:val="20"/>
              </w:rPr>
              <w:t>2G, 3G and 4G mobile networks are examples of cellular networks.</w:t>
            </w:r>
          </w:p>
        </w:tc>
      </w:tr>
      <w:tr w:rsidR="00840FE5" w14:paraId="22793D76" w14:textId="77777777" w:rsidTr="000C7414">
        <w:trPr>
          <w:cantSplit/>
        </w:trPr>
        <w:tc>
          <w:tcPr>
            <w:tcW w:w="2524" w:type="dxa"/>
            <w:tcBorders>
              <w:bottom w:val="single" w:sz="4" w:space="0" w:color="auto"/>
            </w:tcBorders>
            <w:shd w:val="clear" w:color="auto" w:fill="F2F2F2" w:themeFill="background1" w:themeFillShade="F2"/>
            <w:vAlign w:val="center"/>
          </w:tcPr>
          <w:p w14:paraId="285DAA5F" w14:textId="77777777" w:rsidR="00840FE5" w:rsidRDefault="00840FE5" w:rsidP="000C7414">
            <w:pPr>
              <w:pStyle w:val="TableBody"/>
              <w:rPr>
                <w:rFonts w:cs="Arial"/>
              </w:rPr>
            </w:pPr>
            <w:r w:rsidRPr="00356137">
              <w:rPr>
                <w:rFonts w:cs="Arial"/>
                <w:szCs w:val="20"/>
              </w:rPr>
              <w:t>Class licence</w:t>
            </w:r>
          </w:p>
        </w:tc>
        <w:tc>
          <w:tcPr>
            <w:tcW w:w="6980" w:type="dxa"/>
            <w:tcBorders>
              <w:bottom w:val="single" w:sz="4" w:space="0" w:color="auto"/>
            </w:tcBorders>
            <w:shd w:val="clear" w:color="auto" w:fill="F2F2F2" w:themeFill="background1" w:themeFillShade="F2"/>
            <w:vAlign w:val="center"/>
          </w:tcPr>
          <w:p w14:paraId="2C5DB86F" w14:textId="2EBD37A0" w:rsidR="00840FE5" w:rsidRDefault="00840FE5" w:rsidP="007D28E7">
            <w:pPr>
              <w:pStyle w:val="TableBody"/>
              <w:rPr>
                <w:rFonts w:cs="Arial"/>
              </w:rPr>
            </w:pPr>
            <w:r w:rsidRPr="00BB0E86">
              <w:rPr>
                <w:rFonts w:cs="Arial"/>
                <w:szCs w:val="20"/>
              </w:rPr>
              <w:t xml:space="preserve">A class licence, issued under the </w:t>
            </w:r>
            <w:r w:rsidRPr="00AC7321">
              <w:rPr>
                <w:rFonts w:cs="Arial"/>
                <w:i/>
                <w:szCs w:val="20"/>
              </w:rPr>
              <w:t>Radiocommunications Act 1992</w:t>
            </w:r>
            <w:r w:rsidRPr="00BB0E86">
              <w:rPr>
                <w:rFonts w:cs="Arial"/>
                <w:szCs w:val="20"/>
              </w:rPr>
              <w:t xml:space="preserve">, authorises users of designated spectrum to operate on a shared basis using a common set of conditions. </w:t>
            </w:r>
            <w:r w:rsidR="007D28E7">
              <w:rPr>
                <w:rFonts w:cs="Arial"/>
                <w:szCs w:val="20"/>
              </w:rPr>
              <w:t>For example,</w:t>
            </w:r>
            <w:r w:rsidRPr="00BB0E86">
              <w:rPr>
                <w:rFonts w:cs="Arial"/>
                <w:szCs w:val="20"/>
              </w:rPr>
              <w:t xml:space="preserve"> the LIPD Class Licence authorises access to a large number of low interference potential devices that conform to the conditions contained within that licence. </w:t>
            </w:r>
          </w:p>
        </w:tc>
      </w:tr>
      <w:tr w:rsidR="00840FE5" w14:paraId="3B97C2FC" w14:textId="77777777" w:rsidTr="000C7414">
        <w:trPr>
          <w:cantSplit/>
        </w:trPr>
        <w:tc>
          <w:tcPr>
            <w:tcW w:w="2524" w:type="dxa"/>
            <w:tcBorders>
              <w:bottom w:val="single" w:sz="4" w:space="0" w:color="auto"/>
            </w:tcBorders>
            <w:shd w:val="clear" w:color="auto" w:fill="FFFFFF" w:themeFill="background1"/>
            <w:vAlign w:val="center"/>
          </w:tcPr>
          <w:p w14:paraId="2037A81E" w14:textId="77777777" w:rsidR="00840FE5" w:rsidRDefault="00840FE5" w:rsidP="000C7414">
            <w:pPr>
              <w:pStyle w:val="TableBody"/>
              <w:rPr>
                <w:rFonts w:cs="Arial"/>
              </w:rPr>
            </w:pPr>
            <w:r w:rsidRPr="00356137">
              <w:rPr>
                <w:rFonts w:cs="Arial"/>
                <w:szCs w:val="20"/>
              </w:rPr>
              <w:t>Co-primary status</w:t>
            </w:r>
          </w:p>
        </w:tc>
        <w:tc>
          <w:tcPr>
            <w:tcW w:w="6980" w:type="dxa"/>
            <w:tcBorders>
              <w:bottom w:val="single" w:sz="4" w:space="0" w:color="auto"/>
            </w:tcBorders>
            <w:shd w:val="clear" w:color="auto" w:fill="FFFFFF" w:themeFill="background1"/>
            <w:vAlign w:val="center"/>
          </w:tcPr>
          <w:p w14:paraId="12394EFC" w14:textId="77777777" w:rsidR="00840FE5" w:rsidRDefault="00840FE5" w:rsidP="000C7414">
            <w:pPr>
              <w:pStyle w:val="TableBody"/>
              <w:rPr>
                <w:rFonts w:cs="Arial"/>
              </w:rPr>
            </w:pPr>
            <w:r w:rsidRPr="00BB0E86">
              <w:rPr>
                <w:rFonts w:cs="Arial"/>
                <w:szCs w:val="20"/>
              </w:rPr>
              <w:t xml:space="preserve">When used in this paper, co-primary status has the same meaning as primary status, with the addition that co-primary services are entitled to protection from other co-primary services. </w:t>
            </w:r>
          </w:p>
        </w:tc>
      </w:tr>
      <w:tr w:rsidR="00840FE5" w14:paraId="2250F18C" w14:textId="77777777" w:rsidTr="000C7414">
        <w:trPr>
          <w:cantSplit/>
        </w:trPr>
        <w:tc>
          <w:tcPr>
            <w:tcW w:w="2524" w:type="dxa"/>
            <w:tcBorders>
              <w:bottom w:val="single" w:sz="4" w:space="0" w:color="auto"/>
            </w:tcBorders>
            <w:shd w:val="clear" w:color="auto" w:fill="F2F2F2" w:themeFill="background1" w:themeFillShade="F2"/>
            <w:vAlign w:val="center"/>
          </w:tcPr>
          <w:p w14:paraId="4820022E" w14:textId="77777777" w:rsidR="00840FE5" w:rsidRDefault="00840FE5" w:rsidP="000C7414">
            <w:pPr>
              <w:pStyle w:val="TableBody"/>
              <w:rPr>
                <w:rFonts w:cs="Arial"/>
              </w:rPr>
            </w:pPr>
            <w:r w:rsidRPr="00356137">
              <w:rPr>
                <w:rFonts w:cs="Arial"/>
                <w:szCs w:val="20"/>
              </w:rPr>
              <w:t>CMTS</w:t>
            </w:r>
          </w:p>
        </w:tc>
        <w:tc>
          <w:tcPr>
            <w:tcW w:w="6980" w:type="dxa"/>
            <w:tcBorders>
              <w:bottom w:val="single" w:sz="4" w:space="0" w:color="auto"/>
            </w:tcBorders>
            <w:shd w:val="clear" w:color="auto" w:fill="F2F2F2" w:themeFill="background1" w:themeFillShade="F2"/>
            <w:vAlign w:val="center"/>
          </w:tcPr>
          <w:p w14:paraId="0F00873D" w14:textId="58F64F18" w:rsidR="00840FE5" w:rsidRDefault="000C7414" w:rsidP="007D28E7">
            <w:pPr>
              <w:pStyle w:val="TableBody"/>
              <w:rPr>
                <w:rFonts w:cs="Arial"/>
              </w:rPr>
            </w:pPr>
            <w:r>
              <w:rPr>
                <w:rFonts w:cs="Arial"/>
                <w:szCs w:val="20"/>
              </w:rPr>
              <w:t>Cellular</w:t>
            </w:r>
            <w:r w:rsidRPr="00BB0E86">
              <w:rPr>
                <w:rFonts w:cs="Arial"/>
                <w:szCs w:val="20"/>
              </w:rPr>
              <w:t xml:space="preserve"> </w:t>
            </w:r>
            <w:r w:rsidR="00840FE5" w:rsidRPr="00BB0E86">
              <w:rPr>
                <w:rFonts w:cs="Arial"/>
                <w:szCs w:val="20"/>
              </w:rPr>
              <w:t xml:space="preserve">Mobile </w:t>
            </w:r>
            <w:r>
              <w:rPr>
                <w:rFonts w:cs="Arial"/>
                <w:szCs w:val="20"/>
              </w:rPr>
              <w:t>Telephone</w:t>
            </w:r>
            <w:r w:rsidRPr="00BB0E86">
              <w:rPr>
                <w:rFonts w:cs="Arial"/>
                <w:szCs w:val="20"/>
              </w:rPr>
              <w:t xml:space="preserve"> </w:t>
            </w:r>
            <w:r w:rsidR="00840FE5" w:rsidRPr="00BB0E86">
              <w:rPr>
                <w:rFonts w:cs="Arial"/>
                <w:szCs w:val="20"/>
              </w:rPr>
              <w:t>Service</w:t>
            </w:r>
            <w:r w:rsidR="007D28E7">
              <w:rPr>
                <w:rFonts w:cs="Arial"/>
                <w:szCs w:val="20"/>
              </w:rPr>
              <w:t>—</w:t>
            </w:r>
            <w:r w:rsidR="00840FE5" w:rsidRPr="00BB0E86">
              <w:rPr>
                <w:rFonts w:cs="Arial"/>
                <w:szCs w:val="20"/>
              </w:rPr>
              <w:t>an outdated allocation term contained in band plans setting aside spectrum specifically for the deployment of mobile (i</w:t>
            </w:r>
            <w:r w:rsidR="005B0052">
              <w:rPr>
                <w:rFonts w:cs="Arial"/>
                <w:szCs w:val="20"/>
              </w:rPr>
              <w:t>.</w:t>
            </w:r>
            <w:r w:rsidR="00840FE5" w:rsidRPr="00BB0E86">
              <w:rPr>
                <w:rFonts w:cs="Arial"/>
                <w:szCs w:val="20"/>
              </w:rPr>
              <w:t>e. 2G, 3G or 4G) services by commercial operators.</w:t>
            </w:r>
          </w:p>
        </w:tc>
      </w:tr>
      <w:tr w:rsidR="00840FE5" w14:paraId="337C5923" w14:textId="77777777" w:rsidTr="000C7414">
        <w:trPr>
          <w:cantSplit/>
        </w:trPr>
        <w:tc>
          <w:tcPr>
            <w:tcW w:w="2524" w:type="dxa"/>
            <w:tcBorders>
              <w:bottom w:val="single" w:sz="4" w:space="0" w:color="auto"/>
            </w:tcBorders>
            <w:shd w:val="clear" w:color="auto" w:fill="FFFFFF" w:themeFill="background1"/>
            <w:vAlign w:val="center"/>
          </w:tcPr>
          <w:p w14:paraId="164F5F27" w14:textId="77777777" w:rsidR="00840FE5" w:rsidRDefault="00840FE5" w:rsidP="000C7414">
            <w:pPr>
              <w:pStyle w:val="TableBody"/>
              <w:rPr>
                <w:rFonts w:cs="Arial"/>
              </w:rPr>
            </w:pPr>
            <w:r w:rsidRPr="00356137">
              <w:rPr>
                <w:rFonts w:cs="Arial"/>
                <w:szCs w:val="20"/>
              </w:rPr>
              <w:t>CTS</w:t>
            </w:r>
          </w:p>
        </w:tc>
        <w:tc>
          <w:tcPr>
            <w:tcW w:w="6980" w:type="dxa"/>
            <w:tcBorders>
              <w:bottom w:val="single" w:sz="4" w:space="0" w:color="auto"/>
            </w:tcBorders>
            <w:shd w:val="clear" w:color="auto" w:fill="FFFFFF" w:themeFill="background1"/>
            <w:vAlign w:val="center"/>
          </w:tcPr>
          <w:p w14:paraId="7E022618" w14:textId="77777777" w:rsidR="00840FE5" w:rsidRDefault="00840FE5" w:rsidP="000C7414">
            <w:pPr>
              <w:pStyle w:val="TableBody"/>
              <w:rPr>
                <w:rFonts w:cs="Arial"/>
              </w:rPr>
            </w:pPr>
            <w:r w:rsidRPr="00BB0E86">
              <w:rPr>
                <w:rFonts w:cs="Arial"/>
                <w:szCs w:val="20"/>
              </w:rPr>
              <w:t>Cordless Telephone Service</w:t>
            </w:r>
          </w:p>
        </w:tc>
      </w:tr>
      <w:tr w:rsidR="00840FE5" w14:paraId="7BF462CA" w14:textId="77777777" w:rsidTr="000C7414">
        <w:trPr>
          <w:cantSplit/>
        </w:trPr>
        <w:tc>
          <w:tcPr>
            <w:tcW w:w="2524" w:type="dxa"/>
            <w:tcBorders>
              <w:bottom w:val="single" w:sz="4" w:space="0" w:color="auto"/>
            </w:tcBorders>
            <w:shd w:val="clear" w:color="auto" w:fill="F2F2F2" w:themeFill="background1" w:themeFillShade="F2"/>
            <w:vAlign w:val="center"/>
          </w:tcPr>
          <w:p w14:paraId="44745547" w14:textId="77777777" w:rsidR="00840FE5" w:rsidRDefault="00840FE5" w:rsidP="000C7414">
            <w:pPr>
              <w:pStyle w:val="TableBody"/>
              <w:rPr>
                <w:rFonts w:cs="Arial"/>
              </w:rPr>
            </w:pPr>
            <w:r w:rsidRPr="00356137">
              <w:rPr>
                <w:rFonts w:cs="Arial"/>
                <w:szCs w:val="20"/>
              </w:rPr>
              <w:t>Duplex</w:t>
            </w:r>
          </w:p>
        </w:tc>
        <w:tc>
          <w:tcPr>
            <w:tcW w:w="6980" w:type="dxa"/>
            <w:tcBorders>
              <w:bottom w:val="single" w:sz="4" w:space="0" w:color="auto"/>
            </w:tcBorders>
            <w:shd w:val="clear" w:color="auto" w:fill="F2F2F2" w:themeFill="background1" w:themeFillShade="F2"/>
            <w:vAlign w:val="center"/>
          </w:tcPr>
          <w:p w14:paraId="3DF85C29" w14:textId="6E814F0D" w:rsidR="00840FE5" w:rsidRDefault="00387E32" w:rsidP="007D28E7">
            <w:pPr>
              <w:pStyle w:val="TableBody"/>
              <w:rPr>
                <w:rFonts w:cs="Arial"/>
              </w:rPr>
            </w:pPr>
            <w:r>
              <w:rPr>
                <w:rFonts w:cs="Arial"/>
                <w:szCs w:val="20"/>
              </w:rPr>
              <w:t>Duplexing c</w:t>
            </w:r>
            <w:r w:rsidRPr="00BB0E86">
              <w:rPr>
                <w:rFonts w:cs="Arial"/>
                <w:szCs w:val="20"/>
              </w:rPr>
              <w:t>an be achieved by using separate frequencies (frequency division duplex) or dividing receive/transmit into discrete time blocks (time division duplex)</w:t>
            </w:r>
            <w:r>
              <w:rPr>
                <w:rFonts w:cs="Arial"/>
                <w:szCs w:val="20"/>
              </w:rPr>
              <w:t xml:space="preserve"> for transmission and reception of information </w:t>
            </w:r>
            <w:r w:rsidR="00840FE5" w:rsidRPr="00BB0E86">
              <w:rPr>
                <w:rFonts w:cs="Arial"/>
                <w:szCs w:val="20"/>
              </w:rPr>
              <w:t xml:space="preserve">between two </w:t>
            </w:r>
            <w:r>
              <w:rPr>
                <w:rFonts w:cs="Arial"/>
                <w:szCs w:val="20"/>
              </w:rPr>
              <w:t xml:space="preserve">radiocommunications </w:t>
            </w:r>
            <w:r w:rsidR="00840FE5" w:rsidRPr="00BB0E86">
              <w:rPr>
                <w:rFonts w:cs="Arial"/>
                <w:szCs w:val="20"/>
              </w:rPr>
              <w:t>stations (e</w:t>
            </w:r>
            <w:r w:rsidR="005B0052">
              <w:rPr>
                <w:rFonts w:cs="Arial"/>
                <w:szCs w:val="20"/>
              </w:rPr>
              <w:t>.</w:t>
            </w:r>
            <w:r w:rsidR="00840FE5" w:rsidRPr="00BB0E86">
              <w:rPr>
                <w:rFonts w:cs="Arial"/>
                <w:szCs w:val="20"/>
              </w:rPr>
              <w:t>g.</w:t>
            </w:r>
            <w:r w:rsidR="007D28E7">
              <w:rPr>
                <w:rFonts w:cs="Arial"/>
                <w:szCs w:val="20"/>
              </w:rPr>
              <w:t>,</w:t>
            </w:r>
            <w:r w:rsidR="00840FE5" w:rsidRPr="00BB0E86">
              <w:rPr>
                <w:rFonts w:cs="Arial"/>
                <w:szCs w:val="20"/>
              </w:rPr>
              <w:t xml:space="preserve"> defining separate channels between the </w:t>
            </w:r>
            <w:r>
              <w:rPr>
                <w:rFonts w:cs="Arial"/>
                <w:szCs w:val="20"/>
              </w:rPr>
              <w:t>information</w:t>
            </w:r>
            <w:r w:rsidR="005B0052">
              <w:rPr>
                <w:rFonts w:cs="Arial"/>
                <w:szCs w:val="20"/>
              </w:rPr>
              <w:t xml:space="preserve"> </w:t>
            </w:r>
            <w:r w:rsidR="00840FE5" w:rsidRPr="00BB0E86">
              <w:rPr>
                <w:rFonts w:cs="Arial"/>
                <w:szCs w:val="20"/>
              </w:rPr>
              <w:t xml:space="preserve">sent from a mobile phone to a base station and the </w:t>
            </w:r>
            <w:r>
              <w:rPr>
                <w:rFonts w:cs="Arial"/>
                <w:szCs w:val="20"/>
              </w:rPr>
              <w:t>information</w:t>
            </w:r>
            <w:r w:rsidRPr="00BB0E86">
              <w:rPr>
                <w:rFonts w:cs="Arial"/>
                <w:szCs w:val="20"/>
              </w:rPr>
              <w:t xml:space="preserve"> </w:t>
            </w:r>
            <w:r>
              <w:rPr>
                <w:rFonts w:cs="Arial"/>
                <w:szCs w:val="20"/>
              </w:rPr>
              <w:t>sent from a base station to a mobile phone</w:t>
            </w:r>
            <w:r w:rsidR="00840FE5" w:rsidRPr="00BB0E86">
              <w:rPr>
                <w:rFonts w:cs="Arial"/>
                <w:szCs w:val="20"/>
              </w:rPr>
              <w:t xml:space="preserve">). </w:t>
            </w:r>
          </w:p>
        </w:tc>
      </w:tr>
      <w:tr w:rsidR="00840FE5" w14:paraId="20B0FBC8" w14:textId="77777777" w:rsidTr="000C7414">
        <w:trPr>
          <w:cantSplit/>
        </w:trPr>
        <w:tc>
          <w:tcPr>
            <w:tcW w:w="2524" w:type="dxa"/>
            <w:tcBorders>
              <w:bottom w:val="single" w:sz="4" w:space="0" w:color="auto"/>
            </w:tcBorders>
            <w:shd w:val="clear" w:color="auto" w:fill="FFFFFF" w:themeFill="background1"/>
            <w:vAlign w:val="center"/>
          </w:tcPr>
          <w:p w14:paraId="697ECDAD" w14:textId="77777777" w:rsidR="00840FE5" w:rsidRDefault="00840FE5" w:rsidP="000C7414">
            <w:pPr>
              <w:pStyle w:val="TableBody"/>
              <w:rPr>
                <w:rFonts w:cs="Arial"/>
              </w:rPr>
            </w:pPr>
            <w:r w:rsidRPr="00356137">
              <w:rPr>
                <w:rFonts w:cs="Arial"/>
                <w:szCs w:val="20"/>
              </w:rPr>
              <w:t>DSRR</w:t>
            </w:r>
          </w:p>
        </w:tc>
        <w:tc>
          <w:tcPr>
            <w:tcW w:w="6980" w:type="dxa"/>
            <w:tcBorders>
              <w:bottom w:val="single" w:sz="4" w:space="0" w:color="auto"/>
            </w:tcBorders>
            <w:shd w:val="clear" w:color="auto" w:fill="FFFFFF" w:themeFill="background1"/>
            <w:vAlign w:val="center"/>
          </w:tcPr>
          <w:p w14:paraId="40A54E13" w14:textId="0767C677" w:rsidR="00840FE5" w:rsidRDefault="00840FE5" w:rsidP="007D28E7">
            <w:pPr>
              <w:pStyle w:val="TableBody"/>
              <w:rPr>
                <w:rFonts w:cs="Arial"/>
              </w:rPr>
            </w:pPr>
            <w:r w:rsidRPr="00BB0E86">
              <w:rPr>
                <w:rFonts w:cs="Arial"/>
                <w:szCs w:val="20"/>
              </w:rPr>
              <w:t>Digital Short Range Radio</w:t>
            </w:r>
            <w:r w:rsidR="007D28E7">
              <w:rPr>
                <w:rFonts w:cs="Arial"/>
                <w:szCs w:val="20"/>
              </w:rPr>
              <w:t>—</w:t>
            </w:r>
            <w:r w:rsidRPr="00BB0E86">
              <w:rPr>
                <w:rFonts w:cs="Arial"/>
                <w:szCs w:val="20"/>
              </w:rPr>
              <w:t>a superseded radio technology.</w:t>
            </w:r>
          </w:p>
        </w:tc>
      </w:tr>
      <w:tr w:rsidR="00840FE5" w14:paraId="2A7EA43C" w14:textId="77777777" w:rsidTr="000C7414">
        <w:trPr>
          <w:cantSplit/>
        </w:trPr>
        <w:tc>
          <w:tcPr>
            <w:tcW w:w="2524" w:type="dxa"/>
            <w:tcBorders>
              <w:bottom w:val="single" w:sz="4" w:space="0" w:color="auto"/>
            </w:tcBorders>
            <w:shd w:val="clear" w:color="auto" w:fill="F2F2F2" w:themeFill="background1" w:themeFillShade="F2"/>
            <w:vAlign w:val="center"/>
          </w:tcPr>
          <w:p w14:paraId="40B7E912" w14:textId="77777777" w:rsidR="00840FE5" w:rsidRDefault="00840FE5" w:rsidP="000C7414">
            <w:pPr>
              <w:pStyle w:val="TableBody"/>
              <w:rPr>
                <w:rFonts w:cs="Arial"/>
              </w:rPr>
            </w:pPr>
            <w:r w:rsidRPr="00356137">
              <w:rPr>
                <w:rFonts w:cs="Arial"/>
                <w:szCs w:val="20"/>
              </w:rPr>
              <w:t>Embargo</w:t>
            </w:r>
          </w:p>
        </w:tc>
        <w:tc>
          <w:tcPr>
            <w:tcW w:w="6980" w:type="dxa"/>
            <w:tcBorders>
              <w:bottom w:val="single" w:sz="4" w:space="0" w:color="auto"/>
            </w:tcBorders>
            <w:shd w:val="clear" w:color="auto" w:fill="F2F2F2" w:themeFill="background1" w:themeFillShade="F2"/>
            <w:vAlign w:val="center"/>
          </w:tcPr>
          <w:p w14:paraId="6A7520F7" w14:textId="723400A6" w:rsidR="00840FE5" w:rsidRDefault="00840FE5" w:rsidP="00387E32">
            <w:pPr>
              <w:pStyle w:val="TableBody"/>
              <w:rPr>
                <w:rFonts w:cs="Arial"/>
              </w:rPr>
            </w:pPr>
            <w:r w:rsidRPr="00BB0E86">
              <w:rPr>
                <w:rFonts w:cs="Arial"/>
                <w:szCs w:val="20"/>
              </w:rPr>
              <w:t xml:space="preserve">A spectrum embargo is a notice of intent by the ACMA to restrict the </w:t>
            </w:r>
            <w:r w:rsidR="00387E32">
              <w:rPr>
                <w:rFonts w:cs="Arial"/>
                <w:szCs w:val="20"/>
              </w:rPr>
              <w:t>issuing</w:t>
            </w:r>
            <w:r w:rsidR="00387E32" w:rsidRPr="00BB0E86">
              <w:rPr>
                <w:rFonts w:cs="Arial"/>
                <w:szCs w:val="20"/>
              </w:rPr>
              <w:t xml:space="preserve"> </w:t>
            </w:r>
            <w:r w:rsidRPr="00BB0E86">
              <w:rPr>
                <w:rFonts w:cs="Arial"/>
                <w:szCs w:val="20"/>
              </w:rPr>
              <w:t>of new licences in a particular frequency range to support replanning of that frequency range. Spectrum may still able to be accessed on an exceptions basis through an application for an exemption to the embargo.</w:t>
            </w:r>
          </w:p>
        </w:tc>
      </w:tr>
      <w:tr w:rsidR="00840FE5" w14:paraId="79E76813" w14:textId="77777777" w:rsidTr="000C7414">
        <w:trPr>
          <w:cantSplit/>
        </w:trPr>
        <w:tc>
          <w:tcPr>
            <w:tcW w:w="2524" w:type="dxa"/>
            <w:tcBorders>
              <w:bottom w:val="single" w:sz="4" w:space="0" w:color="auto"/>
            </w:tcBorders>
            <w:shd w:val="clear" w:color="auto" w:fill="FFFFFF" w:themeFill="background1"/>
            <w:vAlign w:val="center"/>
          </w:tcPr>
          <w:p w14:paraId="576F58FA" w14:textId="77777777" w:rsidR="00840FE5" w:rsidRDefault="00840FE5" w:rsidP="000C7414">
            <w:pPr>
              <w:pStyle w:val="TableBody"/>
              <w:rPr>
                <w:rFonts w:cs="Arial"/>
              </w:rPr>
            </w:pPr>
            <w:r w:rsidRPr="00356137">
              <w:rPr>
                <w:rFonts w:cs="Arial"/>
                <w:szCs w:val="20"/>
              </w:rPr>
              <w:t>FDD</w:t>
            </w:r>
          </w:p>
        </w:tc>
        <w:tc>
          <w:tcPr>
            <w:tcW w:w="6980" w:type="dxa"/>
            <w:tcBorders>
              <w:bottom w:val="single" w:sz="4" w:space="0" w:color="auto"/>
            </w:tcBorders>
            <w:shd w:val="clear" w:color="auto" w:fill="FFFFFF" w:themeFill="background1"/>
            <w:vAlign w:val="center"/>
          </w:tcPr>
          <w:p w14:paraId="65B55E16" w14:textId="24E9D17F" w:rsidR="00840FE5" w:rsidRDefault="00840FE5" w:rsidP="00E33377">
            <w:pPr>
              <w:pStyle w:val="TableBody"/>
              <w:rPr>
                <w:rFonts w:cs="Arial"/>
              </w:rPr>
            </w:pPr>
            <w:r w:rsidRPr="00BB0E86">
              <w:rPr>
                <w:rFonts w:cs="Arial"/>
                <w:lang w:val="en-US"/>
              </w:rPr>
              <w:t>Frequency Division Duplex</w:t>
            </w:r>
            <w:r w:rsidR="007D28E7">
              <w:rPr>
                <w:rFonts w:cs="Arial"/>
                <w:lang w:val="en-US"/>
              </w:rPr>
              <w:t>—</w:t>
            </w:r>
            <w:r w:rsidRPr="00BB0E86">
              <w:rPr>
                <w:rFonts w:cs="Arial"/>
                <w:lang w:val="en-US"/>
              </w:rPr>
              <w:t>using two discrete frequency blocks for duplexing. The frequency separation between these blocks is known as the FDD ‘split’ (e.g.</w:t>
            </w:r>
            <w:r w:rsidR="007D28E7">
              <w:rPr>
                <w:rFonts w:cs="Arial"/>
                <w:lang w:val="en-US"/>
              </w:rPr>
              <w:t>,</w:t>
            </w:r>
            <w:r w:rsidRPr="00BB0E86">
              <w:rPr>
                <w:rFonts w:cs="Arial"/>
                <w:lang w:val="en-US"/>
              </w:rPr>
              <w:t xml:space="preserve"> the FDD split between mobile services operating in the 803</w:t>
            </w:r>
            <w:r w:rsidR="007D28E7">
              <w:rPr>
                <w:rFonts w:cs="Arial"/>
                <w:lang w:val="en-US"/>
              </w:rPr>
              <w:t>–</w:t>
            </w:r>
            <w:r w:rsidRPr="00BB0E86">
              <w:rPr>
                <w:rFonts w:cs="Arial"/>
                <w:lang w:val="en-US"/>
              </w:rPr>
              <w:t>960 MHz band is 45 MHz).</w:t>
            </w:r>
          </w:p>
        </w:tc>
      </w:tr>
      <w:tr w:rsidR="00840FE5" w14:paraId="55DE2CDE" w14:textId="77777777" w:rsidTr="000C7414">
        <w:trPr>
          <w:cantSplit/>
        </w:trPr>
        <w:tc>
          <w:tcPr>
            <w:tcW w:w="2524" w:type="dxa"/>
            <w:tcBorders>
              <w:bottom w:val="single" w:sz="4" w:space="0" w:color="auto"/>
            </w:tcBorders>
            <w:shd w:val="clear" w:color="auto" w:fill="F2F2F2" w:themeFill="background1" w:themeFillShade="F2"/>
            <w:vAlign w:val="center"/>
          </w:tcPr>
          <w:p w14:paraId="3D90AB4C" w14:textId="30CF9591" w:rsidR="00840FE5" w:rsidRDefault="00840FE5" w:rsidP="000C7414">
            <w:pPr>
              <w:pStyle w:val="TableBody"/>
              <w:rPr>
                <w:rFonts w:cs="Arial"/>
              </w:rPr>
            </w:pPr>
            <w:r w:rsidRPr="00356137">
              <w:rPr>
                <w:rFonts w:cs="Arial"/>
                <w:szCs w:val="20"/>
              </w:rPr>
              <w:t xml:space="preserve">Fixed </w:t>
            </w:r>
            <w:r w:rsidR="007D28E7">
              <w:rPr>
                <w:rFonts w:cs="Arial"/>
                <w:szCs w:val="20"/>
              </w:rPr>
              <w:t>s</w:t>
            </w:r>
            <w:r w:rsidRPr="00356137">
              <w:rPr>
                <w:rFonts w:cs="Arial"/>
                <w:szCs w:val="20"/>
              </w:rPr>
              <w:t>ervice/Fixed link</w:t>
            </w:r>
          </w:p>
        </w:tc>
        <w:tc>
          <w:tcPr>
            <w:tcW w:w="6980" w:type="dxa"/>
            <w:tcBorders>
              <w:bottom w:val="single" w:sz="4" w:space="0" w:color="auto"/>
            </w:tcBorders>
            <w:shd w:val="clear" w:color="auto" w:fill="F2F2F2" w:themeFill="background1" w:themeFillShade="F2"/>
            <w:vAlign w:val="center"/>
          </w:tcPr>
          <w:p w14:paraId="720848F7" w14:textId="77777777" w:rsidR="00840FE5" w:rsidRPr="00BB0E86" w:rsidRDefault="00840FE5" w:rsidP="005B0052">
            <w:pPr>
              <w:spacing w:after="80" w:line="240" w:lineRule="auto"/>
              <w:rPr>
                <w:rFonts w:cs="Arial"/>
                <w:lang w:val="en-US"/>
              </w:rPr>
            </w:pPr>
            <w:r w:rsidRPr="00BB0E86">
              <w:rPr>
                <w:rFonts w:cs="Arial"/>
                <w:lang w:val="en-US"/>
              </w:rPr>
              <w:t>When used in this paper, a fixed service means the operation of a radiocommunications service to allow communications between two locations that do not move, i.e. those points are fixed at a particular location on or near the surface of the Earth.</w:t>
            </w:r>
          </w:p>
          <w:p w14:paraId="42E41B13" w14:textId="77777777" w:rsidR="00840FE5" w:rsidRPr="00BB0E86" w:rsidRDefault="00840FE5" w:rsidP="005B0052">
            <w:pPr>
              <w:spacing w:after="80" w:line="240" w:lineRule="auto"/>
              <w:rPr>
                <w:rFonts w:cs="Arial"/>
                <w:lang w:val="en-US"/>
              </w:rPr>
            </w:pPr>
            <w:r w:rsidRPr="00BB0E86">
              <w:rPr>
                <w:rFonts w:cs="Arial"/>
                <w:lang w:val="en-US"/>
              </w:rPr>
              <w:t>When used in this paper, a fixed link is a specific link used to provide interconnection between two locations that do not move. A fixed service is made up of one or more fixed links.</w:t>
            </w:r>
          </w:p>
          <w:p w14:paraId="43EF7EBF" w14:textId="609A056F" w:rsidR="00840FE5" w:rsidRDefault="007D28E7" w:rsidP="00E33377">
            <w:pPr>
              <w:pStyle w:val="TableBody"/>
              <w:rPr>
                <w:rFonts w:cs="Arial"/>
              </w:rPr>
            </w:pPr>
            <w:r>
              <w:rPr>
                <w:rFonts w:cs="Arial"/>
                <w:lang w:val="en-US"/>
              </w:rPr>
              <w:t>I</w:t>
            </w:r>
            <w:r w:rsidR="00840FE5" w:rsidRPr="00BB0E86">
              <w:rPr>
                <w:rFonts w:cs="Arial"/>
                <w:lang w:val="en-US"/>
              </w:rPr>
              <w:t>n this paper</w:t>
            </w:r>
            <w:r>
              <w:rPr>
                <w:rFonts w:cs="Arial"/>
                <w:lang w:val="en-US"/>
              </w:rPr>
              <w:t>, ‘f</w:t>
            </w:r>
            <w:r w:rsidRPr="00BB0E86">
              <w:rPr>
                <w:rFonts w:cs="Arial"/>
                <w:lang w:val="en-US"/>
              </w:rPr>
              <w:t>ixed</w:t>
            </w:r>
            <w:r>
              <w:rPr>
                <w:rFonts w:cs="Arial"/>
                <w:lang w:val="en-US"/>
              </w:rPr>
              <w:t>’</w:t>
            </w:r>
            <w:r w:rsidR="00840FE5" w:rsidRPr="00BB0E86">
              <w:rPr>
                <w:rFonts w:cs="Arial"/>
                <w:lang w:val="en-US"/>
              </w:rPr>
              <w:t xml:space="preserve"> does not refer to a telephone or similar device for voice based communications</w:t>
            </w:r>
            <w:r>
              <w:rPr>
                <w:rFonts w:cs="Arial"/>
                <w:lang w:val="en-US"/>
              </w:rPr>
              <w:t>—</w:t>
            </w:r>
            <w:r w:rsidR="005B0052">
              <w:rPr>
                <w:rFonts w:cs="Arial"/>
                <w:lang w:val="en-US"/>
              </w:rPr>
              <w:t>it refers to wireless rather than wired communications</w:t>
            </w:r>
            <w:r w:rsidR="00840FE5" w:rsidRPr="00BB0E86">
              <w:rPr>
                <w:rFonts w:cs="Arial"/>
                <w:lang w:val="en-US"/>
              </w:rPr>
              <w:t xml:space="preserve">. </w:t>
            </w:r>
          </w:p>
        </w:tc>
      </w:tr>
      <w:tr w:rsidR="00840FE5" w14:paraId="51AF060E" w14:textId="77777777" w:rsidTr="000C7414">
        <w:trPr>
          <w:cantSplit/>
        </w:trPr>
        <w:tc>
          <w:tcPr>
            <w:tcW w:w="2524" w:type="dxa"/>
            <w:tcBorders>
              <w:bottom w:val="single" w:sz="4" w:space="0" w:color="auto"/>
            </w:tcBorders>
            <w:shd w:val="clear" w:color="auto" w:fill="FFFFFF" w:themeFill="background1"/>
            <w:vAlign w:val="center"/>
          </w:tcPr>
          <w:p w14:paraId="476C256D" w14:textId="77777777" w:rsidR="00840FE5" w:rsidRDefault="00840FE5" w:rsidP="000C7414">
            <w:pPr>
              <w:pStyle w:val="TableBody"/>
              <w:rPr>
                <w:rFonts w:cs="Arial"/>
              </w:rPr>
            </w:pPr>
            <w:r w:rsidRPr="00356137">
              <w:rPr>
                <w:rFonts w:cs="Arial"/>
                <w:szCs w:val="20"/>
              </w:rPr>
              <w:t>GSM</w:t>
            </w:r>
          </w:p>
        </w:tc>
        <w:tc>
          <w:tcPr>
            <w:tcW w:w="6980" w:type="dxa"/>
            <w:tcBorders>
              <w:bottom w:val="single" w:sz="4" w:space="0" w:color="auto"/>
            </w:tcBorders>
            <w:shd w:val="clear" w:color="auto" w:fill="FFFFFF" w:themeFill="background1"/>
            <w:vAlign w:val="center"/>
          </w:tcPr>
          <w:p w14:paraId="1AE4AC34" w14:textId="720F1910" w:rsidR="00840FE5" w:rsidRDefault="00840FE5" w:rsidP="005B0052">
            <w:pPr>
              <w:pStyle w:val="TableBody"/>
              <w:rPr>
                <w:rFonts w:cs="Arial"/>
              </w:rPr>
            </w:pPr>
            <w:r w:rsidRPr="00BB0E86">
              <w:rPr>
                <w:rFonts w:cs="Arial"/>
                <w:szCs w:val="20"/>
              </w:rPr>
              <w:t xml:space="preserve">Global System for Mobile </w:t>
            </w:r>
            <w:r w:rsidR="005B0052">
              <w:rPr>
                <w:rFonts w:cs="Arial"/>
                <w:szCs w:val="20"/>
              </w:rPr>
              <w:t>C</w:t>
            </w:r>
            <w:r w:rsidRPr="00BB0E86">
              <w:rPr>
                <w:rFonts w:cs="Arial"/>
                <w:szCs w:val="20"/>
              </w:rPr>
              <w:t>ommunications, a 2G cellular standard.</w:t>
            </w:r>
          </w:p>
        </w:tc>
      </w:tr>
      <w:tr w:rsidR="00840FE5" w14:paraId="682C6F11" w14:textId="77777777" w:rsidTr="000C7414">
        <w:trPr>
          <w:cantSplit/>
        </w:trPr>
        <w:tc>
          <w:tcPr>
            <w:tcW w:w="2524" w:type="dxa"/>
            <w:shd w:val="clear" w:color="auto" w:fill="F2F2F2" w:themeFill="background1" w:themeFillShade="F2"/>
            <w:vAlign w:val="center"/>
          </w:tcPr>
          <w:p w14:paraId="428825A5" w14:textId="77777777" w:rsidR="00840FE5" w:rsidRDefault="00840FE5" w:rsidP="000C7414">
            <w:pPr>
              <w:pStyle w:val="TableBody"/>
              <w:rPr>
                <w:rFonts w:cs="Arial"/>
              </w:rPr>
            </w:pPr>
            <w:r w:rsidRPr="00356137">
              <w:rPr>
                <w:rFonts w:cs="Arial"/>
                <w:szCs w:val="20"/>
              </w:rPr>
              <w:t>GSM band</w:t>
            </w:r>
          </w:p>
        </w:tc>
        <w:tc>
          <w:tcPr>
            <w:tcW w:w="6980" w:type="dxa"/>
            <w:shd w:val="clear" w:color="auto" w:fill="F2F2F2" w:themeFill="background1" w:themeFillShade="F2"/>
            <w:vAlign w:val="center"/>
          </w:tcPr>
          <w:p w14:paraId="7C190D9E" w14:textId="203485E5" w:rsidR="00840FE5" w:rsidRDefault="00840FE5" w:rsidP="000C7414">
            <w:pPr>
              <w:pStyle w:val="TableBody"/>
              <w:rPr>
                <w:rFonts w:cs="Arial"/>
              </w:rPr>
            </w:pPr>
            <w:r w:rsidRPr="00BB0E86">
              <w:rPr>
                <w:rFonts w:cs="Arial"/>
                <w:szCs w:val="20"/>
              </w:rPr>
              <w:t>Informal name for the frequency range 890</w:t>
            </w:r>
            <w:r w:rsidR="007D28E7">
              <w:rPr>
                <w:rFonts w:cs="Arial"/>
                <w:szCs w:val="20"/>
              </w:rPr>
              <w:t>–</w:t>
            </w:r>
            <w:r w:rsidRPr="00BB0E86">
              <w:rPr>
                <w:rFonts w:cs="Arial"/>
                <w:szCs w:val="20"/>
              </w:rPr>
              <w:t>915/935</w:t>
            </w:r>
            <w:r w:rsidR="007D28E7">
              <w:rPr>
                <w:rFonts w:cs="Arial"/>
                <w:szCs w:val="20"/>
              </w:rPr>
              <w:t>–</w:t>
            </w:r>
            <w:r w:rsidRPr="00BB0E86">
              <w:rPr>
                <w:rFonts w:cs="Arial"/>
                <w:szCs w:val="20"/>
              </w:rPr>
              <w:t>960 MHz, a subset of the 900 MHz band, which has historically been used for the delivery of 2G GSM services, but now also used for 3G and 4G services</w:t>
            </w:r>
            <w:r w:rsidR="005B0052">
              <w:rPr>
                <w:rFonts w:cs="Arial"/>
                <w:szCs w:val="20"/>
              </w:rPr>
              <w:t>.</w:t>
            </w:r>
          </w:p>
        </w:tc>
      </w:tr>
      <w:tr w:rsidR="00840FE5" w14:paraId="4CD0F385" w14:textId="77777777" w:rsidTr="000C7414">
        <w:trPr>
          <w:cantSplit/>
        </w:trPr>
        <w:tc>
          <w:tcPr>
            <w:tcW w:w="2524" w:type="dxa"/>
            <w:tcBorders>
              <w:bottom w:val="single" w:sz="4" w:space="0" w:color="auto"/>
            </w:tcBorders>
            <w:shd w:val="clear" w:color="auto" w:fill="FFFFFF" w:themeFill="background1"/>
            <w:vAlign w:val="center"/>
          </w:tcPr>
          <w:p w14:paraId="0BADC502" w14:textId="77777777" w:rsidR="00840FE5" w:rsidRDefault="00840FE5" w:rsidP="000C7414">
            <w:pPr>
              <w:pStyle w:val="TableBody"/>
              <w:rPr>
                <w:rFonts w:cs="Arial"/>
              </w:rPr>
            </w:pPr>
            <w:r w:rsidRPr="00356137">
              <w:rPr>
                <w:rFonts w:cs="Arial"/>
                <w:szCs w:val="20"/>
              </w:rPr>
              <w:t>Guard band</w:t>
            </w:r>
          </w:p>
        </w:tc>
        <w:tc>
          <w:tcPr>
            <w:tcW w:w="6980" w:type="dxa"/>
            <w:tcBorders>
              <w:bottom w:val="single" w:sz="4" w:space="0" w:color="auto"/>
            </w:tcBorders>
            <w:shd w:val="clear" w:color="auto" w:fill="FFFFFF" w:themeFill="background1"/>
            <w:vAlign w:val="center"/>
          </w:tcPr>
          <w:p w14:paraId="246B8B6F" w14:textId="77777777" w:rsidR="00840FE5" w:rsidRDefault="00840FE5" w:rsidP="000C7414">
            <w:pPr>
              <w:pStyle w:val="TableBody"/>
              <w:rPr>
                <w:rFonts w:cs="Arial"/>
              </w:rPr>
            </w:pPr>
            <w:r w:rsidRPr="00BB0E86">
              <w:rPr>
                <w:rFonts w:cs="Arial"/>
                <w:szCs w:val="20"/>
              </w:rPr>
              <w:t>A frequency band that is either deliberately vacant or has specific operating conditions to minimise intra-band interference between the two bands on either side (analogous to a ‘buffer’).</w:t>
            </w:r>
          </w:p>
        </w:tc>
      </w:tr>
      <w:tr w:rsidR="00840FE5" w14:paraId="45B0FEBD" w14:textId="77777777" w:rsidTr="000C7414">
        <w:trPr>
          <w:cantSplit/>
        </w:trPr>
        <w:tc>
          <w:tcPr>
            <w:tcW w:w="2524" w:type="dxa"/>
            <w:tcBorders>
              <w:bottom w:val="single" w:sz="4" w:space="0" w:color="auto"/>
            </w:tcBorders>
            <w:shd w:val="clear" w:color="auto" w:fill="F2F2F2" w:themeFill="background1" w:themeFillShade="F2"/>
            <w:vAlign w:val="center"/>
          </w:tcPr>
          <w:p w14:paraId="071B1920" w14:textId="77777777" w:rsidR="00840FE5" w:rsidRDefault="00840FE5" w:rsidP="000C7414">
            <w:pPr>
              <w:pStyle w:val="TableBody"/>
              <w:rPr>
                <w:rFonts w:cs="Arial"/>
              </w:rPr>
            </w:pPr>
            <w:r w:rsidRPr="00356137">
              <w:rPr>
                <w:rFonts w:cs="Arial"/>
                <w:szCs w:val="20"/>
              </w:rPr>
              <w:t>International spectrum harmonisation</w:t>
            </w:r>
          </w:p>
        </w:tc>
        <w:tc>
          <w:tcPr>
            <w:tcW w:w="6980" w:type="dxa"/>
            <w:tcBorders>
              <w:bottom w:val="single" w:sz="4" w:space="0" w:color="auto"/>
            </w:tcBorders>
            <w:shd w:val="clear" w:color="auto" w:fill="F2F2F2" w:themeFill="background1" w:themeFillShade="F2"/>
            <w:vAlign w:val="center"/>
          </w:tcPr>
          <w:p w14:paraId="359F9201" w14:textId="77777777" w:rsidR="00840FE5" w:rsidRDefault="00840FE5" w:rsidP="000C7414">
            <w:pPr>
              <w:pStyle w:val="TableBody"/>
              <w:rPr>
                <w:rFonts w:cs="Arial"/>
              </w:rPr>
            </w:pPr>
            <w:r w:rsidRPr="00BB0E86">
              <w:rPr>
                <w:rFonts w:cs="Arial"/>
                <w:szCs w:val="20"/>
              </w:rPr>
              <w:t>International spectrum harmonisation is the generally desirable outcome where radiocommunications services operate throughout the world in a similar spectrum band. This facilitates lower cost equipment due to the economies of scale.</w:t>
            </w:r>
          </w:p>
        </w:tc>
      </w:tr>
      <w:tr w:rsidR="00840FE5" w14:paraId="62DB1F97" w14:textId="77777777" w:rsidTr="000C7414">
        <w:trPr>
          <w:cantSplit/>
        </w:trPr>
        <w:tc>
          <w:tcPr>
            <w:tcW w:w="2524" w:type="dxa"/>
            <w:tcBorders>
              <w:bottom w:val="single" w:sz="4" w:space="0" w:color="auto"/>
            </w:tcBorders>
            <w:shd w:val="clear" w:color="auto" w:fill="FFFFFF" w:themeFill="background1"/>
            <w:vAlign w:val="center"/>
          </w:tcPr>
          <w:p w14:paraId="3229725A" w14:textId="77777777" w:rsidR="00840FE5" w:rsidRDefault="00840FE5" w:rsidP="000C7414">
            <w:pPr>
              <w:pStyle w:val="TableBody"/>
              <w:rPr>
                <w:rFonts w:cs="Arial"/>
              </w:rPr>
            </w:pPr>
            <w:r w:rsidRPr="00356137">
              <w:rPr>
                <w:rFonts w:cs="Arial"/>
                <w:szCs w:val="20"/>
              </w:rPr>
              <w:t>International Telecommunication Union (ITU)</w:t>
            </w:r>
          </w:p>
        </w:tc>
        <w:tc>
          <w:tcPr>
            <w:tcW w:w="6980" w:type="dxa"/>
            <w:tcBorders>
              <w:bottom w:val="single" w:sz="4" w:space="0" w:color="auto"/>
            </w:tcBorders>
            <w:shd w:val="clear" w:color="auto" w:fill="FFFFFF" w:themeFill="background1"/>
            <w:vAlign w:val="center"/>
          </w:tcPr>
          <w:p w14:paraId="7B14AA6D" w14:textId="77777777" w:rsidR="00840FE5" w:rsidRDefault="00840FE5" w:rsidP="00DD01F0">
            <w:pPr>
              <w:pStyle w:val="TableBody"/>
              <w:rPr>
                <w:rFonts w:cs="Arial"/>
              </w:rPr>
            </w:pPr>
            <w:r w:rsidRPr="00BB0E86">
              <w:rPr>
                <w:rFonts w:cs="Arial"/>
                <w:szCs w:val="20"/>
              </w:rPr>
              <w:t>The ITU is a specialised agency of the United Nations that is responsible for issues that concern information and communication technologies. The ITU coordinates the shared global use of radio spectrum and assists in the development of spectrum harmonisation arrangements.</w:t>
            </w:r>
          </w:p>
        </w:tc>
      </w:tr>
      <w:tr w:rsidR="00DD01F0" w14:paraId="6E4AD994" w14:textId="77777777" w:rsidTr="000C7414">
        <w:trPr>
          <w:cantSplit/>
        </w:trPr>
        <w:tc>
          <w:tcPr>
            <w:tcW w:w="2524" w:type="dxa"/>
            <w:tcBorders>
              <w:bottom w:val="single" w:sz="4" w:space="0" w:color="auto"/>
            </w:tcBorders>
            <w:shd w:val="clear" w:color="auto" w:fill="FFFFFF" w:themeFill="background1"/>
            <w:vAlign w:val="center"/>
          </w:tcPr>
          <w:p w14:paraId="0B57D7C6" w14:textId="77777777" w:rsidR="00DD01F0" w:rsidRPr="00356137" w:rsidRDefault="00DD01F0" w:rsidP="000C7414">
            <w:pPr>
              <w:pStyle w:val="TableBody"/>
              <w:rPr>
                <w:rFonts w:cs="Arial"/>
                <w:szCs w:val="20"/>
              </w:rPr>
            </w:pPr>
            <w:r>
              <w:rPr>
                <w:rFonts w:cs="Arial"/>
                <w:szCs w:val="20"/>
              </w:rPr>
              <w:t>IMT</w:t>
            </w:r>
          </w:p>
        </w:tc>
        <w:tc>
          <w:tcPr>
            <w:tcW w:w="6980" w:type="dxa"/>
            <w:tcBorders>
              <w:bottom w:val="single" w:sz="4" w:space="0" w:color="auto"/>
            </w:tcBorders>
            <w:shd w:val="clear" w:color="auto" w:fill="FFFFFF" w:themeFill="background1"/>
            <w:vAlign w:val="center"/>
          </w:tcPr>
          <w:p w14:paraId="43FD7A55" w14:textId="77777777" w:rsidR="00DD01F0" w:rsidRPr="00BB0E86" w:rsidRDefault="00DD01F0" w:rsidP="00DD01F0">
            <w:pPr>
              <w:pStyle w:val="TableBody"/>
              <w:rPr>
                <w:rFonts w:cs="Arial"/>
                <w:szCs w:val="20"/>
              </w:rPr>
            </w:pPr>
            <w:r>
              <w:t>International Mobile Telecommunications (IMT) encompasses IMT-2000 and IMT-Advanced, and defines the requirements of 3</w:t>
            </w:r>
            <w:r w:rsidRPr="00EB7917">
              <w:rPr>
                <w:vertAlign w:val="superscript"/>
              </w:rPr>
              <w:t>rd</w:t>
            </w:r>
            <w:r>
              <w:t xml:space="preserve"> generation (3G) and 4</w:t>
            </w:r>
            <w:r w:rsidRPr="00EB7917">
              <w:rPr>
                <w:vertAlign w:val="superscript"/>
              </w:rPr>
              <w:t>th</w:t>
            </w:r>
            <w:r>
              <w:t xml:space="preserve"> generation (4G) technologies.</w:t>
            </w:r>
          </w:p>
        </w:tc>
      </w:tr>
      <w:tr w:rsidR="00840FE5" w14:paraId="58E43E3C" w14:textId="77777777" w:rsidTr="000C7414">
        <w:trPr>
          <w:cantSplit/>
        </w:trPr>
        <w:tc>
          <w:tcPr>
            <w:tcW w:w="2524" w:type="dxa"/>
            <w:tcBorders>
              <w:bottom w:val="single" w:sz="4" w:space="0" w:color="auto"/>
            </w:tcBorders>
            <w:shd w:val="clear" w:color="auto" w:fill="F2F2F2" w:themeFill="background1" w:themeFillShade="F2"/>
            <w:vAlign w:val="center"/>
          </w:tcPr>
          <w:p w14:paraId="488A06A4" w14:textId="77777777" w:rsidR="00840FE5" w:rsidRDefault="00840FE5" w:rsidP="000C7414">
            <w:pPr>
              <w:pStyle w:val="TableBody"/>
              <w:rPr>
                <w:rFonts w:cs="Arial"/>
              </w:rPr>
            </w:pPr>
            <w:r w:rsidRPr="00356137">
              <w:rPr>
                <w:rFonts w:cs="Arial"/>
                <w:szCs w:val="20"/>
              </w:rPr>
              <w:t>LIPD</w:t>
            </w:r>
          </w:p>
        </w:tc>
        <w:tc>
          <w:tcPr>
            <w:tcW w:w="6980" w:type="dxa"/>
            <w:tcBorders>
              <w:bottom w:val="single" w:sz="4" w:space="0" w:color="auto"/>
            </w:tcBorders>
            <w:shd w:val="clear" w:color="auto" w:fill="F2F2F2" w:themeFill="background1" w:themeFillShade="F2"/>
            <w:vAlign w:val="center"/>
          </w:tcPr>
          <w:p w14:paraId="722D8F6D" w14:textId="65C9A5DE" w:rsidR="00840FE5" w:rsidRDefault="00840FE5" w:rsidP="000C7414">
            <w:pPr>
              <w:pStyle w:val="TableBody"/>
              <w:rPr>
                <w:rFonts w:cs="Arial"/>
              </w:rPr>
            </w:pPr>
            <w:r w:rsidRPr="00BB0E86">
              <w:rPr>
                <w:rFonts w:cs="Arial"/>
                <w:szCs w:val="20"/>
              </w:rPr>
              <w:t xml:space="preserve">Low Interference Potential Device. Also refers to the LIPD Class Licence, which is a standing authorisation for ubiquitous consumer and industrial LIPDs (including </w:t>
            </w:r>
            <w:r w:rsidR="000924A6" w:rsidRPr="00BB0E86">
              <w:rPr>
                <w:rFonts w:cs="Arial"/>
                <w:szCs w:val="20"/>
              </w:rPr>
              <w:t>Wi-Fi</w:t>
            </w:r>
            <w:r w:rsidRPr="00BB0E86">
              <w:rPr>
                <w:rFonts w:cs="Arial"/>
                <w:szCs w:val="20"/>
              </w:rPr>
              <w:t xml:space="preserve"> and Bluetooth devices, garage door controllers, smart metering devices etc.).</w:t>
            </w:r>
          </w:p>
        </w:tc>
      </w:tr>
      <w:tr w:rsidR="00840FE5" w14:paraId="13FE76CC" w14:textId="77777777" w:rsidTr="000C7414">
        <w:trPr>
          <w:cantSplit/>
        </w:trPr>
        <w:tc>
          <w:tcPr>
            <w:tcW w:w="2524" w:type="dxa"/>
            <w:tcBorders>
              <w:bottom w:val="single" w:sz="4" w:space="0" w:color="auto"/>
            </w:tcBorders>
            <w:shd w:val="clear" w:color="auto" w:fill="FFFFFF" w:themeFill="background1"/>
            <w:vAlign w:val="center"/>
          </w:tcPr>
          <w:p w14:paraId="47346487" w14:textId="77777777" w:rsidR="00840FE5" w:rsidRDefault="00840FE5" w:rsidP="000C7414">
            <w:pPr>
              <w:pStyle w:val="TableBody"/>
              <w:rPr>
                <w:rFonts w:cs="Arial"/>
              </w:rPr>
            </w:pPr>
            <w:r w:rsidRPr="00356137">
              <w:rPr>
                <w:rFonts w:cs="Arial"/>
                <w:szCs w:val="20"/>
              </w:rPr>
              <w:t>LMS</w:t>
            </w:r>
          </w:p>
        </w:tc>
        <w:tc>
          <w:tcPr>
            <w:tcW w:w="6980" w:type="dxa"/>
            <w:tcBorders>
              <w:bottom w:val="single" w:sz="4" w:space="0" w:color="auto"/>
            </w:tcBorders>
            <w:shd w:val="clear" w:color="auto" w:fill="FFFFFF" w:themeFill="background1"/>
            <w:vAlign w:val="center"/>
          </w:tcPr>
          <w:p w14:paraId="40017BFD" w14:textId="50C685BE" w:rsidR="00840FE5" w:rsidRDefault="00840FE5" w:rsidP="000C7414">
            <w:pPr>
              <w:pStyle w:val="TableBody"/>
              <w:rPr>
                <w:rFonts w:cs="Arial"/>
              </w:rPr>
            </w:pPr>
            <w:r w:rsidRPr="00BB0E86">
              <w:rPr>
                <w:rFonts w:cs="Arial"/>
                <w:szCs w:val="20"/>
              </w:rPr>
              <w:t>Land Mobile Service</w:t>
            </w:r>
            <w:r w:rsidR="007D28E7">
              <w:rPr>
                <w:rFonts w:cs="Arial"/>
                <w:szCs w:val="20"/>
              </w:rPr>
              <w:t>—</w:t>
            </w:r>
            <w:r w:rsidRPr="00BB0E86">
              <w:rPr>
                <w:rFonts w:cs="Arial"/>
                <w:szCs w:val="20"/>
              </w:rPr>
              <w:t xml:space="preserve">as distinct from </w:t>
            </w:r>
            <w:r w:rsidR="007D28E7">
              <w:rPr>
                <w:rFonts w:cs="Arial"/>
                <w:szCs w:val="20"/>
              </w:rPr>
              <w:t>‘</w:t>
            </w:r>
            <w:r w:rsidRPr="00BB0E86">
              <w:rPr>
                <w:rFonts w:cs="Arial"/>
                <w:szCs w:val="20"/>
              </w:rPr>
              <w:t>cellular</w:t>
            </w:r>
            <w:r w:rsidR="007D28E7">
              <w:rPr>
                <w:rFonts w:cs="Arial"/>
                <w:szCs w:val="20"/>
              </w:rPr>
              <w:t>’</w:t>
            </w:r>
            <w:r w:rsidRPr="00BB0E86">
              <w:rPr>
                <w:rFonts w:cs="Arial"/>
                <w:szCs w:val="20"/>
              </w:rPr>
              <w:t xml:space="preserve"> mobile, is the general name given to narrowband, predominantly push-to-talk radio where a single site covers a broad area.</w:t>
            </w:r>
          </w:p>
        </w:tc>
      </w:tr>
      <w:tr w:rsidR="00840FE5" w14:paraId="4A24644D" w14:textId="77777777" w:rsidTr="000C7414">
        <w:trPr>
          <w:cantSplit/>
        </w:trPr>
        <w:tc>
          <w:tcPr>
            <w:tcW w:w="2524" w:type="dxa"/>
            <w:tcBorders>
              <w:bottom w:val="single" w:sz="4" w:space="0" w:color="auto"/>
            </w:tcBorders>
            <w:shd w:val="clear" w:color="auto" w:fill="F2F2F2" w:themeFill="background1" w:themeFillShade="F2"/>
            <w:vAlign w:val="center"/>
          </w:tcPr>
          <w:p w14:paraId="24203A71" w14:textId="77777777" w:rsidR="00840FE5" w:rsidRDefault="00840FE5" w:rsidP="000C7414">
            <w:pPr>
              <w:pStyle w:val="TableBody"/>
              <w:rPr>
                <w:rFonts w:cs="Arial"/>
              </w:rPr>
            </w:pPr>
            <w:r w:rsidRPr="00356137">
              <w:rPr>
                <w:rFonts w:cs="Arial"/>
                <w:szCs w:val="20"/>
              </w:rPr>
              <w:t>LTE</w:t>
            </w:r>
          </w:p>
        </w:tc>
        <w:tc>
          <w:tcPr>
            <w:tcW w:w="6980" w:type="dxa"/>
            <w:tcBorders>
              <w:bottom w:val="single" w:sz="4" w:space="0" w:color="auto"/>
            </w:tcBorders>
            <w:shd w:val="clear" w:color="auto" w:fill="F2F2F2" w:themeFill="background1" w:themeFillShade="F2"/>
            <w:vAlign w:val="center"/>
          </w:tcPr>
          <w:p w14:paraId="036EBBB9" w14:textId="6B05A549" w:rsidR="00840FE5" w:rsidRDefault="00840FE5" w:rsidP="000C7414">
            <w:pPr>
              <w:pStyle w:val="TableBody"/>
              <w:rPr>
                <w:rFonts w:cs="Arial"/>
              </w:rPr>
            </w:pPr>
            <w:r w:rsidRPr="00BB0E86">
              <w:rPr>
                <w:rFonts w:cs="Arial"/>
                <w:szCs w:val="20"/>
              </w:rPr>
              <w:t>Long Term Evolution</w:t>
            </w:r>
            <w:r w:rsidR="007D28E7">
              <w:rPr>
                <w:rFonts w:cs="Arial"/>
                <w:szCs w:val="20"/>
              </w:rPr>
              <w:t>—</w:t>
            </w:r>
            <w:r w:rsidRPr="00BB0E86">
              <w:rPr>
                <w:rFonts w:cs="Arial"/>
                <w:szCs w:val="20"/>
              </w:rPr>
              <w:t xml:space="preserve">a 3GPP technology standard for </w:t>
            </w:r>
            <w:hyperlink r:id="rId32" w:tooltip="Wireless" w:history="1">
              <w:r w:rsidRPr="00BB0E86">
                <w:rPr>
                  <w:rFonts w:cs="Arial"/>
                  <w:szCs w:val="20"/>
                </w:rPr>
                <w:t>wireless</w:t>
              </w:r>
            </w:hyperlink>
            <w:r w:rsidRPr="00BB0E86">
              <w:rPr>
                <w:rFonts w:cs="Arial"/>
                <w:szCs w:val="20"/>
              </w:rPr>
              <w:t xml:space="preserve"> communications including high-speed data for mobile devices </w:t>
            </w:r>
          </w:p>
        </w:tc>
      </w:tr>
      <w:tr w:rsidR="00840FE5" w14:paraId="7108C555" w14:textId="77777777" w:rsidTr="000C7414">
        <w:trPr>
          <w:cantSplit/>
        </w:trPr>
        <w:tc>
          <w:tcPr>
            <w:tcW w:w="2524" w:type="dxa"/>
            <w:tcBorders>
              <w:bottom w:val="single" w:sz="4" w:space="0" w:color="auto"/>
            </w:tcBorders>
            <w:shd w:val="clear" w:color="auto" w:fill="FFFFFF" w:themeFill="background1"/>
            <w:vAlign w:val="center"/>
          </w:tcPr>
          <w:p w14:paraId="7128AB5F" w14:textId="77777777" w:rsidR="00840FE5" w:rsidRDefault="00840FE5" w:rsidP="000C7414">
            <w:pPr>
              <w:pStyle w:val="TableBody"/>
              <w:rPr>
                <w:rFonts w:cs="Arial"/>
              </w:rPr>
            </w:pPr>
            <w:r w:rsidRPr="00356137">
              <w:rPr>
                <w:rFonts w:cs="Arial"/>
                <w:szCs w:val="20"/>
              </w:rPr>
              <w:t>Machine-to-machine (M2M)</w:t>
            </w:r>
          </w:p>
        </w:tc>
        <w:tc>
          <w:tcPr>
            <w:tcW w:w="6980" w:type="dxa"/>
            <w:tcBorders>
              <w:bottom w:val="single" w:sz="4" w:space="0" w:color="auto"/>
            </w:tcBorders>
            <w:shd w:val="clear" w:color="auto" w:fill="FFFFFF" w:themeFill="background1"/>
            <w:vAlign w:val="center"/>
          </w:tcPr>
          <w:p w14:paraId="40434DB4" w14:textId="77777777" w:rsidR="00840FE5" w:rsidRDefault="00840FE5" w:rsidP="000C7414">
            <w:pPr>
              <w:pStyle w:val="TableBody"/>
              <w:rPr>
                <w:rFonts w:cs="Arial"/>
              </w:rPr>
            </w:pPr>
            <w:r w:rsidRPr="00BB0E86">
              <w:rPr>
                <w:rFonts w:cs="Arial"/>
                <w:szCs w:val="20"/>
              </w:rPr>
              <w:t>Machine-to-machine is a concept that allows communications between devices of the same type for the purposes of monitoring or providing sensor capabilities</w:t>
            </w:r>
          </w:p>
        </w:tc>
      </w:tr>
      <w:tr w:rsidR="00840FE5" w14:paraId="54213DEA" w14:textId="77777777" w:rsidTr="000C7414">
        <w:trPr>
          <w:cantSplit/>
        </w:trPr>
        <w:tc>
          <w:tcPr>
            <w:tcW w:w="2524" w:type="dxa"/>
            <w:tcBorders>
              <w:bottom w:val="single" w:sz="4" w:space="0" w:color="auto"/>
            </w:tcBorders>
            <w:shd w:val="clear" w:color="auto" w:fill="F2F2F2" w:themeFill="background1" w:themeFillShade="F2"/>
            <w:vAlign w:val="center"/>
          </w:tcPr>
          <w:p w14:paraId="78875100" w14:textId="77777777" w:rsidR="00840FE5" w:rsidRDefault="00840FE5" w:rsidP="000C7414">
            <w:pPr>
              <w:pStyle w:val="TableBody"/>
              <w:rPr>
                <w:rFonts w:cs="Arial"/>
              </w:rPr>
            </w:pPr>
            <w:r w:rsidRPr="00356137">
              <w:rPr>
                <w:rFonts w:cs="Arial"/>
                <w:szCs w:val="20"/>
              </w:rPr>
              <w:t>Mobile broadband</w:t>
            </w:r>
          </w:p>
        </w:tc>
        <w:tc>
          <w:tcPr>
            <w:tcW w:w="6980" w:type="dxa"/>
            <w:tcBorders>
              <w:bottom w:val="single" w:sz="4" w:space="0" w:color="auto"/>
            </w:tcBorders>
            <w:shd w:val="clear" w:color="auto" w:fill="F2F2F2" w:themeFill="background1" w:themeFillShade="F2"/>
            <w:vAlign w:val="center"/>
          </w:tcPr>
          <w:p w14:paraId="7A3B6867" w14:textId="77777777" w:rsidR="00840FE5" w:rsidRDefault="00840FE5" w:rsidP="000C7414">
            <w:pPr>
              <w:pStyle w:val="TableBody"/>
              <w:rPr>
                <w:rFonts w:cs="Arial"/>
              </w:rPr>
            </w:pPr>
            <w:r w:rsidRPr="00BB0E86">
              <w:rPr>
                <w:rFonts w:cs="Arial"/>
                <w:szCs w:val="20"/>
              </w:rPr>
              <w:t xml:space="preserve">Mobile broadband means the variety of ways an internet service is delivered via a mobile network, typically comprising mobile wireless internet services provided via a dongle, USB modem or data card service, or mobile phone handset internet services. </w:t>
            </w:r>
          </w:p>
        </w:tc>
      </w:tr>
      <w:tr w:rsidR="00840FE5" w14:paraId="3DA544A1" w14:textId="77777777" w:rsidTr="000C7414">
        <w:trPr>
          <w:cantSplit/>
        </w:trPr>
        <w:tc>
          <w:tcPr>
            <w:tcW w:w="2524" w:type="dxa"/>
            <w:tcBorders>
              <w:bottom w:val="single" w:sz="4" w:space="0" w:color="auto"/>
            </w:tcBorders>
            <w:shd w:val="clear" w:color="auto" w:fill="FFFFFF" w:themeFill="background1"/>
            <w:vAlign w:val="center"/>
          </w:tcPr>
          <w:p w14:paraId="1A5115A6" w14:textId="77777777" w:rsidR="00840FE5" w:rsidRDefault="00840FE5" w:rsidP="000C7414">
            <w:pPr>
              <w:pStyle w:val="TableBody"/>
              <w:rPr>
                <w:rFonts w:cs="Arial"/>
              </w:rPr>
            </w:pPr>
            <w:r w:rsidRPr="00356137">
              <w:rPr>
                <w:rFonts w:cs="Arial"/>
                <w:szCs w:val="20"/>
              </w:rPr>
              <w:t>Mobile service</w:t>
            </w:r>
          </w:p>
        </w:tc>
        <w:tc>
          <w:tcPr>
            <w:tcW w:w="6980" w:type="dxa"/>
            <w:tcBorders>
              <w:bottom w:val="single" w:sz="4" w:space="0" w:color="auto"/>
            </w:tcBorders>
            <w:shd w:val="clear" w:color="auto" w:fill="FFFFFF" w:themeFill="background1"/>
            <w:vAlign w:val="center"/>
          </w:tcPr>
          <w:p w14:paraId="33B83A67" w14:textId="52A2C480" w:rsidR="00840FE5" w:rsidRDefault="00840FE5" w:rsidP="000C7414">
            <w:pPr>
              <w:pStyle w:val="TableBody"/>
              <w:rPr>
                <w:rFonts w:cs="Arial"/>
              </w:rPr>
            </w:pPr>
            <w:r w:rsidRPr="00BB0E86">
              <w:rPr>
                <w:rFonts w:cs="Arial"/>
                <w:lang w:val="en-US"/>
              </w:rPr>
              <w:t>When used in this paper, a mobile service means the operation of a radiocommunications service to allow communications between two locations that move, i.e. those points are mobile and are not limited to a particular point on or near the surface of the Earth.</w:t>
            </w:r>
          </w:p>
        </w:tc>
      </w:tr>
      <w:tr w:rsidR="00840FE5" w14:paraId="2512F6A8" w14:textId="77777777" w:rsidTr="000C7414">
        <w:trPr>
          <w:cantSplit/>
        </w:trPr>
        <w:tc>
          <w:tcPr>
            <w:tcW w:w="2524" w:type="dxa"/>
            <w:tcBorders>
              <w:bottom w:val="single" w:sz="4" w:space="0" w:color="auto"/>
            </w:tcBorders>
            <w:shd w:val="clear" w:color="auto" w:fill="F2F2F2" w:themeFill="background1" w:themeFillShade="F2"/>
            <w:vAlign w:val="center"/>
          </w:tcPr>
          <w:p w14:paraId="0846ABB5" w14:textId="77777777" w:rsidR="00840FE5" w:rsidRDefault="00840FE5" w:rsidP="000C7414">
            <w:pPr>
              <w:pStyle w:val="TableBody"/>
              <w:rPr>
                <w:rFonts w:cs="Arial"/>
              </w:rPr>
            </w:pPr>
            <w:r w:rsidRPr="00356137">
              <w:rPr>
                <w:rFonts w:cs="Arial"/>
                <w:szCs w:val="20"/>
              </w:rPr>
              <w:t>Primary status</w:t>
            </w:r>
          </w:p>
        </w:tc>
        <w:tc>
          <w:tcPr>
            <w:tcW w:w="6980" w:type="dxa"/>
            <w:tcBorders>
              <w:bottom w:val="single" w:sz="4" w:space="0" w:color="auto"/>
            </w:tcBorders>
            <w:shd w:val="clear" w:color="auto" w:fill="F2F2F2" w:themeFill="background1" w:themeFillShade="F2"/>
            <w:vAlign w:val="center"/>
          </w:tcPr>
          <w:p w14:paraId="1A3602B7" w14:textId="6DFC3B9A" w:rsidR="00840FE5" w:rsidRDefault="00840FE5" w:rsidP="00C23BD7">
            <w:pPr>
              <w:pStyle w:val="TableBody"/>
              <w:rPr>
                <w:rFonts w:cs="Arial"/>
              </w:rPr>
            </w:pPr>
            <w:r w:rsidRPr="00BB0E86">
              <w:rPr>
                <w:rFonts w:cs="Arial"/>
                <w:szCs w:val="20"/>
              </w:rPr>
              <w:t xml:space="preserve">When used in this paper, primary status means a radiocommunications service is operating within a particular frequency range as specified in the Australia Radiofrequency Spectrum Plan and that service is required to not cause interference to other services. That service is also afforded protection from interference from non-primary services. </w:t>
            </w:r>
          </w:p>
        </w:tc>
      </w:tr>
      <w:tr w:rsidR="00840FE5" w14:paraId="59EDE30B" w14:textId="77777777" w:rsidTr="000C7414">
        <w:trPr>
          <w:cantSplit/>
        </w:trPr>
        <w:tc>
          <w:tcPr>
            <w:tcW w:w="2524" w:type="dxa"/>
            <w:tcBorders>
              <w:bottom w:val="single" w:sz="4" w:space="0" w:color="auto"/>
            </w:tcBorders>
            <w:shd w:val="clear" w:color="auto" w:fill="FFFFFF" w:themeFill="background1"/>
            <w:vAlign w:val="center"/>
          </w:tcPr>
          <w:p w14:paraId="638D4C24" w14:textId="77777777" w:rsidR="00840FE5" w:rsidRDefault="00840FE5" w:rsidP="000C7414">
            <w:pPr>
              <w:pStyle w:val="TableBody"/>
              <w:rPr>
                <w:rFonts w:cs="Arial"/>
              </w:rPr>
            </w:pPr>
            <w:r w:rsidRPr="00356137">
              <w:rPr>
                <w:rFonts w:cs="Arial"/>
                <w:szCs w:val="20"/>
              </w:rPr>
              <w:t>PSMB</w:t>
            </w:r>
          </w:p>
        </w:tc>
        <w:tc>
          <w:tcPr>
            <w:tcW w:w="6980" w:type="dxa"/>
            <w:tcBorders>
              <w:bottom w:val="single" w:sz="4" w:space="0" w:color="auto"/>
            </w:tcBorders>
            <w:shd w:val="clear" w:color="auto" w:fill="FFFFFF" w:themeFill="background1"/>
            <w:vAlign w:val="center"/>
          </w:tcPr>
          <w:p w14:paraId="3EAEFB5D" w14:textId="49593A64" w:rsidR="00840FE5" w:rsidRDefault="00840FE5" w:rsidP="000C7414">
            <w:pPr>
              <w:pStyle w:val="TableBody"/>
              <w:rPr>
                <w:rFonts w:cs="Arial"/>
              </w:rPr>
            </w:pPr>
            <w:r w:rsidRPr="00BB0E86">
              <w:rPr>
                <w:rFonts w:cs="Arial"/>
                <w:szCs w:val="20"/>
              </w:rPr>
              <w:t>Public Safety Mobile Broadband</w:t>
            </w:r>
            <w:r w:rsidR="007D28E7">
              <w:rPr>
                <w:rFonts w:cs="Arial"/>
                <w:szCs w:val="20"/>
              </w:rPr>
              <w:t>—</w:t>
            </w:r>
            <w:r w:rsidRPr="00BB0E86">
              <w:rPr>
                <w:rFonts w:cs="Arial"/>
                <w:szCs w:val="20"/>
              </w:rPr>
              <w:t>a proposed cellular mobile broadband capability for public safety agencies.</w:t>
            </w:r>
          </w:p>
        </w:tc>
      </w:tr>
      <w:tr w:rsidR="00840FE5" w14:paraId="3815DC54" w14:textId="77777777" w:rsidTr="000C7414">
        <w:trPr>
          <w:cantSplit/>
        </w:trPr>
        <w:tc>
          <w:tcPr>
            <w:tcW w:w="2524" w:type="dxa"/>
            <w:tcBorders>
              <w:bottom w:val="single" w:sz="4" w:space="0" w:color="auto"/>
            </w:tcBorders>
            <w:shd w:val="clear" w:color="auto" w:fill="F2F2F2" w:themeFill="background1" w:themeFillShade="F2"/>
            <w:vAlign w:val="center"/>
          </w:tcPr>
          <w:p w14:paraId="162C090C" w14:textId="77777777" w:rsidR="00840FE5" w:rsidRDefault="00840FE5" w:rsidP="000C7414">
            <w:pPr>
              <w:pStyle w:val="TableBody"/>
              <w:rPr>
                <w:rFonts w:cs="Arial"/>
              </w:rPr>
            </w:pPr>
            <w:r w:rsidRPr="00356137">
              <w:rPr>
                <w:rFonts w:cs="Arial"/>
                <w:szCs w:val="20"/>
              </w:rPr>
              <w:t>RALI</w:t>
            </w:r>
          </w:p>
        </w:tc>
        <w:tc>
          <w:tcPr>
            <w:tcW w:w="6980" w:type="dxa"/>
            <w:tcBorders>
              <w:bottom w:val="single" w:sz="4" w:space="0" w:color="auto"/>
            </w:tcBorders>
            <w:shd w:val="clear" w:color="auto" w:fill="F2F2F2" w:themeFill="background1" w:themeFillShade="F2"/>
            <w:vAlign w:val="center"/>
          </w:tcPr>
          <w:p w14:paraId="3263C1FD" w14:textId="77777777" w:rsidR="00840FE5" w:rsidRDefault="00840FE5" w:rsidP="000C7414">
            <w:pPr>
              <w:pStyle w:val="TableBody"/>
              <w:rPr>
                <w:rFonts w:cs="Arial"/>
              </w:rPr>
            </w:pPr>
            <w:r w:rsidRPr="00BB0E86">
              <w:rPr>
                <w:rFonts w:cs="Arial"/>
                <w:szCs w:val="20"/>
              </w:rPr>
              <w:t>A Radiocommunications Assignment and Licensing Instruction (RALI) is a technical document made by the ACMA that outlines frequency assignment and information pertaining to coordination and interference management.</w:t>
            </w:r>
          </w:p>
        </w:tc>
      </w:tr>
      <w:tr w:rsidR="00840FE5" w14:paraId="288C68AE" w14:textId="77777777" w:rsidTr="000C7414">
        <w:trPr>
          <w:cantSplit/>
        </w:trPr>
        <w:tc>
          <w:tcPr>
            <w:tcW w:w="2524" w:type="dxa"/>
            <w:tcBorders>
              <w:bottom w:val="single" w:sz="4" w:space="0" w:color="auto"/>
            </w:tcBorders>
            <w:shd w:val="clear" w:color="auto" w:fill="FFFFFF" w:themeFill="background1"/>
            <w:vAlign w:val="center"/>
          </w:tcPr>
          <w:p w14:paraId="0AF55C14" w14:textId="77777777" w:rsidR="00840FE5" w:rsidRDefault="00840FE5" w:rsidP="000C7414">
            <w:pPr>
              <w:pStyle w:val="TableBody"/>
              <w:rPr>
                <w:rFonts w:cs="Arial"/>
              </w:rPr>
            </w:pPr>
            <w:r w:rsidRPr="00356137">
              <w:rPr>
                <w:rFonts w:cs="Arial"/>
                <w:szCs w:val="20"/>
              </w:rPr>
              <w:t>Secondary status</w:t>
            </w:r>
          </w:p>
        </w:tc>
        <w:tc>
          <w:tcPr>
            <w:tcW w:w="6980" w:type="dxa"/>
            <w:tcBorders>
              <w:bottom w:val="single" w:sz="4" w:space="0" w:color="auto"/>
            </w:tcBorders>
            <w:shd w:val="clear" w:color="auto" w:fill="FFFFFF" w:themeFill="background1"/>
            <w:vAlign w:val="center"/>
          </w:tcPr>
          <w:p w14:paraId="01DA2364" w14:textId="77777777" w:rsidR="00840FE5" w:rsidRDefault="00840FE5" w:rsidP="000C7414">
            <w:pPr>
              <w:pStyle w:val="TableBody"/>
              <w:rPr>
                <w:rFonts w:cs="Arial"/>
              </w:rPr>
            </w:pPr>
            <w:r w:rsidRPr="00BB0E86">
              <w:rPr>
                <w:rFonts w:cs="Arial"/>
                <w:szCs w:val="20"/>
              </w:rPr>
              <w:t xml:space="preserve">When used in this paper, secondary status means a radiocommunications service is operating within a particular frequency range as specified in the Australia Radiofrequency Spectrum Plan and that service is required to not cause interference to other services. That service is not afforded protection from interference from services with primary status in that frequency range. </w:t>
            </w:r>
          </w:p>
        </w:tc>
      </w:tr>
      <w:tr w:rsidR="00840FE5" w14:paraId="0AEC7AFE" w14:textId="77777777" w:rsidTr="000C7414">
        <w:trPr>
          <w:cantSplit/>
        </w:trPr>
        <w:tc>
          <w:tcPr>
            <w:tcW w:w="2524" w:type="dxa"/>
            <w:tcBorders>
              <w:bottom w:val="single" w:sz="4" w:space="0" w:color="auto"/>
            </w:tcBorders>
            <w:shd w:val="clear" w:color="auto" w:fill="F2F2F2" w:themeFill="background1" w:themeFillShade="F2"/>
            <w:vAlign w:val="center"/>
          </w:tcPr>
          <w:p w14:paraId="2D989B47" w14:textId="77777777" w:rsidR="00840FE5" w:rsidRDefault="00840FE5" w:rsidP="000C7414">
            <w:pPr>
              <w:pStyle w:val="TableBody"/>
              <w:rPr>
                <w:rFonts w:cs="Arial"/>
              </w:rPr>
            </w:pPr>
            <w:r w:rsidRPr="00356137">
              <w:rPr>
                <w:rFonts w:cs="Arial"/>
                <w:szCs w:val="20"/>
              </w:rPr>
              <w:t>Radiocommunications service</w:t>
            </w:r>
          </w:p>
        </w:tc>
        <w:tc>
          <w:tcPr>
            <w:tcW w:w="6980" w:type="dxa"/>
            <w:tcBorders>
              <w:bottom w:val="single" w:sz="4" w:space="0" w:color="auto"/>
            </w:tcBorders>
            <w:shd w:val="clear" w:color="auto" w:fill="F2F2F2" w:themeFill="background1" w:themeFillShade="F2"/>
            <w:vAlign w:val="center"/>
          </w:tcPr>
          <w:p w14:paraId="5289C8E3" w14:textId="77777777" w:rsidR="00840FE5" w:rsidRDefault="00840FE5" w:rsidP="000C7414">
            <w:pPr>
              <w:pStyle w:val="TableBody"/>
              <w:rPr>
                <w:rFonts w:cs="Arial"/>
              </w:rPr>
            </w:pPr>
            <w:r w:rsidRPr="00BB0E86">
              <w:rPr>
                <w:rFonts w:cs="Arial"/>
                <w:szCs w:val="20"/>
              </w:rPr>
              <w:t xml:space="preserve">A grouping of radiocommunications types involving the transmission, emission and/or reception of radio waves for specific telecommunication purposes. Examples include </w:t>
            </w:r>
            <w:r w:rsidRPr="00BB0E86">
              <w:rPr>
                <w:rFonts w:cs="Arial"/>
                <w:i/>
                <w:szCs w:val="20"/>
              </w:rPr>
              <w:t>fixed</w:t>
            </w:r>
            <w:r w:rsidRPr="00BB0E86">
              <w:rPr>
                <w:rFonts w:cs="Arial"/>
                <w:szCs w:val="20"/>
              </w:rPr>
              <w:t xml:space="preserve">, </w:t>
            </w:r>
            <w:r w:rsidRPr="00BB0E86">
              <w:rPr>
                <w:rFonts w:cs="Arial"/>
                <w:i/>
                <w:szCs w:val="20"/>
              </w:rPr>
              <w:t xml:space="preserve">mobile </w:t>
            </w:r>
            <w:r w:rsidRPr="00BB0E86">
              <w:rPr>
                <w:rFonts w:cs="Arial"/>
                <w:szCs w:val="20"/>
              </w:rPr>
              <w:t xml:space="preserve">and </w:t>
            </w:r>
            <w:r w:rsidRPr="00BB0E86">
              <w:rPr>
                <w:rFonts w:cs="Arial"/>
                <w:i/>
                <w:szCs w:val="20"/>
              </w:rPr>
              <w:t>satellite</w:t>
            </w:r>
            <w:r w:rsidRPr="00BB0E86">
              <w:rPr>
                <w:rFonts w:cs="Arial"/>
                <w:szCs w:val="20"/>
              </w:rPr>
              <w:t xml:space="preserve"> services.</w:t>
            </w:r>
          </w:p>
        </w:tc>
      </w:tr>
      <w:tr w:rsidR="00840FE5" w14:paraId="3DFF7C82" w14:textId="77777777" w:rsidTr="000C7414">
        <w:trPr>
          <w:cantSplit/>
        </w:trPr>
        <w:tc>
          <w:tcPr>
            <w:tcW w:w="2524" w:type="dxa"/>
            <w:tcBorders>
              <w:bottom w:val="single" w:sz="4" w:space="0" w:color="auto"/>
            </w:tcBorders>
            <w:shd w:val="clear" w:color="auto" w:fill="FFFFFF" w:themeFill="background1"/>
            <w:vAlign w:val="center"/>
          </w:tcPr>
          <w:p w14:paraId="2D37238A" w14:textId="77777777" w:rsidR="00840FE5" w:rsidRDefault="00840FE5" w:rsidP="000C7414">
            <w:pPr>
              <w:pStyle w:val="TableBody"/>
              <w:rPr>
                <w:rFonts w:cs="Arial"/>
              </w:rPr>
            </w:pPr>
            <w:r w:rsidRPr="00356137">
              <w:rPr>
                <w:rFonts w:cs="Arial"/>
                <w:szCs w:val="20"/>
              </w:rPr>
              <w:t>Smart infrastructure</w:t>
            </w:r>
          </w:p>
        </w:tc>
        <w:tc>
          <w:tcPr>
            <w:tcW w:w="6980" w:type="dxa"/>
            <w:tcBorders>
              <w:bottom w:val="single" w:sz="4" w:space="0" w:color="auto"/>
            </w:tcBorders>
            <w:shd w:val="clear" w:color="auto" w:fill="FFFFFF" w:themeFill="background1"/>
            <w:vAlign w:val="center"/>
          </w:tcPr>
          <w:p w14:paraId="375B20A0" w14:textId="77777777" w:rsidR="00840FE5" w:rsidRDefault="00840FE5" w:rsidP="000C7414">
            <w:pPr>
              <w:pStyle w:val="TableBody"/>
              <w:rPr>
                <w:rFonts w:cs="Arial"/>
              </w:rPr>
            </w:pPr>
            <w:r w:rsidRPr="00BB0E86">
              <w:rPr>
                <w:rFonts w:cs="Arial"/>
                <w:szCs w:val="20"/>
              </w:rPr>
              <w:t xml:space="preserve">Smart infrastructure refers to a system of infrastructure that can monitor, analyse, communicate and act based on information captured from sensors. Some smart infrastructure systems will utilise radiocommunications to communicate with the wider world. </w:t>
            </w:r>
          </w:p>
        </w:tc>
      </w:tr>
      <w:tr w:rsidR="00840FE5" w14:paraId="3F542E8A" w14:textId="77777777" w:rsidTr="000C7414">
        <w:trPr>
          <w:cantSplit/>
        </w:trPr>
        <w:tc>
          <w:tcPr>
            <w:tcW w:w="2524" w:type="dxa"/>
            <w:tcBorders>
              <w:bottom w:val="single" w:sz="4" w:space="0" w:color="auto"/>
            </w:tcBorders>
            <w:shd w:val="clear" w:color="auto" w:fill="F2F2F2" w:themeFill="background1" w:themeFillShade="F2"/>
            <w:vAlign w:val="center"/>
          </w:tcPr>
          <w:p w14:paraId="0D584DAA" w14:textId="77777777" w:rsidR="00840FE5" w:rsidRDefault="00840FE5" w:rsidP="000C7414">
            <w:pPr>
              <w:pStyle w:val="TableBody"/>
              <w:rPr>
                <w:rFonts w:cs="Arial"/>
              </w:rPr>
            </w:pPr>
            <w:r w:rsidRPr="00356137">
              <w:rPr>
                <w:rFonts w:cs="Arial"/>
                <w:szCs w:val="20"/>
              </w:rPr>
              <w:t>Smart meter</w:t>
            </w:r>
          </w:p>
        </w:tc>
        <w:tc>
          <w:tcPr>
            <w:tcW w:w="6980" w:type="dxa"/>
            <w:tcBorders>
              <w:bottom w:val="single" w:sz="4" w:space="0" w:color="auto"/>
            </w:tcBorders>
            <w:shd w:val="clear" w:color="auto" w:fill="F2F2F2" w:themeFill="background1" w:themeFillShade="F2"/>
            <w:vAlign w:val="center"/>
          </w:tcPr>
          <w:p w14:paraId="0FA81C59" w14:textId="77777777" w:rsidR="00840FE5" w:rsidRDefault="00840FE5" w:rsidP="000C7414">
            <w:pPr>
              <w:pStyle w:val="TableBody"/>
              <w:rPr>
                <w:rFonts w:cs="Arial"/>
              </w:rPr>
            </w:pPr>
            <w:r w:rsidRPr="00BB0E86">
              <w:rPr>
                <w:rFonts w:cs="Arial"/>
                <w:szCs w:val="20"/>
              </w:rPr>
              <w:t>A smart meter is a particular type of smart infrastructure and usually refers to an electronic device that records consumption of electrical energy and communicates this information back to the utility provider’s central system via a radio interface.</w:t>
            </w:r>
          </w:p>
        </w:tc>
      </w:tr>
      <w:tr w:rsidR="00840FE5" w14:paraId="2A8E9CFA" w14:textId="77777777" w:rsidTr="000C7414">
        <w:trPr>
          <w:cantSplit/>
        </w:trPr>
        <w:tc>
          <w:tcPr>
            <w:tcW w:w="2524" w:type="dxa"/>
            <w:tcBorders>
              <w:bottom w:val="single" w:sz="4" w:space="0" w:color="auto"/>
            </w:tcBorders>
            <w:shd w:val="clear" w:color="auto" w:fill="FFFFFF" w:themeFill="background1"/>
            <w:vAlign w:val="center"/>
          </w:tcPr>
          <w:p w14:paraId="1B8A446B" w14:textId="77777777" w:rsidR="00840FE5" w:rsidRDefault="00840FE5" w:rsidP="000C7414">
            <w:pPr>
              <w:pStyle w:val="TableBody"/>
              <w:rPr>
                <w:rFonts w:cs="Arial"/>
              </w:rPr>
            </w:pPr>
            <w:r w:rsidRPr="00356137">
              <w:rPr>
                <w:rFonts w:cs="Arial"/>
                <w:szCs w:val="20"/>
              </w:rPr>
              <w:t>SOB</w:t>
            </w:r>
          </w:p>
        </w:tc>
        <w:tc>
          <w:tcPr>
            <w:tcW w:w="6980" w:type="dxa"/>
            <w:tcBorders>
              <w:bottom w:val="single" w:sz="4" w:space="0" w:color="auto"/>
            </w:tcBorders>
            <w:shd w:val="clear" w:color="auto" w:fill="FFFFFF" w:themeFill="background1"/>
            <w:vAlign w:val="center"/>
          </w:tcPr>
          <w:p w14:paraId="226F8002" w14:textId="76043C19" w:rsidR="00840FE5" w:rsidRDefault="00840FE5" w:rsidP="00E33377">
            <w:pPr>
              <w:pStyle w:val="TableBody"/>
              <w:rPr>
                <w:rFonts w:cs="Arial"/>
              </w:rPr>
            </w:pPr>
            <w:r w:rsidRPr="00BB0E86">
              <w:rPr>
                <w:rFonts w:cs="Arial"/>
                <w:szCs w:val="20"/>
              </w:rPr>
              <w:t>Sound Outside Broadcast</w:t>
            </w:r>
            <w:r w:rsidR="007D28E7">
              <w:rPr>
                <w:rFonts w:cs="Arial"/>
                <w:szCs w:val="20"/>
              </w:rPr>
              <w:t>—</w:t>
            </w:r>
            <w:r w:rsidRPr="00BB0E86">
              <w:rPr>
                <w:rFonts w:cs="Arial"/>
                <w:szCs w:val="20"/>
              </w:rPr>
              <w:t>a link established to facilitate temporary radio broadcasting coverage of an event remotely located</w:t>
            </w:r>
            <w:r w:rsidR="00F50FA4">
              <w:rPr>
                <w:rFonts w:cs="Arial"/>
                <w:szCs w:val="20"/>
              </w:rPr>
              <w:t xml:space="preserve"> from the broadcasting studio.</w:t>
            </w:r>
          </w:p>
        </w:tc>
      </w:tr>
      <w:tr w:rsidR="00840FE5" w14:paraId="0C72AA7B" w14:textId="77777777" w:rsidTr="000C7414">
        <w:trPr>
          <w:cantSplit/>
        </w:trPr>
        <w:tc>
          <w:tcPr>
            <w:tcW w:w="2524" w:type="dxa"/>
            <w:tcBorders>
              <w:bottom w:val="single" w:sz="4" w:space="0" w:color="auto"/>
            </w:tcBorders>
            <w:shd w:val="clear" w:color="auto" w:fill="F2F2F2" w:themeFill="background1" w:themeFillShade="F2"/>
            <w:vAlign w:val="center"/>
          </w:tcPr>
          <w:p w14:paraId="3C28EAE7" w14:textId="77777777" w:rsidR="00840FE5" w:rsidRDefault="00840FE5" w:rsidP="000C7414">
            <w:pPr>
              <w:pStyle w:val="TableBody"/>
              <w:rPr>
                <w:rFonts w:cs="Arial"/>
              </w:rPr>
            </w:pPr>
            <w:r w:rsidRPr="00356137">
              <w:rPr>
                <w:rFonts w:cs="Arial"/>
                <w:szCs w:val="20"/>
              </w:rPr>
              <w:t>Spectrum licence</w:t>
            </w:r>
          </w:p>
        </w:tc>
        <w:tc>
          <w:tcPr>
            <w:tcW w:w="6980" w:type="dxa"/>
            <w:tcBorders>
              <w:bottom w:val="single" w:sz="4" w:space="0" w:color="auto"/>
            </w:tcBorders>
            <w:shd w:val="clear" w:color="auto" w:fill="F2F2F2" w:themeFill="background1" w:themeFillShade="F2"/>
            <w:vAlign w:val="center"/>
          </w:tcPr>
          <w:p w14:paraId="08C86FB8" w14:textId="77777777" w:rsidR="00840FE5" w:rsidRDefault="00840FE5" w:rsidP="000C7414">
            <w:pPr>
              <w:pStyle w:val="TableBody"/>
              <w:rPr>
                <w:rFonts w:cs="Arial"/>
              </w:rPr>
            </w:pPr>
            <w:r w:rsidRPr="00BB0E86">
              <w:rPr>
                <w:rFonts w:cs="Arial"/>
                <w:szCs w:val="20"/>
              </w:rPr>
              <w:t>A spectrum licence authorises the use of a particular frequency band within a particular geographic area for a period of up to 15 years. The geographic area can vary in size up to and including the entire country.</w:t>
            </w:r>
          </w:p>
        </w:tc>
      </w:tr>
      <w:tr w:rsidR="00840FE5" w14:paraId="460C08A3" w14:textId="77777777" w:rsidTr="000C7414">
        <w:trPr>
          <w:cantSplit/>
        </w:trPr>
        <w:tc>
          <w:tcPr>
            <w:tcW w:w="2524" w:type="dxa"/>
            <w:tcBorders>
              <w:bottom w:val="single" w:sz="4" w:space="0" w:color="auto"/>
            </w:tcBorders>
            <w:shd w:val="clear" w:color="auto" w:fill="FFFFFF" w:themeFill="background1"/>
            <w:vAlign w:val="center"/>
          </w:tcPr>
          <w:p w14:paraId="2602F2D9" w14:textId="77777777" w:rsidR="00840FE5" w:rsidRDefault="00840FE5" w:rsidP="000C7414">
            <w:pPr>
              <w:pStyle w:val="TableBody"/>
              <w:rPr>
                <w:rFonts w:cs="Arial"/>
              </w:rPr>
            </w:pPr>
            <w:r w:rsidRPr="00356137">
              <w:rPr>
                <w:rFonts w:cs="Arial"/>
                <w:szCs w:val="20"/>
              </w:rPr>
              <w:t>STL</w:t>
            </w:r>
          </w:p>
        </w:tc>
        <w:tc>
          <w:tcPr>
            <w:tcW w:w="6980" w:type="dxa"/>
            <w:tcBorders>
              <w:bottom w:val="single" w:sz="4" w:space="0" w:color="auto"/>
            </w:tcBorders>
            <w:shd w:val="clear" w:color="auto" w:fill="FFFFFF" w:themeFill="background1"/>
            <w:vAlign w:val="center"/>
          </w:tcPr>
          <w:p w14:paraId="5A2B3138" w14:textId="1B829301" w:rsidR="00840FE5" w:rsidRDefault="00840FE5" w:rsidP="00095E07">
            <w:pPr>
              <w:pStyle w:val="TableBody"/>
              <w:rPr>
                <w:rFonts w:cs="Arial"/>
              </w:rPr>
            </w:pPr>
            <w:r w:rsidRPr="00BB0E86">
              <w:rPr>
                <w:rFonts w:cs="Arial"/>
                <w:szCs w:val="20"/>
              </w:rPr>
              <w:t>Studio-to-</w:t>
            </w:r>
            <w:r w:rsidR="00364622">
              <w:rPr>
                <w:rFonts w:cs="Arial"/>
                <w:szCs w:val="20"/>
              </w:rPr>
              <w:t>t</w:t>
            </w:r>
            <w:r w:rsidR="00095E07">
              <w:rPr>
                <w:rFonts w:cs="Arial"/>
                <w:szCs w:val="20"/>
              </w:rPr>
              <w:t>ransmitter Link</w:t>
            </w:r>
            <w:r w:rsidR="007D28E7">
              <w:rPr>
                <w:rFonts w:cs="Arial"/>
                <w:szCs w:val="20"/>
              </w:rPr>
              <w:t>—</w:t>
            </w:r>
            <w:r w:rsidR="00095E07">
              <w:rPr>
                <w:rFonts w:cs="Arial"/>
                <w:szCs w:val="20"/>
              </w:rPr>
              <w:t>a wireless</w:t>
            </w:r>
            <w:r w:rsidR="00095E07" w:rsidRPr="00BB0E86">
              <w:rPr>
                <w:rFonts w:cs="Arial"/>
                <w:szCs w:val="20"/>
              </w:rPr>
              <w:t xml:space="preserve"> </w:t>
            </w:r>
            <w:r w:rsidRPr="00BB0E86">
              <w:rPr>
                <w:rFonts w:cs="Arial"/>
                <w:szCs w:val="20"/>
              </w:rPr>
              <w:t>audio link from the studio of a radio station to the broadcast transmission point (can also be achieved by fixed line, IP links etc.).</w:t>
            </w:r>
          </w:p>
        </w:tc>
      </w:tr>
      <w:tr w:rsidR="00840FE5" w14:paraId="18C084A0" w14:textId="77777777" w:rsidTr="000C7414">
        <w:trPr>
          <w:cantSplit/>
        </w:trPr>
        <w:tc>
          <w:tcPr>
            <w:tcW w:w="2524" w:type="dxa"/>
            <w:tcBorders>
              <w:bottom w:val="single" w:sz="4" w:space="0" w:color="auto"/>
            </w:tcBorders>
            <w:shd w:val="clear" w:color="auto" w:fill="F2F2F2" w:themeFill="background1" w:themeFillShade="F2"/>
            <w:vAlign w:val="center"/>
          </w:tcPr>
          <w:p w14:paraId="56B42024" w14:textId="77777777" w:rsidR="00840FE5" w:rsidRDefault="00840FE5" w:rsidP="000C7414">
            <w:pPr>
              <w:pStyle w:val="TableBody"/>
              <w:rPr>
                <w:rFonts w:cs="Arial"/>
              </w:rPr>
            </w:pPr>
            <w:r w:rsidRPr="00356137">
              <w:rPr>
                <w:rFonts w:cs="Arial"/>
                <w:szCs w:val="20"/>
              </w:rPr>
              <w:t>TLMS</w:t>
            </w:r>
          </w:p>
        </w:tc>
        <w:tc>
          <w:tcPr>
            <w:tcW w:w="6980" w:type="dxa"/>
            <w:tcBorders>
              <w:bottom w:val="single" w:sz="4" w:space="0" w:color="auto"/>
            </w:tcBorders>
            <w:shd w:val="clear" w:color="auto" w:fill="F2F2F2" w:themeFill="background1" w:themeFillShade="F2"/>
            <w:vAlign w:val="center"/>
          </w:tcPr>
          <w:p w14:paraId="5741F77E" w14:textId="77777777" w:rsidR="00840FE5" w:rsidRDefault="00840FE5" w:rsidP="00364622">
            <w:pPr>
              <w:pStyle w:val="TableBody"/>
              <w:rPr>
                <w:rFonts w:cs="Arial"/>
              </w:rPr>
            </w:pPr>
            <w:r w:rsidRPr="00BB0E86">
              <w:rPr>
                <w:rFonts w:cs="Arial"/>
                <w:szCs w:val="20"/>
              </w:rPr>
              <w:t>Trunked Land Mobile Service</w:t>
            </w:r>
          </w:p>
        </w:tc>
      </w:tr>
      <w:tr w:rsidR="00840FE5" w14:paraId="36BFCA96" w14:textId="77777777" w:rsidTr="000C7414">
        <w:trPr>
          <w:cantSplit/>
        </w:trPr>
        <w:tc>
          <w:tcPr>
            <w:tcW w:w="2524" w:type="dxa"/>
            <w:tcBorders>
              <w:bottom w:val="single" w:sz="4" w:space="0" w:color="auto"/>
            </w:tcBorders>
            <w:shd w:val="clear" w:color="auto" w:fill="FFFFFF" w:themeFill="background1"/>
            <w:vAlign w:val="center"/>
          </w:tcPr>
          <w:p w14:paraId="2CACBE86" w14:textId="77777777" w:rsidR="00840FE5" w:rsidRDefault="00840FE5" w:rsidP="000C7414">
            <w:pPr>
              <w:pStyle w:val="TableBody"/>
              <w:rPr>
                <w:rFonts w:cs="Arial"/>
              </w:rPr>
            </w:pPr>
            <w:r w:rsidRPr="00356137">
              <w:rPr>
                <w:rFonts w:cs="Arial"/>
                <w:szCs w:val="20"/>
              </w:rPr>
              <w:t>Trunked radio</w:t>
            </w:r>
          </w:p>
        </w:tc>
        <w:tc>
          <w:tcPr>
            <w:tcW w:w="6980" w:type="dxa"/>
            <w:tcBorders>
              <w:bottom w:val="single" w:sz="4" w:space="0" w:color="auto"/>
            </w:tcBorders>
            <w:shd w:val="clear" w:color="auto" w:fill="FFFFFF" w:themeFill="background1"/>
            <w:vAlign w:val="center"/>
          </w:tcPr>
          <w:p w14:paraId="7A15F0B2" w14:textId="77777777" w:rsidR="00840FE5" w:rsidRDefault="00840FE5" w:rsidP="000C7414">
            <w:pPr>
              <w:pStyle w:val="TableBody"/>
              <w:rPr>
                <w:rFonts w:cs="Arial"/>
              </w:rPr>
            </w:pPr>
            <w:r w:rsidRPr="00BB0E86">
              <w:rPr>
                <w:rFonts w:cs="Arial"/>
                <w:szCs w:val="20"/>
              </w:rPr>
              <w:t>An efficient, centrally-controlled type of LMS system, whereby channels are dynamically allocated to users as needed.</w:t>
            </w:r>
          </w:p>
        </w:tc>
      </w:tr>
    </w:tbl>
    <w:p w14:paraId="76CBA1F3" w14:textId="213C9561" w:rsidR="00A47E79" w:rsidRPr="000D76E0" w:rsidRDefault="00A47E79" w:rsidP="00840FE5">
      <w:pPr>
        <w:pStyle w:val="Heading1"/>
        <w:numPr>
          <w:ilvl w:val="0"/>
          <w:numId w:val="33"/>
        </w:numPr>
        <w:ind w:left="709"/>
      </w:pPr>
      <w:bookmarkStart w:id="5" w:name="_Toc434999432"/>
      <w:r>
        <w:t>Introduction</w:t>
      </w:r>
      <w:bookmarkEnd w:id="3"/>
      <w:bookmarkEnd w:id="5"/>
    </w:p>
    <w:p w14:paraId="7D10CFB9" w14:textId="03057BA9" w:rsidR="00840FE5" w:rsidRDefault="00840FE5" w:rsidP="00AC7321">
      <w:r w:rsidRPr="006826DB">
        <w:t>The 800 MHz and 900 MHz bands</w:t>
      </w:r>
      <w:r w:rsidR="00F50FA4">
        <w:t>—</w:t>
      </w:r>
      <w:r>
        <w:t>comprising the frequency ranges</w:t>
      </w:r>
      <w:r w:rsidRPr="006826DB">
        <w:t xml:space="preserve"> 803</w:t>
      </w:r>
      <w:r w:rsidR="00343E11">
        <w:t>–</w:t>
      </w:r>
      <w:r w:rsidRPr="006826DB">
        <w:t>890 MHz and 890</w:t>
      </w:r>
      <w:r w:rsidR="00343E11">
        <w:t>–</w:t>
      </w:r>
      <w:r w:rsidRPr="006826DB">
        <w:t>960 MHz</w:t>
      </w:r>
      <w:r>
        <w:t xml:space="preserve"> respectively</w:t>
      </w:r>
      <w:r w:rsidR="00F50FA4">
        <w:t>—</w:t>
      </w:r>
      <w:r w:rsidRPr="006826DB">
        <w:t xml:space="preserve">are </w:t>
      </w:r>
      <w:r>
        <w:t xml:space="preserve">highly </w:t>
      </w:r>
      <w:r w:rsidRPr="006826DB">
        <w:t>complex</w:t>
      </w:r>
      <w:r>
        <w:t>,</w:t>
      </w:r>
      <w:r w:rsidRPr="006826DB">
        <w:t xml:space="preserve"> and accommodate a wide range of services and technologies. In physical terms, they are in the so-called coverage ‘sweet spot’ for </w:t>
      </w:r>
      <w:r>
        <w:t xml:space="preserve">a range of services, including </w:t>
      </w:r>
      <w:r w:rsidRPr="006826DB">
        <w:t xml:space="preserve">cellular mobile </w:t>
      </w:r>
      <w:r>
        <w:t>services, owing to the relationship between the propagation characteristics of these frequencies and the ideal trade-offs between cell sizes (which is relevant to capital expenditure on networks) and the amount of capacity that can be delivered to consumers within a given geographic area</w:t>
      </w:r>
      <w:r w:rsidRPr="006826DB">
        <w:t xml:space="preserve">. </w:t>
      </w:r>
    </w:p>
    <w:p w14:paraId="08FDF481" w14:textId="77777777" w:rsidR="00840FE5" w:rsidRDefault="00840FE5" w:rsidP="00AC7321">
      <w:r>
        <w:t xml:space="preserve">As a result, they are part of a number of sub-1 GHz bands that are </w:t>
      </w:r>
      <w:r w:rsidRPr="006826DB">
        <w:t xml:space="preserve">harmonised (through the International Telecommunication Union, or ITU) for </w:t>
      </w:r>
      <w:r>
        <w:t xml:space="preserve">International Mobile Telecommunications (IMT – ITU parlance for mobile broadband communications) and </w:t>
      </w:r>
      <w:r w:rsidRPr="006826DB">
        <w:t xml:space="preserve">standardised (through </w:t>
      </w:r>
      <w:r>
        <w:t>the 3</w:t>
      </w:r>
      <w:r w:rsidRPr="006826DB">
        <w:rPr>
          <w:vertAlign w:val="superscript"/>
        </w:rPr>
        <w:t>rd</w:t>
      </w:r>
      <w:r>
        <w:t xml:space="preserve"> Generation Partnership Project, or </w:t>
      </w:r>
      <w:r w:rsidRPr="006826DB">
        <w:t>3GPP) for 2</w:t>
      </w:r>
      <w:r w:rsidRPr="006826DB">
        <w:rPr>
          <w:vertAlign w:val="superscript"/>
        </w:rPr>
        <w:t>nd</w:t>
      </w:r>
      <w:r w:rsidRPr="006826DB">
        <w:t>, 3</w:t>
      </w:r>
      <w:r w:rsidRPr="006826DB">
        <w:rPr>
          <w:vertAlign w:val="superscript"/>
        </w:rPr>
        <w:t>rd</w:t>
      </w:r>
      <w:r w:rsidRPr="006826DB">
        <w:t xml:space="preserve"> and 4</w:t>
      </w:r>
      <w:r w:rsidRPr="006826DB">
        <w:rPr>
          <w:vertAlign w:val="superscript"/>
        </w:rPr>
        <w:t>th</w:t>
      </w:r>
      <w:r w:rsidRPr="006826DB">
        <w:t xml:space="preserve"> g</w:t>
      </w:r>
      <w:r>
        <w:t>eneration mobile technologies.</w:t>
      </w:r>
    </w:p>
    <w:p w14:paraId="1199BBED" w14:textId="77777777" w:rsidR="00A47E79" w:rsidRPr="006D46E5" w:rsidRDefault="00840FE5" w:rsidP="00840FE5">
      <w:pPr>
        <w:pStyle w:val="Heading2"/>
        <w:numPr>
          <w:ilvl w:val="1"/>
          <w:numId w:val="33"/>
        </w:numPr>
        <w:ind w:left="709"/>
      </w:pPr>
      <w:bookmarkStart w:id="6" w:name="_Ref423084717"/>
      <w:bookmarkStart w:id="7" w:name="_Toc425928790"/>
      <w:bookmarkStart w:id="8" w:name="_Toc434999433"/>
      <w:r>
        <w:t>Background</w:t>
      </w:r>
      <w:bookmarkEnd w:id="6"/>
      <w:bookmarkEnd w:id="7"/>
      <w:bookmarkEnd w:id="8"/>
    </w:p>
    <w:p w14:paraId="51CB3C60" w14:textId="4DC9F69D" w:rsidR="00840FE5" w:rsidRDefault="00840FE5" w:rsidP="00840FE5">
      <w:pPr>
        <w:rPr>
          <w:rFonts w:cs="Arial"/>
        </w:rPr>
      </w:pPr>
      <w:r w:rsidRPr="00D432DC">
        <w:rPr>
          <w:rFonts w:cs="Arial"/>
        </w:rPr>
        <w:t xml:space="preserve">In May 2011, the ACMA commenced a review of the 803–960 MHz band with the release of </w:t>
      </w:r>
      <w:r w:rsidR="004B0B96" w:rsidRPr="000924A6">
        <w:rPr>
          <w:rFonts w:cs="Arial"/>
          <w:i/>
        </w:rPr>
        <w:t>The</w:t>
      </w:r>
      <w:r w:rsidR="004B0B96">
        <w:rPr>
          <w:rFonts w:cs="Arial"/>
        </w:rPr>
        <w:t xml:space="preserve"> </w:t>
      </w:r>
      <w:r w:rsidRPr="00C15180">
        <w:rPr>
          <w:rFonts w:cs="Arial"/>
          <w:i/>
        </w:rPr>
        <w:t>900 MHz band—Exploring new opportunities</w:t>
      </w:r>
      <w:r>
        <w:rPr>
          <w:rFonts w:cs="Arial"/>
          <w:i/>
        </w:rPr>
        <w:t xml:space="preserve"> </w:t>
      </w:r>
      <w:r>
        <w:rPr>
          <w:rFonts w:cs="Arial"/>
        </w:rPr>
        <w:t>paper</w:t>
      </w:r>
      <w:r w:rsidRPr="00D432DC">
        <w:rPr>
          <w:rFonts w:cs="Arial"/>
        </w:rPr>
        <w:t>.</w:t>
      </w:r>
      <w:r w:rsidR="004B0B96" w:rsidRPr="00AC7321">
        <w:rPr>
          <w:rStyle w:val="FootnoteReference"/>
          <w:rFonts w:cs="Arial"/>
        </w:rPr>
        <w:footnoteReference w:id="3"/>
      </w:r>
      <w:r w:rsidRPr="00D432DC">
        <w:rPr>
          <w:rFonts w:cs="Arial"/>
        </w:rPr>
        <w:t xml:space="preserve"> </w:t>
      </w:r>
      <w:r>
        <w:rPr>
          <w:rFonts w:cs="Arial"/>
        </w:rPr>
        <w:t xml:space="preserve">It was proposed at the time </w:t>
      </w:r>
      <w:r w:rsidRPr="00D432DC">
        <w:rPr>
          <w:rFonts w:cs="Arial"/>
        </w:rPr>
        <w:t xml:space="preserve">that substantial improvements could be made to </w:t>
      </w:r>
      <w:r>
        <w:rPr>
          <w:rFonts w:cs="Arial"/>
        </w:rPr>
        <w:t>the</w:t>
      </w:r>
      <w:r w:rsidRPr="00D432DC">
        <w:rPr>
          <w:rFonts w:cs="Arial"/>
        </w:rPr>
        <w:t xml:space="preserve"> band to facilitate </w:t>
      </w:r>
      <w:r>
        <w:rPr>
          <w:rFonts w:cs="Arial"/>
        </w:rPr>
        <w:t xml:space="preserve">introduction of </w:t>
      </w:r>
      <w:r w:rsidRPr="00D432DC">
        <w:rPr>
          <w:rFonts w:cs="Arial"/>
        </w:rPr>
        <w:t xml:space="preserve">new and emerging technologies. This </w:t>
      </w:r>
      <w:r>
        <w:rPr>
          <w:rFonts w:cs="Arial"/>
        </w:rPr>
        <w:t>would be the first such</w:t>
      </w:r>
      <w:r w:rsidRPr="00D432DC">
        <w:rPr>
          <w:rFonts w:cs="Arial"/>
        </w:rPr>
        <w:t xml:space="preserve"> review </w:t>
      </w:r>
      <w:r>
        <w:rPr>
          <w:rFonts w:cs="Arial"/>
        </w:rPr>
        <w:t xml:space="preserve">of the band </w:t>
      </w:r>
      <w:r w:rsidRPr="00D432DC">
        <w:rPr>
          <w:rFonts w:cs="Arial"/>
        </w:rPr>
        <w:t>since the</w:t>
      </w:r>
      <w:r>
        <w:rPr>
          <w:rFonts w:cs="Arial"/>
        </w:rPr>
        <w:t xml:space="preserve"> </w:t>
      </w:r>
      <w:r w:rsidRPr="00AC7321">
        <w:rPr>
          <w:rFonts w:cs="Arial"/>
        </w:rPr>
        <w:t>Radiocommunications 900 MHz Band Plan 1992</w:t>
      </w:r>
      <w:r>
        <w:rPr>
          <w:rStyle w:val="FootnoteReference"/>
          <w:rFonts w:cs="Arial"/>
          <w:i/>
        </w:rPr>
        <w:footnoteReference w:id="4"/>
      </w:r>
      <w:r w:rsidRPr="00D432DC">
        <w:rPr>
          <w:rFonts w:cs="Arial"/>
        </w:rPr>
        <w:t xml:space="preserve"> </w:t>
      </w:r>
      <w:r>
        <w:rPr>
          <w:rFonts w:cs="Arial"/>
        </w:rPr>
        <w:t xml:space="preserve">was made. </w:t>
      </w:r>
    </w:p>
    <w:p w14:paraId="7CD82170" w14:textId="7AD0F50C" w:rsidR="00840FE5" w:rsidRPr="00BF7DAF" w:rsidRDefault="00840FE5" w:rsidP="00840FE5">
      <w:pPr>
        <w:rPr>
          <w:rFonts w:cs="Arial"/>
        </w:rPr>
      </w:pPr>
      <w:r>
        <w:rPr>
          <w:rFonts w:cs="Arial"/>
        </w:rPr>
        <w:t xml:space="preserve">The </w:t>
      </w:r>
      <w:r w:rsidRPr="004B453C">
        <w:rPr>
          <w:rFonts w:cs="Arial"/>
        </w:rPr>
        <w:t>release of the</w:t>
      </w:r>
      <w:r w:rsidRPr="00BF7DAF">
        <w:rPr>
          <w:rFonts w:cs="Arial"/>
        </w:rPr>
        <w:t xml:space="preserve"> </w:t>
      </w:r>
      <w:r w:rsidRPr="00311AA9">
        <w:rPr>
          <w:rFonts w:cs="Arial"/>
          <w:i/>
        </w:rPr>
        <w:t>Exploring</w:t>
      </w:r>
      <w:r w:rsidRPr="004B453C">
        <w:rPr>
          <w:rFonts w:cs="Arial"/>
        </w:rPr>
        <w:t xml:space="preserve"> </w:t>
      </w:r>
      <w:r w:rsidR="005461B2">
        <w:rPr>
          <w:rFonts w:cs="Arial"/>
          <w:i/>
        </w:rPr>
        <w:t>n</w:t>
      </w:r>
      <w:r w:rsidRPr="00BF7DAF">
        <w:rPr>
          <w:rFonts w:cs="Arial"/>
          <w:i/>
        </w:rPr>
        <w:t xml:space="preserve">ew </w:t>
      </w:r>
      <w:r w:rsidR="005461B2">
        <w:rPr>
          <w:rFonts w:cs="Arial"/>
          <w:i/>
        </w:rPr>
        <w:t>o</w:t>
      </w:r>
      <w:r w:rsidRPr="00BF7DAF">
        <w:rPr>
          <w:rFonts w:cs="Arial"/>
          <w:i/>
        </w:rPr>
        <w:t>pportunities</w:t>
      </w:r>
      <w:r w:rsidRPr="00BF7DAF">
        <w:rPr>
          <w:rFonts w:cs="Arial"/>
        </w:rPr>
        <w:t xml:space="preserve"> </w:t>
      </w:r>
      <w:r w:rsidR="004B0B96">
        <w:rPr>
          <w:rFonts w:cs="Arial"/>
        </w:rPr>
        <w:t xml:space="preserve">paper </w:t>
      </w:r>
      <w:r w:rsidRPr="00BF7DAF">
        <w:rPr>
          <w:rFonts w:cs="Arial"/>
        </w:rPr>
        <w:t xml:space="preserve">coincided with the release of ACMA’s </w:t>
      </w:r>
      <w:r w:rsidRPr="00BF7DAF">
        <w:rPr>
          <w:rFonts w:cs="Arial"/>
          <w:i/>
        </w:rPr>
        <w:t>Towards 2020—Future spectrum requirements for mobile broadband</w:t>
      </w:r>
      <w:r w:rsidRPr="00BF7DAF">
        <w:rPr>
          <w:rFonts w:cs="Arial"/>
        </w:rPr>
        <w:t xml:space="preserve"> (</w:t>
      </w:r>
      <w:r w:rsidRPr="00BF7DAF">
        <w:rPr>
          <w:rFonts w:cs="Arial"/>
          <w:i/>
        </w:rPr>
        <w:t xml:space="preserve">Towards 2020) </w:t>
      </w:r>
      <w:r w:rsidRPr="00BF7DAF">
        <w:rPr>
          <w:rFonts w:cs="Arial"/>
        </w:rPr>
        <w:t>paper.</w:t>
      </w:r>
      <w:r w:rsidR="004B0B96" w:rsidRPr="00AB7E93">
        <w:rPr>
          <w:vertAlign w:val="superscript"/>
        </w:rPr>
        <w:footnoteReference w:id="5"/>
      </w:r>
      <w:r w:rsidRPr="00BF7DAF">
        <w:rPr>
          <w:rFonts w:cs="Arial"/>
        </w:rPr>
        <w:t xml:space="preserve"> The papers were complementary and both considered medium</w:t>
      </w:r>
      <w:r w:rsidR="005461B2">
        <w:rPr>
          <w:rFonts w:cs="Arial"/>
        </w:rPr>
        <w:t>-</w:t>
      </w:r>
      <w:r w:rsidRPr="00BF7DAF">
        <w:rPr>
          <w:rFonts w:cs="Arial"/>
        </w:rPr>
        <w:t xml:space="preserve"> and long-term options to fulfil the need for additional spectrum for mobile broadband services. </w:t>
      </w:r>
    </w:p>
    <w:p w14:paraId="0A87BB7A" w14:textId="1CD080B0" w:rsidR="00840FE5" w:rsidRPr="00BF7DAF" w:rsidRDefault="00840FE5" w:rsidP="002F5C70">
      <w:pPr>
        <w:spacing w:after="80"/>
        <w:rPr>
          <w:rFonts w:cs="Arial"/>
        </w:rPr>
      </w:pPr>
      <w:r w:rsidRPr="00BF7DAF">
        <w:rPr>
          <w:rFonts w:cs="Arial"/>
        </w:rPr>
        <w:t xml:space="preserve">In December 2012, the ACMA released </w:t>
      </w:r>
      <w:r w:rsidRPr="00BF7DAF">
        <w:rPr>
          <w:rFonts w:cs="Arial"/>
          <w:i/>
        </w:rPr>
        <w:t>The 803</w:t>
      </w:r>
      <w:r w:rsidR="005461B2">
        <w:rPr>
          <w:rFonts w:cs="Arial"/>
          <w:i/>
        </w:rPr>
        <w:t>–</w:t>
      </w:r>
      <w:r w:rsidRPr="00BF7DAF">
        <w:rPr>
          <w:rFonts w:cs="Arial"/>
          <w:i/>
        </w:rPr>
        <w:t xml:space="preserve">960 MHz band: </w:t>
      </w:r>
      <w:r w:rsidR="005461B2">
        <w:rPr>
          <w:rFonts w:cs="Arial"/>
          <w:i/>
        </w:rPr>
        <w:t>O</w:t>
      </w:r>
      <w:r w:rsidRPr="00BF7DAF">
        <w:rPr>
          <w:rFonts w:cs="Arial"/>
          <w:i/>
        </w:rPr>
        <w:t>ptions for future change</w:t>
      </w:r>
      <w:r>
        <w:rPr>
          <w:rStyle w:val="FootnoteReference"/>
          <w:rFonts w:cs="Arial"/>
          <w:i/>
        </w:rPr>
        <w:footnoteReference w:id="6"/>
      </w:r>
      <w:r w:rsidRPr="004B453C">
        <w:rPr>
          <w:rFonts w:cs="Arial"/>
          <w:i/>
        </w:rPr>
        <w:t xml:space="preserve"> </w:t>
      </w:r>
      <w:r w:rsidRPr="00BF7DAF">
        <w:rPr>
          <w:rFonts w:cs="Arial"/>
        </w:rPr>
        <w:t>paper, which sought input on a range of broad themes:</w:t>
      </w:r>
    </w:p>
    <w:p w14:paraId="142FFF7B" w14:textId="73957A4F" w:rsidR="00840FE5" w:rsidRPr="004B0B96" w:rsidRDefault="004B0B96" w:rsidP="004B0B96">
      <w:pPr>
        <w:pStyle w:val="ListBullet"/>
        <w:numPr>
          <w:ilvl w:val="0"/>
          <w:numId w:val="1"/>
        </w:numPr>
        <w:rPr>
          <w:rFonts w:cs="Arial"/>
          <w:szCs w:val="20"/>
        </w:rPr>
      </w:pPr>
      <w:r>
        <w:rPr>
          <w:rFonts w:cs="Arial"/>
          <w:szCs w:val="20"/>
        </w:rPr>
        <w:t>o</w:t>
      </w:r>
      <w:r w:rsidR="00840FE5" w:rsidRPr="004B0B96">
        <w:rPr>
          <w:rFonts w:cs="Arial"/>
          <w:szCs w:val="20"/>
        </w:rPr>
        <w:t>ptions for expanding the 800 MHz band to include spectrum in the upper part of the digital dividend that was not included in the 700 MHz band allocation (</w:t>
      </w:r>
      <w:r w:rsidR="005461B2">
        <w:rPr>
          <w:rFonts w:cs="Arial"/>
          <w:szCs w:val="20"/>
        </w:rPr>
        <w:t>that is,</w:t>
      </w:r>
      <w:r w:rsidR="00840FE5" w:rsidRPr="004B0B96">
        <w:rPr>
          <w:rFonts w:cs="Arial"/>
          <w:szCs w:val="20"/>
        </w:rPr>
        <w:t xml:space="preserve"> expanding the scope from 820</w:t>
      </w:r>
      <w:r w:rsidR="005461B2">
        <w:rPr>
          <w:rFonts w:cs="Arial"/>
          <w:szCs w:val="20"/>
        </w:rPr>
        <w:t>–</w:t>
      </w:r>
      <w:r w:rsidR="00840FE5" w:rsidRPr="004B0B96">
        <w:rPr>
          <w:rFonts w:cs="Arial"/>
          <w:szCs w:val="20"/>
        </w:rPr>
        <w:t>960 MHz to 803</w:t>
      </w:r>
      <w:r w:rsidR="005461B2">
        <w:rPr>
          <w:rFonts w:cs="Arial"/>
          <w:szCs w:val="20"/>
        </w:rPr>
        <w:t>–</w:t>
      </w:r>
      <w:r w:rsidR="00840FE5" w:rsidRPr="004B0B96">
        <w:rPr>
          <w:rFonts w:cs="Arial"/>
          <w:szCs w:val="20"/>
        </w:rPr>
        <w:t>960 MHz)</w:t>
      </w:r>
    </w:p>
    <w:p w14:paraId="1068C217" w14:textId="48821F3C" w:rsidR="00840FE5" w:rsidRPr="004B0B96" w:rsidRDefault="004B0B96" w:rsidP="004B0B96">
      <w:pPr>
        <w:pStyle w:val="ListBullet"/>
        <w:numPr>
          <w:ilvl w:val="0"/>
          <w:numId w:val="1"/>
        </w:numPr>
        <w:rPr>
          <w:rFonts w:cs="Arial"/>
          <w:szCs w:val="20"/>
        </w:rPr>
      </w:pPr>
      <w:r>
        <w:rPr>
          <w:rFonts w:cs="Arial"/>
          <w:szCs w:val="20"/>
        </w:rPr>
        <w:t>c</w:t>
      </w:r>
      <w:r w:rsidR="00840FE5" w:rsidRPr="004B0B96">
        <w:rPr>
          <w:rFonts w:cs="Arial"/>
          <w:szCs w:val="20"/>
        </w:rPr>
        <w:t>onsideration of the technical and licensing arrangements in the digital cellular mobile telephony service segments (890–915 MHz paired with 935–960 MHz, often referred to as the 900 MHz GSM band)</w:t>
      </w:r>
    </w:p>
    <w:p w14:paraId="1DEAACDF" w14:textId="42F5286C" w:rsidR="00840FE5" w:rsidRPr="004B0B96" w:rsidRDefault="004B0B96" w:rsidP="004B0B96">
      <w:pPr>
        <w:pStyle w:val="ListBullet"/>
        <w:numPr>
          <w:ilvl w:val="0"/>
          <w:numId w:val="1"/>
        </w:numPr>
        <w:rPr>
          <w:rFonts w:cs="Arial"/>
          <w:szCs w:val="20"/>
        </w:rPr>
      </w:pPr>
      <w:r>
        <w:rPr>
          <w:rFonts w:cs="Arial"/>
          <w:szCs w:val="20"/>
        </w:rPr>
        <w:t>o</w:t>
      </w:r>
      <w:r w:rsidR="00840FE5" w:rsidRPr="004B0B96">
        <w:rPr>
          <w:rFonts w:cs="Arial"/>
          <w:szCs w:val="20"/>
        </w:rPr>
        <w:t>pportunities for facilitating new technologies or expanding existing services in underutilised parts of the 803–960 MHz band</w:t>
      </w:r>
    </w:p>
    <w:p w14:paraId="4EF6A98C" w14:textId="2A3E9009" w:rsidR="00840FE5" w:rsidRPr="004B0B96" w:rsidRDefault="004B0B96" w:rsidP="004B0B96">
      <w:pPr>
        <w:pStyle w:val="ListBullet"/>
        <w:numPr>
          <w:ilvl w:val="0"/>
          <w:numId w:val="1"/>
        </w:numPr>
        <w:spacing w:after="240"/>
        <w:rPr>
          <w:rFonts w:cs="Arial"/>
          <w:szCs w:val="20"/>
        </w:rPr>
      </w:pPr>
      <w:r>
        <w:rPr>
          <w:rFonts w:cs="Arial"/>
          <w:szCs w:val="20"/>
        </w:rPr>
        <w:t>c</w:t>
      </w:r>
      <w:r w:rsidR="00840FE5" w:rsidRPr="004B0B96">
        <w:rPr>
          <w:rFonts w:cs="Arial"/>
          <w:szCs w:val="20"/>
        </w:rPr>
        <w:t>onsideration of the overall structure of the 803–960 MHz band.</w:t>
      </w:r>
    </w:p>
    <w:p w14:paraId="67D34516" w14:textId="2E29E9BD" w:rsidR="00840FE5" w:rsidRDefault="00840FE5" w:rsidP="00840FE5">
      <w:pPr>
        <w:rPr>
          <w:rFonts w:cs="Arial"/>
        </w:rPr>
      </w:pPr>
      <w:r w:rsidRPr="00BF7DAF">
        <w:rPr>
          <w:rFonts w:cs="Arial"/>
        </w:rPr>
        <w:t xml:space="preserve">The ACMA received 32 </w:t>
      </w:r>
      <w:r w:rsidR="004B0B96" w:rsidRPr="000924A6">
        <w:t>submissions</w:t>
      </w:r>
      <w:r w:rsidRPr="00311AA9">
        <w:rPr>
          <w:rStyle w:val="FootnoteReference"/>
          <w:rFonts w:cs="Arial"/>
        </w:rPr>
        <w:footnoteReference w:id="7"/>
      </w:r>
      <w:r w:rsidRPr="004B453C">
        <w:rPr>
          <w:rFonts w:cs="Arial"/>
        </w:rPr>
        <w:t xml:space="preserve"> </w:t>
      </w:r>
      <w:r w:rsidRPr="00BF7DAF">
        <w:rPr>
          <w:rFonts w:cs="Arial"/>
        </w:rPr>
        <w:t xml:space="preserve">in response to the </w:t>
      </w:r>
      <w:r w:rsidRPr="00311AA9">
        <w:rPr>
          <w:rFonts w:cs="Arial"/>
          <w:i/>
        </w:rPr>
        <w:t xml:space="preserve">Future </w:t>
      </w:r>
      <w:r w:rsidR="005461B2">
        <w:rPr>
          <w:rFonts w:cs="Arial"/>
          <w:i/>
        </w:rPr>
        <w:t>o</w:t>
      </w:r>
      <w:r w:rsidRPr="00311AA9">
        <w:rPr>
          <w:rFonts w:cs="Arial"/>
          <w:i/>
        </w:rPr>
        <w:t>ptions</w:t>
      </w:r>
      <w:r w:rsidRPr="00BF7DAF">
        <w:rPr>
          <w:rFonts w:cs="Arial"/>
        </w:rPr>
        <w:t xml:space="preserve"> paper, which have been considered carefully in developing a long</w:t>
      </w:r>
      <w:r w:rsidR="005461B2">
        <w:rPr>
          <w:rFonts w:cs="Arial"/>
        </w:rPr>
        <w:t>-</w:t>
      </w:r>
      <w:r>
        <w:rPr>
          <w:rFonts w:cs="Arial"/>
        </w:rPr>
        <w:t xml:space="preserve">term plan for the band. The cross section of user groups that made submissions to this review, which included </w:t>
      </w:r>
      <w:r w:rsidRPr="00D432DC">
        <w:rPr>
          <w:rFonts w:cs="Arial"/>
        </w:rPr>
        <w:t>licen</w:t>
      </w:r>
      <w:r>
        <w:rPr>
          <w:rFonts w:cs="Arial"/>
        </w:rPr>
        <w:t>s</w:t>
      </w:r>
      <w:r w:rsidRPr="00D432DC">
        <w:rPr>
          <w:rFonts w:cs="Arial"/>
        </w:rPr>
        <w:t>e</w:t>
      </w:r>
      <w:r>
        <w:rPr>
          <w:rFonts w:cs="Arial"/>
        </w:rPr>
        <w:t>d operators</w:t>
      </w:r>
      <w:r w:rsidRPr="00D432DC">
        <w:rPr>
          <w:rFonts w:cs="Arial"/>
        </w:rPr>
        <w:t xml:space="preserve">, </w:t>
      </w:r>
      <w:r>
        <w:rPr>
          <w:rFonts w:cs="Arial"/>
        </w:rPr>
        <w:t xml:space="preserve">equipment </w:t>
      </w:r>
      <w:r w:rsidRPr="00D432DC">
        <w:rPr>
          <w:rFonts w:cs="Arial"/>
        </w:rPr>
        <w:t xml:space="preserve">manufacturers, industry bodies and </w:t>
      </w:r>
      <w:r>
        <w:rPr>
          <w:rFonts w:cs="Arial"/>
        </w:rPr>
        <w:t>government users</w:t>
      </w:r>
      <w:r w:rsidR="004B0B96">
        <w:rPr>
          <w:rFonts w:cs="Arial"/>
        </w:rPr>
        <w:t>,</w:t>
      </w:r>
      <w:r>
        <w:rPr>
          <w:rFonts w:cs="Arial"/>
        </w:rPr>
        <w:t xml:space="preserve"> among others, demonstrated the diverse range of services and applications that rely on access to this frequency band.</w:t>
      </w:r>
    </w:p>
    <w:p w14:paraId="275D4EEC" w14:textId="4E1C24A6" w:rsidR="000E2BE3" w:rsidRPr="006D46E5" w:rsidRDefault="000E2BE3" w:rsidP="000E2BE3">
      <w:pPr>
        <w:pStyle w:val="Heading2"/>
        <w:numPr>
          <w:ilvl w:val="1"/>
          <w:numId w:val="33"/>
        </w:numPr>
        <w:ind w:left="709"/>
      </w:pPr>
      <w:bookmarkStart w:id="9" w:name="_Toc434999434"/>
      <w:r>
        <w:t xml:space="preserve">Drivers of the </w:t>
      </w:r>
      <w:r w:rsidR="00E42DD2">
        <w:t>r</w:t>
      </w:r>
      <w:r>
        <w:t>eview</w:t>
      </w:r>
      <w:bookmarkEnd w:id="9"/>
    </w:p>
    <w:p w14:paraId="41A98D80" w14:textId="0D002E96" w:rsidR="000E2BE3" w:rsidRPr="000E2BE3" w:rsidRDefault="000E2BE3" w:rsidP="00E33377">
      <w:r w:rsidRPr="000E2BE3">
        <w:t xml:space="preserve">The drivers for the </w:t>
      </w:r>
      <w:r w:rsidRPr="000E2BE3" w:rsidDel="000F375D">
        <w:t>r</w:t>
      </w:r>
      <w:r w:rsidRPr="000E2BE3">
        <w:t xml:space="preserve">eview of the 803–960 MHz band were identified in the </w:t>
      </w:r>
      <w:r w:rsidR="0066787F" w:rsidRPr="000924A6">
        <w:rPr>
          <w:i/>
        </w:rPr>
        <w:t>Exploring</w:t>
      </w:r>
      <w:r w:rsidR="0066787F">
        <w:t xml:space="preserve"> </w:t>
      </w:r>
      <w:r w:rsidR="005461B2">
        <w:rPr>
          <w:i/>
        </w:rPr>
        <w:t>n</w:t>
      </w:r>
      <w:r w:rsidRPr="000E2BE3">
        <w:rPr>
          <w:i/>
        </w:rPr>
        <w:t xml:space="preserve">ew </w:t>
      </w:r>
      <w:r w:rsidR="005461B2">
        <w:rPr>
          <w:i/>
        </w:rPr>
        <w:t>o</w:t>
      </w:r>
      <w:r w:rsidRPr="000E2BE3">
        <w:rPr>
          <w:i/>
        </w:rPr>
        <w:t xml:space="preserve">pportunities </w:t>
      </w:r>
      <w:r w:rsidRPr="000E2BE3">
        <w:t xml:space="preserve">and </w:t>
      </w:r>
      <w:r w:rsidRPr="000E2BE3">
        <w:rPr>
          <w:i/>
        </w:rPr>
        <w:t xml:space="preserve">Future </w:t>
      </w:r>
      <w:r w:rsidR="005461B2">
        <w:rPr>
          <w:i/>
        </w:rPr>
        <w:t>o</w:t>
      </w:r>
      <w:r w:rsidRPr="000E2BE3">
        <w:rPr>
          <w:i/>
        </w:rPr>
        <w:t>ptions</w:t>
      </w:r>
      <w:r w:rsidRPr="000E2BE3">
        <w:t xml:space="preserve"> papers. The major driver continues to be centred on maximising the public benefit derived from the use of the 803</w:t>
      </w:r>
      <w:r w:rsidR="0066787F" w:rsidRPr="00211492">
        <w:t>–</w:t>
      </w:r>
      <w:r w:rsidRPr="000E2BE3">
        <w:t>960</w:t>
      </w:r>
      <w:r w:rsidR="0066787F">
        <w:t> </w:t>
      </w:r>
      <w:r w:rsidRPr="000E2BE3">
        <w:t xml:space="preserve">MHz band, as per the object of the </w:t>
      </w:r>
      <w:r w:rsidRPr="000E2BE3">
        <w:rPr>
          <w:i/>
        </w:rPr>
        <w:t>Radiocommunications Act 1992</w:t>
      </w:r>
      <w:r w:rsidRPr="000E2BE3">
        <w:t xml:space="preserve"> (the Act).</w:t>
      </w:r>
      <w:r w:rsidR="0066787F">
        <w:rPr>
          <w:rStyle w:val="FootnoteReference"/>
          <w:rFonts w:cs="Arial"/>
        </w:rPr>
        <w:footnoteReference w:id="8"/>
      </w:r>
      <w:r w:rsidRPr="000E2BE3">
        <w:t xml:space="preserve"> Parts of the band are not efficiently or heavily used due to allocations to outmoded technologies or to what </w:t>
      </w:r>
      <w:r w:rsidR="00A62DEC">
        <w:t>are by current standards</w:t>
      </w:r>
      <w:r w:rsidRPr="000E2BE3">
        <w:t xml:space="preserve"> inefficient planning and allocation processes</w:t>
      </w:r>
      <w:r w:rsidR="005461B2">
        <w:t>—</w:t>
      </w:r>
      <w:r w:rsidRPr="000E2BE3">
        <w:t xml:space="preserve">a lack of demand for spectrum, which is evident in some parts of the band, can be the result of planning and allocation arrangements that are no longer efficient or effective. </w:t>
      </w:r>
    </w:p>
    <w:p w14:paraId="20A63235" w14:textId="42CE0849" w:rsidR="000E2BE3" w:rsidRPr="000E2BE3" w:rsidRDefault="000E2BE3" w:rsidP="000E2BE3">
      <w:pPr>
        <w:rPr>
          <w:rFonts w:cs="Arial"/>
        </w:rPr>
      </w:pPr>
      <w:r w:rsidRPr="000E2BE3">
        <w:rPr>
          <w:rFonts w:cs="Arial"/>
        </w:rPr>
        <w:t xml:space="preserve">In addition to segments </w:t>
      </w:r>
      <w:r w:rsidR="005461B2">
        <w:rPr>
          <w:rFonts w:cs="Arial"/>
        </w:rPr>
        <w:t>that</w:t>
      </w:r>
      <w:r w:rsidR="005461B2" w:rsidRPr="000E2BE3">
        <w:rPr>
          <w:rFonts w:cs="Arial"/>
        </w:rPr>
        <w:t xml:space="preserve"> </w:t>
      </w:r>
      <w:r w:rsidRPr="000E2BE3">
        <w:rPr>
          <w:rFonts w:cs="Arial"/>
        </w:rPr>
        <w:t>are allocated for a particular use, the 803</w:t>
      </w:r>
      <w:r w:rsidR="005461B2">
        <w:rPr>
          <w:rFonts w:cs="Arial"/>
        </w:rPr>
        <w:t>–</w:t>
      </w:r>
      <w:r w:rsidRPr="000E2BE3">
        <w:rPr>
          <w:rFonts w:cs="Arial"/>
        </w:rPr>
        <w:t>820 MHz segment is unallocated. In June 2010, the Minister for Broadband, Communications and the Digital Economy announced that 126 MHz of spectrum from 694</w:t>
      </w:r>
      <w:r w:rsidR="005461B2">
        <w:rPr>
          <w:rFonts w:cs="Arial"/>
        </w:rPr>
        <w:t>–</w:t>
      </w:r>
      <w:r w:rsidRPr="000E2BE3">
        <w:rPr>
          <w:rFonts w:cs="Arial"/>
        </w:rPr>
        <w:t>820 MHz would be realised as the digital dividend. Although the band 803</w:t>
      </w:r>
      <w:r w:rsidR="005461B2">
        <w:rPr>
          <w:rFonts w:cs="Arial"/>
        </w:rPr>
        <w:t>–</w:t>
      </w:r>
      <w:r w:rsidRPr="000E2BE3">
        <w:rPr>
          <w:rFonts w:cs="Arial"/>
        </w:rPr>
        <w:t>820 MHz formed part of the digital dividend, it was not included in the harmonised arrangements for the APT 700 MHz</w:t>
      </w:r>
      <w:r w:rsidR="00BE6267">
        <w:rPr>
          <w:rFonts w:cs="Arial"/>
        </w:rPr>
        <w:t xml:space="preserve"> band</w:t>
      </w:r>
      <w:r w:rsidRPr="00BB0E86">
        <w:rPr>
          <w:rStyle w:val="FootnoteReference"/>
          <w:rFonts w:cs="Arial"/>
        </w:rPr>
        <w:footnoteReference w:id="9"/>
      </w:r>
      <w:r w:rsidR="00E33377">
        <w:rPr>
          <w:rFonts w:cs="Arial"/>
        </w:rPr>
        <w:t>,</w:t>
      </w:r>
      <w:r w:rsidRPr="000E2BE3">
        <w:rPr>
          <w:rFonts w:cs="Arial"/>
        </w:rPr>
        <w:t xml:space="preserve"> and as such</w:t>
      </w:r>
      <w:r w:rsidR="00E33377">
        <w:rPr>
          <w:rFonts w:cs="Arial"/>
        </w:rPr>
        <w:t>,</w:t>
      </w:r>
      <w:r w:rsidRPr="000E2BE3">
        <w:rPr>
          <w:rFonts w:cs="Arial"/>
        </w:rPr>
        <w:t xml:space="preserve"> was not included in the April 2013 auction of the 700 MHz band. Consequently, the band 803</w:t>
      </w:r>
      <w:r w:rsidR="005461B2">
        <w:rPr>
          <w:rFonts w:cs="Arial"/>
        </w:rPr>
        <w:t>–</w:t>
      </w:r>
      <w:r w:rsidRPr="000E2BE3">
        <w:rPr>
          <w:rFonts w:cs="Arial"/>
        </w:rPr>
        <w:t xml:space="preserve">820 MHz remains unallocated and </w:t>
      </w:r>
      <w:r w:rsidR="00BE6267">
        <w:rPr>
          <w:rFonts w:cs="Arial"/>
        </w:rPr>
        <w:t>essentially</w:t>
      </w:r>
      <w:r w:rsidR="00BE6267" w:rsidRPr="000E2BE3">
        <w:rPr>
          <w:rFonts w:cs="Arial"/>
        </w:rPr>
        <w:t xml:space="preserve"> </w:t>
      </w:r>
      <w:r w:rsidRPr="000E2BE3">
        <w:rPr>
          <w:rFonts w:cs="Arial"/>
        </w:rPr>
        <w:t>unutilised.</w:t>
      </w:r>
    </w:p>
    <w:p w14:paraId="22E0D267" w14:textId="3CBB95D4" w:rsidR="000E2BE3" w:rsidRPr="000E2BE3" w:rsidRDefault="000E2BE3" w:rsidP="000E2BE3">
      <w:pPr>
        <w:rPr>
          <w:rFonts w:cs="Arial"/>
        </w:rPr>
      </w:pPr>
      <w:r w:rsidRPr="000E2BE3">
        <w:rPr>
          <w:rFonts w:cs="Arial"/>
        </w:rPr>
        <w:t xml:space="preserve">The </w:t>
      </w:r>
      <w:r w:rsidR="00BE6267">
        <w:rPr>
          <w:rFonts w:cs="Arial"/>
        </w:rPr>
        <w:t>803</w:t>
      </w:r>
      <w:r w:rsidR="005461B2">
        <w:rPr>
          <w:rFonts w:cs="Arial"/>
        </w:rPr>
        <w:t>–</w:t>
      </w:r>
      <w:r w:rsidR="00BE6267">
        <w:rPr>
          <w:rFonts w:cs="Arial"/>
        </w:rPr>
        <w:t xml:space="preserve">960 MHz </w:t>
      </w:r>
      <w:r w:rsidRPr="000E2BE3">
        <w:rPr>
          <w:rFonts w:cs="Arial"/>
        </w:rPr>
        <w:t>band’s physical characteristics make it ‘prime spectrum’ for cellular mobile technologies. The demand and value of these services are well known: a 2014 report</w:t>
      </w:r>
      <w:r w:rsidRPr="004F07D4">
        <w:rPr>
          <w:rStyle w:val="FootnoteReference"/>
          <w:rFonts w:cs="Arial"/>
        </w:rPr>
        <w:footnoteReference w:id="10"/>
      </w:r>
      <w:r w:rsidRPr="000E2BE3">
        <w:rPr>
          <w:rFonts w:cs="Arial"/>
        </w:rPr>
        <w:t xml:space="preserve"> commissioned by the ACMA and undertaken by The Centre for International Economics attributed an estimated $33.8 billion (some 2.28</w:t>
      </w:r>
      <w:r w:rsidR="00E33377">
        <w:rPr>
          <w:rFonts w:cs="Arial"/>
        </w:rPr>
        <w:t xml:space="preserve"> per cent</w:t>
      </w:r>
      <w:r w:rsidRPr="000E2BE3">
        <w:rPr>
          <w:rFonts w:cs="Arial"/>
        </w:rPr>
        <w:t xml:space="preserve"> of GDP) increase in economic activity in Australia to mobile broadband. While it is generally agreed that the growth in demand for mobile broadband spectrum is increasing year-on-year at a greater-than-linear rate, recent analyses and auction results have shown that the demand crisis that was once perceived to loom over mobile broadband spectrum forecasts may not materialise if managed well. So while it remains the case that current planning needs to be targeted towards future demand estimates, there is an opportunity to implement reforms over a longer period than previously apprehended, which will help in reducing the transition burden on potentially affected users.</w:t>
      </w:r>
    </w:p>
    <w:p w14:paraId="25F48745" w14:textId="6FE0003D" w:rsidR="000E2BE3" w:rsidRPr="00FE0A99" w:rsidRDefault="000E2BE3" w:rsidP="00AC7321">
      <w:r w:rsidRPr="004F07D4">
        <w:t>Despite this recent cooling in growth expectations for mobile broadband demand</w:t>
      </w:r>
      <w:r w:rsidRPr="00311AA9">
        <w:t xml:space="preserve"> in the short-to-medium term</w:t>
      </w:r>
      <w:r w:rsidRPr="004F07D4">
        <w:t xml:space="preserve">, there remains a consistent worldwide projection of a steady growth in demand for mobile data. The ACMA recently commissioned Analysys Mason to undertake </w:t>
      </w:r>
      <w:r>
        <w:t>a mobile network infrastructure forecast to examine the mobile infrastructure required for a given amount of mobile spectrum</w:t>
      </w:r>
      <w:r w:rsidRPr="004F07D4">
        <w:t xml:space="preserve">. A key part of this study was to provide traffic forecasts of data carried by mobile networks out to 2025. While recognising forecasting traffic growth is challenging and subject to considerable uncertainties, </w:t>
      </w:r>
      <w:r w:rsidR="00E33377" w:rsidRPr="004F07D4">
        <w:t>Analysys Maso</w:t>
      </w:r>
      <w:r w:rsidR="00E33377">
        <w:t>n</w:t>
      </w:r>
      <w:r w:rsidRPr="004F07D4">
        <w:t xml:space="preserve"> projected that mobile data traffic in Australia will increase from around 15</w:t>
      </w:r>
      <w:r w:rsidR="00E33377">
        <w:t>–</w:t>
      </w:r>
      <w:r w:rsidRPr="004F07D4">
        <w:t xml:space="preserve">20 </w:t>
      </w:r>
      <w:r w:rsidR="00E33377">
        <w:t>p</w:t>
      </w:r>
      <w:r w:rsidRPr="004F07D4">
        <w:t>etabytes (PB) per month in 2013</w:t>
      </w:r>
      <w:r w:rsidR="00E33377">
        <w:t>,</w:t>
      </w:r>
      <w:r w:rsidRPr="004F07D4">
        <w:t xml:space="preserve"> to around 140 PB per month in 2020, and up to around 280 PB per month in 2025</w:t>
      </w:r>
      <w:r w:rsidR="00E33377">
        <w:t>.</w:t>
      </w:r>
      <w:r w:rsidRPr="004F07D4">
        <w:rPr>
          <w:vertAlign w:val="superscript"/>
        </w:rPr>
        <w:footnoteReference w:id="11"/>
      </w:r>
      <w:r w:rsidRPr="005C0694">
        <w:t xml:space="preserve"> </w:t>
      </w:r>
    </w:p>
    <w:p w14:paraId="30F63157" w14:textId="04175878" w:rsidR="000E2BE3" w:rsidRPr="000E2BE3" w:rsidRDefault="000E2BE3" w:rsidP="000E2BE3">
      <w:pPr>
        <w:rPr>
          <w:rFonts w:cs="Arial"/>
          <w:color w:val="262626" w:themeColor="text1" w:themeTint="D9"/>
          <w:szCs w:val="20"/>
        </w:rPr>
      </w:pPr>
      <w:r w:rsidRPr="000E2BE3">
        <w:rPr>
          <w:rFonts w:cs="Arial"/>
          <w:szCs w:val="20"/>
        </w:rPr>
        <w:t xml:space="preserve">The ACMA has recently released its proposed strategy for addressing the growth in mobile broadband capacity in Australia. The paper </w:t>
      </w:r>
      <w:r w:rsidRPr="000924A6">
        <w:rPr>
          <w:rFonts w:cs="Arial"/>
          <w:i/>
          <w:szCs w:val="20"/>
        </w:rPr>
        <w:t>Beyond 2020</w:t>
      </w:r>
      <w:r w:rsidR="00E33377">
        <w:rPr>
          <w:rFonts w:cs="Arial"/>
          <w:i/>
          <w:szCs w:val="20"/>
        </w:rPr>
        <w:t>—</w:t>
      </w:r>
      <w:r w:rsidRPr="000924A6">
        <w:rPr>
          <w:rFonts w:cs="Arial"/>
          <w:i/>
          <w:szCs w:val="20"/>
        </w:rPr>
        <w:t>A spectrum management strategy to address the growth in mobile broadband capacity</w:t>
      </w:r>
      <w:r w:rsidRPr="000E2BE3">
        <w:rPr>
          <w:rFonts w:cs="Arial"/>
          <w:szCs w:val="20"/>
        </w:rPr>
        <w:t xml:space="preserve"> </w:t>
      </w:r>
      <w:r w:rsidR="00E50B0A">
        <w:rPr>
          <w:rFonts w:cs="Arial"/>
          <w:szCs w:val="20"/>
        </w:rPr>
        <w:t>(</w:t>
      </w:r>
      <w:hyperlink r:id="rId33" w:history="1">
        <w:r w:rsidR="00F27DDC" w:rsidRPr="00AC7321">
          <w:rPr>
            <w:rStyle w:val="Hyperlink"/>
            <w:rFonts w:cs="Arial"/>
            <w:i/>
            <w:szCs w:val="20"/>
          </w:rPr>
          <w:t>Beyond 2020</w:t>
        </w:r>
      </w:hyperlink>
      <w:r w:rsidR="00E50B0A">
        <w:rPr>
          <w:rFonts w:cs="Arial"/>
          <w:szCs w:val="20"/>
        </w:rPr>
        <w:t xml:space="preserve">) </w:t>
      </w:r>
      <w:r w:rsidRPr="000E2BE3">
        <w:rPr>
          <w:rFonts w:cs="Arial"/>
          <w:color w:val="262626" w:themeColor="text1" w:themeTint="D9"/>
          <w:szCs w:val="20"/>
        </w:rPr>
        <w:t>highlights that Australia is not alone in developing strategies to address the ongoing demand for mobile broadband capacity, with other countries such as the United Kingdom, the United States and Canada publishing details of their respective strategies. Typically, these strategies combine a number of aspects</w:t>
      </w:r>
      <w:r w:rsidR="00E33377">
        <w:rPr>
          <w:rFonts w:cs="Arial"/>
          <w:color w:val="262626" w:themeColor="text1" w:themeTint="D9"/>
          <w:szCs w:val="20"/>
        </w:rPr>
        <w:t>,</w:t>
      </w:r>
      <w:r w:rsidRPr="000E2BE3">
        <w:rPr>
          <w:rFonts w:cs="Arial"/>
          <w:color w:val="262626" w:themeColor="text1" w:themeTint="D9"/>
          <w:szCs w:val="20"/>
        </w:rPr>
        <w:t xml:space="preserve"> including identifying and allocating additional spectrum for mobile broadband services, implementing </w:t>
      </w:r>
      <w:r w:rsidR="0011201F" w:rsidRPr="000E2BE3">
        <w:rPr>
          <w:rFonts w:cs="Arial"/>
          <w:color w:val="262626" w:themeColor="text1" w:themeTint="D9"/>
          <w:szCs w:val="20"/>
        </w:rPr>
        <w:t>spectrum-sharing</w:t>
      </w:r>
      <w:r w:rsidRPr="000E2BE3">
        <w:rPr>
          <w:rFonts w:cs="Arial"/>
          <w:color w:val="262626" w:themeColor="text1" w:themeTint="D9"/>
          <w:szCs w:val="20"/>
        </w:rPr>
        <w:t xml:space="preserve"> arrangements, and encouraging the use of more efficient mobile broadband technologies.</w:t>
      </w:r>
    </w:p>
    <w:p w14:paraId="0EB38B73" w14:textId="709CA0F8" w:rsidR="000E2BE3" w:rsidRPr="006D46E5" w:rsidRDefault="000E2BE3" w:rsidP="000E2BE3">
      <w:pPr>
        <w:pStyle w:val="Heading2"/>
        <w:numPr>
          <w:ilvl w:val="1"/>
          <w:numId w:val="33"/>
        </w:numPr>
        <w:ind w:left="709"/>
      </w:pPr>
      <w:bookmarkStart w:id="10" w:name="_Toc434999435"/>
      <w:r>
        <w:t>Purpose of this paper</w:t>
      </w:r>
      <w:bookmarkEnd w:id="10"/>
    </w:p>
    <w:p w14:paraId="18F97A8B" w14:textId="0EA993E4" w:rsidR="000E2BE3" w:rsidRDefault="000E2BE3" w:rsidP="009756C4">
      <w:pPr>
        <w:spacing w:after="80"/>
        <w:rPr>
          <w:rFonts w:cs="Arial"/>
        </w:rPr>
      </w:pPr>
      <w:r w:rsidRPr="00D432DC">
        <w:rPr>
          <w:rFonts w:cs="Arial"/>
        </w:rPr>
        <w:t xml:space="preserve">This paper is </w:t>
      </w:r>
      <w:r>
        <w:rPr>
          <w:rFonts w:cs="Arial"/>
        </w:rPr>
        <w:t xml:space="preserve">the third and final paper on spectrum planning arrangements in the </w:t>
      </w:r>
      <w:r w:rsidR="00F27DDC">
        <w:rPr>
          <w:rFonts w:cs="Arial"/>
        </w:rPr>
        <w:br/>
      </w:r>
      <w:r>
        <w:rPr>
          <w:rFonts w:cs="Arial"/>
        </w:rPr>
        <w:t>803</w:t>
      </w:r>
      <w:r w:rsidR="00E33377">
        <w:rPr>
          <w:rFonts w:cs="Arial"/>
        </w:rPr>
        <w:t>–</w:t>
      </w:r>
      <w:r>
        <w:rPr>
          <w:rFonts w:cs="Arial"/>
        </w:rPr>
        <w:t>960 MHz band. Its purpose is to set out:</w:t>
      </w:r>
    </w:p>
    <w:p w14:paraId="35DEF014" w14:textId="557693EE" w:rsidR="000E2BE3" w:rsidRPr="009756C4" w:rsidRDefault="009756C4" w:rsidP="009756C4">
      <w:pPr>
        <w:pStyle w:val="ListBullet"/>
        <w:numPr>
          <w:ilvl w:val="0"/>
          <w:numId w:val="1"/>
        </w:numPr>
        <w:rPr>
          <w:rFonts w:cs="Arial"/>
          <w:szCs w:val="20"/>
        </w:rPr>
      </w:pPr>
      <w:r>
        <w:rPr>
          <w:rFonts w:cs="Arial"/>
          <w:szCs w:val="20"/>
        </w:rPr>
        <w:t>p</w:t>
      </w:r>
      <w:r w:rsidR="000E2BE3" w:rsidRPr="009756C4">
        <w:rPr>
          <w:rFonts w:cs="Arial"/>
          <w:szCs w:val="20"/>
        </w:rPr>
        <w:t xml:space="preserve">lanning decisions that have been taken after considering submissions that responded to the </w:t>
      </w:r>
      <w:r w:rsidRPr="000924A6">
        <w:rPr>
          <w:rFonts w:cs="Arial"/>
          <w:i/>
          <w:szCs w:val="20"/>
        </w:rPr>
        <w:t>Exploring</w:t>
      </w:r>
      <w:r>
        <w:rPr>
          <w:rFonts w:cs="Arial"/>
          <w:szCs w:val="20"/>
        </w:rPr>
        <w:t xml:space="preserve"> </w:t>
      </w:r>
      <w:r w:rsidR="00E33377">
        <w:rPr>
          <w:rFonts w:cs="Arial"/>
          <w:i/>
          <w:szCs w:val="20"/>
        </w:rPr>
        <w:t>n</w:t>
      </w:r>
      <w:r w:rsidR="000E2BE3" w:rsidRPr="009756C4">
        <w:rPr>
          <w:rFonts w:cs="Arial"/>
          <w:i/>
          <w:szCs w:val="20"/>
        </w:rPr>
        <w:t xml:space="preserve">ew </w:t>
      </w:r>
      <w:r w:rsidR="00E33377">
        <w:rPr>
          <w:rFonts w:cs="Arial"/>
          <w:i/>
          <w:szCs w:val="20"/>
        </w:rPr>
        <w:t>o</w:t>
      </w:r>
      <w:r w:rsidR="000E2BE3" w:rsidRPr="009756C4">
        <w:rPr>
          <w:rFonts w:cs="Arial"/>
          <w:i/>
          <w:szCs w:val="20"/>
        </w:rPr>
        <w:t>pportunities</w:t>
      </w:r>
      <w:r w:rsidR="000E2BE3" w:rsidRPr="009756C4">
        <w:rPr>
          <w:rFonts w:cs="Arial"/>
          <w:szCs w:val="20"/>
        </w:rPr>
        <w:t xml:space="preserve"> and </w:t>
      </w:r>
      <w:r w:rsidR="000E2BE3" w:rsidRPr="009756C4">
        <w:rPr>
          <w:rFonts w:cs="Arial"/>
          <w:i/>
          <w:szCs w:val="20"/>
        </w:rPr>
        <w:t xml:space="preserve">Future </w:t>
      </w:r>
      <w:r w:rsidR="00E33377">
        <w:rPr>
          <w:rFonts w:cs="Arial"/>
          <w:i/>
          <w:szCs w:val="20"/>
        </w:rPr>
        <w:t>o</w:t>
      </w:r>
      <w:r w:rsidR="000E2BE3" w:rsidRPr="009756C4">
        <w:rPr>
          <w:rFonts w:cs="Arial"/>
          <w:i/>
          <w:szCs w:val="20"/>
        </w:rPr>
        <w:t>ptions</w:t>
      </w:r>
      <w:r w:rsidR="000E2BE3" w:rsidRPr="009756C4">
        <w:rPr>
          <w:rFonts w:cs="Arial"/>
          <w:szCs w:val="20"/>
        </w:rPr>
        <w:t xml:space="preserve"> papers </w:t>
      </w:r>
    </w:p>
    <w:p w14:paraId="44ACF0FA" w14:textId="4115F09F" w:rsidR="000E2BE3" w:rsidRPr="009756C4" w:rsidRDefault="009756C4" w:rsidP="009756C4">
      <w:pPr>
        <w:pStyle w:val="ListBullet"/>
        <w:numPr>
          <w:ilvl w:val="0"/>
          <w:numId w:val="1"/>
        </w:numPr>
        <w:rPr>
          <w:rFonts w:cs="Arial"/>
          <w:szCs w:val="20"/>
        </w:rPr>
      </w:pPr>
      <w:r>
        <w:rPr>
          <w:rFonts w:cs="Arial"/>
          <w:szCs w:val="20"/>
        </w:rPr>
        <w:t>a</w:t>
      </w:r>
      <w:r w:rsidRPr="009756C4">
        <w:rPr>
          <w:rFonts w:cs="Arial"/>
          <w:szCs w:val="20"/>
        </w:rPr>
        <w:t xml:space="preserve"> </w:t>
      </w:r>
      <w:r w:rsidR="000E2BE3" w:rsidRPr="009756C4">
        <w:rPr>
          <w:rFonts w:cs="Arial"/>
          <w:szCs w:val="20"/>
        </w:rPr>
        <w:t>long-term implementation plan that details timelines for transition to new arrangements, while deferring any decision on how/to whom new mobile broadband spectrum is allocated</w:t>
      </w:r>
    </w:p>
    <w:p w14:paraId="39A58C20" w14:textId="13C29068" w:rsidR="000E2BE3" w:rsidRPr="009756C4" w:rsidRDefault="009756C4" w:rsidP="009756C4">
      <w:pPr>
        <w:pStyle w:val="ListBullet"/>
        <w:numPr>
          <w:ilvl w:val="0"/>
          <w:numId w:val="1"/>
        </w:numPr>
        <w:spacing w:after="240"/>
        <w:rPr>
          <w:rFonts w:cs="Arial"/>
          <w:szCs w:val="20"/>
        </w:rPr>
      </w:pPr>
      <w:r>
        <w:rPr>
          <w:rFonts w:cs="Arial"/>
          <w:szCs w:val="20"/>
        </w:rPr>
        <w:t>t</w:t>
      </w:r>
      <w:r w:rsidRPr="009756C4">
        <w:rPr>
          <w:rFonts w:cs="Arial"/>
          <w:szCs w:val="20"/>
        </w:rPr>
        <w:t xml:space="preserve">he </w:t>
      </w:r>
      <w:r w:rsidR="000E2BE3" w:rsidRPr="009756C4">
        <w:rPr>
          <w:rFonts w:cs="Arial"/>
          <w:szCs w:val="20"/>
        </w:rPr>
        <w:t xml:space="preserve">ACMA’s intention to reorganise the 900 MHz GSM band into 5 MHz lots as part of a separate process. </w:t>
      </w:r>
    </w:p>
    <w:p w14:paraId="1EFD7148" w14:textId="77777777" w:rsidR="000E2BE3" w:rsidRPr="006D46E5" w:rsidRDefault="000E2BE3" w:rsidP="000E2BE3">
      <w:pPr>
        <w:pStyle w:val="Heading2"/>
        <w:numPr>
          <w:ilvl w:val="1"/>
          <w:numId w:val="33"/>
        </w:numPr>
        <w:ind w:left="709"/>
      </w:pPr>
      <w:bookmarkStart w:id="11" w:name="_Toc434999436"/>
      <w:r>
        <w:t>Scope</w:t>
      </w:r>
      <w:bookmarkEnd w:id="11"/>
    </w:p>
    <w:p w14:paraId="7BEF9FD5" w14:textId="4A985DF2" w:rsidR="006646EF" w:rsidRPr="006646EF" w:rsidRDefault="006646EF" w:rsidP="006646EF">
      <w:pPr>
        <w:rPr>
          <w:rFonts w:cs="Arial"/>
          <w:szCs w:val="20"/>
        </w:rPr>
      </w:pPr>
      <w:r w:rsidRPr="006646EF">
        <w:rPr>
          <w:rFonts w:cs="Arial"/>
          <w:szCs w:val="20"/>
        </w:rPr>
        <w:t xml:space="preserve">As specified in the </w:t>
      </w:r>
      <w:r w:rsidR="009756C4" w:rsidRPr="000924A6">
        <w:rPr>
          <w:rFonts w:cs="Arial"/>
          <w:i/>
          <w:szCs w:val="20"/>
        </w:rPr>
        <w:t>Exploring</w:t>
      </w:r>
      <w:r w:rsidR="009756C4">
        <w:rPr>
          <w:rFonts w:cs="Arial"/>
          <w:szCs w:val="20"/>
        </w:rPr>
        <w:t xml:space="preserve"> </w:t>
      </w:r>
      <w:r w:rsidR="00E33377">
        <w:rPr>
          <w:rFonts w:cs="Arial"/>
          <w:i/>
          <w:szCs w:val="20"/>
        </w:rPr>
        <w:t>n</w:t>
      </w:r>
      <w:r w:rsidRPr="006646EF">
        <w:rPr>
          <w:rFonts w:cs="Arial"/>
          <w:i/>
          <w:szCs w:val="20"/>
        </w:rPr>
        <w:t xml:space="preserve">ew </w:t>
      </w:r>
      <w:r w:rsidR="00E33377">
        <w:rPr>
          <w:rFonts w:cs="Arial"/>
          <w:i/>
          <w:szCs w:val="20"/>
        </w:rPr>
        <w:t>o</w:t>
      </w:r>
      <w:r w:rsidRPr="006646EF">
        <w:rPr>
          <w:rFonts w:cs="Arial"/>
          <w:i/>
          <w:szCs w:val="20"/>
        </w:rPr>
        <w:t xml:space="preserve">pportunities </w:t>
      </w:r>
      <w:r w:rsidRPr="006646EF">
        <w:rPr>
          <w:rFonts w:cs="Arial"/>
          <w:szCs w:val="20"/>
        </w:rPr>
        <w:t xml:space="preserve">and </w:t>
      </w:r>
      <w:r w:rsidRPr="006646EF">
        <w:rPr>
          <w:rFonts w:cs="Arial"/>
          <w:i/>
          <w:szCs w:val="20"/>
        </w:rPr>
        <w:t xml:space="preserve">Future </w:t>
      </w:r>
      <w:r w:rsidR="00E33377">
        <w:rPr>
          <w:rFonts w:cs="Arial"/>
          <w:i/>
          <w:szCs w:val="20"/>
        </w:rPr>
        <w:t>o</w:t>
      </w:r>
      <w:r w:rsidRPr="006646EF">
        <w:rPr>
          <w:rFonts w:cs="Arial"/>
          <w:i/>
          <w:szCs w:val="20"/>
        </w:rPr>
        <w:t xml:space="preserve">ptions </w:t>
      </w:r>
      <w:r w:rsidRPr="006646EF">
        <w:rPr>
          <w:rFonts w:cs="Arial"/>
          <w:szCs w:val="20"/>
        </w:rPr>
        <w:t>papers, the frequencies that are subject to this review are 803</w:t>
      </w:r>
      <w:r w:rsidR="00E33377">
        <w:rPr>
          <w:rFonts w:cs="Arial"/>
          <w:szCs w:val="20"/>
        </w:rPr>
        <w:t>–</w:t>
      </w:r>
      <w:r w:rsidRPr="006646EF">
        <w:rPr>
          <w:rFonts w:cs="Arial"/>
          <w:szCs w:val="20"/>
        </w:rPr>
        <w:t>960 MHz. This includes the 803</w:t>
      </w:r>
      <w:r w:rsidR="00E33377">
        <w:rPr>
          <w:rFonts w:cs="Arial"/>
          <w:szCs w:val="20"/>
        </w:rPr>
        <w:t>–</w:t>
      </w:r>
      <w:r w:rsidRPr="006646EF">
        <w:rPr>
          <w:rFonts w:cs="Arial"/>
          <w:szCs w:val="20"/>
        </w:rPr>
        <w:t>820 MHz frequency range, which was part of Australia’s 126 MHz digital dividend but was not part of the</w:t>
      </w:r>
      <w:r w:rsidR="00354D30">
        <w:rPr>
          <w:rFonts w:cs="Arial"/>
          <w:szCs w:val="20"/>
        </w:rPr>
        <w:t xml:space="preserve"> digital dividend auction</w:t>
      </w:r>
      <w:r w:rsidR="000924A6">
        <w:rPr>
          <w:rFonts w:cs="Arial"/>
          <w:szCs w:val="20"/>
        </w:rPr>
        <w:t>.</w:t>
      </w:r>
      <w:r w:rsidRPr="006646EF">
        <w:rPr>
          <w:rStyle w:val="FootnoteReference"/>
          <w:rFonts w:cs="Arial"/>
          <w:szCs w:val="20"/>
        </w:rPr>
        <w:footnoteReference w:id="12"/>
      </w:r>
    </w:p>
    <w:p w14:paraId="32D3B5ED" w14:textId="30C7B9C7" w:rsidR="006646EF" w:rsidRPr="006646EF" w:rsidRDefault="006646EF" w:rsidP="006646EF">
      <w:pPr>
        <w:rPr>
          <w:rFonts w:cs="Arial"/>
          <w:szCs w:val="20"/>
        </w:rPr>
      </w:pPr>
      <w:r w:rsidRPr="006646EF">
        <w:rPr>
          <w:rFonts w:cs="Arial"/>
          <w:szCs w:val="20"/>
        </w:rPr>
        <w:t>Within this broader frequency range, the allocations within the</w:t>
      </w:r>
      <w:r w:rsidR="00354D30">
        <w:rPr>
          <w:rFonts w:cs="Arial"/>
          <w:szCs w:val="20"/>
        </w:rPr>
        <w:t xml:space="preserve"> spectrum licensed</w:t>
      </w:r>
      <w:r w:rsidRPr="006646EF">
        <w:rPr>
          <w:rStyle w:val="FootnoteReference"/>
          <w:rFonts w:cs="Arial"/>
          <w:szCs w:val="20"/>
        </w:rPr>
        <w:footnoteReference w:id="13"/>
      </w:r>
      <w:r w:rsidRPr="006646EF">
        <w:rPr>
          <w:rFonts w:cs="Arial"/>
          <w:szCs w:val="20"/>
        </w:rPr>
        <w:t xml:space="preserve"> segment in the 850 MHz band (825</w:t>
      </w:r>
      <w:r w:rsidR="00E33377">
        <w:rPr>
          <w:rFonts w:cs="Arial"/>
          <w:szCs w:val="20"/>
        </w:rPr>
        <w:t>–</w:t>
      </w:r>
      <w:r w:rsidRPr="006646EF">
        <w:rPr>
          <w:rFonts w:cs="Arial"/>
          <w:szCs w:val="20"/>
        </w:rPr>
        <w:t>845/870</w:t>
      </w:r>
      <w:r w:rsidR="00E33377">
        <w:rPr>
          <w:rFonts w:cs="Arial"/>
          <w:szCs w:val="20"/>
        </w:rPr>
        <w:t>–</w:t>
      </w:r>
      <w:r w:rsidRPr="006646EF">
        <w:rPr>
          <w:rFonts w:cs="Arial"/>
          <w:szCs w:val="20"/>
        </w:rPr>
        <w:t xml:space="preserve">890 MHz) were effectively out of scope of the </w:t>
      </w:r>
      <w:r w:rsidRPr="006646EF" w:rsidDel="000F375D">
        <w:rPr>
          <w:rFonts w:cs="Arial"/>
          <w:szCs w:val="20"/>
        </w:rPr>
        <w:t>r</w:t>
      </w:r>
      <w:r w:rsidRPr="006646EF">
        <w:rPr>
          <w:rFonts w:cs="Arial"/>
          <w:szCs w:val="20"/>
        </w:rPr>
        <w:t>eview</w:t>
      </w:r>
      <w:r w:rsidR="005A7C2E">
        <w:rPr>
          <w:rFonts w:cs="Arial"/>
          <w:szCs w:val="20"/>
        </w:rPr>
        <w:t xml:space="preserve">, noting that </w:t>
      </w:r>
      <w:r w:rsidR="005A7C2E" w:rsidRPr="006646EF">
        <w:rPr>
          <w:rFonts w:cs="Arial"/>
          <w:szCs w:val="20"/>
        </w:rPr>
        <w:t xml:space="preserve">these arrangements cannot be varied </w:t>
      </w:r>
      <w:r w:rsidR="005A7C2E">
        <w:rPr>
          <w:rFonts w:cs="Arial"/>
          <w:szCs w:val="20"/>
        </w:rPr>
        <w:t>prior to</w:t>
      </w:r>
      <w:r w:rsidR="005A7C2E" w:rsidRPr="006646EF">
        <w:rPr>
          <w:rFonts w:cs="Arial"/>
          <w:szCs w:val="20"/>
        </w:rPr>
        <w:t xml:space="preserve"> expiry </w:t>
      </w:r>
      <w:r w:rsidR="005A7C2E">
        <w:rPr>
          <w:rFonts w:cs="Arial"/>
          <w:szCs w:val="20"/>
        </w:rPr>
        <w:t xml:space="preserve">of the spectrum licences </w:t>
      </w:r>
      <w:r w:rsidR="005A7C2E" w:rsidRPr="006646EF">
        <w:rPr>
          <w:rFonts w:cs="Arial"/>
          <w:szCs w:val="20"/>
        </w:rPr>
        <w:t>in 2028</w:t>
      </w:r>
      <w:r w:rsidR="005A7C2E">
        <w:rPr>
          <w:rFonts w:cs="Arial"/>
          <w:szCs w:val="20"/>
        </w:rPr>
        <w:t xml:space="preserve"> </w:t>
      </w:r>
      <w:r w:rsidR="005A7C2E" w:rsidRPr="006646EF">
        <w:rPr>
          <w:rFonts w:cs="Arial"/>
          <w:szCs w:val="20"/>
        </w:rPr>
        <w:t>without the consent of licensees</w:t>
      </w:r>
      <w:r w:rsidR="00305FC8">
        <w:rPr>
          <w:rFonts w:cs="Arial"/>
          <w:szCs w:val="20"/>
        </w:rPr>
        <w:t xml:space="preserve">. </w:t>
      </w:r>
      <w:r w:rsidR="001A77B5">
        <w:rPr>
          <w:rFonts w:cs="Arial"/>
          <w:szCs w:val="20"/>
        </w:rPr>
        <w:t xml:space="preserve">For the reasons canvassed </w:t>
      </w:r>
      <w:r w:rsidR="000924A6">
        <w:rPr>
          <w:rFonts w:cs="Arial"/>
          <w:szCs w:val="20"/>
        </w:rPr>
        <w:t xml:space="preserve">in Chapter </w:t>
      </w:r>
      <w:r w:rsidR="000924A6">
        <w:rPr>
          <w:rFonts w:cs="Arial"/>
          <w:szCs w:val="20"/>
        </w:rPr>
        <w:fldChar w:fldCharType="begin"/>
      </w:r>
      <w:r w:rsidR="000924A6">
        <w:rPr>
          <w:rFonts w:cs="Arial"/>
          <w:szCs w:val="20"/>
        </w:rPr>
        <w:instrText xml:space="preserve"> REF _Ref433971594 \r \h </w:instrText>
      </w:r>
      <w:r w:rsidR="000924A6">
        <w:rPr>
          <w:rFonts w:cs="Arial"/>
          <w:szCs w:val="20"/>
        </w:rPr>
      </w:r>
      <w:r w:rsidR="000924A6">
        <w:rPr>
          <w:rFonts w:cs="Arial"/>
          <w:szCs w:val="20"/>
        </w:rPr>
        <w:fldChar w:fldCharType="separate"/>
      </w:r>
      <w:r w:rsidR="000924A6">
        <w:rPr>
          <w:rFonts w:cs="Arial"/>
          <w:szCs w:val="20"/>
        </w:rPr>
        <w:t>4</w:t>
      </w:r>
      <w:r w:rsidR="000924A6">
        <w:rPr>
          <w:rFonts w:cs="Arial"/>
          <w:szCs w:val="20"/>
        </w:rPr>
        <w:fldChar w:fldCharType="end"/>
      </w:r>
      <w:r w:rsidR="001A77B5">
        <w:rPr>
          <w:rFonts w:cs="Arial"/>
          <w:szCs w:val="20"/>
        </w:rPr>
        <w:t>, t</w:t>
      </w:r>
      <w:r w:rsidR="00305FC8">
        <w:rPr>
          <w:rFonts w:cs="Arial"/>
          <w:szCs w:val="20"/>
        </w:rPr>
        <w:t xml:space="preserve">he </w:t>
      </w:r>
      <w:r w:rsidR="00305FC8" w:rsidRPr="006646EF">
        <w:rPr>
          <w:rFonts w:cs="Arial"/>
          <w:i/>
          <w:szCs w:val="20"/>
        </w:rPr>
        <w:t xml:space="preserve">Future </w:t>
      </w:r>
      <w:r w:rsidR="00E33377">
        <w:rPr>
          <w:rFonts w:cs="Arial"/>
          <w:i/>
          <w:szCs w:val="20"/>
        </w:rPr>
        <w:t>o</w:t>
      </w:r>
      <w:r w:rsidR="00305FC8" w:rsidRPr="006646EF">
        <w:rPr>
          <w:rFonts w:cs="Arial"/>
          <w:i/>
          <w:szCs w:val="20"/>
        </w:rPr>
        <w:t xml:space="preserve">ptions </w:t>
      </w:r>
      <w:r w:rsidR="00305FC8" w:rsidRPr="006646EF">
        <w:rPr>
          <w:rFonts w:cs="Arial"/>
          <w:szCs w:val="20"/>
        </w:rPr>
        <w:t xml:space="preserve">paper </w:t>
      </w:r>
      <w:r w:rsidR="001A77B5">
        <w:rPr>
          <w:rFonts w:cs="Arial"/>
          <w:szCs w:val="20"/>
        </w:rPr>
        <w:t>consider</w:t>
      </w:r>
      <w:r w:rsidR="000924A6">
        <w:rPr>
          <w:rFonts w:cs="Arial"/>
          <w:szCs w:val="20"/>
        </w:rPr>
        <w:t>ed</w:t>
      </w:r>
      <w:r w:rsidR="001A77B5">
        <w:rPr>
          <w:rFonts w:cs="Arial"/>
          <w:szCs w:val="20"/>
        </w:rPr>
        <w:t xml:space="preserve"> </w:t>
      </w:r>
      <w:r w:rsidR="00305FC8">
        <w:rPr>
          <w:rFonts w:cs="Arial"/>
          <w:szCs w:val="20"/>
        </w:rPr>
        <w:t xml:space="preserve">the </w:t>
      </w:r>
      <w:r w:rsidR="001A77B5">
        <w:rPr>
          <w:rFonts w:cs="Arial"/>
          <w:szCs w:val="20"/>
        </w:rPr>
        <w:t xml:space="preserve">desirability of an eventual 1 MHz shift downwards of the entire </w:t>
      </w:r>
      <w:r w:rsidR="00305FC8">
        <w:rPr>
          <w:rFonts w:cs="Arial"/>
          <w:szCs w:val="20"/>
        </w:rPr>
        <w:t>850 MHz band</w:t>
      </w:r>
      <w:r w:rsidRPr="006646EF">
        <w:rPr>
          <w:rFonts w:cs="Arial"/>
          <w:szCs w:val="20"/>
        </w:rPr>
        <w:t xml:space="preserve">. </w:t>
      </w:r>
    </w:p>
    <w:p w14:paraId="7EF70F33" w14:textId="5EF451F2" w:rsidR="006646EF" w:rsidRPr="006646EF" w:rsidRDefault="006646EF" w:rsidP="006646EF">
      <w:pPr>
        <w:rPr>
          <w:rFonts w:cs="Arial"/>
          <w:szCs w:val="20"/>
        </w:rPr>
      </w:pPr>
      <w:r w:rsidRPr="006646EF">
        <w:rPr>
          <w:rFonts w:cs="Arial"/>
          <w:szCs w:val="20"/>
        </w:rPr>
        <w:t>Given the complexity of implementing a 1 MHz downshift of the 850 MHz band, both in terms of ‘when’ and ‘how</w:t>
      </w:r>
      <w:r w:rsidR="001A77B5">
        <w:rPr>
          <w:rFonts w:cs="Arial"/>
          <w:szCs w:val="20"/>
        </w:rPr>
        <w:t>,</w:t>
      </w:r>
      <w:r w:rsidRPr="006646EF">
        <w:rPr>
          <w:rFonts w:cs="Arial"/>
          <w:szCs w:val="20"/>
        </w:rPr>
        <w:t xml:space="preserve">’ and the considerable role that will need to be played by </w:t>
      </w:r>
      <w:r w:rsidR="001A77B5">
        <w:rPr>
          <w:rFonts w:cs="Arial"/>
          <w:szCs w:val="20"/>
        </w:rPr>
        <w:t xml:space="preserve">future </w:t>
      </w:r>
      <w:r w:rsidRPr="006646EF">
        <w:rPr>
          <w:rFonts w:cs="Arial"/>
          <w:szCs w:val="20"/>
        </w:rPr>
        <w:t>licensee decisions</w:t>
      </w:r>
      <w:r w:rsidR="001A77B5">
        <w:rPr>
          <w:rFonts w:cs="Arial"/>
          <w:szCs w:val="20"/>
        </w:rPr>
        <w:t>, particularly if this is to occur prior to the 2028 expiry of the current spectrum licences</w:t>
      </w:r>
      <w:r w:rsidRPr="006646EF">
        <w:rPr>
          <w:rFonts w:cs="Arial"/>
          <w:szCs w:val="20"/>
        </w:rPr>
        <w:t xml:space="preserve">, the ACMA is not proposing to make decisions on when or how the downshift would be executed in the present process. Rather, this paper confines itself to putting in place a key precondition to the downshift, namely, the clearance over an extended period of the services currently occupying the two blocks of 1 MHz of spectrum into which the downshift would ultimately occur. </w:t>
      </w:r>
    </w:p>
    <w:p w14:paraId="670F0A04" w14:textId="0BD10592" w:rsidR="006646EF" w:rsidRPr="006646EF" w:rsidRDefault="006646EF" w:rsidP="006646EF">
      <w:pPr>
        <w:rPr>
          <w:rFonts w:cs="Arial"/>
          <w:szCs w:val="20"/>
        </w:rPr>
      </w:pPr>
      <w:r w:rsidRPr="006646EF">
        <w:rPr>
          <w:rFonts w:cs="Arial"/>
          <w:szCs w:val="20"/>
        </w:rPr>
        <w:t xml:space="preserve">In addition, no decisions on the proposed rearrangement of the </w:t>
      </w:r>
      <w:r w:rsidR="00305FC8">
        <w:rPr>
          <w:rFonts w:cs="Arial"/>
          <w:szCs w:val="20"/>
        </w:rPr>
        <w:t>900 MHz</w:t>
      </w:r>
      <w:r w:rsidR="000924A6">
        <w:rPr>
          <w:rFonts w:cs="Arial"/>
          <w:szCs w:val="20"/>
        </w:rPr>
        <w:t xml:space="preserve"> </w:t>
      </w:r>
      <w:r w:rsidRPr="006646EF">
        <w:rPr>
          <w:rFonts w:cs="Arial"/>
          <w:szCs w:val="20"/>
        </w:rPr>
        <w:t xml:space="preserve">GSM band are made in this paper. Any decision to implement regulatory and allocative reform in this band will require further consideration by government, given the significant and complex policy, economic and technical factors. Further engagement with industry is also required. </w:t>
      </w:r>
    </w:p>
    <w:p w14:paraId="47002A46" w14:textId="77777777" w:rsidR="006646EF" w:rsidRDefault="006646EF" w:rsidP="006646EF">
      <w:pPr>
        <w:rPr>
          <w:rFonts w:cs="Arial"/>
          <w:szCs w:val="20"/>
        </w:rPr>
      </w:pPr>
      <w:r w:rsidRPr="006646EF">
        <w:rPr>
          <w:rFonts w:cs="Arial"/>
          <w:szCs w:val="20"/>
        </w:rPr>
        <w:t>While Chapter 4 contains some discussion of the rationale for these reforms</w:t>
      </w:r>
      <w:r w:rsidR="00F24879">
        <w:rPr>
          <w:rFonts w:cs="Arial"/>
          <w:szCs w:val="20"/>
        </w:rPr>
        <w:t>,</w:t>
      </w:r>
      <w:r w:rsidRPr="006646EF">
        <w:rPr>
          <w:rFonts w:cs="Arial"/>
          <w:szCs w:val="20"/>
        </w:rPr>
        <w:t xml:space="preserve"> it is the ACMA’s intention to pursue them as part of a separate process. Separating the process into two parts enables government (and affected industry players) further opportunity to ensure the best approach is taken to these reforms with the least impact on incumbent spectrum licensees.</w:t>
      </w:r>
    </w:p>
    <w:p w14:paraId="6C628BB4" w14:textId="792EE34D" w:rsidR="006646EF" w:rsidRPr="006646EF" w:rsidRDefault="006646EF" w:rsidP="006646EF">
      <w:pPr>
        <w:pStyle w:val="Heading2"/>
        <w:numPr>
          <w:ilvl w:val="1"/>
          <w:numId w:val="33"/>
        </w:numPr>
        <w:ind w:left="709"/>
      </w:pPr>
      <w:bookmarkStart w:id="12" w:name="_Toc434999437"/>
      <w:r w:rsidRPr="006646EF">
        <w:t xml:space="preserve">Review </w:t>
      </w:r>
      <w:r w:rsidR="00E33377">
        <w:t>o</w:t>
      </w:r>
      <w:r w:rsidRPr="006646EF">
        <w:t>bjectives</w:t>
      </w:r>
      <w:bookmarkEnd w:id="12"/>
    </w:p>
    <w:p w14:paraId="1B967526" w14:textId="624615C6" w:rsidR="006646EF" w:rsidRDefault="006646EF" w:rsidP="00305FC8">
      <w:pPr>
        <w:spacing w:after="80"/>
        <w:rPr>
          <w:rFonts w:cs="Arial"/>
        </w:rPr>
      </w:pPr>
      <w:r>
        <w:rPr>
          <w:rFonts w:cs="Arial"/>
        </w:rPr>
        <w:t xml:space="preserve">As set out in the </w:t>
      </w:r>
      <w:r w:rsidRPr="00FA6913">
        <w:rPr>
          <w:rFonts w:cs="Arial"/>
          <w:i/>
        </w:rPr>
        <w:t xml:space="preserve">Future </w:t>
      </w:r>
      <w:r w:rsidR="00E33377">
        <w:rPr>
          <w:rFonts w:cs="Arial"/>
          <w:i/>
        </w:rPr>
        <w:t>o</w:t>
      </w:r>
      <w:r w:rsidRPr="00FA6913">
        <w:rPr>
          <w:rFonts w:cs="Arial"/>
          <w:i/>
        </w:rPr>
        <w:t>ptions</w:t>
      </w:r>
      <w:r>
        <w:rPr>
          <w:rFonts w:cs="Arial"/>
        </w:rPr>
        <w:t xml:space="preserve"> paper, the objectives</w:t>
      </w:r>
      <w:r w:rsidR="009A09DA">
        <w:rPr>
          <w:rFonts w:cs="Arial"/>
        </w:rPr>
        <w:t xml:space="preserve"> of the </w:t>
      </w:r>
      <w:r w:rsidR="00E803F1">
        <w:rPr>
          <w:rFonts w:cs="Arial"/>
        </w:rPr>
        <w:t>r</w:t>
      </w:r>
      <w:r w:rsidR="009A09DA">
        <w:rPr>
          <w:rFonts w:cs="Arial"/>
        </w:rPr>
        <w:t>eview</w:t>
      </w:r>
      <w:r>
        <w:rPr>
          <w:rFonts w:cs="Arial"/>
        </w:rPr>
        <w:t xml:space="preserve"> were revised after considering submissions received in response to the </w:t>
      </w:r>
      <w:r w:rsidR="009756C4" w:rsidRPr="000924A6">
        <w:rPr>
          <w:rFonts w:cs="Arial"/>
          <w:i/>
        </w:rPr>
        <w:t>Exploring</w:t>
      </w:r>
      <w:r w:rsidR="009756C4">
        <w:rPr>
          <w:rFonts w:cs="Arial"/>
        </w:rPr>
        <w:t xml:space="preserve"> </w:t>
      </w:r>
      <w:r w:rsidR="00E33377">
        <w:rPr>
          <w:rFonts w:cs="Arial"/>
          <w:i/>
        </w:rPr>
        <w:t>n</w:t>
      </w:r>
      <w:r w:rsidRPr="00FA6913">
        <w:rPr>
          <w:rFonts w:cs="Arial"/>
          <w:i/>
        </w:rPr>
        <w:t xml:space="preserve">ew </w:t>
      </w:r>
      <w:r w:rsidR="00E33377">
        <w:rPr>
          <w:rFonts w:cs="Arial"/>
          <w:i/>
        </w:rPr>
        <w:t>o</w:t>
      </w:r>
      <w:r w:rsidRPr="00FA6913">
        <w:rPr>
          <w:rFonts w:cs="Arial"/>
          <w:i/>
        </w:rPr>
        <w:t>pportunities</w:t>
      </w:r>
      <w:r>
        <w:rPr>
          <w:rFonts w:cs="Arial"/>
        </w:rPr>
        <w:t xml:space="preserve"> paper. The objectives of the </w:t>
      </w:r>
      <w:r w:rsidDel="000F375D">
        <w:rPr>
          <w:rFonts w:cs="Arial"/>
        </w:rPr>
        <w:t>r</w:t>
      </w:r>
      <w:r>
        <w:rPr>
          <w:rFonts w:cs="Arial"/>
        </w:rPr>
        <w:t>eview are to:</w:t>
      </w:r>
    </w:p>
    <w:p w14:paraId="7618F6E9" w14:textId="35BE36E1" w:rsidR="006646EF" w:rsidRPr="009A09DA" w:rsidRDefault="00305FC8" w:rsidP="009A09DA">
      <w:pPr>
        <w:pStyle w:val="ListBullet"/>
        <w:numPr>
          <w:ilvl w:val="0"/>
          <w:numId w:val="1"/>
        </w:numPr>
        <w:rPr>
          <w:rFonts w:cs="Arial"/>
          <w:szCs w:val="20"/>
        </w:rPr>
      </w:pPr>
      <w:r>
        <w:rPr>
          <w:rFonts w:cs="Arial"/>
          <w:szCs w:val="20"/>
        </w:rPr>
        <w:t>i</w:t>
      </w:r>
      <w:r w:rsidR="006646EF" w:rsidRPr="00305FC8">
        <w:rPr>
          <w:rFonts w:cs="Arial"/>
          <w:szCs w:val="20"/>
        </w:rPr>
        <w:t>mprove the allocative, technical and dynamic efficiency of arrangements in the band by reviewing the relevant planning and licensing mechanisms</w:t>
      </w:r>
    </w:p>
    <w:p w14:paraId="36C54D1E" w14:textId="5D4C296F" w:rsidR="006646EF" w:rsidRPr="008E1DF1" w:rsidRDefault="00305FC8" w:rsidP="009A09DA">
      <w:pPr>
        <w:pStyle w:val="ListBullet"/>
        <w:numPr>
          <w:ilvl w:val="0"/>
          <w:numId w:val="1"/>
        </w:numPr>
        <w:rPr>
          <w:rFonts w:cs="Arial"/>
          <w:szCs w:val="20"/>
        </w:rPr>
      </w:pPr>
      <w:r>
        <w:rPr>
          <w:rFonts w:cs="Arial"/>
          <w:szCs w:val="20"/>
        </w:rPr>
        <w:t>a</w:t>
      </w:r>
      <w:r w:rsidR="006646EF" w:rsidRPr="00305FC8">
        <w:rPr>
          <w:rFonts w:cs="Arial"/>
          <w:szCs w:val="20"/>
        </w:rPr>
        <w:t xml:space="preserve">lign planning and licensing arrangements with current and anticipated demands, </w:t>
      </w:r>
      <w:r w:rsidR="006646EF" w:rsidRPr="009A09DA">
        <w:rPr>
          <w:rFonts w:cs="Arial"/>
          <w:szCs w:val="20"/>
        </w:rPr>
        <w:t>consistent with international spectrum harmonisation and the latest technology standards</w:t>
      </w:r>
    </w:p>
    <w:p w14:paraId="4A2C5722" w14:textId="4DDE5D0B" w:rsidR="006646EF" w:rsidRPr="009A09DA" w:rsidRDefault="00305FC8" w:rsidP="009A09DA">
      <w:pPr>
        <w:pStyle w:val="ListBullet"/>
        <w:numPr>
          <w:ilvl w:val="0"/>
          <w:numId w:val="1"/>
        </w:numPr>
        <w:rPr>
          <w:rFonts w:cs="Arial"/>
          <w:szCs w:val="20"/>
        </w:rPr>
      </w:pPr>
      <w:r>
        <w:rPr>
          <w:rFonts w:cs="Arial"/>
          <w:szCs w:val="20"/>
        </w:rPr>
        <w:t>i</w:t>
      </w:r>
      <w:r w:rsidR="006646EF" w:rsidRPr="00305FC8">
        <w:rPr>
          <w:rFonts w:cs="Arial"/>
          <w:szCs w:val="20"/>
        </w:rPr>
        <w:t>ncorporate spectrum in the upper part of the digital dividend, which was not included in the initial 700 MHz band allocation, to expand services in the 800 and 900 MHz bands</w:t>
      </w:r>
    </w:p>
    <w:p w14:paraId="22178806" w14:textId="7CC6317A" w:rsidR="006646EF" w:rsidRPr="00305FC8" w:rsidRDefault="00305FC8" w:rsidP="009A09DA">
      <w:pPr>
        <w:pStyle w:val="ListBullet"/>
        <w:numPr>
          <w:ilvl w:val="0"/>
          <w:numId w:val="1"/>
        </w:numPr>
        <w:spacing w:after="240"/>
        <w:rPr>
          <w:rFonts w:cs="Arial"/>
          <w:szCs w:val="20"/>
        </w:rPr>
      </w:pPr>
      <w:r>
        <w:rPr>
          <w:rFonts w:cs="Arial"/>
          <w:szCs w:val="20"/>
        </w:rPr>
        <w:t>i</w:t>
      </w:r>
      <w:r w:rsidR="006646EF" w:rsidRPr="00305FC8">
        <w:rPr>
          <w:rFonts w:cs="Arial"/>
          <w:szCs w:val="20"/>
        </w:rPr>
        <w:t>mprove the utility and flexibility with which the band is used.</w:t>
      </w:r>
    </w:p>
    <w:p w14:paraId="7BCA0B65" w14:textId="77777777" w:rsidR="006646EF" w:rsidRPr="00033683" w:rsidRDefault="00033683" w:rsidP="00033683">
      <w:pPr>
        <w:pStyle w:val="Heading2"/>
        <w:numPr>
          <w:ilvl w:val="1"/>
          <w:numId w:val="33"/>
        </w:numPr>
        <w:ind w:left="709"/>
      </w:pPr>
      <w:bookmarkStart w:id="13" w:name="_Toc434999438"/>
      <w:r w:rsidRPr="00033683">
        <w:t>Legislative and policy framework</w:t>
      </w:r>
      <w:bookmarkEnd w:id="13"/>
    </w:p>
    <w:p w14:paraId="11240AE5" w14:textId="466018DD" w:rsidR="00033683" w:rsidRDefault="00033683" w:rsidP="00033683">
      <w:pPr>
        <w:rPr>
          <w:rFonts w:cs="Arial"/>
        </w:rPr>
      </w:pPr>
      <w:r w:rsidRPr="00033683">
        <w:rPr>
          <w:rFonts w:cs="Arial"/>
        </w:rPr>
        <w:t xml:space="preserve">All decisions and proposals detailed in this paper are guided by the object of the </w:t>
      </w:r>
      <w:r w:rsidRPr="00033683">
        <w:rPr>
          <w:rFonts w:cs="Arial"/>
          <w:i/>
        </w:rPr>
        <w:t>Radiocommunications Act 1992</w:t>
      </w:r>
      <w:r w:rsidRPr="00033683">
        <w:rPr>
          <w:rFonts w:cs="Arial"/>
        </w:rPr>
        <w:t xml:space="preserve"> (the Act) and informed by the ACMA’s </w:t>
      </w:r>
      <w:r w:rsidRPr="00033683">
        <w:rPr>
          <w:rFonts w:cs="Arial"/>
          <w:i/>
        </w:rPr>
        <w:t xml:space="preserve">Principles for </w:t>
      </w:r>
      <w:r w:rsidR="00F27DDC">
        <w:rPr>
          <w:rFonts w:cs="Arial"/>
          <w:i/>
        </w:rPr>
        <w:t>S</w:t>
      </w:r>
      <w:r w:rsidRPr="00033683">
        <w:rPr>
          <w:rFonts w:cs="Arial"/>
          <w:i/>
        </w:rPr>
        <w:t xml:space="preserve">pectrum </w:t>
      </w:r>
      <w:r w:rsidR="00F27DDC">
        <w:rPr>
          <w:rFonts w:cs="Arial"/>
          <w:i/>
        </w:rPr>
        <w:t>M</w:t>
      </w:r>
      <w:r w:rsidRPr="00033683">
        <w:rPr>
          <w:rFonts w:cs="Arial"/>
          <w:i/>
        </w:rPr>
        <w:t>anagement</w:t>
      </w:r>
      <w:r w:rsidRPr="00033683">
        <w:rPr>
          <w:rFonts w:cs="Arial"/>
        </w:rPr>
        <w:t>. Relevant extracts of these texts are contained in Attachment</w:t>
      </w:r>
      <w:r>
        <w:rPr>
          <w:rFonts w:cs="Arial"/>
        </w:rPr>
        <w:t> </w:t>
      </w:r>
      <w:r w:rsidRPr="00033683">
        <w:rPr>
          <w:rFonts w:cs="Arial"/>
        </w:rPr>
        <w:t>1.</w:t>
      </w:r>
    </w:p>
    <w:p w14:paraId="2EC2A791" w14:textId="77777777" w:rsidR="00033683" w:rsidRDefault="00033683" w:rsidP="00033683">
      <w:pPr>
        <w:pStyle w:val="Heading2"/>
        <w:numPr>
          <w:ilvl w:val="1"/>
          <w:numId w:val="33"/>
        </w:numPr>
        <w:ind w:left="709"/>
      </w:pPr>
      <w:bookmarkStart w:id="14" w:name="_Toc434999439"/>
      <w:r>
        <w:t>The Spectrum Review</w:t>
      </w:r>
      <w:bookmarkEnd w:id="14"/>
    </w:p>
    <w:p w14:paraId="7CA33E3D" w14:textId="38A3C1D2" w:rsidR="00033683" w:rsidRPr="00BB0E86" w:rsidRDefault="00033683" w:rsidP="00033683">
      <w:pPr>
        <w:rPr>
          <w:rFonts w:cs="Arial"/>
        </w:rPr>
      </w:pPr>
      <w:r w:rsidRPr="00BB0E86">
        <w:rPr>
          <w:rFonts w:cs="Arial"/>
        </w:rPr>
        <w:t>In May 20</w:t>
      </w:r>
      <w:r>
        <w:rPr>
          <w:rFonts w:cs="Arial"/>
        </w:rPr>
        <w:t>14</w:t>
      </w:r>
      <w:r w:rsidRPr="00BB0E86">
        <w:rPr>
          <w:rFonts w:cs="Arial"/>
        </w:rPr>
        <w:t>, the Minister for Communications announced</w:t>
      </w:r>
      <w:r w:rsidRPr="00BB0E86">
        <w:rPr>
          <w:rStyle w:val="FootnoteReference"/>
          <w:rFonts w:cs="Arial"/>
        </w:rPr>
        <w:footnoteReference w:id="14"/>
      </w:r>
      <w:r w:rsidRPr="00BB0E86">
        <w:rPr>
          <w:rFonts w:cs="Arial"/>
        </w:rPr>
        <w:t xml:space="preserve"> that the </w:t>
      </w:r>
      <w:r w:rsidR="00681FE1">
        <w:rPr>
          <w:rFonts w:cs="Arial"/>
        </w:rPr>
        <w:t xml:space="preserve">then </w:t>
      </w:r>
      <w:r w:rsidRPr="00BB0E86">
        <w:rPr>
          <w:rFonts w:cs="Arial"/>
        </w:rPr>
        <w:t>Department of Communications (the Department) would conduct a review of Australia’s spectrum policy and management framework in conjunction with the ACMA.</w:t>
      </w:r>
    </w:p>
    <w:p w14:paraId="1D979ED3" w14:textId="77777777" w:rsidR="00033683" w:rsidRPr="00BB0E86" w:rsidRDefault="00033683" w:rsidP="00033683">
      <w:pPr>
        <w:rPr>
          <w:rFonts w:cs="Arial"/>
        </w:rPr>
      </w:pPr>
      <w:r w:rsidRPr="00BB0E86">
        <w:rPr>
          <w:rFonts w:cs="Arial"/>
        </w:rPr>
        <w:t>Under the Terms of Reference</w:t>
      </w:r>
      <w:r w:rsidRPr="00BB0E86">
        <w:rPr>
          <w:rStyle w:val="FootnoteReference"/>
          <w:rFonts w:cs="Arial"/>
        </w:rPr>
        <w:footnoteReference w:id="15"/>
      </w:r>
      <w:r w:rsidRPr="00BB0E86">
        <w:rPr>
          <w:rFonts w:cs="Arial"/>
        </w:rPr>
        <w:t xml:space="preserve"> of this review, the Department would consider ways to </w:t>
      </w:r>
      <w:r w:rsidRPr="00BB0E86">
        <w:rPr>
          <w:rFonts w:cs="Arial"/>
          <w:i/>
        </w:rPr>
        <w:t>improve the flexibility of the [spectrum management] framework</w:t>
      </w:r>
      <w:r w:rsidRPr="00BB0E86">
        <w:rPr>
          <w:rFonts w:cs="Arial"/>
        </w:rPr>
        <w:t xml:space="preserve"> by </w:t>
      </w:r>
      <w:r w:rsidRPr="00BB0E86">
        <w:rPr>
          <w:rFonts w:cs="Arial"/>
          <w:i/>
        </w:rPr>
        <w:t xml:space="preserve">simplifying the framework to reduce its complexity and impact on spectrum users </w:t>
      </w:r>
      <w:r w:rsidRPr="00BB0E86">
        <w:rPr>
          <w:rFonts w:cs="Arial"/>
        </w:rPr>
        <w:t xml:space="preserve">whilst ensuring </w:t>
      </w:r>
      <w:r w:rsidRPr="00BB0E86">
        <w:rPr>
          <w:rFonts w:cs="Arial"/>
          <w:i/>
        </w:rPr>
        <w:t>efficient allocation, ongoing use and management of spectrum</w:t>
      </w:r>
      <w:r w:rsidRPr="00BB0E86">
        <w:rPr>
          <w:rFonts w:cs="Arial"/>
        </w:rPr>
        <w:t>.</w:t>
      </w:r>
    </w:p>
    <w:p w14:paraId="5CB4D772" w14:textId="77777777" w:rsidR="00033683" w:rsidRPr="00311AA9" w:rsidRDefault="00033683" w:rsidP="00033683">
      <w:pPr>
        <w:rPr>
          <w:rFonts w:cs="Arial"/>
        </w:rPr>
      </w:pPr>
      <w:r w:rsidRPr="00311AA9">
        <w:rPr>
          <w:rFonts w:cs="Arial"/>
        </w:rPr>
        <w:t>On 25 August 2015, the government released its response, agreeing to implement the recommendations of the Spectrum Review.</w:t>
      </w:r>
      <w:r w:rsidRPr="00033683">
        <w:rPr>
          <w:vertAlign w:val="superscript"/>
        </w:rPr>
        <w:footnoteReference w:id="16"/>
      </w:r>
    </w:p>
    <w:p w14:paraId="20BA259B" w14:textId="77777777" w:rsidR="00033683" w:rsidRPr="007912CE" w:rsidRDefault="00033683" w:rsidP="00033683">
      <w:pPr>
        <w:spacing w:after="80"/>
        <w:rPr>
          <w:rFonts w:cs="Arial"/>
        </w:rPr>
      </w:pPr>
      <w:r>
        <w:rPr>
          <w:rFonts w:cs="Arial"/>
        </w:rPr>
        <w:t>The g</w:t>
      </w:r>
      <w:r w:rsidRPr="007912CE">
        <w:rPr>
          <w:rFonts w:cs="Arial"/>
        </w:rPr>
        <w:t>overnment will implement the three main recommendations of the review:</w:t>
      </w:r>
    </w:p>
    <w:p w14:paraId="20416215" w14:textId="77777777" w:rsidR="00033683" w:rsidRPr="007912CE" w:rsidRDefault="00033683" w:rsidP="00033683">
      <w:pPr>
        <w:pStyle w:val="ListNumber2"/>
        <w:numPr>
          <w:ilvl w:val="0"/>
          <w:numId w:val="28"/>
        </w:numPr>
      </w:pPr>
      <w:r w:rsidRPr="007912CE">
        <w:t>Replace the current legislative arrangements with new legislation that removes prescriptive process and streamlines licensing, for a simpler and more flexible framework.</w:t>
      </w:r>
    </w:p>
    <w:p w14:paraId="075C9101" w14:textId="77777777" w:rsidR="00033683" w:rsidRPr="007912CE" w:rsidRDefault="00033683" w:rsidP="00033683">
      <w:pPr>
        <w:pStyle w:val="ListNumber2"/>
      </w:pPr>
      <w:r w:rsidRPr="007912CE">
        <w:t>Better integrate the management of public sector and broadcasting spectrum to improve the consistency and integrity of the framework.</w:t>
      </w:r>
    </w:p>
    <w:p w14:paraId="053390E2" w14:textId="77777777" w:rsidR="00033683" w:rsidRPr="007912CE" w:rsidRDefault="00033683" w:rsidP="00033683">
      <w:pPr>
        <w:pStyle w:val="ListNumber2"/>
        <w:spacing w:after="240"/>
        <w:ind w:left="357" w:hanging="357"/>
      </w:pPr>
      <w:r w:rsidRPr="007912CE">
        <w:t>Review spectrum pricing to ensure consistent and transparent arrangements to support the efficient use of spectrum and secondary markets.</w:t>
      </w:r>
    </w:p>
    <w:p w14:paraId="2649E673" w14:textId="77777777" w:rsidR="00033683" w:rsidRDefault="00033683" w:rsidP="00033683">
      <w:pPr>
        <w:rPr>
          <w:rFonts w:cs="Arial"/>
        </w:rPr>
      </w:pPr>
      <w:r>
        <w:rPr>
          <w:rFonts w:cs="Arial"/>
        </w:rPr>
        <w:t>Th</w:t>
      </w:r>
      <w:r w:rsidRPr="00BB0E86">
        <w:rPr>
          <w:rFonts w:cs="Arial"/>
        </w:rPr>
        <w:t xml:space="preserve">e </w:t>
      </w:r>
      <w:r>
        <w:rPr>
          <w:rFonts w:cs="Arial"/>
        </w:rPr>
        <w:t>g</w:t>
      </w:r>
      <w:r w:rsidRPr="00BB0E86">
        <w:rPr>
          <w:rFonts w:cs="Arial"/>
        </w:rPr>
        <w:t xml:space="preserve">overnment </w:t>
      </w:r>
      <w:r>
        <w:rPr>
          <w:rFonts w:cs="Arial"/>
        </w:rPr>
        <w:t xml:space="preserve">has set a target date </w:t>
      </w:r>
      <w:r w:rsidRPr="00BB0E86">
        <w:rPr>
          <w:rFonts w:cs="Arial"/>
        </w:rPr>
        <w:t>mid-2017 for implementation</w:t>
      </w:r>
      <w:r>
        <w:rPr>
          <w:rFonts w:cs="Arial"/>
        </w:rPr>
        <w:t xml:space="preserve"> of the Spectrum Review recommendations</w:t>
      </w:r>
      <w:r w:rsidRPr="00BB0E86">
        <w:rPr>
          <w:rFonts w:cs="Arial"/>
        </w:rPr>
        <w:t>.</w:t>
      </w:r>
    </w:p>
    <w:p w14:paraId="7C1A9407" w14:textId="76D95CD9" w:rsidR="00033683" w:rsidRPr="00D432DC" w:rsidRDefault="00033683" w:rsidP="00033683">
      <w:pPr>
        <w:rPr>
          <w:rFonts w:cs="Arial"/>
        </w:rPr>
      </w:pPr>
      <w:r w:rsidRPr="00BB0E86">
        <w:rPr>
          <w:rFonts w:cs="Arial"/>
        </w:rPr>
        <w:t>The proposed reform</w:t>
      </w:r>
      <w:r>
        <w:rPr>
          <w:rFonts w:cs="Arial"/>
        </w:rPr>
        <w:t>s</w:t>
      </w:r>
      <w:r w:rsidRPr="00BB0E86">
        <w:rPr>
          <w:rFonts w:cs="Arial"/>
        </w:rPr>
        <w:t xml:space="preserve"> presented in this paper ha</w:t>
      </w:r>
      <w:r>
        <w:rPr>
          <w:rFonts w:cs="Arial"/>
        </w:rPr>
        <w:t>ve</w:t>
      </w:r>
      <w:r w:rsidRPr="00BB0E86">
        <w:rPr>
          <w:rFonts w:cs="Arial"/>
        </w:rPr>
        <w:t xml:space="preserve"> been made under the </w:t>
      </w:r>
      <w:r>
        <w:rPr>
          <w:rFonts w:cs="Arial"/>
        </w:rPr>
        <w:t>existing legislation</w:t>
      </w:r>
      <w:r w:rsidRPr="00BB0E86">
        <w:rPr>
          <w:rFonts w:cs="Arial"/>
        </w:rPr>
        <w:t xml:space="preserve"> as the current spectrum management framework. Any commentary on licensing or regulatory options in this paper uses the terminology and assumptions of the </w:t>
      </w:r>
      <w:r>
        <w:rPr>
          <w:rFonts w:cs="Arial"/>
        </w:rPr>
        <w:t xml:space="preserve">current </w:t>
      </w:r>
      <w:r w:rsidRPr="00BB0E86">
        <w:rPr>
          <w:rFonts w:cs="Arial"/>
        </w:rPr>
        <w:t>Act.</w:t>
      </w:r>
      <w:r>
        <w:rPr>
          <w:rFonts w:cs="Arial"/>
        </w:rPr>
        <w:t xml:space="preserve"> </w:t>
      </w:r>
      <w:r w:rsidRPr="00BB0E86">
        <w:rPr>
          <w:rFonts w:cs="Arial"/>
        </w:rPr>
        <w:t xml:space="preserve">While the ACMA, in implementing the outcomes of its review of </w:t>
      </w:r>
      <w:r w:rsidR="009A09DA">
        <w:rPr>
          <w:rFonts w:cs="Arial"/>
        </w:rPr>
        <w:t xml:space="preserve">the </w:t>
      </w:r>
      <w:r w:rsidRPr="00BB0E86">
        <w:rPr>
          <w:rFonts w:cs="Arial"/>
        </w:rPr>
        <w:t>803</w:t>
      </w:r>
      <w:r w:rsidR="0034630A">
        <w:rPr>
          <w:rFonts w:cs="Arial"/>
        </w:rPr>
        <w:t>–</w:t>
      </w:r>
      <w:r w:rsidRPr="00BB0E86">
        <w:rPr>
          <w:rFonts w:cs="Arial"/>
        </w:rPr>
        <w:t>960 MHz</w:t>
      </w:r>
      <w:r w:rsidR="009A09DA">
        <w:rPr>
          <w:rFonts w:cs="Arial"/>
        </w:rPr>
        <w:t xml:space="preserve"> band</w:t>
      </w:r>
      <w:r w:rsidRPr="00BB0E86">
        <w:rPr>
          <w:rFonts w:cs="Arial"/>
        </w:rPr>
        <w:t xml:space="preserve">, is constrained to administer the law as it currently exists, it notes that other licensing or regulatory options may become available </w:t>
      </w:r>
      <w:r>
        <w:rPr>
          <w:rFonts w:cs="Arial"/>
        </w:rPr>
        <w:t xml:space="preserve">as a result of </w:t>
      </w:r>
      <w:r w:rsidR="0034630A">
        <w:rPr>
          <w:rFonts w:cs="Arial"/>
        </w:rPr>
        <w:t>S</w:t>
      </w:r>
      <w:r>
        <w:rPr>
          <w:rFonts w:cs="Arial"/>
        </w:rPr>
        <w:t xml:space="preserve">pectrum </w:t>
      </w:r>
      <w:r w:rsidR="0034630A">
        <w:rPr>
          <w:rFonts w:cs="Arial"/>
        </w:rPr>
        <w:t>R</w:t>
      </w:r>
      <w:r>
        <w:rPr>
          <w:rFonts w:cs="Arial"/>
        </w:rPr>
        <w:t xml:space="preserve">eview outcomes </w:t>
      </w:r>
      <w:r w:rsidRPr="00BB0E86">
        <w:rPr>
          <w:rFonts w:cs="Arial"/>
        </w:rPr>
        <w:t xml:space="preserve">during the course of implementation. </w:t>
      </w:r>
      <w:r>
        <w:rPr>
          <w:rFonts w:cs="Arial"/>
        </w:rPr>
        <w:t xml:space="preserve">Though it is too early to speculate in detail, </w:t>
      </w:r>
      <w:r w:rsidRPr="00BB0E86">
        <w:rPr>
          <w:rFonts w:cs="Arial"/>
        </w:rPr>
        <w:t>there may be additional or improved regulatory ‘tools’ available for the regulator to tackle issues</w:t>
      </w:r>
      <w:r w:rsidR="0034630A">
        <w:rPr>
          <w:rFonts w:cs="Arial"/>
        </w:rPr>
        <w:t>,</w:t>
      </w:r>
      <w:r w:rsidRPr="00BB0E86">
        <w:rPr>
          <w:rFonts w:cs="Arial"/>
        </w:rPr>
        <w:t xml:space="preserve"> </w:t>
      </w:r>
      <w:r>
        <w:rPr>
          <w:rFonts w:cs="Arial"/>
        </w:rPr>
        <w:t>such as thos</w:t>
      </w:r>
      <w:r w:rsidRPr="00BB0E86">
        <w:rPr>
          <w:rFonts w:cs="Arial"/>
        </w:rPr>
        <w:t xml:space="preserve">e identified in Chapter </w:t>
      </w:r>
      <w:r w:rsidR="009A09DA">
        <w:rPr>
          <w:rFonts w:cs="Arial"/>
        </w:rPr>
        <w:t>4</w:t>
      </w:r>
      <w:r w:rsidRPr="00BB0E86">
        <w:rPr>
          <w:rFonts w:cs="Arial"/>
        </w:rPr>
        <w:t xml:space="preserve"> as being outside the scope of th</w:t>
      </w:r>
      <w:r>
        <w:rPr>
          <w:rFonts w:cs="Arial"/>
        </w:rPr>
        <w:t xml:space="preserve">e present </w:t>
      </w:r>
      <w:r w:rsidRPr="00BB0E86">
        <w:rPr>
          <w:rFonts w:cs="Arial"/>
        </w:rPr>
        <w:t>paper.</w:t>
      </w:r>
      <w:r>
        <w:rPr>
          <w:rFonts w:cs="Arial"/>
        </w:rPr>
        <w:t xml:space="preserve"> Other implications may become apparent once amending legislation has been developed. </w:t>
      </w:r>
      <w:r w:rsidRPr="00BB0E86">
        <w:rPr>
          <w:rFonts w:cs="Arial"/>
        </w:rPr>
        <w:t xml:space="preserve"> </w:t>
      </w:r>
    </w:p>
    <w:p w14:paraId="22ADD0F9" w14:textId="77777777" w:rsidR="00A47E79" w:rsidRDefault="00033683" w:rsidP="00033683">
      <w:pPr>
        <w:pStyle w:val="Heading1"/>
        <w:numPr>
          <w:ilvl w:val="0"/>
          <w:numId w:val="33"/>
        </w:numPr>
        <w:ind w:left="709"/>
      </w:pPr>
      <w:bookmarkStart w:id="15" w:name="_Toc434999440"/>
      <w:r>
        <w:t>Changes in approach since previous consultation</w:t>
      </w:r>
      <w:bookmarkEnd w:id="15"/>
    </w:p>
    <w:p w14:paraId="27C47341" w14:textId="1C424D9E" w:rsidR="00033683" w:rsidRPr="00033683" w:rsidRDefault="00A16866" w:rsidP="007E3BEE">
      <w:pPr>
        <w:rPr>
          <w:rFonts w:cs="Arial"/>
        </w:rPr>
      </w:pPr>
      <w:r>
        <w:rPr>
          <w:rFonts w:cs="Arial"/>
        </w:rPr>
        <w:t>T</w:t>
      </w:r>
      <w:r w:rsidR="00033683" w:rsidRPr="00033683">
        <w:rPr>
          <w:rFonts w:cs="Arial"/>
        </w:rPr>
        <w:t xml:space="preserve">his paper signals the ACMA’s intention to progress the critical restructure of the 800 and 900 MHz bands in the absence of </w:t>
      </w:r>
      <w:r w:rsidR="00D25648">
        <w:t>final decisions on</w:t>
      </w:r>
      <w:r w:rsidR="00D25648" w:rsidRPr="00033683" w:rsidDel="00D25648">
        <w:rPr>
          <w:rFonts w:cs="Arial"/>
        </w:rPr>
        <w:t xml:space="preserve"> </w:t>
      </w:r>
      <w:r w:rsidR="00D25648">
        <w:rPr>
          <w:rFonts w:cs="Arial"/>
        </w:rPr>
        <w:t>the reconfiguration of the 900</w:t>
      </w:r>
      <w:r w:rsidR="000924A6">
        <w:rPr>
          <w:rFonts w:cs="Arial"/>
        </w:rPr>
        <w:t> </w:t>
      </w:r>
      <w:r w:rsidR="00D25648">
        <w:rPr>
          <w:rFonts w:cs="Arial"/>
        </w:rPr>
        <w:t xml:space="preserve">MHz GSM band and allocation of the 850 MHz expansion band, but </w:t>
      </w:r>
      <w:r w:rsidR="00033683" w:rsidRPr="00033683">
        <w:rPr>
          <w:rFonts w:cs="Arial"/>
        </w:rPr>
        <w:t xml:space="preserve">over a longer transition period than was foreshadowed in previous rounds of consultation. </w:t>
      </w:r>
      <w:r w:rsidR="003E62F3">
        <w:rPr>
          <w:rFonts w:cs="Arial"/>
        </w:rPr>
        <w:t>Doing so</w:t>
      </w:r>
      <w:r w:rsidR="00033683" w:rsidRPr="00033683">
        <w:rPr>
          <w:rFonts w:cs="Arial"/>
        </w:rPr>
        <w:t xml:space="preserve"> in an uncertain environment necessitates a contingency-based approach to planning that seeks to meet industry needs</w:t>
      </w:r>
      <w:r w:rsidR="0034630A">
        <w:rPr>
          <w:rFonts w:cs="Arial"/>
        </w:rPr>
        <w:t>—</w:t>
      </w:r>
      <w:r w:rsidR="00033683" w:rsidRPr="00033683">
        <w:rPr>
          <w:rFonts w:cs="Arial"/>
        </w:rPr>
        <w:t>including all-important planning certainty</w:t>
      </w:r>
      <w:r w:rsidR="0034630A">
        <w:rPr>
          <w:rFonts w:cs="Arial"/>
        </w:rPr>
        <w:t>—and</w:t>
      </w:r>
      <w:r w:rsidR="00033683" w:rsidRPr="00033683">
        <w:rPr>
          <w:rFonts w:cs="Arial"/>
        </w:rPr>
        <w:t xml:space="preserve"> </w:t>
      </w:r>
      <w:r w:rsidR="003E62F3">
        <w:rPr>
          <w:rFonts w:cs="Arial"/>
        </w:rPr>
        <w:t xml:space="preserve">also </w:t>
      </w:r>
      <w:r w:rsidR="00033683" w:rsidRPr="00033683">
        <w:rPr>
          <w:rFonts w:cs="Arial"/>
        </w:rPr>
        <w:t>retain</w:t>
      </w:r>
      <w:r w:rsidR="003E62F3">
        <w:rPr>
          <w:rFonts w:cs="Arial"/>
        </w:rPr>
        <w:t>s</w:t>
      </w:r>
      <w:r w:rsidR="00033683" w:rsidRPr="00033683">
        <w:rPr>
          <w:rFonts w:cs="Arial"/>
        </w:rPr>
        <w:t xml:space="preserve"> some flexibility to </w:t>
      </w:r>
      <w:r w:rsidR="003E62F3">
        <w:rPr>
          <w:rFonts w:cs="Arial"/>
        </w:rPr>
        <w:t xml:space="preserve">accommodate </w:t>
      </w:r>
      <w:r w:rsidR="001A684A">
        <w:rPr>
          <w:rFonts w:cs="Arial"/>
        </w:rPr>
        <w:t>a range of</w:t>
      </w:r>
      <w:r w:rsidR="003E62F3">
        <w:rPr>
          <w:rFonts w:cs="Arial"/>
        </w:rPr>
        <w:t xml:space="preserve"> </w:t>
      </w:r>
      <w:r w:rsidR="00033683" w:rsidRPr="00033683">
        <w:rPr>
          <w:rFonts w:cs="Arial"/>
        </w:rPr>
        <w:t xml:space="preserve">potential </w:t>
      </w:r>
      <w:r w:rsidR="003E62F3">
        <w:rPr>
          <w:rFonts w:cs="Arial"/>
        </w:rPr>
        <w:t>contingencies</w:t>
      </w:r>
      <w:r w:rsidR="00033683" w:rsidRPr="00033683">
        <w:rPr>
          <w:rFonts w:cs="Arial"/>
        </w:rPr>
        <w:t xml:space="preserve">, in the most efficient and transparent manner possible. </w:t>
      </w:r>
    </w:p>
    <w:p w14:paraId="36864BB9" w14:textId="77777777" w:rsidR="00033683" w:rsidRPr="00033683" w:rsidRDefault="00033683" w:rsidP="00DF6A1D">
      <w:pPr>
        <w:rPr>
          <w:rFonts w:cs="Arial"/>
        </w:rPr>
      </w:pPr>
      <w:r w:rsidRPr="00033683">
        <w:rPr>
          <w:rFonts w:cs="Arial"/>
        </w:rPr>
        <w:t>The implementation plan contained in Chapter 3 sets out the timetable for when action will need to be taken by the ACMA and incumbent licence holders to put into effect the transition to new arrangements. The long-term nature of this plan will afford affected incumbents ample time to make the necessary arrangements for transition.</w:t>
      </w:r>
    </w:p>
    <w:p w14:paraId="5913C5A5" w14:textId="77808A85" w:rsidR="00033683" w:rsidRPr="00033683" w:rsidRDefault="00033683" w:rsidP="003009EC">
      <w:pPr>
        <w:rPr>
          <w:rFonts w:cs="Arial"/>
        </w:rPr>
      </w:pPr>
      <w:r w:rsidRPr="00033683">
        <w:rPr>
          <w:rFonts w:cs="Arial"/>
        </w:rPr>
        <w:t xml:space="preserve">The proposed reconfiguration of the 900 MHz GSM band and related downshift of the 850 MHz band (discussed in Chapter 4) will be pursued separately from the implementation plan set out in this paper. These remain important reform objectives for the ACMA, however as these issues are largely </w:t>
      </w:r>
      <w:r w:rsidR="0034630A">
        <w:rPr>
          <w:rFonts w:cs="Arial"/>
        </w:rPr>
        <w:t>‘</w:t>
      </w:r>
      <w:r w:rsidRPr="00033683">
        <w:rPr>
          <w:rFonts w:cs="Arial"/>
        </w:rPr>
        <w:t>self-contained</w:t>
      </w:r>
      <w:r w:rsidRPr="00311AA9">
        <w:rPr>
          <w:vertAlign w:val="superscript"/>
        </w:rPr>
        <w:footnoteReference w:id="17"/>
      </w:r>
      <w:r w:rsidR="0034630A">
        <w:rPr>
          <w:rFonts w:cs="Arial"/>
        </w:rPr>
        <w:t>’</w:t>
      </w:r>
      <w:r w:rsidRPr="00033683">
        <w:rPr>
          <w:rFonts w:cs="Arial"/>
        </w:rPr>
        <w:t xml:space="preserve"> within the abovementioned frequency ranges</w:t>
      </w:r>
      <w:r w:rsidR="00F27DDC">
        <w:rPr>
          <w:rFonts w:cs="Arial"/>
        </w:rPr>
        <w:t>,</w:t>
      </w:r>
      <w:r w:rsidRPr="00033683">
        <w:rPr>
          <w:rFonts w:cs="Arial"/>
        </w:rPr>
        <w:t xml:space="preserve"> they can be dealt with in isolation from other aspects of this review. </w:t>
      </w:r>
    </w:p>
    <w:p w14:paraId="66922D65" w14:textId="4519D054" w:rsidR="00033683" w:rsidRPr="00033683" w:rsidRDefault="00033683" w:rsidP="003009EC">
      <w:pPr>
        <w:rPr>
          <w:rFonts w:cs="Arial"/>
        </w:rPr>
      </w:pPr>
      <w:r w:rsidRPr="00033683">
        <w:rPr>
          <w:rFonts w:cs="Arial"/>
        </w:rPr>
        <w:t xml:space="preserve">Lastly, regarding nomenclature, the </w:t>
      </w:r>
      <w:r w:rsidRPr="00033683">
        <w:rPr>
          <w:rFonts w:cs="Arial"/>
          <w:i/>
        </w:rPr>
        <w:t xml:space="preserve">Future </w:t>
      </w:r>
      <w:r w:rsidR="0034630A">
        <w:rPr>
          <w:rFonts w:cs="Arial"/>
          <w:i/>
        </w:rPr>
        <w:t>o</w:t>
      </w:r>
      <w:r w:rsidRPr="00033683">
        <w:rPr>
          <w:rFonts w:cs="Arial"/>
          <w:i/>
        </w:rPr>
        <w:t>ptions</w:t>
      </w:r>
      <w:r w:rsidRPr="00033683">
        <w:rPr>
          <w:rFonts w:cs="Arial"/>
        </w:rPr>
        <w:t xml:space="preserve"> paper signalled a change in naming conventions for the frequency bands within the scope of this review. Specifically, the 803</w:t>
      </w:r>
      <w:r w:rsidR="0034630A">
        <w:rPr>
          <w:rFonts w:cs="Arial"/>
        </w:rPr>
        <w:t>–</w:t>
      </w:r>
      <w:r w:rsidRPr="00033683">
        <w:rPr>
          <w:rFonts w:cs="Arial"/>
        </w:rPr>
        <w:t xml:space="preserve">890 MHz band </w:t>
      </w:r>
      <w:r w:rsidR="007E3BEE">
        <w:rPr>
          <w:rFonts w:cs="Arial"/>
        </w:rPr>
        <w:t>was</w:t>
      </w:r>
      <w:r w:rsidRPr="00033683">
        <w:rPr>
          <w:rFonts w:cs="Arial"/>
        </w:rPr>
        <w:t xml:space="preserve"> referred to as the ‘800 MHz band’, and 890</w:t>
      </w:r>
      <w:r w:rsidR="0034630A">
        <w:rPr>
          <w:rFonts w:cs="Arial"/>
        </w:rPr>
        <w:t>–</w:t>
      </w:r>
      <w:r w:rsidRPr="00033683">
        <w:rPr>
          <w:rFonts w:cs="Arial"/>
        </w:rPr>
        <w:t>960 MHz as the ‘900 MHz band’. These conventions are reflected in the two new band plans made for the 800 and 900 MHz bands (see Section 3.1.1).</w:t>
      </w:r>
    </w:p>
    <w:p w14:paraId="10E46F75" w14:textId="419D1E8D" w:rsidR="00A47E79" w:rsidRPr="00E14FB8" w:rsidRDefault="00033683" w:rsidP="003009EC">
      <w:pPr>
        <w:rPr>
          <w:i/>
        </w:rPr>
      </w:pPr>
      <w:r w:rsidRPr="00033683">
        <w:rPr>
          <w:rFonts w:cs="Arial"/>
        </w:rPr>
        <w:t>Additionally, the frequencies historically spectrum-licensed as part of the ‘800 MHz’ band (825</w:t>
      </w:r>
      <w:r w:rsidR="0034630A">
        <w:rPr>
          <w:rFonts w:cs="Arial"/>
        </w:rPr>
        <w:t>–</w:t>
      </w:r>
      <w:r w:rsidRPr="00033683">
        <w:rPr>
          <w:rFonts w:cs="Arial"/>
        </w:rPr>
        <w:t>845/870</w:t>
      </w:r>
      <w:r w:rsidR="0034630A">
        <w:rPr>
          <w:rFonts w:cs="Arial"/>
        </w:rPr>
        <w:t>–</w:t>
      </w:r>
      <w:r w:rsidRPr="00033683">
        <w:rPr>
          <w:rFonts w:cs="Arial"/>
        </w:rPr>
        <w:t xml:space="preserve">890 MHz) will be referred to as the 850 MHz band for consistency purposes and to avoid confusion with the </w:t>
      </w:r>
      <w:r w:rsidRPr="00033683">
        <w:rPr>
          <w:rFonts w:cs="Arial"/>
          <w:i/>
        </w:rPr>
        <w:t xml:space="preserve">broader </w:t>
      </w:r>
      <w:r w:rsidRPr="00033683">
        <w:rPr>
          <w:rFonts w:cs="Arial"/>
        </w:rPr>
        <w:t>800 MHz band. Lastly, for the purposes of this paper, the spectrum from 703 to 803 MHz will be referred to as the 700 MHz band. This band includes the 90 MHz that was reconfigured to harmonise with the APT 700 MHz band plan</w:t>
      </w:r>
      <w:r>
        <w:rPr>
          <w:rStyle w:val="FootnoteReference"/>
          <w:rFonts w:cs="Arial"/>
        </w:rPr>
        <w:footnoteReference w:id="18"/>
      </w:r>
      <w:r w:rsidRPr="00033683">
        <w:rPr>
          <w:rFonts w:cs="Arial"/>
        </w:rPr>
        <w:t xml:space="preserve"> and offered for sale as spectrum licences at the ‘</w:t>
      </w:r>
      <w:r w:rsidRPr="00F27DDC">
        <w:rPr>
          <w:rFonts w:cs="Arial"/>
        </w:rPr>
        <w:t>digital dividend’ auction</w:t>
      </w:r>
      <w:r w:rsidRPr="00033683">
        <w:rPr>
          <w:rFonts w:cs="Arial"/>
        </w:rPr>
        <w:t xml:space="preserve"> in 2013.</w:t>
      </w:r>
      <w:r w:rsidR="004B17BA">
        <w:rPr>
          <w:i/>
        </w:rPr>
        <w:t xml:space="preserve"> </w:t>
      </w:r>
    </w:p>
    <w:p w14:paraId="2694A755" w14:textId="77777777" w:rsidR="00A47E79" w:rsidRPr="00EE1F0E" w:rsidRDefault="00033683" w:rsidP="00033683">
      <w:pPr>
        <w:pStyle w:val="Heading1"/>
        <w:numPr>
          <w:ilvl w:val="0"/>
          <w:numId w:val="33"/>
        </w:numPr>
        <w:ind w:left="709"/>
      </w:pPr>
      <w:bookmarkStart w:id="16" w:name="_Toc434999441"/>
      <w:r>
        <w:t>New arrangements for the 800 and 900 MHz bands</w:t>
      </w:r>
      <w:bookmarkEnd w:id="16"/>
    </w:p>
    <w:p w14:paraId="2FE43AD3" w14:textId="43A9D6CC" w:rsidR="00033683" w:rsidRDefault="00033683" w:rsidP="00BA271E">
      <w:pPr>
        <w:spacing w:after="80"/>
      </w:pPr>
      <w:r>
        <w:rPr>
          <w:rFonts w:cs="Arial"/>
        </w:rPr>
        <w:t xml:space="preserve">The new arrangements in the 800 and 900 MHz bands will be implemented over a lengthy period between now and mid-2024. The implementation plan contained in this chapter differentiates between </w:t>
      </w:r>
      <w:r w:rsidRPr="006263D9">
        <w:rPr>
          <w:rFonts w:cs="Arial"/>
          <w:b/>
        </w:rPr>
        <w:t>key dates</w:t>
      </w:r>
      <w:r>
        <w:rPr>
          <w:rFonts w:cs="Arial"/>
        </w:rPr>
        <w:t xml:space="preserve">, which identify actions on the ACMA to enact the changes when they occur, </w:t>
      </w:r>
      <w:r w:rsidR="0034630A">
        <w:rPr>
          <w:rFonts w:cs="Arial"/>
        </w:rPr>
        <w:t>and</w:t>
      </w:r>
      <w:r>
        <w:rPr>
          <w:rFonts w:cs="Arial"/>
        </w:rPr>
        <w:t xml:space="preserve"> </w:t>
      </w:r>
      <w:r>
        <w:rPr>
          <w:rFonts w:cs="Arial"/>
          <w:b/>
        </w:rPr>
        <w:t>milestones</w:t>
      </w:r>
      <w:r>
        <w:rPr>
          <w:rFonts w:cs="Arial"/>
        </w:rPr>
        <w:t xml:space="preserve">, which are actions on industry in the form of either: </w:t>
      </w:r>
    </w:p>
    <w:p w14:paraId="61B18D69" w14:textId="13D14D53" w:rsidR="00033683" w:rsidRPr="003009EC" w:rsidRDefault="008F7C97" w:rsidP="003009EC">
      <w:pPr>
        <w:pStyle w:val="ListBullet"/>
        <w:numPr>
          <w:ilvl w:val="0"/>
          <w:numId w:val="1"/>
        </w:numPr>
        <w:rPr>
          <w:rFonts w:cs="Arial"/>
          <w:szCs w:val="20"/>
        </w:rPr>
      </w:pPr>
      <w:r>
        <w:rPr>
          <w:rFonts w:cs="Arial"/>
          <w:szCs w:val="20"/>
        </w:rPr>
        <w:t>c</w:t>
      </w:r>
      <w:r w:rsidR="00033683" w:rsidRPr="003009EC">
        <w:rPr>
          <w:rFonts w:cs="Arial"/>
          <w:szCs w:val="20"/>
        </w:rPr>
        <w:t>learance or retuning action by incumbent operators in a given frequency segment; or</w:t>
      </w:r>
    </w:p>
    <w:p w14:paraId="738AF066" w14:textId="06F81D47" w:rsidR="00033683" w:rsidRPr="003009EC" w:rsidRDefault="008F7C97" w:rsidP="003009EC">
      <w:pPr>
        <w:pStyle w:val="ListBullet"/>
        <w:numPr>
          <w:ilvl w:val="0"/>
          <w:numId w:val="1"/>
        </w:numPr>
        <w:spacing w:after="240"/>
        <w:rPr>
          <w:rFonts w:cs="Arial"/>
          <w:szCs w:val="20"/>
        </w:rPr>
      </w:pPr>
      <w:r>
        <w:rPr>
          <w:rFonts w:cs="Arial"/>
          <w:szCs w:val="20"/>
        </w:rPr>
        <w:t>s</w:t>
      </w:r>
      <w:r w:rsidR="00033683" w:rsidRPr="003009EC">
        <w:rPr>
          <w:rFonts w:cs="Arial"/>
          <w:szCs w:val="20"/>
        </w:rPr>
        <w:t>tart dates for new services in a given frequency segment.</w:t>
      </w:r>
    </w:p>
    <w:p w14:paraId="3435718A" w14:textId="1A5833A2" w:rsidR="00033683" w:rsidRPr="00311AA9" w:rsidRDefault="00033683" w:rsidP="00033683">
      <w:r>
        <w:rPr>
          <w:rFonts w:cs="Arial"/>
        </w:rPr>
        <w:t>Section 3.1 provides an overview of the administrative/preparatory arrangements that will be put in place to underpin this strategy, while Section 3.2 details the specific changes to be made, both by user group and holistically, and describes the implications for affected users. Section 3.3 details an implementation plan to bring the new arrangements into effect. It lists the milestones for industry action and key dates for ACMA action, as part of a long</w:t>
      </w:r>
      <w:r w:rsidR="0034630A">
        <w:rPr>
          <w:rFonts w:cs="Arial"/>
        </w:rPr>
        <w:t>-</w:t>
      </w:r>
      <w:r>
        <w:rPr>
          <w:rFonts w:cs="Arial"/>
        </w:rPr>
        <w:t xml:space="preserve">term process for implementation. </w:t>
      </w:r>
      <w:r w:rsidR="003F2B72">
        <w:rPr>
          <w:rFonts w:cs="Arial"/>
        </w:rPr>
        <w:t>A</w:t>
      </w:r>
      <w:r>
        <w:rPr>
          <w:rFonts w:cs="Arial"/>
        </w:rPr>
        <w:t xml:space="preserve">ny clearance or retuning action </w:t>
      </w:r>
      <w:r w:rsidR="003F2B72">
        <w:rPr>
          <w:rFonts w:cs="Arial"/>
        </w:rPr>
        <w:t xml:space="preserve">must </w:t>
      </w:r>
      <w:r>
        <w:rPr>
          <w:rFonts w:cs="Arial"/>
        </w:rPr>
        <w:t xml:space="preserve">be completed within one year </w:t>
      </w:r>
      <w:r w:rsidR="003F2B72">
        <w:rPr>
          <w:rFonts w:cs="Arial"/>
        </w:rPr>
        <w:t xml:space="preserve">after </w:t>
      </w:r>
      <w:r>
        <w:rPr>
          <w:rFonts w:cs="Arial"/>
        </w:rPr>
        <w:t xml:space="preserve">the </w:t>
      </w:r>
      <w:r w:rsidR="003F2B72">
        <w:rPr>
          <w:rFonts w:cs="Arial"/>
        </w:rPr>
        <w:t xml:space="preserve">relevant </w:t>
      </w:r>
      <w:r>
        <w:rPr>
          <w:rFonts w:cs="Arial"/>
        </w:rPr>
        <w:t>milestone date</w:t>
      </w:r>
      <w:r w:rsidR="0034630A">
        <w:rPr>
          <w:rFonts w:cs="Arial"/>
        </w:rPr>
        <w:t>.</w:t>
      </w:r>
      <w:r w:rsidR="0073589D">
        <w:rPr>
          <w:rStyle w:val="FootnoteReference"/>
          <w:rFonts w:cs="Arial"/>
        </w:rPr>
        <w:footnoteReference w:id="19"/>
      </w:r>
    </w:p>
    <w:p w14:paraId="015197F9" w14:textId="77777777" w:rsidR="002F5C70" w:rsidRDefault="002F5C70" w:rsidP="002F5C70">
      <w:pPr>
        <w:pStyle w:val="Heading2"/>
        <w:numPr>
          <w:ilvl w:val="1"/>
          <w:numId w:val="33"/>
        </w:numPr>
        <w:ind w:left="709"/>
      </w:pPr>
      <w:bookmarkStart w:id="17" w:name="_Toc434999442"/>
      <w:r>
        <w:t>Laying the foundations for a flexible transition strategy</w:t>
      </w:r>
      <w:bookmarkEnd w:id="17"/>
    </w:p>
    <w:p w14:paraId="323FE0F5" w14:textId="77777777" w:rsidR="002F5C70" w:rsidRPr="007714C0" w:rsidRDefault="002F5C70" w:rsidP="002F5C70">
      <w:pPr>
        <w:pStyle w:val="Heading3"/>
        <w:numPr>
          <w:ilvl w:val="2"/>
          <w:numId w:val="33"/>
        </w:numPr>
        <w:ind w:left="709"/>
      </w:pPr>
      <w:bookmarkStart w:id="18" w:name="_Toc434999443"/>
      <w:r>
        <w:t>A more flexible band planning regime</w:t>
      </w:r>
      <w:bookmarkEnd w:id="18"/>
    </w:p>
    <w:p w14:paraId="57A5E501" w14:textId="032FFA18" w:rsidR="002F5C70" w:rsidRDefault="002F5C70" w:rsidP="002F5C70">
      <w:pPr>
        <w:rPr>
          <w:rFonts w:cs="Arial"/>
        </w:rPr>
      </w:pPr>
      <w:r>
        <w:rPr>
          <w:rFonts w:cs="Arial"/>
        </w:rPr>
        <w:t xml:space="preserve">The first step </w:t>
      </w:r>
      <w:r w:rsidR="003E62F3">
        <w:rPr>
          <w:rFonts w:cs="Arial"/>
        </w:rPr>
        <w:t>towards</w:t>
      </w:r>
      <w:r w:rsidR="008F7C97">
        <w:rPr>
          <w:rFonts w:cs="Arial"/>
        </w:rPr>
        <w:t xml:space="preserve"> transition</w:t>
      </w:r>
      <w:r w:rsidR="003E62F3">
        <w:rPr>
          <w:rFonts w:cs="Arial"/>
        </w:rPr>
        <w:t>ing</w:t>
      </w:r>
      <w:r w:rsidR="008F7C97">
        <w:rPr>
          <w:rFonts w:cs="Arial"/>
        </w:rPr>
        <w:t xml:space="preserve"> to </w:t>
      </w:r>
      <w:r w:rsidR="003E62F3">
        <w:rPr>
          <w:rFonts w:cs="Arial"/>
        </w:rPr>
        <w:t xml:space="preserve">the </w:t>
      </w:r>
      <w:r w:rsidR="008F7C97">
        <w:rPr>
          <w:rFonts w:cs="Arial"/>
        </w:rPr>
        <w:t xml:space="preserve">new arrangements in the 800 and 900 MHz bands </w:t>
      </w:r>
      <w:r>
        <w:rPr>
          <w:rFonts w:cs="Arial"/>
        </w:rPr>
        <w:t xml:space="preserve">was the development of two administrative band plans to replace the </w:t>
      </w:r>
      <w:hyperlink r:id="rId34" w:history="1">
        <w:r w:rsidRPr="00AC7321">
          <w:t>900 MHz Band Plan</w:t>
        </w:r>
      </w:hyperlink>
      <w:r w:rsidRPr="0034630A">
        <w:rPr>
          <w:rFonts w:cs="Arial"/>
        </w:rPr>
        <w:t xml:space="preserve">, </w:t>
      </w:r>
      <w:r w:rsidRPr="00311AA9">
        <w:rPr>
          <w:rFonts w:cs="Arial"/>
        </w:rPr>
        <w:t xml:space="preserve">a legislative band plan that was made in 1992. </w:t>
      </w:r>
      <w:r>
        <w:rPr>
          <w:rFonts w:cs="Arial"/>
        </w:rPr>
        <w:t xml:space="preserve">This was the subject of a separate </w:t>
      </w:r>
      <w:hyperlink r:id="rId35" w:history="1">
        <w:r w:rsidRPr="00311AA9">
          <w:t>consultation process</w:t>
        </w:r>
      </w:hyperlink>
      <w:r w:rsidRPr="008F7C97">
        <w:rPr>
          <w:vertAlign w:val="superscript"/>
        </w:rPr>
        <w:footnoteReference w:id="20"/>
      </w:r>
      <w:r w:rsidRPr="00311AA9">
        <w:rPr>
          <w:rFonts w:cs="Arial"/>
          <w:vertAlign w:val="superscript"/>
        </w:rPr>
        <w:t xml:space="preserve"> </w:t>
      </w:r>
      <w:r>
        <w:rPr>
          <w:rFonts w:cs="Arial"/>
        </w:rPr>
        <w:t>and the changes took effect at ‘</w:t>
      </w:r>
      <w:r w:rsidRPr="00F50FA4">
        <w:rPr>
          <w:rFonts w:cs="Arial"/>
        </w:rPr>
        <w:t xml:space="preserve">Key </w:t>
      </w:r>
      <w:r w:rsidR="00F50FA4">
        <w:rPr>
          <w:rFonts w:cs="Arial"/>
        </w:rPr>
        <w:t>d</w:t>
      </w:r>
      <w:r w:rsidRPr="00F50FA4">
        <w:rPr>
          <w:rFonts w:cs="Arial"/>
        </w:rPr>
        <w:t xml:space="preserve">ate 1’ in the implementation of the </w:t>
      </w:r>
      <w:r w:rsidRPr="00F50FA4" w:rsidDel="000F375D">
        <w:rPr>
          <w:rFonts w:cs="Arial"/>
        </w:rPr>
        <w:t>r</w:t>
      </w:r>
      <w:r w:rsidRPr="00F50FA4">
        <w:rPr>
          <w:rFonts w:cs="Arial"/>
        </w:rPr>
        <w:t xml:space="preserve">eview’s outcomes (see Section 3.3.2 for list and description of </w:t>
      </w:r>
      <w:r w:rsidR="00F50FA4">
        <w:rPr>
          <w:rFonts w:cs="Arial"/>
        </w:rPr>
        <w:t>k</w:t>
      </w:r>
      <w:r w:rsidRPr="00F50FA4">
        <w:rPr>
          <w:rFonts w:cs="Arial"/>
        </w:rPr>
        <w:t xml:space="preserve">ey </w:t>
      </w:r>
      <w:r w:rsidR="00F50FA4">
        <w:rPr>
          <w:rFonts w:cs="Arial"/>
        </w:rPr>
        <w:t>d</w:t>
      </w:r>
      <w:r w:rsidRPr="00F50FA4">
        <w:rPr>
          <w:rFonts w:cs="Arial"/>
        </w:rPr>
        <w:t>ates).</w:t>
      </w:r>
    </w:p>
    <w:p w14:paraId="124F4014" w14:textId="52FE456C" w:rsidR="002F5C70" w:rsidRDefault="002F5C70" w:rsidP="0034630A">
      <w:r w:rsidRPr="002A3A39">
        <w:t>Band plans can be issued in two forms</w:t>
      </w:r>
      <w:r w:rsidR="0034630A">
        <w:t>—</w:t>
      </w:r>
      <w:r w:rsidRPr="002A3A39">
        <w:t>legislatively under the Act or administratively in the form of a policy document. Although the two types of plan serve similar purposes, administrative plans are a statement of policy rather than a statement of law, which affords the ACMA greater flexibility to make revisions or exceptions to the plan when required.</w:t>
      </w:r>
      <w:r>
        <w:t xml:space="preserve"> </w:t>
      </w:r>
    </w:p>
    <w:p w14:paraId="0559FFDC" w14:textId="2179FA21" w:rsidR="002F5C70" w:rsidRDefault="002F5C70" w:rsidP="0034630A">
      <w:r>
        <w:t>While t</w:t>
      </w:r>
      <w:r w:rsidRPr="00FA6913">
        <w:t xml:space="preserve">he ACMA is able </w:t>
      </w:r>
      <w:r w:rsidRPr="00673E3E">
        <w:t>to revise statutory band plans</w:t>
      </w:r>
      <w:r>
        <w:t xml:space="preserve">, </w:t>
      </w:r>
      <w:r w:rsidRPr="00FA6913">
        <w:t xml:space="preserve">it </w:t>
      </w:r>
      <w:r>
        <w:t>is a more onerous task</w:t>
      </w:r>
      <w:r w:rsidRPr="00FA6913">
        <w:t xml:space="preserve"> tha</w:t>
      </w:r>
      <w:r w:rsidRPr="00673E3E">
        <w:t xml:space="preserve">n it is for administrative </w:t>
      </w:r>
      <w:r>
        <w:t>plans, requiring formal changes to a legislative instrument. Conversely, the chief advantage of a legislative band plan is the higher degree of certainty it affords industry about the uses of a band (although the ACMA remains able to change a band plan following due process).</w:t>
      </w:r>
    </w:p>
    <w:p w14:paraId="68B93E10" w14:textId="21C659BB" w:rsidR="002F5C70" w:rsidRPr="004D2C35" w:rsidRDefault="002F5C70" w:rsidP="002F5C70">
      <w:pPr>
        <w:rPr>
          <w:rFonts w:cs="Arial"/>
        </w:rPr>
      </w:pPr>
      <w:r>
        <w:rPr>
          <w:rFonts w:cs="Arial"/>
        </w:rPr>
        <w:t xml:space="preserve">In considering the choice between legislative and administrative approaches in the context of the 800 MHz and 900 MHz bands, the ACMA believes the greater flexibility of administrative plans is the decisive consideration. Flexibility is becoming more and more necessary given the dynamic nature of the radiocommunications landscape. Comment was sought on these measures in the </w:t>
      </w:r>
      <w:r w:rsidR="009756C4" w:rsidRPr="004C66C7">
        <w:rPr>
          <w:rFonts w:cs="Arial"/>
          <w:i/>
        </w:rPr>
        <w:t>Exploring</w:t>
      </w:r>
      <w:r w:rsidR="009756C4">
        <w:rPr>
          <w:rFonts w:cs="Arial"/>
        </w:rPr>
        <w:t xml:space="preserve"> </w:t>
      </w:r>
      <w:r w:rsidR="0034630A">
        <w:rPr>
          <w:rFonts w:cs="Arial"/>
          <w:i/>
        </w:rPr>
        <w:t>n</w:t>
      </w:r>
      <w:r>
        <w:rPr>
          <w:rFonts w:cs="Arial"/>
          <w:i/>
        </w:rPr>
        <w:t xml:space="preserve">ew </w:t>
      </w:r>
      <w:r w:rsidR="0034630A">
        <w:rPr>
          <w:rFonts w:cs="Arial"/>
          <w:i/>
        </w:rPr>
        <w:t>o</w:t>
      </w:r>
      <w:r>
        <w:rPr>
          <w:rFonts w:cs="Arial"/>
          <w:i/>
        </w:rPr>
        <w:t xml:space="preserve">pportunities </w:t>
      </w:r>
      <w:r>
        <w:rPr>
          <w:rFonts w:cs="Arial"/>
        </w:rPr>
        <w:t>paper and the proposition was generally well received, with the exception of fixed service (including studio-to-transmitter link) operators who preferred the greater certainty of a legislative plan.</w:t>
      </w:r>
    </w:p>
    <w:p w14:paraId="258ECCEC" w14:textId="77777777" w:rsidR="002F5C70" w:rsidRPr="002A3A39" w:rsidRDefault="002F5C70" w:rsidP="002F5C70">
      <w:pPr>
        <w:rPr>
          <w:rFonts w:cs="Arial"/>
        </w:rPr>
      </w:pPr>
      <w:r w:rsidRPr="00AC7321">
        <w:rPr>
          <w:rFonts w:cs="Arial"/>
        </w:rPr>
        <w:t>The</w:t>
      </w:r>
      <w:r w:rsidRPr="004C66C7">
        <w:rPr>
          <w:rFonts w:cs="Arial"/>
          <w:i/>
        </w:rPr>
        <w:t xml:space="preserve"> </w:t>
      </w:r>
      <w:r w:rsidRPr="00AC7321">
        <w:rPr>
          <w:rFonts w:cs="Arial"/>
        </w:rPr>
        <w:t>900 MHz Band Plan</w:t>
      </w:r>
      <w:r w:rsidRPr="002A3A39">
        <w:rPr>
          <w:rFonts w:cs="Arial"/>
        </w:rPr>
        <w:t xml:space="preserve"> was made in 19</w:t>
      </w:r>
      <w:r>
        <w:rPr>
          <w:rFonts w:cs="Arial"/>
        </w:rPr>
        <w:t>92 (last amended in 1999), and</w:t>
      </w:r>
      <w:r w:rsidRPr="002A3A39">
        <w:rPr>
          <w:rFonts w:cs="Arial"/>
        </w:rPr>
        <w:t xml:space="preserve"> sunset</w:t>
      </w:r>
      <w:r>
        <w:rPr>
          <w:rFonts w:cs="Arial"/>
        </w:rPr>
        <w:t>ted</w:t>
      </w:r>
      <w:r w:rsidRPr="002A3A39">
        <w:rPr>
          <w:rFonts w:cs="Arial"/>
        </w:rPr>
        <w:t xml:space="preserve"> (that is, </w:t>
      </w:r>
      <w:r>
        <w:rPr>
          <w:rFonts w:cs="Arial"/>
        </w:rPr>
        <w:t>was</w:t>
      </w:r>
      <w:r w:rsidRPr="002A3A39">
        <w:rPr>
          <w:rFonts w:cs="Arial"/>
        </w:rPr>
        <w:t xml:space="preserve"> automatically revoked) on 1 October 2015. While not </w:t>
      </w:r>
      <w:r>
        <w:rPr>
          <w:rFonts w:cs="Arial"/>
        </w:rPr>
        <w:t>a function of</w:t>
      </w:r>
      <w:r w:rsidRPr="002A3A39">
        <w:rPr>
          <w:rFonts w:cs="Arial"/>
        </w:rPr>
        <w:t xml:space="preserve"> the </w:t>
      </w:r>
      <w:r w:rsidDel="000F375D">
        <w:rPr>
          <w:rFonts w:cs="Arial"/>
        </w:rPr>
        <w:t>r</w:t>
      </w:r>
      <w:r>
        <w:rPr>
          <w:rFonts w:cs="Arial"/>
        </w:rPr>
        <w:t>eview</w:t>
      </w:r>
      <w:r w:rsidRPr="002A3A39">
        <w:rPr>
          <w:rFonts w:cs="Arial"/>
        </w:rPr>
        <w:t xml:space="preserve"> itself, th</w:t>
      </w:r>
      <w:r>
        <w:rPr>
          <w:rFonts w:cs="Arial"/>
        </w:rPr>
        <w:t>e sunsetting was</w:t>
      </w:r>
      <w:r w:rsidRPr="002A3A39">
        <w:rPr>
          <w:rFonts w:cs="Arial"/>
        </w:rPr>
        <w:t xml:space="preserve"> timely as it </w:t>
      </w:r>
      <w:r>
        <w:rPr>
          <w:rFonts w:cs="Arial"/>
        </w:rPr>
        <w:t xml:space="preserve">has </w:t>
      </w:r>
      <w:r w:rsidRPr="002A3A39">
        <w:rPr>
          <w:rFonts w:cs="Arial"/>
        </w:rPr>
        <w:t>provide</w:t>
      </w:r>
      <w:r>
        <w:rPr>
          <w:rFonts w:cs="Arial"/>
        </w:rPr>
        <w:t>d</w:t>
      </w:r>
      <w:r w:rsidRPr="002A3A39">
        <w:rPr>
          <w:rFonts w:cs="Arial"/>
        </w:rPr>
        <w:t xml:space="preserve"> an opportunity to replace the current legislative band plan with two administrative band plans, which </w:t>
      </w:r>
      <w:r>
        <w:rPr>
          <w:rFonts w:cs="Arial"/>
        </w:rPr>
        <w:t>is</w:t>
      </w:r>
      <w:r w:rsidRPr="002A3A39">
        <w:rPr>
          <w:rFonts w:cs="Arial"/>
        </w:rPr>
        <w:t xml:space="preserve"> a necessary step in implementing the </w:t>
      </w:r>
      <w:r>
        <w:rPr>
          <w:rFonts w:cs="Arial"/>
        </w:rPr>
        <w:t>review</w:t>
      </w:r>
      <w:r w:rsidRPr="002A3A39">
        <w:rPr>
          <w:rFonts w:cs="Arial"/>
        </w:rPr>
        <w:t xml:space="preserve"> outcomes. </w:t>
      </w:r>
    </w:p>
    <w:p w14:paraId="72583CCB" w14:textId="77777777" w:rsidR="002F5C70" w:rsidRPr="002A3A39" w:rsidRDefault="002F5C70" w:rsidP="003009EC">
      <w:pPr>
        <w:spacing w:after="80"/>
        <w:rPr>
          <w:rFonts w:cs="Arial"/>
        </w:rPr>
      </w:pPr>
      <w:r>
        <w:rPr>
          <w:rFonts w:cs="Arial"/>
        </w:rPr>
        <w:t xml:space="preserve">The two new band plans contain </w:t>
      </w:r>
      <w:r w:rsidRPr="002A3A39">
        <w:rPr>
          <w:rFonts w:cs="Arial"/>
        </w:rPr>
        <w:t>only minor changes to existing allocative arrangements:</w:t>
      </w:r>
    </w:p>
    <w:p w14:paraId="3E212764" w14:textId="63667A6E" w:rsidR="002F5C70" w:rsidRPr="003009EC" w:rsidRDefault="00F970C0" w:rsidP="003009EC">
      <w:pPr>
        <w:pStyle w:val="ListBullet"/>
        <w:numPr>
          <w:ilvl w:val="0"/>
          <w:numId w:val="1"/>
        </w:numPr>
        <w:rPr>
          <w:rFonts w:cs="Arial"/>
          <w:szCs w:val="20"/>
        </w:rPr>
      </w:pPr>
      <w:r>
        <w:rPr>
          <w:rFonts w:cs="Arial"/>
          <w:szCs w:val="20"/>
        </w:rPr>
        <w:t>t</w:t>
      </w:r>
      <w:r w:rsidR="002F5C70" w:rsidRPr="003009EC">
        <w:rPr>
          <w:rFonts w:cs="Arial"/>
          <w:szCs w:val="20"/>
        </w:rPr>
        <w:t>he frequencies covered were split into two administrative band plans covering the frequency ranges 803–890 MHz (800 MHz band) and 890–960 MHz (900 MHz band) respectively, which reflect accepted nomenclature on the frequency limits of these bands</w:t>
      </w:r>
    </w:p>
    <w:p w14:paraId="18F0F3AF" w14:textId="1DD68780" w:rsidR="002F5C70" w:rsidRPr="003009EC" w:rsidRDefault="00F970C0" w:rsidP="003009EC">
      <w:pPr>
        <w:pStyle w:val="ListBullet"/>
        <w:numPr>
          <w:ilvl w:val="0"/>
          <w:numId w:val="1"/>
        </w:numPr>
        <w:rPr>
          <w:rFonts w:cs="Arial"/>
          <w:szCs w:val="20"/>
        </w:rPr>
      </w:pPr>
      <w:r>
        <w:rPr>
          <w:rFonts w:cs="Arial"/>
          <w:szCs w:val="20"/>
        </w:rPr>
        <w:t>t</w:t>
      </w:r>
      <w:r w:rsidR="002F5C70" w:rsidRPr="003009EC">
        <w:rPr>
          <w:rFonts w:cs="Arial"/>
          <w:szCs w:val="20"/>
        </w:rPr>
        <w:t xml:space="preserve">he currently unallocated spectrum 803–820 MHz was incorporated into the </w:t>
      </w:r>
      <w:r w:rsidRPr="003009EC">
        <w:rPr>
          <w:rFonts w:cs="Arial"/>
          <w:szCs w:val="20"/>
        </w:rPr>
        <w:t>800</w:t>
      </w:r>
      <w:r>
        <w:rPr>
          <w:rFonts w:cs="Arial"/>
          <w:szCs w:val="20"/>
        </w:rPr>
        <w:t> </w:t>
      </w:r>
      <w:r w:rsidR="002F5C70" w:rsidRPr="003009EC">
        <w:rPr>
          <w:rFonts w:cs="Arial"/>
          <w:szCs w:val="20"/>
        </w:rPr>
        <w:t>MHz band</w:t>
      </w:r>
    </w:p>
    <w:p w14:paraId="6EC13792" w14:textId="4A190A46" w:rsidR="002F5C70" w:rsidRPr="003009EC" w:rsidRDefault="00F970C0" w:rsidP="003009EC">
      <w:pPr>
        <w:pStyle w:val="ListBullet"/>
        <w:numPr>
          <w:ilvl w:val="0"/>
          <w:numId w:val="1"/>
        </w:numPr>
        <w:spacing w:after="240"/>
        <w:rPr>
          <w:rFonts w:cs="Arial"/>
          <w:szCs w:val="20"/>
        </w:rPr>
      </w:pPr>
      <w:r>
        <w:rPr>
          <w:rFonts w:cs="Arial"/>
          <w:szCs w:val="20"/>
        </w:rPr>
        <w:t>s</w:t>
      </w:r>
      <w:r w:rsidR="002F5C70" w:rsidRPr="003009EC">
        <w:rPr>
          <w:rFonts w:cs="Arial"/>
          <w:szCs w:val="20"/>
        </w:rPr>
        <w:t>ome typographical and grammatical errors were corrected.</w:t>
      </w:r>
    </w:p>
    <w:p w14:paraId="057DC252" w14:textId="77777777" w:rsidR="002F5C70" w:rsidRDefault="002F5C70" w:rsidP="003009EC">
      <w:pPr>
        <w:spacing w:after="80"/>
        <w:rPr>
          <w:rFonts w:cs="Arial"/>
        </w:rPr>
      </w:pPr>
      <w:r>
        <w:rPr>
          <w:rFonts w:cs="Arial"/>
        </w:rPr>
        <w:t>The reasons for splitting into two separate band plans are twofold:</w:t>
      </w:r>
    </w:p>
    <w:p w14:paraId="44947504" w14:textId="086CEA6A" w:rsidR="002F5C70" w:rsidRPr="003009EC" w:rsidRDefault="008F7C97" w:rsidP="003009EC">
      <w:pPr>
        <w:pStyle w:val="ListBullet"/>
        <w:numPr>
          <w:ilvl w:val="0"/>
          <w:numId w:val="1"/>
        </w:numPr>
        <w:rPr>
          <w:rFonts w:cs="Arial"/>
          <w:szCs w:val="20"/>
        </w:rPr>
      </w:pPr>
      <w:r>
        <w:rPr>
          <w:rFonts w:cs="Arial"/>
          <w:szCs w:val="20"/>
        </w:rPr>
        <w:t>t</w:t>
      </w:r>
      <w:r w:rsidRPr="003009EC">
        <w:rPr>
          <w:rFonts w:cs="Arial"/>
          <w:szCs w:val="20"/>
        </w:rPr>
        <w:t xml:space="preserve">o </w:t>
      </w:r>
      <w:r w:rsidR="002F5C70" w:rsidRPr="003009EC">
        <w:rPr>
          <w:rFonts w:cs="Arial"/>
          <w:szCs w:val="20"/>
        </w:rPr>
        <w:t xml:space="preserve">provide greater flexibility to enable future, incremental revisions of the plans, noting that individual stages of the transition process will in most cases only affect one or the other of the </w:t>
      </w:r>
      <w:r w:rsidR="00B74DBA">
        <w:rPr>
          <w:rFonts w:cs="Arial"/>
          <w:szCs w:val="20"/>
        </w:rPr>
        <w:t>two-frequency</w:t>
      </w:r>
      <w:r w:rsidR="002F5C70" w:rsidRPr="003009EC">
        <w:rPr>
          <w:rFonts w:cs="Arial"/>
          <w:szCs w:val="20"/>
        </w:rPr>
        <w:t xml:space="preserve"> ranges</w:t>
      </w:r>
    </w:p>
    <w:p w14:paraId="0E5A0142" w14:textId="2840BF1D" w:rsidR="002F5C70" w:rsidRPr="003009EC" w:rsidRDefault="008F7C97" w:rsidP="003009EC">
      <w:pPr>
        <w:pStyle w:val="ListBullet"/>
        <w:numPr>
          <w:ilvl w:val="0"/>
          <w:numId w:val="1"/>
        </w:numPr>
        <w:spacing w:after="240"/>
        <w:rPr>
          <w:rFonts w:cs="Arial"/>
          <w:szCs w:val="20"/>
        </w:rPr>
      </w:pPr>
      <w:r>
        <w:rPr>
          <w:rFonts w:cs="Arial"/>
          <w:szCs w:val="20"/>
        </w:rPr>
        <w:t>t</w:t>
      </w:r>
      <w:r w:rsidRPr="003009EC">
        <w:rPr>
          <w:rFonts w:cs="Arial"/>
          <w:szCs w:val="20"/>
        </w:rPr>
        <w:t xml:space="preserve">o </w:t>
      </w:r>
      <w:r w:rsidR="002F5C70" w:rsidRPr="003009EC">
        <w:rPr>
          <w:rFonts w:cs="Arial"/>
          <w:szCs w:val="20"/>
        </w:rPr>
        <w:t>align with the revised nomenclature for the 803–960 MHz band, which was announced in previous consultation and is described in Section 2.1.</w:t>
      </w:r>
    </w:p>
    <w:p w14:paraId="2DEEFC8C" w14:textId="5569ABC3" w:rsidR="002F5C70" w:rsidRPr="003009EC" w:rsidRDefault="002F5C70" w:rsidP="003009EC">
      <w:pPr>
        <w:rPr>
          <w:rFonts w:cs="Arial"/>
        </w:rPr>
      </w:pPr>
      <w:r w:rsidRPr="003009EC">
        <w:rPr>
          <w:rFonts w:cs="Arial"/>
        </w:rPr>
        <w:t xml:space="preserve">In terms of actual frequency allocations in the new band plans, the allocations in </w:t>
      </w:r>
      <w:r w:rsidR="00F970C0">
        <w:rPr>
          <w:rFonts w:cs="Arial"/>
        </w:rPr>
        <w:t>t</w:t>
      </w:r>
      <w:r w:rsidRPr="00AC7321">
        <w:rPr>
          <w:rFonts w:cs="Arial"/>
        </w:rPr>
        <w:t>he 900 MHz Band Plan</w:t>
      </w:r>
      <w:r w:rsidRPr="003009EC">
        <w:rPr>
          <w:rFonts w:cs="Arial"/>
        </w:rPr>
        <w:t xml:space="preserve"> were replicated in the new administrative band plans. That is, there were no new or amended allocations. Instead, changes to the band plans will be made incrementally, in accordance with the implementation plan set out </w:t>
      </w:r>
      <w:r w:rsidR="008F7C97">
        <w:rPr>
          <w:rFonts w:cs="Arial"/>
        </w:rPr>
        <w:t>later in this chapter</w:t>
      </w:r>
      <w:r w:rsidRPr="003009EC">
        <w:rPr>
          <w:rFonts w:cs="Arial"/>
        </w:rPr>
        <w:t xml:space="preserve">. </w:t>
      </w:r>
    </w:p>
    <w:p w14:paraId="445B49D8" w14:textId="51EF4E13" w:rsidR="002F5C70" w:rsidRDefault="002F5C70" w:rsidP="002F5C70">
      <w:pPr>
        <w:rPr>
          <w:rFonts w:cs="Arial"/>
        </w:rPr>
      </w:pPr>
      <w:r>
        <w:rPr>
          <w:rFonts w:cs="Arial"/>
        </w:rPr>
        <w:t xml:space="preserve">The new 800 MHz and 900 MHz band plans are contained in </w:t>
      </w:r>
      <w:r w:rsidRPr="00AC7321">
        <w:rPr>
          <w:rFonts w:cs="Arial"/>
        </w:rPr>
        <w:t>Radiocommunications Licensing and Assignment Instructions (RALIs) MS40</w:t>
      </w:r>
      <w:r w:rsidRPr="00F970C0">
        <w:rPr>
          <w:rFonts w:cs="Arial"/>
        </w:rPr>
        <w:t xml:space="preserve"> and </w:t>
      </w:r>
      <w:r w:rsidRPr="00AC7321">
        <w:rPr>
          <w:rFonts w:cs="Arial"/>
        </w:rPr>
        <w:t>MS 41</w:t>
      </w:r>
      <w:r>
        <w:rPr>
          <w:rFonts w:cs="Arial"/>
        </w:rPr>
        <w:t xml:space="preserve"> respectively</w:t>
      </w:r>
      <w:r w:rsidR="00F970C0">
        <w:rPr>
          <w:rFonts w:cs="Arial"/>
        </w:rPr>
        <w:t>.</w:t>
      </w:r>
      <w:r>
        <w:rPr>
          <w:rStyle w:val="FootnoteReference"/>
          <w:rFonts w:cs="Arial"/>
        </w:rPr>
        <w:footnoteReference w:id="21"/>
      </w:r>
    </w:p>
    <w:p w14:paraId="7D2CCC24" w14:textId="77777777" w:rsidR="00AD1DDB" w:rsidRPr="007714C0" w:rsidRDefault="00AD1DDB" w:rsidP="00AD1DDB">
      <w:pPr>
        <w:pStyle w:val="Heading3"/>
        <w:numPr>
          <w:ilvl w:val="2"/>
          <w:numId w:val="33"/>
        </w:numPr>
        <w:ind w:left="709"/>
      </w:pPr>
      <w:bookmarkStart w:id="19" w:name="_Toc434999444"/>
      <w:r>
        <w:t>Simplification of planning for fixed services</w:t>
      </w:r>
      <w:bookmarkEnd w:id="19"/>
    </w:p>
    <w:p w14:paraId="3AA077C4" w14:textId="350305DC" w:rsidR="00AD1DDB" w:rsidRDefault="00AD1DDB" w:rsidP="00AD1DDB">
      <w:pPr>
        <w:pStyle w:val="ListBullet"/>
        <w:spacing w:after="240"/>
        <w:rPr>
          <w:rFonts w:cs="Arial"/>
        </w:rPr>
      </w:pPr>
      <w:r>
        <w:rPr>
          <w:rFonts w:cs="Arial"/>
        </w:rPr>
        <w:t xml:space="preserve">One historic source of the current inefficiency in the band has been the separate consideration of various different sub-types of fixed links. The current plan has all permutations of </w:t>
      </w:r>
      <w:r w:rsidR="00F970C0">
        <w:rPr>
          <w:rFonts w:cs="Arial"/>
        </w:rPr>
        <w:t>‘</w:t>
      </w:r>
      <w:r>
        <w:rPr>
          <w:rFonts w:cs="Arial"/>
        </w:rPr>
        <w:t>single frequency</w:t>
      </w:r>
      <w:r w:rsidR="00F970C0">
        <w:rPr>
          <w:rFonts w:cs="Arial"/>
        </w:rPr>
        <w:t>’</w:t>
      </w:r>
      <w:r>
        <w:rPr>
          <w:rFonts w:cs="Arial"/>
        </w:rPr>
        <w:t xml:space="preserve">, </w:t>
      </w:r>
      <w:r w:rsidR="00F970C0">
        <w:rPr>
          <w:rFonts w:cs="Arial"/>
        </w:rPr>
        <w:t>‘</w:t>
      </w:r>
      <w:r w:rsidR="00B74DBA">
        <w:rPr>
          <w:rFonts w:cs="Arial"/>
        </w:rPr>
        <w:t>two-frequency</w:t>
      </w:r>
      <w:r w:rsidR="00F970C0">
        <w:rPr>
          <w:rFonts w:cs="Arial"/>
        </w:rPr>
        <w:t>’</w:t>
      </w:r>
      <w:r>
        <w:rPr>
          <w:rFonts w:cs="Arial"/>
        </w:rPr>
        <w:t xml:space="preserve">, </w:t>
      </w:r>
      <w:r w:rsidR="00F970C0">
        <w:rPr>
          <w:rFonts w:cs="Arial"/>
        </w:rPr>
        <w:t>‘</w:t>
      </w:r>
      <w:r>
        <w:rPr>
          <w:rFonts w:cs="Arial"/>
        </w:rPr>
        <w:t>single channel</w:t>
      </w:r>
      <w:r w:rsidR="00F970C0">
        <w:rPr>
          <w:rFonts w:cs="Arial"/>
        </w:rPr>
        <w:t>’</w:t>
      </w:r>
      <w:r>
        <w:rPr>
          <w:rFonts w:cs="Arial"/>
        </w:rPr>
        <w:t xml:space="preserve">, </w:t>
      </w:r>
      <w:r w:rsidR="00F970C0">
        <w:rPr>
          <w:rFonts w:cs="Arial"/>
        </w:rPr>
        <w:t>‘</w:t>
      </w:r>
      <w:r>
        <w:rPr>
          <w:rFonts w:cs="Arial"/>
        </w:rPr>
        <w:t>low capacity</w:t>
      </w:r>
      <w:r w:rsidR="00F970C0">
        <w:rPr>
          <w:rFonts w:cs="Arial"/>
        </w:rPr>
        <w:t>’</w:t>
      </w:r>
      <w:r>
        <w:rPr>
          <w:rFonts w:cs="Arial"/>
        </w:rPr>
        <w:t xml:space="preserve"> and </w:t>
      </w:r>
      <w:r w:rsidR="00F970C0">
        <w:rPr>
          <w:rFonts w:cs="Arial"/>
        </w:rPr>
        <w:t>‘</w:t>
      </w:r>
      <w:r>
        <w:rPr>
          <w:rFonts w:cs="Arial"/>
        </w:rPr>
        <w:t>studio-to-transmitter</w:t>
      </w:r>
      <w:r w:rsidR="00F970C0">
        <w:rPr>
          <w:rFonts w:cs="Arial"/>
        </w:rPr>
        <w:t>’</w:t>
      </w:r>
      <w:r>
        <w:rPr>
          <w:rFonts w:cs="Arial"/>
        </w:rPr>
        <w:t xml:space="preserve"> (a subset of single frequency) links, which is a legacy of a less constrained spectrum environment that once allowed their separate consideration for ease of assignment. </w:t>
      </w:r>
    </w:p>
    <w:p w14:paraId="391F6941" w14:textId="10DBF05A" w:rsidR="00AD1DDB" w:rsidRDefault="00AD1DDB" w:rsidP="00AD1DDB">
      <w:pPr>
        <w:pStyle w:val="ListBullet"/>
        <w:spacing w:after="240"/>
        <w:rPr>
          <w:rFonts w:cs="Arial"/>
        </w:rPr>
      </w:pPr>
      <w:r>
        <w:rPr>
          <w:rFonts w:cs="Arial"/>
        </w:rPr>
        <w:t xml:space="preserve">While there are obvious reasons for maintaining a distinction between single frequency and </w:t>
      </w:r>
      <w:r w:rsidR="00B74DBA">
        <w:rPr>
          <w:rFonts w:cs="Arial"/>
        </w:rPr>
        <w:t>two-frequency</w:t>
      </w:r>
      <w:r>
        <w:rPr>
          <w:rFonts w:cs="Arial"/>
        </w:rPr>
        <w:t xml:space="preserve"> links (which themselves are different ways of saying ‘simplex’ and ‘duplex’ links), providing for separate frequencies for single channel (typically 25 kHz) and low capacity (multiples of 25 kHz) fixed links is clearly less than optimal from a spectrum efficiency perspective. </w:t>
      </w:r>
    </w:p>
    <w:p w14:paraId="0515AE4B" w14:textId="5A0AC55C" w:rsidR="00AD1DDB" w:rsidRDefault="00AD1DDB" w:rsidP="00AC7321">
      <w:r>
        <w:t xml:space="preserve">Given that, as a result of this review, there will be a necessary rationalisation of the amount of spectrum provided for both single frequency fixed links (including studio-to-transmitter links (STLs)) and </w:t>
      </w:r>
      <w:r w:rsidR="00B74DBA">
        <w:t>two-frequency</w:t>
      </w:r>
      <w:r>
        <w:t xml:space="preserve"> fixed links in the 800 MHz band, the new band plans (post implementation) will no longer distinguish between single channel and low capacity links for planning purposes. The intent is that the new band plans will simply contain provisions for single and </w:t>
      </w:r>
      <w:r w:rsidR="00B74DBA">
        <w:t>two-frequency</w:t>
      </w:r>
      <w:r>
        <w:t xml:space="preserve"> fixed links. The convention of not distinguishing between single channel and low capacity links (and simply referring to them collectively as </w:t>
      </w:r>
      <w:r w:rsidR="00F970C0">
        <w:t>‘</w:t>
      </w:r>
      <w:r>
        <w:t>fixed links</w:t>
      </w:r>
      <w:r w:rsidR="00F970C0">
        <w:t>’</w:t>
      </w:r>
      <w:r>
        <w:t xml:space="preserve">) will apply in this paper. </w:t>
      </w:r>
    </w:p>
    <w:p w14:paraId="2BCC3842" w14:textId="56A70F06" w:rsidR="00AD1DDB" w:rsidRDefault="00AD1DDB" w:rsidP="00AC7321">
      <w:pPr>
        <w:spacing w:after="80"/>
      </w:pPr>
      <w:r>
        <w:t>Another legacy issue is the unwieldy proliferation of planning documents that govern licensing and assigning of fixed links in the band. At present, the following documents are all applied in some form or another to fixed links (or related services such as point-to-multipoint (P-MP), STLs or sound outside broadcast (SOB)):</w:t>
      </w:r>
    </w:p>
    <w:p w14:paraId="5496FA9E" w14:textId="3FE3F52C" w:rsidR="00AD1DDB" w:rsidRPr="00AC7321" w:rsidRDefault="00AD1DDB" w:rsidP="003009EC">
      <w:pPr>
        <w:pStyle w:val="ListBullet"/>
        <w:numPr>
          <w:ilvl w:val="0"/>
          <w:numId w:val="1"/>
        </w:numPr>
        <w:rPr>
          <w:rFonts w:cs="Arial"/>
          <w:szCs w:val="20"/>
        </w:rPr>
      </w:pPr>
      <w:r w:rsidRPr="00AC7321">
        <w:rPr>
          <w:rFonts w:cs="Arial"/>
          <w:szCs w:val="20"/>
        </w:rPr>
        <w:t>Radiocommunications Assignment and Licensing Instruction (RALI) FX 10: Management of the short range point</w:t>
      </w:r>
      <w:r w:rsidR="00F970C0">
        <w:rPr>
          <w:rFonts w:cs="Arial"/>
          <w:szCs w:val="20"/>
        </w:rPr>
        <w:t>-</w:t>
      </w:r>
      <w:r w:rsidRPr="00AC7321">
        <w:rPr>
          <w:rFonts w:cs="Arial"/>
          <w:szCs w:val="20"/>
        </w:rPr>
        <w:t>to</w:t>
      </w:r>
      <w:r w:rsidR="00F970C0">
        <w:rPr>
          <w:rFonts w:cs="Arial"/>
          <w:szCs w:val="20"/>
        </w:rPr>
        <w:t>-</w:t>
      </w:r>
      <w:r w:rsidRPr="00AC7321">
        <w:rPr>
          <w:rFonts w:cs="Arial"/>
          <w:szCs w:val="20"/>
        </w:rPr>
        <w:t>multipoint service</w:t>
      </w:r>
    </w:p>
    <w:p w14:paraId="3F19538B" w14:textId="2741754C" w:rsidR="00AD1DDB" w:rsidRPr="00AC7321" w:rsidRDefault="00AD1DDB" w:rsidP="003009EC">
      <w:pPr>
        <w:pStyle w:val="ListBullet"/>
        <w:numPr>
          <w:ilvl w:val="0"/>
          <w:numId w:val="1"/>
        </w:numPr>
        <w:rPr>
          <w:rFonts w:cs="Arial"/>
          <w:szCs w:val="20"/>
        </w:rPr>
      </w:pPr>
      <w:r w:rsidRPr="00AC7321">
        <w:rPr>
          <w:rFonts w:cs="Arial"/>
          <w:szCs w:val="20"/>
        </w:rPr>
        <w:t>RALI FX 11: Studio to transmitter links and sound outside broadcasting services in the 900 MHz band</w:t>
      </w:r>
    </w:p>
    <w:p w14:paraId="49A6D4A9" w14:textId="30E8A86A" w:rsidR="00AD1DDB" w:rsidRPr="00AC7321" w:rsidRDefault="00AD1DDB" w:rsidP="003009EC">
      <w:pPr>
        <w:pStyle w:val="ListBullet"/>
        <w:numPr>
          <w:ilvl w:val="0"/>
          <w:numId w:val="1"/>
        </w:numPr>
        <w:rPr>
          <w:rFonts w:cs="Arial"/>
          <w:szCs w:val="20"/>
        </w:rPr>
      </w:pPr>
      <w:r w:rsidRPr="00AC7321">
        <w:rPr>
          <w:rFonts w:cs="Arial"/>
          <w:szCs w:val="20"/>
        </w:rPr>
        <w:t>RALI FX 16: Frequency assignment requirements for the point</w:t>
      </w:r>
      <w:r w:rsidR="00F970C0">
        <w:rPr>
          <w:rFonts w:cs="Arial"/>
          <w:szCs w:val="20"/>
        </w:rPr>
        <w:t>-</w:t>
      </w:r>
      <w:r w:rsidRPr="00AC7321">
        <w:rPr>
          <w:rFonts w:cs="Arial"/>
          <w:szCs w:val="20"/>
        </w:rPr>
        <w:t>to</w:t>
      </w:r>
      <w:r w:rsidR="00F970C0">
        <w:rPr>
          <w:rFonts w:cs="Arial"/>
          <w:szCs w:val="20"/>
        </w:rPr>
        <w:t>-</w:t>
      </w:r>
      <w:r w:rsidRPr="00AC7321">
        <w:rPr>
          <w:rFonts w:cs="Arial"/>
          <w:szCs w:val="20"/>
        </w:rPr>
        <w:t>multipoint service in the 400 MHz and 900 MHz bands</w:t>
      </w:r>
    </w:p>
    <w:p w14:paraId="20393715" w14:textId="6891B536" w:rsidR="00AD1DDB" w:rsidRPr="00AC7321" w:rsidRDefault="00AD1DDB" w:rsidP="003009EC">
      <w:pPr>
        <w:pStyle w:val="ListBullet"/>
        <w:numPr>
          <w:ilvl w:val="0"/>
          <w:numId w:val="1"/>
        </w:numPr>
        <w:rPr>
          <w:rFonts w:cs="Arial"/>
          <w:szCs w:val="20"/>
        </w:rPr>
      </w:pPr>
      <w:r w:rsidRPr="00AC7321">
        <w:rPr>
          <w:rFonts w:cs="Arial"/>
          <w:szCs w:val="20"/>
        </w:rPr>
        <w:t xml:space="preserve">RALI FX 17: Frequency assignment requirements for narrowband single channel </w:t>
      </w:r>
      <w:r w:rsidR="00B74DBA" w:rsidRPr="00AC7321">
        <w:rPr>
          <w:rFonts w:cs="Arial"/>
          <w:szCs w:val="20"/>
        </w:rPr>
        <w:t>two-frequency</w:t>
      </w:r>
      <w:r w:rsidRPr="00AC7321">
        <w:rPr>
          <w:rFonts w:cs="Arial"/>
          <w:szCs w:val="20"/>
        </w:rPr>
        <w:t xml:space="preserve"> point-to-point services in the 400 MHz and 900 MHz bands</w:t>
      </w:r>
    </w:p>
    <w:p w14:paraId="4E02D261" w14:textId="298F5062" w:rsidR="000B44A8" w:rsidRPr="00AC7321" w:rsidRDefault="000B44A8" w:rsidP="004C66C7">
      <w:pPr>
        <w:pStyle w:val="ListBullet"/>
        <w:numPr>
          <w:ilvl w:val="0"/>
          <w:numId w:val="1"/>
        </w:numPr>
        <w:rPr>
          <w:rFonts w:cs="Arial"/>
          <w:szCs w:val="20"/>
        </w:rPr>
      </w:pPr>
      <w:r w:rsidRPr="00AC7321">
        <w:rPr>
          <w:rFonts w:cs="Arial"/>
          <w:szCs w:val="20"/>
        </w:rPr>
        <w:t>SPP 4/93: Coordination Procedures for the Licensing of Services Sharing the 857</w:t>
      </w:r>
      <w:r w:rsidR="00F970C0">
        <w:rPr>
          <w:rFonts w:cs="Arial"/>
          <w:szCs w:val="20"/>
        </w:rPr>
        <w:t>–</w:t>
      </w:r>
      <w:r w:rsidRPr="00AC7321">
        <w:rPr>
          <w:rFonts w:cs="Arial"/>
          <w:szCs w:val="20"/>
        </w:rPr>
        <w:t>861 MHz Band</w:t>
      </w:r>
    </w:p>
    <w:p w14:paraId="5D4DC474" w14:textId="7A0B79D1" w:rsidR="00AD1DDB" w:rsidRPr="00AC7321" w:rsidRDefault="00AD1DDB" w:rsidP="003009EC">
      <w:pPr>
        <w:pStyle w:val="ListBullet"/>
        <w:numPr>
          <w:ilvl w:val="0"/>
          <w:numId w:val="1"/>
        </w:numPr>
        <w:spacing w:after="240"/>
        <w:rPr>
          <w:rFonts w:cs="Arial"/>
          <w:szCs w:val="20"/>
        </w:rPr>
      </w:pPr>
      <w:r w:rsidRPr="00AC7321">
        <w:rPr>
          <w:rFonts w:cs="Arial"/>
          <w:szCs w:val="20"/>
        </w:rPr>
        <w:t xml:space="preserve">SPP 6/93: Frequency assignment procedures for low capacity </w:t>
      </w:r>
      <w:r w:rsidR="00B74DBA" w:rsidRPr="00AC7321">
        <w:rPr>
          <w:rFonts w:cs="Arial"/>
          <w:szCs w:val="20"/>
        </w:rPr>
        <w:t>two-frequency</w:t>
      </w:r>
      <w:r w:rsidRPr="00AC7321">
        <w:rPr>
          <w:rFonts w:cs="Arial"/>
          <w:szCs w:val="20"/>
        </w:rPr>
        <w:t xml:space="preserve"> fixed services in the 820</w:t>
      </w:r>
      <w:r w:rsidR="00F970C0">
        <w:rPr>
          <w:rFonts w:cs="Arial"/>
          <w:szCs w:val="20"/>
        </w:rPr>
        <w:t>–</w:t>
      </w:r>
      <w:r w:rsidRPr="00AC7321">
        <w:rPr>
          <w:rFonts w:cs="Arial"/>
          <w:szCs w:val="20"/>
        </w:rPr>
        <w:t>960 MHz band.</w:t>
      </w:r>
    </w:p>
    <w:p w14:paraId="0B768197" w14:textId="103FD6A1" w:rsidR="00AD1DDB" w:rsidRDefault="00AD1DDB" w:rsidP="003009EC">
      <w:pPr>
        <w:pStyle w:val="ListBullet"/>
        <w:rPr>
          <w:rFonts w:cs="Arial"/>
        </w:rPr>
      </w:pPr>
      <w:r>
        <w:rPr>
          <w:rFonts w:cs="Arial"/>
        </w:rPr>
        <w:t>This proliferation of both licence types and governing documents has been a source of confusion over many years. Consistent with the government’s deregulation agenda, the ACMA sees a strong case for simplification. In order to remove the current distinction between single channel and low capacity links</w:t>
      </w:r>
      <w:r w:rsidR="00F970C0">
        <w:rPr>
          <w:rFonts w:cs="Arial"/>
        </w:rPr>
        <w:t>,</w:t>
      </w:r>
      <w:r>
        <w:rPr>
          <w:rFonts w:cs="Arial"/>
        </w:rPr>
        <w:t xml:space="preserve"> and to simplify/rationalise documents governing the assignment of links in the band, a new single RALI for fixed links operating in the 800 MHz band will be created (denoted as RALI FX [NEW] for the purposes of this paper). This RALI will include:</w:t>
      </w:r>
    </w:p>
    <w:p w14:paraId="5C564376" w14:textId="254D4C4D" w:rsidR="00AD1DDB" w:rsidRPr="003009EC" w:rsidRDefault="00EE08E9" w:rsidP="003009EC">
      <w:pPr>
        <w:pStyle w:val="ListBullet"/>
        <w:numPr>
          <w:ilvl w:val="0"/>
          <w:numId w:val="1"/>
        </w:numPr>
        <w:rPr>
          <w:rFonts w:cs="Arial"/>
          <w:szCs w:val="20"/>
        </w:rPr>
      </w:pPr>
      <w:r>
        <w:rPr>
          <w:rFonts w:cs="Arial"/>
          <w:szCs w:val="20"/>
        </w:rPr>
        <w:t>a</w:t>
      </w:r>
      <w:r w:rsidRPr="003009EC">
        <w:rPr>
          <w:rFonts w:cs="Arial"/>
          <w:szCs w:val="20"/>
        </w:rPr>
        <w:t xml:space="preserve"> </w:t>
      </w:r>
      <w:r w:rsidR="00AD1DDB" w:rsidRPr="003009EC">
        <w:rPr>
          <w:rFonts w:cs="Arial"/>
          <w:szCs w:val="20"/>
        </w:rPr>
        <w:t xml:space="preserve">12.5 kHz-based channel raster for single and </w:t>
      </w:r>
      <w:r w:rsidR="00B74DBA">
        <w:rPr>
          <w:rFonts w:cs="Arial"/>
          <w:szCs w:val="20"/>
        </w:rPr>
        <w:t>two-frequency</w:t>
      </w:r>
      <w:r w:rsidR="00AD1DDB" w:rsidRPr="003009EC">
        <w:rPr>
          <w:rFonts w:cs="Arial"/>
          <w:szCs w:val="20"/>
        </w:rPr>
        <w:t xml:space="preserve"> fixed links</w:t>
      </w:r>
      <w:r w:rsidR="00F970C0">
        <w:rPr>
          <w:rFonts w:cs="Arial"/>
          <w:szCs w:val="20"/>
        </w:rPr>
        <w:t>,</w:t>
      </w:r>
      <w:r w:rsidR="00AD1DDB" w:rsidRPr="003009EC">
        <w:rPr>
          <w:rFonts w:cs="Arial"/>
          <w:szCs w:val="20"/>
        </w:rPr>
        <w:t xml:space="preserve"> which permits aggregation to accommodate a variety of operating bandwidths (so as to allow for existing services currently operating under the auspices of ‘single channel’ or ‘low capacity’) </w:t>
      </w:r>
    </w:p>
    <w:p w14:paraId="7466FC40" w14:textId="2174E5BD" w:rsidR="00AD1DDB" w:rsidRPr="003009EC" w:rsidRDefault="00EE08E9" w:rsidP="003009EC">
      <w:pPr>
        <w:pStyle w:val="ListBullet"/>
        <w:numPr>
          <w:ilvl w:val="0"/>
          <w:numId w:val="1"/>
        </w:numPr>
        <w:rPr>
          <w:rFonts w:cs="Arial"/>
          <w:szCs w:val="20"/>
        </w:rPr>
      </w:pPr>
      <w:r>
        <w:rPr>
          <w:rFonts w:cs="Arial"/>
          <w:szCs w:val="20"/>
        </w:rPr>
        <w:t>a</w:t>
      </w:r>
      <w:r w:rsidR="00AD1DDB" w:rsidRPr="003009EC">
        <w:rPr>
          <w:rFonts w:cs="Arial"/>
          <w:szCs w:val="20"/>
        </w:rPr>
        <w:t>ssignment instructions for P-MP services, including short range P-MP</w:t>
      </w:r>
      <w:r w:rsidR="00F970C0">
        <w:rPr>
          <w:rFonts w:cs="Arial"/>
          <w:szCs w:val="20"/>
        </w:rPr>
        <w:t>,</w:t>
      </w:r>
      <w:r w:rsidR="00AD1DDB" w:rsidRPr="003009EC">
        <w:rPr>
          <w:rFonts w:cs="Arial"/>
          <w:szCs w:val="20"/>
        </w:rPr>
        <w:t xml:space="preserve"> which will no longer be considered independent from general P-MP services (for practical purposes, assignments with the parameters specified for short range P-MP, except operating frequency, will still be possible)</w:t>
      </w:r>
    </w:p>
    <w:p w14:paraId="2DE82327" w14:textId="7C48829A" w:rsidR="00AD1DDB" w:rsidRPr="003009EC" w:rsidRDefault="00EE08E9" w:rsidP="003009EC">
      <w:pPr>
        <w:pStyle w:val="ListBullet"/>
        <w:numPr>
          <w:ilvl w:val="0"/>
          <w:numId w:val="1"/>
        </w:numPr>
        <w:spacing w:after="240"/>
        <w:rPr>
          <w:rFonts w:cs="Arial"/>
          <w:szCs w:val="20"/>
        </w:rPr>
      </w:pPr>
      <w:r>
        <w:rPr>
          <w:rFonts w:cs="Arial"/>
          <w:szCs w:val="20"/>
        </w:rPr>
        <w:t>a</w:t>
      </w:r>
      <w:r w:rsidR="00AD1DDB" w:rsidRPr="003009EC">
        <w:rPr>
          <w:rFonts w:cs="Arial"/>
          <w:szCs w:val="20"/>
        </w:rPr>
        <w:t>ssignment of STLs in the band will also be governed by the new RALI to reflect its status as a fixed link for all practical and assignment purposes, but with existing STL-specific protection requirements retained in the new RALI.</w:t>
      </w:r>
    </w:p>
    <w:p w14:paraId="3D996B68" w14:textId="63211319" w:rsidR="00AD1DDB" w:rsidRDefault="00AD1DDB" w:rsidP="00AD1DDB">
      <w:pPr>
        <w:pStyle w:val="ListBullet"/>
        <w:spacing w:after="240"/>
        <w:rPr>
          <w:rFonts w:cs="Arial"/>
        </w:rPr>
      </w:pPr>
      <w:r>
        <w:rPr>
          <w:rFonts w:cs="Arial"/>
        </w:rPr>
        <w:t>The legacy documents listed above will be supressed where possible. In documents covering multiple bands or services that won’t be entirely subsumed by the new RALI (RALI FX 11</w:t>
      </w:r>
      <w:r w:rsidR="00CD04F3">
        <w:rPr>
          <w:rFonts w:cs="Arial"/>
        </w:rPr>
        <w:t>, FX 16</w:t>
      </w:r>
      <w:r>
        <w:rPr>
          <w:rFonts w:cs="Arial"/>
        </w:rPr>
        <w:t xml:space="preserve"> and FX 17), the relevant components of those documents will be removed. Ordinary consultation processes on new and amended RALIs will apply</w:t>
      </w:r>
      <w:r w:rsidR="00F970C0">
        <w:rPr>
          <w:rFonts w:cs="Arial"/>
        </w:rPr>
        <w:t>—</w:t>
      </w:r>
      <w:r w:rsidR="004C66C7">
        <w:rPr>
          <w:rFonts w:cs="Arial"/>
        </w:rPr>
        <w:t>Section</w:t>
      </w:r>
      <w:r>
        <w:rPr>
          <w:rFonts w:cs="Arial"/>
        </w:rPr>
        <w:t xml:space="preserve"> 3.3.2 lists dates by which new RALIs will be released and amendments to</w:t>
      </w:r>
      <w:r w:rsidR="00CD04F3">
        <w:rPr>
          <w:rFonts w:cs="Arial"/>
        </w:rPr>
        <w:t xml:space="preserve"> existing</w:t>
      </w:r>
      <w:r>
        <w:rPr>
          <w:rFonts w:cs="Arial"/>
        </w:rPr>
        <w:t xml:space="preserve"> RALIs will be made</w:t>
      </w:r>
      <w:r w:rsidR="00CD04F3">
        <w:rPr>
          <w:rFonts w:cs="Arial"/>
        </w:rPr>
        <w:t>. C</w:t>
      </w:r>
      <w:r>
        <w:rPr>
          <w:rFonts w:cs="Arial"/>
        </w:rPr>
        <w:t>onsultation on each of these changes will occur prior to those dates.</w:t>
      </w:r>
    </w:p>
    <w:p w14:paraId="41BA3F43" w14:textId="77777777" w:rsidR="00AD1DDB" w:rsidRDefault="00AD1DDB" w:rsidP="00AD1DDB">
      <w:pPr>
        <w:pStyle w:val="Heading2"/>
        <w:numPr>
          <w:ilvl w:val="1"/>
          <w:numId w:val="33"/>
        </w:numPr>
        <w:ind w:left="709"/>
      </w:pPr>
      <w:bookmarkStart w:id="20" w:name="_Toc434999445"/>
      <w:r>
        <w:t>Overview and implications</w:t>
      </w:r>
      <w:bookmarkEnd w:id="20"/>
    </w:p>
    <w:p w14:paraId="2119B5F3" w14:textId="77777777" w:rsidR="00AD1DDB" w:rsidRDefault="00AD1DDB" w:rsidP="00AD1DDB">
      <w:pPr>
        <w:pStyle w:val="Heading3"/>
        <w:numPr>
          <w:ilvl w:val="2"/>
          <w:numId w:val="33"/>
        </w:numPr>
        <w:ind w:left="709"/>
      </w:pPr>
      <w:bookmarkStart w:id="21" w:name="_Toc434999446"/>
      <w:r>
        <w:t>Overview of arrangements</w:t>
      </w:r>
      <w:bookmarkEnd w:id="21"/>
    </w:p>
    <w:p w14:paraId="7265DF20" w14:textId="77777777" w:rsidR="00AD1DDB" w:rsidRDefault="00AD1DDB" w:rsidP="003009EC">
      <w:pPr>
        <w:pStyle w:val="ListBullet"/>
        <w:rPr>
          <w:rFonts w:cs="Arial"/>
        </w:rPr>
      </w:pPr>
      <w:r>
        <w:rPr>
          <w:rFonts w:cs="Arial"/>
        </w:rPr>
        <w:t xml:space="preserve">The decisions that have been taken by the ACMA as a result of the </w:t>
      </w:r>
      <w:r w:rsidDel="000F375D">
        <w:rPr>
          <w:rFonts w:cs="Arial"/>
        </w:rPr>
        <w:t>r</w:t>
      </w:r>
      <w:r>
        <w:rPr>
          <w:rFonts w:cs="Arial"/>
        </w:rPr>
        <w:t>eview are as follows:</w:t>
      </w:r>
    </w:p>
    <w:p w14:paraId="492DC323" w14:textId="3E7706BF" w:rsidR="00AD1DDB" w:rsidRPr="003009EC" w:rsidRDefault="00AD1DDB" w:rsidP="003009EC">
      <w:pPr>
        <w:pStyle w:val="ListBullet"/>
        <w:numPr>
          <w:ilvl w:val="0"/>
          <w:numId w:val="1"/>
        </w:numPr>
        <w:rPr>
          <w:rFonts w:cs="Arial"/>
          <w:szCs w:val="20"/>
        </w:rPr>
      </w:pPr>
      <w:r w:rsidRPr="003009EC">
        <w:rPr>
          <w:rFonts w:cs="Arial"/>
          <w:szCs w:val="20"/>
        </w:rPr>
        <w:t>Identification of 2 x 15 MHz of spectrum from the 850 MHz expansion band that is optimised for mobile broadband</w:t>
      </w:r>
      <w:r w:rsidR="00D26AAC">
        <w:rPr>
          <w:rFonts w:cs="Arial"/>
          <w:szCs w:val="20"/>
        </w:rPr>
        <w:t>.</w:t>
      </w:r>
      <w:r w:rsidRPr="004C66C7">
        <w:rPr>
          <w:szCs w:val="20"/>
          <w:vertAlign w:val="superscript"/>
        </w:rPr>
        <w:footnoteReference w:id="22"/>
      </w:r>
      <w:r w:rsidRPr="003009EC">
        <w:rPr>
          <w:rFonts w:cs="Arial"/>
          <w:szCs w:val="20"/>
        </w:rPr>
        <w:t xml:space="preserve"> Details of when and how this spectrum would be allocated are unknown</w:t>
      </w:r>
      <w:r w:rsidR="00D26AAC">
        <w:rPr>
          <w:rFonts w:cs="Arial"/>
          <w:szCs w:val="20"/>
        </w:rPr>
        <w:t>,</w:t>
      </w:r>
      <w:r w:rsidRPr="003009EC">
        <w:rPr>
          <w:rFonts w:cs="Arial"/>
          <w:szCs w:val="20"/>
        </w:rPr>
        <w:t xml:space="preserve"> pending resolution of a way forward on PSMB. Under the implementation plan, the full </w:t>
      </w:r>
      <w:r w:rsidR="00CD04F3" w:rsidRPr="003009EC">
        <w:rPr>
          <w:rFonts w:cs="Arial"/>
          <w:szCs w:val="20"/>
        </w:rPr>
        <w:t xml:space="preserve">2 x </w:t>
      </w:r>
      <w:r w:rsidRPr="003009EC">
        <w:rPr>
          <w:rFonts w:cs="Arial"/>
          <w:szCs w:val="20"/>
        </w:rPr>
        <w:t>15 MHz would not be cleared of existing services until mid-2024, however, options exist that could see parts of this spectrum available much sooner. Thus, in a scenario where spectrum is dedicated for PSMB</w:t>
      </w:r>
      <w:r w:rsidR="00BE3929">
        <w:rPr>
          <w:rFonts w:cs="Arial"/>
          <w:szCs w:val="20"/>
        </w:rPr>
        <w:t xml:space="preserve"> use</w:t>
      </w:r>
      <w:r w:rsidR="00D26AAC">
        <w:rPr>
          <w:rFonts w:cs="Arial"/>
          <w:szCs w:val="20"/>
        </w:rPr>
        <w:t>—</w:t>
      </w:r>
      <w:r w:rsidR="00BE3929">
        <w:rPr>
          <w:rFonts w:cs="Arial"/>
          <w:szCs w:val="20"/>
        </w:rPr>
        <w:t>which, to varying extents, is a component of some of the delivery options being considered by the PC</w:t>
      </w:r>
      <w:r w:rsidR="00D26AAC">
        <w:rPr>
          <w:rFonts w:cs="Arial"/>
          <w:szCs w:val="20"/>
        </w:rPr>
        <w:t>—</w:t>
      </w:r>
      <w:r w:rsidR="00BE3929">
        <w:rPr>
          <w:rFonts w:cs="Arial"/>
          <w:szCs w:val="20"/>
        </w:rPr>
        <w:t xml:space="preserve">it </w:t>
      </w:r>
      <w:r w:rsidRPr="003009EC">
        <w:rPr>
          <w:rFonts w:cs="Arial"/>
          <w:szCs w:val="20"/>
        </w:rPr>
        <w:t xml:space="preserve">may be possible to accommodate access for this purpose well before this date. </w:t>
      </w:r>
      <w:r w:rsidR="00527BD9">
        <w:rPr>
          <w:rFonts w:cs="Arial"/>
          <w:szCs w:val="20"/>
        </w:rPr>
        <w:t>T</w:t>
      </w:r>
      <w:r w:rsidRPr="003009EC">
        <w:rPr>
          <w:rFonts w:cs="Arial"/>
          <w:szCs w:val="20"/>
        </w:rPr>
        <w:t xml:space="preserve">his allocation </w:t>
      </w:r>
      <w:r w:rsidR="00527BD9">
        <w:rPr>
          <w:rFonts w:cs="Arial"/>
          <w:szCs w:val="20"/>
        </w:rPr>
        <w:t>scenario is</w:t>
      </w:r>
      <w:r w:rsidR="00527BD9" w:rsidRPr="003009EC">
        <w:rPr>
          <w:rFonts w:cs="Arial"/>
          <w:szCs w:val="20"/>
        </w:rPr>
        <w:t xml:space="preserve"> </w:t>
      </w:r>
      <w:r w:rsidRPr="003009EC">
        <w:rPr>
          <w:rFonts w:cs="Arial"/>
          <w:szCs w:val="20"/>
        </w:rPr>
        <w:t>discussed in Section 3.2.3.3</w:t>
      </w:r>
      <w:r w:rsidR="00D26AAC">
        <w:rPr>
          <w:rFonts w:cs="Arial"/>
          <w:szCs w:val="20"/>
        </w:rPr>
        <w:t>.</w:t>
      </w:r>
    </w:p>
    <w:p w14:paraId="7BA400EF" w14:textId="774A94DE" w:rsidR="00AD1DDB" w:rsidRPr="003009EC" w:rsidRDefault="00AD1DDB" w:rsidP="003009EC">
      <w:pPr>
        <w:pStyle w:val="ListBullet"/>
        <w:numPr>
          <w:ilvl w:val="0"/>
          <w:numId w:val="1"/>
        </w:numPr>
        <w:rPr>
          <w:rFonts w:cs="Arial"/>
          <w:szCs w:val="20"/>
        </w:rPr>
      </w:pPr>
      <w:r w:rsidRPr="003009EC">
        <w:rPr>
          <w:rFonts w:cs="Arial"/>
          <w:szCs w:val="20"/>
        </w:rPr>
        <w:t xml:space="preserve">New spectrum for low interference potential devices (LIPDs), including low power, low duty cycle devices suitable for machine-to-machine </w:t>
      </w:r>
      <w:r w:rsidR="007E6D0A">
        <w:rPr>
          <w:rFonts w:cs="Arial"/>
          <w:szCs w:val="20"/>
        </w:rPr>
        <w:t xml:space="preserve">(M2M) </w:t>
      </w:r>
      <w:r w:rsidRPr="003009EC">
        <w:rPr>
          <w:rFonts w:cs="Arial"/>
          <w:szCs w:val="20"/>
        </w:rPr>
        <w:t>uses such as metering and control devices to support smart infrastructure initiatives. These provisions are described in Section 3.2.3.4</w:t>
      </w:r>
      <w:r w:rsidR="00D26AAC">
        <w:rPr>
          <w:rFonts w:cs="Arial"/>
          <w:szCs w:val="20"/>
        </w:rPr>
        <w:t>.</w:t>
      </w:r>
    </w:p>
    <w:p w14:paraId="5DC4CE41" w14:textId="620FEDED" w:rsidR="00AD1DDB" w:rsidRPr="003009EC" w:rsidRDefault="00AD1DDB" w:rsidP="003009EC">
      <w:pPr>
        <w:pStyle w:val="ListBullet"/>
        <w:numPr>
          <w:ilvl w:val="0"/>
          <w:numId w:val="1"/>
        </w:numPr>
        <w:rPr>
          <w:rFonts w:cs="Arial"/>
          <w:szCs w:val="20"/>
        </w:rPr>
      </w:pPr>
      <w:r w:rsidRPr="003009EC">
        <w:rPr>
          <w:rFonts w:cs="Arial"/>
          <w:szCs w:val="20"/>
        </w:rPr>
        <w:t xml:space="preserve">Reduction from </w:t>
      </w:r>
      <w:r w:rsidR="00CD04F3">
        <w:rPr>
          <w:rFonts w:cs="Arial"/>
          <w:szCs w:val="20"/>
        </w:rPr>
        <w:t xml:space="preserve">a </w:t>
      </w:r>
      <w:r w:rsidRPr="003009EC">
        <w:rPr>
          <w:rFonts w:cs="Arial"/>
          <w:szCs w:val="20"/>
        </w:rPr>
        <w:t xml:space="preserve">2 x 5 MHz to </w:t>
      </w:r>
      <w:r w:rsidR="00CD04F3">
        <w:rPr>
          <w:rFonts w:cs="Arial"/>
          <w:szCs w:val="20"/>
        </w:rPr>
        <w:t xml:space="preserve">a </w:t>
      </w:r>
      <w:r w:rsidRPr="003009EC">
        <w:rPr>
          <w:rFonts w:cs="Arial"/>
          <w:szCs w:val="20"/>
        </w:rPr>
        <w:t>2 x 3 MHz (</w:t>
      </w:r>
      <w:r w:rsidR="00CD04F3">
        <w:rPr>
          <w:rFonts w:cs="Arial"/>
          <w:szCs w:val="20"/>
        </w:rPr>
        <w:t xml:space="preserve">with </w:t>
      </w:r>
      <w:r w:rsidRPr="003009EC">
        <w:rPr>
          <w:rFonts w:cs="Arial"/>
          <w:szCs w:val="20"/>
        </w:rPr>
        <w:t>potentially an additional 2</w:t>
      </w:r>
      <w:r w:rsidR="00CD04F3">
        <w:rPr>
          <w:rFonts w:cs="Arial"/>
          <w:szCs w:val="20"/>
        </w:rPr>
        <w:t> </w:t>
      </w:r>
      <w:r w:rsidRPr="003009EC">
        <w:rPr>
          <w:rFonts w:cs="Arial"/>
          <w:szCs w:val="20"/>
        </w:rPr>
        <w:t>x</w:t>
      </w:r>
      <w:r w:rsidR="00CD04F3">
        <w:rPr>
          <w:rFonts w:cs="Arial"/>
          <w:szCs w:val="20"/>
        </w:rPr>
        <w:t> </w:t>
      </w:r>
      <w:r w:rsidRPr="003009EC">
        <w:rPr>
          <w:rFonts w:cs="Arial"/>
          <w:szCs w:val="20"/>
        </w:rPr>
        <w:t>3</w:t>
      </w:r>
      <w:r w:rsidR="00CD04F3">
        <w:rPr>
          <w:rFonts w:cs="Arial"/>
          <w:szCs w:val="20"/>
        </w:rPr>
        <w:t> </w:t>
      </w:r>
      <w:r w:rsidRPr="003009EC">
        <w:rPr>
          <w:rFonts w:cs="Arial"/>
          <w:szCs w:val="20"/>
        </w:rPr>
        <w:t>MHz in low demand areas</w:t>
      </w:r>
      <w:r w:rsidR="00D26AAC">
        <w:rPr>
          <w:rFonts w:cs="Arial"/>
          <w:szCs w:val="20"/>
        </w:rPr>
        <w:t>—</w:t>
      </w:r>
      <w:r w:rsidRPr="003009EC">
        <w:rPr>
          <w:rFonts w:cs="Arial"/>
          <w:szCs w:val="20"/>
        </w:rPr>
        <w:t xml:space="preserve">see below) allocation for </w:t>
      </w:r>
      <w:r w:rsidR="00CD04F3">
        <w:rPr>
          <w:rFonts w:cs="Arial"/>
          <w:szCs w:val="20"/>
        </w:rPr>
        <w:t>t</w:t>
      </w:r>
      <w:r w:rsidRPr="003009EC">
        <w:rPr>
          <w:rFonts w:cs="Arial"/>
          <w:szCs w:val="20"/>
        </w:rPr>
        <w:t>runk</w:t>
      </w:r>
      <w:r w:rsidR="00C0770D" w:rsidRPr="003009EC">
        <w:rPr>
          <w:rFonts w:cs="Arial"/>
          <w:szCs w:val="20"/>
        </w:rPr>
        <w:t>ed</w:t>
      </w:r>
      <w:r w:rsidRPr="003009EC">
        <w:rPr>
          <w:rFonts w:cs="Arial"/>
          <w:szCs w:val="20"/>
        </w:rPr>
        <w:t xml:space="preserve"> </w:t>
      </w:r>
      <w:r w:rsidR="00CD04F3">
        <w:rPr>
          <w:rFonts w:cs="Arial"/>
          <w:szCs w:val="20"/>
        </w:rPr>
        <w:t>l</w:t>
      </w:r>
      <w:r w:rsidRPr="003009EC">
        <w:rPr>
          <w:rFonts w:cs="Arial"/>
          <w:szCs w:val="20"/>
        </w:rPr>
        <w:t xml:space="preserve">and </w:t>
      </w:r>
      <w:r w:rsidR="00CD04F3">
        <w:rPr>
          <w:rFonts w:cs="Arial"/>
          <w:szCs w:val="20"/>
        </w:rPr>
        <w:t>m</w:t>
      </w:r>
      <w:r w:rsidRPr="003009EC">
        <w:rPr>
          <w:rFonts w:cs="Arial"/>
          <w:szCs w:val="20"/>
        </w:rPr>
        <w:t xml:space="preserve">obile </w:t>
      </w:r>
      <w:r w:rsidR="00CD04F3">
        <w:rPr>
          <w:rFonts w:cs="Arial"/>
          <w:szCs w:val="20"/>
        </w:rPr>
        <w:t>s</w:t>
      </w:r>
      <w:r w:rsidRPr="003009EC">
        <w:rPr>
          <w:rFonts w:cs="Arial"/>
          <w:szCs w:val="20"/>
        </w:rPr>
        <w:t>ervice</w:t>
      </w:r>
      <w:r w:rsidR="00CD04F3">
        <w:rPr>
          <w:rFonts w:cs="Arial"/>
          <w:szCs w:val="20"/>
        </w:rPr>
        <w:t>s</w:t>
      </w:r>
      <w:r w:rsidRPr="003009EC">
        <w:rPr>
          <w:rFonts w:cs="Arial"/>
          <w:szCs w:val="20"/>
        </w:rPr>
        <w:t xml:space="preserve"> (TLMS) and a change in frequency within the band. The specific implications of this decision are discussed in Section 3.2.3.2</w:t>
      </w:r>
      <w:r w:rsidR="00D26AAC">
        <w:rPr>
          <w:rFonts w:cs="Arial"/>
          <w:szCs w:val="20"/>
        </w:rPr>
        <w:t>.</w:t>
      </w:r>
    </w:p>
    <w:p w14:paraId="62297026" w14:textId="4096FDFE" w:rsidR="00AD1DDB" w:rsidRPr="003009EC" w:rsidRDefault="00AD1DDB" w:rsidP="003009EC">
      <w:pPr>
        <w:pStyle w:val="ListBullet"/>
        <w:numPr>
          <w:ilvl w:val="0"/>
          <w:numId w:val="1"/>
        </w:numPr>
        <w:rPr>
          <w:rFonts w:cs="Arial"/>
          <w:szCs w:val="20"/>
        </w:rPr>
      </w:pPr>
      <w:r w:rsidRPr="003009EC">
        <w:rPr>
          <w:rFonts w:cs="Arial"/>
          <w:szCs w:val="20"/>
        </w:rPr>
        <w:t xml:space="preserve">Reduction from </w:t>
      </w:r>
      <w:r w:rsidR="00CD04F3">
        <w:rPr>
          <w:rFonts w:cs="Arial"/>
          <w:szCs w:val="20"/>
        </w:rPr>
        <w:t xml:space="preserve">a </w:t>
      </w:r>
      <w:r w:rsidRPr="003009EC">
        <w:rPr>
          <w:rFonts w:cs="Arial"/>
          <w:szCs w:val="20"/>
        </w:rPr>
        <w:t xml:space="preserve">2 x 5 MHz to </w:t>
      </w:r>
      <w:r w:rsidR="00CD04F3">
        <w:rPr>
          <w:rFonts w:cs="Arial"/>
          <w:szCs w:val="20"/>
        </w:rPr>
        <w:t xml:space="preserve">a </w:t>
      </w:r>
      <w:r w:rsidRPr="003009EC">
        <w:rPr>
          <w:rFonts w:cs="Arial"/>
          <w:szCs w:val="20"/>
        </w:rPr>
        <w:t>2 x 2 MHz (</w:t>
      </w:r>
      <w:r w:rsidR="00CD04F3">
        <w:rPr>
          <w:rFonts w:cs="Arial"/>
          <w:szCs w:val="20"/>
        </w:rPr>
        <w:t xml:space="preserve">with </w:t>
      </w:r>
      <w:r w:rsidRPr="003009EC">
        <w:rPr>
          <w:rFonts w:cs="Arial"/>
          <w:szCs w:val="20"/>
        </w:rPr>
        <w:t>potentially an additional 2</w:t>
      </w:r>
      <w:r w:rsidR="00CD04F3">
        <w:rPr>
          <w:rFonts w:cs="Arial"/>
          <w:szCs w:val="20"/>
        </w:rPr>
        <w:t> </w:t>
      </w:r>
      <w:r w:rsidRPr="003009EC">
        <w:rPr>
          <w:rFonts w:cs="Arial"/>
          <w:szCs w:val="20"/>
        </w:rPr>
        <w:t>x</w:t>
      </w:r>
      <w:r w:rsidR="00CD04F3">
        <w:rPr>
          <w:rFonts w:cs="Arial"/>
          <w:szCs w:val="20"/>
        </w:rPr>
        <w:t> </w:t>
      </w:r>
      <w:r w:rsidRPr="003009EC">
        <w:rPr>
          <w:rFonts w:cs="Arial"/>
          <w:szCs w:val="20"/>
        </w:rPr>
        <w:t>2</w:t>
      </w:r>
      <w:r w:rsidR="00CD04F3">
        <w:rPr>
          <w:rFonts w:cs="Arial"/>
          <w:szCs w:val="20"/>
        </w:rPr>
        <w:t> </w:t>
      </w:r>
      <w:r w:rsidRPr="003009EC">
        <w:rPr>
          <w:rFonts w:cs="Arial"/>
          <w:szCs w:val="20"/>
        </w:rPr>
        <w:t xml:space="preserve">MHz in low demand areas) allocation for </w:t>
      </w:r>
      <w:r w:rsidR="00CD04F3">
        <w:rPr>
          <w:rFonts w:cs="Arial"/>
          <w:szCs w:val="20"/>
        </w:rPr>
        <w:t>t</w:t>
      </w:r>
      <w:r w:rsidRPr="003009EC">
        <w:rPr>
          <w:rFonts w:cs="Arial"/>
          <w:szCs w:val="20"/>
        </w:rPr>
        <w:t>wo</w:t>
      </w:r>
      <w:r w:rsidR="00953340">
        <w:rPr>
          <w:rFonts w:cs="Arial"/>
          <w:szCs w:val="20"/>
        </w:rPr>
        <w:t>-</w:t>
      </w:r>
      <w:r w:rsidR="00CD04F3">
        <w:rPr>
          <w:rFonts w:cs="Arial"/>
          <w:szCs w:val="20"/>
        </w:rPr>
        <w:t>f</w:t>
      </w:r>
      <w:r w:rsidRPr="003009EC">
        <w:rPr>
          <w:rFonts w:cs="Arial"/>
          <w:szCs w:val="20"/>
        </w:rPr>
        <w:t xml:space="preserve">requency </w:t>
      </w:r>
      <w:r w:rsidR="00CD04F3">
        <w:rPr>
          <w:rFonts w:cs="Arial"/>
          <w:szCs w:val="20"/>
        </w:rPr>
        <w:t>f</w:t>
      </w:r>
      <w:r w:rsidRPr="003009EC">
        <w:rPr>
          <w:rFonts w:cs="Arial"/>
          <w:szCs w:val="20"/>
        </w:rPr>
        <w:t xml:space="preserve">ixed </w:t>
      </w:r>
      <w:r w:rsidR="00CD04F3">
        <w:rPr>
          <w:rFonts w:cs="Arial"/>
          <w:szCs w:val="20"/>
        </w:rPr>
        <w:t>l</w:t>
      </w:r>
      <w:r w:rsidRPr="003009EC">
        <w:rPr>
          <w:rFonts w:cs="Arial"/>
          <w:szCs w:val="20"/>
        </w:rPr>
        <w:t>inks, a change in frequency within the band and a transition to standard 45 MHz duplex split. The specific implications of this decision are discussed in Section 3.2.3.1</w:t>
      </w:r>
      <w:r w:rsidR="00D26AAC">
        <w:rPr>
          <w:rFonts w:cs="Arial"/>
          <w:szCs w:val="20"/>
        </w:rPr>
        <w:t>.</w:t>
      </w:r>
    </w:p>
    <w:p w14:paraId="6AC04828" w14:textId="7B9AD4C2" w:rsidR="00AD1DDB" w:rsidRPr="003009EC" w:rsidRDefault="00AD1DDB" w:rsidP="003009EC">
      <w:pPr>
        <w:pStyle w:val="ListBullet"/>
        <w:numPr>
          <w:ilvl w:val="0"/>
          <w:numId w:val="1"/>
        </w:numPr>
        <w:rPr>
          <w:rFonts w:cs="Arial"/>
          <w:szCs w:val="20"/>
        </w:rPr>
      </w:pPr>
      <w:r w:rsidRPr="003009EC">
        <w:rPr>
          <w:rFonts w:cs="Arial"/>
          <w:szCs w:val="20"/>
        </w:rPr>
        <w:t xml:space="preserve">Reduction from 11 MHz to 4 MHz for </w:t>
      </w:r>
      <w:r w:rsidR="00B74DBA">
        <w:rPr>
          <w:rFonts w:cs="Arial"/>
          <w:szCs w:val="20"/>
        </w:rPr>
        <w:t>s</w:t>
      </w:r>
      <w:r w:rsidRPr="003009EC">
        <w:rPr>
          <w:rFonts w:cs="Arial"/>
          <w:szCs w:val="20"/>
        </w:rPr>
        <w:t xml:space="preserve">ingle </w:t>
      </w:r>
      <w:r w:rsidR="00B74DBA">
        <w:rPr>
          <w:rFonts w:cs="Arial"/>
          <w:szCs w:val="20"/>
        </w:rPr>
        <w:t>f</w:t>
      </w:r>
      <w:r w:rsidRPr="003009EC">
        <w:rPr>
          <w:rFonts w:cs="Arial"/>
          <w:szCs w:val="20"/>
        </w:rPr>
        <w:t xml:space="preserve">requency </w:t>
      </w:r>
      <w:r w:rsidR="00B74DBA">
        <w:rPr>
          <w:rFonts w:cs="Arial"/>
          <w:szCs w:val="20"/>
        </w:rPr>
        <w:t>f</w:t>
      </w:r>
      <w:r w:rsidRPr="003009EC">
        <w:rPr>
          <w:rFonts w:cs="Arial"/>
          <w:szCs w:val="20"/>
        </w:rPr>
        <w:t xml:space="preserve">ixed </w:t>
      </w:r>
      <w:r w:rsidR="00B74DBA">
        <w:rPr>
          <w:rFonts w:cs="Arial"/>
          <w:szCs w:val="20"/>
        </w:rPr>
        <w:t>l</w:t>
      </w:r>
      <w:r w:rsidRPr="003009EC">
        <w:rPr>
          <w:rFonts w:cs="Arial"/>
          <w:szCs w:val="20"/>
        </w:rPr>
        <w:t>inks (including STLs). The specific implications of this decision are discussed in Section 3.2.3.7</w:t>
      </w:r>
      <w:r w:rsidR="00D26AAC">
        <w:rPr>
          <w:rFonts w:cs="Arial"/>
          <w:szCs w:val="20"/>
        </w:rPr>
        <w:t>.</w:t>
      </w:r>
    </w:p>
    <w:p w14:paraId="6D9D0503" w14:textId="7DE10E5C" w:rsidR="00AD1DDB" w:rsidRPr="003009EC" w:rsidRDefault="00AD1DDB" w:rsidP="003009EC">
      <w:pPr>
        <w:pStyle w:val="ListBullet"/>
        <w:numPr>
          <w:ilvl w:val="0"/>
          <w:numId w:val="1"/>
        </w:numPr>
        <w:rPr>
          <w:rFonts w:cs="Arial"/>
          <w:szCs w:val="20"/>
        </w:rPr>
      </w:pPr>
      <w:r w:rsidRPr="003009EC">
        <w:rPr>
          <w:rFonts w:cs="Arial"/>
          <w:szCs w:val="20"/>
        </w:rPr>
        <w:t>Reduction from 3 MHz to 1.5 MHz for SOB on a primary basis. The specific implications of this decision are discussed in Section 3.2.3.6</w:t>
      </w:r>
      <w:r w:rsidR="00D26AAC">
        <w:rPr>
          <w:rFonts w:cs="Arial"/>
          <w:szCs w:val="20"/>
        </w:rPr>
        <w:t>.</w:t>
      </w:r>
    </w:p>
    <w:p w14:paraId="3BD6462A" w14:textId="3DF0D13D" w:rsidR="00AD1DDB" w:rsidRPr="003009EC" w:rsidRDefault="00AD1DDB" w:rsidP="003009EC">
      <w:pPr>
        <w:pStyle w:val="ListBullet"/>
        <w:numPr>
          <w:ilvl w:val="0"/>
          <w:numId w:val="1"/>
        </w:numPr>
        <w:rPr>
          <w:rFonts w:cs="Arial"/>
          <w:szCs w:val="20"/>
        </w:rPr>
      </w:pPr>
      <w:r w:rsidRPr="003009EC">
        <w:rPr>
          <w:rFonts w:cs="Arial"/>
          <w:szCs w:val="20"/>
        </w:rPr>
        <w:t xml:space="preserve">Removal of allocations to the </w:t>
      </w:r>
      <w:r w:rsidR="00B74DBA">
        <w:rPr>
          <w:rFonts w:cs="Arial"/>
          <w:szCs w:val="20"/>
        </w:rPr>
        <w:t>c</w:t>
      </w:r>
      <w:r w:rsidRPr="003009EC">
        <w:rPr>
          <w:rFonts w:cs="Arial"/>
          <w:szCs w:val="20"/>
        </w:rPr>
        <w:t xml:space="preserve">ordless </w:t>
      </w:r>
      <w:r w:rsidR="00B74DBA">
        <w:rPr>
          <w:rFonts w:cs="Arial"/>
          <w:szCs w:val="20"/>
        </w:rPr>
        <w:t>t</w:t>
      </w:r>
      <w:r w:rsidRPr="003009EC">
        <w:rPr>
          <w:rFonts w:cs="Arial"/>
          <w:szCs w:val="20"/>
        </w:rPr>
        <w:t xml:space="preserve">elephone </w:t>
      </w:r>
      <w:r w:rsidR="00B74DBA">
        <w:rPr>
          <w:rFonts w:cs="Arial"/>
          <w:szCs w:val="20"/>
        </w:rPr>
        <w:t>s</w:t>
      </w:r>
      <w:r w:rsidRPr="003009EC">
        <w:rPr>
          <w:rFonts w:cs="Arial"/>
          <w:szCs w:val="20"/>
        </w:rPr>
        <w:t xml:space="preserve">ervice (CTS) and </w:t>
      </w:r>
      <w:r w:rsidR="00B74DBA">
        <w:rPr>
          <w:rFonts w:cs="Arial"/>
          <w:szCs w:val="20"/>
        </w:rPr>
        <w:t>d</w:t>
      </w:r>
      <w:r w:rsidRPr="003009EC">
        <w:rPr>
          <w:rFonts w:cs="Arial"/>
          <w:szCs w:val="20"/>
        </w:rPr>
        <w:t xml:space="preserve">igital </w:t>
      </w:r>
      <w:r w:rsidR="00B74DBA">
        <w:rPr>
          <w:rFonts w:cs="Arial"/>
          <w:szCs w:val="20"/>
        </w:rPr>
        <w:t>s</w:t>
      </w:r>
      <w:r w:rsidRPr="003009EC">
        <w:rPr>
          <w:rFonts w:cs="Arial"/>
          <w:szCs w:val="20"/>
        </w:rPr>
        <w:t>hort</w:t>
      </w:r>
      <w:r w:rsidR="00B74DBA">
        <w:rPr>
          <w:rFonts w:cs="Arial"/>
          <w:szCs w:val="20"/>
        </w:rPr>
        <w:t>-r</w:t>
      </w:r>
      <w:r w:rsidRPr="003009EC">
        <w:rPr>
          <w:rFonts w:cs="Arial"/>
          <w:szCs w:val="20"/>
        </w:rPr>
        <w:t xml:space="preserve">ange </w:t>
      </w:r>
      <w:r w:rsidR="00B74DBA">
        <w:rPr>
          <w:rFonts w:cs="Arial"/>
          <w:szCs w:val="20"/>
        </w:rPr>
        <w:t>r</w:t>
      </w:r>
      <w:r w:rsidRPr="003009EC">
        <w:rPr>
          <w:rFonts w:cs="Arial"/>
          <w:szCs w:val="20"/>
        </w:rPr>
        <w:t>adio (DSRR), which are outmoded and no longer in demand. The specific implications of this decision are discussed in Section 3.2.3.5</w:t>
      </w:r>
      <w:r w:rsidR="00D26AAC">
        <w:rPr>
          <w:rFonts w:cs="Arial"/>
          <w:szCs w:val="20"/>
        </w:rPr>
        <w:t>.</w:t>
      </w:r>
    </w:p>
    <w:p w14:paraId="264E9FB0" w14:textId="5A97E7B3" w:rsidR="00AD1DDB" w:rsidRPr="003009EC" w:rsidRDefault="00AD1DDB" w:rsidP="003009EC">
      <w:pPr>
        <w:pStyle w:val="ListBullet"/>
        <w:numPr>
          <w:ilvl w:val="0"/>
          <w:numId w:val="1"/>
        </w:numPr>
        <w:rPr>
          <w:rFonts w:cs="Arial"/>
          <w:szCs w:val="20"/>
        </w:rPr>
      </w:pPr>
      <w:r w:rsidRPr="003009EC">
        <w:rPr>
          <w:rFonts w:cs="Arial"/>
          <w:szCs w:val="20"/>
        </w:rPr>
        <w:t>A general ‘defragmentation’ of the 800 MHz band, including a rearrangement of frequency bands for fixed and land mobile services</w:t>
      </w:r>
      <w:r w:rsidR="00D26AAC">
        <w:rPr>
          <w:rFonts w:cs="Arial"/>
          <w:szCs w:val="20"/>
        </w:rPr>
        <w:t>.</w:t>
      </w:r>
    </w:p>
    <w:p w14:paraId="3150E207" w14:textId="77777777" w:rsidR="00AD1DDB" w:rsidRPr="003009EC" w:rsidRDefault="00AD1DDB" w:rsidP="003009EC">
      <w:pPr>
        <w:pStyle w:val="ListBullet"/>
        <w:numPr>
          <w:ilvl w:val="0"/>
          <w:numId w:val="1"/>
        </w:numPr>
        <w:spacing w:after="240"/>
        <w:rPr>
          <w:rFonts w:cs="Arial"/>
          <w:szCs w:val="20"/>
        </w:rPr>
      </w:pPr>
      <w:r w:rsidRPr="003009EC">
        <w:rPr>
          <w:rFonts w:cs="Arial"/>
          <w:szCs w:val="20"/>
        </w:rPr>
        <w:t xml:space="preserve">A consolidation of fixed link sub-types and associated licensing and assignment instructions to simplify assignment and deployment processes (as described in Section 3.1.2). </w:t>
      </w:r>
    </w:p>
    <w:p w14:paraId="06FBFE23" w14:textId="77777777" w:rsidR="00AD1DDB" w:rsidRPr="001A2589" w:rsidRDefault="00AD1DDB" w:rsidP="00AD1DDB">
      <w:pPr>
        <w:pStyle w:val="ListBullet"/>
        <w:spacing w:after="240"/>
        <w:rPr>
          <w:rFonts w:cs="Arial"/>
        </w:rPr>
      </w:pPr>
      <w:r w:rsidRPr="00543EE2">
        <w:rPr>
          <w:rFonts w:cs="Arial"/>
        </w:rPr>
        <w:t>Of course these outcomes will necessitate action to be taken by some operators, potentially including retuning/acquiring new eq</w:t>
      </w:r>
      <w:r w:rsidRPr="000D18D4">
        <w:rPr>
          <w:rFonts w:cs="Arial"/>
        </w:rPr>
        <w:t xml:space="preserve">uipment and/or a </w:t>
      </w:r>
      <w:r w:rsidRPr="00A02527">
        <w:rPr>
          <w:rFonts w:cs="Arial"/>
        </w:rPr>
        <w:t xml:space="preserve">rationalisation of overall bandwidth allocated to that particular service in the band plan. The intent of the </w:t>
      </w:r>
      <w:r w:rsidRPr="001A2589">
        <w:rPr>
          <w:rFonts w:cs="Arial"/>
        </w:rPr>
        <w:t>implementation</w:t>
      </w:r>
      <w:r w:rsidRPr="00543EE2">
        <w:rPr>
          <w:rFonts w:cs="Arial"/>
        </w:rPr>
        <w:t xml:space="preserve"> </w:t>
      </w:r>
      <w:r>
        <w:rPr>
          <w:rFonts w:cs="Arial"/>
        </w:rPr>
        <w:t>plan</w:t>
      </w:r>
      <w:r w:rsidRPr="00543EE2">
        <w:rPr>
          <w:rFonts w:cs="Arial"/>
        </w:rPr>
        <w:t xml:space="preserve"> set out in </w:t>
      </w:r>
      <w:r>
        <w:rPr>
          <w:rFonts w:cs="Arial"/>
        </w:rPr>
        <w:t>S</w:t>
      </w:r>
      <w:r w:rsidRPr="001A2589">
        <w:rPr>
          <w:rFonts w:cs="Arial"/>
        </w:rPr>
        <w:t>ection 3.3</w:t>
      </w:r>
      <w:r w:rsidRPr="00543EE2">
        <w:rPr>
          <w:rFonts w:cs="Arial"/>
        </w:rPr>
        <w:t xml:space="preserve"> is to </w:t>
      </w:r>
      <w:r w:rsidRPr="001A2589">
        <w:rPr>
          <w:rFonts w:cs="Arial"/>
        </w:rPr>
        <w:t>bring</w:t>
      </w:r>
      <w:r w:rsidRPr="00543EE2">
        <w:rPr>
          <w:rFonts w:cs="Arial"/>
        </w:rPr>
        <w:t xml:space="preserve"> the above reforms </w:t>
      </w:r>
      <w:r w:rsidRPr="001A2589">
        <w:rPr>
          <w:rFonts w:cs="Arial"/>
        </w:rPr>
        <w:t xml:space="preserve">into effect </w:t>
      </w:r>
      <w:r w:rsidRPr="00543EE2">
        <w:rPr>
          <w:rFonts w:cs="Arial"/>
        </w:rPr>
        <w:t xml:space="preserve">with the minimum possible disruption and to provide operators with sufficient notice and long lead times where possible. </w:t>
      </w:r>
    </w:p>
    <w:p w14:paraId="0C514528" w14:textId="31F58FC1" w:rsidR="00AD1DDB" w:rsidRDefault="00AD1DDB" w:rsidP="00AD1DDB">
      <w:pPr>
        <w:pStyle w:val="ListBullet"/>
        <w:spacing w:after="240"/>
        <w:rPr>
          <w:rFonts w:cs="Arial"/>
        </w:rPr>
      </w:pPr>
      <w:r w:rsidRPr="00A3164D">
        <w:rPr>
          <w:rFonts w:cs="Arial"/>
        </w:rPr>
        <w:t xml:space="preserve">Figure 3.2.1 provides a </w:t>
      </w:r>
      <w:r w:rsidR="0011201F" w:rsidRPr="00A3164D">
        <w:rPr>
          <w:rFonts w:cs="Arial"/>
        </w:rPr>
        <w:t>high-level</w:t>
      </w:r>
      <w:r w:rsidRPr="00A3164D">
        <w:rPr>
          <w:rFonts w:cs="Arial"/>
        </w:rPr>
        <w:t xml:space="preserve"> overview of how the 800 and 900 MHz bands will ultimately look</w:t>
      </w:r>
      <w:r>
        <w:rPr>
          <w:rFonts w:cs="Arial"/>
        </w:rPr>
        <w:t xml:space="preserve"> once the abovementioned changes have been fully implemented. The</w:t>
      </w:r>
      <w:r w:rsidRPr="00F52540">
        <w:rPr>
          <w:rFonts w:cs="Arial"/>
        </w:rPr>
        <w:t xml:space="preserve"> top and middle diagrams provide an overview of the current and post-transition (</w:t>
      </w:r>
      <w:r w:rsidR="00D26AAC">
        <w:rPr>
          <w:rFonts w:cs="Arial"/>
        </w:rPr>
        <w:t xml:space="preserve">that is, </w:t>
      </w:r>
      <w:r>
        <w:rPr>
          <w:rFonts w:cs="Arial"/>
        </w:rPr>
        <w:t>mid</w:t>
      </w:r>
      <w:r w:rsidR="00F6711F">
        <w:rPr>
          <w:rFonts w:cs="Arial"/>
        </w:rPr>
        <w:t>-</w:t>
      </w:r>
      <w:r>
        <w:rPr>
          <w:rFonts w:cs="Arial"/>
        </w:rPr>
        <w:t>20</w:t>
      </w:r>
      <w:r w:rsidRPr="00F52540">
        <w:rPr>
          <w:rFonts w:cs="Arial"/>
        </w:rPr>
        <w:t xml:space="preserve">24 onwards) configuration of the bands </w:t>
      </w:r>
      <w:r w:rsidR="00681FE1" w:rsidRPr="00462916">
        <w:t>(</w:t>
      </w:r>
      <w:r w:rsidR="00681FE1">
        <w:t>i</w:t>
      </w:r>
      <w:r w:rsidR="00681FE1" w:rsidRPr="00462916">
        <w:t>ncludes potential options for accommodating a PSMB allocation in the 850</w:t>
      </w:r>
      <w:r w:rsidR="00681FE1">
        <w:t> </w:t>
      </w:r>
      <w:r w:rsidR="00681FE1" w:rsidRPr="00462916">
        <w:t>MHz expansion band, if that ultimately reflects government policy on PSMB)</w:t>
      </w:r>
      <w:r w:rsidR="00681FE1">
        <w:t>.</w:t>
      </w:r>
    </w:p>
    <w:p w14:paraId="24D6CB1A" w14:textId="15010F97" w:rsidR="00AD1DDB" w:rsidRDefault="00AD1DDB" w:rsidP="00AD1DDB">
      <w:pPr>
        <w:pStyle w:val="ListBullet"/>
        <w:spacing w:after="240"/>
        <w:rPr>
          <w:rFonts w:cs="Arial"/>
        </w:rPr>
      </w:pPr>
      <w:r w:rsidRPr="00A3164D">
        <w:rPr>
          <w:rFonts w:cs="Arial"/>
        </w:rPr>
        <w:t xml:space="preserve">The lower diagram shows the abovementioned additional provisions for </w:t>
      </w:r>
      <w:r w:rsidR="00B74DBA">
        <w:rPr>
          <w:rFonts w:cs="Arial"/>
        </w:rPr>
        <w:t>two-frequency</w:t>
      </w:r>
      <w:r w:rsidRPr="00A3164D">
        <w:rPr>
          <w:rFonts w:cs="Arial"/>
        </w:rPr>
        <w:t xml:space="preserve"> fixed links in areas not identified for TLMS coverage (up to 2 x 3 MHz), and additional provisions for TLMS (up to 2 x 2 MHz</w:t>
      </w:r>
      <w:r>
        <w:rPr>
          <w:rFonts w:cs="Arial"/>
        </w:rPr>
        <w:t xml:space="preserve"> extra)</w:t>
      </w:r>
      <w:r w:rsidRPr="00A3164D">
        <w:rPr>
          <w:rFonts w:cs="Arial"/>
        </w:rPr>
        <w:t xml:space="preserve"> in areas not identified for PSMB coverage (</w:t>
      </w:r>
      <w:r>
        <w:rPr>
          <w:rFonts w:cs="Arial"/>
        </w:rPr>
        <w:t>if allocated</w:t>
      </w:r>
      <w:r w:rsidRPr="00A3164D">
        <w:rPr>
          <w:rFonts w:cs="Arial"/>
        </w:rPr>
        <w:t>). In this diagram</w:t>
      </w:r>
      <w:r w:rsidR="00D26AAC">
        <w:rPr>
          <w:rFonts w:cs="Arial"/>
        </w:rPr>
        <w:t>,</w:t>
      </w:r>
      <w:r w:rsidRPr="00A3164D">
        <w:rPr>
          <w:rFonts w:cs="Arial"/>
        </w:rPr>
        <w:t xml:space="preserve"> it is assumed that an allocation will been made for PSMB in the lower part of the 850 MHz expansion band</w:t>
      </w:r>
      <w:r w:rsidR="00D26AAC">
        <w:rPr>
          <w:rFonts w:cs="Arial"/>
        </w:rPr>
        <w:t>—</w:t>
      </w:r>
      <w:r w:rsidRPr="00A3164D">
        <w:rPr>
          <w:rFonts w:cs="Arial"/>
        </w:rPr>
        <w:t xml:space="preserve">again this is the subject to </w:t>
      </w:r>
      <w:r>
        <w:rPr>
          <w:rFonts w:cs="Arial"/>
        </w:rPr>
        <w:t>outcomes of g</w:t>
      </w:r>
      <w:r w:rsidRPr="00A3164D">
        <w:rPr>
          <w:rFonts w:cs="Arial"/>
        </w:rPr>
        <w:t>overnment consideration of the</w:t>
      </w:r>
      <w:r>
        <w:rPr>
          <w:rFonts w:cs="Arial"/>
        </w:rPr>
        <w:t xml:space="preserve"> final</w:t>
      </w:r>
      <w:r w:rsidRPr="00A3164D">
        <w:rPr>
          <w:rFonts w:cs="Arial"/>
        </w:rPr>
        <w:t xml:space="preserve"> recommendations of the PC, </w:t>
      </w:r>
      <w:r>
        <w:rPr>
          <w:rFonts w:cs="Arial"/>
        </w:rPr>
        <w:t>which is not expected until 2016.</w:t>
      </w:r>
    </w:p>
    <w:p w14:paraId="5F3A676E" w14:textId="77777777" w:rsidR="00AD1DDB" w:rsidRPr="00A3164D" w:rsidRDefault="00AD1DDB" w:rsidP="00AD1DDB">
      <w:pPr>
        <w:pStyle w:val="Heading3"/>
        <w:numPr>
          <w:ilvl w:val="2"/>
          <w:numId w:val="33"/>
        </w:numPr>
        <w:ind w:left="709"/>
      </w:pPr>
      <w:bookmarkStart w:id="22" w:name="_Toc434999447"/>
      <w:r>
        <w:t>Services not affected</w:t>
      </w:r>
      <w:bookmarkEnd w:id="22"/>
    </w:p>
    <w:p w14:paraId="5E9ECFA2" w14:textId="7D4F6F23" w:rsidR="00AD1DDB" w:rsidRPr="00EA4A70" w:rsidRDefault="00AD1DDB" w:rsidP="003009EC">
      <w:pPr>
        <w:spacing w:after="80"/>
        <w:rPr>
          <w:rFonts w:cs="Arial"/>
        </w:rPr>
      </w:pPr>
      <w:r w:rsidRPr="00EA4A70">
        <w:rPr>
          <w:rFonts w:cs="Arial"/>
        </w:rPr>
        <w:t xml:space="preserve">The following is a list of services currently allocated under the </w:t>
      </w:r>
      <w:r w:rsidR="00B74DBA">
        <w:rPr>
          <w:rFonts w:cs="Arial"/>
        </w:rPr>
        <w:t xml:space="preserve">800 MHz and </w:t>
      </w:r>
      <w:r w:rsidRPr="00EA4A70">
        <w:rPr>
          <w:rFonts w:cs="Arial"/>
        </w:rPr>
        <w:t xml:space="preserve">900 MHz </w:t>
      </w:r>
      <w:r w:rsidR="00B74DBA">
        <w:rPr>
          <w:rFonts w:cs="Arial"/>
        </w:rPr>
        <w:t>b</w:t>
      </w:r>
      <w:r w:rsidRPr="00EA4A70">
        <w:rPr>
          <w:rFonts w:cs="Arial"/>
        </w:rPr>
        <w:t xml:space="preserve">and </w:t>
      </w:r>
      <w:r w:rsidR="00B74DBA">
        <w:rPr>
          <w:rFonts w:cs="Arial"/>
        </w:rPr>
        <w:t>p</w:t>
      </w:r>
      <w:r w:rsidRPr="00EA4A70">
        <w:rPr>
          <w:rFonts w:cs="Arial"/>
        </w:rPr>
        <w:t>lan for which no action will be required by incumbent users:</w:t>
      </w:r>
    </w:p>
    <w:p w14:paraId="0D90708B" w14:textId="7FC8693B" w:rsidR="00AD1DDB" w:rsidRPr="003009EC" w:rsidRDefault="00D26AAC" w:rsidP="003009EC">
      <w:pPr>
        <w:pStyle w:val="ListBullet"/>
        <w:numPr>
          <w:ilvl w:val="0"/>
          <w:numId w:val="1"/>
        </w:numPr>
        <w:rPr>
          <w:rFonts w:cs="Arial"/>
          <w:szCs w:val="20"/>
        </w:rPr>
      </w:pPr>
      <w:r>
        <w:rPr>
          <w:rFonts w:cs="Arial"/>
          <w:szCs w:val="20"/>
        </w:rPr>
        <w:t>w</w:t>
      </w:r>
      <w:r w:rsidR="00AD1DDB" w:rsidRPr="003009EC">
        <w:rPr>
          <w:rFonts w:cs="Arial"/>
          <w:szCs w:val="20"/>
        </w:rPr>
        <w:t>hile the new plans will no longer support DSRR in 933</w:t>
      </w:r>
      <w:r>
        <w:rPr>
          <w:rFonts w:cs="Arial"/>
          <w:szCs w:val="20"/>
        </w:rPr>
        <w:t>–</w:t>
      </w:r>
      <w:r w:rsidR="00AD1DDB" w:rsidRPr="003009EC">
        <w:rPr>
          <w:rFonts w:cs="Arial"/>
          <w:szCs w:val="20"/>
        </w:rPr>
        <w:t>935 MHz, there are no current licences for this technology so no current users will be affected</w:t>
      </w:r>
    </w:p>
    <w:p w14:paraId="793A2D2E" w14:textId="26E8EAEE" w:rsidR="00AD1DDB" w:rsidRPr="003009EC" w:rsidRDefault="00D26AAC" w:rsidP="003009EC">
      <w:pPr>
        <w:pStyle w:val="ListBullet"/>
        <w:numPr>
          <w:ilvl w:val="0"/>
          <w:numId w:val="1"/>
        </w:numPr>
        <w:rPr>
          <w:rFonts w:cs="Arial"/>
          <w:szCs w:val="20"/>
        </w:rPr>
      </w:pPr>
      <w:r>
        <w:rPr>
          <w:rFonts w:cs="Arial"/>
          <w:szCs w:val="20"/>
        </w:rPr>
        <w:t>t</w:t>
      </w:r>
      <w:r w:rsidR="00AD1DDB" w:rsidRPr="003009EC">
        <w:rPr>
          <w:rFonts w:cs="Arial"/>
          <w:szCs w:val="20"/>
        </w:rPr>
        <w:t>he new plans will continue to support operation of the primary radiolocation service in 915</w:t>
      </w:r>
      <w:r>
        <w:rPr>
          <w:rFonts w:cs="Arial"/>
          <w:szCs w:val="20"/>
        </w:rPr>
        <w:t>–</w:t>
      </w:r>
      <w:r w:rsidR="00AD1DDB" w:rsidRPr="003009EC">
        <w:rPr>
          <w:rFonts w:cs="Arial"/>
          <w:szCs w:val="20"/>
        </w:rPr>
        <w:t>928 MHz and other radiolocation services operating on a secondary basis and subject to the AUS29 footnote to the Australian Radiofrequency Spectrum Plan (ARSP)</w:t>
      </w:r>
    </w:p>
    <w:p w14:paraId="47E42FC0" w14:textId="464B5125" w:rsidR="00AD1DDB" w:rsidRPr="003009EC" w:rsidRDefault="00D26AAC" w:rsidP="003009EC">
      <w:pPr>
        <w:pStyle w:val="ListBullet"/>
        <w:numPr>
          <w:ilvl w:val="0"/>
          <w:numId w:val="1"/>
        </w:numPr>
        <w:spacing w:after="240"/>
        <w:rPr>
          <w:rFonts w:cs="Arial"/>
          <w:szCs w:val="20"/>
        </w:rPr>
      </w:pPr>
      <w:r>
        <w:rPr>
          <w:rFonts w:cs="Arial"/>
          <w:szCs w:val="20"/>
        </w:rPr>
        <w:t>t</w:t>
      </w:r>
      <w:r w:rsidR="00AD1DDB" w:rsidRPr="003009EC">
        <w:rPr>
          <w:rFonts w:cs="Arial"/>
          <w:szCs w:val="20"/>
        </w:rPr>
        <w:t>he new plans will continue to support LIPDs operating in 915</w:t>
      </w:r>
      <w:r>
        <w:rPr>
          <w:rFonts w:cs="Arial"/>
          <w:szCs w:val="20"/>
        </w:rPr>
        <w:t>–</w:t>
      </w:r>
      <w:r w:rsidR="00AD1DDB" w:rsidRPr="003009EC">
        <w:rPr>
          <w:rFonts w:cs="Arial"/>
          <w:szCs w:val="20"/>
        </w:rPr>
        <w:t xml:space="preserve">928 MHz. </w:t>
      </w:r>
    </w:p>
    <w:p w14:paraId="1808C446" w14:textId="77777777" w:rsidR="00AD1DDB" w:rsidRDefault="00AD1DDB" w:rsidP="00AD1DDB">
      <w:pPr>
        <w:pStyle w:val="Heading3"/>
        <w:numPr>
          <w:ilvl w:val="2"/>
          <w:numId w:val="33"/>
        </w:numPr>
        <w:ind w:left="709"/>
      </w:pPr>
      <w:bookmarkStart w:id="23" w:name="_Toc434999448"/>
      <w:r>
        <w:t>Implications for affected users</w:t>
      </w:r>
      <w:bookmarkEnd w:id="23"/>
    </w:p>
    <w:p w14:paraId="235E7E02" w14:textId="77777777" w:rsidR="00B74DBA" w:rsidRDefault="00AD1DDB" w:rsidP="00B74DBA">
      <w:pPr>
        <w:rPr>
          <w:rFonts w:cs="Arial"/>
        </w:rPr>
      </w:pPr>
      <w:r w:rsidRPr="00AD1DDB">
        <w:rPr>
          <w:rFonts w:cs="Arial"/>
        </w:rPr>
        <w:t>Implications for each affected service are summarised in the following sections, noting that dates of effect of the below changes will differ between services. Section 3.3.2 details the administrative actions to be taken by the ACMA to enact these changes. Where overall spectrum for a specific service has been reduced, new assignment rules will be introduced to ensure that access is as fair and equitable as possible while optimising the efficiency of use of the band. This will take into account factors such as physical characteristics that might make access to this particular band more critical for some users than others.</w:t>
      </w:r>
      <w:r w:rsidR="00B74DBA" w:rsidRPr="00B74DBA">
        <w:rPr>
          <w:rFonts w:cs="Arial"/>
        </w:rPr>
        <w:t xml:space="preserve"> </w:t>
      </w:r>
    </w:p>
    <w:p w14:paraId="6AADA066" w14:textId="5978ADB7" w:rsidR="00AD1DDB" w:rsidRPr="00AD1DDB" w:rsidRDefault="00B74DBA" w:rsidP="00AD1DDB">
      <w:pPr>
        <w:rPr>
          <w:rFonts w:cs="Arial"/>
        </w:rPr>
      </w:pPr>
      <w:r w:rsidRPr="00AD1DDB">
        <w:rPr>
          <w:rFonts w:cs="Arial"/>
        </w:rPr>
        <w:t>Furthermore, the impact on affected TLMS and fixed service licensees will also be reduced by providing them with priority access to the new respective allocations in the 803</w:t>
      </w:r>
      <w:r w:rsidR="00F27DDC">
        <w:rPr>
          <w:rFonts w:cs="Arial"/>
        </w:rPr>
        <w:t>–</w:t>
      </w:r>
      <w:r w:rsidRPr="00AD1DDB">
        <w:rPr>
          <w:rFonts w:cs="Arial"/>
        </w:rPr>
        <w:t>960 MHz band, which is likely to reduce the complexity of the frequency assignment process.</w:t>
      </w:r>
    </w:p>
    <w:p w14:paraId="21EF680F" w14:textId="0B5ED30F" w:rsidR="00B74DBA" w:rsidRDefault="00B74DBA" w:rsidP="00AC7321">
      <w:pPr>
        <w:pStyle w:val="ACMAFigureHeader"/>
        <w:keepNext/>
        <w:keepLines/>
        <w:numPr>
          <w:ilvl w:val="0"/>
          <w:numId w:val="0"/>
        </w:numPr>
        <w:tabs>
          <w:tab w:val="left" w:pos="1418"/>
        </w:tabs>
        <w:ind w:left="1418" w:hanging="1418"/>
      </w:pPr>
      <w:r>
        <w:t>Figure 3.2.1:</w:t>
      </w:r>
      <w:r>
        <w:tab/>
      </w:r>
      <w:r w:rsidRPr="00462916">
        <w:t>Current and final arrangements for the 803</w:t>
      </w:r>
      <w:r w:rsidR="00D26AAC">
        <w:t>–</w:t>
      </w:r>
      <w:r w:rsidRPr="00462916">
        <w:t xml:space="preserve">960 MHz band. </w:t>
      </w:r>
    </w:p>
    <w:p w14:paraId="7877DCB7" w14:textId="77777777" w:rsidR="00B74DBA" w:rsidRDefault="00B74DBA" w:rsidP="00AC7321">
      <w:pPr>
        <w:spacing w:after="0"/>
        <w:rPr>
          <w:rFonts w:cs="Arial"/>
        </w:rPr>
      </w:pPr>
      <w:r w:rsidRPr="0067403B">
        <w:rPr>
          <w:rFonts w:cs="Arial"/>
          <w:noProof/>
        </w:rPr>
        <w:drawing>
          <wp:inline distT="0" distB="0" distL="0" distR="0" wp14:anchorId="6A50694D" wp14:editId="4EC4B421">
            <wp:extent cx="5496916" cy="7101346"/>
            <wp:effectExtent l="0" t="0" r="8890" b="4445"/>
            <wp:docPr id="6" name="Picture 6" descr="Current and final arrangements for the 803–960 MHz band. (includes potential options for accommodating a PSMB allocation in the 850 MHz expansion band, if that ultimately reflects government policy on PSM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503719" cy="7110135"/>
                    </a:xfrm>
                    <a:prstGeom prst="rect">
                      <a:avLst/>
                    </a:prstGeom>
                    <a:noFill/>
                    <a:ln>
                      <a:noFill/>
                    </a:ln>
                  </pic:spPr>
                </pic:pic>
              </a:graphicData>
            </a:graphic>
          </wp:inline>
        </w:drawing>
      </w:r>
    </w:p>
    <w:p w14:paraId="1DC192C2" w14:textId="77777777" w:rsidR="00D26AAC" w:rsidRDefault="00D26AAC" w:rsidP="00AC7321">
      <w:pPr>
        <w:pStyle w:val="ACMASpaceaftertable"/>
      </w:pPr>
    </w:p>
    <w:p w14:paraId="2EB6D6B9" w14:textId="77777777" w:rsidR="00AD1DDB" w:rsidRPr="00AD1DDB" w:rsidRDefault="00AD1DDB" w:rsidP="004C66C7">
      <w:pPr>
        <w:pStyle w:val="Bodysubheader0"/>
        <w:keepNext/>
        <w:numPr>
          <w:ilvl w:val="3"/>
          <w:numId w:val="33"/>
        </w:numPr>
        <w:ind w:left="709" w:hanging="709"/>
      </w:pPr>
      <w:r w:rsidRPr="00AD1DDB">
        <w:t>Fixed links</w:t>
      </w:r>
    </w:p>
    <w:p w14:paraId="3758358C" w14:textId="77777777" w:rsidR="00AD1DDB" w:rsidRPr="00EA4A70" w:rsidRDefault="00AD1DDB" w:rsidP="004C66C7">
      <w:pPr>
        <w:keepNext/>
        <w:spacing w:after="80"/>
      </w:pPr>
      <w:r w:rsidRPr="00EA4A70">
        <w:rPr>
          <w:rFonts w:cs="Arial"/>
        </w:rPr>
        <w:t>In practical terms, the new arrangements will have the following effects on operation of fixed links:</w:t>
      </w:r>
    </w:p>
    <w:p w14:paraId="4E0B1A7E" w14:textId="77777777" w:rsidR="00AD1DDB" w:rsidRPr="003009EC" w:rsidRDefault="00AD1DDB" w:rsidP="003009EC">
      <w:pPr>
        <w:pStyle w:val="ListBullet"/>
        <w:numPr>
          <w:ilvl w:val="0"/>
          <w:numId w:val="1"/>
        </w:numPr>
        <w:rPr>
          <w:rFonts w:cs="Arial"/>
          <w:szCs w:val="20"/>
        </w:rPr>
      </w:pPr>
      <w:r w:rsidRPr="003009EC">
        <w:rPr>
          <w:rFonts w:cs="Arial"/>
          <w:szCs w:val="20"/>
        </w:rPr>
        <w:t>Two-frequency fixed links will need to change to a 45 MHz duplex split (lower edge at 804/849 MHz).</w:t>
      </w:r>
    </w:p>
    <w:p w14:paraId="1B043D6D" w14:textId="052C3A9C" w:rsidR="00AD1DDB" w:rsidRPr="003009EC" w:rsidRDefault="00AD1DDB" w:rsidP="003009EC">
      <w:pPr>
        <w:pStyle w:val="ListBullet"/>
        <w:numPr>
          <w:ilvl w:val="0"/>
          <w:numId w:val="1"/>
        </w:numPr>
        <w:rPr>
          <w:rFonts w:cs="Arial"/>
          <w:szCs w:val="20"/>
        </w:rPr>
      </w:pPr>
      <w:r w:rsidRPr="003009EC">
        <w:rPr>
          <w:rFonts w:cs="Arial"/>
          <w:szCs w:val="20"/>
        </w:rPr>
        <w:t>An overall reduction in dedicated spectrum for single frequency links</w:t>
      </w:r>
      <w:r w:rsidR="00D26AAC">
        <w:rPr>
          <w:rFonts w:cs="Arial"/>
          <w:szCs w:val="20"/>
        </w:rPr>
        <w:t>—</w:t>
      </w:r>
      <w:r w:rsidRPr="003009EC">
        <w:rPr>
          <w:rFonts w:cs="Arial"/>
          <w:szCs w:val="20"/>
        </w:rPr>
        <w:t xml:space="preserve">11 MHz down to 4 MHz (operations above 849 MHz will eventually be required to cease). </w:t>
      </w:r>
    </w:p>
    <w:p w14:paraId="0CB5366C" w14:textId="17AC7D50" w:rsidR="00AD1DDB" w:rsidRPr="003009EC" w:rsidRDefault="00AD1DDB" w:rsidP="003009EC">
      <w:pPr>
        <w:pStyle w:val="ListBullet"/>
        <w:numPr>
          <w:ilvl w:val="0"/>
          <w:numId w:val="1"/>
        </w:numPr>
        <w:rPr>
          <w:rFonts w:cs="Arial"/>
          <w:szCs w:val="20"/>
        </w:rPr>
      </w:pPr>
      <w:r w:rsidRPr="003009EC">
        <w:rPr>
          <w:rFonts w:cs="Arial"/>
          <w:szCs w:val="20"/>
        </w:rPr>
        <w:t>An overall reduction in dedicated spectrum for two</w:t>
      </w:r>
      <w:r w:rsidR="00B74DBA">
        <w:rPr>
          <w:rFonts w:cs="Arial"/>
          <w:szCs w:val="20"/>
        </w:rPr>
        <w:t>-</w:t>
      </w:r>
      <w:r w:rsidRPr="003009EC">
        <w:rPr>
          <w:rFonts w:cs="Arial"/>
          <w:szCs w:val="20"/>
        </w:rPr>
        <w:t>frequency fixed links, including single channel and low capacity links, in TLMS coverage areas (mostly urban)</w:t>
      </w:r>
      <w:r w:rsidR="00D26AAC">
        <w:rPr>
          <w:rFonts w:cs="Arial"/>
          <w:szCs w:val="20"/>
        </w:rPr>
        <w:t>—</w:t>
      </w:r>
      <w:r w:rsidRPr="003009EC">
        <w:rPr>
          <w:rFonts w:cs="Arial"/>
          <w:szCs w:val="20"/>
        </w:rPr>
        <w:t>2</w:t>
      </w:r>
      <w:r w:rsidR="00F27DDC">
        <w:rPr>
          <w:rFonts w:cs="Arial"/>
          <w:szCs w:val="20"/>
        </w:rPr>
        <w:t> </w:t>
      </w:r>
      <w:r w:rsidR="00F27DDC" w:rsidRPr="003009EC">
        <w:rPr>
          <w:rFonts w:cs="Arial"/>
          <w:szCs w:val="20"/>
        </w:rPr>
        <w:t>x</w:t>
      </w:r>
      <w:r w:rsidR="00F27DDC">
        <w:rPr>
          <w:rFonts w:cs="Arial"/>
          <w:szCs w:val="20"/>
        </w:rPr>
        <w:t> </w:t>
      </w:r>
      <w:r w:rsidRPr="003009EC">
        <w:rPr>
          <w:rFonts w:cs="Arial"/>
          <w:szCs w:val="20"/>
        </w:rPr>
        <w:t xml:space="preserve">5 MHz down to 2 x 2 MHz. </w:t>
      </w:r>
    </w:p>
    <w:p w14:paraId="1EF58D13" w14:textId="47BFBF34" w:rsidR="00AD1DDB" w:rsidRPr="003009EC" w:rsidRDefault="00AD1DDB" w:rsidP="003009EC">
      <w:pPr>
        <w:pStyle w:val="ListBullet"/>
        <w:numPr>
          <w:ilvl w:val="0"/>
          <w:numId w:val="1"/>
        </w:numPr>
        <w:spacing w:after="240"/>
        <w:rPr>
          <w:rFonts w:cs="Arial"/>
          <w:szCs w:val="20"/>
        </w:rPr>
      </w:pPr>
      <w:r w:rsidRPr="003009EC">
        <w:rPr>
          <w:rFonts w:cs="Arial"/>
          <w:szCs w:val="20"/>
        </w:rPr>
        <w:t xml:space="preserve">No change to allocated bandwidth for </w:t>
      </w:r>
      <w:r w:rsidR="00B74DBA">
        <w:rPr>
          <w:rFonts w:cs="Arial"/>
          <w:szCs w:val="20"/>
        </w:rPr>
        <w:t>two-frequency</w:t>
      </w:r>
      <w:r w:rsidRPr="003009EC">
        <w:rPr>
          <w:rFonts w:cs="Arial"/>
          <w:szCs w:val="20"/>
        </w:rPr>
        <w:t xml:space="preserve"> fixed links (</w:t>
      </w:r>
      <w:r w:rsidR="00D26AAC">
        <w:rPr>
          <w:rFonts w:cs="Arial"/>
          <w:szCs w:val="20"/>
        </w:rPr>
        <w:t>that is,</w:t>
      </w:r>
      <w:r w:rsidRPr="003009EC">
        <w:rPr>
          <w:rFonts w:cs="Arial"/>
          <w:szCs w:val="20"/>
        </w:rPr>
        <w:t xml:space="preserve"> to remain at 2 x 5 MHz) outside TLMS coverage areas, on a secondary basis. This means that, in such geographic areas, </w:t>
      </w:r>
      <w:r w:rsidR="00B74DBA">
        <w:rPr>
          <w:rFonts w:cs="Arial"/>
          <w:szCs w:val="20"/>
        </w:rPr>
        <w:t>two-frequency</w:t>
      </w:r>
      <w:r w:rsidRPr="003009EC">
        <w:rPr>
          <w:rFonts w:cs="Arial"/>
          <w:szCs w:val="20"/>
        </w:rPr>
        <w:t xml:space="preserve"> fixed links will be able to access 804</w:t>
      </w:r>
      <w:r w:rsidR="00D26AAC">
        <w:rPr>
          <w:rFonts w:cs="Arial"/>
          <w:szCs w:val="20"/>
        </w:rPr>
        <w:t>–</w:t>
      </w:r>
      <w:r w:rsidRPr="003009EC">
        <w:rPr>
          <w:rFonts w:cs="Arial"/>
          <w:szCs w:val="20"/>
        </w:rPr>
        <w:t>809/849</w:t>
      </w:r>
      <w:r w:rsidR="00D26AAC">
        <w:rPr>
          <w:rFonts w:cs="Arial"/>
          <w:szCs w:val="20"/>
        </w:rPr>
        <w:t>–</w:t>
      </w:r>
      <w:r w:rsidRPr="003009EC">
        <w:rPr>
          <w:rFonts w:cs="Arial"/>
          <w:szCs w:val="20"/>
        </w:rPr>
        <w:t xml:space="preserve">854 MHz, with the upper 2 x 3 MHz allocated on a secondary basis with respect to TLMS. In areas identified for new TLMS coverage, </w:t>
      </w:r>
      <w:r w:rsidR="00B74DBA">
        <w:rPr>
          <w:rFonts w:cs="Arial"/>
          <w:szCs w:val="20"/>
        </w:rPr>
        <w:t>two-frequency</w:t>
      </w:r>
      <w:r w:rsidRPr="003009EC">
        <w:rPr>
          <w:rFonts w:cs="Arial"/>
          <w:szCs w:val="20"/>
        </w:rPr>
        <w:t xml:space="preserve"> fixed links will have two years to vacate this upper 2 x 3 MHz.</w:t>
      </w:r>
    </w:p>
    <w:p w14:paraId="7BB8A09C" w14:textId="4D9F36C4" w:rsidR="00AD1DDB" w:rsidRDefault="00AD1DDB" w:rsidP="00392163">
      <w:pPr>
        <w:pStyle w:val="ListBullet"/>
        <w:spacing w:after="240"/>
      </w:pPr>
      <w:r w:rsidRPr="00356137">
        <w:t xml:space="preserve">How the </w:t>
      </w:r>
      <w:r w:rsidRPr="00311AA9">
        <w:t xml:space="preserve">provisions described in this </w:t>
      </w:r>
      <w:r w:rsidRPr="00356137">
        <w:t xml:space="preserve">latter point </w:t>
      </w:r>
      <w:r w:rsidRPr="00311AA9">
        <w:t>are</w:t>
      </w:r>
      <w:r w:rsidRPr="00356137">
        <w:t xml:space="preserve"> implemented will require further thinking by the ACMA</w:t>
      </w:r>
      <w:r w:rsidR="0011201F">
        <w:t>;</w:t>
      </w:r>
      <w:r w:rsidRPr="00356137">
        <w:t xml:space="preserve"> however</w:t>
      </w:r>
      <w:r w:rsidR="0011201F">
        <w:t>,</w:t>
      </w:r>
      <w:r w:rsidRPr="00356137">
        <w:t xml:space="preserve"> it is likely that these arrangements will be captured in new/updated RALIs. While this adds a level of complexity</w:t>
      </w:r>
      <w:r w:rsidR="00D26AAC">
        <w:t>—</w:t>
      </w:r>
      <w:r w:rsidRPr="00356137">
        <w:t>for the ACMA, frequency assigners and service planners alike</w:t>
      </w:r>
      <w:r w:rsidR="00D26AAC">
        <w:t>—</w:t>
      </w:r>
      <w:r w:rsidRPr="00356137">
        <w:t xml:space="preserve">it will help to optimise the efficient use of the band and is intended to prevent some users from being unnecessarily displaced when there is vacant spectrum in </w:t>
      </w:r>
      <w:r>
        <w:t>an</w:t>
      </w:r>
      <w:r w:rsidRPr="00356137">
        <w:t xml:space="preserve"> adjacent frequency segment. Similar arrangements are proposed for TLMS accessing uppe</w:t>
      </w:r>
      <w:r w:rsidRPr="00311AA9">
        <w:t>r-adjace</w:t>
      </w:r>
      <w:r w:rsidRPr="00356137">
        <w:t>nt spectrum</w:t>
      </w:r>
      <w:r w:rsidRPr="00311AA9">
        <w:t>, in a future scenario where dedicated spectrum</w:t>
      </w:r>
      <w:r w:rsidRPr="00356137">
        <w:t xml:space="preserve"> </w:t>
      </w:r>
      <w:r w:rsidR="003E62F3">
        <w:t>could be</w:t>
      </w:r>
      <w:r w:rsidR="003E62F3" w:rsidRPr="00311AA9">
        <w:t xml:space="preserve"> </w:t>
      </w:r>
      <w:r w:rsidRPr="00356137">
        <w:t>set aside for</w:t>
      </w:r>
      <w:r w:rsidR="00D26AAC">
        <w:t>—</w:t>
      </w:r>
      <w:r w:rsidRPr="00356137">
        <w:t>but not used by</w:t>
      </w:r>
      <w:r w:rsidR="00D26AAC">
        <w:t>—</w:t>
      </w:r>
      <w:r w:rsidRPr="00356137">
        <w:t>PSMB services (see Section 3.2.3.2).</w:t>
      </w:r>
    </w:p>
    <w:p w14:paraId="74F66D2A" w14:textId="592D6FCA" w:rsidR="00AD1DDB" w:rsidRPr="00A3164D" w:rsidRDefault="00AD1DDB" w:rsidP="00462916">
      <w:pPr>
        <w:pStyle w:val="ListBullet"/>
        <w:spacing w:after="240"/>
        <w:rPr>
          <w:rFonts w:cs="Arial"/>
        </w:rPr>
      </w:pPr>
      <w:r w:rsidRPr="00A3164D">
        <w:t xml:space="preserve">Responses to the </w:t>
      </w:r>
      <w:r w:rsidRPr="00A3164D">
        <w:rPr>
          <w:i/>
        </w:rPr>
        <w:t xml:space="preserve">Future </w:t>
      </w:r>
      <w:r w:rsidR="00D26AAC">
        <w:rPr>
          <w:i/>
        </w:rPr>
        <w:t>o</w:t>
      </w:r>
      <w:r w:rsidRPr="00A3164D">
        <w:rPr>
          <w:i/>
        </w:rPr>
        <w:t xml:space="preserve">ptions </w:t>
      </w:r>
      <w:r w:rsidRPr="00A3164D">
        <w:t>paper indicated a preference from some operators for retaining the legacy 76 MHz duplex split</w:t>
      </w:r>
      <w:r w:rsidR="00D26AAC">
        <w:t>,</w:t>
      </w:r>
      <w:r w:rsidRPr="00A3164D">
        <w:t xml:space="preserve"> as the introduction of a standard 45 MHz split will require replacement of some equipment, at a cost. One industry representative group supported the 45 MHz split for reasons given by the ACMA, including international harmonisation (resulting in </w:t>
      </w:r>
      <w:r w:rsidR="0011201F" w:rsidRPr="00A3164D">
        <w:t>longer-term</w:t>
      </w:r>
      <w:r w:rsidRPr="00A3164D">
        <w:t xml:space="preserve"> economies of scale) and alignment with adjacent TLMS</w:t>
      </w:r>
      <w:r w:rsidR="00D26AAC">
        <w:t>,</w:t>
      </w:r>
      <w:r w:rsidRPr="00A3164D">
        <w:t xml:space="preserve"> which will allow fixed links to operate in areas where TLMS is not in high demand. It was requested that a transition period of not less than </w:t>
      </w:r>
      <w:r w:rsidR="00D26AAC">
        <w:t>five</w:t>
      </w:r>
      <w:r w:rsidR="00D26AAC" w:rsidRPr="00A3164D">
        <w:t xml:space="preserve"> </w:t>
      </w:r>
      <w:r w:rsidRPr="00A3164D">
        <w:t xml:space="preserve">years be provided to enable purchase and installation of new equipment, where necessary, which the ACMA has agreed to factor into the transition strategy (see </w:t>
      </w:r>
      <w:r w:rsidR="007E6D0A">
        <w:t xml:space="preserve">Section </w:t>
      </w:r>
      <w:r w:rsidRPr="00A3164D">
        <w:t>3.2.2).</w:t>
      </w:r>
    </w:p>
    <w:p w14:paraId="2CC6E510" w14:textId="71EFE5DC" w:rsidR="00AD1DDB" w:rsidRPr="00A3164D" w:rsidRDefault="00AD1DDB" w:rsidP="003009EC">
      <w:pPr>
        <w:pStyle w:val="ListBullet"/>
      </w:pPr>
      <w:r>
        <w:t>It is understood that m</w:t>
      </w:r>
      <w:r w:rsidRPr="00A3164D">
        <w:t>any of the links currently used in this band carry control and automation applications such as SCADA</w:t>
      </w:r>
      <w:r w:rsidR="007E6D0A" w:rsidRPr="00A3164D">
        <w:rPr>
          <w:rStyle w:val="FootnoteReference"/>
        </w:rPr>
        <w:footnoteReference w:id="23"/>
      </w:r>
      <w:r w:rsidRPr="00A3164D">
        <w:t xml:space="preserve">, metering and other M2M applications. Reduced overall bandwidth for fixed links in the 800 MHz band will </w:t>
      </w:r>
      <w:r>
        <w:t>have some effect</w:t>
      </w:r>
      <w:r w:rsidRPr="00A3164D">
        <w:t xml:space="preserve"> </w:t>
      </w:r>
      <w:r w:rsidR="00D26AAC">
        <w:t xml:space="preserve">on </w:t>
      </w:r>
      <w:r w:rsidRPr="00A3164D">
        <w:t>these services, although th</w:t>
      </w:r>
      <w:r>
        <w:t>e</w:t>
      </w:r>
      <w:r w:rsidRPr="00A3164D">
        <w:t xml:space="preserve"> impact will be</w:t>
      </w:r>
      <w:r>
        <w:t>, at least partially,</w:t>
      </w:r>
      <w:r w:rsidRPr="00A3164D">
        <w:t xml:space="preserve"> offset by a range of factors and new provisions, including:</w:t>
      </w:r>
    </w:p>
    <w:p w14:paraId="654E5394" w14:textId="14B5486F" w:rsidR="00AD1DDB" w:rsidRPr="003009EC" w:rsidRDefault="00AD1DDB" w:rsidP="003009EC">
      <w:pPr>
        <w:pStyle w:val="ListBullet"/>
        <w:numPr>
          <w:ilvl w:val="0"/>
          <w:numId w:val="1"/>
        </w:numPr>
        <w:rPr>
          <w:rFonts w:cs="Arial"/>
          <w:szCs w:val="20"/>
        </w:rPr>
      </w:pPr>
      <w:r w:rsidRPr="003009EC">
        <w:rPr>
          <w:rFonts w:cs="Arial"/>
          <w:szCs w:val="20"/>
        </w:rPr>
        <w:t>New spectrum for low power, low duty cycle links in 928</w:t>
      </w:r>
      <w:r w:rsidR="005F0731">
        <w:rPr>
          <w:rFonts w:cs="Arial"/>
          <w:szCs w:val="20"/>
        </w:rPr>
        <w:t>–</w:t>
      </w:r>
      <w:r w:rsidRPr="003009EC">
        <w:rPr>
          <w:rFonts w:cs="Arial"/>
          <w:szCs w:val="20"/>
        </w:rPr>
        <w:t xml:space="preserve">935 MHz (on a non-dedicated basis) to be included in an update to the Low Interference Potential Devices (LIPD) Class Licence (see </w:t>
      </w:r>
      <w:r w:rsidR="00400F29">
        <w:rPr>
          <w:rFonts w:cs="Arial"/>
          <w:szCs w:val="20"/>
        </w:rPr>
        <w:t xml:space="preserve">Section </w:t>
      </w:r>
      <w:r w:rsidRPr="003009EC">
        <w:rPr>
          <w:rFonts w:cs="Arial"/>
          <w:szCs w:val="20"/>
        </w:rPr>
        <w:t>3.2.3.4) will remove the need for some users to take out dedicated licences (</w:t>
      </w:r>
      <w:r w:rsidR="005F0731">
        <w:rPr>
          <w:rFonts w:cs="Arial"/>
          <w:szCs w:val="20"/>
        </w:rPr>
        <w:t>for example,</w:t>
      </w:r>
      <w:r w:rsidRPr="003009EC">
        <w:rPr>
          <w:rFonts w:cs="Arial"/>
          <w:szCs w:val="20"/>
        </w:rPr>
        <w:t xml:space="preserve"> to support some SCADA applications)</w:t>
      </w:r>
      <w:r w:rsidR="005F0731">
        <w:rPr>
          <w:rFonts w:cs="Arial"/>
          <w:szCs w:val="20"/>
        </w:rPr>
        <w:t>.</w:t>
      </w:r>
      <w:r w:rsidRPr="003009EC">
        <w:rPr>
          <w:rFonts w:cs="Arial"/>
          <w:szCs w:val="20"/>
        </w:rPr>
        <w:t xml:space="preserve"> </w:t>
      </w:r>
    </w:p>
    <w:p w14:paraId="08E93A86" w14:textId="09A897E1" w:rsidR="00AD1DDB" w:rsidRPr="003009EC" w:rsidRDefault="00AD1DDB" w:rsidP="003009EC">
      <w:pPr>
        <w:pStyle w:val="ListBullet"/>
        <w:numPr>
          <w:ilvl w:val="0"/>
          <w:numId w:val="1"/>
        </w:numPr>
        <w:rPr>
          <w:rFonts w:cs="Arial"/>
          <w:szCs w:val="20"/>
        </w:rPr>
      </w:pPr>
      <w:r w:rsidRPr="003009EC">
        <w:rPr>
          <w:rFonts w:cs="Arial"/>
          <w:szCs w:val="20"/>
        </w:rPr>
        <w:t xml:space="preserve">More efficient assignment instructions for fixed links in the band, to be captured in a new RALI </w:t>
      </w:r>
      <w:r w:rsidR="003E62F3">
        <w:rPr>
          <w:rFonts w:cs="Arial"/>
          <w:szCs w:val="20"/>
        </w:rPr>
        <w:t>(</w:t>
      </w:r>
      <w:r w:rsidRPr="003009EC">
        <w:rPr>
          <w:rFonts w:cs="Arial"/>
          <w:szCs w:val="20"/>
        </w:rPr>
        <w:t xml:space="preserve">see </w:t>
      </w:r>
      <w:r w:rsidR="00B75DE7">
        <w:rPr>
          <w:rFonts w:cs="Arial"/>
          <w:szCs w:val="20"/>
        </w:rPr>
        <w:t xml:space="preserve">Section </w:t>
      </w:r>
      <w:r w:rsidRPr="003009EC">
        <w:rPr>
          <w:rFonts w:cs="Arial"/>
          <w:szCs w:val="20"/>
        </w:rPr>
        <w:t>3.3), including an amalgamation of low capacity and single channel links, is expected to yield spectrum efficiencies</w:t>
      </w:r>
      <w:r w:rsidR="005F0731">
        <w:rPr>
          <w:rFonts w:cs="Arial"/>
          <w:szCs w:val="20"/>
        </w:rPr>
        <w:t>.</w:t>
      </w:r>
    </w:p>
    <w:p w14:paraId="7676CD6A" w14:textId="23D74624" w:rsidR="00AD1DDB" w:rsidRPr="003009EC" w:rsidRDefault="00AD1DDB" w:rsidP="003009EC">
      <w:pPr>
        <w:pStyle w:val="ListBullet"/>
        <w:numPr>
          <w:ilvl w:val="0"/>
          <w:numId w:val="1"/>
        </w:numPr>
        <w:rPr>
          <w:rFonts w:cs="Arial"/>
          <w:szCs w:val="20"/>
        </w:rPr>
      </w:pPr>
      <w:r w:rsidRPr="003009EC">
        <w:rPr>
          <w:rFonts w:cs="Arial"/>
          <w:szCs w:val="20"/>
        </w:rPr>
        <w:t xml:space="preserve">A reduction in spectrum for </w:t>
      </w:r>
      <w:r w:rsidR="00B74DBA">
        <w:rPr>
          <w:rFonts w:cs="Arial"/>
          <w:szCs w:val="20"/>
        </w:rPr>
        <w:t>two-frequency</w:t>
      </w:r>
      <w:r w:rsidRPr="003009EC">
        <w:rPr>
          <w:rFonts w:cs="Arial"/>
          <w:szCs w:val="20"/>
        </w:rPr>
        <w:t xml:space="preserve"> links is likely to only affect operations in </w:t>
      </w:r>
      <w:r w:rsidR="00913118">
        <w:rPr>
          <w:rFonts w:cs="Arial"/>
          <w:szCs w:val="20"/>
        </w:rPr>
        <w:t>high/medium density</w:t>
      </w:r>
      <w:r w:rsidR="00913118" w:rsidRPr="003009EC">
        <w:rPr>
          <w:rFonts w:cs="Arial"/>
          <w:szCs w:val="20"/>
        </w:rPr>
        <w:t xml:space="preserve"> </w:t>
      </w:r>
      <w:r w:rsidRPr="003009EC">
        <w:rPr>
          <w:rFonts w:cs="Arial"/>
          <w:szCs w:val="20"/>
        </w:rPr>
        <w:t>areas, given that fixed services will still have access to up to 2</w:t>
      </w:r>
      <w:r w:rsidR="00B75DE7">
        <w:rPr>
          <w:rFonts w:cs="Arial"/>
          <w:szCs w:val="20"/>
        </w:rPr>
        <w:t> </w:t>
      </w:r>
      <w:r w:rsidRPr="003009EC">
        <w:rPr>
          <w:rFonts w:cs="Arial"/>
          <w:szCs w:val="20"/>
        </w:rPr>
        <w:t>x</w:t>
      </w:r>
      <w:r w:rsidR="00B75DE7">
        <w:rPr>
          <w:rFonts w:cs="Arial"/>
          <w:szCs w:val="20"/>
        </w:rPr>
        <w:t> </w:t>
      </w:r>
      <w:r w:rsidRPr="003009EC">
        <w:rPr>
          <w:rFonts w:cs="Arial"/>
          <w:szCs w:val="20"/>
        </w:rPr>
        <w:t>5</w:t>
      </w:r>
      <w:r w:rsidR="00B75DE7">
        <w:rPr>
          <w:rFonts w:cs="Arial"/>
          <w:szCs w:val="20"/>
        </w:rPr>
        <w:t> </w:t>
      </w:r>
      <w:r w:rsidRPr="003009EC">
        <w:rPr>
          <w:rFonts w:cs="Arial"/>
          <w:szCs w:val="20"/>
        </w:rPr>
        <w:t>MHz in non-TLMS covered areas. The 800 MHz band is more suited to ‘long hop’ fixed links which are, in general, likely to be more necessary in non-urban areas</w:t>
      </w:r>
      <w:r w:rsidR="005F0731">
        <w:rPr>
          <w:rFonts w:cs="Arial"/>
          <w:szCs w:val="20"/>
        </w:rPr>
        <w:t>.</w:t>
      </w:r>
    </w:p>
    <w:p w14:paraId="46B35830" w14:textId="7073DF2A" w:rsidR="00AD1DDB" w:rsidRPr="003009EC" w:rsidRDefault="00AD1DDB" w:rsidP="003009EC">
      <w:pPr>
        <w:pStyle w:val="ListBullet"/>
        <w:numPr>
          <w:ilvl w:val="0"/>
          <w:numId w:val="1"/>
        </w:numPr>
        <w:spacing w:after="240"/>
        <w:rPr>
          <w:rFonts w:cs="Arial"/>
          <w:szCs w:val="20"/>
        </w:rPr>
      </w:pPr>
      <w:r w:rsidRPr="003009EC">
        <w:rPr>
          <w:rFonts w:cs="Arial"/>
          <w:szCs w:val="20"/>
        </w:rPr>
        <w:t>New mobile broadband spectrum (850 MHz expansion band</w:t>
      </w:r>
      <w:r w:rsidR="005F0731">
        <w:rPr>
          <w:rFonts w:cs="Arial"/>
          <w:szCs w:val="20"/>
        </w:rPr>
        <w:t>—</w:t>
      </w:r>
      <w:r w:rsidRPr="003009EC">
        <w:rPr>
          <w:rFonts w:cs="Arial"/>
          <w:szCs w:val="20"/>
        </w:rPr>
        <w:t xml:space="preserve">see </w:t>
      </w:r>
      <w:r w:rsidR="00B75DE7">
        <w:rPr>
          <w:rFonts w:cs="Arial"/>
          <w:szCs w:val="20"/>
        </w:rPr>
        <w:t xml:space="preserve">Section </w:t>
      </w:r>
      <w:r w:rsidRPr="003009EC">
        <w:rPr>
          <w:rFonts w:cs="Arial"/>
          <w:szCs w:val="20"/>
        </w:rPr>
        <w:t xml:space="preserve">3.2.3.3) will increase available data capacity for LTE networks, including greatly increased scope for M2M applications over cellular networks in the medium/long term. </w:t>
      </w:r>
    </w:p>
    <w:p w14:paraId="694B0CDD" w14:textId="28454279" w:rsidR="00AD1DDB" w:rsidRPr="00A3164D" w:rsidRDefault="00AD1DDB" w:rsidP="00462916">
      <w:pPr>
        <w:pStyle w:val="ListBullet"/>
        <w:spacing w:after="240"/>
      </w:pPr>
      <w:r w:rsidRPr="00A3164D">
        <w:t>Expanding on the latter point, it is predicted that M2M</w:t>
      </w:r>
      <w:r w:rsidR="005F0731">
        <w:t>-</w:t>
      </w:r>
      <w:r w:rsidRPr="00A3164D">
        <w:t>type applications will form an increasingly large component of mobile broadband traffic, as both demand for M2M and provisions in relevant standards grow. M2M applications are already in use within various parts of industry, including in the mining and utility industr</w:t>
      </w:r>
      <w:r w:rsidR="00527BD9">
        <w:t>ies,</w:t>
      </w:r>
      <w:r w:rsidRPr="00A3164D">
        <w:t xml:space="preserve"> for the purposes of better management of remote sites. </w:t>
      </w:r>
    </w:p>
    <w:p w14:paraId="7F397BE8" w14:textId="0B36F6E4" w:rsidR="00AD1DDB" w:rsidRPr="00A3164D" w:rsidRDefault="00AD1DDB" w:rsidP="00462916">
      <w:pPr>
        <w:pStyle w:val="ListBullet"/>
        <w:spacing w:after="240"/>
      </w:pPr>
      <w:r w:rsidRPr="00A3164D">
        <w:t>Although current commercially available LTE services are considered ‘over specified’ for low data rate machine type communications (MTC</w:t>
      </w:r>
      <w:r w:rsidR="005F0731">
        <w:t>—</w:t>
      </w:r>
      <w:r w:rsidRPr="00A3164D">
        <w:t>3GPP nomenclature for M2M communications) applications, there is considerable focus (with significant operator and manufacturer input) on establishing better MTC provisions within LTE standards, including lowering device costs.</w:t>
      </w:r>
    </w:p>
    <w:p w14:paraId="5B537CA0" w14:textId="3F185687" w:rsidR="00AD1DDB" w:rsidRPr="00A3164D" w:rsidRDefault="00AD1DDB" w:rsidP="00462916">
      <w:pPr>
        <w:pStyle w:val="ListBullet"/>
        <w:spacing w:after="240"/>
      </w:pPr>
      <w:r w:rsidRPr="00A3164D">
        <w:t>3GPP has made significant recent progress on the inclusion of features conducive to MTC</w:t>
      </w:r>
      <w:r w:rsidR="003C40E1">
        <w:t xml:space="preserve"> </w:t>
      </w:r>
      <w:r w:rsidRPr="00A3164D">
        <w:t>in LTE standards, with significant content contained in Release 11 relating to service requirements, architecture and security issues. Release 12 contained further provisions for MTC applications, including provisions for the abovementioned cost savings in MTC device production, as well as specific signalling protocols for MTC and optimisation methods for handling the large numbers of devices that would result from MTC-over-LTE deployments.</w:t>
      </w:r>
    </w:p>
    <w:p w14:paraId="2CE0DE04" w14:textId="2FE591FA" w:rsidR="00AD1DDB" w:rsidRPr="00A3164D" w:rsidRDefault="00AD1DDB" w:rsidP="00462916">
      <w:pPr>
        <w:pStyle w:val="ListBullet"/>
        <w:spacing w:after="240"/>
      </w:pPr>
      <w:r w:rsidRPr="00A3164D">
        <w:t>A report published by</w:t>
      </w:r>
      <w:r w:rsidR="00B75DE7">
        <w:t xml:space="preserve"> the</w:t>
      </w:r>
      <w:r w:rsidRPr="00A3164D">
        <w:t xml:space="preserve"> 3GPP on producing low cost MTC equipment operating over LTE networks (published in June 2013</w:t>
      </w:r>
      <w:r w:rsidRPr="00A3164D">
        <w:rPr>
          <w:vertAlign w:val="superscript"/>
        </w:rPr>
        <w:footnoteReference w:id="24"/>
      </w:r>
      <w:r w:rsidRPr="00A3164D">
        <w:t>) described the benefits of using LTE-based MTC over older technologies (including the obvious spectrum efficiency benefits) and discussed the potential cost benefits to be realised from the development of developing purpose specific MTC-over-LTE hardware (including simplified/scaled down LTE UE)</w:t>
      </w:r>
      <w:r w:rsidR="005F0731">
        <w:t>,</w:t>
      </w:r>
      <w:r w:rsidRPr="00A3164D">
        <w:t xml:space="preserve"> which is gaining support in parts of industry. </w:t>
      </w:r>
    </w:p>
    <w:p w14:paraId="49B21BC4" w14:textId="77777777" w:rsidR="00AD1DDB" w:rsidRDefault="00AD1DDB" w:rsidP="00462916">
      <w:r w:rsidRPr="00A3164D">
        <w:t>Figure 3.2.3.1 depicts the new arrangements for fixed services.</w:t>
      </w:r>
    </w:p>
    <w:p w14:paraId="50DFFFA6" w14:textId="77777777" w:rsidR="00E14FB8" w:rsidRDefault="00B75DE7" w:rsidP="00B75DE7">
      <w:pPr>
        <w:pStyle w:val="ACMAFigureHeader"/>
        <w:keepNext/>
        <w:numPr>
          <w:ilvl w:val="0"/>
          <w:numId w:val="0"/>
        </w:numPr>
        <w:tabs>
          <w:tab w:val="left" w:pos="1418"/>
        </w:tabs>
        <w:ind w:left="1418" w:hanging="1418"/>
        <w:rPr>
          <w:rFonts w:cs="Arial"/>
          <w:color w:val="231F20"/>
        </w:rPr>
      </w:pPr>
      <w:r>
        <w:t>Figure 3.2.3.1:</w:t>
      </w:r>
      <w:r>
        <w:tab/>
      </w:r>
      <w:r w:rsidR="00462916" w:rsidRPr="00462916">
        <w:t>Current and new arrangements for the fixed service and sound outside broadcast (SOB), including the amalgamation of single channel and low capacity sub types</w:t>
      </w:r>
      <w:r w:rsidR="00462916">
        <w:rPr>
          <w:rFonts w:cs="Arial"/>
          <w:i/>
        </w:rPr>
        <w:t xml:space="preserve"> </w:t>
      </w:r>
    </w:p>
    <w:p w14:paraId="025BD4F2" w14:textId="77777777" w:rsidR="00F27DDC" w:rsidRDefault="00462916" w:rsidP="00AC7321">
      <w:pPr>
        <w:keepNext/>
        <w:keepLines/>
        <w:autoSpaceDE w:val="0"/>
        <w:autoSpaceDN w:val="0"/>
        <w:adjustRightInd w:val="0"/>
        <w:spacing w:after="0" w:line="240" w:lineRule="auto"/>
      </w:pPr>
      <w:r w:rsidRPr="002D66F9">
        <w:rPr>
          <w:noProof/>
        </w:rPr>
        <w:drawing>
          <wp:inline distT="0" distB="0" distL="0" distR="0" wp14:anchorId="59E76891" wp14:editId="5A34DD09">
            <wp:extent cx="5800118" cy="3388688"/>
            <wp:effectExtent l="0" t="0" r="0" b="2540"/>
            <wp:docPr id="5" name="Picture 5" descr="Current and new arrangements for the fixed service and sound outside broadcast (SOB), including the amalgamation of single channel and low capacity sub typ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5807335" cy="3392904"/>
                    </a:xfrm>
                    <a:prstGeom prst="rect">
                      <a:avLst/>
                    </a:prstGeom>
                    <a:noFill/>
                    <a:ln>
                      <a:noFill/>
                    </a:ln>
                  </pic:spPr>
                </pic:pic>
              </a:graphicData>
            </a:graphic>
          </wp:inline>
        </w:drawing>
      </w:r>
    </w:p>
    <w:p w14:paraId="3C5F6E27" w14:textId="56AA3D5A" w:rsidR="00A47E79" w:rsidRPr="00E14FB8" w:rsidRDefault="00A47E79" w:rsidP="00AC7321">
      <w:pPr>
        <w:pStyle w:val="ACMASpaceaftertable"/>
      </w:pPr>
    </w:p>
    <w:p w14:paraId="3411A8C2" w14:textId="77777777" w:rsidR="00462916" w:rsidRDefault="00F1128B" w:rsidP="00F1128B">
      <w:pPr>
        <w:pStyle w:val="Bodysubheader0"/>
        <w:numPr>
          <w:ilvl w:val="3"/>
          <w:numId w:val="33"/>
        </w:numPr>
        <w:ind w:left="709" w:hanging="709"/>
      </w:pPr>
      <w:r>
        <w:t>Trunk</w:t>
      </w:r>
      <w:r w:rsidR="00C0770D">
        <w:t>ed</w:t>
      </w:r>
      <w:r>
        <w:t xml:space="preserve"> Land Mobile Services (TLMS)</w:t>
      </w:r>
    </w:p>
    <w:p w14:paraId="2483E51B" w14:textId="77777777" w:rsidR="00F1128B" w:rsidRPr="00A3164D" w:rsidRDefault="00F1128B" w:rsidP="00F1128B">
      <w:pPr>
        <w:spacing w:after="80"/>
      </w:pPr>
      <w:r w:rsidRPr="00A3164D">
        <w:rPr>
          <w:rFonts w:cs="Arial"/>
        </w:rPr>
        <w:t xml:space="preserve">In practical terms, operation of TLMS will be </w:t>
      </w:r>
      <w:r>
        <w:rPr>
          <w:rFonts w:cs="Arial"/>
        </w:rPr>
        <w:t>affec</w:t>
      </w:r>
      <w:r w:rsidRPr="00A3164D">
        <w:rPr>
          <w:rFonts w:cs="Arial"/>
        </w:rPr>
        <w:t>ted by the new arrangements as follows:</w:t>
      </w:r>
    </w:p>
    <w:p w14:paraId="72F91359" w14:textId="1C0F4696" w:rsidR="00913118" w:rsidRDefault="00F1128B" w:rsidP="00913118">
      <w:pPr>
        <w:pStyle w:val="ListBullet"/>
        <w:numPr>
          <w:ilvl w:val="0"/>
          <w:numId w:val="1"/>
        </w:numPr>
        <w:rPr>
          <w:rFonts w:cs="Arial"/>
          <w:szCs w:val="20"/>
        </w:rPr>
      </w:pPr>
      <w:r w:rsidRPr="00C32C1D">
        <w:rPr>
          <w:rFonts w:cs="Arial"/>
          <w:szCs w:val="20"/>
        </w:rPr>
        <w:t>An overall reduction in dedicated spectrum for TLMS in the band</w:t>
      </w:r>
      <w:r w:rsidR="006D7F28">
        <w:rPr>
          <w:rFonts w:cs="Arial"/>
          <w:szCs w:val="20"/>
        </w:rPr>
        <w:t>—</w:t>
      </w:r>
      <w:r w:rsidRPr="00C32C1D">
        <w:rPr>
          <w:rFonts w:cs="Arial"/>
          <w:szCs w:val="20"/>
        </w:rPr>
        <w:t>2 x 5 MHz down to 2 x 3 MHz.</w:t>
      </w:r>
    </w:p>
    <w:p w14:paraId="30DFB02C" w14:textId="3D1EB38B" w:rsidR="00913118" w:rsidRPr="00913118" w:rsidRDefault="00913118">
      <w:pPr>
        <w:pStyle w:val="ListBullet"/>
        <w:numPr>
          <w:ilvl w:val="0"/>
          <w:numId w:val="1"/>
        </w:numPr>
        <w:rPr>
          <w:rFonts w:cs="Arial"/>
          <w:szCs w:val="20"/>
        </w:rPr>
      </w:pPr>
      <w:r w:rsidRPr="00913118">
        <w:rPr>
          <w:rFonts w:cs="Arial"/>
          <w:szCs w:val="20"/>
        </w:rPr>
        <w:t>TLMS networks will need to change frequencies down to 806</w:t>
      </w:r>
      <w:r w:rsidR="006D7F28">
        <w:rPr>
          <w:rFonts w:cs="Arial"/>
          <w:szCs w:val="20"/>
        </w:rPr>
        <w:t>–</w:t>
      </w:r>
      <w:r w:rsidRPr="00913118">
        <w:rPr>
          <w:rFonts w:cs="Arial"/>
          <w:szCs w:val="20"/>
        </w:rPr>
        <w:t>809/851</w:t>
      </w:r>
      <w:r w:rsidR="006D7F28">
        <w:rPr>
          <w:rFonts w:cs="Arial"/>
          <w:szCs w:val="20"/>
        </w:rPr>
        <w:t>–</w:t>
      </w:r>
      <w:r w:rsidRPr="00913118">
        <w:rPr>
          <w:rFonts w:cs="Arial"/>
          <w:szCs w:val="20"/>
        </w:rPr>
        <w:t>854 MHz.</w:t>
      </w:r>
    </w:p>
    <w:p w14:paraId="107653AA" w14:textId="34D2EEEA" w:rsidR="00F1128B" w:rsidRPr="00913118" w:rsidRDefault="00F1128B">
      <w:pPr>
        <w:pStyle w:val="ListBullet"/>
        <w:numPr>
          <w:ilvl w:val="0"/>
          <w:numId w:val="1"/>
        </w:numPr>
        <w:rPr>
          <w:rFonts w:cs="Arial"/>
          <w:szCs w:val="20"/>
        </w:rPr>
      </w:pPr>
      <w:r w:rsidRPr="00913118">
        <w:rPr>
          <w:rFonts w:cs="Arial"/>
          <w:szCs w:val="20"/>
        </w:rPr>
        <w:t xml:space="preserve">Depending on the outcomes of the government’s consideration of PSMB, in a scenario where the relevant part of the 850 MHz expansion band was made available for </w:t>
      </w:r>
      <w:r w:rsidR="00913118" w:rsidRPr="00913118">
        <w:rPr>
          <w:rFonts w:cs="Arial"/>
          <w:szCs w:val="20"/>
        </w:rPr>
        <w:t>this purpose</w:t>
      </w:r>
      <w:r w:rsidRPr="00913118">
        <w:rPr>
          <w:rFonts w:cs="Arial"/>
          <w:szCs w:val="20"/>
        </w:rPr>
        <w:t xml:space="preserve"> but PSMB users had no immediate intention or capacity to provide services in a particular area, the ACMA would permit TLMS to </w:t>
      </w:r>
      <w:r w:rsidR="00913118" w:rsidRPr="00913118">
        <w:rPr>
          <w:rFonts w:cs="Arial"/>
          <w:szCs w:val="20"/>
        </w:rPr>
        <w:t>access</w:t>
      </w:r>
      <w:r w:rsidRPr="00913118">
        <w:rPr>
          <w:rFonts w:cs="Arial"/>
          <w:szCs w:val="20"/>
        </w:rPr>
        <w:t xml:space="preserve"> that spectrum until such time as it was needed for PSM</w:t>
      </w:r>
      <w:r w:rsidR="00727F78" w:rsidRPr="00913118">
        <w:rPr>
          <w:rFonts w:cs="Arial"/>
          <w:szCs w:val="20"/>
        </w:rPr>
        <w:t>B</w:t>
      </w:r>
      <w:r w:rsidRPr="00913118">
        <w:rPr>
          <w:rFonts w:cs="Arial"/>
          <w:szCs w:val="20"/>
        </w:rPr>
        <w:t>. In other words, there would be no change to allocated bandwidth for TLMS (</w:t>
      </w:r>
      <w:r w:rsidR="006D7F28">
        <w:rPr>
          <w:rFonts w:cs="Arial"/>
          <w:szCs w:val="20"/>
        </w:rPr>
        <w:t>it would</w:t>
      </w:r>
      <w:r w:rsidRPr="00913118">
        <w:rPr>
          <w:rFonts w:cs="Arial"/>
          <w:szCs w:val="20"/>
        </w:rPr>
        <w:t xml:space="preserve"> remain at 2 x 5 MHz) outside PSMB coverage areas. Depending on the model chosen for provision of PSM</w:t>
      </w:r>
      <w:r w:rsidR="00727F78" w:rsidRPr="00913118">
        <w:rPr>
          <w:rFonts w:cs="Arial"/>
          <w:szCs w:val="20"/>
        </w:rPr>
        <w:t>B</w:t>
      </w:r>
      <w:r w:rsidRPr="00913118">
        <w:rPr>
          <w:rFonts w:cs="Arial"/>
          <w:szCs w:val="20"/>
        </w:rPr>
        <w:t xml:space="preserve"> services, dedicated PSMB deployment may be phased</w:t>
      </w:r>
      <w:r w:rsidR="006D7F28">
        <w:rPr>
          <w:rFonts w:cs="Arial"/>
          <w:szCs w:val="20"/>
        </w:rPr>
        <w:t>-i</w:t>
      </w:r>
      <w:r w:rsidRPr="00913118">
        <w:rPr>
          <w:rFonts w:cs="Arial"/>
          <w:szCs w:val="20"/>
        </w:rPr>
        <w:t>n over an extended period, potentially leaving large areas unencumbered for extended periods and therefore available for access by TLMS. It means that, in such geographic areas, TLMS will be able to access 809-814/854</w:t>
      </w:r>
      <w:r w:rsidR="00F27DDC">
        <w:rPr>
          <w:rFonts w:cs="Arial"/>
          <w:szCs w:val="20"/>
        </w:rPr>
        <w:t>–</w:t>
      </w:r>
      <w:r w:rsidRPr="00913118">
        <w:rPr>
          <w:rFonts w:cs="Arial"/>
          <w:szCs w:val="20"/>
        </w:rPr>
        <w:t xml:space="preserve">859 MHz, with the upper 2 x 2 MHz allocated on a secondary basis with respect to PSMB. In areas identified for new PSMB coverage, </w:t>
      </w:r>
      <w:r w:rsidR="00B74DBA" w:rsidRPr="00913118">
        <w:rPr>
          <w:rFonts w:cs="Arial"/>
          <w:szCs w:val="20"/>
        </w:rPr>
        <w:t>two</w:t>
      </w:r>
      <w:r w:rsidR="00EB754F">
        <w:rPr>
          <w:rFonts w:cs="Arial"/>
          <w:szCs w:val="20"/>
        </w:rPr>
        <w:t>-</w:t>
      </w:r>
      <w:r w:rsidR="00B74DBA" w:rsidRPr="00913118">
        <w:rPr>
          <w:rFonts w:cs="Arial"/>
          <w:szCs w:val="20"/>
        </w:rPr>
        <w:t>frequency</w:t>
      </w:r>
      <w:r w:rsidRPr="00913118">
        <w:rPr>
          <w:rFonts w:cs="Arial"/>
          <w:szCs w:val="20"/>
        </w:rPr>
        <w:t xml:space="preserve"> fixed links would have two years to vacate </w:t>
      </w:r>
      <w:r w:rsidR="00913118" w:rsidRPr="00913118">
        <w:rPr>
          <w:rFonts w:cs="Arial"/>
          <w:szCs w:val="20"/>
        </w:rPr>
        <w:t xml:space="preserve">the </w:t>
      </w:r>
      <w:r w:rsidRPr="00913118">
        <w:rPr>
          <w:rFonts w:cs="Arial"/>
          <w:szCs w:val="20"/>
        </w:rPr>
        <w:t>upper 2 x 2 MHz.</w:t>
      </w:r>
    </w:p>
    <w:p w14:paraId="267465C5" w14:textId="77777777" w:rsidR="00F1128B" w:rsidRPr="00C32C1D" w:rsidRDefault="00F1128B" w:rsidP="00C32C1D">
      <w:pPr>
        <w:pStyle w:val="ListBullet"/>
        <w:numPr>
          <w:ilvl w:val="0"/>
          <w:numId w:val="1"/>
        </w:numPr>
        <w:rPr>
          <w:rFonts w:cs="Arial"/>
          <w:szCs w:val="20"/>
        </w:rPr>
      </w:pPr>
      <w:r w:rsidRPr="00C32C1D">
        <w:rPr>
          <w:rFonts w:cs="Arial"/>
          <w:szCs w:val="20"/>
        </w:rPr>
        <w:t>Also, in any scenario where spectrum licences are made available for price-based allocation in all of or any part of the 850 MHz expansion band, the ACMA’s current expectation is that the spectral envelopes defined in technical frameworks for any new spectrum licences of the 850 MHz expansion band would also allow for the deployment of narrowband networks. This would enable TLMS operators to be able to compete in the market for this spectrum if additional spectrum were needed (likely to be allocated in 5 MHz blocks).</w:t>
      </w:r>
    </w:p>
    <w:p w14:paraId="5A70F535" w14:textId="77777777" w:rsidR="00F1128B" w:rsidRPr="00A3164D" w:rsidRDefault="00F1128B" w:rsidP="00AC7321">
      <w:pPr>
        <w:pStyle w:val="ListBullet"/>
        <w:numPr>
          <w:ilvl w:val="0"/>
          <w:numId w:val="1"/>
        </w:numPr>
        <w:spacing w:after="240"/>
        <w:rPr>
          <w:rFonts w:cs="Arial"/>
        </w:rPr>
      </w:pPr>
      <w:r w:rsidRPr="00A3164D">
        <w:rPr>
          <w:rFonts w:cs="Arial"/>
        </w:rPr>
        <w:t>The channel raster specified in RALI LM8 will be amended from 25 to 12.5 kHz minimum channel size, to increase flexibility and overall efficiency. Contiguous channel aggregation will enable accommodation of systems requiring a 25 kHz bandwidth.</w:t>
      </w:r>
    </w:p>
    <w:p w14:paraId="39771038" w14:textId="5E92CBC5" w:rsidR="00F1128B" w:rsidRPr="00A3164D" w:rsidRDefault="00F1128B" w:rsidP="00F1128B">
      <w:pPr>
        <w:pStyle w:val="ListBullet"/>
        <w:rPr>
          <w:rFonts w:cs="Arial"/>
        </w:rPr>
      </w:pPr>
      <w:r w:rsidRPr="00A3164D">
        <w:t xml:space="preserve">Responses to the </w:t>
      </w:r>
      <w:r w:rsidRPr="00A3164D">
        <w:rPr>
          <w:i/>
        </w:rPr>
        <w:t xml:space="preserve">Future </w:t>
      </w:r>
      <w:r w:rsidR="006D7F28">
        <w:rPr>
          <w:i/>
        </w:rPr>
        <w:t>o</w:t>
      </w:r>
      <w:r w:rsidRPr="00A3164D">
        <w:rPr>
          <w:i/>
        </w:rPr>
        <w:t xml:space="preserve">ptions </w:t>
      </w:r>
      <w:r w:rsidRPr="00A3164D">
        <w:t>paper from the TLMS sector were not in favour of any reduction in spectrum</w:t>
      </w:r>
      <w:r w:rsidR="000F6272">
        <w:t>,</w:t>
      </w:r>
      <w:r w:rsidRPr="00A3164D">
        <w:t xml:space="preserve"> and in some cases</w:t>
      </w:r>
      <w:r w:rsidR="000F6272">
        <w:t>,</w:t>
      </w:r>
      <w:r w:rsidRPr="00A3164D">
        <w:t xml:space="preserve"> advocated for more spectrum to support projected growth in the sector. Growth in demand for voice and data is well documented, however it is questionable how much of this demand will be met on narrowband platforms in the longer term. This is in part due to the expected proliferation of application-layer services that will be available on mobile broadband platforms delivered across a range of 3GPP-standardised bands (including the </w:t>
      </w:r>
      <w:r w:rsidR="000F6272" w:rsidRPr="00A3164D">
        <w:t>850</w:t>
      </w:r>
      <w:r w:rsidR="000F6272">
        <w:t> </w:t>
      </w:r>
      <w:r w:rsidRPr="00A3164D">
        <w:t>MHz expansion band resulting from these reforms). The rise of alternative technologies is one of a number of factors that will influence the demand for trunked land mobile services in the 800 MHz band over time. Other factors will include:</w:t>
      </w:r>
    </w:p>
    <w:p w14:paraId="27B61407" w14:textId="40A0212E" w:rsidR="00F1128B" w:rsidRPr="00A3164D" w:rsidRDefault="00F145F5" w:rsidP="00C32C1D">
      <w:pPr>
        <w:pStyle w:val="ListBullet"/>
        <w:numPr>
          <w:ilvl w:val="0"/>
          <w:numId w:val="1"/>
        </w:numPr>
        <w:rPr>
          <w:rFonts w:cs="Arial"/>
        </w:rPr>
      </w:pPr>
      <w:r>
        <w:rPr>
          <w:rFonts w:cs="Arial"/>
        </w:rPr>
        <w:t>t</w:t>
      </w:r>
      <w:r w:rsidR="00F1128B" w:rsidRPr="00A3164D">
        <w:rPr>
          <w:rFonts w:cs="Arial"/>
        </w:rPr>
        <w:t>he anticipated migration of government users of voice services to the harmonised government allocations in the 400 MHz band</w:t>
      </w:r>
      <w:r w:rsidR="00F1128B" w:rsidRPr="00C32C1D">
        <w:rPr>
          <w:rFonts w:cs="Arial"/>
          <w:vertAlign w:val="superscript"/>
        </w:rPr>
        <w:footnoteReference w:id="25"/>
      </w:r>
    </w:p>
    <w:p w14:paraId="0F2B28A9" w14:textId="5A25A8AB" w:rsidR="00F1128B" w:rsidRPr="00A3164D" w:rsidRDefault="00F145F5" w:rsidP="00C32C1D">
      <w:pPr>
        <w:pStyle w:val="ListBullet"/>
        <w:numPr>
          <w:ilvl w:val="0"/>
          <w:numId w:val="1"/>
        </w:numPr>
        <w:rPr>
          <w:rFonts w:cs="Arial"/>
        </w:rPr>
      </w:pPr>
      <w:r>
        <w:rPr>
          <w:rFonts w:cs="Arial"/>
        </w:rPr>
        <w:t>a</w:t>
      </w:r>
      <w:r w:rsidR="00F1128B" w:rsidRPr="00C32C1D">
        <w:rPr>
          <w:rFonts w:cs="Arial"/>
        </w:rPr>
        <w:t>mendments to assignment rules and channel sizes will provide more flexibility in how the band is used and will provide some improvement in spectral efficiency</w:t>
      </w:r>
    </w:p>
    <w:p w14:paraId="05C3A640" w14:textId="71C4827B" w:rsidR="00F1128B" w:rsidRPr="00A3164D" w:rsidRDefault="00F145F5" w:rsidP="00C32C1D">
      <w:pPr>
        <w:pStyle w:val="ListBullet"/>
        <w:numPr>
          <w:ilvl w:val="0"/>
          <w:numId w:val="1"/>
        </w:numPr>
        <w:spacing w:after="240"/>
        <w:rPr>
          <w:rFonts w:cs="Arial"/>
        </w:rPr>
      </w:pPr>
      <w:r>
        <w:rPr>
          <w:rFonts w:cs="Arial"/>
        </w:rPr>
        <w:t>t</w:t>
      </w:r>
      <w:r w:rsidR="00F1128B" w:rsidRPr="00C32C1D">
        <w:rPr>
          <w:rFonts w:cs="Arial"/>
        </w:rPr>
        <w:t>he long transition time</w:t>
      </w:r>
      <w:r w:rsidR="000F6272">
        <w:rPr>
          <w:rFonts w:cs="Arial"/>
        </w:rPr>
        <w:t xml:space="preserve"> </w:t>
      </w:r>
      <w:r w:rsidR="00F1128B" w:rsidRPr="00C32C1D">
        <w:rPr>
          <w:rFonts w:cs="Arial"/>
        </w:rPr>
        <w:t xml:space="preserve">frame will help incumbent users align equipment/network procurement cycles with migration plans where possible. </w:t>
      </w:r>
    </w:p>
    <w:p w14:paraId="3DCDAA56" w14:textId="05881A56" w:rsidR="00F1128B" w:rsidRPr="00A3164D" w:rsidRDefault="00F1128B" w:rsidP="00F1128B">
      <w:pPr>
        <w:pStyle w:val="ListBullet"/>
        <w:spacing w:after="240"/>
        <w:rPr>
          <w:i/>
        </w:rPr>
      </w:pPr>
      <w:r w:rsidRPr="00A3164D">
        <w:t xml:space="preserve">Furthermore, </w:t>
      </w:r>
      <w:r w:rsidR="004C66C7" w:rsidRPr="00A3164D">
        <w:t xml:space="preserve">arrangements </w:t>
      </w:r>
      <w:r w:rsidRPr="00A3164D">
        <w:t>in the 803</w:t>
      </w:r>
      <w:r w:rsidR="001133D4">
        <w:t>–</w:t>
      </w:r>
      <w:r w:rsidRPr="00A3164D">
        <w:t>960 MHz</w:t>
      </w:r>
      <w:r w:rsidR="004C66C7">
        <w:t xml:space="preserve"> band</w:t>
      </w:r>
      <w:r w:rsidRPr="00A3164D">
        <w:t xml:space="preserve"> may mitigate some demand that would otherwise be served by TLMS in the band. This may include the migration of public safety data networks </w:t>
      </w:r>
      <w:r w:rsidR="0011201F">
        <w:t>that</w:t>
      </w:r>
      <w:r w:rsidR="0011201F" w:rsidRPr="00A3164D">
        <w:t xml:space="preserve"> </w:t>
      </w:r>
      <w:r w:rsidRPr="00A3164D">
        <w:t>operate in the TLMS band (such as the Victorian Metropolitan Data Network (MDN)</w:t>
      </w:r>
      <w:r w:rsidRPr="00A3164D">
        <w:rPr>
          <w:vertAlign w:val="superscript"/>
        </w:rPr>
        <w:footnoteReference w:id="26"/>
      </w:r>
      <w:r w:rsidRPr="00A3164D">
        <w:t xml:space="preserve"> used by Victoria Police and Ambulance Victoria) onto a</w:t>
      </w:r>
      <w:r>
        <w:t xml:space="preserve">n eventual </w:t>
      </w:r>
      <w:r w:rsidRPr="00A3164D">
        <w:t>PSMB network, or migration of voice applications onto mission</w:t>
      </w:r>
      <w:r>
        <w:t>-</w:t>
      </w:r>
      <w:r w:rsidRPr="00A3164D">
        <w:t xml:space="preserve">critical </w:t>
      </w:r>
      <w:r w:rsidR="00F145F5">
        <w:t>push-to-talk (</w:t>
      </w:r>
      <w:r w:rsidRPr="00A3164D">
        <w:t>PTT</w:t>
      </w:r>
      <w:r w:rsidR="00F145F5">
        <w:t>)</w:t>
      </w:r>
      <w:r w:rsidRPr="00A3164D">
        <w:t xml:space="preserve"> over PSMB (being incorporated into 3GPP standards for public safety LTE networks).</w:t>
      </w:r>
      <w:r w:rsidRPr="00A3164D">
        <w:rPr>
          <w:i/>
        </w:rPr>
        <w:t xml:space="preserve"> </w:t>
      </w:r>
    </w:p>
    <w:p w14:paraId="160C6ADA" w14:textId="7878B001" w:rsidR="00F1128B" w:rsidRPr="00A3164D" w:rsidRDefault="00F1128B" w:rsidP="00F1128B">
      <w:pPr>
        <w:pStyle w:val="ListBullet"/>
        <w:spacing w:after="240"/>
        <w:rPr>
          <w:rFonts w:cs="Arial"/>
        </w:rPr>
      </w:pPr>
      <w:r w:rsidRPr="00A3164D">
        <w:rPr>
          <w:rFonts w:cs="Arial"/>
        </w:rPr>
        <w:t xml:space="preserve">IP-based </w:t>
      </w:r>
      <w:r w:rsidR="00685BCA">
        <w:rPr>
          <w:rFonts w:cs="Arial"/>
        </w:rPr>
        <w:t xml:space="preserve">(Internet Protocol-based) </w:t>
      </w:r>
      <w:r w:rsidRPr="00A3164D">
        <w:rPr>
          <w:rFonts w:cs="Arial"/>
        </w:rPr>
        <w:t>PTT services are currently available and the growth of these services is expected to increase. These include carrier</w:t>
      </w:r>
      <w:r w:rsidR="001133D4">
        <w:rPr>
          <w:rFonts w:cs="Arial"/>
        </w:rPr>
        <w:t>-</w:t>
      </w:r>
      <w:r w:rsidRPr="00A3164D">
        <w:rPr>
          <w:rFonts w:cs="Arial"/>
        </w:rPr>
        <w:t>provided solutions (limited to particular carrier networks) and other over-the-top (OTT) and/or cloud-based applications that can offer increased flexibility (as they are not restricted to specific networks/devices) and greater coverage</w:t>
      </w:r>
      <w:r w:rsidR="001133D4">
        <w:rPr>
          <w:rFonts w:cs="Arial"/>
        </w:rPr>
        <w:t>—</w:t>
      </w:r>
      <w:r w:rsidRPr="00A3164D">
        <w:rPr>
          <w:rFonts w:cs="Arial"/>
        </w:rPr>
        <w:t xml:space="preserve">generally at a lower cost. </w:t>
      </w:r>
    </w:p>
    <w:p w14:paraId="756BFD37" w14:textId="08F8BE74" w:rsidR="00F1128B" w:rsidRPr="00A3164D" w:rsidRDefault="00F1128B" w:rsidP="00F1128B">
      <w:pPr>
        <w:pStyle w:val="ListBullet"/>
        <w:spacing w:after="240"/>
        <w:rPr>
          <w:rFonts w:cs="Arial"/>
        </w:rPr>
      </w:pPr>
      <w:r w:rsidRPr="00A3164D">
        <w:rPr>
          <w:rFonts w:cs="Arial"/>
        </w:rPr>
        <w:t>Internationally, mobile network carriers already offer carrier</w:t>
      </w:r>
      <w:r w:rsidR="001133D4">
        <w:rPr>
          <w:rFonts w:cs="Arial"/>
        </w:rPr>
        <w:t>-</w:t>
      </w:r>
      <w:r w:rsidRPr="00A3164D">
        <w:rPr>
          <w:rFonts w:cs="Arial"/>
        </w:rPr>
        <w:t>grade PTT services over their 3G and 4G networks</w:t>
      </w:r>
      <w:r w:rsidRPr="00A3164D">
        <w:rPr>
          <w:rFonts w:cs="Arial"/>
          <w:vertAlign w:val="superscript"/>
        </w:rPr>
        <w:footnoteReference w:id="27"/>
      </w:r>
      <w:r w:rsidRPr="00A3164D">
        <w:rPr>
          <w:rFonts w:cs="Arial"/>
        </w:rPr>
        <w:t xml:space="preserve">. While various types of OTT applications have been available for a number of years, the range of products available that can provide reliable communications for both business and mission critical communication users </w:t>
      </w:r>
      <w:r w:rsidR="001133D4">
        <w:rPr>
          <w:rFonts w:cs="Arial"/>
        </w:rPr>
        <w:t>(</w:t>
      </w:r>
      <w:r w:rsidRPr="00A3164D">
        <w:rPr>
          <w:rFonts w:cs="Arial"/>
        </w:rPr>
        <w:t>either by expanding an existing land mobile network, or as a complete replacement</w:t>
      </w:r>
      <w:r w:rsidR="001133D4">
        <w:rPr>
          <w:rFonts w:cs="Arial"/>
        </w:rPr>
        <w:t>)</w:t>
      </w:r>
      <w:r w:rsidRPr="00A3164D">
        <w:rPr>
          <w:rFonts w:cs="Arial"/>
        </w:rPr>
        <w:t xml:space="preserve"> is growing</w:t>
      </w:r>
      <w:r w:rsidR="001133D4">
        <w:rPr>
          <w:rFonts w:cs="Arial"/>
        </w:rPr>
        <w:t>.</w:t>
      </w:r>
      <w:r w:rsidRPr="00A3164D">
        <w:rPr>
          <w:rFonts w:cs="Arial"/>
          <w:vertAlign w:val="superscript"/>
        </w:rPr>
        <w:footnoteReference w:id="28"/>
      </w:r>
      <w:r w:rsidRPr="00A3164D">
        <w:rPr>
          <w:rFonts w:cs="Arial"/>
        </w:rPr>
        <w:t xml:space="preserve"> Some recognised suppliers in the traditional LMS field are also providing IP</w:t>
      </w:r>
      <w:r w:rsidR="00F145F5">
        <w:rPr>
          <w:rFonts w:cs="Arial"/>
        </w:rPr>
        <w:t>-based</w:t>
      </w:r>
      <w:r w:rsidRPr="00A3164D">
        <w:rPr>
          <w:rFonts w:cs="Arial"/>
        </w:rPr>
        <w:t xml:space="preserve"> PTT services</w:t>
      </w:r>
      <w:r w:rsidR="001133D4">
        <w:rPr>
          <w:rFonts w:cs="Arial"/>
        </w:rPr>
        <w:t>.</w:t>
      </w:r>
      <w:r w:rsidRPr="00A3164D">
        <w:rPr>
          <w:rFonts w:cs="Arial"/>
          <w:vertAlign w:val="superscript"/>
        </w:rPr>
        <w:footnoteReference w:id="29"/>
      </w:r>
    </w:p>
    <w:p w14:paraId="4ADE26E2" w14:textId="56040EE2" w:rsidR="00F1128B" w:rsidRPr="00A3164D" w:rsidRDefault="00F1128B" w:rsidP="00F1128B">
      <w:pPr>
        <w:pStyle w:val="ListBullet"/>
        <w:tabs>
          <w:tab w:val="num" w:pos="1276"/>
        </w:tabs>
        <w:spacing w:after="240"/>
        <w:rPr>
          <w:rFonts w:cs="Arial"/>
        </w:rPr>
      </w:pPr>
      <w:r w:rsidRPr="00A3164D">
        <w:rPr>
          <w:rFonts w:cs="Arial"/>
        </w:rPr>
        <w:t>Furthermore, 3GPP is in the process of including a number of features for PTT-type applications on LTE networks, such as direct device-to-device mode and group call communications, which will improve interoperability and reliability. These features were included in Release 12 of the LTE standard</w:t>
      </w:r>
      <w:r w:rsidR="001133D4">
        <w:rPr>
          <w:rFonts w:cs="Arial"/>
        </w:rPr>
        <w:t>,</w:t>
      </w:r>
      <w:r w:rsidRPr="00A3164D">
        <w:rPr>
          <w:rFonts w:cs="Arial"/>
        </w:rPr>
        <w:t xml:space="preserve"> which was frozen in March 2015. Although there has historically been some lag between freezing standards and products becoming available, it is expected that these features will be available when the changes to TLMS spectrum arrangements take effect.</w:t>
      </w:r>
    </w:p>
    <w:p w14:paraId="47868857" w14:textId="77777777" w:rsidR="00F1128B" w:rsidRPr="00A3164D" w:rsidRDefault="00F1128B" w:rsidP="00AC7321">
      <w:r w:rsidRPr="00A3164D">
        <w:t xml:space="preserve">More broadly, operators in Australia and abroad are moving towards Voice-over-LTE (VoLTE) applications on their LTE networks, albeit not necessarily with PTT features specified for public safety use implemented. This means that voice services are likely to be available in the new mobile broadband spectrum in the 800 MHz band (see </w:t>
      </w:r>
      <w:r w:rsidR="00F145F5">
        <w:t xml:space="preserve">Section </w:t>
      </w:r>
      <w:r w:rsidRPr="00A3164D">
        <w:t>3.2.3.3).</w:t>
      </w:r>
    </w:p>
    <w:p w14:paraId="3BF2E099" w14:textId="2A7DC5FE" w:rsidR="00B75DE7" w:rsidRDefault="00F1128B" w:rsidP="00AC7321">
      <w:r w:rsidRPr="00A3164D">
        <w:t xml:space="preserve">Figure 3.2.3.2 depicts the new arrangements for the </w:t>
      </w:r>
      <w:r w:rsidR="00685BCA">
        <w:t>TLMS</w:t>
      </w:r>
      <w:r w:rsidRPr="00A3164D">
        <w:t>.</w:t>
      </w:r>
    </w:p>
    <w:p w14:paraId="6F9F27CB" w14:textId="77777777" w:rsidR="00B75DE7" w:rsidRDefault="00B75DE7" w:rsidP="00B75DE7">
      <w:pPr>
        <w:pStyle w:val="ACMAFigureHeader"/>
        <w:keepNext/>
        <w:keepLines/>
        <w:numPr>
          <w:ilvl w:val="0"/>
          <w:numId w:val="0"/>
        </w:numPr>
        <w:tabs>
          <w:tab w:val="left" w:pos="1418"/>
        </w:tabs>
        <w:ind w:left="1418" w:hanging="1418"/>
        <w:rPr>
          <w:rFonts w:cs="Arial"/>
          <w:color w:val="231F20"/>
        </w:rPr>
      </w:pPr>
      <w:r>
        <w:t>Figure 3.2.3.2:</w:t>
      </w:r>
      <w:r>
        <w:tab/>
      </w:r>
      <w:r w:rsidRPr="00462916">
        <w:t xml:space="preserve">Current and new arrangements for the </w:t>
      </w:r>
      <w:r w:rsidR="00101153">
        <w:t xml:space="preserve">trunked </w:t>
      </w:r>
      <w:r>
        <w:t>land mobile service (</w:t>
      </w:r>
      <w:r w:rsidR="00101153">
        <w:t>T</w:t>
      </w:r>
      <w:r>
        <w:t>LMS)</w:t>
      </w:r>
      <w:r>
        <w:rPr>
          <w:rFonts w:cs="Arial"/>
          <w:i/>
        </w:rPr>
        <w:t xml:space="preserve"> </w:t>
      </w:r>
    </w:p>
    <w:p w14:paraId="47C68B42" w14:textId="77777777" w:rsidR="00F1128B" w:rsidRPr="00E14FB8" w:rsidRDefault="00F1128B" w:rsidP="00B75DE7">
      <w:pPr>
        <w:pStyle w:val="ListBullet"/>
        <w:tabs>
          <w:tab w:val="num" w:pos="1276"/>
        </w:tabs>
        <w:spacing w:after="240"/>
        <w:ind w:left="295" w:hanging="295"/>
      </w:pPr>
      <w:r>
        <w:rPr>
          <w:rFonts w:cs="Arial"/>
          <w:i/>
        </w:rPr>
        <w:t xml:space="preserve"> </w:t>
      </w:r>
      <w:r w:rsidRPr="002D66F9">
        <w:rPr>
          <w:rFonts w:cs="Arial"/>
          <w:noProof/>
        </w:rPr>
        <w:drawing>
          <wp:inline distT="0" distB="0" distL="0" distR="0" wp14:anchorId="1F2C851C" wp14:editId="4DE68438">
            <wp:extent cx="4792946" cy="5413488"/>
            <wp:effectExtent l="0" t="0" r="8255" b="0"/>
            <wp:docPr id="3" name="Picture 3" descr="Current and new arrangements for the trunked land mobile service (TLM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814466" cy="5437794"/>
                    </a:xfrm>
                    <a:prstGeom prst="rect">
                      <a:avLst/>
                    </a:prstGeom>
                    <a:noFill/>
                    <a:ln>
                      <a:noFill/>
                    </a:ln>
                  </pic:spPr>
                </pic:pic>
              </a:graphicData>
            </a:graphic>
          </wp:inline>
        </w:drawing>
      </w:r>
      <w:r>
        <w:br/>
      </w:r>
    </w:p>
    <w:p w14:paraId="26D94E33" w14:textId="77777777" w:rsidR="00F1128B" w:rsidRDefault="00F1128B" w:rsidP="00AC7321">
      <w:pPr>
        <w:pStyle w:val="Bodysubheader0"/>
        <w:keepNext/>
        <w:numPr>
          <w:ilvl w:val="3"/>
          <w:numId w:val="33"/>
        </w:numPr>
        <w:ind w:left="709" w:hanging="709"/>
      </w:pPr>
      <w:r>
        <w:t>Release of the 850 MHz expansion band</w:t>
      </w:r>
    </w:p>
    <w:p w14:paraId="7999D197" w14:textId="3DC4B5F9" w:rsidR="00F1128B" w:rsidRPr="00EA4A70" w:rsidRDefault="00F1128B" w:rsidP="00AC7321">
      <w:pPr>
        <w:keepNext/>
        <w:spacing w:after="80"/>
      </w:pPr>
      <w:r w:rsidRPr="00EA4A70">
        <w:rPr>
          <w:rFonts w:cs="Arial"/>
        </w:rPr>
        <w:t>2 x 15 MHz will be made available from the 850 MHz expansion band (specifically 809</w:t>
      </w:r>
      <w:r w:rsidR="001133D4">
        <w:rPr>
          <w:rFonts w:cs="Arial"/>
        </w:rPr>
        <w:t>–</w:t>
      </w:r>
      <w:r w:rsidRPr="00EA4A70">
        <w:rPr>
          <w:rFonts w:cs="Arial"/>
        </w:rPr>
        <w:t>824/851</w:t>
      </w:r>
      <w:r w:rsidR="001133D4">
        <w:rPr>
          <w:rFonts w:cs="Arial"/>
        </w:rPr>
        <w:t>–</w:t>
      </w:r>
      <w:r w:rsidRPr="00EA4A70">
        <w:rPr>
          <w:rFonts w:cs="Arial"/>
        </w:rPr>
        <w:t>869 MHz):</w:t>
      </w:r>
    </w:p>
    <w:p w14:paraId="1D0A909C" w14:textId="3E85F6E9" w:rsidR="00F1128B" w:rsidRPr="00C32C1D" w:rsidRDefault="00F1128B" w:rsidP="00AC7321">
      <w:pPr>
        <w:pStyle w:val="ListBullet"/>
        <w:keepNext/>
        <w:numPr>
          <w:ilvl w:val="0"/>
          <w:numId w:val="1"/>
        </w:numPr>
        <w:rPr>
          <w:rFonts w:cs="Arial"/>
          <w:szCs w:val="20"/>
        </w:rPr>
      </w:pPr>
      <w:r w:rsidRPr="00C32C1D">
        <w:rPr>
          <w:rFonts w:cs="Arial"/>
          <w:szCs w:val="20"/>
        </w:rPr>
        <w:t>Technical frameworks will be optimised to reflect latest 3GPP standards, and at this stage</w:t>
      </w:r>
      <w:r w:rsidR="001133D4">
        <w:rPr>
          <w:rFonts w:cs="Arial"/>
          <w:szCs w:val="20"/>
        </w:rPr>
        <w:t>,</w:t>
      </w:r>
      <w:r w:rsidRPr="00C32C1D">
        <w:rPr>
          <w:rFonts w:cs="Arial"/>
          <w:szCs w:val="20"/>
        </w:rPr>
        <w:t xml:space="preserve"> the ACMA’s presumption is that the band would be allocated in 5 MHz blocks</w:t>
      </w:r>
      <w:r w:rsidR="001133D4">
        <w:rPr>
          <w:rFonts w:cs="Arial"/>
          <w:szCs w:val="20"/>
        </w:rPr>
        <w:t>.</w:t>
      </w:r>
      <w:r w:rsidRPr="00C32C1D">
        <w:rPr>
          <w:szCs w:val="20"/>
          <w:vertAlign w:val="superscript"/>
        </w:rPr>
        <w:footnoteReference w:id="30"/>
      </w:r>
    </w:p>
    <w:p w14:paraId="395A62CD" w14:textId="77777777" w:rsidR="00F1128B" w:rsidRPr="00C32C1D" w:rsidRDefault="00F1128B" w:rsidP="00C32C1D">
      <w:pPr>
        <w:pStyle w:val="ListBullet"/>
        <w:numPr>
          <w:ilvl w:val="0"/>
          <w:numId w:val="1"/>
        </w:numPr>
        <w:rPr>
          <w:rFonts w:cs="Arial"/>
          <w:szCs w:val="20"/>
        </w:rPr>
      </w:pPr>
      <w:r w:rsidRPr="00C32C1D">
        <w:rPr>
          <w:rFonts w:cs="Arial"/>
          <w:szCs w:val="20"/>
        </w:rPr>
        <w:t>Decisions on how/to whom this is allocated will be made once policy direction on PSMB spectrum requirements is clear, following government consideration of recommendations arising from the Productivity Commission’s study.</w:t>
      </w:r>
    </w:p>
    <w:p w14:paraId="5B8D19CE" w14:textId="345E203D" w:rsidR="00F1128B" w:rsidRPr="00C32C1D" w:rsidRDefault="00F1128B" w:rsidP="00C32C1D">
      <w:pPr>
        <w:pStyle w:val="ListBullet"/>
        <w:numPr>
          <w:ilvl w:val="0"/>
          <w:numId w:val="1"/>
        </w:numPr>
        <w:rPr>
          <w:rFonts w:cs="Arial"/>
          <w:szCs w:val="20"/>
        </w:rPr>
      </w:pPr>
      <w:r w:rsidRPr="00C32C1D">
        <w:rPr>
          <w:rFonts w:cs="Arial"/>
          <w:szCs w:val="20"/>
        </w:rPr>
        <w:t>If a decision is ultimately made to allocate part of this band to support dedicated PSMB deployments, it will likely be upper-adjacent in frequency to the TLMS segment (</w:t>
      </w:r>
      <w:r w:rsidR="001133D4">
        <w:rPr>
          <w:rFonts w:cs="Arial"/>
          <w:szCs w:val="20"/>
        </w:rPr>
        <w:t>that is,</w:t>
      </w:r>
      <w:r w:rsidRPr="00C32C1D">
        <w:rPr>
          <w:rFonts w:cs="Arial"/>
          <w:szCs w:val="20"/>
        </w:rPr>
        <w:t xml:space="preserve"> at the lower end of the band from 809/854 MHz upwards), with </w:t>
      </w:r>
      <w:r w:rsidR="002577C8">
        <w:rPr>
          <w:rFonts w:cs="Arial"/>
          <w:szCs w:val="20"/>
        </w:rPr>
        <w:t>other</w:t>
      </w:r>
      <w:r w:rsidRPr="00C32C1D">
        <w:rPr>
          <w:rFonts w:cs="Arial"/>
          <w:szCs w:val="20"/>
        </w:rPr>
        <w:t xml:space="preserve"> use at the higher end of the band. The purposes for this are two-fold:</w:t>
      </w:r>
    </w:p>
    <w:p w14:paraId="4F23CAAD" w14:textId="1A07849A" w:rsidR="00F1128B" w:rsidRPr="00C32C1D" w:rsidRDefault="00101153" w:rsidP="00C32C1D">
      <w:pPr>
        <w:pStyle w:val="ListBullet"/>
        <w:numPr>
          <w:ilvl w:val="0"/>
          <w:numId w:val="1"/>
        </w:numPr>
        <w:tabs>
          <w:tab w:val="clear" w:pos="295"/>
          <w:tab w:val="num" w:pos="567"/>
        </w:tabs>
        <w:ind w:left="567"/>
        <w:rPr>
          <w:rFonts w:cs="Arial"/>
          <w:szCs w:val="20"/>
        </w:rPr>
      </w:pPr>
      <w:r>
        <w:rPr>
          <w:rFonts w:cs="Arial"/>
          <w:szCs w:val="20"/>
        </w:rPr>
        <w:t>t</w:t>
      </w:r>
      <w:r w:rsidR="00F1128B" w:rsidRPr="00C32C1D">
        <w:rPr>
          <w:rFonts w:cs="Arial"/>
          <w:szCs w:val="20"/>
        </w:rPr>
        <w:t>o enable the ‘spillover’ access potential for TLMS (described in Section 3.2.3.2) in areas where dedicated PSMB coverage is not deployed</w:t>
      </w:r>
    </w:p>
    <w:p w14:paraId="2B233CB2" w14:textId="7BAC0CB8" w:rsidR="00F1128B" w:rsidRPr="00C32C1D" w:rsidRDefault="00101153" w:rsidP="00C32C1D">
      <w:pPr>
        <w:pStyle w:val="ListBullet"/>
        <w:numPr>
          <w:ilvl w:val="0"/>
          <w:numId w:val="1"/>
        </w:numPr>
        <w:tabs>
          <w:tab w:val="clear" w:pos="295"/>
          <w:tab w:val="num" w:pos="567"/>
        </w:tabs>
        <w:spacing w:after="240"/>
        <w:ind w:left="567"/>
        <w:rPr>
          <w:rFonts w:cs="Arial"/>
          <w:szCs w:val="20"/>
        </w:rPr>
      </w:pPr>
      <w:r>
        <w:rPr>
          <w:rFonts w:cs="Arial"/>
          <w:szCs w:val="20"/>
        </w:rPr>
        <w:t>t</w:t>
      </w:r>
      <w:r w:rsidR="00F1128B" w:rsidRPr="00C32C1D">
        <w:rPr>
          <w:rFonts w:cs="Arial"/>
          <w:szCs w:val="20"/>
        </w:rPr>
        <w:t>o maximise frequency contiguity between commercial allocations in the 850</w:t>
      </w:r>
      <w:r>
        <w:rPr>
          <w:rFonts w:cs="Arial"/>
          <w:szCs w:val="20"/>
        </w:rPr>
        <w:t> </w:t>
      </w:r>
      <w:r w:rsidR="00F1128B" w:rsidRPr="00C32C1D">
        <w:rPr>
          <w:rFonts w:cs="Arial"/>
          <w:szCs w:val="20"/>
        </w:rPr>
        <w:t>MHz and 850 MHz expansion bands.</w:t>
      </w:r>
    </w:p>
    <w:p w14:paraId="01DC3715" w14:textId="2D76C384" w:rsidR="00F1128B" w:rsidRDefault="00F1128B" w:rsidP="00F1128B">
      <w:pPr>
        <w:pStyle w:val="ListBullet"/>
        <w:spacing w:after="240"/>
      </w:pPr>
      <w:r w:rsidRPr="00EA4A70">
        <w:t xml:space="preserve">In responses to the </w:t>
      </w:r>
      <w:r w:rsidRPr="00EA4A70">
        <w:rPr>
          <w:i/>
        </w:rPr>
        <w:t xml:space="preserve">Future </w:t>
      </w:r>
      <w:r w:rsidR="001133D4">
        <w:rPr>
          <w:i/>
        </w:rPr>
        <w:t>o</w:t>
      </w:r>
      <w:r w:rsidRPr="00EA4A70">
        <w:rPr>
          <w:i/>
        </w:rPr>
        <w:t xml:space="preserve">ptions </w:t>
      </w:r>
      <w:r w:rsidRPr="00EA4A70">
        <w:t>paper, carriers were all in favour of implementing the 850 MHz expansion band, although TLMS responses were opposed to this occurring at the expense of spectrum they currently use. With that in mind, the ACMA expects there would be no barrier to TLMS operators competing with mobile broadband operators for licences in this band, where a market-based allocation is used.</w:t>
      </w:r>
    </w:p>
    <w:p w14:paraId="7839DFDE" w14:textId="4B08BCEA" w:rsidR="00DC6F22" w:rsidRDefault="00DC6F22" w:rsidP="00DC6F22">
      <w:pPr>
        <w:pStyle w:val="Bodysubheader0"/>
        <w:numPr>
          <w:ilvl w:val="3"/>
          <w:numId w:val="33"/>
        </w:numPr>
        <w:ind w:left="709" w:hanging="709"/>
      </w:pPr>
      <w:r>
        <w:t xml:space="preserve">Low </w:t>
      </w:r>
      <w:r w:rsidR="003B30D5">
        <w:t>i</w:t>
      </w:r>
      <w:r>
        <w:t xml:space="preserve">nterference </w:t>
      </w:r>
      <w:r w:rsidR="003B30D5">
        <w:t>p</w:t>
      </w:r>
      <w:r>
        <w:t xml:space="preserve">otential </w:t>
      </w:r>
      <w:r w:rsidR="003B30D5">
        <w:t>d</w:t>
      </w:r>
      <w:r>
        <w:t>evices</w:t>
      </w:r>
    </w:p>
    <w:p w14:paraId="5F4E2D2D" w14:textId="33BD1733" w:rsidR="00DC6F22" w:rsidRPr="00A3164D" w:rsidRDefault="00DC6F22" w:rsidP="00DC6F22">
      <w:pPr>
        <w:spacing w:after="80"/>
      </w:pPr>
      <w:r w:rsidRPr="00A3164D">
        <w:rPr>
          <w:rFonts w:cs="Arial"/>
        </w:rPr>
        <w:t xml:space="preserve">New arrangements for </w:t>
      </w:r>
      <w:r w:rsidR="003B30D5">
        <w:rPr>
          <w:rFonts w:cs="Arial"/>
        </w:rPr>
        <w:t>l</w:t>
      </w:r>
      <w:r w:rsidRPr="00A3164D">
        <w:rPr>
          <w:rFonts w:cs="Arial"/>
        </w:rPr>
        <w:t xml:space="preserve">ow </w:t>
      </w:r>
      <w:r w:rsidR="003B30D5">
        <w:rPr>
          <w:rFonts w:cs="Arial"/>
        </w:rPr>
        <w:t>i</w:t>
      </w:r>
      <w:r w:rsidRPr="00A3164D">
        <w:rPr>
          <w:rFonts w:cs="Arial"/>
        </w:rPr>
        <w:t xml:space="preserve">nterference </w:t>
      </w:r>
      <w:r w:rsidR="003B30D5">
        <w:rPr>
          <w:rFonts w:cs="Arial"/>
        </w:rPr>
        <w:t>p</w:t>
      </w:r>
      <w:r w:rsidRPr="00A3164D">
        <w:rPr>
          <w:rFonts w:cs="Arial"/>
        </w:rPr>
        <w:t xml:space="preserve">otential </w:t>
      </w:r>
      <w:r w:rsidR="003B30D5">
        <w:rPr>
          <w:rFonts w:cs="Arial"/>
        </w:rPr>
        <w:t>d</w:t>
      </w:r>
      <w:r w:rsidRPr="00A3164D">
        <w:rPr>
          <w:rFonts w:cs="Arial"/>
        </w:rPr>
        <w:t xml:space="preserve">evices </w:t>
      </w:r>
      <w:r>
        <w:rPr>
          <w:rFonts w:cs="Arial"/>
        </w:rPr>
        <w:t xml:space="preserve">(LIPDs) </w:t>
      </w:r>
      <w:r w:rsidRPr="00A3164D">
        <w:rPr>
          <w:rFonts w:cs="Arial"/>
        </w:rPr>
        <w:t>will be as follows:</w:t>
      </w:r>
    </w:p>
    <w:p w14:paraId="55280CE9" w14:textId="27B51CDD" w:rsidR="00DC6F22" w:rsidRPr="00A3164D" w:rsidRDefault="00DC6F22" w:rsidP="00085C4A">
      <w:pPr>
        <w:pStyle w:val="ListBullet"/>
        <w:numPr>
          <w:ilvl w:val="0"/>
          <w:numId w:val="1"/>
        </w:numPr>
        <w:rPr>
          <w:rFonts w:cs="Arial"/>
        </w:rPr>
      </w:pPr>
      <w:r w:rsidRPr="00085C4A">
        <w:rPr>
          <w:rFonts w:cs="Arial"/>
          <w:szCs w:val="20"/>
        </w:rPr>
        <w:t>Additional spectrum will be made available for systems operating in the range</w:t>
      </w:r>
      <w:r w:rsidRPr="00A3164D">
        <w:rPr>
          <w:rFonts w:cs="Arial"/>
        </w:rPr>
        <w:t xml:space="preserve"> 928</w:t>
      </w:r>
      <w:r w:rsidR="001133D4">
        <w:rPr>
          <w:rFonts w:cs="Arial"/>
        </w:rPr>
        <w:t>–</w:t>
      </w:r>
      <w:r w:rsidRPr="00A3164D">
        <w:rPr>
          <w:rFonts w:cs="Arial"/>
        </w:rPr>
        <w:t xml:space="preserve">935 MHz (limited to </w:t>
      </w:r>
      <w:r w:rsidRPr="00085C4A">
        <w:rPr>
          <w:rFonts w:cs="Arial"/>
          <w:szCs w:val="20"/>
        </w:rPr>
        <w:t>928</w:t>
      </w:r>
      <w:r w:rsidR="001133D4">
        <w:rPr>
          <w:rFonts w:cs="Arial"/>
        </w:rPr>
        <w:t>–</w:t>
      </w:r>
      <w:r w:rsidRPr="00A3164D">
        <w:rPr>
          <w:rFonts w:cs="Arial"/>
        </w:rPr>
        <w:t>933 MHz in high and medium density areas):</w:t>
      </w:r>
    </w:p>
    <w:p w14:paraId="7C842041" w14:textId="6A211A9B" w:rsidR="00DC6F22" w:rsidRPr="003B30D5" w:rsidRDefault="001133D4" w:rsidP="003B30D5">
      <w:pPr>
        <w:pStyle w:val="ListBullet"/>
        <w:numPr>
          <w:ilvl w:val="0"/>
          <w:numId w:val="1"/>
        </w:numPr>
        <w:tabs>
          <w:tab w:val="clear" w:pos="295"/>
          <w:tab w:val="num" w:pos="567"/>
        </w:tabs>
        <w:ind w:left="567"/>
        <w:rPr>
          <w:rFonts w:cs="Arial"/>
          <w:szCs w:val="20"/>
        </w:rPr>
      </w:pPr>
      <w:r>
        <w:rPr>
          <w:rFonts w:cs="Arial"/>
          <w:szCs w:val="20"/>
        </w:rPr>
        <w:t>l</w:t>
      </w:r>
      <w:r w:rsidR="00DC6F22" w:rsidRPr="003B30D5">
        <w:rPr>
          <w:rFonts w:cs="Arial"/>
          <w:szCs w:val="20"/>
        </w:rPr>
        <w:t xml:space="preserve">imited to low EIRP and (very) low duty cycle technologies, suitable for supporting a range of applications, including some fixed links, M2M applications such as automation, switching, </w:t>
      </w:r>
      <w:r w:rsidR="00DC6F22" w:rsidRPr="00085C4A">
        <w:rPr>
          <w:rFonts w:cs="Arial"/>
          <w:szCs w:val="20"/>
        </w:rPr>
        <w:t>metering</w:t>
      </w:r>
      <w:r w:rsidR="00DC6F22" w:rsidRPr="003B30D5">
        <w:rPr>
          <w:rFonts w:cs="Arial"/>
          <w:szCs w:val="20"/>
        </w:rPr>
        <w:t xml:space="preserve"> and control. </w:t>
      </w:r>
    </w:p>
    <w:p w14:paraId="73D6671B" w14:textId="1306A1B9" w:rsidR="00DC6F22" w:rsidRPr="00A3164D" w:rsidRDefault="00DC6F22" w:rsidP="00085C4A">
      <w:pPr>
        <w:pStyle w:val="ListBullet"/>
        <w:numPr>
          <w:ilvl w:val="0"/>
          <w:numId w:val="1"/>
        </w:numPr>
        <w:rPr>
          <w:rFonts w:cs="Arial"/>
        </w:rPr>
      </w:pPr>
      <w:r w:rsidRPr="00A3164D">
        <w:rPr>
          <w:rFonts w:cs="Arial"/>
        </w:rPr>
        <w:t xml:space="preserve">The abovementioned </w:t>
      </w:r>
      <w:r w:rsidRPr="00085C4A">
        <w:rPr>
          <w:rFonts w:cs="Arial"/>
          <w:szCs w:val="20"/>
        </w:rPr>
        <w:t>provisions</w:t>
      </w:r>
      <w:r w:rsidRPr="00A3164D">
        <w:rPr>
          <w:rFonts w:cs="Arial"/>
        </w:rPr>
        <w:t xml:space="preserve"> will be limited to devices intended for long</w:t>
      </w:r>
      <w:r w:rsidR="001133D4">
        <w:rPr>
          <w:rFonts w:cs="Arial"/>
        </w:rPr>
        <w:t>-</w:t>
      </w:r>
      <w:r w:rsidRPr="00A3164D">
        <w:rPr>
          <w:rFonts w:cs="Arial"/>
        </w:rPr>
        <w:t xml:space="preserve">term operation in a fixed installation (operating for a period of not less than six months). </w:t>
      </w:r>
    </w:p>
    <w:p w14:paraId="033E5CA4" w14:textId="007701E4" w:rsidR="00DC6F22" w:rsidRPr="00A3164D" w:rsidRDefault="00DC6F22" w:rsidP="00085C4A">
      <w:pPr>
        <w:pStyle w:val="ListBullet"/>
        <w:numPr>
          <w:ilvl w:val="0"/>
          <w:numId w:val="1"/>
        </w:numPr>
        <w:rPr>
          <w:rFonts w:cs="Arial"/>
        </w:rPr>
      </w:pPr>
      <w:r w:rsidRPr="00A3164D">
        <w:rPr>
          <w:rFonts w:cs="Arial"/>
        </w:rPr>
        <w:t>933</w:t>
      </w:r>
      <w:r w:rsidR="001133D4">
        <w:rPr>
          <w:rFonts w:cs="Arial"/>
        </w:rPr>
        <w:t>–</w:t>
      </w:r>
      <w:r w:rsidRPr="00A3164D">
        <w:rPr>
          <w:rFonts w:cs="Arial"/>
        </w:rPr>
        <w:t xml:space="preserve">935 MHz will also be </w:t>
      </w:r>
      <w:r w:rsidRPr="00085C4A">
        <w:rPr>
          <w:rFonts w:cs="Arial"/>
          <w:szCs w:val="20"/>
        </w:rPr>
        <w:t>made</w:t>
      </w:r>
      <w:r w:rsidRPr="00A3164D">
        <w:rPr>
          <w:rFonts w:cs="Arial"/>
        </w:rPr>
        <w:t xml:space="preserve"> available for research, development and testing of cognitive radio devices (all areas).</w:t>
      </w:r>
      <w:r>
        <w:rPr>
          <w:rFonts w:cs="Arial"/>
        </w:rPr>
        <w:t xml:space="preserve"> Such access would not support ongoing deployments and commercialisation of these technologies. The ACMA will also consider access to this segment as a testbed for other emerging technologies on a case-by-case basis</w:t>
      </w:r>
      <w:r w:rsidR="001133D4">
        <w:rPr>
          <w:rFonts w:cs="Arial"/>
        </w:rPr>
        <w:t>.</w:t>
      </w:r>
    </w:p>
    <w:p w14:paraId="0A74AD5D" w14:textId="1F341E5C" w:rsidR="00DC6F22" w:rsidRPr="00A3164D" w:rsidRDefault="00DC6F22" w:rsidP="00085C4A">
      <w:pPr>
        <w:pStyle w:val="ListBullet"/>
        <w:numPr>
          <w:ilvl w:val="0"/>
          <w:numId w:val="1"/>
        </w:numPr>
        <w:spacing w:after="240"/>
        <w:rPr>
          <w:rFonts w:cs="Arial"/>
        </w:rPr>
      </w:pPr>
      <w:r w:rsidRPr="004B453C">
        <w:rPr>
          <w:rFonts w:cs="Arial"/>
        </w:rPr>
        <w:t xml:space="preserve">The </w:t>
      </w:r>
      <w:hyperlink r:id="rId39" w:tgtFrame="_top" w:history="1">
        <w:r w:rsidRPr="00C645FC">
          <w:rPr>
            <w:rStyle w:val="Hyperlink"/>
          </w:rPr>
          <w:t>LIPD Class Licence</w:t>
        </w:r>
      </w:hyperlink>
      <w:r>
        <w:rPr>
          <w:rStyle w:val="FootnoteReference"/>
        </w:rPr>
        <w:footnoteReference w:id="31"/>
      </w:r>
      <w:r w:rsidRPr="004B453C">
        <w:rPr>
          <w:rFonts w:cs="Arial"/>
        </w:rPr>
        <w:t xml:space="preserve"> will be </w:t>
      </w:r>
      <w:r w:rsidRPr="00A3164D">
        <w:rPr>
          <w:rFonts w:cs="Arial"/>
        </w:rPr>
        <w:t xml:space="preserve">updated to incorporate the above changes. Specific parametric limits are detailed in </w:t>
      </w:r>
      <w:r w:rsidR="00A8774D">
        <w:rPr>
          <w:rFonts w:cs="Arial"/>
        </w:rPr>
        <w:t xml:space="preserve">Section </w:t>
      </w:r>
      <w:r w:rsidRPr="00A3164D">
        <w:rPr>
          <w:rFonts w:cs="Arial"/>
        </w:rPr>
        <w:t>3.3</w:t>
      </w:r>
      <w:r>
        <w:rPr>
          <w:rFonts w:cs="Arial"/>
        </w:rPr>
        <w:t>.2</w:t>
      </w:r>
      <w:r w:rsidRPr="00A3164D">
        <w:rPr>
          <w:rFonts w:cs="Arial"/>
        </w:rPr>
        <w:t xml:space="preserve"> </w:t>
      </w:r>
      <w:r w:rsidRPr="00A3164D">
        <w:rPr>
          <w:rFonts w:cs="Arial"/>
          <w:i/>
        </w:rPr>
        <w:t xml:space="preserve">Actions for implementation </w:t>
      </w:r>
      <w:r w:rsidRPr="00A3164D">
        <w:rPr>
          <w:rFonts w:cs="Arial"/>
        </w:rPr>
        <w:t xml:space="preserve">under Action </w:t>
      </w:r>
      <w:r>
        <w:rPr>
          <w:rFonts w:cs="Arial"/>
        </w:rPr>
        <w:t>6</w:t>
      </w:r>
      <w:r w:rsidRPr="00A3164D">
        <w:rPr>
          <w:rFonts w:cs="Arial"/>
        </w:rPr>
        <w:t>.1. To promote flexibility</w:t>
      </w:r>
      <w:r w:rsidR="001133D4">
        <w:rPr>
          <w:rFonts w:cs="Arial"/>
        </w:rPr>
        <w:t>,</w:t>
      </w:r>
      <w:r w:rsidRPr="00A3164D">
        <w:rPr>
          <w:rFonts w:cs="Arial"/>
        </w:rPr>
        <w:t xml:space="preserve"> these parameters will be limited to a minimum set of technical conditions, without specifying a particular technology.</w:t>
      </w:r>
    </w:p>
    <w:p w14:paraId="392B7B97" w14:textId="033D5939" w:rsidR="00DC6F22" w:rsidRPr="00A3164D" w:rsidRDefault="00DC6F22" w:rsidP="00DC6F22">
      <w:pPr>
        <w:pStyle w:val="ListBullet"/>
        <w:spacing w:after="240"/>
        <w:rPr>
          <w:rFonts w:cs="Arial"/>
        </w:rPr>
      </w:pPr>
      <w:r w:rsidRPr="00A3164D">
        <w:rPr>
          <w:rFonts w:cs="Arial"/>
        </w:rPr>
        <w:t>Frequencies above 928 MHz are not internationally recognised as an ‘</w:t>
      </w:r>
      <w:r w:rsidR="00685BCA" w:rsidRPr="00A3164D">
        <w:rPr>
          <w:rFonts w:cs="Arial"/>
        </w:rPr>
        <w:t>unlicensed</w:t>
      </w:r>
      <w:r w:rsidRPr="00A3164D">
        <w:rPr>
          <w:rFonts w:cs="Arial"/>
        </w:rPr>
        <w:t>’ band for ubiquitous consumer devices (as opposed to below 928 MHz), which will help to constrain the proliferation of devices that comply with the above conditions and therefore limit congestion in the band.</w:t>
      </w:r>
    </w:p>
    <w:p w14:paraId="5431202B" w14:textId="6520D4F6" w:rsidR="00DC6F22" w:rsidRPr="00A3164D" w:rsidRDefault="00DC6F22" w:rsidP="00DC6F22">
      <w:pPr>
        <w:pStyle w:val="ListBullet"/>
        <w:spacing w:after="240"/>
        <w:rPr>
          <w:rFonts w:cs="Arial"/>
        </w:rPr>
      </w:pPr>
      <w:r w:rsidRPr="00A3164D">
        <w:t xml:space="preserve">Fixed links </w:t>
      </w:r>
      <w:r w:rsidR="001133D4">
        <w:t>that</w:t>
      </w:r>
      <w:r w:rsidR="001133D4" w:rsidRPr="00A3164D">
        <w:t xml:space="preserve"> </w:t>
      </w:r>
      <w:r w:rsidRPr="00A3164D">
        <w:t xml:space="preserve">meet the technical conditions detailed in </w:t>
      </w:r>
      <w:r>
        <w:t>S</w:t>
      </w:r>
      <w:r w:rsidRPr="00A3164D">
        <w:t>ection 3.3 could also be accommodated in this allocation, including existing devices operating in current fixed link allocations. These measures are also intended to support smart infrastructure (</w:t>
      </w:r>
      <w:r w:rsidR="001133D4">
        <w:t>for example,</w:t>
      </w:r>
      <w:r w:rsidRPr="00A3164D">
        <w:t xml:space="preserve"> SCADA) links that do not require exclusive spectrum (that they would otherwise pay </w:t>
      </w:r>
      <w:r w:rsidR="00A8774D">
        <w:t xml:space="preserve">licence fees </w:t>
      </w:r>
      <w:r w:rsidRPr="00A3164D">
        <w:t xml:space="preserve">for) and are </w:t>
      </w:r>
      <w:r w:rsidR="002577C8">
        <w:t xml:space="preserve">thereby </w:t>
      </w:r>
      <w:r w:rsidRPr="00A3164D">
        <w:t>intended to partially offset the impact of the reduced spectrum allocations for fixed links.</w:t>
      </w:r>
    </w:p>
    <w:p w14:paraId="7BABF7BF" w14:textId="2D78E7D7" w:rsidR="00DC6F22" w:rsidRPr="00A3164D" w:rsidRDefault="00DC6F22" w:rsidP="00DC6F22">
      <w:pPr>
        <w:pStyle w:val="ListBullet"/>
        <w:spacing w:after="240"/>
      </w:pPr>
      <w:r w:rsidRPr="00A3164D">
        <w:t xml:space="preserve">Responses to the </w:t>
      </w:r>
      <w:r w:rsidRPr="00A3164D">
        <w:rPr>
          <w:i/>
        </w:rPr>
        <w:t xml:space="preserve">Future </w:t>
      </w:r>
      <w:r w:rsidR="001133D4">
        <w:rPr>
          <w:i/>
        </w:rPr>
        <w:t>o</w:t>
      </w:r>
      <w:r w:rsidRPr="00A3164D">
        <w:rPr>
          <w:i/>
        </w:rPr>
        <w:t xml:space="preserve">ptions </w:t>
      </w:r>
      <w:r w:rsidRPr="00A3164D">
        <w:t xml:space="preserve">paper from some utilities providers suggested that spectrum for mesh networks would be useful for smart metering applications, but not at the expense of existing smart metering systems operating under the LIPD Class Licence in the 900 MHz band. Updates to the LIPD Class Licence will not </w:t>
      </w:r>
      <w:r w:rsidR="002577C8">
        <w:t>affect existing</w:t>
      </w:r>
      <w:r w:rsidR="002577C8" w:rsidRPr="00A3164D">
        <w:t xml:space="preserve"> </w:t>
      </w:r>
      <w:r w:rsidRPr="00A3164D">
        <w:t xml:space="preserve">provisions </w:t>
      </w:r>
      <w:r w:rsidR="002577C8">
        <w:t>for operation below 928 MHz</w:t>
      </w:r>
      <w:r w:rsidRPr="00A3164D">
        <w:t xml:space="preserve">. The expanded provisions above </w:t>
      </w:r>
      <w:r w:rsidR="001133D4" w:rsidRPr="00A3164D">
        <w:t>928</w:t>
      </w:r>
      <w:r w:rsidR="001133D4">
        <w:t> </w:t>
      </w:r>
      <w:r w:rsidRPr="00A3164D">
        <w:t xml:space="preserve">MHz will support operation of a range of systems, including the abovementioned mesh systems (subject to meeting the EIRP and duty cycle limitations).  </w:t>
      </w:r>
    </w:p>
    <w:p w14:paraId="0F4C4A55" w14:textId="1262EDF6" w:rsidR="00DC6F22" w:rsidRPr="00A3164D" w:rsidRDefault="00DC6F22" w:rsidP="009C17F8">
      <w:pPr>
        <w:pStyle w:val="ListBullet"/>
      </w:pPr>
      <w:r w:rsidRPr="00A3164D">
        <w:t>It has also been separately canvassed that this band could be a candidate for a private band management regime, given the relative homogeneity of new applications to be accommodated in the 928</w:t>
      </w:r>
      <w:r w:rsidR="001133D4">
        <w:t>–</w:t>
      </w:r>
      <w:r w:rsidRPr="00A3164D">
        <w:t>935 MHz band. Under such a regime, access to the band would be managed by a private entity that holds the licence(s) authorising access to the band. However, it was concluded that inclusion of the band in the LIPD Class Licence would be a more appropriate authorisation mechanism, for a range of reasons</w:t>
      </w:r>
      <w:r w:rsidR="00496E1D">
        <w:t>, including</w:t>
      </w:r>
      <w:r w:rsidRPr="00A3164D">
        <w:t>:</w:t>
      </w:r>
    </w:p>
    <w:p w14:paraId="7CCC60BD" w14:textId="784FBB73" w:rsidR="00DC6F22" w:rsidRPr="00085C4A" w:rsidRDefault="00496E1D" w:rsidP="00085C4A">
      <w:pPr>
        <w:pStyle w:val="ListBullet"/>
        <w:numPr>
          <w:ilvl w:val="0"/>
          <w:numId w:val="1"/>
        </w:numPr>
        <w:rPr>
          <w:rFonts w:cs="Arial"/>
          <w:szCs w:val="20"/>
        </w:rPr>
      </w:pPr>
      <w:r>
        <w:rPr>
          <w:rFonts w:cs="Arial"/>
          <w:szCs w:val="20"/>
        </w:rPr>
        <w:t>f</w:t>
      </w:r>
      <w:r w:rsidR="00DC6F22" w:rsidRPr="00085C4A">
        <w:rPr>
          <w:rFonts w:cs="Arial"/>
          <w:szCs w:val="20"/>
        </w:rPr>
        <w:t>ewer regulatory overheads/lower regulatory cost</w:t>
      </w:r>
    </w:p>
    <w:p w14:paraId="47A825E6" w14:textId="25D716C0" w:rsidR="00DC6F22" w:rsidRPr="00085C4A" w:rsidRDefault="00496E1D" w:rsidP="00085C4A">
      <w:pPr>
        <w:pStyle w:val="ListBullet"/>
        <w:numPr>
          <w:ilvl w:val="0"/>
          <w:numId w:val="1"/>
        </w:numPr>
        <w:rPr>
          <w:rFonts w:cs="Arial"/>
          <w:szCs w:val="20"/>
        </w:rPr>
      </w:pPr>
      <w:r>
        <w:rPr>
          <w:rFonts w:cs="Arial"/>
          <w:szCs w:val="20"/>
        </w:rPr>
        <w:t>t</w:t>
      </w:r>
      <w:r w:rsidR="00DC6F22" w:rsidRPr="00085C4A">
        <w:rPr>
          <w:rFonts w:cs="Arial"/>
          <w:szCs w:val="20"/>
        </w:rPr>
        <w:t>he technical nature of the devices to be accommodated means that coexistence is feasible without device-to-device coordination and can be achieved through setting parametric limits (consistent with the LIPD structure)</w:t>
      </w:r>
    </w:p>
    <w:p w14:paraId="18C2D07C" w14:textId="479093D9" w:rsidR="00DC6F22" w:rsidRPr="00085C4A" w:rsidRDefault="00496E1D" w:rsidP="00085C4A">
      <w:pPr>
        <w:pStyle w:val="ListBullet"/>
        <w:numPr>
          <w:ilvl w:val="0"/>
          <w:numId w:val="1"/>
        </w:numPr>
        <w:rPr>
          <w:rFonts w:cs="Arial"/>
          <w:szCs w:val="20"/>
        </w:rPr>
      </w:pPr>
      <w:r>
        <w:rPr>
          <w:rFonts w:cs="Arial"/>
          <w:szCs w:val="20"/>
        </w:rPr>
        <w:t>a</w:t>
      </w:r>
      <w:r w:rsidR="00DC6F22" w:rsidRPr="00085C4A">
        <w:rPr>
          <w:rFonts w:cs="Arial"/>
          <w:szCs w:val="20"/>
        </w:rPr>
        <w:t xml:space="preserve"> likely range of disparate users, some with competing interests, would make it difficult to identify an appropriate management entity</w:t>
      </w:r>
    </w:p>
    <w:p w14:paraId="04C4D60E" w14:textId="61F1E98C" w:rsidR="00DC6F22" w:rsidRPr="00085C4A" w:rsidRDefault="00496E1D" w:rsidP="00085C4A">
      <w:pPr>
        <w:pStyle w:val="ListBullet"/>
        <w:numPr>
          <w:ilvl w:val="0"/>
          <w:numId w:val="1"/>
        </w:numPr>
        <w:spacing w:after="240"/>
        <w:rPr>
          <w:rFonts w:cs="Arial"/>
          <w:szCs w:val="20"/>
        </w:rPr>
      </w:pPr>
      <w:r>
        <w:rPr>
          <w:rFonts w:cs="Arial"/>
          <w:szCs w:val="20"/>
        </w:rPr>
        <w:t>b</w:t>
      </w:r>
      <w:r w:rsidR="00DC6F22" w:rsidRPr="00085C4A">
        <w:rPr>
          <w:rFonts w:cs="Arial"/>
          <w:szCs w:val="20"/>
        </w:rPr>
        <w:t>etter overall flexibility.</w:t>
      </w:r>
    </w:p>
    <w:p w14:paraId="0E54829F" w14:textId="29EFB458" w:rsidR="00DC6F22" w:rsidRPr="00A3164D" w:rsidRDefault="00DC6F22" w:rsidP="00DC6F22">
      <w:pPr>
        <w:pStyle w:val="ListBullet"/>
        <w:spacing w:after="240"/>
      </w:pPr>
      <w:r w:rsidRPr="00A3164D">
        <w:t>Figure 3.2.3.4 depicts the new arrangements for these devices.</w:t>
      </w:r>
      <w:r w:rsidR="00681FE1">
        <w:t xml:space="preserve"> </w:t>
      </w:r>
      <w:r w:rsidR="00681FE1" w:rsidRPr="00681FE1">
        <w:t>Cordless Telephone Systems (CTS, limited current use) and Digital Short Range Radio (DSSR, no current use) services will no longer be supported, and new provisions will be made for low power/short duty cycle systems and cognitive radio system (CRS) test and development</w:t>
      </w:r>
      <w:r w:rsidR="00681FE1">
        <w:t>.</w:t>
      </w:r>
    </w:p>
    <w:p w14:paraId="5B23D5B1" w14:textId="3498B129" w:rsidR="00B75DE7" w:rsidRDefault="00B75DE7" w:rsidP="00B75DE7">
      <w:pPr>
        <w:pStyle w:val="ACMAFigureHeader"/>
        <w:keepNext/>
        <w:keepLines/>
        <w:numPr>
          <w:ilvl w:val="0"/>
          <w:numId w:val="0"/>
        </w:numPr>
        <w:tabs>
          <w:tab w:val="left" w:pos="1418"/>
        </w:tabs>
        <w:ind w:left="1418" w:hanging="1418"/>
        <w:rPr>
          <w:rFonts w:cs="Arial"/>
          <w:color w:val="231F20"/>
        </w:rPr>
      </w:pPr>
      <w:r>
        <w:t>Figure 3.2.3.4:</w:t>
      </w:r>
      <w:r>
        <w:tab/>
      </w:r>
      <w:r w:rsidRPr="00462916">
        <w:t xml:space="preserve">Current and new </w:t>
      </w:r>
      <w:r w:rsidRPr="009C17F8">
        <w:t xml:space="preserve">arrangements for low interference potential devices </w:t>
      </w:r>
    </w:p>
    <w:p w14:paraId="08C9CF88" w14:textId="77777777" w:rsidR="009C17F8" w:rsidRDefault="009C17F8" w:rsidP="00AC7321">
      <w:pPr>
        <w:pStyle w:val="ACMAFigureHeader"/>
        <w:keepNext/>
        <w:keepLines/>
        <w:numPr>
          <w:ilvl w:val="0"/>
          <w:numId w:val="0"/>
        </w:numPr>
        <w:spacing w:after="0"/>
        <w:jc w:val="center"/>
      </w:pPr>
      <w:r w:rsidRPr="002D66F9">
        <w:rPr>
          <w:noProof/>
        </w:rPr>
        <w:drawing>
          <wp:inline distT="0" distB="0" distL="0" distR="0" wp14:anchorId="08A26AFE" wp14:editId="45317D16">
            <wp:extent cx="5584538" cy="4772586"/>
            <wp:effectExtent l="0" t="0" r="0" b="9525"/>
            <wp:docPr id="7" name="Picture 7" descr="Current and new arrangements for low interference potential devices. Cordless Telephone Systems (CTS, limited current use) and Digital Short Range Radio (DSSR, no current use) services will no longer be supported, and new provisions will be made for low power/short duty cycle systems and cognitive radio system (CRS) test and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624055" cy="4806358"/>
                    </a:xfrm>
                    <a:prstGeom prst="rect">
                      <a:avLst/>
                    </a:prstGeom>
                    <a:noFill/>
                    <a:ln>
                      <a:noFill/>
                    </a:ln>
                  </pic:spPr>
                </pic:pic>
              </a:graphicData>
            </a:graphic>
          </wp:inline>
        </w:drawing>
      </w:r>
    </w:p>
    <w:p w14:paraId="257132C6" w14:textId="77777777" w:rsidR="001133D4" w:rsidRDefault="001133D4" w:rsidP="00AC7321">
      <w:pPr>
        <w:pStyle w:val="ACMASpaceaftertable"/>
      </w:pPr>
    </w:p>
    <w:p w14:paraId="412B3AEB" w14:textId="7B011E66" w:rsidR="009C17F8" w:rsidRPr="00E14FB8" w:rsidRDefault="009C17F8" w:rsidP="009C17F8">
      <w:pPr>
        <w:pStyle w:val="Bodysubheader0"/>
        <w:numPr>
          <w:ilvl w:val="3"/>
          <w:numId w:val="33"/>
        </w:numPr>
        <w:ind w:left="709" w:hanging="709"/>
      </w:pPr>
      <w:r>
        <w:t>Cordless telephone</w:t>
      </w:r>
      <w:r w:rsidR="00DA036E">
        <w:t xml:space="preserve"> service (CTS)</w:t>
      </w:r>
    </w:p>
    <w:p w14:paraId="32803126" w14:textId="396B001B" w:rsidR="009C17F8" w:rsidRPr="00A3164D" w:rsidRDefault="00DA036E" w:rsidP="009C17F8">
      <w:r>
        <w:t>CTS</w:t>
      </w:r>
      <w:r w:rsidR="009C17F8" w:rsidRPr="00A3164D">
        <w:t xml:space="preserve"> operating in 857</w:t>
      </w:r>
      <w:r w:rsidR="001133D4">
        <w:t>–</w:t>
      </w:r>
      <w:r w:rsidR="009C17F8" w:rsidRPr="00A3164D">
        <w:t>865 MHz will no longer be supported</w:t>
      </w:r>
      <w:r w:rsidR="0011201F">
        <w:t>;</w:t>
      </w:r>
      <w:r w:rsidR="009C17F8" w:rsidRPr="00A3164D">
        <w:t xml:space="preserve"> however</w:t>
      </w:r>
      <w:r w:rsidR="0011201F">
        <w:t>,</w:t>
      </w:r>
      <w:r w:rsidR="009C17F8" w:rsidRPr="00A3164D">
        <w:t xml:space="preserve"> cordless telephony in 915</w:t>
      </w:r>
      <w:r w:rsidR="001133D4">
        <w:t>–</w:t>
      </w:r>
      <w:r w:rsidR="009C17F8" w:rsidRPr="00A3164D">
        <w:t xml:space="preserve">918 </w:t>
      </w:r>
      <w:r>
        <w:t xml:space="preserve">MHz </w:t>
      </w:r>
      <w:r w:rsidR="009C17F8" w:rsidRPr="00A3164D">
        <w:t>and 926</w:t>
      </w:r>
      <w:r w:rsidR="001133D4">
        <w:t>–</w:t>
      </w:r>
      <w:r w:rsidR="009C17F8" w:rsidRPr="00A3164D">
        <w:t>928 MHz will continue to be provided for in the LIPD Class Licence.</w:t>
      </w:r>
    </w:p>
    <w:p w14:paraId="7AEA483B" w14:textId="032D2AE5" w:rsidR="00DC6F22" w:rsidRPr="00EA4A70" w:rsidRDefault="009C17F8" w:rsidP="009C17F8">
      <w:pPr>
        <w:pStyle w:val="Bodysubheader0"/>
        <w:numPr>
          <w:ilvl w:val="3"/>
          <w:numId w:val="33"/>
        </w:numPr>
        <w:ind w:left="709" w:hanging="709"/>
      </w:pPr>
      <w:r>
        <w:t xml:space="preserve">Sound </w:t>
      </w:r>
      <w:r w:rsidR="00DA036E">
        <w:t>o</w:t>
      </w:r>
      <w:r>
        <w:t xml:space="preserve">utside </w:t>
      </w:r>
      <w:r w:rsidR="00DA036E">
        <w:t>b</w:t>
      </w:r>
      <w:r>
        <w:t>roadcast (SOB)</w:t>
      </w:r>
    </w:p>
    <w:p w14:paraId="08E1FFF0" w14:textId="0C37C01F" w:rsidR="009C17F8" w:rsidRPr="009C17F8" w:rsidRDefault="009C17F8" w:rsidP="009C17F8">
      <w:r w:rsidRPr="009C17F8">
        <w:t>SOB operating in 850.5</w:t>
      </w:r>
      <w:r w:rsidR="001133D4">
        <w:t>–</w:t>
      </w:r>
      <w:r w:rsidRPr="009C17F8">
        <w:t>852 MHz on a primary basis will no longer be supported, however SOB in 845</w:t>
      </w:r>
      <w:r w:rsidR="001133D4">
        <w:t>–</w:t>
      </w:r>
      <w:r w:rsidRPr="009C17F8">
        <w:t>846.5 MHz will continue to be supported on a primary basis and the current secondary allocation in 846.5</w:t>
      </w:r>
      <w:r w:rsidR="001133D4">
        <w:t>–</w:t>
      </w:r>
      <w:r w:rsidRPr="009C17F8">
        <w:t>850.5 MHz will be extended to 846.5</w:t>
      </w:r>
      <w:r w:rsidR="001133D4">
        <w:t>–</w:t>
      </w:r>
      <w:r w:rsidRPr="009C17F8">
        <w:t>851</w:t>
      </w:r>
      <w:r w:rsidR="00DA036E">
        <w:t> </w:t>
      </w:r>
      <w:r w:rsidRPr="009C17F8">
        <w:t>MHz (see Figure 3.2.3.6).</w:t>
      </w:r>
    </w:p>
    <w:p w14:paraId="61246171" w14:textId="45F5E190" w:rsidR="00F1128B" w:rsidRDefault="009C17F8" w:rsidP="009C17F8">
      <w:pPr>
        <w:pStyle w:val="Bodysubheader0"/>
        <w:numPr>
          <w:ilvl w:val="3"/>
          <w:numId w:val="33"/>
        </w:numPr>
        <w:ind w:left="709" w:hanging="709"/>
      </w:pPr>
      <w:r>
        <w:t>Studio-to-</w:t>
      </w:r>
      <w:r w:rsidR="00DA036E">
        <w:t>t</w:t>
      </w:r>
      <w:r>
        <w:t xml:space="preserve">ransmitter </w:t>
      </w:r>
      <w:r w:rsidR="00DA036E">
        <w:t>l</w:t>
      </w:r>
      <w:r>
        <w:t>inks (STLs)</w:t>
      </w:r>
    </w:p>
    <w:p w14:paraId="4BBB224A" w14:textId="1B9012D9" w:rsidR="009C17F8" w:rsidRPr="00EA4A70" w:rsidRDefault="009C17F8" w:rsidP="009C17F8">
      <w:pPr>
        <w:pStyle w:val="ListBullet"/>
        <w:spacing w:after="240"/>
      </w:pPr>
      <w:r w:rsidRPr="00EA4A70">
        <w:t>STLs operating in 849</w:t>
      </w:r>
      <w:r w:rsidR="001133D4">
        <w:t>–</w:t>
      </w:r>
      <w:r w:rsidRPr="00EA4A70">
        <w:t>852 MHz will no longer be supported</w:t>
      </w:r>
      <w:r w:rsidR="0011201F">
        <w:t>;</w:t>
      </w:r>
      <w:r w:rsidRPr="00EA4A70">
        <w:t xml:space="preserve"> however</w:t>
      </w:r>
      <w:r w:rsidR="0011201F">
        <w:t>,</w:t>
      </w:r>
      <w:r w:rsidRPr="00EA4A70">
        <w:t xml:space="preserve"> STLs in 845</w:t>
      </w:r>
      <w:r w:rsidR="001133D4">
        <w:t>–</w:t>
      </w:r>
      <w:r w:rsidRPr="00EA4A70">
        <w:t xml:space="preserve">849 MHz will continue to be supported, resulting in a net reduction </w:t>
      </w:r>
      <w:r w:rsidR="00DA036E">
        <w:t>of spectrum allocated</w:t>
      </w:r>
      <w:r w:rsidRPr="00EA4A70">
        <w:t xml:space="preserve"> to </w:t>
      </w:r>
      <w:r w:rsidR="00DA036E">
        <w:t>STLs</w:t>
      </w:r>
      <w:r w:rsidRPr="00EA4A70">
        <w:t xml:space="preserve"> from 7 to 4 MHz. All STLs will operate on a co-primary basis with other fixed links in the band 845</w:t>
      </w:r>
      <w:r w:rsidR="001133D4">
        <w:t>–</w:t>
      </w:r>
      <w:r w:rsidRPr="00EA4A70">
        <w:t>849 MHz (see Figure 3.2.3.6) and licensing and assignment provisions will be transferred from RALI FX11 into a RALI FX [NEW] (including retention of existing protection requirements</w:t>
      </w:r>
      <w:r w:rsidR="00953340">
        <w:t>—</w:t>
      </w:r>
      <w:r w:rsidRPr="00EA4A70">
        <w:t xml:space="preserve">as described in </w:t>
      </w:r>
      <w:r w:rsidR="00DA036E">
        <w:t>Section </w:t>
      </w:r>
      <w:r w:rsidRPr="00EA4A70">
        <w:t xml:space="preserve">3.2.2). </w:t>
      </w:r>
    </w:p>
    <w:p w14:paraId="19BDD4FA" w14:textId="012FD605" w:rsidR="00953340" w:rsidRDefault="009C17F8" w:rsidP="00F6711F">
      <w:pPr>
        <w:keepNext/>
        <w:keepLines/>
      </w:pPr>
      <w:r w:rsidRPr="00EA4A70">
        <w:t xml:space="preserve">Responses to the </w:t>
      </w:r>
      <w:r w:rsidRPr="00EA4A70">
        <w:rPr>
          <w:i/>
        </w:rPr>
        <w:t xml:space="preserve">Future </w:t>
      </w:r>
      <w:r w:rsidR="00953340">
        <w:rPr>
          <w:i/>
        </w:rPr>
        <w:t>o</w:t>
      </w:r>
      <w:r w:rsidRPr="00EA4A70">
        <w:rPr>
          <w:i/>
        </w:rPr>
        <w:t xml:space="preserve">ptions </w:t>
      </w:r>
      <w:r w:rsidRPr="00EA4A70">
        <w:t xml:space="preserve">paper from STL operators indicated a preference to retain the existing 7 MHz spectrum provision. They are reluctant to shift to IP-based solutions as it would increase costs, which is felt particularly hard by community radio stations. </w:t>
      </w:r>
    </w:p>
    <w:p w14:paraId="651F3C7C" w14:textId="55103925" w:rsidR="009C17F8" w:rsidRDefault="009C17F8" w:rsidP="00F6711F">
      <w:pPr>
        <w:keepNext/>
        <w:keepLines/>
      </w:pPr>
      <w:r w:rsidRPr="00EA4A70">
        <w:t>The ACMA believes that fixed line services offer a viable alternative to transferring media from studio to transmitter heads and, while acknowledging that they may cost more to implement than RF links, expects that some operators in the sector will be in a position to make this change in the medium</w:t>
      </w:r>
      <w:r w:rsidR="00953340">
        <w:t xml:space="preserve"> to </w:t>
      </w:r>
      <w:r w:rsidRPr="00EA4A70">
        <w:t xml:space="preserve">long term. It was also noted in responses to the </w:t>
      </w:r>
      <w:r w:rsidRPr="00EA4A70">
        <w:rPr>
          <w:i/>
        </w:rPr>
        <w:t xml:space="preserve">Future </w:t>
      </w:r>
      <w:r w:rsidR="00953340">
        <w:rPr>
          <w:i/>
        </w:rPr>
        <w:t>o</w:t>
      </w:r>
      <w:r w:rsidRPr="00EA4A70">
        <w:rPr>
          <w:i/>
        </w:rPr>
        <w:t xml:space="preserve">ptions </w:t>
      </w:r>
      <w:r w:rsidRPr="00EA4A70">
        <w:t xml:space="preserve">paper that most STL’s can be re-tuned with a firmware upgrade down to 844 MHz. </w:t>
      </w:r>
    </w:p>
    <w:p w14:paraId="7A604573" w14:textId="24F06F95" w:rsidR="00B75DE7" w:rsidRDefault="00B75DE7" w:rsidP="00B75DE7">
      <w:pPr>
        <w:pStyle w:val="ACMAFigureHeader"/>
        <w:keepNext/>
        <w:keepLines/>
        <w:numPr>
          <w:ilvl w:val="0"/>
          <w:numId w:val="0"/>
        </w:numPr>
        <w:tabs>
          <w:tab w:val="left" w:pos="1418"/>
        </w:tabs>
        <w:ind w:left="1418" w:hanging="1418"/>
        <w:rPr>
          <w:rFonts w:cs="Arial"/>
          <w:color w:val="231F20"/>
        </w:rPr>
      </w:pPr>
      <w:r>
        <w:t>Figure 3.2.3.6:</w:t>
      </w:r>
      <w:r>
        <w:tab/>
      </w:r>
      <w:r w:rsidRPr="00462916">
        <w:t xml:space="preserve">Current and new </w:t>
      </w:r>
      <w:r w:rsidRPr="009C17F8">
        <w:t xml:space="preserve">arrangements for </w:t>
      </w:r>
      <w:r>
        <w:t>sound outside broadcasting (SOB)</w:t>
      </w:r>
      <w:r w:rsidR="00DA036E">
        <w:t xml:space="preserve"> and </w:t>
      </w:r>
      <w:r w:rsidR="00E3687E">
        <w:t>studio-to-transmitter links (STLs)</w:t>
      </w:r>
      <w:r w:rsidR="00E3687E" w:rsidDel="00E3687E">
        <w:t xml:space="preserve"> </w:t>
      </w:r>
    </w:p>
    <w:p w14:paraId="5A5535E7" w14:textId="77777777" w:rsidR="009C17F8" w:rsidRDefault="009C17F8" w:rsidP="009C17F8">
      <w:pPr>
        <w:pStyle w:val="ACMAFigureHeader"/>
        <w:keepNext/>
        <w:keepLines/>
        <w:numPr>
          <w:ilvl w:val="0"/>
          <w:numId w:val="0"/>
        </w:numPr>
        <w:jc w:val="center"/>
      </w:pPr>
      <w:r w:rsidRPr="002D66F9">
        <w:rPr>
          <w:noProof/>
        </w:rPr>
        <w:drawing>
          <wp:inline distT="0" distB="0" distL="0" distR="0" wp14:anchorId="4CDA96D5" wp14:editId="65F76954">
            <wp:extent cx="4965700" cy="4059014"/>
            <wp:effectExtent l="0" t="0" r="6350" b="0"/>
            <wp:docPr id="9" name="Picture 9" descr="Current and new arrangements for sound outside broadcasting (SOB) and studio-to-transmitter links (ST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989402" cy="4078388"/>
                    </a:xfrm>
                    <a:prstGeom prst="rect">
                      <a:avLst/>
                    </a:prstGeom>
                    <a:noFill/>
                    <a:ln>
                      <a:noFill/>
                    </a:ln>
                  </pic:spPr>
                </pic:pic>
              </a:graphicData>
            </a:graphic>
          </wp:inline>
        </w:drawing>
      </w:r>
    </w:p>
    <w:p w14:paraId="1201B2C4" w14:textId="77777777" w:rsidR="009C17F8" w:rsidRDefault="009C17F8" w:rsidP="009C17F8">
      <w:pPr>
        <w:pStyle w:val="Heading2"/>
        <w:numPr>
          <w:ilvl w:val="1"/>
          <w:numId w:val="33"/>
        </w:numPr>
        <w:ind w:left="709"/>
      </w:pPr>
      <w:bookmarkStart w:id="24" w:name="_Toc434999449"/>
      <w:r>
        <w:t>Implementation plan</w:t>
      </w:r>
      <w:bookmarkEnd w:id="24"/>
    </w:p>
    <w:p w14:paraId="6633C67E" w14:textId="22A80E03" w:rsidR="009C17F8" w:rsidRPr="009C17F8" w:rsidRDefault="009C17F8" w:rsidP="009C17F8">
      <w:pPr>
        <w:pStyle w:val="ListBullet"/>
        <w:spacing w:after="240"/>
      </w:pPr>
      <w:r w:rsidRPr="009C17F8">
        <w:t>This section provides a timeline for actions to be taken by industry and operators at various implementation milestones, and by the ACMA at key dates throughout the process to put into effect the changes. Figure</w:t>
      </w:r>
      <w:r w:rsidR="00AC44FC">
        <w:t>s</w:t>
      </w:r>
      <w:r w:rsidRPr="009C17F8">
        <w:t xml:space="preserve"> 3.3.2.1 </w:t>
      </w:r>
      <w:r w:rsidR="00AC44FC">
        <w:t>and 3.3.2.2</w:t>
      </w:r>
      <w:r w:rsidRPr="009C17F8">
        <w:t xml:space="preserve"> depict these milestones and key dates together.</w:t>
      </w:r>
    </w:p>
    <w:p w14:paraId="6B52BFF0" w14:textId="77777777" w:rsidR="009C17F8" w:rsidRDefault="009C17F8" w:rsidP="009C17F8">
      <w:pPr>
        <w:pStyle w:val="Heading3"/>
        <w:numPr>
          <w:ilvl w:val="2"/>
          <w:numId w:val="33"/>
        </w:numPr>
        <w:ind w:left="709"/>
      </w:pPr>
      <w:bookmarkStart w:id="25" w:name="_Toc434999450"/>
      <w:r>
        <w:t>Actions to be undertaken by industry and operators</w:t>
      </w:r>
      <w:bookmarkEnd w:id="25"/>
    </w:p>
    <w:p w14:paraId="609A572B" w14:textId="79D5A8A6" w:rsidR="009C17F8" w:rsidRPr="00A3164D" w:rsidRDefault="009C17F8" w:rsidP="009C17F8">
      <w:pPr>
        <w:pStyle w:val="ListBullet"/>
        <w:spacing w:after="240"/>
        <w:rPr>
          <w:rFonts w:cs="Arial"/>
        </w:rPr>
      </w:pPr>
      <w:r w:rsidRPr="00A3164D">
        <w:rPr>
          <w:rFonts w:cs="Arial"/>
        </w:rPr>
        <w:t xml:space="preserve">The transition sequence set out below lists milestones for </w:t>
      </w:r>
      <w:r w:rsidRPr="00A3164D">
        <w:rPr>
          <w:rFonts w:cs="Arial"/>
          <w:i/>
        </w:rPr>
        <w:t xml:space="preserve">ex-post </w:t>
      </w:r>
      <w:r w:rsidRPr="00A3164D">
        <w:rPr>
          <w:rFonts w:cs="Arial"/>
        </w:rPr>
        <w:t>compliance</w:t>
      </w:r>
      <w:r>
        <w:rPr>
          <w:rFonts w:cs="Arial"/>
        </w:rPr>
        <w:t>,</w:t>
      </w:r>
      <w:r w:rsidRPr="00A3164D">
        <w:rPr>
          <w:rFonts w:cs="Arial"/>
        </w:rPr>
        <w:t xml:space="preserve"> </w:t>
      </w:r>
      <w:r w:rsidR="00953340">
        <w:rPr>
          <w:rFonts w:cs="Arial"/>
        </w:rPr>
        <w:t>that is,</w:t>
      </w:r>
      <w:r w:rsidRPr="00A3164D">
        <w:rPr>
          <w:rFonts w:cs="Arial"/>
        </w:rPr>
        <w:t xml:space="preserve"> where compliance action is required (</w:t>
      </w:r>
      <w:r w:rsidR="00953340">
        <w:rPr>
          <w:rFonts w:cs="Arial"/>
        </w:rPr>
        <w:t>for example,</w:t>
      </w:r>
      <w:r w:rsidRPr="00A3164D">
        <w:rPr>
          <w:rFonts w:cs="Arial"/>
        </w:rPr>
        <w:t xml:space="preserve"> cessation of operation or retuning)</w:t>
      </w:r>
      <w:r w:rsidR="00953340">
        <w:rPr>
          <w:rFonts w:cs="Arial"/>
        </w:rPr>
        <w:t>,</w:t>
      </w:r>
      <w:r w:rsidRPr="00A3164D">
        <w:rPr>
          <w:rFonts w:cs="Arial"/>
        </w:rPr>
        <w:t xml:space="preserve"> operators will have one year from the stated date to comply with the milestone requirements. For operators required to take clearance or retuning action, this notionally provides a one year window to do so, although as shown in </w:t>
      </w:r>
      <w:r w:rsidRPr="00A3164D">
        <w:t>Figure 3.3.2.1, the transition window is longer for some services (</w:t>
      </w:r>
      <w:r w:rsidR="00953340">
        <w:t>for example,</w:t>
      </w:r>
      <w:r w:rsidRPr="00A3164D">
        <w:t xml:space="preserve"> two years for two</w:t>
      </w:r>
      <w:r w:rsidR="00EB754F">
        <w:t>-</w:t>
      </w:r>
      <w:r w:rsidRPr="00A3164D">
        <w:t>frequency fixed links, three years for TLMS).</w:t>
      </w:r>
      <w:r w:rsidRPr="00A3164D">
        <w:rPr>
          <w:rFonts w:cs="Arial"/>
        </w:rPr>
        <w:t xml:space="preserve"> </w:t>
      </w:r>
    </w:p>
    <w:p w14:paraId="1C0EE590" w14:textId="14B3D7A7" w:rsidR="009C17F8" w:rsidRPr="00953340" w:rsidRDefault="009C17F8" w:rsidP="009C17F8">
      <w:pPr>
        <w:pStyle w:val="ListBullet"/>
        <w:spacing w:after="240"/>
      </w:pPr>
      <w:r w:rsidRPr="00A3164D">
        <w:rPr>
          <w:rFonts w:cs="Arial"/>
        </w:rPr>
        <w:t>Furthermore, it is understood that some operators may wish to commence transition before their transition window is ‘open’ for a number of reasons, for example</w:t>
      </w:r>
      <w:r w:rsidR="00953340">
        <w:rPr>
          <w:rFonts w:cs="Arial"/>
        </w:rPr>
        <w:t>,</w:t>
      </w:r>
      <w:r w:rsidRPr="00A3164D">
        <w:rPr>
          <w:rFonts w:cs="Arial"/>
        </w:rPr>
        <w:t xml:space="preserve"> to align with technology </w:t>
      </w:r>
      <w:r w:rsidRPr="00953340">
        <w:t>refresh cycles. The ACMA is prepared to facilitate early transition where possible, subject to practical feasibility (</w:t>
      </w:r>
      <w:r w:rsidR="00953340">
        <w:t>for example,</w:t>
      </w:r>
      <w:r w:rsidRPr="00953340">
        <w:t xml:space="preserve"> the ability to coordinate with services that have not yet cleared from the new frequencies) and should be contacted directly if this is desired. </w:t>
      </w:r>
    </w:p>
    <w:p w14:paraId="02899018" w14:textId="77777777" w:rsidR="009C17F8" w:rsidRPr="00A3164D" w:rsidRDefault="009C17F8" w:rsidP="009C17F8">
      <w:pPr>
        <w:pStyle w:val="ListBullet"/>
        <w:spacing w:after="240"/>
        <w:rPr>
          <w:rFonts w:cs="Arial"/>
        </w:rPr>
      </w:pPr>
      <w:r w:rsidRPr="00A3164D">
        <w:rPr>
          <w:rFonts w:cs="Arial"/>
        </w:rPr>
        <w:t xml:space="preserve">Note that commencement of operation of new services is not a compliance action, so </w:t>
      </w:r>
      <w:r w:rsidRPr="00A3164D">
        <w:rPr>
          <w:rFonts w:cs="Arial"/>
          <w:i/>
        </w:rPr>
        <w:t xml:space="preserve">ex-post </w:t>
      </w:r>
      <w:r w:rsidRPr="00A3164D">
        <w:rPr>
          <w:rFonts w:cs="Arial"/>
        </w:rPr>
        <w:t xml:space="preserve">compliance does not apply to those actions. That is, new services can commence operation from the specified </w:t>
      </w:r>
      <w:r>
        <w:rPr>
          <w:rFonts w:cs="Arial"/>
        </w:rPr>
        <w:t>m</w:t>
      </w:r>
      <w:r w:rsidRPr="00A3164D">
        <w:rPr>
          <w:rFonts w:cs="Arial"/>
        </w:rPr>
        <w:t xml:space="preserve">ilestone date, rather than one year later. </w:t>
      </w:r>
    </w:p>
    <w:p w14:paraId="7269A6D5" w14:textId="5264D225" w:rsidR="009C17F8" w:rsidRPr="00A3164D" w:rsidRDefault="009C17F8" w:rsidP="00AC7321">
      <w:r w:rsidRPr="00A3164D">
        <w:t xml:space="preserve">Figure 3.3.1.1 shows the transitions to occur between the release of this paper and </w:t>
      </w:r>
      <w:r w:rsidR="00953340" w:rsidRPr="00A3164D">
        <w:t>30</w:t>
      </w:r>
      <w:r w:rsidR="00953340">
        <w:t> </w:t>
      </w:r>
      <w:r w:rsidRPr="00A3164D">
        <w:t xml:space="preserve">June 2021 (ex-post compliance date for Milestone 2); and Figure 3.3.1.2 shows the transitions to occur between 30 June 2021 and the completion of the sequence in mid-2024. </w:t>
      </w:r>
    </w:p>
    <w:p w14:paraId="5A322979" w14:textId="7CF6AC4B" w:rsidR="009C17F8" w:rsidRPr="00AC7321" w:rsidRDefault="009C17F8" w:rsidP="00AC7321">
      <w:pPr>
        <w:spacing w:after="80"/>
        <w:rPr>
          <w:b/>
        </w:rPr>
      </w:pPr>
      <w:r w:rsidRPr="00AC7321">
        <w:rPr>
          <w:b/>
        </w:rPr>
        <w:t>Milestone 1 (30 June 2018</w:t>
      </w:r>
      <w:r w:rsidR="00953340">
        <w:rPr>
          <w:b/>
        </w:rPr>
        <w:t>—</w:t>
      </w:r>
      <w:r w:rsidRPr="00AC7321">
        <w:rPr>
          <w:b/>
        </w:rPr>
        <w:t>compliance date 30 June 2019):</w:t>
      </w:r>
    </w:p>
    <w:p w14:paraId="516DEDAF" w14:textId="1C6699B0" w:rsidR="009C17F8" w:rsidRPr="00085C4A" w:rsidRDefault="009C17F8" w:rsidP="00953340">
      <w:pPr>
        <w:pStyle w:val="ListBullet"/>
        <w:numPr>
          <w:ilvl w:val="0"/>
          <w:numId w:val="1"/>
        </w:numPr>
        <w:tabs>
          <w:tab w:val="clear" w:pos="295"/>
          <w:tab w:val="num" w:pos="426"/>
        </w:tabs>
        <w:ind w:left="426" w:hanging="426"/>
        <w:rPr>
          <w:rFonts w:cs="Arial"/>
          <w:szCs w:val="20"/>
        </w:rPr>
      </w:pPr>
      <w:r w:rsidRPr="00085C4A">
        <w:rPr>
          <w:rFonts w:cs="Arial"/>
          <w:szCs w:val="20"/>
        </w:rPr>
        <w:t xml:space="preserve">Single frequency </w:t>
      </w:r>
      <w:r w:rsidR="00665721">
        <w:rPr>
          <w:rFonts w:cs="Arial"/>
          <w:szCs w:val="20"/>
        </w:rPr>
        <w:t xml:space="preserve">fixed </w:t>
      </w:r>
      <w:r w:rsidRPr="00085C4A">
        <w:rPr>
          <w:rFonts w:cs="Arial"/>
          <w:szCs w:val="20"/>
        </w:rPr>
        <w:t>links and studio-</w:t>
      </w:r>
      <w:r w:rsidR="00665721">
        <w:rPr>
          <w:rFonts w:cs="Arial"/>
          <w:szCs w:val="20"/>
        </w:rPr>
        <w:t>to</w:t>
      </w:r>
      <w:r w:rsidRPr="00085C4A">
        <w:rPr>
          <w:rFonts w:cs="Arial"/>
          <w:szCs w:val="20"/>
        </w:rPr>
        <w:t>-transmitter links (STLs) will be required to have ceased operation between 849 MHz and 852 MHz. Legacy single frequency (single channel) links operating in 857</w:t>
      </w:r>
      <w:r w:rsidR="00953340">
        <w:rPr>
          <w:rFonts w:cs="Arial"/>
          <w:szCs w:val="20"/>
        </w:rPr>
        <w:t>–</w:t>
      </w:r>
      <w:r w:rsidRPr="00085C4A">
        <w:rPr>
          <w:rFonts w:cs="Arial"/>
          <w:szCs w:val="20"/>
        </w:rPr>
        <w:t>861 MHz will be permitted to continue operation until Milestone 5</w:t>
      </w:r>
      <w:r w:rsidR="00953340">
        <w:rPr>
          <w:rFonts w:cs="Arial"/>
          <w:szCs w:val="20"/>
        </w:rPr>
        <w:t>.</w:t>
      </w:r>
    </w:p>
    <w:p w14:paraId="01442D8B" w14:textId="1666AFC2"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Sound outside broadcast (SOB) services will be required to have ceased operation above 851 MHz. SOB operating on a primary basis in 850.5</w:t>
      </w:r>
      <w:r w:rsidR="00953340">
        <w:rPr>
          <w:rFonts w:cs="Arial"/>
          <w:szCs w:val="20"/>
        </w:rPr>
        <w:t>–</w:t>
      </w:r>
      <w:r w:rsidRPr="00085C4A">
        <w:rPr>
          <w:rFonts w:cs="Arial"/>
          <w:szCs w:val="20"/>
        </w:rPr>
        <w:t>852 MHz will no longer be supported</w:t>
      </w:r>
      <w:r w:rsidR="0011201F">
        <w:rPr>
          <w:rFonts w:cs="Arial"/>
          <w:szCs w:val="20"/>
        </w:rPr>
        <w:t>;</w:t>
      </w:r>
      <w:r w:rsidRPr="00085C4A">
        <w:rPr>
          <w:rFonts w:cs="Arial"/>
          <w:szCs w:val="20"/>
        </w:rPr>
        <w:t xml:space="preserve"> however</w:t>
      </w:r>
      <w:r w:rsidR="0011201F">
        <w:rPr>
          <w:rFonts w:cs="Arial"/>
          <w:szCs w:val="20"/>
        </w:rPr>
        <w:t>,</w:t>
      </w:r>
      <w:r w:rsidRPr="00085C4A">
        <w:rPr>
          <w:rFonts w:cs="Arial"/>
          <w:szCs w:val="20"/>
        </w:rPr>
        <w:t xml:space="preserve"> operation will be supported on a secondary basis between 850.5 and 851 MHz (this will effectively extend the current secondary allocation to SOB from 846.5</w:t>
      </w:r>
      <w:r w:rsidR="00953340">
        <w:rPr>
          <w:rFonts w:cs="Arial"/>
          <w:szCs w:val="20"/>
        </w:rPr>
        <w:t>–</w:t>
      </w:r>
      <w:r w:rsidRPr="00085C4A">
        <w:rPr>
          <w:rFonts w:cs="Arial"/>
          <w:szCs w:val="20"/>
        </w:rPr>
        <w:t>850.5 MHz to 846.5</w:t>
      </w:r>
      <w:r w:rsidR="00953340">
        <w:rPr>
          <w:rFonts w:cs="Arial"/>
          <w:szCs w:val="20"/>
        </w:rPr>
        <w:t>–</w:t>
      </w:r>
      <w:r w:rsidRPr="00085C4A">
        <w:rPr>
          <w:rFonts w:cs="Arial"/>
          <w:szCs w:val="20"/>
        </w:rPr>
        <w:t>851 MHz).</w:t>
      </w:r>
    </w:p>
    <w:p w14:paraId="2F93CE3E" w14:textId="77777777" w:rsidR="009C17F8" w:rsidRPr="00953340" w:rsidRDefault="009C17F8" w:rsidP="00AC7321">
      <w:pPr>
        <w:spacing w:after="80"/>
        <w:rPr>
          <w:b/>
        </w:rPr>
      </w:pPr>
      <w:r w:rsidRPr="00953340">
        <w:rPr>
          <w:b/>
        </w:rPr>
        <w:t>Milestone 2 (30 June 2019):</w:t>
      </w:r>
    </w:p>
    <w:p w14:paraId="545BE276" w14:textId="2652075A"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Two-frequency fixed links, including point-to-point and point-to-multipoint links, may commence retuning to the lower part of the 800 MHz band on a 45 MHz split (804</w:t>
      </w:r>
      <w:r w:rsidR="00953340">
        <w:rPr>
          <w:rFonts w:cs="Arial"/>
          <w:szCs w:val="20"/>
        </w:rPr>
        <w:t>–</w:t>
      </w:r>
      <w:r w:rsidRPr="00085C4A">
        <w:rPr>
          <w:rFonts w:cs="Arial"/>
          <w:szCs w:val="20"/>
        </w:rPr>
        <w:t>806/849</w:t>
      </w:r>
      <w:r w:rsidR="00953340">
        <w:rPr>
          <w:rFonts w:cs="Arial"/>
          <w:szCs w:val="20"/>
        </w:rPr>
        <w:t>–</w:t>
      </w:r>
      <w:r w:rsidRPr="00085C4A">
        <w:rPr>
          <w:rFonts w:cs="Arial"/>
          <w:szCs w:val="20"/>
        </w:rPr>
        <w:t>851 MHz in areas currently serviced by trunked land mobile services (TLMS), or 804</w:t>
      </w:r>
      <w:r w:rsidR="00953340">
        <w:rPr>
          <w:rFonts w:cs="Arial"/>
          <w:szCs w:val="20"/>
        </w:rPr>
        <w:t>–</w:t>
      </w:r>
      <w:r w:rsidRPr="00085C4A">
        <w:rPr>
          <w:rFonts w:cs="Arial"/>
          <w:szCs w:val="20"/>
        </w:rPr>
        <w:t>809/849</w:t>
      </w:r>
      <w:r w:rsidR="00953340">
        <w:rPr>
          <w:rFonts w:cs="Arial"/>
          <w:szCs w:val="20"/>
        </w:rPr>
        <w:t>–</w:t>
      </w:r>
      <w:r w:rsidRPr="00085C4A">
        <w:rPr>
          <w:rFonts w:cs="Arial"/>
          <w:szCs w:val="20"/>
        </w:rPr>
        <w:t>854 MHz in areas not currently serviced by TLMS</w:t>
      </w:r>
      <w:r w:rsidR="00953340">
        <w:rPr>
          <w:rFonts w:cs="Arial"/>
          <w:szCs w:val="20"/>
        </w:rPr>
        <w:t>).</w:t>
      </w:r>
      <w:r w:rsidRPr="00665721">
        <w:rPr>
          <w:szCs w:val="20"/>
          <w:vertAlign w:val="superscript"/>
        </w:rPr>
        <w:footnoteReference w:id="32"/>
      </w:r>
      <w:r w:rsidRPr="00085C4A">
        <w:rPr>
          <w:rFonts w:cs="Arial"/>
          <w:szCs w:val="20"/>
        </w:rPr>
        <w:t xml:space="preserve"> Completion of this transition will be required by 30 June 2021 (two</w:t>
      </w:r>
      <w:r w:rsidR="00953340">
        <w:rPr>
          <w:rFonts w:cs="Arial"/>
          <w:szCs w:val="20"/>
        </w:rPr>
        <w:t>-</w:t>
      </w:r>
      <w:r w:rsidRPr="00085C4A">
        <w:rPr>
          <w:rFonts w:cs="Arial"/>
          <w:szCs w:val="20"/>
        </w:rPr>
        <w:t>year transition window).</w:t>
      </w:r>
    </w:p>
    <w:p w14:paraId="640BA836" w14:textId="3829378D" w:rsidR="009C17F8" w:rsidRPr="005A76BF" w:rsidRDefault="009C17F8" w:rsidP="00AC7321">
      <w:pPr>
        <w:spacing w:after="80"/>
        <w:rPr>
          <w:rFonts w:cs="Arial"/>
          <w:b/>
          <w:szCs w:val="20"/>
        </w:rPr>
      </w:pPr>
      <w:r w:rsidRPr="00953340">
        <w:rPr>
          <w:b/>
        </w:rPr>
        <w:t>Milestone</w:t>
      </w:r>
      <w:r w:rsidRPr="005A76BF">
        <w:rPr>
          <w:rFonts w:cs="Arial"/>
          <w:b/>
          <w:szCs w:val="20"/>
        </w:rPr>
        <w:t xml:space="preserve"> 3 (30 June 2020</w:t>
      </w:r>
      <w:r w:rsidR="00953340">
        <w:rPr>
          <w:rFonts w:cs="Arial"/>
          <w:b/>
          <w:szCs w:val="20"/>
        </w:rPr>
        <w:t>—</w:t>
      </w:r>
      <w:r w:rsidRPr="005A76BF">
        <w:rPr>
          <w:rFonts w:cs="Arial"/>
          <w:b/>
          <w:szCs w:val="20"/>
        </w:rPr>
        <w:t>compliance date 30 June 2021):</w:t>
      </w:r>
    </w:p>
    <w:p w14:paraId="2E4111F6" w14:textId="181F0855"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 xml:space="preserve">Two-frequency fixed links, including point-to-point and point-to-multipoint links will be required completed transition to the lower part of the 800 MHz band on a </w:t>
      </w:r>
      <w:r w:rsidR="00953340" w:rsidRPr="00085C4A">
        <w:rPr>
          <w:rFonts w:cs="Arial"/>
          <w:szCs w:val="20"/>
        </w:rPr>
        <w:t>45</w:t>
      </w:r>
      <w:r w:rsidR="00953340">
        <w:rPr>
          <w:rFonts w:cs="Arial"/>
          <w:szCs w:val="20"/>
        </w:rPr>
        <w:t> </w:t>
      </w:r>
      <w:r w:rsidRPr="00085C4A">
        <w:rPr>
          <w:rFonts w:cs="Arial"/>
          <w:szCs w:val="20"/>
        </w:rPr>
        <w:t>MHz split (804</w:t>
      </w:r>
      <w:r w:rsidR="00953340">
        <w:rPr>
          <w:rFonts w:cs="Arial"/>
          <w:szCs w:val="20"/>
        </w:rPr>
        <w:t>–</w:t>
      </w:r>
      <w:r w:rsidRPr="00085C4A">
        <w:rPr>
          <w:rFonts w:cs="Arial"/>
          <w:szCs w:val="20"/>
        </w:rPr>
        <w:t>806/849</w:t>
      </w:r>
      <w:r w:rsidR="00953340">
        <w:rPr>
          <w:rFonts w:cs="Arial"/>
          <w:szCs w:val="20"/>
        </w:rPr>
        <w:t>–</w:t>
      </w:r>
      <w:r w:rsidRPr="00085C4A">
        <w:rPr>
          <w:rFonts w:cs="Arial"/>
          <w:szCs w:val="20"/>
        </w:rPr>
        <w:t>851 MHz in areas currently serviced by TLMS, or 804</w:t>
      </w:r>
      <w:r w:rsidR="00953340">
        <w:rPr>
          <w:rFonts w:cs="Arial"/>
          <w:szCs w:val="20"/>
        </w:rPr>
        <w:t>–</w:t>
      </w:r>
      <w:r w:rsidRPr="00085C4A">
        <w:rPr>
          <w:rFonts w:cs="Arial"/>
          <w:szCs w:val="20"/>
        </w:rPr>
        <w:t>809/849</w:t>
      </w:r>
      <w:r w:rsidR="00953340">
        <w:rPr>
          <w:rFonts w:cs="Arial"/>
          <w:szCs w:val="20"/>
        </w:rPr>
        <w:t>–</w:t>
      </w:r>
      <w:r w:rsidRPr="00085C4A">
        <w:rPr>
          <w:rFonts w:cs="Arial"/>
          <w:szCs w:val="20"/>
        </w:rPr>
        <w:t>854 MHz in areas not currently serviced by TLMS</w:t>
      </w:r>
      <w:r w:rsidR="00953340">
        <w:rPr>
          <w:rFonts w:cs="Arial"/>
          <w:szCs w:val="20"/>
        </w:rPr>
        <w:t>).</w:t>
      </w:r>
      <w:r w:rsidRPr="00861B7A">
        <w:rPr>
          <w:szCs w:val="20"/>
          <w:vertAlign w:val="superscript"/>
        </w:rPr>
        <w:footnoteReference w:id="33"/>
      </w:r>
    </w:p>
    <w:p w14:paraId="115AC4E4" w14:textId="77777777" w:rsidR="009C17F8" w:rsidRPr="008F6C1E" w:rsidRDefault="009C17F8" w:rsidP="00AC7321">
      <w:pPr>
        <w:spacing w:after="80"/>
        <w:rPr>
          <w:rFonts w:cs="Arial"/>
          <w:b/>
          <w:szCs w:val="20"/>
        </w:rPr>
      </w:pPr>
      <w:r w:rsidRPr="008F6C1E">
        <w:rPr>
          <w:rFonts w:cs="Arial"/>
          <w:b/>
          <w:szCs w:val="20"/>
        </w:rPr>
        <w:t>Milestone 4 (30 June 2021):</w:t>
      </w:r>
    </w:p>
    <w:p w14:paraId="62400CFB" w14:textId="0D7C52DE" w:rsidR="009C17F8" w:rsidRPr="008F6C1E" w:rsidRDefault="009C17F8" w:rsidP="00AC7321">
      <w:pPr>
        <w:pStyle w:val="ListBullet"/>
        <w:numPr>
          <w:ilvl w:val="0"/>
          <w:numId w:val="1"/>
        </w:numPr>
        <w:tabs>
          <w:tab w:val="clear" w:pos="295"/>
          <w:tab w:val="num" w:pos="426"/>
        </w:tabs>
        <w:ind w:left="426" w:hanging="426"/>
        <w:rPr>
          <w:rFonts w:cs="Arial"/>
          <w:szCs w:val="20"/>
        </w:rPr>
      </w:pPr>
      <w:r w:rsidRPr="008F6C1E">
        <w:rPr>
          <w:rFonts w:cs="Arial"/>
          <w:szCs w:val="20"/>
        </w:rPr>
        <w:t>TLMS operators may commence migration from current frequencies to the 2 x 3 MHz frequency-adjacent (above) two-frequency fixed links in the lower part of the 800 MHz band, maintaining the current 45 MHz split but with a new 12.</w:t>
      </w:r>
      <w:r w:rsidR="008F6C1E" w:rsidRPr="008F6C1E">
        <w:rPr>
          <w:rFonts w:cs="Arial"/>
          <w:szCs w:val="20"/>
        </w:rPr>
        <w:t>5</w:t>
      </w:r>
      <w:r w:rsidR="008F6C1E">
        <w:rPr>
          <w:rFonts w:cs="Arial"/>
          <w:szCs w:val="20"/>
        </w:rPr>
        <w:t> </w:t>
      </w:r>
      <w:r w:rsidRPr="008F6C1E">
        <w:rPr>
          <w:rFonts w:cs="Arial"/>
          <w:szCs w:val="20"/>
        </w:rPr>
        <w:t>kHz-based channel raster (channels will be able to be aggregated, so 25</w:t>
      </w:r>
      <w:r w:rsidR="00B75DE7" w:rsidRPr="008F6C1E">
        <w:rPr>
          <w:rFonts w:cs="Arial"/>
          <w:szCs w:val="20"/>
        </w:rPr>
        <w:t> </w:t>
      </w:r>
      <w:r w:rsidRPr="008F6C1E">
        <w:rPr>
          <w:rFonts w:cs="Arial"/>
          <w:szCs w:val="20"/>
        </w:rPr>
        <w:t>kHz channels will still be supported). Completion of this transition will be required 30 June 2024 (three</w:t>
      </w:r>
      <w:r w:rsidR="008F6C1E">
        <w:rPr>
          <w:rFonts w:cs="Arial"/>
          <w:szCs w:val="20"/>
        </w:rPr>
        <w:t>-</w:t>
      </w:r>
      <w:r w:rsidRPr="008F6C1E">
        <w:rPr>
          <w:rFonts w:cs="Arial"/>
          <w:szCs w:val="20"/>
        </w:rPr>
        <w:t>year transition window).</w:t>
      </w:r>
    </w:p>
    <w:p w14:paraId="4E3EF530" w14:textId="7FE83A8A"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8F6C1E">
        <w:rPr>
          <w:rFonts w:cs="Arial"/>
          <w:szCs w:val="20"/>
        </w:rPr>
        <w:t>New low duty cycle services in 928</w:t>
      </w:r>
      <w:r w:rsidR="008F6C1E">
        <w:rPr>
          <w:rFonts w:cs="Arial"/>
          <w:szCs w:val="20"/>
        </w:rPr>
        <w:t>–</w:t>
      </w:r>
      <w:r w:rsidRPr="008F6C1E">
        <w:rPr>
          <w:rFonts w:cs="Arial"/>
          <w:szCs w:val="20"/>
        </w:rPr>
        <w:t>935 MHz, including a range of control, metering and other M2M</w:t>
      </w:r>
      <w:r w:rsidRPr="00085C4A">
        <w:rPr>
          <w:rFonts w:cs="Arial"/>
          <w:szCs w:val="20"/>
        </w:rPr>
        <w:t xml:space="preserve"> applications as well as fixed links, may commence operation from Milestone 4 on a non-exclusive basis. Development and testing of cognitive radio devices in 933</w:t>
      </w:r>
      <w:r w:rsidR="008F6C1E">
        <w:rPr>
          <w:rFonts w:cs="Arial"/>
          <w:szCs w:val="20"/>
        </w:rPr>
        <w:t>–</w:t>
      </w:r>
      <w:r w:rsidRPr="00085C4A">
        <w:rPr>
          <w:rFonts w:cs="Arial"/>
          <w:szCs w:val="20"/>
        </w:rPr>
        <w:t xml:space="preserve">935 MHz may also commence from this date. Operation of these services will be subject to conditions specified in the updated LIPD Class Licence (by </w:t>
      </w:r>
      <w:r w:rsidRPr="00F50FA4">
        <w:rPr>
          <w:rFonts w:cs="Arial"/>
          <w:szCs w:val="20"/>
        </w:rPr>
        <w:t xml:space="preserve">Key </w:t>
      </w:r>
      <w:r w:rsidR="00F50FA4">
        <w:rPr>
          <w:rFonts w:cs="Arial"/>
          <w:szCs w:val="20"/>
        </w:rPr>
        <w:t>d</w:t>
      </w:r>
      <w:r w:rsidRPr="00F50FA4">
        <w:rPr>
          <w:rFonts w:cs="Arial"/>
          <w:szCs w:val="20"/>
        </w:rPr>
        <w:t>ate 6</w:t>
      </w:r>
      <w:r w:rsidR="008F6C1E">
        <w:rPr>
          <w:rFonts w:cs="Arial"/>
          <w:szCs w:val="20"/>
        </w:rPr>
        <w:t>—</w:t>
      </w:r>
      <w:r w:rsidRPr="00085C4A">
        <w:rPr>
          <w:rFonts w:cs="Arial"/>
          <w:szCs w:val="20"/>
        </w:rPr>
        <w:t xml:space="preserve">parameters for access as listed under Action 6.1 in </w:t>
      </w:r>
      <w:r w:rsidR="00654B35">
        <w:rPr>
          <w:rFonts w:cs="Arial"/>
          <w:szCs w:val="20"/>
        </w:rPr>
        <w:t xml:space="preserve">Section </w:t>
      </w:r>
      <w:r w:rsidRPr="00085C4A">
        <w:rPr>
          <w:rFonts w:cs="Arial"/>
          <w:szCs w:val="20"/>
        </w:rPr>
        <w:t>3.3.2).</w:t>
      </w:r>
    </w:p>
    <w:p w14:paraId="605123E1" w14:textId="0B1AC0CA" w:rsidR="009C17F8" w:rsidRPr="005A76BF" w:rsidRDefault="009C17F8" w:rsidP="00AC7321">
      <w:pPr>
        <w:spacing w:after="80"/>
        <w:rPr>
          <w:rFonts w:cs="Arial"/>
          <w:b/>
          <w:szCs w:val="20"/>
        </w:rPr>
      </w:pPr>
      <w:r w:rsidRPr="005A76BF">
        <w:rPr>
          <w:rFonts w:cs="Arial"/>
          <w:b/>
          <w:szCs w:val="20"/>
        </w:rPr>
        <w:t>Milestone 5 (30 June 2023</w:t>
      </w:r>
      <w:r w:rsidR="008F6C1E">
        <w:rPr>
          <w:rFonts w:cs="Arial"/>
          <w:b/>
          <w:szCs w:val="20"/>
        </w:rPr>
        <w:t>—</w:t>
      </w:r>
      <w:r w:rsidRPr="005A76BF">
        <w:rPr>
          <w:rFonts w:cs="Arial"/>
          <w:b/>
          <w:szCs w:val="20"/>
        </w:rPr>
        <w:t>compliance date 30 June 2024):</w:t>
      </w:r>
    </w:p>
    <w:p w14:paraId="23DA48BB" w14:textId="1C62B437" w:rsidR="009C17F8" w:rsidRPr="00085C4A" w:rsidRDefault="009C17F8" w:rsidP="00AC7321">
      <w:pPr>
        <w:pStyle w:val="ListBullet"/>
        <w:numPr>
          <w:ilvl w:val="0"/>
          <w:numId w:val="1"/>
        </w:numPr>
        <w:tabs>
          <w:tab w:val="clear" w:pos="295"/>
          <w:tab w:val="num" w:pos="426"/>
        </w:tabs>
        <w:ind w:left="426" w:hanging="426"/>
        <w:rPr>
          <w:rFonts w:cs="Arial"/>
          <w:szCs w:val="20"/>
        </w:rPr>
      </w:pPr>
      <w:r w:rsidRPr="00085C4A">
        <w:rPr>
          <w:rFonts w:cs="Arial"/>
          <w:szCs w:val="20"/>
        </w:rPr>
        <w:t>TLMS will be required to have completed transition to the 2 x 3 MHz frequency-adjacent (above) two-frequency fixed links in the lower part of the 800 MHz band, maintaining the current 45 MHz split</w:t>
      </w:r>
      <w:r w:rsidR="008F6C1E">
        <w:rPr>
          <w:rFonts w:cs="Arial"/>
          <w:szCs w:val="20"/>
        </w:rPr>
        <w:t>,</w:t>
      </w:r>
      <w:r w:rsidRPr="00085C4A">
        <w:rPr>
          <w:rFonts w:cs="Arial"/>
          <w:szCs w:val="20"/>
        </w:rPr>
        <w:t xml:space="preserve"> but with a new 12.5 kHz-based channel raster (channels will be able to be aggregated, so 25 kHz channels will still be supported)</w:t>
      </w:r>
      <w:r w:rsidR="008F6C1E">
        <w:rPr>
          <w:rFonts w:cs="Arial"/>
          <w:szCs w:val="20"/>
        </w:rPr>
        <w:t>.</w:t>
      </w:r>
    </w:p>
    <w:p w14:paraId="0824E72F" w14:textId="04E87864" w:rsidR="009C17F8" w:rsidRPr="00085C4A" w:rsidRDefault="009C17F8" w:rsidP="00AC7321">
      <w:pPr>
        <w:pStyle w:val="ListBullet"/>
        <w:numPr>
          <w:ilvl w:val="0"/>
          <w:numId w:val="1"/>
        </w:numPr>
        <w:tabs>
          <w:tab w:val="clear" w:pos="295"/>
          <w:tab w:val="num" w:pos="426"/>
        </w:tabs>
        <w:ind w:left="426" w:hanging="426"/>
        <w:rPr>
          <w:rFonts w:cs="Arial"/>
          <w:szCs w:val="20"/>
        </w:rPr>
      </w:pPr>
      <w:r w:rsidRPr="00085C4A">
        <w:rPr>
          <w:rFonts w:cs="Arial"/>
          <w:szCs w:val="20"/>
        </w:rPr>
        <w:t>Single frequency (single channel) fixed links will be required to have ceased operation in 857</w:t>
      </w:r>
      <w:r w:rsidR="008F6C1E">
        <w:rPr>
          <w:rFonts w:cs="Arial"/>
          <w:szCs w:val="20"/>
        </w:rPr>
        <w:t>–</w:t>
      </w:r>
      <w:r w:rsidRPr="00085C4A">
        <w:rPr>
          <w:rFonts w:cs="Arial"/>
          <w:szCs w:val="20"/>
        </w:rPr>
        <w:t>861 MHz</w:t>
      </w:r>
      <w:r w:rsidR="008F6C1E">
        <w:rPr>
          <w:rFonts w:cs="Arial"/>
          <w:szCs w:val="20"/>
        </w:rPr>
        <w:t>.</w:t>
      </w:r>
    </w:p>
    <w:p w14:paraId="0AC5A0DD" w14:textId="655F4B53"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Cordless telephone services will be required to have ceased operation in 857</w:t>
      </w:r>
      <w:r w:rsidR="008F6C1E">
        <w:rPr>
          <w:rFonts w:cs="Arial"/>
          <w:szCs w:val="20"/>
        </w:rPr>
        <w:t>–</w:t>
      </w:r>
      <w:r w:rsidRPr="00085C4A">
        <w:rPr>
          <w:rFonts w:cs="Arial"/>
          <w:szCs w:val="20"/>
        </w:rPr>
        <w:t>865 MHz.</w:t>
      </w:r>
    </w:p>
    <w:p w14:paraId="5AB8E6E5" w14:textId="77777777" w:rsidR="009C17F8" w:rsidRPr="005A76BF" w:rsidRDefault="009C17F8" w:rsidP="00AC7321">
      <w:pPr>
        <w:spacing w:after="80"/>
        <w:rPr>
          <w:rFonts w:cs="Arial"/>
          <w:b/>
          <w:szCs w:val="20"/>
        </w:rPr>
      </w:pPr>
      <w:r w:rsidRPr="005A76BF">
        <w:rPr>
          <w:rFonts w:cs="Arial"/>
          <w:b/>
          <w:szCs w:val="20"/>
        </w:rPr>
        <w:t>Milestone 6 (30 June 2024):</w:t>
      </w:r>
    </w:p>
    <w:p w14:paraId="027ECA45" w14:textId="32EF4C28" w:rsidR="009C17F8" w:rsidRPr="00085C4A" w:rsidRDefault="009C17F8" w:rsidP="00AC7321">
      <w:pPr>
        <w:pStyle w:val="ListBullet"/>
        <w:numPr>
          <w:ilvl w:val="0"/>
          <w:numId w:val="1"/>
        </w:numPr>
        <w:tabs>
          <w:tab w:val="clear" w:pos="295"/>
          <w:tab w:val="num" w:pos="426"/>
        </w:tabs>
        <w:spacing w:after="240"/>
        <w:ind w:left="426" w:hanging="426"/>
        <w:rPr>
          <w:rFonts w:cs="Arial"/>
          <w:szCs w:val="20"/>
        </w:rPr>
      </w:pPr>
      <w:r w:rsidRPr="00085C4A">
        <w:rPr>
          <w:rFonts w:cs="Arial"/>
          <w:szCs w:val="20"/>
        </w:rPr>
        <w:t>Earliest date for commencement of operation of new services in the band 809</w:t>
      </w:r>
      <w:r w:rsidR="008F6C1E">
        <w:rPr>
          <w:rFonts w:cs="Arial"/>
          <w:szCs w:val="20"/>
        </w:rPr>
        <w:t>–</w:t>
      </w:r>
      <w:r w:rsidRPr="00085C4A">
        <w:rPr>
          <w:rFonts w:cs="Arial"/>
          <w:szCs w:val="20"/>
        </w:rPr>
        <w:t>824/852</w:t>
      </w:r>
      <w:r w:rsidR="008F6C1E">
        <w:rPr>
          <w:rFonts w:cs="Arial"/>
          <w:szCs w:val="20"/>
        </w:rPr>
        <w:t>–</w:t>
      </w:r>
      <w:r w:rsidRPr="00085C4A">
        <w:rPr>
          <w:rFonts w:cs="Arial"/>
          <w:szCs w:val="20"/>
        </w:rPr>
        <w:t>869 MHz. I</w:t>
      </w:r>
      <w:r w:rsidR="008F6C1E">
        <w:rPr>
          <w:rFonts w:cs="Arial"/>
          <w:szCs w:val="20"/>
        </w:rPr>
        <w:t>t</w:t>
      </w:r>
      <w:r w:rsidRPr="00085C4A">
        <w:rPr>
          <w:rFonts w:cs="Arial"/>
          <w:szCs w:val="20"/>
        </w:rPr>
        <w:t xml:space="preserve"> should be noted that development of the technical framework and allocation of licences in the 850 MHz expansion band is anticipated to be completed prior to Milestone 6 and will be optimised for the provision of mobile broadband services</w:t>
      </w:r>
      <w:r w:rsidR="008F6C1E">
        <w:rPr>
          <w:rFonts w:cs="Arial"/>
          <w:szCs w:val="20"/>
        </w:rPr>
        <w:t>,</w:t>
      </w:r>
      <w:r w:rsidRPr="00085C4A">
        <w:rPr>
          <w:rFonts w:cs="Arial"/>
          <w:szCs w:val="20"/>
        </w:rPr>
        <w:t xml:space="preserve"> but would also be expected to enable use by narrowband TLMS.</w:t>
      </w:r>
    </w:p>
    <w:p w14:paraId="55225BD5" w14:textId="23FB3E9C" w:rsidR="009C17F8" w:rsidRPr="00EA4A70" w:rsidRDefault="009C17F8" w:rsidP="009C17F8">
      <w:pPr>
        <w:pStyle w:val="ListBullet"/>
        <w:spacing w:after="240"/>
        <w:rPr>
          <w:rFonts w:cs="Arial"/>
          <w:i/>
          <w:szCs w:val="20"/>
        </w:rPr>
      </w:pPr>
      <w:r w:rsidRPr="00A3164D">
        <w:t xml:space="preserve">Concurrent with the above process, the ACMA will be working separately with licensees in the current mobile bands </w:t>
      </w:r>
      <w:r>
        <w:t>to enable</w:t>
      </w:r>
      <w:r w:rsidRPr="00A3164D">
        <w:t xml:space="preserve"> the GSM band (890</w:t>
      </w:r>
      <w:r w:rsidR="008F6C1E">
        <w:t>–</w:t>
      </w:r>
      <w:r w:rsidRPr="00A3164D">
        <w:t>915/935</w:t>
      </w:r>
      <w:r w:rsidR="008F6C1E">
        <w:t>–</w:t>
      </w:r>
      <w:r w:rsidRPr="00A3164D">
        <w:t>960</w:t>
      </w:r>
      <w:r w:rsidR="001651CF">
        <w:t> </w:t>
      </w:r>
      <w:r w:rsidRPr="00A3164D">
        <w:t xml:space="preserve">MHz) to </w:t>
      </w:r>
      <w:r>
        <w:t>be</w:t>
      </w:r>
      <w:r w:rsidR="005A76BF">
        <w:t xml:space="preserve"> </w:t>
      </w:r>
      <w:r>
        <w:t xml:space="preserve">used </w:t>
      </w:r>
      <w:r w:rsidR="005A76BF">
        <w:t>efficiently</w:t>
      </w:r>
      <w:r>
        <w:t xml:space="preserve"> for current and emerging technologies </w:t>
      </w:r>
      <w:r w:rsidRPr="00A3164D">
        <w:t>and downshifting the entire 850 MHz band (825</w:t>
      </w:r>
      <w:r w:rsidR="008F6C1E">
        <w:t>–</w:t>
      </w:r>
      <w:r w:rsidRPr="00A3164D">
        <w:t>845/870</w:t>
      </w:r>
      <w:r w:rsidR="008F6C1E">
        <w:t>–</w:t>
      </w:r>
      <w:r w:rsidRPr="00A3164D">
        <w:t>890 MHz) by 1 MHz, to be directly frequency-adjacent the new expansion band (see Chapter 4). To facilitate this, 824</w:t>
      </w:r>
      <w:r w:rsidR="008F6C1E">
        <w:t>–</w:t>
      </w:r>
      <w:r w:rsidRPr="00A3164D">
        <w:t>825/869</w:t>
      </w:r>
      <w:r w:rsidR="008F6C1E">
        <w:t>–</w:t>
      </w:r>
      <w:r w:rsidRPr="00A3164D">
        <w:t>870 MHz will be cleared by Milestone 5.</w:t>
      </w:r>
      <w:r w:rsidRPr="009C17F8">
        <w:rPr>
          <w:rFonts w:cs="Arial"/>
          <w:i/>
          <w:szCs w:val="20"/>
        </w:rPr>
        <w:t xml:space="preserve"> </w:t>
      </w:r>
    </w:p>
    <w:p w14:paraId="2229DF03" w14:textId="5442B307" w:rsidR="00B75DE7" w:rsidRDefault="00055F7A" w:rsidP="00B75DE7">
      <w:pPr>
        <w:pStyle w:val="ACMAFigureHeader"/>
        <w:keepNext/>
        <w:keepLines/>
        <w:numPr>
          <w:ilvl w:val="0"/>
          <w:numId w:val="0"/>
        </w:numPr>
        <w:tabs>
          <w:tab w:val="left" w:pos="1418"/>
        </w:tabs>
        <w:ind w:left="1418" w:hanging="1418"/>
        <w:rPr>
          <w:rFonts w:cs="Arial"/>
          <w:color w:val="231F20"/>
        </w:rPr>
      </w:pPr>
      <w:r>
        <w:t>Figure 3.3</w:t>
      </w:r>
      <w:r w:rsidR="00B75DE7">
        <w:t>.</w:t>
      </w:r>
      <w:r>
        <w:t>1</w:t>
      </w:r>
      <w:r w:rsidR="00B75DE7">
        <w:t>.</w:t>
      </w:r>
      <w:r>
        <w:t>1</w:t>
      </w:r>
      <w:r w:rsidR="00B75DE7">
        <w:t>:</w:t>
      </w:r>
      <w:r w:rsidR="00B75DE7">
        <w:tab/>
      </w:r>
      <w:r>
        <w:t xml:space="preserve">Transitions </w:t>
      </w:r>
      <w:r w:rsidRPr="009C17F8">
        <w:rPr>
          <w:rFonts w:cs="Arial"/>
        </w:rPr>
        <w:t xml:space="preserve">from current arrangements to </w:t>
      </w:r>
      <w:r w:rsidR="00EB754F">
        <w:rPr>
          <w:rFonts w:cs="Arial"/>
        </w:rPr>
        <w:t>m</w:t>
      </w:r>
      <w:r w:rsidRPr="009C17F8">
        <w:rPr>
          <w:rFonts w:cs="Arial"/>
        </w:rPr>
        <w:t xml:space="preserve">ilestone 1 and 2 post compliance arrangements (one year after the </w:t>
      </w:r>
      <w:r w:rsidR="00EB754F">
        <w:rPr>
          <w:rFonts w:cs="Arial"/>
        </w:rPr>
        <w:t>m</w:t>
      </w:r>
      <w:r w:rsidRPr="009C17F8">
        <w:rPr>
          <w:rFonts w:cs="Arial"/>
        </w:rPr>
        <w:t>ilestone dates</w:t>
      </w:r>
      <w:r w:rsidR="008F6C1E" w:rsidRPr="009C17F8">
        <w:rPr>
          <w:rFonts w:cs="Arial"/>
        </w:rPr>
        <w:t>)</w:t>
      </w:r>
      <w:r w:rsidR="008F6C1E">
        <w:rPr>
          <w:rFonts w:cs="Arial"/>
        </w:rPr>
        <w:t>—u</w:t>
      </w:r>
      <w:r w:rsidRPr="009C17F8">
        <w:rPr>
          <w:rFonts w:cs="Arial"/>
        </w:rPr>
        <w:t>naffected segments are greyed out</w:t>
      </w:r>
    </w:p>
    <w:p w14:paraId="3B5D3E65" w14:textId="77777777" w:rsidR="009C17F8" w:rsidRDefault="009C17F8" w:rsidP="00055F7A">
      <w:pPr>
        <w:pStyle w:val="ACMAFigureHeader"/>
        <w:keepLines/>
        <w:numPr>
          <w:ilvl w:val="0"/>
          <w:numId w:val="0"/>
        </w:numPr>
        <w:jc w:val="center"/>
      </w:pPr>
      <w:r w:rsidRPr="002D66F9">
        <w:rPr>
          <w:rFonts w:cs="Arial"/>
          <w:noProof/>
        </w:rPr>
        <w:drawing>
          <wp:inline distT="0" distB="0" distL="0" distR="0" wp14:anchorId="442233ED" wp14:editId="49BF0B1E">
            <wp:extent cx="5487886" cy="7439740"/>
            <wp:effectExtent l="0" t="0" r="0" b="8890"/>
            <wp:docPr id="36" name="Picture 36" descr="Transitions from current arrangements to Milestone 1 and 2 post compliance arrangements (one year after the milestone dates)—unaffected segments are greye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495815" cy="7450489"/>
                    </a:xfrm>
                    <a:prstGeom prst="rect">
                      <a:avLst/>
                    </a:prstGeom>
                    <a:noFill/>
                    <a:ln>
                      <a:noFill/>
                    </a:ln>
                  </pic:spPr>
                </pic:pic>
              </a:graphicData>
            </a:graphic>
          </wp:inline>
        </w:drawing>
      </w:r>
    </w:p>
    <w:p w14:paraId="032F8D66" w14:textId="7826EE77" w:rsidR="00055F7A" w:rsidRPr="00055F7A" w:rsidRDefault="00055F7A" w:rsidP="00055F7A">
      <w:pPr>
        <w:pStyle w:val="ACMAFigureHeader"/>
        <w:keepNext/>
        <w:keepLines/>
        <w:numPr>
          <w:ilvl w:val="0"/>
          <w:numId w:val="0"/>
        </w:numPr>
        <w:tabs>
          <w:tab w:val="left" w:pos="1418"/>
        </w:tabs>
        <w:ind w:left="1418" w:hanging="1418"/>
      </w:pPr>
      <w:r>
        <w:t>Figure 3.3.1.2:</w:t>
      </w:r>
      <w:r>
        <w:tab/>
        <w:t xml:space="preserve">Transitions </w:t>
      </w:r>
      <w:r w:rsidRPr="00055F7A">
        <w:t>from Milestone 2 post-compliance arrangements (at 30 June 2021) to Milestone 3 post-compliance arrangements (one year after the Milestone 3 date) and then the final, post-transition state of the band</w:t>
      </w:r>
      <w:r w:rsidR="008F6C1E">
        <w:t>—u</w:t>
      </w:r>
      <w:r w:rsidRPr="00055F7A">
        <w:t>naffected segments are greyed out</w:t>
      </w:r>
    </w:p>
    <w:p w14:paraId="52503A53" w14:textId="77777777" w:rsidR="009C17F8" w:rsidRDefault="009C17F8" w:rsidP="00AC7321">
      <w:pPr>
        <w:pStyle w:val="ACMAFigureHeader"/>
        <w:keepLines/>
        <w:numPr>
          <w:ilvl w:val="0"/>
          <w:numId w:val="0"/>
        </w:numPr>
        <w:spacing w:after="0"/>
        <w:jc w:val="center"/>
      </w:pPr>
      <w:r w:rsidRPr="002D66F9">
        <w:rPr>
          <w:noProof/>
        </w:rPr>
        <w:drawing>
          <wp:inline distT="0" distB="0" distL="0" distR="0" wp14:anchorId="75EC1307" wp14:editId="375E2EC5">
            <wp:extent cx="5498990" cy="7118620"/>
            <wp:effectExtent l="0" t="0" r="6985" b="6350"/>
            <wp:docPr id="37" name="Picture 37" descr="Transitions from Milestone 2 post-compliance arrangements (at 30 June 2021) to Milestone 3 post-compliance arrangements (one year after the Milestone 3 date) and then the final, post-transition state of the band—unaffected segments are greye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803-960 MHz Review\Pictures\Milestone 3_4_new format.bmp"/>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510402" cy="7133393"/>
                    </a:xfrm>
                    <a:prstGeom prst="rect">
                      <a:avLst/>
                    </a:prstGeom>
                    <a:noFill/>
                    <a:ln>
                      <a:noFill/>
                    </a:ln>
                  </pic:spPr>
                </pic:pic>
              </a:graphicData>
            </a:graphic>
          </wp:inline>
        </w:drawing>
      </w:r>
    </w:p>
    <w:p w14:paraId="292F82E2" w14:textId="77777777" w:rsidR="00DD3B59" w:rsidRDefault="00DD3B59" w:rsidP="00AC7321">
      <w:pPr>
        <w:pStyle w:val="ACMASpaceaftertable"/>
      </w:pPr>
    </w:p>
    <w:p w14:paraId="6ADA6BCD" w14:textId="77777777" w:rsidR="009C17F8" w:rsidRDefault="009C17F8" w:rsidP="009C17F8">
      <w:pPr>
        <w:pStyle w:val="Heading3"/>
        <w:numPr>
          <w:ilvl w:val="2"/>
          <w:numId w:val="33"/>
        </w:numPr>
        <w:ind w:left="709"/>
      </w:pPr>
      <w:bookmarkStart w:id="26" w:name="_Toc434999451"/>
      <w:r>
        <w:t>Actions to be taken by the ACMA</w:t>
      </w:r>
      <w:bookmarkEnd w:id="26"/>
    </w:p>
    <w:p w14:paraId="58668CA9" w14:textId="321631D0" w:rsidR="001A4286" w:rsidRPr="001A4286" w:rsidRDefault="001A4286" w:rsidP="001A4286">
      <w:pPr>
        <w:rPr>
          <w:rFonts w:cs="Arial"/>
        </w:rPr>
      </w:pPr>
      <w:r w:rsidRPr="001A4286">
        <w:rPr>
          <w:rFonts w:cs="Arial"/>
        </w:rPr>
        <w:t xml:space="preserve">This section lists the individual actions that the ACMA will need to take to enact the decisions listed in previous sections. These actions will put into effect the transition sequence described in Section 3.3.1 and will be made incrementally in conjunction with the requisite modifications to the new 800 and 900 MHz band plans (RALI MS 40 and 41 respectively) to reflect the new arrangements. Actions listed are to be completed </w:t>
      </w:r>
      <w:r w:rsidRPr="001A4286">
        <w:rPr>
          <w:rFonts w:cs="Arial"/>
          <w:i/>
        </w:rPr>
        <w:t xml:space="preserve">by </w:t>
      </w:r>
      <w:r w:rsidRPr="001A4286">
        <w:rPr>
          <w:rFonts w:cs="Arial"/>
        </w:rPr>
        <w:t xml:space="preserve">the </w:t>
      </w:r>
      <w:r w:rsidR="00C86B88" w:rsidRPr="00AC7321">
        <w:rPr>
          <w:rFonts w:cs="Arial"/>
        </w:rPr>
        <w:t>k</w:t>
      </w:r>
      <w:r w:rsidRPr="00DD3B59">
        <w:rPr>
          <w:rFonts w:cs="Arial"/>
        </w:rPr>
        <w:t xml:space="preserve">ey </w:t>
      </w:r>
      <w:r w:rsidR="00C86B88" w:rsidRPr="00AC7321">
        <w:rPr>
          <w:rFonts w:cs="Arial"/>
        </w:rPr>
        <w:t>d</w:t>
      </w:r>
      <w:r w:rsidRPr="00DD3B59">
        <w:rPr>
          <w:rFonts w:cs="Arial"/>
        </w:rPr>
        <w:t>ates</w:t>
      </w:r>
      <w:r w:rsidRPr="001A4286">
        <w:rPr>
          <w:rFonts w:cs="Arial"/>
        </w:rPr>
        <w:t xml:space="preserve"> identified (not ex-post as per the </w:t>
      </w:r>
      <w:r w:rsidR="00DD3B59">
        <w:rPr>
          <w:rFonts w:cs="Arial"/>
        </w:rPr>
        <w:t>m</w:t>
      </w:r>
      <w:r w:rsidRPr="001A4286">
        <w:rPr>
          <w:rFonts w:cs="Arial"/>
        </w:rPr>
        <w:t>ilestones for industry and operators).</w:t>
      </w: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9C17F8" w:rsidRPr="006D46E5" w14:paraId="71724C52" w14:textId="77777777" w:rsidTr="00AC7321">
        <w:trPr>
          <w:tblHeader/>
        </w:trPr>
        <w:tc>
          <w:tcPr>
            <w:tcW w:w="2524" w:type="dxa"/>
            <w:tcBorders>
              <w:bottom w:val="single" w:sz="4" w:space="0" w:color="auto"/>
            </w:tcBorders>
            <w:shd w:val="clear" w:color="auto" w:fill="404040" w:themeFill="text1" w:themeFillTint="BF"/>
          </w:tcPr>
          <w:p w14:paraId="712F0C87" w14:textId="1881CBD0" w:rsidR="009C17F8" w:rsidRPr="00AC7321" w:rsidRDefault="009C17F8" w:rsidP="00AC7321">
            <w:pPr>
              <w:pStyle w:val="TableHeading"/>
              <w:rPr>
                <w:b w:val="0"/>
                <w:color w:val="FFFFFF" w:themeColor="background1"/>
              </w:rPr>
            </w:pPr>
            <w:r w:rsidRPr="00AC7321">
              <w:rPr>
                <w:color w:val="FFFFFF" w:themeColor="background1"/>
              </w:rPr>
              <w:t xml:space="preserve">Key </w:t>
            </w:r>
            <w:r w:rsidR="008F6C1E"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35008EC8" w14:textId="77777777" w:rsidR="009C17F8" w:rsidRPr="00AC7321" w:rsidRDefault="009C17F8" w:rsidP="00AC7321">
            <w:pPr>
              <w:pStyle w:val="TableHeading"/>
              <w:rPr>
                <w:color w:val="FFFFFF" w:themeColor="background1"/>
              </w:rPr>
            </w:pPr>
            <w:r w:rsidRPr="00AC7321">
              <w:rPr>
                <w:color w:val="FFFFFF" w:themeColor="background1"/>
              </w:rPr>
              <w:t>1</w:t>
            </w:r>
          </w:p>
        </w:tc>
      </w:tr>
      <w:tr w:rsidR="009C17F8" w:rsidRPr="006D46E5" w14:paraId="2BA97195" w14:textId="77777777" w:rsidTr="00071CEA">
        <w:tc>
          <w:tcPr>
            <w:tcW w:w="2524" w:type="dxa"/>
            <w:shd w:val="clear" w:color="auto" w:fill="F2F2F2" w:themeFill="background1" w:themeFillShade="F2"/>
          </w:tcPr>
          <w:p w14:paraId="48E6D26F" w14:textId="77777777" w:rsidR="009C17F8" w:rsidRPr="001A4286" w:rsidRDefault="009C17F8" w:rsidP="001A4286">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5A23D4D9" w14:textId="77777777" w:rsidR="009C17F8" w:rsidRPr="001A4286" w:rsidRDefault="009C17F8" w:rsidP="001A4286">
            <w:pPr>
              <w:pStyle w:val="TableBody"/>
              <w:keepNext/>
              <w:keepLines/>
              <w:rPr>
                <w:rFonts w:cs="Arial"/>
                <w:szCs w:val="20"/>
              </w:rPr>
            </w:pPr>
            <w:r w:rsidRPr="001A4286">
              <w:rPr>
                <w:rFonts w:cs="Arial"/>
                <w:szCs w:val="20"/>
              </w:rPr>
              <w:t>October 2015 (completed)</w:t>
            </w:r>
          </w:p>
        </w:tc>
      </w:tr>
      <w:tr w:rsidR="009C17F8" w:rsidRPr="006D46E5" w14:paraId="3208A0C6" w14:textId="77777777" w:rsidTr="00071CEA">
        <w:tc>
          <w:tcPr>
            <w:tcW w:w="2524" w:type="dxa"/>
          </w:tcPr>
          <w:p w14:paraId="1E77386C" w14:textId="77777777" w:rsidR="009C17F8" w:rsidRPr="001A4286" w:rsidRDefault="009C17F8" w:rsidP="001A4286">
            <w:pPr>
              <w:pStyle w:val="TableBody"/>
              <w:keepNext/>
              <w:keepLines/>
              <w:rPr>
                <w:rFonts w:cs="Arial"/>
                <w:b/>
                <w:szCs w:val="20"/>
              </w:rPr>
            </w:pPr>
            <w:r w:rsidRPr="001A4286">
              <w:rPr>
                <w:rFonts w:cs="Arial"/>
                <w:b/>
                <w:szCs w:val="20"/>
              </w:rPr>
              <w:t>Action to be taken by the above date:</w:t>
            </w:r>
          </w:p>
        </w:tc>
        <w:tc>
          <w:tcPr>
            <w:tcW w:w="6980" w:type="dxa"/>
          </w:tcPr>
          <w:p w14:paraId="5EBC5229" w14:textId="5A43EFBE" w:rsidR="009C17F8" w:rsidRPr="001A4286" w:rsidRDefault="009C17F8" w:rsidP="00AC7321">
            <w:pPr>
              <w:spacing w:after="40" w:line="240" w:lineRule="auto"/>
              <w:rPr>
                <w:rFonts w:cs="Arial"/>
              </w:rPr>
            </w:pPr>
            <w:r w:rsidRPr="001A4286">
              <w:rPr>
                <w:rFonts w:cs="Arial"/>
                <w:u w:val="single"/>
              </w:rPr>
              <w:t>Action 1:</w:t>
            </w:r>
            <w:r w:rsidRPr="001A4286">
              <w:rPr>
                <w:rFonts w:cs="Arial"/>
              </w:rPr>
              <w:t xml:space="preserve"> Allow the current 900 MHz legislative band plan to sunset and create two new administrative band plans:</w:t>
            </w:r>
          </w:p>
          <w:p w14:paraId="79A8E14F" w14:textId="5858E1D9" w:rsidR="009C17F8" w:rsidRPr="001A4286" w:rsidRDefault="009C17F8" w:rsidP="00AC7321">
            <w:pPr>
              <w:pStyle w:val="ListBullet"/>
              <w:numPr>
                <w:ilvl w:val="0"/>
                <w:numId w:val="40"/>
              </w:numPr>
              <w:spacing w:after="40" w:line="240" w:lineRule="auto"/>
              <w:ind w:left="714" w:hanging="357"/>
              <w:rPr>
                <w:rFonts w:cs="Arial"/>
              </w:rPr>
            </w:pPr>
            <w:r w:rsidRPr="001A4286">
              <w:rPr>
                <w:rFonts w:cs="Arial"/>
              </w:rPr>
              <w:t>800 MHz band plan (803</w:t>
            </w:r>
            <w:r w:rsidR="008F6C1E">
              <w:rPr>
                <w:rFonts w:cs="Arial"/>
              </w:rPr>
              <w:t>–</w:t>
            </w:r>
            <w:r w:rsidRPr="001A4286">
              <w:rPr>
                <w:rFonts w:cs="Arial"/>
              </w:rPr>
              <w:t>890 MHz)</w:t>
            </w:r>
          </w:p>
          <w:p w14:paraId="5ED87B8C" w14:textId="64DD1B5F" w:rsidR="009C17F8" w:rsidRPr="001A4286" w:rsidRDefault="009C17F8" w:rsidP="001A4286">
            <w:pPr>
              <w:pStyle w:val="ListBullet"/>
              <w:numPr>
                <w:ilvl w:val="0"/>
                <w:numId w:val="40"/>
              </w:numPr>
              <w:spacing w:after="0" w:line="240" w:lineRule="auto"/>
              <w:ind w:left="714" w:hanging="357"/>
              <w:rPr>
                <w:rFonts w:cs="Arial"/>
              </w:rPr>
            </w:pPr>
            <w:r w:rsidRPr="001A4286">
              <w:rPr>
                <w:rFonts w:cs="Arial"/>
              </w:rPr>
              <w:t>900 MHz band plan (890</w:t>
            </w:r>
            <w:r w:rsidR="008F6C1E">
              <w:rPr>
                <w:rFonts w:cs="Arial"/>
              </w:rPr>
              <w:t>–</w:t>
            </w:r>
            <w:r w:rsidRPr="001A4286">
              <w:rPr>
                <w:rFonts w:cs="Arial"/>
              </w:rPr>
              <w:t>960 MHz).</w:t>
            </w:r>
          </w:p>
        </w:tc>
      </w:tr>
    </w:tbl>
    <w:p w14:paraId="100C8986" w14:textId="77777777" w:rsidR="005A76BF" w:rsidRDefault="005A76BF" w:rsidP="001A4286">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1A4286" w:rsidRPr="006D46E5" w14:paraId="09EB4402" w14:textId="77777777" w:rsidTr="00AC7321">
        <w:tc>
          <w:tcPr>
            <w:tcW w:w="2524" w:type="dxa"/>
            <w:tcBorders>
              <w:bottom w:val="single" w:sz="4" w:space="0" w:color="auto"/>
            </w:tcBorders>
            <w:shd w:val="clear" w:color="auto" w:fill="404040" w:themeFill="text1" w:themeFillTint="BF"/>
          </w:tcPr>
          <w:p w14:paraId="4C0498FE" w14:textId="116FE7AD" w:rsidR="001A4286" w:rsidRPr="00AC7321" w:rsidRDefault="001A4286" w:rsidP="00AC7321">
            <w:pPr>
              <w:pStyle w:val="TableHeading"/>
              <w:rPr>
                <w:b w:val="0"/>
                <w:color w:val="FFFFFF" w:themeColor="background1"/>
              </w:rPr>
            </w:pPr>
            <w:r w:rsidRPr="00AC7321">
              <w:rPr>
                <w:color w:val="FFFFFF" w:themeColor="background1"/>
              </w:rPr>
              <w:t xml:space="preserve">Key </w:t>
            </w:r>
            <w:r w:rsidR="008F6C1E"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676E34C4" w14:textId="77777777" w:rsidR="001A4286" w:rsidRPr="00AC7321" w:rsidRDefault="001A4286" w:rsidP="00AC7321">
            <w:pPr>
              <w:pStyle w:val="TableHeading"/>
              <w:rPr>
                <w:color w:val="FFFFFF" w:themeColor="background1"/>
              </w:rPr>
            </w:pPr>
            <w:r w:rsidRPr="00AC7321">
              <w:rPr>
                <w:color w:val="FFFFFF" w:themeColor="background1"/>
              </w:rPr>
              <w:t>2</w:t>
            </w:r>
          </w:p>
        </w:tc>
      </w:tr>
      <w:tr w:rsidR="001A4286" w:rsidRPr="006D46E5" w14:paraId="5D894E41" w14:textId="77777777" w:rsidTr="00071CEA">
        <w:tc>
          <w:tcPr>
            <w:tcW w:w="2524" w:type="dxa"/>
            <w:shd w:val="clear" w:color="auto" w:fill="F2F2F2" w:themeFill="background1" w:themeFillShade="F2"/>
          </w:tcPr>
          <w:p w14:paraId="219CBD6C" w14:textId="77777777" w:rsidR="001A4286" w:rsidRPr="001A4286" w:rsidRDefault="001A4286" w:rsidP="005A76BF">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151B90A9" w14:textId="77777777" w:rsidR="001A4286" w:rsidRPr="001A4286" w:rsidRDefault="001A4286" w:rsidP="005A76BF">
            <w:pPr>
              <w:pStyle w:val="TableBody"/>
              <w:rPr>
                <w:rFonts w:cs="Arial"/>
                <w:szCs w:val="20"/>
              </w:rPr>
            </w:pPr>
            <w:r>
              <w:rPr>
                <w:rFonts w:cs="Arial"/>
                <w:szCs w:val="20"/>
              </w:rPr>
              <w:t>30 June 2016</w:t>
            </w:r>
          </w:p>
        </w:tc>
      </w:tr>
      <w:tr w:rsidR="001A4286" w:rsidRPr="006D46E5" w14:paraId="44CC9B67" w14:textId="77777777" w:rsidTr="00071CEA">
        <w:tc>
          <w:tcPr>
            <w:tcW w:w="2524" w:type="dxa"/>
          </w:tcPr>
          <w:p w14:paraId="778BE98E" w14:textId="77777777" w:rsidR="001A4286" w:rsidRPr="001A4286" w:rsidRDefault="001A4286" w:rsidP="005A76BF">
            <w:pPr>
              <w:pStyle w:val="TableBody"/>
              <w:rPr>
                <w:rFonts w:cs="Arial"/>
                <w:b/>
                <w:szCs w:val="20"/>
              </w:rPr>
            </w:pPr>
            <w:r w:rsidRPr="001A4286">
              <w:rPr>
                <w:rFonts w:cs="Arial"/>
                <w:b/>
                <w:szCs w:val="20"/>
              </w:rPr>
              <w:t>Action to be taken by the above date:</w:t>
            </w:r>
          </w:p>
        </w:tc>
        <w:tc>
          <w:tcPr>
            <w:tcW w:w="6980" w:type="dxa"/>
          </w:tcPr>
          <w:p w14:paraId="4D8BD389" w14:textId="77777777" w:rsidR="001A4286" w:rsidRPr="001A4286" w:rsidRDefault="001A4286" w:rsidP="00AC7321">
            <w:pPr>
              <w:spacing w:after="40" w:line="240" w:lineRule="auto"/>
              <w:rPr>
                <w:rFonts w:cs="Arial"/>
                <w:szCs w:val="20"/>
              </w:rPr>
            </w:pPr>
            <w:r w:rsidRPr="001A4286">
              <w:rPr>
                <w:rFonts w:cs="Arial"/>
                <w:szCs w:val="20"/>
                <w:u w:val="single"/>
              </w:rPr>
              <w:t>Action 2.1</w:t>
            </w:r>
            <w:r w:rsidRPr="001A4286">
              <w:rPr>
                <w:rFonts w:cs="Arial"/>
                <w:szCs w:val="20"/>
              </w:rPr>
              <w:t xml:space="preserve">: Create new </w:t>
            </w:r>
            <w:r w:rsidRPr="00AC7321">
              <w:rPr>
                <w:rFonts w:cs="Arial"/>
                <w:szCs w:val="20"/>
              </w:rPr>
              <w:t xml:space="preserve">Radiocommunications Assignment and Licensing Instruction (RALI) </w:t>
            </w:r>
            <w:r w:rsidRPr="001A4286">
              <w:rPr>
                <w:rFonts w:cs="Arial"/>
                <w:szCs w:val="20"/>
              </w:rPr>
              <w:t xml:space="preserve">FX [NEW]: </w:t>
            </w:r>
          </w:p>
          <w:p w14:paraId="083F1ECB" w14:textId="77777777"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 xml:space="preserve">Include amalgamated </w:t>
            </w:r>
            <w:r w:rsidRPr="001A4286">
              <w:rPr>
                <w:rFonts w:cs="Arial"/>
                <w:i/>
              </w:rPr>
              <w:t>single frequency (low capacity)</w:t>
            </w:r>
            <w:r w:rsidRPr="001A4286">
              <w:rPr>
                <w:rFonts w:cs="Arial"/>
              </w:rPr>
              <w:t xml:space="preserve"> and </w:t>
            </w:r>
            <w:r w:rsidRPr="001A4286">
              <w:rPr>
                <w:rFonts w:cs="Arial"/>
                <w:i/>
              </w:rPr>
              <w:t>single frequency (single channel)</w:t>
            </w:r>
            <w:r w:rsidRPr="001A4286">
              <w:rPr>
                <w:rFonts w:cs="Arial"/>
              </w:rPr>
              <w:t xml:space="preserve"> fixed links under common </w:t>
            </w:r>
            <w:r w:rsidRPr="001A4286">
              <w:rPr>
                <w:rFonts w:cs="Arial"/>
                <w:i/>
              </w:rPr>
              <w:t>single frequency</w:t>
            </w:r>
            <w:r w:rsidRPr="001A4286">
              <w:rPr>
                <w:rFonts w:cs="Arial"/>
              </w:rPr>
              <w:t xml:space="preserve"> fixed links terminology, with the following provisions:</w:t>
            </w:r>
          </w:p>
          <w:p w14:paraId="788CF40F" w14:textId="66038179"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845</w:t>
            </w:r>
            <w:r w:rsidR="008F6C1E">
              <w:rPr>
                <w:rFonts w:cs="Arial"/>
              </w:rPr>
              <w:t>–</w:t>
            </w:r>
            <w:r w:rsidRPr="001A4286">
              <w:rPr>
                <w:rFonts w:cs="Arial"/>
              </w:rPr>
              <w:t>852 MHz allocated on a primary basis</w:t>
            </w:r>
            <w:r w:rsidR="00B4296D">
              <w:rPr>
                <w:rFonts w:cs="Arial"/>
              </w:rPr>
              <w:t>:</w:t>
            </w:r>
          </w:p>
          <w:p w14:paraId="527BEAFE" w14:textId="24A428B2" w:rsidR="001A4286" w:rsidRPr="001A4286" w:rsidRDefault="00B4296D" w:rsidP="00AC7321">
            <w:pPr>
              <w:pStyle w:val="ListBullet"/>
              <w:numPr>
                <w:ilvl w:val="0"/>
                <w:numId w:val="40"/>
              </w:numPr>
              <w:spacing w:after="40" w:line="240" w:lineRule="auto"/>
              <w:ind w:left="1621" w:hanging="357"/>
              <w:rPr>
                <w:rFonts w:cs="Arial"/>
              </w:rPr>
            </w:pPr>
            <w:r>
              <w:rPr>
                <w:rFonts w:cs="Arial"/>
              </w:rPr>
              <w:t>a</w:t>
            </w:r>
            <w:r w:rsidR="001A4286" w:rsidRPr="001A4286">
              <w:rPr>
                <w:rFonts w:cs="Arial"/>
              </w:rPr>
              <w:t>llocation from 849</w:t>
            </w:r>
            <w:r w:rsidR="008F6C1E">
              <w:rPr>
                <w:rFonts w:cs="Arial"/>
              </w:rPr>
              <w:t>–</w:t>
            </w:r>
            <w:r w:rsidR="001A4286" w:rsidRPr="001A4286">
              <w:rPr>
                <w:rFonts w:cs="Arial"/>
              </w:rPr>
              <w:t xml:space="preserve">852 MHz to be removed at Key </w:t>
            </w:r>
            <w:r w:rsidR="008F6C1E">
              <w:rPr>
                <w:rFonts w:cs="Arial"/>
              </w:rPr>
              <w:t>d</w:t>
            </w:r>
            <w:r w:rsidR="001A4286" w:rsidRPr="001A4286">
              <w:rPr>
                <w:rFonts w:cs="Arial"/>
              </w:rPr>
              <w:t>ate 3</w:t>
            </w:r>
            <w:r>
              <w:rPr>
                <w:rFonts w:cs="Arial"/>
              </w:rPr>
              <w:t>.</w:t>
            </w:r>
          </w:p>
          <w:p w14:paraId="76F302BD" w14:textId="48B9F04F"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STLs permitted on a co-primary basis with standard fixed links, with the protection requirements contained in RALI FX11 incorporated</w:t>
            </w:r>
            <w:r w:rsidR="00B4296D">
              <w:rPr>
                <w:rFonts w:cs="Arial"/>
              </w:rPr>
              <w:t>.</w:t>
            </w:r>
          </w:p>
          <w:p w14:paraId="63BCFF26" w14:textId="77777777"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12.5 kHz based channel raster, with the following parameters:</w:t>
            </w:r>
          </w:p>
          <w:p w14:paraId="6495439F" w14:textId="0B057B3A" w:rsidR="001A4286" w:rsidRPr="001A4286" w:rsidRDefault="00B4296D" w:rsidP="00AC7321">
            <w:pPr>
              <w:pStyle w:val="ListBullet"/>
              <w:numPr>
                <w:ilvl w:val="0"/>
                <w:numId w:val="40"/>
              </w:numPr>
              <w:spacing w:after="40" w:line="240" w:lineRule="auto"/>
              <w:ind w:left="1621" w:hanging="357"/>
              <w:rPr>
                <w:rFonts w:cs="Arial"/>
              </w:rPr>
            </w:pPr>
            <w:r>
              <w:rPr>
                <w:rFonts w:cs="Arial"/>
              </w:rPr>
              <w:t>c</w:t>
            </w:r>
            <w:r w:rsidR="001A4286" w:rsidRPr="001A4286">
              <w:rPr>
                <w:rFonts w:cs="Arial"/>
              </w:rPr>
              <w:t>hannel aggregation permitted (up to 32 channels)</w:t>
            </w:r>
          </w:p>
          <w:p w14:paraId="4D501D67" w14:textId="157D0350" w:rsidR="001A4286" w:rsidRPr="001A4286" w:rsidRDefault="00B4296D" w:rsidP="00AC7321">
            <w:pPr>
              <w:pStyle w:val="ListBullet"/>
              <w:numPr>
                <w:ilvl w:val="0"/>
                <w:numId w:val="40"/>
              </w:numPr>
              <w:spacing w:after="40" w:line="240" w:lineRule="auto"/>
              <w:ind w:left="1621" w:hanging="357"/>
              <w:rPr>
                <w:rFonts w:cs="Arial"/>
              </w:rPr>
            </w:pPr>
            <w:r>
              <w:rPr>
                <w:rFonts w:cs="Arial"/>
              </w:rPr>
              <w:t>c</w:t>
            </w:r>
            <w:r w:rsidR="001A4286" w:rsidRPr="001A4286">
              <w:rPr>
                <w:rFonts w:cs="Arial"/>
              </w:rPr>
              <w:t>o-channel protection requirement of 50 dB</w:t>
            </w:r>
          </w:p>
          <w:p w14:paraId="1584CED0" w14:textId="77F4CB22" w:rsidR="001A4286" w:rsidRPr="001A4286" w:rsidRDefault="00B4296D" w:rsidP="00AC7321">
            <w:pPr>
              <w:pStyle w:val="ListBullet"/>
              <w:numPr>
                <w:ilvl w:val="0"/>
                <w:numId w:val="40"/>
              </w:numPr>
              <w:spacing w:after="40" w:line="240" w:lineRule="auto"/>
              <w:ind w:left="1621" w:hanging="357"/>
              <w:rPr>
                <w:rFonts w:cs="Arial"/>
              </w:rPr>
            </w:pPr>
            <w:r>
              <w:rPr>
                <w:rFonts w:cs="Arial"/>
              </w:rPr>
              <w:t>f</w:t>
            </w:r>
            <w:r w:rsidR="001A4286" w:rsidRPr="001A4286">
              <w:rPr>
                <w:rFonts w:cs="Arial"/>
              </w:rPr>
              <w:t>irst adjacent protection requirement of 0 dB.</w:t>
            </w:r>
          </w:p>
          <w:p w14:paraId="22FEC599" w14:textId="1DDA40D7" w:rsidR="001A4286" w:rsidRPr="001A4286" w:rsidRDefault="001A4286" w:rsidP="00AC7321">
            <w:pPr>
              <w:pStyle w:val="ListBullet"/>
              <w:numPr>
                <w:ilvl w:val="0"/>
                <w:numId w:val="40"/>
              </w:numPr>
              <w:spacing w:after="40" w:line="240" w:lineRule="auto"/>
              <w:ind w:left="1196" w:hanging="357"/>
              <w:rPr>
                <w:rFonts w:cs="Arial"/>
              </w:rPr>
            </w:pPr>
            <w:r w:rsidRPr="001A4286">
              <w:rPr>
                <w:rFonts w:cs="Arial"/>
              </w:rPr>
              <w:t>Minimum 20km path length for all assignments (exceptions may be approved by the ACMA on a case-by-case basis)</w:t>
            </w:r>
            <w:r w:rsidR="00B4296D">
              <w:rPr>
                <w:rFonts w:cs="Arial"/>
              </w:rPr>
              <w:t>.</w:t>
            </w:r>
          </w:p>
          <w:p w14:paraId="22EF55BA" w14:textId="77777777"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Incorporate relevant guidance from current documents as applicable, including:</w:t>
            </w:r>
          </w:p>
          <w:p w14:paraId="52B87D90" w14:textId="7B7FF520" w:rsidR="001A4286" w:rsidRPr="001A4286" w:rsidRDefault="00B4296D" w:rsidP="00AC7321">
            <w:pPr>
              <w:pStyle w:val="ListBullet"/>
              <w:numPr>
                <w:ilvl w:val="0"/>
                <w:numId w:val="40"/>
              </w:numPr>
              <w:spacing w:after="40" w:line="240" w:lineRule="auto"/>
              <w:ind w:left="1196" w:hanging="357"/>
              <w:rPr>
                <w:rFonts w:cs="Arial"/>
              </w:rPr>
            </w:pPr>
            <w:r>
              <w:rPr>
                <w:rFonts w:cs="Arial"/>
              </w:rPr>
              <w:t>p</w:t>
            </w:r>
            <w:r w:rsidR="001A4286" w:rsidRPr="001A4286">
              <w:rPr>
                <w:rFonts w:cs="Arial"/>
              </w:rPr>
              <w:t>rotection ratios</w:t>
            </w:r>
          </w:p>
          <w:p w14:paraId="0AB5D19C" w14:textId="4C68F201" w:rsidR="001A4286" w:rsidRPr="001A4286" w:rsidRDefault="00B4296D" w:rsidP="00AC7321">
            <w:pPr>
              <w:pStyle w:val="ListBullet"/>
              <w:numPr>
                <w:ilvl w:val="0"/>
                <w:numId w:val="40"/>
              </w:numPr>
              <w:spacing w:after="40" w:line="240" w:lineRule="auto"/>
              <w:ind w:left="1196" w:hanging="357"/>
              <w:rPr>
                <w:rFonts w:cs="Arial"/>
              </w:rPr>
            </w:pPr>
            <w:r>
              <w:rPr>
                <w:rFonts w:cs="Arial"/>
              </w:rPr>
              <w:t>c</w:t>
            </w:r>
            <w:r w:rsidR="001A4286" w:rsidRPr="001A4286">
              <w:rPr>
                <w:rFonts w:cs="Arial"/>
              </w:rPr>
              <w:t>ull distances/frequencies</w:t>
            </w:r>
          </w:p>
          <w:p w14:paraId="7C370E68" w14:textId="65420E86" w:rsidR="001A4286" w:rsidRPr="001A4286" w:rsidRDefault="00B4296D" w:rsidP="00AC7321">
            <w:pPr>
              <w:pStyle w:val="ListBullet"/>
              <w:numPr>
                <w:ilvl w:val="0"/>
                <w:numId w:val="40"/>
              </w:numPr>
              <w:spacing w:after="40" w:line="240" w:lineRule="auto"/>
              <w:ind w:left="1196" w:hanging="357"/>
              <w:rPr>
                <w:rFonts w:cs="Arial"/>
              </w:rPr>
            </w:pPr>
            <w:r>
              <w:rPr>
                <w:rFonts w:cs="Arial"/>
              </w:rPr>
              <w:t>i</w:t>
            </w:r>
            <w:r w:rsidR="001A4286" w:rsidRPr="001A4286">
              <w:rPr>
                <w:rFonts w:cs="Arial"/>
              </w:rPr>
              <w:t>ntermodulation checks</w:t>
            </w:r>
          </w:p>
          <w:p w14:paraId="6730A995" w14:textId="147B0781" w:rsidR="001A4286" w:rsidRPr="001A4286" w:rsidRDefault="00B4296D" w:rsidP="00AC7321">
            <w:pPr>
              <w:pStyle w:val="ListBullet"/>
              <w:numPr>
                <w:ilvl w:val="0"/>
                <w:numId w:val="40"/>
              </w:numPr>
              <w:spacing w:after="40" w:line="240" w:lineRule="auto"/>
              <w:ind w:left="1196" w:hanging="357"/>
              <w:rPr>
                <w:rFonts w:cs="Arial"/>
              </w:rPr>
            </w:pPr>
            <w:r>
              <w:rPr>
                <w:rFonts w:cs="Arial"/>
              </w:rPr>
              <w:t>s</w:t>
            </w:r>
            <w:r w:rsidR="001A4286" w:rsidRPr="001A4286">
              <w:rPr>
                <w:rFonts w:cs="Arial"/>
              </w:rPr>
              <w:t>ite selection</w:t>
            </w:r>
          </w:p>
          <w:p w14:paraId="50E6B86E" w14:textId="58E3FFF3" w:rsidR="001A4286" w:rsidRPr="001A4286" w:rsidRDefault="00B4296D" w:rsidP="00AC7321">
            <w:pPr>
              <w:pStyle w:val="ListBullet"/>
              <w:numPr>
                <w:ilvl w:val="0"/>
                <w:numId w:val="40"/>
              </w:numPr>
              <w:spacing w:after="40" w:line="240" w:lineRule="auto"/>
              <w:ind w:left="1196" w:hanging="357"/>
              <w:rPr>
                <w:rFonts w:cs="Arial"/>
              </w:rPr>
            </w:pPr>
            <w:r>
              <w:rPr>
                <w:rFonts w:cs="Arial"/>
              </w:rPr>
              <w:t>a</w:t>
            </w:r>
            <w:r w:rsidR="001A4286" w:rsidRPr="001A4286">
              <w:rPr>
                <w:rFonts w:cs="Arial"/>
              </w:rPr>
              <w:t>ssignment priorities</w:t>
            </w:r>
          </w:p>
          <w:p w14:paraId="3E3E451A" w14:textId="2BA5B7F3" w:rsidR="001A4286" w:rsidRPr="001A4286" w:rsidRDefault="00B4296D" w:rsidP="00AC7321">
            <w:pPr>
              <w:pStyle w:val="ListBullet"/>
              <w:numPr>
                <w:ilvl w:val="0"/>
                <w:numId w:val="40"/>
              </w:numPr>
              <w:spacing w:after="40" w:line="240" w:lineRule="auto"/>
              <w:ind w:left="1196" w:hanging="357"/>
              <w:rPr>
                <w:rFonts w:cs="Arial"/>
              </w:rPr>
            </w:pPr>
            <w:r>
              <w:rPr>
                <w:rFonts w:cs="Arial"/>
              </w:rPr>
              <w:t>a</w:t>
            </w:r>
            <w:r w:rsidR="001A4286" w:rsidRPr="001A4286">
              <w:rPr>
                <w:rFonts w:cs="Arial"/>
              </w:rPr>
              <w:t>djacent channel/band requirements</w:t>
            </w:r>
          </w:p>
          <w:p w14:paraId="75EDDAEC" w14:textId="0F8EBE5F" w:rsidR="001A4286" w:rsidRPr="001A4286" w:rsidRDefault="00B4296D" w:rsidP="00AC7321">
            <w:pPr>
              <w:pStyle w:val="ListBullet"/>
              <w:numPr>
                <w:ilvl w:val="0"/>
                <w:numId w:val="40"/>
              </w:numPr>
              <w:spacing w:after="120" w:line="240" w:lineRule="auto"/>
              <w:ind w:left="1196" w:hanging="357"/>
              <w:rPr>
                <w:rFonts w:cs="Arial"/>
              </w:rPr>
            </w:pPr>
            <w:r>
              <w:rPr>
                <w:rFonts w:cs="Arial"/>
              </w:rPr>
              <w:t>s</w:t>
            </w:r>
            <w:r w:rsidR="001A4286" w:rsidRPr="001A4286">
              <w:rPr>
                <w:rFonts w:cs="Arial"/>
              </w:rPr>
              <w:t>pecial conditions/advisory notes.</w:t>
            </w:r>
          </w:p>
          <w:p w14:paraId="40F47FD4" w14:textId="40ADCD45" w:rsidR="001A4286" w:rsidRDefault="001A4286" w:rsidP="00AC7321">
            <w:pPr>
              <w:spacing w:line="240" w:lineRule="auto"/>
              <w:rPr>
                <w:szCs w:val="20"/>
              </w:rPr>
            </w:pPr>
            <w:r w:rsidRPr="001A4286">
              <w:rPr>
                <w:szCs w:val="20"/>
              </w:rPr>
              <w:t xml:space="preserve">This is </w:t>
            </w:r>
            <w:r w:rsidR="005A76BF" w:rsidRPr="001A4286">
              <w:rPr>
                <w:szCs w:val="20"/>
              </w:rPr>
              <w:t>intended</w:t>
            </w:r>
            <w:r w:rsidRPr="001A4286">
              <w:rPr>
                <w:szCs w:val="20"/>
              </w:rPr>
              <w:t xml:space="preserve"> to facilitate early compliance for operators that are able to do s</w:t>
            </w:r>
            <w:r w:rsidRPr="00F6711F">
              <w:rPr>
                <w:rFonts w:cs="Arial"/>
                <w:szCs w:val="20"/>
              </w:rPr>
              <w:t>o</w:t>
            </w:r>
            <w:r w:rsidRPr="001A4286">
              <w:rPr>
                <w:szCs w:val="20"/>
              </w:rPr>
              <w:t>.</w:t>
            </w:r>
          </w:p>
          <w:p w14:paraId="5B0AD1D1" w14:textId="77777777" w:rsidR="001A4286" w:rsidRPr="001A4286" w:rsidRDefault="001A4286" w:rsidP="00AC7321">
            <w:pPr>
              <w:spacing w:after="40" w:line="240" w:lineRule="auto"/>
              <w:rPr>
                <w:rFonts w:cs="Arial"/>
                <w:szCs w:val="20"/>
              </w:rPr>
            </w:pPr>
            <w:r w:rsidRPr="001A4286">
              <w:rPr>
                <w:rFonts w:cs="Arial"/>
                <w:szCs w:val="20"/>
                <w:u w:val="single"/>
              </w:rPr>
              <w:t>Action 2.2</w:t>
            </w:r>
            <w:r w:rsidRPr="001A4286">
              <w:rPr>
                <w:rFonts w:cs="Arial"/>
                <w:szCs w:val="20"/>
              </w:rPr>
              <w:t xml:space="preserve">: Amend RALI </w:t>
            </w:r>
            <w:r w:rsidRPr="00AC7321">
              <w:rPr>
                <w:rFonts w:cs="Arial"/>
                <w:szCs w:val="20"/>
              </w:rPr>
              <w:t>FX-11: Studio to transmitter links and sound outside broadcasting services in the 900 MHz bands</w:t>
            </w:r>
            <w:r w:rsidRPr="001A4286">
              <w:rPr>
                <w:rFonts w:cs="Arial"/>
                <w:i/>
                <w:szCs w:val="20"/>
              </w:rPr>
              <w:t xml:space="preserve"> </w:t>
            </w:r>
            <w:r w:rsidRPr="001A4286">
              <w:rPr>
                <w:rFonts w:cs="Arial"/>
                <w:szCs w:val="20"/>
              </w:rPr>
              <w:t>as follows:</w:t>
            </w:r>
          </w:p>
          <w:p w14:paraId="49202FD8" w14:textId="7605453B" w:rsidR="001A4286" w:rsidRPr="001A4286" w:rsidRDefault="001A4286" w:rsidP="005A76BF">
            <w:pPr>
              <w:pStyle w:val="ListBullet"/>
              <w:numPr>
                <w:ilvl w:val="0"/>
                <w:numId w:val="40"/>
              </w:numPr>
              <w:spacing w:after="0" w:line="240" w:lineRule="auto"/>
              <w:ind w:left="714" w:hanging="357"/>
              <w:rPr>
                <w:rFonts w:cs="Arial"/>
              </w:rPr>
            </w:pPr>
            <w:r w:rsidRPr="001A4286">
              <w:rPr>
                <w:rFonts w:cs="Arial"/>
              </w:rPr>
              <w:t xml:space="preserve">Remove all provisions for STLs (have been moved into new RALI FX [NEW]), including removal of </w:t>
            </w:r>
            <w:r w:rsidR="001651CF">
              <w:rPr>
                <w:rFonts w:cs="Arial"/>
              </w:rPr>
              <w:t>‘</w:t>
            </w:r>
            <w:r w:rsidRPr="001A4286">
              <w:rPr>
                <w:rFonts w:cs="Arial"/>
              </w:rPr>
              <w:t>Studio to transmitter links</w:t>
            </w:r>
            <w:r w:rsidR="001651CF">
              <w:rPr>
                <w:rFonts w:cs="Arial"/>
              </w:rPr>
              <w:t>’</w:t>
            </w:r>
            <w:r w:rsidRPr="001A4286">
              <w:rPr>
                <w:rFonts w:cs="Arial"/>
              </w:rPr>
              <w:t xml:space="preserve"> from the RALI title</w:t>
            </w:r>
            <w:r w:rsidR="00B4296D">
              <w:rPr>
                <w:rFonts w:cs="Arial"/>
              </w:rPr>
              <w:t>.</w:t>
            </w:r>
          </w:p>
          <w:p w14:paraId="72D8410A" w14:textId="77777777" w:rsidR="001A4286" w:rsidRPr="001A4286" w:rsidRDefault="001A4286" w:rsidP="00AC7321">
            <w:pPr>
              <w:pStyle w:val="ListBullet"/>
              <w:numPr>
                <w:ilvl w:val="0"/>
                <w:numId w:val="40"/>
              </w:numPr>
              <w:spacing w:after="240" w:line="240" w:lineRule="auto"/>
              <w:ind w:left="714" w:hanging="357"/>
              <w:rPr>
                <w:rFonts w:cs="Arial"/>
              </w:rPr>
            </w:pPr>
            <w:r w:rsidRPr="001A4286">
              <w:rPr>
                <w:rFonts w:cs="Arial"/>
              </w:rPr>
              <w:t>Maintain the provision that the STL channel plan in Attachment B can be used by SOB (i</w:t>
            </w:r>
            <w:r w:rsidR="001651CF">
              <w:rPr>
                <w:rFonts w:cs="Arial"/>
              </w:rPr>
              <w:t>.</w:t>
            </w:r>
            <w:r w:rsidRPr="001A4286">
              <w:rPr>
                <w:rFonts w:cs="Arial"/>
              </w:rPr>
              <w:t>e. retain the STL channel plan but rename accordingly).</w:t>
            </w:r>
          </w:p>
          <w:p w14:paraId="688355F4" w14:textId="77777777" w:rsidR="001A4286" w:rsidRPr="001A4286" w:rsidRDefault="001A4286" w:rsidP="00AC7321">
            <w:pPr>
              <w:spacing w:after="40" w:line="240" w:lineRule="auto"/>
              <w:rPr>
                <w:rFonts w:cs="Arial"/>
                <w:szCs w:val="20"/>
              </w:rPr>
            </w:pPr>
            <w:r w:rsidRPr="001A4286">
              <w:rPr>
                <w:rFonts w:cs="Arial"/>
                <w:szCs w:val="20"/>
                <w:u w:val="single"/>
              </w:rPr>
              <w:t>Action 2.3</w:t>
            </w:r>
            <w:r w:rsidRPr="001A4286">
              <w:rPr>
                <w:rFonts w:cs="Arial"/>
                <w:szCs w:val="20"/>
              </w:rPr>
              <w:t xml:space="preserve">: Amend </w:t>
            </w:r>
            <w:r w:rsidRPr="00AC7321">
              <w:rPr>
                <w:rFonts w:cs="Arial"/>
                <w:szCs w:val="20"/>
              </w:rPr>
              <w:t>Embargo 64</w:t>
            </w:r>
            <w:r w:rsidRPr="00B4296D">
              <w:rPr>
                <w:rFonts w:cs="Arial"/>
                <w:szCs w:val="20"/>
              </w:rPr>
              <w:t>:</w:t>
            </w:r>
          </w:p>
          <w:p w14:paraId="11856050" w14:textId="1324A094" w:rsidR="001A4286" w:rsidRPr="001A4286" w:rsidRDefault="001A4286" w:rsidP="005A76BF">
            <w:pPr>
              <w:pStyle w:val="ListBullet"/>
              <w:numPr>
                <w:ilvl w:val="0"/>
                <w:numId w:val="40"/>
              </w:numPr>
              <w:spacing w:after="0" w:line="240" w:lineRule="auto"/>
              <w:ind w:left="714" w:hanging="357"/>
              <w:rPr>
                <w:rFonts w:cs="Arial"/>
              </w:rPr>
            </w:pPr>
            <w:r w:rsidRPr="001A4286">
              <w:rPr>
                <w:rFonts w:cs="Arial"/>
                <w:szCs w:val="20"/>
              </w:rPr>
              <w:t>Remove 845</w:t>
            </w:r>
            <w:r w:rsidR="00B4296D">
              <w:rPr>
                <w:rFonts w:cs="Arial"/>
                <w:szCs w:val="20"/>
              </w:rPr>
              <w:t>–</w:t>
            </w:r>
            <w:r w:rsidRPr="001A4286">
              <w:rPr>
                <w:rFonts w:cs="Arial"/>
                <w:szCs w:val="20"/>
              </w:rPr>
              <w:t>849 MHz from the scope of the Embargo.</w:t>
            </w:r>
          </w:p>
        </w:tc>
      </w:tr>
    </w:tbl>
    <w:p w14:paraId="78729D0D" w14:textId="77777777" w:rsidR="001A4286" w:rsidRDefault="001A4286" w:rsidP="001A4286">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1A4286" w:rsidRPr="006D46E5" w14:paraId="20DD919C" w14:textId="77777777" w:rsidTr="00AC7321">
        <w:trPr>
          <w:tblHeader/>
        </w:trPr>
        <w:tc>
          <w:tcPr>
            <w:tcW w:w="2524" w:type="dxa"/>
            <w:tcBorders>
              <w:bottom w:val="single" w:sz="4" w:space="0" w:color="auto"/>
            </w:tcBorders>
            <w:shd w:val="clear" w:color="auto" w:fill="404040" w:themeFill="text1" w:themeFillTint="BF"/>
          </w:tcPr>
          <w:p w14:paraId="5FFFE55F" w14:textId="7F3106C8" w:rsidR="001A4286" w:rsidRPr="00AC7321" w:rsidRDefault="001A4286" w:rsidP="00AC7321">
            <w:pPr>
              <w:pStyle w:val="TableHeading"/>
              <w:rPr>
                <w:b w:val="0"/>
                <w:color w:val="FFFFFF" w:themeColor="background1"/>
              </w:rPr>
            </w:pPr>
            <w:r w:rsidRPr="00AC7321">
              <w:rPr>
                <w:color w:val="FFFFFF" w:themeColor="background1"/>
              </w:rPr>
              <w:t xml:space="preserve">Key </w:t>
            </w:r>
            <w:r w:rsidR="00B4296D"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770F4BD8" w14:textId="77777777" w:rsidR="001A4286" w:rsidRPr="00AC7321" w:rsidRDefault="001A4286" w:rsidP="00AC7321">
            <w:pPr>
              <w:pStyle w:val="TableHeading"/>
              <w:rPr>
                <w:color w:val="FFFFFF" w:themeColor="background1"/>
              </w:rPr>
            </w:pPr>
            <w:r w:rsidRPr="00AC7321">
              <w:rPr>
                <w:color w:val="FFFFFF" w:themeColor="background1"/>
              </w:rPr>
              <w:t>3</w:t>
            </w:r>
          </w:p>
        </w:tc>
      </w:tr>
      <w:tr w:rsidR="001A4286" w:rsidRPr="006D46E5" w14:paraId="6C02133E" w14:textId="77777777" w:rsidTr="00071CEA">
        <w:tc>
          <w:tcPr>
            <w:tcW w:w="2524" w:type="dxa"/>
            <w:shd w:val="clear" w:color="auto" w:fill="F2F2F2" w:themeFill="background1" w:themeFillShade="F2"/>
          </w:tcPr>
          <w:p w14:paraId="6F27D620" w14:textId="77777777" w:rsidR="001A4286" w:rsidRPr="001A4286" w:rsidRDefault="001A4286" w:rsidP="00071CEA">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664E7C43" w14:textId="77777777" w:rsidR="001A4286" w:rsidRPr="001A4286" w:rsidRDefault="001A4286" w:rsidP="00071CEA">
            <w:pPr>
              <w:pStyle w:val="TableBody"/>
              <w:keepNext/>
              <w:keepLines/>
              <w:rPr>
                <w:rFonts w:cs="Arial"/>
                <w:szCs w:val="20"/>
              </w:rPr>
            </w:pPr>
            <w:r>
              <w:rPr>
                <w:rFonts w:cs="Arial"/>
                <w:szCs w:val="20"/>
              </w:rPr>
              <w:t>30 June 2018</w:t>
            </w:r>
          </w:p>
        </w:tc>
      </w:tr>
      <w:tr w:rsidR="001A4286" w:rsidRPr="006D46E5" w14:paraId="0FE53B0D" w14:textId="77777777" w:rsidTr="00071CEA">
        <w:tc>
          <w:tcPr>
            <w:tcW w:w="2524" w:type="dxa"/>
          </w:tcPr>
          <w:p w14:paraId="26A929DC" w14:textId="77777777" w:rsidR="001A4286" w:rsidRPr="001A4286" w:rsidRDefault="001A4286" w:rsidP="00071CEA">
            <w:pPr>
              <w:pStyle w:val="TableBody"/>
              <w:keepNext/>
              <w:keepLines/>
              <w:rPr>
                <w:rFonts w:cs="Arial"/>
                <w:b/>
                <w:szCs w:val="20"/>
              </w:rPr>
            </w:pPr>
            <w:r w:rsidRPr="001A4286">
              <w:rPr>
                <w:rFonts w:cs="Arial"/>
                <w:b/>
                <w:szCs w:val="20"/>
              </w:rPr>
              <w:t>Action to be taken by the above date:</w:t>
            </w:r>
          </w:p>
        </w:tc>
        <w:tc>
          <w:tcPr>
            <w:tcW w:w="6980" w:type="dxa"/>
          </w:tcPr>
          <w:p w14:paraId="42B7ABF9" w14:textId="77777777" w:rsidR="001A4286" w:rsidRPr="001A4286" w:rsidRDefault="001A4286" w:rsidP="00AC7321">
            <w:pPr>
              <w:spacing w:after="40" w:line="240" w:lineRule="auto"/>
              <w:rPr>
                <w:rFonts w:cs="Arial"/>
                <w:szCs w:val="20"/>
              </w:rPr>
            </w:pPr>
            <w:r w:rsidRPr="001A4286">
              <w:rPr>
                <w:rFonts w:cs="Arial"/>
                <w:szCs w:val="20"/>
                <w:u w:val="single"/>
              </w:rPr>
              <w:t>Action 3.1:</w:t>
            </w:r>
            <w:r w:rsidRPr="001A4286">
              <w:rPr>
                <w:rFonts w:cs="Arial"/>
                <w:szCs w:val="20"/>
              </w:rPr>
              <w:t xml:space="preserve"> Amend </w:t>
            </w:r>
            <w:r w:rsidRPr="00AC7321">
              <w:rPr>
                <w:rFonts w:cs="Arial"/>
                <w:szCs w:val="20"/>
              </w:rPr>
              <w:t>RALI FX-11: Studio to transmitter links and sound outside broadcasting services in the 900 MHz bands</w:t>
            </w:r>
            <w:r w:rsidRPr="001A4286">
              <w:rPr>
                <w:rFonts w:cs="Arial"/>
                <w:i/>
                <w:szCs w:val="20"/>
              </w:rPr>
              <w:t xml:space="preserve"> </w:t>
            </w:r>
            <w:r w:rsidRPr="001A4286">
              <w:rPr>
                <w:rFonts w:cs="Arial"/>
                <w:szCs w:val="20"/>
              </w:rPr>
              <w:t>as follows:</w:t>
            </w:r>
          </w:p>
          <w:p w14:paraId="1B4D3B23" w14:textId="47D84CE2" w:rsidR="001A4286" w:rsidRPr="001A4286" w:rsidRDefault="001A4286" w:rsidP="00AC7321">
            <w:pPr>
              <w:pStyle w:val="ListBullet"/>
              <w:numPr>
                <w:ilvl w:val="0"/>
                <w:numId w:val="40"/>
              </w:numPr>
              <w:spacing w:after="40" w:line="240" w:lineRule="auto"/>
              <w:ind w:left="714" w:hanging="357"/>
              <w:rPr>
                <w:rFonts w:cs="Arial"/>
              </w:rPr>
            </w:pPr>
            <w:r w:rsidRPr="001A4286">
              <w:rPr>
                <w:rFonts w:cs="Arial"/>
              </w:rPr>
              <w:t>Change primary status for SOB operations in 850.5</w:t>
            </w:r>
            <w:r w:rsidR="00B4296D">
              <w:rPr>
                <w:rFonts w:cs="Arial"/>
              </w:rPr>
              <w:t>–</w:t>
            </w:r>
            <w:r w:rsidRPr="001A4286">
              <w:rPr>
                <w:rFonts w:cs="Arial"/>
              </w:rPr>
              <w:t>852 MHz to secondary status in 850.5 to 851 MHz (primary status in 845</w:t>
            </w:r>
            <w:r w:rsidR="00B4296D">
              <w:rPr>
                <w:rFonts w:cs="Arial"/>
              </w:rPr>
              <w:t>–</w:t>
            </w:r>
            <w:r w:rsidRPr="001A4286">
              <w:rPr>
                <w:rFonts w:cs="Arial"/>
              </w:rPr>
              <w:t>846.5 MHz will be retained)</w:t>
            </w:r>
            <w:r w:rsidR="00B4296D">
              <w:rPr>
                <w:rFonts w:cs="Arial"/>
              </w:rPr>
              <w:t>.</w:t>
            </w:r>
          </w:p>
          <w:p w14:paraId="7CE272B8" w14:textId="38EF62F4" w:rsidR="001A4286" w:rsidRDefault="001A4286" w:rsidP="00AC7321">
            <w:pPr>
              <w:pStyle w:val="ListBullet"/>
              <w:numPr>
                <w:ilvl w:val="0"/>
                <w:numId w:val="40"/>
              </w:numPr>
              <w:spacing w:after="240" w:line="240" w:lineRule="auto"/>
              <w:ind w:left="714" w:hanging="357"/>
              <w:rPr>
                <w:rFonts w:cs="Arial"/>
              </w:rPr>
            </w:pPr>
            <w:r w:rsidRPr="001A4286">
              <w:rPr>
                <w:rFonts w:cs="Arial"/>
              </w:rPr>
              <w:t>Retain existing secondary allocation for SOB in 846.5</w:t>
            </w:r>
            <w:r w:rsidR="00B4296D">
              <w:rPr>
                <w:rFonts w:cs="Arial"/>
              </w:rPr>
              <w:t>–</w:t>
            </w:r>
            <w:r w:rsidRPr="001A4286">
              <w:rPr>
                <w:rFonts w:cs="Arial"/>
              </w:rPr>
              <w:t>850.5 MHz (resulting in an overall secondary allocation in 846.5</w:t>
            </w:r>
            <w:r w:rsidR="00B4296D">
              <w:rPr>
                <w:rFonts w:cs="Arial"/>
              </w:rPr>
              <w:t>–</w:t>
            </w:r>
            <w:r w:rsidRPr="001A4286">
              <w:rPr>
                <w:rFonts w:cs="Arial"/>
              </w:rPr>
              <w:t>851 MHz).</w:t>
            </w:r>
          </w:p>
          <w:p w14:paraId="4A3FD3C3" w14:textId="77777777" w:rsidR="001A4286" w:rsidRPr="001A4286" w:rsidRDefault="001A4286" w:rsidP="00AC7321">
            <w:pPr>
              <w:spacing w:after="40" w:line="240" w:lineRule="auto"/>
              <w:rPr>
                <w:rFonts w:cs="Arial"/>
                <w:szCs w:val="20"/>
              </w:rPr>
            </w:pPr>
            <w:r w:rsidRPr="001A4286">
              <w:rPr>
                <w:rFonts w:cs="Arial"/>
                <w:szCs w:val="20"/>
                <w:u w:val="single"/>
              </w:rPr>
              <w:t>Action 3.2</w:t>
            </w:r>
            <w:r w:rsidRPr="001A4286">
              <w:rPr>
                <w:rFonts w:cs="Arial"/>
                <w:szCs w:val="20"/>
              </w:rPr>
              <w:t xml:space="preserve">: Amend RALI FX [NEW]: </w:t>
            </w:r>
          </w:p>
          <w:p w14:paraId="0DABB902" w14:textId="6EE3982D" w:rsidR="001A4286" w:rsidRPr="001A4286" w:rsidRDefault="001A4286" w:rsidP="001A4286">
            <w:pPr>
              <w:pStyle w:val="ListBullet"/>
              <w:numPr>
                <w:ilvl w:val="0"/>
                <w:numId w:val="40"/>
              </w:numPr>
              <w:spacing w:after="0" w:line="240" w:lineRule="auto"/>
              <w:ind w:left="714" w:hanging="357"/>
              <w:rPr>
                <w:rFonts w:cs="Arial"/>
                <w:szCs w:val="20"/>
              </w:rPr>
            </w:pPr>
            <w:r w:rsidRPr="001A4286">
              <w:rPr>
                <w:rFonts w:cs="Arial"/>
              </w:rPr>
              <w:t>Remove allocation of 849</w:t>
            </w:r>
            <w:r w:rsidR="00B4296D">
              <w:rPr>
                <w:rFonts w:cs="Arial"/>
              </w:rPr>
              <w:t>–</w:t>
            </w:r>
            <w:r w:rsidRPr="001A4286">
              <w:rPr>
                <w:rFonts w:cs="Arial"/>
              </w:rPr>
              <w:t>852 MHz for single frequency fixed links/STLs (845</w:t>
            </w:r>
            <w:r w:rsidR="00B4296D">
              <w:rPr>
                <w:rFonts w:cs="Arial"/>
              </w:rPr>
              <w:t>–</w:t>
            </w:r>
            <w:r w:rsidRPr="001A4286">
              <w:rPr>
                <w:rFonts w:cs="Arial"/>
              </w:rPr>
              <w:t>849 MHz to remain allocated on a co-primary basis with STLs).</w:t>
            </w:r>
          </w:p>
        </w:tc>
      </w:tr>
    </w:tbl>
    <w:p w14:paraId="68171379" w14:textId="77777777" w:rsidR="0035265A" w:rsidRDefault="0035265A" w:rsidP="0035265A">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35265A" w:rsidRPr="006D46E5" w14:paraId="785E48EE" w14:textId="77777777" w:rsidTr="00AC7321">
        <w:tc>
          <w:tcPr>
            <w:tcW w:w="2524" w:type="dxa"/>
            <w:tcBorders>
              <w:bottom w:val="single" w:sz="4" w:space="0" w:color="auto"/>
            </w:tcBorders>
            <w:shd w:val="clear" w:color="auto" w:fill="404040" w:themeFill="text1" w:themeFillTint="BF"/>
          </w:tcPr>
          <w:p w14:paraId="5852FA2C" w14:textId="2C51E1CC" w:rsidR="0035265A" w:rsidRPr="00AC7321" w:rsidRDefault="0035265A" w:rsidP="00AC7321">
            <w:pPr>
              <w:pStyle w:val="TableHeading"/>
              <w:rPr>
                <w:b w:val="0"/>
                <w:color w:val="FFFFFF" w:themeColor="background1"/>
              </w:rPr>
            </w:pPr>
            <w:r w:rsidRPr="00AC7321">
              <w:rPr>
                <w:color w:val="FFFFFF" w:themeColor="background1"/>
              </w:rPr>
              <w:t xml:space="preserve">Key </w:t>
            </w:r>
            <w:r w:rsidR="00B4296D"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02545570" w14:textId="77777777" w:rsidR="0035265A" w:rsidRPr="00AC7321" w:rsidRDefault="0035265A" w:rsidP="00AC7321">
            <w:pPr>
              <w:pStyle w:val="TableHeading"/>
              <w:rPr>
                <w:color w:val="FFFFFF" w:themeColor="background1"/>
              </w:rPr>
            </w:pPr>
            <w:r w:rsidRPr="00AC7321">
              <w:rPr>
                <w:color w:val="FFFFFF" w:themeColor="background1"/>
              </w:rPr>
              <w:t>4</w:t>
            </w:r>
          </w:p>
        </w:tc>
      </w:tr>
      <w:tr w:rsidR="0035265A" w:rsidRPr="006D46E5" w14:paraId="33649ED8" w14:textId="77777777" w:rsidTr="00071CEA">
        <w:tc>
          <w:tcPr>
            <w:tcW w:w="2524" w:type="dxa"/>
            <w:shd w:val="clear" w:color="auto" w:fill="F2F2F2" w:themeFill="background1" w:themeFillShade="F2"/>
          </w:tcPr>
          <w:p w14:paraId="5420C8D9" w14:textId="77777777" w:rsidR="0035265A" w:rsidRPr="001A4286" w:rsidRDefault="0035265A" w:rsidP="005A76BF">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08C61D74" w14:textId="77777777" w:rsidR="0035265A" w:rsidRPr="001A4286" w:rsidRDefault="0035265A" w:rsidP="005A76BF">
            <w:pPr>
              <w:pStyle w:val="TableBody"/>
              <w:rPr>
                <w:rFonts w:cs="Arial"/>
                <w:szCs w:val="20"/>
              </w:rPr>
            </w:pPr>
            <w:r>
              <w:rPr>
                <w:rFonts w:cs="Arial"/>
                <w:szCs w:val="20"/>
              </w:rPr>
              <w:t>30 June 2019</w:t>
            </w:r>
          </w:p>
        </w:tc>
      </w:tr>
      <w:tr w:rsidR="0035265A" w:rsidRPr="006D46E5" w14:paraId="51F88B8A" w14:textId="77777777" w:rsidTr="00071CEA">
        <w:tc>
          <w:tcPr>
            <w:tcW w:w="2524" w:type="dxa"/>
          </w:tcPr>
          <w:p w14:paraId="362E84AF" w14:textId="77777777" w:rsidR="0035265A" w:rsidRPr="00C86B88" w:rsidRDefault="0035265A" w:rsidP="005A76BF">
            <w:pPr>
              <w:pStyle w:val="TableBody"/>
              <w:rPr>
                <w:rFonts w:cs="Arial"/>
                <w:b/>
                <w:szCs w:val="20"/>
              </w:rPr>
            </w:pPr>
            <w:r w:rsidRPr="00C86B88">
              <w:rPr>
                <w:rFonts w:cs="Arial"/>
                <w:b/>
                <w:szCs w:val="20"/>
              </w:rPr>
              <w:t>Action to be taken by the above date:</w:t>
            </w:r>
          </w:p>
        </w:tc>
        <w:tc>
          <w:tcPr>
            <w:tcW w:w="6980" w:type="dxa"/>
          </w:tcPr>
          <w:p w14:paraId="31A4FA9A" w14:textId="77777777" w:rsidR="0035265A" w:rsidRPr="00C86B88" w:rsidRDefault="0035265A" w:rsidP="00AC7321">
            <w:pPr>
              <w:spacing w:after="40" w:line="240" w:lineRule="auto"/>
              <w:rPr>
                <w:rFonts w:cs="Arial"/>
                <w:szCs w:val="20"/>
              </w:rPr>
            </w:pPr>
            <w:r w:rsidRPr="00C86B88">
              <w:rPr>
                <w:rFonts w:cs="Arial"/>
                <w:szCs w:val="20"/>
                <w:u w:val="single"/>
              </w:rPr>
              <w:t>Action 4.1</w:t>
            </w:r>
            <w:r w:rsidRPr="00C86B88">
              <w:rPr>
                <w:rFonts w:cs="Arial"/>
                <w:szCs w:val="20"/>
              </w:rPr>
              <w:t xml:space="preserve">: Amend RALI FX [NEW]: </w:t>
            </w:r>
          </w:p>
          <w:p w14:paraId="212EB54C" w14:textId="5F9E483D" w:rsidR="0035265A" w:rsidRPr="00C86B88" w:rsidRDefault="0035265A" w:rsidP="00AC7321">
            <w:pPr>
              <w:pStyle w:val="ListBullet"/>
              <w:numPr>
                <w:ilvl w:val="0"/>
                <w:numId w:val="40"/>
              </w:numPr>
              <w:spacing w:after="40" w:line="240" w:lineRule="auto"/>
              <w:ind w:left="714" w:hanging="357"/>
              <w:rPr>
                <w:rFonts w:cs="Arial"/>
              </w:rPr>
            </w:pPr>
            <w:r w:rsidRPr="00C86B88">
              <w:rPr>
                <w:rFonts w:cs="Arial"/>
              </w:rPr>
              <w:t xml:space="preserve">Add amalgamated </w:t>
            </w:r>
            <w:r w:rsidR="00B74DBA" w:rsidRPr="00C86B88">
              <w:rPr>
                <w:rFonts w:cs="Arial"/>
                <w:i/>
              </w:rPr>
              <w:t>two-frequency</w:t>
            </w:r>
            <w:r w:rsidRPr="00C86B88">
              <w:rPr>
                <w:rFonts w:cs="Arial"/>
                <w:i/>
              </w:rPr>
              <w:t xml:space="preserve"> (low capacity)</w:t>
            </w:r>
            <w:r w:rsidRPr="00C86B88">
              <w:rPr>
                <w:rFonts w:cs="Arial"/>
              </w:rPr>
              <w:t xml:space="preserve"> and </w:t>
            </w:r>
            <w:r w:rsidR="00B74DBA" w:rsidRPr="00C86B88">
              <w:rPr>
                <w:rFonts w:cs="Arial"/>
                <w:i/>
              </w:rPr>
              <w:t>two-frequency</w:t>
            </w:r>
            <w:r w:rsidRPr="00C86B88">
              <w:rPr>
                <w:rFonts w:cs="Arial"/>
                <w:i/>
              </w:rPr>
              <w:t xml:space="preserve"> (single channel)</w:t>
            </w:r>
            <w:r w:rsidRPr="00C86B88">
              <w:rPr>
                <w:rFonts w:cs="Arial"/>
              </w:rPr>
              <w:t xml:space="preserve"> fixed links under common </w:t>
            </w:r>
            <w:r w:rsidR="00B74DBA" w:rsidRPr="00C86B88">
              <w:rPr>
                <w:rFonts w:cs="Arial"/>
                <w:i/>
              </w:rPr>
              <w:t>two-frequency</w:t>
            </w:r>
            <w:r w:rsidRPr="00C86B88">
              <w:rPr>
                <w:rFonts w:cs="Arial"/>
              </w:rPr>
              <w:t xml:space="preserve"> fixed links terminology, with the following provisions:</w:t>
            </w:r>
          </w:p>
          <w:p w14:paraId="17EDE5CD" w14:textId="71C4C958"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804</w:t>
            </w:r>
            <w:r w:rsidR="00C86B88">
              <w:rPr>
                <w:rFonts w:cs="Arial"/>
              </w:rPr>
              <w:t>–</w:t>
            </w:r>
            <w:r w:rsidRPr="00C86B88">
              <w:rPr>
                <w:rFonts w:cs="Arial"/>
              </w:rPr>
              <w:t>806/849</w:t>
            </w:r>
            <w:r w:rsidR="00C86B88">
              <w:rPr>
                <w:rFonts w:cs="Arial"/>
              </w:rPr>
              <w:t>–</w:t>
            </w:r>
            <w:r w:rsidRPr="00C86B88">
              <w:rPr>
                <w:rFonts w:cs="Arial"/>
              </w:rPr>
              <w:t>851 MHz allocated on a primary basis</w:t>
            </w:r>
          </w:p>
          <w:p w14:paraId="1C959E00" w14:textId="70FDAEA2"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806</w:t>
            </w:r>
            <w:r w:rsidR="00C86B88">
              <w:rPr>
                <w:rFonts w:cs="Arial"/>
              </w:rPr>
              <w:t>–</w:t>
            </w:r>
            <w:r w:rsidRPr="00C86B88">
              <w:rPr>
                <w:rFonts w:cs="Arial"/>
              </w:rPr>
              <w:t>809/851</w:t>
            </w:r>
            <w:r w:rsidR="00C86B88">
              <w:rPr>
                <w:rFonts w:cs="Arial"/>
              </w:rPr>
              <w:t>–</w:t>
            </w:r>
            <w:r w:rsidRPr="00C86B88">
              <w:rPr>
                <w:rFonts w:cs="Arial"/>
              </w:rPr>
              <w:t>854 MHz allocated on a secondary basis with respect to TLMS</w:t>
            </w:r>
            <w:r w:rsidR="00C86B88">
              <w:rPr>
                <w:rFonts w:cs="Arial"/>
              </w:rPr>
              <w:t>:</w:t>
            </w:r>
          </w:p>
          <w:p w14:paraId="32DB2624" w14:textId="50602F82" w:rsidR="0035265A" w:rsidRPr="00C86B88" w:rsidRDefault="00C86B88" w:rsidP="00AC7321">
            <w:pPr>
              <w:pStyle w:val="ListBullet"/>
              <w:numPr>
                <w:ilvl w:val="0"/>
                <w:numId w:val="40"/>
              </w:numPr>
              <w:spacing w:after="40" w:line="240" w:lineRule="auto"/>
              <w:ind w:left="1479" w:hanging="357"/>
              <w:rPr>
                <w:rFonts w:cs="Arial"/>
              </w:rPr>
            </w:pPr>
            <w:r>
              <w:rPr>
                <w:rFonts w:cs="Arial"/>
              </w:rPr>
              <w:t>r</w:t>
            </w:r>
            <w:r w:rsidR="0035265A" w:rsidRPr="00C86B88">
              <w:rPr>
                <w:rFonts w:cs="Arial"/>
              </w:rPr>
              <w:t xml:space="preserve">equirement to cease operation within </w:t>
            </w:r>
            <w:r>
              <w:rPr>
                <w:rFonts w:cs="Arial"/>
              </w:rPr>
              <w:t>two</w:t>
            </w:r>
            <w:r w:rsidRPr="00C86B88">
              <w:rPr>
                <w:rFonts w:cs="Arial"/>
              </w:rPr>
              <w:t xml:space="preserve"> </w:t>
            </w:r>
            <w:r w:rsidR="0035265A" w:rsidRPr="00C86B88">
              <w:rPr>
                <w:rFonts w:cs="Arial"/>
              </w:rPr>
              <w:t xml:space="preserve">years of receiving notice of intended deployment of TLMS service within a prescribed radius of registered station (licensees may separately seek agreement from TLMS operator to continue operations on a coordinated basis).  </w:t>
            </w:r>
          </w:p>
          <w:p w14:paraId="1C52F923" w14:textId="77777777"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12.5 kHz based channel raster, with the following parameters:</w:t>
            </w:r>
          </w:p>
          <w:p w14:paraId="362C8730" w14:textId="150B6E23"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Channel aggregation permitted (up to 16 channels)</w:t>
            </w:r>
          </w:p>
          <w:p w14:paraId="654AFD40" w14:textId="728CFB5F"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Co-channel protection requirement of 50 dB</w:t>
            </w:r>
          </w:p>
          <w:p w14:paraId="08E25EAA" w14:textId="77777777" w:rsidR="0035265A" w:rsidRPr="00C86B88" w:rsidRDefault="0035265A" w:rsidP="00AC7321">
            <w:pPr>
              <w:pStyle w:val="ListBullet"/>
              <w:numPr>
                <w:ilvl w:val="0"/>
                <w:numId w:val="40"/>
              </w:numPr>
              <w:spacing w:after="40" w:line="240" w:lineRule="auto"/>
              <w:ind w:left="1479" w:hanging="357"/>
              <w:rPr>
                <w:rFonts w:cs="Arial"/>
              </w:rPr>
            </w:pPr>
            <w:r w:rsidRPr="00C86B88">
              <w:rPr>
                <w:rFonts w:cs="Arial"/>
              </w:rPr>
              <w:t>First adjacent protection requirement of 30 dB.</w:t>
            </w:r>
          </w:p>
          <w:p w14:paraId="6F564E23" w14:textId="14BFF3F6" w:rsidR="0035265A" w:rsidRPr="00C86B88" w:rsidRDefault="0035265A" w:rsidP="00AC7321">
            <w:pPr>
              <w:pStyle w:val="ListBullet"/>
              <w:numPr>
                <w:ilvl w:val="0"/>
                <w:numId w:val="40"/>
              </w:numPr>
              <w:spacing w:after="40" w:line="240" w:lineRule="auto"/>
              <w:ind w:left="1054" w:hanging="357"/>
              <w:rPr>
                <w:rFonts w:cs="Arial"/>
              </w:rPr>
            </w:pPr>
            <w:r w:rsidRPr="00C86B88">
              <w:rPr>
                <w:rFonts w:cs="Arial"/>
              </w:rPr>
              <w:t>Minimum 20km path length for all assignments (exceptions may be approved by the ACMA on a case-by-case basis)</w:t>
            </w:r>
            <w:r w:rsidR="00C86B88">
              <w:rPr>
                <w:rFonts w:cs="Arial"/>
              </w:rPr>
              <w:t>.</w:t>
            </w:r>
          </w:p>
          <w:p w14:paraId="5D007F43" w14:textId="45DBEC82" w:rsidR="0035265A" w:rsidRPr="00C86B88" w:rsidRDefault="000D5EEA" w:rsidP="00AC7321">
            <w:pPr>
              <w:pStyle w:val="ListBullet"/>
              <w:numPr>
                <w:ilvl w:val="0"/>
                <w:numId w:val="40"/>
              </w:numPr>
              <w:spacing w:after="40" w:line="240" w:lineRule="auto"/>
              <w:ind w:left="1054" w:hanging="357"/>
              <w:rPr>
                <w:rFonts w:cs="Arial"/>
              </w:rPr>
            </w:pPr>
            <w:r w:rsidRPr="00C86B88">
              <w:rPr>
                <w:rFonts w:cs="Arial"/>
              </w:rPr>
              <w:t>P-MP</w:t>
            </w:r>
            <w:r w:rsidR="0035265A" w:rsidRPr="00C86B88">
              <w:rPr>
                <w:rFonts w:cs="Arial"/>
              </w:rPr>
              <w:t xml:space="preserve"> allocated in 805.5</w:t>
            </w:r>
            <w:r w:rsidR="00C86B88">
              <w:rPr>
                <w:rFonts w:cs="Arial"/>
              </w:rPr>
              <w:t>–</w:t>
            </w:r>
            <w:r w:rsidR="0035265A" w:rsidRPr="00C86B88">
              <w:rPr>
                <w:rFonts w:cs="Arial"/>
              </w:rPr>
              <w:t>806/850.5</w:t>
            </w:r>
            <w:r w:rsidR="00C86B88">
              <w:rPr>
                <w:rFonts w:cs="Arial"/>
              </w:rPr>
              <w:t>–</w:t>
            </w:r>
            <w:r w:rsidR="0035265A" w:rsidRPr="00C86B88">
              <w:rPr>
                <w:rFonts w:cs="Arial"/>
              </w:rPr>
              <w:t>851 MHz on a co-primary basis:</w:t>
            </w:r>
          </w:p>
          <w:p w14:paraId="771F1291" w14:textId="210D0035" w:rsidR="0035265A" w:rsidRPr="00C86B88" w:rsidRDefault="00C86B88" w:rsidP="00AC7321">
            <w:pPr>
              <w:pStyle w:val="ListBullet"/>
              <w:numPr>
                <w:ilvl w:val="0"/>
                <w:numId w:val="40"/>
              </w:numPr>
              <w:spacing w:after="40" w:line="240" w:lineRule="auto"/>
              <w:ind w:left="1479" w:hanging="357"/>
              <w:rPr>
                <w:rFonts w:cs="Arial"/>
              </w:rPr>
            </w:pPr>
            <w:r>
              <w:rPr>
                <w:rFonts w:cs="Arial"/>
              </w:rPr>
              <w:t>u</w:t>
            </w:r>
            <w:r w:rsidR="0035265A" w:rsidRPr="00C86B88">
              <w:rPr>
                <w:rFonts w:cs="Arial"/>
              </w:rPr>
              <w:t>pdate channel plan in accordance with Attachment 2 of this paper.</w:t>
            </w:r>
          </w:p>
          <w:p w14:paraId="7E182DB9" w14:textId="137C6ED3" w:rsidR="0035265A" w:rsidRPr="00C86B88" w:rsidRDefault="0035265A" w:rsidP="00AC7321">
            <w:pPr>
              <w:pStyle w:val="ListBullet"/>
              <w:keepNext/>
              <w:numPr>
                <w:ilvl w:val="0"/>
                <w:numId w:val="40"/>
              </w:numPr>
              <w:spacing w:after="40" w:line="240" w:lineRule="auto"/>
              <w:ind w:left="714" w:hanging="357"/>
              <w:rPr>
                <w:rFonts w:cs="Arial"/>
              </w:rPr>
            </w:pPr>
            <w:r w:rsidRPr="00C86B88">
              <w:rPr>
                <w:rFonts w:cs="Arial"/>
              </w:rPr>
              <w:t xml:space="preserve">Incorporate relevant guidance from documents superseded/suppressed (as applicable) as of </w:t>
            </w:r>
            <w:r w:rsidR="00C86B88">
              <w:rPr>
                <w:rFonts w:cs="Arial"/>
              </w:rPr>
              <w:t>k</w:t>
            </w:r>
            <w:r w:rsidRPr="00C86B88">
              <w:rPr>
                <w:rFonts w:cs="Arial"/>
              </w:rPr>
              <w:t xml:space="preserve">ey </w:t>
            </w:r>
            <w:r w:rsidR="00C86B88">
              <w:rPr>
                <w:rFonts w:cs="Arial"/>
              </w:rPr>
              <w:t>d</w:t>
            </w:r>
            <w:r w:rsidRPr="00C86B88">
              <w:rPr>
                <w:rFonts w:cs="Arial"/>
              </w:rPr>
              <w:t>ate 4, including:</w:t>
            </w:r>
          </w:p>
          <w:p w14:paraId="009F0587" w14:textId="4D1FCA8D" w:rsidR="0035265A" w:rsidRPr="00C86B88" w:rsidRDefault="00C86B88" w:rsidP="00AC7321">
            <w:pPr>
              <w:pStyle w:val="ListBullet"/>
              <w:keepNext/>
              <w:numPr>
                <w:ilvl w:val="0"/>
                <w:numId w:val="40"/>
              </w:numPr>
              <w:spacing w:after="40" w:line="240" w:lineRule="auto"/>
              <w:ind w:left="1054" w:hanging="357"/>
              <w:rPr>
                <w:rFonts w:cs="Arial"/>
              </w:rPr>
            </w:pPr>
            <w:r>
              <w:rPr>
                <w:rFonts w:cs="Arial"/>
              </w:rPr>
              <w:t>p</w:t>
            </w:r>
            <w:r w:rsidR="0035265A" w:rsidRPr="00C86B88">
              <w:rPr>
                <w:rFonts w:cs="Arial"/>
              </w:rPr>
              <w:t>rotection ratios</w:t>
            </w:r>
          </w:p>
          <w:p w14:paraId="6FA3AE22" w14:textId="408FA027" w:rsidR="0035265A" w:rsidRPr="00C86B88" w:rsidRDefault="00C86B88" w:rsidP="00AC7321">
            <w:pPr>
              <w:pStyle w:val="ListBullet"/>
              <w:keepNext/>
              <w:numPr>
                <w:ilvl w:val="0"/>
                <w:numId w:val="40"/>
              </w:numPr>
              <w:spacing w:after="40" w:line="240" w:lineRule="auto"/>
              <w:ind w:left="1054" w:hanging="357"/>
              <w:rPr>
                <w:rFonts w:cs="Arial"/>
              </w:rPr>
            </w:pPr>
            <w:r>
              <w:rPr>
                <w:rFonts w:cs="Arial"/>
              </w:rPr>
              <w:t>c</w:t>
            </w:r>
            <w:r w:rsidR="0035265A" w:rsidRPr="00C86B88">
              <w:rPr>
                <w:rFonts w:cs="Arial"/>
              </w:rPr>
              <w:t>ull distances/frequencies</w:t>
            </w:r>
          </w:p>
          <w:p w14:paraId="755C40FD" w14:textId="51EBDF9A" w:rsidR="0035265A" w:rsidRPr="00C86B88" w:rsidRDefault="00C86B88" w:rsidP="00AC7321">
            <w:pPr>
              <w:pStyle w:val="ListBullet"/>
              <w:numPr>
                <w:ilvl w:val="0"/>
                <w:numId w:val="40"/>
              </w:numPr>
              <w:spacing w:after="40" w:line="240" w:lineRule="auto"/>
              <w:ind w:left="1054" w:hanging="357"/>
              <w:rPr>
                <w:rFonts w:cs="Arial"/>
              </w:rPr>
            </w:pPr>
            <w:r>
              <w:rPr>
                <w:rFonts w:cs="Arial"/>
              </w:rPr>
              <w:t>i</w:t>
            </w:r>
            <w:r w:rsidR="0035265A" w:rsidRPr="00C86B88">
              <w:rPr>
                <w:rFonts w:cs="Arial"/>
              </w:rPr>
              <w:t>ntermodulation checks</w:t>
            </w:r>
          </w:p>
          <w:p w14:paraId="6F363234" w14:textId="2729336E" w:rsidR="0035265A" w:rsidRPr="00C86B88" w:rsidRDefault="00C86B88" w:rsidP="00AC7321">
            <w:pPr>
              <w:pStyle w:val="ListBullet"/>
              <w:numPr>
                <w:ilvl w:val="0"/>
                <w:numId w:val="40"/>
              </w:numPr>
              <w:spacing w:after="40" w:line="240" w:lineRule="auto"/>
              <w:ind w:left="1054" w:hanging="357"/>
              <w:rPr>
                <w:rFonts w:cs="Arial"/>
              </w:rPr>
            </w:pPr>
            <w:r>
              <w:rPr>
                <w:rFonts w:cs="Arial"/>
              </w:rPr>
              <w:t>s</w:t>
            </w:r>
            <w:r w:rsidR="0035265A" w:rsidRPr="00C86B88">
              <w:rPr>
                <w:rFonts w:cs="Arial"/>
              </w:rPr>
              <w:t>ite selection</w:t>
            </w:r>
          </w:p>
          <w:p w14:paraId="0D30DE51" w14:textId="02F09E80" w:rsidR="0035265A" w:rsidRPr="00C86B88" w:rsidRDefault="00C86B88" w:rsidP="00AC7321">
            <w:pPr>
              <w:pStyle w:val="ListBullet"/>
              <w:numPr>
                <w:ilvl w:val="0"/>
                <w:numId w:val="40"/>
              </w:numPr>
              <w:spacing w:after="40" w:line="240" w:lineRule="auto"/>
              <w:ind w:left="1054" w:hanging="357"/>
              <w:rPr>
                <w:rFonts w:cs="Arial"/>
              </w:rPr>
            </w:pPr>
            <w:r>
              <w:rPr>
                <w:rFonts w:cs="Arial"/>
              </w:rPr>
              <w:t>a</w:t>
            </w:r>
            <w:r w:rsidR="0035265A" w:rsidRPr="00C86B88">
              <w:rPr>
                <w:rFonts w:cs="Arial"/>
              </w:rPr>
              <w:t>ssignment priorities</w:t>
            </w:r>
          </w:p>
          <w:p w14:paraId="26CD92C8" w14:textId="03EAB417" w:rsidR="0035265A" w:rsidRPr="00C86B88" w:rsidRDefault="00C86B88" w:rsidP="00AC7321">
            <w:pPr>
              <w:pStyle w:val="ListBullet"/>
              <w:numPr>
                <w:ilvl w:val="0"/>
                <w:numId w:val="40"/>
              </w:numPr>
              <w:spacing w:after="40" w:line="240" w:lineRule="auto"/>
              <w:ind w:left="1054" w:hanging="357"/>
              <w:rPr>
                <w:rFonts w:cs="Arial"/>
              </w:rPr>
            </w:pPr>
            <w:r>
              <w:rPr>
                <w:rFonts w:cs="Arial"/>
              </w:rPr>
              <w:t>a</w:t>
            </w:r>
            <w:r w:rsidR="0035265A" w:rsidRPr="00C86B88">
              <w:rPr>
                <w:rFonts w:cs="Arial"/>
              </w:rPr>
              <w:t>djacent channel/band requirements</w:t>
            </w:r>
          </w:p>
          <w:p w14:paraId="3784D5D4" w14:textId="5E0B7CB8" w:rsidR="0035265A" w:rsidRPr="00C86B88" w:rsidRDefault="00C86B88" w:rsidP="00AC7321">
            <w:pPr>
              <w:pStyle w:val="ListBullet"/>
              <w:numPr>
                <w:ilvl w:val="0"/>
                <w:numId w:val="40"/>
              </w:numPr>
              <w:spacing w:after="240" w:line="240" w:lineRule="auto"/>
              <w:ind w:left="1054" w:hanging="357"/>
              <w:rPr>
                <w:rFonts w:cs="Arial"/>
              </w:rPr>
            </w:pPr>
            <w:r>
              <w:rPr>
                <w:rFonts w:cs="Arial"/>
              </w:rPr>
              <w:t>s</w:t>
            </w:r>
            <w:r w:rsidR="0035265A" w:rsidRPr="00C86B88">
              <w:rPr>
                <w:rFonts w:cs="Arial"/>
              </w:rPr>
              <w:t>pecial conditions/advisory notes.</w:t>
            </w:r>
          </w:p>
          <w:p w14:paraId="2B359F52" w14:textId="77777777" w:rsidR="0035265A" w:rsidRPr="00D04FD7" w:rsidRDefault="0035265A" w:rsidP="00AC7321">
            <w:pPr>
              <w:spacing w:after="40" w:line="240" w:lineRule="auto"/>
              <w:rPr>
                <w:rFonts w:cs="Arial"/>
                <w:szCs w:val="20"/>
              </w:rPr>
            </w:pPr>
            <w:r w:rsidRPr="00C86B88">
              <w:rPr>
                <w:rFonts w:cs="Arial"/>
                <w:szCs w:val="20"/>
                <w:u w:val="single"/>
              </w:rPr>
              <w:t>Action 4.2</w:t>
            </w:r>
            <w:r w:rsidRPr="00C86B88">
              <w:rPr>
                <w:rFonts w:cs="Arial"/>
                <w:szCs w:val="20"/>
              </w:rPr>
              <w:t xml:space="preserve">: Amend </w:t>
            </w:r>
            <w:r w:rsidRPr="00AC7321">
              <w:rPr>
                <w:rFonts w:cs="Arial"/>
                <w:szCs w:val="20"/>
              </w:rPr>
              <w:t>Embargo 64</w:t>
            </w:r>
            <w:r w:rsidRPr="00D04FD7">
              <w:rPr>
                <w:rFonts w:cs="Arial"/>
                <w:szCs w:val="20"/>
              </w:rPr>
              <w:t>:</w:t>
            </w:r>
          </w:p>
          <w:p w14:paraId="432DE009" w14:textId="21670EC3" w:rsidR="0035265A" w:rsidRPr="00C86B88" w:rsidRDefault="0035265A" w:rsidP="005A76BF">
            <w:pPr>
              <w:pStyle w:val="ListBullet"/>
              <w:numPr>
                <w:ilvl w:val="0"/>
                <w:numId w:val="40"/>
              </w:numPr>
              <w:spacing w:after="0" w:line="240" w:lineRule="auto"/>
              <w:ind w:left="714" w:hanging="357"/>
              <w:rPr>
                <w:rFonts w:cs="Arial"/>
                <w:szCs w:val="20"/>
              </w:rPr>
            </w:pPr>
            <w:r w:rsidRPr="00C86B88">
              <w:rPr>
                <w:rFonts w:cs="Arial"/>
                <w:szCs w:val="20"/>
              </w:rPr>
              <w:t>Remove 804</w:t>
            </w:r>
            <w:r w:rsidR="00C86B88">
              <w:rPr>
                <w:rFonts w:cs="Arial"/>
              </w:rPr>
              <w:t>–</w:t>
            </w:r>
            <w:r w:rsidRPr="00C86B88">
              <w:rPr>
                <w:rFonts w:cs="Arial"/>
                <w:szCs w:val="20"/>
              </w:rPr>
              <w:t>806 MHz and 849</w:t>
            </w:r>
            <w:r w:rsidR="00C86B88">
              <w:rPr>
                <w:rFonts w:cs="Arial"/>
              </w:rPr>
              <w:t>–</w:t>
            </w:r>
            <w:r w:rsidRPr="00C86B88">
              <w:rPr>
                <w:rFonts w:cs="Arial"/>
                <w:szCs w:val="20"/>
              </w:rPr>
              <w:t>851 MHz from the scope of the Embargo.</w:t>
            </w:r>
          </w:p>
        </w:tc>
      </w:tr>
    </w:tbl>
    <w:p w14:paraId="470E17E8" w14:textId="77777777" w:rsidR="007E37A5" w:rsidRDefault="007E37A5" w:rsidP="007E37A5">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7E37A5" w:rsidRPr="006D46E5" w14:paraId="037FB44C" w14:textId="77777777" w:rsidTr="00AC7321">
        <w:tc>
          <w:tcPr>
            <w:tcW w:w="2524" w:type="dxa"/>
            <w:tcBorders>
              <w:bottom w:val="single" w:sz="4" w:space="0" w:color="auto"/>
            </w:tcBorders>
            <w:shd w:val="clear" w:color="auto" w:fill="404040" w:themeFill="text1" w:themeFillTint="BF"/>
          </w:tcPr>
          <w:p w14:paraId="02B7F2E8" w14:textId="09AE125B" w:rsidR="007E37A5" w:rsidRPr="00AC7321" w:rsidRDefault="007E37A5" w:rsidP="00AC7321">
            <w:pPr>
              <w:pStyle w:val="TableHeading"/>
              <w:rPr>
                <w:b w:val="0"/>
                <w:color w:val="FFFFFF" w:themeColor="background1"/>
              </w:rPr>
            </w:pPr>
            <w:r w:rsidRPr="00AC7321">
              <w:rPr>
                <w:color w:val="FFFFFF" w:themeColor="background1"/>
              </w:rPr>
              <w:t xml:space="preserve">Key </w:t>
            </w:r>
            <w:r w:rsidR="00C86B88">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65EE56AA" w14:textId="77777777" w:rsidR="007E37A5" w:rsidRPr="00AC7321" w:rsidRDefault="007E37A5" w:rsidP="00AC7321">
            <w:pPr>
              <w:pStyle w:val="TableHeading"/>
              <w:rPr>
                <w:color w:val="FFFFFF" w:themeColor="background1"/>
              </w:rPr>
            </w:pPr>
            <w:r w:rsidRPr="00AC7321">
              <w:rPr>
                <w:color w:val="FFFFFF" w:themeColor="background1"/>
              </w:rPr>
              <w:t>5</w:t>
            </w:r>
          </w:p>
        </w:tc>
      </w:tr>
      <w:tr w:rsidR="007E37A5" w:rsidRPr="006D46E5" w14:paraId="73FBA5E6" w14:textId="77777777" w:rsidTr="00071CEA">
        <w:tc>
          <w:tcPr>
            <w:tcW w:w="2524" w:type="dxa"/>
            <w:shd w:val="clear" w:color="auto" w:fill="F2F2F2" w:themeFill="background1" w:themeFillShade="F2"/>
          </w:tcPr>
          <w:p w14:paraId="55346761" w14:textId="77777777" w:rsidR="007E37A5" w:rsidRPr="001A4286" w:rsidRDefault="007E37A5" w:rsidP="000D5EEA">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566ECEAD" w14:textId="77777777" w:rsidR="007E37A5" w:rsidRPr="001A4286" w:rsidRDefault="007E37A5" w:rsidP="000D5EEA">
            <w:pPr>
              <w:pStyle w:val="TableBody"/>
              <w:rPr>
                <w:rFonts w:cs="Arial"/>
                <w:szCs w:val="20"/>
              </w:rPr>
            </w:pPr>
            <w:r>
              <w:rPr>
                <w:rFonts w:cs="Arial"/>
                <w:szCs w:val="20"/>
              </w:rPr>
              <w:t>30 June 2020</w:t>
            </w:r>
          </w:p>
        </w:tc>
      </w:tr>
      <w:tr w:rsidR="007E37A5" w:rsidRPr="006D46E5" w14:paraId="7791D3B8" w14:textId="77777777" w:rsidTr="00071CEA">
        <w:tc>
          <w:tcPr>
            <w:tcW w:w="2524" w:type="dxa"/>
          </w:tcPr>
          <w:p w14:paraId="18186DB4" w14:textId="77777777" w:rsidR="007E37A5" w:rsidRPr="001A4286" w:rsidRDefault="007E37A5" w:rsidP="000D5EEA">
            <w:pPr>
              <w:pStyle w:val="TableBody"/>
              <w:rPr>
                <w:rFonts w:cs="Arial"/>
                <w:b/>
                <w:szCs w:val="20"/>
              </w:rPr>
            </w:pPr>
            <w:r w:rsidRPr="001A4286">
              <w:rPr>
                <w:rFonts w:cs="Arial"/>
                <w:b/>
                <w:szCs w:val="20"/>
              </w:rPr>
              <w:t>Action to be taken by the above date:</w:t>
            </w:r>
          </w:p>
        </w:tc>
        <w:tc>
          <w:tcPr>
            <w:tcW w:w="6980" w:type="dxa"/>
          </w:tcPr>
          <w:p w14:paraId="7C3563AF" w14:textId="1F43911B" w:rsidR="007E37A5" w:rsidRPr="007E37A5" w:rsidRDefault="007E37A5" w:rsidP="00AC7321">
            <w:pPr>
              <w:spacing w:after="40" w:line="240" w:lineRule="auto"/>
              <w:rPr>
                <w:rFonts w:cs="Arial"/>
                <w:szCs w:val="20"/>
              </w:rPr>
            </w:pPr>
            <w:r w:rsidRPr="007E37A5">
              <w:rPr>
                <w:rFonts w:cs="Arial"/>
                <w:szCs w:val="20"/>
                <w:u w:val="single"/>
              </w:rPr>
              <w:t>Action 5.1</w:t>
            </w:r>
            <w:r w:rsidRPr="007E37A5">
              <w:rPr>
                <w:rFonts w:cs="Arial"/>
                <w:szCs w:val="20"/>
              </w:rPr>
              <w:t xml:space="preserve">: Amend </w:t>
            </w:r>
            <w:r w:rsidRPr="00AC7321">
              <w:rPr>
                <w:rFonts w:cs="Arial"/>
                <w:szCs w:val="20"/>
              </w:rPr>
              <w:t xml:space="preserve">RALI FX-17: Frequency assignment requirements for narrowband single channel </w:t>
            </w:r>
            <w:r w:rsidR="00B74DBA" w:rsidRPr="00AC7321">
              <w:rPr>
                <w:rFonts w:cs="Arial"/>
                <w:szCs w:val="20"/>
              </w:rPr>
              <w:t>two-frequency</w:t>
            </w:r>
            <w:r w:rsidRPr="00AC7321">
              <w:rPr>
                <w:rFonts w:cs="Arial"/>
                <w:szCs w:val="20"/>
              </w:rPr>
              <w:t xml:space="preserve"> point-to-point services in the 400 MHz and 900 MHz bands</w:t>
            </w:r>
            <w:r w:rsidRPr="007E37A5">
              <w:rPr>
                <w:rFonts w:cs="Arial"/>
                <w:i/>
                <w:szCs w:val="20"/>
              </w:rPr>
              <w:t xml:space="preserve"> </w:t>
            </w:r>
            <w:r w:rsidRPr="007E37A5">
              <w:rPr>
                <w:rFonts w:cs="Arial"/>
                <w:szCs w:val="20"/>
              </w:rPr>
              <w:t>as follows:</w:t>
            </w:r>
          </w:p>
          <w:p w14:paraId="273E33DA" w14:textId="138C6D55" w:rsidR="007E37A5" w:rsidRPr="007E37A5" w:rsidRDefault="00AD30DA"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emove licensing and assignment provisions for all ‘900 MHz band’ channels (</w:t>
            </w:r>
            <w:r w:rsidR="003166AA" w:rsidRPr="007E37A5">
              <w:rPr>
                <w:rFonts w:ascii="Arial" w:hAnsi="Arial" w:cs="Arial"/>
                <w:sz w:val="20"/>
                <w:szCs w:val="20"/>
              </w:rPr>
              <w:t>i.e.</w:t>
            </w:r>
            <w:r w:rsidR="007E37A5" w:rsidRPr="007E37A5">
              <w:rPr>
                <w:rFonts w:ascii="Arial" w:hAnsi="Arial" w:cs="Arial"/>
                <w:sz w:val="20"/>
                <w:szCs w:val="20"/>
              </w:rPr>
              <w:t xml:space="preserve"> all channels listed under ‘Band 3’ and ‘Band 4’ in the document)</w:t>
            </w:r>
            <w:r>
              <w:rPr>
                <w:rFonts w:ascii="Arial" w:hAnsi="Arial" w:cs="Arial"/>
                <w:sz w:val="20"/>
                <w:szCs w:val="20"/>
              </w:rPr>
              <w:t>.</w:t>
            </w:r>
          </w:p>
          <w:p w14:paraId="1857EEAA" w14:textId="0D4B0A69" w:rsidR="007E37A5" w:rsidRPr="007E37A5" w:rsidRDefault="00AD30DA" w:rsidP="00AC7321">
            <w:pPr>
              <w:pStyle w:val="ListParagraph"/>
              <w:numPr>
                <w:ilvl w:val="0"/>
                <w:numId w:val="40"/>
              </w:numPr>
              <w:spacing w:after="240"/>
              <w:contextualSpacing w:val="0"/>
              <w:rPr>
                <w:rFonts w:ascii="Arial" w:hAnsi="Arial" w:cs="Arial"/>
                <w:sz w:val="20"/>
                <w:szCs w:val="20"/>
              </w:rPr>
            </w:pPr>
            <w:r>
              <w:rPr>
                <w:rFonts w:ascii="Arial" w:hAnsi="Arial" w:cs="Arial"/>
                <w:sz w:val="20"/>
                <w:szCs w:val="20"/>
              </w:rPr>
              <w:t>N</w:t>
            </w:r>
            <w:r w:rsidR="007E37A5" w:rsidRPr="007E37A5">
              <w:rPr>
                <w:rFonts w:ascii="Arial" w:hAnsi="Arial" w:cs="Arial"/>
                <w:sz w:val="20"/>
                <w:szCs w:val="20"/>
              </w:rPr>
              <w:t>ew document heading: ‘</w:t>
            </w:r>
            <w:r w:rsidR="007E37A5" w:rsidRPr="007E37A5">
              <w:rPr>
                <w:rFonts w:ascii="Arial" w:hAnsi="Arial" w:cs="Arial"/>
                <w:i/>
                <w:sz w:val="20"/>
                <w:szCs w:val="20"/>
              </w:rPr>
              <w:t xml:space="preserve">Radiocommunications Assignment and Licensing Instruction (RALI) FX-17: Frequency assignment requirements for narrowband single channel </w:t>
            </w:r>
            <w:r w:rsidR="00B74DBA">
              <w:rPr>
                <w:rFonts w:ascii="Arial" w:hAnsi="Arial" w:cs="Arial"/>
                <w:i/>
                <w:sz w:val="20"/>
                <w:szCs w:val="20"/>
              </w:rPr>
              <w:t>two-frequency</w:t>
            </w:r>
            <w:r w:rsidR="007E37A5" w:rsidRPr="007E37A5">
              <w:rPr>
                <w:rFonts w:ascii="Arial" w:hAnsi="Arial" w:cs="Arial"/>
                <w:i/>
                <w:sz w:val="20"/>
                <w:szCs w:val="20"/>
              </w:rPr>
              <w:t xml:space="preserve"> point-to-point services in the 400 MHz band’.</w:t>
            </w:r>
          </w:p>
          <w:p w14:paraId="3FBD7FCD" w14:textId="77777777" w:rsidR="007E37A5" w:rsidRPr="007E37A5" w:rsidRDefault="007E37A5" w:rsidP="00AC7321">
            <w:pPr>
              <w:spacing w:after="40" w:line="240" w:lineRule="auto"/>
              <w:rPr>
                <w:rFonts w:cs="Arial"/>
                <w:szCs w:val="20"/>
              </w:rPr>
            </w:pPr>
            <w:r w:rsidRPr="007E37A5">
              <w:rPr>
                <w:rFonts w:cs="Arial"/>
                <w:szCs w:val="20"/>
                <w:u w:val="single"/>
              </w:rPr>
              <w:t>Action 5.2</w:t>
            </w:r>
            <w:r w:rsidRPr="007E37A5">
              <w:rPr>
                <w:rFonts w:cs="Arial"/>
                <w:szCs w:val="20"/>
              </w:rPr>
              <w:t xml:space="preserve">: Amend </w:t>
            </w:r>
            <w:r w:rsidRPr="00AC7321">
              <w:rPr>
                <w:rFonts w:cs="Arial"/>
                <w:szCs w:val="20"/>
              </w:rPr>
              <w:t>RALI FX-16: Frequency assignment requirements for the point-to-multipoint services in the 400 MHz and 900 MHz bands</w:t>
            </w:r>
            <w:r w:rsidRPr="007E37A5">
              <w:rPr>
                <w:rFonts w:cs="Arial"/>
                <w:i/>
                <w:szCs w:val="20"/>
              </w:rPr>
              <w:t xml:space="preserve"> </w:t>
            </w:r>
            <w:r w:rsidRPr="007E37A5">
              <w:rPr>
                <w:rFonts w:cs="Arial"/>
                <w:szCs w:val="20"/>
              </w:rPr>
              <w:t>as follows:</w:t>
            </w:r>
          </w:p>
          <w:p w14:paraId="63DCB04A" w14:textId="2BA19740" w:rsidR="007E37A5" w:rsidRPr="007E37A5" w:rsidRDefault="00AD30DA"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 xml:space="preserve">emove channelling arrangements for </w:t>
            </w:r>
            <w:r w:rsidR="00F02354">
              <w:rPr>
                <w:rFonts w:ascii="Arial" w:hAnsi="Arial" w:cs="Arial"/>
                <w:sz w:val="20"/>
                <w:szCs w:val="20"/>
              </w:rPr>
              <w:t>P</w:t>
            </w:r>
            <w:r w:rsidR="007E37A5" w:rsidRPr="007E37A5">
              <w:rPr>
                <w:rFonts w:ascii="Arial" w:hAnsi="Arial" w:cs="Arial"/>
                <w:sz w:val="20"/>
                <w:szCs w:val="20"/>
              </w:rPr>
              <w:t>-</w:t>
            </w:r>
            <w:r w:rsidR="00F02354">
              <w:rPr>
                <w:rFonts w:ascii="Arial" w:hAnsi="Arial" w:cs="Arial"/>
                <w:sz w:val="20"/>
                <w:szCs w:val="20"/>
              </w:rPr>
              <w:t>MP</w:t>
            </w:r>
            <w:r w:rsidR="00F02354" w:rsidRPr="007E37A5">
              <w:rPr>
                <w:rFonts w:ascii="Arial" w:hAnsi="Arial" w:cs="Arial"/>
                <w:sz w:val="20"/>
                <w:szCs w:val="20"/>
              </w:rPr>
              <w:t xml:space="preserve"> </w:t>
            </w:r>
            <w:r w:rsidR="007E37A5" w:rsidRPr="007E37A5">
              <w:rPr>
                <w:rFonts w:ascii="Arial" w:hAnsi="Arial" w:cs="Arial"/>
                <w:sz w:val="20"/>
                <w:szCs w:val="20"/>
              </w:rPr>
              <w:t>services in the 900</w:t>
            </w:r>
            <w:r w:rsidR="003166AA">
              <w:rPr>
                <w:rFonts w:ascii="Arial" w:hAnsi="Arial" w:cs="Arial"/>
                <w:sz w:val="20"/>
                <w:szCs w:val="20"/>
              </w:rPr>
              <w:t> </w:t>
            </w:r>
            <w:r w:rsidR="007E37A5" w:rsidRPr="007E37A5">
              <w:rPr>
                <w:rFonts w:ascii="Arial" w:hAnsi="Arial" w:cs="Arial"/>
                <w:sz w:val="20"/>
                <w:szCs w:val="20"/>
              </w:rPr>
              <w:t>MHz band (to be moved into new RALI</w:t>
            </w:r>
            <w:r>
              <w:rPr>
                <w:rFonts w:ascii="Arial" w:hAnsi="Arial" w:cs="Arial"/>
                <w:sz w:val="20"/>
                <w:szCs w:val="20"/>
              </w:rPr>
              <w:t>—</w:t>
            </w:r>
            <w:r w:rsidR="007E37A5" w:rsidRPr="007E37A5">
              <w:rPr>
                <w:rFonts w:ascii="Arial" w:hAnsi="Arial" w:cs="Arial"/>
                <w:sz w:val="20"/>
                <w:szCs w:val="20"/>
              </w:rPr>
              <w:t>see below)</w:t>
            </w:r>
            <w:r>
              <w:rPr>
                <w:rFonts w:ascii="Arial" w:hAnsi="Arial" w:cs="Arial"/>
                <w:sz w:val="20"/>
                <w:szCs w:val="20"/>
              </w:rPr>
              <w:t>.</w:t>
            </w:r>
          </w:p>
          <w:p w14:paraId="246403DD" w14:textId="77777777" w:rsidR="007E37A5" w:rsidRPr="007E37A5" w:rsidRDefault="007E37A5" w:rsidP="00AC7321">
            <w:pPr>
              <w:pStyle w:val="ListParagraph"/>
              <w:numPr>
                <w:ilvl w:val="0"/>
                <w:numId w:val="40"/>
              </w:numPr>
              <w:spacing w:after="240"/>
              <w:contextualSpacing w:val="0"/>
              <w:rPr>
                <w:rFonts w:ascii="Arial" w:hAnsi="Arial" w:cs="Arial"/>
                <w:sz w:val="20"/>
                <w:szCs w:val="20"/>
              </w:rPr>
            </w:pPr>
            <w:r w:rsidRPr="007E37A5">
              <w:rPr>
                <w:rFonts w:ascii="Arial" w:hAnsi="Arial" w:cs="Arial"/>
                <w:sz w:val="20"/>
                <w:szCs w:val="20"/>
              </w:rPr>
              <w:t>New document heading: ’</w:t>
            </w:r>
            <w:r w:rsidRPr="007E37A5">
              <w:rPr>
                <w:rFonts w:ascii="Arial" w:hAnsi="Arial" w:cs="Arial"/>
                <w:i/>
                <w:sz w:val="20"/>
                <w:szCs w:val="20"/>
              </w:rPr>
              <w:t>Radiocommunications Assignment and Licensing Instruction (RALI) FX-16: Frequency assignment requirements for the point to multipoint services in the 400 MHz band</w:t>
            </w:r>
            <w:r w:rsidRPr="007E37A5">
              <w:rPr>
                <w:rFonts w:ascii="Arial" w:hAnsi="Arial" w:cs="Arial"/>
                <w:sz w:val="20"/>
                <w:szCs w:val="20"/>
              </w:rPr>
              <w:t>’.</w:t>
            </w:r>
          </w:p>
          <w:p w14:paraId="732F91D9" w14:textId="062590ED" w:rsidR="007E37A5" w:rsidRPr="007E37A5" w:rsidRDefault="007E37A5" w:rsidP="00AC7321">
            <w:pPr>
              <w:spacing w:after="40" w:line="240" w:lineRule="auto"/>
              <w:rPr>
                <w:rFonts w:cs="Arial"/>
                <w:i/>
                <w:szCs w:val="20"/>
              </w:rPr>
            </w:pPr>
            <w:r w:rsidRPr="007E37A5">
              <w:rPr>
                <w:rFonts w:cs="Arial"/>
                <w:szCs w:val="20"/>
                <w:u w:val="single"/>
              </w:rPr>
              <w:t>Action 5.3</w:t>
            </w:r>
            <w:r w:rsidRPr="007E37A5">
              <w:rPr>
                <w:rFonts w:cs="Arial"/>
                <w:szCs w:val="20"/>
              </w:rPr>
              <w:t xml:space="preserve">: Suppress </w:t>
            </w:r>
            <w:r w:rsidRPr="00AC7321">
              <w:rPr>
                <w:rFonts w:cs="Arial"/>
                <w:szCs w:val="20"/>
              </w:rPr>
              <w:t>RALI FX 10: Management of the short range point to multipoint service (</w:t>
            </w:r>
            <w:r w:rsidR="00F02354" w:rsidRPr="00AC7321">
              <w:rPr>
                <w:rFonts w:cs="Arial"/>
                <w:szCs w:val="20"/>
              </w:rPr>
              <w:t>SR P-MP</w:t>
            </w:r>
            <w:r w:rsidRPr="00AC7321">
              <w:rPr>
                <w:rFonts w:cs="Arial"/>
                <w:szCs w:val="20"/>
              </w:rPr>
              <w:t>)</w:t>
            </w:r>
            <w:r w:rsidRPr="00AD30DA">
              <w:rPr>
                <w:rFonts w:cs="Arial"/>
                <w:szCs w:val="20"/>
              </w:rPr>
              <w:t>:</w:t>
            </w:r>
          </w:p>
          <w:p w14:paraId="02FB1651" w14:textId="0C448CE2" w:rsidR="007E37A5" w:rsidRPr="007E37A5" w:rsidRDefault="007E37A5" w:rsidP="00AC7321">
            <w:pPr>
              <w:pStyle w:val="ListParagraph"/>
              <w:numPr>
                <w:ilvl w:val="0"/>
                <w:numId w:val="40"/>
              </w:numPr>
              <w:spacing w:after="240"/>
              <w:contextualSpacing w:val="0"/>
              <w:rPr>
                <w:rFonts w:ascii="Arial" w:hAnsi="Arial" w:cs="Arial"/>
                <w:sz w:val="20"/>
                <w:szCs w:val="20"/>
              </w:rPr>
            </w:pPr>
            <w:r w:rsidRPr="007E37A5">
              <w:rPr>
                <w:rFonts w:ascii="Arial" w:hAnsi="Arial" w:cs="Arial"/>
                <w:sz w:val="20"/>
                <w:szCs w:val="20"/>
              </w:rPr>
              <w:t xml:space="preserve">While the provisions for </w:t>
            </w:r>
            <w:r w:rsidR="00F02354">
              <w:rPr>
                <w:rFonts w:ascii="Arial" w:hAnsi="Arial" w:cs="Arial"/>
                <w:sz w:val="20"/>
                <w:szCs w:val="20"/>
              </w:rPr>
              <w:t>SR P-MP</w:t>
            </w:r>
            <w:r w:rsidRPr="007E37A5">
              <w:rPr>
                <w:rFonts w:ascii="Arial" w:hAnsi="Arial" w:cs="Arial"/>
                <w:sz w:val="20"/>
                <w:szCs w:val="20"/>
              </w:rPr>
              <w:t xml:space="preserve"> will not be explicitly recreated in the new RALI, assignments that would conform to the parameters in RALI FX 10 (except specific frequencies, which will change) will be permissible under the general provisions for </w:t>
            </w:r>
            <w:r w:rsidR="00F02354">
              <w:rPr>
                <w:rFonts w:ascii="Arial" w:hAnsi="Arial" w:cs="Arial"/>
                <w:sz w:val="20"/>
                <w:szCs w:val="20"/>
              </w:rPr>
              <w:t>P-MP</w:t>
            </w:r>
            <w:r w:rsidRPr="007E37A5">
              <w:rPr>
                <w:rFonts w:ascii="Arial" w:hAnsi="Arial" w:cs="Arial"/>
                <w:sz w:val="20"/>
                <w:szCs w:val="20"/>
              </w:rPr>
              <w:t xml:space="preserve"> in the new RALI.</w:t>
            </w:r>
          </w:p>
          <w:p w14:paraId="40F44F45" w14:textId="624959A7" w:rsidR="007E37A5" w:rsidRPr="001A4286" w:rsidRDefault="007E37A5" w:rsidP="007E37A5">
            <w:pPr>
              <w:pStyle w:val="ListBullet"/>
              <w:spacing w:after="0" w:line="240" w:lineRule="auto"/>
              <w:rPr>
                <w:rFonts w:cs="Arial"/>
                <w:szCs w:val="20"/>
              </w:rPr>
            </w:pPr>
            <w:r w:rsidRPr="007E37A5">
              <w:rPr>
                <w:rFonts w:cs="Arial"/>
                <w:szCs w:val="20"/>
                <w:u w:val="single"/>
              </w:rPr>
              <w:t>Action 5.4</w:t>
            </w:r>
            <w:r w:rsidRPr="007E37A5">
              <w:rPr>
                <w:rFonts w:cs="Arial"/>
                <w:szCs w:val="20"/>
              </w:rPr>
              <w:t xml:space="preserve">: Suppress </w:t>
            </w:r>
            <w:r w:rsidRPr="00AC7321">
              <w:rPr>
                <w:rFonts w:cs="Arial"/>
                <w:szCs w:val="20"/>
              </w:rPr>
              <w:t xml:space="preserve">SPP 6/93: Frequency assignment procedures for low capacity </w:t>
            </w:r>
            <w:r w:rsidR="00B74DBA" w:rsidRPr="00AC7321">
              <w:rPr>
                <w:rFonts w:cs="Arial"/>
                <w:szCs w:val="20"/>
              </w:rPr>
              <w:t>two-frequency</w:t>
            </w:r>
            <w:r w:rsidRPr="00AC7321">
              <w:rPr>
                <w:rFonts w:cs="Arial"/>
                <w:szCs w:val="20"/>
              </w:rPr>
              <w:t xml:space="preserve"> fixed services in the 820</w:t>
            </w:r>
            <w:r w:rsidR="00AD30DA">
              <w:rPr>
                <w:rFonts w:cs="Arial"/>
              </w:rPr>
              <w:t>–</w:t>
            </w:r>
            <w:r w:rsidRPr="00AC7321">
              <w:rPr>
                <w:rFonts w:cs="Arial"/>
                <w:szCs w:val="20"/>
              </w:rPr>
              <w:t>960 MHz band.</w:t>
            </w:r>
          </w:p>
        </w:tc>
      </w:tr>
    </w:tbl>
    <w:p w14:paraId="307428E4" w14:textId="77777777" w:rsidR="007E37A5" w:rsidRDefault="007E37A5" w:rsidP="007E37A5">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7E37A5" w:rsidRPr="006D46E5" w14:paraId="66F8D355" w14:textId="77777777" w:rsidTr="00AC7321">
        <w:tc>
          <w:tcPr>
            <w:tcW w:w="2524" w:type="dxa"/>
            <w:tcBorders>
              <w:bottom w:val="single" w:sz="4" w:space="0" w:color="auto"/>
            </w:tcBorders>
            <w:shd w:val="clear" w:color="auto" w:fill="404040" w:themeFill="text1" w:themeFillTint="BF"/>
          </w:tcPr>
          <w:p w14:paraId="73516DCB" w14:textId="330154D4" w:rsidR="007E37A5" w:rsidRPr="00AC7321" w:rsidRDefault="007E37A5" w:rsidP="00AC7321">
            <w:pPr>
              <w:pStyle w:val="TableHeading"/>
              <w:keepNext/>
              <w:rPr>
                <w:b w:val="0"/>
                <w:color w:val="FFFFFF" w:themeColor="background1"/>
              </w:rPr>
            </w:pPr>
            <w:r w:rsidRPr="00AC7321">
              <w:rPr>
                <w:color w:val="FFFFFF" w:themeColor="background1"/>
              </w:rPr>
              <w:t xml:space="preserve">Key </w:t>
            </w:r>
            <w:r w:rsidR="00AD30DA"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15EE0314" w14:textId="77777777" w:rsidR="007E37A5" w:rsidRPr="00AC7321" w:rsidRDefault="007E37A5" w:rsidP="00AC7321">
            <w:pPr>
              <w:pStyle w:val="TableHeading"/>
              <w:keepNext/>
              <w:rPr>
                <w:color w:val="FFFFFF" w:themeColor="background1"/>
              </w:rPr>
            </w:pPr>
            <w:r w:rsidRPr="00AC7321">
              <w:rPr>
                <w:color w:val="FFFFFF" w:themeColor="background1"/>
              </w:rPr>
              <w:t>6</w:t>
            </w:r>
          </w:p>
        </w:tc>
      </w:tr>
      <w:tr w:rsidR="007E37A5" w:rsidRPr="006D46E5" w14:paraId="0C67B658" w14:textId="77777777" w:rsidTr="00AC7321">
        <w:tc>
          <w:tcPr>
            <w:tcW w:w="2524" w:type="dxa"/>
            <w:shd w:val="clear" w:color="auto" w:fill="F2F2F2" w:themeFill="background1" w:themeFillShade="F2"/>
          </w:tcPr>
          <w:p w14:paraId="72D03F24" w14:textId="77777777" w:rsidR="007E37A5" w:rsidRPr="001A4286" w:rsidRDefault="007E37A5" w:rsidP="00D04FD7">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3A132B0F" w14:textId="77777777" w:rsidR="007E37A5" w:rsidRPr="001A4286" w:rsidRDefault="007E37A5" w:rsidP="00D04FD7">
            <w:pPr>
              <w:pStyle w:val="TableBody"/>
              <w:keepNext/>
              <w:keepLines/>
              <w:rPr>
                <w:rFonts w:cs="Arial"/>
                <w:szCs w:val="20"/>
              </w:rPr>
            </w:pPr>
            <w:r>
              <w:rPr>
                <w:rFonts w:cs="Arial"/>
                <w:szCs w:val="20"/>
              </w:rPr>
              <w:t>30 June 2021</w:t>
            </w:r>
          </w:p>
        </w:tc>
      </w:tr>
      <w:tr w:rsidR="007E37A5" w:rsidRPr="006D46E5" w14:paraId="67D32B60" w14:textId="77777777" w:rsidTr="00AC7321">
        <w:tc>
          <w:tcPr>
            <w:tcW w:w="2524" w:type="dxa"/>
          </w:tcPr>
          <w:p w14:paraId="01CB03EC" w14:textId="77777777" w:rsidR="007E37A5" w:rsidRPr="001A4286" w:rsidRDefault="007E37A5" w:rsidP="007E37A5">
            <w:pPr>
              <w:pStyle w:val="TableBody"/>
              <w:rPr>
                <w:rFonts w:cs="Arial"/>
                <w:b/>
                <w:szCs w:val="20"/>
              </w:rPr>
            </w:pPr>
            <w:r w:rsidRPr="001A4286">
              <w:rPr>
                <w:rFonts w:cs="Arial"/>
                <w:b/>
                <w:szCs w:val="20"/>
              </w:rPr>
              <w:t>Action to be taken by the above date:</w:t>
            </w:r>
          </w:p>
        </w:tc>
        <w:tc>
          <w:tcPr>
            <w:tcW w:w="6980" w:type="dxa"/>
          </w:tcPr>
          <w:p w14:paraId="64621FD1" w14:textId="77777777" w:rsidR="007E37A5" w:rsidRPr="007E37A5" w:rsidRDefault="007E37A5" w:rsidP="00AC7321">
            <w:pPr>
              <w:spacing w:after="40" w:line="240" w:lineRule="auto"/>
              <w:rPr>
                <w:rFonts w:cs="Arial"/>
                <w:szCs w:val="20"/>
              </w:rPr>
            </w:pPr>
            <w:r w:rsidRPr="007E37A5">
              <w:rPr>
                <w:rFonts w:cs="Arial"/>
                <w:szCs w:val="20"/>
                <w:u w:val="single"/>
              </w:rPr>
              <w:t>Action 6.1</w:t>
            </w:r>
            <w:r w:rsidRPr="007E37A5">
              <w:rPr>
                <w:rFonts w:cs="Arial"/>
                <w:szCs w:val="20"/>
              </w:rPr>
              <w:t xml:space="preserve">: Amend the </w:t>
            </w:r>
            <w:r w:rsidRPr="00AC7321">
              <w:rPr>
                <w:rFonts w:cs="Arial"/>
                <w:szCs w:val="20"/>
              </w:rPr>
              <w:t>Radiocommunications (Low Interference Potential Devices) Class Licence 2000</w:t>
            </w:r>
            <w:r w:rsidRPr="007E37A5">
              <w:rPr>
                <w:rFonts w:cs="Arial"/>
                <w:szCs w:val="20"/>
              </w:rPr>
              <w:t xml:space="preserve"> to incorporate new provisions for:</w:t>
            </w:r>
          </w:p>
          <w:p w14:paraId="236B7FC7" w14:textId="27F5399F"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Fixed links, telecommand or telemetry transmitters (including mesh devices) operating in 928</w:t>
            </w:r>
            <w:r w:rsidR="00AD30DA">
              <w:rPr>
                <w:rFonts w:ascii="Arial" w:hAnsi="Arial" w:cs="Arial"/>
                <w:sz w:val="20"/>
                <w:szCs w:val="20"/>
              </w:rPr>
              <w:t>–</w:t>
            </w:r>
            <w:r w:rsidRPr="007E37A5">
              <w:rPr>
                <w:rFonts w:ascii="Arial" w:hAnsi="Arial" w:cs="Arial"/>
                <w:sz w:val="20"/>
                <w:szCs w:val="20"/>
              </w:rPr>
              <w:t>933 MHz:</w:t>
            </w:r>
          </w:p>
          <w:p w14:paraId="6E11C085" w14:textId="2D7DEFB6"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 xml:space="preserve">s fixed installations (not less than </w:t>
            </w:r>
            <w:r>
              <w:rPr>
                <w:rFonts w:ascii="Arial" w:hAnsi="Arial" w:cs="Arial"/>
                <w:sz w:val="20"/>
                <w:szCs w:val="20"/>
              </w:rPr>
              <w:t>six</w:t>
            </w:r>
            <w:r w:rsidRPr="007E37A5">
              <w:rPr>
                <w:rFonts w:ascii="Arial" w:hAnsi="Arial" w:cs="Arial"/>
                <w:sz w:val="20"/>
                <w:szCs w:val="20"/>
              </w:rPr>
              <w:t xml:space="preserve"> </w:t>
            </w:r>
            <w:r w:rsidR="007E37A5" w:rsidRPr="007E37A5">
              <w:rPr>
                <w:rFonts w:ascii="Arial" w:hAnsi="Arial" w:cs="Arial"/>
                <w:sz w:val="20"/>
                <w:szCs w:val="20"/>
              </w:rPr>
              <w:t>months)</w:t>
            </w:r>
          </w:p>
          <w:p w14:paraId="3A13963E" w14:textId="6D5F6D72"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uthorised on a non-exclusive basis (i</w:t>
            </w:r>
            <w:r w:rsidR="000D5EEA">
              <w:rPr>
                <w:rFonts w:ascii="Arial" w:hAnsi="Arial" w:cs="Arial"/>
                <w:sz w:val="20"/>
                <w:szCs w:val="20"/>
              </w:rPr>
              <w:t>.</w:t>
            </w:r>
            <w:r w:rsidR="007E37A5" w:rsidRPr="007E37A5">
              <w:rPr>
                <w:rFonts w:ascii="Arial" w:hAnsi="Arial" w:cs="Arial"/>
                <w:sz w:val="20"/>
                <w:szCs w:val="20"/>
              </w:rPr>
              <w:t xml:space="preserve">e. no protection from other authorised devices, accordingly users will need to make their own assessment of the </w:t>
            </w:r>
            <w:r w:rsidR="000D5EEA" w:rsidRPr="007E37A5">
              <w:rPr>
                <w:rFonts w:ascii="Arial" w:hAnsi="Arial" w:cs="Arial"/>
                <w:sz w:val="20"/>
                <w:szCs w:val="20"/>
              </w:rPr>
              <w:t>suitability</w:t>
            </w:r>
            <w:r w:rsidR="007E37A5" w:rsidRPr="007E37A5">
              <w:rPr>
                <w:rFonts w:ascii="Arial" w:hAnsi="Arial" w:cs="Arial"/>
                <w:sz w:val="20"/>
                <w:szCs w:val="20"/>
              </w:rPr>
              <w:t xml:space="preserve"> of these arrangements for their proposed applications)</w:t>
            </w:r>
          </w:p>
          <w:p w14:paraId="1C779FF8" w14:textId="00F690E0"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25 mW (14 dBm)</w:t>
            </w:r>
          </w:p>
          <w:p w14:paraId="34409F99" w14:textId="0E208891"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Radiated PSD not to exceed -14.5 dBm/kHz</w:t>
            </w:r>
          </w:p>
          <w:p w14:paraId="2E377465" w14:textId="26D8937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007E37A5" w:rsidRPr="007E37A5">
              <w:rPr>
                <w:rFonts w:ascii="Arial" w:hAnsi="Arial" w:cs="Arial"/>
                <w:sz w:val="20"/>
                <w:szCs w:val="20"/>
              </w:rPr>
              <w:t xml:space="preserve"> hour on any given frequency.</w:t>
            </w:r>
          </w:p>
          <w:p w14:paraId="207908EE" w14:textId="5D9E4EC0"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Fixed links, telecommand or telemetry transmitters (including mesh devices) operating in 933</w:t>
            </w:r>
            <w:r w:rsidR="00AD30DA">
              <w:rPr>
                <w:rFonts w:ascii="Arial" w:hAnsi="Arial" w:cs="Arial"/>
                <w:sz w:val="20"/>
                <w:szCs w:val="20"/>
              </w:rPr>
              <w:t>–</w:t>
            </w:r>
            <w:r w:rsidRPr="007E37A5">
              <w:rPr>
                <w:rFonts w:ascii="Arial" w:hAnsi="Arial" w:cs="Arial"/>
                <w:sz w:val="20"/>
                <w:szCs w:val="20"/>
              </w:rPr>
              <w:t>935 MHz:</w:t>
            </w:r>
          </w:p>
          <w:p w14:paraId="5E585BD0" w14:textId="3DC1155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 xml:space="preserve">s fixed installations (not less than </w:t>
            </w:r>
            <w:r>
              <w:rPr>
                <w:rFonts w:ascii="Arial" w:hAnsi="Arial" w:cs="Arial"/>
                <w:sz w:val="20"/>
                <w:szCs w:val="20"/>
              </w:rPr>
              <w:t>six</w:t>
            </w:r>
            <w:r w:rsidRPr="007E37A5">
              <w:rPr>
                <w:rFonts w:ascii="Arial" w:hAnsi="Arial" w:cs="Arial"/>
                <w:sz w:val="20"/>
                <w:szCs w:val="20"/>
              </w:rPr>
              <w:t xml:space="preserve"> </w:t>
            </w:r>
            <w:r w:rsidR="007E37A5" w:rsidRPr="007E37A5">
              <w:rPr>
                <w:rFonts w:ascii="Arial" w:hAnsi="Arial" w:cs="Arial"/>
                <w:sz w:val="20"/>
                <w:szCs w:val="20"/>
              </w:rPr>
              <w:t>months);</w:t>
            </w:r>
          </w:p>
          <w:p w14:paraId="7EC73418" w14:textId="4BAE109C"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uthorised on a non-exclusive basis (i</w:t>
            </w:r>
            <w:r w:rsidR="000D5EEA">
              <w:rPr>
                <w:rFonts w:ascii="Arial" w:hAnsi="Arial" w:cs="Arial"/>
                <w:sz w:val="20"/>
                <w:szCs w:val="20"/>
              </w:rPr>
              <w:t>.</w:t>
            </w:r>
            <w:r w:rsidR="007E37A5" w:rsidRPr="007E37A5">
              <w:rPr>
                <w:rFonts w:ascii="Arial" w:hAnsi="Arial" w:cs="Arial"/>
                <w:sz w:val="20"/>
                <w:szCs w:val="20"/>
              </w:rPr>
              <w:t>e. no protection from other authorised devices</w:t>
            </w:r>
            <w:r>
              <w:rPr>
                <w:rFonts w:ascii="Arial" w:hAnsi="Arial" w:cs="Arial"/>
                <w:sz w:val="20"/>
                <w:szCs w:val="20"/>
              </w:rPr>
              <w:t>—</w:t>
            </w:r>
            <w:r w:rsidR="007E37A5" w:rsidRPr="007E37A5">
              <w:rPr>
                <w:rFonts w:ascii="Arial" w:hAnsi="Arial" w:cs="Arial"/>
                <w:sz w:val="20"/>
                <w:szCs w:val="20"/>
              </w:rPr>
              <w:t>not suitable for critical infrastructure metering/control)</w:t>
            </w:r>
          </w:p>
          <w:p w14:paraId="3B266E63" w14:textId="6FC00C88"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25 mW (14 dBm)</w:t>
            </w:r>
          </w:p>
          <w:p w14:paraId="4C659492" w14:textId="6389AFDA"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adiated PSD not to exceed -14.5 dBm/kHz</w:t>
            </w:r>
          </w:p>
          <w:p w14:paraId="70017F40" w14:textId="67FD42F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Pr="007E37A5">
              <w:rPr>
                <w:rFonts w:ascii="Arial" w:hAnsi="Arial" w:cs="Arial"/>
                <w:sz w:val="20"/>
                <w:szCs w:val="20"/>
              </w:rPr>
              <w:t xml:space="preserve"> </w:t>
            </w:r>
            <w:r w:rsidR="007E37A5" w:rsidRPr="007E37A5">
              <w:rPr>
                <w:rFonts w:ascii="Arial" w:hAnsi="Arial" w:cs="Arial"/>
                <w:sz w:val="20"/>
                <w:szCs w:val="20"/>
              </w:rPr>
              <w:t>hour on any given frequency</w:t>
            </w:r>
          </w:p>
          <w:p w14:paraId="047BAEC4" w14:textId="79FE9A93"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o</w:t>
            </w:r>
            <w:r w:rsidR="007E37A5" w:rsidRPr="007E37A5">
              <w:rPr>
                <w:rFonts w:ascii="Arial" w:hAnsi="Arial" w:cs="Arial"/>
                <w:sz w:val="20"/>
                <w:szCs w:val="20"/>
              </w:rPr>
              <w:t xml:space="preserve">peration limited to low and remote density areas (as defined in the ACMA’s </w:t>
            </w:r>
            <w:hyperlink r:id="rId44" w:anchor="maps" w:history="1">
              <w:r w:rsidR="007E37A5" w:rsidRPr="00FD1C81">
                <w:rPr>
                  <w:rStyle w:val="Hyperlink"/>
                  <w:rFonts w:ascii="Arial" w:hAnsi="Arial" w:cs="Arial"/>
                  <w:sz w:val="20"/>
                  <w:szCs w:val="20"/>
                </w:rPr>
                <w:t>apparatus licence fee density area maps</w:t>
              </w:r>
            </w:hyperlink>
            <w:r w:rsidR="007E37A5" w:rsidRPr="007E37A5">
              <w:rPr>
                <w:rFonts w:ascii="Arial" w:hAnsi="Arial" w:cs="Arial"/>
                <w:sz w:val="20"/>
                <w:szCs w:val="20"/>
              </w:rPr>
              <w:t>).</w:t>
            </w:r>
          </w:p>
          <w:p w14:paraId="17EC5A11" w14:textId="377CF6FC"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Cognitive radio devices operating in 933</w:t>
            </w:r>
            <w:r w:rsidR="00AD30DA">
              <w:rPr>
                <w:rFonts w:ascii="Arial" w:hAnsi="Arial" w:cs="Arial"/>
                <w:sz w:val="20"/>
                <w:szCs w:val="20"/>
              </w:rPr>
              <w:t>–</w:t>
            </w:r>
            <w:r w:rsidRPr="007E37A5">
              <w:rPr>
                <w:rFonts w:ascii="Arial" w:hAnsi="Arial" w:cs="Arial"/>
                <w:sz w:val="20"/>
                <w:szCs w:val="20"/>
              </w:rPr>
              <w:t>935 MHz:</w:t>
            </w:r>
          </w:p>
          <w:p w14:paraId="6147EEE1" w14:textId="501BE582"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EIRP not to exceed 10 mW (10 dBm)</w:t>
            </w:r>
          </w:p>
          <w:p w14:paraId="1FA40A21" w14:textId="19F13C8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 xml:space="preserve">adiated PSD not to exceed -14.5 dBm/kHz </w:t>
            </w:r>
          </w:p>
          <w:p w14:paraId="7325460A" w14:textId="7F8612F9"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d</w:t>
            </w:r>
            <w:r w:rsidR="007E37A5" w:rsidRPr="007E37A5">
              <w:rPr>
                <w:rFonts w:ascii="Arial" w:hAnsi="Arial" w:cs="Arial"/>
                <w:sz w:val="20"/>
                <w:szCs w:val="20"/>
              </w:rPr>
              <w:t xml:space="preserve">uty cycle not to exceed 1% averaged over </w:t>
            </w:r>
            <w:r>
              <w:rPr>
                <w:rFonts w:ascii="Arial" w:hAnsi="Arial" w:cs="Arial"/>
                <w:sz w:val="20"/>
                <w:szCs w:val="20"/>
              </w:rPr>
              <w:t>one</w:t>
            </w:r>
            <w:r w:rsidRPr="007E37A5">
              <w:rPr>
                <w:rFonts w:ascii="Arial" w:hAnsi="Arial" w:cs="Arial"/>
                <w:sz w:val="20"/>
                <w:szCs w:val="20"/>
              </w:rPr>
              <w:t xml:space="preserve"> </w:t>
            </w:r>
            <w:r w:rsidR="007E37A5" w:rsidRPr="007E37A5">
              <w:rPr>
                <w:rFonts w:ascii="Arial" w:hAnsi="Arial" w:cs="Arial"/>
                <w:sz w:val="20"/>
                <w:szCs w:val="20"/>
              </w:rPr>
              <w:t>hour on any given frequency</w:t>
            </w:r>
          </w:p>
          <w:p w14:paraId="77FCD45B" w14:textId="5592D7D0" w:rsidR="007E37A5" w:rsidRPr="007E37A5" w:rsidRDefault="00AD30DA" w:rsidP="00AC7321">
            <w:pPr>
              <w:pStyle w:val="ListParagraph"/>
              <w:numPr>
                <w:ilvl w:val="0"/>
                <w:numId w:val="40"/>
              </w:numPr>
              <w:spacing w:after="240"/>
              <w:ind w:left="1054"/>
              <w:contextualSpacing w:val="0"/>
              <w:rPr>
                <w:rFonts w:ascii="Arial" w:hAnsi="Arial" w:cs="Arial"/>
                <w:sz w:val="20"/>
                <w:szCs w:val="20"/>
              </w:rPr>
            </w:pPr>
            <w:r>
              <w:rPr>
                <w:rFonts w:ascii="Arial" w:hAnsi="Arial" w:cs="Arial"/>
                <w:sz w:val="20"/>
                <w:szCs w:val="20"/>
              </w:rPr>
              <w:t>f</w:t>
            </w:r>
            <w:r w:rsidR="007E37A5" w:rsidRPr="007E37A5">
              <w:rPr>
                <w:rFonts w:ascii="Arial" w:hAnsi="Arial" w:cs="Arial"/>
                <w:sz w:val="20"/>
                <w:szCs w:val="20"/>
              </w:rPr>
              <w:t>or purposes of research, development and testing only.</w:t>
            </w:r>
          </w:p>
          <w:p w14:paraId="722A8504" w14:textId="77777777" w:rsidR="007E37A5" w:rsidRPr="007E37A5" w:rsidRDefault="007E37A5" w:rsidP="00AC7321">
            <w:pPr>
              <w:spacing w:after="40" w:line="240" w:lineRule="auto"/>
              <w:rPr>
                <w:rFonts w:cs="Arial"/>
                <w:szCs w:val="20"/>
              </w:rPr>
            </w:pPr>
            <w:r w:rsidRPr="007E37A5">
              <w:rPr>
                <w:rFonts w:cs="Arial"/>
                <w:szCs w:val="20"/>
                <w:u w:val="single"/>
              </w:rPr>
              <w:t>Action 6.2</w:t>
            </w:r>
            <w:r w:rsidRPr="007E37A5">
              <w:rPr>
                <w:rFonts w:cs="Arial"/>
                <w:szCs w:val="20"/>
              </w:rPr>
              <w:t xml:space="preserve">: Amend </w:t>
            </w:r>
            <w:r w:rsidRPr="00AC7321">
              <w:rPr>
                <w:rFonts w:cs="Arial"/>
                <w:szCs w:val="20"/>
              </w:rPr>
              <w:t xml:space="preserve">RALI LM-8: Frequency assignment requirements for the land mobile service </w:t>
            </w:r>
            <w:r w:rsidRPr="007E37A5">
              <w:rPr>
                <w:rFonts w:cs="Arial"/>
                <w:szCs w:val="20"/>
              </w:rPr>
              <w:t>as follows:</w:t>
            </w:r>
          </w:p>
          <w:p w14:paraId="643DD599" w14:textId="1C3F29DB"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Amend frequency limits for the 800 MHz trunk</w:t>
            </w:r>
            <w:r w:rsidR="00C0770D">
              <w:rPr>
                <w:rFonts w:ascii="Arial" w:hAnsi="Arial" w:cs="Arial"/>
                <w:sz w:val="20"/>
                <w:szCs w:val="20"/>
              </w:rPr>
              <w:t>ed</w:t>
            </w:r>
            <w:r w:rsidRPr="007E37A5">
              <w:rPr>
                <w:rFonts w:ascii="Arial" w:hAnsi="Arial" w:cs="Arial"/>
                <w:sz w:val="20"/>
                <w:szCs w:val="20"/>
              </w:rPr>
              <w:t xml:space="preserve"> land mobile band in Annex A (Table A1) from 820</w:t>
            </w:r>
            <w:r w:rsidR="00AD30DA">
              <w:rPr>
                <w:rFonts w:ascii="Arial" w:hAnsi="Arial" w:cs="Arial"/>
                <w:sz w:val="20"/>
                <w:szCs w:val="20"/>
              </w:rPr>
              <w:t>–</w:t>
            </w:r>
            <w:r w:rsidRPr="007E37A5">
              <w:rPr>
                <w:rFonts w:ascii="Arial" w:hAnsi="Arial" w:cs="Arial"/>
                <w:sz w:val="20"/>
                <w:szCs w:val="20"/>
              </w:rPr>
              <w:t>870 MHz to 806</w:t>
            </w:r>
            <w:r w:rsidR="00AD30DA">
              <w:rPr>
                <w:rFonts w:ascii="Arial" w:hAnsi="Arial" w:cs="Arial"/>
                <w:sz w:val="20"/>
                <w:szCs w:val="20"/>
              </w:rPr>
              <w:t>–</w:t>
            </w:r>
            <w:r w:rsidRPr="007E37A5">
              <w:rPr>
                <w:rFonts w:ascii="Arial" w:hAnsi="Arial" w:cs="Arial"/>
                <w:sz w:val="20"/>
                <w:szCs w:val="20"/>
              </w:rPr>
              <w:t>870 MHz.</w:t>
            </w:r>
          </w:p>
          <w:p w14:paraId="33384532" w14:textId="77777777"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Add new channel allocations for the 800 MHz trunking band in Annex B (in new Table B4.2a) to reflect:</w:t>
            </w:r>
          </w:p>
          <w:p w14:paraId="10C35740" w14:textId="50EB7150"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dd new frequency range of 806</w:t>
            </w:r>
            <w:r>
              <w:rPr>
                <w:rFonts w:ascii="Arial" w:hAnsi="Arial" w:cs="Arial"/>
                <w:sz w:val="20"/>
                <w:szCs w:val="20"/>
              </w:rPr>
              <w:t>–</w:t>
            </w:r>
            <w:r w:rsidR="007E37A5" w:rsidRPr="007E37A5">
              <w:rPr>
                <w:rFonts w:ascii="Arial" w:hAnsi="Arial" w:cs="Arial"/>
                <w:sz w:val="20"/>
                <w:szCs w:val="20"/>
              </w:rPr>
              <w:t>809/851</w:t>
            </w:r>
            <w:r>
              <w:rPr>
                <w:rFonts w:ascii="Arial" w:hAnsi="Arial" w:cs="Arial"/>
                <w:sz w:val="20"/>
                <w:szCs w:val="20"/>
              </w:rPr>
              <w:t>–</w:t>
            </w:r>
            <w:r w:rsidR="007E37A5" w:rsidRPr="007E37A5">
              <w:rPr>
                <w:rFonts w:ascii="Arial" w:hAnsi="Arial" w:cs="Arial"/>
                <w:sz w:val="20"/>
                <w:szCs w:val="20"/>
              </w:rPr>
              <w:t>854 MHz</w:t>
            </w:r>
          </w:p>
          <w:p w14:paraId="30F6DBB0" w14:textId="30A303A9" w:rsidR="007E37A5" w:rsidRPr="007E37A5" w:rsidRDefault="007E37A5" w:rsidP="00AC7321">
            <w:pPr>
              <w:pStyle w:val="ListParagraph"/>
              <w:numPr>
                <w:ilvl w:val="0"/>
                <w:numId w:val="40"/>
              </w:numPr>
              <w:spacing w:after="40"/>
              <w:ind w:left="1054"/>
              <w:contextualSpacing w:val="0"/>
              <w:rPr>
                <w:rFonts w:ascii="Arial" w:hAnsi="Arial" w:cs="Arial"/>
                <w:sz w:val="20"/>
                <w:szCs w:val="20"/>
              </w:rPr>
            </w:pPr>
            <w:r w:rsidRPr="007E37A5">
              <w:rPr>
                <w:rFonts w:ascii="Arial" w:hAnsi="Arial" w:cs="Arial"/>
                <w:sz w:val="20"/>
                <w:szCs w:val="20"/>
              </w:rPr>
              <w:t xml:space="preserve">12.5 kHz channel spacing in new frequency range (with provisions to aggregate contiguous channels to create a 25 kHz channel if </w:t>
            </w:r>
            <w:r w:rsidR="000D5EEA" w:rsidRPr="007E37A5">
              <w:rPr>
                <w:rFonts w:ascii="Arial" w:hAnsi="Arial" w:cs="Arial"/>
                <w:sz w:val="20"/>
                <w:szCs w:val="20"/>
              </w:rPr>
              <w:t>required</w:t>
            </w:r>
            <w:r w:rsidRPr="007E37A5">
              <w:rPr>
                <w:rFonts w:ascii="Arial" w:hAnsi="Arial" w:cs="Arial"/>
                <w:sz w:val="20"/>
                <w:szCs w:val="20"/>
              </w:rPr>
              <w:t>)</w:t>
            </w:r>
            <w:r w:rsidR="00AD30DA">
              <w:rPr>
                <w:rFonts w:ascii="Arial" w:hAnsi="Arial" w:cs="Arial"/>
                <w:sz w:val="20"/>
                <w:szCs w:val="20"/>
              </w:rPr>
              <w:t>—</w:t>
            </w:r>
            <w:r w:rsidRPr="007E37A5">
              <w:rPr>
                <w:rFonts w:ascii="Arial" w:hAnsi="Arial" w:cs="Arial"/>
                <w:sz w:val="20"/>
                <w:szCs w:val="20"/>
              </w:rPr>
              <w:t>this equates to 240 channels</w:t>
            </w:r>
          </w:p>
          <w:p w14:paraId="0956B393" w14:textId="650DCF0D"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7E37A5" w:rsidRPr="007E37A5">
              <w:rPr>
                <w:rFonts w:ascii="Arial" w:hAnsi="Arial" w:cs="Arial"/>
                <w:sz w:val="20"/>
                <w:szCs w:val="20"/>
              </w:rPr>
              <w:t>ssign channel numbers in new range as 201</w:t>
            </w:r>
            <w:r>
              <w:rPr>
                <w:rFonts w:ascii="Arial" w:hAnsi="Arial" w:cs="Arial"/>
                <w:sz w:val="20"/>
                <w:szCs w:val="20"/>
              </w:rPr>
              <w:t>–</w:t>
            </w:r>
            <w:r w:rsidR="007E37A5" w:rsidRPr="007E37A5">
              <w:rPr>
                <w:rFonts w:ascii="Arial" w:hAnsi="Arial" w:cs="Arial"/>
                <w:sz w:val="20"/>
                <w:szCs w:val="20"/>
              </w:rPr>
              <w:t>440.</w:t>
            </w:r>
          </w:p>
          <w:p w14:paraId="5E33D090" w14:textId="294DE3C2"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Add Table B4.1a to Annex B:</w:t>
            </w:r>
          </w:p>
          <w:p w14:paraId="04D50D11" w14:textId="07DB0E3A"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s</w:t>
            </w:r>
            <w:r w:rsidR="007E37A5" w:rsidRPr="007E37A5">
              <w:rPr>
                <w:rFonts w:ascii="Arial" w:hAnsi="Arial" w:cs="Arial"/>
                <w:sz w:val="20"/>
                <w:szCs w:val="20"/>
              </w:rPr>
              <w:t>ame block/group arrangement as Table 4.1, but with channel numbers from 201</w:t>
            </w:r>
            <w:r>
              <w:rPr>
                <w:rFonts w:ascii="Arial" w:hAnsi="Arial" w:cs="Arial"/>
                <w:sz w:val="20"/>
                <w:szCs w:val="20"/>
              </w:rPr>
              <w:t>–</w:t>
            </w:r>
            <w:r w:rsidR="007E37A5" w:rsidRPr="007E37A5">
              <w:rPr>
                <w:rFonts w:ascii="Arial" w:hAnsi="Arial" w:cs="Arial"/>
                <w:sz w:val="20"/>
                <w:szCs w:val="20"/>
              </w:rPr>
              <w:t>440 (12 blocks instead of 10 to accommodate 240 channels)</w:t>
            </w:r>
          </w:p>
          <w:p w14:paraId="7C62F61A" w14:textId="08416C65"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m</w:t>
            </w:r>
            <w:r w:rsidR="007E37A5" w:rsidRPr="007E37A5">
              <w:rPr>
                <w:rFonts w:ascii="Arial" w:hAnsi="Arial" w:cs="Arial"/>
                <w:sz w:val="20"/>
                <w:szCs w:val="20"/>
              </w:rPr>
              <w:t xml:space="preserve">inimum assignment size of one </w:t>
            </w:r>
            <w:r w:rsidR="00C90431">
              <w:rPr>
                <w:rFonts w:ascii="Arial" w:hAnsi="Arial" w:cs="Arial"/>
                <w:sz w:val="20"/>
                <w:szCs w:val="20"/>
              </w:rPr>
              <w:t>five</w:t>
            </w:r>
            <w:r>
              <w:rPr>
                <w:rFonts w:ascii="Arial" w:hAnsi="Arial" w:cs="Arial"/>
                <w:sz w:val="20"/>
                <w:szCs w:val="20"/>
              </w:rPr>
              <w:t>-</w:t>
            </w:r>
            <w:r w:rsidR="007E37A5" w:rsidRPr="007E37A5">
              <w:rPr>
                <w:rFonts w:ascii="Arial" w:hAnsi="Arial" w:cs="Arial"/>
                <w:sz w:val="20"/>
                <w:szCs w:val="20"/>
              </w:rPr>
              <w:t>channel group, but no longer with the requirement to assign only full groups (i</w:t>
            </w:r>
            <w:r w:rsidR="000D5EEA">
              <w:rPr>
                <w:rFonts w:ascii="Arial" w:hAnsi="Arial" w:cs="Arial"/>
                <w:sz w:val="20"/>
                <w:szCs w:val="20"/>
              </w:rPr>
              <w:t>.</w:t>
            </w:r>
            <w:r w:rsidR="007E37A5" w:rsidRPr="007E37A5">
              <w:rPr>
                <w:rFonts w:ascii="Arial" w:hAnsi="Arial" w:cs="Arial"/>
                <w:sz w:val="20"/>
                <w:szCs w:val="20"/>
              </w:rPr>
              <w:t xml:space="preserve">e. not confined to </w:t>
            </w:r>
            <w:r w:rsidR="00C90431">
              <w:rPr>
                <w:rFonts w:ascii="Arial" w:hAnsi="Arial" w:cs="Arial"/>
                <w:sz w:val="20"/>
                <w:szCs w:val="20"/>
              </w:rPr>
              <w:t>five</w:t>
            </w:r>
            <w:r w:rsidR="007E37A5" w:rsidRPr="007E37A5">
              <w:rPr>
                <w:rFonts w:ascii="Arial" w:hAnsi="Arial" w:cs="Arial"/>
                <w:sz w:val="20"/>
                <w:szCs w:val="20"/>
              </w:rPr>
              <w:t xml:space="preserve"> channel multiples).</w:t>
            </w:r>
          </w:p>
          <w:p w14:paraId="7B8834BC" w14:textId="77777777" w:rsidR="007E37A5" w:rsidRPr="007E37A5" w:rsidRDefault="007E37A5" w:rsidP="00AC7321">
            <w:pPr>
              <w:pStyle w:val="ListParagraph"/>
              <w:numPr>
                <w:ilvl w:val="0"/>
                <w:numId w:val="40"/>
              </w:numPr>
              <w:spacing w:after="40"/>
              <w:contextualSpacing w:val="0"/>
              <w:rPr>
                <w:rFonts w:ascii="Arial" w:hAnsi="Arial" w:cs="Arial"/>
                <w:sz w:val="20"/>
                <w:szCs w:val="20"/>
              </w:rPr>
            </w:pPr>
            <w:r w:rsidRPr="007E37A5">
              <w:rPr>
                <w:rFonts w:ascii="Arial" w:hAnsi="Arial" w:cs="Arial"/>
                <w:sz w:val="20"/>
                <w:szCs w:val="20"/>
              </w:rPr>
              <w:t>Amend Annex E to reflect changes to adjacent services:</w:t>
            </w:r>
          </w:p>
          <w:p w14:paraId="335C02B7" w14:textId="50E81071" w:rsidR="007E37A5" w:rsidRPr="007E37A5" w:rsidRDefault="00AD30DA"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r</w:t>
            </w:r>
            <w:r w:rsidR="007E37A5" w:rsidRPr="007E37A5">
              <w:rPr>
                <w:rFonts w:ascii="Arial" w:hAnsi="Arial" w:cs="Arial"/>
                <w:sz w:val="20"/>
                <w:szCs w:val="20"/>
              </w:rPr>
              <w:t>emove E3 (no longer relevant).</w:t>
            </w:r>
          </w:p>
          <w:p w14:paraId="6BE0E80A" w14:textId="70792CA4" w:rsidR="00A002A0" w:rsidRDefault="00A002A0" w:rsidP="00AC7321">
            <w:pPr>
              <w:pStyle w:val="ListParagraph"/>
              <w:numPr>
                <w:ilvl w:val="0"/>
                <w:numId w:val="40"/>
              </w:numPr>
              <w:spacing w:after="40"/>
              <w:contextualSpacing w:val="0"/>
              <w:rPr>
                <w:rFonts w:ascii="Arial" w:hAnsi="Arial" w:cs="Arial"/>
                <w:sz w:val="20"/>
                <w:szCs w:val="20"/>
              </w:rPr>
            </w:pPr>
            <w:r>
              <w:rPr>
                <w:rFonts w:ascii="Arial" w:hAnsi="Arial" w:cs="Arial"/>
                <w:sz w:val="20"/>
                <w:szCs w:val="20"/>
              </w:rPr>
              <w:t>Amend</w:t>
            </w:r>
            <w:r w:rsidR="007E37A5" w:rsidRPr="007E37A5">
              <w:rPr>
                <w:rFonts w:ascii="Arial" w:hAnsi="Arial" w:cs="Arial"/>
                <w:sz w:val="20"/>
                <w:szCs w:val="20"/>
              </w:rPr>
              <w:t xml:space="preserve"> </w:t>
            </w:r>
            <w:r>
              <w:rPr>
                <w:rFonts w:ascii="Arial" w:hAnsi="Arial" w:cs="Arial"/>
                <w:sz w:val="20"/>
                <w:szCs w:val="20"/>
              </w:rPr>
              <w:t>Table C9 (</w:t>
            </w:r>
            <w:r w:rsidR="007E37A5" w:rsidRPr="007E37A5">
              <w:rPr>
                <w:rFonts w:ascii="Arial" w:hAnsi="Arial" w:cs="Arial"/>
                <w:sz w:val="20"/>
                <w:szCs w:val="20"/>
              </w:rPr>
              <w:t>frequency-distance constraints</w:t>
            </w:r>
            <w:r>
              <w:rPr>
                <w:rFonts w:ascii="Arial" w:hAnsi="Arial" w:cs="Arial"/>
                <w:sz w:val="20"/>
                <w:szCs w:val="20"/>
              </w:rPr>
              <w:t>) to include 12.5 KHz channels</w:t>
            </w:r>
            <w:r w:rsidR="00AD30DA">
              <w:rPr>
                <w:rFonts w:ascii="Arial" w:hAnsi="Arial" w:cs="Arial"/>
                <w:sz w:val="20"/>
                <w:szCs w:val="20"/>
              </w:rPr>
              <w:t>.</w:t>
            </w:r>
          </w:p>
          <w:p w14:paraId="2E32C55D" w14:textId="77777777" w:rsidR="007E37A5" w:rsidRPr="007E37A5" w:rsidRDefault="00A002A0" w:rsidP="00AC7321">
            <w:pPr>
              <w:pStyle w:val="ListParagraph"/>
              <w:numPr>
                <w:ilvl w:val="0"/>
                <w:numId w:val="40"/>
              </w:numPr>
              <w:spacing w:after="240"/>
              <w:contextualSpacing w:val="0"/>
              <w:rPr>
                <w:rFonts w:ascii="Arial" w:hAnsi="Arial" w:cs="Arial"/>
                <w:sz w:val="20"/>
                <w:szCs w:val="20"/>
              </w:rPr>
            </w:pPr>
            <w:r>
              <w:rPr>
                <w:rFonts w:ascii="Arial" w:hAnsi="Arial" w:cs="Arial"/>
                <w:sz w:val="20"/>
                <w:szCs w:val="20"/>
              </w:rPr>
              <w:t>Retain existing</w:t>
            </w:r>
            <w:r w:rsidR="007E37A5" w:rsidRPr="007E37A5">
              <w:rPr>
                <w:rFonts w:ascii="Arial" w:hAnsi="Arial" w:cs="Arial"/>
                <w:sz w:val="20"/>
                <w:szCs w:val="20"/>
              </w:rPr>
              <w:t xml:space="preserve"> technical parameters for intermodulation checking purposes.</w:t>
            </w:r>
          </w:p>
          <w:p w14:paraId="28D88B40" w14:textId="77777777" w:rsidR="007E37A5" w:rsidRPr="007E37A5" w:rsidRDefault="007E37A5" w:rsidP="00AC7321">
            <w:pPr>
              <w:spacing w:after="40" w:line="240" w:lineRule="auto"/>
              <w:rPr>
                <w:rFonts w:cs="Arial"/>
                <w:szCs w:val="20"/>
              </w:rPr>
            </w:pPr>
            <w:r w:rsidRPr="007E37A5">
              <w:rPr>
                <w:rFonts w:cs="Arial"/>
                <w:szCs w:val="20"/>
                <w:u w:val="single"/>
              </w:rPr>
              <w:t>Action 6.3</w:t>
            </w:r>
            <w:r w:rsidRPr="007E37A5">
              <w:rPr>
                <w:rFonts w:cs="Arial"/>
                <w:szCs w:val="20"/>
              </w:rPr>
              <w:t xml:space="preserve">: Amend </w:t>
            </w:r>
            <w:r w:rsidRPr="00AC7321">
              <w:rPr>
                <w:rFonts w:cs="Arial"/>
                <w:szCs w:val="20"/>
              </w:rPr>
              <w:t>Embargo 64</w:t>
            </w:r>
            <w:r w:rsidRPr="00AD30DA">
              <w:rPr>
                <w:rFonts w:cs="Arial"/>
                <w:szCs w:val="20"/>
              </w:rPr>
              <w:t>:</w:t>
            </w:r>
          </w:p>
          <w:p w14:paraId="1662D006" w14:textId="51232BBF" w:rsidR="007E37A5" w:rsidRPr="007E37A5" w:rsidRDefault="007E37A5" w:rsidP="00AD30DA">
            <w:pPr>
              <w:pStyle w:val="ListParagraph"/>
              <w:numPr>
                <w:ilvl w:val="0"/>
                <w:numId w:val="40"/>
              </w:numPr>
              <w:contextualSpacing w:val="0"/>
              <w:rPr>
                <w:rFonts w:ascii="Arial" w:hAnsi="Arial" w:cs="Arial"/>
                <w:sz w:val="20"/>
                <w:szCs w:val="20"/>
              </w:rPr>
            </w:pPr>
            <w:r w:rsidRPr="007E37A5">
              <w:rPr>
                <w:rFonts w:ascii="Arial" w:hAnsi="Arial" w:cs="Arial"/>
                <w:sz w:val="20"/>
                <w:szCs w:val="20"/>
              </w:rPr>
              <w:t>Remove 806</w:t>
            </w:r>
            <w:r w:rsidR="00AD30DA">
              <w:rPr>
                <w:rFonts w:ascii="Arial" w:hAnsi="Arial" w:cs="Arial"/>
                <w:sz w:val="20"/>
                <w:szCs w:val="20"/>
              </w:rPr>
              <w:t>–</w:t>
            </w:r>
            <w:r w:rsidRPr="007E37A5">
              <w:rPr>
                <w:rFonts w:ascii="Arial" w:hAnsi="Arial" w:cs="Arial"/>
                <w:sz w:val="20"/>
                <w:szCs w:val="20"/>
              </w:rPr>
              <w:t>809 MHz, 851</w:t>
            </w:r>
            <w:r w:rsidR="00AD30DA">
              <w:rPr>
                <w:rFonts w:ascii="Arial" w:hAnsi="Arial" w:cs="Arial"/>
                <w:sz w:val="20"/>
                <w:szCs w:val="20"/>
              </w:rPr>
              <w:t>–</w:t>
            </w:r>
            <w:r w:rsidRPr="007E37A5">
              <w:rPr>
                <w:rFonts w:ascii="Arial" w:hAnsi="Arial" w:cs="Arial"/>
                <w:sz w:val="20"/>
                <w:szCs w:val="20"/>
              </w:rPr>
              <w:t>854 MHz and 928</w:t>
            </w:r>
            <w:r w:rsidR="00AD30DA">
              <w:rPr>
                <w:rFonts w:ascii="Arial" w:hAnsi="Arial" w:cs="Arial"/>
                <w:sz w:val="20"/>
                <w:szCs w:val="20"/>
              </w:rPr>
              <w:t>–</w:t>
            </w:r>
            <w:r w:rsidRPr="007E37A5">
              <w:rPr>
                <w:rFonts w:ascii="Arial" w:hAnsi="Arial" w:cs="Arial"/>
                <w:sz w:val="20"/>
                <w:szCs w:val="20"/>
              </w:rPr>
              <w:t>935 MHz from the scope of the Embargo.</w:t>
            </w:r>
          </w:p>
        </w:tc>
      </w:tr>
    </w:tbl>
    <w:p w14:paraId="2B3400BB" w14:textId="77777777" w:rsidR="00FD1C81" w:rsidRDefault="00FD1C81" w:rsidP="00FD1C81">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FD1C81" w:rsidRPr="006D46E5" w14:paraId="3AEF4257" w14:textId="77777777" w:rsidTr="00AC7321">
        <w:trPr>
          <w:cantSplit/>
          <w:tblHeader/>
        </w:trPr>
        <w:tc>
          <w:tcPr>
            <w:tcW w:w="2524" w:type="dxa"/>
            <w:tcBorders>
              <w:bottom w:val="single" w:sz="4" w:space="0" w:color="auto"/>
            </w:tcBorders>
            <w:shd w:val="clear" w:color="auto" w:fill="404040" w:themeFill="text1" w:themeFillTint="BF"/>
          </w:tcPr>
          <w:p w14:paraId="050CCD45" w14:textId="3321710E" w:rsidR="00FD1C81" w:rsidRPr="00AC7321" w:rsidRDefault="00FD1C81" w:rsidP="00AC7321">
            <w:pPr>
              <w:pStyle w:val="TableHeading"/>
              <w:rPr>
                <w:b w:val="0"/>
                <w:color w:val="FFFFFF" w:themeColor="background1"/>
              </w:rPr>
            </w:pPr>
            <w:r w:rsidRPr="00AC7321">
              <w:rPr>
                <w:color w:val="FFFFFF" w:themeColor="background1"/>
              </w:rPr>
              <w:t xml:space="preserve">Key </w:t>
            </w:r>
            <w:r w:rsidR="00AD30DA"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572B808B" w14:textId="77777777" w:rsidR="00FD1C81" w:rsidRPr="00AC7321" w:rsidRDefault="00FD1C81" w:rsidP="00AC7321">
            <w:pPr>
              <w:pStyle w:val="TableHeading"/>
              <w:rPr>
                <w:color w:val="FFFFFF" w:themeColor="background1"/>
              </w:rPr>
            </w:pPr>
            <w:r w:rsidRPr="00AC7321">
              <w:rPr>
                <w:color w:val="FFFFFF" w:themeColor="background1"/>
              </w:rPr>
              <w:t>7</w:t>
            </w:r>
          </w:p>
        </w:tc>
      </w:tr>
      <w:tr w:rsidR="00FD1C81" w:rsidRPr="006D46E5" w14:paraId="0285F96C" w14:textId="77777777" w:rsidTr="00AC7321">
        <w:trPr>
          <w:cantSplit/>
          <w:tblHeader/>
        </w:trPr>
        <w:tc>
          <w:tcPr>
            <w:tcW w:w="2524" w:type="dxa"/>
            <w:shd w:val="clear" w:color="auto" w:fill="F2F2F2" w:themeFill="background1" w:themeFillShade="F2"/>
          </w:tcPr>
          <w:p w14:paraId="07D0E863" w14:textId="77777777" w:rsidR="00FD1C81" w:rsidRPr="001A4286" w:rsidRDefault="00FD1C81" w:rsidP="00071CEA">
            <w:pPr>
              <w:pStyle w:val="TableBody"/>
              <w:rPr>
                <w:rFonts w:cs="Arial"/>
                <w:b/>
                <w:szCs w:val="20"/>
              </w:rPr>
            </w:pPr>
            <w:r w:rsidRPr="001A4286">
              <w:rPr>
                <w:rFonts w:cs="Arial"/>
                <w:b/>
                <w:szCs w:val="20"/>
              </w:rPr>
              <w:t>Date completed by:</w:t>
            </w:r>
          </w:p>
        </w:tc>
        <w:tc>
          <w:tcPr>
            <w:tcW w:w="6980" w:type="dxa"/>
            <w:shd w:val="clear" w:color="auto" w:fill="F2F2F2" w:themeFill="background1" w:themeFillShade="F2"/>
          </w:tcPr>
          <w:p w14:paraId="746FDD34" w14:textId="77777777" w:rsidR="00FD1C81" w:rsidRPr="001A4286" w:rsidRDefault="00FD1C81" w:rsidP="00FD1C81">
            <w:pPr>
              <w:pStyle w:val="TableBody"/>
              <w:rPr>
                <w:rFonts w:cs="Arial"/>
                <w:szCs w:val="20"/>
              </w:rPr>
            </w:pPr>
            <w:r>
              <w:rPr>
                <w:rFonts w:cs="Arial"/>
                <w:szCs w:val="20"/>
              </w:rPr>
              <w:t>30 June 2023</w:t>
            </w:r>
          </w:p>
        </w:tc>
      </w:tr>
      <w:tr w:rsidR="00FD1C81" w:rsidRPr="006D46E5" w14:paraId="45AEC5F8" w14:textId="77777777" w:rsidTr="00AC7321">
        <w:trPr>
          <w:cantSplit/>
          <w:tblHeader/>
        </w:trPr>
        <w:tc>
          <w:tcPr>
            <w:tcW w:w="2524" w:type="dxa"/>
          </w:tcPr>
          <w:p w14:paraId="68BE5C81" w14:textId="77777777" w:rsidR="00FD1C81" w:rsidRPr="001A4286" w:rsidRDefault="00FD1C81" w:rsidP="00071CEA">
            <w:pPr>
              <w:pStyle w:val="TableBody"/>
              <w:rPr>
                <w:rFonts w:cs="Arial"/>
                <w:b/>
                <w:szCs w:val="20"/>
              </w:rPr>
            </w:pPr>
            <w:r w:rsidRPr="001A4286">
              <w:rPr>
                <w:rFonts w:cs="Arial"/>
                <w:b/>
                <w:szCs w:val="20"/>
              </w:rPr>
              <w:t>Action to be taken by the above date:</w:t>
            </w:r>
          </w:p>
        </w:tc>
        <w:tc>
          <w:tcPr>
            <w:tcW w:w="6980" w:type="dxa"/>
          </w:tcPr>
          <w:p w14:paraId="69EFAA83" w14:textId="77777777" w:rsidR="00FD1C81" w:rsidRPr="00FD1C81" w:rsidRDefault="00FD1C81" w:rsidP="00AC7321">
            <w:pPr>
              <w:spacing w:after="40" w:line="240" w:lineRule="auto"/>
              <w:rPr>
                <w:rFonts w:cs="Arial"/>
                <w:szCs w:val="20"/>
              </w:rPr>
            </w:pPr>
            <w:r w:rsidRPr="00FD1C81">
              <w:rPr>
                <w:rFonts w:cs="Arial"/>
                <w:szCs w:val="20"/>
                <w:u w:val="single"/>
              </w:rPr>
              <w:t>Action 7.1</w:t>
            </w:r>
            <w:r w:rsidRPr="00FD1C81">
              <w:rPr>
                <w:rFonts w:cs="Arial"/>
                <w:szCs w:val="20"/>
              </w:rPr>
              <w:t xml:space="preserve">: Amend </w:t>
            </w:r>
            <w:r w:rsidRPr="00AC7321">
              <w:rPr>
                <w:rFonts w:cs="Arial"/>
                <w:szCs w:val="20"/>
              </w:rPr>
              <w:t>RALI LM-8: Frequency assignment requirements for the land mobile service</w:t>
            </w:r>
            <w:r w:rsidRPr="00FD1C81">
              <w:rPr>
                <w:rFonts w:cs="Arial"/>
                <w:i/>
                <w:szCs w:val="20"/>
              </w:rPr>
              <w:t xml:space="preserve"> </w:t>
            </w:r>
            <w:r w:rsidRPr="00FD1C81">
              <w:rPr>
                <w:rFonts w:cs="Arial"/>
                <w:szCs w:val="20"/>
              </w:rPr>
              <w:t>as follows:</w:t>
            </w:r>
          </w:p>
          <w:p w14:paraId="2A6D58C8" w14:textId="43E35856"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Amend frequency limits for the 800 MHz trunk</w:t>
            </w:r>
            <w:r w:rsidR="00C0770D">
              <w:rPr>
                <w:rFonts w:ascii="Arial" w:hAnsi="Arial" w:cs="Arial"/>
                <w:sz w:val="20"/>
                <w:szCs w:val="20"/>
              </w:rPr>
              <w:t>ed</w:t>
            </w:r>
            <w:r w:rsidRPr="00FD1C81">
              <w:rPr>
                <w:rFonts w:ascii="Arial" w:hAnsi="Arial" w:cs="Arial"/>
                <w:sz w:val="20"/>
                <w:szCs w:val="20"/>
              </w:rPr>
              <w:t xml:space="preserve"> land mobile band in Annex A (Table A1) from 806</w:t>
            </w:r>
            <w:r w:rsidR="00AD30DA">
              <w:rPr>
                <w:rFonts w:ascii="Arial" w:hAnsi="Arial" w:cs="Arial"/>
                <w:sz w:val="20"/>
                <w:szCs w:val="20"/>
              </w:rPr>
              <w:t>–</w:t>
            </w:r>
            <w:r w:rsidRPr="00FD1C81">
              <w:rPr>
                <w:rFonts w:ascii="Arial" w:hAnsi="Arial" w:cs="Arial"/>
                <w:sz w:val="20"/>
                <w:szCs w:val="20"/>
              </w:rPr>
              <w:t>870 MHz to 806</w:t>
            </w:r>
            <w:r w:rsidR="00AD30DA">
              <w:rPr>
                <w:rFonts w:ascii="Arial" w:hAnsi="Arial" w:cs="Arial"/>
                <w:sz w:val="20"/>
                <w:szCs w:val="20"/>
              </w:rPr>
              <w:t>–</w:t>
            </w:r>
            <w:r w:rsidRPr="00FD1C81">
              <w:rPr>
                <w:rFonts w:ascii="Arial" w:hAnsi="Arial" w:cs="Arial"/>
                <w:sz w:val="20"/>
                <w:szCs w:val="20"/>
              </w:rPr>
              <w:t>854 MHz.</w:t>
            </w:r>
          </w:p>
          <w:p w14:paraId="3FF3A76E" w14:textId="2ADF1CCA"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Remove Table B4.2, rename Table B4.2a as Table B4.2 (which will put into effect the removal of the allocation at 820</w:t>
            </w:r>
            <w:r w:rsidR="00AD30DA">
              <w:rPr>
                <w:rFonts w:ascii="Arial" w:hAnsi="Arial" w:cs="Arial"/>
                <w:sz w:val="20"/>
                <w:szCs w:val="20"/>
              </w:rPr>
              <w:t>–</w:t>
            </w:r>
            <w:r w:rsidRPr="00FD1C81">
              <w:rPr>
                <w:rFonts w:ascii="Arial" w:hAnsi="Arial" w:cs="Arial"/>
                <w:sz w:val="20"/>
                <w:szCs w:val="20"/>
              </w:rPr>
              <w:t>825/865</w:t>
            </w:r>
            <w:r w:rsidR="00AD30DA">
              <w:rPr>
                <w:rFonts w:ascii="Arial" w:hAnsi="Arial" w:cs="Arial"/>
                <w:sz w:val="20"/>
                <w:szCs w:val="20"/>
              </w:rPr>
              <w:t>–</w:t>
            </w:r>
            <w:r w:rsidRPr="00FD1C81">
              <w:rPr>
                <w:rFonts w:ascii="Arial" w:hAnsi="Arial" w:cs="Arial"/>
                <w:sz w:val="20"/>
                <w:szCs w:val="20"/>
              </w:rPr>
              <w:t>870 MHz) and change channel numbers from 201</w:t>
            </w:r>
            <w:r w:rsidR="00AD30DA">
              <w:rPr>
                <w:rFonts w:ascii="Arial" w:hAnsi="Arial" w:cs="Arial"/>
                <w:sz w:val="20"/>
                <w:szCs w:val="20"/>
              </w:rPr>
              <w:t>–</w:t>
            </w:r>
            <w:r w:rsidRPr="00FD1C81">
              <w:rPr>
                <w:rFonts w:ascii="Arial" w:hAnsi="Arial" w:cs="Arial"/>
                <w:sz w:val="20"/>
                <w:szCs w:val="20"/>
              </w:rPr>
              <w:t>440 to 1</w:t>
            </w:r>
            <w:r w:rsidR="00AD30DA">
              <w:rPr>
                <w:rFonts w:ascii="Arial" w:hAnsi="Arial" w:cs="Arial"/>
                <w:sz w:val="20"/>
                <w:szCs w:val="20"/>
              </w:rPr>
              <w:t>–</w:t>
            </w:r>
            <w:r w:rsidRPr="00FD1C81">
              <w:rPr>
                <w:rFonts w:ascii="Arial" w:hAnsi="Arial" w:cs="Arial"/>
                <w:sz w:val="20"/>
                <w:szCs w:val="20"/>
              </w:rPr>
              <w:t>240.</w:t>
            </w:r>
          </w:p>
          <w:p w14:paraId="016AF856" w14:textId="25101CEF"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Remove Table B4.1, rename Table B4.1a as Table B4.1 and change channel numbers from 201</w:t>
            </w:r>
            <w:r w:rsidR="00AD30DA">
              <w:rPr>
                <w:rFonts w:ascii="Arial" w:hAnsi="Arial" w:cs="Arial"/>
                <w:sz w:val="20"/>
                <w:szCs w:val="20"/>
              </w:rPr>
              <w:t>–</w:t>
            </w:r>
            <w:r w:rsidRPr="00FD1C81">
              <w:rPr>
                <w:rFonts w:ascii="Arial" w:hAnsi="Arial" w:cs="Arial"/>
                <w:sz w:val="20"/>
                <w:szCs w:val="20"/>
              </w:rPr>
              <w:t>440 to 1</w:t>
            </w:r>
            <w:r w:rsidR="00AD30DA">
              <w:rPr>
                <w:rFonts w:ascii="Arial" w:hAnsi="Arial" w:cs="Arial"/>
                <w:sz w:val="20"/>
                <w:szCs w:val="20"/>
              </w:rPr>
              <w:t>–</w:t>
            </w:r>
            <w:r w:rsidRPr="00FD1C81">
              <w:rPr>
                <w:rFonts w:ascii="Arial" w:hAnsi="Arial" w:cs="Arial"/>
                <w:sz w:val="20"/>
                <w:szCs w:val="20"/>
              </w:rPr>
              <w:t>240.</w:t>
            </w:r>
          </w:p>
          <w:p w14:paraId="7FC5B8C1" w14:textId="77777777" w:rsidR="00FD1C81" w:rsidRPr="00FD1C81" w:rsidRDefault="00FD1C81" w:rsidP="00AC7321">
            <w:pPr>
              <w:pStyle w:val="ListParagraph"/>
              <w:numPr>
                <w:ilvl w:val="0"/>
                <w:numId w:val="40"/>
              </w:numPr>
              <w:spacing w:after="40"/>
              <w:contextualSpacing w:val="0"/>
              <w:rPr>
                <w:rFonts w:ascii="Arial" w:hAnsi="Arial" w:cs="Arial"/>
                <w:sz w:val="20"/>
                <w:szCs w:val="20"/>
              </w:rPr>
            </w:pPr>
            <w:r w:rsidRPr="00FD1C81">
              <w:rPr>
                <w:rFonts w:ascii="Arial" w:hAnsi="Arial" w:cs="Arial"/>
                <w:sz w:val="20"/>
                <w:szCs w:val="20"/>
              </w:rPr>
              <w:t>Amend Annex E to reflect changes to adjacent services and operating frequencies:</w:t>
            </w:r>
          </w:p>
          <w:p w14:paraId="5F4DC92F" w14:textId="7632BAF0" w:rsidR="00FD1C81" w:rsidRPr="00FD1C81" w:rsidRDefault="007F7444" w:rsidP="00AC7321">
            <w:pPr>
              <w:pStyle w:val="ListParagraph"/>
              <w:numPr>
                <w:ilvl w:val="0"/>
                <w:numId w:val="40"/>
              </w:numPr>
              <w:spacing w:after="40"/>
              <w:ind w:left="1054"/>
              <w:contextualSpacing w:val="0"/>
              <w:rPr>
                <w:rFonts w:ascii="Arial" w:hAnsi="Arial" w:cs="Arial"/>
                <w:sz w:val="20"/>
                <w:szCs w:val="20"/>
              </w:rPr>
            </w:pPr>
            <w:r>
              <w:rPr>
                <w:rFonts w:ascii="Arial" w:hAnsi="Arial" w:cs="Arial"/>
                <w:sz w:val="20"/>
                <w:szCs w:val="20"/>
              </w:rPr>
              <w:t>a</w:t>
            </w:r>
            <w:r w:rsidR="00FD1C81" w:rsidRPr="00FD1C81">
              <w:rPr>
                <w:rFonts w:ascii="Arial" w:hAnsi="Arial" w:cs="Arial"/>
                <w:sz w:val="20"/>
                <w:szCs w:val="20"/>
              </w:rPr>
              <w:t>mend E4 to describe services conforming to technical frameworks to be developed for the 850 MHz expansion band, operating upper adjacent (i.e. at the 809/854 MHz boundary).</w:t>
            </w:r>
          </w:p>
          <w:p w14:paraId="462C0C3B" w14:textId="77777777" w:rsidR="00FD1C81" w:rsidRPr="00FD1C81" w:rsidRDefault="00FD1C81" w:rsidP="00AC7321">
            <w:pPr>
              <w:pStyle w:val="ListParagraph"/>
              <w:numPr>
                <w:ilvl w:val="0"/>
                <w:numId w:val="40"/>
              </w:numPr>
              <w:spacing w:after="240"/>
              <w:contextualSpacing w:val="0"/>
              <w:rPr>
                <w:rFonts w:ascii="Arial" w:hAnsi="Arial" w:cs="Arial"/>
                <w:sz w:val="20"/>
                <w:szCs w:val="20"/>
              </w:rPr>
            </w:pPr>
            <w:r w:rsidRPr="00FD1C81">
              <w:rPr>
                <w:rFonts w:ascii="Arial" w:hAnsi="Arial" w:cs="Arial"/>
                <w:sz w:val="20"/>
                <w:szCs w:val="20"/>
              </w:rPr>
              <w:t>Retain existing frequency-distance constraints and technical parameters for intermodulation checking purposes.</w:t>
            </w:r>
          </w:p>
          <w:p w14:paraId="3B906986" w14:textId="1F8B4592" w:rsidR="00FD1C81" w:rsidRPr="00FD1C81" w:rsidRDefault="00FD1C81" w:rsidP="00AC7321">
            <w:pPr>
              <w:spacing w:line="240" w:lineRule="auto"/>
              <w:rPr>
                <w:rFonts w:cs="Arial"/>
                <w:szCs w:val="20"/>
              </w:rPr>
            </w:pPr>
            <w:r w:rsidRPr="00FD1C81">
              <w:rPr>
                <w:rFonts w:cs="Arial"/>
                <w:szCs w:val="20"/>
                <w:u w:val="single"/>
              </w:rPr>
              <w:t xml:space="preserve">Action 7.2: </w:t>
            </w:r>
            <w:r w:rsidRPr="00FD1C81">
              <w:rPr>
                <w:rFonts w:cs="Arial"/>
                <w:szCs w:val="20"/>
              </w:rPr>
              <w:t>Designation of relevant portions of the 850 MHz expansion band for spectrum licensing* (809</w:t>
            </w:r>
            <w:r w:rsidR="007F7444">
              <w:rPr>
                <w:rFonts w:cs="Arial"/>
                <w:szCs w:val="20"/>
              </w:rPr>
              <w:t>–</w:t>
            </w:r>
            <w:r w:rsidRPr="00FD1C81">
              <w:rPr>
                <w:rFonts w:cs="Arial"/>
                <w:szCs w:val="20"/>
              </w:rPr>
              <w:t>824/854</w:t>
            </w:r>
            <w:r w:rsidR="007F7444">
              <w:rPr>
                <w:rFonts w:cs="Arial"/>
                <w:szCs w:val="20"/>
              </w:rPr>
              <w:t>–</w:t>
            </w:r>
            <w:r w:rsidRPr="00FD1C81">
              <w:rPr>
                <w:rFonts w:cs="Arial"/>
                <w:szCs w:val="20"/>
              </w:rPr>
              <w:t>869 MHz)</w:t>
            </w:r>
            <w:r w:rsidRPr="00FD1C81">
              <w:rPr>
                <w:rStyle w:val="FootnoteReference"/>
                <w:rFonts w:cs="Arial"/>
                <w:szCs w:val="20"/>
              </w:rPr>
              <w:footnoteReference w:id="34"/>
            </w:r>
            <w:r w:rsidRPr="00FD1C81">
              <w:rPr>
                <w:rFonts w:cs="Arial"/>
                <w:szCs w:val="20"/>
              </w:rPr>
              <w:t xml:space="preserve"> and technical frameworks agreed (where applicable), to be effective from (or after) </w:t>
            </w:r>
            <w:r w:rsidR="007F7444">
              <w:rPr>
                <w:rFonts w:cs="Arial"/>
                <w:szCs w:val="20"/>
              </w:rPr>
              <w:t>k</w:t>
            </w:r>
            <w:r w:rsidRPr="00FD1C81">
              <w:rPr>
                <w:rFonts w:cs="Arial"/>
                <w:szCs w:val="20"/>
              </w:rPr>
              <w:t xml:space="preserve">ey </w:t>
            </w:r>
            <w:r w:rsidR="007F7444">
              <w:rPr>
                <w:rFonts w:cs="Arial"/>
                <w:szCs w:val="20"/>
              </w:rPr>
              <w:t>d</w:t>
            </w:r>
            <w:r w:rsidRPr="00FD1C81">
              <w:rPr>
                <w:rFonts w:cs="Arial"/>
                <w:szCs w:val="20"/>
              </w:rPr>
              <w:t>ate 7.</w:t>
            </w:r>
          </w:p>
          <w:p w14:paraId="134CBBBD" w14:textId="230F7C84" w:rsidR="00FD1C81" w:rsidRPr="00FD1C81" w:rsidRDefault="00FD1C81" w:rsidP="00AC7321">
            <w:pPr>
              <w:spacing w:line="240" w:lineRule="auto"/>
              <w:rPr>
                <w:rFonts w:cs="Arial"/>
                <w:szCs w:val="20"/>
              </w:rPr>
            </w:pPr>
            <w:r w:rsidRPr="00FD1C81">
              <w:rPr>
                <w:rFonts w:cs="Arial"/>
                <w:szCs w:val="20"/>
                <w:u w:val="single"/>
              </w:rPr>
              <w:t xml:space="preserve">Action 7.3: </w:t>
            </w:r>
            <w:r w:rsidRPr="00FD1C81">
              <w:rPr>
                <w:rFonts w:cs="Arial"/>
                <w:szCs w:val="20"/>
              </w:rPr>
              <w:t>Designation for spectrum licensing* of 824</w:t>
            </w:r>
            <w:r w:rsidR="007F7444">
              <w:rPr>
                <w:rFonts w:cs="Arial"/>
                <w:szCs w:val="20"/>
              </w:rPr>
              <w:t>–</w:t>
            </w:r>
            <w:r w:rsidRPr="00FD1C81">
              <w:rPr>
                <w:rFonts w:cs="Arial"/>
                <w:szCs w:val="20"/>
              </w:rPr>
              <w:t>825/849</w:t>
            </w:r>
            <w:r w:rsidR="007F7444">
              <w:rPr>
                <w:rFonts w:cs="Arial"/>
                <w:szCs w:val="20"/>
              </w:rPr>
              <w:t>–</w:t>
            </w:r>
            <w:r w:rsidRPr="00FD1C81">
              <w:rPr>
                <w:rFonts w:cs="Arial"/>
                <w:szCs w:val="20"/>
              </w:rPr>
              <w:t xml:space="preserve">850 MHz (in readiness for downshift of the 850 MHz band), to be effective from (or after) </w:t>
            </w:r>
            <w:r w:rsidR="007F7444">
              <w:rPr>
                <w:rFonts w:cs="Arial"/>
                <w:szCs w:val="20"/>
              </w:rPr>
              <w:t>k</w:t>
            </w:r>
            <w:r w:rsidRPr="00FD1C81">
              <w:rPr>
                <w:rFonts w:cs="Arial"/>
                <w:szCs w:val="20"/>
              </w:rPr>
              <w:t xml:space="preserve">ey </w:t>
            </w:r>
            <w:r w:rsidR="007F7444">
              <w:rPr>
                <w:rFonts w:cs="Arial"/>
                <w:szCs w:val="20"/>
              </w:rPr>
              <w:t>d</w:t>
            </w:r>
            <w:r w:rsidRPr="00FD1C81">
              <w:rPr>
                <w:rFonts w:cs="Arial"/>
                <w:szCs w:val="20"/>
              </w:rPr>
              <w:t>ate 7.</w:t>
            </w:r>
          </w:p>
          <w:p w14:paraId="65DCC6D6" w14:textId="77777777" w:rsidR="00FD1C81" w:rsidRPr="00FD1C81" w:rsidRDefault="00FD1C81" w:rsidP="00AC7321">
            <w:pPr>
              <w:spacing w:line="240" w:lineRule="auto"/>
              <w:rPr>
                <w:rFonts w:cs="Arial"/>
                <w:i/>
                <w:szCs w:val="20"/>
              </w:rPr>
            </w:pPr>
            <w:r w:rsidRPr="00FD1C81">
              <w:rPr>
                <w:rFonts w:cs="Arial"/>
                <w:szCs w:val="20"/>
                <w:u w:val="single"/>
              </w:rPr>
              <w:t xml:space="preserve">Action 7.4: </w:t>
            </w:r>
            <w:r w:rsidRPr="00FD1C81">
              <w:rPr>
                <w:rFonts w:cs="Arial"/>
                <w:szCs w:val="20"/>
              </w:rPr>
              <w:t xml:space="preserve">Suppress </w:t>
            </w:r>
            <w:r w:rsidRPr="00AC7321">
              <w:rPr>
                <w:rFonts w:cs="Arial"/>
                <w:szCs w:val="20"/>
              </w:rPr>
              <w:t>SPP 4/93: Coordination Procedures for the Licensing of Services Sharing the 857-861 MHz Band</w:t>
            </w:r>
            <w:r w:rsidRPr="00FD1C81">
              <w:rPr>
                <w:rFonts w:cs="Arial"/>
                <w:i/>
                <w:szCs w:val="20"/>
              </w:rPr>
              <w:t>.</w:t>
            </w:r>
          </w:p>
          <w:p w14:paraId="5B9386FF" w14:textId="77777777" w:rsidR="00FD1C81" w:rsidRPr="00FD1C81" w:rsidRDefault="00FD1C81" w:rsidP="00FD1C81">
            <w:pPr>
              <w:spacing w:after="0" w:line="240" w:lineRule="auto"/>
              <w:rPr>
                <w:rFonts w:cs="Arial"/>
                <w:szCs w:val="20"/>
              </w:rPr>
            </w:pPr>
            <w:r w:rsidRPr="00FD1C81">
              <w:rPr>
                <w:rFonts w:cs="Arial"/>
                <w:i/>
                <w:szCs w:val="20"/>
              </w:rPr>
              <w:t>*</w:t>
            </w:r>
            <w:r w:rsidRPr="00FD1C81">
              <w:rPr>
                <w:rFonts w:cs="Arial"/>
                <w:szCs w:val="20"/>
              </w:rPr>
              <w:t xml:space="preserve"> Current nomenclature </w:t>
            </w:r>
            <w:r w:rsidR="00A15F22">
              <w:rPr>
                <w:rFonts w:cs="Arial"/>
                <w:szCs w:val="20"/>
              </w:rPr>
              <w:t>and process</w:t>
            </w:r>
            <w:r w:rsidRPr="00FD1C81">
              <w:rPr>
                <w:rFonts w:cs="Arial"/>
                <w:szCs w:val="20"/>
              </w:rPr>
              <w:t xml:space="preserve"> subject to change following implementation of the Spectrum Review.</w:t>
            </w:r>
          </w:p>
        </w:tc>
      </w:tr>
    </w:tbl>
    <w:p w14:paraId="5CED930F" w14:textId="77777777" w:rsidR="00FD1C81" w:rsidRDefault="00FD1C81" w:rsidP="00FD1C81">
      <w:pPr>
        <w:pStyle w:val="ListBullet"/>
        <w:spacing w:after="240"/>
      </w:pPr>
    </w:p>
    <w:tbl>
      <w:tblPr>
        <w:tblW w:w="9504"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Caption w:val="Table 2: Stages of the process for consideration of additional spectrum for mobile broadband services"/>
      </w:tblPr>
      <w:tblGrid>
        <w:gridCol w:w="2524"/>
        <w:gridCol w:w="6980"/>
      </w:tblGrid>
      <w:tr w:rsidR="00FD1C81" w:rsidRPr="006D46E5" w14:paraId="65B50732" w14:textId="77777777" w:rsidTr="00AC7321">
        <w:tc>
          <w:tcPr>
            <w:tcW w:w="2524" w:type="dxa"/>
            <w:tcBorders>
              <w:bottom w:val="single" w:sz="4" w:space="0" w:color="auto"/>
            </w:tcBorders>
            <w:shd w:val="clear" w:color="auto" w:fill="404040" w:themeFill="text1" w:themeFillTint="BF"/>
          </w:tcPr>
          <w:p w14:paraId="212F89BB" w14:textId="7D6E364B" w:rsidR="00FD1C81" w:rsidRPr="00AC7321" w:rsidRDefault="00FD1C81" w:rsidP="00AC7321">
            <w:pPr>
              <w:pStyle w:val="TableHeading"/>
              <w:keepNext/>
              <w:keepLines/>
              <w:rPr>
                <w:b w:val="0"/>
                <w:color w:val="FFFFFF" w:themeColor="background1"/>
              </w:rPr>
            </w:pPr>
            <w:r w:rsidRPr="00AC7321">
              <w:rPr>
                <w:color w:val="FFFFFF" w:themeColor="background1"/>
              </w:rPr>
              <w:t xml:space="preserve">Key </w:t>
            </w:r>
            <w:r w:rsidR="007F7444" w:rsidRPr="00AC7321">
              <w:rPr>
                <w:color w:val="FFFFFF" w:themeColor="background1"/>
              </w:rPr>
              <w:t>d</w:t>
            </w:r>
            <w:r w:rsidRPr="00AC7321">
              <w:rPr>
                <w:color w:val="FFFFFF" w:themeColor="background1"/>
              </w:rPr>
              <w:t xml:space="preserve">ate: </w:t>
            </w:r>
          </w:p>
        </w:tc>
        <w:tc>
          <w:tcPr>
            <w:tcW w:w="6980" w:type="dxa"/>
            <w:tcBorders>
              <w:bottom w:val="single" w:sz="4" w:space="0" w:color="auto"/>
            </w:tcBorders>
            <w:shd w:val="clear" w:color="auto" w:fill="404040" w:themeFill="text1" w:themeFillTint="BF"/>
          </w:tcPr>
          <w:p w14:paraId="37C39843" w14:textId="77777777" w:rsidR="00FD1C81" w:rsidRPr="00AC7321" w:rsidRDefault="00FD1C81" w:rsidP="00AC7321">
            <w:pPr>
              <w:pStyle w:val="TableHeading"/>
              <w:keepNext/>
              <w:keepLines/>
              <w:rPr>
                <w:color w:val="FFFFFF" w:themeColor="background1"/>
              </w:rPr>
            </w:pPr>
            <w:r w:rsidRPr="00AC7321">
              <w:rPr>
                <w:color w:val="FFFFFF" w:themeColor="background1"/>
              </w:rPr>
              <w:t>8</w:t>
            </w:r>
          </w:p>
        </w:tc>
      </w:tr>
      <w:tr w:rsidR="00FD1C81" w:rsidRPr="006D46E5" w14:paraId="172CFFCD" w14:textId="77777777" w:rsidTr="00071CEA">
        <w:tc>
          <w:tcPr>
            <w:tcW w:w="2524" w:type="dxa"/>
            <w:shd w:val="clear" w:color="auto" w:fill="F2F2F2" w:themeFill="background1" w:themeFillShade="F2"/>
          </w:tcPr>
          <w:p w14:paraId="6CE20697" w14:textId="77777777" w:rsidR="00FD1C81" w:rsidRPr="001A4286" w:rsidRDefault="00FD1C81" w:rsidP="00AC7321">
            <w:pPr>
              <w:pStyle w:val="TableBody"/>
              <w:keepNext/>
              <w:keepLines/>
              <w:rPr>
                <w:rFonts w:cs="Arial"/>
                <w:b/>
                <w:szCs w:val="20"/>
              </w:rPr>
            </w:pPr>
            <w:r w:rsidRPr="001A4286">
              <w:rPr>
                <w:rFonts w:cs="Arial"/>
                <w:b/>
                <w:szCs w:val="20"/>
              </w:rPr>
              <w:t>Date completed by:</w:t>
            </w:r>
          </w:p>
        </w:tc>
        <w:tc>
          <w:tcPr>
            <w:tcW w:w="6980" w:type="dxa"/>
            <w:shd w:val="clear" w:color="auto" w:fill="F2F2F2" w:themeFill="background1" w:themeFillShade="F2"/>
          </w:tcPr>
          <w:p w14:paraId="3623D19B" w14:textId="77777777" w:rsidR="00FD1C81" w:rsidRPr="001A4286" w:rsidRDefault="00FD1C81" w:rsidP="00AC7321">
            <w:pPr>
              <w:pStyle w:val="TableBody"/>
              <w:keepNext/>
              <w:keepLines/>
              <w:rPr>
                <w:rFonts w:cs="Arial"/>
                <w:szCs w:val="20"/>
              </w:rPr>
            </w:pPr>
            <w:r w:rsidRPr="00356137">
              <w:rPr>
                <w:rFonts w:cs="Arial"/>
              </w:rPr>
              <w:t>TBD (current projection 30 June 2024)</w:t>
            </w:r>
          </w:p>
        </w:tc>
      </w:tr>
      <w:tr w:rsidR="00FD1C81" w:rsidRPr="006D46E5" w14:paraId="3972621F" w14:textId="77777777" w:rsidTr="00071CEA">
        <w:tc>
          <w:tcPr>
            <w:tcW w:w="2524" w:type="dxa"/>
          </w:tcPr>
          <w:p w14:paraId="345E22CE" w14:textId="77777777" w:rsidR="00FD1C81" w:rsidRPr="001A4286" w:rsidRDefault="00FD1C81" w:rsidP="00AC7321">
            <w:pPr>
              <w:pStyle w:val="TableBody"/>
              <w:keepNext/>
              <w:keepLines/>
              <w:rPr>
                <w:rFonts w:cs="Arial"/>
                <w:b/>
                <w:szCs w:val="20"/>
              </w:rPr>
            </w:pPr>
            <w:r w:rsidRPr="001A4286">
              <w:rPr>
                <w:rFonts w:cs="Arial"/>
                <w:b/>
                <w:szCs w:val="20"/>
              </w:rPr>
              <w:t>Action to be taken by the above date:</w:t>
            </w:r>
          </w:p>
        </w:tc>
        <w:tc>
          <w:tcPr>
            <w:tcW w:w="6980" w:type="dxa"/>
          </w:tcPr>
          <w:p w14:paraId="1A6A0FAE" w14:textId="77777777" w:rsidR="00FD1C81" w:rsidRDefault="00FD1C81" w:rsidP="00AC7321">
            <w:pPr>
              <w:keepNext/>
              <w:keepLines/>
              <w:spacing w:line="240" w:lineRule="auto"/>
              <w:rPr>
                <w:rFonts w:cs="Arial"/>
              </w:rPr>
            </w:pPr>
            <w:r w:rsidRPr="00ED677F">
              <w:rPr>
                <w:rFonts w:cs="Arial"/>
                <w:u w:val="single"/>
              </w:rPr>
              <w:t xml:space="preserve">Action </w:t>
            </w:r>
            <w:r>
              <w:rPr>
                <w:rFonts w:cs="Arial"/>
                <w:u w:val="single"/>
              </w:rPr>
              <w:t>8</w:t>
            </w:r>
            <w:r w:rsidRPr="00ED677F">
              <w:rPr>
                <w:rFonts w:cs="Arial"/>
                <w:u w:val="single"/>
              </w:rPr>
              <w:t>.</w:t>
            </w:r>
            <w:r>
              <w:rPr>
                <w:rFonts w:cs="Arial"/>
                <w:u w:val="single"/>
              </w:rPr>
              <w:t>1</w:t>
            </w:r>
            <w:r>
              <w:rPr>
                <w:rFonts w:cs="Arial"/>
              </w:rPr>
              <w:t xml:space="preserve">: Issue licences for new services in the 850 MHz expansion band (no earlier than </w:t>
            </w:r>
            <w:r w:rsidRPr="00282A08">
              <w:rPr>
                <w:rFonts w:cs="Arial"/>
              </w:rPr>
              <w:t>Milestone</w:t>
            </w:r>
            <w:r>
              <w:rPr>
                <w:rFonts w:cs="Arial"/>
              </w:rPr>
              <w:t xml:space="preserve"> 6).</w:t>
            </w:r>
          </w:p>
          <w:p w14:paraId="77F96414" w14:textId="77777777" w:rsidR="00FD1C81" w:rsidRPr="003E23C5" w:rsidRDefault="00FD1C81" w:rsidP="00AC7321">
            <w:pPr>
              <w:keepNext/>
              <w:keepLines/>
              <w:spacing w:after="40" w:line="240" w:lineRule="auto"/>
              <w:rPr>
                <w:rFonts w:cs="Arial"/>
              </w:rPr>
            </w:pPr>
            <w:r w:rsidRPr="00ED677F">
              <w:rPr>
                <w:rFonts w:cs="Arial"/>
                <w:u w:val="single"/>
              </w:rPr>
              <w:t xml:space="preserve">Action </w:t>
            </w:r>
            <w:r>
              <w:rPr>
                <w:rFonts w:cs="Arial"/>
                <w:u w:val="single"/>
              </w:rPr>
              <w:t>8</w:t>
            </w:r>
            <w:r w:rsidRPr="00ED677F">
              <w:rPr>
                <w:rFonts w:cs="Arial"/>
                <w:u w:val="single"/>
              </w:rPr>
              <w:t>.</w:t>
            </w:r>
            <w:r>
              <w:rPr>
                <w:rFonts w:cs="Arial"/>
                <w:u w:val="single"/>
              </w:rPr>
              <w:t>2</w:t>
            </w:r>
            <w:r w:rsidRPr="003E23C5">
              <w:rPr>
                <w:rFonts w:cs="Arial"/>
              </w:rPr>
              <w:t xml:space="preserve">: Amend </w:t>
            </w:r>
            <w:r w:rsidRPr="00AC7321">
              <w:rPr>
                <w:rFonts w:cs="Arial"/>
              </w:rPr>
              <w:t>Embargo 64</w:t>
            </w:r>
            <w:r w:rsidRPr="003E23C5">
              <w:rPr>
                <w:rFonts w:cs="Arial"/>
              </w:rPr>
              <w:t>:</w:t>
            </w:r>
          </w:p>
          <w:p w14:paraId="358138F2" w14:textId="21067CAD" w:rsidR="00FD1C81" w:rsidRPr="00FD1C81" w:rsidRDefault="00FD1C81" w:rsidP="00AC7321">
            <w:pPr>
              <w:pStyle w:val="ListParagraph"/>
              <w:keepNext/>
              <w:keepLines/>
              <w:numPr>
                <w:ilvl w:val="0"/>
                <w:numId w:val="40"/>
              </w:numPr>
              <w:contextualSpacing w:val="0"/>
              <w:rPr>
                <w:rFonts w:ascii="Arial" w:hAnsi="Arial" w:cs="Arial"/>
                <w:sz w:val="20"/>
                <w:szCs w:val="20"/>
              </w:rPr>
            </w:pPr>
            <w:r w:rsidRPr="00FD1C81">
              <w:rPr>
                <w:rFonts w:ascii="Arial" w:hAnsi="Arial" w:cs="Arial"/>
                <w:sz w:val="20"/>
                <w:szCs w:val="20"/>
              </w:rPr>
              <w:t>Remove 809</w:t>
            </w:r>
            <w:r w:rsidR="007F7444">
              <w:rPr>
                <w:rFonts w:ascii="Arial" w:hAnsi="Arial" w:cs="Arial"/>
                <w:sz w:val="20"/>
                <w:szCs w:val="20"/>
              </w:rPr>
              <w:t>–</w:t>
            </w:r>
            <w:r w:rsidRPr="00FD1C81">
              <w:rPr>
                <w:rFonts w:ascii="Arial" w:hAnsi="Arial" w:cs="Arial"/>
                <w:sz w:val="20"/>
                <w:szCs w:val="20"/>
              </w:rPr>
              <w:t>824 MHz and 854</w:t>
            </w:r>
            <w:r w:rsidR="007F7444">
              <w:rPr>
                <w:rFonts w:ascii="Arial" w:hAnsi="Arial" w:cs="Arial"/>
                <w:sz w:val="20"/>
                <w:szCs w:val="20"/>
              </w:rPr>
              <w:t>–</w:t>
            </w:r>
            <w:r w:rsidRPr="00FD1C81">
              <w:rPr>
                <w:rFonts w:ascii="Arial" w:hAnsi="Arial" w:cs="Arial"/>
                <w:sz w:val="20"/>
                <w:szCs w:val="20"/>
              </w:rPr>
              <w:t>869 MHz from the scope of the Embargo.</w:t>
            </w:r>
          </w:p>
        </w:tc>
      </w:tr>
    </w:tbl>
    <w:p w14:paraId="742B20AA" w14:textId="77777777" w:rsidR="00FD1C81" w:rsidRDefault="00FD1C81" w:rsidP="00E91B9F">
      <w:pPr>
        <w:pStyle w:val="ListBullet"/>
        <w:spacing w:after="240"/>
      </w:pPr>
    </w:p>
    <w:p w14:paraId="35911F0E" w14:textId="77777777" w:rsidR="00FD1C81" w:rsidRDefault="00FD1C81" w:rsidP="00E91B9F">
      <w:pPr>
        <w:pStyle w:val="Heading3"/>
        <w:numPr>
          <w:ilvl w:val="2"/>
          <w:numId w:val="33"/>
        </w:numPr>
        <w:ind w:left="709"/>
      </w:pPr>
      <w:bookmarkStart w:id="27" w:name="_Toc434999452"/>
      <w:r>
        <w:t>Embargo 64</w:t>
      </w:r>
      <w:bookmarkEnd w:id="27"/>
    </w:p>
    <w:p w14:paraId="1B613B53" w14:textId="77777777" w:rsidR="00E91B9F" w:rsidRDefault="00E91B9F" w:rsidP="005A76BF">
      <w:pPr>
        <w:spacing w:after="80"/>
        <w:rPr>
          <w:rFonts w:cs="Arial"/>
        </w:rPr>
      </w:pPr>
      <w:r>
        <w:rPr>
          <w:rFonts w:cs="Arial"/>
        </w:rPr>
        <w:t>As detailed in Section 3.3.2, incremental changes will be made to Embargo 64 throughout the implem</w:t>
      </w:r>
      <w:r w:rsidR="005A76BF">
        <w:rPr>
          <w:rFonts w:cs="Arial"/>
        </w:rPr>
        <w:t>en</w:t>
      </w:r>
      <w:r>
        <w:rPr>
          <w:rFonts w:cs="Arial"/>
        </w:rPr>
        <w:t>tation phase, specifically the removal of frequency segments for which long-term arrangements have taken effect. The following frequency segments have not been identified for removal from Embargo 64 in Section 3.3.2:</w:t>
      </w:r>
    </w:p>
    <w:p w14:paraId="7C2D8D74" w14:textId="4A6391EF" w:rsidR="00E91B9F" w:rsidRPr="005A76BF" w:rsidRDefault="00E91B9F" w:rsidP="005A76BF">
      <w:pPr>
        <w:pStyle w:val="ListBullet"/>
        <w:numPr>
          <w:ilvl w:val="0"/>
          <w:numId w:val="1"/>
        </w:numPr>
        <w:rPr>
          <w:rFonts w:cs="Arial"/>
          <w:szCs w:val="20"/>
        </w:rPr>
      </w:pPr>
      <w:r w:rsidRPr="005A76BF">
        <w:rPr>
          <w:rFonts w:cs="Arial"/>
          <w:szCs w:val="20"/>
        </w:rPr>
        <w:t>803</w:t>
      </w:r>
      <w:r w:rsidR="007F7444">
        <w:rPr>
          <w:rFonts w:cs="Arial"/>
          <w:szCs w:val="20"/>
        </w:rPr>
        <w:t>–</w:t>
      </w:r>
      <w:r w:rsidRPr="005A76BF">
        <w:rPr>
          <w:rFonts w:cs="Arial"/>
          <w:szCs w:val="20"/>
        </w:rPr>
        <w:t>804 MHz</w:t>
      </w:r>
      <w:r w:rsidR="007F7444">
        <w:rPr>
          <w:rFonts w:cs="Arial"/>
          <w:szCs w:val="20"/>
        </w:rPr>
        <w:t>—</w:t>
      </w:r>
      <w:r w:rsidRPr="005A76BF">
        <w:rPr>
          <w:rFonts w:cs="Arial"/>
          <w:szCs w:val="20"/>
        </w:rPr>
        <w:t>guard band between services in the 700 and 800 MHz bands</w:t>
      </w:r>
    </w:p>
    <w:p w14:paraId="7A98A515" w14:textId="0AC4B519" w:rsidR="00E91B9F" w:rsidRPr="005A76BF" w:rsidRDefault="00E91B9F" w:rsidP="005A76BF">
      <w:pPr>
        <w:pStyle w:val="ListBullet"/>
        <w:numPr>
          <w:ilvl w:val="0"/>
          <w:numId w:val="1"/>
        </w:numPr>
        <w:rPr>
          <w:rFonts w:cs="Arial"/>
          <w:szCs w:val="20"/>
        </w:rPr>
      </w:pPr>
      <w:r w:rsidRPr="005A76BF">
        <w:rPr>
          <w:rFonts w:cs="Arial"/>
          <w:szCs w:val="20"/>
        </w:rPr>
        <w:t>824</w:t>
      </w:r>
      <w:r w:rsidR="007F7444">
        <w:rPr>
          <w:rFonts w:cs="Arial"/>
          <w:szCs w:val="20"/>
        </w:rPr>
        <w:t>–</w:t>
      </w:r>
      <w:r w:rsidRPr="005A76BF">
        <w:rPr>
          <w:rFonts w:cs="Arial"/>
          <w:szCs w:val="20"/>
        </w:rPr>
        <w:t>825 MHz and 869</w:t>
      </w:r>
      <w:r w:rsidR="007F7444">
        <w:rPr>
          <w:rFonts w:cs="Arial"/>
          <w:szCs w:val="20"/>
        </w:rPr>
        <w:t>–</w:t>
      </w:r>
      <w:r w:rsidRPr="005A76BF">
        <w:rPr>
          <w:rFonts w:cs="Arial"/>
          <w:szCs w:val="20"/>
        </w:rPr>
        <w:t>870 MHz</w:t>
      </w:r>
      <w:r w:rsidR="007F7444">
        <w:rPr>
          <w:rFonts w:cs="Arial"/>
          <w:szCs w:val="20"/>
        </w:rPr>
        <w:t>—</w:t>
      </w:r>
      <w:r w:rsidRPr="005A76BF">
        <w:rPr>
          <w:rFonts w:cs="Arial"/>
          <w:szCs w:val="20"/>
        </w:rPr>
        <w:t>vacant pending downshift of the 850 MHz band (a separate body of work</w:t>
      </w:r>
      <w:r w:rsidR="007F7444">
        <w:rPr>
          <w:rFonts w:cs="Arial"/>
          <w:szCs w:val="20"/>
        </w:rPr>
        <w:t>—</w:t>
      </w:r>
      <w:r w:rsidRPr="005A76BF">
        <w:rPr>
          <w:rFonts w:cs="Arial"/>
          <w:szCs w:val="20"/>
        </w:rPr>
        <w:t>see Chapter 4)</w:t>
      </w:r>
    </w:p>
    <w:p w14:paraId="4D01FFE7" w14:textId="0EEFEEFB" w:rsidR="00E91B9F" w:rsidRPr="005A76BF" w:rsidRDefault="00E91B9F" w:rsidP="00AC7321">
      <w:pPr>
        <w:pStyle w:val="ListBullet"/>
        <w:numPr>
          <w:ilvl w:val="0"/>
          <w:numId w:val="1"/>
        </w:numPr>
        <w:spacing w:after="240"/>
        <w:rPr>
          <w:rFonts w:cs="Arial"/>
          <w:szCs w:val="20"/>
        </w:rPr>
      </w:pPr>
      <w:r w:rsidRPr="005A76BF">
        <w:rPr>
          <w:rFonts w:cs="Arial"/>
          <w:szCs w:val="20"/>
        </w:rPr>
        <w:t>890</w:t>
      </w:r>
      <w:r w:rsidR="007F7444">
        <w:rPr>
          <w:rFonts w:cs="Arial"/>
          <w:szCs w:val="20"/>
        </w:rPr>
        <w:t>–</w:t>
      </w:r>
      <w:r w:rsidRPr="005A76BF">
        <w:rPr>
          <w:rFonts w:cs="Arial"/>
          <w:szCs w:val="20"/>
        </w:rPr>
        <w:t>915 MHz and 935</w:t>
      </w:r>
      <w:r w:rsidR="007F7444">
        <w:rPr>
          <w:rFonts w:cs="Arial"/>
          <w:szCs w:val="20"/>
        </w:rPr>
        <w:t>–</w:t>
      </w:r>
      <w:r w:rsidRPr="005A76BF">
        <w:rPr>
          <w:rFonts w:cs="Arial"/>
          <w:szCs w:val="20"/>
        </w:rPr>
        <w:t>960 MHz</w:t>
      </w:r>
      <w:r w:rsidR="007F7444">
        <w:rPr>
          <w:rFonts w:cs="Arial"/>
          <w:szCs w:val="20"/>
        </w:rPr>
        <w:t>—</w:t>
      </w:r>
      <w:r w:rsidRPr="005A76BF">
        <w:rPr>
          <w:rFonts w:cs="Arial"/>
          <w:szCs w:val="20"/>
        </w:rPr>
        <w:t>pending replanning into 5 MHz block (a separate body of work</w:t>
      </w:r>
      <w:r w:rsidR="007F7444">
        <w:rPr>
          <w:rFonts w:cs="Arial"/>
          <w:szCs w:val="20"/>
        </w:rPr>
        <w:t>—</w:t>
      </w:r>
      <w:r w:rsidRPr="005A76BF">
        <w:rPr>
          <w:rFonts w:cs="Arial"/>
          <w:szCs w:val="20"/>
        </w:rPr>
        <w:t>see Chapter 4).</w:t>
      </w:r>
    </w:p>
    <w:p w14:paraId="60C322B3" w14:textId="77777777" w:rsidR="00E91B9F" w:rsidRDefault="00E91B9F" w:rsidP="00AC7321">
      <w:r>
        <w:t>Depe</w:t>
      </w:r>
      <w:r w:rsidR="005A76BF">
        <w:t>n</w:t>
      </w:r>
      <w:r>
        <w:t>ding on the progress of the separate reform agenda described in Chapter 4, either of the frequency pairs listed in the latter two dot points above may be removed at any time during the implementation phase.</w:t>
      </w:r>
    </w:p>
    <w:p w14:paraId="2A6386E2" w14:textId="048BEB3D" w:rsidR="0088246D" w:rsidRDefault="0088246D" w:rsidP="00AC7321">
      <w:r>
        <w:t xml:space="preserve">Throughout the </w:t>
      </w:r>
      <w:r w:rsidR="000F4C2B">
        <w:t xml:space="preserve">implementation </w:t>
      </w:r>
      <w:r>
        <w:t xml:space="preserve">process, exemptions to Embargo 64 will continue to be considered on a case-by-case basis. In general, exemptions will be granted to extend the operating life of existing systems as long as such operation is consistent with the implementation plan. For example, a service </w:t>
      </w:r>
      <w:r w:rsidR="000F4C2B">
        <w:t xml:space="preserve">identified for cessation of operation on a given frequency will generally have its licence renewed each year up until the relevant </w:t>
      </w:r>
      <w:r w:rsidR="007F7444">
        <w:t>m</w:t>
      </w:r>
      <w:r w:rsidR="000F4C2B">
        <w:t xml:space="preserve">ilestone (after which the licence will not be renewed, consistent with the </w:t>
      </w:r>
      <w:r w:rsidR="00527BD9">
        <w:t>requirement to clear within the year following the milestone date</w:t>
      </w:r>
      <w:r w:rsidR="000F4C2B">
        <w:t>).</w:t>
      </w:r>
    </w:p>
    <w:p w14:paraId="473A6232" w14:textId="77777777" w:rsidR="00E91B9F" w:rsidRDefault="00E91B9F" w:rsidP="00E91B9F">
      <w:pPr>
        <w:spacing w:after="0" w:line="240" w:lineRule="auto"/>
      </w:pPr>
    </w:p>
    <w:p w14:paraId="25D5E6B1" w14:textId="77777777" w:rsidR="0088246D" w:rsidRDefault="0088246D" w:rsidP="00E91B9F">
      <w:pPr>
        <w:spacing w:after="0" w:line="240" w:lineRule="auto"/>
        <w:sectPr w:rsidR="0088246D" w:rsidSect="007D28E7">
          <w:headerReference w:type="even" r:id="rId45"/>
          <w:headerReference w:type="default" r:id="rId46"/>
          <w:footerReference w:type="even" r:id="rId47"/>
          <w:footerReference w:type="default" r:id="rId48"/>
          <w:pgSz w:w="11906" w:h="16838" w:code="9"/>
          <w:pgMar w:top="1945" w:right="3101" w:bottom="868" w:left="1134" w:header="709" w:footer="119" w:gutter="0"/>
          <w:pgNumType w:start="1"/>
          <w:cols w:space="708"/>
          <w:docGrid w:linePitch="360"/>
        </w:sectPr>
      </w:pPr>
    </w:p>
    <w:p w14:paraId="19FFD591" w14:textId="77777777" w:rsidR="00055F7A" w:rsidRPr="00055F7A" w:rsidRDefault="00055F7A" w:rsidP="00055F7A">
      <w:pPr>
        <w:pStyle w:val="ACMAFigureHeader"/>
        <w:keepNext/>
        <w:keepLines/>
        <w:numPr>
          <w:ilvl w:val="0"/>
          <w:numId w:val="0"/>
        </w:numPr>
        <w:tabs>
          <w:tab w:val="left" w:pos="1418"/>
        </w:tabs>
        <w:ind w:left="1418" w:hanging="1418"/>
      </w:pPr>
      <w:r>
        <w:t>Figure 3.3.1.2:</w:t>
      </w:r>
      <w:r>
        <w:tab/>
      </w:r>
      <w:r w:rsidR="00E91B9F">
        <w:t>Timelines for implementation, including milestones for industry/operator action and key dates for action by the ACMA</w:t>
      </w:r>
    </w:p>
    <w:p w14:paraId="06B0D72C" w14:textId="77777777" w:rsidR="00E91B9F" w:rsidRDefault="00055F7A" w:rsidP="00055F7A">
      <w:pPr>
        <w:pStyle w:val="ACMAFigureHeader"/>
        <w:numPr>
          <w:ilvl w:val="0"/>
          <w:numId w:val="0"/>
        </w:numPr>
        <w:spacing w:after="0"/>
      </w:pPr>
      <w:r w:rsidRPr="002D66F9">
        <w:rPr>
          <w:noProof/>
        </w:rPr>
        <w:t xml:space="preserve"> </w:t>
      </w:r>
      <w:r w:rsidR="00E91B9F" w:rsidRPr="002D66F9">
        <w:rPr>
          <w:noProof/>
        </w:rPr>
        <w:drawing>
          <wp:inline distT="0" distB="0" distL="0" distR="0" wp14:anchorId="1170C384" wp14:editId="665EE4D1">
            <wp:extent cx="8484280" cy="5501156"/>
            <wp:effectExtent l="0" t="0" r="0" b="4445"/>
            <wp:docPr id="18" name="Picture 18" descr="Timelines for implementation, including milestones for industry/operator action and key dates for action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8517981" cy="5523008"/>
                    </a:xfrm>
                    <a:prstGeom prst="rect">
                      <a:avLst/>
                    </a:prstGeom>
                    <a:noFill/>
                    <a:ln>
                      <a:noFill/>
                    </a:ln>
                  </pic:spPr>
                </pic:pic>
              </a:graphicData>
            </a:graphic>
          </wp:inline>
        </w:drawing>
      </w:r>
    </w:p>
    <w:p w14:paraId="493B6F00" w14:textId="77777777" w:rsidR="00E91B9F" w:rsidRDefault="00E91B9F" w:rsidP="00E91B9F">
      <w:pPr>
        <w:sectPr w:rsidR="00E91B9F" w:rsidSect="00E91B9F">
          <w:pgSz w:w="16838" w:h="11906" w:orient="landscape" w:code="9"/>
          <w:pgMar w:top="568" w:right="1945" w:bottom="1418" w:left="868" w:header="709" w:footer="119" w:gutter="0"/>
          <w:cols w:space="708"/>
          <w:docGrid w:linePitch="360"/>
        </w:sectPr>
      </w:pPr>
    </w:p>
    <w:p w14:paraId="081E3FCD" w14:textId="77777777" w:rsidR="00FD1C81" w:rsidRDefault="00E91B9F" w:rsidP="00E91B9F">
      <w:pPr>
        <w:pStyle w:val="Heading1"/>
        <w:numPr>
          <w:ilvl w:val="0"/>
          <w:numId w:val="33"/>
        </w:numPr>
        <w:ind w:left="709"/>
      </w:pPr>
      <w:bookmarkStart w:id="28" w:name="_Ref433971594"/>
      <w:bookmarkStart w:id="29" w:name="_Toc434999453"/>
      <w:r>
        <w:t>Proposed amendments to existing mobile broadband spectrum arrangements</w:t>
      </w:r>
      <w:bookmarkEnd w:id="28"/>
      <w:bookmarkEnd w:id="29"/>
    </w:p>
    <w:p w14:paraId="0B824510" w14:textId="06CC2A20" w:rsidR="00997425" w:rsidRDefault="00E91B9F" w:rsidP="003166AA">
      <w:pPr>
        <w:spacing w:after="80"/>
        <w:rPr>
          <w:rFonts w:cs="Arial"/>
          <w:szCs w:val="20"/>
        </w:rPr>
      </w:pPr>
      <w:r w:rsidRPr="00E91B9F">
        <w:rPr>
          <w:rFonts w:cs="Arial"/>
          <w:szCs w:val="20"/>
        </w:rPr>
        <w:t xml:space="preserve">As described in Section </w:t>
      </w:r>
      <w:r w:rsidR="003763F7">
        <w:rPr>
          <w:rFonts w:cs="Arial"/>
          <w:szCs w:val="20"/>
        </w:rPr>
        <w:t>1.4</w:t>
      </w:r>
      <w:r w:rsidR="00997425">
        <w:rPr>
          <w:rFonts w:cs="Arial"/>
          <w:szCs w:val="20"/>
        </w:rPr>
        <w:t xml:space="preserve"> </w:t>
      </w:r>
      <w:r w:rsidRPr="00E91B9F">
        <w:rPr>
          <w:rFonts w:cs="Arial"/>
          <w:szCs w:val="20"/>
        </w:rPr>
        <w:t xml:space="preserve">there are two major components of the </w:t>
      </w:r>
      <w:r w:rsidRPr="00E91B9F" w:rsidDel="000F375D">
        <w:rPr>
          <w:rFonts w:cs="Arial"/>
          <w:szCs w:val="20"/>
        </w:rPr>
        <w:t>r</w:t>
      </w:r>
      <w:r w:rsidRPr="00E91B9F">
        <w:rPr>
          <w:rFonts w:cs="Arial"/>
          <w:szCs w:val="20"/>
        </w:rPr>
        <w:t xml:space="preserve">eview </w:t>
      </w:r>
      <w:r w:rsidR="00824A01">
        <w:rPr>
          <w:rFonts w:cs="Arial"/>
          <w:szCs w:val="20"/>
        </w:rPr>
        <w:t>that</w:t>
      </w:r>
      <w:r w:rsidR="00824A01" w:rsidRPr="00E91B9F">
        <w:rPr>
          <w:rFonts w:cs="Arial"/>
          <w:szCs w:val="20"/>
        </w:rPr>
        <w:t xml:space="preserve"> </w:t>
      </w:r>
      <w:r w:rsidRPr="00E91B9F">
        <w:rPr>
          <w:rFonts w:cs="Arial"/>
          <w:szCs w:val="20"/>
        </w:rPr>
        <w:t xml:space="preserve">require further consideration by the ACMA, government and industry for which no decisions have been conveyed in this paper. These issues are: </w:t>
      </w:r>
    </w:p>
    <w:p w14:paraId="1FA02306" w14:textId="6178D27B" w:rsidR="00997425" w:rsidRDefault="00E91B9F" w:rsidP="003166AA">
      <w:pPr>
        <w:pStyle w:val="ListBullet"/>
        <w:numPr>
          <w:ilvl w:val="0"/>
          <w:numId w:val="1"/>
        </w:numPr>
        <w:rPr>
          <w:rFonts w:cs="Arial"/>
          <w:szCs w:val="20"/>
        </w:rPr>
      </w:pPr>
      <w:r w:rsidRPr="00E91B9F">
        <w:rPr>
          <w:rFonts w:cs="Arial"/>
          <w:szCs w:val="20"/>
        </w:rPr>
        <w:t>implementation of a 1 MHz downshift of the 850 MHz band (noting that the decision to clear spectrum for the band to eventually shift down into is included in this paper)</w:t>
      </w:r>
    </w:p>
    <w:p w14:paraId="5D6C5719" w14:textId="086A52ED" w:rsidR="00E91B9F" w:rsidRPr="00E91B9F" w:rsidRDefault="00E91B9F" w:rsidP="003166AA">
      <w:pPr>
        <w:pStyle w:val="ListBullet"/>
        <w:numPr>
          <w:ilvl w:val="0"/>
          <w:numId w:val="1"/>
        </w:numPr>
        <w:spacing w:after="240"/>
        <w:rPr>
          <w:rFonts w:cs="Arial"/>
          <w:szCs w:val="20"/>
        </w:rPr>
      </w:pPr>
      <w:r w:rsidRPr="00E91B9F">
        <w:rPr>
          <w:rFonts w:cs="Arial"/>
          <w:szCs w:val="20"/>
        </w:rPr>
        <w:t xml:space="preserve">the reorganisation of the </w:t>
      </w:r>
      <w:r w:rsidR="003763F7" w:rsidRPr="00E91B9F">
        <w:rPr>
          <w:rFonts w:cs="Arial"/>
          <w:szCs w:val="20"/>
        </w:rPr>
        <w:t>existing</w:t>
      </w:r>
      <w:r w:rsidRPr="00E91B9F">
        <w:rPr>
          <w:rFonts w:cs="Arial"/>
          <w:szCs w:val="20"/>
        </w:rPr>
        <w:t xml:space="preserve"> 900 MHz ‘GSM’ band (890</w:t>
      </w:r>
      <w:r w:rsidR="00824A01">
        <w:rPr>
          <w:rFonts w:cs="Arial"/>
          <w:szCs w:val="20"/>
        </w:rPr>
        <w:t>–</w:t>
      </w:r>
      <w:r w:rsidRPr="00E91B9F">
        <w:rPr>
          <w:rFonts w:cs="Arial"/>
          <w:szCs w:val="20"/>
        </w:rPr>
        <w:t>915/935</w:t>
      </w:r>
      <w:r w:rsidR="00824A01">
        <w:rPr>
          <w:rFonts w:cs="Arial"/>
          <w:szCs w:val="20"/>
        </w:rPr>
        <w:t>–</w:t>
      </w:r>
      <w:r w:rsidRPr="00E91B9F">
        <w:rPr>
          <w:rFonts w:cs="Arial"/>
          <w:szCs w:val="20"/>
        </w:rPr>
        <w:t>960</w:t>
      </w:r>
      <w:r w:rsidR="00997425">
        <w:rPr>
          <w:rFonts w:cs="Arial"/>
          <w:szCs w:val="20"/>
        </w:rPr>
        <w:t> </w:t>
      </w:r>
      <w:r w:rsidRPr="00E91B9F">
        <w:rPr>
          <w:rFonts w:cs="Arial"/>
          <w:szCs w:val="20"/>
        </w:rPr>
        <w:t>MHz).</w:t>
      </w:r>
    </w:p>
    <w:p w14:paraId="20564395" w14:textId="71FC0039" w:rsidR="00E91B9F" w:rsidRDefault="00E91B9F" w:rsidP="00E91B9F">
      <w:pPr>
        <w:rPr>
          <w:rFonts w:cs="Arial"/>
          <w:szCs w:val="20"/>
        </w:rPr>
      </w:pPr>
      <w:r w:rsidRPr="00E91B9F">
        <w:rPr>
          <w:rFonts w:cs="Arial"/>
          <w:szCs w:val="20"/>
        </w:rPr>
        <w:t xml:space="preserve">This </w:t>
      </w:r>
      <w:r w:rsidR="003763F7" w:rsidRPr="00E91B9F">
        <w:rPr>
          <w:rFonts w:cs="Arial"/>
          <w:szCs w:val="20"/>
        </w:rPr>
        <w:t>chapter</w:t>
      </w:r>
      <w:r w:rsidRPr="00E91B9F">
        <w:rPr>
          <w:rFonts w:cs="Arial"/>
          <w:szCs w:val="20"/>
        </w:rPr>
        <w:t xml:space="preserve"> provides a brief background on these issues, and discusses some of the complexities </w:t>
      </w:r>
      <w:r w:rsidR="00C90431">
        <w:rPr>
          <w:rFonts w:cs="Arial"/>
          <w:szCs w:val="20"/>
        </w:rPr>
        <w:t>that</w:t>
      </w:r>
      <w:r w:rsidR="00C90431" w:rsidRPr="00E91B9F">
        <w:rPr>
          <w:rFonts w:cs="Arial"/>
          <w:szCs w:val="20"/>
        </w:rPr>
        <w:t xml:space="preserve"> </w:t>
      </w:r>
      <w:r w:rsidRPr="00E91B9F">
        <w:rPr>
          <w:rFonts w:cs="Arial"/>
          <w:szCs w:val="20"/>
        </w:rPr>
        <w:t>need to be considered and resolved in order to progress th</w:t>
      </w:r>
      <w:r w:rsidR="00997425">
        <w:rPr>
          <w:rFonts w:cs="Arial"/>
          <w:szCs w:val="20"/>
        </w:rPr>
        <w:t>ese</w:t>
      </w:r>
      <w:r w:rsidRPr="00E91B9F">
        <w:rPr>
          <w:rFonts w:cs="Arial"/>
          <w:szCs w:val="20"/>
        </w:rPr>
        <w:t xml:space="preserve"> reform</w:t>
      </w:r>
      <w:r w:rsidR="00997425">
        <w:rPr>
          <w:rFonts w:cs="Arial"/>
          <w:szCs w:val="20"/>
        </w:rPr>
        <w:t>s</w:t>
      </w:r>
      <w:r w:rsidRPr="00E91B9F">
        <w:rPr>
          <w:rFonts w:cs="Arial"/>
          <w:szCs w:val="20"/>
        </w:rPr>
        <w:t>.</w:t>
      </w:r>
    </w:p>
    <w:p w14:paraId="286B7B61" w14:textId="77777777" w:rsidR="00E91B9F" w:rsidRPr="00E91B9F" w:rsidRDefault="00E91B9F" w:rsidP="00E91B9F">
      <w:pPr>
        <w:pStyle w:val="Heading2"/>
        <w:numPr>
          <w:ilvl w:val="1"/>
          <w:numId w:val="33"/>
        </w:numPr>
        <w:ind w:left="709"/>
      </w:pPr>
      <w:bookmarkStart w:id="30" w:name="_Toc434999454"/>
      <w:r w:rsidRPr="00E91B9F">
        <w:t xml:space="preserve">Relationship to the </w:t>
      </w:r>
      <w:r w:rsidRPr="00E91B9F" w:rsidDel="000F375D">
        <w:t>r</w:t>
      </w:r>
      <w:r w:rsidRPr="00E91B9F">
        <w:t>eview</w:t>
      </w:r>
      <w:bookmarkEnd w:id="30"/>
    </w:p>
    <w:p w14:paraId="3E690052" w14:textId="6BA17866" w:rsidR="00E91B9F" w:rsidRPr="00E91B9F" w:rsidRDefault="00E91B9F" w:rsidP="005A76BF">
      <w:pPr>
        <w:spacing w:after="80"/>
        <w:rPr>
          <w:rFonts w:cs="Arial"/>
          <w:szCs w:val="20"/>
        </w:rPr>
      </w:pPr>
      <w:r w:rsidRPr="00E91B9F">
        <w:rPr>
          <w:rFonts w:cs="Arial"/>
          <w:szCs w:val="20"/>
        </w:rPr>
        <w:t xml:space="preserve">The ACMA has previously foreshadowed its intention to reorganise the existing </w:t>
      </w:r>
      <w:r w:rsidR="00997425">
        <w:rPr>
          <w:rFonts w:cs="Arial"/>
          <w:szCs w:val="20"/>
        </w:rPr>
        <w:t xml:space="preserve">900 MHz </w:t>
      </w:r>
      <w:r w:rsidRPr="00E91B9F">
        <w:rPr>
          <w:rFonts w:cs="Arial"/>
          <w:szCs w:val="20"/>
        </w:rPr>
        <w:t>GSM band into 5 MHz blocks, to optimise its utility for 4G services. However, the ACMA intends to progress these reforms of the as part of a separate process. The reasons for taking this approach are:</w:t>
      </w:r>
    </w:p>
    <w:p w14:paraId="5D3E1996" w14:textId="30D113AC" w:rsidR="00E91B9F" w:rsidRPr="00E91B9F" w:rsidRDefault="00E91B9F" w:rsidP="005A76BF">
      <w:pPr>
        <w:pStyle w:val="ListBullet"/>
        <w:numPr>
          <w:ilvl w:val="0"/>
          <w:numId w:val="1"/>
        </w:numPr>
        <w:rPr>
          <w:rFonts w:cs="Arial"/>
          <w:szCs w:val="20"/>
        </w:rPr>
      </w:pPr>
      <w:r w:rsidRPr="00E91B9F">
        <w:rPr>
          <w:rFonts w:cs="Arial"/>
          <w:szCs w:val="20"/>
        </w:rPr>
        <w:t>There are significant and complex policy, revenue and technical implications of undertaking this reform, including the desirability of shifting the entire lower-adjacent 850 MHz band (825</w:t>
      </w:r>
      <w:r w:rsidR="00824A01">
        <w:rPr>
          <w:rFonts w:cs="Arial"/>
          <w:szCs w:val="20"/>
        </w:rPr>
        <w:t>–</w:t>
      </w:r>
      <w:r w:rsidRPr="00E91B9F">
        <w:rPr>
          <w:rFonts w:cs="Arial"/>
          <w:szCs w:val="20"/>
        </w:rPr>
        <w:t>845/870</w:t>
      </w:r>
      <w:r w:rsidR="00824A01">
        <w:rPr>
          <w:rFonts w:cs="Arial"/>
          <w:szCs w:val="20"/>
        </w:rPr>
        <w:t>–</w:t>
      </w:r>
      <w:r w:rsidRPr="00E91B9F">
        <w:rPr>
          <w:rFonts w:cs="Arial"/>
          <w:szCs w:val="20"/>
        </w:rPr>
        <w:t xml:space="preserve">890 MHz) down by 1 MHz in order to maximise the utility of a GSM band reconfigured for LTE, </w:t>
      </w:r>
      <w:r w:rsidR="00C90431">
        <w:rPr>
          <w:rFonts w:cs="Arial"/>
          <w:szCs w:val="20"/>
        </w:rPr>
        <w:t>which</w:t>
      </w:r>
      <w:r w:rsidR="00C90431" w:rsidRPr="00E91B9F">
        <w:rPr>
          <w:rFonts w:cs="Arial"/>
          <w:szCs w:val="20"/>
        </w:rPr>
        <w:t xml:space="preserve"> </w:t>
      </w:r>
      <w:r w:rsidRPr="00E91B9F">
        <w:rPr>
          <w:rFonts w:cs="Arial"/>
          <w:szCs w:val="20"/>
        </w:rPr>
        <w:t>will need careful ACMA consideration and consultation across government and industry</w:t>
      </w:r>
      <w:r w:rsidR="00824A01">
        <w:rPr>
          <w:rFonts w:cs="Arial"/>
          <w:szCs w:val="20"/>
        </w:rPr>
        <w:t>.</w:t>
      </w:r>
    </w:p>
    <w:p w14:paraId="32687A7E" w14:textId="77777777" w:rsidR="00E91B9F" w:rsidRPr="00E91B9F" w:rsidRDefault="00E91B9F" w:rsidP="005A76BF">
      <w:pPr>
        <w:pStyle w:val="ListBullet"/>
        <w:numPr>
          <w:ilvl w:val="0"/>
          <w:numId w:val="1"/>
        </w:numPr>
        <w:spacing w:after="240"/>
        <w:rPr>
          <w:rFonts w:cs="Arial"/>
          <w:szCs w:val="20"/>
        </w:rPr>
      </w:pPr>
      <w:r w:rsidRPr="00E91B9F">
        <w:rPr>
          <w:rFonts w:cs="Arial"/>
          <w:szCs w:val="20"/>
        </w:rPr>
        <w:t>Given that the affected spectrum, with the exception of the 2 x 1 MHz lower-adjacent the 850 MHz band</w:t>
      </w:r>
      <w:r w:rsidRPr="003166AA">
        <w:rPr>
          <w:rFonts w:cs="Arial"/>
          <w:szCs w:val="20"/>
          <w:vertAlign w:val="superscript"/>
        </w:rPr>
        <w:footnoteReference w:id="35"/>
      </w:r>
      <w:r w:rsidRPr="003166AA">
        <w:rPr>
          <w:rFonts w:cs="Arial"/>
          <w:szCs w:val="20"/>
          <w:vertAlign w:val="superscript"/>
        </w:rPr>
        <w:t>,</w:t>
      </w:r>
      <w:r w:rsidRPr="00E91B9F">
        <w:rPr>
          <w:rFonts w:cs="Arial"/>
          <w:szCs w:val="20"/>
        </w:rPr>
        <w:t xml:space="preserve"> is already allocated for delivery of commercial mobile services, this issue can be ‘decoupled’ and treated in isolation from the broader review. This means that a proper exploration of the abovementioned complexities will not cause any delays to implementation of the 850 MHz expansion band and other decisions communicated in this paper.</w:t>
      </w:r>
    </w:p>
    <w:p w14:paraId="6D2FF5EF" w14:textId="77777777" w:rsidR="00E91B9F" w:rsidRPr="00E91B9F" w:rsidRDefault="00E91B9F" w:rsidP="00D0759E">
      <w:pPr>
        <w:rPr>
          <w:rFonts w:cs="Arial"/>
          <w:szCs w:val="20"/>
        </w:rPr>
      </w:pPr>
      <w:r w:rsidRPr="00E91B9F">
        <w:rPr>
          <w:rFonts w:cs="Arial"/>
          <w:szCs w:val="20"/>
        </w:rPr>
        <w:t>That said, the ACMA understands that this issue is particularly important to some sectors and sees value in using this paper to provide some insight in how it is proposing to progress the matter.</w:t>
      </w:r>
    </w:p>
    <w:p w14:paraId="63FABA92" w14:textId="5FEC6D06" w:rsidR="00E91B9F" w:rsidRDefault="00E91B9F" w:rsidP="00D0759E">
      <w:pPr>
        <w:rPr>
          <w:rFonts w:cs="Arial"/>
          <w:szCs w:val="20"/>
        </w:rPr>
      </w:pPr>
      <w:r w:rsidRPr="00E91B9F">
        <w:rPr>
          <w:rFonts w:cs="Arial"/>
          <w:szCs w:val="20"/>
        </w:rPr>
        <w:t xml:space="preserve">In a submission to the </w:t>
      </w:r>
      <w:r w:rsidRPr="00D0759E">
        <w:rPr>
          <w:rFonts w:cs="Arial"/>
          <w:i/>
          <w:szCs w:val="20"/>
        </w:rPr>
        <w:t xml:space="preserve">Future </w:t>
      </w:r>
      <w:r w:rsidR="00824A01">
        <w:rPr>
          <w:rFonts w:cs="Arial"/>
          <w:i/>
          <w:szCs w:val="20"/>
        </w:rPr>
        <w:t>o</w:t>
      </w:r>
      <w:r w:rsidRPr="00D0759E">
        <w:rPr>
          <w:rFonts w:cs="Arial"/>
          <w:i/>
          <w:szCs w:val="20"/>
        </w:rPr>
        <w:t>ptions</w:t>
      </w:r>
      <w:r w:rsidRPr="00E91B9F">
        <w:rPr>
          <w:rFonts w:cs="Arial"/>
          <w:szCs w:val="20"/>
        </w:rPr>
        <w:t xml:space="preserve"> consultation paper, one incumbent operator in the GSM band indicated a preference for the proposed replanning to be the subject of a further round of consultation. </w:t>
      </w:r>
    </w:p>
    <w:p w14:paraId="24D470D8" w14:textId="77777777" w:rsidR="00D0759E" w:rsidRPr="00D0759E" w:rsidRDefault="00D0759E" w:rsidP="00D0759E">
      <w:pPr>
        <w:pStyle w:val="Heading2"/>
        <w:numPr>
          <w:ilvl w:val="1"/>
          <w:numId w:val="33"/>
        </w:numPr>
        <w:ind w:left="709"/>
      </w:pPr>
      <w:bookmarkStart w:id="31" w:name="_Toc434999455"/>
      <w:r w:rsidRPr="00D0759E">
        <w:t>Rationale</w:t>
      </w:r>
      <w:bookmarkEnd w:id="31"/>
    </w:p>
    <w:p w14:paraId="04F9E756" w14:textId="77777777" w:rsidR="00D0759E" w:rsidRDefault="00D0759E" w:rsidP="00D0759E">
      <w:pPr>
        <w:rPr>
          <w:rFonts w:cs="Arial"/>
        </w:rPr>
      </w:pPr>
      <w:r>
        <w:rPr>
          <w:rFonts w:cs="Arial"/>
        </w:rPr>
        <w:t xml:space="preserve">The ACMA expects the 850 MHz band and the </w:t>
      </w:r>
      <w:r w:rsidR="00997425">
        <w:rPr>
          <w:rFonts w:cs="Arial"/>
        </w:rPr>
        <w:t xml:space="preserve">900 MHz </w:t>
      </w:r>
      <w:r>
        <w:rPr>
          <w:rFonts w:cs="Arial"/>
        </w:rPr>
        <w:t>GSM band will continue to be used for cellular mobile (including broadband) services. The structure of the 850 MHz band is not within the scope of the present review, except for the issue of a 1 MHz downwards shift of the boundaries of the band. In considering the option of a 1 MHz downshift, the ACMA recognises the legal rights of existing spectrum licensees in the band.</w:t>
      </w:r>
    </w:p>
    <w:p w14:paraId="022C920E" w14:textId="47B6B033" w:rsidR="00D0759E" w:rsidRDefault="00D0759E" w:rsidP="00824A01">
      <w:r>
        <w:t>The ACMA is committed to ensuring that the spectrum planning arrangements underpinning the operation of mobile broadband services are conducive to the optimal delivery of these services. This is best achieved by providing operators with the flexibility to be able to readily deploy the latest releases of standardised mobile broadband technologies, at present meaning 4G LTE based technologies.</w:t>
      </w:r>
      <w:r w:rsidRPr="00356137">
        <w:t xml:space="preserve"> The ACMA recently released its </w:t>
      </w:r>
      <w:r w:rsidRPr="00356137">
        <w:rPr>
          <w:i/>
        </w:rPr>
        <w:t xml:space="preserve">Beyond 2020 </w:t>
      </w:r>
      <w:r w:rsidRPr="00356137">
        <w:t>paper</w:t>
      </w:r>
      <w:r w:rsidRPr="00356137">
        <w:rPr>
          <w:rStyle w:val="FootnoteReference"/>
          <w:rFonts w:cs="Arial"/>
        </w:rPr>
        <w:footnoteReference w:id="36"/>
      </w:r>
      <w:r w:rsidRPr="00356137">
        <w:t>, which describes the relationship between spectrum, network topologies and adopted technology standards in delivering mobile broadband capacity.</w:t>
      </w:r>
    </w:p>
    <w:p w14:paraId="02EBE554" w14:textId="77777777" w:rsidR="00D0759E" w:rsidRDefault="00D0759E" w:rsidP="00D0759E">
      <w:pPr>
        <w:rPr>
          <w:rFonts w:cs="Arial"/>
        </w:rPr>
      </w:pPr>
      <w:r>
        <w:rPr>
          <w:rFonts w:cs="Arial"/>
        </w:rPr>
        <w:t>The</w:t>
      </w:r>
      <w:r w:rsidR="00B90C24">
        <w:rPr>
          <w:rFonts w:cs="Arial"/>
        </w:rPr>
        <w:t xml:space="preserve"> 900 MHz</w:t>
      </w:r>
      <w:r>
        <w:rPr>
          <w:rFonts w:cs="Arial"/>
        </w:rPr>
        <w:t xml:space="preserve"> GSM band has long been a cornerstone in the delivery of cellular communications services in Australia, first through the deployment of the 2G Global System for Mobile (GSM, hence its colloquial name) and now 3G Universal Mobile Telecommunications System (UMTS) services. The latter</w:t>
      </w:r>
      <w:r w:rsidR="005A76BF">
        <w:rPr>
          <w:rFonts w:cs="Arial"/>
        </w:rPr>
        <w:t xml:space="preserve"> </w:t>
      </w:r>
      <w:r>
        <w:rPr>
          <w:rFonts w:cs="Arial"/>
        </w:rPr>
        <w:t xml:space="preserve">requires 5 MHz spectrum blocks. </w:t>
      </w:r>
    </w:p>
    <w:p w14:paraId="2EC96A83" w14:textId="77777777" w:rsidR="00D0759E" w:rsidRPr="00F52540" w:rsidRDefault="00D0759E" w:rsidP="00D0759E">
      <w:pPr>
        <w:rPr>
          <w:rFonts w:cs="Arial"/>
          <w:sz w:val="28"/>
          <w:szCs w:val="28"/>
        </w:rPr>
      </w:pPr>
      <w:r w:rsidRPr="00F52540">
        <w:rPr>
          <w:rFonts w:cs="Arial"/>
          <w:szCs w:val="20"/>
        </w:rPr>
        <w:t xml:space="preserve">LTE technology can operate using a range of different channel sizes, being: 1.4, 3, 5, 10, 15, and 20 MHz, however LTE is </w:t>
      </w:r>
      <w:r>
        <w:rPr>
          <w:rFonts w:cs="Arial"/>
          <w:szCs w:val="20"/>
        </w:rPr>
        <w:t>more</w:t>
      </w:r>
      <w:r w:rsidRPr="00F52540">
        <w:rPr>
          <w:rFonts w:cs="Arial"/>
          <w:szCs w:val="20"/>
        </w:rPr>
        <w:t xml:space="preserve"> spectrally efficient in channels of 5 MHz or </w:t>
      </w:r>
      <w:r>
        <w:rPr>
          <w:rFonts w:cs="Arial"/>
          <w:szCs w:val="20"/>
        </w:rPr>
        <w:t>multiples thereof</w:t>
      </w:r>
      <w:r w:rsidRPr="00F52540">
        <w:rPr>
          <w:rFonts w:cs="Arial"/>
          <w:szCs w:val="20"/>
        </w:rPr>
        <w:t>. Increases in channel size (in 5 MHz increments) up to a 20 MHz channel increases throughput but results in only incremental gains to spectral efficiency. While LTE can operate using channels smaller than 5 MHz, this is generally avoided as efficiency suffers and the level of throughput adds little to the overall capacity of a network. Therefore, bands for 3G and 4G technologies are predominately planned based on a minimum block size of 5 MHz.</w:t>
      </w:r>
      <w:r w:rsidRPr="00F52540">
        <w:rPr>
          <w:rFonts w:cs="Arial"/>
          <w:sz w:val="28"/>
          <w:szCs w:val="28"/>
        </w:rPr>
        <w:t xml:space="preserve"> </w:t>
      </w:r>
    </w:p>
    <w:p w14:paraId="0007E766" w14:textId="29D4E46C" w:rsidR="00D0759E" w:rsidRDefault="00D0759E" w:rsidP="00824A01">
      <w:r w:rsidRPr="00F52540">
        <w:t>The 900 MHz band (890</w:t>
      </w:r>
      <w:r w:rsidR="00824A01">
        <w:t>–</w:t>
      </w:r>
      <w:r w:rsidRPr="00F52540">
        <w:t>915/935</w:t>
      </w:r>
      <w:r w:rsidR="00824A01">
        <w:t>–</w:t>
      </w:r>
      <w:r w:rsidRPr="00F52540">
        <w:t>960 MHz</w:t>
      </w:r>
      <w:r>
        <w:t>)</w:t>
      </w:r>
      <w:r w:rsidRPr="00F52540">
        <w:t xml:space="preserve"> is currently apparatus licensed to Telstra, Optus and </w:t>
      </w:r>
      <w:r w:rsidR="00B90C24">
        <w:t>Vodafone Hutchison Australia (</w:t>
      </w:r>
      <w:r w:rsidRPr="00F52540">
        <w:t>VHA</w:t>
      </w:r>
      <w:r w:rsidR="00B90C24">
        <w:t>)</w:t>
      </w:r>
      <w:r w:rsidRPr="00F52540">
        <w:t xml:space="preserve"> in 8.4 and 8.2 MHz blocks. Figure 4.2.1 shows the lower (base-receive) part of this band, with the current licensing arrangements shown at the top of the diagram. </w:t>
      </w:r>
    </w:p>
    <w:p w14:paraId="4A44EEA6" w14:textId="6039E3F1" w:rsidR="00D0759E" w:rsidRPr="00F52540" w:rsidRDefault="00D0759E" w:rsidP="00D0759E">
      <w:pPr>
        <w:rPr>
          <w:rFonts w:cs="Arial"/>
          <w:szCs w:val="20"/>
        </w:rPr>
      </w:pPr>
      <w:r w:rsidRPr="00F52540">
        <w:rPr>
          <w:rFonts w:cs="Arial"/>
          <w:szCs w:val="20"/>
        </w:rPr>
        <w:t>The interference issues that arise from the overlap of non-compliant US ISM band (902</w:t>
      </w:r>
      <w:r w:rsidR="00824A01">
        <w:rPr>
          <w:rFonts w:cs="Arial"/>
          <w:szCs w:val="20"/>
        </w:rPr>
        <w:t>–</w:t>
      </w:r>
      <w:r w:rsidRPr="00F52540">
        <w:rPr>
          <w:rFonts w:cs="Arial"/>
          <w:szCs w:val="20"/>
        </w:rPr>
        <w:t xml:space="preserve">928 MHz) equipment with blocks 3, 4 and 5 currently </w:t>
      </w:r>
      <w:r>
        <w:rPr>
          <w:rFonts w:cs="Arial"/>
          <w:szCs w:val="20"/>
        </w:rPr>
        <w:t>affect</w:t>
      </w:r>
      <w:r w:rsidRPr="00F52540">
        <w:rPr>
          <w:rFonts w:cs="Arial"/>
          <w:szCs w:val="20"/>
        </w:rPr>
        <w:t xml:space="preserve"> the Optus and VHA apparatus-licensed segments. </w:t>
      </w:r>
      <w:r>
        <w:rPr>
          <w:rFonts w:cs="Arial"/>
          <w:szCs w:val="20"/>
        </w:rPr>
        <w:t>I</w:t>
      </w:r>
      <w:r w:rsidRPr="00F52540">
        <w:rPr>
          <w:rFonts w:cs="Arial"/>
          <w:szCs w:val="20"/>
        </w:rPr>
        <w:t xml:space="preserve">ncidences of such interference are not infrequent and </w:t>
      </w:r>
      <w:r>
        <w:rPr>
          <w:rFonts w:cs="Arial"/>
          <w:szCs w:val="20"/>
        </w:rPr>
        <w:t xml:space="preserve">are </w:t>
      </w:r>
      <w:r w:rsidRPr="00F52540">
        <w:rPr>
          <w:rFonts w:cs="Arial"/>
          <w:szCs w:val="20"/>
        </w:rPr>
        <w:t>well known to these operators and the ACMA</w:t>
      </w:r>
      <w:r w:rsidR="00824A01">
        <w:rPr>
          <w:rFonts w:cs="Arial"/>
          <w:szCs w:val="20"/>
        </w:rPr>
        <w:t>—</w:t>
      </w:r>
      <w:r>
        <w:rPr>
          <w:rFonts w:cs="Arial"/>
          <w:szCs w:val="20"/>
        </w:rPr>
        <w:t>they are the result of non-compliance rather than failure of planning</w:t>
      </w:r>
      <w:r w:rsidRPr="00F52540">
        <w:rPr>
          <w:rFonts w:cs="Arial"/>
          <w:szCs w:val="20"/>
        </w:rPr>
        <w:t xml:space="preserve">. Regardless of the eventual band configuration, this is an issue that will continue to require ongoing compliance and enforcement action by the ACMA. </w:t>
      </w:r>
    </w:p>
    <w:p w14:paraId="518431CB" w14:textId="541029D5" w:rsidR="00055F7A" w:rsidRPr="00055F7A" w:rsidRDefault="00055F7A" w:rsidP="00055F7A">
      <w:pPr>
        <w:pStyle w:val="ACMAFigureHeader"/>
        <w:keepNext/>
        <w:keepLines/>
        <w:numPr>
          <w:ilvl w:val="0"/>
          <w:numId w:val="0"/>
        </w:numPr>
        <w:tabs>
          <w:tab w:val="left" w:pos="1418"/>
        </w:tabs>
        <w:ind w:left="1418" w:hanging="1418"/>
      </w:pPr>
      <w:r>
        <w:t>Figure 4.2.1:</w:t>
      </w:r>
      <w:r>
        <w:tab/>
        <w:t xml:space="preserve">Current </w:t>
      </w:r>
      <w:r w:rsidRPr="00462916">
        <w:t xml:space="preserve">and </w:t>
      </w:r>
      <w:r>
        <w:t>proposed arrangements for the base receive component of the ‘GSM’ band</w:t>
      </w:r>
    </w:p>
    <w:p w14:paraId="577717E7" w14:textId="4F0D6DF0" w:rsidR="00D0759E" w:rsidRDefault="00287D84" w:rsidP="00D0759E">
      <w:r>
        <w:rPr>
          <w:noProof/>
        </w:rPr>
        <w:drawing>
          <wp:inline distT="0" distB="0" distL="0" distR="0" wp14:anchorId="3A43EE40" wp14:editId="000A238B">
            <wp:extent cx="5506204" cy="3138198"/>
            <wp:effectExtent l="0" t="0" r="0" b="5080"/>
            <wp:docPr id="12" name="Picture 12" descr="Current and proposed arrangements for the base receive component of the ‘GSM’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5520387" cy="3146282"/>
                    </a:xfrm>
                    <a:prstGeom prst="rect">
                      <a:avLst/>
                    </a:prstGeom>
                  </pic:spPr>
                </pic:pic>
              </a:graphicData>
            </a:graphic>
          </wp:inline>
        </w:drawing>
      </w:r>
    </w:p>
    <w:p w14:paraId="0EDCECFC" w14:textId="77777777" w:rsidR="00D0759E" w:rsidRDefault="00D0759E" w:rsidP="00D0759E">
      <w:pPr>
        <w:pStyle w:val="Heading2"/>
        <w:numPr>
          <w:ilvl w:val="1"/>
          <w:numId w:val="33"/>
        </w:numPr>
        <w:ind w:left="709"/>
      </w:pPr>
      <w:bookmarkStart w:id="32" w:name="_Toc434999456"/>
      <w:r>
        <w:t>Technical considerations</w:t>
      </w:r>
      <w:bookmarkEnd w:id="32"/>
    </w:p>
    <w:p w14:paraId="4C7C40E2" w14:textId="14695556" w:rsidR="00D0759E" w:rsidRPr="00311AA9" w:rsidRDefault="00D0759E" w:rsidP="00D0759E">
      <w:pPr>
        <w:rPr>
          <w:rFonts w:cs="Arial"/>
          <w:szCs w:val="20"/>
        </w:rPr>
      </w:pPr>
      <w:r w:rsidRPr="00311AA9">
        <w:rPr>
          <w:rFonts w:cs="Arial"/>
          <w:szCs w:val="20"/>
        </w:rPr>
        <w:t>The frequency arrangements for the 850 MHz band (825</w:t>
      </w:r>
      <w:r w:rsidR="00824A01">
        <w:rPr>
          <w:rFonts w:cs="Arial"/>
          <w:szCs w:val="20"/>
        </w:rPr>
        <w:t>–</w:t>
      </w:r>
      <w:r w:rsidRPr="00311AA9">
        <w:rPr>
          <w:rFonts w:cs="Arial"/>
          <w:szCs w:val="20"/>
        </w:rPr>
        <w:t>845/870</w:t>
      </w:r>
      <w:r w:rsidR="00824A01">
        <w:rPr>
          <w:rFonts w:cs="Arial"/>
          <w:szCs w:val="20"/>
        </w:rPr>
        <w:t>–</w:t>
      </w:r>
      <w:r w:rsidRPr="00311AA9">
        <w:rPr>
          <w:rFonts w:cs="Arial"/>
          <w:szCs w:val="20"/>
        </w:rPr>
        <w:t xml:space="preserve">890 MHz) and the </w:t>
      </w:r>
      <w:r w:rsidR="008D7C82">
        <w:rPr>
          <w:rFonts w:cs="Arial"/>
          <w:szCs w:val="20"/>
        </w:rPr>
        <w:t xml:space="preserve">900 MHz </w:t>
      </w:r>
      <w:r w:rsidRPr="00311AA9">
        <w:rPr>
          <w:rFonts w:cs="Arial"/>
          <w:szCs w:val="20"/>
        </w:rPr>
        <w:t>GSM band (890</w:t>
      </w:r>
      <w:r w:rsidR="00824A01">
        <w:rPr>
          <w:rFonts w:cs="Arial"/>
          <w:szCs w:val="20"/>
        </w:rPr>
        <w:t>–</w:t>
      </w:r>
      <w:r w:rsidRPr="00311AA9">
        <w:rPr>
          <w:rFonts w:cs="Arial"/>
          <w:szCs w:val="20"/>
        </w:rPr>
        <w:t>915/935</w:t>
      </w:r>
      <w:r w:rsidR="00824A01">
        <w:rPr>
          <w:rFonts w:cs="Arial"/>
          <w:szCs w:val="20"/>
        </w:rPr>
        <w:t>–</w:t>
      </w:r>
      <w:r w:rsidRPr="00311AA9">
        <w:rPr>
          <w:rFonts w:cs="Arial"/>
          <w:szCs w:val="20"/>
        </w:rPr>
        <w:t>960 MHz) provide for key allocations to cellular mobile services that are standardised for use in Europe (GSM band) and the United States (850 MHz band). Australia’s adoption of these internationally standardised bands has resulted in a conflicting ‘reverse duplex’ arrangement</w:t>
      </w:r>
      <w:r w:rsidR="00824A01">
        <w:rPr>
          <w:rFonts w:cs="Arial"/>
          <w:szCs w:val="20"/>
        </w:rPr>
        <w:t>,</w:t>
      </w:r>
      <w:r w:rsidRPr="00311AA9">
        <w:rPr>
          <w:rFonts w:cs="Arial"/>
          <w:szCs w:val="20"/>
        </w:rPr>
        <w:t xml:space="preserve"> where base station transmitter and receiver frequencies are immediately adjacent one another. </w:t>
      </w:r>
    </w:p>
    <w:p w14:paraId="55D206ED" w14:textId="27FB8BBA" w:rsidR="00D0759E" w:rsidRPr="00311AA9" w:rsidRDefault="00D0759E" w:rsidP="00824A01">
      <w:r w:rsidRPr="00311AA9">
        <w:t>Allocating immediately adjacent frequencies for base station transmitters and receivers is usually avoided due to the difficulties in managing interference between services. This proximity has increasingly constrained efficient and effective use of the band, despite the band being progressively utilised for 3G and 4G technologies. In order to manage this incompatibility, the licensee for both band segments either side of the 890</w:t>
      </w:r>
      <w:r w:rsidR="007223C5">
        <w:t> </w:t>
      </w:r>
      <w:r w:rsidRPr="00311AA9">
        <w:t>MHz boundary has implemented an internal 1.6 MHz guard band at the lower edge of its GSM band licence</w:t>
      </w:r>
      <w:r w:rsidR="00824A01">
        <w:t>—</w:t>
      </w:r>
      <w:r w:rsidRPr="00311AA9">
        <w:t>see</w:t>
      </w:r>
      <w:r w:rsidRPr="00356137">
        <w:t xml:space="preserve"> bottom left corner of Figure 4.2.1</w:t>
      </w:r>
      <w:r w:rsidRPr="00311AA9">
        <w:t xml:space="preserve">. </w:t>
      </w:r>
    </w:p>
    <w:p w14:paraId="7560905B" w14:textId="782C1CFC" w:rsidR="00D0759E" w:rsidRPr="00F52540" w:rsidRDefault="00D0759E" w:rsidP="00D0759E">
      <w:pPr>
        <w:rPr>
          <w:rFonts w:cs="Arial"/>
          <w:szCs w:val="20"/>
        </w:rPr>
      </w:pPr>
      <w:r w:rsidRPr="00F52540">
        <w:rPr>
          <w:rFonts w:cs="Arial"/>
          <w:szCs w:val="20"/>
        </w:rPr>
        <w:t xml:space="preserve">This guard band </w:t>
      </w:r>
      <w:r>
        <w:rPr>
          <w:rFonts w:cs="Arial"/>
          <w:szCs w:val="20"/>
        </w:rPr>
        <w:t>facilitates</w:t>
      </w:r>
      <w:r w:rsidRPr="00F52540">
        <w:rPr>
          <w:rFonts w:cs="Arial"/>
          <w:szCs w:val="20"/>
        </w:rPr>
        <w:t xml:space="preserve"> coexistence between 2</w:t>
      </w:r>
      <w:r>
        <w:rPr>
          <w:rFonts w:cs="Arial"/>
          <w:szCs w:val="20"/>
        </w:rPr>
        <w:t>G</w:t>
      </w:r>
      <w:r w:rsidRPr="00F52540">
        <w:rPr>
          <w:rFonts w:cs="Arial"/>
          <w:szCs w:val="20"/>
        </w:rPr>
        <w:t xml:space="preserve"> and 3G services (rather than 3</w:t>
      </w:r>
      <w:r>
        <w:rPr>
          <w:rFonts w:cs="Arial"/>
          <w:szCs w:val="20"/>
        </w:rPr>
        <w:t>G</w:t>
      </w:r>
      <w:r w:rsidRPr="00F52540">
        <w:rPr>
          <w:rFonts w:cs="Arial"/>
          <w:szCs w:val="20"/>
        </w:rPr>
        <w:t xml:space="preserve"> and 4G services)</w:t>
      </w:r>
      <w:r>
        <w:rPr>
          <w:rFonts w:cs="Arial"/>
          <w:szCs w:val="20"/>
        </w:rPr>
        <w:t>. However</w:t>
      </w:r>
      <w:r w:rsidR="00824A01">
        <w:rPr>
          <w:rFonts w:cs="Arial"/>
          <w:szCs w:val="20"/>
        </w:rPr>
        <w:t>,</w:t>
      </w:r>
      <w:r>
        <w:rPr>
          <w:rFonts w:cs="Arial"/>
          <w:szCs w:val="20"/>
        </w:rPr>
        <w:t xml:space="preserve"> this coexistence also requires</w:t>
      </w:r>
      <w:r w:rsidRPr="00F52540">
        <w:rPr>
          <w:rFonts w:cs="Arial"/>
          <w:szCs w:val="20"/>
        </w:rPr>
        <w:t xml:space="preserve"> a significant amount of base station filtering on both the transmit (850 MHz band) and receive (900 MHz band) sides</w:t>
      </w:r>
      <w:r w:rsidR="007223C5">
        <w:rPr>
          <w:rFonts w:cs="Arial"/>
          <w:szCs w:val="20"/>
        </w:rPr>
        <w:t>. T</w:t>
      </w:r>
      <w:r w:rsidRPr="00356137">
        <w:rPr>
          <w:rFonts w:cs="Arial"/>
          <w:szCs w:val="20"/>
        </w:rPr>
        <w:t>he introduction of excessive filtering can affect network performance</w:t>
      </w:r>
      <w:r w:rsidRPr="00F52540">
        <w:rPr>
          <w:rFonts w:cs="Arial"/>
          <w:szCs w:val="20"/>
        </w:rPr>
        <w:t xml:space="preserve">. Given that GSM operates in 200 kHz physical channels, the 1.6 MHz guard band within the 900 MHz band represents a sacrifice of </w:t>
      </w:r>
      <w:r w:rsidR="00824A01">
        <w:rPr>
          <w:rFonts w:cs="Arial"/>
          <w:szCs w:val="20"/>
        </w:rPr>
        <w:t>eight</w:t>
      </w:r>
      <w:r w:rsidR="00824A01" w:rsidRPr="00F52540">
        <w:rPr>
          <w:rFonts w:cs="Arial"/>
          <w:szCs w:val="20"/>
        </w:rPr>
        <w:t xml:space="preserve"> </w:t>
      </w:r>
      <w:r w:rsidRPr="00F52540">
        <w:rPr>
          <w:rFonts w:cs="Arial"/>
          <w:szCs w:val="20"/>
        </w:rPr>
        <w:t>paired channels.</w:t>
      </w:r>
    </w:p>
    <w:p w14:paraId="148EE03B" w14:textId="50DDF855" w:rsidR="00D0759E" w:rsidRPr="00F52540" w:rsidRDefault="00D0759E" w:rsidP="00D0759E">
      <w:pPr>
        <w:rPr>
          <w:rFonts w:cs="Arial"/>
          <w:szCs w:val="20"/>
        </w:rPr>
      </w:pPr>
      <w:r w:rsidRPr="00F52540">
        <w:rPr>
          <w:rFonts w:cs="Arial"/>
          <w:szCs w:val="20"/>
        </w:rPr>
        <w:t xml:space="preserve">For reasons described </w:t>
      </w:r>
      <w:r w:rsidR="000F4C2B">
        <w:rPr>
          <w:rFonts w:cs="Arial"/>
          <w:szCs w:val="20"/>
        </w:rPr>
        <w:t>in Section 4.2</w:t>
      </w:r>
      <w:r w:rsidRPr="00F52540">
        <w:rPr>
          <w:rFonts w:cs="Arial"/>
          <w:szCs w:val="20"/>
        </w:rPr>
        <w:t>, a 5 MHz channel plan would be far more conducive to 3</w:t>
      </w:r>
      <w:r w:rsidR="007223C5">
        <w:rPr>
          <w:rFonts w:cs="Arial"/>
          <w:szCs w:val="20"/>
        </w:rPr>
        <w:t>G</w:t>
      </w:r>
      <w:r w:rsidRPr="00F52540">
        <w:rPr>
          <w:rFonts w:cs="Arial"/>
          <w:szCs w:val="20"/>
        </w:rPr>
        <w:t>/4G deployments than the current 8.2/8.4 MHz arrangements</w:t>
      </w:r>
      <w:r w:rsidR="009732EE">
        <w:rPr>
          <w:rFonts w:cs="Arial"/>
          <w:szCs w:val="20"/>
        </w:rPr>
        <w:t>,</w:t>
      </w:r>
      <w:r w:rsidRPr="00F52540">
        <w:rPr>
          <w:rFonts w:cs="Arial"/>
          <w:szCs w:val="20"/>
        </w:rPr>
        <w:t xml:space="preserve"> and the ACMA sees a significant long-term benefit in </w:t>
      </w:r>
      <w:r w:rsidR="000F4C2B">
        <w:rPr>
          <w:rFonts w:cs="Arial"/>
          <w:szCs w:val="20"/>
        </w:rPr>
        <w:t>transitioning</w:t>
      </w:r>
      <w:r w:rsidR="000F4C2B" w:rsidRPr="00F52540">
        <w:rPr>
          <w:rFonts w:cs="Arial"/>
          <w:szCs w:val="20"/>
        </w:rPr>
        <w:t xml:space="preserve"> </w:t>
      </w:r>
      <w:r w:rsidRPr="00F52540">
        <w:rPr>
          <w:rFonts w:cs="Arial"/>
          <w:szCs w:val="20"/>
        </w:rPr>
        <w:t>to these arrangements. The lower part of Figure 4.</w:t>
      </w:r>
      <w:r>
        <w:rPr>
          <w:rFonts w:cs="Arial"/>
          <w:szCs w:val="20"/>
        </w:rPr>
        <w:t>2</w:t>
      </w:r>
      <w:r w:rsidRPr="00F52540">
        <w:rPr>
          <w:rFonts w:cs="Arial"/>
          <w:szCs w:val="20"/>
        </w:rPr>
        <w:t xml:space="preserve">.1 shows the </w:t>
      </w:r>
      <w:r>
        <w:rPr>
          <w:rFonts w:cs="Arial"/>
          <w:szCs w:val="20"/>
        </w:rPr>
        <w:t>GSM</w:t>
      </w:r>
      <w:r w:rsidRPr="00F52540">
        <w:rPr>
          <w:rFonts w:cs="Arial"/>
          <w:szCs w:val="20"/>
        </w:rPr>
        <w:t xml:space="preserve"> band if it were instead divided into 5 MHz blocks (denoted</w:t>
      </w:r>
      <w:r>
        <w:rPr>
          <w:rFonts w:cs="Arial"/>
          <w:szCs w:val="20"/>
        </w:rPr>
        <w:t xml:space="preserve"> here</w:t>
      </w:r>
      <w:r w:rsidRPr="00F52540">
        <w:rPr>
          <w:rFonts w:cs="Arial"/>
          <w:szCs w:val="20"/>
        </w:rPr>
        <w:t xml:space="preserve"> as Blocks 1</w:t>
      </w:r>
      <w:r w:rsidR="009732EE">
        <w:rPr>
          <w:rFonts w:cs="Arial"/>
          <w:szCs w:val="20"/>
        </w:rPr>
        <w:t>–</w:t>
      </w:r>
      <w:r w:rsidRPr="00F52540">
        <w:rPr>
          <w:rFonts w:cs="Arial"/>
          <w:szCs w:val="20"/>
        </w:rPr>
        <w:t xml:space="preserve">5) and what the potential technical issues associated with each block might be (there are no such issues with the base-transmit </w:t>
      </w:r>
      <w:r w:rsidR="000F4C2B">
        <w:rPr>
          <w:rFonts w:cs="Arial"/>
          <w:szCs w:val="20"/>
        </w:rPr>
        <w:t>segment</w:t>
      </w:r>
      <w:r w:rsidR="000F4C2B" w:rsidRPr="00F52540">
        <w:rPr>
          <w:rFonts w:cs="Arial"/>
          <w:szCs w:val="20"/>
        </w:rPr>
        <w:t xml:space="preserve"> </w:t>
      </w:r>
      <w:r w:rsidRPr="00F52540">
        <w:rPr>
          <w:rFonts w:cs="Arial"/>
          <w:szCs w:val="20"/>
        </w:rPr>
        <w:t xml:space="preserve">of the </w:t>
      </w:r>
      <w:r>
        <w:rPr>
          <w:rFonts w:cs="Arial"/>
          <w:szCs w:val="20"/>
        </w:rPr>
        <w:t>GSM</w:t>
      </w:r>
      <w:r w:rsidRPr="00F52540">
        <w:rPr>
          <w:rFonts w:cs="Arial"/>
          <w:szCs w:val="20"/>
        </w:rPr>
        <w:t xml:space="preserve"> band (935</w:t>
      </w:r>
      <w:r w:rsidR="009732EE">
        <w:rPr>
          <w:rFonts w:cs="Arial"/>
          <w:szCs w:val="20"/>
        </w:rPr>
        <w:t>–</w:t>
      </w:r>
      <w:r w:rsidRPr="00F52540">
        <w:rPr>
          <w:rFonts w:cs="Arial"/>
          <w:szCs w:val="20"/>
        </w:rPr>
        <w:t xml:space="preserve">960 MHz)). </w:t>
      </w:r>
    </w:p>
    <w:p w14:paraId="483D03EF" w14:textId="220DDE1A" w:rsidR="00D0759E" w:rsidRPr="00F52540" w:rsidRDefault="00D0759E" w:rsidP="00D0759E">
      <w:pPr>
        <w:rPr>
          <w:rFonts w:cs="Arial"/>
          <w:szCs w:val="20"/>
        </w:rPr>
      </w:pPr>
      <w:r w:rsidRPr="00F52540">
        <w:rPr>
          <w:rFonts w:cs="Arial"/>
          <w:szCs w:val="20"/>
        </w:rPr>
        <w:t>In Block 1</w:t>
      </w:r>
      <w:r>
        <w:rPr>
          <w:rFonts w:cs="Arial"/>
          <w:szCs w:val="20"/>
        </w:rPr>
        <w:t>,</w:t>
      </w:r>
      <w:r w:rsidRPr="00F52540">
        <w:rPr>
          <w:rFonts w:cs="Arial"/>
          <w:szCs w:val="20"/>
        </w:rPr>
        <w:t xml:space="preserve"> the impact of </w:t>
      </w:r>
      <w:r>
        <w:rPr>
          <w:rFonts w:cs="Arial"/>
          <w:szCs w:val="20"/>
        </w:rPr>
        <w:t>the self-imposed</w:t>
      </w:r>
      <w:r w:rsidRPr="00F52540">
        <w:rPr>
          <w:rFonts w:cs="Arial"/>
          <w:szCs w:val="20"/>
        </w:rPr>
        <w:t xml:space="preserve"> 1.6 MHz guard band on the possible deployment of 4G services would be </w:t>
      </w:r>
      <w:r>
        <w:rPr>
          <w:rFonts w:cs="Arial"/>
          <w:szCs w:val="20"/>
        </w:rPr>
        <w:t xml:space="preserve">significantly </w:t>
      </w:r>
      <w:r w:rsidRPr="00F52540">
        <w:rPr>
          <w:rFonts w:cs="Arial"/>
          <w:szCs w:val="20"/>
        </w:rPr>
        <w:t xml:space="preserve">amplified. It would no longer mean simply sacrificing some network capacity, as is currently the case, but would in fact preclude the deployment of a 5 MHz LTE channel in Block 1 (or a 10 MHz block </w:t>
      </w:r>
      <w:r>
        <w:rPr>
          <w:rFonts w:cs="Arial"/>
          <w:szCs w:val="20"/>
        </w:rPr>
        <w:t>across</w:t>
      </w:r>
      <w:r w:rsidRPr="00F52540">
        <w:rPr>
          <w:rFonts w:cs="Arial"/>
          <w:szCs w:val="20"/>
        </w:rPr>
        <w:t xml:space="preserve"> Blocks 1 and 2) altogether, without encroaching on the guard band and resulting in interference between the 850 </w:t>
      </w:r>
      <w:r>
        <w:rPr>
          <w:rFonts w:cs="Arial"/>
          <w:szCs w:val="20"/>
        </w:rPr>
        <w:t xml:space="preserve">MHz </w:t>
      </w:r>
      <w:r w:rsidRPr="00F52540">
        <w:rPr>
          <w:rFonts w:cs="Arial"/>
          <w:szCs w:val="20"/>
        </w:rPr>
        <w:t xml:space="preserve">and </w:t>
      </w:r>
      <w:r w:rsidR="007223C5">
        <w:rPr>
          <w:rFonts w:cs="Arial"/>
          <w:szCs w:val="20"/>
        </w:rPr>
        <w:t xml:space="preserve">900 MHz </w:t>
      </w:r>
      <w:r>
        <w:rPr>
          <w:rFonts w:cs="Arial"/>
          <w:szCs w:val="20"/>
        </w:rPr>
        <w:t>GSM</w:t>
      </w:r>
      <w:r w:rsidRPr="00F52540">
        <w:rPr>
          <w:rFonts w:cs="Arial"/>
          <w:szCs w:val="20"/>
        </w:rPr>
        <w:t xml:space="preserve"> bands. Thus</w:t>
      </w:r>
      <w:r w:rsidR="009732EE">
        <w:rPr>
          <w:rFonts w:cs="Arial"/>
          <w:szCs w:val="20"/>
        </w:rPr>
        <w:t>,</w:t>
      </w:r>
      <w:r w:rsidRPr="00F52540">
        <w:rPr>
          <w:rFonts w:cs="Arial"/>
          <w:szCs w:val="20"/>
        </w:rPr>
        <w:t xml:space="preserve"> the utility of Block 1 would be significantly degraded</w:t>
      </w:r>
      <w:r>
        <w:rPr>
          <w:rFonts w:cs="Arial"/>
          <w:szCs w:val="20"/>
        </w:rPr>
        <w:t>.</w:t>
      </w:r>
    </w:p>
    <w:p w14:paraId="67CCD31F" w14:textId="77777777" w:rsidR="00D0759E" w:rsidRPr="00F52540" w:rsidRDefault="00D0759E" w:rsidP="00D0759E">
      <w:pPr>
        <w:rPr>
          <w:rFonts w:cs="Arial"/>
          <w:szCs w:val="20"/>
        </w:rPr>
      </w:pPr>
      <w:r w:rsidRPr="00F52540">
        <w:rPr>
          <w:rFonts w:cs="Arial"/>
          <w:szCs w:val="20"/>
        </w:rPr>
        <w:t>A 3 MHz LTE channel could be deployed in Block 1, however this would fail to realise the intended efficiency gains of moving to a 5 MHz block plan, and would also remove the possibility of deploying a single 10 MHz channel in Blocks 1 and 2</w:t>
      </w:r>
      <w:r>
        <w:rPr>
          <w:rFonts w:cs="Arial"/>
          <w:szCs w:val="20"/>
        </w:rPr>
        <w:t xml:space="preserve"> (in any scenario where ownership of the two blocks is consolidated)</w:t>
      </w:r>
      <w:r w:rsidRPr="00F52540">
        <w:rPr>
          <w:rFonts w:cs="Arial"/>
          <w:szCs w:val="20"/>
        </w:rPr>
        <w:t>. For example, if an operator were to secure licen</w:t>
      </w:r>
      <w:r>
        <w:rPr>
          <w:rFonts w:cs="Arial"/>
          <w:szCs w:val="20"/>
        </w:rPr>
        <w:t>c</w:t>
      </w:r>
      <w:r w:rsidRPr="00F52540">
        <w:rPr>
          <w:rFonts w:cs="Arial"/>
          <w:szCs w:val="20"/>
        </w:rPr>
        <w:t xml:space="preserve">es for Blocks 1 and 2, they would only be able to deploy disparate, contiguous 3 and 5 MHz </w:t>
      </w:r>
      <w:r>
        <w:rPr>
          <w:rFonts w:cs="Arial"/>
          <w:szCs w:val="20"/>
        </w:rPr>
        <w:t xml:space="preserve">LTE </w:t>
      </w:r>
      <w:r w:rsidRPr="00F52540">
        <w:rPr>
          <w:rFonts w:cs="Arial"/>
          <w:szCs w:val="20"/>
        </w:rPr>
        <w:t xml:space="preserve">carriers, resulting in a reduction in both single channel throughput and the throughput advantages achieved from deploying larger </w:t>
      </w:r>
      <w:r>
        <w:rPr>
          <w:rFonts w:cs="Arial"/>
          <w:szCs w:val="20"/>
        </w:rPr>
        <w:t xml:space="preserve">LTE </w:t>
      </w:r>
      <w:r w:rsidRPr="00F52540">
        <w:rPr>
          <w:rFonts w:cs="Arial"/>
          <w:szCs w:val="20"/>
        </w:rPr>
        <w:t>carrier</w:t>
      </w:r>
      <w:r>
        <w:rPr>
          <w:rFonts w:cs="Arial"/>
          <w:szCs w:val="20"/>
        </w:rPr>
        <w:t xml:space="preserve"> bandwidths</w:t>
      </w:r>
      <w:r w:rsidRPr="00F52540">
        <w:rPr>
          <w:rFonts w:cs="Arial"/>
          <w:szCs w:val="20"/>
        </w:rPr>
        <w:t xml:space="preserve"> (noting that 3GPP standards currently restrict carrier aggregation to two </w:t>
      </w:r>
      <w:r>
        <w:rPr>
          <w:rFonts w:cs="Arial"/>
          <w:szCs w:val="20"/>
        </w:rPr>
        <w:t xml:space="preserve">LTE </w:t>
      </w:r>
      <w:r w:rsidRPr="00F52540">
        <w:rPr>
          <w:rFonts w:cs="Arial"/>
          <w:szCs w:val="20"/>
        </w:rPr>
        <w:t xml:space="preserve">carriers in disparate frequency bands). </w:t>
      </w:r>
    </w:p>
    <w:p w14:paraId="37CC2A4C" w14:textId="6E8CB370" w:rsidR="00D0759E" w:rsidRDefault="00D0759E" w:rsidP="00D0759E">
      <w:pPr>
        <w:rPr>
          <w:rFonts w:cs="Arial"/>
          <w:szCs w:val="20"/>
        </w:rPr>
      </w:pPr>
      <w:r w:rsidRPr="00F52540">
        <w:rPr>
          <w:rFonts w:cs="Arial"/>
          <w:szCs w:val="20"/>
        </w:rPr>
        <w:t xml:space="preserve">The proposal to eventually convert to a 5 MHz block plan in the </w:t>
      </w:r>
      <w:r w:rsidR="007223C5">
        <w:rPr>
          <w:rFonts w:cs="Arial"/>
          <w:szCs w:val="20"/>
        </w:rPr>
        <w:t xml:space="preserve">900 MHz </w:t>
      </w:r>
      <w:r>
        <w:rPr>
          <w:rFonts w:cs="Arial"/>
          <w:szCs w:val="20"/>
        </w:rPr>
        <w:t>GSM</w:t>
      </w:r>
      <w:r w:rsidRPr="00F52540">
        <w:rPr>
          <w:rFonts w:cs="Arial"/>
          <w:szCs w:val="20"/>
        </w:rPr>
        <w:t xml:space="preserve"> band was generally well received in responses to the </w:t>
      </w:r>
      <w:r w:rsidRPr="00F52540">
        <w:rPr>
          <w:rFonts w:cs="Arial"/>
          <w:i/>
          <w:szCs w:val="20"/>
        </w:rPr>
        <w:t xml:space="preserve">Future </w:t>
      </w:r>
      <w:r w:rsidR="009732EE">
        <w:rPr>
          <w:rFonts w:cs="Arial"/>
          <w:i/>
          <w:szCs w:val="20"/>
        </w:rPr>
        <w:t>o</w:t>
      </w:r>
      <w:r w:rsidRPr="00F52540">
        <w:rPr>
          <w:rFonts w:cs="Arial"/>
          <w:i/>
          <w:szCs w:val="20"/>
        </w:rPr>
        <w:t xml:space="preserve">ptions </w:t>
      </w:r>
      <w:r w:rsidRPr="00F52540">
        <w:rPr>
          <w:rFonts w:cs="Arial"/>
          <w:szCs w:val="20"/>
        </w:rPr>
        <w:t xml:space="preserve">paper. All three </w:t>
      </w:r>
      <w:r>
        <w:rPr>
          <w:rFonts w:cs="Arial"/>
          <w:szCs w:val="20"/>
        </w:rPr>
        <w:t>licensees</w:t>
      </w:r>
      <w:r w:rsidRPr="00F52540">
        <w:rPr>
          <w:rFonts w:cs="Arial"/>
          <w:szCs w:val="20"/>
        </w:rPr>
        <w:t xml:space="preserve"> responded favourably</w:t>
      </w:r>
      <w:r w:rsidR="009732EE">
        <w:rPr>
          <w:rFonts w:cs="Arial"/>
          <w:szCs w:val="20"/>
        </w:rPr>
        <w:t>,</w:t>
      </w:r>
      <w:r w:rsidRPr="00F52540">
        <w:rPr>
          <w:rFonts w:cs="Arial"/>
          <w:szCs w:val="20"/>
        </w:rPr>
        <w:t xml:space="preserve"> although there was concern raised about the implications on broader spectrum holdings below 1 GHz and the effects on competition. This, while a valid consideration, </w:t>
      </w:r>
      <w:r w:rsidR="000F4C2B">
        <w:rPr>
          <w:rFonts w:cs="Arial"/>
          <w:szCs w:val="20"/>
        </w:rPr>
        <w:t xml:space="preserve">is </w:t>
      </w:r>
      <w:r w:rsidR="005D383F">
        <w:rPr>
          <w:rFonts w:cs="Arial"/>
          <w:szCs w:val="20"/>
        </w:rPr>
        <w:t xml:space="preserve">a </w:t>
      </w:r>
      <w:r>
        <w:rPr>
          <w:rFonts w:cs="Arial"/>
          <w:szCs w:val="20"/>
        </w:rPr>
        <w:t xml:space="preserve">broader </w:t>
      </w:r>
      <w:r w:rsidR="005D383F">
        <w:rPr>
          <w:rFonts w:cs="Arial"/>
          <w:szCs w:val="20"/>
        </w:rPr>
        <w:t xml:space="preserve">issue </w:t>
      </w:r>
      <w:r w:rsidRPr="00F52540">
        <w:rPr>
          <w:rFonts w:cs="Arial"/>
          <w:szCs w:val="20"/>
        </w:rPr>
        <w:t xml:space="preserve">than the </w:t>
      </w:r>
      <w:r>
        <w:rPr>
          <w:rFonts w:cs="Arial"/>
          <w:szCs w:val="20"/>
        </w:rPr>
        <w:t xml:space="preserve">configuration of the </w:t>
      </w:r>
      <w:r w:rsidR="007223C5">
        <w:rPr>
          <w:rFonts w:cs="Arial"/>
          <w:szCs w:val="20"/>
        </w:rPr>
        <w:t xml:space="preserve">900 MHz </w:t>
      </w:r>
      <w:r>
        <w:rPr>
          <w:rFonts w:cs="Arial"/>
          <w:szCs w:val="20"/>
        </w:rPr>
        <w:t>GSM</w:t>
      </w:r>
      <w:r w:rsidRPr="00F52540">
        <w:rPr>
          <w:rFonts w:cs="Arial"/>
          <w:szCs w:val="20"/>
        </w:rPr>
        <w:t xml:space="preserve"> band in isolation.</w:t>
      </w:r>
    </w:p>
    <w:p w14:paraId="2E7F7DE0" w14:textId="77777777" w:rsidR="00D0759E" w:rsidRPr="00D0759E" w:rsidRDefault="00D0759E" w:rsidP="00D0759E">
      <w:pPr>
        <w:pStyle w:val="Heading2"/>
        <w:numPr>
          <w:ilvl w:val="1"/>
          <w:numId w:val="33"/>
        </w:numPr>
        <w:ind w:left="709"/>
      </w:pPr>
      <w:bookmarkStart w:id="33" w:name="_Ref433971565"/>
      <w:bookmarkStart w:id="34" w:name="_Toc434999457"/>
      <w:r w:rsidRPr="00D0759E">
        <w:t>Proposal to downshift the 850 MHz band</w:t>
      </w:r>
      <w:bookmarkEnd w:id="33"/>
      <w:bookmarkEnd w:id="34"/>
    </w:p>
    <w:p w14:paraId="6C0CD32A" w14:textId="7E56650D" w:rsidR="00D0759E" w:rsidRPr="00D0759E" w:rsidRDefault="00D0759E" w:rsidP="00D0759E">
      <w:pPr>
        <w:rPr>
          <w:rFonts w:cs="Arial"/>
          <w:szCs w:val="20"/>
        </w:rPr>
      </w:pPr>
      <w:r w:rsidRPr="00D0759E">
        <w:rPr>
          <w:rFonts w:cs="Arial"/>
          <w:szCs w:val="20"/>
        </w:rPr>
        <w:t>The 850 MHz band is internationally standardised as ‘Band 5’ in 3GPP standards for UMT</w:t>
      </w:r>
      <w:r w:rsidR="007223C5">
        <w:rPr>
          <w:rFonts w:cs="Arial"/>
          <w:szCs w:val="20"/>
        </w:rPr>
        <w:t>S</w:t>
      </w:r>
      <w:r w:rsidRPr="00D0759E">
        <w:rPr>
          <w:rFonts w:cs="Arial"/>
          <w:szCs w:val="20"/>
        </w:rPr>
        <w:t xml:space="preserve"> and LTE operation in the frequency range 824</w:t>
      </w:r>
      <w:r w:rsidR="009732EE">
        <w:rPr>
          <w:rFonts w:cs="Arial"/>
          <w:szCs w:val="20"/>
        </w:rPr>
        <w:t>–</w:t>
      </w:r>
      <w:r w:rsidRPr="00D0759E">
        <w:rPr>
          <w:rFonts w:cs="Arial"/>
          <w:szCs w:val="20"/>
        </w:rPr>
        <w:t>849/869</w:t>
      </w:r>
      <w:r w:rsidR="009732EE">
        <w:rPr>
          <w:rFonts w:cs="Arial"/>
          <w:szCs w:val="20"/>
        </w:rPr>
        <w:t>–</w:t>
      </w:r>
      <w:r w:rsidRPr="00D0759E">
        <w:rPr>
          <w:rFonts w:cs="Arial"/>
          <w:szCs w:val="20"/>
        </w:rPr>
        <w:t>894 MHz. For historic reasons, in Australia this band has been operated in the 825</w:t>
      </w:r>
      <w:r w:rsidR="009732EE">
        <w:rPr>
          <w:rFonts w:cs="Arial"/>
          <w:szCs w:val="20"/>
        </w:rPr>
        <w:t>–</w:t>
      </w:r>
      <w:r w:rsidRPr="00D0759E">
        <w:rPr>
          <w:rFonts w:cs="Arial"/>
          <w:szCs w:val="20"/>
        </w:rPr>
        <w:t>845/870</w:t>
      </w:r>
      <w:r w:rsidR="009732EE">
        <w:rPr>
          <w:rFonts w:cs="Arial"/>
          <w:szCs w:val="20"/>
        </w:rPr>
        <w:t>–</w:t>
      </w:r>
      <w:r w:rsidRPr="00D0759E">
        <w:rPr>
          <w:rFonts w:cs="Arial"/>
          <w:szCs w:val="20"/>
        </w:rPr>
        <w:t>890 MHz range, which currently accommodates spectrum-licensed 3</w:t>
      </w:r>
      <w:r w:rsidR="007223C5">
        <w:rPr>
          <w:rFonts w:cs="Arial"/>
          <w:szCs w:val="20"/>
        </w:rPr>
        <w:t xml:space="preserve">G and </w:t>
      </w:r>
      <w:r w:rsidRPr="00D0759E">
        <w:rPr>
          <w:rFonts w:cs="Arial"/>
          <w:szCs w:val="20"/>
        </w:rPr>
        <w:t xml:space="preserve">4G services operated by VHA and Telstra. Figure 4.4.1 shows the current licensing arrangements for the frequency-adjacent base transmit and base receive segments of the 850 MHz and </w:t>
      </w:r>
      <w:r w:rsidR="007223C5">
        <w:rPr>
          <w:rFonts w:cs="Arial"/>
          <w:szCs w:val="20"/>
        </w:rPr>
        <w:t xml:space="preserve">900 MHz </w:t>
      </w:r>
      <w:r w:rsidRPr="00D0759E">
        <w:rPr>
          <w:rFonts w:cs="Arial"/>
          <w:szCs w:val="20"/>
        </w:rPr>
        <w:t>GSM bands respectively (associated base receive and base transmit frequencies can be extrapolated).</w:t>
      </w:r>
    </w:p>
    <w:p w14:paraId="430DD577" w14:textId="77777777" w:rsidR="00D84922" w:rsidRPr="00055F7A" w:rsidRDefault="00D84922" w:rsidP="00D84922">
      <w:pPr>
        <w:pStyle w:val="ACMAFigureHeader"/>
        <w:keepNext/>
        <w:keepLines/>
        <w:numPr>
          <w:ilvl w:val="0"/>
          <w:numId w:val="0"/>
        </w:numPr>
        <w:tabs>
          <w:tab w:val="left" w:pos="1418"/>
        </w:tabs>
        <w:ind w:left="1418" w:hanging="1418"/>
      </w:pPr>
      <w:r>
        <w:t>Figure 4.4.1:</w:t>
      </w:r>
      <w:r>
        <w:tab/>
        <w:t>Current licensing arrangements for the 850 MHz base transmit and ‘GSM’ band base receive segments</w:t>
      </w:r>
    </w:p>
    <w:p w14:paraId="04C2FC98" w14:textId="77777777" w:rsidR="00D0759E" w:rsidRDefault="00D0759E" w:rsidP="00AC7321">
      <w:pPr>
        <w:spacing w:after="0"/>
      </w:pPr>
      <w:r w:rsidRPr="002D66F9">
        <w:rPr>
          <w:noProof/>
        </w:rPr>
        <w:drawing>
          <wp:inline distT="0" distB="0" distL="0" distR="0" wp14:anchorId="491DAEE7" wp14:editId="67641213">
            <wp:extent cx="5355710" cy="2080442"/>
            <wp:effectExtent l="0" t="0" r="0" b="0"/>
            <wp:docPr id="14" name="Picture 14" descr="Current licensing arrangements for the 850 MHz base transmit and ‘GSM’ band base receive seg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5373871" cy="2087497"/>
                    </a:xfrm>
                    <a:prstGeom prst="rect">
                      <a:avLst/>
                    </a:prstGeom>
                  </pic:spPr>
                </pic:pic>
              </a:graphicData>
            </a:graphic>
          </wp:inline>
        </w:drawing>
      </w:r>
    </w:p>
    <w:p w14:paraId="4760F5D6" w14:textId="77777777" w:rsidR="00D84922" w:rsidRDefault="00D84922" w:rsidP="00AC7321">
      <w:pPr>
        <w:pStyle w:val="ACMASpaceaftertable"/>
      </w:pPr>
    </w:p>
    <w:p w14:paraId="6DC3E96F" w14:textId="7BD9B976" w:rsidR="00D0759E" w:rsidRPr="00F52540" w:rsidRDefault="00D0759E" w:rsidP="00A47BEA">
      <w:pPr>
        <w:spacing w:after="80"/>
        <w:rPr>
          <w:rFonts w:cs="Arial"/>
          <w:szCs w:val="20"/>
        </w:rPr>
      </w:pPr>
      <w:r w:rsidRPr="00F52540">
        <w:rPr>
          <w:rFonts w:cs="Arial"/>
          <w:szCs w:val="20"/>
        </w:rPr>
        <w:t xml:space="preserve">In the long term, the ACMA intends to shift the boundaries of </w:t>
      </w:r>
      <w:r>
        <w:rPr>
          <w:rFonts w:cs="Arial"/>
          <w:szCs w:val="20"/>
        </w:rPr>
        <w:t>the 850 MHz</w:t>
      </w:r>
      <w:r w:rsidRPr="00F52540">
        <w:rPr>
          <w:rFonts w:cs="Arial"/>
          <w:szCs w:val="20"/>
        </w:rPr>
        <w:t xml:space="preserve"> band down by 1</w:t>
      </w:r>
      <w:r>
        <w:rPr>
          <w:rFonts w:cs="Arial"/>
          <w:szCs w:val="20"/>
        </w:rPr>
        <w:t> </w:t>
      </w:r>
      <w:r w:rsidRPr="00F52540">
        <w:rPr>
          <w:rFonts w:cs="Arial"/>
          <w:szCs w:val="20"/>
        </w:rPr>
        <w:t xml:space="preserve">MHz, so that </w:t>
      </w:r>
      <w:r>
        <w:rPr>
          <w:rFonts w:cs="Arial"/>
          <w:szCs w:val="20"/>
        </w:rPr>
        <w:t>it</w:t>
      </w:r>
      <w:r w:rsidRPr="00F52540">
        <w:rPr>
          <w:rFonts w:cs="Arial"/>
          <w:szCs w:val="20"/>
        </w:rPr>
        <w:t xml:space="preserve"> operates in 824</w:t>
      </w:r>
      <w:r w:rsidR="009732EE">
        <w:rPr>
          <w:rFonts w:cs="Arial"/>
          <w:szCs w:val="20"/>
        </w:rPr>
        <w:t>–</w:t>
      </w:r>
      <w:r w:rsidRPr="00F52540">
        <w:rPr>
          <w:rFonts w:cs="Arial"/>
          <w:szCs w:val="20"/>
        </w:rPr>
        <w:t>844/869</w:t>
      </w:r>
      <w:r w:rsidR="009732EE">
        <w:rPr>
          <w:rFonts w:cs="Arial"/>
          <w:szCs w:val="20"/>
        </w:rPr>
        <w:t>–</w:t>
      </w:r>
      <w:r w:rsidRPr="00F52540">
        <w:rPr>
          <w:rFonts w:cs="Arial"/>
          <w:szCs w:val="20"/>
        </w:rPr>
        <w:t>889 MHz band, in order to:</w:t>
      </w:r>
    </w:p>
    <w:p w14:paraId="0FDF273C" w14:textId="6AACDB4D" w:rsidR="00D0759E" w:rsidRPr="00A47BEA" w:rsidRDefault="007223C5" w:rsidP="00A47BEA">
      <w:pPr>
        <w:pStyle w:val="ListBullet"/>
        <w:numPr>
          <w:ilvl w:val="0"/>
          <w:numId w:val="1"/>
        </w:numPr>
        <w:rPr>
          <w:rFonts w:cs="Arial"/>
          <w:szCs w:val="20"/>
        </w:rPr>
      </w:pPr>
      <w:r>
        <w:rPr>
          <w:rFonts w:cs="Arial"/>
          <w:szCs w:val="20"/>
        </w:rPr>
        <w:t>r</w:t>
      </w:r>
      <w:r w:rsidR="00D0759E" w:rsidRPr="00A47BEA">
        <w:rPr>
          <w:rFonts w:cs="Arial"/>
          <w:szCs w:val="20"/>
        </w:rPr>
        <w:t xml:space="preserve">ealign with international standards, which may increase the availability of compatible devices for operation </w:t>
      </w:r>
      <w:r w:rsidR="005A48C1" w:rsidRPr="00A47BEA">
        <w:rPr>
          <w:rFonts w:cs="Arial"/>
          <w:szCs w:val="20"/>
        </w:rPr>
        <w:t>i</w:t>
      </w:r>
      <w:r w:rsidR="005A48C1">
        <w:rPr>
          <w:rFonts w:cs="Arial"/>
          <w:szCs w:val="20"/>
        </w:rPr>
        <w:t>n</w:t>
      </w:r>
      <w:r w:rsidR="005A48C1" w:rsidRPr="00A47BEA">
        <w:rPr>
          <w:rFonts w:cs="Arial"/>
          <w:szCs w:val="20"/>
        </w:rPr>
        <w:t xml:space="preserve"> </w:t>
      </w:r>
      <w:r w:rsidR="00D0759E" w:rsidRPr="00A47BEA">
        <w:rPr>
          <w:rFonts w:cs="Arial"/>
          <w:szCs w:val="20"/>
        </w:rPr>
        <w:t xml:space="preserve">some parts of the 800 MHz expansion band </w:t>
      </w:r>
      <w:r>
        <w:rPr>
          <w:rFonts w:cs="Arial"/>
          <w:szCs w:val="20"/>
        </w:rPr>
        <w:t xml:space="preserve">and </w:t>
      </w:r>
      <w:r w:rsidR="00D0759E" w:rsidRPr="00A47BEA">
        <w:rPr>
          <w:rFonts w:cs="Arial"/>
          <w:szCs w:val="20"/>
        </w:rPr>
        <w:t>improve economies-of-scale in the longer term</w:t>
      </w:r>
    </w:p>
    <w:p w14:paraId="7EF0EF73" w14:textId="0466077F" w:rsidR="00D0759E" w:rsidRPr="00A47BEA" w:rsidRDefault="007223C5" w:rsidP="00A47BEA">
      <w:pPr>
        <w:pStyle w:val="ListBullet"/>
        <w:numPr>
          <w:ilvl w:val="0"/>
          <w:numId w:val="1"/>
        </w:numPr>
        <w:rPr>
          <w:rFonts w:cs="Arial"/>
          <w:szCs w:val="20"/>
        </w:rPr>
      </w:pPr>
      <w:r>
        <w:rPr>
          <w:rFonts w:cs="Arial"/>
          <w:szCs w:val="20"/>
        </w:rPr>
        <w:t>e</w:t>
      </w:r>
      <w:r w:rsidR="00D0759E" w:rsidRPr="00A47BEA">
        <w:rPr>
          <w:rFonts w:cs="Arial"/>
          <w:szCs w:val="20"/>
        </w:rPr>
        <w:t>nsure that the lower-adjacent 850 MHz expansion band to be released as a result of this review (as described in Chapter 3) is compliant with international standards</w:t>
      </w:r>
    </w:p>
    <w:p w14:paraId="7C1F19FE" w14:textId="593A438A" w:rsidR="00D0759E" w:rsidRPr="00A47BEA" w:rsidRDefault="007223C5" w:rsidP="00A47BEA">
      <w:pPr>
        <w:pStyle w:val="ListBullet"/>
        <w:numPr>
          <w:ilvl w:val="0"/>
          <w:numId w:val="1"/>
        </w:numPr>
        <w:spacing w:after="240"/>
        <w:rPr>
          <w:rFonts w:cs="Arial"/>
          <w:szCs w:val="20"/>
        </w:rPr>
      </w:pPr>
      <w:r>
        <w:rPr>
          <w:rFonts w:cs="Arial"/>
          <w:szCs w:val="20"/>
        </w:rPr>
        <w:t>i</w:t>
      </w:r>
      <w:r w:rsidR="00D0759E" w:rsidRPr="00A47BEA">
        <w:rPr>
          <w:rFonts w:cs="Arial"/>
          <w:szCs w:val="20"/>
        </w:rPr>
        <w:t xml:space="preserve">ntroduce a guard band between the 850 MHz and </w:t>
      </w:r>
      <w:r>
        <w:rPr>
          <w:rFonts w:cs="Arial"/>
          <w:szCs w:val="20"/>
        </w:rPr>
        <w:t xml:space="preserve">900 MHz </w:t>
      </w:r>
      <w:r w:rsidR="00D0759E" w:rsidRPr="00A47BEA">
        <w:rPr>
          <w:rFonts w:cs="Arial"/>
          <w:szCs w:val="20"/>
        </w:rPr>
        <w:t>GSM bands at 889</w:t>
      </w:r>
      <w:r w:rsidR="009732EE">
        <w:rPr>
          <w:rFonts w:cs="Arial"/>
          <w:szCs w:val="20"/>
        </w:rPr>
        <w:t>–</w:t>
      </w:r>
      <w:r w:rsidR="00D0759E" w:rsidRPr="00A47BEA">
        <w:rPr>
          <w:rFonts w:cs="Arial"/>
          <w:szCs w:val="20"/>
        </w:rPr>
        <w:t xml:space="preserve">890 MHz, which will help alleviate the coexistence issues described in </w:t>
      </w:r>
      <w:r>
        <w:rPr>
          <w:rFonts w:cs="Arial"/>
          <w:szCs w:val="20"/>
        </w:rPr>
        <w:t xml:space="preserve">Section </w:t>
      </w:r>
      <w:r w:rsidR="00D0759E" w:rsidRPr="00A47BEA">
        <w:rPr>
          <w:rFonts w:cs="Arial"/>
          <w:szCs w:val="20"/>
        </w:rPr>
        <w:t>4.2 and maximise the efficiency of the band by increasing the amount of spectrum capable of providing 4G services.</w:t>
      </w:r>
    </w:p>
    <w:p w14:paraId="503511FE" w14:textId="2B3DEC03" w:rsidR="00D0759E" w:rsidRDefault="00D0759E" w:rsidP="00D0759E">
      <w:pPr>
        <w:rPr>
          <w:rFonts w:cs="Arial"/>
        </w:rPr>
      </w:pPr>
      <w:r w:rsidRPr="00F52540">
        <w:rPr>
          <w:rFonts w:cs="Arial"/>
        </w:rPr>
        <w:t xml:space="preserve">Responses to the </w:t>
      </w:r>
      <w:r w:rsidRPr="00FA6913">
        <w:rPr>
          <w:rFonts w:cs="Arial"/>
          <w:i/>
        </w:rPr>
        <w:t xml:space="preserve">Future </w:t>
      </w:r>
      <w:r w:rsidR="009732EE">
        <w:rPr>
          <w:rFonts w:cs="Arial"/>
          <w:i/>
        </w:rPr>
        <w:t>o</w:t>
      </w:r>
      <w:r w:rsidRPr="00FA6913">
        <w:rPr>
          <w:rFonts w:cs="Arial"/>
          <w:i/>
        </w:rPr>
        <w:t>ptions</w:t>
      </w:r>
      <w:r w:rsidRPr="00F52540">
        <w:rPr>
          <w:rFonts w:cs="Arial"/>
        </w:rPr>
        <w:t xml:space="preserve"> paper on this proposal </w:t>
      </w:r>
      <w:r>
        <w:rPr>
          <w:rFonts w:cs="Arial"/>
        </w:rPr>
        <w:t xml:space="preserve">recognised the differing impacts of the move on the current licensees in the 850 MHz and </w:t>
      </w:r>
      <w:r w:rsidR="007223C5">
        <w:rPr>
          <w:rFonts w:cs="Arial"/>
        </w:rPr>
        <w:t xml:space="preserve">900 MHz </w:t>
      </w:r>
      <w:r>
        <w:rPr>
          <w:rFonts w:cs="Arial"/>
        </w:rPr>
        <w:t>GSM bands</w:t>
      </w:r>
      <w:r w:rsidRPr="00F52540">
        <w:rPr>
          <w:rFonts w:cs="Arial"/>
        </w:rPr>
        <w:t xml:space="preserve">. </w:t>
      </w:r>
      <w:r>
        <w:rPr>
          <w:rFonts w:cs="Arial"/>
        </w:rPr>
        <w:t>One carrier was of the view that it would need to occur to ensure the utility of the lowest 5 MHz block in the 900 MHz band. While not objecting to the proposal, another carrier was concerned about the potential implementation costs that might be incurred as a result.</w:t>
      </w:r>
      <w:r w:rsidRPr="00F52540">
        <w:rPr>
          <w:rFonts w:cs="Arial"/>
        </w:rPr>
        <w:t xml:space="preserve"> </w:t>
      </w:r>
      <w:r>
        <w:rPr>
          <w:rFonts w:cs="Arial"/>
        </w:rPr>
        <w:t xml:space="preserve">The ACMA notes that the common interest of government, the mobile carriers and their customers in maximising the efficient configuration and exploitation of existing internationally harmonised LTE allocations in both 850 MHz and </w:t>
      </w:r>
      <w:r w:rsidR="007223C5">
        <w:rPr>
          <w:rFonts w:cs="Arial"/>
        </w:rPr>
        <w:t xml:space="preserve">900 MHz </w:t>
      </w:r>
      <w:r>
        <w:rPr>
          <w:rFonts w:cs="Arial"/>
        </w:rPr>
        <w:t xml:space="preserve">GSM bands, is not in dispute. </w:t>
      </w:r>
    </w:p>
    <w:p w14:paraId="1F002CB2" w14:textId="77777777" w:rsidR="00D0759E" w:rsidRPr="00F52540" w:rsidRDefault="00D0759E" w:rsidP="00D0759E">
      <w:pPr>
        <w:pStyle w:val="Heading2"/>
        <w:numPr>
          <w:ilvl w:val="1"/>
          <w:numId w:val="33"/>
        </w:numPr>
        <w:ind w:left="709"/>
      </w:pPr>
      <w:bookmarkStart w:id="35" w:name="_Toc434999458"/>
      <w:r>
        <w:t>Way forward</w:t>
      </w:r>
      <w:bookmarkEnd w:id="35"/>
    </w:p>
    <w:p w14:paraId="64BF5FF6" w14:textId="2CEF139D" w:rsidR="00D0759E" w:rsidRDefault="00D0759E" w:rsidP="00D0759E">
      <w:pPr>
        <w:rPr>
          <w:rFonts w:cs="Arial"/>
        </w:rPr>
      </w:pPr>
      <w:r w:rsidRPr="00F52540">
        <w:rPr>
          <w:rFonts w:cs="Arial"/>
        </w:rPr>
        <w:t>The ACMA would like to see the 1 MHz shift brought into effect within a time</w:t>
      </w:r>
      <w:r w:rsidR="009732EE">
        <w:rPr>
          <w:rFonts w:cs="Arial"/>
        </w:rPr>
        <w:t xml:space="preserve"> </w:t>
      </w:r>
      <w:r w:rsidRPr="00F52540">
        <w:rPr>
          <w:rFonts w:cs="Arial"/>
        </w:rPr>
        <w:t xml:space="preserve">frame that maximises the utility of Block 1 of the replanned </w:t>
      </w:r>
      <w:r w:rsidR="007223C5">
        <w:rPr>
          <w:rFonts w:cs="Arial"/>
        </w:rPr>
        <w:t xml:space="preserve">900 MHz </w:t>
      </w:r>
      <w:r>
        <w:rPr>
          <w:rFonts w:cs="Arial"/>
        </w:rPr>
        <w:t>GSM</w:t>
      </w:r>
      <w:r w:rsidRPr="00F52540">
        <w:rPr>
          <w:rFonts w:cs="Arial"/>
        </w:rPr>
        <w:t xml:space="preserve"> band, thereby making the most efficient use of spectrum available for mobile broadband. However, spectrum licen</w:t>
      </w:r>
      <w:r>
        <w:rPr>
          <w:rFonts w:cs="Arial"/>
        </w:rPr>
        <w:t>c</w:t>
      </w:r>
      <w:r w:rsidRPr="00F52540">
        <w:rPr>
          <w:rFonts w:cs="Arial"/>
        </w:rPr>
        <w:t xml:space="preserve">es for the 850 MHz band were renewed in 2013 and are </w:t>
      </w:r>
      <w:r>
        <w:rPr>
          <w:rFonts w:cs="Arial"/>
        </w:rPr>
        <w:t xml:space="preserve">not </w:t>
      </w:r>
      <w:r w:rsidRPr="00F52540">
        <w:rPr>
          <w:rFonts w:cs="Arial"/>
        </w:rPr>
        <w:t xml:space="preserve">due for expiry </w:t>
      </w:r>
      <w:r>
        <w:rPr>
          <w:rFonts w:cs="Arial"/>
        </w:rPr>
        <w:t>until</w:t>
      </w:r>
      <w:r w:rsidRPr="00F52540">
        <w:rPr>
          <w:rFonts w:cs="Arial"/>
        </w:rPr>
        <w:t xml:space="preserve"> 2028</w:t>
      </w:r>
      <w:r>
        <w:rPr>
          <w:rFonts w:cs="Arial"/>
        </w:rPr>
        <w:t xml:space="preserve">. </w:t>
      </w:r>
    </w:p>
    <w:p w14:paraId="1CD13C28" w14:textId="77777777" w:rsidR="007E37A5" w:rsidRDefault="00D0759E" w:rsidP="00DA4657">
      <w:pPr>
        <w:rPr>
          <w:rFonts w:cs="Arial"/>
        </w:rPr>
      </w:pPr>
      <w:r>
        <w:rPr>
          <w:rFonts w:cs="Arial"/>
        </w:rPr>
        <w:t xml:space="preserve">Instead, the ACMA will work with government and industry stakeholders to identify potential options to bring about this change voluntarily and for the mutual benefit for all involved stakeholders. A separate consultation process </w:t>
      </w:r>
      <w:r w:rsidR="007223C5">
        <w:rPr>
          <w:rFonts w:cs="Arial"/>
        </w:rPr>
        <w:t xml:space="preserve">(or processes) </w:t>
      </w:r>
      <w:r>
        <w:rPr>
          <w:rFonts w:cs="Arial"/>
        </w:rPr>
        <w:t xml:space="preserve">will be undertaken to work through these options and to propose potential allocation methodologies for a replanned </w:t>
      </w:r>
      <w:r w:rsidR="007223C5">
        <w:rPr>
          <w:rFonts w:cs="Arial"/>
        </w:rPr>
        <w:t xml:space="preserve">900 MHz </w:t>
      </w:r>
      <w:r>
        <w:rPr>
          <w:rFonts w:cs="Arial"/>
        </w:rPr>
        <w:t xml:space="preserve">GSM band. </w:t>
      </w:r>
    </w:p>
    <w:p w14:paraId="21FD9191" w14:textId="77777777" w:rsidR="00DA4657" w:rsidRDefault="00DA4657" w:rsidP="00DA4657">
      <w:pPr>
        <w:sectPr w:rsidR="00DA4657" w:rsidSect="00FB2EA1">
          <w:pgSz w:w="11906" w:h="16838" w:code="9"/>
          <w:pgMar w:top="1945" w:right="3101" w:bottom="1134" w:left="1134" w:header="709" w:footer="119" w:gutter="0"/>
          <w:cols w:space="708"/>
          <w:docGrid w:linePitch="360"/>
        </w:sectPr>
      </w:pPr>
    </w:p>
    <w:p w14:paraId="17C622A6" w14:textId="35AEA1BF" w:rsidR="00DA4657" w:rsidRDefault="00DA4657" w:rsidP="00DA4657">
      <w:pPr>
        <w:pStyle w:val="Heading1"/>
      </w:pPr>
      <w:bookmarkStart w:id="36" w:name="_Toc434999459"/>
      <w:r>
        <w:t>Attachment 1</w:t>
      </w:r>
      <w:r w:rsidR="009732EE">
        <w:t>—</w:t>
      </w:r>
      <w:r>
        <w:t xml:space="preserve">Legislative and </w:t>
      </w:r>
      <w:r w:rsidR="009732EE">
        <w:t>p</w:t>
      </w:r>
      <w:r>
        <w:t xml:space="preserve">olicy </w:t>
      </w:r>
      <w:r w:rsidR="009732EE">
        <w:t>f</w:t>
      </w:r>
      <w:r>
        <w:t>ramework: Relevant extracts</w:t>
      </w:r>
      <w:bookmarkEnd w:id="36"/>
    </w:p>
    <w:p w14:paraId="272BEBE9" w14:textId="77777777" w:rsidR="00DA4657" w:rsidRDefault="00DA4657" w:rsidP="00DA4657">
      <w:pPr>
        <w:pStyle w:val="Heading2"/>
      </w:pPr>
      <w:bookmarkStart w:id="37" w:name="_Toc434999460"/>
      <w:r>
        <w:t xml:space="preserve">The Object of the </w:t>
      </w:r>
      <w:r w:rsidRPr="00AC7321">
        <w:rPr>
          <w:i/>
        </w:rPr>
        <w:t>Radiocommunications Act 1992</w:t>
      </w:r>
      <w:bookmarkEnd w:id="37"/>
    </w:p>
    <w:p w14:paraId="5B06068F" w14:textId="77777777" w:rsidR="00DA4657" w:rsidRPr="00D432DC" w:rsidRDefault="00DA4657" w:rsidP="00A47BEA">
      <w:pPr>
        <w:keepNext/>
        <w:spacing w:after="80"/>
        <w:rPr>
          <w:rFonts w:cs="Arial"/>
        </w:rPr>
      </w:pPr>
      <w:r w:rsidRPr="00D432DC">
        <w:rPr>
          <w:rFonts w:cs="Arial"/>
        </w:rPr>
        <w:t xml:space="preserve">Section 9 of the </w:t>
      </w:r>
      <w:r w:rsidRPr="00D432DC">
        <w:rPr>
          <w:rFonts w:cs="Arial"/>
          <w:i/>
        </w:rPr>
        <w:t>Australian Communications and Media Authority Act 2005</w:t>
      </w:r>
      <w:r w:rsidRPr="00D432DC">
        <w:rPr>
          <w:rFonts w:cs="Arial"/>
        </w:rPr>
        <w:t xml:space="preserve"> (the ACMA Act) sets out the spectrum management functions of the ACMA including:</w:t>
      </w:r>
    </w:p>
    <w:p w14:paraId="11368FA4" w14:textId="77777777" w:rsidR="00DA4657" w:rsidRPr="00A47BEA" w:rsidRDefault="00DA4657" w:rsidP="00A47BEA">
      <w:pPr>
        <w:pStyle w:val="ListBullet"/>
        <w:numPr>
          <w:ilvl w:val="0"/>
          <w:numId w:val="1"/>
        </w:numPr>
        <w:rPr>
          <w:rFonts w:cs="Arial"/>
          <w:szCs w:val="20"/>
        </w:rPr>
      </w:pPr>
      <w:r w:rsidRPr="00A47BEA">
        <w:rPr>
          <w:rFonts w:cs="Arial"/>
          <w:szCs w:val="20"/>
        </w:rPr>
        <w:t>to manage the radiofrequency spectrum in accordance with the Radiocommunications Act</w:t>
      </w:r>
    </w:p>
    <w:p w14:paraId="75314B6F"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t>to advise and assist the radiocommunications community.</w:t>
      </w:r>
    </w:p>
    <w:p w14:paraId="7F27DEC0" w14:textId="77777777" w:rsidR="00DA4657" w:rsidRPr="00D432DC" w:rsidRDefault="00DA4657" w:rsidP="00A47BEA">
      <w:pPr>
        <w:spacing w:after="80"/>
        <w:rPr>
          <w:rFonts w:cs="Arial"/>
        </w:rPr>
      </w:pPr>
      <w:r w:rsidRPr="00D432DC">
        <w:rPr>
          <w:rFonts w:cs="Arial"/>
        </w:rPr>
        <w:t>Consistent with the spectrum management functions set out in the ACMA Act, the object of the Radiocommunications Act</w:t>
      </w:r>
      <w:r w:rsidRPr="00D432DC">
        <w:rPr>
          <w:rFonts w:cs="Arial"/>
          <w:i/>
        </w:rPr>
        <w:t xml:space="preserve"> </w:t>
      </w:r>
      <w:r w:rsidRPr="00D432DC">
        <w:rPr>
          <w:rFonts w:cs="Arial"/>
        </w:rPr>
        <w:t>is to provide for management of the radiofrequency spectrum to achieve a number of goals, including to:</w:t>
      </w:r>
      <w:r w:rsidRPr="00D432DC">
        <w:rPr>
          <w:rStyle w:val="FootnoteReference"/>
          <w:rFonts w:cs="Arial"/>
          <w:color w:val="000000"/>
          <w:szCs w:val="20"/>
        </w:rPr>
        <w:footnoteReference w:id="37"/>
      </w:r>
    </w:p>
    <w:p w14:paraId="37996EA7" w14:textId="77777777" w:rsidR="00DA4657" w:rsidRPr="00A47BEA" w:rsidRDefault="00DA4657" w:rsidP="00A47BEA">
      <w:pPr>
        <w:pStyle w:val="ListBullet"/>
        <w:numPr>
          <w:ilvl w:val="0"/>
          <w:numId w:val="1"/>
        </w:numPr>
        <w:rPr>
          <w:rFonts w:cs="Arial"/>
          <w:szCs w:val="20"/>
        </w:rPr>
      </w:pPr>
      <w:r w:rsidRPr="00A47BEA">
        <w:rPr>
          <w:rFonts w:cs="Arial"/>
          <w:szCs w:val="20"/>
        </w:rPr>
        <w:t>maximise, by ensuring the efficient allocation and use of the spectrum, the overall public benefit derived from using the radiofrequency spectrum</w:t>
      </w:r>
    </w:p>
    <w:p w14:paraId="1436BCBC" w14:textId="77777777" w:rsidR="00DA4657" w:rsidRPr="00A47BEA" w:rsidRDefault="00DA4657" w:rsidP="00A47BEA">
      <w:pPr>
        <w:pStyle w:val="ListBullet"/>
        <w:numPr>
          <w:ilvl w:val="0"/>
          <w:numId w:val="1"/>
        </w:numPr>
        <w:rPr>
          <w:rFonts w:cs="Arial"/>
          <w:szCs w:val="20"/>
        </w:rPr>
      </w:pPr>
      <w:r w:rsidRPr="00A47BEA">
        <w:rPr>
          <w:rFonts w:cs="Arial"/>
          <w:szCs w:val="20"/>
        </w:rPr>
        <w:t>make adequate provision of the spectrum:</w:t>
      </w:r>
    </w:p>
    <w:p w14:paraId="12F33764" w14:textId="77777777" w:rsidR="00DA4657" w:rsidRPr="00A47BEA" w:rsidRDefault="00DA4657" w:rsidP="00A47BEA">
      <w:pPr>
        <w:pStyle w:val="ListBullet"/>
        <w:numPr>
          <w:ilvl w:val="0"/>
          <w:numId w:val="1"/>
        </w:numPr>
        <w:tabs>
          <w:tab w:val="clear" w:pos="295"/>
          <w:tab w:val="num" w:pos="567"/>
        </w:tabs>
        <w:ind w:left="567"/>
        <w:rPr>
          <w:rFonts w:cs="Arial"/>
          <w:szCs w:val="20"/>
        </w:rPr>
      </w:pPr>
      <w:r w:rsidRPr="00A47BEA">
        <w:rPr>
          <w:rFonts w:cs="Arial"/>
          <w:szCs w:val="20"/>
        </w:rPr>
        <w:t>for use by agencies involved in the defence or national security of Australia, law enforcement or the provision of emergency services</w:t>
      </w:r>
    </w:p>
    <w:p w14:paraId="17A0A88F" w14:textId="77777777" w:rsidR="00DA4657" w:rsidRPr="00A47BEA" w:rsidRDefault="00DA4657" w:rsidP="00A47BEA">
      <w:pPr>
        <w:pStyle w:val="ListBullet"/>
        <w:numPr>
          <w:ilvl w:val="0"/>
          <w:numId w:val="1"/>
        </w:numPr>
        <w:tabs>
          <w:tab w:val="clear" w:pos="295"/>
          <w:tab w:val="num" w:pos="567"/>
        </w:tabs>
        <w:ind w:left="567"/>
        <w:rPr>
          <w:rFonts w:cs="Arial"/>
          <w:szCs w:val="20"/>
        </w:rPr>
      </w:pPr>
      <w:r w:rsidRPr="00A47BEA">
        <w:rPr>
          <w:rFonts w:cs="Arial"/>
          <w:szCs w:val="20"/>
        </w:rPr>
        <w:t>for use by other public or community services</w:t>
      </w:r>
    </w:p>
    <w:p w14:paraId="096F3664" w14:textId="77777777" w:rsidR="00DA4657" w:rsidRPr="00A47BEA" w:rsidRDefault="00DA4657" w:rsidP="00A47BEA">
      <w:pPr>
        <w:pStyle w:val="ListBullet"/>
        <w:numPr>
          <w:ilvl w:val="0"/>
          <w:numId w:val="1"/>
        </w:numPr>
        <w:rPr>
          <w:rFonts w:cs="Arial"/>
          <w:szCs w:val="20"/>
        </w:rPr>
      </w:pPr>
      <w:r w:rsidRPr="00A47BEA">
        <w:rPr>
          <w:rFonts w:cs="Arial"/>
          <w:szCs w:val="20"/>
        </w:rPr>
        <w:t>provide a responsive and flexible approach to meeting the needs of users of the spectrum</w:t>
      </w:r>
    </w:p>
    <w:p w14:paraId="0A8655E6"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t>encourage the use of efficient radiocommunication technologies so that a wide range of services of an adequate quality can be provided.</w:t>
      </w:r>
    </w:p>
    <w:p w14:paraId="5E9A1B8A" w14:textId="77777777" w:rsidR="00DA4657" w:rsidRDefault="00DA4657" w:rsidP="00DA4657">
      <w:pPr>
        <w:rPr>
          <w:rFonts w:cs="Arial"/>
        </w:rPr>
      </w:pPr>
      <w:r w:rsidRPr="00D432DC">
        <w:rPr>
          <w:rFonts w:cs="Arial"/>
        </w:rPr>
        <w:t xml:space="preserve">The analysis provided in this paper considers the additional public benefit that could be derived from improvements to arrangements in the 803–960 MHz band, and, in light of the object identified above, considers the development of regulatory arrangements that encourage efficiency and flexibility of spectrum use. </w:t>
      </w:r>
    </w:p>
    <w:p w14:paraId="591F65CE" w14:textId="77777777" w:rsidR="00DA4657" w:rsidRPr="00DA4657" w:rsidRDefault="00DA4657" w:rsidP="00DA4657">
      <w:pPr>
        <w:pStyle w:val="Heading2"/>
      </w:pPr>
      <w:bookmarkStart w:id="38" w:name="_Toc434999461"/>
      <w:r w:rsidRPr="00DA4657">
        <w:t>Principles for Spectrum Management</w:t>
      </w:r>
      <w:bookmarkEnd w:id="38"/>
    </w:p>
    <w:p w14:paraId="24918686" w14:textId="39493DB7" w:rsidR="00DA4657" w:rsidRPr="00D432DC" w:rsidRDefault="00DA4657" w:rsidP="00DA4657">
      <w:pPr>
        <w:rPr>
          <w:rFonts w:cs="Arial"/>
        </w:rPr>
      </w:pPr>
      <w:r w:rsidRPr="00D432DC">
        <w:rPr>
          <w:rFonts w:cs="Arial"/>
        </w:rPr>
        <w:t xml:space="preserve">The ACMA developed its </w:t>
      </w:r>
      <w:hyperlink r:id="rId52" w:history="1">
        <w:r w:rsidRPr="00BF7DAF">
          <w:rPr>
            <w:rStyle w:val="Hyperlink"/>
            <w:rFonts w:cs="Arial"/>
            <w:i/>
          </w:rPr>
          <w:t>Principles for Spectrum Management</w:t>
        </w:r>
      </w:hyperlink>
      <w:r w:rsidRPr="00311AA9">
        <w:rPr>
          <w:rStyle w:val="FootnoteReference"/>
          <w:rFonts w:cs="Arial"/>
          <w:i/>
          <w:iCs/>
        </w:rPr>
        <w:footnoteReference w:id="38"/>
      </w:r>
      <w:r w:rsidRPr="00BF7DAF">
        <w:rPr>
          <w:rFonts w:cs="Arial"/>
        </w:rPr>
        <w:t xml:space="preserve"> </w:t>
      </w:r>
      <w:r w:rsidR="00BC2E36">
        <w:rPr>
          <w:rFonts w:cs="Arial"/>
        </w:rPr>
        <w:t xml:space="preserve">(the Principles) </w:t>
      </w:r>
      <w:r w:rsidRPr="00BF7DAF">
        <w:rPr>
          <w:rFonts w:cs="Arial"/>
        </w:rPr>
        <w:t xml:space="preserve">to </w:t>
      </w:r>
      <w:r w:rsidRPr="00D432DC">
        <w:rPr>
          <w:rFonts w:cs="Arial"/>
        </w:rPr>
        <w:t xml:space="preserve">guide its decision-making on spectrum management. The </w:t>
      </w:r>
      <w:r w:rsidR="00BC2E36">
        <w:rPr>
          <w:rFonts w:cs="Arial"/>
        </w:rPr>
        <w:t>P</w:t>
      </w:r>
      <w:r w:rsidRPr="00D432DC">
        <w:rPr>
          <w:rFonts w:cs="Arial"/>
        </w:rPr>
        <w:t>rinciples are intended to guide the ACMA’s management of spectrum within its existing legislative responsibilities and government policy settings.</w:t>
      </w:r>
    </w:p>
    <w:p w14:paraId="7DE291BA" w14:textId="7F5F5B67" w:rsidR="00DA4657" w:rsidRPr="00D432DC" w:rsidRDefault="00DA4657" w:rsidP="00CF15D6">
      <w:pPr>
        <w:keepNext/>
        <w:spacing w:after="80"/>
        <w:rPr>
          <w:rFonts w:cs="Arial"/>
        </w:rPr>
      </w:pPr>
      <w:r w:rsidRPr="00D432DC">
        <w:rPr>
          <w:rFonts w:cs="Arial"/>
        </w:rPr>
        <w:t xml:space="preserve">The </w:t>
      </w:r>
      <w:r w:rsidR="00BC2E36">
        <w:rPr>
          <w:rFonts w:cs="Arial"/>
        </w:rPr>
        <w:t>P</w:t>
      </w:r>
      <w:r w:rsidRPr="00D432DC">
        <w:rPr>
          <w:rFonts w:cs="Arial"/>
        </w:rPr>
        <w:t>rinciples aim to:</w:t>
      </w:r>
    </w:p>
    <w:p w14:paraId="77FD7E9C" w14:textId="77777777" w:rsidR="00DA4657" w:rsidRPr="00A47BEA" w:rsidRDefault="00DA4657" w:rsidP="00CF15D6">
      <w:pPr>
        <w:pStyle w:val="ListBullet"/>
        <w:keepNext/>
        <w:numPr>
          <w:ilvl w:val="0"/>
          <w:numId w:val="1"/>
        </w:numPr>
        <w:rPr>
          <w:rFonts w:cs="Arial"/>
          <w:szCs w:val="20"/>
        </w:rPr>
      </w:pPr>
      <w:r w:rsidRPr="00A47BEA">
        <w:rPr>
          <w:rFonts w:cs="Arial"/>
          <w:szCs w:val="20"/>
        </w:rPr>
        <w:t>promote consistency, predictability and transparency in the ACMA’s decision-making</w:t>
      </w:r>
    </w:p>
    <w:p w14:paraId="52EF1231" w14:textId="77777777" w:rsidR="00DA4657" w:rsidRPr="00A47BEA" w:rsidRDefault="00DA4657" w:rsidP="00A47BEA">
      <w:pPr>
        <w:pStyle w:val="ListBullet"/>
        <w:numPr>
          <w:ilvl w:val="0"/>
          <w:numId w:val="1"/>
        </w:numPr>
        <w:rPr>
          <w:rFonts w:cs="Arial"/>
          <w:szCs w:val="20"/>
        </w:rPr>
      </w:pPr>
      <w:r w:rsidRPr="00A47BEA">
        <w:rPr>
          <w:rFonts w:cs="Arial"/>
          <w:szCs w:val="20"/>
        </w:rPr>
        <w:t>provide guidance for major planning and allocation decisions</w:t>
      </w:r>
    </w:p>
    <w:p w14:paraId="3899D4D1" w14:textId="77777777" w:rsidR="00DA4657" w:rsidRPr="00A47BEA" w:rsidRDefault="00DA4657" w:rsidP="00A47BEA">
      <w:pPr>
        <w:pStyle w:val="ListBullet"/>
        <w:numPr>
          <w:ilvl w:val="0"/>
          <w:numId w:val="1"/>
        </w:numPr>
        <w:spacing w:after="240"/>
        <w:rPr>
          <w:rFonts w:cs="Arial"/>
          <w:szCs w:val="20"/>
        </w:rPr>
      </w:pPr>
      <w:r w:rsidRPr="00A47BEA">
        <w:rPr>
          <w:rFonts w:cs="Arial"/>
          <w:szCs w:val="20"/>
        </w:rPr>
        <w:t>increase the ACMA’s ability to respond to challenges, including the impact of new technologies and increasing demand for spectrum for advanced services.</w:t>
      </w:r>
    </w:p>
    <w:p w14:paraId="008628CD" w14:textId="674AFF9C" w:rsidR="00DA4657" w:rsidRPr="00D432DC" w:rsidRDefault="00DA4657" w:rsidP="00DA4657">
      <w:pPr>
        <w:rPr>
          <w:rFonts w:cs="Arial"/>
        </w:rPr>
      </w:pPr>
      <w:r w:rsidRPr="00D432DC">
        <w:rPr>
          <w:rFonts w:cs="Arial"/>
        </w:rPr>
        <w:t xml:space="preserve">The </w:t>
      </w:r>
      <w:r w:rsidR="00BC2E36">
        <w:rPr>
          <w:rFonts w:cs="Arial"/>
        </w:rPr>
        <w:t>P</w:t>
      </w:r>
      <w:r w:rsidRPr="00D432DC">
        <w:rPr>
          <w:rFonts w:cs="Arial"/>
        </w:rPr>
        <w:t xml:space="preserve">rinciples recognise that a band’s highest value use is not determined solely by an economic assessment, but also by consideration of the broader public good or social benefit achieved by that use. Therefore, a key theme of the </w:t>
      </w:r>
      <w:r w:rsidR="00BC2E36">
        <w:rPr>
          <w:rFonts w:cs="Arial"/>
        </w:rPr>
        <w:t>P</w:t>
      </w:r>
      <w:r w:rsidRPr="00D432DC">
        <w:rPr>
          <w:rFonts w:cs="Arial"/>
        </w:rPr>
        <w:t xml:space="preserve">rinciples is to optimise the use of market mechanisms with minimal regulatory intervention </w:t>
      </w:r>
      <w:r>
        <w:rPr>
          <w:rFonts w:cs="Arial"/>
        </w:rPr>
        <w:t>to maximise the public benefit.</w:t>
      </w:r>
    </w:p>
    <w:p w14:paraId="35D7EFE7" w14:textId="5BCD2B0B" w:rsidR="00DA4657" w:rsidRPr="00D432DC" w:rsidRDefault="00DA4657" w:rsidP="00AC7321">
      <w:pPr>
        <w:keepNext/>
        <w:spacing w:after="80"/>
        <w:rPr>
          <w:rFonts w:cs="Arial"/>
        </w:rPr>
      </w:pPr>
      <w:r w:rsidRPr="00D432DC">
        <w:rPr>
          <w:rFonts w:cs="Arial"/>
        </w:rPr>
        <w:t xml:space="preserve">The </w:t>
      </w:r>
      <w:r w:rsidR="00BC2E36">
        <w:rPr>
          <w:rFonts w:cs="Arial"/>
        </w:rPr>
        <w:t>P</w:t>
      </w:r>
      <w:r w:rsidRPr="00D432DC">
        <w:rPr>
          <w:rFonts w:cs="Arial"/>
        </w:rPr>
        <w:t>rinciples are:</w:t>
      </w:r>
    </w:p>
    <w:p w14:paraId="381B49EF" w14:textId="77777777" w:rsidR="00DA4657" w:rsidRPr="009732EE" w:rsidRDefault="00DA4657" w:rsidP="00AC7321">
      <w:pPr>
        <w:pStyle w:val="ListBullet"/>
        <w:numPr>
          <w:ilvl w:val="0"/>
          <w:numId w:val="1"/>
        </w:numPr>
        <w:rPr>
          <w:rFonts w:cs="Arial"/>
          <w:szCs w:val="20"/>
        </w:rPr>
      </w:pPr>
      <w:r w:rsidRPr="009732EE">
        <w:rPr>
          <w:rFonts w:cs="Arial"/>
          <w:b/>
          <w:szCs w:val="20"/>
        </w:rPr>
        <w:t>Principle 1</w:t>
      </w:r>
      <w:r w:rsidRPr="009732EE">
        <w:rPr>
          <w:rFonts w:cs="Arial"/>
          <w:szCs w:val="20"/>
        </w:rPr>
        <w:t>—Allocate spectrum to the highest value use or uses.</w:t>
      </w:r>
    </w:p>
    <w:p w14:paraId="09F0330A" w14:textId="77777777" w:rsidR="00DA4657" w:rsidRPr="009732EE" w:rsidRDefault="00DA4657" w:rsidP="00AC7321">
      <w:pPr>
        <w:pStyle w:val="ListBullet"/>
        <w:numPr>
          <w:ilvl w:val="0"/>
          <w:numId w:val="1"/>
        </w:numPr>
        <w:rPr>
          <w:rFonts w:cs="Arial"/>
          <w:szCs w:val="20"/>
        </w:rPr>
      </w:pPr>
      <w:r w:rsidRPr="009732EE">
        <w:rPr>
          <w:rFonts w:cs="Arial"/>
          <w:b/>
          <w:szCs w:val="20"/>
        </w:rPr>
        <w:t>Principle 2</w:t>
      </w:r>
      <w:r w:rsidRPr="009732EE">
        <w:rPr>
          <w:rFonts w:cs="Arial"/>
          <w:szCs w:val="20"/>
        </w:rPr>
        <w:t>—Enable and encourage spectrum to move to its highest value use or uses.</w:t>
      </w:r>
    </w:p>
    <w:p w14:paraId="5EE2B89C" w14:textId="77777777" w:rsidR="00DA4657" w:rsidRPr="009732EE" w:rsidRDefault="00DA4657" w:rsidP="00AC7321">
      <w:pPr>
        <w:pStyle w:val="ListBullet"/>
        <w:numPr>
          <w:ilvl w:val="0"/>
          <w:numId w:val="1"/>
        </w:numPr>
        <w:rPr>
          <w:rFonts w:cs="Arial"/>
          <w:szCs w:val="20"/>
        </w:rPr>
      </w:pPr>
      <w:r w:rsidRPr="009732EE">
        <w:rPr>
          <w:rFonts w:cs="Arial"/>
          <w:b/>
          <w:szCs w:val="20"/>
        </w:rPr>
        <w:t>Principle 3</w:t>
      </w:r>
      <w:r w:rsidRPr="009732EE">
        <w:rPr>
          <w:rFonts w:cs="Arial"/>
          <w:szCs w:val="20"/>
        </w:rPr>
        <w:t>—Use the least cost and least restrictive approach to achieving policy objectives.</w:t>
      </w:r>
    </w:p>
    <w:p w14:paraId="3AD1186E" w14:textId="77777777" w:rsidR="00DA4657" w:rsidRPr="009732EE" w:rsidRDefault="00DA4657" w:rsidP="00AC7321">
      <w:pPr>
        <w:pStyle w:val="ListBullet"/>
        <w:numPr>
          <w:ilvl w:val="0"/>
          <w:numId w:val="1"/>
        </w:numPr>
        <w:rPr>
          <w:rFonts w:cs="Arial"/>
          <w:szCs w:val="20"/>
        </w:rPr>
      </w:pPr>
      <w:r w:rsidRPr="009732EE">
        <w:rPr>
          <w:rFonts w:cs="Arial"/>
          <w:b/>
          <w:szCs w:val="20"/>
        </w:rPr>
        <w:t>Principle 4</w:t>
      </w:r>
      <w:r w:rsidRPr="009732EE">
        <w:rPr>
          <w:rFonts w:cs="Arial"/>
          <w:szCs w:val="20"/>
        </w:rPr>
        <w:t>—To the extent possible, promote both certainty and flexibility.</w:t>
      </w:r>
    </w:p>
    <w:p w14:paraId="02A3130D" w14:textId="77777777" w:rsidR="00DA4657" w:rsidRPr="00D432DC" w:rsidRDefault="00DA4657" w:rsidP="00AC7321">
      <w:pPr>
        <w:pStyle w:val="ListBullet"/>
        <w:numPr>
          <w:ilvl w:val="0"/>
          <w:numId w:val="1"/>
        </w:numPr>
        <w:spacing w:after="240"/>
        <w:rPr>
          <w:rFonts w:cs="Arial"/>
        </w:rPr>
      </w:pPr>
      <w:r w:rsidRPr="009732EE">
        <w:rPr>
          <w:rFonts w:cs="Arial"/>
          <w:b/>
          <w:szCs w:val="20"/>
        </w:rPr>
        <w:t>Principle 5</w:t>
      </w:r>
      <w:r w:rsidRPr="009732EE">
        <w:rPr>
          <w:rFonts w:cs="Arial"/>
          <w:szCs w:val="20"/>
        </w:rPr>
        <w:t>—Balance</w:t>
      </w:r>
      <w:r w:rsidRPr="00D432DC">
        <w:rPr>
          <w:rFonts w:cs="Arial"/>
        </w:rPr>
        <w:t xml:space="preserve"> the cost of interference and the benefits of greater spectrum utilisation.</w:t>
      </w:r>
    </w:p>
    <w:p w14:paraId="451E7A17" w14:textId="6FC18C6D" w:rsidR="00DA4657" w:rsidRPr="00D432DC" w:rsidRDefault="00DA4657" w:rsidP="00DA4657">
      <w:pPr>
        <w:rPr>
          <w:rFonts w:cs="Arial"/>
        </w:rPr>
      </w:pPr>
      <w:r w:rsidRPr="00D432DC">
        <w:rPr>
          <w:rFonts w:cs="Arial"/>
        </w:rPr>
        <w:t xml:space="preserve">The ACMA has considered a range of other factors in addition to the </w:t>
      </w:r>
      <w:r w:rsidR="00BC2E36">
        <w:rPr>
          <w:rFonts w:cs="Arial"/>
        </w:rPr>
        <w:t>P</w:t>
      </w:r>
      <w:r w:rsidRPr="00D432DC">
        <w:rPr>
          <w:rFonts w:cs="Arial"/>
        </w:rPr>
        <w:t xml:space="preserve">rinciples. These are identified in its spectrum management decision </w:t>
      </w:r>
      <w:r w:rsidRPr="00C136F1">
        <w:rPr>
          <w:rFonts w:cs="Arial"/>
        </w:rPr>
        <w:t>framework (see</w:t>
      </w:r>
      <w:r w:rsidR="009B7057">
        <w:rPr>
          <w:rFonts w:cs="Arial"/>
        </w:rPr>
        <w:t xml:space="preserve"> Figure A1.1</w:t>
      </w:r>
      <w:r w:rsidRPr="00C136F1">
        <w:rPr>
          <w:rFonts w:cs="Arial"/>
        </w:rPr>
        <w:t>). The international environment is a key factor in considering the arrangements in the 803–</w:t>
      </w:r>
      <w:r w:rsidRPr="00D432DC">
        <w:rPr>
          <w:rFonts w:cs="Arial"/>
        </w:rPr>
        <w:t>960 MHz band, particularly for mobile broadband services in the band, with a specific focus on spectrum harmonisation a</w:t>
      </w:r>
      <w:r>
        <w:rPr>
          <w:rFonts w:cs="Arial"/>
        </w:rPr>
        <w:t>nd developments in technology.</w:t>
      </w:r>
    </w:p>
    <w:p w14:paraId="3D3EB02E" w14:textId="046658F2" w:rsidR="00DA4657" w:rsidRDefault="00DA4657" w:rsidP="00DA4657">
      <w:pPr>
        <w:rPr>
          <w:rFonts w:cs="Arial"/>
        </w:rPr>
      </w:pPr>
      <w:r w:rsidRPr="00D432DC">
        <w:rPr>
          <w:rFonts w:cs="Arial"/>
        </w:rPr>
        <w:t xml:space="preserve">The </w:t>
      </w:r>
      <w:r w:rsidDel="000F375D">
        <w:rPr>
          <w:rFonts w:cs="Arial"/>
        </w:rPr>
        <w:t>r</w:t>
      </w:r>
      <w:r>
        <w:rPr>
          <w:rFonts w:cs="Arial"/>
        </w:rPr>
        <w:t>eview</w:t>
      </w:r>
      <w:r w:rsidRPr="00D432DC">
        <w:rPr>
          <w:rFonts w:cs="Arial"/>
        </w:rPr>
        <w:t xml:space="preserve"> of the 803–960 MHz band was flagged in </w:t>
      </w:r>
      <w:r w:rsidR="00F02354" w:rsidRPr="003166AA">
        <w:rPr>
          <w:rFonts w:cs="Arial"/>
          <w:i/>
        </w:rPr>
        <w:t>Significant spectrum projects in 2015</w:t>
      </w:r>
      <w:r w:rsidR="009732EE">
        <w:rPr>
          <w:rFonts w:cs="Arial"/>
          <w:i/>
        </w:rPr>
        <w:t>–</w:t>
      </w:r>
      <w:r w:rsidR="00F02354" w:rsidRPr="003166AA">
        <w:rPr>
          <w:rFonts w:cs="Arial"/>
          <w:i/>
        </w:rPr>
        <w:t>16 and beyond</w:t>
      </w:r>
      <w:r w:rsidR="00F02354">
        <w:rPr>
          <w:rFonts w:cs="Arial"/>
        </w:rPr>
        <w:t xml:space="preserve"> and in </w:t>
      </w:r>
      <w:r w:rsidRPr="00D432DC">
        <w:rPr>
          <w:rFonts w:cs="Arial"/>
        </w:rPr>
        <w:t xml:space="preserve">the work program in the ACMA’s </w:t>
      </w:r>
      <w:r w:rsidRPr="00D432DC">
        <w:rPr>
          <w:rFonts w:cs="Arial"/>
          <w:i/>
        </w:rPr>
        <w:t>Five-year spectrum outlook 201</w:t>
      </w:r>
      <w:r w:rsidR="00F02354">
        <w:rPr>
          <w:rFonts w:cs="Arial"/>
          <w:i/>
        </w:rPr>
        <w:t>5</w:t>
      </w:r>
      <w:r w:rsidRPr="00D432DC">
        <w:rPr>
          <w:rFonts w:cs="Arial"/>
        </w:rPr>
        <w:t>–</w:t>
      </w:r>
      <w:r w:rsidRPr="00D432DC">
        <w:rPr>
          <w:rFonts w:cs="Arial"/>
          <w:i/>
        </w:rPr>
        <w:t>1</w:t>
      </w:r>
      <w:r w:rsidR="00F02354">
        <w:rPr>
          <w:rFonts w:cs="Arial"/>
          <w:i/>
        </w:rPr>
        <w:t>9</w:t>
      </w:r>
      <w:r w:rsidRPr="00D432DC">
        <w:rPr>
          <w:rFonts w:cs="Arial"/>
        </w:rPr>
        <w:t>.</w:t>
      </w:r>
      <w:r w:rsidR="00F02354">
        <w:rPr>
          <w:rStyle w:val="FootnoteReference"/>
          <w:rFonts w:cs="Arial"/>
        </w:rPr>
        <w:footnoteReference w:id="39"/>
      </w:r>
      <w:r w:rsidRPr="00D432DC">
        <w:rPr>
          <w:rFonts w:cs="Arial"/>
        </w:rPr>
        <w:t xml:space="preserve"> </w:t>
      </w:r>
    </w:p>
    <w:p w14:paraId="28F9ADCD" w14:textId="77777777" w:rsidR="00BC2E36" w:rsidRPr="00462916" w:rsidRDefault="00BC2E36" w:rsidP="00BC2E36">
      <w:pPr>
        <w:pStyle w:val="ACMAFigureHeader"/>
        <w:keepNext/>
        <w:keepLines/>
        <w:numPr>
          <w:ilvl w:val="0"/>
          <w:numId w:val="0"/>
        </w:numPr>
        <w:ind w:left="1134" w:hanging="1134"/>
      </w:pPr>
      <w:r>
        <w:t>Figure A1.1:</w:t>
      </w:r>
      <w:r w:rsidR="00F02354">
        <w:t xml:space="preserve"> </w:t>
      </w:r>
      <w:r>
        <w:t>Spectrum management decision framework</w:t>
      </w:r>
    </w:p>
    <w:p w14:paraId="0CA7AA54" w14:textId="1E7F650E" w:rsidR="00344690" w:rsidRDefault="007D1ABE" w:rsidP="00AC7321">
      <w:pPr>
        <w:sectPr w:rsidR="00344690" w:rsidSect="00FB2EA1">
          <w:pgSz w:w="11906" w:h="16838" w:code="9"/>
          <w:pgMar w:top="1945" w:right="3101" w:bottom="1134" w:left="1134" w:header="709" w:footer="119" w:gutter="0"/>
          <w:cols w:space="708"/>
          <w:docGrid w:linePitch="360"/>
        </w:sectPr>
      </w:pPr>
      <w:r>
        <w:rPr>
          <w:noProof/>
        </w:rPr>
        <w:drawing>
          <wp:inline distT="0" distB="0" distL="0" distR="0" wp14:anchorId="29BC09D3" wp14:editId="2CF5FCED">
            <wp:extent cx="4857750" cy="3190876"/>
            <wp:effectExtent l="0" t="0" r="0" b="9525"/>
            <wp:docPr id="8" name="Picture 8" descr="Spectrum management decision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866604" cy="3196692"/>
                    </a:xfrm>
                    <a:prstGeom prst="rect">
                      <a:avLst/>
                    </a:prstGeom>
                    <a:noFill/>
                    <a:ln>
                      <a:noFill/>
                    </a:ln>
                  </pic:spPr>
                </pic:pic>
              </a:graphicData>
            </a:graphic>
          </wp:inline>
        </w:drawing>
      </w:r>
    </w:p>
    <w:p w14:paraId="173E2120" w14:textId="18549624" w:rsidR="00344690" w:rsidRDefault="00344690" w:rsidP="00344690">
      <w:pPr>
        <w:pStyle w:val="Heading1"/>
      </w:pPr>
      <w:bookmarkStart w:id="39" w:name="_Toc434999462"/>
      <w:r>
        <w:t>Attachment 2</w:t>
      </w:r>
      <w:r w:rsidR="009732EE">
        <w:t>—</w:t>
      </w:r>
      <w:r>
        <w:t>Channel plan for relocated point-to-multipoint services</w:t>
      </w:r>
      <w:bookmarkEnd w:id="39"/>
    </w:p>
    <w:p w14:paraId="45897C7A" w14:textId="1483DEEE" w:rsidR="00D12CE9" w:rsidRDefault="00D12CE9" w:rsidP="00D12CE9">
      <w:pPr>
        <w:rPr>
          <w:rFonts w:cs="Arial"/>
        </w:rPr>
      </w:pPr>
      <w:r>
        <w:rPr>
          <w:rFonts w:cs="Arial"/>
        </w:rPr>
        <w:t xml:space="preserve">Table </w:t>
      </w:r>
      <w:r w:rsidR="00BC2E36">
        <w:rPr>
          <w:rFonts w:cs="Arial"/>
        </w:rPr>
        <w:t xml:space="preserve">A2.1 </w:t>
      </w:r>
      <w:r>
        <w:rPr>
          <w:rFonts w:cs="Arial"/>
        </w:rPr>
        <w:t>contains the new channel plan for point-to-multipoint services operating in the 805</w:t>
      </w:r>
      <w:r w:rsidR="005A48C1">
        <w:rPr>
          <w:rFonts w:cs="Arial"/>
        </w:rPr>
        <w:t>.</w:t>
      </w:r>
      <w:r>
        <w:rPr>
          <w:rFonts w:cs="Arial"/>
        </w:rPr>
        <w:t>5</w:t>
      </w:r>
      <w:r w:rsidR="009732EE">
        <w:rPr>
          <w:rFonts w:cs="Arial"/>
        </w:rPr>
        <w:t>–</w:t>
      </w:r>
      <w:r>
        <w:rPr>
          <w:rFonts w:cs="Arial"/>
        </w:rPr>
        <w:t>806/850.5</w:t>
      </w:r>
      <w:r w:rsidR="009732EE">
        <w:rPr>
          <w:rFonts w:cs="Arial"/>
        </w:rPr>
        <w:t>–</w:t>
      </w:r>
      <w:r>
        <w:rPr>
          <w:rFonts w:cs="Arial"/>
        </w:rPr>
        <w:t>851 MHz band. These arrangements will be included in RALI</w:t>
      </w:r>
      <w:r w:rsidR="00C359F9">
        <w:rPr>
          <w:rFonts w:cs="Arial"/>
        </w:rPr>
        <w:t> </w:t>
      </w:r>
      <w:r>
        <w:rPr>
          <w:rFonts w:cs="Arial"/>
        </w:rPr>
        <w:t>FX</w:t>
      </w:r>
      <w:r w:rsidR="00C359F9">
        <w:rPr>
          <w:rFonts w:cs="Arial"/>
        </w:rPr>
        <w:t> </w:t>
      </w:r>
      <w:r>
        <w:rPr>
          <w:rFonts w:cs="Arial"/>
        </w:rPr>
        <w:t xml:space="preserve">[NEW] and will replace existing provisions for </w:t>
      </w:r>
      <w:r w:rsidR="00F02354">
        <w:rPr>
          <w:rFonts w:cs="Arial"/>
        </w:rPr>
        <w:t>point-to-multipoint services</w:t>
      </w:r>
      <w:r>
        <w:rPr>
          <w:rFonts w:cs="Arial"/>
        </w:rPr>
        <w:t xml:space="preserve"> currently detailed in RALI FX-16.</w:t>
      </w:r>
    </w:p>
    <w:p w14:paraId="46792278" w14:textId="77777777" w:rsidR="006B4BE4" w:rsidRDefault="00BC2E36" w:rsidP="00BC2E36">
      <w:pPr>
        <w:pStyle w:val="ACMATableHeader"/>
        <w:keepNext/>
        <w:keepLines/>
        <w:numPr>
          <w:ilvl w:val="0"/>
          <w:numId w:val="0"/>
        </w:numPr>
        <w:ind w:left="964" w:hanging="964"/>
      </w:pPr>
      <w:r>
        <w:t xml:space="preserve">Table A2.1: </w:t>
      </w:r>
      <w:r w:rsidR="006B4BE4">
        <w:t>New channel plan for point-to-multipoint</w:t>
      </w:r>
    </w:p>
    <w:tbl>
      <w:tblPr>
        <w:tblW w:w="9539"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Description w:val="Spectrum available in metro, regional and remote areas for mobile broadband."/>
      </w:tblPr>
      <w:tblGrid>
        <w:gridCol w:w="851"/>
        <w:gridCol w:w="992"/>
        <w:gridCol w:w="992"/>
        <w:gridCol w:w="993"/>
        <w:gridCol w:w="959"/>
        <w:gridCol w:w="883"/>
        <w:gridCol w:w="993"/>
        <w:gridCol w:w="975"/>
        <w:gridCol w:w="1009"/>
        <w:gridCol w:w="892"/>
      </w:tblGrid>
      <w:tr w:rsidR="00DD6B7E" w:rsidRPr="00DD6B7E" w14:paraId="57E54AC5" w14:textId="77777777" w:rsidTr="00A47BEA">
        <w:trPr>
          <w:tblHeader/>
        </w:trPr>
        <w:tc>
          <w:tcPr>
            <w:tcW w:w="4787" w:type="dxa"/>
            <w:gridSpan w:val="5"/>
            <w:shd w:val="clear" w:color="auto" w:fill="404040" w:themeFill="text1" w:themeFillTint="BF"/>
            <w:vAlign w:val="center"/>
          </w:tcPr>
          <w:p w14:paraId="302C40BE" w14:textId="220C0091" w:rsidR="00071CEA" w:rsidRPr="00AC7321" w:rsidRDefault="00071CEA" w:rsidP="00AC7321">
            <w:pPr>
              <w:pStyle w:val="TableHeading"/>
              <w:jc w:val="center"/>
              <w:rPr>
                <w:b w:val="0"/>
                <w:color w:val="FFFFFF" w:themeColor="background1"/>
              </w:rPr>
            </w:pPr>
            <w:r w:rsidRPr="00AC7321">
              <w:rPr>
                <w:color w:val="FFFFFF" w:themeColor="background1"/>
              </w:rPr>
              <w:t xml:space="preserve">Centre </w:t>
            </w:r>
            <w:r w:rsidR="009732EE" w:rsidRPr="00AC7321">
              <w:rPr>
                <w:color w:val="FFFFFF" w:themeColor="background1"/>
              </w:rPr>
              <w:t>f</w:t>
            </w:r>
            <w:r w:rsidRPr="00AC7321">
              <w:rPr>
                <w:color w:val="FFFFFF" w:themeColor="background1"/>
              </w:rPr>
              <w:t>requency (MHz)</w:t>
            </w:r>
          </w:p>
        </w:tc>
        <w:tc>
          <w:tcPr>
            <w:tcW w:w="4752" w:type="dxa"/>
            <w:gridSpan w:val="5"/>
            <w:shd w:val="clear" w:color="auto" w:fill="404040" w:themeFill="text1" w:themeFillTint="BF"/>
            <w:vAlign w:val="center"/>
          </w:tcPr>
          <w:p w14:paraId="2CBC8920" w14:textId="77777777" w:rsidR="00071CEA" w:rsidRPr="00AC7321" w:rsidRDefault="00071CEA" w:rsidP="00AC7321">
            <w:pPr>
              <w:pStyle w:val="TableHeading"/>
              <w:jc w:val="center"/>
              <w:rPr>
                <w:b w:val="0"/>
                <w:color w:val="FFFFFF" w:themeColor="background1"/>
              </w:rPr>
            </w:pPr>
            <w:r w:rsidRPr="00AC7321">
              <w:rPr>
                <w:color w:val="FFFFFF" w:themeColor="background1"/>
              </w:rPr>
              <w:t>Centre frequency (MHz)</w:t>
            </w:r>
          </w:p>
        </w:tc>
      </w:tr>
      <w:tr w:rsidR="00DD6B7E" w:rsidRPr="00DD6B7E" w14:paraId="1F38C791" w14:textId="77777777" w:rsidTr="00A47BEA">
        <w:trPr>
          <w:tblHeader/>
        </w:trPr>
        <w:tc>
          <w:tcPr>
            <w:tcW w:w="851" w:type="dxa"/>
            <w:shd w:val="clear" w:color="auto" w:fill="404040" w:themeFill="text1" w:themeFillTint="BF"/>
            <w:vAlign w:val="center"/>
          </w:tcPr>
          <w:p w14:paraId="12723F9C" w14:textId="2F06D9E3" w:rsidR="00071CEA" w:rsidRPr="00DD6B7E" w:rsidRDefault="00071CEA" w:rsidP="00A47BEA">
            <w:pPr>
              <w:pStyle w:val="TableBody"/>
              <w:keepNext/>
              <w:keepLines/>
              <w:jc w:val="center"/>
              <w:rPr>
                <w:rFonts w:cs="Arial"/>
                <w:b/>
                <w:color w:val="FFFFFF" w:themeColor="background1"/>
                <w:sz w:val="16"/>
                <w:szCs w:val="16"/>
              </w:rPr>
            </w:pPr>
            <w:r w:rsidRPr="00DD6B7E">
              <w:rPr>
                <w:rFonts w:cs="Arial"/>
                <w:b/>
                <w:color w:val="FFFFFF" w:themeColor="background1"/>
                <w:sz w:val="16"/>
                <w:szCs w:val="16"/>
              </w:rPr>
              <w:t xml:space="preserve">Channel </w:t>
            </w:r>
            <w:r w:rsidR="009732EE">
              <w:rPr>
                <w:rFonts w:cs="Arial"/>
                <w:b/>
                <w:color w:val="FFFFFF" w:themeColor="background1"/>
                <w:sz w:val="16"/>
                <w:szCs w:val="16"/>
              </w:rPr>
              <w:t>n</w:t>
            </w:r>
            <w:r w:rsidRPr="00DD6B7E">
              <w:rPr>
                <w:rFonts w:cs="Arial"/>
                <w:b/>
                <w:color w:val="FFFFFF" w:themeColor="background1"/>
                <w:sz w:val="16"/>
                <w:szCs w:val="16"/>
              </w:rPr>
              <w:t>umber</w:t>
            </w:r>
          </w:p>
        </w:tc>
        <w:tc>
          <w:tcPr>
            <w:tcW w:w="1984" w:type="dxa"/>
            <w:gridSpan w:val="2"/>
            <w:shd w:val="clear" w:color="auto" w:fill="404040" w:themeFill="text1" w:themeFillTint="BF"/>
            <w:vAlign w:val="center"/>
          </w:tcPr>
          <w:p w14:paraId="43FF078F"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Tx</w:t>
            </w:r>
          </w:p>
        </w:tc>
        <w:tc>
          <w:tcPr>
            <w:tcW w:w="1952" w:type="dxa"/>
            <w:gridSpan w:val="2"/>
            <w:shd w:val="clear" w:color="auto" w:fill="404040" w:themeFill="text1" w:themeFillTint="BF"/>
            <w:vAlign w:val="center"/>
          </w:tcPr>
          <w:p w14:paraId="29D1C228"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Rx</w:t>
            </w:r>
          </w:p>
        </w:tc>
        <w:tc>
          <w:tcPr>
            <w:tcW w:w="883" w:type="dxa"/>
            <w:shd w:val="clear" w:color="auto" w:fill="404040" w:themeFill="text1" w:themeFillTint="BF"/>
            <w:vAlign w:val="center"/>
          </w:tcPr>
          <w:p w14:paraId="6F123DC3" w14:textId="34E1A3CB" w:rsidR="00071CEA" w:rsidRPr="00DD6B7E" w:rsidRDefault="00071CEA" w:rsidP="00A47BEA">
            <w:pPr>
              <w:pStyle w:val="TableBody"/>
              <w:keepNext/>
              <w:keepLines/>
              <w:jc w:val="center"/>
              <w:rPr>
                <w:rFonts w:cs="Arial"/>
                <w:b/>
                <w:color w:val="FFFFFF" w:themeColor="background1"/>
                <w:sz w:val="16"/>
                <w:szCs w:val="16"/>
              </w:rPr>
            </w:pPr>
            <w:r w:rsidRPr="00DD6B7E">
              <w:rPr>
                <w:rFonts w:cs="Arial"/>
                <w:b/>
                <w:color w:val="FFFFFF" w:themeColor="background1"/>
                <w:sz w:val="16"/>
                <w:szCs w:val="16"/>
              </w:rPr>
              <w:t xml:space="preserve">Channel </w:t>
            </w:r>
            <w:r w:rsidR="009732EE">
              <w:rPr>
                <w:rFonts w:cs="Arial"/>
                <w:b/>
                <w:color w:val="FFFFFF" w:themeColor="background1"/>
                <w:sz w:val="16"/>
                <w:szCs w:val="16"/>
              </w:rPr>
              <w:t>n</w:t>
            </w:r>
            <w:r w:rsidRPr="00DD6B7E">
              <w:rPr>
                <w:rFonts w:cs="Arial"/>
                <w:b/>
                <w:color w:val="FFFFFF" w:themeColor="background1"/>
                <w:sz w:val="16"/>
                <w:szCs w:val="16"/>
              </w:rPr>
              <w:t>umber</w:t>
            </w:r>
          </w:p>
        </w:tc>
        <w:tc>
          <w:tcPr>
            <w:tcW w:w="1968" w:type="dxa"/>
            <w:gridSpan w:val="2"/>
            <w:shd w:val="clear" w:color="auto" w:fill="404040" w:themeFill="text1" w:themeFillTint="BF"/>
            <w:vAlign w:val="center"/>
          </w:tcPr>
          <w:p w14:paraId="29D85BC0"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Tx</w:t>
            </w:r>
          </w:p>
        </w:tc>
        <w:tc>
          <w:tcPr>
            <w:tcW w:w="1901" w:type="dxa"/>
            <w:gridSpan w:val="2"/>
            <w:shd w:val="clear" w:color="auto" w:fill="404040" w:themeFill="text1" w:themeFillTint="BF"/>
            <w:vAlign w:val="center"/>
          </w:tcPr>
          <w:p w14:paraId="6C449C9B" w14:textId="77777777" w:rsidR="00071CEA" w:rsidRPr="00191F1C" w:rsidRDefault="00071CEA" w:rsidP="00A47BEA">
            <w:pPr>
              <w:pStyle w:val="TableBody"/>
              <w:keepNext/>
              <w:keepLines/>
              <w:jc w:val="center"/>
              <w:rPr>
                <w:rFonts w:cs="Arial"/>
                <w:b/>
                <w:color w:val="FFFFFF" w:themeColor="background1"/>
                <w:szCs w:val="20"/>
              </w:rPr>
            </w:pPr>
            <w:r w:rsidRPr="00191F1C">
              <w:rPr>
                <w:rFonts w:cs="Arial"/>
                <w:b/>
                <w:color w:val="FFFFFF" w:themeColor="background1"/>
                <w:szCs w:val="20"/>
              </w:rPr>
              <w:t>Master Rx</w:t>
            </w:r>
          </w:p>
        </w:tc>
      </w:tr>
      <w:tr w:rsidR="00071CEA" w:rsidRPr="00DD6B7E" w14:paraId="6E809C2F" w14:textId="77777777" w:rsidTr="00A47BEA">
        <w:trPr>
          <w:tblHeader/>
        </w:trPr>
        <w:tc>
          <w:tcPr>
            <w:tcW w:w="851" w:type="dxa"/>
            <w:shd w:val="clear" w:color="auto" w:fill="FFFFFF" w:themeFill="background1"/>
            <w:vAlign w:val="center"/>
          </w:tcPr>
          <w:p w14:paraId="604CD6D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w:t>
            </w:r>
          </w:p>
        </w:tc>
        <w:tc>
          <w:tcPr>
            <w:tcW w:w="992" w:type="dxa"/>
            <w:shd w:val="clear" w:color="auto" w:fill="FFFFFF" w:themeFill="background1"/>
            <w:vAlign w:val="center"/>
          </w:tcPr>
          <w:p w14:paraId="7EDA2BA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850.50625</w:t>
            </w:r>
          </w:p>
        </w:tc>
        <w:tc>
          <w:tcPr>
            <w:tcW w:w="992" w:type="dxa"/>
            <w:vMerge w:val="restart"/>
            <w:shd w:val="clear" w:color="auto" w:fill="FFFFFF" w:themeFill="background1"/>
            <w:vAlign w:val="center"/>
          </w:tcPr>
          <w:p w14:paraId="12C8843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850.5125</w:t>
            </w:r>
          </w:p>
        </w:tc>
        <w:tc>
          <w:tcPr>
            <w:tcW w:w="993" w:type="dxa"/>
            <w:shd w:val="clear" w:color="auto" w:fill="FFFFFF" w:themeFill="background1"/>
            <w:vAlign w:val="center"/>
          </w:tcPr>
          <w:p w14:paraId="318461B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805.50625</w:t>
            </w:r>
          </w:p>
        </w:tc>
        <w:tc>
          <w:tcPr>
            <w:tcW w:w="959" w:type="dxa"/>
            <w:vMerge w:val="restart"/>
            <w:shd w:val="clear" w:color="auto" w:fill="FFFFFF" w:themeFill="background1"/>
            <w:vAlign w:val="center"/>
          </w:tcPr>
          <w:p w14:paraId="3EA62E8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805.5125</w:t>
            </w:r>
          </w:p>
        </w:tc>
        <w:tc>
          <w:tcPr>
            <w:tcW w:w="883" w:type="dxa"/>
            <w:shd w:val="clear" w:color="auto" w:fill="FFFFFF" w:themeFill="background1"/>
            <w:vAlign w:val="center"/>
          </w:tcPr>
          <w:p w14:paraId="0853EAF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21</w:t>
            </w:r>
          </w:p>
        </w:tc>
        <w:tc>
          <w:tcPr>
            <w:tcW w:w="993" w:type="dxa"/>
            <w:shd w:val="clear" w:color="auto" w:fill="FFFFFF" w:themeFill="background1"/>
            <w:vAlign w:val="center"/>
          </w:tcPr>
          <w:p w14:paraId="16695A6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850.75625</w:t>
            </w:r>
          </w:p>
        </w:tc>
        <w:tc>
          <w:tcPr>
            <w:tcW w:w="975" w:type="dxa"/>
            <w:vMerge w:val="restart"/>
            <w:shd w:val="clear" w:color="auto" w:fill="FFFFFF" w:themeFill="background1"/>
            <w:vAlign w:val="center"/>
          </w:tcPr>
          <w:p w14:paraId="62BEBB8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850.7625</w:t>
            </w:r>
          </w:p>
        </w:tc>
        <w:tc>
          <w:tcPr>
            <w:tcW w:w="1009" w:type="dxa"/>
            <w:shd w:val="clear" w:color="auto" w:fill="FFFFFF" w:themeFill="background1"/>
            <w:vAlign w:val="center"/>
          </w:tcPr>
          <w:p w14:paraId="4A2CD8C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805.75625</w:t>
            </w:r>
          </w:p>
        </w:tc>
        <w:tc>
          <w:tcPr>
            <w:tcW w:w="892" w:type="dxa"/>
            <w:vMerge w:val="restart"/>
            <w:shd w:val="clear" w:color="auto" w:fill="FFFFFF" w:themeFill="background1"/>
            <w:vAlign w:val="center"/>
          </w:tcPr>
          <w:p w14:paraId="3585F12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805.7625</w:t>
            </w:r>
          </w:p>
        </w:tc>
      </w:tr>
      <w:tr w:rsidR="00071CEA" w:rsidRPr="00DD6B7E" w14:paraId="718002D8" w14:textId="77777777" w:rsidTr="00A47BEA">
        <w:trPr>
          <w:tblHeader/>
        </w:trPr>
        <w:tc>
          <w:tcPr>
            <w:tcW w:w="851" w:type="dxa"/>
            <w:shd w:val="clear" w:color="auto" w:fill="FFFFFF" w:themeFill="background1"/>
            <w:vAlign w:val="center"/>
          </w:tcPr>
          <w:p w14:paraId="56F4BA6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w:t>
            </w:r>
          </w:p>
        </w:tc>
        <w:tc>
          <w:tcPr>
            <w:tcW w:w="992" w:type="dxa"/>
            <w:shd w:val="clear" w:color="auto" w:fill="FFFFFF" w:themeFill="background1"/>
            <w:vAlign w:val="center"/>
          </w:tcPr>
          <w:p w14:paraId="05A0AB1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850.51875</w:t>
            </w:r>
          </w:p>
        </w:tc>
        <w:tc>
          <w:tcPr>
            <w:tcW w:w="992" w:type="dxa"/>
            <w:vMerge/>
            <w:shd w:val="clear" w:color="auto" w:fill="FFFFFF" w:themeFill="background1"/>
            <w:vAlign w:val="center"/>
          </w:tcPr>
          <w:p w14:paraId="7FD11DE5"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1474DA6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805.51875</w:t>
            </w:r>
          </w:p>
        </w:tc>
        <w:tc>
          <w:tcPr>
            <w:tcW w:w="959" w:type="dxa"/>
            <w:vMerge/>
            <w:shd w:val="clear" w:color="auto" w:fill="FFFFFF" w:themeFill="background1"/>
            <w:vAlign w:val="center"/>
          </w:tcPr>
          <w:p w14:paraId="61EB2670"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52E770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22</w:t>
            </w:r>
          </w:p>
        </w:tc>
        <w:tc>
          <w:tcPr>
            <w:tcW w:w="993" w:type="dxa"/>
            <w:shd w:val="clear" w:color="auto" w:fill="FFFFFF" w:themeFill="background1"/>
            <w:vAlign w:val="center"/>
          </w:tcPr>
          <w:p w14:paraId="3299D17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850.76875</w:t>
            </w:r>
          </w:p>
        </w:tc>
        <w:tc>
          <w:tcPr>
            <w:tcW w:w="975" w:type="dxa"/>
            <w:vMerge/>
            <w:shd w:val="clear" w:color="auto" w:fill="FFFFFF" w:themeFill="background1"/>
            <w:vAlign w:val="center"/>
          </w:tcPr>
          <w:p w14:paraId="52058E5B"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3A3327E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805.76875</w:t>
            </w:r>
          </w:p>
        </w:tc>
        <w:tc>
          <w:tcPr>
            <w:tcW w:w="892" w:type="dxa"/>
            <w:vMerge/>
            <w:shd w:val="clear" w:color="auto" w:fill="FFFFFF" w:themeFill="background1"/>
            <w:vAlign w:val="center"/>
          </w:tcPr>
          <w:p w14:paraId="578DAF04" w14:textId="77777777" w:rsidR="00071CEA" w:rsidRPr="00DD6B7E" w:rsidRDefault="00071CEA" w:rsidP="00A47BEA">
            <w:pPr>
              <w:pStyle w:val="TableBody"/>
              <w:keepNext/>
              <w:keepLines/>
              <w:jc w:val="center"/>
              <w:rPr>
                <w:rFonts w:cs="Arial"/>
                <w:sz w:val="16"/>
                <w:szCs w:val="16"/>
              </w:rPr>
            </w:pPr>
          </w:p>
        </w:tc>
      </w:tr>
      <w:tr w:rsidR="00071CEA" w:rsidRPr="00DD6B7E" w14:paraId="79648098" w14:textId="77777777" w:rsidTr="00A47BEA">
        <w:trPr>
          <w:tblHeader/>
        </w:trPr>
        <w:tc>
          <w:tcPr>
            <w:tcW w:w="851" w:type="dxa"/>
            <w:shd w:val="clear" w:color="auto" w:fill="F2F2F2" w:themeFill="background1" w:themeFillShade="F2"/>
            <w:vAlign w:val="center"/>
          </w:tcPr>
          <w:p w14:paraId="56FA02D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w:t>
            </w:r>
          </w:p>
        </w:tc>
        <w:tc>
          <w:tcPr>
            <w:tcW w:w="992" w:type="dxa"/>
            <w:shd w:val="clear" w:color="auto" w:fill="F2F2F2" w:themeFill="background1" w:themeFillShade="F2"/>
            <w:vAlign w:val="center"/>
          </w:tcPr>
          <w:p w14:paraId="504CD5C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850.53125</w:t>
            </w:r>
          </w:p>
        </w:tc>
        <w:tc>
          <w:tcPr>
            <w:tcW w:w="992" w:type="dxa"/>
            <w:vMerge w:val="restart"/>
            <w:shd w:val="clear" w:color="auto" w:fill="F2F2F2" w:themeFill="background1" w:themeFillShade="F2"/>
            <w:vAlign w:val="center"/>
          </w:tcPr>
          <w:p w14:paraId="2EB289B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850.5375</w:t>
            </w:r>
          </w:p>
        </w:tc>
        <w:tc>
          <w:tcPr>
            <w:tcW w:w="993" w:type="dxa"/>
            <w:shd w:val="clear" w:color="auto" w:fill="F2F2F2" w:themeFill="background1" w:themeFillShade="F2"/>
            <w:vAlign w:val="center"/>
          </w:tcPr>
          <w:p w14:paraId="125AEBF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805.53125</w:t>
            </w:r>
          </w:p>
        </w:tc>
        <w:tc>
          <w:tcPr>
            <w:tcW w:w="959" w:type="dxa"/>
            <w:vMerge w:val="restart"/>
            <w:shd w:val="clear" w:color="auto" w:fill="F2F2F2" w:themeFill="background1" w:themeFillShade="F2"/>
            <w:vAlign w:val="center"/>
          </w:tcPr>
          <w:p w14:paraId="451AD6B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805.5375</w:t>
            </w:r>
          </w:p>
        </w:tc>
        <w:tc>
          <w:tcPr>
            <w:tcW w:w="883" w:type="dxa"/>
            <w:shd w:val="clear" w:color="auto" w:fill="F2F2F2" w:themeFill="background1" w:themeFillShade="F2"/>
            <w:vAlign w:val="center"/>
          </w:tcPr>
          <w:p w14:paraId="31AD0E7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23</w:t>
            </w:r>
          </w:p>
        </w:tc>
        <w:tc>
          <w:tcPr>
            <w:tcW w:w="993" w:type="dxa"/>
            <w:shd w:val="clear" w:color="auto" w:fill="F2F2F2" w:themeFill="background1" w:themeFillShade="F2"/>
            <w:vAlign w:val="center"/>
          </w:tcPr>
          <w:p w14:paraId="5710C41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850.78125</w:t>
            </w:r>
          </w:p>
        </w:tc>
        <w:tc>
          <w:tcPr>
            <w:tcW w:w="975" w:type="dxa"/>
            <w:vMerge w:val="restart"/>
            <w:shd w:val="clear" w:color="auto" w:fill="F2F2F2" w:themeFill="background1" w:themeFillShade="F2"/>
            <w:vAlign w:val="center"/>
          </w:tcPr>
          <w:p w14:paraId="393FB6E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850.7875</w:t>
            </w:r>
          </w:p>
        </w:tc>
        <w:tc>
          <w:tcPr>
            <w:tcW w:w="1009" w:type="dxa"/>
            <w:shd w:val="clear" w:color="auto" w:fill="F2F2F2" w:themeFill="background1" w:themeFillShade="F2"/>
            <w:vAlign w:val="center"/>
          </w:tcPr>
          <w:p w14:paraId="5C58316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805.78125</w:t>
            </w:r>
          </w:p>
        </w:tc>
        <w:tc>
          <w:tcPr>
            <w:tcW w:w="892" w:type="dxa"/>
            <w:vMerge w:val="restart"/>
            <w:shd w:val="clear" w:color="auto" w:fill="F2F2F2" w:themeFill="background1" w:themeFillShade="F2"/>
            <w:vAlign w:val="center"/>
          </w:tcPr>
          <w:p w14:paraId="3E6D125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805.7875</w:t>
            </w:r>
          </w:p>
        </w:tc>
      </w:tr>
      <w:tr w:rsidR="00071CEA" w:rsidRPr="00DD6B7E" w14:paraId="38B4736B" w14:textId="77777777" w:rsidTr="00A47BEA">
        <w:trPr>
          <w:tblHeader/>
        </w:trPr>
        <w:tc>
          <w:tcPr>
            <w:tcW w:w="851" w:type="dxa"/>
            <w:shd w:val="clear" w:color="auto" w:fill="F2F2F2" w:themeFill="background1" w:themeFillShade="F2"/>
            <w:vAlign w:val="center"/>
          </w:tcPr>
          <w:p w14:paraId="1FA638E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4</w:t>
            </w:r>
          </w:p>
        </w:tc>
        <w:tc>
          <w:tcPr>
            <w:tcW w:w="992" w:type="dxa"/>
            <w:shd w:val="clear" w:color="auto" w:fill="F2F2F2" w:themeFill="background1" w:themeFillShade="F2"/>
            <w:vAlign w:val="center"/>
          </w:tcPr>
          <w:p w14:paraId="46E1251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850.54375</w:t>
            </w:r>
          </w:p>
        </w:tc>
        <w:tc>
          <w:tcPr>
            <w:tcW w:w="992" w:type="dxa"/>
            <w:vMerge/>
            <w:shd w:val="clear" w:color="auto" w:fill="F2F2F2" w:themeFill="background1" w:themeFillShade="F2"/>
            <w:vAlign w:val="center"/>
          </w:tcPr>
          <w:p w14:paraId="4657FDC1"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38AEA34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805.54375</w:t>
            </w:r>
          </w:p>
        </w:tc>
        <w:tc>
          <w:tcPr>
            <w:tcW w:w="959" w:type="dxa"/>
            <w:vMerge/>
            <w:shd w:val="clear" w:color="auto" w:fill="F2F2F2" w:themeFill="background1" w:themeFillShade="F2"/>
            <w:vAlign w:val="center"/>
          </w:tcPr>
          <w:p w14:paraId="1EBA2C7D"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6749878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24</w:t>
            </w:r>
          </w:p>
        </w:tc>
        <w:tc>
          <w:tcPr>
            <w:tcW w:w="993" w:type="dxa"/>
            <w:shd w:val="clear" w:color="auto" w:fill="F2F2F2" w:themeFill="background1" w:themeFillShade="F2"/>
            <w:vAlign w:val="center"/>
          </w:tcPr>
          <w:p w14:paraId="0AE066B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850.79375</w:t>
            </w:r>
          </w:p>
        </w:tc>
        <w:tc>
          <w:tcPr>
            <w:tcW w:w="975" w:type="dxa"/>
            <w:vMerge/>
            <w:shd w:val="clear" w:color="auto" w:fill="F2F2F2" w:themeFill="background1" w:themeFillShade="F2"/>
            <w:vAlign w:val="center"/>
          </w:tcPr>
          <w:p w14:paraId="5DD21256"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5F16577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805.79375</w:t>
            </w:r>
          </w:p>
        </w:tc>
        <w:tc>
          <w:tcPr>
            <w:tcW w:w="892" w:type="dxa"/>
            <w:vMerge/>
            <w:shd w:val="clear" w:color="auto" w:fill="F2F2F2" w:themeFill="background1" w:themeFillShade="F2"/>
            <w:vAlign w:val="center"/>
          </w:tcPr>
          <w:p w14:paraId="772745FA" w14:textId="77777777" w:rsidR="00071CEA" w:rsidRPr="00DD6B7E" w:rsidRDefault="00071CEA" w:rsidP="00A47BEA">
            <w:pPr>
              <w:pStyle w:val="TableBody"/>
              <w:keepNext/>
              <w:keepLines/>
              <w:jc w:val="center"/>
              <w:rPr>
                <w:rFonts w:cs="Arial"/>
                <w:sz w:val="16"/>
                <w:szCs w:val="16"/>
              </w:rPr>
            </w:pPr>
          </w:p>
        </w:tc>
      </w:tr>
      <w:tr w:rsidR="00071CEA" w:rsidRPr="00DD6B7E" w14:paraId="7050C69F" w14:textId="77777777" w:rsidTr="00A47BEA">
        <w:trPr>
          <w:tblHeader/>
        </w:trPr>
        <w:tc>
          <w:tcPr>
            <w:tcW w:w="851" w:type="dxa"/>
            <w:shd w:val="clear" w:color="auto" w:fill="FFFFFF" w:themeFill="background1"/>
            <w:vAlign w:val="center"/>
          </w:tcPr>
          <w:p w14:paraId="7DBCA36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5</w:t>
            </w:r>
          </w:p>
        </w:tc>
        <w:tc>
          <w:tcPr>
            <w:tcW w:w="992" w:type="dxa"/>
            <w:shd w:val="clear" w:color="auto" w:fill="FFFFFF" w:themeFill="background1"/>
            <w:vAlign w:val="center"/>
          </w:tcPr>
          <w:p w14:paraId="48D607A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850.55625</w:t>
            </w:r>
          </w:p>
        </w:tc>
        <w:tc>
          <w:tcPr>
            <w:tcW w:w="992" w:type="dxa"/>
            <w:vMerge w:val="restart"/>
            <w:shd w:val="clear" w:color="auto" w:fill="FFFFFF" w:themeFill="background1"/>
            <w:vAlign w:val="center"/>
          </w:tcPr>
          <w:p w14:paraId="55F06C1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850.5625</w:t>
            </w:r>
          </w:p>
        </w:tc>
        <w:tc>
          <w:tcPr>
            <w:tcW w:w="993" w:type="dxa"/>
            <w:shd w:val="clear" w:color="auto" w:fill="FFFFFF" w:themeFill="background1"/>
            <w:vAlign w:val="center"/>
          </w:tcPr>
          <w:p w14:paraId="03702AD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805.55625</w:t>
            </w:r>
          </w:p>
        </w:tc>
        <w:tc>
          <w:tcPr>
            <w:tcW w:w="959" w:type="dxa"/>
            <w:vMerge w:val="restart"/>
            <w:shd w:val="clear" w:color="auto" w:fill="FFFFFF" w:themeFill="background1"/>
            <w:vAlign w:val="center"/>
          </w:tcPr>
          <w:p w14:paraId="01293F1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805.5625</w:t>
            </w:r>
          </w:p>
        </w:tc>
        <w:tc>
          <w:tcPr>
            <w:tcW w:w="883" w:type="dxa"/>
            <w:shd w:val="clear" w:color="auto" w:fill="FFFFFF" w:themeFill="background1"/>
            <w:vAlign w:val="center"/>
          </w:tcPr>
          <w:p w14:paraId="266566C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25</w:t>
            </w:r>
          </w:p>
        </w:tc>
        <w:tc>
          <w:tcPr>
            <w:tcW w:w="993" w:type="dxa"/>
            <w:shd w:val="clear" w:color="auto" w:fill="FFFFFF" w:themeFill="background1"/>
            <w:vAlign w:val="center"/>
          </w:tcPr>
          <w:p w14:paraId="1B241CC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850.80625</w:t>
            </w:r>
          </w:p>
        </w:tc>
        <w:tc>
          <w:tcPr>
            <w:tcW w:w="975" w:type="dxa"/>
            <w:vMerge w:val="restart"/>
            <w:shd w:val="clear" w:color="auto" w:fill="FFFFFF" w:themeFill="background1"/>
            <w:vAlign w:val="center"/>
          </w:tcPr>
          <w:p w14:paraId="5371171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850.8125</w:t>
            </w:r>
          </w:p>
        </w:tc>
        <w:tc>
          <w:tcPr>
            <w:tcW w:w="1009" w:type="dxa"/>
            <w:shd w:val="clear" w:color="auto" w:fill="FFFFFF" w:themeFill="background1"/>
            <w:vAlign w:val="center"/>
          </w:tcPr>
          <w:p w14:paraId="3490655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805.80625</w:t>
            </w:r>
          </w:p>
        </w:tc>
        <w:tc>
          <w:tcPr>
            <w:tcW w:w="892" w:type="dxa"/>
            <w:vMerge w:val="restart"/>
            <w:shd w:val="clear" w:color="auto" w:fill="FFFFFF" w:themeFill="background1"/>
            <w:vAlign w:val="center"/>
          </w:tcPr>
          <w:p w14:paraId="228C02B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805.8125</w:t>
            </w:r>
          </w:p>
        </w:tc>
      </w:tr>
      <w:tr w:rsidR="00071CEA" w:rsidRPr="00DD6B7E" w14:paraId="4F98A9B9" w14:textId="77777777" w:rsidTr="00A47BEA">
        <w:trPr>
          <w:tblHeader/>
        </w:trPr>
        <w:tc>
          <w:tcPr>
            <w:tcW w:w="851" w:type="dxa"/>
            <w:shd w:val="clear" w:color="auto" w:fill="FFFFFF" w:themeFill="background1"/>
            <w:vAlign w:val="center"/>
          </w:tcPr>
          <w:p w14:paraId="65E0BF0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6</w:t>
            </w:r>
          </w:p>
        </w:tc>
        <w:tc>
          <w:tcPr>
            <w:tcW w:w="992" w:type="dxa"/>
            <w:shd w:val="clear" w:color="auto" w:fill="FFFFFF" w:themeFill="background1"/>
            <w:vAlign w:val="center"/>
          </w:tcPr>
          <w:p w14:paraId="7A0DD77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850.56875</w:t>
            </w:r>
          </w:p>
        </w:tc>
        <w:tc>
          <w:tcPr>
            <w:tcW w:w="992" w:type="dxa"/>
            <w:vMerge/>
            <w:shd w:val="clear" w:color="auto" w:fill="FFFFFF" w:themeFill="background1"/>
            <w:vAlign w:val="center"/>
          </w:tcPr>
          <w:p w14:paraId="000F1113"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5D0EC5A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805.56875</w:t>
            </w:r>
          </w:p>
        </w:tc>
        <w:tc>
          <w:tcPr>
            <w:tcW w:w="959" w:type="dxa"/>
            <w:vMerge/>
            <w:shd w:val="clear" w:color="auto" w:fill="FFFFFF" w:themeFill="background1"/>
            <w:vAlign w:val="center"/>
          </w:tcPr>
          <w:p w14:paraId="1AC1FAB4"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EBB9AB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26</w:t>
            </w:r>
          </w:p>
        </w:tc>
        <w:tc>
          <w:tcPr>
            <w:tcW w:w="993" w:type="dxa"/>
            <w:shd w:val="clear" w:color="auto" w:fill="FFFFFF" w:themeFill="background1"/>
            <w:vAlign w:val="center"/>
          </w:tcPr>
          <w:p w14:paraId="1E2C2C3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850.81875</w:t>
            </w:r>
          </w:p>
        </w:tc>
        <w:tc>
          <w:tcPr>
            <w:tcW w:w="975" w:type="dxa"/>
            <w:vMerge/>
            <w:shd w:val="clear" w:color="auto" w:fill="FFFFFF" w:themeFill="background1"/>
            <w:vAlign w:val="center"/>
          </w:tcPr>
          <w:p w14:paraId="1FA8EE82"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2ED2B15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805.81875</w:t>
            </w:r>
          </w:p>
        </w:tc>
        <w:tc>
          <w:tcPr>
            <w:tcW w:w="892" w:type="dxa"/>
            <w:vMerge/>
            <w:shd w:val="clear" w:color="auto" w:fill="FFFFFF" w:themeFill="background1"/>
            <w:vAlign w:val="center"/>
          </w:tcPr>
          <w:p w14:paraId="63EB2934" w14:textId="77777777" w:rsidR="00071CEA" w:rsidRPr="00DD6B7E" w:rsidRDefault="00071CEA" w:rsidP="00A47BEA">
            <w:pPr>
              <w:pStyle w:val="TableBody"/>
              <w:keepNext/>
              <w:keepLines/>
              <w:jc w:val="center"/>
              <w:rPr>
                <w:rFonts w:cs="Arial"/>
                <w:sz w:val="16"/>
                <w:szCs w:val="16"/>
              </w:rPr>
            </w:pPr>
          </w:p>
        </w:tc>
      </w:tr>
      <w:tr w:rsidR="00071CEA" w:rsidRPr="00DD6B7E" w14:paraId="524822A2" w14:textId="77777777" w:rsidTr="00A47BEA">
        <w:trPr>
          <w:tblHeader/>
        </w:trPr>
        <w:tc>
          <w:tcPr>
            <w:tcW w:w="851" w:type="dxa"/>
            <w:shd w:val="clear" w:color="auto" w:fill="F2F2F2" w:themeFill="background1" w:themeFillShade="F2"/>
            <w:vAlign w:val="center"/>
          </w:tcPr>
          <w:p w14:paraId="2EB4056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7</w:t>
            </w:r>
          </w:p>
        </w:tc>
        <w:tc>
          <w:tcPr>
            <w:tcW w:w="992" w:type="dxa"/>
            <w:shd w:val="clear" w:color="auto" w:fill="F2F2F2" w:themeFill="background1" w:themeFillShade="F2"/>
            <w:vAlign w:val="center"/>
          </w:tcPr>
          <w:p w14:paraId="4B3F5F0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850.58125</w:t>
            </w:r>
          </w:p>
        </w:tc>
        <w:tc>
          <w:tcPr>
            <w:tcW w:w="992" w:type="dxa"/>
            <w:vMerge w:val="restart"/>
            <w:shd w:val="clear" w:color="auto" w:fill="F2F2F2" w:themeFill="background1" w:themeFillShade="F2"/>
            <w:vAlign w:val="center"/>
          </w:tcPr>
          <w:p w14:paraId="592CCAD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850.5875</w:t>
            </w:r>
          </w:p>
        </w:tc>
        <w:tc>
          <w:tcPr>
            <w:tcW w:w="993" w:type="dxa"/>
            <w:shd w:val="clear" w:color="auto" w:fill="F2F2F2" w:themeFill="background1" w:themeFillShade="F2"/>
            <w:vAlign w:val="center"/>
          </w:tcPr>
          <w:p w14:paraId="266E37E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805.58125</w:t>
            </w:r>
          </w:p>
        </w:tc>
        <w:tc>
          <w:tcPr>
            <w:tcW w:w="959" w:type="dxa"/>
            <w:vMerge w:val="restart"/>
            <w:shd w:val="clear" w:color="auto" w:fill="F2F2F2" w:themeFill="background1" w:themeFillShade="F2"/>
            <w:vAlign w:val="center"/>
          </w:tcPr>
          <w:p w14:paraId="6D64642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805.5875</w:t>
            </w:r>
          </w:p>
        </w:tc>
        <w:tc>
          <w:tcPr>
            <w:tcW w:w="883" w:type="dxa"/>
            <w:shd w:val="clear" w:color="auto" w:fill="F2F2F2" w:themeFill="background1" w:themeFillShade="F2"/>
            <w:vAlign w:val="center"/>
          </w:tcPr>
          <w:p w14:paraId="3F63ED76"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27</w:t>
            </w:r>
          </w:p>
        </w:tc>
        <w:tc>
          <w:tcPr>
            <w:tcW w:w="993" w:type="dxa"/>
            <w:shd w:val="clear" w:color="auto" w:fill="F2F2F2" w:themeFill="background1" w:themeFillShade="F2"/>
            <w:vAlign w:val="center"/>
          </w:tcPr>
          <w:p w14:paraId="77999CE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850.83125</w:t>
            </w:r>
          </w:p>
        </w:tc>
        <w:tc>
          <w:tcPr>
            <w:tcW w:w="975" w:type="dxa"/>
            <w:vMerge w:val="restart"/>
            <w:shd w:val="clear" w:color="auto" w:fill="F2F2F2" w:themeFill="background1" w:themeFillShade="F2"/>
            <w:vAlign w:val="center"/>
          </w:tcPr>
          <w:p w14:paraId="5B2576B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850.8375</w:t>
            </w:r>
          </w:p>
        </w:tc>
        <w:tc>
          <w:tcPr>
            <w:tcW w:w="1009" w:type="dxa"/>
            <w:shd w:val="clear" w:color="auto" w:fill="F2F2F2" w:themeFill="background1" w:themeFillShade="F2"/>
            <w:vAlign w:val="center"/>
          </w:tcPr>
          <w:p w14:paraId="4747AC2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805.83125</w:t>
            </w:r>
          </w:p>
        </w:tc>
        <w:tc>
          <w:tcPr>
            <w:tcW w:w="892" w:type="dxa"/>
            <w:vMerge w:val="restart"/>
            <w:shd w:val="clear" w:color="auto" w:fill="F2F2F2" w:themeFill="background1" w:themeFillShade="F2"/>
            <w:vAlign w:val="center"/>
          </w:tcPr>
          <w:p w14:paraId="23A37EE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805.8375</w:t>
            </w:r>
          </w:p>
        </w:tc>
      </w:tr>
      <w:tr w:rsidR="00071CEA" w:rsidRPr="00DD6B7E" w14:paraId="2EDA60E9" w14:textId="77777777" w:rsidTr="00A47BEA">
        <w:trPr>
          <w:tblHeader/>
        </w:trPr>
        <w:tc>
          <w:tcPr>
            <w:tcW w:w="851" w:type="dxa"/>
            <w:shd w:val="clear" w:color="auto" w:fill="F2F2F2" w:themeFill="background1" w:themeFillShade="F2"/>
            <w:vAlign w:val="center"/>
          </w:tcPr>
          <w:p w14:paraId="34657BF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8</w:t>
            </w:r>
          </w:p>
        </w:tc>
        <w:tc>
          <w:tcPr>
            <w:tcW w:w="992" w:type="dxa"/>
            <w:shd w:val="clear" w:color="auto" w:fill="F2F2F2" w:themeFill="background1" w:themeFillShade="F2"/>
            <w:vAlign w:val="center"/>
          </w:tcPr>
          <w:p w14:paraId="345187C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850.59375</w:t>
            </w:r>
          </w:p>
        </w:tc>
        <w:tc>
          <w:tcPr>
            <w:tcW w:w="992" w:type="dxa"/>
            <w:vMerge/>
            <w:shd w:val="clear" w:color="auto" w:fill="F2F2F2" w:themeFill="background1" w:themeFillShade="F2"/>
            <w:vAlign w:val="center"/>
          </w:tcPr>
          <w:p w14:paraId="36D296FD"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47F73C8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805.59375</w:t>
            </w:r>
          </w:p>
        </w:tc>
        <w:tc>
          <w:tcPr>
            <w:tcW w:w="959" w:type="dxa"/>
            <w:vMerge/>
            <w:shd w:val="clear" w:color="auto" w:fill="F2F2F2" w:themeFill="background1" w:themeFillShade="F2"/>
            <w:vAlign w:val="center"/>
          </w:tcPr>
          <w:p w14:paraId="72D8FD79"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980F84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28</w:t>
            </w:r>
          </w:p>
        </w:tc>
        <w:tc>
          <w:tcPr>
            <w:tcW w:w="993" w:type="dxa"/>
            <w:shd w:val="clear" w:color="auto" w:fill="F2F2F2" w:themeFill="background1" w:themeFillShade="F2"/>
            <w:vAlign w:val="center"/>
          </w:tcPr>
          <w:p w14:paraId="33C1963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850.84375</w:t>
            </w:r>
          </w:p>
        </w:tc>
        <w:tc>
          <w:tcPr>
            <w:tcW w:w="975" w:type="dxa"/>
            <w:vMerge/>
            <w:shd w:val="clear" w:color="auto" w:fill="F2F2F2" w:themeFill="background1" w:themeFillShade="F2"/>
            <w:vAlign w:val="center"/>
          </w:tcPr>
          <w:p w14:paraId="24AD387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245CF23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805.84375</w:t>
            </w:r>
          </w:p>
        </w:tc>
        <w:tc>
          <w:tcPr>
            <w:tcW w:w="892" w:type="dxa"/>
            <w:vMerge/>
            <w:shd w:val="clear" w:color="auto" w:fill="FFFFFF" w:themeFill="background1"/>
            <w:vAlign w:val="center"/>
          </w:tcPr>
          <w:p w14:paraId="1CC43964" w14:textId="77777777" w:rsidR="00071CEA" w:rsidRPr="00DD6B7E" w:rsidRDefault="00071CEA" w:rsidP="00A47BEA">
            <w:pPr>
              <w:pStyle w:val="TableBody"/>
              <w:keepNext/>
              <w:keepLines/>
              <w:jc w:val="center"/>
              <w:rPr>
                <w:rFonts w:cs="Arial"/>
                <w:sz w:val="16"/>
                <w:szCs w:val="16"/>
              </w:rPr>
            </w:pPr>
          </w:p>
        </w:tc>
      </w:tr>
      <w:tr w:rsidR="00071CEA" w:rsidRPr="00DD6B7E" w14:paraId="1D890AC8" w14:textId="77777777" w:rsidTr="00A47BEA">
        <w:trPr>
          <w:tblHeader/>
        </w:trPr>
        <w:tc>
          <w:tcPr>
            <w:tcW w:w="851" w:type="dxa"/>
            <w:shd w:val="clear" w:color="auto" w:fill="FFFFFF" w:themeFill="background1"/>
            <w:vAlign w:val="center"/>
          </w:tcPr>
          <w:p w14:paraId="0AC48B3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9</w:t>
            </w:r>
          </w:p>
        </w:tc>
        <w:tc>
          <w:tcPr>
            <w:tcW w:w="992" w:type="dxa"/>
            <w:shd w:val="clear" w:color="auto" w:fill="FFFFFF" w:themeFill="background1"/>
            <w:vAlign w:val="center"/>
          </w:tcPr>
          <w:p w14:paraId="311E464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850.60625</w:t>
            </w:r>
          </w:p>
        </w:tc>
        <w:tc>
          <w:tcPr>
            <w:tcW w:w="992" w:type="dxa"/>
            <w:vMerge w:val="restart"/>
            <w:shd w:val="clear" w:color="auto" w:fill="FFFFFF" w:themeFill="background1"/>
            <w:vAlign w:val="center"/>
          </w:tcPr>
          <w:p w14:paraId="717BD91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850.6125</w:t>
            </w:r>
          </w:p>
        </w:tc>
        <w:tc>
          <w:tcPr>
            <w:tcW w:w="993" w:type="dxa"/>
            <w:shd w:val="clear" w:color="auto" w:fill="FFFFFF" w:themeFill="background1"/>
            <w:vAlign w:val="center"/>
          </w:tcPr>
          <w:p w14:paraId="3743BDB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805.60625</w:t>
            </w:r>
          </w:p>
        </w:tc>
        <w:tc>
          <w:tcPr>
            <w:tcW w:w="959" w:type="dxa"/>
            <w:vMerge w:val="restart"/>
            <w:shd w:val="clear" w:color="auto" w:fill="FFFFFF" w:themeFill="background1"/>
            <w:vAlign w:val="center"/>
          </w:tcPr>
          <w:p w14:paraId="3CD0F8A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805.6125</w:t>
            </w:r>
          </w:p>
        </w:tc>
        <w:tc>
          <w:tcPr>
            <w:tcW w:w="883" w:type="dxa"/>
            <w:shd w:val="clear" w:color="auto" w:fill="FFFFFF" w:themeFill="background1"/>
            <w:vAlign w:val="center"/>
          </w:tcPr>
          <w:p w14:paraId="37E0183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29</w:t>
            </w:r>
          </w:p>
        </w:tc>
        <w:tc>
          <w:tcPr>
            <w:tcW w:w="993" w:type="dxa"/>
            <w:shd w:val="clear" w:color="auto" w:fill="FFFFFF" w:themeFill="background1"/>
            <w:vAlign w:val="center"/>
          </w:tcPr>
          <w:p w14:paraId="2B0D4E3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850.85625</w:t>
            </w:r>
          </w:p>
        </w:tc>
        <w:tc>
          <w:tcPr>
            <w:tcW w:w="975" w:type="dxa"/>
            <w:vMerge w:val="restart"/>
            <w:shd w:val="clear" w:color="auto" w:fill="FFFFFF" w:themeFill="background1"/>
            <w:vAlign w:val="center"/>
          </w:tcPr>
          <w:p w14:paraId="387D9CB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850.8625</w:t>
            </w:r>
          </w:p>
        </w:tc>
        <w:tc>
          <w:tcPr>
            <w:tcW w:w="1009" w:type="dxa"/>
            <w:shd w:val="clear" w:color="auto" w:fill="FFFFFF" w:themeFill="background1"/>
            <w:vAlign w:val="center"/>
          </w:tcPr>
          <w:p w14:paraId="45F12BE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805.85625</w:t>
            </w:r>
          </w:p>
        </w:tc>
        <w:tc>
          <w:tcPr>
            <w:tcW w:w="892" w:type="dxa"/>
            <w:vMerge w:val="restart"/>
            <w:shd w:val="clear" w:color="auto" w:fill="FFFFFF" w:themeFill="background1"/>
            <w:vAlign w:val="center"/>
          </w:tcPr>
          <w:p w14:paraId="502E5BE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805.8625</w:t>
            </w:r>
          </w:p>
        </w:tc>
      </w:tr>
      <w:tr w:rsidR="00071CEA" w:rsidRPr="00DD6B7E" w14:paraId="6152585A" w14:textId="77777777" w:rsidTr="00A47BEA">
        <w:trPr>
          <w:tblHeader/>
        </w:trPr>
        <w:tc>
          <w:tcPr>
            <w:tcW w:w="851" w:type="dxa"/>
            <w:shd w:val="clear" w:color="auto" w:fill="FFFFFF" w:themeFill="background1"/>
            <w:vAlign w:val="center"/>
          </w:tcPr>
          <w:p w14:paraId="2D6F6E4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10</w:t>
            </w:r>
          </w:p>
        </w:tc>
        <w:tc>
          <w:tcPr>
            <w:tcW w:w="992" w:type="dxa"/>
            <w:shd w:val="clear" w:color="auto" w:fill="FFFFFF" w:themeFill="background1"/>
            <w:vAlign w:val="center"/>
          </w:tcPr>
          <w:p w14:paraId="26E6688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850.61875</w:t>
            </w:r>
          </w:p>
        </w:tc>
        <w:tc>
          <w:tcPr>
            <w:tcW w:w="992" w:type="dxa"/>
            <w:vMerge/>
            <w:shd w:val="clear" w:color="auto" w:fill="FFFFFF" w:themeFill="background1"/>
            <w:vAlign w:val="center"/>
          </w:tcPr>
          <w:p w14:paraId="704572A9"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334CB94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805.61875</w:t>
            </w:r>
          </w:p>
        </w:tc>
        <w:tc>
          <w:tcPr>
            <w:tcW w:w="959" w:type="dxa"/>
            <w:vMerge/>
            <w:shd w:val="clear" w:color="auto" w:fill="FFFFFF" w:themeFill="background1"/>
            <w:vAlign w:val="center"/>
          </w:tcPr>
          <w:p w14:paraId="216BAFD5"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3B454137"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30</w:t>
            </w:r>
          </w:p>
        </w:tc>
        <w:tc>
          <w:tcPr>
            <w:tcW w:w="993" w:type="dxa"/>
            <w:shd w:val="clear" w:color="auto" w:fill="FFFFFF" w:themeFill="background1"/>
            <w:vAlign w:val="center"/>
          </w:tcPr>
          <w:p w14:paraId="6AE3B5B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850.86875</w:t>
            </w:r>
          </w:p>
        </w:tc>
        <w:tc>
          <w:tcPr>
            <w:tcW w:w="975" w:type="dxa"/>
            <w:vMerge/>
            <w:shd w:val="clear" w:color="auto" w:fill="FFFFFF" w:themeFill="background1"/>
            <w:vAlign w:val="center"/>
          </w:tcPr>
          <w:p w14:paraId="3CBF2C69"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0D17869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805.86875</w:t>
            </w:r>
          </w:p>
        </w:tc>
        <w:tc>
          <w:tcPr>
            <w:tcW w:w="892" w:type="dxa"/>
            <w:vMerge/>
            <w:shd w:val="clear" w:color="auto" w:fill="FFFFFF" w:themeFill="background1"/>
            <w:vAlign w:val="center"/>
          </w:tcPr>
          <w:p w14:paraId="5A9355E0" w14:textId="77777777" w:rsidR="00071CEA" w:rsidRPr="00DD6B7E" w:rsidRDefault="00071CEA" w:rsidP="00A47BEA">
            <w:pPr>
              <w:pStyle w:val="TableBody"/>
              <w:keepNext/>
              <w:keepLines/>
              <w:jc w:val="center"/>
              <w:rPr>
                <w:rFonts w:cs="Arial"/>
                <w:sz w:val="16"/>
                <w:szCs w:val="16"/>
              </w:rPr>
            </w:pPr>
          </w:p>
        </w:tc>
      </w:tr>
      <w:tr w:rsidR="00071CEA" w:rsidRPr="00DD6B7E" w14:paraId="3A594911" w14:textId="77777777" w:rsidTr="00A47BEA">
        <w:trPr>
          <w:tblHeader/>
        </w:trPr>
        <w:tc>
          <w:tcPr>
            <w:tcW w:w="851" w:type="dxa"/>
            <w:shd w:val="clear" w:color="auto" w:fill="F2F2F2" w:themeFill="background1" w:themeFillShade="F2"/>
            <w:vAlign w:val="center"/>
          </w:tcPr>
          <w:p w14:paraId="2F1456B4"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11</w:t>
            </w:r>
          </w:p>
        </w:tc>
        <w:tc>
          <w:tcPr>
            <w:tcW w:w="992" w:type="dxa"/>
            <w:shd w:val="clear" w:color="auto" w:fill="F2F2F2" w:themeFill="background1" w:themeFillShade="F2"/>
            <w:vAlign w:val="center"/>
          </w:tcPr>
          <w:p w14:paraId="3A4F015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850.63125</w:t>
            </w:r>
          </w:p>
        </w:tc>
        <w:tc>
          <w:tcPr>
            <w:tcW w:w="992" w:type="dxa"/>
            <w:vMerge w:val="restart"/>
            <w:shd w:val="clear" w:color="auto" w:fill="F2F2F2" w:themeFill="background1" w:themeFillShade="F2"/>
            <w:vAlign w:val="center"/>
          </w:tcPr>
          <w:p w14:paraId="03F3718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850.6375</w:t>
            </w:r>
          </w:p>
        </w:tc>
        <w:tc>
          <w:tcPr>
            <w:tcW w:w="993" w:type="dxa"/>
            <w:shd w:val="clear" w:color="auto" w:fill="F2F2F2" w:themeFill="background1" w:themeFillShade="F2"/>
            <w:vAlign w:val="center"/>
          </w:tcPr>
          <w:p w14:paraId="2D56F26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805.63125</w:t>
            </w:r>
          </w:p>
        </w:tc>
        <w:tc>
          <w:tcPr>
            <w:tcW w:w="959" w:type="dxa"/>
            <w:vMerge w:val="restart"/>
            <w:shd w:val="clear" w:color="auto" w:fill="F2F2F2" w:themeFill="background1" w:themeFillShade="F2"/>
            <w:vAlign w:val="center"/>
          </w:tcPr>
          <w:p w14:paraId="7B9D3EC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805.6375</w:t>
            </w:r>
          </w:p>
        </w:tc>
        <w:tc>
          <w:tcPr>
            <w:tcW w:w="883" w:type="dxa"/>
            <w:shd w:val="clear" w:color="auto" w:fill="F2F2F2" w:themeFill="background1" w:themeFillShade="F2"/>
            <w:vAlign w:val="center"/>
          </w:tcPr>
          <w:p w14:paraId="5A7DC2A3"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31</w:t>
            </w:r>
          </w:p>
        </w:tc>
        <w:tc>
          <w:tcPr>
            <w:tcW w:w="993" w:type="dxa"/>
            <w:shd w:val="clear" w:color="auto" w:fill="F2F2F2" w:themeFill="background1" w:themeFillShade="F2"/>
            <w:vAlign w:val="center"/>
          </w:tcPr>
          <w:p w14:paraId="25A0D48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850.88125</w:t>
            </w:r>
          </w:p>
        </w:tc>
        <w:tc>
          <w:tcPr>
            <w:tcW w:w="975" w:type="dxa"/>
            <w:vMerge w:val="restart"/>
            <w:shd w:val="clear" w:color="auto" w:fill="F2F2F2" w:themeFill="background1" w:themeFillShade="F2"/>
            <w:vAlign w:val="center"/>
          </w:tcPr>
          <w:p w14:paraId="2606662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850.8875</w:t>
            </w:r>
          </w:p>
        </w:tc>
        <w:tc>
          <w:tcPr>
            <w:tcW w:w="1009" w:type="dxa"/>
            <w:shd w:val="clear" w:color="auto" w:fill="F2F2F2" w:themeFill="background1" w:themeFillShade="F2"/>
            <w:vAlign w:val="center"/>
          </w:tcPr>
          <w:p w14:paraId="5E89027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805.88125</w:t>
            </w:r>
          </w:p>
        </w:tc>
        <w:tc>
          <w:tcPr>
            <w:tcW w:w="892" w:type="dxa"/>
            <w:vMerge w:val="restart"/>
            <w:shd w:val="clear" w:color="auto" w:fill="F2F2F2" w:themeFill="background1" w:themeFillShade="F2"/>
            <w:vAlign w:val="center"/>
          </w:tcPr>
          <w:p w14:paraId="492F659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805.8875</w:t>
            </w:r>
          </w:p>
        </w:tc>
      </w:tr>
      <w:tr w:rsidR="00071CEA" w:rsidRPr="00DD6B7E" w14:paraId="69322856" w14:textId="77777777" w:rsidTr="00A47BEA">
        <w:trPr>
          <w:tblHeader/>
        </w:trPr>
        <w:tc>
          <w:tcPr>
            <w:tcW w:w="851" w:type="dxa"/>
            <w:shd w:val="clear" w:color="auto" w:fill="F2F2F2" w:themeFill="background1" w:themeFillShade="F2"/>
            <w:vAlign w:val="center"/>
          </w:tcPr>
          <w:p w14:paraId="0E54EAA5"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12</w:t>
            </w:r>
          </w:p>
        </w:tc>
        <w:tc>
          <w:tcPr>
            <w:tcW w:w="992" w:type="dxa"/>
            <w:shd w:val="clear" w:color="auto" w:fill="F2F2F2" w:themeFill="background1" w:themeFillShade="F2"/>
            <w:vAlign w:val="center"/>
          </w:tcPr>
          <w:p w14:paraId="6ABA6AC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850.64375</w:t>
            </w:r>
          </w:p>
        </w:tc>
        <w:tc>
          <w:tcPr>
            <w:tcW w:w="992" w:type="dxa"/>
            <w:vMerge/>
            <w:shd w:val="clear" w:color="auto" w:fill="F2F2F2" w:themeFill="background1" w:themeFillShade="F2"/>
            <w:vAlign w:val="center"/>
          </w:tcPr>
          <w:p w14:paraId="0C9EF591"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493F61AA"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805.64375</w:t>
            </w:r>
          </w:p>
        </w:tc>
        <w:tc>
          <w:tcPr>
            <w:tcW w:w="959" w:type="dxa"/>
            <w:vMerge/>
            <w:shd w:val="clear" w:color="auto" w:fill="F2F2F2" w:themeFill="background1" w:themeFillShade="F2"/>
            <w:vAlign w:val="center"/>
          </w:tcPr>
          <w:p w14:paraId="1F92941F"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5549292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32</w:t>
            </w:r>
          </w:p>
        </w:tc>
        <w:tc>
          <w:tcPr>
            <w:tcW w:w="993" w:type="dxa"/>
            <w:shd w:val="clear" w:color="auto" w:fill="F2F2F2" w:themeFill="background1" w:themeFillShade="F2"/>
            <w:vAlign w:val="center"/>
          </w:tcPr>
          <w:p w14:paraId="72BD7AD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850.89375</w:t>
            </w:r>
          </w:p>
        </w:tc>
        <w:tc>
          <w:tcPr>
            <w:tcW w:w="975" w:type="dxa"/>
            <w:vMerge/>
            <w:shd w:val="clear" w:color="auto" w:fill="F2F2F2" w:themeFill="background1" w:themeFillShade="F2"/>
            <w:vAlign w:val="center"/>
          </w:tcPr>
          <w:p w14:paraId="6A1F501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4E51750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805.89375</w:t>
            </w:r>
          </w:p>
        </w:tc>
        <w:tc>
          <w:tcPr>
            <w:tcW w:w="892" w:type="dxa"/>
            <w:vMerge/>
            <w:shd w:val="clear" w:color="auto" w:fill="F2F2F2" w:themeFill="background1" w:themeFillShade="F2"/>
            <w:vAlign w:val="center"/>
          </w:tcPr>
          <w:p w14:paraId="26035720" w14:textId="77777777" w:rsidR="00071CEA" w:rsidRPr="00DD6B7E" w:rsidRDefault="00071CEA" w:rsidP="00A47BEA">
            <w:pPr>
              <w:pStyle w:val="TableBody"/>
              <w:keepNext/>
              <w:keepLines/>
              <w:jc w:val="center"/>
              <w:rPr>
                <w:rFonts w:cs="Arial"/>
                <w:sz w:val="16"/>
                <w:szCs w:val="16"/>
              </w:rPr>
            </w:pPr>
          </w:p>
        </w:tc>
      </w:tr>
      <w:tr w:rsidR="00071CEA" w:rsidRPr="00DD6B7E" w14:paraId="388CC164" w14:textId="77777777" w:rsidTr="00A47BEA">
        <w:trPr>
          <w:tblHeader/>
        </w:trPr>
        <w:tc>
          <w:tcPr>
            <w:tcW w:w="851" w:type="dxa"/>
            <w:shd w:val="clear" w:color="auto" w:fill="FFFFFF" w:themeFill="background1"/>
            <w:vAlign w:val="center"/>
          </w:tcPr>
          <w:p w14:paraId="4442508C"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13</w:t>
            </w:r>
          </w:p>
        </w:tc>
        <w:tc>
          <w:tcPr>
            <w:tcW w:w="992" w:type="dxa"/>
            <w:shd w:val="clear" w:color="auto" w:fill="FFFFFF" w:themeFill="background1"/>
            <w:vAlign w:val="center"/>
          </w:tcPr>
          <w:p w14:paraId="3F18D48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850.65625</w:t>
            </w:r>
          </w:p>
        </w:tc>
        <w:tc>
          <w:tcPr>
            <w:tcW w:w="992" w:type="dxa"/>
            <w:vMerge w:val="restart"/>
            <w:shd w:val="clear" w:color="auto" w:fill="FFFFFF" w:themeFill="background1"/>
            <w:vAlign w:val="center"/>
          </w:tcPr>
          <w:p w14:paraId="369D94A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850.6625</w:t>
            </w:r>
          </w:p>
        </w:tc>
        <w:tc>
          <w:tcPr>
            <w:tcW w:w="993" w:type="dxa"/>
            <w:shd w:val="clear" w:color="auto" w:fill="FFFFFF" w:themeFill="background1"/>
            <w:vAlign w:val="center"/>
          </w:tcPr>
          <w:p w14:paraId="565BEC0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805.65625</w:t>
            </w:r>
          </w:p>
        </w:tc>
        <w:tc>
          <w:tcPr>
            <w:tcW w:w="959" w:type="dxa"/>
            <w:vMerge w:val="restart"/>
            <w:shd w:val="clear" w:color="auto" w:fill="FFFFFF" w:themeFill="background1"/>
            <w:vAlign w:val="center"/>
          </w:tcPr>
          <w:p w14:paraId="1F7ADF4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805.6625</w:t>
            </w:r>
          </w:p>
        </w:tc>
        <w:tc>
          <w:tcPr>
            <w:tcW w:w="883" w:type="dxa"/>
            <w:shd w:val="clear" w:color="auto" w:fill="FFFFFF" w:themeFill="background1"/>
            <w:vAlign w:val="center"/>
          </w:tcPr>
          <w:p w14:paraId="47D5522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33</w:t>
            </w:r>
          </w:p>
        </w:tc>
        <w:tc>
          <w:tcPr>
            <w:tcW w:w="993" w:type="dxa"/>
            <w:shd w:val="clear" w:color="auto" w:fill="FFFFFF" w:themeFill="background1"/>
            <w:vAlign w:val="center"/>
          </w:tcPr>
          <w:p w14:paraId="5DBCAEE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850.90625</w:t>
            </w:r>
          </w:p>
        </w:tc>
        <w:tc>
          <w:tcPr>
            <w:tcW w:w="975" w:type="dxa"/>
            <w:vMerge w:val="restart"/>
            <w:shd w:val="clear" w:color="auto" w:fill="FFFFFF" w:themeFill="background1"/>
            <w:vAlign w:val="center"/>
          </w:tcPr>
          <w:p w14:paraId="2A8FAC5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850.9125</w:t>
            </w:r>
          </w:p>
        </w:tc>
        <w:tc>
          <w:tcPr>
            <w:tcW w:w="1009" w:type="dxa"/>
            <w:shd w:val="clear" w:color="auto" w:fill="FFFFFF" w:themeFill="background1"/>
            <w:vAlign w:val="center"/>
          </w:tcPr>
          <w:p w14:paraId="64D445B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805.90625</w:t>
            </w:r>
          </w:p>
        </w:tc>
        <w:tc>
          <w:tcPr>
            <w:tcW w:w="892" w:type="dxa"/>
            <w:vMerge w:val="restart"/>
            <w:shd w:val="clear" w:color="auto" w:fill="FFFFFF" w:themeFill="background1"/>
            <w:vAlign w:val="center"/>
          </w:tcPr>
          <w:p w14:paraId="3E82BCA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805.9125</w:t>
            </w:r>
          </w:p>
        </w:tc>
      </w:tr>
      <w:tr w:rsidR="00071CEA" w:rsidRPr="00DD6B7E" w14:paraId="36F28556" w14:textId="77777777" w:rsidTr="00A47BEA">
        <w:trPr>
          <w:tblHeader/>
        </w:trPr>
        <w:tc>
          <w:tcPr>
            <w:tcW w:w="851" w:type="dxa"/>
            <w:shd w:val="clear" w:color="auto" w:fill="FFFFFF" w:themeFill="background1"/>
            <w:vAlign w:val="center"/>
          </w:tcPr>
          <w:p w14:paraId="0AE3E7E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14</w:t>
            </w:r>
          </w:p>
        </w:tc>
        <w:tc>
          <w:tcPr>
            <w:tcW w:w="992" w:type="dxa"/>
            <w:shd w:val="clear" w:color="auto" w:fill="FFFFFF" w:themeFill="background1"/>
            <w:vAlign w:val="center"/>
          </w:tcPr>
          <w:p w14:paraId="64455DB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850.66875</w:t>
            </w:r>
          </w:p>
        </w:tc>
        <w:tc>
          <w:tcPr>
            <w:tcW w:w="992" w:type="dxa"/>
            <w:vMerge/>
            <w:shd w:val="clear" w:color="auto" w:fill="FFFFFF" w:themeFill="background1"/>
            <w:vAlign w:val="center"/>
          </w:tcPr>
          <w:p w14:paraId="54282D09"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2454950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805.66875</w:t>
            </w:r>
          </w:p>
        </w:tc>
        <w:tc>
          <w:tcPr>
            <w:tcW w:w="959" w:type="dxa"/>
            <w:vMerge/>
            <w:shd w:val="clear" w:color="auto" w:fill="FFFFFF" w:themeFill="background1"/>
            <w:vAlign w:val="center"/>
          </w:tcPr>
          <w:p w14:paraId="5BE5F074"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1F4673D9"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34</w:t>
            </w:r>
          </w:p>
        </w:tc>
        <w:tc>
          <w:tcPr>
            <w:tcW w:w="993" w:type="dxa"/>
            <w:shd w:val="clear" w:color="auto" w:fill="FFFFFF" w:themeFill="background1"/>
            <w:vAlign w:val="center"/>
          </w:tcPr>
          <w:p w14:paraId="6CD7204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850.91875</w:t>
            </w:r>
          </w:p>
        </w:tc>
        <w:tc>
          <w:tcPr>
            <w:tcW w:w="975" w:type="dxa"/>
            <w:vMerge/>
            <w:shd w:val="clear" w:color="auto" w:fill="FFFFFF" w:themeFill="background1"/>
            <w:vAlign w:val="center"/>
          </w:tcPr>
          <w:p w14:paraId="13FE1279"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151754F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805.91875</w:t>
            </w:r>
          </w:p>
        </w:tc>
        <w:tc>
          <w:tcPr>
            <w:tcW w:w="892" w:type="dxa"/>
            <w:vMerge/>
            <w:shd w:val="clear" w:color="auto" w:fill="FFFFFF" w:themeFill="background1"/>
            <w:vAlign w:val="center"/>
          </w:tcPr>
          <w:p w14:paraId="3B22891A" w14:textId="77777777" w:rsidR="00071CEA" w:rsidRPr="00DD6B7E" w:rsidRDefault="00071CEA" w:rsidP="00A47BEA">
            <w:pPr>
              <w:pStyle w:val="TableBody"/>
              <w:keepNext/>
              <w:keepLines/>
              <w:jc w:val="center"/>
              <w:rPr>
                <w:rFonts w:cs="Arial"/>
                <w:sz w:val="16"/>
                <w:szCs w:val="16"/>
              </w:rPr>
            </w:pPr>
          </w:p>
        </w:tc>
      </w:tr>
      <w:tr w:rsidR="00071CEA" w:rsidRPr="00DD6B7E" w14:paraId="07FD3E88" w14:textId="77777777" w:rsidTr="00A47BEA">
        <w:trPr>
          <w:tblHeader/>
        </w:trPr>
        <w:tc>
          <w:tcPr>
            <w:tcW w:w="851" w:type="dxa"/>
            <w:shd w:val="clear" w:color="auto" w:fill="F2F2F2" w:themeFill="background1" w:themeFillShade="F2"/>
            <w:vAlign w:val="center"/>
          </w:tcPr>
          <w:p w14:paraId="10F1F462"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15</w:t>
            </w:r>
          </w:p>
        </w:tc>
        <w:tc>
          <w:tcPr>
            <w:tcW w:w="992" w:type="dxa"/>
            <w:shd w:val="clear" w:color="auto" w:fill="F2F2F2" w:themeFill="background1" w:themeFillShade="F2"/>
            <w:vAlign w:val="center"/>
          </w:tcPr>
          <w:p w14:paraId="2D3919A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850.68125</w:t>
            </w:r>
          </w:p>
        </w:tc>
        <w:tc>
          <w:tcPr>
            <w:tcW w:w="992" w:type="dxa"/>
            <w:vMerge w:val="restart"/>
            <w:shd w:val="clear" w:color="auto" w:fill="F2F2F2" w:themeFill="background1" w:themeFillShade="F2"/>
            <w:vAlign w:val="center"/>
          </w:tcPr>
          <w:p w14:paraId="029A3BD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850.6875</w:t>
            </w:r>
          </w:p>
        </w:tc>
        <w:tc>
          <w:tcPr>
            <w:tcW w:w="993" w:type="dxa"/>
            <w:shd w:val="clear" w:color="auto" w:fill="F2F2F2" w:themeFill="background1" w:themeFillShade="F2"/>
            <w:vAlign w:val="center"/>
          </w:tcPr>
          <w:p w14:paraId="71F7747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805.68125</w:t>
            </w:r>
          </w:p>
        </w:tc>
        <w:tc>
          <w:tcPr>
            <w:tcW w:w="959" w:type="dxa"/>
            <w:vMerge w:val="restart"/>
            <w:shd w:val="clear" w:color="auto" w:fill="F2F2F2" w:themeFill="background1" w:themeFillShade="F2"/>
            <w:vAlign w:val="center"/>
          </w:tcPr>
          <w:p w14:paraId="3D3BB14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805.6875</w:t>
            </w:r>
          </w:p>
        </w:tc>
        <w:tc>
          <w:tcPr>
            <w:tcW w:w="883" w:type="dxa"/>
            <w:shd w:val="clear" w:color="auto" w:fill="F2F2F2" w:themeFill="background1" w:themeFillShade="F2"/>
            <w:vAlign w:val="center"/>
          </w:tcPr>
          <w:p w14:paraId="360CDC9E"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35</w:t>
            </w:r>
          </w:p>
        </w:tc>
        <w:tc>
          <w:tcPr>
            <w:tcW w:w="993" w:type="dxa"/>
            <w:shd w:val="clear" w:color="auto" w:fill="F2F2F2" w:themeFill="background1" w:themeFillShade="F2"/>
            <w:vAlign w:val="center"/>
          </w:tcPr>
          <w:p w14:paraId="26785B7D"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850.93125</w:t>
            </w:r>
          </w:p>
        </w:tc>
        <w:tc>
          <w:tcPr>
            <w:tcW w:w="975" w:type="dxa"/>
            <w:vMerge w:val="restart"/>
            <w:shd w:val="clear" w:color="auto" w:fill="F2F2F2" w:themeFill="background1" w:themeFillShade="F2"/>
            <w:vAlign w:val="center"/>
          </w:tcPr>
          <w:p w14:paraId="725A85D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850.9375</w:t>
            </w:r>
          </w:p>
        </w:tc>
        <w:tc>
          <w:tcPr>
            <w:tcW w:w="1009" w:type="dxa"/>
            <w:shd w:val="clear" w:color="auto" w:fill="F2F2F2" w:themeFill="background1" w:themeFillShade="F2"/>
            <w:vAlign w:val="center"/>
          </w:tcPr>
          <w:p w14:paraId="15CCF16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805.93125</w:t>
            </w:r>
          </w:p>
        </w:tc>
        <w:tc>
          <w:tcPr>
            <w:tcW w:w="892" w:type="dxa"/>
            <w:vMerge w:val="restart"/>
            <w:shd w:val="clear" w:color="auto" w:fill="F2F2F2" w:themeFill="background1" w:themeFillShade="F2"/>
            <w:vAlign w:val="center"/>
          </w:tcPr>
          <w:p w14:paraId="7256D38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805.9375</w:t>
            </w:r>
          </w:p>
        </w:tc>
      </w:tr>
      <w:tr w:rsidR="00071CEA" w:rsidRPr="00DD6B7E" w14:paraId="39EAA73D" w14:textId="77777777" w:rsidTr="00A47BEA">
        <w:trPr>
          <w:tblHeader/>
        </w:trPr>
        <w:tc>
          <w:tcPr>
            <w:tcW w:w="851" w:type="dxa"/>
            <w:shd w:val="clear" w:color="auto" w:fill="F2F2F2" w:themeFill="background1" w:themeFillShade="F2"/>
            <w:vAlign w:val="center"/>
          </w:tcPr>
          <w:p w14:paraId="1954974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16</w:t>
            </w:r>
          </w:p>
        </w:tc>
        <w:tc>
          <w:tcPr>
            <w:tcW w:w="992" w:type="dxa"/>
            <w:shd w:val="clear" w:color="auto" w:fill="F2F2F2" w:themeFill="background1" w:themeFillShade="F2"/>
            <w:vAlign w:val="center"/>
          </w:tcPr>
          <w:p w14:paraId="5D3CA7F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850.69375</w:t>
            </w:r>
          </w:p>
        </w:tc>
        <w:tc>
          <w:tcPr>
            <w:tcW w:w="992" w:type="dxa"/>
            <w:vMerge/>
            <w:shd w:val="clear" w:color="auto" w:fill="F2F2F2" w:themeFill="background1" w:themeFillShade="F2"/>
            <w:vAlign w:val="center"/>
          </w:tcPr>
          <w:p w14:paraId="7B052790"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0FCBC84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805.69375</w:t>
            </w:r>
          </w:p>
        </w:tc>
        <w:tc>
          <w:tcPr>
            <w:tcW w:w="959" w:type="dxa"/>
            <w:vMerge/>
            <w:shd w:val="clear" w:color="auto" w:fill="F2F2F2" w:themeFill="background1" w:themeFillShade="F2"/>
            <w:vAlign w:val="center"/>
          </w:tcPr>
          <w:p w14:paraId="17CF4D7F"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6DCC4BA"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36</w:t>
            </w:r>
          </w:p>
        </w:tc>
        <w:tc>
          <w:tcPr>
            <w:tcW w:w="993" w:type="dxa"/>
            <w:shd w:val="clear" w:color="auto" w:fill="F2F2F2" w:themeFill="background1" w:themeFillShade="F2"/>
            <w:vAlign w:val="center"/>
          </w:tcPr>
          <w:p w14:paraId="5E73C0E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850.94375</w:t>
            </w:r>
          </w:p>
        </w:tc>
        <w:tc>
          <w:tcPr>
            <w:tcW w:w="975" w:type="dxa"/>
            <w:vMerge/>
            <w:shd w:val="clear" w:color="auto" w:fill="F2F2F2" w:themeFill="background1" w:themeFillShade="F2"/>
            <w:vAlign w:val="center"/>
          </w:tcPr>
          <w:p w14:paraId="19BC33A3"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6415C64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805.94375</w:t>
            </w:r>
          </w:p>
        </w:tc>
        <w:tc>
          <w:tcPr>
            <w:tcW w:w="892" w:type="dxa"/>
            <w:vMerge/>
            <w:shd w:val="clear" w:color="auto" w:fill="F2F2F2" w:themeFill="background1" w:themeFillShade="F2"/>
            <w:vAlign w:val="center"/>
          </w:tcPr>
          <w:p w14:paraId="3263CE35" w14:textId="77777777" w:rsidR="00071CEA" w:rsidRPr="00DD6B7E" w:rsidRDefault="00071CEA" w:rsidP="00A47BEA">
            <w:pPr>
              <w:pStyle w:val="TableBody"/>
              <w:keepNext/>
              <w:keepLines/>
              <w:jc w:val="center"/>
              <w:rPr>
                <w:rFonts w:cs="Arial"/>
                <w:sz w:val="16"/>
                <w:szCs w:val="16"/>
              </w:rPr>
            </w:pPr>
          </w:p>
        </w:tc>
      </w:tr>
      <w:tr w:rsidR="00071CEA" w:rsidRPr="00DD6B7E" w14:paraId="64D9A96A" w14:textId="77777777" w:rsidTr="00A47BEA">
        <w:trPr>
          <w:tblHeader/>
        </w:trPr>
        <w:tc>
          <w:tcPr>
            <w:tcW w:w="851" w:type="dxa"/>
            <w:shd w:val="clear" w:color="auto" w:fill="FFFFFF" w:themeFill="background1"/>
            <w:vAlign w:val="center"/>
          </w:tcPr>
          <w:p w14:paraId="7A1E9CC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17</w:t>
            </w:r>
          </w:p>
        </w:tc>
        <w:tc>
          <w:tcPr>
            <w:tcW w:w="992" w:type="dxa"/>
            <w:shd w:val="clear" w:color="auto" w:fill="FFFFFF" w:themeFill="background1"/>
            <w:vAlign w:val="center"/>
          </w:tcPr>
          <w:p w14:paraId="0371ABC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850.70625</w:t>
            </w:r>
          </w:p>
        </w:tc>
        <w:tc>
          <w:tcPr>
            <w:tcW w:w="992" w:type="dxa"/>
            <w:vMerge w:val="restart"/>
            <w:shd w:val="clear" w:color="auto" w:fill="FFFFFF" w:themeFill="background1"/>
            <w:vAlign w:val="center"/>
          </w:tcPr>
          <w:p w14:paraId="3AD6D1C5"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850.7125</w:t>
            </w:r>
          </w:p>
        </w:tc>
        <w:tc>
          <w:tcPr>
            <w:tcW w:w="993" w:type="dxa"/>
            <w:shd w:val="clear" w:color="auto" w:fill="FFFFFF" w:themeFill="background1"/>
            <w:vAlign w:val="center"/>
          </w:tcPr>
          <w:p w14:paraId="5E3A576B"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805.70625</w:t>
            </w:r>
          </w:p>
        </w:tc>
        <w:tc>
          <w:tcPr>
            <w:tcW w:w="959" w:type="dxa"/>
            <w:vMerge w:val="restart"/>
            <w:shd w:val="clear" w:color="auto" w:fill="FFFFFF" w:themeFill="background1"/>
            <w:vAlign w:val="center"/>
          </w:tcPr>
          <w:p w14:paraId="7F38907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805.7125</w:t>
            </w:r>
          </w:p>
        </w:tc>
        <w:tc>
          <w:tcPr>
            <w:tcW w:w="883" w:type="dxa"/>
            <w:shd w:val="clear" w:color="auto" w:fill="FFFFFF" w:themeFill="background1"/>
            <w:vAlign w:val="center"/>
          </w:tcPr>
          <w:p w14:paraId="380A2075"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37</w:t>
            </w:r>
          </w:p>
        </w:tc>
        <w:tc>
          <w:tcPr>
            <w:tcW w:w="993" w:type="dxa"/>
            <w:shd w:val="clear" w:color="auto" w:fill="FFFFFF" w:themeFill="background1"/>
            <w:vAlign w:val="center"/>
          </w:tcPr>
          <w:p w14:paraId="778C076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850.95625</w:t>
            </w:r>
          </w:p>
        </w:tc>
        <w:tc>
          <w:tcPr>
            <w:tcW w:w="975" w:type="dxa"/>
            <w:vMerge w:val="restart"/>
            <w:shd w:val="clear" w:color="auto" w:fill="FFFFFF" w:themeFill="background1"/>
            <w:vAlign w:val="center"/>
          </w:tcPr>
          <w:p w14:paraId="520632D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850.9625</w:t>
            </w:r>
          </w:p>
        </w:tc>
        <w:tc>
          <w:tcPr>
            <w:tcW w:w="1009" w:type="dxa"/>
            <w:shd w:val="clear" w:color="auto" w:fill="FFFFFF" w:themeFill="background1"/>
            <w:vAlign w:val="center"/>
          </w:tcPr>
          <w:p w14:paraId="52D97CA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805.95625</w:t>
            </w:r>
          </w:p>
        </w:tc>
        <w:tc>
          <w:tcPr>
            <w:tcW w:w="892" w:type="dxa"/>
            <w:vMerge w:val="restart"/>
            <w:shd w:val="clear" w:color="auto" w:fill="FFFFFF" w:themeFill="background1"/>
            <w:vAlign w:val="center"/>
          </w:tcPr>
          <w:p w14:paraId="7C9114D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805.9625</w:t>
            </w:r>
          </w:p>
        </w:tc>
      </w:tr>
      <w:tr w:rsidR="00071CEA" w:rsidRPr="00DD6B7E" w14:paraId="13D419FA" w14:textId="77777777" w:rsidTr="00A47BEA">
        <w:trPr>
          <w:tblHeader/>
        </w:trPr>
        <w:tc>
          <w:tcPr>
            <w:tcW w:w="851" w:type="dxa"/>
            <w:shd w:val="clear" w:color="auto" w:fill="FFFFFF" w:themeFill="background1"/>
            <w:vAlign w:val="center"/>
          </w:tcPr>
          <w:p w14:paraId="0D452698"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18</w:t>
            </w:r>
          </w:p>
        </w:tc>
        <w:tc>
          <w:tcPr>
            <w:tcW w:w="992" w:type="dxa"/>
            <w:shd w:val="clear" w:color="auto" w:fill="FFFFFF" w:themeFill="background1"/>
            <w:vAlign w:val="center"/>
          </w:tcPr>
          <w:p w14:paraId="30E65BF4"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850.71875</w:t>
            </w:r>
          </w:p>
        </w:tc>
        <w:tc>
          <w:tcPr>
            <w:tcW w:w="992" w:type="dxa"/>
            <w:vMerge/>
            <w:shd w:val="clear" w:color="auto" w:fill="FFFFFF" w:themeFill="background1"/>
            <w:vAlign w:val="center"/>
          </w:tcPr>
          <w:p w14:paraId="1062651A" w14:textId="77777777" w:rsidR="00071CEA" w:rsidRPr="00DD6B7E" w:rsidRDefault="00071CEA" w:rsidP="00A47BEA">
            <w:pPr>
              <w:pStyle w:val="TableBody"/>
              <w:keepNext/>
              <w:keepLines/>
              <w:jc w:val="center"/>
              <w:rPr>
                <w:rFonts w:cs="Arial"/>
                <w:sz w:val="16"/>
                <w:szCs w:val="16"/>
              </w:rPr>
            </w:pPr>
          </w:p>
        </w:tc>
        <w:tc>
          <w:tcPr>
            <w:tcW w:w="993" w:type="dxa"/>
            <w:shd w:val="clear" w:color="auto" w:fill="FFFFFF" w:themeFill="background1"/>
            <w:vAlign w:val="center"/>
          </w:tcPr>
          <w:p w14:paraId="29CD5889"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805.71875</w:t>
            </w:r>
          </w:p>
        </w:tc>
        <w:tc>
          <w:tcPr>
            <w:tcW w:w="959" w:type="dxa"/>
            <w:vMerge/>
            <w:shd w:val="clear" w:color="auto" w:fill="FFFFFF" w:themeFill="background1"/>
            <w:vAlign w:val="center"/>
          </w:tcPr>
          <w:p w14:paraId="45CA3B30" w14:textId="77777777" w:rsidR="00071CEA" w:rsidRPr="00DD6B7E" w:rsidRDefault="00071CEA" w:rsidP="00A47BEA">
            <w:pPr>
              <w:pStyle w:val="TableBody"/>
              <w:keepNext/>
              <w:keepLines/>
              <w:jc w:val="center"/>
              <w:rPr>
                <w:rFonts w:cs="Arial"/>
                <w:sz w:val="16"/>
                <w:szCs w:val="16"/>
              </w:rPr>
            </w:pPr>
          </w:p>
        </w:tc>
        <w:tc>
          <w:tcPr>
            <w:tcW w:w="883" w:type="dxa"/>
            <w:shd w:val="clear" w:color="auto" w:fill="FFFFFF" w:themeFill="background1"/>
            <w:vAlign w:val="center"/>
          </w:tcPr>
          <w:p w14:paraId="7A4D7BD9"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38</w:t>
            </w:r>
          </w:p>
        </w:tc>
        <w:tc>
          <w:tcPr>
            <w:tcW w:w="993" w:type="dxa"/>
            <w:shd w:val="clear" w:color="auto" w:fill="FFFFFF" w:themeFill="background1"/>
            <w:vAlign w:val="center"/>
          </w:tcPr>
          <w:p w14:paraId="099524C1"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850.96875</w:t>
            </w:r>
          </w:p>
        </w:tc>
        <w:tc>
          <w:tcPr>
            <w:tcW w:w="975" w:type="dxa"/>
            <w:vMerge/>
            <w:shd w:val="clear" w:color="auto" w:fill="FFFFFF" w:themeFill="background1"/>
            <w:vAlign w:val="center"/>
          </w:tcPr>
          <w:p w14:paraId="39AFA966" w14:textId="77777777" w:rsidR="00071CEA" w:rsidRPr="00DD6B7E" w:rsidRDefault="00071CEA" w:rsidP="00A47BEA">
            <w:pPr>
              <w:pStyle w:val="TableBody"/>
              <w:keepNext/>
              <w:keepLines/>
              <w:jc w:val="center"/>
              <w:rPr>
                <w:rFonts w:cs="Arial"/>
                <w:sz w:val="16"/>
                <w:szCs w:val="16"/>
              </w:rPr>
            </w:pPr>
          </w:p>
        </w:tc>
        <w:tc>
          <w:tcPr>
            <w:tcW w:w="1009" w:type="dxa"/>
            <w:shd w:val="clear" w:color="auto" w:fill="FFFFFF" w:themeFill="background1"/>
            <w:vAlign w:val="center"/>
          </w:tcPr>
          <w:p w14:paraId="23028B1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805.96875</w:t>
            </w:r>
          </w:p>
        </w:tc>
        <w:tc>
          <w:tcPr>
            <w:tcW w:w="892" w:type="dxa"/>
            <w:vMerge/>
            <w:shd w:val="clear" w:color="auto" w:fill="FFFFFF" w:themeFill="background1"/>
            <w:vAlign w:val="center"/>
          </w:tcPr>
          <w:p w14:paraId="339FC84E" w14:textId="77777777" w:rsidR="00071CEA" w:rsidRPr="00DD6B7E" w:rsidRDefault="00071CEA" w:rsidP="00A47BEA">
            <w:pPr>
              <w:pStyle w:val="TableBody"/>
              <w:keepNext/>
              <w:keepLines/>
              <w:jc w:val="center"/>
              <w:rPr>
                <w:rFonts w:cs="Arial"/>
                <w:sz w:val="16"/>
                <w:szCs w:val="16"/>
              </w:rPr>
            </w:pPr>
          </w:p>
        </w:tc>
      </w:tr>
      <w:tr w:rsidR="00071CEA" w:rsidRPr="00DD6B7E" w14:paraId="7F784186" w14:textId="77777777" w:rsidTr="00A47BEA">
        <w:trPr>
          <w:tblHeader/>
        </w:trPr>
        <w:tc>
          <w:tcPr>
            <w:tcW w:w="851" w:type="dxa"/>
            <w:shd w:val="clear" w:color="auto" w:fill="F2F2F2" w:themeFill="background1" w:themeFillShade="F2"/>
            <w:vAlign w:val="center"/>
          </w:tcPr>
          <w:p w14:paraId="4AF543CB"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19</w:t>
            </w:r>
          </w:p>
        </w:tc>
        <w:tc>
          <w:tcPr>
            <w:tcW w:w="992" w:type="dxa"/>
            <w:shd w:val="clear" w:color="auto" w:fill="F2F2F2" w:themeFill="background1" w:themeFillShade="F2"/>
            <w:vAlign w:val="center"/>
          </w:tcPr>
          <w:p w14:paraId="3E369086"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850.73125</w:t>
            </w:r>
          </w:p>
        </w:tc>
        <w:tc>
          <w:tcPr>
            <w:tcW w:w="992" w:type="dxa"/>
            <w:vMerge w:val="restart"/>
            <w:shd w:val="clear" w:color="auto" w:fill="F2F2F2" w:themeFill="background1" w:themeFillShade="F2"/>
            <w:vAlign w:val="center"/>
          </w:tcPr>
          <w:p w14:paraId="4E532CF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850.7375</w:t>
            </w:r>
          </w:p>
        </w:tc>
        <w:tc>
          <w:tcPr>
            <w:tcW w:w="993" w:type="dxa"/>
            <w:shd w:val="clear" w:color="auto" w:fill="F2F2F2" w:themeFill="background1" w:themeFillShade="F2"/>
            <w:vAlign w:val="center"/>
          </w:tcPr>
          <w:p w14:paraId="67F1A44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805.73125</w:t>
            </w:r>
          </w:p>
        </w:tc>
        <w:tc>
          <w:tcPr>
            <w:tcW w:w="959" w:type="dxa"/>
            <w:vMerge w:val="restart"/>
            <w:shd w:val="clear" w:color="auto" w:fill="F2F2F2" w:themeFill="background1" w:themeFillShade="F2"/>
            <w:vAlign w:val="center"/>
          </w:tcPr>
          <w:p w14:paraId="3C3709E3"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805.7375</w:t>
            </w:r>
          </w:p>
        </w:tc>
        <w:tc>
          <w:tcPr>
            <w:tcW w:w="883" w:type="dxa"/>
            <w:shd w:val="clear" w:color="auto" w:fill="F2F2F2" w:themeFill="background1" w:themeFillShade="F2"/>
            <w:vAlign w:val="center"/>
          </w:tcPr>
          <w:p w14:paraId="26830CC1"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39</w:t>
            </w:r>
          </w:p>
        </w:tc>
        <w:tc>
          <w:tcPr>
            <w:tcW w:w="993" w:type="dxa"/>
            <w:shd w:val="clear" w:color="auto" w:fill="F2F2F2" w:themeFill="background1" w:themeFillShade="F2"/>
            <w:vAlign w:val="center"/>
          </w:tcPr>
          <w:p w14:paraId="0C8CFFF0"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850.98125</w:t>
            </w:r>
          </w:p>
        </w:tc>
        <w:tc>
          <w:tcPr>
            <w:tcW w:w="975" w:type="dxa"/>
            <w:vMerge w:val="restart"/>
            <w:shd w:val="clear" w:color="auto" w:fill="F2F2F2" w:themeFill="background1" w:themeFillShade="F2"/>
            <w:vAlign w:val="center"/>
          </w:tcPr>
          <w:p w14:paraId="18435A0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850.9875</w:t>
            </w:r>
          </w:p>
        </w:tc>
        <w:tc>
          <w:tcPr>
            <w:tcW w:w="1009" w:type="dxa"/>
            <w:shd w:val="clear" w:color="auto" w:fill="F2F2F2" w:themeFill="background1" w:themeFillShade="F2"/>
            <w:vAlign w:val="center"/>
          </w:tcPr>
          <w:p w14:paraId="6AE18F17"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805.98125</w:t>
            </w:r>
          </w:p>
        </w:tc>
        <w:tc>
          <w:tcPr>
            <w:tcW w:w="892" w:type="dxa"/>
            <w:vMerge w:val="restart"/>
            <w:shd w:val="clear" w:color="auto" w:fill="F2F2F2" w:themeFill="background1" w:themeFillShade="F2"/>
            <w:vAlign w:val="center"/>
          </w:tcPr>
          <w:p w14:paraId="6A3B494F"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805.9875</w:t>
            </w:r>
          </w:p>
        </w:tc>
      </w:tr>
      <w:tr w:rsidR="00071CEA" w:rsidRPr="00DD6B7E" w14:paraId="5CA19A15" w14:textId="77777777" w:rsidTr="00A47BEA">
        <w:trPr>
          <w:tblHeader/>
        </w:trPr>
        <w:tc>
          <w:tcPr>
            <w:tcW w:w="851" w:type="dxa"/>
            <w:shd w:val="clear" w:color="auto" w:fill="F2F2F2" w:themeFill="background1" w:themeFillShade="F2"/>
            <w:vAlign w:val="center"/>
          </w:tcPr>
          <w:p w14:paraId="4376AC1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20</w:t>
            </w:r>
          </w:p>
        </w:tc>
        <w:tc>
          <w:tcPr>
            <w:tcW w:w="992" w:type="dxa"/>
            <w:shd w:val="clear" w:color="auto" w:fill="F2F2F2" w:themeFill="background1" w:themeFillShade="F2"/>
            <w:vAlign w:val="center"/>
          </w:tcPr>
          <w:p w14:paraId="3AB5A6E2"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850.74375</w:t>
            </w:r>
          </w:p>
        </w:tc>
        <w:tc>
          <w:tcPr>
            <w:tcW w:w="992" w:type="dxa"/>
            <w:vMerge/>
            <w:shd w:val="clear" w:color="auto" w:fill="F2F2F2" w:themeFill="background1" w:themeFillShade="F2"/>
            <w:vAlign w:val="center"/>
          </w:tcPr>
          <w:p w14:paraId="65CFF77A" w14:textId="77777777" w:rsidR="00071CEA" w:rsidRPr="00DD6B7E" w:rsidRDefault="00071CEA" w:rsidP="00A47BEA">
            <w:pPr>
              <w:pStyle w:val="TableBody"/>
              <w:keepNext/>
              <w:keepLines/>
              <w:jc w:val="center"/>
              <w:rPr>
                <w:rFonts w:cs="Arial"/>
                <w:sz w:val="16"/>
                <w:szCs w:val="16"/>
              </w:rPr>
            </w:pPr>
          </w:p>
        </w:tc>
        <w:tc>
          <w:tcPr>
            <w:tcW w:w="993" w:type="dxa"/>
            <w:shd w:val="clear" w:color="auto" w:fill="F2F2F2" w:themeFill="background1" w:themeFillShade="F2"/>
            <w:vAlign w:val="center"/>
          </w:tcPr>
          <w:p w14:paraId="7655F92E"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805.74375</w:t>
            </w:r>
          </w:p>
        </w:tc>
        <w:tc>
          <w:tcPr>
            <w:tcW w:w="959" w:type="dxa"/>
            <w:vMerge/>
            <w:shd w:val="clear" w:color="auto" w:fill="F2F2F2" w:themeFill="background1" w:themeFillShade="F2"/>
            <w:vAlign w:val="center"/>
          </w:tcPr>
          <w:p w14:paraId="5B454F32" w14:textId="77777777" w:rsidR="00071CEA" w:rsidRPr="00DD6B7E" w:rsidRDefault="00071CEA" w:rsidP="00A47BEA">
            <w:pPr>
              <w:pStyle w:val="TableBody"/>
              <w:keepNext/>
              <w:keepLines/>
              <w:jc w:val="center"/>
              <w:rPr>
                <w:rFonts w:cs="Arial"/>
                <w:sz w:val="16"/>
                <w:szCs w:val="16"/>
              </w:rPr>
            </w:pPr>
          </w:p>
        </w:tc>
        <w:tc>
          <w:tcPr>
            <w:tcW w:w="883" w:type="dxa"/>
            <w:shd w:val="clear" w:color="auto" w:fill="F2F2F2" w:themeFill="background1" w:themeFillShade="F2"/>
            <w:vAlign w:val="center"/>
          </w:tcPr>
          <w:p w14:paraId="0CFC2A2D" w14:textId="77777777" w:rsidR="00071CEA" w:rsidRPr="00DD6B7E" w:rsidRDefault="00071CEA" w:rsidP="00A47BEA">
            <w:pPr>
              <w:pStyle w:val="TableBody"/>
              <w:keepNext/>
              <w:keepLines/>
              <w:jc w:val="center"/>
              <w:rPr>
                <w:rFonts w:cs="Arial"/>
                <w:sz w:val="16"/>
                <w:szCs w:val="16"/>
              </w:rPr>
            </w:pPr>
            <w:r w:rsidRPr="00DD6B7E">
              <w:rPr>
                <w:rFonts w:cs="Arial"/>
                <w:sz w:val="16"/>
                <w:szCs w:val="16"/>
              </w:rPr>
              <w:t>40</w:t>
            </w:r>
          </w:p>
        </w:tc>
        <w:tc>
          <w:tcPr>
            <w:tcW w:w="993" w:type="dxa"/>
            <w:shd w:val="clear" w:color="auto" w:fill="F2F2F2" w:themeFill="background1" w:themeFillShade="F2"/>
            <w:vAlign w:val="center"/>
          </w:tcPr>
          <w:p w14:paraId="40EAC13C"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850.99375</w:t>
            </w:r>
          </w:p>
        </w:tc>
        <w:tc>
          <w:tcPr>
            <w:tcW w:w="975" w:type="dxa"/>
            <w:vMerge/>
            <w:shd w:val="clear" w:color="auto" w:fill="F2F2F2" w:themeFill="background1" w:themeFillShade="F2"/>
            <w:vAlign w:val="center"/>
          </w:tcPr>
          <w:p w14:paraId="0904002E" w14:textId="77777777" w:rsidR="00071CEA" w:rsidRPr="00DD6B7E" w:rsidRDefault="00071CEA" w:rsidP="00A47BEA">
            <w:pPr>
              <w:pStyle w:val="TableBody"/>
              <w:keepNext/>
              <w:keepLines/>
              <w:jc w:val="center"/>
              <w:rPr>
                <w:rFonts w:cs="Arial"/>
                <w:sz w:val="16"/>
                <w:szCs w:val="16"/>
              </w:rPr>
            </w:pPr>
          </w:p>
        </w:tc>
        <w:tc>
          <w:tcPr>
            <w:tcW w:w="1009" w:type="dxa"/>
            <w:shd w:val="clear" w:color="auto" w:fill="F2F2F2" w:themeFill="background1" w:themeFillShade="F2"/>
            <w:vAlign w:val="center"/>
          </w:tcPr>
          <w:p w14:paraId="79878EF8" w14:textId="77777777" w:rsidR="00071CEA" w:rsidRPr="00DD6B7E" w:rsidRDefault="00071CEA" w:rsidP="00A47BEA">
            <w:pPr>
              <w:pStyle w:val="TableBody"/>
              <w:keepNext/>
              <w:keepLines/>
              <w:jc w:val="center"/>
              <w:rPr>
                <w:rFonts w:cs="Arial"/>
                <w:sz w:val="16"/>
                <w:szCs w:val="16"/>
              </w:rPr>
            </w:pPr>
            <w:r w:rsidRPr="00DD6B7E">
              <w:rPr>
                <w:rFonts w:cs="Arial"/>
                <w:color w:val="000000"/>
                <w:sz w:val="16"/>
                <w:szCs w:val="16"/>
              </w:rPr>
              <w:t>805.99375</w:t>
            </w:r>
          </w:p>
        </w:tc>
        <w:tc>
          <w:tcPr>
            <w:tcW w:w="892" w:type="dxa"/>
            <w:vMerge/>
            <w:shd w:val="clear" w:color="auto" w:fill="F2F2F2" w:themeFill="background1" w:themeFillShade="F2"/>
            <w:vAlign w:val="center"/>
          </w:tcPr>
          <w:p w14:paraId="6084AB04" w14:textId="77777777" w:rsidR="00071CEA" w:rsidRPr="00DD6B7E" w:rsidRDefault="00071CEA" w:rsidP="00A47BEA">
            <w:pPr>
              <w:pStyle w:val="TableBody"/>
              <w:keepNext/>
              <w:keepLines/>
              <w:jc w:val="center"/>
              <w:rPr>
                <w:rFonts w:cs="Arial"/>
                <w:sz w:val="16"/>
                <w:szCs w:val="16"/>
              </w:rPr>
            </w:pPr>
          </w:p>
        </w:tc>
      </w:tr>
    </w:tbl>
    <w:p w14:paraId="3EA10B78" w14:textId="77777777" w:rsidR="00FF3C69" w:rsidRDefault="00FF3C69" w:rsidP="00A47BEA">
      <w:pPr>
        <w:spacing w:after="0" w:line="240" w:lineRule="auto"/>
      </w:pPr>
    </w:p>
    <w:sectPr w:rsidR="00FF3C69" w:rsidSect="00FB2EA1">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30D4D7" w14:textId="77777777" w:rsidR="002C625F" w:rsidRDefault="002C625F">
      <w:r>
        <w:separator/>
      </w:r>
    </w:p>
  </w:endnote>
  <w:endnote w:type="continuationSeparator" w:id="0">
    <w:p w14:paraId="365BEB5A" w14:textId="77777777" w:rsidR="002C625F" w:rsidRDefault="002C625F">
      <w:r>
        <w:continuationSeparator/>
      </w:r>
    </w:p>
  </w:endnote>
  <w:endnote w:type="continuationNotice" w:id="1">
    <w:p w14:paraId="3B12E699" w14:textId="77777777" w:rsidR="002C625F" w:rsidRDefault="002C625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38B34" w14:textId="77777777" w:rsidR="00E71FC5" w:rsidRDefault="00E71FC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60FA1" w14:textId="77777777" w:rsidR="002C625F" w:rsidRPr="00A5474E" w:rsidRDefault="002C625F" w:rsidP="00A5474E">
    <w:pPr>
      <w:pStyle w:val="Footer"/>
    </w:pPr>
    <w:r>
      <w:rPr>
        <w:noProof/>
      </w:rPr>
      <w:drawing>
        <wp:inline distT="0" distB="0" distL="0" distR="0" wp14:anchorId="58B07337" wp14:editId="0440F0A8">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80492C" w14:textId="77777777" w:rsidR="00E71FC5" w:rsidRDefault="00E71FC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9EFBC" w14:textId="77777777" w:rsidR="002C625F" w:rsidRDefault="002C625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05C10F" w14:textId="77777777" w:rsidR="002C625F" w:rsidRDefault="002C625F">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CCEE23" w14:textId="77777777" w:rsidR="002C625F" w:rsidRPr="00622A3B" w:rsidRDefault="002C625F"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71FC5">
      <w:rPr>
        <w:noProof/>
        <w:color w:val="505050"/>
      </w:rPr>
      <w:t>iv</w:t>
    </w:r>
    <w:r w:rsidRPr="002E4DDC">
      <w:rPr>
        <w:color w:val="505050"/>
      </w:rPr>
      <w:fldChar w:fldCharType="end"/>
    </w:r>
  </w:p>
  <w:p w14:paraId="2CD87DC5" w14:textId="77777777" w:rsidR="002C625F" w:rsidRPr="00A5474E" w:rsidRDefault="002C625F"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70A8DC" w14:textId="77777777" w:rsidR="002C625F" w:rsidRPr="00622A3B" w:rsidRDefault="002C625F"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w:t>
    </w:r>
    <w:r w:rsidRPr="002E4DDC">
      <w:rPr>
        <w:color w:val="505050"/>
      </w:rPr>
      <w:fldChar w:fldCharType="end"/>
    </w:r>
  </w:p>
  <w:p w14:paraId="2A0AC6F5" w14:textId="77777777" w:rsidR="002C625F" w:rsidRPr="00A5474E" w:rsidRDefault="002C625F"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1AB6D" w14:textId="77777777" w:rsidR="002C625F" w:rsidRPr="00622A3B" w:rsidRDefault="002C625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E71FC5">
      <w:rPr>
        <w:noProof/>
        <w:color w:val="505050"/>
      </w:rPr>
      <w:t>iii</w:t>
    </w:r>
    <w:r w:rsidRPr="002E4DDC">
      <w:rPr>
        <w:color w:val="505050"/>
      </w:rPr>
      <w:fldChar w:fldCharType="end"/>
    </w:r>
  </w:p>
  <w:p w14:paraId="066A31AB" w14:textId="77777777" w:rsidR="002C625F" w:rsidRPr="00A5474E" w:rsidRDefault="002C625F"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2DD17C" w14:textId="77777777" w:rsidR="002C625F" w:rsidRPr="00622A3B" w:rsidRDefault="002C625F" w:rsidP="007D28E7">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186244">
      <w:rPr>
        <w:noProof/>
      </w:rPr>
      <w:t>30</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69F24354" w14:textId="77777777" w:rsidR="002C625F" w:rsidRDefault="002C625F"/>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060F5" w14:textId="77777777" w:rsidR="002C625F" w:rsidRPr="00622A3B" w:rsidRDefault="002C625F" w:rsidP="00343E11">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186244">
      <w:rPr>
        <w:noProof/>
        <w:color w:val="505050"/>
      </w:rPr>
      <w:t>31</w:t>
    </w:r>
    <w:r w:rsidRPr="00575AC5">
      <w:rPr>
        <w:color w:val="505050"/>
      </w:rPr>
      <w:fldChar w:fldCharType="end"/>
    </w:r>
  </w:p>
  <w:p w14:paraId="29E92036" w14:textId="77777777" w:rsidR="002C625F" w:rsidRDefault="002C625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CF83D2" w14:textId="77777777" w:rsidR="002C625F" w:rsidRDefault="002C625F">
      <w:r>
        <w:separator/>
      </w:r>
    </w:p>
  </w:footnote>
  <w:footnote w:type="continuationSeparator" w:id="0">
    <w:p w14:paraId="3EA19D5E" w14:textId="77777777" w:rsidR="002C625F" w:rsidRDefault="002C625F">
      <w:r>
        <w:continuationSeparator/>
      </w:r>
    </w:p>
  </w:footnote>
  <w:footnote w:type="continuationNotice" w:id="1">
    <w:p w14:paraId="16455C6F" w14:textId="77777777" w:rsidR="002C625F" w:rsidRDefault="002C625F">
      <w:pPr>
        <w:spacing w:after="0" w:line="240" w:lineRule="auto"/>
      </w:pPr>
    </w:p>
  </w:footnote>
  <w:footnote w:id="2">
    <w:p w14:paraId="4A5D112E" w14:textId="77777777" w:rsidR="002C625F" w:rsidRPr="00003DDF" w:rsidRDefault="002C625F" w:rsidP="00DF6B3B">
      <w:pPr>
        <w:spacing w:after="0" w:line="240" w:lineRule="auto"/>
        <w:rPr>
          <w:lang w:val="en-US"/>
        </w:rPr>
      </w:pPr>
      <w:r w:rsidRPr="00F52540">
        <w:rPr>
          <w:rStyle w:val="FootnoteReference"/>
          <w:sz w:val="16"/>
          <w:szCs w:val="16"/>
        </w:rPr>
        <w:footnoteRef/>
      </w:r>
      <w:r w:rsidRPr="00F52540">
        <w:rPr>
          <w:sz w:val="16"/>
          <w:szCs w:val="16"/>
        </w:rPr>
        <w:t xml:space="preserve"> </w:t>
      </w:r>
      <w:r w:rsidRPr="00311AA9">
        <w:rPr>
          <w:rFonts w:cs="Arial"/>
          <w:sz w:val="16"/>
          <w:szCs w:val="16"/>
        </w:rPr>
        <w:t>‘850 MHz expansion’ band refers to</w:t>
      </w:r>
      <w:r w:rsidRPr="00F52540">
        <w:rPr>
          <w:rFonts w:cs="Arial"/>
          <w:sz w:val="16"/>
          <w:szCs w:val="16"/>
        </w:rPr>
        <w:t xml:space="preserve"> the harmonised International Mobile Telecommunications (IMT) frequencies that are frequency lower-adjacent to the existing 850 MHz mobile phone band and standardised by 3GPP for 3G and 4G technologies</w:t>
      </w:r>
      <w:r>
        <w:rPr>
          <w:rFonts w:cs="Arial"/>
          <w:sz w:val="16"/>
          <w:szCs w:val="16"/>
        </w:rPr>
        <w:t xml:space="preserve"> (under the band numbers 26 and 27)</w:t>
      </w:r>
      <w:r w:rsidRPr="00F52540">
        <w:rPr>
          <w:rFonts w:cs="Arial"/>
          <w:sz w:val="16"/>
          <w:szCs w:val="16"/>
        </w:rPr>
        <w:t>.</w:t>
      </w:r>
    </w:p>
  </w:footnote>
  <w:footnote w:id="3">
    <w:p w14:paraId="298E35F6" w14:textId="77777777" w:rsidR="002C625F" w:rsidRDefault="002C625F" w:rsidP="004B0B96">
      <w:pPr>
        <w:pStyle w:val="FootnoteText"/>
        <w:spacing w:after="0"/>
      </w:pPr>
      <w:r>
        <w:rPr>
          <w:rStyle w:val="FootnoteReference"/>
        </w:rPr>
        <w:footnoteRef/>
      </w:r>
      <w:r>
        <w:t xml:space="preserve"> Available on the </w:t>
      </w:r>
      <w:hyperlink r:id="rId1" w:history="1">
        <w:r w:rsidRPr="00DD01F0">
          <w:rPr>
            <w:rStyle w:val="Hyperlink"/>
          </w:rPr>
          <w:t>ACMA website</w:t>
        </w:r>
      </w:hyperlink>
      <w:r>
        <w:t xml:space="preserve">. </w:t>
      </w:r>
    </w:p>
  </w:footnote>
  <w:footnote w:id="4">
    <w:p w14:paraId="4FB8F01D" w14:textId="7EF1470C" w:rsidR="002C625F" w:rsidRDefault="002C625F" w:rsidP="000E2BE3">
      <w:pPr>
        <w:pStyle w:val="FootnoteText"/>
        <w:spacing w:after="0"/>
      </w:pPr>
      <w:r>
        <w:rPr>
          <w:rStyle w:val="FootnoteReference"/>
        </w:rPr>
        <w:footnoteRef/>
      </w:r>
      <w:r>
        <w:t xml:space="preserve"> Available on the </w:t>
      </w:r>
      <w:hyperlink r:id="rId2" w:history="1">
        <w:r w:rsidRPr="004B0B96">
          <w:rPr>
            <w:rStyle w:val="Hyperlink"/>
          </w:rPr>
          <w:t>ACMA website</w:t>
        </w:r>
      </w:hyperlink>
      <w:r>
        <w:t xml:space="preserve">. </w:t>
      </w:r>
    </w:p>
  </w:footnote>
  <w:footnote w:id="5">
    <w:p w14:paraId="04E068E6" w14:textId="77777777" w:rsidR="002C625F" w:rsidRPr="00C7570A" w:rsidRDefault="002C625F" w:rsidP="004B0B96">
      <w:pPr>
        <w:pStyle w:val="FootnoteText"/>
        <w:spacing w:after="0"/>
        <w:rPr>
          <w:rFonts w:cs="Arial"/>
        </w:rPr>
      </w:pPr>
      <w:r w:rsidRPr="00C7570A">
        <w:rPr>
          <w:rStyle w:val="FootnoteReference"/>
          <w:rFonts w:cs="Arial"/>
        </w:rPr>
        <w:footnoteRef/>
      </w:r>
      <w:r w:rsidRPr="00C7570A">
        <w:rPr>
          <w:rFonts w:cs="Arial"/>
        </w:rPr>
        <w:t xml:space="preserve"> Available on the </w:t>
      </w:r>
      <w:hyperlink r:id="rId3" w:history="1">
        <w:r w:rsidRPr="00F5736F">
          <w:rPr>
            <w:rStyle w:val="Hyperlink"/>
            <w:rFonts w:cs="Arial"/>
          </w:rPr>
          <w:t>ACMA website</w:t>
        </w:r>
      </w:hyperlink>
      <w:r>
        <w:rPr>
          <w:rFonts w:cs="Arial"/>
        </w:rPr>
        <w:t>.</w:t>
      </w:r>
    </w:p>
  </w:footnote>
  <w:footnote w:id="6">
    <w:p w14:paraId="3024E34C" w14:textId="6673B963" w:rsidR="002C625F" w:rsidRDefault="002C625F" w:rsidP="000E2BE3">
      <w:pPr>
        <w:pStyle w:val="FootnoteText"/>
        <w:spacing w:after="0"/>
      </w:pPr>
      <w:r>
        <w:rPr>
          <w:rStyle w:val="FootnoteReference"/>
        </w:rPr>
        <w:footnoteRef/>
      </w:r>
      <w:r>
        <w:t xml:space="preserve"> Available on the </w:t>
      </w:r>
      <w:hyperlink r:id="rId4" w:history="1">
        <w:r w:rsidRPr="004B0B96">
          <w:rPr>
            <w:rStyle w:val="Hyperlink"/>
          </w:rPr>
          <w:t>ACMA website</w:t>
        </w:r>
      </w:hyperlink>
      <w:r>
        <w:t xml:space="preserve">. </w:t>
      </w:r>
    </w:p>
  </w:footnote>
  <w:footnote w:id="7">
    <w:p w14:paraId="1230A6BD" w14:textId="483621CE" w:rsidR="002C625F" w:rsidRDefault="002C625F" w:rsidP="0066787F">
      <w:pPr>
        <w:pStyle w:val="FootnoteText"/>
        <w:spacing w:after="0"/>
      </w:pPr>
      <w:r>
        <w:rPr>
          <w:rStyle w:val="FootnoteReference"/>
        </w:rPr>
        <w:footnoteRef/>
      </w:r>
      <w:r>
        <w:t xml:space="preserve"> Submissions to the </w:t>
      </w:r>
      <w:r w:rsidRPr="003166AA">
        <w:rPr>
          <w:i/>
        </w:rPr>
        <w:t xml:space="preserve">Future </w:t>
      </w:r>
      <w:r>
        <w:rPr>
          <w:i/>
        </w:rPr>
        <w:t>o</w:t>
      </w:r>
      <w:r w:rsidRPr="003166AA">
        <w:rPr>
          <w:i/>
        </w:rPr>
        <w:t>ptions</w:t>
      </w:r>
      <w:r>
        <w:t xml:space="preserve"> paper are available on the </w:t>
      </w:r>
      <w:hyperlink r:id="rId5" w:history="1">
        <w:r w:rsidRPr="004B0B96">
          <w:rPr>
            <w:rStyle w:val="Hyperlink"/>
          </w:rPr>
          <w:t>ACMA website</w:t>
        </w:r>
      </w:hyperlink>
      <w:r>
        <w:t xml:space="preserve">. </w:t>
      </w:r>
    </w:p>
  </w:footnote>
  <w:footnote w:id="8">
    <w:p w14:paraId="015644E5" w14:textId="77777777" w:rsidR="002C625F" w:rsidRDefault="002C625F" w:rsidP="0066787F">
      <w:pPr>
        <w:pStyle w:val="FootnoteText"/>
        <w:spacing w:after="0"/>
      </w:pPr>
      <w:r>
        <w:rPr>
          <w:rStyle w:val="FootnoteReference"/>
        </w:rPr>
        <w:footnoteRef/>
      </w:r>
      <w:r>
        <w:t xml:space="preserve"> The object of the </w:t>
      </w:r>
      <w:r w:rsidRPr="00164D52">
        <w:rPr>
          <w:i/>
        </w:rPr>
        <w:t>Radiocommunications Act 1992</w:t>
      </w:r>
      <w:r>
        <w:t xml:space="preserve"> is to provide for management of the radiofrequency spectrum, to achieve the goals set out in paragraphs 3(a) to 3(h). </w:t>
      </w:r>
    </w:p>
  </w:footnote>
  <w:footnote w:id="9">
    <w:p w14:paraId="659DB0CC" w14:textId="40B6AE31" w:rsidR="002C625F" w:rsidRDefault="002C625F" w:rsidP="00033683">
      <w:pPr>
        <w:pStyle w:val="FootnoteText"/>
        <w:spacing w:after="0"/>
      </w:pPr>
      <w:r>
        <w:rPr>
          <w:rStyle w:val="FootnoteReference"/>
        </w:rPr>
        <w:footnoteRef/>
      </w:r>
      <w:r>
        <w:t xml:space="preserve"> The FDD pair of 703–748 and 758–803 MHz.</w:t>
      </w:r>
    </w:p>
  </w:footnote>
  <w:footnote w:id="10">
    <w:p w14:paraId="6D94775F" w14:textId="6E4FEB26" w:rsidR="002C625F" w:rsidRDefault="002C625F" w:rsidP="00033683">
      <w:pPr>
        <w:pStyle w:val="FootnoteText"/>
        <w:spacing w:after="0"/>
      </w:pPr>
      <w:r>
        <w:rPr>
          <w:rStyle w:val="FootnoteReference"/>
        </w:rPr>
        <w:footnoteRef/>
      </w:r>
      <w:r>
        <w:t xml:space="preserve"> </w:t>
      </w:r>
      <w:r w:rsidRPr="00F57EC6">
        <w:rPr>
          <w:lang w:val="en-US"/>
        </w:rPr>
        <w:t>The Centre for</w:t>
      </w:r>
      <w:r>
        <w:rPr>
          <w:lang w:val="en-US"/>
        </w:rPr>
        <w:t xml:space="preserve"> </w:t>
      </w:r>
      <w:r w:rsidRPr="00F57EC6">
        <w:rPr>
          <w:lang w:val="en-US"/>
        </w:rPr>
        <w:t>International Economics</w:t>
      </w:r>
      <w:r>
        <w:rPr>
          <w:lang w:val="en-US"/>
        </w:rPr>
        <w:t xml:space="preserve"> (CIE) (r</w:t>
      </w:r>
      <w:r w:rsidRPr="00F57EC6">
        <w:rPr>
          <w:lang w:val="en-US"/>
        </w:rPr>
        <w:t xml:space="preserve">esearch </w:t>
      </w:r>
      <w:r>
        <w:rPr>
          <w:lang w:val="en-US"/>
        </w:rPr>
        <w:t>r</w:t>
      </w:r>
      <w:r w:rsidRPr="00F57EC6">
        <w:rPr>
          <w:lang w:val="en-US"/>
        </w:rPr>
        <w:t xml:space="preserve">eport </w:t>
      </w:r>
      <w:r>
        <w:rPr>
          <w:lang w:val="en-US"/>
        </w:rPr>
        <w:t xml:space="preserve">prepared for </w:t>
      </w:r>
      <w:r w:rsidRPr="00F5736F">
        <w:rPr>
          <w:lang w:val="en-US"/>
        </w:rPr>
        <w:t>the ACMA),</w:t>
      </w:r>
      <w:r w:rsidRPr="00F5736F">
        <w:t xml:space="preserve"> </w:t>
      </w:r>
      <w:hyperlink r:id="rId6" w:history="1">
        <w:r w:rsidRPr="00AC7321">
          <w:rPr>
            <w:rStyle w:val="Hyperlink"/>
            <w:i/>
            <w:lang w:val="en-US"/>
          </w:rPr>
          <w:t>The economic impacts of mobile broadband on the Australian economy, from 2006 to 2013</w:t>
        </w:r>
      </w:hyperlink>
      <w:r w:rsidRPr="00F5736F">
        <w:rPr>
          <w:lang w:val="en-US"/>
        </w:rPr>
        <w:t>, April 2014</w:t>
      </w:r>
      <w:r w:rsidRPr="00F57EC6">
        <w:rPr>
          <w:lang w:val="en-US"/>
        </w:rPr>
        <w:t xml:space="preserve">, </w:t>
      </w:r>
      <w:r>
        <w:rPr>
          <w:lang w:val="en-US"/>
        </w:rPr>
        <w:t xml:space="preserve">page 2. </w:t>
      </w:r>
    </w:p>
  </w:footnote>
  <w:footnote w:id="11">
    <w:p w14:paraId="73B46714" w14:textId="1C4C8AE2" w:rsidR="002C625F" w:rsidRDefault="002C625F" w:rsidP="00033683">
      <w:pPr>
        <w:pStyle w:val="FootnoteText"/>
        <w:spacing w:after="0"/>
      </w:pPr>
      <w:r>
        <w:rPr>
          <w:rStyle w:val="FootnoteReference"/>
        </w:rPr>
        <w:footnoteRef/>
      </w:r>
      <w:r>
        <w:t xml:space="preserve"> </w:t>
      </w:r>
      <w:r w:rsidRPr="009C5DC5">
        <w:t xml:space="preserve">Available on the </w:t>
      </w:r>
      <w:hyperlink r:id="rId7" w:history="1">
        <w:r w:rsidRPr="00BE6267">
          <w:rPr>
            <w:rStyle w:val="Hyperlink"/>
          </w:rPr>
          <w:t>ACMA website</w:t>
        </w:r>
      </w:hyperlink>
      <w:r w:rsidRPr="009C5DC5">
        <w:t>.</w:t>
      </w:r>
      <w:r>
        <w:t xml:space="preserve"> </w:t>
      </w:r>
    </w:p>
  </w:footnote>
  <w:footnote w:id="12">
    <w:p w14:paraId="2E64B2C7" w14:textId="001AA185" w:rsidR="002C625F" w:rsidRDefault="002C625F" w:rsidP="00033683">
      <w:pPr>
        <w:pStyle w:val="FootnoteText"/>
        <w:spacing w:after="0"/>
      </w:pPr>
      <w:r>
        <w:rPr>
          <w:rStyle w:val="FootnoteReference"/>
        </w:rPr>
        <w:footnoteRef/>
      </w:r>
      <w:r>
        <w:t xml:space="preserve"> Details of the results of the digital dividend auction are available on the </w:t>
      </w:r>
      <w:hyperlink r:id="rId8" w:history="1">
        <w:r w:rsidRPr="009756C4">
          <w:rPr>
            <w:rStyle w:val="Hyperlink"/>
          </w:rPr>
          <w:t>ACMA website</w:t>
        </w:r>
      </w:hyperlink>
      <w:r>
        <w:t xml:space="preserve">. </w:t>
      </w:r>
    </w:p>
  </w:footnote>
  <w:footnote w:id="13">
    <w:p w14:paraId="682B46FF" w14:textId="5E8AA1C6" w:rsidR="002C625F" w:rsidRDefault="002C625F" w:rsidP="00033683">
      <w:pPr>
        <w:pStyle w:val="FootnoteText"/>
        <w:spacing w:after="0"/>
      </w:pPr>
      <w:r>
        <w:rPr>
          <w:rStyle w:val="FootnoteReference"/>
        </w:rPr>
        <w:footnoteRef/>
      </w:r>
      <w:r>
        <w:t xml:space="preserve"> Details of the 850 MHz band spectrum licences are available on the </w:t>
      </w:r>
      <w:hyperlink r:id="rId9" w:history="1">
        <w:r w:rsidRPr="00F217CB">
          <w:rPr>
            <w:rStyle w:val="Hyperlink"/>
          </w:rPr>
          <w:t>ACMA website</w:t>
        </w:r>
      </w:hyperlink>
      <w:r>
        <w:t xml:space="preserve">. </w:t>
      </w:r>
    </w:p>
  </w:footnote>
  <w:footnote w:id="14">
    <w:p w14:paraId="5F4F8225" w14:textId="4FC41E0F" w:rsidR="002C625F" w:rsidRDefault="002C625F" w:rsidP="00033683">
      <w:pPr>
        <w:pStyle w:val="FootnoteText"/>
        <w:spacing w:after="0"/>
      </w:pPr>
      <w:r>
        <w:rPr>
          <w:rStyle w:val="FootnoteReference"/>
        </w:rPr>
        <w:footnoteRef/>
      </w:r>
      <w:r>
        <w:t xml:space="preserve"> The Hon Malcolm Turnbull MP, Minister for Communications</w:t>
      </w:r>
      <w:r w:rsidRPr="005C2C6F">
        <w:t xml:space="preserve">, </w:t>
      </w:r>
      <w:hyperlink r:id="rId10" w:anchor=".VZN9wvN--70" w:history="1">
        <w:r w:rsidRPr="004403FA">
          <w:rPr>
            <w:rStyle w:val="Hyperlink"/>
          </w:rPr>
          <w:t>Spectrum reform to drive future innovation and productivity</w:t>
        </w:r>
      </w:hyperlink>
      <w:r>
        <w:t>, media release, 23 May 2014.</w:t>
      </w:r>
    </w:p>
  </w:footnote>
  <w:footnote w:id="15">
    <w:p w14:paraId="0840B9A9" w14:textId="31C21146" w:rsidR="002C625F" w:rsidRDefault="002C625F" w:rsidP="00033683">
      <w:pPr>
        <w:pStyle w:val="FootnoteText"/>
        <w:spacing w:after="0"/>
      </w:pPr>
      <w:r>
        <w:rPr>
          <w:rStyle w:val="FootnoteReference"/>
        </w:rPr>
        <w:footnoteRef/>
      </w:r>
      <w:r>
        <w:t xml:space="preserve"> </w:t>
      </w:r>
      <w:r>
        <w:rPr>
          <w:rStyle w:val="Hyperlink"/>
        </w:rPr>
        <w:t xml:space="preserve">Available on the </w:t>
      </w:r>
      <w:hyperlink r:id="rId11" w:history="1">
        <w:r w:rsidRPr="009A09DA">
          <w:rPr>
            <w:rStyle w:val="Hyperlink"/>
          </w:rPr>
          <w:t>Department of Communications website</w:t>
        </w:r>
      </w:hyperlink>
      <w:r>
        <w:rPr>
          <w:rStyle w:val="Hyperlink"/>
        </w:rPr>
        <w:t xml:space="preserve">. </w:t>
      </w:r>
    </w:p>
  </w:footnote>
  <w:footnote w:id="16">
    <w:p w14:paraId="361F314E" w14:textId="77777777" w:rsidR="002C625F" w:rsidRDefault="002C625F" w:rsidP="009A09DA">
      <w:pPr>
        <w:pStyle w:val="FootnoteText"/>
        <w:spacing w:after="0"/>
      </w:pPr>
      <w:r>
        <w:rPr>
          <w:rStyle w:val="FootnoteReference"/>
        </w:rPr>
        <w:footnoteRef/>
      </w:r>
      <w:r>
        <w:t xml:space="preserve"> The Hon Malcolm Turnbull MP, Minister for Communications</w:t>
      </w:r>
      <w:r w:rsidRPr="005C2C6F">
        <w:t xml:space="preserve">, </w:t>
      </w:r>
      <w:hyperlink r:id="rId12" w:anchor=".Vdvf5fN--70" w:history="1">
        <w:r w:rsidRPr="00080F61">
          <w:rPr>
            <w:rStyle w:val="Hyperlink"/>
          </w:rPr>
          <w:t>Next stage of spectrum reform to commence</w:t>
        </w:r>
      </w:hyperlink>
      <w:r>
        <w:t>, media release, 25 August 2015.</w:t>
      </w:r>
    </w:p>
  </w:footnote>
  <w:footnote w:id="17">
    <w:p w14:paraId="65B35DEB" w14:textId="0AFCF763" w:rsidR="002C625F" w:rsidRDefault="002C625F" w:rsidP="00033683">
      <w:pPr>
        <w:pStyle w:val="FootnoteText"/>
        <w:spacing w:after="0"/>
      </w:pPr>
      <w:r>
        <w:rPr>
          <w:rStyle w:val="FootnoteReference"/>
        </w:rPr>
        <w:footnoteRef/>
      </w:r>
      <w:r>
        <w:t xml:space="preserve"> The proposed reforms do not have any technical interrelationships with the frequency segments affected by the implementation plan. The exception to this is that, as part of the implementation plan, the 2 x 1 MHz </w:t>
      </w:r>
      <w:r w:rsidR="00C90431">
        <w:t>lower adjacent</w:t>
      </w:r>
      <w:r>
        <w:t xml:space="preserve"> to the 850 MHz band will be cleared to facilitate the separate work to be undertaken on the downshift/GSM band replan.</w:t>
      </w:r>
    </w:p>
  </w:footnote>
  <w:footnote w:id="18">
    <w:p w14:paraId="2D26DF62" w14:textId="25AB37B4" w:rsidR="002C625F" w:rsidRPr="007E3BEE" w:rsidRDefault="002C625F" w:rsidP="00033683">
      <w:pPr>
        <w:pStyle w:val="FootnoteText"/>
        <w:spacing w:after="0"/>
        <w:rPr>
          <w:rFonts w:cs="Arial"/>
          <w:i/>
        </w:rPr>
      </w:pPr>
      <w:r w:rsidRPr="007E3BEE">
        <w:rPr>
          <w:rStyle w:val="FootnoteReference"/>
          <w:rFonts w:cs="Arial"/>
        </w:rPr>
        <w:footnoteRef/>
      </w:r>
      <w:r w:rsidRPr="007E3BEE">
        <w:rPr>
          <w:rFonts w:cs="Arial"/>
        </w:rPr>
        <w:t xml:space="preserve"> Asia</w:t>
      </w:r>
      <w:r w:rsidR="00F27DDC">
        <w:rPr>
          <w:rFonts w:cs="Arial"/>
        </w:rPr>
        <w:t>–</w:t>
      </w:r>
      <w:r w:rsidRPr="007E3BEE">
        <w:rPr>
          <w:rFonts w:cs="Arial"/>
        </w:rPr>
        <w:t xml:space="preserve">Pacific Telecommunity (APT) 700 MHz band plan details can be found in Reports 14 and 24 at </w:t>
      </w:r>
      <w:hyperlink r:id="rId13" w:history="1">
        <w:r w:rsidRPr="007E3BEE">
          <w:rPr>
            <w:rStyle w:val="Hyperlink"/>
            <w:rFonts w:cs="Arial"/>
          </w:rPr>
          <w:t>http://www.apt.int/AWG-RECS-REPS</w:t>
        </w:r>
      </w:hyperlink>
      <w:r>
        <w:t>.</w:t>
      </w:r>
    </w:p>
  </w:footnote>
  <w:footnote w:id="19">
    <w:p w14:paraId="4754725E" w14:textId="77777777" w:rsidR="002C625F" w:rsidRPr="0073589D" w:rsidRDefault="002C625F" w:rsidP="00AC7321">
      <w:pPr>
        <w:pStyle w:val="FootnoteText"/>
        <w:spacing w:after="0"/>
      </w:pPr>
      <w:r>
        <w:rPr>
          <w:rStyle w:val="FootnoteReference"/>
        </w:rPr>
        <w:footnoteRef/>
      </w:r>
      <w:r>
        <w:t xml:space="preserve"> </w:t>
      </w:r>
      <w:r>
        <w:rPr>
          <w:i/>
        </w:rPr>
        <w:t xml:space="preserve">Ex-post </w:t>
      </w:r>
      <w:r>
        <w:t>compliance regime, similar to the 400 MHz implementation process. See Section 3.3 for explanation).</w:t>
      </w:r>
    </w:p>
  </w:footnote>
  <w:footnote w:id="20">
    <w:p w14:paraId="0DB449BB" w14:textId="34415098" w:rsidR="002C625F" w:rsidRDefault="002C625F" w:rsidP="002F5C70">
      <w:pPr>
        <w:pStyle w:val="FootnoteText"/>
        <w:spacing w:after="0"/>
      </w:pPr>
      <w:r>
        <w:rPr>
          <w:rStyle w:val="FootnoteReference"/>
        </w:rPr>
        <w:footnoteRef/>
      </w:r>
      <w:r>
        <w:t xml:space="preserve"> Available on the </w:t>
      </w:r>
      <w:hyperlink r:id="rId14" w:history="1">
        <w:r w:rsidRPr="008F7C97">
          <w:rPr>
            <w:rStyle w:val="Hyperlink"/>
          </w:rPr>
          <w:t>ACMA website</w:t>
        </w:r>
      </w:hyperlink>
      <w:r>
        <w:t xml:space="preserve">. </w:t>
      </w:r>
    </w:p>
  </w:footnote>
  <w:footnote w:id="21">
    <w:p w14:paraId="587D4CA5" w14:textId="7DF334A0" w:rsidR="002C625F" w:rsidRDefault="002C625F" w:rsidP="00AC7321">
      <w:pPr>
        <w:pStyle w:val="FootnoteText"/>
        <w:spacing w:after="0"/>
      </w:pPr>
      <w:r>
        <w:rPr>
          <w:rStyle w:val="FootnoteReference"/>
        </w:rPr>
        <w:footnoteRef/>
      </w:r>
      <w:r>
        <w:t xml:space="preserve"> Available on the </w:t>
      </w:r>
      <w:hyperlink r:id="rId15" w:history="1">
        <w:r w:rsidRPr="00EE08E9">
          <w:rPr>
            <w:rStyle w:val="Hyperlink"/>
          </w:rPr>
          <w:t>ACMA website</w:t>
        </w:r>
      </w:hyperlink>
      <w:r>
        <w:t xml:space="preserve">. </w:t>
      </w:r>
    </w:p>
  </w:footnote>
  <w:footnote w:id="22">
    <w:p w14:paraId="59F23B3E" w14:textId="0A05FDD8" w:rsidR="002C625F" w:rsidRDefault="002C625F" w:rsidP="00AC7321">
      <w:pPr>
        <w:pStyle w:val="FootnoteText"/>
        <w:spacing w:after="0"/>
      </w:pPr>
      <w:r>
        <w:rPr>
          <w:rStyle w:val="FootnoteReference"/>
        </w:rPr>
        <w:footnoteRef/>
      </w:r>
      <w:r>
        <w:t xml:space="preserve"> Note that the technical frameworks governing access to the band will be a spectral envelope only and will not specify any type of technology or service. Other services (e.g., TLMS) will have an opportunity to compete for access to these segments, depending on how they are allocated.</w:t>
      </w:r>
    </w:p>
  </w:footnote>
  <w:footnote w:id="23">
    <w:p w14:paraId="3CD7A98B" w14:textId="66403088" w:rsidR="002C625F" w:rsidRDefault="002C625F" w:rsidP="007E6D0A">
      <w:pPr>
        <w:pStyle w:val="FootnoteText"/>
        <w:spacing w:after="0"/>
      </w:pPr>
      <w:r>
        <w:rPr>
          <w:rStyle w:val="FootnoteReference"/>
        </w:rPr>
        <w:footnoteRef/>
      </w:r>
      <w:r>
        <w:t xml:space="preserve"> Supervisory Control and Data Acquisition</w:t>
      </w:r>
      <w:r w:rsidR="00F27DDC">
        <w:t>.</w:t>
      </w:r>
    </w:p>
  </w:footnote>
  <w:footnote w:id="24">
    <w:p w14:paraId="3890022D" w14:textId="3484CAB6" w:rsidR="002C625F" w:rsidRDefault="002C625F" w:rsidP="00F1128B">
      <w:pPr>
        <w:pStyle w:val="FootnoteText"/>
        <w:spacing w:after="0"/>
      </w:pPr>
      <w:r>
        <w:rPr>
          <w:rStyle w:val="FootnoteReference"/>
        </w:rPr>
        <w:footnoteRef/>
      </w:r>
      <w:r w:rsidR="0011201F">
        <w:t xml:space="preserve"> </w:t>
      </w:r>
      <w:r>
        <w:t xml:space="preserve">36.888 V12.0.0 (2013-06) - </w:t>
      </w:r>
      <w:r w:rsidRPr="00E125EB">
        <w:t>Study on provision of low-cost Machine-Type Communications (MTC) User Equipments (UEs) based on LTE</w:t>
      </w:r>
      <w:r>
        <w:t>.</w:t>
      </w:r>
    </w:p>
  </w:footnote>
  <w:footnote w:id="25">
    <w:p w14:paraId="07B05989" w14:textId="6561652F" w:rsidR="002C625F" w:rsidRPr="00AB4778" w:rsidRDefault="002C625F" w:rsidP="00F1128B">
      <w:pPr>
        <w:pStyle w:val="FootnoteText"/>
        <w:spacing w:after="0"/>
        <w:rPr>
          <w:lang w:val="en-US"/>
        </w:rPr>
      </w:pPr>
      <w:r>
        <w:rPr>
          <w:rStyle w:val="FootnoteReference"/>
        </w:rPr>
        <w:footnoteRef/>
      </w:r>
      <w:r>
        <w:t xml:space="preserve"> </w:t>
      </w:r>
      <w:r>
        <w:rPr>
          <w:lang w:val="en-US"/>
        </w:rPr>
        <w:t xml:space="preserve">More information relating the new arrangements in the 400 MHz band, including the harmonised government bands, is available at: </w:t>
      </w:r>
      <w:hyperlink r:id="rId16" w:history="1">
        <w:r w:rsidRPr="001C6487">
          <w:rPr>
            <w:rStyle w:val="Hyperlink"/>
            <w:lang w:val="en-US"/>
          </w:rPr>
          <w:t>http://www.acma.gov.au/Industry/Spectrum/Spectrum-projects/400-MHz-band/overview</w:t>
        </w:r>
      </w:hyperlink>
      <w:r>
        <w:rPr>
          <w:lang w:val="en-US"/>
        </w:rPr>
        <w:t>.</w:t>
      </w:r>
    </w:p>
  </w:footnote>
  <w:footnote w:id="26">
    <w:p w14:paraId="13678070" w14:textId="64739756" w:rsidR="002C625F" w:rsidRDefault="002C625F" w:rsidP="00F1128B">
      <w:pPr>
        <w:pStyle w:val="FootnoteText"/>
        <w:spacing w:after="0"/>
      </w:pPr>
      <w:r>
        <w:rPr>
          <w:rStyle w:val="FootnoteReference"/>
        </w:rPr>
        <w:footnoteRef/>
      </w:r>
      <w:r>
        <w:t xml:space="preserve"> For example, Motorola plan to trial delivery of MDN data via 4G technologies, see </w:t>
      </w:r>
      <w:hyperlink r:id="rId17" w:history="1">
        <w:r w:rsidRPr="001C718B">
          <w:rPr>
            <w:rStyle w:val="Hyperlink"/>
          </w:rPr>
          <w:t>here</w:t>
        </w:r>
      </w:hyperlink>
      <w:r>
        <w:t>.</w:t>
      </w:r>
    </w:p>
  </w:footnote>
  <w:footnote w:id="27">
    <w:p w14:paraId="04B70DDA" w14:textId="4181A139" w:rsidR="002C625F" w:rsidRPr="00FB3A2E" w:rsidRDefault="002C625F" w:rsidP="00F1128B">
      <w:pPr>
        <w:pStyle w:val="FootnoteText"/>
        <w:spacing w:after="0"/>
        <w:rPr>
          <w:lang w:val="en-US"/>
        </w:rPr>
      </w:pPr>
      <w:r>
        <w:rPr>
          <w:rStyle w:val="FootnoteReference"/>
        </w:rPr>
        <w:footnoteRef/>
      </w:r>
      <w:r>
        <w:t xml:space="preserve"> </w:t>
      </w:r>
      <w:r w:rsidR="00C90431">
        <w:rPr>
          <w:lang w:val="en-US"/>
        </w:rPr>
        <w:t>F</w:t>
      </w:r>
      <w:r>
        <w:rPr>
          <w:lang w:val="en-US"/>
        </w:rPr>
        <w:t>or example, PTT solutions on mobile broadband networks offered by AT&amp;T and Sprint in the United States.</w:t>
      </w:r>
    </w:p>
  </w:footnote>
  <w:footnote w:id="28">
    <w:p w14:paraId="7D9B0A68" w14:textId="2512DF86" w:rsidR="002C625F" w:rsidRPr="00452892" w:rsidRDefault="002C625F" w:rsidP="00F1128B">
      <w:pPr>
        <w:pStyle w:val="FootnoteText"/>
        <w:spacing w:after="0"/>
        <w:rPr>
          <w:lang w:val="en-US"/>
        </w:rPr>
      </w:pPr>
      <w:r>
        <w:rPr>
          <w:rStyle w:val="FootnoteReference"/>
        </w:rPr>
        <w:footnoteRef/>
      </w:r>
      <w:r>
        <w:t xml:space="preserve"> </w:t>
      </w:r>
      <w:r>
        <w:rPr>
          <w:lang w:val="en-US"/>
        </w:rPr>
        <w:t xml:space="preserve">An example case study of the replacement of a police land mobile radio network with a full IP PTT solution is available at: </w:t>
      </w:r>
      <w:hyperlink r:id="rId18" w:history="1">
        <w:r w:rsidRPr="001C6487">
          <w:rPr>
            <w:rStyle w:val="Hyperlink"/>
            <w:lang w:val="en-US"/>
          </w:rPr>
          <w:t>http://www.twistpair.com/inc/data/case-studies/Sainte%20Anne%20Case%20Study.pdf</w:t>
        </w:r>
      </w:hyperlink>
    </w:p>
  </w:footnote>
  <w:footnote w:id="29">
    <w:p w14:paraId="3FEB2A0C" w14:textId="6015ED05" w:rsidR="002C625F" w:rsidRPr="00493356" w:rsidRDefault="002C625F" w:rsidP="00F1128B">
      <w:pPr>
        <w:pStyle w:val="FootnoteText"/>
        <w:spacing w:after="0"/>
        <w:rPr>
          <w:lang w:val="en-US"/>
        </w:rPr>
      </w:pPr>
      <w:r>
        <w:rPr>
          <w:rStyle w:val="FootnoteReference"/>
        </w:rPr>
        <w:footnoteRef/>
      </w:r>
      <w:r>
        <w:t xml:space="preserve"> For example, Twisted Pair Solutions (</w:t>
      </w:r>
      <w:hyperlink r:id="rId19" w:history="1">
        <w:r w:rsidRPr="00D053AA">
          <w:rPr>
            <w:rStyle w:val="Hyperlink"/>
          </w:rPr>
          <w:t>http://www.twistpair.com/index/broadband-push-to-talk</w:t>
        </w:r>
      </w:hyperlink>
      <w:r>
        <w:rPr>
          <w:lang w:val="en-US"/>
        </w:rPr>
        <w:t>, a subsidiary of Motorola Solutions) and Harris with their BeOn (</w:t>
      </w:r>
      <w:hyperlink r:id="rId20" w:history="1">
        <w:r w:rsidRPr="00D053AA">
          <w:rPr>
            <w:rStyle w:val="Hyperlink"/>
          </w:rPr>
          <w:t>http://www.beonapp.com/</w:t>
        </w:r>
      </w:hyperlink>
      <w:r>
        <w:rPr>
          <w:lang w:val="en-US"/>
        </w:rPr>
        <w:t>) product.</w:t>
      </w:r>
    </w:p>
  </w:footnote>
  <w:footnote w:id="30">
    <w:p w14:paraId="3BB8E859" w14:textId="77777777" w:rsidR="002C625F" w:rsidRDefault="002C625F" w:rsidP="00C32C1D">
      <w:pPr>
        <w:pStyle w:val="FootnoteText"/>
        <w:spacing w:after="0"/>
      </w:pPr>
      <w:r>
        <w:rPr>
          <w:rStyle w:val="FootnoteReference"/>
        </w:rPr>
        <w:footnoteRef/>
      </w:r>
      <w:r>
        <w:t xml:space="preserve"> No particular technology will be mandated and there will be no barrier to deployment of narrowband services within a 5 MHz block, so long as the technical framework is complied with.</w:t>
      </w:r>
    </w:p>
  </w:footnote>
  <w:footnote w:id="31">
    <w:p w14:paraId="3FB67DF1" w14:textId="3B205019" w:rsidR="002C625F" w:rsidRDefault="002C625F" w:rsidP="009C17F8">
      <w:pPr>
        <w:pStyle w:val="FootnoteText"/>
        <w:spacing w:after="0"/>
      </w:pPr>
      <w:r>
        <w:rPr>
          <w:rStyle w:val="FootnoteReference"/>
        </w:rPr>
        <w:footnoteRef/>
      </w:r>
      <w:r>
        <w:t xml:space="preserve"> Available on the </w:t>
      </w:r>
      <w:hyperlink r:id="rId21" w:history="1">
        <w:r w:rsidRPr="00A8774D">
          <w:rPr>
            <w:rStyle w:val="Hyperlink"/>
          </w:rPr>
          <w:t>ACMA website</w:t>
        </w:r>
      </w:hyperlink>
      <w:r>
        <w:t xml:space="preserve">. </w:t>
      </w:r>
    </w:p>
  </w:footnote>
  <w:footnote w:id="32">
    <w:p w14:paraId="42D33D00" w14:textId="77777777" w:rsidR="002C625F" w:rsidRDefault="002C625F" w:rsidP="00665721">
      <w:pPr>
        <w:pStyle w:val="FootnoteText"/>
        <w:spacing w:after="0"/>
      </w:pPr>
      <w:r>
        <w:rPr>
          <w:rStyle w:val="FootnoteReference"/>
        </w:rPr>
        <w:footnoteRef/>
      </w:r>
      <w:r>
        <w:rPr>
          <w:rFonts w:cs="Arial"/>
        </w:rPr>
        <w:t xml:space="preserve"> </w:t>
      </w:r>
      <w:r w:rsidRPr="00346AF0">
        <w:t>Two-frequency fixed links operating above 806/851 MHz in non-TLMS covered areas will have secondary status with respect to TLMS in the upper 2 x 3 MHz and may be required to vacate areas where future TLMS deployments are planned.</w:t>
      </w:r>
    </w:p>
  </w:footnote>
  <w:footnote w:id="33">
    <w:p w14:paraId="3CD81413" w14:textId="77777777" w:rsidR="002C625F" w:rsidRDefault="002C625F" w:rsidP="00665721">
      <w:pPr>
        <w:pStyle w:val="FootnoteText"/>
        <w:spacing w:after="0"/>
      </w:pPr>
      <w:r w:rsidRPr="00D01071">
        <w:rPr>
          <w:rStyle w:val="FootnoteReference"/>
        </w:rPr>
        <w:footnoteRef/>
      </w:r>
      <w:r w:rsidRPr="00D01071">
        <w:t xml:space="preserve"> </w:t>
      </w:r>
      <w:r w:rsidRPr="00D01071">
        <w:rPr>
          <w:rFonts w:cs="Arial"/>
        </w:rPr>
        <w:t>Two-frequency fixed links operating above 806/851 MHz in non-TLMS covered areas will have secondary status with respect to TLMS in the upper 2 x 3 MHz and may be required to vacate areas where future TLMS deployments are planned.</w:t>
      </w:r>
    </w:p>
  </w:footnote>
  <w:footnote w:id="34">
    <w:p w14:paraId="7A33A588" w14:textId="4432D4BF" w:rsidR="002C625F" w:rsidRDefault="002C625F" w:rsidP="00E91B9F">
      <w:pPr>
        <w:pStyle w:val="FootnoteText"/>
        <w:spacing w:after="0"/>
      </w:pPr>
      <w:r>
        <w:rPr>
          <w:rStyle w:val="FootnoteReference"/>
        </w:rPr>
        <w:footnoteRef/>
      </w:r>
      <w:r>
        <w:t xml:space="preserve"> Allocation of new commercial mobile broadband spectrum will be completed prior to </w:t>
      </w:r>
      <w:r w:rsidR="00DD5BF7">
        <w:t>M</w:t>
      </w:r>
      <w:r w:rsidRPr="00DD5BF7">
        <w:t>ilestone</w:t>
      </w:r>
      <w:r>
        <w:t xml:space="preserve"> 6. Allocation method to be determined as part of a separate process.</w:t>
      </w:r>
    </w:p>
  </w:footnote>
  <w:footnote w:id="35">
    <w:p w14:paraId="2A625070" w14:textId="77777777" w:rsidR="002C625F" w:rsidRDefault="002C625F" w:rsidP="005A76BF">
      <w:pPr>
        <w:pStyle w:val="FootnoteText"/>
        <w:spacing w:after="0"/>
      </w:pPr>
      <w:r>
        <w:rPr>
          <w:rStyle w:val="FootnoteReference"/>
        </w:rPr>
        <w:footnoteRef/>
      </w:r>
      <w:r>
        <w:t xml:space="preserve"> The 2 x 1 MHz segment will be cleared as part of the transition strategy detailed in this paper.</w:t>
      </w:r>
    </w:p>
  </w:footnote>
  <w:footnote w:id="36">
    <w:p w14:paraId="18B4A03F" w14:textId="61ADB402" w:rsidR="002C625F" w:rsidRDefault="002C625F" w:rsidP="00D0759E">
      <w:pPr>
        <w:pStyle w:val="FootnoteText"/>
        <w:spacing w:after="0"/>
      </w:pPr>
      <w:r>
        <w:rPr>
          <w:rStyle w:val="FootnoteReference"/>
        </w:rPr>
        <w:footnoteRef/>
      </w:r>
      <w:r>
        <w:t xml:space="preserve"> Available on the </w:t>
      </w:r>
      <w:hyperlink r:id="rId22" w:history="1">
        <w:r w:rsidRPr="00A47BEA">
          <w:rPr>
            <w:rStyle w:val="Hyperlink"/>
          </w:rPr>
          <w:t>ACMA website</w:t>
        </w:r>
      </w:hyperlink>
      <w:r>
        <w:t xml:space="preserve">. </w:t>
      </w:r>
    </w:p>
  </w:footnote>
  <w:footnote w:id="37">
    <w:p w14:paraId="64745645" w14:textId="77777777" w:rsidR="002C625F" w:rsidRPr="0011618C" w:rsidRDefault="002C625F" w:rsidP="00DA4657">
      <w:pPr>
        <w:pStyle w:val="FootnoteText"/>
        <w:spacing w:after="0"/>
        <w:rPr>
          <w:rFonts w:cs="Arial"/>
        </w:rPr>
      </w:pPr>
      <w:r w:rsidRPr="0011618C">
        <w:rPr>
          <w:rStyle w:val="FootnoteReference"/>
          <w:rFonts w:cs="Arial"/>
        </w:rPr>
        <w:footnoteRef/>
      </w:r>
      <w:r w:rsidRPr="0011618C">
        <w:rPr>
          <w:rFonts w:cs="Arial"/>
        </w:rPr>
        <w:t xml:space="preserve"> </w:t>
      </w:r>
      <w:r w:rsidRPr="0011618C">
        <w:rPr>
          <w:rFonts w:cs="Arial"/>
          <w:color w:val="000000"/>
        </w:rPr>
        <w:t xml:space="preserve">The object of the </w:t>
      </w:r>
      <w:r w:rsidRPr="0011618C">
        <w:rPr>
          <w:rFonts w:cs="Arial"/>
          <w:i/>
          <w:iCs/>
          <w:color w:val="000000"/>
        </w:rPr>
        <w:t>Radiocommunications Act 1992</w:t>
      </w:r>
      <w:r w:rsidRPr="0011618C">
        <w:rPr>
          <w:rFonts w:cs="Arial"/>
          <w:color w:val="000000"/>
        </w:rPr>
        <w:t xml:space="preserve"> is to provide for management of the radiofrequency spectrum and is explained in paragraphs 3 (a) to 3 (h).</w:t>
      </w:r>
    </w:p>
  </w:footnote>
  <w:footnote w:id="38">
    <w:p w14:paraId="5E1E768C" w14:textId="77777777" w:rsidR="002C625F" w:rsidRDefault="002C625F" w:rsidP="00AC7321">
      <w:pPr>
        <w:pStyle w:val="FootnoteText"/>
        <w:spacing w:after="0"/>
      </w:pPr>
      <w:r>
        <w:rPr>
          <w:rStyle w:val="FootnoteReference"/>
        </w:rPr>
        <w:footnoteRef/>
      </w:r>
      <w:r>
        <w:t xml:space="preserve"> </w:t>
      </w:r>
      <w:hyperlink r:id="rId23" w:history="1">
        <w:r w:rsidRPr="0073293E">
          <w:rPr>
            <w:rStyle w:val="Hyperlink"/>
          </w:rPr>
          <w:t>http://www.acma.gov.au/Industry/Spectrum/Spectrum-planning/About-spectrum-planning/principles-for-spectrum-management</w:t>
        </w:r>
      </w:hyperlink>
    </w:p>
  </w:footnote>
  <w:footnote w:id="39">
    <w:p w14:paraId="51B6BEC3" w14:textId="77777777" w:rsidR="002C625F" w:rsidRDefault="002C625F" w:rsidP="00AC7321">
      <w:pPr>
        <w:pStyle w:val="FootnoteText"/>
        <w:spacing w:after="0"/>
      </w:pPr>
      <w:r>
        <w:rPr>
          <w:rStyle w:val="FootnoteReference"/>
        </w:rPr>
        <w:footnoteRef/>
      </w:r>
      <w:r>
        <w:t xml:space="preserve"> Available at the </w:t>
      </w:r>
      <w:hyperlink r:id="rId24" w:history="1">
        <w:r w:rsidRPr="00F02354">
          <w:rPr>
            <w:rStyle w:val="Hyperlink"/>
          </w:rPr>
          <w:t>ACMA website</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6F81B1" w14:textId="77777777" w:rsidR="00E71FC5" w:rsidRDefault="00E71F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C95C37" w14:textId="77777777" w:rsidR="002C625F" w:rsidRPr="00A5474E" w:rsidRDefault="002C625F" w:rsidP="00A5474E">
    <w:pPr>
      <w:pStyle w:val="Header"/>
    </w:pPr>
    <w:r>
      <w:rPr>
        <w:noProof/>
      </w:rPr>
      <w:drawing>
        <wp:inline distT="0" distB="0" distL="0" distR="0" wp14:anchorId="08F23DA3" wp14:editId="50333CCD">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2D9DF" w14:textId="77777777" w:rsidR="002C625F" w:rsidRPr="00A5474E" w:rsidRDefault="002C625F"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13FBA0" w14:textId="77777777" w:rsidR="002C625F" w:rsidRDefault="002C625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4EFBC" w14:textId="77777777" w:rsidR="002C625F" w:rsidRDefault="002C625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C625F" w14:paraId="0FFCA076" w14:textId="77777777" w:rsidTr="00B020FB">
      <w:trPr>
        <w:trHeight w:hRule="exact" w:val="988"/>
      </w:trPr>
      <w:tc>
        <w:tcPr>
          <w:tcW w:w="7678" w:type="dxa"/>
          <w:shd w:val="clear" w:color="auto" w:fill="auto"/>
        </w:tcPr>
        <w:p w14:paraId="2FE8C5E5" w14:textId="77777777" w:rsidR="002C625F" w:rsidRDefault="002C625F" w:rsidP="00971914">
          <w:pPr>
            <w:pStyle w:val="Header"/>
          </w:pPr>
        </w:p>
      </w:tc>
    </w:tr>
    <w:tr w:rsidR="002C625F" w14:paraId="66D5DF64" w14:textId="77777777" w:rsidTr="00B020FB">
      <w:tc>
        <w:tcPr>
          <w:tcW w:w="7678" w:type="dxa"/>
          <w:shd w:val="clear" w:color="auto" w:fill="auto"/>
        </w:tcPr>
        <w:p w14:paraId="69A4802B" w14:textId="77777777" w:rsidR="002C625F" w:rsidRDefault="002C625F" w:rsidP="00971914">
          <w:pPr>
            <w:pStyle w:val="GridTable31"/>
          </w:pPr>
          <w:r>
            <w:t xml:space="preserve">Contents </w:t>
          </w:r>
          <w:r w:rsidRPr="00915B1C">
            <w:rPr>
              <w:b w:val="0"/>
              <w:spacing w:val="0"/>
              <w:sz w:val="28"/>
              <w:szCs w:val="28"/>
            </w:rPr>
            <w:t>(Continued)</w:t>
          </w:r>
        </w:p>
      </w:tc>
    </w:tr>
    <w:tr w:rsidR="002C625F" w14:paraId="1B1B7171" w14:textId="77777777" w:rsidTr="00B020FB">
      <w:trPr>
        <w:trHeight w:val="1220"/>
      </w:trPr>
      <w:tc>
        <w:tcPr>
          <w:tcW w:w="7678" w:type="dxa"/>
          <w:shd w:val="clear" w:color="auto" w:fill="auto"/>
        </w:tcPr>
        <w:p w14:paraId="35E7DD24" w14:textId="77777777" w:rsidR="002C625F" w:rsidRDefault="002C625F" w:rsidP="00971914"/>
      </w:tc>
    </w:tr>
  </w:tbl>
  <w:p w14:paraId="06DBBAD8" w14:textId="77777777" w:rsidR="002C625F" w:rsidRDefault="002C625F"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2C625F" w14:paraId="0BE16FDC" w14:textId="77777777" w:rsidTr="00B020FB">
      <w:trPr>
        <w:trHeight w:hRule="exact" w:val="988"/>
      </w:trPr>
      <w:tc>
        <w:tcPr>
          <w:tcW w:w="7678" w:type="dxa"/>
          <w:shd w:val="clear" w:color="auto" w:fill="auto"/>
        </w:tcPr>
        <w:p w14:paraId="0D297E5D" w14:textId="77777777" w:rsidR="002C625F" w:rsidRDefault="002C625F" w:rsidP="00971914">
          <w:pPr>
            <w:pStyle w:val="Header"/>
          </w:pPr>
        </w:p>
      </w:tc>
    </w:tr>
    <w:tr w:rsidR="002C625F" w14:paraId="54B80FDB" w14:textId="77777777" w:rsidTr="00B020FB">
      <w:tc>
        <w:tcPr>
          <w:tcW w:w="7678" w:type="dxa"/>
          <w:shd w:val="clear" w:color="auto" w:fill="auto"/>
        </w:tcPr>
        <w:p w14:paraId="628CF5A1" w14:textId="77777777" w:rsidR="002C625F" w:rsidRDefault="002C625F" w:rsidP="00971914">
          <w:pPr>
            <w:pStyle w:val="GridTable31"/>
          </w:pPr>
          <w:r>
            <w:t xml:space="preserve">Contents </w:t>
          </w:r>
          <w:r w:rsidRPr="00915B1C">
            <w:rPr>
              <w:b w:val="0"/>
              <w:spacing w:val="0"/>
              <w:sz w:val="28"/>
              <w:szCs w:val="28"/>
            </w:rPr>
            <w:t>(Continued)</w:t>
          </w:r>
        </w:p>
      </w:tc>
    </w:tr>
    <w:tr w:rsidR="002C625F" w14:paraId="5DDF3BDE" w14:textId="77777777" w:rsidTr="00B020FB">
      <w:trPr>
        <w:trHeight w:val="1220"/>
      </w:trPr>
      <w:tc>
        <w:tcPr>
          <w:tcW w:w="7678" w:type="dxa"/>
          <w:shd w:val="clear" w:color="auto" w:fill="auto"/>
        </w:tcPr>
        <w:p w14:paraId="344533C1" w14:textId="77777777" w:rsidR="002C625F" w:rsidRDefault="002C625F" w:rsidP="00971914"/>
      </w:tc>
    </w:tr>
  </w:tbl>
  <w:p w14:paraId="58089BCC" w14:textId="77777777" w:rsidR="002C625F" w:rsidRPr="00A5474E" w:rsidRDefault="002C625F"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2E38D8" w14:textId="77777777" w:rsidR="002C625F" w:rsidRDefault="002C625F"/>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646E60" w14:textId="77777777" w:rsidR="002C625F" w:rsidRDefault="002C625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46885D4A"/>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F58EFF5E"/>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951CEF98"/>
    <w:lvl w:ilvl="0">
      <w:start w:val="1"/>
      <w:numFmt w:val="upperLetter"/>
      <w:lvlText w:val="%1."/>
      <w:lvlJc w:val="left"/>
      <w:pPr>
        <w:ind w:left="360" w:hanging="360"/>
      </w:pPr>
      <w:rPr>
        <w:rFonts w:hint="default"/>
        <w:caps/>
        <w:sz w:val="20"/>
      </w:rPr>
    </w:lvl>
  </w:abstractNum>
  <w:abstractNum w:abstractNumId="4" w15:restartNumberingAfterBreak="0">
    <w:nsid w:val="FFFFFF89"/>
    <w:multiLevelType w:val="singleLevel"/>
    <w:tmpl w:val="D1C86270"/>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2A80D23"/>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6005273"/>
    <w:multiLevelType w:val="hybridMultilevel"/>
    <w:tmpl w:val="AD563150"/>
    <w:lvl w:ilvl="0" w:tplc="D1C86270">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18C5BD7"/>
    <w:multiLevelType w:val="hybridMultilevel"/>
    <w:tmpl w:val="04B298EC"/>
    <w:lvl w:ilvl="0" w:tplc="D1C86270">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73C0ACD"/>
    <w:multiLevelType w:val="hybridMultilevel"/>
    <w:tmpl w:val="379853CA"/>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884DD7"/>
    <w:multiLevelType w:val="hybridMultilevel"/>
    <w:tmpl w:val="028C0F12"/>
    <w:lvl w:ilvl="0" w:tplc="9392C992">
      <w:start w:val="1"/>
      <w:numFmt w:val="decimal"/>
      <w:lvlText w:val="%1."/>
      <w:lvlJc w:val="left"/>
      <w:pPr>
        <w:ind w:left="720" w:hanging="360"/>
      </w:pPr>
      <w:rPr>
        <w:rFonts w:hint="default"/>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81D1869"/>
    <w:multiLevelType w:val="hybridMultilevel"/>
    <w:tmpl w:val="B53EAB90"/>
    <w:lvl w:ilvl="0" w:tplc="0F660798">
      <w:start w:val="1"/>
      <w:numFmt w:val="decimal"/>
      <w:pStyle w:val="ACMAHeading3"/>
      <w:lvlText w:val="%1."/>
      <w:lvlJc w:val="left"/>
      <w:pPr>
        <w:tabs>
          <w:tab w:val="num" w:pos="720"/>
        </w:tabs>
        <w:ind w:left="720" w:hanging="360"/>
      </w:pPr>
    </w:lvl>
    <w:lvl w:ilvl="1" w:tplc="04090003">
      <w:start w:val="1"/>
      <w:numFmt w:val="lowerLetter"/>
      <w:lvlText w:val="%2."/>
      <w:lvlJc w:val="left"/>
      <w:pPr>
        <w:tabs>
          <w:tab w:val="num" w:pos="1440"/>
        </w:tabs>
        <w:ind w:left="1440" w:hanging="360"/>
      </w:pPr>
    </w:lvl>
    <w:lvl w:ilvl="2" w:tplc="04090005">
      <w:start w:val="1"/>
      <w:numFmt w:val="lowerRoman"/>
      <w:lvlText w:val="%3."/>
      <w:lvlJc w:val="right"/>
      <w:pPr>
        <w:tabs>
          <w:tab w:val="num" w:pos="2160"/>
        </w:tabs>
        <w:ind w:left="2160" w:hanging="180"/>
      </w:pPr>
    </w:lvl>
    <w:lvl w:ilvl="3" w:tplc="04090001">
      <w:start w:val="1"/>
      <w:numFmt w:val="decimal"/>
      <w:lvlText w:val="%4."/>
      <w:lvlJc w:val="left"/>
      <w:pPr>
        <w:tabs>
          <w:tab w:val="num" w:pos="2880"/>
        </w:tabs>
        <w:ind w:left="2880" w:hanging="360"/>
      </w:pPr>
    </w:lvl>
    <w:lvl w:ilvl="4" w:tplc="04090003">
      <w:start w:val="1"/>
      <w:numFmt w:val="lowerLetter"/>
      <w:lvlText w:val="%5."/>
      <w:lvlJc w:val="left"/>
      <w:pPr>
        <w:tabs>
          <w:tab w:val="num" w:pos="3600"/>
        </w:tabs>
        <w:ind w:left="3600" w:hanging="360"/>
      </w:pPr>
    </w:lvl>
    <w:lvl w:ilvl="5" w:tplc="04090005">
      <w:start w:val="1"/>
      <w:numFmt w:val="lowerRoman"/>
      <w:lvlText w:val="%6."/>
      <w:lvlJc w:val="right"/>
      <w:pPr>
        <w:tabs>
          <w:tab w:val="num" w:pos="4320"/>
        </w:tabs>
        <w:ind w:left="4320" w:hanging="180"/>
      </w:pPr>
    </w:lvl>
    <w:lvl w:ilvl="6" w:tplc="04090001">
      <w:start w:val="1"/>
      <w:numFmt w:val="decimal"/>
      <w:lvlText w:val="%7."/>
      <w:lvlJc w:val="left"/>
      <w:pPr>
        <w:tabs>
          <w:tab w:val="num" w:pos="5040"/>
        </w:tabs>
        <w:ind w:left="5040" w:hanging="360"/>
      </w:pPr>
    </w:lvl>
    <w:lvl w:ilvl="7" w:tplc="04090003">
      <w:start w:val="1"/>
      <w:numFmt w:val="lowerLetter"/>
      <w:lvlText w:val="%8."/>
      <w:lvlJc w:val="left"/>
      <w:pPr>
        <w:tabs>
          <w:tab w:val="num" w:pos="5760"/>
        </w:tabs>
        <w:ind w:left="5760" w:hanging="360"/>
      </w:pPr>
    </w:lvl>
    <w:lvl w:ilvl="8" w:tplc="04090005">
      <w:start w:val="1"/>
      <w:numFmt w:val="lowerRoman"/>
      <w:lvlText w:val="%9."/>
      <w:lvlJc w:val="right"/>
      <w:pPr>
        <w:tabs>
          <w:tab w:val="num" w:pos="6480"/>
        </w:tabs>
        <w:ind w:left="6480"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2FF80C9B"/>
    <w:multiLevelType w:val="hybridMultilevel"/>
    <w:tmpl w:val="6DF02C90"/>
    <w:lvl w:ilvl="0" w:tplc="36AA6E76">
      <w:start w:val="1"/>
      <w:numFmt w:val="bullet"/>
      <w:lvlText w:val="&gt;"/>
      <w:lvlJc w:val="left"/>
      <w:pPr>
        <w:ind w:left="360" w:hanging="360"/>
      </w:pPr>
      <w:rPr>
        <w:rFonts w:ascii="Arial" w:hAnsi="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947146F"/>
    <w:multiLevelType w:val="hybridMultilevel"/>
    <w:tmpl w:val="086680C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3E08719C"/>
    <w:multiLevelType w:val="hybridMultilevel"/>
    <w:tmpl w:val="A1BC1F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2FC5926"/>
    <w:multiLevelType w:val="hybridMultilevel"/>
    <w:tmpl w:val="D826C044"/>
    <w:lvl w:ilvl="0" w:tplc="E0687160">
      <w:start w:val="3"/>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53B76150"/>
    <w:multiLevelType w:val="hybridMultilevel"/>
    <w:tmpl w:val="1B7CB8F4"/>
    <w:lvl w:ilvl="0" w:tplc="B1B4D1DA">
      <w:start w:val="201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9E76B7"/>
    <w:multiLevelType w:val="hybridMultilevel"/>
    <w:tmpl w:val="27043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C43D07"/>
    <w:multiLevelType w:val="hybridMultilevel"/>
    <w:tmpl w:val="EB54B7A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ED146F4"/>
    <w:multiLevelType w:val="hybridMultilevel"/>
    <w:tmpl w:val="9F1C8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06B2158"/>
    <w:multiLevelType w:val="hybridMultilevel"/>
    <w:tmpl w:val="F7344A46"/>
    <w:lvl w:ilvl="0" w:tplc="D812B1EA">
      <w:start w:val="3"/>
      <w:numFmt w:val="bullet"/>
      <w:lvlText w:val=""/>
      <w:lvlJc w:val="left"/>
      <w:pPr>
        <w:ind w:left="1080" w:hanging="360"/>
      </w:pPr>
      <w:rPr>
        <w:rFonts w:ascii="Symbol" w:eastAsia="Times New Roman" w:hAnsi="Symbo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61A13921"/>
    <w:multiLevelType w:val="multilevel"/>
    <w:tmpl w:val="DA382D64"/>
    <w:lvl w:ilvl="0">
      <w:start w:val="1"/>
      <w:numFmt w:val="decimal"/>
      <w:lvlText w:val="%1."/>
      <w:lvlJc w:val="left"/>
      <w:pPr>
        <w:ind w:left="1080" w:hanging="72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071478"/>
    <w:multiLevelType w:val="hybridMultilevel"/>
    <w:tmpl w:val="A2484BA2"/>
    <w:lvl w:ilvl="0" w:tplc="01D2533A">
      <w:start w:val="1"/>
      <w:numFmt w:val="decimal"/>
      <w:pStyle w:val="ACMAFigureHeader"/>
      <w:lvlText w:val="Figure %1: "/>
      <w:lvlJc w:val="left"/>
      <w:pPr>
        <w:tabs>
          <w:tab w:val="num" w:pos="1305"/>
        </w:tabs>
        <w:ind w:left="1305"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88A3E9F"/>
    <w:multiLevelType w:val="hybridMultilevel"/>
    <w:tmpl w:val="195AEF0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77274E"/>
    <w:multiLevelType w:val="hybridMultilevel"/>
    <w:tmpl w:val="F904CCF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78AF2AE2"/>
    <w:multiLevelType w:val="multilevel"/>
    <w:tmpl w:val="9D3812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7C5C2E0B"/>
    <w:multiLevelType w:val="hybridMultilevel"/>
    <w:tmpl w:val="940E72F8"/>
    <w:lvl w:ilvl="0" w:tplc="54DA86CA">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11"/>
  </w:num>
  <w:num w:numId="6">
    <w:abstractNumId w:val="25"/>
  </w:num>
  <w:num w:numId="7">
    <w:abstractNumId w:val="20"/>
  </w:num>
  <w:num w:numId="8">
    <w:abstractNumId w:val="24"/>
  </w:num>
  <w:num w:numId="9">
    <w:abstractNumId w:val="27"/>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num>
  <w:num w:numId="12">
    <w:abstractNumId w:val="1"/>
  </w:num>
  <w:num w:numId="13">
    <w:abstractNumId w:val="1"/>
    <w:lvlOverride w:ilvl="0">
      <w:startOverride w:val="1"/>
    </w:lvlOverride>
  </w:num>
  <w:num w:numId="14">
    <w:abstractNumId w:val="5"/>
  </w:num>
  <w:num w:numId="15">
    <w:abstractNumId w:val="18"/>
  </w:num>
  <w:num w:numId="16">
    <w:abstractNumId w:val="19"/>
  </w:num>
  <w:num w:numId="17">
    <w:abstractNumId w:val="9"/>
  </w:num>
  <w:num w:numId="18">
    <w:abstractNumId w:val="28"/>
  </w:num>
  <w:num w:numId="19">
    <w:abstractNumId w:val="12"/>
  </w:num>
  <w:num w:numId="20">
    <w:abstractNumId w:val="14"/>
  </w:num>
  <w:num w:numId="21">
    <w:abstractNumId w:val="0"/>
  </w:num>
  <w:num w:numId="22">
    <w:abstractNumId w:val="3"/>
    <w:lvlOverride w:ilvl="0">
      <w:startOverride w:val="1"/>
    </w:lvlOverride>
  </w:num>
  <w:num w:numId="23">
    <w:abstractNumId w:val="26"/>
  </w:num>
  <w:num w:numId="24">
    <w:abstractNumId w:val="15"/>
  </w:num>
  <w:num w:numId="25">
    <w:abstractNumId w:val="13"/>
  </w:num>
  <w:num w:numId="2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num>
  <w:num w:numId="28">
    <w:abstractNumId w:val="1"/>
    <w:lvlOverride w:ilvl="0">
      <w:startOverride w:val="1"/>
    </w:lvlOverride>
  </w:num>
  <w:num w:numId="29">
    <w:abstractNumId w:val="1"/>
    <w:lvlOverride w:ilvl="0">
      <w:startOverride w:val="1"/>
    </w:lvlOverride>
  </w:num>
  <w:num w:numId="30">
    <w:abstractNumId w:val="4"/>
  </w:num>
  <w:num w:numId="31">
    <w:abstractNumId w:val="4"/>
  </w:num>
  <w:num w:numId="32">
    <w:abstractNumId w:val="4"/>
  </w:num>
  <w:num w:numId="33">
    <w:abstractNumId w:val="23"/>
  </w:num>
  <w:num w:numId="34">
    <w:abstractNumId w:val="4"/>
  </w:num>
  <w:num w:numId="35">
    <w:abstractNumId w:val="1"/>
  </w:num>
  <w:num w:numId="36">
    <w:abstractNumId w:val="25"/>
  </w:num>
  <w:num w:numId="37">
    <w:abstractNumId w:val="4"/>
  </w:num>
  <w:num w:numId="38">
    <w:abstractNumId w:val="4"/>
  </w:num>
  <w:num w:numId="39">
    <w:abstractNumId w:val="17"/>
  </w:num>
  <w:num w:numId="40">
    <w:abstractNumId w:val="7"/>
  </w:num>
  <w:num w:numId="41">
    <w:abstractNumId w:val="30"/>
  </w:num>
  <w:num w:numId="42">
    <w:abstractNumId w:val="22"/>
  </w:num>
  <w:num w:numId="43">
    <w:abstractNumId w:val="16"/>
  </w:num>
  <w:num w:numId="44">
    <w:abstractNumId w:val="25"/>
    <w:lvlOverride w:ilvl="0">
      <w:startOverride w:val="1"/>
    </w:lvlOverride>
  </w:num>
  <w:num w:numId="45">
    <w:abstractNumId w:val="25"/>
    <w:lvlOverride w:ilvl="0">
      <w:startOverride w:val="1"/>
    </w:lvlOverride>
  </w:num>
  <w:num w:numId="46">
    <w:abstractNumId w:val="8"/>
  </w:num>
  <w:num w:numId="47">
    <w:abstractNumId w:val="25"/>
    <w:lvlOverride w:ilvl="0">
      <w:startOverride w:val="1"/>
    </w:lvlOverride>
  </w:num>
  <w:num w:numId="48">
    <w:abstractNumId w:val="6"/>
  </w:num>
  <w:num w:numId="49">
    <w:abstractNumId w:val="25"/>
    <w:lvlOverride w:ilvl="0">
      <w:startOverride w:val="1"/>
    </w:lvlOverride>
  </w:num>
  <w:num w:numId="50">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3072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6F7F"/>
    <w:rsid w:val="00010667"/>
    <w:rsid w:val="000129D5"/>
    <w:rsid w:val="00015AE7"/>
    <w:rsid w:val="00016E21"/>
    <w:rsid w:val="0001719C"/>
    <w:rsid w:val="00026F91"/>
    <w:rsid w:val="0003171D"/>
    <w:rsid w:val="00033683"/>
    <w:rsid w:val="00036F5E"/>
    <w:rsid w:val="0003797E"/>
    <w:rsid w:val="00044D51"/>
    <w:rsid w:val="0005011A"/>
    <w:rsid w:val="0005045A"/>
    <w:rsid w:val="00051C1E"/>
    <w:rsid w:val="0005329E"/>
    <w:rsid w:val="000539F9"/>
    <w:rsid w:val="00054C27"/>
    <w:rsid w:val="000550FC"/>
    <w:rsid w:val="0005562D"/>
    <w:rsid w:val="000556EC"/>
    <w:rsid w:val="00055EC3"/>
    <w:rsid w:val="00055F7A"/>
    <w:rsid w:val="000563CE"/>
    <w:rsid w:val="00060A1E"/>
    <w:rsid w:val="000659B6"/>
    <w:rsid w:val="0006722A"/>
    <w:rsid w:val="00070707"/>
    <w:rsid w:val="00071CEA"/>
    <w:rsid w:val="000730AE"/>
    <w:rsid w:val="000732CF"/>
    <w:rsid w:val="00074B5C"/>
    <w:rsid w:val="00075B96"/>
    <w:rsid w:val="00080F61"/>
    <w:rsid w:val="0008196A"/>
    <w:rsid w:val="00085C4A"/>
    <w:rsid w:val="0009063E"/>
    <w:rsid w:val="000915ED"/>
    <w:rsid w:val="0009209D"/>
    <w:rsid w:val="000924A6"/>
    <w:rsid w:val="00095E07"/>
    <w:rsid w:val="000969BD"/>
    <w:rsid w:val="000969BF"/>
    <w:rsid w:val="000A0C22"/>
    <w:rsid w:val="000A31AF"/>
    <w:rsid w:val="000A3C43"/>
    <w:rsid w:val="000A4A51"/>
    <w:rsid w:val="000A5D2B"/>
    <w:rsid w:val="000B119C"/>
    <w:rsid w:val="000B447B"/>
    <w:rsid w:val="000B44A8"/>
    <w:rsid w:val="000B5DE3"/>
    <w:rsid w:val="000C0A57"/>
    <w:rsid w:val="000C1E58"/>
    <w:rsid w:val="000C230C"/>
    <w:rsid w:val="000C6AB4"/>
    <w:rsid w:val="000C7414"/>
    <w:rsid w:val="000D5EEA"/>
    <w:rsid w:val="000D71D9"/>
    <w:rsid w:val="000D76E0"/>
    <w:rsid w:val="000D7E8B"/>
    <w:rsid w:val="000E2BE3"/>
    <w:rsid w:val="000E3724"/>
    <w:rsid w:val="000E4449"/>
    <w:rsid w:val="000E598B"/>
    <w:rsid w:val="000E6097"/>
    <w:rsid w:val="000F375D"/>
    <w:rsid w:val="000F4C2B"/>
    <w:rsid w:val="000F6272"/>
    <w:rsid w:val="00101153"/>
    <w:rsid w:val="00103829"/>
    <w:rsid w:val="00111FCE"/>
    <w:rsid w:val="0011201F"/>
    <w:rsid w:val="001133D4"/>
    <w:rsid w:val="0011455B"/>
    <w:rsid w:val="001201C2"/>
    <w:rsid w:val="0012105B"/>
    <w:rsid w:val="00122884"/>
    <w:rsid w:val="001229A5"/>
    <w:rsid w:val="0012489B"/>
    <w:rsid w:val="0012650B"/>
    <w:rsid w:val="00130017"/>
    <w:rsid w:val="00130F91"/>
    <w:rsid w:val="001349ED"/>
    <w:rsid w:val="00137424"/>
    <w:rsid w:val="00140318"/>
    <w:rsid w:val="00141AD9"/>
    <w:rsid w:val="00143580"/>
    <w:rsid w:val="00146CE6"/>
    <w:rsid w:val="00152903"/>
    <w:rsid w:val="0015614F"/>
    <w:rsid w:val="001577C2"/>
    <w:rsid w:val="001633C4"/>
    <w:rsid w:val="001651CF"/>
    <w:rsid w:val="00171591"/>
    <w:rsid w:val="00173981"/>
    <w:rsid w:val="0017719D"/>
    <w:rsid w:val="0018231E"/>
    <w:rsid w:val="00185CAB"/>
    <w:rsid w:val="00186244"/>
    <w:rsid w:val="001875B7"/>
    <w:rsid w:val="00187CB3"/>
    <w:rsid w:val="0019050A"/>
    <w:rsid w:val="001910D4"/>
    <w:rsid w:val="00191F1C"/>
    <w:rsid w:val="00191FA0"/>
    <w:rsid w:val="00192019"/>
    <w:rsid w:val="001929A5"/>
    <w:rsid w:val="00192CB0"/>
    <w:rsid w:val="00192E8C"/>
    <w:rsid w:val="001976E3"/>
    <w:rsid w:val="001A0CAE"/>
    <w:rsid w:val="001A4286"/>
    <w:rsid w:val="001A44EC"/>
    <w:rsid w:val="001A684A"/>
    <w:rsid w:val="001A77B5"/>
    <w:rsid w:val="001B58AA"/>
    <w:rsid w:val="001B7E48"/>
    <w:rsid w:val="001C17CE"/>
    <w:rsid w:val="001C36CA"/>
    <w:rsid w:val="001C44D1"/>
    <w:rsid w:val="001C6AEE"/>
    <w:rsid w:val="001C7630"/>
    <w:rsid w:val="001D6D15"/>
    <w:rsid w:val="001E61AF"/>
    <w:rsid w:val="001E729B"/>
    <w:rsid w:val="001F7558"/>
    <w:rsid w:val="001F7595"/>
    <w:rsid w:val="00203253"/>
    <w:rsid w:val="00205B57"/>
    <w:rsid w:val="002157E0"/>
    <w:rsid w:val="00216A57"/>
    <w:rsid w:val="00221D00"/>
    <w:rsid w:val="0022334F"/>
    <w:rsid w:val="00226819"/>
    <w:rsid w:val="00233101"/>
    <w:rsid w:val="00233817"/>
    <w:rsid w:val="002367FF"/>
    <w:rsid w:val="00236A33"/>
    <w:rsid w:val="00240CE9"/>
    <w:rsid w:val="002434BA"/>
    <w:rsid w:val="00246089"/>
    <w:rsid w:val="00246093"/>
    <w:rsid w:val="00246702"/>
    <w:rsid w:val="00247C59"/>
    <w:rsid w:val="00247F2E"/>
    <w:rsid w:val="00250ADC"/>
    <w:rsid w:val="00250B07"/>
    <w:rsid w:val="00253122"/>
    <w:rsid w:val="00257553"/>
    <w:rsid w:val="002577C8"/>
    <w:rsid w:val="00260FB2"/>
    <w:rsid w:val="00262128"/>
    <w:rsid w:val="00263519"/>
    <w:rsid w:val="0027165D"/>
    <w:rsid w:val="00273623"/>
    <w:rsid w:val="00273CEB"/>
    <w:rsid w:val="0027504E"/>
    <w:rsid w:val="002800DF"/>
    <w:rsid w:val="00281C89"/>
    <w:rsid w:val="0028282F"/>
    <w:rsid w:val="00282A08"/>
    <w:rsid w:val="002859F7"/>
    <w:rsid w:val="00287D84"/>
    <w:rsid w:val="002928AF"/>
    <w:rsid w:val="002928C7"/>
    <w:rsid w:val="00294EAC"/>
    <w:rsid w:val="0029593B"/>
    <w:rsid w:val="00296E04"/>
    <w:rsid w:val="00297FC5"/>
    <w:rsid w:val="002A0417"/>
    <w:rsid w:val="002A16D8"/>
    <w:rsid w:val="002A1BC8"/>
    <w:rsid w:val="002A3EF2"/>
    <w:rsid w:val="002A5B72"/>
    <w:rsid w:val="002A5BF2"/>
    <w:rsid w:val="002B05BC"/>
    <w:rsid w:val="002B0DED"/>
    <w:rsid w:val="002B19A2"/>
    <w:rsid w:val="002B381A"/>
    <w:rsid w:val="002B4FCC"/>
    <w:rsid w:val="002B7408"/>
    <w:rsid w:val="002B7CFD"/>
    <w:rsid w:val="002C210F"/>
    <w:rsid w:val="002C503A"/>
    <w:rsid w:val="002C625F"/>
    <w:rsid w:val="002D2821"/>
    <w:rsid w:val="002D3600"/>
    <w:rsid w:val="002D3EB6"/>
    <w:rsid w:val="002E4DDC"/>
    <w:rsid w:val="002F5C70"/>
    <w:rsid w:val="003009EC"/>
    <w:rsid w:val="00302480"/>
    <w:rsid w:val="00305D32"/>
    <w:rsid w:val="00305FC8"/>
    <w:rsid w:val="00310C06"/>
    <w:rsid w:val="003165E6"/>
    <w:rsid w:val="003166AA"/>
    <w:rsid w:val="003221CF"/>
    <w:rsid w:val="0032266C"/>
    <w:rsid w:val="003233ED"/>
    <w:rsid w:val="003237E9"/>
    <w:rsid w:val="00324D9F"/>
    <w:rsid w:val="00327948"/>
    <w:rsid w:val="0033000F"/>
    <w:rsid w:val="00330DEC"/>
    <w:rsid w:val="00332011"/>
    <w:rsid w:val="00332518"/>
    <w:rsid w:val="00332925"/>
    <w:rsid w:val="003332ED"/>
    <w:rsid w:val="003368DC"/>
    <w:rsid w:val="00343E11"/>
    <w:rsid w:val="00344690"/>
    <w:rsid w:val="00345927"/>
    <w:rsid w:val="0034630A"/>
    <w:rsid w:val="00347439"/>
    <w:rsid w:val="00350584"/>
    <w:rsid w:val="00350ACE"/>
    <w:rsid w:val="00351857"/>
    <w:rsid w:val="0035265A"/>
    <w:rsid w:val="00354D30"/>
    <w:rsid w:val="00357301"/>
    <w:rsid w:val="003610E1"/>
    <w:rsid w:val="00364622"/>
    <w:rsid w:val="003671BE"/>
    <w:rsid w:val="00372485"/>
    <w:rsid w:val="003724E7"/>
    <w:rsid w:val="00373200"/>
    <w:rsid w:val="00374463"/>
    <w:rsid w:val="00375EF5"/>
    <w:rsid w:val="003763F7"/>
    <w:rsid w:val="003767A5"/>
    <w:rsid w:val="0038291F"/>
    <w:rsid w:val="00385254"/>
    <w:rsid w:val="00387A57"/>
    <w:rsid w:val="00387B1B"/>
    <w:rsid w:val="00387E32"/>
    <w:rsid w:val="00391A22"/>
    <w:rsid w:val="00392163"/>
    <w:rsid w:val="00396071"/>
    <w:rsid w:val="003A5F5B"/>
    <w:rsid w:val="003A789A"/>
    <w:rsid w:val="003B12EC"/>
    <w:rsid w:val="003B30D5"/>
    <w:rsid w:val="003B54ED"/>
    <w:rsid w:val="003C40E1"/>
    <w:rsid w:val="003C77E0"/>
    <w:rsid w:val="003D17D7"/>
    <w:rsid w:val="003D2678"/>
    <w:rsid w:val="003D71A3"/>
    <w:rsid w:val="003E2B8A"/>
    <w:rsid w:val="003E62F3"/>
    <w:rsid w:val="003E7C1B"/>
    <w:rsid w:val="003F03D9"/>
    <w:rsid w:val="003F10EE"/>
    <w:rsid w:val="003F16F6"/>
    <w:rsid w:val="003F2B72"/>
    <w:rsid w:val="003F4DC7"/>
    <w:rsid w:val="003F5235"/>
    <w:rsid w:val="00400F29"/>
    <w:rsid w:val="00401B53"/>
    <w:rsid w:val="004027E4"/>
    <w:rsid w:val="0041071D"/>
    <w:rsid w:val="00414AFC"/>
    <w:rsid w:val="004151A7"/>
    <w:rsid w:val="00415310"/>
    <w:rsid w:val="00421709"/>
    <w:rsid w:val="00423763"/>
    <w:rsid w:val="00423968"/>
    <w:rsid w:val="00425230"/>
    <w:rsid w:val="0042544A"/>
    <w:rsid w:val="0042762F"/>
    <w:rsid w:val="00427DC7"/>
    <w:rsid w:val="00431613"/>
    <w:rsid w:val="00431792"/>
    <w:rsid w:val="0043297A"/>
    <w:rsid w:val="00432EB2"/>
    <w:rsid w:val="0043714F"/>
    <w:rsid w:val="004403FA"/>
    <w:rsid w:val="004438B5"/>
    <w:rsid w:val="00447037"/>
    <w:rsid w:val="00450CF8"/>
    <w:rsid w:val="0045124D"/>
    <w:rsid w:val="00454596"/>
    <w:rsid w:val="0045605D"/>
    <w:rsid w:val="0046135B"/>
    <w:rsid w:val="00462916"/>
    <w:rsid w:val="0046487C"/>
    <w:rsid w:val="00465035"/>
    <w:rsid w:val="004718CC"/>
    <w:rsid w:val="00481695"/>
    <w:rsid w:val="00484D99"/>
    <w:rsid w:val="004854DA"/>
    <w:rsid w:val="00491C77"/>
    <w:rsid w:val="0049207A"/>
    <w:rsid w:val="00495A96"/>
    <w:rsid w:val="00495BB3"/>
    <w:rsid w:val="00496E1D"/>
    <w:rsid w:val="004A56BB"/>
    <w:rsid w:val="004B0B96"/>
    <w:rsid w:val="004B1751"/>
    <w:rsid w:val="004B17BA"/>
    <w:rsid w:val="004C0253"/>
    <w:rsid w:val="004C4B27"/>
    <w:rsid w:val="004C66C7"/>
    <w:rsid w:val="004C6B58"/>
    <w:rsid w:val="004D4DAD"/>
    <w:rsid w:val="004D56FF"/>
    <w:rsid w:val="004E39D3"/>
    <w:rsid w:val="004E420D"/>
    <w:rsid w:val="004E508A"/>
    <w:rsid w:val="004E616D"/>
    <w:rsid w:val="004F15ED"/>
    <w:rsid w:val="004F1BDE"/>
    <w:rsid w:val="004F2CEE"/>
    <w:rsid w:val="004F556E"/>
    <w:rsid w:val="004F7F44"/>
    <w:rsid w:val="005030BA"/>
    <w:rsid w:val="005037B4"/>
    <w:rsid w:val="00503BA9"/>
    <w:rsid w:val="00505A6C"/>
    <w:rsid w:val="005079BF"/>
    <w:rsid w:val="005109B0"/>
    <w:rsid w:val="0051282C"/>
    <w:rsid w:val="00520A4A"/>
    <w:rsid w:val="005219E7"/>
    <w:rsid w:val="00527183"/>
    <w:rsid w:val="00527BD9"/>
    <w:rsid w:val="00531B9A"/>
    <w:rsid w:val="00531D15"/>
    <w:rsid w:val="00537604"/>
    <w:rsid w:val="00540DA5"/>
    <w:rsid w:val="00541290"/>
    <w:rsid w:val="00542377"/>
    <w:rsid w:val="005461B2"/>
    <w:rsid w:val="005476EB"/>
    <w:rsid w:val="00551782"/>
    <w:rsid w:val="00563EF1"/>
    <w:rsid w:val="00564503"/>
    <w:rsid w:val="00566AB4"/>
    <w:rsid w:val="00573DD3"/>
    <w:rsid w:val="00575AC5"/>
    <w:rsid w:val="0057605D"/>
    <w:rsid w:val="00581347"/>
    <w:rsid w:val="005815FF"/>
    <w:rsid w:val="00581AC9"/>
    <w:rsid w:val="005849F8"/>
    <w:rsid w:val="005938DF"/>
    <w:rsid w:val="00594E9C"/>
    <w:rsid w:val="005A099B"/>
    <w:rsid w:val="005A2D9C"/>
    <w:rsid w:val="005A48C1"/>
    <w:rsid w:val="005A55FE"/>
    <w:rsid w:val="005A6A11"/>
    <w:rsid w:val="005A76BF"/>
    <w:rsid w:val="005A7C2E"/>
    <w:rsid w:val="005B0052"/>
    <w:rsid w:val="005C2C6F"/>
    <w:rsid w:val="005D2502"/>
    <w:rsid w:val="005D383F"/>
    <w:rsid w:val="005D47F3"/>
    <w:rsid w:val="005D49BF"/>
    <w:rsid w:val="005D6F4E"/>
    <w:rsid w:val="005E0413"/>
    <w:rsid w:val="005E3ACD"/>
    <w:rsid w:val="005E7226"/>
    <w:rsid w:val="005E7A57"/>
    <w:rsid w:val="005F0731"/>
    <w:rsid w:val="005F24B0"/>
    <w:rsid w:val="005F376B"/>
    <w:rsid w:val="00601AD4"/>
    <w:rsid w:val="0060206D"/>
    <w:rsid w:val="00604315"/>
    <w:rsid w:val="00604E26"/>
    <w:rsid w:val="006052CF"/>
    <w:rsid w:val="00607B8D"/>
    <w:rsid w:val="00611F5C"/>
    <w:rsid w:val="00616E09"/>
    <w:rsid w:val="00622A3B"/>
    <w:rsid w:val="00622EEA"/>
    <w:rsid w:val="0062396C"/>
    <w:rsid w:val="00623FF9"/>
    <w:rsid w:val="00624BD4"/>
    <w:rsid w:val="00627CDF"/>
    <w:rsid w:val="00627D4E"/>
    <w:rsid w:val="00634478"/>
    <w:rsid w:val="00644101"/>
    <w:rsid w:val="00644373"/>
    <w:rsid w:val="00645915"/>
    <w:rsid w:val="006519C3"/>
    <w:rsid w:val="00652B30"/>
    <w:rsid w:val="00654B35"/>
    <w:rsid w:val="00656345"/>
    <w:rsid w:val="00656DC6"/>
    <w:rsid w:val="00664110"/>
    <w:rsid w:val="006646EF"/>
    <w:rsid w:val="00664D17"/>
    <w:rsid w:val="00665721"/>
    <w:rsid w:val="00666520"/>
    <w:rsid w:val="0066787F"/>
    <w:rsid w:val="00667C5B"/>
    <w:rsid w:val="00667F11"/>
    <w:rsid w:val="0067403B"/>
    <w:rsid w:val="00681FE1"/>
    <w:rsid w:val="00685BCA"/>
    <w:rsid w:val="00692CDE"/>
    <w:rsid w:val="00693073"/>
    <w:rsid w:val="0069487A"/>
    <w:rsid w:val="006977FF"/>
    <w:rsid w:val="00697E13"/>
    <w:rsid w:val="006A01FA"/>
    <w:rsid w:val="006A0E9E"/>
    <w:rsid w:val="006A25C7"/>
    <w:rsid w:val="006A4AAD"/>
    <w:rsid w:val="006A6DA2"/>
    <w:rsid w:val="006A7AB2"/>
    <w:rsid w:val="006A7ACC"/>
    <w:rsid w:val="006B4BE4"/>
    <w:rsid w:val="006B5717"/>
    <w:rsid w:val="006B582F"/>
    <w:rsid w:val="006C0CEB"/>
    <w:rsid w:val="006C3B1E"/>
    <w:rsid w:val="006C47FD"/>
    <w:rsid w:val="006C70A0"/>
    <w:rsid w:val="006D27CB"/>
    <w:rsid w:val="006D2F08"/>
    <w:rsid w:val="006D576C"/>
    <w:rsid w:val="006D5865"/>
    <w:rsid w:val="006D7F28"/>
    <w:rsid w:val="006E399B"/>
    <w:rsid w:val="006E4B1B"/>
    <w:rsid w:val="006E5445"/>
    <w:rsid w:val="006E6081"/>
    <w:rsid w:val="006E7D93"/>
    <w:rsid w:val="006F21A0"/>
    <w:rsid w:val="007029A3"/>
    <w:rsid w:val="0070539F"/>
    <w:rsid w:val="00706E4E"/>
    <w:rsid w:val="0070791C"/>
    <w:rsid w:val="0071383C"/>
    <w:rsid w:val="007141A7"/>
    <w:rsid w:val="0071601C"/>
    <w:rsid w:val="00721032"/>
    <w:rsid w:val="00721B55"/>
    <w:rsid w:val="007223C5"/>
    <w:rsid w:val="00726CE4"/>
    <w:rsid w:val="00727F78"/>
    <w:rsid w:val="00733888"/>
    <w:rsid w:val="00734143"/>
    <w:rsid w:val="0073589D"/>
    <w:rsid w:val="00737E47"/>
    <w:rsid w:val="00740EAC"/>
    <w:rsid w:val="00744956"/>
    <w:rsid w:val="00745A5C"/>
    <w:rsid w:val="0074605F"/>
    <w:rsid w:val="00747E94"/>
    <w:rsid w:val="00760FC1"/>
    <w:rsid w:val="0076194E"/>
    <w:rsid w:val="00761967"/>
    <w:rsid w:val="00766749"/>
    <w:rsid w:val="00767C1B"/>
    <w:rsid w:val="007714A9"/>
    <w:rsid w:val="00771F8A"/>
    <w:rsid w:val="0077421F"/>
    <w:rsid w:val="00774B36"/>
    <w:rsid w:val="00774F88"/>
    <w:rsid w:val="00774FDB"/>
    <w:rsid w:val="00777A32"/>
    <w:rsid w:val="00777BA2"/>
    <w:rsid w:val="00781408"/>
    <w:rsid w:val="00784F7F"/>
    <w:rsid w:val="007912CE"/>
    <w:rsid w:val="007920DF"/>
    <w:rsid w:val="0079285F"/>
    <w:rsid w:val="00796F25"/>
    <w:rsid w:val="007A2E98"/>
    <w:rsid w:val="007A3BA3"/>
    <w:rsid w:val="007A6CC0"/>
    <w:rsid w:val="007A7FEC"/>
    <w:rsid w:val="007B1499"/>
    <w:rsid w:val="007B1BBF"/>
    <w:rsid w:val="007B2960"/>
    <w:rsid w:val="007B355D"/>
    <w:rsid w:val="007B7778"/>
    <w:rsid w:val="007B7980"/>
    <w:rsid w:val="007C5D5A"/>
    <w:rsid w:val="007C607F"/>
    <w:rsid w:val="007C79DD"/>
    <w:rsid w:val="007D1A97"/>
    <w:rsid w:val="007D1ABE"/>
    <w:rsid w:val="007D28E7"/>
    <w:rsid w:val="007D2CD6"/>
    <w:rsid w:val="007D3063"/>
    <w:rsid w:val="007D3CEB"/>
    <w:rsid w:val="007D6FB9"/>
    <w:rsid w:val="007D7424"/>
    <w:rsid w:val="007E37A5"/>
    <w:rsid w:val="007E3BEE"/>
    <w:rsid w:val="007E6D0A"/>
    <w:rsid w:val="007E7683"/>
    <w:rsid w:val="007F49FA"/>
    <w:rsid w:val="007F54C4"/>
    <w:rsid w:val="007F6E9A"/>
    <w:rsid w:val="007F7444"/>
    <w:rsid w:val="008044D4"/>
    <w:rsid w:val="00805477"/>
    <w:rsid w:val="00810AB4"/>
    <w:rsid w:val="00814EF8"/>
    <w:rsid w:val="00817B56"/>
    <w:rsid w:val="00821A88"/>
    <w:rsid w:val="0082495D"/>
    <w:rsid w:val="00824A01"/>
    <w:rsid w:val="00826573"/>
    <w:rsid w:val="00831901"/>
    <w:rsid w:val="00831AC3"/>
    <w:rsid w:val="00836827"/>
    <w:rsid w:val="008408FF"/>
    <w:rsid w:val="00840FE5"/>
    <w:rsid w:val="00851F3F"/>
    <w:rsid w:val="00856EDC"/>
    <w:rsid w:val="00861B7A"/>
    <w:rsid w:val="008623B5"/>
    <w:rsid w:val="00870ABA"/>
    <w:rsid w:val="008710E1"/>
    <w:rsid w:val="008716E5"/>
    <w:rsid w:val="00881A11"/>
    <w:rsid w:val="00881CA9"/>
    <w:rsid w:val="0088246D"/>
    <w:rsid w:val="00883628"/>
    <w:rsid w:val="00885544"/>
    <w:rsid w:val="0088634E"/>
    <w:rsid w:val="00886822"/>
    <w:rsid w:val="00893AB8"/>
    <w:rsid w:val="008969C5"/>
    <w:rsid w:val="008A04C8"/>
    <w:rsid w:val="008A050A"/>
    <w:rsid w:val="008A1F40"/>
    <w:rsid w:val="008A6913"/>
    <w:rsid w:val="008B5CF5"/>
    <w:rsid w:val="008B70F3"/>
    <w:rsid w:val="008B76DF"/>
    <w:rsid w:val="008C10F4"/>
    <w:rsid w:val="008C22C9"/>
    <w:rsid w:val="008C65F7"/>
    <w:rsid w:val="008D34C2"/>
    <w:rsid w:val="008D7C82"/>
    <w:rsid w:val="008E1DF1"/>
    <w:rsid w:val="008E4767"/>
    <w:rsid w:val="008E7A8C"/>
    <w:rsid w:val="008F6C1E"/>
    <w:rsid w:val="008F7C97"/>
    <w:rsid w:val="00903285"/>
    <w:rsid w:val="00906F40"/>
    <w:rsid w:val="0090731E"/>
    <w:rsid w:val="009075FB"/>
    <w:rsid w:val="00913118"/>
    <w:rsid w:val="00915B1C"/>
    <w:rsid w:val="009174F3"/>
    <w:rsid w:val="0091797D"/>
    <w:rsid w:val="00923CBA"/>
    <w:rsid w:val="00926703"/>
    <w:rsid w:val="00927691"/>
    <w:rsid w:val="00927A5F"/>
    <w:rsid w:val="009302F9"/>
    <w:rsid w:val="00933308"/>
    <w:rsid w:val="00934649"/>
    <w:rsid w:val="00935B63"/>
    <w:rsid w:val="0094078F"/>
    <w:rsid w:val="00940FA3"/>
    <w:rsid w:val="00941849"/>
    <w:rsid w:val="00941FB0"/>
    <w:rsid w:val="00942553"/>
    <w:rsid w:val="009426D4"/>
    <w:rsid w:val="00947F25"/>
    <w:rsid w:val="00950159"/>
    <w:rsid w:val="00953340"/>
    <w:rsid w:val="0095490B"/>
    <w:rsid w:val="00957AD6"/>
    <w:rsid w:val="009650C7"/>
    <w:rsid w:val="00971914"/>
    <w:rsid w:val="009732EE"/>
    <w:rsid w:val="00974363"/>
    <w:rsid w:val="009756C4"/>
    <w:rsid w:val="00976ECE"/>
    <w:rsid w:val="00977D14"/>
    <w:rsid w:val="00981898"/>
    <w:rsid w:val="0099577C"/>
    <w:rsid w:val="00997425"/>
    <w:rsid w:val="009A09DA"/>
    <w:rsid w:val="009A2073"/>
    <w:rsid w:val="009B4E9E"/>
    <w:rsid w:val="009B7057"/>
    <w:rsid w:val="009B7E20"/>
    <w:rsid w:val="009C1690"/>
    <w:rsid w:val="009C17F8"/>
    <w:rsid w:val="009C5896"/>
    <w:rsid w:val="009C6881"/>
    <w:rsid w:val="009C7759"/>
    <w:rsid w:val="009D043D"/>
    <w:rsid w:val="009D6C71"/>
    <w:rsid w:val="009E039F"/>
    <w:rsid w:val="009E0631"/>
    <w:rsid w:val="009E16D0"/>
    <w:rsid w:val="009E38FD"/>
    <w:rsid w:val="009E5A1E"/>
    <w:rsid w:val="009F13D6"/>
    <w:rsid w:val="009F4C6B"/>
    <w:rsid w:val="009F4E4B"/>
    <w:rsid w:val="009F69FE"/>
    <w:rsid w:val="009F78A8"/>
    <w:rsid w:val="00A002A0"/>
    <w:rsid w:val="00A016F1"/>
    <w:rsid w:val="00A02AD6"/>
    <w:rsid w:val="00A07096"/>
    <w:rsid w:val="00A07318"/>
    <w:rsid w:val="00A11370"/>
    <w:rsid w:val="00A15F22"/>
    <w:rsid w:val="00A16866"/>
    <w:rsid w:val="00A224CE"/>
    <w:rsid w:val="00A22522"/>
    <w:rsid w:val="00A24AFD"/>
    <w:rsid w:val="00A24F5C"/>
    <w:rsid w:val="00A3109E"/>
    <w:rsid w:val="00A32F96"/>
    <w:rsid w:val="00A40871"/>
    <w:rsid w:val="00A40BC9"/>
    <w:rsid w:val="00A412AB"/>
    <w:rsid w:val="00A4193E"/>
    <w:rsid w:val="00A440E0"/>
    <w:rsid w:val="00A442EF"/>
    <w:rsid w:val="00A47BEA"/>
    <w:rsid w:val="00A47E79"/>
    <w:rsid w:val="00A51D1A"/>
    <w:rsid w:val="00A53E68"/>
    <w:rsid w:val="00A5418D"/>
    <w:rsid w:val="00A5474E"/>
    <w:rsid w:val="00A55B38"/>
    <w:rsid w:val="00A62DEC"/>
    <w:rsid w:val="00A65842"/>
    <w:rsid w:val="00A67C32"/>
    <w:rsid w:val="00A70ADF"/>
    <w:rsid w:val="00A71466"/>
    <w:rsid w:val="00A74B5E"/>
    <w:rsid w:val="00A81BED"/>
    <w:rsid w:val="00A81EC4"/>
    <w:rsid w:val="00A83DED"/>
    <w:rsid w:val="00A8774D"/>
    <w:rsid w:val="00A92380"/>
    <w:rsid w:val="00A967FD"/>
    <w:rsid w:val="00A973BE"/>
    <w:rsid w:val="00AB156C"/>
    <w:rsid w:val="00AB6814"/>
    <w:rsid w:val="00AC04BA"/>
    <w:rsid w:val="00AC0E39"/>
    <w:rsid w:val="00AC44FC"/>
    <w:rsid w:val="00AC654B"/>
    <w:rsid w:val="00AC7321"/>
    <w:rsid w:val="00AD11C8"/>
    <w:rsid w:val="00AD1DDB"/>
    <w:rsid w:val="00AD3082"/>
    <w:rsid w:val="00AD30DA"/>
    <w:rsid w:val="00AD4AD0"/>
    <w:rsid w:val="00AD5436"/>
    <w:rsid w:val="00AD585A"/>
    <w:rsid w:val="00AD60CD"/>
    <w:rsid w:val="00AD6C8C"/>
    <w:rsid w:val="00AE078D"/>
    <w:rsid w:val="00AE091D"/>
    <w:rsid w:val="00AE3B60"/>
    <w:rsid w:val="00AE53A1"/>
    <w:rsid w:val="00AF2484"/>
    <w:rsid w:val="00AF3147"/>
    <w:rsid w:val="00AF63E7"/>
    <w:rsid w:val="00B0165D"/>
    <w:rsid w:val="00B020CB"/>
    <w:rsid w:val="00B020FB"/>
    <w:rsid w:val="00B031F3"/>
    <w:rsid w:val="00B052A4"/>
    <w:rsid w:val="00B125DE"/>
    <w:rsid w:val="00B1277D"/>
    <w:rsid w:val="00B13FDD"/>
    <w:rsid w:val="00B22EB2"/>
    <w:rsid w:val="00B240B6"/>
    <w:rsid w:val="00B27442"/>
    <w:rsid w:val="00B31167"/>
    <w:rsid w:val="00B329D8"/>
    <w:rsid w:val="00B32BB9"/>
    <w:rsid w:val="00B33AE1"/>
    <w:rsid w:val="00B37C38"/>
    <w:rsid w:val="00B37F22"/>
    <w:rsid w:val="00B4288C"/>
    <w:rsid w:val="00B4296D"/>
    <w:rsid w:val="00B43262"/>
    <w:rsid w:val="00B44100"/>
    <w:rsid w:val="00B46CBA"/>
    <w:rsid w:val="00B46F94"/>
    <w:rsid w:val="00B61F03"/>
    <w:rsid w:val="00B626E4"/>
    <w:rsid w:val="00B65808"/>
    <w:rsid w:val="00B717A2"/>
    <w:rsid w:val="00B72F4A"/>
    <w:rsid w:val="00B74DBA"/>
    <w:rsid w:val="00B75DE7"/>
    <w:rsid w:val="00B83C27"/>
    <w:rsid w:val="00B84BC3"/>
    <w:rsid w:val="00B84BDD"/>
    <w:rsid w:val="00B9027F"/>
    <w:rsid w:val="00B90C24"/>
    <w:rsid w:val="00B92812"/>
    <w:rsid w:val="00B96042"/>
    <w:rsid w:val="00BA104F"/>
    <w:rsid w:val="00BA271E"/>
    <w:rsid w:val="00BB45A1"/>
    <w:rsid w:val="00BB7686"/>
    <w:rsid w:val="00BC23F9"/>
    <w:rsid w:val="00BC2E36"/>
    <w:rsid w:val="00BC3421"/>
    <w:rsid w:val="00BC732C"/>
    <w:rsid w:val="00BD022D"/>
    <w:rsid w:val="00BD376F"/>
    <w:rsid w:val="00BE2580"/>
    <w:rsid w:val="00BE266D"/>
    <w:rsid w:val="00BE3929"/>
    <w:rsid w:val="00BE3938"/>
    <w:rsid w:val="00BE4C11"/>
    <w:rsid w:val="00BE6267"/>
    <w:rsid w:val="00BE71C0"/>
    <w:rsid w:val="00BF610C"/>
    <w:rsid w:val="00C0060B"/>
    <w:rsid w:val="00C0277D"/>
    <w:rsid w:val="00C048CD"/>
    <w:rsid w:val="00C053A1"/>
    <w:rsid w:val="00C0770D"/>
    <w:rsid w:val="00C16198"/>
    <w:rsid w:val="00C2083D"/>
    <w:rsid w:val="00C23BD7"/>
    <w:rsid w:val="00C24A53"/>
    <w:rsid w:val="00C26EB7"/>
    <w:rsid w:val="00C31E8D"/>
    <w:rsid w:val="00C32C1D"/>
    <w:rsid w:val="00C32D3C"/>
    <w:rsid w:val="00C359F9"/>
    <w:rsid w:val="00C4032F"/>
    <w:rsid w:val="00C41C7D"/>
    <w:rsid w:val="00C44047"/>
    <w:rsid w:val="00C45155"/>
    <w:rsid w:val="00C5498F"/>
    <w:rsid w:val="00C55235"/>
    <w:rsid w:val="00C64CD0"/>
    <w:rsid w:val="00C64E4D"/>
    <w:rsid w:val="00C6684F"/>
    <w:rsid w:val="00C70E70"/>
    <w:rsid w:val="00C71F6A"/>
    <w:rsid w:val="00C75F8D"/>
    <w:rsid w:val="00C77380"/>
    <w:rsid w:val="00C86B88"/>
    <w:rsid w:val="00C90431"/>
    <w:rsid w:val="00C93E21"/>
    <w:rsid w:val="00C93FB1"/>
    <w:rsid w:val="00C97736"/>
    <w:rsid w:val="00CA345A"/>
    <w:rsid w:val="00CB0BBE"/>
    <w:rsid w:val="00CB1E82"/>
    <w:rsid w:val="00CB4BA8"/>
    <w:rsid w:val="00CB52D7"/>
    <w:rsid w:val="00CC2504"/>
    <w:rsid w:val="00CC6732"/>
    <w:rsid w:val="00CD04F3"/>
    <w:rsid w:val="00CD15F3"/>
    <w:rsid w:val="00CE3C96"/>
    <w:rsid w:val="00CE51A8"/>
    <w:rsid w:val="00CE6B5A"/>
    <w:rsid w:val="00CF15D6"/>
    <w:rsid w:val="00CF369B"/>
    <w:rsid w:val="00CF7010"/>
    <w:rsid w:val="00D00E28"/>
    <w:rsid w:val="00D021BE"/>
    <w:rsid w:val="00D0269E"/>
    <w:rsid w:val="00D04FD7"/>
    <w:rsid w:val="00D0759E"/>
    <w:rsid w:val="00D12CE9"/>
    <w:rsid w:val="00D15810"/>
    <w:rsid w:val="00D16D4E"/>
    <w:rsid w:val="00D16FE3"/>
    <w:rsid w:val="00D25648"/>
    <w:rsid w:val="00D26AAC"/>
    <w:rsid w:val="00D27F41"/>
    <w:rsid w:val="00D3531C"/>
    <w:rsid w:val="00D36441"/>
    <w:rsid w:val="00D4064E"/>
    <w:rsid w:val="00D41648"/>
    <w:rsid w:val="00D43137"/>
    <w:rsid w:val="00D44E9B"/>
    <w:rsid w:val="00D47AEB"/>
    <w:rsid w:val="00D50DB9"/>
    <w:rsid w:val="00D52C43"/>
    <w:rsid w:val="00D5691F"/>
    <w:rsid w:val="00D6129F"/>
    <w:rsid w:val="00D61F57"/>
    <w:rsid w:val="00D6507F"/>
    <w:rsid w:val="00D72816"/>
    <w:rsid w:val="00D730BC"/>
    <w:rsid w:val="00D73912"/>
    <w:rsid w:val="00D76385"/>
    <w:rsid w:val="00D827FC"/>
    <w:rsid w:val="00D84922"/>
    <w:rsid w:val="00D85226"/>
    <w:rsid w:val="00D87B94"/>
    <w:rsid w:val="00D92072"/>
    <w:rsid w:val="00D92D49"/>
    <w:rsid w:val="00D92EC1"/>
    <w:rsid w:val="00D96DEA"/>
    <w:rsid w:val="00DA036E"/>
    <w:rsid w:val="00DA4657"/>
    <w:rsid w:val="00DA4E41"/>
    <w:rsid w:val="00DB117A"/>
    <w:rsid w:val="00DB5173"/>
    <w:rsid w:val="00DB7873"/>
    <w:rsid w:val="00DC187B"/>
    <w:rsid w:val="00DC6F22"/>
    <w:rsid w:val="00DD01F0"/>
    <w:rsid w:val="00DD3B59"/>
    <w:rsid w:val="00DD5B72"/>
    <w:rsid w:val="00DD5BF7"/>
    <w:rsid w:val="00DD6B7E"/>
    <w:rsid w:val="00DD73C2"/>
    <w:rsid w:val="00DE319B"/>
    <w:rsid w:val="00DE52D5"/>
    <w:rsid w:val="00DF34FE"/>
    <w:rsid w:val="00DF56AA"/>
    <w:rsid w:val="00DF6A1D"/>
    <w:rsid w:val="00DF6B3B"/>
    <w:rsid w:val="00DF78E7"/>
    <w:rsid w:val="00E069B0"/>
    <w:rsid w:val="00E110E0"/>
    <w:rsid w:val="00E14FB8"/>
    <w:rsid w:val="00E15371"/>
    <w:rsid w:val="00E21CA2"/>
    <w:rsid w:val="00E24104"/>
    <w:rsid w:val="00E25E24"/>
    <w:rsid w:val="00E302D0"/>
    <w:rsid w:val="00E30860"/>
    <w:rsid w:val="00E33377"/>
    <w:rsid w:val="00E340E7"/>
    <w:rsid w:val="00E35707"/>
    <w:rsid w:val="00E3687E"/>
    <w:rsid w:val="00E36AA1"/>
    <w:rsid w:val="00E41ECB"/>
    <w:rsid w:val="00E41FDB"/>
    <w:rsid w:val="00E42DD2"/>
    <w:rsid w:val="00E45777"/>
    <w:rsid w:val="00E50B0A"/>
    <w:rsid w:val="00E54FDB"/>
    <w:rsid w:val="00E5617D"/>
    <w:rsid w:val="00E563D7"/>
    <w:rsid w:val="00E626B8"/>
    <w:rsid w:val="00E663F4"/>
    <w:rsid w:val="00E666F2"/>
    <w:rsid w:val="00E66DD4"/>
    <w:rsid w:val="00E71FC5"/>
    <w:rsid w:val="00E748CC"/>
    <w:rsid w:val="00E75415"/>
    <w:rsid w:val="00E775B1"/>
    <w:rsid w:val="00E77C4B"/>
    <w:rsid w:val="00E803F1"/>
    <w:rsid w:val="00E8152A"/>
    <w:rsid w:val="00E91B9F"/>
    <w:rsid w:val="00E93629"/>
    <w:rsid w:val="00E93B5C"/>
    <w:rsid w:val="00E94CEC"/>
    <w:rsid w:val="00EA04EF"/>
    <w:rsid w:val="00EA5F80"/>
    <w:rsid w:val="00EA6F19"/>
    <w:rsid w:val="00EB7090"/>
    <w:rsid w:val="00EB754F"/>
    <w:rsid w:val="00EC1BBE"/>
    <w:rsid w:val="00EC5CD7"/>
    <w:rsid w:val="00EC7A30"/>
    <w:rsid w:val="00ED09FF"/>
    <w:rsid w:val="00ED1A83"/>
    <w:rsid w:val="00EE08E9"/>
    <w:rsid w:val="00EE42ED"/>
    <w:rsid w:val="00EE5FB3"/>
    <w:rsid w:val="00EE7F79"/>
    <w:rsid w:val="00EF5471"/>
    <w:rsid w:val="00EF715A"/>
    <w:rsid w:val="00F02354"/>
    <w:rsid w:val="00F0274F"/>
    <w:rsid w:val="00F06E14"/>
    <w:rsid w:val="00F1128B"/>
    <w:rsid w:val="00F12768"/>
    <w:rsid w:val="00F145F5"/>
    <w:rsid w:val="00F179D4"/>
    <w:rsid w:val="00F21370"/>
    <w:rsid w:val="00F217CB"/>
    <w:rsid w:val="00F217DF"/>
    <w:rsid w:val="00F24879"/>
    <w:rsid w:val="00F27DDC"/>
    <w:rsid w:val="00F33C56"/>
    <w:rsid w:val="00F347C7"/>
    <w:rsid w:val="00F34848"/>
    <w:rsid w:val="00F36FD7"/>
    <w:rsid w:val="00F42D46"/>
    <w:rsid w:val="00F4496C"/>
    <w:rsid w:val="00F44B17"/>
    <w:rsid w:val="00F44F3A"/>
    <w:rsid w:val="00F50FA4"/>
    <w:rsid w:val="00F511B6"/>
    <w:rsid w:val="00F51F10"/>
    <w:rsid w:val="00F529A5"/>
    <w:rsid w:val="00F55D6F"/>
    <w:rsid w:val="00F60F00"/>
    <w:rsid w:val="00F614C0"/>
    <w:rsid w:val="00F6711F"/>
    <w:rsid w:val="00F77E28"/>
    <w:rsid w:val="00F8383F"/>
    <w:rsid w:val="00F83848"/>
    <w:rsid w:val="00F970C0"/>
    <w:rsid w:val="00F975E9"/>
    <w:rsid w:val="00FA10E6"/>
    <w:rsid w:val="00FA1B7D"/>
    <w:rsid w:val="00FB132D"/>
    <w:rsid w:val="00FB2EA1"/>
    <w:rsid w:val="00FC07B9"/>
    <w:rsid w:val="00FC196F"/>
    <w:rsid w:val="00FC4E21"/>
    <w:rsid w:val="00FC5F6D"/>
    <w:rsid w:val="00FD0107"/>
    <w:rsid w:val="00FD1C81"/>
    <w:rsid w:val="00FD2C2F"/>
    <w:rsid w:val="00FD3B31"/>
    <w:rsid w:val="00FE1823"/>
    <w:rsid w:val="00FE487A"/>
    <w:rsid w:val="00FF0569"/>
    <w:rsid w:val="00FF11D2"/>
    <w:rsid w:val="00FF206E"/>
    <w:rsid w:val="00FF3C69"/>
    <w:rsid w:val="00FF6E0A"/>
    <w:rsid w:val="00FF72B6"/>
    <w:rsid w:val="00FF7E12"/>
    <w:rsid w:val="00FF7F2B"/>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21">
      <o:colormru v:ext="edit" colors="red,#4d4d4f"/>
    </o:shapedefaults>
    <o:shapelayout v:ext="edit">
      <o:idmap v:ext="edit" data="1"/>
    </o:shapelayout>
  </w:shapeDefaults>
  <w:decimalSymbol w:val="."/>
  <w:listSeparator w:val=","/>
  <w14:docId w14:val="6AE20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4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link w:val="ListBulletChar"/>
    <w:qFormat/>
    <w:rsid w:val="001C6AEE"/>
    <w:p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247C59"/>
    <w:pPr>
      <w:numPr>
        <w:numId w:val="12"/>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
    <w:basedOn w:val="DefaultParagraphFon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f,fn"/>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49"/>
    <w:rsid w:val="00EE7F79"/>
    <w:pPr>
      <w:spacing w:line="240" w:lineRule="auto"/>
    </w:pPr>
    <w:rPr>
      <w:szCs w:val="20"/>
    </w:rPr>
  </w:style>
  <w:style w:type="character" w:customStyle="1" w:styleId="CommentTextChar">
    <w:name w:val="Comment Text Char"/>
    <w:basedOn w:val="DefaultParagraphFont"/>
    <w:link w:val="CommentText"/>
    <w:uiPriority w:val="4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customStyle="1" w:styleId="ReportTitle">
    <w:name w:val="Report Title"/>
    <w:basedOn w:val="Normal"/>
    <w:rsid w:val="00A47E79"/>
    <w:pPr>
      <w:spacing w:after="0" w:line="560" w:lineRule="exact"/>
    </w:pPr>
    <w:rPr>
      <w:b/>
      <w:color w:val="4D4D4F"/>
      <w:spacing w:val="-28"/>
      <w:sz w:val="53"/>
    </w:rPr>
  </w:style>
  <w:style w:type="paragraph" w:customStyle="1" w:styleId="ReportSubtitle">
    <w:name w:val="Report Sub title"/>
    <w:basedOn w:val="Normal"/>
    <w:rsid w:val="00A47E79"/>
    <w:pPr>
      <w:spacing w:after="0" w:line="560" w:lineRule="exact"/>
    </w:pPr>
    <w:rPr>
      <w:color w:val="808285"/>
      <w:spacing w:val="-28"/>
      <w:sz w:val="53"/>
    </w:rPr>
  </w:style>
  <w:style w:type="paragraph" w:customStyle="1" w:styleId="ReportDate">
    <w:name w:val="Report Date"/>
    <w:basedOn w:val="ReportSubtitle"/>
    <w:rsid w:val="00A47E79"/>
    <w:pPr>
      <w:spacing w:line="240" w:lineRule="auto"/>
    </w:pPr>
    <w:rPr>
      <w:caps/>
      <w:spacing w:val="-10"/>
      <w:sz w:val="20"/>
    </w:rPr>
  </w:style>
  <w:style w:type="paragraph" w:customStyle="1" w:styleId="Bodysubheader0">
    <w:name w:val="Body sub header"/>
    <w:basedOn w:val="Normal"/>
    <w:next w:val="Normal"/>
    <w:rsid w:val="00A47E79"/>
    <w:pPr>
      <w:spacing w:after="0"/>
    </w:pPr>
    <w:rPr>
      <w:b/>
      <w:i/>
    </w:rPr>
  </w:style>
  <w:style w:type="paragraph" w:customStyle="1" w:styleId="ExecSummaryHeading">
    <w:name w:val="Exec Summary Heading"/>
    <w:basedOn w:val="Normal"/>
    <w:rsid w:val="00A47E79"/>
    <w:pPr>
      <w:spacing w:after="1440" w:line="550" w:lineRule="exact"/>
    </w:pPr>
    <w:rPr>
      <w:b/>
      <w:color w:val="4D4D4F"/>
      <w:spacing w:val="-18"/>
      <w:sz w:val="53"/>
    </w:rPr>
  </w:style>
  <w:style w:type="paragraph" w:styleId="TOC9">
    <w:name w:val="toc 9"/>
    <w:aliases w:val="TOC ExecSumm"/>
    <w:basedOn w:val="Normal"/>
    <w:next w:val="Normal"/>
    <w:uiPriority w:val="39"/>
    <w:rsid w:val="00A47E79"/>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A47E79"/>
    <w:pPr>
      <w:spacing w:after="0" w:line="560" w:lineRule="exact"/>
    </w:pPr>
    <w:rPr>
      <w:color w:val="808285"/>
      <w:spacing w:val="-28"/>
      <w:sz w:val="53"/>
    </w:rPr>
  </w:style>
  <w:style w:type="character" w:customStyle="1" w:styleId="apple-style-span">
    <w:name w:val="apple-style-span"/>
    <w:basedOn w:val="DefaultParagraphFont"/>
    <w:rsid w:val="00A47E79"/>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f Char,fn Char"/>
    <w:basedOn w:val="DefaultParagraphFont"/>
    <w:link w:val="FootnoteText"/>
    <w:rsid w:val="00A47E79"/>
    <w:rPr>
      <w:rFonts w:ascii="Arial" w:hAnsi="Arial"/>
      <w:sz w:val="16"/>
      <w:szCs w:val="16"/>
    </w:rPr>
  </w:style>
  <w:style w:type="paragraph" w:styleId="ListParagraph">
    <w:name w:val="List Paragraph"/>
    <w:basedOn w:val="Normal"/>
    <w:uiPriority w:val="34"/>
    <w:qFormat/>
    <w:rsid w:val="00A47E79"/>
    <w:pPr>
      <w:spacing w:after="0" w:line="240" w:lineRule="auto"/>
      <w:ind w:left="720"/>
      <w:contextualSpacing/>
    </w:pPr>
    <w:rPr>
      <w:rFonts w:asciiTheme="minorHAnsi" w:eastAsiaTheme="minorEastAsia" w:hAnsiTheme="minorHAnsi" w:cstheme="minorBidi"/>
      <w:sz w:val="24"/>
      <w:lang w:eastAsia="en-US"/>
    </w:rPr>
  </w:style>
  <w:style w:type="paragraph" w:customStyle="1" w:styleId="ACMABodyText">
    <w:name w:val="ACMA Body Text"/>
    <w:link w:val="ACMABodyTextChar"/>
    <w:rsid w:val="00A47E79"/>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A47E79"/>
    <w:rPr>
      <w:snapToGrid w:val="0"/>
      <w:szCs w:val="20"/>
      <w:lang w:eastAsia="en-US"/>
    </w:rPr>
  </w:style>
  <w:style w:type="paragraph" w:customStyle="1" w:styleId="ACMAHeading3">
    <w:name w:val="ACMA Heading 3"/>
    <w:next w:val="ACMABodyText"/>
    <w:rsid w:val="00A47E79"/>
    <w:pPr>
      <w:keepNext/>
      <w:numPr>
        <w:numId w:val="10"/>
      </w:numPr>
      <w:suppressAutoHyphens/>
      <w:spacing w:before="240"/>
      <w:ind w:left="0" w:firstLine="0"/>
      <w:outlineLvl w:val="3"/>
    </w:pPr>
    <w:rPr>
      <w:rFonts w:ascii="Arial" w:hAnsi="Arial"/>
      <w:b/>
      <w:szCs w:val="20"/>
      <w:lang w:val="en-US" w:eastAsia="en-US"/>
    </w:rPr>
  </w:style>
  <w:style w:type="paragraph" w:customStyle="1" w:styleId="ACMANumberedList">
    <w:name w:val="ACMA Numbered List"/>
    <w:rsid w:val="00A47E79"/>
    <w:pPr>
      <w:tabs>
        <w:tab w:val="num" w:pos="360"/>
      </w:tabs>
      <w:spacing w:before="20" w:after="20"/>
    </w:pPr>
    <w:rPr>
      <w:szCs w:val="20"/>
      <w:lang w:eastAsia="en-US"/>
    </w:rPr>
  </w:style>
  <w:style w:type="paragraph" w:customStyle="1" w:styleId="Summary">
    <w:name w:val="Summary"/>
    <w:basedOn w:val="Normal"/>
    <w:next w:val="Normal"/>
    <w:autoRedefine/>
    <w:rsid w:val="00A47E79"/>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character" w:customStyle="1" w:styleId="Heading1Char">
    <w:name w:val="Heading 1 Char"/>
    <w:basedOn w:val="DefaultParagraphFont"/>
    <w:link w:val="Heading1"/>
    <w:rsid w:val="00A47E79"/>
    <w:rPr>
      <w:rFonts w:ascii="Arial" w:hAnsi="Arial" w:cs="Arial"/>
      <w:bCs/>
      <w:color w:val="323232"/>
      <w:kern w:val="32"/>
      <w:sz w:val="53"/>
      <w:szCs w:val="32"/>
    </w:rPr>
  </w:style>
  <w:style w:type="character" w:customStyle="1" w:styleId="Heading2Char">
    <w:name w:val="Heading 2 Char"/>
    <w:basedOn w:val="DefaultParagraphFont"/>
    <w:link w:val="Heading2"/>
    <w:rsid w:val="00A47E79"/>
    <w:rPr>
      <w:rFonts w:ascii="Arial" w:hAnsi="Arial" w:cs="Arial"/>
      <w:b/>
      <w:bCs/>
      <w:iCs/>
      <w:sz w:val="28"/>
      <w:szCs w:val="28"/>
    </w:rPr>
  </w:style>
  <w:style w:type="character" w:customStyle="1" w:styleId="Heading3Char">
    <w:name w:val="Heading 3 Char"/>
    <w:basedOn w:val="DefaultParagraphFont"/>
    <w:link w:val="Heading3"/>
    <w:rsid w:val="00A47E79"/>
    <w:rPr>
      <w:rFonts w:ascii="Arial" w:hAnsi="Arial" w:cs="Arial"/>
      <w:b/>
      <w:bCs/>
      <w:sz w:val="20"/>
      <w:szCs w:val="26"/>
    </w:rPr>
  </w:style>
  <w:style w:type="paragraph" w:styleId="Revision">
    <w:name w:val="Revision"/>
    <w:hidden/>
    <w:uiPriority w:val="99"/>
    <w:semiHidden/>
    <w:rsid w:val="00A47E79"/>
    <w:rPr>
      <w:rFonts w:ascii="Arial" w:hAnsi="Arial"/>
      <w:sz w:val="20"/>
    </w:rPr>
  </w:style>
  <w:style w:type="paragraph" w:customStyle="1" w:styleId="Default">
    <w:name w:val="Default"/>
    <w:rsid w:val="00A47E79"/>
    <w:pPr>
      <w:autoSpaceDE w:val="0"/>
      <w:autoSpaceDN w:val="0"/>
      <w:adjustRightInd w:val="0"/>
    </w:pPr>
    <w:rPr>
      <w:rFonts w:ascii="Arial" w:hAnsi="Arial" w:cs="Arial"/>
      <w:color w:val="000000"/>
    </w:rPr>
  </w:style>
  <w:style w:type="paragraph" w:styleId="NormalWeb">
    <w:name w:val="Normal (Web)"/>
    <w:basedOn w:val="Normal"/>
    <w:uiPriority w:val="99"/>
    <w:semiHidden/>
    <w:unhideWhenUsed/>
    <w:rsid w:val="00A47E79"/>
    <w:pPr>
      <w:spacing w:before="100" w:beforeAutospacing="1" w:after="100" w:afterAutospacing="1" w:line="240" w:lineRule="auto"/>
    </w:pPr>
    <w:rPr>
      <w:rFonts w:ascii="Times New Roman" w:hAnsi="Times New Roman"/>
      <w:sz w:val="24"/>
    </w:rPr>
  </w:style>
  <w:style w:type="paragraph" w:customStyle="1" w:styleId="ACMABulletLevel1">
    <w:name w:val="ACMA Bullet Level 1"/>
    <w:rsid w:val="00A47E79"/>
    <w:pPr>
      <w:numPr>
        <w:numId w:val="19"/>
      </w:numPr>
      <w:spacing w:after="120"/>
    </w:pPr>
    <w:rPr>
      <w:szCs w:val="20"/>
      <w:lang w:eastAsia="en-US"/>
    </w:rPr>
  </w:style>
  <w:style w:type="character" w:customStyle="1" w:styleId="ListBulletChar">
    <w:name w:val="List Bullet Char"/>
    <w:basedOn w:val="DefaultParagraphFont"/>
    <w:link w:val="ListBullet"/>
    <w:rsid w:val="00957AD6"/>
    <w:rPr>
      <w:rFonts w:ascii="Arial" w:hAnsi="Arial"/>
      <w:sz w:val="20"/>
    </w:rPr>
  </w:style>
  <w:style w:type="character" w:customStyle="1" w:styleId="ACMABodyTextChar1">
    <w:name w:val="ACMA Body Text Char1"/>
    <w:basedOn w:val="DefaultParagraphFont"/>
    <w:locked/>
    <w:rsid w:val="00FD1C81"/>
    <w:rPr>
      <w:snapToGrid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054647">
      <w:bodyDiv w:val="1"/>
      <w:marLeft w:val="0"/>
      <w:marRight w:val="0"/>
      <w:marTop w:val="0"/>
      <w:marBottom w:val="0"/>
      <w:divBdr>
        <w:top w:val="none" w:sz="0" w:space="0" w:color="auto"/>
        <w:left w:val="none" w:sz="0" w:space="0" w:color="auto"/>
        <w:bottom w:val="none" w:sz="0" w:space="0" w:color="auto"/>
        <w:right w:val="none" w:sz="0" w:space="0" w:color="auto"/>
      </w:divBdr>
    </w:div>
    <w:div w:id="2111925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3.png"/><Relationship Id="rId26" Type="http://schemas.openxmlformats.org/officeDocument/2006/relationships/header" Target="header7.xml"/><Relationship Id="rId39" Type="http://schemas.openxmlformats.org/officeDocument/2006/relationships/hyperlink" Target="http://www.acma.gov.au/Industry/Spectrum/Radiocomms-licensing/Class-licences/radiocommunications-low-interference-potential-devices-class-license-2000" TargetMode="External"/><Relationship Id="rId21" Type="http://schemas.openxmlformats.org/officeDocument/2006/relationships/header" Target="header4.xml"/><Relationship Id="rId34" Type="http://schemas.openxmlformats.org/officeDocument/2006/relationships/hyperlink" Target="http://www.acma.gov.au/WEB/STANDARD/pc=PC_2572" TargetMode="External"/><Relationship Id="rId42" Type="http://schemas.openxmlformats.org/officeDocument/2006/relationships/image" Target="media/image9.png"/><Relationship Id="rId47" Type="http://schemas.openxmlformats.org/officeDocument/2006/relationships/footer" Target="footer9.xml"/><Relationship Id="rId50" Type="http://schemas.openxmlformats.org/officeDocument/2006/relationships/image" Target="media/image12.png"/><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i.creativecommons.org/l/by/3.0/88x31.png" TargetMode="External"/><Relationship Id="rId25" Type="http://schemas.openxmlformats.org/officeDocument/2006/relationships/header" Target="header6.xml"/><Relationship Id="rId33" Type="http://schemas.openxmlformats.org/officeDocument/2006/relationships/hyperlink" Target="http://www.acma.gov.au/Industry/Spectrum/Spectrum-planning/About-spectrum-planning/acma-focuses-on-future-of-mobile-broadband-spectrum" TargetMode="External"/><Relationship Id="rId38" Type="http://schemas.openxmlformats.org/officeDocument/2006/relationships/image" Target="media/image6.png"/><Relationship Id="rId46"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candinfo@acma.gov.au" TargetMode="External"/><Relationship Id="rId29" Type="http://schemas.openxmlformats.org/officeDocument/2006/relationships/footer" Target="footer8.xml"/><Relationship Id="rId41" Type="http://schemas.openxmlformats.org/officeDocument/2006/relationships/image" Target="media/image8.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5.xml"/><Relationship Id="rId32" Type="http://schemas.openxmlformats.org/officeDocument/2006/relationships/hyperlink" Target="http://en.wikipedia.org/wiki/Wireless" TargetMode="External"/><Relationship Id="rId37" Type="http://schemas.openxmlformats.org/officeDocument/2006/relationships/image" Target="media/image5.png"/><Relationship Id="rId40" Type="http://schemas.openxmlformats.org/officeDocument/2006/relationships/image" Target="media/image7.png"/><Relationship Id="rId45" Type="http://schemas.openxmlformats.org/officeDocument/2006/relationships/header" Target="header8.xml"/><Relationship Id="rId53" Type="http://schemas.openxmlformats.org/officeDocument/2006/relationships/image" Target="media/image14.pn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image" Target="media/image4.png"/><Relationship Id="rId49" Type="http://schemas.openxmlformats.org/officeDocument/2006/relationships/image" Target="media/image11.png"/><Relationship Id="rId10" Type="http://schemas.openxmlformats.org/officeDocument/2006/relationships/endnotes" Target="endnotes.xml"/><Relationship Id="rId19" Type="http://schemas.openxmlformats.org/officeDocument/2006/relationships/hyperlink" Target="http://creativecommons.org/licenses/by/3.0/au/" TargetMode="External"/><Relationship Id="rId31" Type="http://schemas.openxmlformats.org/officeDocument/2006/relationships/hyperlink" Target="http://www.acma.gov.au/theACMA/Consultations/Consultations/Current/ifc-472012-the-803960-mhz-bandexploring-options-for-future-change" TargetMode="External"/><Relationship Id="rId44" Type="http://schemas.openxmlformats.org/officeDocument/2006/relationships/hyperlink" Target="http://www.acma.gov.au/theACMA/About/Making-payments/Apparatus-licence-fees/apparatus-licence-fees-acma" TargetMode="External"/><Relationship Id="rId52" Type="http://schemas.openxmlformats.org/officeDocument/2006/relationships/hyperlink" Target="http://www.acma.gov.au/WEB/STANDARD/pc=PC_311683"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oter" Target="footer6.xml"/><Relationship Id="rId30" Type="http://schemas.openxmlformats.org/officeDocument/2006/relationships/hyperlink" Target="http://www.acma.gov.au/theACMA/ifc-142011-900-mhz-bandexploring-new-opportunities" TargetMode="External"/><Relationship Id="rId35" Type="http://schemas.openxmlformats.org/officeDocument/2006/relationships/hyperlink" Target="http://www.acma.gov.au/theACMA/Consultations/Consultations/Current/ifc-20-2015-replacement-of-the-900-mhz-band-plan" TargetMode="External"/><Relationship Id="rId43" Type="http://schemas.openxmlformats.org/officeDocument/2006/relationships/image" Target="media/image10.png"/><Relationship Id="rId48" Type="http://schemas.openxmlformats.org/officeDocument/2006/relationships/footer" Target="footer10.xml"/><Relationship Id="rId8" Type="http://schemas.openxmlformats.org/officeDocument/2006/relationships/webSettings" Target="webSettings.xml"/><Relationship Id="rId51" Type="http://schemas.openxmlformats.org/officeDocument/2006/relationships/image" Target="media/image13.png"/><Relationship Id="rId3" Type="http://schemas.openxmlformats.org/officeDocument/2006/relationships/customXml" Target="../customXml/item3.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Industry/Spectrum/Digital-Dividend-700MHz-and-25Gz-Auction/Reallocation/digital-dividend-auction-results" TargetMode="External"/><Relationship Id="rId13" Type="http://schemas.openxmlformats.org/officeDocument/2006/relationships/hyperlink" Target="http://www.apt.int/AWG-RECS-REPS" TargetMode="External"/><Relationship Id="rId18" Type="http://schemas.openxmlformats.org/officeDocument/2006/relationships/hyperlink" Target="http://www.twistpair.com/inc/data/case-studies/Sainte%20Anne%20Case%20Study.pdf" TargetMode="External"/><Relationship Id="rId3" Type="http://schemas.openxmlformats.org/officeDocument/2006/relationships/hyperlink" Target="http://www.acma.gov.au/webwr/_assets/main/lib312084/ifc13_2011_toward_2020-future_spectrum_requirements.pdf" TargetMode="External"/><Relationship Id="rId21" Type="http://schemas.openxmlformats.org/officeDocument/2006/relationships/hyperlink" Target="http://www.acma.gov.au/Industry/Spectrum/Radiocomms-licensing/Class-licences/radiocommunications-low-interference-potential-devices-class-license-2000" TargetMode="External"/><Relationship Id="rId7" Type="http://schemas.openxmlformats.org/officeDocument/2006/relationships/hyperlink" Target="http://www.acma.gov.au/theACMA/Library/researchacma/Research-reports/mobile-network-infrastructure-forecasting-model" TargetMode="External"/><Relationship Id="rId12" Type="http://schemas.openxmlformats.org/officeDocument/2006/relationships/hyperlink" Target="http://www.minister.communications.gov.au/malcolm_turnbull/news/next_stage_of_spectrum_reform_to_commence" TargetMode="External"/><Relationship Id="rId17" Type="http://schemas.openxmlformats.org/officeDocument/2006/relationships/hyperlink" Target="http://newsroom.motorolasolutions.com/news/motorola-solutions-extends-and-transforms-management-victorian-government-emergency-services-data-network.htm" TargetMode="External"/><Relationship Id="rId2" Type="http://schemas.openxmlformats.org/officeDocument/2006/relationships/hyperlink" Target="http://www.acma.gov.au/theACMA/900-mhz-band-plan" TargetMode="External"/><Relationship Id="rId16" Type="http://schemas.openxmlformats.org/officeDocument/2006/relationships/hyperlink" Target="http://www.acma.gov.au/Industry/Spectrum/Spectrum-projects/400-MHz-band/overview" TargetMode="External"/><Relationship Id="rId20" Type="http://schemas.openxmlformats.org/officeDocument/2006/relationships/hyperlink" Target="http://www.beonapp.com/" TargetMode="External"/><Relationship Id="rId1" Type="http://schemas.openxmlformats.org/officeDocument/2006/relationships/hyperlink" Target="http://www.acma.gov.au/theACMA/ifc-142011-900-mhz-bandexploring-new-opportunities" TargetMode="External"/><Relationship Id="rId6" Type="http://schemas.openxmlformats.org/officeDocument/2006/relationships/hyperlink" Target="http://acma.gov.au/theACMA/Library/researchacma/Research-reports/economic-impacts-of-mobile-broadband-1" TargetMode="External"/><Relationship Id="rId11" Type="http://schemas.openxmlformats.org/officeDocument/2006/relationships/hyperlink" Target="https://www.communications.gov.au/sites/g/files/net301/f/Spectrum_Review_Terms_of_Reference.pdf" TargetMode="External"/><Relationship Id="rId24" Type="http://schemas.openxmlformats.org/officeDocument/2006/relationships/hyperlink" Target="http://www.acma.gov.au/Industry/Spectrum/Spectrum-projects/5-Year-Spectrum-Outlook/five-year-spectrum-outlook-2015-19" TargetMode="External"/><Relationship Id="rId5" Type="http://schemas.openxmlformats.org/officeDocument/2006/relationships/hyperlink" Target="http://www.acma.gov.au/Industry/Spectrum/Spectrum-projects/800-and-900-MHz-bands/submissions-to-the-803-960-mhz-band-exploring-options-for-future-change" TargetMode="External"/><Relationship Id="rId15" Type="http://schemas.openxmlformats.org/officeDocument/2006/relationships/hyperlink" Target="http://acma.gov.au/Industry/Spectrum/Spectrum-planning/Current-APs-info-and-resources/frequency-assignment-requirements-spectrum-planning-acma" TargetMode="External"/><Relationship Id="rId23" Type="http://schemas.openxmlformats.org/officeDocument/2006/relationships/hyperlink" Target="http://www.acma.gov.au/Industry/Spectrum/Spectrum-planning/About-spectrum-planning/principles-for-spectrum-management" TargetMode="External"/><Relationship Id="rId10" Type="http://schemas.openxmlformats.org/officeDocument/2006/relationships/hyperlink" Target="http://www.minister.communications.gov.au/malcolm_turnbull/news/spectrum_reform_to_drive_future_innovation_and_productivity" TargetMode="External"/><Relationship Id="rId19" Type="http://schemas.openxmlformats.org/officeDocument/2006/relationships/hyperlink" Target="http://www.twistpair.com/index/broadband-push-to-talk" TargetMode="External"/><Relationship Id="rId4" Type="http://schemas.openxmlformats.org/officeDocument/2006/relationships/hyperlink" Target="http://www.acma.gov.au/theACMA/Consultations/Consultations/Current/ifc-472012-the-803960-mhz-bandexploring-options-for-future-change" TargetMode="External"/><Relationship Id="rId9" Type="http://schemas.openxmlformats.org/officeDocument/2006/relationships/hyperlink" Target="http://web.acma.gov.au/pls/radcom/spectrum_search.show_table?pLICENCE_TYPE_NAME=Spectrum&amp;pLICENCE_CATEGORY_NAME=800%20MHz%20Band" TargetMode="External"/><Relationship Id="rId14" Type="http://schemas.openxmlformats.org/officeDocument/2006/relationships/hyperlink" Target="http://www.acma.gov.au/theACMA/Consultations/Consultations/Current/ifc-20-2015-replacement-of-the-900-mhz-band-plan" TargetMode="External"/><Relationship Id="rId22" Type="http://schemas.openxmlformats.org/officeDocument/2006/relationships/hyperlink" Target="http://www.acma.gov.au/theACMA/About/Events/Spectrum-tune-up-Beyond-2020/beyond-2020"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F7D575-949F-4E5A-9125-F34D4EAF36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897845-3471-4915-9C59-77C0286B72ED}">
  <ds:schemaRefs>
    <ds:schemaRef ds:uri="http://schemas.microsoft.com/sharepoint/v3/contenttype/forms"/>
  </ds:schemaRefs>
</ds:datastoreItem>
</file>

<file path=customXml/itemProps3.xml><?xml version="1.0" encoding="utf-8"?>
<ds:datastoreItem xmlns:ds="http://schemas.openxmlformats.org/officeDocument/2006/customXml" ds:itemID="{A04472E6-4FDD-4517-8DA9-A78EFE82BD6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0938DB3-BC14-4074-97F1-0B400231C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15756</Words>
  <Characters>89813</Characters>
  <Application>Microsoft Office Word</Application>
  <DocSecurity>4</DocSecurity>
  <Lines>748</Lines>
  <Paragraphs>210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105359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2019-12-18T03:01:00Z</dcterms:created>
  <dcterms:modified xsi:type="dcterms:W3CDTF">2019-12-18T03:01:00Z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