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064E8A" w14:textId="39DD9289" w:rsidR="00F06E14" w:rsidRPr="0059139E" w:rsidRDefault="008E76DF" w:rsidP="00F06E14">
      <w:pPr>
        <w:pStyle w:val="Reportsubtitle"/>
        <w:rPr>
          <w:b/>
          <w:color w:val="auto"/>
        </w:rPr>
      </w:pPr>
      <w:r w:rsidRPr="008E76DF">
        <w:rPr>
          <w:b/>
          <w:color w:val="auto"/>
        </w:rPr>
        <w:t>Telecommunications in Australia</w:t>
      </w:r>
      <w:r w:rsidR="0059139E">
        <w:rPr>
          <w:b/>
          <w:color w:val="auto"/>
        </w:rPr>
        <w:t>—</w:t>
      </w:r>
      <w:r w:rsidR="0059139E">
        <w:rPr>
          <w:b/>
          <w:color w:val="auto"/>
        </w:rPr>
        <w:br/>
      </w:r>
      <w:r w:rsidR="0059139E" w:rsidRPr="0061000B">
        <w:rPr>
          <w:rFonts w:cs="Arial"/>
          <w:bCs/>
          <w:kern w:val="32"/>
        </w:rPr>
        <w:t>Interception and disclosures</w:t>
      </w:r>
      <w:r w:rsidR="005C4B0D">
        <w:rPr>
          <w:rFonts w:cs="Arial"/>
          <w:bCs/>
          <w:kern w:val="32"/>
        </w:rPr>
        <w:t>,</w:t>
      </w:r>
      <w:r w:rsidR="0059139E" w:rsidRPr="0061000B">
        <w:rPr>
          <w:rFonts w:cs="Arial"/>
          <w:bCs/>
          <w:kern w:val="32"/>
        </w:rPr>
        <w:t xml:space="preserve"> 2018–</w:t>
      </w:r>
      <w:r w:rsidR="0059139E">
        <w:rPr>
          <w:rFonts w:cs="Arial"/>
          <w:bCs/>
          <w:kern w:val="32"/>
        </w:rPr>
        <w:t>1</w:t>
      </w:r>
      <w:r w:rsidR="0059139E" w:rsidRPr="0061000B">
        <w:rPr>
          <w:rFonts w:cs="Arial"/>
          <w:bCs/>
          <w:kern w:val="32"/>
        </w:rPr>
        <w:t>9</w:t>
      </w:r>
    </w:p>
    <w:p w14:paraId="39FFB908" w14:textId="62A57855" w:rsidR="00C97736" w:rsidRPr="000D76E0" w:rsidRDefault="0059139E"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DECEMBER 2019</w:t>
      </w:r>
    </w:p>
    <w:p w14:paraId="226A4AE3" w14:textId="77777777" w:rsidR="0005011A" w:rsidRPr="00F44F3A" w:rsidRDefault="0005011A" w:rsidP="00FC07B9">
      <w:pPr>
        <w:pStyle w:val="ACMACorporateAddressHeader"/>
      </w:pPr>
      <w:r w:rsidRPr="00F44F3A">
        <w:lastRenderedPageBreak/>
        <w:t>Canberra</w:t>
      </w:r>
    </w:p>
    <w:p w14:paraId="62C7BE4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3DBA580" w14:textId="77777777" w:rsidR="0005011A" w:rsidRPr="00FC07B9" w:rsidRDefault="0005011A" w:rsidP="00FC07B9">
      <w:pPr>
        <w:pStyle w:val="ACMACorporateAddresses"/>
      </w:pPr>
      <w:r w:rsidRPr="00FC07B9">
        <w:t>PO Box 78</w:t>
      </w:r>
      <w:r w:rsidRPr="00FC07B9">
        <w:br/>
        <w:t>Belconnen ACT 2616</w:t>
      </w:r>
    </w:p>
    <w:p w14:paraId="3C68F512"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18E77A7" w14:textId="77777777" w:rsidR="0005011A" w:rsidRPr="00F44F3A" w:rsidRDefault="0005011A" w:rsidP="00FC07B9">
      <w:pPr>
        <w:pStyle w:val="ACMACorporateAddressHeader"/>
      </w:pPr>
      <w:r w:rsidRPr="00F44F3A">
        <w:t>Melbourne</w:t>
      </w:r>
    </w:p>
    <w:p w14:paraId="7190F96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1BD36B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2E9EBC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306A8C0" w14:textId="77777777" w:rsidR="0005011A" w:rsidRPr="00F44F3A" w:rsidRDefault="0005011A" w:rsidP="00FC07B9">
      <w:pPr>
        <w:pStyle w:val="ACMACorporateAddressHeader"/>
      </w:pPr>
      <w:r w:rsidRPr="00F44F3A">
        <w:t>Sydney</w:t>
      </w:r>
    </w:p>
    <w:p w14:paraId="4184B2D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ACD4A2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0A1A90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4DE77F6" w14:textId="77777777" w:rsidR="00140318" w:rsidRPr="006D46E5" w:rsidRDefault="00140318" w:rsidP="00FC07B9">
      <w:pPr>
        <w:pStyle w:val="ACMACopyrightHeader"/>
      </w:pPr>
      <w:r w:rsidRPr="00140318">
        <w:t>Copyright notice</w:t>
      </w:r>
    </w:p>
    <w:p w14:paraId="45AD1353" w14:textId="77777777" w:rsidR="00140318" w:rsidRPr="006D46E5" w:rsidRDefault="00623FF9" w:rsidP="00623FF9">
      <w:pPr>
        <w:pStyle w:val="ACMACClogo"/>
      </w:pPr>
      <w:r w:rsidRPr="00623FF9">
        <w:rPr>
          <w:noProof/>
        </w:rPr>
        <w:drawing>
          <wp:inline distT="0" distB="0" distL="0" distR="0" wp14:anchorId="6859B628" wp14:editId="54AE122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BCB33C4" w14:textId="77777777" w:rsidR="00AA2DE5" w:rsidRDefault="009E4AB0" w:rsidP="00AA2DE5">
      <w:pPr>
        <w:pStyle w:val="ACMACorporateAddresses"/>
        <w:rPr>
          <w:rStyle w:val="Hyperlink"/>
        </w:rPr>
      </w:pPr>
      <w:hyperlink r:id="rId13" w:history="1">
        <w:r w:rsidR="00AA2DE5">
          <w:rPr>
            <w:rStyle w:val="Hyperlink"/>
          </w:rPr>
          <w:t>https://creativecommons.org/licenses/by/4.0/</w:t>
        </w:r>
      </w:hyperlink>
    </w:p>
    <w:p w14:paraId="5D8DAD29"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1F38D843" w14:textId="2708DD45" w:rsidR="00AA2DE5" w:rsidRDefault="00AA2DE5" w:rsidP="00AA2DE5">
      <w:pPr>
        <w:pStyle w:val="ACMACorporateAddresses"/>
      </w:pPr>
      <w:r>
        <w:t>We request attribution as © Commonwealth of Australia (Australian Communications and Media Authority) 20</w:t>
      </w:r>
      <w:r w:rsidR="0059139E">
        <w:t>19</w:t>
      </w:r>
      <w:r>
        <w:t>.</w:t>
      </w:r>
    </w:p>
    <w:p w14:paraId="62CD3810" w14:textId="77777777" w:rsidR="00AA2DE5" w:rsidRDefault="00AA2DE5" w:rsidP="00AA2DE5">
      <w:pPr>
        <w:pStyle w:val="ACMACorporateAddresses"/>
      </w:pPr>
      <w:r>
        <w:t>All other rights are reserved.</w:t>
      </w:r>
    </w:p>
    <w:p w14:paraId="75ECA0B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1DE83B2" w14:textId="77777777" w:rsidR="00AA2DE5" w:rsidRDefault="00AA2DE5" w:rsidP="00AA2DE5">
      <w:pPr>
        <w:pStyle w:val="ACMACorporateAddresses"/>
      </w:pPr>
      <w:r>
        <w:t>Written enquiries may be sent to:</w:t>
      </w:r>
    </w:p>
    <w:p w14:paraId="206EF6D8"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C007244" w14:textId="77777777" w:rsidR="00D16FE3" w:rsidRDefault="00D16FE3" w:rsidP="00D16FE3">
      <w:pPr>
        <w:pStyle w:val="ACMACorporateAddresses"/>
        <w:rPr>
          <w:rStyle w:val="Hyperlink"/>
        </w:rPr>
      </w:pPr>
    </w:p>
    <w:p w14:paraId="182C8494"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96D6962" w14:textId="4DF869B8" w:rsidR="002F1F58"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2F1F58">
        <w:t>Overview</w:t>
      </w:r>
      <w:r w:rsidR="002F1F58">
        <w:tab/>
      </w:r>
      <w:r w:rsidR="002F1F58">
        <w:fldChar w:fldCharType="begin"/>
      </w:r>
      <w:r w:rsidR="002F1F58">
        <w:instrText xml:space="preserve"> PAGEREF _Toc28011428 \h </w:instrText>
      </w:r>
      <w:r w:rsidR="002F1F58">
        <w:fldChar w:fldCharType="separate"/>
      </w:r>
      <w:r w:rsidR="002F1F58">
        <w:t>1</w:t>
      </w:r>
      <w:r w:rsidR="002F1F58">
        <w:fldChar w:fldCharType="end"/>
      </w:r>
    </w:p>
    <w:p w14:paraId="0570B184" w14:textId="2A742182" w:rsidR="002F1F58" w:rsidRDefault="002F1F58">
      <w:pPr>
        <w:pStyle w:val="TOC1"/>
        <w:rPr>
          <w:rFonts w:asciiTheme="minorHAnsi" w:eastAsiaTheme="minorEastAsia" w:hAnsiTheme="minorHAnsi" w:cstheme="minorBidi"/>
          <w:b w:val="0"/>
          <w:spacing w:val="0"/>
          <w:sz w:val="22"/>
          <w:szCs w:val="22"/>
        </w:rPr>
      </w:pPr>
      <w:r>
        <w:t>Supporting law enforcement and national security</w:t>
      </w:r>
      <w:r w:rsidR="009E4AB0">
        <w:t> </w:t>
      </w:r>
      <w:r>
        <w:t>agencies</w:t>
      </w:r>
      <w:r>
        <w:tab/>
      </w:r>
      <w:r>
        <w:fldChar w:fldCharType="begin"/>
      </w:r>
      <w:r>
        <w:instrText xml:space="preserve"> PAGEREF _Toc28011429 \h </w:instrText>
      </w:r>
      <w:r>
        <w:fldChar w:fldCharType="separate"/>
      </w:r>
      <w:r>
        <w:t>2</w:t>
      </w:r>
      <w:r>
        <w:fldChar w:fldCharType="end"/>
      </w:r>
    </w:p>
    <w:p w14:paraId="4F56D16B" w14:textId="597B53D0" w:rsidR="002F1F58" w:rsidRDefault="002F1F58">
      <w:pPr>
        <w:pStyle w:val="TOC2"/>
        <w:rPr>
          <w:rFonts w:asciiTheme="minorHAnsi" w:eastAsiaTheme="minorEastAsia" w:hAnsiTheme="minorHAnsi" w:cstheme="minorBidi"/>
          <w:spacing w:val="0"/>
          <w:sz w:val="22"/>
          <w:szCs w:val="22"/>
        </w:rPr>
      </w:pPr>
      <w:r>
        <w:t>Providing assistance</w:t>
      </w:r>
      <w:r>
        <w:tab/>
      </w:r>
      <w:r>
        <w:fldChar w:fldCharType="begin"/>
      </w:r>
      <w:r>
        <w:instrText xml:space="preserve"> PAGEREF _Toc28011430 \h </w:instrText>
      </w:r>
      <w:r>
        <w:fldChar w:fldCharType="separate"/>
      </w:r>
      <w:r>
        <w:t>2</w:t>
      </w:r>
      <w:r>
        <w:fldChar w:fldCharType="end"/>
      </w:r>
    </w:p>
    <w:p w14:paraId="50ACE61D" w14:textId="74A11EA5" w:rsidR="002F1F58" w:rsidRDefault="002F1F58">
      <w:pPr>
        <w:pStyle w:val="TOC2"/>
        <w:rPr>
          <w:rFonts w:asciiTheme="minorHAnsi" w:eastAsiaTheme="minorEastAsia" w:hAnsiTheme="minorHAnsi" w:cstheme="minorBidi"/>
          <w:spacing w:val="0"/>
          <w:sz w:val="22"/>
          <w:szCs w:val="22"/>
        </w:rPr>
      </w:pPr>
      <w:r>
        <w:t>Emergency suspension of carriage services</w:t>
      </w:r>
      <w:r>
        <w:tab/>
      </w:r>
      <w:r>
        <w:fldChar w:fldCharType="begin"/>
      </w:r>
      <w:r>
        <w:instrText xml:space="preserve"> PAGEREF _Toc28011431 \h </w:instrText>
      </w:r>
      <w:r>
        <w:fldChar w:fldCharType="separate"/>
      </w:r>
      <w:r>
        <w:t>2</w:t>
      </w:r>
      <w:r>
        <w:fldChar w:fldCharType="end"/>
      </w:r>
    </w:p>
    <w:p w14:paraId="1404C420" w14:textId="76055727" w:rsidR="002F1F58" w:rsidRDefault="002F1F58">
      <w:pPr>
        <w:pStyle w:val="TOC1"/>
        <w:rPr>
          <w:rFonts w:asciiTheme="minorHAnsi" w:eastAsiaTheme="minorEastAsia" w:hAnsiTheme="minorHAnsi" w:cstheme="minorBidi"/>
          <w:b w:val="0"/>
          <w:spacing w:val="0"/>
          <w:sz w:val="22"/>
          <w:szCs w:val="22"/>
        </w:rPr>
      </w:pPr>
      <w:r>
        <w:t>Interception</w:t>
      </w:r>
      <w:r>
        <w:tab/>
      </w:r>
      <w:r>
        <w:fldChar w:fldCharType="begin"/>
      </w:r>
      <w:r>
        <w:instrText xml:space="preserve"> PAGEREF _Toc28011432 \h </w:instrText>
      </w:r>
      <w:r>
        <w:fldChar w:fldCharType="separate"/>
      </w:r>
      <w:r>
        <w:t>3</w:t>
      </w:r>
      <w:r>
        <w:fldChar w:fldCharType="end"/>
      </w:r>
    </w:p>
    <w:p w14:paraId="15E4AE15" w14:textId="04D08283" w:rsidR="002F1F58" w:rsidRDefault="002F1F58">
      <w:pPr>
        <w:pStyle w:val="TOC2"/>
        <w:rPr>
          <w:rFonts w:asciiTheme="minorHAnsi" w:eastAsiaTheme="minorEastAsia" w:hAnsiTheme="minorHAnsi" w:cstheme="minorBidi"/>
          <w:spacing w:val="0"/>
          <w:sz w:val="22"/>
          <w:szCs w:val="22"/>
        </w:rPr>
      </w:pPr>
      <w:r>
        <w:t>Interception capability</w:t>
      </w:r>
      <w:r>
        <w:tab/>
      </w:r>
      <w:r>
        <w:fldChar w:fldCharType="begin"/>
      </w:r>
      <w:r>
        <w:instrText xml:space="preserve"> PAGEREF _Toc28011433 \h </w:instrText>
      </w:r>
      <w:r>
        <w:fldChar w:fldCharType="separate"/>
      </w:r>
      <w:r>
        <w:t>3</w:t>
      </w:r>
      <w:r>
        <w:fldChar w:fldCharType="end"/>
      </w:r>
    </w:p>
    <w:p w14:paraId="00F726C9" w14:textId="634B8322" w:rsidR="002F1F58" w:rsidRDefault="002F1F58">
      <w:pPr>
        <w:pStyle w:val="TOC1"/>
        <w:rPr>
          <w:rFonts w:asciiTheme="minorHAnsi" w:eastAsiaTheme="minorEastAsia" w:hAnsiTheme="minorHAnsi" w:cstheme="minorBidi"/>
          <w:b w:val="0"/>
          <w:spacing w:val="0"/>
          <w:sz w:val="22"/>
          <w:szCs w:val="22"/>
        </w:rPr>
      </w:pPr>
      <w:r>
        <w:t>Data retention</w:t>
      </w:r>
      <w:r>
        <w:tab/>
      </w:r>
      <w:r>
        <w:fldChar w:fldCharType="begin"/>
      </w:r>
      <w:r>
        <w:instrText xml:space="preserve"> PAGEREF _Toc28011434 \h </w:instrText>
      </w:r>
      <w:r>
        <w:fldChar w:fldCharType="separate"/>
      </w:r>
      <w:r>
        <w:t>4</w:t>
      </w:r>
      <w:r>
        <w:fldChar w:fldCharType="end"/>
      </w:r>
    </w:p>
    <w:p w14:paraId="2497A79E" w14:textId="3CB45EB9" w:rsidR="002F1F58" w:rsidRDefault="002F1F58">
      <w:pPr>
        <w:pStyle w:val="TOC2"/>
        <w:rPr>
          <w:rFonts w:asciiTheme="minorHAnsi" w:eastAsiaTheme="minorEastAsia" w:hAnsiTheme="minorHAnsi" w:cstheme="minorBidi"/>
          <w:spacing w:val="0"/>
          <w:sz w:val="22"/>
          <w:szCs w:val="22"/>
        </w:rPr>
      </w:pPr>
      <w:r>
        <w:t>Data retention compliance and enforcement</w:t>
      </w:r>
      <w:r>
        <w:tab/>
      </w:r>
      <w:r>
        <w:fldChar w:fldCharType="begin"/>
      </w:r>
      <w:r>
        <w:instrText xml:space="preserve"> PAGEREF _Toc28011435 \h </w:instrText>
      </w:r>
      <w:r>
        <w:fldChar w:fldCharType="separate"/>
      </w:r>
      <w:r>
        <w:t>4</w:t>
      </w:r>
      <w:r>
        <w:fldChar w:fldCharType="end"/>
      </w:r>
    </w:p>
    <w:p w14:paraId="69060D86" w14:textId="416421AF" w:rsidR="002F1F58" w:rsidRDefault="002F1F58">
      <w:pPr>
        <w:pStyle w:val="TOC2"/>
        <w:rPr>
          <w:rFonts w:asciiTheme="minorHAnsi" w:eastAsiaTheme="minorEastAsia" w:hAnsiTheme="minorHAnsi" w:cstheme="minorBidi"/>
          <w:spacing w:val="0"/>
          <w:sz w:val="22"/>
          <w:szCs w:val="22"/>
        </w:rPr>
      </w:pPr>
      <w:r>
        <w:t>Notes</w:t>
      </w:r>
      <w:r>
        <w:tab/>
      </w:r>
      <w:r>
        <w:tab/>
      </w:r>
      <w:r>
        <w:fldChar w:fldCharType="begin"/>
      </w:r>
      <w:r>
        <w:instrText xml:space="preserve"> PAGEREF _Toc28011436 \h </w:instrText>
      </w:r>
      <w:r>
        <w:fldChar w:fldCharType="separate"/>
      </w:r>
      <w:r>
        <w:t>5</w:t>
      </w:r>
      <w:r>
        <w:fldChar w:fldCharType="end"/>
      </w:r>
    </w:p>
    <w:p w14:paraId="36EE07A2" w14:textId="13128B0F"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64A79EBA" w14:textId="7C84C5F7" w:rsidR="009D6C71" w:rsidRPr="00904D43" w:rsidRDefault="0059139E" w:rsidP="009174F3">
      <w:pPr>
        <w:pStyle w:val="Execsummaryheading"/>
        <w:rPr>
          <w:sz w:val="48"/>
          <w:szCs w:val="48"/>
        </w:rPr>
      </w:pPr>
      <w:bookmarkStart w:id="0" w:name="_Toc28011428"/>
      <w:r w:rsidRPr="00904D43">
        <w:rPr>
          <w:sz w:val="48"/>
          <w:szCs w:val="48"/>
        </w:rPr>
        <w:lastRenderedPageBreak/>
        <w:t>Overview</w:t>
      </w:r>
      <w:bookmarkEnd w:id="0"/>
    </w:p>
    <w:p w14:paraId="5BA7D3F9" w14:textId="77777777" w:rsidR="0059139E" w:rsidRDefault="0059139E" w:rsidP="0059139E">
      <w:r w:rsidRPr="003E364B">
        <w:t xml:space="preserve">This </w:t>
      </w:r>
      <w:r w:rsidRPr="003E364B">
        <w:rPr>
          <w:rFonts w:cstheme="minorBidi"/>
        </w:rPr>
        <w:t xml:space="preserve">report </w:t>
      </w:r>
      <w:r>
        <w:rPr>
          <w:rFonts w:cstheme="minorBidi"/>
        </w:rPr>
        <w:t xml:space="preserve">is focused on </w:t>
      </w:r>
      <w:r w:rsidRPr="003E364B">
        <w:t xml:space="preserve">cooperation with law enforcement agencies and </w:t>
      </w:r>
      <w:r>
        <w:t xml:space="preserve">the </w:t>
      </w:r>
      <w:r w:rsidRPr="003E364B">
        <w:t xml:space="preserve">cost of </w:t>
      </w:r>
      <w:r>
        <w:t xml:space="preserve">industry </w:t>
      </w:r>
      <w:r w:rsidRPr="003E364B">
        <w:t xml:space="preserve">compliance with the requirements of Part 14 of the </w:t>
      </w:r>
      <w:r w:rsidRPr="002A2FE9">
        <w:rPr>
          <w:i/>
          <w:iCs/>
        </w:rPr>
        <w:t>Telecommunications Act</w:t>
      </w:r>
      <w:r w:rsidRPr="00BB3342">
        <w:rPr>
          <w:i/>
          <w:iCs/>
        </w:rPr>
        <w:t xml:space="preserve"> </w:t>
      </w:r>
      <w:r w:rsidRPr="008C2DD3">
        <w:rPr>
          <w:i/>
          <w:iCs/>
        </w:rPr>
        <w:t>1997</w:t>
      </w:r>
      <w:r>
        <w:rPr>
          <w:i/>
        </w:rPr>
        <w:t xml:space="preserve"> </w:t>
      </w:r>
      <w:r w:rsidRPr="002A1CA1">
        <w:t>(the Telecommunications Act)</w:t>
      </w:r>
      <w:r w:rsidRPr="002A1CA1">
        <w:rPr>
          <w:iCs/>
        </w:rPr>
        <w:t xml:space="preserve"> </w:t>
      </w:r>
      <w:r w:rsidRPr="002A1CA1">
        <w:t>and</w:t>
      </w:r>
      <w:r w:rsidRPr="003E364B">
        <w:t xml:space="preserve"> </w:t>
      </w:r>
      <w:r w:rsidRPr="003E364B">
        <w:rPr>
          <w:rFonts w:cstheme="minorBidi"/>
        </w:rPr>
        <w:t xml:space="preserve">Part 5-1A of the </w:t>
      </w:r>
      <w:r w:rsidRPr="003E364B">
        <w:rPr>
          <w:i/>
        </w:rPr>
        <w:t>Telecommunications (Interception and Access) Act 1979</w:t>
      </w:r>
      <w:r w:rsidRPr="003E364B">
        <w:t xml:space="preserve"> (TIA Act)</w:t>
      </w:r>
      <w:r w:rsidRPr="003E364B">
        <w:rPr>
          <w:rFonts w:cstheme="minorBidi"/>
        </w:rPr>
        <w:t>.</w:t>
      </w:r>
      <w:r w:rsidRPr="003E364B">
        <w:t xml:space="preserve"> </w:t>
      </w:r>
    </w:p>
    <w:p w14:paraId="7018C6E9" w14:textId="204E7920" w:rsidR="0059139E" w:rsidRDefault="0059139E" w:rsidP="0059139E">
      <w:r w:rsidRPr="003E364B">
        <w:t>Th</w:t>
      </w:r>
      <w:r>
        <w:t>e</w:t>
      </w:r>
      <w:r w:rsidRPr="003E364B">
        <w:t xml:space="preserve"> </w:t>
      </w:r>
      <w:r>
        <w:t>report</w:t>
      </w:r>
      <w:r w:rsidRPr="003E364B">
        <w:t xml:space="preserve"> addresses </w:t>
      </w:r>
      <w:r w:rsidRPr="003E364B">
        <w:rPr>
          <w:rFonts w:cstheme="minorBidi"/>
        </w:rPr>
        <w:t xml:space="preserve">the statutory requirements under </w:t>
      </w:r>
      <w:r>
        <w:rPr>
          <w:rFonts w:cstheme="minorBidi"/>
        </w:rPr>
        <w:t>subsection</w:t>
      </w:r>
      <w:r w:rsidRPr="003E364B">
        <w:rPr>
          <w:rFonts w:cstheme="minorBidi"/>
        </w:rPr>
        <w:t xml:space="preserve">105(5A) of the </w:t>
      </w:r>
      <w:r w:rsidRPr="002A2FE9">
        <w:rPr>
          <w:rFonts w:cstheme="minorBidi"/>
          <w:iCs/>
        </w:rPr>
        <w:t>Telecommunications Act</w:t>
      </w:r>
      <w:r>
        <w:rPr>
          <w:rFonts w:cstheme="minorBidi"/>
          <w:iCs/>
        </w:rPr>
        <w:t>.</w:t>
      </w:r>
      <w:r w:rsidRPr="00653D80">
        <w:rPr>
          <w:rFonts w:cstheme="minorBidi"/>
          <w:i/>
          <w:iCs/>
        </w:rPr>
        <w:t xml:space="preserve"> </w:t>
      </w:r>
      <w:r w:rsidRPr="003E364B">
        <w:t xml:space="preserve">It includes information about the communications industry’s support for law enforcement and national security agencies through the maintenance of communications interception capabilities and the authorised </w:t>
      </w:r>
      <w:r>
        <w:t>retention of data</w:t>
      </w:r>
      <w:r w:rsidRPr="003E364B">
        <w:t xml:space="preserve">. </w:t>
      </w:r>
    </w:p>
    <w:p w14:paraId="1DADB5D1" w14:textId="77777777" w:rsidR="005C4B0D" w:rsidRPr="0061000B" w:rsidRDefault="005C4B0D" w:rsidP="005C4B0D">
      <w:r>
        <w:rPr>
          <w:rFonts w:cstheme="minorBidi"/>
        </w:rPr>
        <w:t xml:space="preserve">Associated information regarding telecommunications and national interests in Australia can be found in the forthcoming </w:t>
      </w:r>
      <w:r w:rsidRPr="0059139E">
        <w:rPr>
          <w:rFonts w:cstheme="minorBidi"/>
          <w:i/>
        </w:rPr>
        <w:t xml:space="preserve">Communications report 2018–19, </w:t>
      </w:r>
      <w:r>
        <w:rPr>
          <w:rFonts w:cstheme="minorBidi"/>
        </w:rPr>
        <w:t>which is expected to be published in February 2020.</w:t>
      </w:r>
    </w:p>
    <w:p w14:paraId="7D89772B" w14:textId="77777777" w:rsidR="005C4B0D" w:rsidRDefault="005C4B0D" w:rsidP="0059139E"/>
    <w:p w14:paraId="3F7BB979" w14:textId="454B1513" w:rsidR="0059139E" w:rsidRDefault="0059139E" w:rsidP="0059139E">
      <w:r>
        <w:br w:type="page"/>
      </w:r>
    </w:p>
    <w:p w14:paraId="091B2AB1" w14:textId="46196D8F" w:rsidR="0059139E" w:rsidRPr="00904D43" w:rsidRDefault="0059139E" w:rsidP="005C4B0D">
      <w:pPr>
        <w:pStyle w:val="Heading1"/>
      </w:pPr>
      <w:bookmarkStart w:id="1" w:name="_Toc28011429"/>
      <w:r w:rsidRPr="00904D43">
        <w:lastRenderedPageBreak/>
        <w:t>Supporting law enforcement and national security agencies</w:t>
      </w:r>
      <w:bookmarkEnd w:id="1"/>
    </w:p>
    <w:p w14:paraId="57E0AF99" w14:textId="49770A31" w:rsidR="0059139E" w:rsidRPr="00916E58" w:rsidRDefault="0059139E" w:rsidP="0059139E">
      <w:pPr>
        <w:spacing w:after="80"/>
      </w:pPr>
      <w:r w:rsidRPr="00916E58">
        <w:t xml:space="preserve">Carriers and </w:t>
      </w:r>
      <w:r w:rsidR="005C4B0D">
        <w:rPr>
          <w:rFonts w:cs="Arial"/>
        </w:rPr>
        <w:t>carriage service providers (</w:t>
      </w:r>
      <w:r w:rsidRPr="00916E58">
        <w:t>CSPs</w:t>
      </w:r>
      <w:r w:rsidR="005C4B0D">
        <w:t>)</w:t>
      </w:r>
      <w:r w:rsidRPr="00916E58">
        <w:t xml:space="preserve"> are obliged to provide reasonably necessary assistance to law enforcement and national security agencies under section 313 of the </w:t>
      </w:r>
      <w:r w:rsidRPr="006371D9">
        <w:rPr>
          <w:iCs/>
        </w:rPr>
        <w:t>Telecommunications Act</w:t>
      </w:r>
      <w:r>
        <w:rPr>
          <w:i/>
        </w:rPr>
        <w:t>.</w:t>
      </w:r>
      <w:r w:rsidRPr="00916E58">
        <w:t xml:space="preserve"> This </w:t>
      </w:r>
      <w:r>
        <w:t>usually</w:t>
      </w:r>
      <w:r w:rsidRPr="00916E58">
        <w:t xml:space="preserve"> involves providing information about consumers of telecommunications services and their communications, for the purposes of:</w:t>
      </w:r>
    </w:p>
    <w:p w14:paraId="61BD764B" w14:textId="77777777" w:rsidR="0059139E" w:rsidRPr="00916E58" w:rsidRDefault="0059139E" w:rsidP="0059139E">
      <w:pPr>
        <w:pStyle w:val="ListBullet"/>
      </w:pPr>
      <w:r w:rsidRPr="00916E58">
        <w:t>enforcing the criminal law</w:t>
      </w:r>
    </w:p>
    <w:p w14:paraId="3C7002CC" w14:textId="77777777" w:rsidR="0059139E" w:rsidRPr="00916E58" w:rsidRDefault="0059139E" w:rsidP="0059139E">
      <w:pPr>
        <w:pStyle w:val="ListBullet"/>
      </w:pPr>
      <w:r w:rsidRPr="00916E58">
        <w:t>enforcing laws that impose a pecuniary penalty</w:t>
      </w:r>
    </w:p>
    <w:p w14:paraId="30282700" w14:textId="77777777" w:rsidR="0059139E" w:rsidRPr="00916E58" w:rsidRDefault="0059139E" w:rsidP="0059139E">
      <w:pPr>
        <w:pStyle w:val="ListBullet"/>
      </w:pPr>
      <w:r w:rsidRPr="00916E58">
        <w:t>assisting the enforcement of the criminal laws in force in a foreign country</w:t>
      </w:r>
    </w:p>
    <w:p w14:paraId="0F6CEB24" w14:textId="77777777" w:rsidR="0059139E" w:rsidRPr="00916E58" w:rsidRDefault="0059139E" w:rsidP="0059139E">
      <w:pPr>
        <w:pStyle w:val="ListBullet"/>
      </w:pPr>
      <w:r w:rsidRPr="00916E58">
        <w:t>protecting the public revenue</w:t>
      </w:r>
    </w:p>
    <w:p w14:paraId="60858A22" w14:textId="77777777" w:rsidR="0059139E" w:rsidRPr="00916E58" w:rsidRDefault="0059139E" w:rsidP="0059139E">
      <w:pPr>
        <w:pStyle w:val="ListBulletLast"/>
      </w:pPr>
      <w:r w:rsidRPr="00916E58">
        <w:t>safeguarding national security.</w:t>
      </w:r>
    </w:p>
    <w:p w14:paraId="7E11342E" w14:textId="407246A4" w:rsidR="0059139E" w:rsidRDefault="0059139E" w:rsidP="0059139E">
      <w:r w:rsidRPr="00916E58">
        <w:t xml:space="preserve">During the reporting period, </w:t>
      </w:r>
      <w:r>
        <w:t xml:space="preserve">the ACMA did not receive any referrals of </w:t>
      </w:r>
      <w:r w:rsidRPr="00916E58">
        <w:t xml:space="preserve">carriers or CSPs </w:t>
      </w:r>
      <w:r>
        <w:t xml:space="preserve">from </w:t>
      </w:r>
      <w:r w:rsidRPr="00916E58">
        <w:t>the Communications Access Co-ordinator</w:t>
      </w:r>
      <w:r>
        <w:t xml:space="preserve">, </w:t>
      </w:r>
      <w:r w:rsidRPr="00916E58">
        <w:t>located in the Department of Home Affairs</w:t>
      </w:r>
      <w:r>
        <w:t xml:space="preserve">, </w:t>
      </w:r>
      <w:r w:rsidRPr="00916E58">
        <w:t>for enforcement</w:t>
      </w:r>
      <w:r>
        <w:t xml:space="preserve"> of any breach of their obligations under section 313 of the Telecommunications Act</w:t>
      </w:r>
      <w:r w:rsidRPr="00916E58">
        <w:t xml:space="preserve">. </w:t>
      </w:r>
    </w:p>
    <w:p w14:paraId="750BD63F" w14:textId="77777777" w:rsidR="0059139E" w:rsidRPr="0059139E" w:rsidRDefault="0059139E" w:rsidP="005C4B0D">
      <w:pPr>
        <w:pStyle w:val="Heading2"/>
      </w:pPr>
      <w:bookmarkStart w:id="2" w:name="_Toc26958373"/>
      <w:bookmarkStart w:id="3" w:name="_Toc28011430"/>
      <w:r w:rsidRPr="0059139E">
        <w:t>Providing assistance</w:t>
      </w:r>
      <w:bookmarkEnd w:id="2"/>
      <w:bookmarkEnd w:id="3"/>
      <w:r w:rsidRPr="0059139E">
        <w:t xml:space="preserve"> </w:t>
      </w:r>
    </w:p>
    <w:p w14:paraId="622733BC" w14:textId="77777777" w:rsidR="0059139E" w:rsidRPr="00CA6A8D" w:rsidRDefault="0059139E" w:rsidP="0059139E">
      <w:r w:rsidRPr="00CA6A8D">
        <w:t xml:space="preserve">Section 314 of the </w:t>
      </w:r>
      <w:r w:rsidRPr="002A2FE9">
        <w:rPr>
          <w:iCs/>
        </w:rPr>
        <w:t>Telecommunications Act</w:t>
      </w:r>
      <w:r w:rsidRPr="00653D80">
        <w:rPr>
          <w:i/>
        </w:rPr>
        <w:t xml:space="preserve"> </w:t>
      </w:r>
      <w:r w:rsidRPr="00CA6A8D">
        <w:t>applies if a carrier or CSP is required to provide help to an officer or authority of the Commonwealth, a state or a territory</w:t>
      </w:r>
      <w:r>
        <w:t xml:space="preserve"> under subsections 313(3) or (4) of the Act</w:t>
      </w:r>
      <w:r w:rsidRPr="00CA6A8D">
        <w:t>. A person providing information must not profit from, nor be charged for the cost of providing that information.</w:t>
      </w:r>
    </w:p>
    <w:p w14:paraId="14F88F16" w14:textId="77777777" w:rsidR="0059139E" w:rsidRPr="00EF77F8" w:rsidRDefault="0059139E" w:rsidP="005C4B0D">
      <w:pPr>
        <w:pStyle w:val="Heading2"/>
      </w:pPr>
      <w:bookmarkStart w:id="4" w:name="_Toc494799463"/>
      <w:bookmarkStart w:id="5" w:name="_Toc494805766"/>
      <w:bookmarkStart w:id="6" w:name="_Toc494805999"/>
      <w:bookmarkStart w:id="7" w:name="_Toc494808229"/>
      <w:bookmarkStart w:id="8" w:name="_Toc494808883"/>
      <w:bookmarkStart w:id="9" w:name="_Toc494816068"/>
      <w:bookmarkStart w:id="10" w:name="_Toc494818898"/>
      <w:bookmarkStart w:id="11" w:name="_Toc494819160"/>
      <w:bookmarkStart w:id="12" w:name="_Toc529964644"/>
      <w:bookmarkStart w:id="13" w:name="_Toc462909479"/>
      <w:bookmarkStart w:id="14" w:name="_Toc465842962"/>
      <w:bookmarkStart w:id="15" w:name="_Toc26958375"/>
      <w:bookmarkStart w:id="16" w:name="_Toc28011431"/>
      <w:bookmarkStart w:id="17" w:name="_Hlk27745447"/>
      <w:r w:rsidRPr="00EF77F8">
        <w:t>Emergency suspension of carriage services</w:t>
      </w:r>
      <w:bookmarkEnd w:id="4"/>
      <w:bookmarkEnd w:id="5"/>
      <w:bookmarkEnd w:id="6"/>
      <w:bookmarkEnd w:id="7"/>
      <w:bookmarkEnd w:id="8"/>
      <w:bookmarkEnd w:id="9"/>
      <w:bookmarkEnd w:id="10"/>
      <w:bookmarkEnd w:id="11"/>
      <w:bookmarkEnd w:id="12"/>
      <w:bookmarkEnd w:id="13"/>
      <w:bookmarkEnd w:id="14"/>
      <w:bookmarkEnd w:id="15"/>
      <w:bookmarkEnd w:id="16"/>
    </w:p>
    <w:p w14:paraId="1E960607" w14:textId="77777777" w:rsidR="0059139E" w:rsidRPr="00EF77F8" w:rsidRDefault="0059139E" w:rsidP="0059139E">
      <w:r w:rsidRPr="00EF77F8">
        <w:t xml:space="preserve">Under section 315 of the </w:t>
      </w:r>
      <w:r w:rsidRPr="002A2FE9">
        <w:rPr>
          <w:iCs/>
        </w:rPr>
        <w:t>Telecommunications Act</w:t>
      </w:r>
      <w:r w:rsidRPr="00905378">
        <w:rPr>
          <w:iCs/>
        </w:rPr>
        <w:t>,</w:t>
      </w:r>
      <w:r w:rsidRPr="00EF77F8">
        <w:t xml:space="preserve"> a senior officer </w:t>
      </w:r>
      <w:r>
        <w:t xml:space="preserve">of a police force </w:t>
      </w:r>
      <w:r w:rsidRPr="00EF77F8">
        <w:t xml:space="preserve">or service </w:t>
      </w:r>
      <w:r>
        <w:t xml:space="preserve">(that is, a commissioned officer of the force or service) </w:t>
      </w:r>
      <w:r w:rsidRPr="00EF77F8">
        <w:t xml:space="preserve">who holds a rank not lower than </w:t>
      </w:r>
      <w:r>
        <w:t xml:space="preserve">the rank of </w:t>
      </w:r>
      <w:r w:rsidRPr="00EF77F8">
        <w:t>Assistant Commissioner can request the suspension of a carriage service if there is an imminent threat to someone’s life or health. CSPs reported the suspension of 32 carriage services in 2018–19, an increase from 14 carriage services in 2017–18.</w:t>
      </w:r>
    </w:p>
    <w:p w14:paraId="7C71F582" w14:textId="77777777" w:rsidR="0059139E" w:rsidRPr="00904D43" w:rsidRDefault="0059139E" w:rsidP="005C4B0D">
      <w:pPr>
        <w:pStyle w:val="Heading1"/>
      </w:pPr>
      <w:bookmarkStart w:id="18" w:name="_Toc494799464"/>
      <w:bookmarkStart w:id="19" w:name="_Toc494805767"/>
      <w:bookmarkStart w:id="20" w:name="_Toc494806000"/>
      <w:bookmarkStart w:id="21" w:name="_Toc494816069"/>
      <w:bookmarkStart w:id="22" w:name="_Toc494819161"/>
      <w:bookmarkStart w:id="23" w:name="_Toc494808230"/>
      <w:bookmarkStart w:id="24" w:name="_Toc494808884"/>
      <w:bookmarkStart w:id="25" w:name="_Toc494818899"/>
      <w:bookmarkStart w:id="26" w:name="_Toc498438692"/>
      <w:bookmarkStart w:id="27" w:name="_Toc529964645"/>
      <w:bookmarkStart w:id="28" w:name="_Toc26958376"/>
      <w:bookmarkStart w:id="29" w:name="_Toc28011432"/>
      <w:bookmarkEnd w:id="17"/>
      <w:r w:rsidRPr="00904D43">
        <w:lastRenderedPageBreak/>
        <w:t>Interception</w:t>
      </w:r>
      <w:bookmarkEnd w:id="18"/>
      <w:bookmarkEnd w:id="19"/>
      <w:bookmarkEnd w:id="20"/>
      <w:bookmarkEnd w:id="21"/>
      <w:bookmarkEnd w:id="22"/>
      <w:bookmarkEnd w:id="23"/>
      <w:bookmarkEnd w:id="24"/>
      <w:bookmarkEnd w:id="25"/>
      <w:bookmarkEnd w:id="26"/>
      <w:bookmarkEnd w:id="27"/>
      <w:bookmarkEnd w:id="28"/>
      <w:bookmarkEnd w:id="29"/>
      <w:r w:rsidRPr="00904D43">
        <w:t xml:space="preserve"> </w:t>
      </w:r>
    </w:p>
    <w:p w14:paraId="3D4CA540" w14:textId="77777777" w:rsidR="009E4AB0" w:rsidRDefault="0059139E" w:rsidP="0059139E">
      <w:r w:rsidRPr="00EF77F8">
        <w:t xml:space="preserve">The content of communications between users of telecommunications services is protected in Australia as a crucial area of telecommunications privacy. </w:t>
      </w:r>
    </w:p>
    <w:p w14:paraId="3AE47A8E" w14:textId="406C57D3" w:rsidR="0059139E" w:rsidRPr="00EF77F8" w:rsidRDefault="0059139E" w:rsidP="0059139E">
      <w:r>
        <w:rPr>
          <w:szCs w:val="20"/>
        </w:rPr>
        <w:t>The TIA Act makes it</w:t>
      </w:r>
      <w:r w:rsidRPr="005F46E0">
        <w:rPr>
          <w:szCs w:val="20"/>
        </w:rPr>
        <w:t xml:space="preserve"> </w:t>
      </w:r>
      <w:r w:rsidRPr="00520C9E">
        <w:rPr>
          <w:rFonts w:ascii="Roboto" w:hAnsi="Roboto" w:cs="Segoe UI"/>
          <w:color w:val="333333"/>
          <w:szCs w:val="20"/>
        </w:rPr>
        <w:t>an offence to intercept or access private telecommunications without the knowledge of those involved in that communication</w:t>
      </w:r>
      <w:r w:rsidR="009E4AB0">
        <w:rPr>
          <w:rFonts w:ascii="Roboto" w:hAnsi="Roboto" w:cs="Segoe UI"/>
          <w:color w:val="333333"/>
          <w:szCs w:val="20"/>
        </w:rPr>
        <w:t>,</w:t>
      </w:r>
      <w:r>
        <w:rPr>
          <w:rFonts w:ascii="Roboto" w:hAnsi="Roboto" w:cs="Segoe UI"/>
          <w:color w:val="333333"/>
          <w:szCs w:val="20"/>
        </w:rPr>
        <w:t xml:space="preserve"> and criminal penalties are </w:t>
      </w:r>
      <w:r w:rsidRPr="00EF77F8">
        <w:t>applicable for</w:t>
      </w:r>
      <w:r>
        <w:t xml:space="preserve"> such</w:t>
      </w:r>
      <w:r w:rsidRPr="00EF77F8">
        <w:t xml:space="preserve"> breaches of the TIA Act</w:t>
      </w:r>
      <w:r>
        <w:t xml:space="preserve">. </w:t>
      </w:r>
      <w:r w:rsidRPr="00EF77F8">
        <w:t>Interception</w:t>
      </w:r>
      <w:r>
        <w:t>, however,</w:t>
      </w:r>
      <w:r w:rsidRPr="00EF77F8">
        <w:t xml:space="preserve"> may only be authorised by law enforcement and national security agencies in accordance with a warrant under the TIA Act. </w:t>
      </w:r>
    </w:p>
    <w:p w14:paraId="6A3E7D03" w14:textId="77777777" w:rsidR="0059139E" w:rsidRPr="00EF77F8" w:rsidRDefault="0059139E" w:rsidP="005C4B0D">
      <w:pPr>
        <w:pStyle w:val="Heading2"/>
      </w:pPr>
      <w:bookmarkStart w:id="30" w:name="_Toc462909482"/>
      <w:bookmarkStart w:id="31" w:name="_Toc465842965"/>
      <w:bookmarkStart w:id="32" w:name="_Toc26958377"/>
      <w:bookmarkStart w:id="33" w:name="_Toc28011433"/>
      <w:r w:rsidRPr="00EF77F8">
        <w:t>Interception capability</w:t>
      </w:r>
      <w:bookmarkEnd w:id="30"/>
      <w:bookmarkEnd w:id="31"/>
      <w:bookmarkEnd w:id="32"/>
      <w:bookmarkEnd w:id="33"/>
    </w:p>
    <w:p w14:paraId="7A4EDDB6" w14:textId="77777777" w:rsidR="0059139E" w:rsidRPr="00EF77F8" w:rsidRDefault="0059139E" w:rsidP="0059139E">
      <w:r w:rsidRPr="00EF77F8">
        <w:t xml:space="preserve">Chapter 5 of the TIA Act obliges carriers and CSPs to ensure that their networks, facilities and carriage services </w:t>
      </w:r>
      <w:r>
        <w:t>can be</w:t>
      </w:r>
      <w:r w:rsidRPr="00EF77F8">
        <w:t xml:space="preserve"> intercepted upon presentation of an interception warrant.</w:t>
      </w:r>
      <w:r w:rsidRPr="00EF77F8">
        <w:rPr>
          <w:vertAlign w:val="superscript"/>
        </w:rPr>
        <w:endnoteReference w:id="1"/>
      </w:r>
      <w:r w:rsidRPr="00EF77F8">
        <w:t xml:space="preserve"> This obligation includes a requirement to develop, install and maintain an interception capability. Under section 207 of the TIA Act, carriers and CSPs are responsible for the capital and ongoing costs associated with providing interception capability in their networks. </w:t>
      </w:r>
    </w:p>
    <w:p w14:paraId="3E9C9876" w14:textId="77777777" w:rsidR="0059139E" w:rsidRPr="00EF77F8" w:rsidRDefault="0059139E" w:rsidP="0059139E">
      <w:r w:rsidRPr="00EF77F8">
        <w:t>In 2018–19, the cost to industry of providing interception capability was reported to the ACMA as approximately $</w:t>
      </w:r>
      <w:r>
        <w:t>23</w:t>
      </w:r>
      <w:r w:rsidRPr="00EF77F8">
        <w:t>.9 million, a</w:t>
      </w:r>
      <w:r>
        <w:t>n increase of 11.1 per</w:t>
      </w:r>
      <w:r w:rsidRPr="00EF77F8" w:rsidDel="005D2EF3">
        <w:t xml:space="preserve"> </w:t>
      </w:r>
      <w:r w:rsidRPr="00EF77F8">
        <w:t xml:space="preserve">cent from 2017–18 (Figure </w:t>
      </w:r>
      <w:r>
        <w:t>1</w:t>
      </w:r>
      <w:r w:rsidRPr="00EF77F8">
        <w:t xml:space="preserve">). </w:t>
      </w:r>
    </w:p>
    <w:p w14:paraId="1891BEC3" w14:textId="1B9A2DEE" w:rsidR="0059139E" w:rsidRPr="0059139E" w:rsidRDefault="0059139E" w:rsidP="0059139E">
      <w:pPr>
        <w:pStyle w:val="ACMAFigureHeader"/>
        <w:keepNext/>
      </w:pPr>
      <w:r w:rsidRPr="0059139E">
        <w:t xml:space="preserve">Cost of providing interception capabilities ($ million) </w:t>
      </w:r>
    </w:p>
    <w:p w14:paraId="2A4FF4CA" w14:textId="77777777" w:rsidR="0059139E" w:rsidRPr="00E97BF0" w:rsidRDefault="0059139E" w:rsidP="0059139E">
      <w:pPr>
        <w:spacing w:after="120"/>
        <w:rPr>
          <w:highlight w:val="yellow"/>
        </w:rPr>
      </w:pPr>
      <w:r>
        <w:rPr>
          <w:noProof/>
        </w:rPr>
        <w:drawing>
          <wp:inline distT="0" distB="0" distL="0" distR="0" wp14:anchorId="70290C49" wp14:editId="7DA698C1">
            <wp:extent cx="5400000" cy="1408929"/>
            <wp:effectExtent l="0" t="0" r="0" b="1270"/>
            <wp:docPr id="34" name="Picture 34" descr="Cost of providing interception capabilities from 2014-15 to 201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400000" cy="1408929"/>
                    </a:xfrm>
                    <a:prstGeom prst="rect">
                      <a:avLst/>
                    </a:prstGeom>
                  </pic:spPr>
                </pic:pic>
              </a:graphicData>
            </a:graphic>
          </wp:inline>
        </w:drawing>
      </w:r>
    </w:p>
    <w:p w14:paraId="586EBAD4" w14:textId="77777777" w:rsidR="0059139E" w:rsidRDefault="0059139E" w:rsidP="0059139E">
      <w:pPr>
        <w:pStyle w:val="ACMANotesspaceafter"/>
      </w:pPr>
      <w:r w:rsidRPr="00F61EFA">
        <w:t>Source: ACMA annual industry data request.</w:t>
      </w:r>
    </w:p>
    <w:p w14:paraId="2B0241DD" w14:textId="77777777" w:rsidR="0059139E" w:rsidRPr="00904D43" w:rsidRDefault="0059139E" w:rsidP="005C4B0D">
      <w:pPr>
        <w:pStyle w:val="Heading1"/>
      </w:pPr>
      <w:bookmarkStart w:id="34" w:name="_Toc494799468"/>
      <w:bookmarkStart w:id="35" w:name="_Toc494805771"/>
      <w:bookmarkStart w:id="36" w:name="_Toc494806004"/>
      <w:bookmarkStart w:id="37" w:name="_Toc494816073"/>
      <w:bookmarkStart w:id="38" w:name="_Toc494819165"/>
      <w:bookmarkStart w:id="39" w:name="_Toc494808234"/>
      <w:bookmarkStart w:id="40" w:name="_Toc494808888"/>
      <w:bookmarkStart w:id="41" w:name="_Toc494818903"/>
      <w:bookmarkStart w:id="42" w:name="_Toc498438693"/>
      <w:bookmarkStart w:id="43" w:name="_Toc529964649"/>
      <w:bookmarkStart w:id="44" w:name="_Toc26958379"/>
      <w:bookmarkStart w:id="45" w:name="_Toc28011434"/>
      <w:r w:rsidRPr="00904D43">
        <w:lastRenderedPageBreak/>
        <w:t>Data retention</w:t>
      </w:r>
      <w:bookmarkEnd w:id="34"/>
      <w:bookmarkEnd w:id="35"/>
      <w:bookmarkEnd w:id="36"/>
      <w:bookmarkEnd w:id="37"/>
      <w:bookmarkEnd w:id="38"/>
      <w:bookmarkEnd w:id="39"/>
      <w:bookmarkEnd w:id="40"/>
      <w:bookmarkEnd w:id="41"/>
      <w:bookmarkEnd w:id="42"/>
      <w:bookmarkEnd w:id="43"/>
      <w:bookmarkEnd w:id="44"/>
      <w:bookmarkEnd w:id="45"/>
      <w:r w:rsidRPr="00904D43">
        <w:t xml:space="preserve"> </w:t>
      </w:r>
    </w:p>
    <w:p w14:paraId="10A595E0" w14:textId="77777777" w:rsidR="0059139E" w:rsidRPr="0035599A" w:rsidRDefault="0059139E" w:rsidP="0059139E">
      <w:pPr>
        <w:pStyle w:val="Paragraph"/>
      </w:pPr>
      <w:r w:rsidRPr="0035599A">
        <w:t xml:space="preserve">Since 13 October 2015, carriers and service providers have been subject to data retention obligations under Part 5-1A of the TIA Act. The </w:t>
      </w:r>
      <w:r>
        <w:t xml:space="preserve">ACMA has a role in enforcing these </w:t>
      </w:r>
      <w:r w:rsidRPr="0035599A">
        <w:t xml:space="preserve">obligations. </w:t>
      </w:r>
    </w:p>
    <w:p w14:paraId="588F65E7" w14:textId="27553A83" w:rsidR="0059139E" w:rsidRDefault="0059139E" w:rsidP="0059139E">
      <w:pPr>
        <w:pStyle w:val="Paragraph"/>
      </w:pPr>
      <w:r w:rsidRPr="0035599A">
        <w:t xml:space="preserve">Paragraph 105(5A)(b) of the </w:t>
      </w:r>
      <w:r w:rsidRPr="002A2FE9">
        <w:rPr>
          <w:iCs/>
        </w:rPr>
        <w:t>Telecommunications Act</w:t>
      </w:r>
      <w:r w:rsidRPr="00653D80">
        <w:rPr>
          <w:i/>
        </w:rPr>
        <w:t xml:space="preserve"> </w:t>
      </w:r>
      <w:r w:rsidRPr="0035599A">
        <w:t xml:space="preserve">requires the ACMA to report to the </w:t>
      </w:r>
      <w:r>
        <w:t xml:space="preserve">Minister for Communications, Cyber Safety and the Arts </w:t>
      </w:r>
      <w:r w:rsidRPr="0035599A">
        <w:t>on the cost of compliance with the requirements of Part 5-1A of the TIA Act (about data retention).</w:t>
      </w:r>
    </w:p>
    <w:p w14:paraId="10454742" w14:textId="77777777" w:rsidR="0059139E" w:rsidRPr="0035599A" w:rsidRDefault="0059139E" w:rsidP="0059139E">
      <w:pPr>
        <w:pStyle w:val="Paragraph"/>
      </w:pPr>
      <w:r w:rsidRPr="0035599A">
        <w:t xml:space="preserve">Table </w:t>
      </w:r>
      <w:r>
        <w:t>1</w:t>
      </w:r>
      <w:r w:rsidRPr="0035599A">
        <w:t xml:space="preserve"> sets out </w:t>
      </w:r>
      <w:r>
        <w:t xml:space="preserve">the </w:t>
      </w:r>
      <w:r w:rsidRPr="0035599A">
        <w:t>costs (administrative</w:t>
      </w:r>
      <w:r w:rsidRPr="0035599A">
        <w:rPr>
          <w:rStyle w:val="EndnoteReference"/>
        </w:rPr>
        <w:endnoteReference w:id="2"/>
      </w:r>
      <w:r w:rsidRPr="0035599A">
        <w:t xml:space="preserve"> and substantive</w:t>
      </w:r>
      <w:r w:rsidRPr="0035599A">
        <w:rPr>
          <w:rStyle w:val="EndnoteReference"/>
        </w:rPr>
        <w:endnoteReference w:id="3"/>
      </w:r>
      <w:r w:rsidRPr="0035599A">
        <w:t xml:space="preserve">) of complying with the data retention obligations </w:t>
      </w:r>
      <w:r>
        <w:t xml:space="preserve">under Part 5-1A of the TIA Act </w:t>
      </w:r>
      <w:r w:rsidRPr="0035599A">
        <w:t xml:space="preserve">in 2018–19 for those industry participants that provided cost information. </w:t>
      </w:r>
      <w:r>
        <w:t>It</w:t>
      </w:r>
      <w:r w:rsidRPr="0035599A">
        <w:t xml:space="preserve"> also sets out the costs recovered from</w:t>
      </w:r>
      <w:r w:rsidRPr="0035599A">
        <w:rPr>
          <w:b/>
          <w:i/>
        </w:rPr>
        <w:t xml:space="preserve"> </w:t>
      </w:r>
      <w:r w:rsidRPr="0035599A">
        <w:t xml:space="preserve">criminal law enforcement agencies (CLEAs) for the purpose of responding to requests for data. These recovered costs partially offset the administrative costs reported. </w:t>
      </w:r>
    </w:p>
    <w:p w14:paraId="4CCB5783" w14:textId="407E94B8" w:rsidR="0059139E" w:rsidRPr="0059139E" w:rsidRDefault="0059139E" w:rsidP="0059139E">
      <w:pPr>
        <w:pStyle w:val="ACMATableHeader"/>
      </w:pPr>
      <w:bookmarkStart w:id="46" w:name="_Hlk532994237"/>
      <w:r w:rsidRPr="0059139E">
        <w:t>Reported cost of complying with the data retention obligations and costs recovered from CLEAs</w:t>
      </w:r>
    </w:p>
    <w:tbl>
      <w:tblPr>
        <w:tblStyle w:val="TableGrid"/>
        <w:tblW w:w="7655"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4.3  Anticipated capital costs of complying with the data retention obligations"/>
      </w:tblPr>
      <w:tblGrid>
        <w:gridCol w:w="1560"/>
        <w:gridCol w:w="3260"/>
        <w:gridCol w:w="2835"/>
      </w:tblGrid>
      <w:tr w:rsidR="0059139E" w:rsidRPr="00E97BF0" w14:paraId="66792221" w14:textId="77777777" w:rsidTr="0059139E">
        <w:trPr>
          <w:trHeight w:val="281"/>
          <w:tblHeader/>
        </w:trPr>
        <w:tc>
          <w:tcPr>
            <w:tcW w:w="1560" w:type="dxa"/>
            <w:shd w:val="clear" w:color="auto" w:fill="365F91" w:themeFill="accent1" w:themeFillShade="BF"/>
          </w:tcPr>
          <w:bookmarkEnd w:id="46"/>
          <w:p w14:paraId="2FE920B2" w14:textId="77777777" w:rsidR="0059139E" w:rsidRPr="007632DD" w:rsidRDefault="0059139E" w:rsidP="006B65F5">
            <w:pPr>
              <w:pStyle w:val="TableHeading0"/>
              <w:rPr>
                <w:color w:val="FFFFFF" w:themeColor="background1"/>
                <w:sz w:val="18"/>
                <w:szCs w:val="22"/>
              </w:rPr>
            </w:pPr>
            <w:r w:rsidRPr="007632DD">
              <w:rPr>
                <w:color w:val="FFFFFF" w:themeColor="background1"/>
                <w:sz w:val="18"/>
                <w:szCs w:val="22"/>
              </w:rPr>
              <w:t xml:space="preserve">Financial year </w:t>
            </w:r>
          </w:p>
        </w:tc>
        <w:tc>
          <w:tcPr>
            <w:tcW w:w="3260" w:type="dxa"/>
            <w:shd w:val="clear" w:color="auto" w:fill="365F91" w:themeFill="accent1" w:themeFillShade="BF"/>
          </w:tcPr>
          <w:p w14:paraId="1D9819EB" w14:textId="77777777" w:rsidR="0059139E" w:rsidRPr="007632DD" w:rsidRDefault="0059139E" w:rsidP="006B65F5">
            <w:pPr>
              <w:pStyle w:val="TableBody"/>
              <w:keepNext/>
              <w:keepLines/>
              <w:jc w:val="right"/>
              <w:rPr>
                <w:b/>
                <w:color w:val="FFFFFF" w:themeColor="background1"/>
                <w:sz w:val="18"/>
                <w:szCs w:val="22"/>
              </w:rPr>
            </w:pPr>
            <w:r w:rsidRPr="007632DD">
              <w:rPr>
                <w:b/>
                <w:color w:val="FFFFFF" w:themeColor="background1"/>
                <w:sz w:val="18"/>
                <w:szCs w:val="22"/>
              </w:rPr>
              <w:t xml:space="preserve">Data retention compliance </w:t>
            </w:r>
            <w:r w:rsidRPr="007632DD" w:rsidDel="00E75BB1">
              <w:rPr>
                <w:b/>
                <w:color w:val="FFFFFF" w:themeColor="background1"/>
                <w:sz w:val="18"/>
                <w:szCs w:val="22"/>
              </w:rPr>
              <w:t>cost</w:t>
            </w:r>
          </w:p>
          <w:p w14:paraId="6F270A42" w14:textId="796317AF" w:rsidR="0059139E" w:rsidRPr="007632DD" w:rsidRDefault="0059139E" w:rsidP="006B65F5">
            <w:pPr>
              <w:pStyle w:val="TableHeading0"/>
              <w:jc w:val="right"/>
              <w:rPr>
                <w:color w:val="FFFFFF" w:themeColor="background1"/>
                <w:sz w:val="18"/>
                <w:szCs w:val="22"/>
              </w:rPr>
            </w:pPr>
            <w:r w:rsidRPr="007632DD">
              <w:rPr>
                <w:color w:val="FFFFFF" w:themeColor="background1"/>
                <w:sz w:val="18"/>
                <w:szCs w:val="22"/>
              </w:rPr>
              <w:t>(exclusive of data retention industry</w:t>
            </w:r>
            <w:r w:rsidR="005C4B0D">
              <w:rPr>
                <w:color w:val="FFFFFF" w:themeColor="background1"/>
                <w:sz w:val="18"/>
                <w:szCs w:val="22"/>
              </w:rPr>
              <w:t> </w:t>
            </w:r>
            <w:r w:rsidRPr="007632DD">
              <w:rPr>
                <w:color w:val="FFFFFF" w:themeColor="background1"/>
                <w:sz w:val="18"/>
                <w:szCs w:val="22"/>
              </w:rPr>
              <w:t>grants</w:t>
            </w:r>
            <w:r w:rsidRPr="007632DD" w:rsidDel="00E75BB1">
              <w:rPr>
                <w:color w:val="FFFFFF" w:themeColor="background1"/>
                <w:sz w:val="18"/>
                <w:szCs w:val="22"/>
              </w:rPr>
              <w:t>)</w:t>
            </w:r>
          </w:p>
        </w:tc>
        <w:tc>
          <w:tcPr>
            <w:tcW w:w="2835" w:type="dxa"/>
            <w:shd w:val="clear" w:color="auto" w:fill="365F91" w:themeFill="accent1" w:themeFillShade="BF"/>
          </w:tcPr>
          <w:p w14:paraId="47C18787" w14:textId="77777777" w:rsidR="0059139E" w:rsidRPr="005D6C2E" w:rsidRDefault="0059139E" w:rsidP="006B65F5">
            <w:pPr>
              <w:pStyle w:val="TableHeading0"/>
              <w:jc w:val="right"/>
              <w:rPr>
                <w:color w:val="FFFFFF" w:themeColor="background1"/>
                <w:sz w:val="18"/>
                <w:szCs w:val="18"/>
              </w:rPr>
            </w:pPr>
            <w:r w:rsidRPr="008E03A5">
              <w:rPr>
                <w:color w:val="FFFFFF" w:themeColor="background1"/>
                <w:sz w:val="18"/>
                <w:szCs w:val="22"/>
              </w:rPr>
              <w:t xml:space="preserve">Costs recovered from CLEAs </w:t>
            </w:r>
          </w:p>
        </w:tc>
      </w:tr>
      <w:tr w:rsidR="0059139E" w:rsidRPr="00624509" w14:paraId="69248146" w14:textId="77777777" w:rsidTr="0059139E">
        <w:trPr>
          <w:trHeight w:val="66"/>
        </w:trPr>
        <w:tc>
          <w:tcPr>
            <w:tcW w:w="1560" w:type="dxa"/>
            <w:shd w:val="clear" w:color="auto" w:fill="FFFFFF" w:themeFill="background1"/>
            <w:vAlign w:val="center"/>
          </w:tcPr>
          <w:p w14:paraId="501F2EE5" w14:textId="77777777" w:rsidR="0059139E" w:rsidRPr="008E03A5" w:rsidRDefault="0059139E" w:rsidP="006B65F5">
            <w:pPr>
              <w:pStyle w:val="ACMATableText"/>
              <w:keepNext/>
              <w:keepLines/>
              <w:rPr>
                <w:sz w:val="18"/>
                <w:szCs w:val="22"/>
              </w:rPr>
            </w:pPr>
            <w:r w:rsidRPr="008E03A5">
              <w:rPr>
                <w:sz w:val="18"/>
                <w:szCs w:val="22"/>
              </w:rPr>
              <w:t>2018–19</w:t>
            </w:r>
          </w:p>
        </w:tc>
        <w:tc>
          <w:tcPr>
            <w:tcW w:w="3260" w:type="dxa"/>
            <w:shd w:val="clear" w:color="auto" w:fill="FFFFFF" w:themeFill="background1"/>
            <w:vAlign w:val="center"/>
          </w:tcPr>
          <w:p w14:paraId="5756D80A" w14:textId="77777777" w:rsidR="0059139E" w:rsidRPr="008E03A5" w:rsidRDefault="0059139E" w:rsidP="006B65F5">
            <w:pPr>
              <w:pStyle w:val="ACMATableText"/>
              <w:keepNext/>
              <w:keepLines/>
              <w:jc w:val="right"/>
              <w:rPr>
                <w:sz w:val="18"/>
                <w:szCs w:val="22"/>
              </w:rPr>
            </w:pPr>
            <w:r w:rsidRPr="008E03A5">
              <w:rPr>
                <w:sz w:val="18"/>
                <w:szCs w:val="22"/>
              </w:rPr>
              <w:t>$17,453,069</w:t>
            </w:r>
          </w:p>
        </w:tc>
        <w:tc>
          <w:tcPr>
            <w:tcW w:w="2835" w:type="dxa"/>
            <w:shd w:val="clear" w:color="auto" w:fill="FFFFFF" w:themeFill="background1"/>
            <w:vAlign w:val="center"/>
          </w:tcPr>
          <w:p w14:paraId="39AAD119" w14:textId="77777777" w:rsidR="0059139E" w:rsidRPr="008E03A5" w:rsidRDefault="0059139E" w:rsidP="006B65F5">
            <w:pPr>
              <w:pStyle w:val="ACMATableText"/>
              <w:keepNext/>
              <w:keepLines/>
              <w:jc w:val="right"/>
              <w:rPr>
                <w:sz w:val="18"/>
                <w:szCs w:val="22"/>
              </w:rPr>
            </w:pPr>
            <w:r w:rsidRPr="008E03A5">
              <w:rPr>
                <w:sz w:val="18"/>
                <w:szCs w:val="22"/>
              </w:rPr>
              <w:t>$7,443,035</w:t>
            </w:r>
          </w:p>
        </w:tc>
      </w:tr>
    </w:tbl>
    <w:p w14:paraId="3880486D" w14:textId="77777777" w:rsidR="0059139E" w:rsidRPr="00624509" w:rsidRDefault="0059139E" w:rsidP="0059139E">
      <w:pPr>
        <w:pStyle w:val="ACMANotes"/>
        <w:rPr>
          <w:rFonts w:ascii="Calibri" w:hAnsi="Calibri"/>
          <w:i w:val="0"/>
          <w:szCs w:val="22"/>
          <w:lang w:eastAsia="en-US"/>
        </w:rPr>
      </w:pPr>
      <w:r w:rsidRPr="00624509">
        <w:t>Note: The data represents the administrative and substantive compliance costs reported by to the ACMA by industry participants. Industry participants were permitted to report on behalf of subsidiary organisations.</w:t>
      </w:r>
    </w:p>
    <w:p w14:paraId="2C6749F3" w14:textId="77777777" w:rsidR="0059139E" w:rsidRPr="00624509" w:rsidRDefault="0059139E" w:rsidP="0059139E">
      <w:pPr>
        <w:pStyle w:val="ACMANotesspaceafter"/>
        <w:keepNext/>
        <w:keepLines/>
      </w:pPr>
      <w:r w:rsidRPr="00624509">
        <w:t>Source: Carriers and carriage service providers. The Department of Home Affairs provided information relating to the funding of grants.</w:t>
      </w:r>
    </w:p>
    <w:p w14:paraId="118CCCA4" w14:textId="77777777" w:rsidR="0059139E" w:rsidRPr="005B591F" w:rsidRDefault="0059139E" w:rsidP="005C4B0D">
      <w:pPr>
        <w:pStyle w:val="Heading2"/>
      </w:pPr>
      <w:bookmarkStart w:id="47" w:name="_Toc529964650"/>
      <w:bookmarkStart w:id="48" w:name="_Toc26958380"/>
      <w:bookmarkStart w:id="49" w:name="_Toc28011435"/>
      <w:r w:rsidRPr="005B591F">
        <w:t>Data retention compliance and enforcement</w:t>
      </w:r>
      <w:bookmarkEnd w:id="47"/>
      <w:bookmarkEnd w:id="48"/>
      <w:bookmarkEnd w:id="49"/>
    </w:p>
    <w:p w14:paraId="61936F7E" w14:textId="77777777" w:rsidR="0059139E" w:rsidRPr="005B591F" w:rsidRDefault="0059139E" w:rsidP="0059139E">
      <w:bookmarkStart w:id="50" w:name="_Toc494799469"/>
      <w:bookmarkStart w:id="51" w:name="_Toc494805772"/>
      <w:bookmarkStart w:id="52" w:name="_Toc494806033"/>
      <w:bookmarkStart w:id="53" w:name="_Toc494816074"/>
      <w:bookmarkStart w:id="54" w:name="_Toc494819166"/>
      <w:bookmarkStart w:id="55" w:name="_Toc494808263"/>
      <w:bookmarkStart w:id="56" w:name="_Toc494808917"/>
      <w:bookmarkStart w:id="57" w:name="_Toc494818932"/>
      <w:bookmarkStart w:id="58" w:name="_Toc498438694"/>
      <w:bookmarkStart w:id="59" w:name="_Toc529964651"/>
      <w:bookmarkStart w:id="60" w:name="_Hlk530390225"/>
      <w:r w:rsidRPr="005B591F">
        <w:t xml:space="preserve">During the reporting period, the Department of Home Affairs did not refer any CSPs to the ACMA for failing to submit an amended data retention implementation plan to the Department of Home Affairs. </w:t>
      </w:r>
      <w:bookmarkEnd w:id="50"/>
      <w:bookmarkEnd w:id="51"/>
      <w:bookmarkEnd w:id="52"/>
      <w:bookmarkEnd w:id="53"/>
      <w:bookmarkEnd w:id="54"/>
      <w:bookmarkEnd w:id="55"/>
      <w:bookmarkEnd w:id="56"/>
      <w:bookmarkEnd w:id="57"/>
      <w:bookmarkEnd w:id="58"/>
      <w:bookmarkEnd w:id="59"/>
      <w:bookmarkEnd w:id="60"/>
    </w:p>
    <w:p w14:paraId="588CCFB4" w14:textId="77777777" w:rsidR="0059139E" w:rsidRPr="0059139E" w:rsidRDefault="0059139E" w:rsidP="0059139E">
      <w:pPr>
        <w:pStyle w:val="Paragraph"/>
      </w:pPr>
    </w:p>
    <w:p w14:paraId="34C013DB" w14:textId="2D2CFA53" w:rsidR="005E250B" w:rsidRDefault="005E250B" w:rsidP="0059139E">
      <w:pPr>
        <w:pStyle w:val="Heading2"/>
        <w:rPr>
          <w:color w:val="323232"/>
          <w:kern w:val="32"/>
          <w:sz w:val="53"/>
          <w:szCs w:val="32"/>
        </w:rPr>
      </w:pPr>
      <w:r>
        <w:br w:type="page"/>
      </w:r>
      <w:bookmarkStart w:id="61" w:name="_Toc28011436"/>
      <w:r w:rsidR="0059139E">
        <w:lastRenderedPageBreak/>
        <w:t>Notes</w:t>
      </w:r>
      <w:bookmarkStart w:id="62" w:name="_GoBack"/>
      <w:bookmarkEnd w:id="61"/>
      <w:bookmarkEnd w:id="62"/>
    </w:p>
    <w:sectPr w:rsidR="005E250B" w:rsidSect="00C77380">
      <w:headerReference w:type="even" r:id="rId25"/>
      <w:headerReference w:type="default" r:id="rId26"/>
      <w:footerReference w:type="even" r:id="rId27"/>
      <w:footerReference w:type="default" r:id="rId28"/>
      <w:endnotePr>
        <w:numFmt w:val="decimal"/>
      </w:endnotePr>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744EAD" w14:textId="77777777" w:rsidR="008E76DF" w:rsidRDefault="008E76DF">
      <w:r>
        <w:separator/>
      </w:r>
    </w:p>
  </w:endnote>
  <w:endnote w:type="continuationSeparator" w:id="0">
    <w:p w14:paraId="50A8D5BC" w14:textId="77777777" w:rsidR="008E76DF" w:rsidRDefault="008E76DF">
      <w:r>
        <w:continuationSeparator/>
      </w:r>
    </w:p>
  </w:endnote>
  <w:endnote w:id="1">
    <w:p w14:paraId="53771C9B" w14:textId="77777777" w:rsidR="0059139E" w:rsidRPr="0032755E" w:rsidRDefault="0059139E" w:rsidP="0059139E">
      <w:pPr>
        <w:pStyle w:val="EndnoteText"/>
        <w:rPr>
          <w:rFonts w:cs="Arial"/>
          <w:szCs w:val="16"/>
        </w:rPr>
      </w:pPr>
      <w:r w:rsidRPr="0032755E">
        <w:rPr>
          <w:rStyle w:val="EndnoteReference"/>
          <w:szCs w:val="16"/>
        </w:rPr>
        <w:endnoteRef/>
      </w:r>
      <w:r w:rsidRPr="0032755E">
        <w:rPr>
          <w:rFonts w:cs="Arial"/>
          <w:szCs w:val="16"/>
        </w:rPr>
        <w:t xml:space="preserve"> The definition of a carrier under section 5 of the TIA Act includes CSPs for these provisions.</w:t>
      </w:r>
    </w:p>
  </w:endnote>
  <w:endnote w:id="2">
    <w:p w14:paraId="1B915654" w14:textId="77777777" w:rsidR="0059139E" w:rsidRDefault="0059139E" w:rsidP="0059139E">
      <w:pPr>
        <w:pStyle w:val="EndnoteText"/>
        <w:rPr>
          <w:rStyle w:val="EndnoteReference"/>
        </w:rPr>
      </w:pPr>
      <w:r>
        <w:rPr>
          <w:rStyle w:val="EndnoteReference"/>
        </w:rPr>
        <w:endnoteRef/>
      </w:r>
      <w:r>
        <w:t xml:space="preserve"> </w:t>
      </w:r>
      <w:r>
        <w:rPr>
          <w:szCs w:val="16"/>
        </w:rPr>
        <w:t>Administrative costs are costs incurred by regulated entities primarily to demonstrate compliance with the regulation (for example, making, keeping, and providing records).</w:t>
      </w:r>
    </w:p>
  </w:endnote>
  <w:endnote w:id="3">
    <w:p w14:paraId="31A99D33" w14:textId="0E26951E" w:rsidR="0059139E" w:rsidRDefault="0059139E" w:rsidP="0059139E">
      <w:pPr>
        <w:pStyle w:val="EndnoteText"/>
        <w:rPr>
          <w:szCs w:val="16"/>
        </w:rPr>
      </w:pPr>
      <w:r>
        <w:rPr>
          <w:rStyle w:val="EndnoteReference"/>
        </w:rPr>
        <w:endnoteRef/>
      </w:r>
      <w:r>
        <w:rPr>
          <w:szCs w:val="16"/>
        </w:rPr>
        <w:t xml:space="preserve"> Substantive compliance costs are the costs incurred to deliver the regulated outcomes being sought (for example, plant, equipment and employee</w:t>
      </w:r>
      <w:r w:rsidR="005C4B0D">
        <w:rPr>
          <w:szCs w:val="16"/>
        </w:rPr>
        <w:t xml:space="preserve"> training</w:t>
      </w:r>
      <w:r>
        <w:rPr>
          <w:szCs w:val="16"/>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Arial"/>
    <w:charset w:val="00"/>
    <w:family w:val="auto"/>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F165E" w14:textId="77777777" w:rsidR="005E250B" w:rsidRDefault="005E250B" w:rsidP="005E250B">
    <w:pPr>
      <w:pStyle w:val="Footer"/>
      <w:jc w:val="right"/>
    </w:pPr>
    <w:r w:rsidRPr="005E250B">
      <w:rPr>
        <w:noProof/>
        <w:vertAlign w:val="subscript"/>
      </w:rPr>
      <w:drawing>
        <wp:inline distT="0" distB="0" distL="0" distR="0" wp14:anchorId="544956B2" wp14:editId="1C8FE02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419E0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40580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2CB57"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45F9FD3"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46C83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B7B80BB"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1EAD1"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68A3FF9"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725EC"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D468ECC"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224E8"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2DE98B8"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27EAF" w14:textId="77777777" w:rsidR="008E76DF" w:rsidRDefault="008E76DF">
      <w:r>
        <w:separator/>
      </w:r>
    </w:p>
  </w:footnote>
  <w:footnote w:type="continuationSeparator" w:id="0">
    <w:p w14:paraId="031BC53F" w14:textId="77777777" w:rsidR="008E76DF" w:rsidRDefault="008E7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2E5309" w14:textId="77777777" w:rsidR="00C053A1" w:rsidRPr="00A5474E" w:rsidRDefault="00C053A1" w:rsidP="00A5474E">
    <w:pPr>
      <w:pStyle w:val="Header"/>
    </w:pPr>
    <w:r>
      <w:rPr>
        <w:noProof/>
      </w:rPr>
      <w:drawing>
        <wp:inline distT="0" distB="0" distL="0" distR="0" wp14:anchorId="75309956" wp14:editId="64776ACE">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FB984"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08D78"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FC71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42747E0" w14:textId="77777777" w:rsidTr="003B0421">
      <w:trPr>
        <w:trHeight w:hRule="exact" w:val="988"/>
      </w:trPr>
      <w:tc>
        <w:tcPr>
          <w:tcW w:w="7678" w:type="dxa"/>
          <w:shd w:val="clear" w:color="auto" w:fill="auto"/>
        </w:tcPr>
        <w:p w14:paraId="0CE4E4B9" w14:textId="77777777" w:rsidR="00971914" w:rsidRDefault="00971914" w:rsidP="00971914">
          <w:pPr>
            <w:pStyle w:val="Header"/>
          </w:pPr>
        </w:p>
      </w:tc>
    </w:tr>
    <w:tr w:rsidR="00971914" w14:paraId="5B603EC7" w14:textId="77777777" w:rsidTr="003B0421">
      <w:tc>
        <w:tcPr>
          <w:tcW w:w="7678" w:type="dxa"/>
          <w:shd w:val="clear" w:color="auto" w:fill="auto"/>
        </w:tcPr>
        <w:p w14:paraId="31FD3ED5" w14:textId="77777777" w:rsidR="00971914" w:rsidRDefault="00971914" w:rsidP="00971914">
          <w:pPr>
            <w:pStyle w:val="GridTable31"/>
          </w:pPr>
          <w:r>
            <w:t xml:space="preserve">Contents </w:t>
          </w:r>
          <w:r w:rsidRPr="00915B1C">
            <w:rPr>
              <w:b w:val="0"/>
              <w:spacing w:val="0"/>
              <w:sz w:val="28"/>
              <w:szCs w:val="28"/>
            </w:rPr>
            <w:t>(Continued)</w:t>
          </w:r>
        </w:p>
      </w:tc>
    </w:tr>
    <w:tr w:rsidR="00971914" w14:paraId="611749FE" w14:textId="77777777" w:rsidTr="003B0421">
      <w:trPr>
        <w:trHeight w:val="1220"/>
      </w:trPr>
      <w:tc>
        <w:tcPr>
          <w:tcW w:w="7678" w:type="dxa"/>
          <w:shd w:val="clear" w:color="auto" w:fill="auto"/>
        </w:tcPr>
        <w:p w14:paraId="16554A7D" w14:textId="77777777" w:rsidR="00971914" w:rsidRDefault="00971914" w:rsidP="00971914"/>
      </w:tc>
    </w:tr>
  </w:tbl>
  <w:p w14:paraId="557E720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9FB4713" w14:textId="77777777" w:rsidTr="003B0421">
      <w:trPr>
        <w:trHeight w:hRule="exact" w:val="988"/>
      </w:trPr>
      <w:tc>
        <w:tcPr>
          <w:tcW w:w="7678" w:type="dxa"/>
          <w:shd w:val="clear" w:color="auto" w:fill="auto"/>
        </w:tcPr>
        <w:p w14:paraId="127F5562" w14:textId="77777777" w:rsidR="00971914" w:rsidRDefault="00971914" w:rsidP="00971914">
          <w:pPr>
            <w:pStyle w:val="Header"/>
          </w:pPr>
        </w:p>
      </w:tc>
    </w:tr>
    <w:tr w:rsidR="00971914" w14:paraId="474C5034" w14:textId="77777777" w:rsidTr="003B0421">
      <w:tc>
        <w:tcPr>
          <w:tcW w:w="7678" w:type="dxa"/>
          <w:shd w:val="clear" w:color="auto" w:fill="auto"/>
        </w:tcPr>
        <w:p w14:paraId="77E27FC3" w14:textId="77777777" w:rsidR="00971914" w:rsidRDefault="00971914" w:rsidP="00971914">
          <w:pPr>
            <w:pStyle w:val="GridTable31"/>
          </w:pPr>
          <w:r>
            <w:t xml:space="preserve">Contents </w:t>
          </w:r>
          <w:r w:rsidRPr="00915B1C">
            <w:rPr>
              <w:b w:val="0"/>
              <w:spacing w:val="0"/>
              <w:sz w:val="28"/>
              <w:szCs w:val="28"/>
            </w:rPr>
            <w:t>(Continued)</w:t>
          </w:r>
        </w:p>
      </w:tc>
    </w:tr>
    <w:tr w:rsidR="00971914" w14:paraId="047F75A9" w14:textId="77777777" w:rsidTr="003B0421">
      <w:trPr>
        <w:trHeight w:val="1220"/>
      </w:trPr>
      <w:tc>
        <w:tcPr>
          <w:tcW w:w="7678" w:type="dxa"/>
          <w:shd w:val="clear" w:color="auto" w:fill="auto"/>
        </w:tcPr>
        <w:p w14:paraId="55ADB82D" w14:textId="77777777" w:rsidR="00971914" w:rsidRDefault="00971914" w:rsidP="00971914"/>
      </w:tc>
    </w:tr>
  </w:tbl>
  <w:p w14:paraId="28D189AC"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EB332"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9F66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A57360B"/>
    <w:multiLevelType w:val="hybridMultilevel"/>
    <w:tmpl w:val="779AA9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8"/>
  </w:num>
  <w:num w:numId="7">
    <w:abstractNumId w:val="6"/>
  </w:num>
  <w:num w:numId="8">
    <w:abstractNumId w:val="7"/>
  </w:num>
  <w:num w:numId="9">
    <w:abstractNumId w:val="9"/>
  </w:num>
  <w:num w:numId="10">
    <w:abstractNumId w:val="4"/>
  </w:num>
  <w:num w:numId="11">
    <w:abstractNumId w:val="2"/>
    <w:lvlOverride w:ilvl="0">
      <w:startOverride w:val="1"/>
    </w:lvlOverride>
  </w:num>
  <w:num w:numId="12">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6"/>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6DF"/>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67EE9"/>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2F1F58"/>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5927"/>
    <w:rsid w:val="0034745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139E"/>
    <w:rsid w:val="005938DF"/>
    <w:rsid w:val="00594E9C"/>
    <w:rsid w:val="005A099B"/>
    <w:rsid w:val="005A2D9C"/>
    <w:rsid w:val="005A55FE"/>
    <w:rsid w:val="005A6A11"/>
    <w:rsid w:val="005C4B0D"/>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6DF"/>
    <w:rsid w:val="008E7A8C"/>
    <w:rsid w:val="0090203B"/>
    <w:rsid w:val="00903285"/>
    <w:rsid w:val="00904D43"/>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E4AB0"/>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403A1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qFormat/>
    <w:rsid w:val="0059139E"/>
    <w:pPr>
      <w:spacing w:after="0"/>
    </w:pPr>
    <w:rPr>
      <w:b/>
    </w:rPr>
  </w:style>
  <w:style w:type="paragraph" w:styleId="EndnoteText">
    <w:name w:val="endnote text"/>
    <w:basedOn w:val="Normal"/>
    <w:link w:val="EndnoteTextChar"/>
    <w:uiPriority w:val="99"/>
    <w:unhideWhenUsed/>
    <w:qFormat/>
    <w:rsid w:val="0059139E"/>
    <w:pPr>
      <w:spacing w:after="0" w:line="240" w:lineRule="auto"/>
    </w:pPr>
    <w:rPr>
      <w:sz w:val="16"/>
      <w:szCs w:val="20"/>
    </w:rPr>
  </w:style>
  <w:style w:type="character" w:customStyle="1" w:styleId="EndnoteTextChar">
    <w:name w:val="Endnote Text Char"/>
    <w:basedOn w:val="DefaultParagraphFont"/>
    <w:link w:val="EndnoteText"/>
    <w:uiPriority w:val="99"/>
    <w:rsid w:val="0059139E"/>
    <w:rPr>
      <w:rFonts w:ascii="Arial" w:hAnsi="Arial"/>
      <w:sz w:val="16"/>
      <w:szCs w:val="20"/>
    </w:rPr>
  </w:style>
  <w:style w:type="character" w:styleId="EndnoteReference">
    <w:name w:val="endnote reference"/>
    <w:basedOn w:val="DefaultParagraphFont"/>
    <w:uiPriority w:val="99"/>
    <w:unhideWhenUsed/>
    <w:rsid w:val="0059139E"/>
    <w:rPr>
      <w:rFonts w:ascii="Arial" w:hAnsi="Arial"/>
      <w:sz w:val="20"/>
      <w:vertAlign w:val="superscript"/>
    </w:rPr>
  </w:style>
  <w:style w:type="paragraph" w:customStyle="1" w:styleId="ACMATableText">
    <w:name w:val="ACMA Table Text"/>
    <w:rsid w:val="0059139E"/>
    <w:pPr>
      <w:spacing w:before="40" w:after="40"/>
    </w:pPr>
    <w:rPr>
      <w:rFonts w:ascii="Arial" w:hAnsi="Arial"/>
      <w:sz w:val="20"/>
      <w:szCs w:val="20"/>
      <w:lang w:eastAsia="en-US"/>
    </w:rPr>
  </w:style>
  <w:style w:type="paragraph" w:customStyle="1" w:styleId="ACMANotesspaceafter">
    <w:name w:val="ACMA_Notes_space_after"/>
    <w:basedOn w:val="Normal"/>
    <w:qFormat/>
    <w:rsid w:val="0059139E"/>
    <w:pPr>
      <w:spacing w:before="80" w:line="240" w:lineRule="auto"/>
    </w:pPr>
    <w:rPr>
      <w:rFonts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B4D9F2-C635-4C19-97D1-81FE5756E9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1132</Words>
  <Characters>6456</Characters>
  <Application>Microsoft Office Word</Application>
  <DocSecurity>0</DocSecurity>
  <Lines>53</Lines>
  <Paragraphs>15</Paragraphs>
  <ScaleCrop>false</ScaleCrop>
  <Manager/>
  <Company/>
  <LinksUpToDate>false</LinksUpToDate>
  <CharactersWithSpaces>7573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2019-12-23T05:20:00Z</dcterms:created>
  <dcterms:modified xsi:type="dcterms:W3CDTF">2019-12-23T21:47:00Z</dcterms:modified>
  <cp:category/>
</cp:coreProperties>
</file>