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0CCF6" w14:textId="0F3C9DF0" w:rsidR="00045AC8" w:rsidRPr="00C72AD1" w:rsidRDefault="009A53D5" w:rsidP="00045AC8">
      <w:pPr>
        <w:jc w:val="right"/>
      </w:pPr>
      <w:r>
        <w:t>September 27</w:t>
      </w:r>
      <w:r w:rsidR="00A3422C">
        <w:t>, 201</w:t>
      </w:r>
      <w:r>
        <w:t>9</w:t>
      </w:r>
    </w:p>
    <w:p w14:paraId="7E81D812" w14:textId="0AB358E5" w:rsidR="0007418D" w:rsidRPr="00F446C3" w:rsidRDefault="00A3422C" w:rsidP="0007418D">
      <w:pPr>
        <w:rPr>
          <w:b/>
          <w:smallCaps/>
        </w:rPr>
      </w:pPr>
      <w:r w:rsidRPr="0007418D">
        <w:rPr>
          <w:b/>
          <w:smallCaps/>
        </w:rPr>
        <w:t>Via Electronic Filing</w:t>
      </w:r>
      <w:r w:rsidR="00AD5F82">
        <w:rPr>
          <w:b/>
          <w:smallCaps/>
        </w:rPr>
        <w:t xml:space="preserve"> </w:t>
      </w:r>
      <w:bookmarkStart w:id="0" w:name="_GoBack"/>
      <w:bookmarkEnd w:id="0"/>
    </w:p>
    <w:p w14:paraId="564B318F" w14:textId="77777777" w:rsidR="0007418D" w:rsidRPr="009A53D5" w:rsidRDefault="00976991" w:rsidP="00952DE6">
      <w:pPr>
        <w:rPr>
          <w:rFonts w:cs="Times New Roman"/>
          <w:b/>
          <w:szCs w:val="24"/>
        </w:rPr>
      </w:pPr>
    </w:p>
    <w:p w14:paraId="47BABFB8" w14:textId="77777777" w:rsidR="009A53D5" w:rsidRPr="009A53D5" w:rsidRDefault="009A53D5" w:rsidP="009A53D5">
      <w:pPr>
        <w:pStyle w:val="ACMANormalTabbed"/>
        <w:tabs>
          <w:tab w:val="num" w:pos="295"/>
        </w:tabs>
        <w:spacing w:after="0"/>
        <w:ind w:left="295"/>
        <w:rPr>
          <w:rFonts w:ascii="Times New Roman" w:hAnsi="Times New Roman"/>
          <w:sz w:val="24"/>
        </w:rPr>
      </w:pPr>
      <w:r w:rsidRPr="009A53D5">
        <w:rPr>
          <w:rFonts w:ascii="Times New Roman" w:hAnsi="Times New Roman"/>
          <w:sz w:val="24"/>
        </w:rPr>
        <w:t>The Manager</w:t>
      </w:r>
    </w:p>
    <w:p w14:paraId="6259D4B4" w14:textId="77777777" w:rsidR="009A53D5" w:rsidRPr="009A53D5" w:rsidRDefault="009A53D5" w:rsidP="009A53D5">
      <w:pPr>
        <w:pStyle w:val="ACMANormalTabbed"/>
        <w:spacing w:after="0"/>
        <w:ind w:left="295"/>
        <w:rPr>
          <w:rFonts w:ascii="Times New Roman" w:hAnsi="Times New Roman"/>
          <w:sz w:val="24"/>
        </w:rPr>
      </w:pPr>
      <w:r w:rsidRPr="009A53D5">
        <w:rPr>
          <w:rFonts w:ascii="Times New Roman" w:hAnsi="Times New Roman"/>
          <w:sz w:val="24"/>
        </w:rPr>
        <w:t>Spectrum Planning and Engineering Branch</w:t>
      </w:r>
    </w:p>
    <w:p w14:paraId="2B41D595" w14:textId="77777777" w:rsidR="009A53D5" w:rsidRPr="009A53D5" w:rsidRDefault="009A53D5" w:rsidP="009A53D5">
      <w:pPr>
        <w:pStyle w:val="ACMANormalTabbed"/>
        <w:spacing w:after="0"/>
        <w:ind w:left="295"/>
        <w:rPr>
          <w:rFonts w:ascii="Times New Roman" w:hAnsi="Times New Roman"/>
          <w:sz w:val="24"/>
        </w:rPr>
      </w:pPr>
      <w:r w:rsidRPr="009A53D5">
        <w:rPr>
          <w:rFonts w:ascii="Times New Roman" w:hAnsi="Times New Roman"/>
          <w:sz w:val="24"/>
        </w:rPr>
        <w:t>Australian Communications and Media Authority</w:t>
      </w:r>
    </w:p>
    <w:p w14:paraId="17AB86F4" w14:textId="77777777" w:rsidR="009A53D5" w:rsidRPr="009A53D5" w:rsidRDefault="009A53D5" w:rsidP="009A53D5">
      <w:pPr>
        <w:pStyle w:val="ACMANormalTabbed"/>
        <w:spacing w:after="0"/>
        <w:ind w:left="295"/>
        <w:rPr>
          <w:rFonts w:ascii="Times New Roman" w:hAnsi="Times New Roman"/>
          <w:sz w:val="24"/>
        </w:rPr>
      </w:pPr>
      <w:r w:rsidRPr="009A53D5">
        <w:rPr>
          <w:rFonts w:ascii="Times New Roman" w:hAnsi="Times New Roman"/>
          <w:sz w:val="24"/>
        </w:rPr>
        <w:t>PO Box 78</w:t>
      </w:r>
    </w:p>
    <w:p w14:paraId="6D74B49E" w14:textId="77777777" w:rsidR="009A53D5" w:rsidRPr="009A53D5" w:rsidRDefault="009A53D5" w:rsidP="009A53D5">
      <w:pPr>
        <w:pStyle w:val="ACMANormalTabbed"/>
        <w:spacing w:after="0"/>
        <w:ind w:left="295"/>
        <w:rPr>
          <w:rFonts w:ascii="Times New Roman" w:hAnsi="Times New Roman"/>
          <w:sz w:val="24"/>
        </w:rPr>
      </w:pPr>
      <w:r w:rsidRPr="009A53D5">
        <w:rPr>
          <w:rFonts w:ascii="Times New Roman" w:hAnsi="Times New Roman"/>
          <w:sz w:val="24"/>
        </w:rPr>
        <w:t>Belconnen ACT 2616</w:t>
      </w:r>
    </w:p>
    <w:p w14:paraId="4A93C1C4" w14:textId="77777777" w:rsidR="009A53D5" w:rsidRPr="009A53D5" w:rsidRDefault="00411B14" w:rsidP="009A53D5">
      <w:pPr>
        <w:pStyle w:val="ACMANormalTabbed"/>
        <w:spacing w:after="0"/>
        <w:ind w:left="295"/>
        <w:rPr>
          <w:rFonts w:ascii="Times New Roman" w:hAnsi="Times New Roman"/>
          <w:sz w:val="24"/>
        </w:rPr>
      </w:pPr>
      <w:r w:rsidRPr="009A53D5">
        <w:rPr>
          <w:rFonts w:ascii="Times New Roman" w:hAnsi="Times New Roman"/>
          <w:sz w:val="24"/>
        </w:rPr>
        <w:t>Australia</w:t>
      </w:r>
    </w:p>
    <w:p w14:paraId="6F89431A" w14:textId="3141F654" w:rsidR="001B32EF" w:rsidRDefault="00952DE6" w:rsidP="00952DE6">
      <w:pPr>
        <w:pStyle w:val="ACMANormalTabbed"/>
        <w:spacing w:line="240" w:lineRule="auto"/>
        <w:ind w:left="568"/>
      </w:pPr>
      <w:r>
        <w:t xml:space="preserve">  </w:t>
      </w:r>
    </w:p>
    <w:p w14:paraId="19C768AC" w14:textId="77777777" w:rsidR="00576F45" w:rsidRDefault="00976991" w:rsidP="00576F45"/>
    <w:p w14:paraId="1207494E" w14:textId="35325FCA" w:rsidR="0007418D" w:rsidRPr="006F0DB6" w:rsidRDefault="00A3422C" w:rsidP="00912B0B">
      <w:pPr>
        <w:ind w:left="1440" w:hanging="720"/>
      </w:pPr>
      <w:r>
        <w:t>Re:</w:t>
      </w:r>
      <w:r>
        <w:tab/>
      </w:r>
      <w:r w:rsidR="009A53D5">
        <w:rPr>
          <w:rFonts w:cs="Arial"/>
        </w:rPr>
        <w:t>New Approaches to Spectrum Sharing</w:t>
      </w:r>
      <w:r w:rsidR="00597830">
        <w:rPr>
          <w:rFonts w:cs="Arial"/>
        </w:rPr>
        <w:t xml:space="preserve"> - </w:t>
      </w:r>
      <w:r w:rsidR="009A53D5">
        <w:rPr>
          <w:rFonts w:cs="Arial"/>
        </w:rPr>
        <w:t>Information</w:t>
      </w:r>
      <w:r w:rsidR="00597830" w:rsidRPr="003674F3">
        <w:rPr>
          <w:rFonts w:cs="Arial"/>
        </w:rPr>
        <w:t xml:space="preserve"> </w:t>
      </w:r>
      <w:r w:rsidR="00597830">
        <w:rPr>
          <w:rFonts w:cs="Arial"/>
        </w:rPr>
        <w:t>P</w:t>
      </w:r>
      <w:r w:rsidR="00597830" w:rsidRPr="003674F3">
        <w:rPr>
          <w:rFonts w:cs="Arial"/>
        </w:rPr>
        <w:t>aper</w:t>
      </w:r>
    </w:p>
    <w:p w14:paraId="3C93FF5E" w14:textId="77777777" w:rsidR="00EB3AE0" w:rsidRDefault="00976991" w:rsidP="0007418D">
      <w:pPr>
        <w:rPr>
          <w:b/>
          <w:i/>
        </w:rPr>
      </w:pPr>
    </w:p>
    <w:p w14:paraId="14B87E4F" w14:textId="77777777" w:rsidR="00EB3AE0" w:rsidRDefault="00A3422C" w:rsidP="0007418D">
      <w:r>
        <w:t>Dear Sir or Madam,</w:t>
      </w:r>
    </w:p>
    <w:p w14:paraId="04D26948" w14:textId="77777777" w:rsidR="00EB3AE0" w:rsidRDefault="00976991" w:rsidP="0007418D"/>
    <w:p w14:paraId="171D94B3" w14:textId="06E6E1B5" w:rsidR="00CF32C2" w:rsidRPr="00A24327" w:rsidRDefault="00A3422C" w:rsidP="00105B8D">
      <w:r>
        <w:t>Wi-Fi Alliance</w:t>
      </w:r>
      <w:r w:rsidR="00A24327">
        <w:t>®</w:t>
      </w:r>
      <w:r w:rsidR="00A24327">
        <w:rPr>
          <w:rStyle w:val="FootnoteReference"/>
        </w:rPr>
        <w:footnoteReference w:id="1"/>
      </w:r>
      <w:r w:rsidR="00A24327" w:rsidRPr="00B97099">
        <w:rPr>
          <w:rStyle w:val="FootnoteReference"/>
        </w:rPr>
        <w:t>/</w:t>
      </w:r>
      <w:r>
        <w:t xml:space="preserve"> commends </w:t>
      </w:r>
      <w:r w:rsidR="00290AF9">
        <w:t xml:space="preserve">the </w:t>
      </w:r>
      <w:r w:rsidR="00045AC8">
        <w:t>Australian Communications and Media Authority (the “</w:t>
      </w:r>
      <w:r>
        <w:t>ACMA</w:t>
      </w:r>
      <w:r w:rsidR="00045AC8">
        <w:t>”)</w:t>
      </w:r>
      <w:r>
        <w:t xml:space="preserve"> on its ongoing work in the area of spectrum management.  The</w:t>
      </w:r>
      <w:r w:rsidR="00597830">
        <w:t xml:space="preserve"> </w:t>
      </w:r>
      <w:r w:rsidR="009A53D5">
        <w:rPr>
          <w:rFonts w:cs="Arial"/>
        </w:rPr>
        <w:t>New Approaches to Spectrum Sharing</w:t>
      </w:r>
      <w:r w:rsidR="00597830">
        <w:rPr>
          <w:rFonts w:cs="Arial"/>
        </w:rPr>
        <w:t xml:space="preserve"> </w:t>
      </w:r>
      <w:r w:rsidR="009A53D5">
        <w:rPr>
          <w:rFonts w:cs="Arial"/>
        </w:rPr>
        <w:t>–</w:t>
      </w:r>
      <w:r w:rsidR="00597830">
        <w:rPr>
          <w:rFonts w:cs="Arial"/>
        </w:rPr>
        <w:t xml:space="preserve"> </w:t>
      </w:r>
      <w:r w:rsidR="009A53D5" w:rsidRPr="0057097E">
        <w:rPr>
          <w:rFonts w:cs="Arial"/>
          <w:i/>
        </w:rPr>
        <w:t>Consultation</w:t>
      </w:r>
      <w:r w:rsidR="009A53D5" w:rsidRPr="003674F3">
        <w:rPr>
          <w:rFonts w:cs="Arial"/>
        </w:rPr>
        <w:t xml:space="preserve"> </w:t>
      </w:r>
      <w:r>
        <w:rPr>
          <w:rStyle w:val="FootnoteReference"/>
        </w:rPr>
        <w:footnoteReference w:id="2"/>
      </w:r>
      <w:r>
        <w:rPr>
          <w:rStyle w:val="FootnoteReference"/>
        </w:rPr>
        <w:t>/</w:t>
      </w:r>
      <w:r>
        <w:t xml:space="preserve"> </w:t>
      </w:r>
      <w:r w:rsidR="009A53D5">
        <w:t>is a helpful</w:t>
      </w:r>
      <w:r>
        <w:t xml:space="preserve"> tool </w:t>
      </w:r>
      <w:r w:rsidR="006C5AD0">
        <w:t xml:space="preserve">for </w:t>
      </w:r>
      <w:r w:rsidR="009A53D5">
        <w:t xml:space="preserve">the </w:t>
      </w:r>
      <w:r w:rsidR="006C5AD0">
        <w:t>ACMA to</w:t>
      </w:r>
      <w:r>
        <w:t xml:space="preserve"> </w:t>
      </w:r>
      <w:r w:rsidR="009A53D5">
        <w:rPr>
          <w:rFonts w:cs="Arial"/>
        </w:rPr>
        <w:t>consider new and innovative spectrum management approaches.</w:t>
      </w:r>
      <w:r w:rsidR="002F6383">
        <w:t xml:space="preserve">  </w:t>
      </w:r>
      <w:r w:rsidR="009A53D5">
        <w:t xml:space="preserve">In this regard, </w:t>
      </w:r>
      <w:r w:rsidR="00435F51">
        <w:t>Wi-Fi Alliance</w:t>
      </w:r>
      <w:r w:rsidR="006C5AD0">
        <w:t xml:space="preserve">, </w:t>
      </w:r>
      <w:r w:rsidR="00105B8D">
        <w:t xml:space="preserve">encourages the ACMA </w:t>
      </w:r>
      <w:r w:rsidR="006C5AD0">
        <w:t xml:space="preserve">to </w:t>
      </w:r>
      <w:r w:rsidR="00105B8D">
        <w:t xml:space="preserve">note ongoing US and European efforts to expand license-exempt </w:t>
      </w:r>
      <w:r w:rsidR="009A53D5">
        <w:t xml:space="preserve">spectrum </w:t>
      </w:r>
      <w:r w:rsidR="00105B8D">
        <w:t xml:space="preserve">access and to </w:t>
      </w:r>
      <w:r w:rsidR="009A53D5">
        <w:t xml:space="preserve">consider similar approaches in its future regulatory </w:t>
      </w:r>
      <w:proofErr w:type="gramStart"/>
      <w:r w:rsidR="009A53D5">
        <w:t>efforts.</w:t>
      </w:r>
      <w:r w:rsidR="00105B8D">
        <w:t>.</w:t>
      </w:r>
      <w:proofErr w:type="gramEnd"/>
      <w:r w:rsidR="00AB6E3F">
        <w:t xml:space="preserve"> </w:t>
      </w:r>
    </w:p>
    <w:p w14:paraId="64DE4A93" w14:textId="77777777" w:rsidR="00047B93" w:rsidRDefault="00976991" w:rsidP="0007418D"/>
    <w:p w14:paraId="3EDFE868" w14:textId="77777777" w:rsidR="00047B93" w:rsidRPr="00047B93" w:rsidRDefault="00A3422C" w:rsidP="00047B93">
      <w:pPr>
        <w:pStyle w:val="ListParagraph"/>
        <w:numPr>
          <w:ilvl w:val="0"/>
          <w:numId w:val="1"/>
        </w:numPr>
        <w:rPr>
          <w:b/>
          <w:u w:val="single"/>
        </w:rPr>
      </w:pPr>
      <w:r>
        <w:rPr>
          <w:b/>
          <w:u w:val="single"/>
        </w:rPr>
        <w:t>Introduction and Background</w:t>
      </w:r>
    </w:p>
    <w:p w14:paraId="2EE3B30D" w14:textId="77777777" w:rsidR="00047B93" w:rsidRDefault="00976991" w:rsidP="00047B93">
      <w:pPr>
        <w:rPr>
          <w:b/>
          <w:u w:val="single"/>
        </w:rPr>
      </w:pPr>
    </w:p>
    <w:p w14:paraId="26106779" w14:textId="77777777" w:rsidR="00A24327" w:rsidRDefault="00A24327" w:rsidP="000F4126">
      <w:pPr>
        <w:jc w:val="both"/>
      </w:pPr>
      <w:r>
        <w:t xml:space="preserve">Wi-Fi Alliance is a global, non-profit industry association of over 800 leading companies from dozens of countries devoted to seamless interoperability. With technology development, market building, and regulatory programs, Wi-Fi Alliance has enabled widespread adoption of Wi-Fi® worldwide, certifying thousands of Wi-Fi products each year. </w:t>
      </w:r>
    </w:p>
    <w:p w14:paraId="0338D844" w14:textId="77777777" w:rsidR="00E8352B" w:rsidRDefault="00E8352B" w:rsidP="00047B93"/>
    <w:p w14:paraId="7BB413F9" w14:textId="7F416AA5" w:rsidR="00E150F9" w:rsidRDefault="008D1D1A" w:rsidP="000F4126">
      <w:pPr>
        <w:jc w:val="both"/>
      </w:pPr>
      <w:r>
        <w:t>RLANs</w:t>
      </w:r>
      <w:r w:rsidR="00692FAD">
        <w:t xml:space="preserve"> </w:t>
      </w:r>
      <w:r w:rsidR="00DB732E">
        <w:t>using</w:t>
      </w:r>
      <w:r w:rsidR="00692FAD">
        <w:t xml:space="preserve"> </w:t>
      </w:r>
      <w:r w:rsidR="00FD284E">
        <w:t xml:space="preserve">Wi-Fi </w:t>
      </w:r>
      <w:r w:rsidR="00DB732E">
        <w:t xml:space="preserve">standards </w:t>
      </w:r>
      <w:r w:rsidR="00FD284E">
        <w:t>have</w:t>
      </w:r>
      <w:r w:rsidR="00A3422C">
        <w:t xml:space="preserve"> become increasingly important in connecting people and devices.  </w:t>
      </w:r>
      <w:r w:rsidR="00E150F9">
        <w:t xml:space="preserve">With over 800 million household installations and 340 million Wi-Fi hotspots around the world, Wi-Fi is the primary on-ramp to the Internet -- providing access in homes and businesses, and on the go, </w:t>
      </w:r>
      <w:r w:rsidR="00E150F9">
        <w:lastRenderedPageBreak/>
        <w:t>with hotspots on planes, trains, and in cars, as well as in coffee shops, restaurants, and hotels.</w:t>
      </w:r>
      <w:r w:rsidR="00E150F9">
        <w:rPr>
          <w:rStyle w:val="FootnoteReference"/>
        </w:rPr>
        <w:footnoteReference w:id="3"/>
      </w:r>
      <w:r w:rsidR="00E150F9">
        <w:rPr>
          <w:rStyle w:val="FootnoteReference"/>
        </w:rPr>
        <w:t>/</w:t>
      </w:r>
      <w:r w:rsidR="00E150F9">
        <w:t xml:space="preserve">  </w:t>
      </w:r>
      <w:r w:rsidR="00DB732E">
        <w:t xml:space="preserve">Devices using spectrum </w:t>
      </w:r>
      <w:r w:rsidR="00BF4561">
        <w:t xml:space="preserve">that supports </w:t>
      </w:r>
      <w:r w:rsidR="00FD284E">
        <w:t>Wi-Fi</w:t>
      </w:r>
      <w:r w:rsidR="00A3422C">
        <w:t xml:space="preserve"> </w:t>
      </w:r>
      <w:r w:rsidR="00BF4561">
        <w:t xml:space="preserve">are </w:t>
      </w:r>
      <w:r w:rsidR="00A3422C">
        <w:t xml:space="preserve">now the primary means by which </w:t>
      </w:r>
      <w:r w:rsidR="00FD284E">
        <w:t xml:space="preserve">Australia </w:t>
      </w:r>
      <w:r w:rsidR="00A3422C">
        <w:t>connects to the Internet.</w:t>
      </w:r>
      <w:r w:rsidR="00A3422C">
        <w:rPr>
          <w:rStyle w:val="FootnoteReference"/>
        </w:rPr>
        <w:footnoteReference w:id="4"/>
      </w:r>
      <w:r w:rsidR="00A3422C">
        <w:rPr>
          <w:rStyle w:val="FootnoteReference"/>
        </w:rPr>
        <w:t>/</w:t>
      </w:r>
      <w:r w:rsidR="00A3422C">
        <w:t xml:space="preserve">  </w:t>
      </w:r>
      <w:r w:rsidR="00E150F9">
        <w:t>The importance of Wi-Fi to consumers and businesses will continue to grow with increased demand for ubiquitous connectivity.  T</w:t>
      </w:r>
      <w:r w:rsidR="00E150F9" w:rsidRPr="003227C1">
        <w:rPr>
          <w:rFonts w:eastAsia="Arial" w:cs="Times New Roman"/>
        </w:rPr>
        <w:t xml:space="preserve">he amount of </w:t>
      </w:r>
      <w:r w:rsidR="00E150F9">
        <w:rPr>
          <w:rFonts w:eastAsia="Arial" w:cs="Times New Roman"/>
        </w:rPr>
        <w:t xml:space="preserve">traffic </w:t>
      </w:r>
      <w:r w:rsidR="00E150F9" w:rsidRPr="003227C1">
        <w:rPr>
          <w:rFonts w:eastAsia="Arial" w:cs="Times New Roman"/>
        </w:rPr>
        <w:t xml:space="preserve">offloaded to Wi-Fi </w:t>
      </w:r>
      <w:r w:rsidR="00E150F9">
        <w:rPr>
          <w:rFonts w:eastAsia="Arial" w:cs="Times New Roman"/>
        </w:rPr>
        <w:t xml:space="preserve">from cellular networks, for example, has increased with </w:t>
      </w:r>
      <w:r w:rsidR="00E150F9" w:rsidRPr="003227C1">
        <w:rPr>
          <w:rFonts w:cs="Times New Roman"/>
        </w:rPr>
        <w:t>each generation of cellular technology (2G, 3G, and 4G)</w:t>
      </w:r>
      <w:r w:rsidR="00E150F9">
        <w:rPr>
          <w:rFonts w:cs="Times New Roman"/>
        </w:rPr>
        <w:t>.</w:t>
      </w:r>
      <w:r w:rsidR="00E150F9" w:rsidRPr="005A3EEB">
        <w:rPr>
          <w:rStyle w:val="FootnoteReference"/>
        </w:rPr>
        <w:t xml:space="preserve"> </w:t>
      </w:r>
      <w:r w:rsidR="00E150F9">
        <w:rPr>
          <w:rStyle w:val="FootnoteReference"/>
        </w:rPr>
        <w:footnoteReference w:id="5"/>
      </w:r>
      <w:r w:rsidR="00E150F9">
        <w:rPr>
          <w:rStyle w:val="FootnoteReference"/>
        </w:rPr>
        <w:t>/</w:t>
      </w:r>
      <w:r w:rsidR="00E150F9">
        <w:t xml:space="preserve">  </w:t>
      </w:r>
      <w:r w:rsidR="00E150F9">
        <w:rPr>
          <w:rFonts w:cs="Times New Roman"/>
        </w:rPr>
        <w:t xml:space="preserve">This trend is expected to continue but at an even greater rate with 5G data-intensive applications spurring the demand for Wi-Fi capacity. </w:t>
      </w:r>
      <w:r w:rsidR="00E150F9">
        <w:t xml:space="preserve"> Wi-Fi will be essential to extending carrier 5G networks’ coverage and enabling ubiquitous broadband, low-latency connections.</w:t>
      </w:r>
      <w:r w:rsidR="00E150F9">
        <w:rPr>
          <w:rStyle w:val="FootnoteReference"/>
        </w:rPr>
        <w:footnoteReference w:id="6"/>
      </w:r>
      <w:r w:rsidR="00E150F9">
        <w:rPr>
          <w:rStyle w:val="FootnoteReference"/>
        </w:rPr>
        <w:t>/</w:t>
      </w:r>
      <w:r w:rsidR="00E150F9">
        <w:t xml:space="preserve">  Wi-Fi is a “key enabler” of carrier 5G networks,</w:t>
      </w:r>
      <w:r w:rsidR="00E150F9">
        <w:rPr>
          <w:rStyle w:val="FootnoteReference"/>
        </w:rPr>
        <w:footnoteReference w:id="7"/>
      </w:r>
      <w:r w:rsidR="00E150F9">
        <w:rPr>
          <w:rStyle w:val="FootnoteReference"/>
        </w:rPr>
        <w:t>/</w:t>
      </w:r>
      <w:r w:rsidR="00E150F9">
        <w:t xml:space="preserve"> since those 5G networks cannot, on their own, fulfil the promise of ubiquitous broadband coverage.</w:t>
      </w:r>
      <w:r w:rsidR="00E150F9">
        <w:rPr>
          <w:rStyle w:val="FootnoteReference"/>
        </w:rPr>
        <w:footnoteReference w:id="8"/>
      </w:r>
      <w:r w:rsidR="00E150F9">
        <w:rPr>
          <w:rStyle w:val="FootnoteReference"/>
        </w:rPr>
        <w:t>/</w:t>
      </w:r>
    </w:p>
    <w:p w14:paraId="7E7DFD76" w14:textId="380C1FB9" w:rsidR="00090998" w:rsidRDefault="00090998" w:rsidP="000F4126">
      <w:pPr>
        <w:jc w:val="both"/>
      </w:pPr>
      <w:r w:rsidRPr="0082779E">
        <w:t>All of this traffic over Wi-Fi</w:t>
      </w:r>
      <w:r>
        <w:t xml:space="preserve">-enabled </w:t>
      </w:r>
      <w:r w:rsidRPr="0082779E">
        <w:t xml:space="preserve">and other </w:t>
      </w:r>
      <w:r>
        <w:t>RLAN</w:t>
      </w:r>
      <w:r w:rsidRPr="0082779E">
        <w:t xml:space="preserve"> devices</w:t>
      </w:r>
      <w:r>
        <w:rPr>
          <w:b/>
        </w:rPr>
        <w:t xml:space="preserve"> </w:t>
      </w:r>
      <w:r w:rsidRPr="0082779E">
        <w:t>requires</w:t>
      </w:r>
      <w:r>
        <w:rPr>
          <w:b/>
        </w:rPr>
        <w:t xml:space="preserve"> </w:t>
      </w:r>
      <w:r>
        <w:t>spectrum, as the ACMA recognized in its 2017 Spectrum Outlook,</w:t>
      </w:r>
      <w:r>
        <w:rPr>
          <w:rStyle w:val="FootnoteReference"/>
        </w:rPr>
        <w:footnoteReference w:id="9"/>
      </w:r>
      <w:r>
        <w:rPr>
          <w:rStyle w:val="FootnoteReference"/>
        </w:rPr>
        <w:t>/</w:t>
      </w:r>
      <w:r>
        <w:t xml:space="preserve"> but additional work is necessary to make more spectrum available for these operations as they have grown in number an</w:t>
      </w:r>
      <w:r w:rsidR="000F4126">
        <w:t>d carry more and more traffic.</w:t>
      </w:r>
      <w:r>
        <w:rPr>
          <w:rStyle w:val="FootnoteReference"/>
        </w:rPr>
        <w:footnoteReference w:id="10"/>
      </w:r>
      <w:r>
        <w:rPr>
          <w:rStyle w:val="FootnoteReference"/>
        </w:rPr>
        <w:t>/</w:t>
      </w:r>
      <w:r>
        <w:t xml:space="preserve"> </w:t>
      </w:r>
    </w:p>
    <w:p w14:paraId="13FCAEC8" w14:textId="77777777" w:rsidR="009722C1" w:rsidRDefault="009722C1" w:rsidP="00047B93"/>
    <w:p w14:paraId="36F9CF62" w14:textId="7E52904F" w:rsidR="00090998" w:rsidRDefault="00952DE6" w:rsidP="000F4126">
      <w:pPr>
        <w:jc w:val="both"/>
      </w:pPr>
      <w:r>
        <w:t xml:space="preserve">A recently produced analysis of the economic value of Wi-Fi concluded that the annual Wi-Fi contribution to the global economy is almost </w:t>
      </w:r>
      <w:r w:rsidR="006C448C">
        <w:t xml:space="preserve">USD </w:t>
      </w:r>
      <w:r>
        <w:t>$2 trillion today, and will nearly double by 2023.</w:t>
      </w:r>
      <w:r>
        <w:rPr>
          <w:rStyle w:val="FootnoteReference"/>
        </w:rPr>
        <w:footnoteReference w:id="11"/>
      </w:r>
      <w:r>
        <w:rPr>
          <w:rStyle w:val="FootnoteReference"/>
        </w:rPr>
        <w:t>/</w:t>
      </w:r>
      <w:r>
        <w:t xml:space="preserve">  The report found that Wi-Fi is an “enabling resource” which extends connectivity to underserved areas, allows other innovative products and services to develop and thrive (including portable devices that require Internet access but lack cellular connection), expands access to communications services and increases the value of those offerings (such as by spreading a wireline connection throughout the home and through off-loading to reduce the strain on cellular networks), and enhances the effectiveness of existing product and service offerings (such as “smart home” devices).</w:t>
      </w:r>
      <w:r w:rsidR="00090998">
        <w:t xml:space="preserve">  </w:t>
      </w:r>
    </w:p>
    <w:p w14:paraId="1909E063" w14:textId="77777777" w:rsidR="00707820" w:rsidRDefault="00976991" w:rsidP="00047B93"/>
    <w:p w14:paraId="6DB9C5E9" w14:textId="626D9C5E" w:rsidR="00047B93" w:rsidRPr="00047B93" w:rsidRDefault="00A3422C" w:rsidP="00DA23DA">
      <w:pPr>
        <w:jc w:val="both"/>
      </w:pPr>
      <w:r>
        <w:t>Wi-Fi Alliance</w:t>
      </w:r>
      <w:r w:rsidR="0057097E">
        <w:t>,</w:t>
      </w:r>
      <w:r>
        <w:t xml:space="preserve"> </w:t>
      </w:r>
      <w:r w:rsidR="00FC01ED">
        <w:t>therefore</w:t>
      </w:r>
      <w:r w:rsidR="0057097E">
        <w:t>,</w:t>
      </w:r>
      <w:r w:rsidR="00FC01ED">
        <w:t xml:space="preserve"> </w:t>
      </w:r>
      <w:r>
        <w:t xml:space="preserve">submits its comments in response to the </w:t>
      </w:r>
      <w:r w:rsidR="00542A4B" w:rsidRPr="0057097E">
        <w:rPr>
          <w:rFonts w:cs="Arial"/>
          <w:i/>
        </w:rPr>
        <w:t>Consultation</w:t>
      </w:r>
      <w:r w:rsidR="00542A4B" w:rsidRPr="003674F3">
        <w:rPr>
          <w:rFonts w:cs="Arial"/>
        </w:rPr>
        <w:t xml:space="preserve"> </w:t>
      </w:r>
      <w:r>
        <w:t xml:space="preserve">to urge </w:t>
      </w:r>
      <w:r w:rsidR="00045AC8">
        <w:t xml:space="preserve">the </w:t>
      </w:r>
      <w:r w:rsidR="00FC01ED">
        <w:t xml:space="preserve">ACMA </w:t>
      </w:r>
      <w:r>
        <w:t>to further expand</w:t>
      </w:r>
      <w:r w:rsidR="00556BF6">
        <w:t xml:space="preserve"> the use </w:t>
      </w:r>
      <w:r w:rsidR="006D7E11">
        <w:t>of shared spectrum in Australia</w:t>
      </w:r>
      <w:r w:rsidR="00556BF6">
        <w:t xml:space="preserve"> and to designate</w:t>
      </w:r>
      <w:r>
        <w:t xml:space="preserve"> </w:t>
      </w:r>
      <w:r w:rsidR="00556BF6">
        <w:t xml:space="preserve">more </w:t>
      </w:r>
      <w:r>
        <w:t xml:space="preserve">spectrum available </w:t>
      </w:r>
      <w:r w:rsidR="00BD27FC">
        <w:t xml:space="preserve">for class licensed RLANs including those using </w:t>
      </w:r>
      <w:r>
        <w:t xml:space="preserve">Wi-Fi </w:t>
      </w:r>
      <w:r w:rsidR="00BD27FC">
        <w:t>protocols</w:t>
      </w:r>
      <w:r>
        <w:t xml:space="preserve">. </w:t>
      </w:r>
      <w:r w:rsidR="00FC01ED">
        <w:t xml:space="preserve"> </w:t>
      </w:r>
    </w:p>
    <w:p w14:paraId="544F8518" w14:textId="77777777" w:rsidR="00DC13EB" w:rsidRDefault="00DC13EB" w:rsidP="00DC13EB">
      <w:pPr>
        <w:pStyle w:val="ListParagraph"/>
        <w:ind w:left="1080"/>
        <w:rPr>
          <w:b/>
          <w:u w:val="single"/>
        </w:rPr>
      </w:pPr>
    </w:p>
    <w:p w14:paraId="63F85E57" w14:textId="5E3C489C" w:rsidR="00DC13EB" w:rsidRPr="00DC13EB" w:rsidRDefault="00DC13EB" w:rsidP="00DC13EB">
      <w:pPr>
        <w:pStyle w:val="ListParagraph"/>
        <w:numPr>
          <w:ilvl w:val="0"/>
          <w:numId w:val="1"/>
        </w:numPr>
        <w:rPr>
          <w:b/>
          <w:u w:val="single"/>
        </w:rPr>
      </w:pPr>
      <w:r>
        <w:rPr>
          <w:b/>
          <w:u w:val="single"/>
        </w:rPr>
        <w:t>Answers to Questions</w:t>
      </w:r>
    </w:p>
    <w:p w14:paraId="0AEA5D5B" w14:textId="158A6975" w:rsidR="00EF2EF8" w:rsidRDefault="00976991" w:rsidP="0007418D"/>
    <w:p w14:paraId="4AFADDB1" w14:textId="3ED5C6E9" w:rsidR="00DC13EB" w:rsidRPr="005A4807" w:rsidRDefault="00DC13EB" w:rsidP="00DC13EB">
      <w:pPr>
        <w:pStyle w:val="ListNumber"/>
        <w:numPr>
          <w:ilvl w:val="0"/>
          <w:numId w:val="0"/>
        </w:numPr>
        <w:ind w:left="360"/>
        <w:rPr>
          <w:rFonts w:ascii="Times New Roman" w:hAnsi="Times New Roman"/>
          <w:b/>
          <w:i/>
          <w:sz w:val="24"/>
        </w:rPr>
      </w:pPr>
      <w:r>
        <w:rPr>
          <w:rFonts w:ascii="Times New Roman" w:hAnsi="Times New Roman"/>
          <w:b/>
          <w:i/>
          <w:sz w:val="24"/>
        </w:rPr>
        <w:t xml:space="preserve">Consultation Question #1: </w:t>
      </w:r>
      <w:r w:rsidRPr="005A4807">
        <w:rPr>
          <w:rFonts w:ascii="Times New Roman" w:hAnsi="Times New Roman"/>
          <w:b/>
          <w:i/>
          <w:sz w:val="24"/>
        </w:rPr>
        <w:t>Given current momentum in international markets and opportunities for other sharing models offered by 5G technologies, is it timely to develop a more detailed consideration of spectrum sharing opportunities in Australia? </w:t>
      </w:r>
    </w:p>
    <w:p w14:paraId="1517AE3D" w14:textId="056B1586" w:rsidR="00DC13EB" w:rsidRPr="005A4807" w:rsidRDefault="00DC13EB" w:rsidP="00DC13EB">
      <w:pPr>
        <w:autoSpaceDE w:val="0"/>
        <w:autoSpaceDN w:val="0"/>
        <w:adjustRightInd w:val="0"/>
        <w:ind w:firstLine="360"/>
        <w:rPr>
          <w:rFonts w:cs="Times New Roman"/>
          <w:szCs w:val="24"/>
        </w:rPr>
      </w:pPr>
      <w:r w:rsidRPr="00DC13EB">
        <w:rPr>
          <w:rFonts w:cs="Times New Roman"/>
          <w:i/>
          <w:iCs/>
          <w:szCs w:val="24"/>
        </w:rPr>
        <w:t>Answer</w:t>
      </w:r>
      <w:r>
        <w:rPr>
          <w:rFonts w:cs="Times New Roman"/>
          <w:szCs w:val="24"/>
        </w:rPr>
        <w:t xml:space="preserve">: </w:t>
      </w:r>
      <w:r w:rsidRPr="005A4807">
        <w:rPr>
          <w:rFonts w:cs="Times New Roman"/>
          <w:szCs w:val="24"/>
        </w:rPr>
        <w:t xml:space="preserve">Yes, ACMA should consider additional spectrum sharing opportunities, particularly for </w:t>
      </w:r>
      <w:r w:rsidRPr="005A4807">
        <w:rPr>
          <w:rFonts w:eastAsia="Malgun Gothic" w:cs="Times New Roman"/>
          <w:szCs w:val="24"/>
          <w:lang w:val="en-GB"/>
        </w:rPr>
        <w:t xml:space="preserve">class-licensed access technologies such as Wi-Fi.  </w:t>
      </w:r>
      <w:r w:rsidRPr="005A4807">
        <w:rPr>
          <w:rFonts w:cs="Times New Roman"/>
          <w:szCs w:val="24"/>
        </w:rPr>
        <w:t>Projected demand for broadband wireless connectivity, necessitates exploring new, more flexible spectrum management and utilization approaches.  Wi-Fi continues to be a critical component of wireless broadband infrastructure and is a critical driver of the economic growth:</w:t>
      </w:r>
      <w:r w:rsidRPr="005A4807">
        <w:rPr>
          <w:rStyle w:val="FootnoteReference"/>
          <w:rFonts w:cs="Times New Roman"/>
          <w:szCs w:val="24"/>
        </w:rPr>
        <w:footnoteReference w:id="12"/>
      </w:r>
      <w:r w:rsidRPr="005A4807">
        <w:rPr>
          <w:rStyle w:val="FootnoteReference"/>
          <w:rFonts w:cs="Times New Roman"/>
          <w:szCs w:val="24"/>
        </w:rPr>
        <w:t>/</w:t>
      </w:r>
      <w:r w:rsidRPr="005A4807">
        <w:rPr>
          <w:rFonts w:cs="Times New Roman"/>
          <w:szCs w:val="24"/>
        </w:rPr>
        <w:t xml:space="preserve"> it is the predominant on- and off-ramp for Internet access from homes and businesses; it supports a significant portion of wireless carrier’s network traffic through offload; and it is, and will be, an important part of the Internet of Things (“IoT”) architecture.</w:t>
      </w:r>
      <w:r w:rsidRPr="005A4807">
        <w:rPr>
          <w:rStyle w:val="FootnoteReference"/>
          <w:rFonts w:cs="Times New Roman"/>
          <w:szCs w:val="24"/>
        </w:rPr>
        <w:footnoteReference w:id="13"/>
      </w:r>
      <w:r w:rsidRPr="005A4807">
        <w:rPr>
          <w:rStyle w:val="FootnoteReference"/>
          <w:rFonts w:cs="Times New Roman"/>
          <w:szCs w:val="24"/>
        </w:rPr>
        <w:t>/</w:t>
      </w:r>
      <w:r w:rsidRPr="005A4807">
        <w:rPr>
          <w:rFonts w:cs="Times New Roman"/>
          <w:szCs w:val="24"/>
        </w:rPr>
        <w:t xml:space="preserve">  The evolution of Wi-Fi from a nascent technology to a critical component of broadband wireless connectivity infrastructure, however, has not been met by a corresponding increase in spectrum access, despite the widely recognized need to provide more spectrum to satisfy Wi-Fi spectrum needs.</w:t>
      </w:r>
      <w:r w:rsidRPr="005A4807">
        <w:rPr>
          <w:rStyle w:val="FootnoteReference"/>
          <w:rFonts w:cs="Times New Roman"/>
          <w:szCs w:val="24"/>
        </w:rPr>
        <w:footnoteReference w:id="14"/>
      </w:r>
      <w:r w:rsidRPr="005A4807">
        <w:rPr>
          <w:rStyle w:val="FootnoteReference"/>
          <w:rFonts w:cs="Times New Roman"/>
          <w:szCs w:val="24"/>
        </w:rPr>
        <w:t>/</w:t>
      </w:r>
      <w:r w:rsidRPr="005A4807">
        <w:rPr>
          <w:rFonts w:cs="Times New Roman"/>
          <w:szCs w:val="24"/>
        </w:rPr>
        <w:t xml:space="preserve">  In addition to the spectrum congestion issues, next generation Wi-Fi (Wi-Fi 6) which is intended to support high-bandwidth applications (e.g., high-definition video streaming, virtual reality) is optimized for channel bandwidths of 80 megahertz and 160 megahertz, far larger </w:t>
      </w:r>
      <w:r w:rsidRPr="005A4807">
        <w:rPr>
          <w:rFonts w:cs="Times New Roman"/>
          <w:szCs w:val="24"/>
        </w:rPr>
        <w:lastRenderedPageBreak/>
        <w:t>than the 20 megahertz channels used in the 2.4 GHz band.</w:t>
      </w:r>
      <w:r w:rsidRPr="005A4807">
        <w:rPr>
          <w:rStyle w:val="FootnoteReference"/>
          <w:rFonts w:cs="Times New Roman"/>
          <w:szCs w:val="24"/>
        </w:rPr>
        <w:footnoteReference w:id="15"/>
      </w:r>
      <w:r w:rsidRPr="005A4807">
        <w:rPr>
          <w:rStyle w:val="FootnoteReference"/>
          <w:rFonts w:cs="Times New Roman"/>
          <w:szCs w:val="24"/>
        </w:rPr>
        <w:t>/</w:t>
      </w:r>
      <w:r w:rsidRPr="005A4807">
        <w:rPr>
          <w:rFonts w:cs="Times New Roman"/>
          <w:szCs w:val="24"/>
        </w:rPr>
        <w:t xml:space="preserve">  Recognizing this issue, other regulatory authorities, including those in the United States,</w:t>
      </w:r>
      <w:r w:rsidRPr="005A4807">
        <w:rPr>
          <w:rStyle w:val="FootnoteReference"/>
          <w:rFonts w:cs="Times New Roman"/>
          <w:szCs w:val="24"/>
        </w:rPr>
        <w:footnoteReference w:id="16"/>
      </w:r>
      <w:r w:rsidRPr="005A4807">
        <w:rPr>
          <w:rStyle w:val="FootnoteReference"/>
          <w:rFonts w:cs="Times New Roman"/>
          <w:szCs w:val="24"/>
        </w:rPr>
        <w:t>/</w:t>
      </w:r>
      <w:r w:rsidRPr="005A4807">
        <w:rPr>
          <w:rFonts w:cs="Times New Roman"/>
          <w:szCs w:val="24"/>
        </w:rPr>
        <w:t xml:space="preserve"> the EU,</w:t>
      </w:r>
      <w:r w:rsidRPr="005A4807">
        <w:rPr>
          <w:rStyle w:val="FootnoteReference"/>
          <w:rFonts w:cs="Times New Roman"/>
          <w:szCs w:val="24"/>
        </w:rPr>
        <w:footnoteReference w:id="17"/>
      </w:r>
      <w:r w:rsidRPr="005A4807">
        <w:rPr>
          <w:rStyle w:val="FootnoteReference"/>
          <w:rFonts w:cs="Times New Roman"/>
          <w:szCs w:val="24"/>
        </w:rPr>
        <w:t>/</w:t>
      </w:r>
      <w:r w:rsidRPr="005A4807">
        <w:rPr>
          <w:rFonts w:cs="Times New Roman"/>
          <w:szCs w:val="24"/>
        </w:rPr>
        <w:t xml:space="preserve"> and Singapore,</w:t>
      </w:r>
      <w:r w:rsidRPr="005A4807">
        <w:rPr>
          <w:rStyle w:val="FootnoteReference"/>
          <w:rFonts w:cs="Times New Roman"/>
          <w:szCs w:val="24"/>
        </w:rPr>
        <w:footnoteReference w:id="18"/>
      </w:r>
      <w:r w:rsidRPr="005A4807">
        <w:rPr>
          <w:rStyle w:val="FootnoteReference"/>
          <w:rFonts w:cs="Times New Roman"/>
          <w:szCs w:val="24"/>
        </w:rPr>
        <w:t>/</w:t>
      </w:r>
      <w:r w:rsidRPr="005A4807">
        <w:rPr>
          <w:rFonts w:cs="Times New Roman"/>
          <w:szCs w:val="24"/>
        </w:rPr>
        <w:t xml:space="preserve">are considering expanded license-exempt access to the 5925-7125 MHz band (“6 GHz band’).  </w:t>
      </w:r>
    </w:p>
    <w:p w14:paraId="488412F5" w14:textId="77777777" w:rsidR="00DC13EB" w:rsidRPr="005A4807" w:rsidRDefault="00DC13EB" w:rsidP="00DC13EB">
      <w:pPr>
        <w:autoSpaceDE w:val="0"/>
        <w:autoSpaceDN w:val="0"/>
        <w:adjustRightInd w:val="0"/>
        <w:rPr>
          <w:rFonts w:cs="Times New Roman"/>
          <w:szCs w:val="24"/>
        </w:rPr>
      </w:pPr>
      <w:r w:rsidRPr="005A4807">
        <w:rPr>
          <w:rFonts w:cs="Times New Roman"/>
          <w:szCs w:val="24"/>
        </w:rPr>
        <w:tab/>
      </w:r>
      <w:r w:rsidRPr="005A4807">
        <w:t>Considering</w:t>
      </w:r>
      <w:r w:rsidRPr="005A4807">
        <w:rPr>
          <w:rFonts w:cs="Times New Roman"/>
          <w:szCs w:val="24"/>
        </w:rPr>
        <w:t xml:space="preserve"> the above, Wi-Fi Alliance recommends that ACMA initiate consideration towards allowing the Low Interference Potential Devices (LIPDs) access to the 6 GHz band.</w:t>
      </w:r>
    </w:p>
    <w:p w14:paraId="0DD80EB5" w14:textId="77777777" w:rsidR="00DC13EB" w:rsidRPr="005A4807" w:rsidRDefault="00DC13EB" w:rsidP="00DC13EB">
      <w:pPr>
        <w:pStyle w:val="ListNumber"/>
        <w:numPr>
          <w:ilvl w:val="0"/>
          <w:numId w:val="0"/>
        </w:numPr>
        <w:ind w:left="360"/>
        <w:rPr>
          <w:rFonts w:ascii="Times New Roman" w:hAnsi="Times New Roman"/>
          <w:sz w:val="24"/>
        </w:rPr>
      </w:pPr>
    </w:p>
    <w:p w14:paraId="34B8F718" w14:textId="7704700E" w:rsidR="00DC13EB" w:rsidRPr="005A4807" w:rsidRDefault="00DC13EB" w:rsidP="00DC13EB">
      <w:pPr>
        <w:pStyle w:val="ListNumber"/>
        <w:numPr>
          <w:ilvl w:val="0"/>
          <w:numId w:val="0"/>
        </w:numPr>
        <w:ind w:left="360"/>
        <w:rPr>
          <w:rFonts w:ascii="Times New Roman" w:hAnsi="Times New Roman"/>
          <w:b/>
          <w:i/>
          <w:sz w:val="24"/>
        </w:rPr>
      </w:pPr>
      <w:r>
        <w:rPr>
          <w:rFonts w:ascii="Times New Roman" w:hAnsi="Times New Roman"/>
          <w:b/>
          <w:i/>
          <w:sz w:val="24"/>
        </w:rPr>
        <w:t xml:space="preserve">Consultation Question # 2: </w:t>
      </w:r>
      <w:r w:rsidRPr="005A4807">
        <w:rPr>
          <w:rFonts w:ascii="Times New Roman" w:hAnsi="Times New Roman"/>
          <w:b/>
          <w:i/>
          <w:sz w:val="24"/>
        </w:rPr>
        <w:t>Are there recent developments in sharing techniques that industry and the ACMA should be aware of? </w:t>
      </w:r>
    </w:p>
    <w:p w14:paraId="36EC162E" w14:textId="34CBC45F" w:rsidR="00DC13EB" w:rsidRPr="005A4807" w:rsidRDefault="00DC13EB" w:rsidP="00DC13EB">
      <w:pPr>
        <w:autoSpaceDE w:val="0"/>
        <w:autoSpaceDN w:val="0"/>
        <w:adjustRightInd w:val="0"/>
        <w:ind w:firstLine="360"/>
        <w:rPr>
          <w:rFonts w:cs="Times New Roman"/>
          <w:szCs w:val="24"/>
        </w:rPr>
      </w:pPr>
      <w:r w:rsidRPr="00DC13EB">
        <w:rPr>
          <w:rFonts w:cs="Times New Roman"/>
          <w:i/>
          <w:iCs/>
          <w:szCs w:val="24"/>
        </w:rPr>
        <w:t>Answer</w:t>
      </w:r>
      <w:r>
        <w:rPr>
          <w:rFonts w:cs="Times New Roman"/>
          <w:szCs w:val="24"/>
        </w:rPr>
        <w:t xml:space="preserve">: </w:t>
      </w:r>
      <w:r w:rsidRPr="005A4807">
        <w:rPr>
          <w:rFonts w:cs="Times New Roman"/>
          <w:szCs w:val="24"/>
        </w:rPr>
        <w:t xml:space="preserve">In considering shared spectrum access for </w:t>
      </w:r>
      <w:r w:rsidRPr="005A4807">
        <w:rPr>
          <w:rFonts w:eastAsia="Malgun Gothic" w:cs="Times New Roman"/>
          <w:szCs w:val="24"/>
          <w:lang w:val="en-GB"/>
        </w:rPr>
        <w:t>class-licensed</w:t>
      </w:r>
      <w:r w:rsidRPr="005A4807">
        <w:rPr>
          <w:rFonts w:cs="Times New Roman"/>
          <w:szCs w:val="24"/>
        </w:rPr>
        <w:t xml:space="preserve"> devices, the ACMA should note advanced research on the building entry loss (“BEL”).  Considering that </w:t>
      </w:r>
      <w:r w:rsidRPr="005A4807">
        <w:rPr>
          <w:rFonts w:eastAsia="Malgun Gothic" w:cs="Times New Roman"/>
          <w:szCs w:val="24"/>
          <w:lang w:val="en-GB"/>
        </w:rPr>
        <w:t>class-licensed</w:t>
      </w:r>
      <w:r w:rsidRPr="005A4807">
        <w:rPr>
          <w:rFonts w:cs="Times New Roman"/>
          <w:szCs w:val="24"/>
        </w:rPr>
        <w:t xml:space="preserve"> device deployments can be effectively restricted to indoor-only deployments, the BEL is an important factor to consider in spectrum sharing.  The building entry loss (“BEL”) value of high-rise buildings (</w:t>
      </w:r>
      <w:r w:rsidRPr="005A4807">
        <w:rPr>
          <w:rFonts w:cs="Times New Roman"/>
          <w:i/>
          <w:szCs w:val="24"/>
        </w:rPr>
        <w:t>i.e.</w:t>
      </w:r>
      <w:r w:rsidRPr="005A4807">
        <w:rPr>
          <w:rFonts w:cs="Times New Roman"/>
          <w:szCs w:val="24"/>
        </w:rPr>
        <w:t>, 40 meters above ground level – about 12 stories) is significantly higher than average: 18 dB for “traditional” construction in contrast to 30 dB for these “thermally efficient” buildings.</w:t>
      </w:r>
      <w:r w:rsidRPr="005A4807">
        <w:rPr>
          <w:rStyle w:val="FootnoteReference"/>
          <w:rFonts w:cs="Times New Roman"/>
          <w:szCs w:val="24"/>
        </w:rPr>
        <w:t xml:space="preserve"> </w:t>
      </w:r>
      <w:r w:rsidRPr="005A4807">
        <w:rPr>
          <w:rFonts w:cs="Times New Roman"/>
          <w:szCs w:val="24"/>
        </w:rPr>
        <w:t>Building codes that are widely applied to taller, modern buildings mandate energy efficiency – which in turn provides for higher BEL values resulting in greater signal attenuation and lower risk of interference.  In addition to the ITU models</w:t>
      </w:r>
      <w:r w:rsidRPr="005A4807">
        <w:rPr>
          <w:rStyle w:val="FootnoteReference"/>
          <w:rFonts w:cs="Times New Roman"/>
          <w:szCs w:val="24"/>
        </w:rPr>
        <w:footnoteReference w:id="19"/>
      </w:r>
      <w:r w:rsidRPr="005A4807">
        <w:rPr>
          <w:rFonts w:cs="Times New Roman"/>
          <w:szCs w:val="24"/>
        </w:rPr>
        <w:t xml:space="preserve">, a comprehensive study produced by </w:t>
      </w:r>
      <w:proofErr w:type="spellStart"/>
      <w:r w:rsidRPr="005A4807">
        <w:rPr>
          <w:rFonts w:cs="Times New Roman"/>
          <w:szCs w:val="24"/>
        </w:rPr>
        <w:t>Ofcom</w:t>
      </w:r>
      <w:proofErr w:type="spellEnd"/>
      <w:r w:rsidRPr="005A4807">
        <w:rPr>
          <w:rStyle w:val="FootnoteReference"/>
          <w:rFonts w:cs="Times New Roman"/>
          <w:szCs w:val="24"/>
        </w:rPr>
        <w:footnoteReference w:id="20"/>
      </w:r>
      <w:r w:rsidRPr="005A4807">
        <w:rPr>
          <w:rStyle w:val="FootnoteReference"/>
          <w:rFonts w:cs="Times New Roman"/>
          <w:szCs w:val="24"/>
        </w:rPr>
        <w:t>/</w:t>
      </w:r>
      <w:r w:rsidRPr="005A4807">
        <w:rPr>
          <w:rFonts w:cs="Times New Roman"/>
          <w:szCs w:val="24"/>
        </w:rPr>
        <w:t xml:space="preserve"> confirms BEL values for a variety of building materials.  In particular, according to the </w:t>
      </w:r>
      <w:proofErr w:type="spellStart"/>
      <w:r w:rsidRPr="005A4807">
        <w:rPr>
          <w:rFonts w:cs="Times New Roman"/>
          <w:szCs w:val="24"/>
        </w:rPr>
        <w:t>Ofcom</w:t>
      </w:r>
      <w:proofErr w:type="spellEnd"/>
      <w:r w:rsidRPr="005A4807">
        <w:rPr>
          <w:rFonts w:cs="Times New Roman"/>
          <w:szCs w:val="24"/>
        </w:rPr>
        <w:t xml:space="preserve"> study, the losses from foil-backed insulation and metalized double glazed windows, such as those found in modern office buildings, would exceed 30 </w:t>
      </w:r>
      <w:proofErr w:type="spellStart"/>
      <w:r w:rsidRPr="005A4807">
        <w:rPr>
          <w:rFonts w:cs="Times New Roman"/>
          <w:szCs w:val="24"/>
        </w:rPr>
        <w:t>dB.</w:t>
      </w:r>
      <w:proofErr w:type="spellEnd"/>
      <w:r w:rsidRPr="005A4807">
        <w:rPr>
          <w:rStyle w:val="FootnoteReference"/>
          <w:rFonts w:cs="Times New Roman"/>
          <w:szCs w:val="24"/>
        </w:rPr>
        <w:footnoteReference w:id="21"/>
      </w:r>
      <w:r w:rsidRPr="005A4807">
        <w:rPr>
          <w:rFonts w:cs="Times New Roman"/>
          <w:szCs w:val="24"/>
          <w:vertAlign w:val="superscript"/>
        </w:rPr>
        <w:t>/</w:t>
      </w:r>
      <w:r w:rsidRPr="005A4807">
        <w:rPr>
          <w:rFonts w:cs="Times New Roman"/>
          <w:szCs w:val="24"/>
        </w:rPr>
        <w:t xml:space="preserve">  The studies show that low e-glass, double-glazed, energy saving </w:t>
      </w:r>
      <w:r w:rsidRPr="005A4807">
        <w:rPr>
          <w:rFonts w:cs="Times New Roman"/>
          <w:szCs w:val="24"/>
        </w:rPr>
        <w:lastRenderedPageBreak/>
        <w:t xml:space="preserve">windows that are primarily used in taller, modern buildings shield the signal at 6 GHz an average of 30 </w:t>
      </w:r>
      <w:proofErr w:type="spellStart"/>
      <w:r w:rsidRPr="005A4807">
        <w:rPr>
          <w:rFonts w:cs="Times New Roman"/>
          <w:szCs w:val="24"/>
        </w:rPr>
        <w:t>dB.</w:t>
      </w:r>
      <w:proofErr w:type="spellEnd"/>
      <w:r w:rsidRPr="005A4807">
        <w:rPr>
          <w:rStyle w:val="FootnoteReference"/>
          <w:rFonts w:cs="Times New Roman"/>
          <w:szCs w:val="24"/>
        </w:rPr>
        <w:t xml:space="preserve"> </w:t>
      </w:r>
      <w:r w:rsidRPr="005A4807">
        <w:rPr>
          <w:rFonts w:cs="Times New Roman"/>
          <w:szCs w:val="24"/>
        </w:rPr>
        <w:t xml:space="preserve">  </w:t>
      </w:r>
    </w:p>
    <w:p w14:paraId="1A1BC0F9" w14:textId="77777777" w:rsidR="00DC13EB" w:rsidRPr="005A4807" w:rsidRDefault="00DC13EB" w:rsidP="00DC13EB">
      <w:pPr>
        <w:autoSpaceDE w:val="0"/>
        <w:autoSpaceDN w:val="0"/>
        <w:adjustRightInd w:val="0"/>
        <w:ind w:firstLine="360"/>
        <w:rPr>
          <w:rFonts w:cs="Times New Roman"/>
          <w:szCs w:val="24"/>
        </w:rPr>
      </w:pPr>
      <w:r w:rsidRPr="005A4807">
        <w:rPr>
          <w:rFonts w:cs="Times New Roman"/>
          <w:szCs w:val="24"/>
        </w:rPr>
        <w:t xml:space="preserve">Another factor that can significantly augment shared spectrum access for </w:t>
      </w:r>
      <w:r w:rsidRPr="005A4807">
        <w:rPr>
          <w:rFonts w:eastAsia="Malgun Gothic" w:cs="Times New Roman"/>
          <w:szCs w:val="24"/>
          <w:lang w:val="en-GB"/>
        </w:rPr>
        <w:t>class-licensed</w:t>
      </w:r>
      <w:r w:rsidRPr="005A4807">
        <w:rPr>
          <w:rFonts w:cs="Times New Roman"/>
          <w:szCs w:val="24"/>
        </w:rPr>
        <w:t xml:space="preserve"> device is application of appropriate propagation models.  In this regard, first, it is important to recognize that a free space path loss model effectively assumes worst case conditions and, therefore, overestimate the potential interference and unnecessarily restricts access to spectrum.  In considering spectrum sharing by </w:t>
      </w:r>
      <w:r w:rsidRPr="005A4807">
        <w:rPr>
          <w:rFonts w:eastAsia="Malgun Gothic" w:cs="Times New Roman"/>
          <w:szCs w:val="24"/>
          <w:lang w:val="en-GB"/>
        </w:rPr>
        <w:t>class-licensed</w:t>
      </w:r>
      <w:r w:rsidRPr="005A4807">
        <w:rPr>
          <w:rFonts w:cs="Times New Roman"/>
          <w:szCs w:val="24"/>
        </w:rPr>
        <w:t xml:space="preserve"> devices, a combination of a short-range propagation model based on WINNER II and a beyond-line-of-sight model derived from the Irregular Terrain Model and ITU-R P.2108 models are best suited for the purpose.  In particular, the WINNER II model covers most relevant propagation scenarios including a variety of indoor locations, indoor hot-spots, typical urban micro-cells, typical urban macro-cells, sub-urban macro-cells, rural macro-cells, and line-of-sight urban macro-cells.</w:t>
      </w:r>
      <w:r w:rsidRPr="005A4807">
        <w:rPr>
          <w:rStyle w:val="FootnoteReference"/>
          <w:rFonts w:cs="Times New Roman"/>
          <w:szCs w:val="24"/>
        </w:rPr>
        <w:footnoteReference w:id="22"/>
      </w:r>
      <w:r w:rsidRPr="005A4807">
        <w:rPr>
          <w:rStyle w:val="FootnoteReference"/>
          <w:rFonts w:cs="Times New Roman"/>
          <w:szCs w:val="24"/>
        </w:rPr>
        <w:t>/</w:t>
      </w:r>
      <w:r w:rsidRPr="005A4807">
        <w:rPr>
          <w:szCs w:val="24"/>
        </w:rPr>
        <w:t xml:space="preserve"> </w:t>
      </w:r>
    </w:p>
    <w:p w14:paraId="35C6D744" w14:textId="77777777" w:rsidR="00DC13EB" w:rsidRPr="005A4807" w:rsidRDefault="00DC13EB" w:rsidP="00DC13EB">
      <w:pPr>
        <w:autoSpaceDE w:val="0"/>
        <w:autoSpaceDN w:val="0"/>
        <w:adjustRightInd w:val="0"/>
        <w:ind w:firstLine="360"/>
        <w:rPr>
          <w:rFonts w:eastAsia="Malgun Gothic" w:cs="Times New Roman"/>
          <w:szCs w:val="24"/>
          <w:lang w:val="en-GB"/>
        </w:rPr>
      </w:pPr>
      <w:r w:rsidRPr="005A4807">
        <w:rPr>
          <w:rFonts w:cs="Times New Roman"/>
          <w:szCs w:val="24"/>
        </w:rPr>
        <w:t xml:space="preserve">Varying </w:t>
      </w:r>
      <w:r w:rsidRPr="005A4807">
        <w:rPr>
          <w:rFonts w:eastAsia="Malgun Gothic" w:cs="Times New Roman"/>
          <w:szCs w:val="24"/>
          <w:lang w:val="en-GB"/>
        </w:rPr>
        <w:t>class-licensed</w:t>
      </w:r>
      <w:r w:rsidRPr="005A4807">
        <w:rPr>
          <w:rFonts w:cs="Times New Roman"/>
          <w:szCs w:val="24"/>
        </w:rPr>
        <w:t xml:space="preserve"> use cases require spectrum capacity in different bands.  To address this requirement, while minimizing impact on the existing operations, ACMA should consider </w:t>
      </w:r>
      <w:r w:rsidRPr="005A4807">
        <w:rPr>
          <w:rFonts w:eastAsia="Malgun Gothic" w:cs="Times New Roman"/>
          <w:szCs w:val="24"/>
          <w:lang w:val="en-GB"/>
        </w:rPr>
        <w:t xml:space="preserve">geo-location database solutions to manage frequency access on secondary basis.  In general, the applications of such solutions are premised on </w:t>
      </w:r>
      <w:r w:rsidRPr="005A4807">
        <w:rPr>
          <w:rFonts w:cs="Times New Roman"/>
          <w:szCs w:val="24"/>
        </w:rPr>
        <w:t xml:space="preserve">computing frequency availability at specified incumbent receiver location taking into account its characteristics (e.g., pointing direction, antenna gain pattern, etc.) and the </w:t>
      </w:r>
      <w:r w:rsidRPr="005A4807">
        <w:rPr>
          <w:rFonts w:eastAsia="Malgun Gothic" w:cs="Times New Roman"/>
          <w:szCs w:val="24"/>
          <w:lang w:val="en-GB"/>
        </w:rPr>
        <w:t>class-licensed transmitter power</w:t>
      </w:r>
      <w:r w:rsidRPr="005A4807">
        <w:rPr>
          <w:rFonts w:cs="Times New Roman"/>
          <w:szCs w:val="24"/>
        </w:rPr>
        <w:t xml:space="preserve"> along with its antenna location and direction, and the overall propagation environment. The ACMA must take care so as not to preclude commercial viability of the </w:t>
      </w:r>
      <w:r w:rsidRPr="005A4807">
        <w:rPr>
          <w:rFonts w:eastAsia="Malgun Gothic" w:cs="Times New Roman"/>
          <w:szCs w:val="24"/>
          <w:lang w:val="en-GB"/>
        </w:rPr>
        <w:t>geo-location database solutions.  In particular, the AMCA regulation should focus on functional and avoid prescribing specific design or implementation.</w:t>
      </w:r>
    </w:p>
    <w:p w14:paraId="283D1822" w14:textId="77777777" w:rsidR="00DC13EB" w:rsidRPr="005A4807" w:rsidRDefault="00DC13EB" w:rsidP="00DC13EB">
      <w:pPr>
        <w:pStyle w:val="ListNumber"/>
        <w:numPr>
          <w:ilvl w:val="0"/>
          <w:numId w:val="0"/>
        </w:numPr>
        <w:ind w:firstLine="360"/>
        <w:rPr>
          <w:rFonts w:ascii="Times New Roman" w:hAnsi="Times New Roman"/>
          <w:sz w:val="24"/>
        </w:rPr>
      </w:pPr>
    </w:p>
    <w:p w14:paraId="4AD38E51" w14:textId="08DE7402" w:rsidR="00DC13EB" w:rsidRPr="005A4807" w:rsidRDefault="00DC13EB" w:rsidP="00DC13EB">
      <w:pPr>
        <w:pStyle w:val="ListNumber"/>
        <w:numPr>
          <w:ilvl w:val="0"/>
          <w:numId w:val="0"/>
        </w:numPr>
        <w:ind w:left="360"/>
        <w:rPr>
          <w:rFonts w:ascii="Times New Roman" w:hAnsi="Times New Roman"/>
          <w:b/>
          <w:sz w:val="24"/>
        </w:rPr>
      </w:pPr>
      <w:r>
        <w:rPr>
          <w:rFonts w:ascii="Times New Roman" w:hAnsi="Times New Roman"/>
          <w:b/>
          <w:i/>
          <w:sz w:val="24"/>
        </w:rPr>
        <w:t xml:space="preserve">Consultation Question #3: </w:t>
      </w:r>
      <w:r w:rsidRPr="005A4807">
        <w:rPr>
          <w:rFonts w:ascii="Times New Roman" w:hAnsi="Times New Roman"/>
          <w:b/>
          <w:sz w:val="24"/>
        </w:rPr>
        <w:t>What are the (potentially new) use cases that might benefit from secondary or tertiary access to spectrum and who benefits? </w:t>
      </w:r>
    </w:p>
    <w:p w14:paraId="31079B95" w14:textId="19BDD698" w:rsidR="00DC13EB" w:rsidRPr="005A4807" w:rsidRDefault="00DC13EB" w:rsidP="00DC13EB">
      <w:pPr>
        <w:pStyle w:val="ListNumber"/>
        <w:numPr>
          <w:ilvl w:val="0"/>
          <w:numId w:val="0"/>
        </w:numPr>
        <w:ind w:firstLine="360"/>
        <w:rPr>
          <w:rFonts w:ascii="Times New Roman" w:hAnsi="Times New Roman"/>
          <w:bCs/>
          <w:sz w:val="24"/>
        </w:rPr>
      </w:pPr>
      <w:r w:rsidRPr="00DC13EB">
        <w:rPr>
          <w:rFonts w:ascii="Times New Roman" w:hAnsi="Times New Roman"/>
          <w:bCs/>
          <w:i/>
          <w:iCs/>
          <w:sz w:val="24"/>
        </w:rPr>
        <w:t>Answer</w:t>
      </w:r>
      <w:r>
        <w:rPr>
          <w:rFonts w:ascii="Times New Roman" w:hAnsi="Times New Roman"/>
          <w:bCs/>
          <w:sz w:val="24"/>
        </w:rPr>
        <w:t xml:space="preserve">: </w:t>
      </w:r>
      <w:r w:rsidRPr="005A4807">
        <w:rPr>
          <w:rFonts w:ascii="Times New Roman" w:hAnsi="Times New Roman"/>
          <w:bCs/>
          <w:sz w:val="24"/>
        </w:rPr>
        <w:t>Although Wi-Fi is the most universally accepted unlicensed application, the lack of spectrum access threatens its ability to continue to deliver significant socioeconomic benefits and foster innovation.  Wi-Fi Alliance commissioned a Spectrum Needs Study that highlights the requirements for additional unlicensed spectrum. Given projected Wi-Fi traffic growth by 2025, up to 1500 megahertz of additional mid-band spectrum may be needed.   The Spectrum Needs Study also demonstrates the need for contiguous spectrum blocks to accommodate 160 megahertz channels which are desirable for high-bandwidth applications, such as video and virtual reality, supported by the next generation Wi-Fi 6 that are specifically intended to support high-data throughput connectivity.  In short, rapidly growing demand for broadband wireless connectivity delivered by Wi-Fi to consumers and enterprises is outpacing available spectrum capacity.  Only urgent regulatory action can prevent this looming spectrum crunch from degrading the socioeconomic benefits delivered by Wi-Fi.  Wi-Fi Alliance, therefore, urges the ACMA to move forward on making the much needed 5925-7125 MHz spectrum available for Wi-Fi access.</w:t>
      </w:r>
    </w:p>
    <w:p w14:paraId="0BE87B06" w14:textId="77777777" w:rsidR="00DC13EB" w:rsidRPr="005A4807" w:rsidRDefault="00DC13EB" w:rsidP="00DC13EB">
      <w:pPr>
        <w:autoSpaceDE w:val="0"/>
        <w:autoSpaceDN w:val="0"/>
        <w:adjustRightInd w:val="0"/>
        <w:ind w:firstLine="360"/>
        <w:rPr>
          <w:rFonts w:cs="Times New Roman"/>
          <w:szCs w:val="24"/>
        </w:rPr>
      </w:pPr>
      <w:r w:rsidRPr="005A4807">
        <w:rPr>
          <w:rFonts w:eastAsia="Malgun Gothic" w:cs="Times New Roman"/>
          <w:szCs w:val="24"/>
          <w:lang w:val="en-GB"/>
        </w:rPr>
        <w:t xml:space="preserve">As a class-licensed access technology, Wi-Fi operates on non-interference basis and has a long history of implementing innovative spectrum sharing solutions to protect </w:t>
      </w:r>
      <w:r w:rsidRPr="005A4807">
        <w:rPr>
          <w:rFonts w:cs="Times New Roman"/>
          <w:szCs w:val="24"/>
        </w:rPr>
        <w:t xml:space="preserve">other users – both licensed and unlicensed – and can replicate that success in the 6 GHz band.  Regulatory solutions that have been mandated in the 5 GHz bands, including indoor-only restrictions, transmit power limits, antenna gain masks, and other operational constraints can be adopted for Wi-Fi operations in the 6 GHz band.  </w:t>
      </w:r>
      <w:r w:rsidRPr="005A4807">
        <w:rPr>
          <w:rFonts w:cs="Times New Roman"/>
          <w:szCs w:val="24"/>
        </w:rPr>
        <w:lastRenderedPageBreak/>
        <w:t>Importantly, ongoing efforts in Europe and US, are converging on the spectrum sharing framework that will significantly expand 6 GHz spectrum utilization while protecting incumbent services. The basis for this framework is a three device classes approach:</w:t>
      </w:r>
    </w:p>
    <w:p w14:paraId="70C44B20" w14:textId="77777777" w:rsidR="00DC13EB" w:rsidRPr="005A4807" w:rsidRDefault="00DC13EB" w:rsidP="00DC13EB">
      <w:pPr>
        <w:pStyle w:val="ListParagraph"/>
        <w:numPr>
          <w:ilvl w:val="0"/>
          <w:numId w:val="13"/>
        </w:numPr>
        <w:autoSpaceDE w:val="0"/>
        <w:autoSpaceDN w:val="0"/>
        <w:adjustRightInd w:val="0"/>
        <w:rPr>
          <w:rFonts w:cs="Times New Roman"/>
          <w:szCs w:val="24"/>
        </w:rPr>
      </w:pPr>
      <w:r w:rsidRPr="005A4807">
        <w:rPr>
          <w:rFonts w:cs="Times New Roman"/>
          <w:bCs/>
          <w:szCs w:val="24"/>
        </w:rPr>
        <w:t>Very Low Power</w:t>
      </w:r>
      <w:r w:rsidRPr="005A4807">
        <w:rPr>
          <w:rFonts w:cs="Times New Roman"/>
          <w:szCs w:val="24"/>
        </w:rPr>
        <w:t xml:space="preserve"> (less than 25 </w:t>
      </w:r>
      <w:proofErr w:type="spellStart"/>
      <w:r w:rsidRPr="005A4807">
        <w:rPr>
          <w:rFonts w:cs="Times New Roman"/>
          <w:szCs w:val="24"/>
        </w:rPr>
        <w:t>mW</w:t>
      </w:r>
      <w:proofErr w:type="spellEnd"/>
      <w:r w:rsidRPr="005A4807">
        <w:rPr>
          <w:rFonts w:cs="Times New Roman"/>
          <w:szCs w:val="24"/>
        </w:rPr>
        <w:t xml:space="preserve"> conducted power) </w:t>
      </w:r>
      <w:r w:rsidRPr="005A4807">
        <w:rPr>
          <w:rFonts w:cs="Times New Roman"/>
          <w:bCs/>
          <w:szCs w:val="24"/>
        </w:rPr>
        <w:t>devices</w:t>
      </w:r>
      <w:r w:rsidRPr="005A4807">
        <w:rPr>
          <w:rFonts w:cs="Times New Roman"/>
          <w:szCs w:val="24"/>
        </w:rPr>
        <w:t xml:space="preserve"> address short-range, high-bandwidth scenarios like 5G gigabit mobile tethering (including automotive use cases) that exist today, as well as new “last meter” apps like AR/VR, IoT, direct peer-to-peer </w:t>
      </w:r>
    </w:p>
    <w:p w14:paraId="35830270" w14:textId="77777777" w:rsidR="00DC13EB" w:rsidRPr="005A4807" w:rsidRDefault="00DC13EB" w:rsidP="00DC13EB">
      <w:pPr>
        <w:pStyle w:val="ListParagraph"/>
        <w:numPr>
          <w:ilvl w:val="0"/>
          <w:numId w:val="13"/>
        </w:numPr>
        <w:autoSpaceDE w:val="0"/>
        <w:autoSpaceDN w:val="0"/>
        <w:adjustRightInd w:val="0"/>
        <w:rPr>
          <w:rFonts w:cs="Times New Roman"/>
          <w:szCs w:val="24"/>
        </w:rPr>
      </w:pPr>
      <w:r w:rsidRPr="005A4807">
        <w:rPr>
          <w:rFonts w:cs="Times New Roman"/>
          <w:bCs/>
          <w:szCs w:val="24"/>
        </w:rPr>
        <w:t xml:space="preserve">Low Power </w:t>
      </w:r>
      <w:r w:rsidRPr="005A4807">
        <w:rPr>
          <w:rFonts w:cs="Times New Roman"/>
          <w:szCs w:val="24"/>
        </w:rPr>
        <w:t xml:space="preserve">(less than 250 </w:t>
      </w:r>
      <w:proofErr w:type="spellStart"/>
      <w:r w:rsidRPr="005A4807">
        <w:rPr>
          <w:rFonts w:cs="Times New Roman"/>
          <w:szCs w:val="24"/>
        </w:rPr>
        <w:t>mW</w:t>
      </w:r>
      <w:proofErr w:type="spellEnd"/>
      <w:r w:rsidRPr="005A4807">
        <w:rPr>
          <w:rFonts w:cs="Times New Roman"/>
          <w:szCs w:val="24"/>
        </w:rPr>
        <w:t xml:space="preserve"> conducted power) </w:t>
      </w:r>
      <w:r w:rsidRPr="005A4807">
        <w:rPr>
          <w:rFonts w:cs="Times New Roman"/>
          <w:bCs/>
          <w:szCs w:val="24"/>
        </w:rPr>
        <w:t>Indoor-only devices</w:t>
      </w:r>
      <w:r w:rsidRPr="005A4807">
        <w:rPr>
          <w:rFonts w:cs="Times New Roman"/>
          <w:szCs w:val="24"/>
        </w:rPr>
        <w:t xml:space="preserve"> address the bulk of the consumer segment, which are deployed singly or very small groups, exclusively indoors</w:t>
      </w:r>
    </w:p>
    <w:p w14:paraId="7E01473E" w14:textId="77777777" w:rsidR="00DC13EB" w:rsidRPr="005A4807" w:rsidRDefault="00DC13EB" w:rsidP="00DC13EB">
      <w:pPr>
        <w:pStyle w:val="ListParagraph"/>
        <w:numPr>
          <w:ilvl w:val="0"/>
          <w:numId w:val="13"/>
        </w:numPr>
        <w:autoSpaceDE w:val="0"/>
        <w:autoSpaceDN w:val="0"/>
        <w:adjustRightInd w:val="0"/>
        <w:rPr>
          <w:rFonts w:cs="Times New Roman"/>
          <w:szCs w:val="24"/>
        </w:rPr>
      </w:pPr>
      <w:r w:rsidRPr="005A4807">
        <w:rPr>
          <w:rFonts w:cs="Times New Roman"/>
          <w:bCs/>
          <w:szCs w:val="24"/>
        </w:rPr>
        <w:t xml:space="preserve">Standard Power </w:t>
      </w:r>
      <w:r w:rsidRPr="005A4807">
        <w:rPr>
          <w:rFonts w:cs="Times New Roman"/>
          <w:szCs w:val="24"/>
        </w:rPr>
        <w:t>(less than 1W conducted power) devices that operate only on frequencies determined to be acceptable at a specified geographical location.</w:t>
      </w:r>
    </w:p>
    <w:p w14:paraId="12171D72" w14:textId="77777777" w:rsidR="00DC13EB" w:rsidRPr="005A4807" w:rsidRDefault="00DC13EB" w:rsidP="00DC13EB">
      <w:pPr>
        <w:pStyle w:val="ListNumber"/>
        <w:numPr>
          <w:ilvl w:val="0"/>
          <w:numId w:val="0"/>
        </w:numPr>
        <w:ind w:firstLine="360"/>
        <w:rPr>
          <w:rFonts w:ascii="Times New Roman" w:eastAsiaTheme="minorHAnsi" w:hAnsi="Times New Roman"/>
          <w:sz w:val="24"/>
          <w:lang w:val="en-US" w:eastAsia="en-US"/>
        </w:rPr>
      </w:pPr>
      <w:r w:rsidRPr="005A4807">
        <w:rPr>
          <w:rFonts w:ascii="Times New Roman" w:eastAsiaTheme="minorHAnsi" w:hAnsi="Times New Roman"/>
          <w:sz w:val="24"/>
          <w:lang w:val="en-US" w:eastAsia="en-US"/>
        </w:rPr>
        <w:t xml:space="preserve">Wi-Fi Alliance recommends that the ACMA consider similar regulatory framework for the </w:t>
      </w:r>
      <w:r w:rsidRPr="005A4807">
        <w:rPr>
          <w:rFonts w:ascii="Times New Roman" w:eastAsia="Malgun Gothic" w:hAnsi="Times New Roman"/>
          <w:sz w:val="24"/>
          <w:lang w:val="en-GB"/>
        </w:rPr>
        <w:t>class-licensed devices</w:t>
      </w:r>
      <w:r w:rsidRPr="005A4807">
        <w:rPr>
          <w:rFonts w:ascii="Times New Roman" w:eastAsiaTheme="minorHAnsi" w:hAnsi="Times New Roman"/>
          <w:sz w:val="24"/>
          <w:lang w:val="en-US" w:eastAsia="en-US"/>
        </w:rPr>
        <w:t xml:space="preserve"> enabling broadband connectivity for the Australian consumers and business while preserving existing operations in the 6 GHz band.</w:t>
      </w:r>
    </w:p>
    <w:p w14:paraId="1BD16513" w14:textId="77777777" w:rsidR="00DC13EB" w:rsidRPr="005A4807" w:rsidRDefault="00DC13EB" w:rsidP="00DC13EB">
      <w:pPr>
        <w:pStyle w:val="ListNumber"/>
        <w:numPr>
          <w:ilvl w:val="0"/>
          <w:numId w:val="0"/>
        </w:numPr>
        <w:ind w:firstLine="360"/>
        <w:rPr>
          <w:rFonts w:ascii="Times New Roman" w:hAnsi="Times New Roman"/>
          <w:bCs/>
          <w:sz w:val="24"/>
        </w:rPr>
      </w:pPr>
    </w:p>
    <w:p w14:paraId="4B1F4864" w14:textId="0664920A" w:rsidR="00DC13EB" w:rsidRPr="005A4807" w:rsidRDefault="00DC13EB" w:rsidP="00DC13EB">
      <w:pPr>
        <w:pStyle w:val="ListNumber"/>
        <w:numPr>
          <w:ilvl w:val="0"/>
          <w:numId w:val="0"/>
        </w:numPr>
        <w:ind w:left="360"/>
        <w:rPr>
          <w:rFonts w:ascii="Times New Roman" w:hAnsi="Times New Roman"/>
          <w:b/>
          <w:sz w:val="24"/>
        </w:rPr>
      </w:pPr>
      <w:r>
        <w:rPr>
          <w:rFonts w:ascii="Times New Roman" w:hAnsi="Times New Roman"/>
          <w:b/>
          <w:i/>
          <w:sz w:val="24"/>
        </w:rPr>
        <w:t xml:space="preserve">Consultation Question #4: </w:t>
      </w:r>
      <w:r w:rsidRPr="005A4807">
        <w:rPr>
          <w:rFonts w:ascii="Times New Roman" w:hAnsi="Times New Roman"/>
          <w:b/>
          <w:sz w:val="24"/>
        </w:rPr>
        <w:t>Facilitating spectrum access (e.g. monitoring, control, reporting, assignment) logically necessitates involvement from both government and industry. Are there any early thoughts on what an appropriate industry/government balance might look like? How might the ACMA facilitate shared spectrum access? How might the ACMA address this?   </w:t>
      </w:r>
    </w:p>
    <w:p w14:paraId="0A2910E7" w14:textId="78FBB6A2" w:rsidR="00DC13EB" w:rsidRPr="005A4807" w:rsidRDefault="00DC13EB" w:rsidP="00DC13EB">
      <w:pPr>
        <w:pStyle w:val="ListNumber"/>
        <w:numPr>
          <w:ilvl w:val="0"/>
          <w:numId w:val="0"/>
        </w:numPr>
        <w:ind w:firstLine="360"/>
        <w:rPr>
          <w:rFonts w:ascii="Times New Roman" w:hAnsi="Times New Roman"/>
          <w:bCs/>
          <w:sz w:val="24"/>
        </w:rPr>
      </w:pPr>
      <w:r w:rsidRPr="00DC13EB">
        <w:rPr>
          <w:rFonts w:ascii="Times New Roman" w:hAnsi="Times New Roman"/>
          <w:bCs/>
          <w:i/>
          <w:iCs/>
          <w:sz w:val="24"/>
        </w:rPr>
        <w:t>Answer</w:t>
      </w:r>
      <w:r>
        <w:rPr>
          <w:rFonts w:ascii="Times New Roman" w:hAnsi="Times New Roman"/>
          <w:bCs/>
          <w:sz w:val="24"/>
        </w:rPr>
        <w:t xml:space="preserve">: </w:t>
      </w:r>
      <w:r w:rsidRPr="005A4807">
        <w:rPr>
          <w:rFonts w:ascii="Times New Roman" w:hAnsi="Times New Roman"/>
          <w:bCs/>
          <w:sz w:val="24"/>
        </w:rPr>
        <w:t xml:space="preserve">Spectrum is a limited natural resource.  Increased spectrum access (i.e., maximizing utilization of this resource) is clearly in the interest of the Australian consumers and enterprises. Increased spectrum access, however, requires taking </w:t>
      </w:r>
      <w:proofErr w:type="gramStart"/>
      <w:r w:rsidRPr="005A4807">
        <w:rPr>
          <w:rFonts w:ascii="Times New Roman" w:hAnsi="Times New Roman"/>
          <w:bCs/>
          <w:sz w:val="24"/>
        </w:rPr>
        <w:t>in to</w:t>
      </w:r>
      <w:proofErr w:type="gramEnd"/>
      <w:r w:rsidRPr="005A4807">
        <w:rPr>
          <w:rFonts w:ascii="Times New Roman" w:hAnsi="Times New Roman"/>
          <w:bCs/>
          <w:sz w:val="24"/>
        </w:rPr>
        <w:t xml:space="preserve"> account and avoiding interference to the existing spectrum users and that, in turn requires extensive understanding of the currently deployed systems and networks.  As the national spectrum regulator, the ACMA is the primary source of information for </w:t>
      </w:r>
      <w:r w:rsidRPr="005A4807">
        <w:rPr>
          <w:rFonts w:ascii="Times New Roman" w:hAnsi="Times New Roman"/>
          <w:sz w:val="24"/>
        </w:rPr>
        <w:t>data</w:t>
      </w:r>
      <w:r w:rsidRPr="005A4807">
        <w:rPr>
          <w:rFonts w:ascii="Times New Roman" w:hAnsi="Times New Roman"/>
          <w:bCs/>
          <w:sz w:val="24"/>
        </w:rPr>
        <w:t xml:space="preserve"> on the existing licensees </w:t>
      </w:r>
      <w:r w:rsidRPr="005A4807">
        <w:rPr>
          <w:rFonts w:ascii="Times New Roman" w:hAnsi="Times New Roman"/>
          <w:sz w:val="24"/>
        </w:rPr>
        <w:t>including transmitter and receiver locations, frequencies, bandwidths, polarizations, transmitter EIRP, antenna height, and the make and model of the antenna and equipment used, etc.  Facilitating access to the licensing data would enable development of innovative spectrum access techniques that would protect incumbent operations, increase spectrum utilization and, most importantly, the overall public benefit.</w:t>
      </w:r>
    </w:p>
    <w:p w14:paraId="79FC60AD" w14:textId="6215CF5F" w:rsidR="00DC13EB" w:rsidRDefault="00DC13EB" w:rsidP="0007418D"/>
    <w:p w14:paraId="0E288FDA" w14:textId="33E011BD" w:rsidR="00DC13EB" w:rsidRPr="00DC13EB" w:rsidRDefault="00DC13EB" w:rsidP="00DC13EB">
      <w:pPr>
        <w:pStyle w:val="ListParagraph"/>
        <w:numPr>
          <w:ilvl w:val="0"/>
          <w:numId w:val="1"/>
        </w:numPr>
        <w:rPr>
          <w:b/>
          <w:u w:val="single"/>
        </w:rPr>
      </w:pPr>
      <w:r>
        <w:rPr>
          <w:b/>
          <w:u w:val="single"/>
        </w:rPr>
        <w:t>Conclusions</w:t>
      </w:r>
    </w:p>
    <w:p w14:paraId="2863A624" w14:textId="495A4DCA" w:rsidR="002932C9" w:rsidRDefault="00F36E19" w:rsidP="00DC13EB">
      <w:pPr>
        <w:ind w:firstLine="360"/>
        <w:jc w:val="both"/>
      </w:pPr>
      <w:r w:rsidRPr="00F36E19">
        <w:t xml:space="preserve">The future of the Internet is more: more traffic, more devices, more uses.  RLANs that use Wi-Fi protocols will be at the center of this growth.  It is therefore crucial that the ACMA ensure that Australians can make the most of that future by dedicating additional spectrum for these operations.  </w:t>
      </w:r>
    </w:p>
    <w:p w14:paraId="2284A80B" w14:textId="77777777" w:rsidR="0001104C" w:rsidRDefault="00976991" w:rsidP="0007418D"/>
    <w:p w14:paraId="5D71F096" w14:textId="77777777" w:rsidR="00000254" w:rsidRPr="00000254" w:rsidRDefault="00A3422C" w:rsidP="00000254">
      <w:pPr>
        <w:rPr>
          <w:rFonts w:eastAsia="Calibri" w:cs="Times New Roman"/>
        </w:rPr>
      </w:pPr>
      <w:r w:rsidRPr="00482B60">
        <w:tab/>
      </w:r>
      <w:r w:rsidRPr="00482B60">
        <w:tab/>
      </w:r>
      <w:r w:rsidRPr="00482B60">
        <w:tab/>
      </w:r>
      <w:r w:rsidRPr="00482B60">
        <w:tab/>
      </w:r>
      <w:r w:rsidRPr="00482B60">
        <w:tab/>
      </w:r>
      <w:r w:rsidRPr="00482B60">
        <w:tab/>
      </w:r>
      <w:r w:rsidRPr="00482B60">
        <w:tab/>
      </w:r>
      <w:r w:rsidR="00000254" w:rsidRPr="00000254">
        <w:rPr>
          <w:rFonts w:eastAsia="Calibri" w:cs="Times New Roman"/>
        </w:rPr>
        <w:t>Respectfully submitted,</w:t>
      </w:r>
    </w:p>
    <w:p w14:paraId="7727865A" w14:textId="77777777" w:rsidR="00000254" w:rsidRPr="00000254" w:rsidRDefault="00000254" w:rsidP="00000254">
      <w:pPr>
        <w:ind w:left="2880" w:firstLine="720"/>
        <w:jc w:val="center"/>
        <w:rPr>
          <w:rFonts w:eastAsia="Calibri" w:cs="Times New Roman"/>
        </w:rPr>
      </w:pPr>
    </w:p>
    <w:p w14:paraId="425A1F0F" w14:textId="77777777" w:rsidR="00000254" w:rsidRPr="00000254" w:rsidRDefault="00000254" w:rsidP="00000254">
      <w:pPr>
        <w:rPr>
          <w:rFonts w:eastAsia="Calibri" w:cs="Times New Roman"/>
          <w:i/>
          <w:u w:val="single"/>
        </w:rPr>
      </w:pPr>
      <w:r w:rsidRPr="00000254">
        <w:rPr>
          <w:rFonts w:eastAsia="Calibri" w:cs="Times New Roman"/>
        </w:rPr>
        <w:tab/>
      </w:r>
      <w:r w:rsidRPr="00000254">
        <w:rPr>
          <w:rFonts w:eastAsia="Calibri" w:cs="Times New Roman"/>
        </w:rPr>
        <w:tab/>
      </w:r>
      <w:r w:rsidRPr="00000254">
        <w:rPr>
          <w:rFonts w:eastAsia="Calibri" w:cs="Times New Roman"/>
        </w:rPr>
        <w:tab/>
      </w:r>
      <w:r w:rsidRPr="00000254">
        <w:rPr>
          <w:rFonts w:eastAsia="Calibri" w:cs="Times New Roman"/>
        </w:rPr>
        <w:tab/>
      </w:r>
      <w:r w:rsidRPr="00000254">
        <w:rPr>
          <w:rFonts w:eastAsia="Calibri" w:cs="Times New Roman"/>
        </w:rPr>
        <w:tab/>
      </w:r>
      <w:r w:rsidRPr="00000254">
        <w:rPr>
          <w:rFonts w:eastAsia="Calibri" w:cs="Times New Roman"/>
        </w:rPr>
        <w:tab/>
      </w:r>
      <w:r w:rsidRPr="00000254">
        <w:rPr>
          <w:rFonts w:eastAsia="Calibri" w:cs="Times New Roman"/>
        </w:rPr>
        <w:tab/>
      </w:r>
      <w:r w:rsidRPr="00000254">
        <w:rPr>
          <w:rFonts w:eastAsia="Calibri" w:cs="Times New Roman"/>
          <w:i/>
          <w:u w:val="single"/>
        </w:rPr>
        <w:t>/s/ Alex Roytblat</w:t>
      </w:r>
    </w:p>
    <w:p w14:paraId="16665FBD" w14:textId="77777777" w:rsidR="00000254" w:rsidRPr="00000254" w:rsidRDefault="00000254" w:rsidP="00000254">
      <w:pPr>
        <w:rPr>
          <w:rFonts w:eastAsia="Calibri" w:cs="Times New Roman"/>
          <w:i/>
          <w:u w:val="single"/>
        </w:rPr>
      </w:pPr>
    </w:p>
    <w:p w14:paraId="70738E9A" w14:textId="77777777" w:rsidR="00000254" w:rsidRPr="00000254" w:rsidRDefault="00000254" w:rsidP="00000254">
      <w:pPr>
        <w:ind w:left="4320" w:firstLine="720"/>
        <w:rPr>
          <w:rFonts w:eastAsia="Calibri" w:cs="Times New Roman"/>
          <w:b/>
          <w:caps/>
          <w:szCs w:val="24"/>
        </w:rPr>
      </w:pPr>
      <w:r w:rsidRPr="00000254">
        <w:rPr>
          <w:rFonts w:eastAsia="Calibri" w:cs="Times New Roman"/>
          <w:b/>
          <w:caps/>
          <w:szCs w:val="24"/>
        </w:rPr>
        <w:t>Wi-Fi Alliance</w:t>
      </w:r>
    </w:p>
    <w:p w14:paraId="1C32ABF3" w14:textId="77777777" w:rsidR="00000254" w:rsidRPr="00000254" w:rsidRDefault="00000254" w:rsidP="00000254">
      <w:pPr>
        <w:rPr>
          <w:rFonts w:eastAsia="Calibri" w:cs="Times New Roman"/>
          <w:szCs w:val="24"/>
        </w:rPr>
      </w:pPr>
      <w:r w:rsidRPr="00000254">
        <w:rPr>
          <w:rFonts w:eastAsia="Calibri" w:cs="Times New Roman"/>
          <w:szCs w:val="24"/>
        </w:rPr>
        <w:t xml:space="preserve"> </w:t>
      </w:r>
      <w:r w:rsidRPr="00000254">
        <w:rPr>
          <w:rFonts w:eastAsia="Calibri" w:cs="Times New Roman"/>
          <w:szCs w:val="24"/>
        </w:rPr>
        <w:tab/>
      </w:r>
      <w:r w:rsidRPr="00000254">
        <w:rPr>
          <w:rFonts w:eastAsia="Calibri" w:cs="Times New Roman"/>
          <w:szCs w:val="24"/>
        </w:rPr>
        <w:tab/>
      </w:r>
      <w:r w:rsidRPr="00000254">
        <w:rPr>
          <w:rFonts w:eastAsia="Calibri" w:cs="Times New Roman"/>
          <w:szCs w:val="24"/>
        </w:rPr>
        <w:tab/>
      </w:r>
      <w:r w:rsidRPr="00000254">
        <w:rPr>
          <w:rFonts w:eastAsia="Calibri" w:cs="Times New Roman"/>
          <w:szCs w:val="24"/>
        </w:rPr>
        <w:tab/>
      </w:r>
      <w:r w:rsidRPr="00000254">
        <w:rPr>
          <w:rFonts w:eastAsia="Calibri" w:cs="Times New Roman"/>
          <w:szCs w:val="24"/>
        </w:rPr>
        <w:tab/>
      </w:r>
      <w:r w:rsidRPr="00000254">
        <w:rPr>
          <w:rFonts w:eastAsia="Calibri" w:cs="Times New Roman"/>
          <w:szCs w:val="24"/>
        </w:rPr>
        <w:tab/>
      </w:r>
      <w:r w:rsidRPr="00000254">
        <w:rPr>
          <w:rFonts w:eastAsia="Calibri" w:cs="Times New Roman"/>
          <w:szCs w:val="24"/>
        </w:rPr>
        <w:tab/>
        <w:t>Alex Roytblat</w:t>
      </w:r>
    </w:p>
    <w:p w14:paraId="5EFB4272" w14:textId="77777777" w:rsidR="00000254" w:rsidRPr="00000254" w:rsidRDefault="00000254" w:rsidP="00000254">
      <w:pPr>
        <w:ind w:left="4320" w:firstLine="720"/>
        <w:rPr>
          <w:rFonts w:eastAsia="Calibri" w:cs="Times New Roman"/>
          <w:szCs w:val="24"/>
        </w:rPr>
      </w:pPr>
      <w:r w:rsidRPr="00000254">
        <w:rPr>
          <w:rFonts w:eastAsia="Calibri" w:cs="Times New Roman"/>
          <w:szCs w:val="24"/>
        </w:rPr>
        <w:t>Senior Director of Regulatory Affairs</w:t>
      </w:r>
    </w:p>
    <w:p w14:paraId="6830FFF4" w14:textId="77777777" w:rsidR="00000254" w:rsidRPr="00000254" w:rsidRDefault="00000254" w:rsidP="00000254">
      <w:pPr>
        <w:ind w:left="4320" w:firstLine="720"/>
        <w:rPr>
          <w:rFonts w:eastAsia="Calibri" w:cs="Times New Roman"/>
          <w:szCs w:val="24"/>
        </w:rPr>
      </w:pPr>
    </w:p>
    <w:p w14:paraId="3AD82D1A" w14:textId="77777777" w:rsidR="00000254" w:rsidRPr="00000254" w:rsidRDefault="00976991" w:rsidP="00000254">
      <w:pPr>
        <w:ind w:left="4320" w:firstLine="720"/>
        <w:rPr>
          <w:rFonts w:eastAsia="Calibri" w:cs="Times New Roman"/>
        </w:rPr>
      </w:pPr>
      <w:hyperlink r:id="rId12" w:history="1">
        <w:r w:rsidR="00000254" w:rsidRPr="00000254">
          <w:rPr>
            <w:rFonts w:eastAsia="Calibri" w:cs="Times New Roman"/>
            <w:color w:val="0000FF" w:themeColor="hyperlink"/>
            <w:szCs w:val="24"/>
            <w:u w:val="single"/>
          </w:rPr>
          <w:t>aroytblat@wi-fi.org</w:t>
        </w:r>
      </w:hyperlink>
    </w:p>
    <w:p w14:paraId="6966CD2A" w14:textId="6888A6C0" w:rsidR="00F65A49" w:rsidRPr="00F65A49" w:rsidRDefault="00976991" w:rsidP="00000254"/>
    <w:sectPr w:rsidR="00F65A49" w:rsidRPr="00F65A49" w:rsidSect="00E8352B">
      <w:footerReference w:type="default" r:id="rId13"/>
      <w:headerReference w:type="first" r:id="rId14"/>
      <w:pgSz w:w="12240" w:h="15840"/>
      <w:pgMar w:top="1440" w:right="1152" w:bottom="1440" w:left="129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E72A5A" w14:textId="77777777" w:rsidR="00976991" w:rsidRDefault="00976991">
      <w:r>
        <w:separator/>
      </w:r>
    </w:p>
  </w:endnote>
  <w:endnote w:type="continuationSeparator" w:id="0">
    <w:p w14:paraId="18CB418E" w14:textId="77777777" w:rsidR="00976991" w:rsidRDefault="00976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Pill Gothic 600mg Lt">
    <w:altName w:val="Calibri"/>
    <w:panose1 w:val="00000000000000000000"/>
    <w:charset w:val="00"/>
    <w:family w:val="modern"/>
    <w:notTrueType/>
    <w:pitch w:val="variable"/>
    <w:sig w:usb0="00000003" w:usb1="5000407B" w:usb2="00000000" w:usb3="00000000" w:csb0="00000001" w:csb1="00000000"/>
  </w:font>
  <w:font w:name="Open Sans">
    <w:altName w:val="Verdana"/>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EC42B" w14:textId="605D7963" w:rsidR="00CF32C2" w:rsidRDefault="00A3422C">
    <w:pPr>
      <w:pStyle w:val="Footer"/>
      <w:jc w:val="center"/>
    </w:pPr>
    <w:r>
      <w:fldChar w:fldCharType="begin"/>
    </w:r>
    <w:r>
      <w:instrText xml:space="preserve"> PAGE   \* MERGEFORMAT </w:instrText>
    </w:r>
    <w:r>
      <w:fldChar w:fldCharType="separate"/>
    </w:r>
    <w:r w:rsidR="004E2D2E">
      <w:rPr>
        <w:noProof/>
      </w:rPr>
      <w:t>7</w:t>
    </w:r>
    <w:r>
      <w:rPr>
        <w:noProof/>
      </w:rPr>
      <w:fldChar w:fldCharType="end"/>
    </w:r>
  </w:p>
  <w:p w14:paraId="74E87F75" w14:textId="77777777" w:rsidR="00CF32C2" w:rsidRDefault="009769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B22BD0" w14:textId="77777777" w:rsidR="00976991" w:rsidRDefault="00976991" w:rsidP="00486A74">
      <w:r>
        <w:separator/>
      </w:r>
    </w:p>
  </w:footnote>
  <w:footnote w:type="continuationSeparator" w:id="0">
    <w:p w14:paraId="47F9FD70" w14:textId="77777777" w:rsidR="00976991" w:rsidRDefault="00976991" w:rsidP="00486A74">
      <w:r>
        <w:continuationSeparator/>
      </w:r>
    </w:p>
  </w:footnote>
  <w:footnote w:id="1">
    <w:p w14:paraId="02A31F45" w14:textId="77777777" w:rsidR="00A24327" w:rsidRPr="008A02D2" w:rsidRDefault="00A24327" w:rsidP="006E391D">
      <w:pPr>
        <w:pStyle w:val="FootnoteText"/>
        <w:spacing w:after="120"/>
        <w:jc w:val="both"/>
        <w:rPr>
          <w:rFonts w:cs="Times New Roman"/>
          <w:sz w:val="22"/>
          <w:szCs w:val="22"/>
        </w:rPr>
      </w:pPr>
      <w:r w:rsidRPr="006A546B">
        <w:rPr>
          <w:rStyle w:val="FootnoteReference"/>
          <w:rFonts w:cs="Times New Roman"/>
          <w:sz w:val="22"/>
          <w:szCs w:val="22"/>
        </w:rPr>
        <w:footnoteRef/>
      </w:r>
      <w:r w:rsidRPr="006A546B">
        <w:rPr>
          <w:rStyle w:val="FootnoteReference"/>
          <w:rFonts w:cs="Times New Roman"/>
          <w:sz w:val="22"/>
          <w:szCs w:val="22"/>
        </w:rPr>
        <w:t>/</w:t>
      </w:r>
      <w:r w:rsidRPr="006A546B">
        <w:rPr>
          <w:rStyle w:val="FootnoteReference"/>
          <w:rFonts w:cs="Times New Roman"/>
          <w:sz w:val="22"/>
          <w:szCs w:val="22"/>
        </w:rPr>
        <w:tab/>
      </w:r>
      <w:r w:rsidRPr="008A02D2">
        <w:rPr>
          <w:rFonts w:cs="Times New Roman"/>
          <w:sz w:val="22"/>
          <w:szCs w:val="22"/>
        </w:rPr>
        <w:t xml:space="preserve">Wi-Fi®, the Wi-Fi logo, the Wi-Fi CERTIFIED logo, Wi-Fi Protected Access® (WPA), </w:t>
      </w:r>
      <w:proofErr w:type="spellStart"/>
      <w:r w:rsidRPr="008A02D2">
        <w:rPr>
          <w:rFonts w:cs="Times New Roman"/>
          <w:sz w:val="22"/>
          <w:szCs w:val="22"/>
        </w:rPr>
        <w:t>WiGig</w:t>
      </w:r>
      <w:proofErr w:type="spellEnd"/>
      <w:r w:rsidRPr="008A02D2">
        <w:rPr>
          <w:rFonts w:cs="Times New Roman"/>
          <w:sz w:val="22"/>
          <w:szCs w:val="22"/>
        </w:rPr>
        <w:t xml:space="preserve">®, the Wi-Fi Protected Setup logo, Wi-Fi Direct®, Wi-Fi Alliance®, WMM®, Miracast®, and Wi-Fi CERTIFIED </w:t>
      </w:r>
      <w:proofErr w:type="spellStart"/>
      <w:r w:rsidRPr="008A02D2">
        <w:rPr>
          <w:rFonts w:cs="Times New Roman"/>
          <w:sz w:val="22"/>
          <w:szCs w:val="22"/>
        </w:rPr>
        <w:t>Passpoint</w:t>
      </w:r>
      <w:proofErr w:type="spellEnd"/>
      <w:r w:rsidRPr="008A02D2">
        <w:rPr>
          <w:rFonts w:cs="Times New Roman"/>
          <w:sz w:val="22"/>
          <w:szCs w:val="22"/>
        </w:rPr>
        <w:t xml:space="preserve">® , and </w:t>
      </w:r>
      <w:proofErr w:type="spellStart"/>
      <w:r w:rsidRPr="008A02D2">
        <w:rPr>
          <w:rFonts w:cs="Times New Roman"/>
          <w:sz w:val="22"/>
          <w:szCs w:val="22"/>
        </w:rPr>
        <w:t>Passpoint</w:t>
      </w:r>
      <w:proofErr w:type="spellEnd"/>
      <w:r w:rsidRPr="008A02D2">
        <w:rPr>
          <w:rFonts w:cs="Times New Roman"/>
          <w:sz w:val="22"/>
          <w:szCs w:val="22"/>
        </w:rPr>
        <w:t xml:space="preserve">® are registered trademarks of Wi-Fi Alliance. Wi-Fi CERTIFIED™, Wi-Fi Protected Setup™, Wi-Fi Multimedia™, WPA2™, Wi-Fi CERTIFIED Miracast™, Wi-Fi ZONE™, the Wi-Fi ZONE logo, Wi-Fi Aware™, Wi-Fi CERTIFIED </w:t>
      </w:r>
      <w:proofErr w:type="spellStart"/>
      <w:r w:rsidRPr="008A02D2">
        <w:rPr>
          <w:rFonts w:cs="Times New Roman"/>
          <w:sz w:val="22"/>
          <w:szCs w:val="22"/>
        </w:rPr>
        <w:t>HaLow</w:t>
      </w:r>
      <w:proofErr w:type="spellEnd"/>
      <w:r w:rsidRPr="008A02D2">
        <w:rPr>
          <w:rFonts w:cs="Times New Roman"/>
          <w:sz w:val="22"/>
          <w:szCs w:val="22"/>
        </w:rPr>
        <w:t xml:space="preserve">™, Wi-Fi </w:t>
      </w:r>
      <w:proofErr w:type="spellStart"/>
      <w:r w:rsidRPr="008A02D2">
        <w:rPr>
          <w:rFonts w:cs="Times New Roman"/>
          <w:sz w:val="22"/>
          <w:szCs w:val="22"/>
        </w:rPr>
        <w:t>HaLow</w:t>
      </w:r>
      <w:proofErr w:type="spellEnd"/>
      <w:r w:rsidRPr="008A02D2">
        <w:rPr>
          <w:rFonts w:cs="Times New Roman"/>
          <w:sz w:val="22"/>
          <w:szCs w:val="22"/>
        </w:rPr>
        <w:t xml:space="preserve">™, Wi-Fi CERTIFIED </w:t>
      </w:r>
      <w:proofErr w:type="spellStart"/>
      <w:r w:rsidRPr="008A02D2">
        <w:rPr>
          <w:rFonts w:cs="Times New Roman"/>
          <w:sz w:val="22"/>
          <w:szCs w:val="22"/>
        </w:rPr>
        <w:t>WiGig</w:t>
      </w:r>
      <w:proofErr w:type="spellEnd"/>
      <w:r w:rsidRPr="008A02D2">
        <w:rPr>
          <w:rFonts w:cs="Times New Roman"/>
          <w:sz w:val="22"/>
          <w:szCs w:val="22"/>
        </w:rPr>
        <w:t xml:space="preserve">™, Wi-Fi CERTIFIED Vantage™, Wi-Fi Vantage™, Wi-Fi CERTIFIED </w:t>
      </w:r>
      <w:proofErr w:type="spellStart"/>
      <w:r w:rsidRPr="008A02D2">
        <w:rPr>
          <w:rFonts w:cs="Times New Roman"/>
          <w:sz w:val="22"/>
          <w:szCs w:val="22"/>
        </w:rPr>
        <w:t>TimeSync</w:t>
      </w:r>
      <w:proofErr w:type="spellEnd"/>
      <w:r w:rsidRPr="008A02D2">
        <w:rPr>
          <w:rFonts w:cs="Times New Roman"/>
          <w:sz w:val="22"/>
          <w:szCs w:val="22"/>
        </w:rPr>
        <w:t xml:space="preserve">™, Wi-Fi </w:t>
      </w:r>
      <w:proofErr w:type="spellStart"/>
      <w:r w:rsidRPr="008A02D2">
        <w:rPr>
          <w:rFonts w:cs="Times New Roman"/>
          <w:sz w:val="22"/>
          <w:szCs w:val="22"/>
        </w:rPr>
        <w:t>TimeSync</w:t>
      </w:r>
      <w:proofErr w:type="spellEnd"/>
      <w:r w:rsidRPr="008A02D2">
        <w:rPr>
          <w:rFonts w:cs="Times New Roman"/>
          <w:sz w:val="22"/>
          <w:szCs w:val="22"/>
        </w:rPr>
        <w:t>™, Wi-Fi CERTIFIED Location™, Wi-Fi CERTIFIED Home Design™, Wi-Fi CERTIFIED Agile Multiband™, Wi-Fi CERTIFIED Optimized Connectivity™, and the Wi-Fi Alliance logo are trademarks of Wi-Fi Alliance.</w:t>
      </w:r>
    </w:p>
  </w:footnote>
  <w:footnote w:id="2">
    <w:p w14:paraId="60C60EF3" w14:textId="13C1FF05" w:rsidR="00145BAF" w:rsidRPr="006A546B" w:rsidRDefault="00A3422C" w:rsidP="006E391D">
      <w:pPr>
        <w:pStyle w:val="FootnoteText"/>
        <w:spacing w:after="120"/>
        <w:jc w:val="both"/>
        <w:rPr>
          <w:rFonts w:cs="Times New Roman"/>
          <w:sz w:val="22"/>
          <w:szCs w:val="22"/>
        </w:rPr>
      </w:pPr>
      <w:r w:rsidRPr="008A02D2">
        <w:rPr>
          <w:rStyle w:val="FootnoteReference"/>
          <w:rFonts w:cs="Times New Roman"/>
          <w:sz w:val="22"/>
          <w:szCs w:val="22"/>
        </w:rPr>
        <w:footnoteRef/>
      </w:r>
      <w:r w:rsidRPr="008A02D2">
        <w:rPr>
          <w:rStyle w:val="FootnoteReference"/>
          <w:rFonts w:cs="Times New Roman"/>
          <w:sz w:val="22"/>
          <w:szCs w:val="22"/>
        </w:rPr>
        <w:t>/</w:t>
      </w:r>
      <w:r w:rsidRPr="008A02D2">
        <w:rPr>
          <w:rFonts w:cs="Times New Roman"/>
          <w:sz w:val="22"/>
          <w:szCs w:val="22"/>
        </w:rPr>
        <w:tab/>
      </w:r>
      <w:r w:rsidR="009A53D5">
        <w:rPr>
          <w:rFonts w:cs="Arial"/>
        </w:rPr>
        <w:t>New Approaches to Spectrum Sharing - Information</w:t>
      </w:r>
      <w:r w:rsidR="009A53D5" w:rsidRPr="003674F3">
        <w:rPr>
          <w:rFonts w:cs="Arial"/>
        </w:rPr>
        <w:t xml:space="preserve"> </w:t>
      </w:r>
      <w:r w:rsidR="009A53D5">
        <w:rPr>
          <w:rFonts w:cs="Arial"/>
        </w:rPr>
        <w:t>P</w:t>
      </w:r>
      <w:r w:rsidR="009A53D5" w:rsidRPr="003674F3">
        <w:rPr>
          <w:rFonts w:cs="Arial"/>
        </w:rPr>
        <w:t>aper</w:t>
      </w:r>
      <w:r w:rsidR="00692FAD" w:rsidRPr="008A02D2">
        <w:rPr>
          <w:rFonts w:cs="Times New Roman"/>
          <w:sz w:val="22"/>
          <w:szCs w:val="22"/>
        </w:rPr>
        <w:t xml:space="preserve">, </w:t>
      </w:r>
      <w:r w:rsidR="009A53D5">
        <w:rPr>
          <w:rFonts w:cs="Times New Roman"/>
          <w:sz w:val="22"/>
          <w:szCs w:val="22"/>
        </w:rPr>
        <w:t>August</w:t>
      </w:r>
      <w:r w:rsidR="005C374D">
        <w:rPr>
          <w:rFonts w:cs="Times New Roman"/>
          <w:sz w:val="22"/>
          <w:szCs w:val="22"/>
        </w:rPr>
        <w:t>.</w:t>
      </w:r>
      <w:r w:rsidR="001B32EF" w:rsidRPr="008A02D2">
        <w:rPr>
          <w:rFonts w:cs="Times New Roman"/>
          <w:sz w:val="22"/>
          <w:szCs w:val="22"/>
        </w:rPr>
        <w:t xml:space="preserve"> 201</w:t>
      </w:r>
      <w:r w:rsidR="009A53D5">
        <w:rPr>
          <w:rFonts w:cs="Times New Roman"/>
          <w:sz w:val="22"/>
          <w:szCs w:val="22"/>
        </w:rPr>
        <w:t>9</w:t>
      </w:r>
      <w:r w:rsidR="006E391D">
        <w:rPr>
          <w:rFonts w:cs="Times New Roman"/>
          <w:sz w:val="22"/>
          <w:szCs w:val="22"/>
        </w:rPr>
        <w:t>, a</w:t>
      </w:r>
      <w:r w:rsidR="00830249" w:rsidRPr="006E391D">
        <w:rPr>
          <w:rFonts w:cs="Times New Roman"/>
          <w:sz w:val="22"/>
          <w:szCs w:val="22"/>
        </w:rPr>
        <w:t>vailable at</w:t>
      </w:r>
      <w:r w:rsidR="00830249" w:rsidRPr="008A02D2">
        <w:rPr>
          <w:rFonts w:cs="Times New Roman"/>
          <w:sz w:val="22"/>
          <w:szCs w:val="22"/>
        </w:rPr>
        <w:t xml:space="preserve"> </w:t>
      </w:r>
      <w:hyperlink r:id="rId1" w:history="1">
        <w:r w:rsidR="009A53D5" w:rsidRPr="00D30B88">
          <w:rPr>
            <w:rStyle w:val="Hyperlink"/>
          </w:rPr>
          <w:t>https://www.acma.gov.au/theACMA/-/media/3E62C6D4613B4872960A36934F00BA44.ashx</w:t>
        </w:r>
      </w:hyperlink>
      <w:r w:rsidR="009A53D5">
        <w:t xml:space="preserve"> </w:t>
      </w:r>
      <w:r w:rsidR="00830249" w:rsidRPr="008A02D2">
        <w:rPr>
          <w:rFonts w:cs="Times New Roman"/>
          <w:sz w:val="22"/>
          <w:szCs w:val="22"/>
        </w:rPr>
        <w:t xml:space="preserve">. </w:t>
      </w:r>
    </w:p>
  </w:footnote>
  <w:footnote w:id="3">
    <w:p w14:paraId="6F94CB8E" w14:textId="7FE1BC36" w:rsidR="00E150F9" w:rsidRPr="00561667" w:rsidRDefault="00E150F9" w:rsidP="006E391D">
      <w:pPr>
        <w:pStyle w:val="FootnoteText"/>
        <w:spacing w:after="120"/>
        <w:jc w:val="both"/>
        <w:rPr>
          <w:rFonts w:cs="Times New Roman"/>
          <w:sz w:val="22"/>
          <w:szCs w:val="22"/>
        </w:rPr>
      </w:pPr>
      <w:r w:rsidRPr="00561667">
        <w:rPr>
          <w:rStyle w:val="FootnoteReference"/>
          <w:rFonts w:cs="Times New Roman"/>
          <w:sz w:val="22"/>
          <w:szCs w:val="22"/>
        </w:rPr>
        <w:footnoteRef/>
      </w:r>
      <w:r w:rsidRPr="00561667">
        <w:rPr>
          <w:rStyle w:val="FootnoteReference"/>
          <w:rFonts w:cs="Times New Roman"/>
          <w:sz w:val="22"/>
          <w:szCs w:val="22"/>
        </w:rPr>
        <w:t>/</w:t>
      </w:r>
      <w:r w:rsidRPr="00561667">
        <w:rPr>
          <w:rFonts w:cs="Times New Roman"/>
          <w:sz w:val="22"/>
          <w:szCs w:val="22"/>
        </w:rPr>
        <w:tab/>
        <w:t xml:space="preserve">Telecom Advisory Services, </w:t>
      </w:r>
      <w:r w:rsidRPr="00561667">
        <w:rPr>
          <w:rFonts w:cs="Times New Roman"/>
          <w:smallCaps/>
          <w:sz w:val="22"/>
          <w:szCs w:val="22"/>
        </w:rPr>
        <w:t>The Economic Value of Wi-Fi: A Global View (2018 and 2023</w:t>
      </w:r>
      <w:r w:rsidRPr="00561667">
        <w:rPr>
          <w:rFonts w:cs="Times New Roman"/>
          <w:sz w:val="22"/>
          <w:szCs w:val="22"/>
        </w:rPr>
        <w:t xml:space="preserve">), at 10, rel. Oct. 2018, available at </w:t>
      </w:r>
      <w:hyperlink r:id="rId2" w:history="1">
        <w:r w:rsidR="00830249" w:rsidRPr="00E53FA1">
          <w:rPr>
            <w:rStyle w:val="Hyperlink"/>
            <w:rFonts w:cs="Times New Roman"/>
            <w:sz w:val="22"/>
            <w:szCs w:val="22"/>
          </w:rPr>
          <w:t>https://www.wi-fi.org/value-of-wi-fi</w:t>
        </w:r>
      </w:hyperlink>
      <w:r w:rsidR="00830249">
        <w:rPr>
          <w:rFonts w:cs="Times New Roman"/>
          <w:sz w:val="22"/>
          <w:szCs w:val="22"/>
        </w:rPr>
        <w:t xml:space="preserve"> </w:t>
      </w:r>
      <w:r w:rsidRPr="00561667">
        <w:rPr>
          <w:rFonts w:cs="Times New Roman"/>
          <w:sz w:val="22"/>
          <w:szCs w:val="22"/>
        </w:rPr>
        <w:t>(“</w:t>
      </w:r>
      <w:r w:rsidRPr="00561667">
        <w:rPr>
          <w:rFonts w:cs="Times New Roman"/>
          <w:i/>
          <w:sz w:val="22"/>
          <w:szCs w:val="22"/>
        </w:rPr>
        <w:t>Economic Value of Wi-Fi</w:t>
      </w:r>
      <w:r w:rsidRPr="00561667">
        <w:rPr>
          <w:rFonts w:cs="Times New Roman"/>
          <w:sz w:val="22"/>
          <w:szCs w:val="22"/>
        </w:rPr>
        <w:t>”).  The report noted that Wi-Fi is a “key enabler” of forthcoming 5G mobile networks, and incorporated many of those benefits into its analysis.</w:t>
      </w:r>
    </w:p>
  </w:footnote>
  <w:footnote w:id="4">
    <w:p w14:paraId="73531225" w14:textId="0F209C25" w:rsidR="006B5941" w:rsidRPr="006A546B" w:rsidRDefault="00A3422C" w:rsidP="006E391D">
      <w:pPr>
        <w:pStyle w:val="FootnoteText"/>
        <w:spacing w:after="120"/>
        <w:jc w:val="both"/>
        <w:rPr>
          <w:rFonts w:cs="Times New Roman"/>
          <w:sz w:val="22"/>
          <w:szCs w:val="22"/>
          <w:highlight w:val="yellow"/>
        </w:rPr>
      </w:pPr>
      <w:r w:rsidRPr="006A546B">
        <w:rPr>
          <w:rStyle w:val="FootnoteReference"/>
          <w:rFonts w:cs="Times New Roman"/>
          <w:sz w:val="22"/>
          <w:szCs w:val="22"/>
        </w:rPr>
        <w:footnoteRef/>
      </w:r>
      <w:r w:rsidRPr="006A546B">
        <w:rPr>
          <w:rStyle w:val="FootnoteReference"/>
          <w:rFonts w:cs="Times New Roman"/>
          <w:sz w:val="22"/>
          <w:szCs w:val="22"/>
        </w:rPr>
        <w:t>/</w:t>
      </w:r>
      <w:r w:rsidRPr="006A546B">
        <w:rPr>
          <w:rFonts w:cs="Times New Roman"/>
          <w:sz w:val="22"/>
          <w:szCs w:val="22"/>
        </w:rPr>
        <w:tab/>
        <w:t xml:space="preserve">CISCO, </w:t>
      </w:r>
      <w:r w:rsidRPr="006A546B">
        <w:rPr>
          <w:rFonts w:cs="Times New Roman"/>
          <w:i/>
          <w:iCs/>
          <w:sz w:val="22"/>
          <w:szCs w:val="22"/>
        </w:rPr>
        <w:t>VNI Complete Forecast Highlights Tool</w:t>
      </w:r>
      <w:r w:rsidRPr="006A546B">
        <w:rPr>
          <w:rFonts w:cs="Times New Roman"/>
          <w:sz w:val="22"/>
          <w:szCs w:val="22"/>
        </w:rPr>
        <w:t xml:space="preserve">, </w:t>
      </w:r>
      <w:r w:rsidR="00B15CBB" w:rsidRPr="006A546B">
        <w:rPr>
          <w:rFonts w:cs="Times New Roman"/>
          <w:sz w:val="22"/>
          <w:szCs w:val="22"/>
        </w:rPr>
        <w:t>Asia Pacific, Australia</w:t>
      </w:r>
      <w:r w:rsidRPr="006A546B">
        <w:rPr>
          <w:rFonts w:cs="Times New Roman"/>
          <w:sz w:val="22"/>
          <w:szCs w:val="22"/>
        </w:rPr>
        <w:t xml:space="preserve">, Wired Wi-Fi and Mobile Growth (2016), </w:t>
      </w:r>
      <w:r w:rsidR="00A564C1">
        <w:rPr>
          <w:rFonts w:cs="Times New Roman"/>
          <w:sz w:val="22"/>
          <w:szCs w:val="22"/>
        </w:rPr>
        <w:t xml:space="preserve">available at </w:t>
      </w:r>
      <w:hyperlink r:id="rId3" w:history="1">
        <w:r w:rsidR="00FE47AD" w:rsidRPr="00E53FA1">
          <w:rPr>
            <w:rStyle w:val="Hyperlink"/>
            <w:rFonts w:cs="Times New Roman"/>
            <w:sz w:val="22"/>
            <w:szCs w:val="22"/>
          </w:rPr>
          <w:t>http://www.cisco.com/c/m/en_us/solutions/service-provider/vni-forecast-highlights.html</w:t>
        </w:r>
      </w:hyperlink>
      <w:r w:rsidR="00FE47AD">
        <w:rPr>
          <w:rFonts w:cs="Times New Roman"/>
          <w:sz w:val="22"/>
          <w:szCs w:val="22"/>
        </w:rPr>
        <w:t xml:space="preserve"> </w:t>
      </w:r>
      <w:r w:rsidRPr="006A546B">
        <w:rPr>
          <w:rFonts w:cs="Times New Roman"/>
          <w:sz w:val="22"/>
          <w:szCs w:val="22"/>
        </w:rPr>
        <w:t xml:space="preserve"> (select “</w:t>
      </w:r>
      <w:r w:rsidR="00B15CBB" w:rsidRPr="006A546B">
        <w:rPr>
          <w:rFonts w:cs="Times New Roman"/>
          <w:sz w:val="22"/>
          <w:szCs w:val="22"/>
        </w:rPr>
        <w:t>Australia</w:t>
      </w:r>
      <w:r w:rsidRPr="006A546B">
        <w:rPr>
          <w:rFonts w:cs="Times New Roman"/>
          <w:sz w:val="22"/>
          <w:szCs w:val="22"/>
        </w:rPr>
        <w:t>” from the “</w:t>
      </w:r>
      <w:r w:rsidR="00B15CBB" w:rsidRPr="006A546B">
        <w:rPr>
          <w:rFonts w:cs="Times New Roman"/>
          <w:sz w:val="22"/>
          <w:szCs w:val="22"/>
        </w:rPr>
        <w:t>Asia Pacific” drop-down menu</w:t>
      </w:r>
      <w:r w:rsidRPr="006A546B">
        <w:rPr>
          <w:rFonts w:cs="Times New Roman"/>
          <w:sz w:val="22"/>
          <w:szCs w:val="22"/>
        </w:rPr>
        <w:t xml:space="preserve"> and expand “</w:t>
      </w:r>
      <w:r w:rsidR="00B15CBB" w:rsidRPr="006A546B">
        <w:rPr>
          <w:rFonts w:cs="Times New Roman"/>
          <w:sz w:val="22"/>
          <w:szCs w:val="22"/>
        </w:rPr>
        <w:t>Fixed/</w:t>
      </w:r>
      <w:r w:rsidRPr="006A546B">
        <w:rPr>
          <w:rFonts w:cs="Times New Roman"/>
          <w:sz w:val="22"/>
          <w:szCs w:val="22"/>
        </w:rPr>
        <w:t>Wi-Fi</w:t>
      </w:r>
      <w:r w:rsidR="005628E8" w:rsidRPr="006A546B">
        <w:rPr>
          <w:rFonts w:cs="Times New Roman"/>
          <w:sz w:val="22"/>
          <w:szCs w:val="22"/>
        </w:rPr>
        <w:t>.</w:t>
      </w:r>
      <w:r w:rsidRPr="006A546B">
        <w:rPr>
          <w:rFonts w:cs="Times New Roman"/>
          <w:sz w:val="22"/>
          <w:szCs w:val="22"/>
        </w:rPr>
        <w:t>”</w:t>
      </w:r>
      <w:r w:rsidR="005628E8" w:rsidRPr="006A546B">
        <w:rPr>
          <w:rFonts w:cs="Times New Roman"/>
          <w:sz w:val="22"/>
          <w:szCs w:val="22"/>
        </w:rPr>
        <w:t xml:space="preserve"> (“CISCO VNI”)</w:t>
      </w:r>
      <w:r w:rsidRPr="006A546B">
        <w:rPr>
          <w:rFonts w:cs="Times New Roman"/>
          <w:sz w:val="22"/>
          <w:szCs w:val="22"/>
        </w:rPr>
        <w:t xml:space="preserve"> </w:t>
      </w:r>
    </w:p>
  </w:footnote>
  <w:footnote w:id="5">
    <w:p w14:paraId="4E375AE9" w14:textId="76E06C31" w:rsidR="00E150F9" w:rsidRPr="00561667" w:rsidRDefault="00E150F9" w:rsidP="006E391D">
      <w:pPr>
        <w:pStyle w:val="FootnoteText"/>
        <w:spacing w:after="120"/>
        <w:jc w:val="both"/>
        <w:rPr>
          <w:rFonts w:cs="Times New Roman"/>
          <w:b/>
          <w:sz w:val="22"/>
          <w:szCs w:val="22"/>
        </w:rPr>
      </w:pPr>
      <w:r w:rsidRPr="00561667">
        <w:rPr>
          <w:rStyle w:val="FootnoteReference"/>
          <w:rFonts w:cs="Times New Roman"/>
          <w:sz w:val="22"/>
          <w:szCs w:val="22"/>
        </w:rPr>
        <w:footnoteRef/>
      </w:r>
      <w:r w:rsidRPr="00561667">
        <w:rPr>
          <w:rStyle w:val="FootnoteReference"/>
          <w:rFonts w:cs="Times New Roman"/>
          <w:sz w:val="22"/>
          <w:szCs w:val="22"/>
        </w:rPr>
        <w:t>/</w:t>
      </w:r>
      <w:r w:rsidRPr="00561667">
        <w:rPr>
          <w:rFonts w:cs="Times New Roman"/>
          <w:sz w:val="22"/>
          <w:szCs w:val="22"/>
        </w:rPr>
        <w:tab/>
      </w:r>
      <w:r w:rsidRPr="00561667">
        <w:rPr>
          <w:rFonts w:cs="Times New Roman"/>
          <w:i/>
          <w:sz w:val="22"/>
          <w:szCs w:val="22"/>
        </w:rPr>
        <w:t>See</w:t>
      </w:r>
      <w:r w:rsidRPr="00561667">
        <w:rPr>
          <w:rFonts w:cs="Times New Roman"/>
          <w:sz w:val="22"/>
          <w:szCs w:val="22"/>
        </w:rPr>
        <w:t xml:space="preserve">, </w:t>
      </w:r>
      <w:r w:rsidRPr="00561667">
        <w:rPr>
          <w:rFonts w:cs="Times New Roman"/>
          <w:i/>
          <w:sz w:val="22"/>
          <w:szCs w:val="22"/>
        </w:rPr>
        <w:t xml:space="preserve">e.g. </w:t>
      </w:r>
      <w:r w:rsidRPr="00561667">
        <w:rPr>
          <w:rFonts w:cs="Times New Roman"/>
          <w:sz w:val="22"/>
          <w:szCs w:val="22"/>
        </w:rPr>
        <w:t xml:space="preserve">Fierce Wireless, </w:t>
      </w:r>
      <w:r w:rsidRPr="00561667">
        <w:rPr>
          <w:rFonts w:cs="Times New Roman"/>
          <w:i/>
          <w:sz w:val="22"/>
          <w:szCs w:val="22"/>
        </w:rPr>
        <w:t>Cellular and Wi-Fi Use – by operator and data plan type</w:t>
      </w:r>
      <w:r w:rsidRPr="00561667">
        <w:rPr>
          <w:rFonts w:cs="Times New Roman"/>
          <w:sz w:val="22"/>
          <w:szCs w:val="22"/>
        </w:rPr>
        <w:t xml:space="preserve">, Mar. 21, 2018 (available at </w:t>
      </w:r>
      <w:hyperlink r:id="rId4" w:history="1">
        <w:r w:rsidR="00FE47AD" w:rsidRPr="00E53FA1">
          <w:rPr>
            <w:rStyle w:val="Hyperlink"/>
            <w:rFonts w:cs="Times New Roman"/>
            <w:sz w:val="22"/>
            <w:szCs w:val="22"/>
          </w:rPr>
          <w:t>https://www.fiercewireless.com/wireless/cellular-and-wi-fi-use-by-operator-and-data-plan-type-for-verizon-at-t-t-mobile-and-1</w:t>
        </w:r>
      </w:hyperlink>
      <w:r w:rsidRPr="00561667">
        <w:rPr>
          <w:rFonts w:cs="Times New Roman"/>
          <w:sz w:val="22"/>
          <w:szCs w:val="22"/>
        </w:rPr>
        <w:t>)</w:t>
      </w:r>
      <w:r w:rsidR="00FE47AD">
        <w:rPr>
          <w:rFonts w:cs="Times New Roman"/>
          <w:sz w:val="22"/>
          <w:szCs w:val="22"/>
        </w:rPr>
        <w:t xml:space="preserve"> </w:t>
      </w:r>
      <w:r w:rsidRPr="00561667">
        <w:rPr>
          <w:rFonts w:cs="Times New Roman"/>
          <w:sz w:val="22"/>
          <w:szCs w:val="22"/>
        </w:rPr>
        <w:t xml:space="preserve">(showing that over 75% of overall smartphone data travels over Wi-Fi, rather than commercial wireless, networks). </w:t>
      </w:r>
    </w:p>
  </w:footnote>
  <w:footnote w:id="6">
    <w:p w14:paraId="3CA78DDD" w14:textId="5C99A322" w:rsidR="00E150F9" w:rsidRPr="00561667" w:rsidRDefault="00E150F9" w:rsidP="006E391D">
      <w:pPr>
        <w:pStyle w:val="FootnoteText"/>
        <w:spacing w:after="120"/>
        <w:jc w:val="both"/>
        <w:rPr>
          <w:rFonts w:cs="Times New Roman"/>
          <w:sz w:val="22"/>
          <w:szCs w:val="22"/>
        </w:rPr>
      </w:pPr>
      <w:r w:rsidRPr="00561667">
        <w:rPr>
          <w:rStyle w:val="FootnoteReference"/>
          <w:rFonts w:cs="Times New Roman"/>
          <w:sz w:val="22"/>
          <w:szCs w:val="22"/>
        </w:rPr>
        <w:footnoteRef/>
      </w:r>
      <w:r w:rsidRPr="00561667">
        <w:rPr>
          <w:rStyle w:val="FootnoteReference"/>
          <w:rFonts w:cs="Times New Roman"/>
          <w:sz w:val="22"/>
          <w:szCs w:val="22"/>
        </w:rPr>
        <w:t>/</w:t>
      </w:r>
      <w:r w:rsidRPr="00561667">
        <w:rPr>
          <w:rFonts w:cs="Times New Roman"/>
          <w:sz w:val="22"/>
          <w:szCs w:val="22"/>
        </w:rPr>
        <w:tab/>
      </w:r>
      <w:r w:rsidRPr="00561667">
        <w:rPr>
          <w:rFonts w:cs="Times New Roman"/>
          <w:i/>
          <w:sz w:val="22"/>
          <w:szCs w:val="22"/>
        </w:rPr>
        <w:t>See e.g.</w:t>
      </w:r>
      <w:r w:rsidRPr="00561667">
        <w:rPr>
          <w:rFonts w:cs="Times New Roman"/>
          <w:sz w:val="22"/>
          <w:szCs w:val="22"/>
        </w:rPr>
        <w:t xml:space="preserve"> Brian Santo, </w:t>
      </w:r>
      <w:r w:rsidRPr="00561667">
        <w:rPr>
          <w:rFonts w:cs="Times New Roman"/>
          <w:i/>
          <w:sz w:val="22"/>
          <w:szCs w:val="22"/>
        </w:rPr>
        <w:t>Wi-Fi vs. 5G? Nope, it’s both</w:t>
      </w:r>
      <w:r w:rsidRPr="00561667">
        <w:rPr>
          <w:rFonts w:cs="Times New Roman"/>
          <w:sz w:val="22"/>
          <w:szCs w:val="22"/>
        </w:rPr>
        <w:t xml:space="preserve">, EDN Network, Dec. 5, 2017 (available at </w:t>
      </w:r>
      <w:hyperlink r:id="rId5" w:history="1">
        <w:r w:rsidR="00FE47AD" w:rsidRPr="00E53FA1">
          <w:rPr>
            <w:rStyle w:val="Hyperlink"/>
            <w:rFonts w:cs="Times New Roman"/>
            <w:sz w:val="22"/>
            <w:szCs w:val="22"/>
          </w:rPr>
          <w:t>https://www.edn.com/electronics-blogs/5g-waves/4459120/Wi-Fi-versus-5G--Nope--it-s-both</w:t>
        </w:r>
      </w:hyperlink>
      <w:r w:rsidR="00FE47AD">
        <w:rPr>
          <w:rFonts w:cs="Times New Roman"/>
          <w:sz w:val="22"/>
          <w:szCs w:val="22"/>
        </w:rPr>
        <w:t xml:space="preserve">). </w:t>
      </w:r>
      <w:r w:rsidRPr="00561667">
        <w:rPr>
          <w:rFonts w:cs="Times New Roman"/>
          <w:sz w:val="22"/>
          <w:szCs w:val="22"/>
        </w:rPr>
        <w:t xml:space="preserve"> </w:t>
      </w:r>
      <w:r w:rsidR="00FE47AD">
        <w:rPr>
          <w:rFonts w:cs="Times New Roman"/>
          <w:sz w:val="22"/>
          <w:szCs w:val="22"/>
        </w:rPr>
        <w:t xml:space="preserve"> </w:t>
      </w:r>
    </w:p>
  </w:footnote>
  <w:footnote w:id="7">
    <w:p w14:paraId="02FA1C60" w14:textId="77777777" w:rsidR="00E150F9" w:rsidRPr="00561667" w:rsidRDefault="00E150F9" w:rsidP="00E150F9">
      <w:pPr>
        <w:pStyle w:val="FootnoteText"/>
        <w:spacing w:after="120"/>
        <w:rPr>
          <w:rFonts w:cs="Times New Roman"/>
          <w:sz w:val="22"/>
          <w:szCs w:val="22"/>
        </w:rPr>
      </w:pPr>
      <w:r w:rsidRPr="00561667">
        <w:rPr>
          <w:rStyle w:val="FootnoteReference"/>
          <w:rFonts w:cs="Times New Roman"/>
          <w:sz w:val="22"/>
          <w:szCs w:val="22"/>
        </w:rPr>
        <w:footnoteRef/>
      </w:r>
      <w:r w:rsidRPr="00561667">
        <w:rPr>
          <w:rStyle w:val="FootnoteReference"/>
          <w:rFonts w:cs="Times New Roman"/>
          <w:sz w:val="22"/>
          <w:szCs w:val="22"/>
        </w:rPr>
        <w:t>/</w:t>
      </w:r>
      <w:r w:rsidRPr="00561667">
        <w:rPr>
          <w:rFonts w:cs="Times New Roman"/>
          <w:sz w:val="22"/>
          <w:szCs w:val="22"/>
        </w:rPr>
        <w:tab/>
      </w:r>
      <w:r w:rsidRPr="00561667">
        <w:rPr>
          <w:rFonts w:cs="Times New Roman"/>
          <w:i/>
          <w:sz w:val="22"/>
          <w:szCs w:val="22"/>
        </w:rPr>
        <w:t>Economic Value of Wi-Fi</w:t>
      </w:r>
      <w:r w:rsidRPr="00561667">
        <w:rPr>
          <w:rFonts w:cs="Times New Roman"/>
          <w:sz w:val="22"/>
          <w:szCs w:val="22"/>
        </w:rPr>
        <w:t xml:space="preserve">. </w:t>
      </w:r>
    </w:p>
  </w:footnote>
  <w:footnote w:id="8">
    <w:p w14:paraId="501F2E1F" w14:textId="5D0DB781" w:rsidR="00E150F9" w:rsidRPr="00561667" w:rsidRDefault="00E150F9" w:rsidP="006E391D">
      <w:pPr>
        <w:pStyle w:val="FootnoteText"/>
        <w:spacing w:after="120"/>
        <w:jc w:val="both"/>
        <w:rPr>
          <w:rFonts w:cs="Times New Roman"/>
          <w:sz w:val="22"/>
          <w:szCs w:val="22"/>
        </w:rPr>
      </w:pPr>
      <w:r w:rsidRPr="00561667">
        <w:rPr>
          <w:rStyle w:val="FootnoteReference"/>
          <w:rFonts w:cs="Times New Roman"/>
          <w:sz w:val="22"/>
          <w:szCs w:val="22"/>
        </w:rPr>
        <w:footnoteRef/>
      </w:r>
      <w:r w:rsidRPr="00561667">
        <w:rPr>
          <w:rStyle w:val="FootnoteReference"/>
          <w:rFonts w:cs="Times New Roman"/>
          <w:sz w:val="22"/>
          <w:szCs w:val="22"/>
        </w:rPr>
        <w:t>/</w:t>
      </w:r>
      <w:r w:rsidRPr="00561667">
        <w:rPr>
          <w:rFonts w:cs="Times New Roman"/>
          <w:sz w:val="22"/>
          <w:szCs w:val="22"/>
        </w:rPr>
        <w:tab/>
        <w:t xml:space="preserve">Like 5G, Wi-Fi works across spectrum bands, taking advantage of different standards and propagation characteristics to provide the right performance for the required use case.  Despite the increased capacity of wireless carriers, the demands that a 5G economy will place on commercial wireless networks will make offloading of traffic onto Wi-Fi even more crucial in the future, especially as Wi-Fi 6 promises speeds and performance that rivals or exceeds those of 5G networks. </w:t>
      </w:r>
      <w:r w:rsidRPr="00561667">
        <w:rPr>
          <w:rFonts w:cs="Times New Roman"/>
          <w:i/>
          <w:sz w:val="22"/>
          <w:szCs w:val="22"/>
        </w:rPr>
        <w:t>See e.g.</w:t>
      </w:r>
      <w:r w:rsidRPr="00561667">
        <w:rPr>
          <w:rFonts w:cs="Times New Roman"/>
          <w:sz w:val="22"/>
          <w:szCs w:val="22"/>
        </w:rPr>
        <w:t xml:space="preserve"> Jacob </w:t>
      </w:r>
      <w:proofErr w:type="spellStart"/>
      <w:r w:rsidRPr="00561667">
        <w:rPr>
          <w:rFonts w:cs="Times New Roman"/>
          <w:sz w:val="22"/>
          <w:szCs w:val="22"/>
        </w:rPr>
        <w:t>Kastrenaks</w:t>
      </w:r>
      <w:proofErr w:type="spellEnd"/>
      <w:r w:rsidRPr="00561667">
        <w:rPr>
          <w:rFonts w:cs="Times New Roman"/>
          <w:sz w:val="22"/>
          <w:szCs w:val="22"/>
        </w:rPr>
        <w:t xml:space="preserve">, </w:t>
      </w:r>
      <w:r w:rsidRPr="00561667">
        <w:rPr>
          <w:rFonts w:cs="Times New Roman"/>
          <w:i/>
          <w:sz w:val="22"/>
          <w:szCs w:val="22"/>
        </w:rPr>
        <w:t>Qualcomm’s new Wi-Fi Chips are meant to rival 5G speeds</w:t>
      </w:r>
      <w:r w:rsidRPr="00561667">
        <w:rPr>
          <w:rFonts w:cs="Times New Roman"/>
          <w:sz w:val="22"/>
          <w:szCs w:val="22"/>
        </w:rPr>
        <w:t xml:space="preserve">, THE VERGE, Oct. 16, 2018 (available at </w:t>
      </w:r>
      <w:hyperlink r:id="rId6" w:history="1">
        <w:r w:rsidR="00063BDC" w:rsidRPr="00E53FA1">
          <w:rPr>
            <w:rStyle w:val="Hyperlink"/>
            <w:rFonts w:cs="Times New Roman"/>
            <w:sz w:val="22"/>
            <w:szCs w:val="22"/>
          </w:rPr>
          <w:t>https://www.theverge.com/circuitbreaker/2018/10/16/17980124/80211ay-wigig-qualcomm-wifi-10-gigabit-speeds</w:t>
        </w:r>
      </w:hyperlink>
      <w:r w:rsidRPr="00561667">
        <w:rPr>
          <w:rFonts w:cs="Times New Roman"/>
          <w:sz w:val="22"/>
          <w:szCs w:val="22"/>
        </w:rPr>
        <w:t>).</w:t>
      </w:r>
      <w:r w:rsidR="00063BDC">
        <w:rPr>
          <w:rFonts w:cs="Times New Roman"/>
          <w:sz w:val="22"/>
          <w:szCs w:val="22"/>
        </w:rPr>
        <w:t xml:space="preserve"> </w:t>
      </w:r>
    </w:p>
  </w:footnote>
  <w:footnote w:id="9">
    <w:p w14:paraId="4271A28F" w14:textId="7CEC96EF" w:rsidR="00090998" w:rsidRPr="006A546B" w:rsidRDefault="00090998" w:rsidP="006E391D">
      <w:pPr>
        <w:pStyle w:val="FootnoteText"/>
        <w:spacing w:after="120"/>
        <w:jc w:val="both"/>
        <w:rPr>
          <w:rFonts w:cs="Times New Roman"/>
          <w:sz w:val="22"/>
          <w:szCs w:val="22"/>
        </w:rPr>
      </w:pPr>
      <w:r w:rsidRPr="006A546B">
        <w:rPr>
          <w:rStyle w:val="FootnoteReference"/>
          <w:rFonts w:cs="Times New Roman"/>
          <w:sz w:val="22"/>
          <w:szCs w:val="22"/>
        </w:rPr>
        <w:footnoteRef/>
      </w:r>
      <w:r w:rsidRPr="006A546B">
        <w:rPr>
          <w:rStyle w:val="FootnoteReference"/>
          <w:rFonts w:cs="Times New Roman"/>
          <w:sz w:val="22"/>
          <w:szCs w:val="22"/>
        </w:rPr>
        <w:t>/</w:t>
      </w:r>
      <w:r w:rsidRPr="006A546B">
        <w:rPr>
          <w:rFonts w:cs="Times New Roman"/>
          <w:sz w:val="22"/>
          <w:szCs w:val="22"/>
        </w:rPr>
        <w:tab/>
      </w:r>
      <w:r w:rsidRPr="006A546B">
        <w:rPr>
          <w:rFonts w:cs="Times New Roman"/>
          <w:i/>
          <w:sz w:val="22"/>
          <w:szCs w:val="22"/>
        </w:rPr>
        <w:t>Five Year Spectrum Outlook 2017-21, The ACMA’s spectrum management work program</w:t>
      </w:r>
      <w:r w:rsidRPr="006A546B">
        <w:rPr>
          <w:rFonts w:cs="Times New Roman"/>
          <w:sz w:val="22"/>
          <w:szCs w:val="22"/>
        </w:rPr>
        <w:t>,</w:t>
      </w:r>
      <w:r w:rsidR="005C374D">
        <w:rPr>
          <w:rFonts w:cs="Times New Roman"/>
          <w:sz w:val="22"/>
          <w:szCs w:val="22"/>
        </w:rPr>
        <w:t xml:space="preserve"> Oct.</w:t>
      </w:r>
      <w:r w:rsidR="00A0509E">
        <w:rPr>
          <w:rFonts w:cs="Times New Roman"/>
          <w:sz w:val="22"/>
          <w:szCs w:val="22"/>
        </w:rPr>
        <w:t xml:space="preserve">  2017, at 57 (Table 7), available at </w:t>
      </w:r>
      <w:hyperlink r:id="rId7" w:history="1">
        <w:r w:rsidR="00A0509E" w:rsidRPr="00E53FA1">
          <w:rPr>
            <w:rStyle w:val="Hyperlink"/>
            <w:rFonts w:cs="Times New Roman"/>
            <w:sz w:val="22"/>
            <w:szCs w:val="22"/>
          </w:rPr>
          <w:t>https://www.acma.gov.au/Home/theACMA/five-year-spectrum-outlook-2017-21</w:t>
        </w:r>
      </w:hyperlink>
      <w:r w:rsidR="00A0509E">
        <w:rPr>
          <w:rFonts w:cs="Times New Roman"/>
          <w:sz w:val="22"/>
          <w:szCs w:val="22"/>
        </w:rPr>
        <w:t xml:space="preserve">. </w:t>
      </w:r>
      <w:r w:rsidRPr="006A546B">
        <w:rPr>
          <w:rFonts w:cs="Times New Roman"/>
          <w:sz w:val="22"/>
          <w:szCs w:val="22"/>
        </w:rPr>
        <w:t>Wi-Fi Alliance filed comments in response to this</w:t>
      </w:r>
      <w:r w:rsidR="00380CB6">
        <w:rPr>
          <w:rFonts w:cs="Times New Roman"/>
          <w:sz w:val="22"/>
          <w:szCs w:val="22"/>
        </w:rPr>
        <w:t xml:space="preserve"> consultation on Jan. 24, 2018, available at </w:t>
      </w:r>
      <w:hyperlink r:id="rId8" w:history="1">
        <w:r w:rsidR="00380CB6" w:rsidRPr="00E53FA1">
          <w:rPr>
            <w:rStyle w:val="Hyperlink"/>
            <w:rFonts w:cs="Times New Roman"/>
            <w:sz w:val="22"/>
            <w:szCs w:val="22"/>
          </w:rPr>
          <w:t>https://www.acma.gov.au/-/media/Spectrum-Review-Implementation-Taskforce/Issue-for-comment/IFC-27-2017/WFA-docx.docx</w:t>
        </w:r>
      </w:hyperlink>
      <w:r w:rsidR="00380CB6">
        <w:rPr>
          <w:rFonts w:cs="Times New Roman"/>
          <w:sz w:val="22"/>
          <w:szCs w:val="22"/>
        </w:rPr>
        <w:t xml:space="preserve">. </w:t>
      </w:r>
    </w:p>
  </w:footnote>
  <w:footnote w:id="10">
    <w:p w14:paraId="1C762A2F" w14:textId="7112FED8" w:rsidR="00090998" w:rsidRPr="006A546B" w:rsidRDefault="00090998" w:rsidP="00A564C1">
      <w:pPr>
        <w:pStyle w:val="FootnoteText"/>
        <w:spacing w:after="120"/>
        <w:jc w:val="both"/>
        <w:rPr>
          <w:rFonts w:cs="Times New Roman"/>
          <w:sz w:val="22"/>
          <w:szCs w:val="22"/>
        </w:rPr>
      </w:pPr>
      <w:r w:rsidRPr="006A546B">
        <w:rPr>
          <w:rStyle w:val="FootnoteReference"/>
          <w:rFonts w:cs="Times New Roman"/>
          <w:sz w:val="22"/>
          <w:szCs w:val="22"/>
        </w:rPr>
        <w:footnoteRef/>
      </w:r>
      <w:r w:rsidRPr="006A546B">
        <w:rPr>
          <w:rStyle w:val="FootnoteReference"/>
          <w:rFonts w:cs="Times New Roman"/>
          <w:sz w:val="22"/>
          <w:szCs w:val="22"/>
        </w:rPr>
        <w:t>/</w:t>
      </w:r>
      <w:r w:rsidRPr="006A546B">
        <w:rPr>
          <w:rFonts w:cs="Times New Roman"/>
          <w:sz w:val="22"/>
          <w:szCs w:val="22"/>
        </w:rPr>
        <w:tab/>
        <w:t xml:space="preserve">For example, last year, despite Wi-Fi Alliance’s recommendations to the contrary, the ACMA declined to make available 50 megahertz more spectrum in the 5 GHz band (5150-5850 MHz). </w:t>
      </w:r>
      <w:r w:rsidR="00A564C1">
        <w:rPr>
          <w:rFonts w:cs="Times New Roman"/>
          <w:sz w:val="22"/>
          <w:szCs w:val="22"/>
        </w:rPr>
        <w:t xml:space="preserve"> </w:t>
      </w:r>
      <w:r w:rsidRPr="006A546B">
        <w:rPr>
          <w:rFonts w:cs="Times New Roman"/>
          <w:i/>
          <w:sz w:val="22"/>
          <w:szCs w:val="22"/>
        </w:rPr>
        <w:t>See</w:t>
      </w:r>
      <w:r w:rsidRPr="006A546B">
        <w:rPr>
          <w:rFonts w:cs="Times New Roman"/>
          <w:sz w:val="22"/>
          <w:szCs w:val="22"/>
        </w:rPr>
        <w:t xml:space="preserve">, </w:t>
      </w:r>
      <w:r w:rsidRPr="006A546B">
        <w:rPr>
          <w:rFonts w:cs="Times New Roman"/>
          <w:i/>
          <w:sz w:val="22"/>
          <w:szCs w:val="22"/>
        </w:rPr>
        <w:t>Future use of the 3.6 GHz band – Decisions and preliminary views</w:t>
      </w:r>
      <w:r w:rsidRPr="006A546B">
        <w:rPr>
          <w:rFonts w:cs="Times New Roman"/>
          <w:sz w:val="22"/>
          <w:szCs w:val="22"/>
        </w:rPr>
        <w:t>, Oct.</w:t>
      </w:r>
      <w:r w:rsidR="007E04C6">
        <w:rPr>
          <w:rFonts w:cs="Times New Roman"/>
          <w:sz w:val="22"/>
          <w:szCs w:val="22"/>
        </w:rPr>
        <w:t xml:space="preserve"> </w:t>
      </w:r>
      <w:r w:rsidRPr="006A546B">
        <w:rPr>
          <w:rFonts w:cs="Times New Roman"/>
          <w:sz w:val="22"/>
          <w:szCs w:val="22"/>
        </w:rPr>
        <w:t>2017</w:t>
      </w:r>
      <w:r w:rsidR="00087669">
        <w:rPr>
          <w:rFonts w:cs="Times New Roman"/>
          <w:sz w:val="22"/>
          <w:szCs w:val="22"/>
        </w:rPr>
        <w:t xml:space="preserve">, available at </w:t>
      </w:r>
      <w:hyperlink r:id="rId9" w:history="1">
        <w:r w:rsidR="00087669" w:rsidRPr="00E53FA1">
          <w:rPr>
            <w:rStyle w:val="Hyperlink"/>
            <w:rFonts w:cs="Times New Roman"/>
            <w:sz w:val="22"/>
            <w:szCs w:val="22"/>
          </w:rPr>
          <w:t>https://www.acma.gov.au/Home/theACMA/~/-/media/9172FB58ADDA421A8137219272D5734B.ashx</w:t>
        </w:r>
      </w:hyperlink>
      <w:r w:rsidRPr="006A546B">
        <w:rPr>
          <w:rFonts w:cs="Times New Roman"/>
          <w:sz w:val="22"/>
          <w:szCs w:val="22"/>
        </w:rPr>
        <w:t>.</w:t>
      </w:r>
      <w:r w:rsidR="00087669">
        <w:rPr>
          <w:rFonts w:cs="Times New Roman"/>
          <w:sz w:val="22"/>
          <w:szCs w:val="22"/>
        </w:rPr>
        <w:t xml:space="preserve"> </w:t>
      </w:r>
      <w:r w:rsidRPr="006A546B">
        <w:rPr>
          <w:rFonts w:cs="Times New Roman"/>
          <w:sz w:val="22"/>
          <w:szCs w:val="22"/>
        </w:rPr>
        <w:t xml:space="preserve"> </w:t>
      </w:r>
      <w:r w:rsidRPr="006A546B">
        <w:rPr>
          <w:rFonts w:cs="Times New Roman"/>
          <w:i/>
          <w:sz w:val="22"/>
          <w:szCs w:val="22"/>
        </w:rPr>
        <w:t>See also</w:t>
      </w:r>
      <w:r w:rsidRPr="006A546B">
        <w:rPr>
          <w:rFonts w:cs="Times New Roman"/>
          <w:sz w:val="22"/>
          <w:szCs w:val="22"/>
        </w:rPr>
        <w:t xml:space="preserve">, Letter of Wi-Fi Alliance re: Future Use of the 3.6 GHz Band, Dec. 18, 2017. </w:t>
      </w:r>
    </w:p>
  </w:footnote>
  <w:footnote w:id="11">
    <w:p w14:paraId="031A1557" w14:textId="77777777" w:rsidR="00952DE6" w:rsidRPr="00561667" w:rsidRDefault="00952DE6" w:rsidP="00A564C1">
      <w:pPr>
        <w:pStyle w:val="FootnoteText"/>
        <w:spacing w:after="120"/>
        <w:jc w:val="both"/>
        <w:rPr>
          <w:rFonts w:cs="Times New Roman"/>
          <w:sz w:val="22"/>
          <w:szCs w:val="22"/>
        </w:rPr>
      </w:pPr>
      <w:r w:rsidRPr="00561667">
        <w:rPr>
          <w:rStyle w:val="FootnoteReference"/>
          <w:rFonts w:cs="Times New Roman"/>
          <w:sz w:val="22"/>
          <w:szCs w:val="22"/>
        </w:rPr>
        <w:footnoteRef/>
      </w:r>
      <w:r w:rsidRPr="00561667">
        <w:rPr>
          <w:rStyle w:val="FootnoteReference"/>
          <w:rFonts w:cs="Times New Roman"/>
          <w:sz w:val="22"/>
          <w:szCs w:val="22"/>
        </w:rPr>
        <w:t>/</w:t>
      </w:r>
      <w:r w:rsidRPr="00561667">
        <w:rPr>
          <w:rFonts w:cs="Times New Roman"/>
          <w:sz w:val="22"/>
          <w:szCs w:val="22"/>
        </w:rPr>
        <w:tab/>
      </w:r>
      <w:r w:rsidRPr="00561667">
        <w:rPr>
          <w:rFonts w:cs="Times New Roman"/>
          <w:i/>
          <w:sz w:val="22"/>
          <w:szCs w:val="22"/>
        </w:rPr>
        <w:t>Economic Value of Wi-Fi</w:t>
      </w:r>
      <w:r w:rsidRPr="00561667">
        <w:rPr>
          <w:rFonts w:cs="Times New Roman"/>
          <w:sz w:val="22"/>
          <w:szCs w:val="22"/>
        </w:rPr>
        <w:t>.</w:t>
      </w:r>
    </w:p>
  </w:footnote>
  <w:footnote w:id="12">
    <w:p w14:paraId="647A28F6" w14:textId="77777777" w:rsidR="00DC13EB" w:rsidRPr="0023672A" w:rsidRDefault="00DC13EB" w:rsidP="00DC13EB">
      <w:pPr>
        <w:pStyle w:val="FootnoteText"/>
        <w:spacing w:after="120"/>
        <w:rPr>
          <w:rFonts w:cs="Times New Roman"/>
        </w:rPr>
      </w:pPr>
      <w:r w:rsidRPr="0023672A">
        <w:rPr>
          <w:rStyle w:val="FootnoteReference"/>
          <w:rFonts w:cs="Times New Roman"/>
        </w:rPr>
        <w:footnoteRef/>
      </w:r>
      <w:r w:rsidRPr="0023672A">
        <w:rPr>
          <w:rStyle w:val="FootnoteReference"/>
          <w:rFonts w:cs="Times New Roman"/>
        </w:rPr>
        <w:t>/</w:t>
      </w:r>
      <w:r w:rsidRPr="0023672A">
        <w:rPr>
          <w:rFonts w:cs="Times New Roman"/>
        </w:rPr>
        <w:tab/>
        <w:t xml:space="preserve">Telecom Advisory Services, </w:t>
      </w:r>
      <w:r w:rsidRPr="0023672A">
        <w:rPr>
          <w:rFonts w:cs="Times New Roman"/>
          <w:smallCaps/>
        </w:rPr>
        <w:t>The Economic Value of Wi-Fi: A Global View (2018 and 2023</w:t>
      </w:r>
      <w:r w:rsidRPr="0023672A">
        <w:rPr>
          <w:rFonts w:cs="Times New Roman"/>
        </w:rPr>
        <w:t xml:space="preserve">), at 10, rel. Oct. 2018, available at </w:t>
      </w:r>
      <w:hyperlink r:id="rId10" w:history="1">
        <w:r w:rsidRPr="0023672A">
          <w:rPr>
            <w:rStyle w:val="Hyperlink"/>
            <w:rFonts w:cs="Times New Roman"/>
          </w:rPr>
          <w:t>https://www.wi-fi.org/value-of-wi-fi</w:t>
        </w:r>
      </w:hyperlink>
      <w:r w:rsidRPr="0023672A">
        <w:rPr>
          <w:rFonts w:cs="Times New Roman"/>
        </w:rPr>
        <w:t xml:space="preserve"> (“</w:t>
      </w:r>
      <w:r w:rsidRPr="0023672A">
        <w:rPr>
          <w:rFonts w:cs="Times New Roman"/>
          <w:i/>
        </w:rPr>
        <w:t>Economic Value of Wi-Fi</w:t>
      </w:r>
      <w:r w:rsidRPr="0023672A">
        <w:rPr>
          <w:rFonts w:cs="Times New Roman"/>
        </w:rPr>
        <w:t xml:space="preserve">”).  The report noted that Wi-Fi is a “key enabler” of forthcoming 5G mobile </w:t>
      </w:r>
      <w:proofErr w:type="gramStart"/>
      <w:r w:rsidRPr="0023672A">
        <w:rPr>
          <w:rFonts w:cs="Times New Roman"/>
        </w:rPr>
        <w:t>networks, and</w:t>
      </w:r>
      <w:proofErr w:type="gramEnd"/>
      <w:r w:rsidRPr="0023672A">
        <w:rPr>
          <w:rFonts w:cs="Times New Roman"/>
        </w:rPr>
        <w:t xml:space="preserve"> incorporated many of those benefits into its analysis.</w:t>
      </w:r>
    </w:p>
  </w:footnote>
  <w:footnote w:id="13">
    <w:p w14:paraId="3D82444D" w14:textId="77777777" w:rsidR="00DC13EB" w:rsidRPr="0023672A" w:rsidRDefault="00DC13EB" w:rsidP="00DC13EB">
      <w:pPr>
        <w:pStyle w:val="FootnoteText"/>
        <w:spacing w:after="120"/>
        <w:rPr>
          <w:rFonts w:cs="Times New Roman"/>
          <w:highlight w:val="yellow"/>
        </w:rPr>
      </w:pPr>
      <w:r w:rsidRPr="0023672A">
        <w:rPr>
          <w:rStyle w:val="FootnoteReference"/>
          <w:rFonts w:cs="Times New Roman"/>
        </w:rPr>
        <w:footnoteRef/>
      </w:r>
      <w:r w:rsidRPr="0023672A">
        <w:rPr>
          <w:rStyle w:val="FootnoteReference"/>
          <w:rFonts w:cs="Times New Roman"/>
        </w:rPr>
        <w:t>/</w:t>
      </w:r>
      <w:r w:rsidRPr="0023672A">
        <w:rPr>
          <w:rFonts w:cs="Times New Roman"/>
        </w:rPr>
        <w:tab/>
        <w:t xml:space="preserve">CISCO, </w:t>
      </w:r>
      <w:r w:rsidRPr="0023672A">
        <w:rPr>
          <w:rFonts w:cs="Times New Roman"/>
          <w:i/>
          <w:iCs/>
        </w:rPr>
        <w:t>VNI Complete Forecast Highlights Tool</w:t>
      </w:r>
      <w:r w:rsidRPr="0023672A">
        <w:rPr>
          <w:rFonts w:cs="Times New Roman"/>
        </w:rPr>
        <w:t xml:space="preserve">, Asia Pacific, Australia, Wired Wi-Fi and Mobile Growth (2016), available at </w:t>
      </w:r>
      <w:hyperlink r:id="rId11" w:history="1">
        <w:r w:rsidRPr="0023672A">
          <w:rPr>
            <w:rStyle w:val="Hyperlink"/>
            <w:rFonts w:cs="Times New Roman"/>
          </w:rPr>
          <w:t>http://www.cisco.com/c/m/en_us/solutions/service-provider/vni-forecast-highlights.html</w:t>
        </w:r>
      </w:hyperlink>
      <w:r w:rsidRPr="0023672A">
        <w:rPr>
          <w:rFonts w:cs="Times New Roman"/>
        </w:rPr>
        <w:t xml:space="preserve">  (select “Australia” from the “Asia Pacific” drop-down menu and expand “Fixed/Wi-Fi.” (“CISCO VNI”) </w:t>
      </w:r>
    </w:p>
  </w:footnote>
  <w:footnote w:id="14">
    <w:p w14:paraId="49831D22" w14:textId="77777777" w:rsidR="00DC13EB" w:rsidRPr="0023672A" w:rsidRDefault="00DC13EB" w:rsidP="00DC13EB">
      <w:pPr>
        <w:pStyle w:val="FootnoteText"/>
        <w:spacing w:after="120"/>
        <w:rPr>
          <w:rFonts w:cs="Times New Roman"/>
        </w:rPr>
      </w:pPr>
      <w:r w:rsidRPr="0023672A">
        <w:rPr>
          <w:rStyle w:val="FootnoteReference"/>
          <w:rFonts w:cs="Times New Roman"/>
        </w:rPr>
        <w:footnoteRef/>
      </w:r>
      <w:r w:rsidRPr="0023672A">
        <w:rPr>
          <w:rStyle w:val="FootnoteReference"/>
          <w:rFonts w:cs="Times New Roman"/>
        </w:rPr>
        <w:t>/</w:t>
      </w:r>
      <w:r w:rsidRPr="0023672A">
        <w:rPr>
          <w:rFonts w:cs="Times New Roman"/>
        </w:rPr>
        <w:tab/>
      </w:r>
      <w:r w:rsidRPr="0023672A">
        <w:rPr>
          <w:rFonts w:cs="Times New Roman"/>
          <w:i/>
        </w:rPr>
        <w:t>See e.g.</w:t>
      </w:r>
      <w:r w:rsidRPr="0023672A">
        <w:rPr>
          <w:rFonts w:cs="Times New Roman"/>
        </w:rPr>
        <w:t xml:space="preserve"> Brian Santo, </w:t>
      </w:r>
      <w:r w:rsidRPr="0023672A">
        <w:rPr>
          <w:rFonts w:cs="Times New Roman"/>
          <w:i/>
        </w:rPr>
        <w:t>Wi-Fi vs. 5G? Nope, it’s both</w:t>
      </w:r>
      <w:r w:rsidRPr="0023672A">
        <w:rPr>
          <w:rFonts w:cs="Times New Roman"/>
        </w:rPr>
        <w:t xml:space="preserve">, EDN Network, Dec. 5, 2017 (available at </w:t>
      </w:r>
      <w:hyperlink r:id="rId12" w:history="1">
        <w:r w:rsidRPr="0023672A">
          <w:rPr>
            <w:rStyle w:val="Hyperlink"/>
            <w:rFonts w:cs="Times New Roman"/>
          </w:rPr>
          <w:t>https://www.edn.com/electronics-blogs/5g-waves/4459120/Wi-Fi-versus-5G--Nope--it-s-both</w:t>
        </w:r>
      </w:hyperlink>
      <w:r w:rsidRPr="0023672A">
        <w:rPr>
          <w:rFonts w:cs="Times New Roman"/>
        </w:rPr>
        <w:t xml:space="preserve">).   </w:t>
      </w:r>
    </w:p>
  </w:footnote>
  <w:footnote w:id="15">
    <w:p w14:paraId="46016F0D" w14:textId="77777777" w:rsidR="00DC13EB" w:rsidRPr="00561667" w:rsidRDefault="00DC13EB" w:rsidP="00DC13EB">
      <w:pPr>
        <w:pStyle w:val="FootnoteText"/>
        <w:spacing w:after="120"/>
        <w:rPr>
          <w:rFonts w:cs="Times New Roman"/>
          <w:sz w:val="22"/>
          <w:szCs w:val="22"/>
        </w:rPr>
      </w:pPr>
      <w:r w:rsidRPr="0023672A">
        <w:rPr>
          <w:rStyle w:val="FootnoteReference"/>
          <w:rFonts w:cs="Times New Roman"/>
        </w:rPr>
        <w:footnoteRef/>
      </w:r>
      <w:r w:rsidRPr="0023672A">
        <w:rPr>
          <w:rStyle w:val="FootnoteReference"/>
          <w:rFonts w:cs="Times New Roman"/>
        </w:rPr>
        <w:t>/</w:t>
      </w:r>
      <w:r w:rsidRPr="0023672A">
        <w:rPr>
          <w:rFonts w:cs="Times New Roman"/>
        </w:rPr>
        <w:tab/>
        <w:t xml:space="preserve">Like 5G, Wi-Fi works across spectrum bands, taking advantage of different standards and propagation characteristics to provide the right performance for the required use case.  Despite the increased capacity of wireless carriers, the demands that a 5G economy will place on commercial wireless networks will make offloading of traffic onto Wi-Fi even more crucial in the future, especially as Wi-Fi 6 promises speeds and performance that rivals or exceeds those of 5G networks. </w:t>
      </w:r>
      <w:r w:rsidRPr="0023672A">
        <w:rPr>
          <w:rFonts w:cs="Times New Roman"/>
          <w:i/>
        </w:rPr>
        <w:t>See e.g.</w:t>
      </w:r>
      <w:r w:rsidRPr="0023672A">
        <w:rPr>
          <w:rFonts w:cs="Times New Roman"/>
        </w:rPr>
        <w:t xml:space="preserve"> Jacob </w:t>
      </w:r>
      <w:proofErr w:type="spellStart"/>
      <w:r w:rsidRPr="0023672A">
        <w:rPr>
          <w:rFonts w:cs="Times New Roman"/>
        </w:rPr>
        <w:t>Kastrenaks</w:t>
      </w:r>
      <w:proofErr w:type="spellEnd"/>
      <w:r w:rsidRPr="0023672A">
        <w:rPr>
          <w:rFonts w:cs="Times New Roman"/>
        </w:rPr>
        <w:t xml:space="preserve">, </w:t>
      </w:r>
      <w:r w:rsidRPr="0023672A">
        <w:rPr>
          <w:rFonts w:cs="Times New Roman"/>
          <w:i/>
        </w:rPr>
        <w:t>Qualcomm’s new Wi-Fi Chips are meant to rival 5G speeds</w:t>
      </w:r>
      <w:r w:rsidRPr="0023672A">
        <w:rPr>
          <w:rFonts w:cs="Times New Roman"/>
        </w:rPr>
        <w:t xml:space="preserve">, THE VERGE, Oct. 16, 2018 (available at </w:t>
      </w:r>
      <w:hyperlink r:id="rId13" w:history="1">
        <w:r w:rsidRPr="0023672A">
          <w:rPr>
            <w:rStyle w:val="Hyperlink"/>
            <w:rFonts w:cs="Times New Roman"/>
          </w:rPr>
          <w:t>https://www.theverge.com/circuitbreaker/2018/10/16/17980124/80211ay-wigig-qualcomm-wifi-10-gigabit-speeds</w:t>
        </w:r>
      </w:hyperlink>
      <w:r w:rsidRPr="0023672A">
        <w:rPr>
          <w:rFonts w:cs="Times New Roman"/>
        </w:rPr>
        <w:t>).</w:t>
      </w:r>
      <w:r>
        <w:rPr>
          <w:rFonts w:cs="Times New Roman"/>
          <w:sz w:val="22"/>
          <w:szCs w:val="22"/>
        </w:rPr>
        <w:t xml:space="preserve"> </w:t>
      </w:r>
    </w:p>
  </w:footnote>
  <w:footnote w:id="16">
    <w:p w14:paraId="400E2D6C" w14:textId="77777777" w:rsidR="00DC13EB" w:rsidRPr="00942FC5" w:rsidRDefault="00DC13EB" w:rsidP="00DC13EB">
      <w:pPr>
        <w:pStyle w:val="FootnoteText"/>
        <w:spacing w:after="120"/>
        <w:rPr>
          <w:rFonts w:cs="Times New Roman"/>
        </w:rPr>
      </w:pPr>
      <w:r w:rsidRPr="006A546B">
        <w:rPr>
          <w:rStyle w:val="FootnoteReference"/>
          <w:rFonts w:cs="Times New Roman"/>
          <w:sz w:val="22"/>
          <w:szCs w:val="22"/>
        </w:rPr>
        <w:footnoteRef/>
      </w:r>
      <w:r w:rsidRPr="006A546B">
        <w:rPr>
          <w:rStyle w:val="FootnoteReference"/>
          <w:rFonts w:cs="Times New Roman"/>
          <w:sz w:val="22"/>
          <w:szCs w:val="22"/>
        </w:rPr>
        <w:t>/</w:t>
      </w:r>
      <w:r w:rsidRPr="006A546B">
        <w:rPr>
          <w:rFonts w:cs="Times New Roman"/>
          <w:sz w:val="22"/>
          <w:szCs w:val="22"/>
        </w:rPr>
        <w:tab/>
      </w:r>
      <w:r w:rsidRPr="00942FC5">
        <w:rPr>
          <w:rFonts w:cs="Times New Roman"/>
          <w:i/>
        </w:rPr>
        <w:t>In the Matter of Unlicensed Use of the 6 GHz Band</w:t>
      </w:r>
      <w:r w:rsidRPr="00942FC5">
        <w:rPr>
          <w:rFonts w:cs="Times New Roman"/>
        </w:rPr>
        <w:t>, ET Docket No. 18-295, FCC 18-147 (rel. Oct. 24, 2018).</w:t>
      </w:r>
    </w:p>
  </w:footnote>
  <w:footnote w:id="17">
    <w:p w14:paraId="7AF1710E" w14:textId="77777777" w:rsidR="00DC13EB" w:rsidRPr="00942FC5" w:rsidRDefault="00DC13EB" w:rsidP="00DC13EB">
      <w:pPr>
        <w:pStyle w:val="FootnoteText"/>
        <w:spacing w:after="120"/>
        <w:rPr>
          <w:rFonts w:cs="Times New Roman"/>
        </w:rPr>
      </w:pPr>
      <w:r w:rsidRPr="00942FC5">
        <w:rPr>
          <w:rStyle w:val="FootnoteReference"/>
          <w:rFonts w:cs="Times New Roman"/>
        </w:rPr>
        <w:footnoteRef/>
      </w:r>
      <w:r w:rsidRPr="00942FC5">
        <w:rPr>
          <w:rStyle w:val="FootnoteReference"/>
          <w:rFonts w:cs="Times New Roman"/>
        </w:rPr>
        <w:t>/</w:t>
      </w:r>
      <w:r w:rsidRPr="00942FC5">
        <w:rPr>
          <w:rFonts w:cs="Times New Roman"/>
        </w:rPr>
        <w:tab/>
        <w:t>European Commission, “</w:t>
      </w:r>
      <w:r w:rsidRPr="00942FC5">
        <w:rPr>
          <w:rFonts w:cs="Times New Roman"/>
          <w:color w:val="000000"/>
        </w:rPr>
        <w:t xml:space="preserve">Mandate to CEPT to study feasibility and identify </w:t>
      </w:r>
      <w:proofErr w:type="spellStart"/>
      <w:r w:rsidRPr="00942FC5">
        <w:rPr>
          <w:rFonts w:cs="Times New Roman"/>
          <w:color w:val="000000"/>
        </w:rPr>
        <w:t>harmonised</w:t>
      </w:r>
      <w:proofErr w:type="spellEnd"/>
      <w:r w:rsidRPr="00942FC5">
        <w:rPr>
          <w:rFonts w:cs="Times New Roman"/>
          <w:color w:val="000000"/>
        </w:rPr>
        <w:t xml:space="preserve"> technical conditions for Wireless Access Systems including Radio Local Area Networks in the 5925- 6425 MHz band for the provision of wireless broadband services” See: </w:t>
      </w:r>
      <w:hyperlink r:id="rId14" w:history="1">
        <w:r w:rsidRPr="00103B9E">
          <w:rPr>
            <w:rStyle w:val="Hyperlink"/>
            <w:rFonts w:cs="Times New Roman"/>
          </w:rPr>
          <w:t>https://cept.org/Documents/fm-57/41902/fm57-18-info002_european-commission-mandate-on-rlan-in-5925-6425-mhz</w:t>
        </w:r>
      </w:hyperlink>
    </w:p>
  </w:footnote>
  <w:footnote w:id="18">
    <w:p w14:paraId="1B8B2AB6" w14:textId="77777777" w:rsidR="00DC13EB" w:rsidRPr="00942FC5" w:rsidRDefault="00DC13EB" w:rsidP="00DC13EB">
      <w:pPr>
        <w:pStyle w:val="FootnoteText"/>
        <w:spacing w:after="120"/>
        <w:rPr>
          <w:rFonts w:cs="Times New Roman"/>
        </w:rPr>
      </w:pPr>
      <w:r w:rsidRPr="00942FC5">
        <w:rPr>
          <w:rStyle w:val="FootnoteReference"/>
          <w:rFonts w:cs="Times New Roman"/>
        </w:rPr>
        <w:footnoteRef/>
      </w:r>
      <w:r w:rsidRPr="00942FC5">
        <w:rPr>
          <w:rStyle w:val="FootnoteReference"/>
          <w:rFonts w:cs="Times New Roman"/>
        </w:rPr>
        <w:t>/</w:t>
      </w:r>
      <w:r w:rsidRPr="00942FC5">
        <w:rPr>
          <w:rFonts w:cs="Times New Roman"/>
        </w:rPr>
        <w:tab/>
      </w:r>
      <w:proofErr w:type="spellStart"/>
      <w:r w:rsidRPr="00942FC5">
        <w:rPr>
          <w:rFonts w:cs="Times New Roman"/>
        </w:rPr>
        <w:t>Infocomm</w:t>
      </w:r>
      <w:proofErr w:type="spellEnd"/>
      <w:r w:rsidRPr="00942FC5">
        <w:rPr>
          <w:rFonts w:cs="Times New Roman"/>
        </w:rPr>
        <w:t xml:space="preserve"> Media Development Authority of Singapore, </w:t>
      </w:r>
      <w:r w:rsidRPr="00942FC5">
        <w:rPr>
          <w:rFonts w:cs="Times New Roman"/>
          <w:i/>
        </w:rPr>
        <w:t xml:space="preserve">5G Mobile Services and Networks, </w:t>
      </w:r>
      <w:r w:rsidRPr="00942FC5">
        <w:rPr>
          <w:rFonts w:cs="Times New Roman"/>
        </w:rPr>
        <w:t xml:space="preserve">Consultation Paper (May 23, 2017), available at </w:t>
      </w:r>
      <w:hyperlink r:id="rId15" w:history="1">
        <w:r w:rsidRPr="00103B9E">
          <w:rPr>
            <w:rStyle w:val="Hyperlink"/>
            <w:rFonts w:cs="Times New Roman"/>
          </w:rPr>
          <w:t>https://www.imda.gov.sg/regulations-licensing-and-consultations/consultations/consultation-papers/2017/public-consultation-on-5g-mobile-services-and-networks</w:t>
        </w:r>
      </w:hyperlink>
      <w:r w:rsidRPr="00942FC5">
        <w:rPr>
          <w:rFonts w:cs="Times New Roman"/>
        </w:rPr>
        <w:t xml:space="preserve">. </w:t>
      </w:r>
    </w:p>
  </w:footnote>
  <w:footnote w:id="19">
    <w:p w14:paraId="44F24F13" w14:textId="77777777" w:rsidR="00DC13EB" w:rsidRDefault="00DC13EB" w:rsidP="00DC13EB">
      <w:pPr>
        <w:pStyle w:val="FootnoteText"/>
      </w:pPr>
      <w:r>
        <w:rPr>
          <w:rStyle w:val="FootnoteReference"/>
        </w:rPr>
        <w:footnoteRef/>
      </w:r>
      <w:r>
        <w:t xml:space="preserve"> </w:t>
      </w:r>
      <w:r>
        <w:tab/>
        <w:t xml:space="preserve">ITU Recommendation P.2109 givers building entry losses for traditional building versus thermally efficient buildings for various incident angles.  The Recommendation notes that the classification, of “thermally-efficient” and “traditional”, refers purely to the thermal efficiency of construction materials and makes no assumption regarding the year of construction, type (single or multi-floors), heritage or building method.  ITU Recommendation P.2108 §3.2 gives a statistical clutter model loss for terrestrial based terminals and § 3.3 provides a statistical clutter model for Earth-space paths. </w:t>
      </w:r>
    </w:p>
  </w:footnote>
  <w:footnote w:id="20">
    <w:p w14:paraId="1ED06645" w14:textId="77777777" w:rsidR="00DC13EB" w:rsidRPr="00561667" w:rsidRDefault="00DC13EB" w:rsidP="00DC13EB">
      <w:pPr>
        <w:pStyle w:val="FootnoteText"/>
        <w:spacing w:after="120"/>
        <w:rPr>
          <w:rFonts w:cs="Times New Roman"/>
          <w:sz w:val="22"/>
          <w:szCs w:val="22"/>
        </w:rPr>
      </w:pPr>
      <w:r w:rsidRPr="00561667">
        <w:rPr>
          <w:rStyle w:val="FootnoteReference"/>
          <w:rFonts w:cs="Times New Roman"/>
          <w:sz w:val="22"/>
          <w:szCs w:val="22"/>
        </w:rPr>
        <w:footnoteRef/>
      </w:r>
      <w:r w:rsidRPr="00561667">
        <w:rPr>
          <w:rStyle w:val="FootnoteReference"/>
          <w:rFonts w:cs="Times New Roman"/>
          <w:sz w:val="22"/>
          <w:szCs w:val="22"/>
        </w:rPr>
        <w:t>/</w:t>
      </w:r>
      <w:r w:rsidRPr="00561667">
        <w:rPr>
          <w:rFonts w:cs="Times New Roman"/>
          <w:sz w:val="22"/>
          <w:szCs w:val="22"/>
        </w:rPr>
        <w:tab/>
      </w:r>
      <w:proofErr w:type="spellStart"/>
      <w:r w:rsidRPr="00561667">
        <w:rPr>
          <w:rFonts w:cs="Times New Roman"/>
          <w:i/>
          <w:sz w:val="22"/>
          <w:szCs w:val="22"/>
        </w:rPr>
        <w:t>Ofcom</w:t>
      </w:r>
      <w:proofErr w:type="spellEnd"/>
      <w:r w:rsidRPr="00561667">
        <w:rPr>
          <w:rFonts w:cs="Times New Roman"/>
          <w:sz w:val="22"/>
          <w:szCs w:val="22"/>
        </w:rPr>
        <w:t xml:space="preserve">, </w:t>
      </w:r>
      <w:r w:rsidRPr="00561667">
        <w:rPr>
          <w:rFonts w:cs="Times New Roman"/>
          <w:i/>
          <w:sz w:val="22"/>
          <w:szCs w:val="22"/>
        </w:rPr>
        <w:t>Building Materials and Propagation</w:t>
      </w:r>
      <w:r w:rsidRPr="00561667">
        <w:rPr>
          <w:rFonts w:cs="Times New Roman"/>
          <w:sz w:val="22"/>
          <w:szCs w:val="22"/>
        </w:rPr>
        <w:t>, Final Report, Sept. 14, 2014, available at https://www.ofcom.org.uk/__data/assets/pdf_file/0016/84022/building_materials_and_propagation.pdf</w:t>
      </w:r>
      <w:r>
        <w:rPr>
          <w:rFonts w:cs="Times New Roman"/>
          <w:sz w:val="22"/>
          <w:szCs w:val="22"/>
        </w:rPr>
        <w:t xml:space="preserve"> (“</w:t>
      </w:r>
      <w:proofErr w:type="spellStart"/>
      <w:r>
        <w:rPr>
          <w:rFonts w:cs="Times New Roman"/>
          <w:i/>
          <w:sz w:val="22"/>
          <w:szCs w:val="22"/>
        </w:rPr>
        <w:t>Ofc</w:t>
      </w:r>
      <w:r w:rsidRPr="00BE1F7E">
        <w:rPr>
          <w:rFonts w:cs="Times New Roman"/>
          <w:i/>
          <w:sz w:val="22"/>
          <w:szCs w:val="22"/>
        </w:rPr>
        <w:t>om</w:t>
      </w:r>
      <w:proofErr w:type="spellEnd"/>
      <w:r w:rsidRPr="00BE1F7E">
        <w:rPr>
          <w:rFonts w:cs="Times New Roman"/>
          <w:i/>
          <w:sz w:val="22"/>
          <w:szCs w:val="22"/>
        </w:rPr>
        <w:t xml:space="preserve"> Report</w:t>
      </w:r>
      <w:r>
        <w:rPr>
          <w:rFonts w:cs="Times New Roman"/>
          <w:sz w:val="22"/>
          <w:szCs w:val="22"/>
        </w:rPr>
        <w:t>”)</w:t>
      </w:r>
      <w:r w:rsidRPr="00561667">
        <w:rPr>
          <w:rFonts w:cs="Times New Roman"/>
          <w:sz w:val="22"/>
          <w:szCs w:val="22"/>
        </w:rPr>
        <w:t xml:space="preserve">. </w:t>
      </w:r>
      <w:r>
        <w:rPr>
          <w:rFonts w:cs="Times New Roman"/>
          <w:sz w:val="22"/>
          <w:szCs w:val="22"/>
        </w:rPr>
        <w:t xml:space="preserve"> </w:t>
      </w:r>
    </w:p>
  </w:footnote>
  <w:footnote w:id="21">
    <w:p w14:paraId="3BF01ACA" w14:textId="77777777" w:rsidR="00DC13EB" w:rsidRPr="00561667" w:rsidRDefault="00DC13EB" w:rsidP="00DC13EB">
      <w:pPr>
        <w:pStyle w:val="FootnoteText"/>
        <w:spacing w:after="120"/>
        <w:rPr>
          <w:rFonts w:cs="Times New Roman"/>
          <w:sz w:val="22"/>
          <w:szCs w:val="22"/>
        </w:rPr>
      </w:pPr>
      <w:r w:rsidRPr="00561667">
        <w:rPr>
          <w:rStyle w:val="FootnoteReference"/>
          <w:rFonts w:cs="Times New Roman"/>
          <w:sz w:val="22"/>
          <w:szCs w:val="22"/>
        </w:rPr>
        <w:footnoteRef/>
      </w:r>
      <w:r w:rsidRPr="00561667">
        <w:rPr>
          <w:rStyle w:val="FootnoteReference"/>
          <w:rFonts w:cs="Times New Roman"/>
          <w:sz w:val="22"/>
          <w:szCs w:val="22"/>
        </w:rPr>
        <w:t>/</w:t>
      </w:r>
      <w:r w:rsidRPr="00561667">
        <w:rPr>
          <w:rFonts w:cs="Times New Roman"/>
          <w:sz w:val="22"/>
          <w:szCs w:val="22"/>
        </w:rPr>
        <w:tab/>
      </w:r>
      <w:r>
        <w:rPr>
          <w:rFonts w:cs="Times New Roman"/>
          <w:i/>
          <w:sz w:val="22"/>
          <w:szCs w:val="22"/>
        </w:rPr>
        <w:t>Id.</w:t>
      </w:r>
      <w:r w:rsidRPr="00561667">
        <w:rPr>
          <w:rFonts w:cs="Times New Roman"/>
          <w:i/>
          <w:sz w:val="22"/>
          <w:szCs w:val="22"/>
        </w:rPr>
        <w:t xml:space="preserve"> </w:t>
      </w:r>
      <w:r w:rsidRPr="00561667">
        <w:rPr>
          <w:rFonts w:cs="Times New Roman"/>
          <w:sz w:val="22"/>
          <w:szCs w:val="22"/>
        </w:rPr>
        <w:t xml:space="preserve">at Section 4.  </w:t>
      </w:r>
      <w:r>
        <w:rPr>
          <w:rFonts w:cs="Times New Roman"/>
          <w:sz w:val="22"/>
          <w:szCs w:val="22"/>
        </w:rPr>
        <w:t xml:space="preserve">While the </w:t>
      </w:r>
      <w:proofErr w:type="spellStart"/>
      <w:r>
        <w:rPr>
          <w:rFonts w:cs="Times New Roman"/>
          <w:i/>
          <w:sz w:val="22"/>
          <w:szCs w:val="22"/>
        </w:rPr>
        <w:t>Ofcom</w:t>
      </w:r>
      <w:proofErr w:type="spellEnd"/>
      <w:r>
        <w:rPr>
          <w:rFonts w:cs="Times New Roman"/>
          <w:i/>
          <w:sz w:val="22"/>
          <w:szCs w:val="22"/>
        </w:rPr>
        <w:t xml:space="preserve"> Report</w:t>
      </w:r>
      <w:r>
        <w:rPr>
          <w:rFonts w:cs="Times New Roman"/>
          <w:sz w:val="22"/>
          <w:szCs w:val="22"/>
        </w:rPr>
        <w:t xml:space="preserve"> covers frequencies up to 5 GHz, the BEL factor would increase for frequencies in the 6-7 GHz range (see </w:t>
      </w:r>
      <w:proofErr w:type="spellStart"/>
      <w:r w:rsidRPr="00561667">
        <w:rPr>
          <w:rFonts w:cs="Times New Roman"/>
          <w:i/>
          <w:sz w:val="22"/>
          <w:szCs w:val="22"/>
        </w:rPr>
        <w:t>Ofcom</w:t>
      </w:r>
      <w:proofErr w:type="spellEnd"/>
      <w:r w:rsidRPr="00561667">
        <w:rPr>
          <w:rFonts w:cs="Times New Roman"/>
          <w:i/>
          <w:sz w:val="22"/>
          <w:szCs w:val="22"/>
        </w:rPr>
        <w:t xml:space="preserve"> Report</w:t>
      </w:r>
      <w:r>
        <w:rPr>
          <w:rFonts w:cs="Times New Roman"/>
          <w:i/>
          <w:sz w:val="22"/>
          <w:szCs w:val="22"/>
        </w:rPr>
        <w:t xml:space="preserve"> </w:t>
      </w:r>
      <w:r w:rsidRPr="00C751BB">
        <w:rPr>
          <w:rFonts w:cs="Times New Roman"/>
          <w:sz w:val="22"/>
          <w:szCs w:val="22"/>
        </w:rPr>
        <w:t>Figure 4.4</w:t>
      </w:r>
      <w:r>
        <w:rPr>
          <w:rFonts w:cs="Times New Roman"/>
          <w:i/>
          <w:sz w:val="22"/>
          <w:szCs w:val="22"/>
        </w:rPr>
        <w:t>)</w:t>
      </w:r>
      <w:r>
        <w:rPr>
          <w:rFonts w:cs="Times New Roman"/>
          <w:sz w:val="22"/>
          <w:szCs w:val="22"/>
        </w:rPr>
        <w:t>.</w:t>
      </w:r>
    </w:p>
  </w:footnote>
  <w:footnote w:id="22">
    <w:p w14:paraId="05409A4B" w14:textId="77777777" w:rsidR="00DC13EB" w:rsidRPr="003B1BCA" w:rsidRDefault="00DC13EB" w:rsidP="00DC13EB">
      <w:pPr>
        <w:pStyle w:val="FootnoteText"/>
        <w:spacing w:after="120"/>
        <w:rPr>
          <w:sz w:val="22"/>
          <w:szCs w:val="22"/>
        </w:rPr>
      </w:pPr>
      <w:r w:rsidRPr="00F21C96">
        <w:rPr>
          <w:rStyle w:val="FootnoteReference"/>
          <w:rFonts w:cs="Times New Roman"/>
          <w:sz w:val="22"/>
          <w:szCs w:val="22"/>
        </w:rPr>
        <w:footnoteRef/>
      </w:r>
      <w:r w:rsidRPr="00F21C96">
        <w:rPr>
          <w:rStyle w:val="FootnoteReference"/>
          <w:rFonts w:cs="Times New Roman"/>
          <w:sz w:val="22"/>
          <w:szCs w:val="22"/>
        </w:rPr>
        <w:t>/</w:t>
      </w:r>
      <w:r w:rsidRPr="00F21C96">
        <w:rPr>
          <w:rFonts w:cs="Times New Roman"/>
          <w:sz w:val="22"/>
          <w:szCs w:val="22"/>
        </w:rPr>
        <w:tab/>
      </w:r>
      <w:r w:rsidRPr="001A57FA">
        <w:rPr>
          <w:rFonts w:cs="Times New Roman"/>
          <w:i/>
          <w:sz w:val="22"/>
          <w:szCs w:val="22"/>
        </w:rPr>
        <w:t>See</w:t>
      </w:r>
      <w:r>
        <w:rPr>
          <w:rFonts w:cs="Times New Roman"/>
          <w:sz w:val="22"/>
          <w:szCs w:val="22"/>
        </w:rPr>
        <w:t xml:space="preserve"> </w:t>
      </w:r>
      <w:r w:rsidRPr="003B1BCA">
        <w:rPr>
          <w:rFonts w:cs="Times New Roman"/>
          <w:sz w:val="22"/>
          <w:szCs w:val="22"/>
        </w:rPr>
        <w:t>IS</w:t>
      </w:r>
      <w:r w:rsidRPr="003B1BCA">
        <w:rPr>
          <w:sz w:val="22"/>
          <w:szCs w:val="22"/>
        </w:rPr>
        <w:t>T-4-027756 WINNER II D1.1.2 V1.2</w:t>
      </w:r>
      <w:r>
        <w:rPr>
          <w:sz w:val="22"/>
          <w:szCs w:val="22"/>
        </w:rPr>
        <w:t>,</w:t>
      </w:r>
      <w:r w:rsidRPr="003B1BCA">
        <w:rPr>
          <w:sz w:val="22"/>
          <w:szCs w:val="22"/>
        </w:rPr>
        <w:t xml:space="preserve"> WINNER II Channel Models </w:t>
      </w:r>
      <w:r>
        <w:rPr>
          <w:sz w:val="22"/>
          <w:szCs w:val="22"/>
        </w:rPr>
        <w:t xml:space="preserve">at </w:t>
      </w:r>
      <w:r w:rsidRPr="003B1BCA">
        <w:rPr>
          <w:sz w:val="22"/>
          <w:szCs w:val="22"/>
        </w:rPr>
        <w:t>https://www.cept.org/files/8339/winner2%20-%20final%20report.pdf</w:t>
      </w:r>
      <w:r>
        <w:rPr>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4BEAC" w14:textId="77777777" w:rsidR="00EB52E0" w:rsidRDefault="00A3422C" w:rsidP="00EB52E0">
    <w:pPr>
      <w:tabs>
        <w:tab w:val="left" w:pos="293"/>
      </w:tabs>
      <w:rPr>
        <w:rFonts w:ascii="Pill Gothic 600mg Lt" w:hAnsi="Pill Gothic 600mg Lt" w:cs="Arial"/>
        <w:color w:val="808080" w:themeColor="background1" w:themeShade="80"/>
        <w:sz w:val="20"/>
        <w:szCs w:val="20"/>
      </w:rPr>
    </w:pPr>
    <w:r>
      <w:rPr>
        <w:rFonts w:ascii="Pill Gothic 600mg Lt" w:hAnsi="Pill Gothic 600mg Lt" w:cs="Arial"/>
        <w:noProof/>
        <w:color w:val="808080" w:themeColor="background1" w:themeShade="80"/>
        <w:sz w:val="20"/>
        <w:szCs w:val="20"/>
      </w:rPr>
      <w:drawing>
        <wp:anchor distT="0" distB="0" distL="114300" distR="114300" simplePos="0" relativeHeight="251658240" behindDoc="0" locked="0" layoutInCell="1" allowOverlap="1" wp14:anchorId="17CCD8DA" wp14:editId="28A7D33A">
          <wp:simplePos x="0" y="0"/>
          <wp:positionH relativeFrom="margin">
            <wp:posOffset>-38100</wp:posOffset>
          </wp:positionH>
          <wp:positionV relativeFrom="paragraph">
            <wp:posOffset>-194310</wp:posOffset>
          </wp:positionV>
          <wp:extent cx="1097280" cy="1097280"/>
          <wp:effectExtent l="0" t="0" r="0" b="0"/>
          <wp:wrapThrough wrapText="bothSides">
            <wp:wrapPolygon edited="0">
              <wp:start x="8250" y="3000"/>
              <wp:lineTo x="3375" y="6000"/>
              <wp:lineTo x="1500" y="7875"/>
              <wp:lineTo x="1500" y="10125"/>
              <wp:lineTo x="4125" y="15750"/>
              <wp:lineTo x="7500" y="17625"/>
              <wp:lineTo x="7875" y="18375"/>
              <wp:lineTo x="12750" y="18375"/>
              <wp:lineTo x="13500" y="17625"/>
              <wp:lineTo x="16500" y="15750"/>
              <wp:lineTo x="20250" y="7125"/>
              <wp:lineTo x="18750" y="5625"/>
              <wp:lineTo x="12000" y="3000"/>
              <wp:lineTo x="8250" y="300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FA_Alliance_Flat_Web_LR.png"/>
                  <pic:cNvPicPr/>
                </pic:nvPicPr>
                <pic:blipFill>
                  <a:blip r:embed="rId1">
                    <a:extLst>
                      <a:ext uri="{28A0092B-C50C-407E-A947-70E740481C1C}">
                        <a14:useLocalDpi xmlns:a14="http://schemas.microsoft.com/office/drawing/2010/main" val="0"/>
                      </a:ext>
                    </a:extLst>
                  </a:blip>
                  <a:stretch>
                    <a:fillRect/>
                  </a:stretch>
                </pic:blipFill>
                <pic:spPr>
                  <a:xfrm>
                    <a:off x="0" y="0"/>
                    <a:ext cx="1097280" cy="1097280"/>
                  </a:xfrm>
                  <a:prstGeom prst="rect">
                    <a:avLst/>
                  </a:prstGeom>
                </pic:spPr>
              </pic:pic>
            </a:graphicData>
          </a:graphic>
        </wp:anchor>
      </w:drawing>
    </w:r>
  </w:p>
  <w:p w14:paraId="5893A8A5" w14:textId="77777777" w:rsidR="00EB52E0" w:rsidRPr="002F60A9" w:rsidRDefault="00A3422C" w:rsidP="00EB52E0">
    <w:pPr>
      <w:pStyle w:val="BasicParagraph"/>
      <w:spacing w:line="240" w:lineRule="auto"/>
      <w:ind w:right="360"/>
      <w:contextualSpacing/>
      <w:jc w:val="right"/>
      <w:rPr>
        <w:rFonts w:ascii="Open Sans" w:hAnsi="Open Sans" w:cs="Open Sans"/>
        <w:color w:val="252B35"/>
        <w:sz w:val="20"/>
      </w:rPr>
    </w:pPr>
    <w:r w:rsidRPr="002F60A9">
      <w:rPr>
        <w:rFonts w:ascii="Open Sans" w:hAnsi="Open Sans" w:cs="Open Sans"/>
        <w:color w:val="252B35"/>
        <w:sz w:val="20"/>
      </w:rPr>
      <w:t>10900-B Stonelake Boulevard, Suite 126</w:t>
    </w:r>
    <w:r w:rsidRPr="00057875">
      <w:rPr>
        <w:rFonts w:ascii="Open Sans" w:hAnsi="Open Sans" w:cs="Open Sans"/>
        <w:b/>
        <w:color w:val="252B35"/>
        <w:sz w:val="20"/>
      </w:rPr>
      <w:t xml:space="preserve"> </w:t>
    </w:r>
    <w:r w:rsidRPr="00057875">
      <w:rPr>
        <w:rFonts w:ascii="Arial" w:hAnsi="Arial" w:cs="Arial"/>
        <w:b/>
        <w:color w:val="252B35"/>
        <w:sz w:val="20"/>
      </w:rPr>
      <w:t>∙</w:t>
    </w:r>
    <w:r w:rsidRPr="00057875">
      <w:rPr>
        <w:rFonts w:ascii="Open Sans" w:hAnsi="Open Sans" w:cs="Open Sans"/>
        <w:b/>
        <w:color w:val="252B35"/>
        <w:sz w:val="20"/>
      </w:rPr>
      <w:t xml:space="preserve"> </w:t>
    </w:r>
    <w:r w:rsidRPr="002F60A9">
      <w:rPr>
        <w:rFonts w:ascii="Open Sans" w:hAnsi="Open Sans" w:cs="Open Sans"/>
        <w:color w:val="252B35"/>
        <w:sz w:val="20"/>
      </w:rPr>
      <w:t>Austin, Texas 78759 U.S.A.</w:t>
    </w:r>
  </w:p>
  <w:p w14:paraId="33B9ABD1" w14:textId="77777777" w:rsidR="00EB52E0" w:rsidRPr="002F60A9" w:rsidRDefault="00A3422C" w:rsidP="00EB52E0">
    <w:pPr>
      <w:pStyle w:val="BasicParagraph"/>
      <w:spacing w:line="240" w:lineRule="auto"/>
      <w:ind w:right="360"/>
      <w:contextualSpacing/>
      <w:jc w:val="right"/>
      <w:rPr>
        <w:rFonts w:ascii="Open Sans" w:hAnsi="Open Sans" w:cs="Open Sans"/>
        <w:color w:val="252B35"/>
        <w:sz w:val="20"/>
      </w:rPr>
    </w:pPr>
    <w:r w:rsidRPr="002F60A9">
      <w:rPr>
        <w:rFonts w:ascii="Open Sans" w:hAnsi="Open Sans" w:cs="Open Sans"/>
        <w:color w:val="252B35"/>
        <w:sz w:val="20"/>
      </w:rPr>
      <w:t>Phone: +1-512-498-9434 (WIFI)</w:t>
    </w:r>
    <w:r w:rsidRPr="00057875">
      <w:rPr>
        <w:rFonts w:ascii="Open Sans" w:hAnsi="Open Sans" w:cs="Open Sans"/>
        <w:b/>
        <w:color w:val="252B35"/>
        <w:sz w:val="20"/>
      </w:rPr>
      <w:t xml:space="preserve"> </w:t>
    </w:r>
    <w:r w:rsidRPr="00057875">
      <w:rPr>
        <w:rFonts w:ascii="Arial" w:hAnsi="Arial" w:cs="Arial"/>
        <w:b/>
        <w:color w:val="252B35"/>
        <w:sz w:val="20"/>
      </w:rPr>
      <w:t>∙</w:t>
    </w:r>
    <w:r w:rsidRPr="00057875">
      <w:rPr>
        <w:rFonts w:ascii="Open Sans" w:hAnsi="Open Sans" w:cs="Open Sans"/>
        <w:b/>
        <w:color w:val="252B35"/>
        <w:sz w:val="20"/>
      </w:rPr>
      <w:t xml:space="preserve"> </w:t>
    </w:r>
    <w:r w:rsidRPr="002F60A9">
      <w:rPr>
        <w:rFonts w:ascii="Open Sans" w:hAnsi="Open Sans" w:cs="Open Sans"/>
        <w:color w:val="252B35"/>
        <w:sz w:val="20"/>
      </w:rPr>
      <w:t>Fax: +1-512-498-9435</w:t>
    </w:r>
  </w:p>
  <w:p w14:paraId="75013DA6" w14:textId="77777777" w:rsidR="00EB52E0" w:rsidRPr="002F60A9" w:rsidRDefault="00A3422C" w:rsidP="00EB52E0">
    <w:pPr>
      <w:pStyle w:val="Header"/>
      <w:ind w:right="360" w:hanging="1440"/>
      <w:contextualSpacing/>
      <w:jc w:val="right"/>
      <w:rPr>
        <w:color w:val="4F1734"/>
        <w:sz w:val="20"/>
      </w:rPr>
    </w:pPr>
    <w:r w:rsidRPr="002F60A9">
      <w:rPr>
        <w:rFonts w:ascii="Open Sans" w:hAnsi="Open Sans" w:cs="Open Sans"/>
        <w:color w:val="4F1734"/>
        <w:sz w:val="20"/>
      </w:rPr>
      <w:t>www.wi-fi.org</w:t>
    </w:r>
  </w:p>
  <w:p w14:paraId="4BA70982" w14:textId="77777777" w:rsidR="00C72AD1" w:rsidRDefault="00976991" w:rsidP="00C72AD1">
    <w:pPr>
      <w:pStyle w:val="Header"/>
      <w:ind w:left="-1440"/>
      <w:rPr>
        <w:color w:val="4F1734"/>
      </w:rPr>
    </w:pPr>
  </w:p>
  <w:p w14:paraId="622491F9" w14:textId="77777777" w:rsidR="00C72AD1" w:rsidRDefault="00976991">
    <w:pPr>
      <w:pStyle w:val="Header"/>
      <w:rPr>
        <w:color w:val="4F173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D9E83BCE"/>
    <w:lvl w:ilvl="0">
      <w:start w:val="1"/>
      <w:numFmt w:val="decimal"/>
      <w:pStyle w:val="ListNumber"/>
      <w:lvlText w:val="%1."/>
      <w:lvlJc w:val="left"/>
      <w:pPr>
        <w:ind w:left="360" w:hanging="360"/>
      </w:pPr>
      <w:rPr>
        <w:rFonts w:hint="default"/>
        <w:caps/>
        <w:sz w:val="20"/>
      </w:rPr>
    </w:lvl>
  </w:abstractNum>
  <w:abstractNum w:abstractNumId="1" w15:restartNumberingAfterBreak="0">
    <w:nsid w:val="10763385"/>
    <w:multiLevelType w:val="hybridMultilevel"/>
    <w:tmpl w:val="70D87274"/>
    <w:lvl w:ilvl="0" w:tplc="B76ADE00">
      <w:start w:val="1"/>
      <w:numFmt w:val="upperRoman"/>
      <w:lvlText w:val="%1."/>
      <w:lvlJc w:val="left"/>
      <w:pPr>
        <w:ind w:left="1080" w:hanging="720"/>
      </w:pPr>
      <w:rPr>
        <w:rFonts w:hint="default"/>
      </w:rPr>
    </w:lvl>
    <w:lvl w:ilvl="1" w:tplc="4F0293D8" w:tentative="1">
      <w:start w:val="1"/>
      <w:numFmt w:val="lowerLetter"/>
      <w:lvlText w:val="%2."/>
      <w:lvlJc w:val="left"/>
      <w:pPr>
        <w:ind w:left="1440" w:hanging="360"/>
      </w:pPr>
    </w:lvl>
    <w:lvl w:ilvl="2" w:tplc="39A498AC" w:tentative="1">
      <w:start w:val="1"/>
      <w:numFmt w:val="lowerRoman"/>
      <w:lvlText w:val="%3."/>
      <w:lvlJc w:val="right"/>
      <w:pPr>
        <w:ind w:left="2160" w:hanging="180"/>
      </w:pPr>
    </w:lvl>
    <w:lvl w:ilvl="3" w:tplc="9DB4A0F4" w:tentative="1">
      <w:start w:val="1"/>
      <w:numFmt w:val="decimal"/>
      <w:lvlText w:val="%4."/>
      <w:lvlJc w:val="left"/>
      <w:pPr>
        <w:ind w:left="2880" w:hanging="360"/>
      </w:pPr>
    </w:lvl>
    <w:lvl w:ilvl="4" w:tplc="3CBC5FE0" w:tentative="1">
      <w:start w:val="1"/>
      <w:numFmt w:val="lowerLetter"/>
      <w:lvlText w:val="%5."/>
      <w:lvlJc w:val="left"/>
      <w:pPr>
        <w:ind w:left="3600" w:hanging="360"/>
      </w:pPr>
    </w:lvl>
    <w:lvl w:ilvl="5" w:tplc="B19A0F14" w:tentative="1">
      <w:start w:val="1"/>
      <w:numFmt w:val="lowerRoman"/>
      <w:lvlText w:val="%6."/>
      <w:lvlJc w:val="right"/>
      <w:pPr>
        <w:ind w:left="4320" w:hanging="180"/>
      </w:pPr>
    </w:lvl>
    <w:lvl w:ilvl="6" w:tplc="C7023F7A" w:tentative="1">
      <w:start w:val="1"/>
      <w:numFmt w:val="decimal"/>
      <w:lvlText w:val="%7."/>
      <w:lvlJc w:val="left"/>
      <w:pPr>
        <w:ind w:left="5040" w:hanging="360"/>
      </w:pPr>
    </w:lvl>
    <w:lvl w:ilvl="7" w:tplc="B416421A" w:tentative="1">
      <w:start w:val="1"/>
      <w:numFmt w:val="lowerLetter"/>
      <w:lvlText w:val="%8."/>
      <w:lvlJc w:val="left"/>
      <w:pPr>
        <w:ind w:left="5760" w:hanging="360"/>
      </w:pPr>
    </w:lvl>
    <w:lvl w:ilvl="8" w:tplc="5B7AECC4" w:tentative="1">
      <w:start w:val="1"/>
      <w:numFmt w:val="lowerRoman"/>
      <w:lvlText w:val="%9."/>
      <w:lvlJc w:val="right"/>
      <w:pPr>
        <w:ind w:left="6480" w:hanging="180"/>
      </w:pPr>
    </w:lvl>
  </w:abstractNum>
  <w:abstractNum w:abstractNumId="2" w15:restartNumberingAfterBreak="0">
    <w:nsid w:val="12FB5580"/>
    <w:multiLevelType w:val="hybridMultilevel"/>
    <w:tmpl w:val="BC1E6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DE3181"/>
    <w:multiLevelType w:val="hybridMultilevel"/>
    <w:tmpl w:val="BA586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EB4C3D"/>
    <w:multiLevelType w:val="hybridMultilevel"/>
    <w:tmpl w:val="30708D0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308E7EDB"/>
    <w:multiLevelType w:val="hybridMultilevel"/>
    <w:tmpl w:val="1C4AAA38"/>
    <w:lvl w:ilvl="0" w:tplc="B76ADE00">
      <w:start w:val="1"/>
      <w:numFmt w:val="upperRoman"/>
      <w:lvlText w:val="%1."/>
      <w:lvlJc w:val="left"/>
      <w:pPr>
        <w:ind w:left="1080" w:hanging="720"/>
      </w:pPr>
      <w:rPr>
        <w:rFonts w:hint="default"/>
      </w:rPr>
    </w:lvl>
    <w:lvl w:ilvl="1" w:tplc="4F0293D8" w:tentative="1">
      <w:start w:val="1"/>
      <w:numFmt w:val="lowerLetter"/>
      <w:lvlText w:val="%2."/>
      <w:lvlJc w:val="left"/>
      <w:pPr>
        <w:ind w:left="1440" w:hanging="360"/>
      </w:pPr>
    </w:lvl>
    <w:lvl w:ilvl="2" w:tplc="39A498AC" w:tentative="1">
      <w:start w:val="1"/>
      <w:numFmt w:val="lowerRoman"/>
      <w:lvlText w:val="%3."/>
      <w:lvlJc w:val="right"/>
      <w:pPr>
        <w:ind w:left="2160" w:hanging="180"/>
      </w:pPr>
    </w:lvl>
    <w:lvl w:ilvl="3" w:tplc="9DB4A0F4" w:tentative="1">
      <w:start w:val="1"/>
      <w:numFmt w:val="decimal"/>
      <w:lvlText w:val="%4."/>
      <w:lvlJc w:val="left"/>
      <w:pPr>
        <w:ind w:left="2880" w:hanging="360"/>
      </w:pPr>
    </w:lvl>
    <w:lvl w:ilvl="4" w:tplc="3CBC5FE0" w:tentative="1">
      <w:start w:val="1"/>
      <w:numFmt w:val="lowerLetter"/>
      <w:lvlText w:val="%5."/>
      <w:lvlJc w:val="left"/>
      <w:pPr>
        <w:ind w:left="3600" w:hanging="360"/>
      </w:pPr>
    </w:lvl>
    <w:lvl w:ilvl="5" w:tplc="B19A0F14" w:tentative="1">
      <w:start w:val="1"/>
      <w:numFmt w:val="lowerRoman"/>
      <w:lvlText w:val="%6."/>
      <w:lvlJc w:val="right"/>
      <w:pPr>
        <w:ind w:left="4320" w:hanging="180"/>
      </w:pPr>
    </w:lvl>
    <w:lvl w:ilvl="6" w:tplc="C7023F7A" w:tentative="1">
      <w:start w:val="1"/>
      <w:numFmt w:val="decimal"/>
      <w:lvlText w:val="%7."/>
      <w:lvlJc w:val="left"/>
      <w:pPr>
        <w:ind w:left="5040" w:hanging="360"/>
      </w:pPr>
    </w:lvl>
    <w:lvl w:ilvl="7" w:tplc="B416421A" w:tentative="1">
      <w:start w:val="1"/>
      <w:numFmt w:val="lowerLetter"/>
      <w:lvlText w:val="%8."/>
      <w:lvlJc w:val="left"/>
      <w:pPr>
        <w:ind w:left="5760" w:hanging="360"/>
      </w:pPr>
    </w:lvl>
    <w:lvl w:ilvl="8" w:tplc="5B7AECC4" w:tentative="1">
      <w:start w:val="1"/>
      <w:numFmt w:val="lowerRoman"/>
      <w:lvlText w:val="%9."/>
      <w:lvlJc w:val="right"/>
      <w:pPr>
        <w:ind w:left="6480" w:hanging="180"/>
      </w:pPr>
    </w:lvl>
  </w:abstractNum>
  <w:abstractNum w:abstractNumId="6" w15:restartNumberingAfterBreak="0">
    <w:nsid w:val="42CD7BF8"/>
    <w:multiLevelType w:val="hybridMultilevel"/>
    <w:tmpl w:val="1C4AAA38"/>
    <w:lvl w:ilvl="0" w:tplc="B76ADE00">
      <w:start w:val="1"/>
      <w:numFmt w:val="upperRoman"/>
      <w:lvlText w:val="%1."/>
      <w:lvlJc w:val="left"/>
      <w:pPr>
        <w:ind w:left="1080" w:hanging="720"/>
      </w:pPr>
      <w:rPr>
        <w:rFonts w:hint="default"/>
      </w:rPr>
    </w:lvl>
    <w:lvl w:ilvl="1" w:tplc="4F0293D8" w:tentative="1">
      <w:start w:val="1"/>
      <w:numFmt w:val="lowerLetter"/>
      <w:lvlText w:val="%2."/>
      <w:lvlJc w:val="left"/>
      <w:pPr>
        <w:ind w:left="1440" w:hanging="360"/>
      </w:pPr>
    </w:lvl>
    <w:lvl w:ilvl="2" w:tplc="39A498AC" w:tentative="1">
      <w:start w:val="1"/>
      <w:numFmt w:val="lowerRoman"/>
      <w:lvlText w:val="%3."/>
      <w:lvlJc w:val="right"/>
      <w:pPr>
        <w:ind w:left="2160" w:hanging="180"/>
      </w:pPr>
    </w:lvl>
    <w:lvl w:ilvl="3" w:tplc="9DB4A0F4" w:tentative="1">
      <w:start w:val="1"/>
      <w:numFmt w:val="decimal"/>
      <w:lvlText w:val="%4."/>
      <w:lvlJc w:val="left"/>
      <w:pPr>
        <w:ind w:left="2880" w:hanging="360"/>
      </w:pPr>
    </w:lvl>
    <w:lvl w:ilvl="4" w:tplc="3CBC5FE0" w:tentative="1">
      <w:start w:val="1"/>
      <w:numFmt w:val="lowerLetter"/>
      <w:lvlText w:val="%5."/>
      <w:lvlJc w:val="left"/>
      <w:pPr>
        <w:ind w:left="3600" w:hanging="360"/>
      </w:pPr>
    </w:lvl>
    <w:lvl w:ilvl="5" w:tplc="B19A0F14" w:tentative="1">
      <w:start w:val="1"/>
      <w:numFmt w:val="lowerRoman"/>
      <w:lvlText w:val="%6."/>
      <w:lvlJc w:val="right"/>
      <w:pPr>
        <w:ind w:left="4320" w:hanging="180"/>
      </w:pPr>
    </w:lvl>
    <w:lvl w:ilvl="6" w:tplc="C7023F7A" w:tentative="1">
      <w:start w:val="1"/>
      <w:numFmt w:val="decimal"/>
      <w:lvlText w:val="%7."/>
      <w:lvlJc w:val="left"/>
      <w:pPr>
        <w:ind w:left="5040" w:hanging="360"/>
      </w:pPr>
    </w:lvl>
    <w:lvl w:ilvl="7" w:tplc="B416421A" w:tentative="1">
      <w:start w:val="1"/>
      <w:numFmt w:val="lowerLetter"/>
      <w:lvlText w:val="%8."/>
      <w:lvlJc w:val="left"/>
      <w:pPr>
        <w:ind w:left="5760" w:hanging="360"/>
      </w:pPr>
    </w:lvl>
    <w:lvl w:ilvl="8" w:tplc="5B7AECC4" w:tentative="1">
      <w:start w:val="1"/>
      <w:numFmt w:val="lowerRoman"/>
      <w:lvlText w:val="%9."/>
      <w:lvlJc w:val="right"/>
      <w:pPr>
        <w:ind w:left="6480" w:hanging="180"/>
      </w:pPr>
    </w:lvl>
  </w:abstractNum>
  <w:abstractNum w:abstractNumId="7" w15:restartNumberingAfterBreak="0">
    <w:nsid w:val="49C66F69"/>
    <w:multiLevelType w:val="hybridMultilevel"/>
    <w:tmpl w:val="A76A0230"/>
    <w:lvl w:ilvl="0" w:tplc="F5A6857E">
      <w:start w:val="1"/>
      <w:numFmt w:val="upperLetter"/>
      <w:lvlText w:val="%1."/>
      <w:lvlJc w:val="left"/>
      <w:pPr>
        <w:ind w:left="1080" w:hanging="360"/>
      </w:pPr>
      <w:rPr>
        <w:rFonts w:hint="default"/>
      </w:rPr>
    </w:lvl>
    <w:lvl w:ilvl="1" w:tplc="97284EB0">
      <w:start w:val="1"/>
      <w:numFmt w:val="lowerLetter"/>
      <w:lvlText w:val="%2."/>
      <w:lvlJc w:val="left"/>
      <w:pPr>
        <w:ind w:left="1800" w:hanging="360"/>
      </w:pPr>
    </w:lvl>
    <w:lvl w:ilvl="2" w:tplc="441E8F38">
      <w:start w:val="1"/>
      <w:numFmt w:val="lowerRoman"/>
      <w:lvlText w:val="%3."/>
      <w:lvlJc w:val="right"/>
      <w:pPr>
        <w:ind w:left="2520" w:hanging="180"/>
      </w:pPr>
    </w:lvl>
    <w:lvl w:ilvl="3" w:tplc="F7728F62" w:tentative="1">
      <w:start w:val="1"/>
      <w:numFmt w:val="decimal"/>
      <w:lvlText w:val="%4."/>
      <w:lvlJc w:val="left"/>
      <w:pPr>
        <w:ind w:left="3240" w:hanging="360"/>
      </w:pPr>
    </w:lvl>
    <w:lvl w:ilvl="4" w:tplc="4A32F412" w:tentative="1">
      <w:start w:val="1"/>
      <w:numFmt w:val="lowerLetter"/>
      <w:lvlText w:val="%5."/>
      <w:lvlJc w:val="left"/>
      <w:pPr>
        <w:ind w:left="3960" w:hanging="360"/>
      </w:pPr>
    </w:lvl>
    <w:lvl w:ilvl="5" w:tplc="D6F2AE32" w:tentative="1">
      <w:start w:val="1"/>
      <w:numFmt w:val="lowerRoman"/>
      <w:lvlText w:val="%6."/>
      <w:lvlJc w:val="right"/>
      <w:pPr>
        <w:ind w:left="4680" w:hanging="180"/>
      </w:pPr>
    </w:lvl>
    <w:lvl w:ilvl="6" w:tplc="24D0957E" w:tentative="1">
      <w:start w:val="1"/>
      <w:numFmt w:val="decimal"/>
      <w:lvlText w:val="%7."/>
      <w:lvlJc w:val="left"/>
      <w:pPr>
        <w:ind w:left="5400" w:hanging="360"/>
      </w:pPr>
    </w:lvl>
    <w:lvl w:ilvl="7" w:tplc="887EF250" w:tentative="1">
      <w:start w:val="1"/>
      <w:numFmt w:val="lowerLetter"/>
      <w:lvlText w:val="%8."/>
      <w:lvlJc w:val="left"/>
      <w:pPr>
        <w:ind w:left="6120" w:hanging="360"/>
      </w:pPr>
    </w:lvl>
    <w:lvl w:ilvl="8" w:tplc="B07871D6" w:tentative="1">
      <w:start w:val="1"/>
      <w:numFmt w:val="lowerRoman"/>
      <w:lvlText w:val="%9."/>
      <w:lvlJc w:val="right"/>
      <w:pPr>
        <w:ind w:left="6840" w:hanging="180"/>
      </w:pPr>
    </w:lvl>
  </w:abstractNum>
  <w:abstractNum w:abstractNumId="8" w15:restartNumberingAfterBreak="0">
    <w:nsid w:val="5B0F107F"/>
    <w:multiLevelType w:val="hybridMultilevel"/>
    <w:tmpl w:val="1C4AAA38"/>
    <w:lvl w:ilvl="0" w:tplc="B76ADE00">
      <w:start w:val="1"/>
      <w:numFmt w:val="upperRoman"/>
      <w:lvlText w:val="%1."/>
      <w:lvlJc w:val="left"/>
      <w:pPr>
        <w:ind w:left="1080" w:hanging="720"/>
      </w:pPr>
      <w:rPr>
        <w:rFonts w:hint="default"/>
      </w:rPr>
    </w:lvl>
    <w:lvl w:ilvl="1" w:tplc="4F0293D8" w:tentative="1">
      <w:start w:val="1"/>
      <w:numFmt w:val="lowerLetter"/>
      <w:lvlText w:val="%2."/>
      <w:lvlJc w:val="left"/>
      <w:pPr>
        <w:ind w:left="1440" w:hanging="360"/>
      </w:pPr>
    </w:lvl>
    <w:lvl w:ilvl="2" w:tplc="39A498AC" w:tentative="1">
      <w:start w:val="1"/>
      <w:numFmt w:val="lowerRoman"/>
      <w:lvlText w:val="%3."/>
      <w:lvlJc w:val="right"/>
      <w:pPr>
        <w:ind w:left="2160" w:hanging="180"/>
      </w:pPr>
    </w:lvl>
    <w:lvl w:ilvl="3" w:tplc="9DB4A0F4" w:tentative="1">
      <w:start w:val="1"/>
      <w:numFmt w:val="decimal"/>
      <w:lvlText w:val="%4."/>
      <w:lvlJc w:val="left"/>
      <w:pPr>
        <w:ind w:left="2880" w:hanging="360"/>
      </w:pPr>
    </w:lvl>
    <w:lvl w:ilvl="4" w:tplc="3CBC5FE0" w:tentative="1">
      <w:start w:val="1"/>
      <w:numFmt w:val="lowerLetter"/>
      <w:lvlText w:val="%5."/>
      <w:lvlJc w:val="left"/>
      <w:pPr>
        <w:ind w:left="3600" w:hanging="360"/>
      </w:pPr>
    </w:lvl>
    <w:lvl w:ilvl="5" w:tplc="B19A0F14" w:tentative="1">
      <w:start w:val="1"/>
      <w:numFmt w:val="lowerRoman"/>
      <w:lvlText w:val="%6."/>
      <w:lvlJc w:val="right"/>
      <w:pPr>
        <w:ind w:left="4320" w:hanging="180"/>
      </w:pPr>
    </w:lvl>
    <w:lvl w:ilvl="6" w:tplc="C7023F7A" w:tentative="1">
      <w:start w:val="1"/>
      <w:numFmt w:val="decimal"/>
      <w:lvlText w:val="%7."/>
      <w:lvlJc w:val="left"/>
      <w:pPr>
        <w:ind w:left="5040" w:hanging="360"/>
      </w:pPr>
    </w:lvl>
    <w:lvl w:ilvl="7" w:tplc="B416421A" w:tentative="1">
      <w:start w:val="1"/>
      <w:numFmt w:val="lowerLetter"/>
      <w:lvlText w:val="%8."/>
      <w:lvlJc w:val="left"/>
      <w:pPr>
        <w:ind w:left="5760" w:hanging="360"/>
      </w:pPr>
    </w:lvl>
    <w:lvl w:ilvl="8" w:tplc="5B7AECC4" w:tentative="1">
      <w:start w:val="1"/>
      <w:numFmt w:val="lowerRoman"/>
      <w:lvlText w:val="%9."/>
      <w:lvlJc w:val="right"/>
      <w:pPr>
        <w:ind w:left="6480" w:hanging="180"/>
      </w:pPr>
    </w:lvl>
  </w:abstractNum>
  <w:abstractNum w:abstractNumId="9" w15:restartNumberingAfterBreak="0">
    <w:nsid w:val="60BB2C46"/>
    <w:multiLevelType w:val="hybridMultilevel"/>
    <w:tmpl w:val="59F8F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18E4A45"/>
    <w:multiLevelType w:val="hybridMultilevel"/>
    <w:tmpl w:val="70D87274"/>
    <w:lvl w:ilvl="0" w:tplc="B76ADE00">
      <w:start w:val="1"/>
      <w:numFmt w:val="upperRoman"/>
      <w:lvlText w:val="%1."/>
      <w:lvlJc w:val="left"/>
      <w:pPr>
        <w:ind w:left="1080" w:hanging="720"/>
      </w:pPr>
      <w:rPr>
        <w:rFonts w:hint="default"/>
      </w:rPr>
    </w:lvl>
    <w:lvl w:ilvl="1" w:tplc="4F0293D8" w:tentative="1">
      <w:start w:val="1"/>
      <w:numFmt w:val="lowerLetter"/>
      <w:lvlText w:val="%2."/>
      <w:lvlJc w:val="left"/>
      <w:pPr>
        <w:ind w:left="1440" w:hanging="360"/>
      </w:pPr>
    </w:lvl>
    <w:lvl w:ilvl="2" w:tplc="39A498AC" w:tentative="1">
      <w:start w:val="1"/>
      <w:numFmt w:val="lowerRoman"/>
      <w:lvlText w:val="%3."/>
      <w:lvlJc w:val="right"/>
      <w:pPr>
        <w:ind w:left="2160" w:hanging="180"/>
      </w:pPr>
    </w:lvl>
    <w:lvl w:ilvl="3" w:tplc="9DB4A0F4" w:tentative="1">
      <w:start w:val="1"/>
      <w:numFmt w:val="decimal"/>
      <w:lvlText w:val="%4."/>
      <w:lvlJc w:val="left"/>
      <w:pPr>
        <w:ind w:left="2880" w:hanging="360"/>
      </w:pPr>
    </w:lvl>
    <w:lvl w:ilvl="4" w:tplc="3CBC5FE0" w:tentative="1">
      <w:start w:val="1"/>
      <w:numFmt w:val="lowerLetter"/>
      <w:lvlText w:val="%5."/>
      <w:lvlJc w:val="left"/>
      <w:pPr>
        <w:ind w:left="3600" w:hanging="360"/>
      </w:pPr>
    </w:lvl>
    <w:lvl w:ilvl="5" w:tplc="B19A0F14" w:tentative="1">
      <w:start w:val="1"/>
      <w:numFmt w:val="lowerRoman"/>
      <w:lvlText w:val="%6."/>
      <w:lvlJc w:val="right"/>
      <w:pPr>
        <w:ind w:left="4320" w:hanging="180"/>
      </w:pPr>
    </w:lvl>
    <w:lvl w:ilvl="6" w:tplc="C7023F7A" w:tentative="1">
      <w:start w:val="1"/>
      <w:numFmt w:val="decimal"/>
      <w:lvlText w:val="%7."/>
      <w:lvlJc w:val="left"/>
      <w:pPr>
        <w:ind w:left="5040" w:hanging="360"/>
      </w:pPr>
    </w:lvl>
    <w:lvl w:ilvl="7" w:tplc="B416421A" w:tentative="1">
      <w:start w:val="1"/>
      <w:numFmt w:val="lowerLetter"/>
      <w:lvlText w:val="%8."/>
      <w:lvlJc w:val="left"/>
      <w:pPr>
        <w:ind w:left="5760" w:hanging="360"/>
      </w:pPr>
    </w:lvl>
    <w:lvl w:ilvl="8" w:tplc="5B7AECC4" w:tentative="1">
      <w:start w:val="1"/>
      <w:numFmt w:val="lowerRoman"/>
      <w:lvlText w:val="%9."/>
      <w:lvlJc w:val="right"/>
      <w:pPr>
        <w:ind w:left="6480" w:hanging="180"/>
      </w:pPr>
    </w:lvl>
  </w:abstractNum>
  <w:abstractNum w:abstractNumId="11" w15:restartNumberingAfterBreak="0">
    <w:nsid w:val="6DF515D6"/>
    <w:multiLevelType w:val="hybridMultilevel"/>
    <w:tmpl w:val="53682F52"/>
    <w:lvl w:ilvl="0" w:tplc="D9AC3D7C">
      <w:start w:val="1"/>
      <w:numFmt w:val="upperRoman"/>
      <w:lvlText w:val="%1."/>
      <w:lvlJc w:val="left"/>
      <w:pPr>
        <w:ind w:left="1080" w:hanging="720"/>
      </w:pPr>
      <w:rPr>
        <w:rFonts w:hint="default"/>
      </w:rPr>
    </w:lvl>
    <w:lvl w:ilvl="1" w:tplc="2B98E0F0" w:tentative="1">
      <w:start w:val="1"/>
      <w:numFmt w:val="lowerLetter"/>
      <w:lvlText w:val="%2."/>
      <w:lvlJc w:val="left"/>
      <w:pPr>
        <w:ind w:left="1440" w:hanging="360"/>
      </w:pPr>
    </w:lvl>
    <w:lvl w:ilvl="2" w:tplc="FB069FDA" w:tentative="1">
      <w:start w:val="1"/>
      <w:numFmt w:val="lowerRoman"/>
      <w:lvlText w:val="%3."/>
      <w:lvlJc w:val="right"/>
      <w:pPr>
        <w:ind w:left="2160" w:hanging="180"/>
      </w:pPr>
    </w:lvl>
    <w:lvl w:ilvl="3" w:tplc="E7D68E7A" w:tentative="1">
      <w:start w:val="1"/>
      <w:numFmt w:val="decimal"/>
      <w:lvlText w:val="%4."/>
      <w:lvlJc w:val="left"/>
      <w:pPr>
        <w:ind w:left="2880" w:hanging="360"/>
      </w:pPr>
    </w:lvl>
    <w:lvl w:ilvl="4" w:tplc="537AFB68" w:tentative="1">
      <w:start w:val="1"/>
      <w:numFmt w:val="lowerLetter"/>
      <w:lvlText w:val="%5."/>
      <w:lvlJc w:val="left"/>
      <w:pPr>
        <w:ind w:left="3600" w:hanging="360"/>
      </w:pPr>
    </w:lvl>
    <w:lvl w:ilvl="5" w:tplc="54AA79F4" w:tentative="1">
      <w:start w:val="1"/>
      <w:numFmt w:val="lowerRoman"/>
      <w:lvlText w:val="%6."/>
      <w:lvlJc w:val="right"/>
      <w:pPr>
        <w:ind w:left="4320" w:hanging="180"/>
      </w:pPr>
    </w:lvl>
    <w:lvl w:ilvl="6" w:tplc="ED765376" w:tentative="1">
      <w:start w:val="1"/>
      <w:numFmt w:val="decimal"/>
      <w:lvlText w:val="%7."/>
      <w:lvlJc w:val="left"/>
      <w:pPr>
        <w:ind w:left="5040" w:hanging="360"/>
      </w:pPr>
    </w:lvl>
    <w:lvl w:ilvl="7" w:tplc="2552156A" w:tentative="1">
      <w:start w:val="1"/>
      <w:numFmt w:val="lowerLetter"/>
      <w:lvlText w:val="%8."/>
      <w:lvlJc w:val="left"/>
      <w:pPr>
        <w:ind w:left="5760" w:hanging="360"/>
      </w:pPr>
    </w:lvl>
    <w:lvl w:ilvl="8" w:tplc="DB165A7A" w:tentative="1">
      <w:start w:val="1"/>
      <w:numFmt w:val="lowerRoman"/>
      <w:lvlText w:val="%9."/>
      <w:lvlJc w:val="right"/>
      <w:pPr>
        <w:ind w:left="6480" w:hanging="180"/>
      </w:pPr>
    </w:lvl>
  </w:abstractNum>
  <w:abstractNum w:abstractNumId="12" w15:restartNumberingAfterBreak="0">
    <w:nsid w:val="75120BF6"/>
    <w:multiLevelType w:val="hybridMultilevel"/>
    <w:tmpl w:val="70D87274"/>
    <w:lvl w:ilvl="0" w:tplc="B76ADE00">
      <w:start w:val="1"/>
      <w:numFmt w:val="upperRoman"/>
      <w:lvlText w:val="%1."/>
      <w:lvlJc w:val="left"/>
      <w:pPr>
        <w:ind w:left="1080" w:hanging="720"/>
      </w:pPr>
      <w:rPr>
        <w:rFonts w:hint="default"/>
      </w:rPr>
    </w:lvl>
    <w:lvl w:ilvl="1" w:tplc="4F0293D8" w:tentative="1">
      <w:start w:val="1"/>
      <w:numFmt w:val="lowerLetter"/>
      <w:lvlText w:val="%2."/>
      <w:lvlJc w:val="left"/>
      <w:pPr>
        <w:ind w:left="1440" w:hanging="360"/>
      </w:pPr>
    </w:lvl>
    <w:lvl w:ilvl="2" w:tplc="39A498AC" w:tentative="1">
      <w:start w:val="1"/>
      <w:numFmt w:val="lowerRoman"/>
      <w:lvlText w:val="%3."/>
      <w:lvlJc w:val="right"/>
      <w:pPr>
        <w:ind w:left="2160" w:hanging="180"/>
      </w:pPr>
    </w:lvl>
    <w:lvl w:ilvl="3" w:tplc="9DB4A0F4" w:tentative="1">
      <w:start w:val="1"/>
      <w:numFmt w:val="decimal"/>
      <w:lvlText w:val="%4."/>
      <w:lvlJc w:val="left"/>
      <w:pPr>
        <w:ind w:left="2880" w:hanging="360"/>
      </w:pPr>
    </w:lvl>
    <w:lvl w:ilvl="4" w:tplc="3CBC5FE0" w:tentative="1">
      <w:start w:val="1"/>
      <w:numFmt w:val="lowerLetter"/>
      <w:lvlText w:val="%5."/>
      <w:lvlJc w:val="left"/>
      <w:pPr>
        <w:ind w:left="3600" w:hanging="360"/>
      </w:pPr>
    </w:lvl>
    <w:lvl w:ilvl="5" w:tplc="B19A0F14" w:tentative="1">
      <w:start w:val="1"/>
      <w:numFmt w:val="lowerRoman"/>
      <w:lvlText w:val="%6."/>
      <w:lvlJc w:val="right"/>
      <w:pPr>
        <w:ind w:left="4320" w:hanging="180"/>
      </w:pPr>
    </w:lvl>
    <w:lvl w:ilvl="6" w:tplc="C7023F7A" w:tentative="1">
      <w:start w:val="1"/>
      <w:numFmt w:val="decimal"/>
      <w:lvlText w:val="%7."/>
      <w:lvlJc w:val="left"/>
      <w:pPr>
        <w:ind w:left="5040" w:hanging="360"/>
      </w:pPr>
    </w:lvl>
    <w:lvl w:ilvl="7" w:tplc="B416421A" w:tentative="1">
      <w:start w:val="1"/>
      <w:numFmt w:val="lowerLetter"/>
      <w:lvlText w:val="%8."/>
      <w:lvlJc w:val="left"/>
      <w:pPr>
        <w:ind w:left="5760" w:hanging="360"/>
      </w:pPr>
    </w:lvl>
    <w:lvl w:ilvl="8" w:tplc="5B7AECC4" w:tentative="1">
      <w:start w:val="1"/>
      <w:numFmt w:val="lowerRoman"/>
      <w:lvlText w:val="%9."/>
      <w:lvlJc w:val="right"/>
      <w:pPr>
        <w:ind w:left="6480" w:hanging="180"/>
      </w:pPr>
    </w:lvl>
  </w:abstractNum>
  <w:abstractNum w:abstractNumId="13" w15:restartNumberingAfterBreak="0">
    <w:nsid w:val="7AF83E7A"/>
    <w:multiLevelType w:val="hybridMultilevel"/>
    <w:tmpl w:val="1C4AAA38"/>
    <w:lvl w:ilvl="0" w:tplc="B76ADE00">
      <w:start w:val="1"/>
      <w:numFmt w:val="upperRoman"/>
      <w:lvlText w:val="%1."/>
      <w:lvlJc w:val="left"/>
      <w:pPr>
        <w:ind w:left="1080" w:hanging="720"/>
      </w:pPr>
      <w:rPr>
        <w:rFonts w:hint="default"/>
      </w:rPr>
    </w:lvl>
    <w:lvl w:ilvl="1" w:tplc="4F0293D8" w:tentative="1">
      <w:start w:val="1"/>
      <w:numFmt w:val="lowerLetter"/>
      <w:lvlText w:val="%2."/>
      <w:lvlJc w:val="left"/>
      <w:pPr>
        <w:ind w:left="1440" w:hanging="360"/>
      </w:pPr>
    </w:lvl>
    <w:lvl w:ilvl="2" w:tplc="39A498AC" w:tentative="1">
      <w:start w:val="1"/>
      <w:numFmt w:val="lowerRoman"/>
      <w:lvlText w:val="%3."/>
      <w:lvlJc w:val="right"/>
      <w:pPr>
        <w:ind w:left="2160" w:hanging="180"/>
      </w:pPr>
    </w:lvl>
    <w:lvl w:ilvl="3" w:tplc="9DB4A0F4" w:tentative="1">
      <w:start w:val="1"/>
      <w:numFmt w:val="decimal"/>
      <w:lvlText w:val="%4."/>
      <w:lvlJc w:val="left"/>
      <w:pPr>
        <w:ind w:left="2880" w:hanging="360"/>
      </w:pPr>
    </w:lvl>
    <w:lvl w:ilvl="4" w:tplc="3CBC5FE0" w:tentative="1">
      <w:start w:val="1"/>
      <w:numFmt w:val="lowerLetter"/>
      <w:lvlText w:val="%5."/>
      <w:lvlJc w:val="left"/>
      <w:pPr>
        <w:ind w:left="3600" w:hanging="360"/>
      </w:pPr>
    </w:lvl>
    <w:lvl w:ilvl="5" w:tplc="B19A0F14" w:tentative="1">
      <w:start w:val="1"/>
      <w:numFmt w:val="lowerRoman"/>
      <w:lvlText w:val="%6."/>
      <w:lvlJc w:val="right"/>
      <w:pPr>
        <w:ind w:left="4320" w:hanging="180"/>
      </w:pPr>
    </w:lvl>
    <w:lvl w:ilvl="6" w:tplc="C7023F7A" w:tentative="1">
      <w:start w:val="1"/>
      <w:numFmt w:val="decimal"/>
      <w:lvlText w:val="%7."/>
      <w:lvlJc w:val="left"/>
      <w:pPr>
        <w:ind w:left="5040" w:hanging="360"/>
      </w:pPr>
    </w:lvl>
    <w:lvl w:ilvl="7" w:tplc="B416421A" w:tentative="1">
      <w:start w:val="1"/>
      <w:numFmt w:val="lowerLetter"/>
      <w:lvlText w:val="%8."/>
      <w:lvlJc w:val="left"/>
      <w:pPr>
        <w:ind w:left="5760" w:hanging="360"/>
      </w:pPr>
    </w:lvl>
    <w:lvl w:ilvl="8" w:tplc="5B7AECC4" w:tentative="1">
      <w:start w:val="1"/>
      <w:numFmt w:val="lowerRoman"/>
      <w:lvlText w:val="%9."/>
      <w:lvlJc w:val="right"/>
      <w:pPr>
        <w:ind w:left="6480" w:hanging="180"/>
      </w:pPr>
    </w:lvl>
  </w:abstractNum>
  <w:num w:numId="1">
    <w:abstractNumId w:val="6"/>
  </w:num>
  <w:num w:numId="2">
    <w:abstractNumId w:val="11"/>
  </w:num>
  <w:num w:numId="3">
    <w:abstractNumId w:val="7"/>
  </w:num>
  <w:num w:numId="4">
    <w:abstractNumId w:val="4"/>
  </w:num>
  <w:num w:numId="5">
    <w:abstractNumId w:val="3"/>
  </w:num>
  <w:num w:numId="6">
    <w:abstractNumId w:val="9"/>
  </w:num>
  <w:num w:numId="7">
    <w:abstractNumId w:val="12"/>
  </w:num>
  <w:num w:numId="8">
    <w:abstractNumId w:val="10"/>
  </w:num>
  <w:num w:numId="9">
    <w:abstractNumId w:val="1"/>
  </w:num>
  <w:num w:numId="10">
    <w:abstractNumId w:val="13"/>
  </w:num>
  <w:num w:numId="11">
    <w:abstractNumId w:val="8"/>
  </w:num>
  <w:num w:numId="12">
    <w:abstractNumId w:val="0"/>
  </w:num>
  <w:num w:numId="13">
    <w:abstractNumId w:val="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WDocIDLocation" w:val="0"/>
  </w:docVars>
  <w:rsids>
    <w:rsidRoot w:val="00B170CD"/>
    <w:rsid w:val="00000254"/>
    <w:rsid w:val="00017729"/>
    <w:rsid w:val="000177EB"/>
    <w:rsid w:val="000273B5"/>
    <w:rsid w:val="00045981"/>
    <w:rsid w:val="00045AC8"/>
    <w:rsid w:val="00053A92"/>
    <w:rsid w:val="00063BDC"/>
    <w:rsid w:val="00087669"/>
    <w:rsid w:val="00090998"/>
    <w:rsid w:val="000A6F6B"/>
    <w:rsid w:val="000E3A65"/>
    <w:rsid w:val="000F4126"/>
    <w:rsid w:val="00105B8D"/>
    <w:rsid w:val="001274B6"/>
    <w:rsid w:val="00130079"/>
    <w:rsid w:val="001349B3"/>
    <w:rsid w:val="00137278"/>
    <w:rsid w:val="00140BD8"/>
    <w:rsid w:val="001479A9"/>
    <w:rsid w:val="00152734"/>
    <w:rsid w:val="001551C0"/>
    <w:rsid w:val="00165774"/>
    <w:rsid w:val="00166953"/>
    <w:rsid w:val="0017345E"/>
    <w:rsid w:val="00173935"/>
    <w:rsid w:val="00181E85"/>
    <w:rsid w:val="001952A4"/>
    <w:rsid w:val="001B15FA"/>
    <w:rsid w:val="001B32EF"/>
    <w:rsid w:val="001B6D1C"/>
    <w:rsid w:val="0022592D"/>
    <w:rsid w:val="0022642B"/>
    <w:rsid w:val="00234746"/>
    <w:rsid w:val="00245FD8"/>
    <w:rsid w:val="00252AE4"/>
    <w:rsid w:val="0026301B"/>
    <w:rsid w:val="0026314C"/>
    <w:rsid w:val="00264CFC"/>
    <w:rsid w:val="00276FA7"/>
    <w:rsid w:val="002825D1"/>
    <w:rsid w:val="00290AF9"/>
    <w:rsid w:val="002932C9"/>
    <w:rsid w:val="002A1407"/>
    <w:rsid w:val="002A7D0F"/>
    <w:rsid w:val="002B06E3"/>
    <w:rsid w:val="002D003B"/>
    <w:rsid w:val="002D72EC"/>
    <w:rsid w:val="002F6383"/>
    <w:rsid w:val="0030198B"/>
    <w:rsid w:val="003053B2"/>
    <w:rsid w:val="00333B7E"/>
    <w:rsid w:val="00337EE0"/>
    <w:rsid w:val="003424D4"/>
    <w:rsid w:val="003670A0"/>
    <w:rsid w:val="00380CB6"/>
    <w:rsid w:val="00385450"/>
    <w:rsid w:val="003919F5"/>
    <w:rsid w:val="00395BD0"/>
    <w:rsid w:val="00395D63"/>
    <w:rsid w:val="003A6036"/>
    <w:rsid w:val="003D2AD6"/>
    <w:rsid w:val="003D5488"/>
    <w:rsid w:val="003D582F"/>
    <w:rsid w:val="003E5A52"/>
    <w:rsid w:val="003F52C4"/>
    <w:rsid w:val="00411B14"/>
    <w:rsid w:val="0041683C"/>
    <w:rsid w:val="00435F51"/>
    <w:rsid w:val="004439D6"/>
    <w:rsid w:val="00451E60"/>
    <w:rsid w:val="004707C8"/>
    <w:rsid w:val="00475CD1"/>
    <w:rsid w:val="00496E99"/>
    <w:rsid w:val="004B720F"/>
    <w:rsid w:val="004C6CFC"/>
    <w:rsid w:val="004D139D"/>
    <w:rsid w:val="004D5C67"/>
    <w:rsid w:val="004E0AA9"/>
    <w:rsid w:val="004E2D2E"/>
    <w:rsid w:val="005219EB"/>
    <w:rsid w:val="00537278"/>
    <w:rsid w:val="00542A4B"/>
    <w:rsid w:val="00553520"/>
    <w:rsid w:val="00556BF6"/>
    <w:rsid w:val="005628E8"/>
    <w:rsid w:val="0057097E"/>
    <w:rsid w:val="00580205"/>
    <w:rsid w:val="00597830"/>
    <w:rsid w:val="005A14E5"/>
    <w:rsid w:val="005A71DA"/>
    <w:rsid w:val="005C11EA"/>
    <w:rsid w:val="005C374D"/>
    <w:rsid w:val="005C5607"/>
    <w:rsid w:val="005D43B9"/>
    <w:rsid w:val="005D6D9C"/>
    <w:rsid w:val="005E08AB"/>
    <w:rsid w:val="005E54ED"/>
    <w:rsid w:val="005F5D86"/>
    <w:rsid w:val="0060528B"/>
    <w:rsid w:val="00605FE0"/>
    <w:rsid w:val="0060665F"/>
    <w:rsid w:val="00647C18"/>
    <w:rsid w:val="00652BBB"/>
    <w:rsid w:val="00653E53"/>
    <w:rsid w:val="00657E96"/>
    <w:rsid w:val="00677CB3"/>
    <w:rsid w:val="00692FAD"/>
    <w:rsid w:val="006A546B"/>
    <w:rsid w:val="006C448C"/>
    <w:rsid w:val="006C5AD0"/>
    <w:rsid w:val="006D7E11"/>
    <w:rsid w:val="006E391D"/>
    <w:rsid w:val="006E7FC1"/>
    <w:rsid w:val="006F0E61"/>
    <w:rsid w:val="006F467B"/>
    <w:rsid w:val="00703B20"/>
    <w:rsid w:val="00713AA6"/>
    <w:rsid w:val="007178A9"/>
    <w:rsid w:val="0073213F"/>
    <w:rsid w:val="007365A1"/>
    <w:rsid w:val="00764965"/>
    <w:rsid w:val="00772A6C"/>
    <w:rsid w:val="007769E5"/>
    <w:rsid w:val="00783611"/>
    <w:rsid w:val="00797FF2"/>
    <w:rsid w:val="007C7795"/>
    <w:rsid w:val="007D73BE"/>
    <w:rsid w:val="007E04C6"/>
    <w:rsid w:val="007E387E"/>
    <w:rsid w:val="0081679D"/>
    <w:rsid w:val="00826149"/>
    <w:rsid w:val="00830249"/>
    <w:rsid w:val="00853ECA"/>
    <w:rsid w:val="008664A6"/>
    <w:rsid w:val="00887746"/>
    <w:rsid w:val="00890A3D"/>
    <w:rsid w:val="008A02D2"/>
    <w:rsid w:val="008A6C57"/>
    <w:rsid w:val="008B0519"/>
    <w:rsid w:val="008B3CB7"/>
    <w:rsid w:val="008D1D1A"/>
    <w:rsid w:val="008E0B6F"/>
    <w:rsid w:val="008F293F"/>
    <w:rsid w:val="008F5EEB"/>
    <w:rsid w:val="00907B13"/>
    <w:rsid w:val="0092693B"/>
    <w:rsid w:val="009431DC"/>
    <w:rsid w:val="00944499"/>
    <w:rsid w:val="009503F5"/>
    <w:rsid w:val="00952DE6"/>
    <w:rsid w:val="009578C1"/>
    <w:rsid w:val="00971109"/>
    <w:rsid w:val="009722C1"/>
    <w:rsid w:val="00976991"/>
    <w:rsid w:val="00986EB5"/>
    <w:rsid w:val="009872F3"/>
    <w:rsid w:val="009929F3"/>
    <w:rsid w:val="009A53D5"/>
    <w:rsid w:val="009A637C"/>
    <w:rsid w:val="009A705D"/>
    <w:rsid w:val="009B2EB9"/>
    <w:rsid w:val="009C5DC0"/>
    <w:rsid w:val="009C63EC"/>
    <w:rsid w:val="009D7D36"/>
    <w:rsid w:val="009E3498"/>
    <w:rsid w:val="009F4644"/>
    <w:rsid w:val="00A00E1E"/>
    <w:rsid w:val="00A0509E"/>
    <w:rsid w:val="00A05185"/>
    <w:rsid w:val="00A117EB"/>
    <w:rsid w:val="00A24327"/>
    <w:rsid w:val="00A31F5E"/>
    <w:rsid w:val="00A3422C"/>
    <w:rsid w:val="00A415FF"/>
    <w:rsid w:val="00A45FBC"/>
    <w:rsid w:val="00A564C1"/>
    <w:rsid w:val="00A776DD"/>
    <w:rsid w:val="00A83401"/>
    <w:rsid w:val="00AB6E3F"/>
    <w:rsid w:val="00AC0057"/>
    <w:rsid w:val="00AD1E74"/>
    <w:rsid w:val="00AD5F82"/>
    <w:rsid w:val="00AF6331"/>
    <w:rsid w:val="00B11F6D"/>
    <w:rsid w:val="00B15CBB"/>
    <w:rsid w:val="00B170CD"/>
    <w:rsid w:val="00B35B79"/>
    <w:rsid w:val="00B54B63"/>
    <w:rsid w:val="00B54E61"/>
    <w:rsid w:val="00BA10ED"/>
    <w:rsid w:val="00BA4168"/>
    <w:rsid w:val="00BB2421"/>
    <w:rsid w:val="00BB24D4"/>
    <w:rsid w:val="00BB3034"/>
    <w:rsid w:val="00BD27FC"/>
    <w:rsid w:val="00BE48D5"/>
    <w:rsid w:val="00BE6F81"/>
    <w:rsid w:val="00BF4561"/>
    <w:rsid w:val="00BF59FC"/>
    <w:rsid w:val="00C004EC"/>
    <w:rsid w:val="00C045BE"/>
    <w:rsid w:val="00C27061"/>
    <w:rsid w:val="00C27C02"/>
    <w:rsid w:val="00C27E54"/>
    <w:rsid w:val="00C30CA7"/>
    <w:rsid w:val="00C36DE9"/>
    <w:rsid w:val="00C43A63"/>
    <w:rsid w:val="00C525A3"/>
    <w:rsid w:val="00C535C2"/>
    <w:rsid w:val="00CA432B"/>
    <w:rsid w:val="00CA7451"/>
    <w:rsid w:val="00CB16F8"/>
    <w:rsid w:val="00CC3313"/>
    <w:rsid w:val="00CD11A5"/>
    <w:rsid w:val="00CD4989"/>
    <w:rsid w:val="00CF0DE6"/>
    <w:rsid w:val="00D029FC"/>
    <w:rsid w:val="00D05777"/>
    <w:rsid w:val="00D079AE"/>
    <w:rsid w:val="00D105EA"/>
    <w:rsid w:val="00D1372A"/>
    <w:rsid w:val="00D7584A"/>
    <w:rsid w:val="00D80697"/>
    <w:rsid w:val="00D85852"/>
    <w:rsid w:val="00D876C9"/>
    <w:rsid w:val="00DA23DA"/>
    <w:rsid w:val="00DA6314"/>
    <w:rsid w:val="00DB732E"/>
    <w:rsid w:val="00DC13EB"/>
    <w:rsid w:val="00E040A9"/>
    <w:rsid w:val="00E150F9"/>
    <w:rsid w:val="00E214D8"/>
    <w:rsid w:val="00E226BC"/>
    <w:rsid w:val="00E25450"/>
    <w:rsid w:val="00E34530"/>
    <w:rsid w:val="00E526F4"/>
    <w:rsid w:val="00E71E94"/>
    <w:rsid w:val="00E8352B"/>
    <w:rsid w:val="00EB392A"/>
    <w:rsid w:val="00EB516C"/>
    <w:rsid w:val="00EC4B41"/>
    <w:rsid w:val="00EE2447"/>
    <w:rsid w:val="00EF6943"/>
    <w:rsid w:val="00F01A9B"/>
    <w:rsid w:val="00F10DA3"/>
    <w:rsid w:val="00F23166"/>
    <w:rsid w:val="00F36E19"/>
    <w:rsid w:val="00F9001A"/>
    <w:rsid w:val="00FA186B"/>
    <w:rsid w:val="00FA3E22"/>
    <w:rsid w:val="00FB24FB"/>
    <w:rsid w:val="00FB55F9"/>
    <w:rsid w:val="00FC01ED"/>
    <w:rsid w:val="00FC486D"/>
    <w:rsid w:val="00FD284E"/>
    <w:rsid w:val="00FD458D"/>
    <w:rsid w:val="00FE47AD"/>
    <w:rsid w:val="00FF3A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3DACFD"/>
  <w15:docId w15:val="{8C275766-B06C-419B-954B-71CC31FD9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15648"/>
    <w:pPr>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B14A85"/>
    <w:pPr>
      <w:keepNext/>
      <w:keepLines/>
      <w:spacing w:after="240"/>
      <w:outlineLvl w:val="0"/>
    </w:pPr>
    <w:rPr>
      <w:rFonts w:eastAsiaTheme="majorEastAsia" w:cstheme="majorBidi"/>
      <w:b/>
      <w:bCs/>
      <w:caps/>
      <w:color w:val="000000" w:themeColor="text1"/>
      <w:szCs w:val="28"/>
    </w:rPr>
  </w:style>
  <w:style w:type="paragraph" w:styleId="Heading2">
    <w:name w:val="heading 2"/>
    <w:basedOn w:val="Normal"/>
    <w:next w:val="Normal"/>
    <w:link w:val="Heading2Char"/>
    <w:uiPriority w:val="9"/>
    <w:semiHidden/>
    <w:unhideWhenUsed/>
    <w:qFormat/>
    <w:rsid w:val="000315E8"/>
    <w:pPr>
      <w:keepNext/>
      <w:keepLines/>
      <w:spacing w:after="240"/>
      <w:outlineLvl w:val="1"/>
    </w:pPr>
    <w:rPr>
      <w:rFonts w:eastAsiaTheme="majorEastAsia" w:cstheme="majorBidi"/>
      <w:bCs/>
      <w:color w:val="000000" w:themeColor="text1"/>
      <w:szCs w:val="26"/>
    </w:rPr>
  </w:style>
  <w:style w:type="paragraph" w:styleId="Heading3">
    <w:name w:val="heading 3"/>
    <w:basedOn w:val="Normal"/>
    <w:next w:val="Normal"/>
    <w:link w:val="Heading3Char"/>
    <w:uiPriority w:val="9"/>
    <w:unhideWhenUsed/>
    <w:qFormat/>
    <w:rsid w:val="000315E8"/>
    <w:pPr>
      <w:keepNext/>
      <w:keepLines/>
      <w:spacing w:before="240" w:after="240"/>
      <w:outlineLvl w:val="2"/>
    </w:pPr>
    <w:rPr>
      <w:rFonts w:eastAsiaTheme="majorEastAsia" w:cstheme="majorBidi"/>
      <w:bCs/>
      <w:color w:val="000000" w:themeColor="text1"/>
    </w:rPr>
  </w:style>
  <w:style w:type="paragraph" w:styleId="Heading4">
    <w:name w:val="heading 4"/>
    <w:basedOn w:val="Normal"/>
    <w:next w:val="Normal"/>
    <w:link w:val="Heading4Char"/>
    <w:uiPriority w:val="9"/>
    <w:semiHidden/>
    <w:unhideWhenUsed/>
    <w:qFormat/>
    <w:rsid w:val="000315E8"/>
    <w:pPr>
      <w:keepNext/>
      <w:keepLines/>
      <w:spacing w:after="240"/>
      <w:outlineLvl w:val="3"/>
    </w:pPr>
    <w:rPr>
      <w:rFonts w:eastAsiaTheme="majorEastAsia" w:cstheme="majorBidi"/>
      <w:bCs/>
      <w:i/>
      <w:iCs/>
      <w:color w:val="000000" w:themeColor="text1"/>
    </w:rPr>
  </w:style>
  <w:style w:type="paragraph" w:styleId="Heading5">
    <w:name w:val="heading 5"/>
    <w:basedOn w:val="Normal"/>
    <w:next w:val="Normal"/>
    <w:link w:val="Heading5Char"/>
    <w:uiPriority w:val="9"/>
    <w:unhideWhenUsed/>
    <w:qFormat/>
    <w:rsid w:val="00593F12"/>
    <w:pPr>
      <w:keepNext/>
      <w:keepLines/>
      <w:spacing w:after="240"/>
      <w:outlineLvl w:val="4"/>
    </w:pPr>
    <w:rPr>
      <w:rFonts w:eastAsiaTheme="majorEastAsia" w:cstheme="majorBidi"/>
      <w:color w:val="000000" w:themeColor="text1"/>
    </w:rPr>
  </w:style>
  <w:style w:type="paragraph" w:styleId="Heading6">
    <w:name w:val="heading 6"/>
    <w:basedOn w:val="Normal"/>
    <w:next w:val="Normal"/>
    <w:link w:val="Heading6Char"/>
    <w:uiPriority w:val="9"/>
    <w:semiHidden/>
    <w:unhideWhenUsed/>
    <w:qFormat/>
    <w:rsid w:val="00593F12"/>
    <w:pPr>
      <w:keepNext/>
      <w:keepLines/>
      <w:spacing w:after="240"/>
      <w:outlineLvl w:val="5"/>
    </w:pPr>
    <w:rPr>
      <w:rFonts w:eastAsiaTheme="majorEastAsia" w:cstheme="majorBidi"/>
      <w:i/>
      <w:iCs/>
      <w:color w:val="000000" w:themeColor="text1"/>
    </w:rPr>
  </w:style>
  <w:style w:type="paragraph" w:styleId="Heading8">
    <w:name w:val="heading 8"/>
    <w:basedOn w:val="Normal"/>
    <w:next w:val="Normal"/>
    <w:link w:val="Heading8Char"/>
    <w:uiPriority w:val="9"/>
    <w:semiHidden/>
    <w:unhideWhenUsed/>
    <w:qFormat/>
    <w:rsid w:val="003D2AD6"/>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4A85"/>
    <w:rPr>
      <w:rFonts w:ascii="Times New Roman" w:eastAsiaTheme="majorEastAsia" w:hAnsi="Times New Roman" w:cstheme="majorBidi"/>
      <w:b/>
      <w:bCs/>
      <w:caps/>
      <w:color w:val="000000" w:themeColor="text1"/>
      <w:sz w:val="24"/>
      <w:szCs w:val="28"/>
    </w:rPr>
  </w:style>
  <w:style w:type="character" w:customStyle="1" w:styleId="Heading2Char">
    <w:name w:val="Heading 2 Char"/>
    <w:basedOn w:val="DefaultParagraphFont"/>
    <w:link w:val="Heading2"/>
    <w:uiPriority w:val="9"/>
    <w:semiHidden/>
    <w:rsid w:val="000315E8"/>
    <w:rPr>
      <w:rFonts w:ascii="Times New Roman" w:eastAsiaTheme="majorEastAsia" w:hAnsi="Times New Roman" w:cstheme="majorBidi"/>
      <w:bCs/>
      <w:color w:val="000000" w:themeColor="text1"/>
      <w:sz w:val="24"/>
      <w:szCs w:val="26"/>
    </w:rPr>
  </w:style>
  <w:style w:type="character" w:customStyle="1" w:styleId="Heading3Char">
    <w:name w:val="Heading 3 Char"/>
    <w:basedOn w:val="DefaultParagraphFont"/>
    <w:link w:val="Heading3"/>
    <w:uiPriority w:val="9"/>
    <w:rsid w:val="000315E8"/>
    <w:rPr>
      <w:rFonts w:ascii="Times New Roman" w:eastAsiaTheme="majorEastAsia" w:hAnsi="Times New Roman" w:cstheme="majorBidi"/>
      <w:bCs/>
      <w:color w:val="000000" w:themeColor="text1"/>
      <w:sz w:val="24"/>
    </w:rPr>
  </w:style>
  <w:style w:type="character" w:customStyle="1" w:styleId="Heading4Char">
    <w:name w:val="Heading 4 Char"/>
    <w:basedOn w:val="DefaultParagraphFont"/>
    <w:link w:val="Heading4"/>
    <w:uiPriority w:val="9"/>
    <w:semiHidden/>
    <w:rsid w:val="000315E8"/>
    <w:rPr>
      <w:rFonts w:ascii="Times New Roman" w:eastAsiaTheme="majorEastAsia" w:hAnsi="Times New Roman" w:cstheme="majorBidi"/>
      <w:bCs/>
      <w:i/>
      <w:iCs/>
      <w:color w:val="000000" w:themeColor="text1"/>
      <w:sz w:val="24"/>
    </w:rPr>
  </w:style>
  <w:style w:type="character" w:customStyle="1" w:styleId="Heading5Char">
    <w:name w:val="Heading 5 Char"/>
    <w:basedOn w:val="DefaultParagraphFont"/>
    <w:link w:val="Heading5"/>
    <w:uiPriority w:val="9"/>
    <w:rsid w:val="00593F12"/>
    <w:rPr>
      <w:rFonts w:ascii="Times New Roman" w:eastAsiaTheme="majorEastAsia" w:hAnsi="Times New Roman" w:cstheme="majorBidi"/>
      <w:color w:val="000000" w:themeColor="text1"/>
      <w:sz w:val="24"/>
    </w:rPr>
  </w:style>
  <w:style w:type="character" w:customStyle="1" w:styleId="Heading6Char">
    <w:name w:val="Heading 6 Char"/>
    <w:basedOn w:val="DefaultParagraphFont"/>
    <w:link w:val="Heading6"/>
    <w:uiPriority w:val="9"/>
    <w:semiHidden/>
    <w:rsid w:val="00593F12"/>
    <w:rPr>
      <w:rFonts w:ascii="Times New Roman" w:eastAsiaTheme="majorEastAsia" w:hAnsi="Times New Roman" w:cstheme="majorBidi"/>
      <w:i/>
      <w:iCs/>
      <w:color w:val="000000" w:themeColor="text1"/>
      <w:sz w:val="24"/>
    </w:rPr>
  </w:style>
  <w:style w:type="character" w:styleId="FootnoteReference">
    <w:name w:val="footnote reference"/>
    <w:aliases w:val="(NECG) Footn,(NECG) Footnote Reference,Appel note de bas de p,FR,Footnote Reference/,Style 12,Style 124,Style 13,Style 17,Style 3,Style 6,callout,fr,o,Footnote symbol,Appel note de bas de p + 11 pt,Italic,Footnote,Ref,Style 4,Style 7"/>
    <w:basedOn w:val="DefaultParagraphFont"/>
    <w:uiPriority w:val="99"/>
    <w:unhideWhenUsed/>
    <w:qFormat/>
    <w:rsid w:val="00486A74"/>
    <w:rPr>
      <w:vertAlign w:val="superscript"/>
    </w:rPr>
  </w:style>
  <w:style w:type="paragraph" w:styleId="FootnoteText">
    <w:name w:val="footnote text"/>
    <w:aliases w:val="ALTS FOOTNOTE,Footnote Text Char Char,Footnote Text Char Char Char Char,Footnote Text Char1,Footnote Text Char2 Char Char2 Char2 Char Char,Footnote Text Char4 Char Char1 Char Char,Footnote Text Char5 Char,Footnote Text Char5 Char Char,f,fn"/>
    <w:basedOn w:val="Normal"/>
    <w:link w:val="FootnoteTextChar"/>
    <w:uiPriority w:val="99"/>
    <w:unhideWhenUsed/>
    <w:qFormat/>
    <w:rsid w:val="00486A74"/>
    <w:rPr>
      <w:sz w:val="20"/>
      <w:szCs w:val="20"/>
    </w:rPr>
  </w:style>
  <w:style w:type="character" w:customStyle="1" w:styleId="FootnoteTextChar">
    <w:name w:val="Footnote Text Char"/>
    <w:aliases w:val="ALTS FOOTNOTE Char,Footnote Text Char Char Char,Footnote Text Char Char Char Char Char,Footnote Text Char1 Char,Footnote Text Char2 Char Char2 Char2 Char Char Char,Footnote Text Char4 Char Char1 Char Char Char,f Char,fn Char"/>
    <w:basedOn w:val="DefaultParagraphFont"/>
    <w:link w:val="FootnoteText"/>
    <w:uiPriority w:val="99"/>
    <w:qFormat/>
    <w:rsid w:val="00486A74"/>
    <w:rPr>
      <w:rFonts w:ascii="Times New Roman" w:hAnsi="Times New Roman"/>
      <w:sz w:val="20"/>
      <w:szCs w:val="20"/>
    </w:rPr>
  </w:style>
  <w:style w:type="paragraph" w:styleId="Header">
    <w:name w:val="header"/>
    <w:basedOn w:val="Normal"/>
    <w:link w:val="HeaderChar"/>
    <w:unhideWhenUsed/>
    <w:rsid w:val="002809A5"/>
    <w:pPr>
      <w:tabs>
        <w:tab w:val="center" w:pos="4680"/>
        <w:tab w:val="right" w:pos="9360"/>
      </w:tabs>
    </w:pPr>
  </w:style>
  <w:style w:type="character" w:customStyle="1" w:styleId="HeaderChar">
    <w:name w:val="Header Char"/>
    <w:basedOn w:val="DefaultParagraphFont"/>
    <w:link w:val="Header"/>
    <w:uiPriority w:val="99"/>
    <w:rsid w:val="002809A5"/>
    <w:rPr>
      <w:rFonts w:ascii="Times New Roman" w:hAnsi="Times New Roman"/>
      <w:sz w:val="24"/>
    </w:rPr>
  </w:style>
  <w:style w:type="paragraph" w:styleId="Footer">
    <w:name w:val="footer"/>
    <w:basedOn w:val="Normal"/>
    <w:link w:val="FooterChar"/>
    <w:uiPriority w:val="99"/>
    <w:unhideWhenUsed/>
    <w:rsid w:val="002809A5"/>
    <w:pPr>
      <w:tabs>
        <w:tab w:val="center" w:pos="4680"/>
        <w:tab w:val="right" w:pos="9360"/>
      </w:tabs>
    </w:pPr>
  </w:style>
  <w:style w:type="character" w:customStyle="1" w:styleId="FooterChar">
    <w:name w:val="Footer Char"/>
    <w:basedOn w:val="DefaultParagraphFont"/>
    <w:link w:val="Footer"/>
    <w:uiPriority w:val="99"/>
    <w:rsid w:val="002809A5"/>
    <w:rPr>
      <w:rFonts w:ascii="Times New Roman" w:hAnsi="Times New Roman"/>
      <w:sz w:val="24"/>
    </w:rPr>
  </w:style>
  <w:style w:type="paragraph" w:styleId="BalloonText">
    <w:name w:val="Balloon Text"/>
    <w:basedOn w:val="Normal"/>
    <w:link w:val="BalloonTextChar"/>
    <w:uiPriority w:val="99"/>
    <w:semiHidden/>
    <w:unhideWhenUsed/>
    <w:rsid w:val="00EE664E"/>
    <w:rPr>
      <w:rFonts w:ascii="Tahoma" w:hAnsi="Tahoma" w:cs="Tahoma"/>
      <w:sz w:val="16"/>
      <w:szCs w:val="16"/>
    </w:rPr>
  </w:style>
  <w:style w:type="character" w:customStyle="1" w:styleId="BalloonTextChar">
    <w:name w:val="Balloon Text Char"/>
    <w:basedOn w:val="DefaultParagraphFont"/>
    <w:link w:val="BalloonText"/>
    <w:uiPriority w:val="99"/>
    <w:semiHidden/>
    <w:rsid w:val="00EE664E"/>
    <w:rPr>
      <w:rFonts w:ascii="Tahoma" w:hAnsi="Tahoma" w:cs="Tahoma"/>
      <w:sz w:val="16"/>
      <w:szCs w:val="16"/>
    </w:rPr>
  </w:style>
  <w:style w:type="table" w:styleId="TableGrid">
    <w:name w:val="Table Grid"/>
    <w:basedOn w:val="TableNormal"/>
    <w:uiPriority w:val="59"/>
    <w:rsid w:val="00CF32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EB52E0"/>
    <w:pPr>
      <w:autoSpaceDE w:val="0"/>
      <w:autoSpaceDN w:val="0"/>
      <w:adjustRightInd w:val="0"/>
      <w:spacing w:line="288" w:lineRule="auto"/>
      <w:textAlignment w:val="center"/>
    </w:pPr>
    <w:rPr>
      <w:rFonts w:ascii="Minion Pro" w:eastAsia="Times New Roman" w:hAnsi="Minion Pro" w:cs="Minion Pro"/>
      <w:color w:val="000000"/>
      <w:szCs w:val="24"/>
    </w:rPr>
  </w:style>
  <w:style w:type="paragraph" w:styleId="ListParagraph">
    <w:name w:val="List Paragraph"/>
    <w:basedOn w:val="Normal"/>
    <w:uiPriority w:val="34"/>
    <w:qFormat/>
    <w:rsid w:val="00047B93"/>
    <w:pPr>
      <w:ind w:left="720"/>
      <w:contextualSpacing/>
    </w:pPr>
  </w:style>
  <w:style w:type="character" w:styleId="Hyperlink">
    <w:name w:val="Hyperlink"/>
    <w:aliases w:val="ECC Hyperlink"/>
    <w:basedOn w:val="DefaultParagraphFont"/>
    <w:uiPriority w:val="99"/>
    <w:unhideWhenUsed/>
    <w:rsid w:val="006220BE"/>
    <w:rPr>
      <w:color w:val="0000FF" w:themeColor="hyperlink"/>
      <w:u w:val="single"/>
    </w:rPr>
  </w:style>
  <w:style w:type="character" w:styleId="CommentReference">
    <w:name w:val="annotation reference"/>
    <w:basedOn w:val="DefaultParagraphFont"/>
    <w:uiPriority w:val="99"/>
    <w:semiHidden/>
    <w:unhideWhenUsed/>
    <w:rsid w:val="006F0DB6"/>
    <w:rPr>
      <w:sz w:val="16"/>
      <w:szCs w:val="16"/>
    </w:rPr>
  </w:style>
  <w:style w:type="paragraph" w:styleId="CommentText">
    <w:name w:val="annotation text"/>
    <w:basedOn w:val="Normal"/>
    <w:link w:val="CommentTextChar"/>
    <w:uiPriority w:val="99"/>
    <w:semiHidden/>
    <w:unhideWhenUsed/>
    <w:rsid w:val="006F0DB6"/>
    <w:rPr>
      <w:sz w:val="20"/>
      <w:szCs w:val="20"/>
    </w:rPr>
  </w:style>
  <w:style w:type="character" w:customStyle="1" w:styleId="CommentTextChar">
    <w:name w:val="Comment Text Char"/>
    <w:basedOn w:val="DefaultParagraphFont"/>
    <w:link w:val="CommentText"/>
    <w:uiPriority w:val="99"/>
    <w:semiHidden/>
    <w:rsid w:val="006F0DB6"/>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F0DB6"/>
    <w:rPr>
      <w:b/>
      <w:bCs/>
    </w:rPr>
  </w:style>
  <w:style w:type="character" w:customStyle="1" w:styleId="CommentSubjectChar">
    <w:name w:val="Comment Subject Char"/>
    <w:basedOn w:val="CommentTextChar"/>
    <w:link w:val="CommentSubject"/>
    <w:uiPriority w:val="99"/>
    <w:semiHidden/>
    <w:rsid w:val="006F0DB6"/>
    <w:rPr>
      <w:rFonts w:ascii="Times New Roman" w:hAnsi="Times New Roman"/>
      <w:b/>
      <w:bCs/>
      <w:sz w:val="20"/>
      <w:szCs w:val="20"/>
    </w:rPr>
  </w:style>
  <w:style w:type="paragraph" w:styleId="Revision">
    <w:name w:val="Revision"/>
    <w:hidden/>
    <w:uiPriority w:val="99"/>
    <w:semiHidden/>
    <w:rsid w:val="00A03E3D"/>
    <w:pPr>
      <w:spacing w:after="0" w:line="240" w:lineRule="auto"/>
    </w:pPr>
    <w:rPr>
      <w:rFonts w:ascii="Times New Roman" w:hAnsi="Times New Roman"/>
      <w:sz w:val="24"/>
    </w:rPr>
  </w:style>
  <w:style w:type="character" w:customStyle="1" w:styleId="Heading8Char">
    <w:name w:val="Heading 8 Char"/>
    <w:basedOn w:val="DefaultParagraphFont"/>
    <w:link w:val="Heading8"/>
    <w:uiPriority w:val="9"/>
    <w:semiHidden/>
    <w:rsid w:val="003D2AD6"/>
    <w:rPr>
      <w:rFonts w:asciiTheme="majorHAnsi" w:eastAsiaTheme="majorEastAsia" w:hAnsiTheme="majorHAnsi" w:cstheme="majorBidi"/>
      <w:color w:val="272727" w:themeColor="text1" w:themeTint="D8"/>
      <w:sz w:val="21"/>
      <w:szCs w:val="21"/>
    </w:rPr>
  </w:style>
  <w:style w:type="paragraph" w:customStyle="1" w:styleId="ACMANormalTabbed">
    <w:name w:val="ACMA_NormalTabbed"/>
    <w:basedOn w:val="Normal"/>
    <w:qFormat/>
    <w:rsid w:val="00952DE6"/>
    <w:pPr>
      <w:tabs>
        <w:tab w:val="left" w:pos="1134"/>
      </w:tabs>
      <w:spacing w:after="240" w:line="240" w:lineRule="atLeast"/>
    </w:pPr>
    <w:rPr>
      <w:rFonts w:ascii="Arial" w:eastAsia="Times New Roman" w:hAnsi="Arial" w:cs="Times New Roman"/>
      <w:sz w:val="20"/>
      <w:szCs w:val="24"/>
      <w:lang w:val="en-AU" w:eastAsia="en-AU"/>
    </w:rPr>
  </w:style>
  <w:style w:type="paragraph" w:customStyle="1" w:styleId="Default">
    <w:name w:val="Default"/>
    <w:rsid w:val="00BB24D4"/>
    <w:pPr>
      <w:autoSpaceDE w:val="0"/>
      <w:autoSpaceDN w:val="0"/>
      <w:adjustRightInd w:val="0"/>
      <w:spacing w:after="0" w:line="240" w:lineRule="auto"/>
    </w:pPr>
    <w:rPr>
      <w:rFonts w:ascii="Times New Roman" w:hAnsi="Times New Roman" w:cs="Times New Roman"/>
      <w:color w:val="000000"/>
      <w:sz w:val="24"/>
      <w:szCs w:val="24"/>
    </w:rPr>
  </w:style>
  <w:style w:type="character" w:styleId="UnresolvedMention">
    <w:name w:val="Unresolved Mention"/>
    <w:basedOn w:val="DefaultParagraphFont"/>
    <w:uiPriority w:val="99"/>
    <w:semiHidden/>
    <w:unhideWhenUsed/>
    <w:rsid w:val="009A53D5"/>
    <w:rPr>
      <w:color w:val="605E5C"/>
      <w:shd w:val="clear" w:color="auto" w:fill="E1DFDD"/>
    </w:rPr>
  </w:style>
  <w:style w:type="paragraph" w:styleId="ListNumber">
    <w:name w:val="List Number"/>
    <w:basedOn w:val="Normal"/>
    <w:qFormat/>
    <w:rsid w:val="00DC13EB"/>
    <w:pPr>
      <w:numPr>
        <w:numId w:val="12"/>
      </w:numPr>
      <w:spacing w:after="80" w:line="240" w:lineRule="atLeast"/>
    </w:pPr>
    <w:rPr>
      <w:rFonts w:ascii="Arial" w:eastAsia="Times New Roman" w:hAnsi="Arial" w:cs="Times New Roman"/>
      <w:sz w:val="20"/>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246690">
      <w:bodyDiv w:val="1"/>
      <w:marLeft w:val="0"/>
      <w:marRight w:val="0"/>
      <w:marTop w:val="0"/>
      <w:marBottom w:val="0"/>
      <w:divBdr>
        <w:top w:val="none" w:sz="0" w:space="0" w:color="auto"/>
        <w:left w:val="none" w:sz="0" w:space="0" w:color="auto"/>
        <w:bottom w:val="none" w:sz="0" w:space="0" w:color="auto"/>
        <w:right w:val="none" w:sz="0" w:space="0" w:color="auto"/>
      </w:divBdr>
    </w:div>
    <w:div w:id="228462804">
      <w:bodyDiv w:val="1"/>
      <w:marLeft w:val="0"/>
      <w:marRight w:val="0"/>
      <w:marTop w:val="0"/>
      <w:marBottom w:val="0"/>
      <w:divBdr>
        <w:top w:val="none" w:sz="0" w:space="0" w:color="auto"/>
        <w:left w:val="none" w:sz="0" w:space="0" w:color="auto"/>
        <w:bottom w:val="none" w:sz="0" w:space="0" w:color="auto"/>
        <w:right w:val="none" w:sz="0" w:space="0" w:color="auto"/>
      </w:divBdr>
    </w:div>
    <w:div w:id="399206913">
      <w:bodyDiv w:val="1"/>
      <w:marLeft w:val="0"/>
      <w:marRight w:val="0"/>
      <w:marTop w:val="0"/>
      <w:marBottom w:val="0"/>
      <w:divBdr>
        <w:top w:val="none" w:sz="0" w:space="0" w:color="auto"/>
        <w:left w:val="none" w:sz="0" w:space="0" w:color="auto"/>
        <w:bottom w:val="none" w:sz="0" w:space="0" w:color="auto"/>
        <w:right w:val="none" w:sz="0" w:space="0" w:color="auto"/>
      </w:divBdr>
    </w:div>
    <w:div w:id="419915822">
      <w:bodyDiv w:val="1"/>
      <w:marLeft w:val="0"/>
      <w:marRight w:val="0"/>
      <w:marTop w:val="0"/>
      <w:marBottom w:val="0"/>
      <w:divBdr>
        <w:top w:val="none" w:sz="0" w:space="0" w:color="auto"/>
        <w:left w:val="none" w:sz="0" w:space="0" w:color="auto"/>
        <w:bottom w:val="none" w:sz="0" w:space="0" w:color="auto"/>
        <w:right w:val="none" w:sz="0" w:space="0" w:color="auto"/>
      </w:divBdr>
    </w:div>
    <w:div w:id="889152734">
      <w:bodyDiv w:val="1"/>
      <w:marLeft w:val="0"/>
      <w:marRight w:val="0"/>
      <w:marTop w:val="0"/>
      <w:marBottom w:val="0"/>
      <w:divBdr>
        <w:top w:val="none" w:sz="0" w:space="0" w:color="auto"/>
        <w:left w:val="none" w:sz="0" w:space="0" w:color="auto"/>
        <w:bottom w:val="none" w:sz="0" w:space="0" w:color="auto"/>
        <w:right w:val="none" w:sz="0" w:space="0" w:color="auto"/>
      </w:divBdr>
    </w:div>
    <w:div w:id="1294217498">
      <w:bodyDiv w:val="1"/>
      <w:marLeft w:val="0"/>
      <w:marRight w:val="0"/>
      <w:marTop w:val="0"/>
      <w:marBottom w:val="0"/>
      <w:divBdr>
        <w:top w:val="none" w:sz="0" w:space="0" w:color="auto"/>
        <w:left w:val="none" w:sz="0" w:space="0" w:color="auto"/>
        <w:bottom w:val="none" w:sz="0" w:space="0" w:color="auto"/>
        <w:right w:val="none" w:sz="0" w:space="0" w:color="auto"/>
      </w:divBdr>
    </w:div>
    <w:div w:id="1437556480">
      <w:bodyDiv w:val="1"/>
      <w:marLeft w:val="0"/>
      <w:marRight w:val="0"/>
      <w:marTop w:val="0"/>
      <w:marBottom w:val="0"/>
      <w:divBdr>
        <w:top w:val="none" w:sz="0" w:space="0" w:color="auto"/>
        <w:left w:val="none" w:sz="0" w:space="0" w:color="auto"/>
        <w:bottom w:val="none" w:sz="0" w:space="0" w:color="auto"/>
        <w:right w:val="none" w:sz="0" w:space="0" w:color="auto"/>
      </w:divBdr>
    </w:div>
    <w:div w:id="1504396495">
      <w:bodyDiv w:val="1"/>
      <w:marLeft w:val="0"/>
      <w:marRight w:val="0"/>
      <w:marTop w:val="0"/>
      <w:marBottom w:val="0"/>
      <w:divBdr>
        <w:top w:val="none" w:sz="0" w:space="0" w:color="auto"/>
        <w:left w:val="none" w:sz="0" w:space="0" w:color="auto"/>
        <w:bottom w:val="none" w:sz="0" w:space="0" w:color="auto"/>
        <w:right w:val="none" w:sz="0" w:space="0" w:color="auto"/>
      </w:divBdr>
    </w:div>
    <w:div w:id="1662583156">
      <w:bodyDiv w:val="1"/>
      <w:marLeft w:val="0"/>
      <w:marRight w:val="0"/>
      <w:marTop w:val="0"/>
      <w:marBottom w:val="0"/>
      <w:divBdr>
        <w:top w:val="none" w:sz="0" w:space="0" w:color="auto"/>
        <w:left w:val="none" w:sz="0" w:space="0" w:color="auto"/>
        <w:bottom w:val="none" w:sz="0" w:space="0" w:color="auto"/>
        <w:right w:val="none" w:sz="0" w:space="0" w:color="auto"/>
      </w:divBdr>
    </w:div>
    <w:div w:id="1825782458">
      <w:bodyDiv w:val="1"/>
      <w:marLeft w:val="0"/>
      <w:marRight w:val="0"/>
      <w:marTop w:val="0"/>
      <w:marBottom w:val="0"/>
      <w:divBdr>
        <w:top w:val="none" w:sz="0" w:space="0" w:color="auto"/>
        <w:left w:val="none" w:sz="0" w:space="0" w:color="auto"/>
        <w:bottom w:val="none" w:sz="0" w:space="0" w:color="auto"/>
        <w:right w:val="none" w:sz="0" w:space="0" w:color="auto"/>
      </w:divBdr>
    </w:div>
    <w:div w:id="1857303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aroytblat@wi-fi.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acma.gov.au/-/media/Spectrum-Review-Implementation-Taskforce/Issue-for-comment/IFC-27-2017/WFA-docx.docx" TargetMode="External"/><Relationship Id="rId13" Type="http://schemas.openxmlformats.org/officeDocument/2006/relationships/hyperlink" Target="https://www.theverge.com/circuitbreaker/2018/10/16/17980124/80211ay-wigig-qualcomm-wifi-10-gigabit-speeds" TargetMode="External"/><Relationship Id="rId3" Type="http://schemas.openxmlformats.org/officeDocument/2006/relationships/hyperlink" Target="http://www.cisco.com/c/m/en_us/solutions/service-provider/vni-forecast-highlights.html" TargetMode="External"/><Relationship Id="rId7" Type="http://schemas.openxmlformats.org/officeDocument/2006/relationships/hyperlink" Target="https://www.acma.gov.au/Home/theACMA/five-year-spectrum-outlook-2017-21" TargetMode="External"/><Relationship Id="rId12" Type="http://schemas.openxmlformats.org/officeDocument/2006/relationships/hyperlink" Target="https://www.edn.com/electronics-blogs/5g-waves/4459120/Wi-Fi-versus-5G--Nope--it-s-both" TargetMode="External"/><Relationship Id="rId2" Type="http://schemas.openxmlformats.org/officeDocument/2006/relationships/hyperlink" Target="https://www.wi-fi.org/value-of-wi-fi" TargetMode="External"/><Relationship Id="rId1" Type="http://schemas.openxmlformats.org/officeDocument/2006/relationships/hyperlink" Target="https://www.acma.gov.au/theACMA/-/media/3E62C6D4613B4872960A36934F00BA44.ashx" TargetMode="External"/><Relationship Id="rId6" Type="http://schemas.openxmlformats.org/officeDocument/2006/relationships/hyperlink" Target="https://www.theverge.com/circuitbreaker/2018/10/16/17980124/80211ay-wigig-qualcomm-wifi-10-gigabit-speeds" TargetMode="External"/><Relationship Id="rId11" Type="http://schemas.openxmlformats.org/officeDocument/2006/relationships/hyperlink" Target="http://www.cisco.com/c/m/en_us/solutions/service-provider/vni-forecast-highlights.html" TargetMode="External"/><Relationship Id="rId5" Type="http://schemas.openxmlformats.org/officeDocument/2006/relationships/hyperlink" Target="https://www.edn.com/electronics-blogs/5g-waves/4459120/Wi-Fi-versus-5G--Nope--it-s-both" TargetMode="External"/><Relationship Id="rId15" Type="http://schemas.openxmlformats.org/officeDocument/2006/relationships/hyperlink" Target="https://www.imda.gov.sg/regulations-licensing-and-consultations/consultations/consultation-papers/2017/public-consultation-on-5g-mobile-services-and-networks" TargetMode="External"/><Relationship Id="rId10" Type="http://schemas.openxmlformats.org/officeDocument/2006/relationships/hyperlink" Target="https://www.wi-fi.org/value-of-wi-fi" TargetMode="External"/><Relationship Id="rId4" Type="http://schemas.openxmlformats.org/officeDocument/2006/relationships/hyperlink" Target="https://www.fiercewireless.com/wireless/cellular-and-wi-fi-use-by-operator-and-data-plan-type-for-verizon-at-t-t-mobile-and-1" TargetMode="External"/><Relationship Id="rId9" Type="http://schemas.openxmlformats.org/officeDocument/2006/relationships/hyperlink" Target="https://www.acma.gov.au/Home/theACMA/~/-/media/9172FB58ADDA421A8137219272D5734B.ashx" TargetMode="External"/><Relationship Id="rId14" Type="http://schemas.openxmlformats.org/officeDocument/2006/relationships/hyperlink" Target="https://cept.org/Documents/fm-57/41902/fm57-18-info002_european-commission-mandate-on-rlan-in-5925-6425-mh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AAD8A353D7F9944596FAA05998573FD6" ma:contentTypeVersion="7" ma:contentTypeDescription="Create a new document." ma:contentTypeScope="" ma:versionID="f1150d89de65cb12297c620fdb27ae49">
  <xsd:schema xmlns:xsd="http://www.w3.org/2001/XMLSchema" xmlns:xs="http://www.w3.org/2001/XMLSchema" xmlns:p="http://schemas.microsoft.com/office/2006/metadata/properties" xmlns:ns2="1d983eb4-33f7-44b0-aea1-cbdcf0c55136" targetNamespace="http://schemas.microsoft.com/office/2006/metadata/properties" ma:root="true" ma:fieldsID="db73a7acb928054dfe3a250ca67a4aaa"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3NE2HDV7HD6D-1922850104-180</_dlc_DocId>
    <_dlc_DocIdUrl xmlns="1d983eb4-33f7-44b0-aea1-cbdcf0c55136">
      <Url>http://collaboration/organisation/cid/RPB/RLPS/lib/_layouts/15/DocIdRedir.aspx?ID=3NE2HDV7HD6D-1922850104-180</Url>
      <Description>3NE2HDV7HD6D-1922850104-180</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C74E95-6C5B-4E9B-9CD4-39C34D1FA495}">
  <ds:schemaRefs>
    <ds:schemaRef ds:uri="http://schemas.microsoft.com/sharepoint/v3/contenttype/forms"/>
  </ds:schemaRefs>
</ds:datastoreItem>
</file>

<file path=customXml/itemProps2.xml><?xml version="1.0" encoding="utf-8"?>
<ds:datastoreItem xmlns:ds="http://schemas.openxmlformats.org/officeDocument/2006/customXml" ds:itemID="{C11920B8-A42E-47C0-AE42-6BDE4F7FF8DA}">
  <ds:schemaRefs>
    <ds:schemaRef ds:uri="http://schemas.microsoft.com/sharepoint/events"/>
  </ds:schemaRefs>
</ds:datastoreItem>
</file>

<file path=customXml/itemProps3.xml><?xml version="1.0" encoding="utf-8"?>
<ds:datastoreItem xmlns:ds="http://schemas.openxmlformats.org/officeDocument/2006/customXml" ds:itemID="{A6C0F1ED-DC1E-4496-95CC-F6079982B6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039DDF-D14E-42AC-8B76-016DBCD1115E}">
  <ds:schemaRefs>
    <ds:schemaRef ds:uri="http://schemas.microsoft.com/office/2006/metadata/properties"/>
    <ds:schemaRef ds:uri="http://schemas.microsoft.com/office/infopath/2007/PartnerControls"/>
    <ds:schemaRef ds:uri="1d983eb4-33f7-44b0-aea1-cbdcf0c55136"/>
  </ds:schemaRefs>
</ds:datastoreItem>
</file>

<file path=customXml/itemProps5.xml><?xml version="1.0" encoding="utf-8"?>
<ds:datastoreItem xmlns:ds="http://schemas.openxmlformats.org/officeDocument/2006/customXml" ds:itemID="{2963DFD9-F99B-4900-AB43-3562C92AC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2030</Words>
  <Characters>11577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 Roytblat</dc:creator>
  <cp:lastModifiedBy>Alex Roytblat</cp:lastModifiedBy>
  <cp:revision>2</cp:revision>
  <dcterms:created xsi:type="dcterms:W3CDTF">2019-09-26T09:06:00Z</dcterms:created>
  <dcterms:modified xsi:type="dcterms:W3CDTF">2019-09-26T09:06:00Z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1548376384</vt:lpwstr>
  </property>
</Properties>
</file>