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4E97FC" w14:textId="0F49FDCE" w:rsidR="00F06E14" w:rsidRPr="00611236" w:rsidRDefault="00C4396C" w:rsidP="00611236">
      <w:pPr>
        <w:pStyle w:val="ACMAReportTitle"/>
      </w:pPr>
      <w:bookmarkStart w:id="0" w:name="_GoBack"/>
      <w:bookmarkEnd w:id="0"/>
      <w:r>
        <w:t>Special events</w:t>
      </w:r>
      <w:r w:rsidR="00C36398">
        <w:t xml:space="preserve">: </w:t>
      </w:r>
      <w:r w:rsidRPr="00611236">
        <w:rPr>
          <w:b w:val="0"/>
        </w:rPr>
        <w:t>licen</w:t>
      </w:r>
      <w:r w:rsidR="00C36398" w:rsidRPr="00611236">
        <w:rPr>
          <w:b w:val="0"/>
        </w:rPr>
        <w:t>ce</w:t>
      </w:r>
      <w:r w:rsidR="00C36398">
        <w:rPr>
          <w:b w:val="0"/>
        </w:rPr>
        <w:t xml:space="preserve"> </w:t>
      </w:r>
      <w:r w:rsidR="00C36398" w:rsidRPr="00611236">
        <w:rPr>
          <w:b w:val="0"/>
        </w:rPr>
        <w:t>g</w:t>
      </w:r>
      <w:r w:rsidRPr="00611236">
        <w:rPr>
          <w:b w:val="0"/>
        </w:rPr>
        <w:t>uidelines</w:t>
      </w:r>
      <w:r w:rsidRPr="00611236">
        <w:t xml:space="preserve"> </w:t>
      </w:r>
    </w:p>
    <w:p w14:paraId="6E2999F4" w14:textId="249A7B9D" w:rsidR="00F06E14" w:rsidRDefault="00C36398" w:rsidP="00D47AEB">
      <w:pPr>
        <w:pStyle w:val="ACMAReportDate"/>
        <w:spacing w:after="720"/>
      </w:pPr>
      <w:r>
        <w:t xml:space="preserve">JUNE </w:t>
      </w:r>
      <w:r w:rsidR="00C4396C">
        <w:t>2016</w:t>
      </w:r>
    </w:p>
    <w:p w14:paraId="4D0405C6" w14:textId="77777777" w:rsidR="00C97736" w:rsidRPr="000D76E0" w:rsidRDefault="00C97736" w:rsidP="0041071D">
      <w:pPr>
        <w:rPr>
          <w:rFonts w:cs="Arial"/>
        </w:rPr>
      </w:pPr>
    </w:p>
    <w:p w14:paraId="2E5E5892" w14:textId="77777777" w:rsidR="00C97736" w:rsidRPr="000D76E0" w:rsidRDefault="00C97736" w:rsidP="0041071D">
      <w:pPr>
        <w:rPr>
          <w:rFonts w:cs="Arial"/>
        </w:rPr>
        <w:sectPr w:rsidR="00C97736" w:rsidRPr="000D76E0" w:rsidSect="004F556E">
          <w:headerReference w:type="default" r:id="rId11"/>
          <w:footerReference w:type="default" r:id="rId12"/>
          <w:headerReference w:type="first" r:id="rId13"/>
          <w:pgSz w:w="11906" w:h="16838" w:code="9"/>
          <w:pgMar w:top="3924" w:right="1797" w:bottom="1440" w:left="1134" w:header="709" w:footer="454" w:gutter="0"/>
          <w:cols w:space="708"/>
          <w:docGrid w:linePitch="360"/>
        </w:sectPr>
      </w:pPr>
    </w:p>
    <w:p w14:paraId="74789222" w14:textId="77777777" w:rsidR="0005011A" w:rsidRPr="00F44F3A" w:rsidRDefault="0005011A" w:rsidP="00FC07B9">
      <w:pPr>
        <w:pStyle w:val="ACMACorporateAddressHeader"/>
      </w:pPr>
      <w:r w:rsidRPr="00F44F3A">
        <w:lastRenderedPageBreak/>
        <w:t>Canberra</w:t>
      </w:r>
    </w:p>
    <w:p w14:paraId="508B0BED"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01555A65" w14:textId="77777777" w:rsidR="0005011A" w:rsidRPr="00FC07B9" w:rsidRDefault="0005011A" w:rsidP="00FC07B9">
      <w:pPr>
        <w:pStyle w:val="ACMACorporateAddresses"/>
      </w:pPr>
      <w:r w:rsidRPr="00FC07B9">
        <w:t>PO Box 78</w:t>
      </w:r>
      <w:r w:rsidRPr="00FC07B9">
        <w:br/>
        <w:t>Belconnen ACT 2616</w:t>
      </w:r>
    </w:p>
    <w:p w14:paraId="42797942"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492DA508" w14:textId="77777777" w:rsidR="0005011A" w:rsidRPr="00F44F3A" w:rsidRDefault="0005011A" w:rsidP="00FC07B9">
      <w:pPr>
        <w:pStyle w:val="ACMACorporateAddressHeader"/>
      </w:pPr>
      <w:r w:rsidRPr="00F44F3A">
        <w:t>Melbourne</w:t>
      </w:r>
    </w:p>
    <w:p w14:paraId="7720F0DB"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45C4F04D"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F43A5CC"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513C4532" w14:textId="77777777" w:rsidR="0005011A" w:rsidRPr="00F44F3A" w:rsidRDefault="0005011A" w:rsidP="00FC07B9">
      <w:pPr>
        <w:pStyle w:val="ACMACorporateAddressHeader"/>
      </w:pPr>
      <w:r w:rsidRPr="00F44F3A">
        <w:t>Sydney</w:t>
      </w:r>
    </w:p>
    <w:p w14:paraId="103770F3"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39F4CF54"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FC29411"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6B7461C" w14:textId="77777777" w:rsidR="00140318" w:rsidRPr="006D46E5" w:rsidRDefault="00140318" w:rsidP="00FC07B9">
      <w:pPr>
        <w:pStyle w:val="ACMACopyrightHeader"/>
      </w:pPr>
      <w:r w:rsidRPr="00140318">
        <w:t>Copyright notice</w:t>
      </w:r>
    </w:p>
    <w:p w14:paraId="20099CC8" w14:textId="77777777" w:rsidR="00140318" w:rsidRPr="006D46E5" w:rsidRDefault="00623FF9" w:rsidP="00623FF9">
      <w:pPr>
        <w:pStyle w:val="ACMACClogo"/>
      </w:pPr>
      <w:r w:rsidRPr="00623FF9">
        <w:rPr>
          <w:noProof/>
        </w:rPr>
        <w:drawing>
          <wp:inline distT="0" distB="0" distL="0" distR="0" wp14:anchorId="29AA4C57" wp14:editId="053F7868">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2BD05AC2" w14:textId="77777777" w:rsidR="00140318" w:rsidRPr="00431792" w:rsidRDefault="00017B5B" w:rsidP="00FC07B9">
      <w:pPr>
        <w:pStyle w:val="ACMACorporateAddresses"/>
        <w:rPr>
          <w:rStyle w:val="Hyperlink"/>
        </w:rPr>
      </w:pPr>
      <w:hyperlink r:id="rId16" w:tooltip="Creative Commons Licenses" w:history="1">
        <w:r w:rsidR="00140318" w:rsidRPr="00431792">
          <w:rPr>
            <w:rStyle w:val="Hyperlink"/>
          </w:rPr>
          <w:t>http://creativecommons.org/licenses/by/3.0/au/</w:t>
        </w:r>
      </w:hyperlink>
    </w:p>
    <w:p w14:paraId="73367D7F" w14:textId="77777777" w:rsidR="00140318" w:rsidRPr="006D46E5" w:rsidRDefault="00140318" w:rsidP="00FC07B9">
      <w:pPr>
        <w:pStyle w:val="ACMACorporateAddresses"/>
      </w:pPr>
      <w:proofErr w:type="gramStart"/>
      <w:r w:rsidRPr="006D46E5">
        <w:t>With the exception of</w:t>
      </w:r>
      <w:proofErr w:type="gramEnd"/>
      <w:r w:rsidRPr="006D46E5">
        <w:t xml:space="preserve"> coats of arms, logos, emblems, images, other third-party material or devices protected by a trademark, this content is licensed under the Creative Commons Australia Attribution 3.0 Licence. </w:t>
      </w:r>
    </w:p>
    <w:p w14:paraId="0C7953BF" w14:textId="77777777" w:rsidR="00140318" w:rsidRPr="006D46E5" w:rsidRDefault="00C34A05" w:rsidP="00FC07B9">
      <w:pPr>
        <w:pStyle w:val="ACMACorporateAddresses"/>
      </w:pPr>
      <w:r>
        <w:t>We request attribution as</w:t>
      </w:r>
      <w:r w:rsidR="00140318" w:rsidRPr="006D46E5">
        <w:t xml:space="preserve"> © Commonwealth of Australia (Australian Communic</w:t>
      </w:r>
      <w:r w:rsidR="00B6003C">
        <w:t>ations and Media Authority) 2016</w:t>
      </w:r>
      <w:r w:rsidR="00140318" w:rsidRPr="006D46E5">
        <w:t>.</w:t>
      </w:r>
    </w:p>
    <w:p w14:paraId="258E7B5D" w14:textId="77777777" w:rsidR="00140318" w:rsidRPr="006D46E5" w:rsidRDefault="00140318" w:rsidP="00FC07B9">
      <w:pPr>
        <w:pStyle w:val="ACMACorporateAddresses"/>
      </w:pPr>
      <w:r>
        <w:t>All other rights are reserved.</w:t>
      </w:r>
    </w:p>
    <w:p w14:paraId="661F625E"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D0DAA35" w14:textId="77777777" w:rsidR="00140318" w:rsidRPr="006D46E5" w:rsidRDefault="00140318" w:rsidP="00FC07B9">
      <w:pPr>
        <w:pStyle w:val="ACMACorporateAddresses"/>
      </w:pPr>
      <w:r w:rsidRPr="006D46E5">
        <w:t>Written enquiries may be sent to:</w:t>
      </w:r>
    </w:p>
    <w:p w14:paraId="704788F8"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 xml:space="preserve">Email: </w:t>
      </w:r>
      <w:hyperlink r:id="rId17" w:history="1">
        <w:r w:rsidRPr="00431792">
          <w:rPr>
            <w:rStyle w:val="Hyperlink"/>
          </w:rPr>
          <w:t>candinfo@acma.gov.au</w:t>
        </w:r>
      </w:hyperlink>
    </w:p>
    <w:p w14:paraId="035E8A82" w14:textId="77777777" w:rsidR="00D16FE3" w:rsidRDefault="00D16FE3" w:rsidP="00D16FE3">
      <w:pPr>
        <w:pStyle w:val="ACMACorporateAddresses"/>
        <w:rPr>
          <w:rStyle w:val="Hyperlink"/>
        </w:rPr>
      </w:pPr>
    </w:p>
    <w:p w14:paraId="5CF44CCE" w14:textId="77777777" w:rsidR="00D16FE3" w:rsidRPr="00D16FE3" w:rsidRDefault="00D16FE3" w:rsidP="00D16FE3">
      <w:pPr>
        <w:pStyle w:val="ACMACorporateAddresses"/>
        <w:sectPr w:rsidR="00D16FE3" w:rsidRPr="00D16FE3">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1EB5528D" w14:textId="77777777" w:rsidR="00D37E95"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D37E95">
        <w:t>Background</w:t>
      </w:r>
      <w:r w:rsidR="00D37E95">
        <w:tab/>
      </w:r>
      <w:r w:rsidR="00D37E95">
        <w:fldChar w:fldCharType="begin"/>
      </w:r>
      <w:r w:rsidR="00D37E95">
        <w:instrText xml:space="preserve"> PAGEREF _Toc454201747 \h </w:instrText>
      </w:r>
      <w:r w:rsidR="00D37E95">
        <w:fldChar w:fldCharType="separate"/>
      </w:r>
      <w:r w:rsidR="00D37E95">
        <w:t>1</w:t>
      </w:r>
      <w:r w:rsidR="00D37E95">
        <w:fldChar w:fldCharType="end"/>
      </w:r>
    </w:p>
    <w:p w14:paraId="2D2CBA59" w14:textId="77777777" w:rsidR="00D37E95" w:rsidRDefault="00D37E95">
      <w:pPr>
        <w:pStyle w:val="TOC1"/>
        <w:rPr>
          <w:rFonts w:asciiTheme="minorHAnsi" w:eastAsiaTheme="minorEastAsia" w:hAnsiTheme="minorHAnsi" w:cstheme="minorBidi"/>
          <w:b w:val="0"/>
          <w:spacing w:val="0"/>
          <w:sz w:val="22"/>
          <w:szCs w:val="22"/>
        </w:rPr>
      </w:pPr>
      <w:r>
        <w:t>What is a special event?</w:t>
      </w:r>
      <w:r>
        <w:tab/>
      </w:r>
      <w:r>
        <w:fldChar w:fldCharType="begin"/>
      </w:r>
      <w:r>
        <w:instrText xml:space="preserve"> PAGEREF _Toc454201748 \h </w:instrText>
      </w:r>
      <w:r>
        <w:fldChar w:fldCharType="separate"/>
      </w:r>
      <w:r>
        <w:t>2</w:t>
      </w:r>
      <w:r>
        <w:fldChar w:fldCharType="end"/>
      </w:r>
    </w:p>
    <w:p w14:paraId="27F5BAFB" w14:textId="77777777" w:rsidR="00D37E95" w:rsidRDefault="00D37E95">
      <w:pPr>
        <w:pStyle w:val="TOC1"/>
        <w:rPr>
          <w:rFonts w:asciiTheme="minorHAnsi" w:eastAsiaTheme="minorEastAsia" w:hAnsiTheme="minorHAnsi" w:cstheme="minorBidi"/>
          <w:b w:val="0"/>
          <w:spacing w:val="0"/>
          <w:sz w:val="22"/>
          <w:szCs w:val="22"/>
        </w:rPr>
      </w:pPr>
      <w:r>
        <w:t>Approach to special event licensing</w:t>
      </w:r>
      <w:r>
        <w:tab/>
      </w:r>
      <w:r>
        <w:fldChar w:fldCharType="begin"/>
      </w:r>
      <w:r>
        <w:instrText xml:space="preserve"> PAGEREF _Toc454201749 \h </w:instrText>
      </w:r>
      <w:r>
        <w:fldChar w:fldCharType="separate"/>
      </w:r>
      <w:r>
        <w:t>3</w:t>
      </w:r>
      <w:r>
        <w:fldChar w:fldCharType="end"/>
      </w:r>
    </w:p>
    <w:p w14:paraId="1912F013" w14:textId="77777777" w:rsidR="00D37E95" w:rsidRDefault="00D37E95">
      <w:pPr>
        <w:pStyle w:val="TOC1"/>
        <w:rPr>
          <w:rFonts w:asciiTheme="minorHAnsi" w:eastAsiaTheme="minorEastAsia" w:hAnsiTheme="minorHAnsi" w:cstheme="minorBidi"/>
          <w:b w:val="0"/>
          <w:spacing w:val="0"/>
          <w:sz w:val="22"/>
          <w:szCs w:val="22"/>
        </w:rPr>
      </w:pPr>
      <w:r>
        <w:t>Technical specifications</w:t>
      </w:r>
      <w:r>
        <w:tab/>
      </w:r>
      <w:r>
        <w:fldChar w:fldCharType="begin"/>
      </w:r>
      <w:r>
        <w:instrText xml:space="preserve"> PAGEREF _Toc454201750 \h </w:instrText>
      </w:r>
      <w:r>
        <w:fldChar w:fldCharType="separate"/>
      </w:r>
      <w:r>
        <w:t>4</w:t>
      </w:r>
      <w:r>
        <w:fldChar w:fldCharType="end"/>
      </w:r>
    </w:p>
    <w:p w14:paraId="0690C7EC" w14:textId="77777777" w:rsidR="00D37E95" w:rsidRDefault="00D37E95">
      <w:pPr>
        <w:pStyle w:val="TOC1"/>
        <w:rPr>
          <w:rFonts w:asciiTheme="minorHAnsi" w:eastAsiaTheme="minorEastAsia" w:hAnsiTheme="minorHAnsi" w:cstheme="minorBidi"/>
          <w:b w:val="0"/>
          <w:spacing w:val="0"/>
          <w:sz w:val="22"/>
          <w:szCs w:val="22"/>
        </w:rPr>
      </w:pPr>
      <w:r>
        <w:t>How to apply</w:t>
      </w:r>
      <w:r>
        <w:tab/>
      </w:r>
      <w:r>
        <w:fldChar w:fldCharType="begin"/>
      </w:r>
      <w:r>
        <w:instrText xml:space="preserve"> PAGEREF _Toc454201751 \h </w:instrText>
      </w:r>
      <w:r>
        <w:fldChar w:fldCharType="separate"/>
      </w:r>
      <w:r>
        <w:t>5</w:t>
      </w:r>
      <w:r>
        <w:fldChar w:fldCharType="end"/>
      </w:r>
    </w:p>
    <w:p w14:paraId="7B5252FE" w14:textId="77777777" w:rsidR="00D37E95" w:rsidRDefault="00D37E95">
      <w:pPr>
        <w:pStyle w:val="TOC2"/>
        <w:rPr>
          <w:rFonts w:asciiTheme="minorHAnsi" w:eastAsiaTheme="minorEastAsia" w:hAnsiTheme="minorHAnsi" w:cstheme="minorBidi"/>
          <w:spacing w:val="0"/>
          <w:sz w:val="22"/>
          <w:szCs w:val="22"/>
        </w:rPr>
      </w:pPr>
      <w:r>
        <w:t>Where to get more information</w:t>
      </w:r>
      <w:r>
        <w:tab/>
      </w:r>
      <w:r>
        <w:fldChar w:fldCharType="begin"/>
      </w:r>
      <w:r>
        <w:instrText xml:space="preserve"> PAGEREF _Toc454201752 \h </w:instrText>
      </w:r>
      <w:r>
        <w:fldChar w:fldCharType="separate"/>
      </w:r>
      <w:r>
        <w:t>5</w:t>
      </w:r>
      <w:r>
        <w:fldChar w:fldCharType="end"/>
      </w:r>
    </w:p>
    <w:p w14:paraId="4DB3382B" w14:textId="77777777" w:rsidR="000A4A51" w:rsidRPr="000D76E0" w:rsidRDefault="007A6CC0">
      <w:pPr>
        <w:rPr>
          <w:rFonts w:cs="Arial"/>
        </w:rPr>
      </w:pPr>
      <w:r>
        <w:rPr>
          <w:rFonts w:cs="Arial"/>
          <w:b/>
          <w:noProof/>
          <w:spacing w:val="-14"/>
          <w:sz w:val="28"/>
        </w:rPr>
        <w:fldChar w:fldCharType="end"/>
      </w:r>
    </w:p>
    <w:p w14:paraId="6F7EB823" w14:textId="77777777" w:rsidR="004D56FF" w:rsidRPr="000D76E0" w:rsidRDefault="004D56FF">
      <w:pPr>
        <w:rPr>
          <w:rFonts w:cs="Arial"/>
        </w:rPr>
        <w:sectPr w:rsidR="004D56FF" w:rsidRPr="000D76E0"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p>
    <w:p w14:paraId="6B6B13D8" w14:textId="77777777" w:rsidR="009D6C71" w:rsidRPr="009174F3" w:rsidRDefault="00C4396C" w:rsidP="00C4396C">
      <w:pPr>
        <w:pStyle w:val="Heading1"/>
      </w:pPr>
      <w:bookmarkStart w:id="1" w:name="_Toc454201747"/>
      <w:r>
        <w:lastRenderedPageBreak/>
        <w:t>Background</w:t>
      </w:r>
      <w:bookmarkEnd w:id="1"/>
    </w:p>
    <w:p w14:paraId="05E52C80" w14:textId="5693887C" w:rsidR="00C4396C" w:rsidRPr="00C97A5B" w:rsidRDefault="00C4396C" w:rsidP="00C4396C">
      <w:pPr>
        <w:rPr>
          <w:rFonts w:cs="Arial"/>
        </w:rPr>
      </w:pPr>
      <w:r w:rsidRPr="00C97A5B">
        <w:rPr>
          <w:rFonts w:cs="Arial"/>
        </w:rPr>
        <w:t>The Australian Communications and Media Authority (</w:t>
      </w:r>
      <w:r>
        <w:rPr>
          <w:rFonts w:cs="Arial"/>
        </w:rPr>
        <w:t xml:space="preserve">the </w:t>
      </w:r>
      <w:r w:rsidRPr="00C97A5B">
        <w:rPr>
          <w:rFonts w:cs="Arial"/>
        </w:rPr>
        <w:t>ACMA) is responsible for the regulation of broadcasting, radiocommunications, telecomm</w:t>
      </w:r>
      <w:r>
        <w:rPr>
          <w:rFonts w:cs="Arial"/>
        </w:rPr>
        <w:t xml:space="preserve">unications and online content. </w:t>
      </w:r>
      <w:r w:rsidRPr="00C97A5B">
        <w:rPr>
          <w:rFonts w:cs="Arial"/>
        </w:rPr>
        <w:t xml:space="preserve">The ACMA plans the availability of segments </w:t>
      </w:r>
      <w:r w:rsidR="00B1508E">
        <w:rPr>
          <w:rFonts w:cs="Arial"/>
        </w:rPr>
        <w:t>in</w:t>
      </w:r>
      <w:r w:rsidR="00B1508E" w:rsidRPr="00C97A5B">
        <w:rPr>
          <w:rFonts w:cs="Arial"/>
        </w:rPr>
        <w:t xml:space="preserve"> </w:t>
      </w:r>
      <w:r w:rsidRPr="00C97A5B">
        <w:rPr>
          <w:rFonts w:cs="Arial"/>
        </w:rPr>
        <w:t>the broadcasting services bands</w:t>
      </w:r>
      <w:r w:rsidR="00B1508E">
        <w:rPr>
          <w:rFonts w:cs="Arial"/>
        </w:rPr>
        <w:t>—</w:t>
      </w:r>
      <w:r w:rsidRPr="00C97A5B">
        <w:rPr>
          <w:rFonts w:cs="Arial"/>
        </w:rPr>
        <w:t>VHF and UHF television, FM and AM radio.</w:t>
      </w:r>
    </w:p>
    <w:p w14:paraId="43E8D4AF" w14:textId="77777777" w:rsidR="00C4396C" w:rsidRDefault="00C4396C" w:rsidP="00611236">
      <w:pPr>
        <w:spacing w:after="80"/>
        <w:rPr>
          <w:rFonts w:cs="Arial"/>
        </w:rPr>
      </w:pPr>
      <w:r w:rsidRPr="00C97A5B">
        <w:rPr>
          <w:rFonts w:cs="Arial"/>
        </w:rPr>
        <w:t xml:space="preserve">The ACMA can make unallocated broadcasting spectrum available for alternative uses, such as </w:t>
      </w:r>
      <w:r>
        <w:rPr>
          <w:rFonts w:cs="Arial"/>
        </w:rPr>
        <w:t xml:space="preserve">open </w:t>
      </w:r>
      <w:r w:rsidRPr="00C97A5B">
        <w:rPr>
          <w:rFonts w:cs="Arial"/>
        </w:rPr>
        <w:t>narrowcasting</w:t>
      </w:r>
      <w:r>
        <w:rPr>
          <w:rFonts w:cs="Arial"/>
        </w:rPr>
        <w:t xml:space="preserve"> services</w:t>
      </w:r>
      <w:r w:rsidRPr="00C97A5B">
        <w:rPr>
          <w:rFonts w:cs="Arial"/>
        </w:rPr>
        <w:t xml:space="preserve">. </w:t>
      </w:r>
      <w:r>
        <w:rPr>
          <w:rFonts w:cs="Arial"/>
        </w:rPr>
        <w:t>Open n</w:t>
      </w:r>
      <w:r w:rsidRPr="00C97A5B">
        <w:rPr>
          <w:rFonts w:cs="Arial"/>
        </w:rPr>
        <w:t xml:space="preserve">arrowcasting services are </w:t>
      </w:r>
      <w:r>
        <w:rPr>
          <w:rFonts w:cs="Arial"/>
        </w:rPr>
        <w:t>defined in</w:t>
      </w:r>
      <w:r w:rsidRPr="00F567BD">
        <w:rPr>
          <w:rFonts w:cs="Arial"/>
        </w:rPr>
        <w:t xml:space="preserve"> </w:t>
      </w:r>
      <w:r w:rsidRPr="00033E7B">
        <w:rPr>
          <w:rFonts w:cs="Arial"/>
        </w:rPr>
        <w:t xml:space="preserve">section 18 of the </w:t>
      </w:r>
      <w:r w:rsidRPr="00033E7B">
        <w:rPr>
          <w:rFonts w:cs="Arial"/>
          <w:i/>
        </w:rPr>
        <w:t>Broadcasting Services Act 1992</w:t>
      </w:r>
      <w:r w:rsidRPr="00033E7B">
        <w:rPr>
          <w:rFonts w:cs="Arial"/>
        </w:rPr>
        <w:t xml:space="preserve"> (the Act)</w:t>
      </w:r>
      <w:r>
        <w:rPr>
          <w:rFonts w:cs="Arial"/>
        </w:rPr>
        <w:t xml:space="preserve"> as being services</w:t>
      </w:r>
      <w:r w:rsidRPr="00C97A5B">
        <w:rPr>
          <w:rFonts w:cs="Arial"/>
        </w:rPr>
        <w:t xml:space="preserve"> whose reception is limited in some way. The limitation can be that they</w:t>
      </w:r>
      <w:r>
        <w:rPr>
          <w:rFonts w:cs="Arial"/>
        </w:rPr>
        <w:t>:</w:t>
      </w:r>
    </w:p>
    <w:p w14:paraId="56342187" w14:textId="77777777" w:rsidR="00C4396C" w:rsidRDefault="00C4396C" w:rsidP="00611236">
      <w:pPr>
        <w:pStyle w:val="ListBullet"/>
      </w:pPr>
      <w:r>
        <w:t xml:space="preserve">are </w:t>
      </w:r>
      <w:r w:rsidRPr="00822954">
        <w:t>targeted to a special interest group</w:t>
      </w:r>
    </w:p>
    <w:p w14:paraId="28F71DB9" w14:textId="77777777" w:rsidR="00C4396C" w:rsidRDefault="00C4396C" w:rsidP="00611236">
      <w:pPr>
        <w:pStyle w:val="ListBullet"/>
      </w:pPr>
      <w:r>
        <w:t xml:space="preserve">are </w:t>
      </w:r>
      <w:r w:rsidRPr="00822954">
        <w:t>limited by location</w:t>
      </w:r>
    </w:p>
    <w:p w14:paraId="2B3C0857" w14:textId="77777777" w:rsidR="00C4396C" w:rsidRDefault="00C4396C" w:rsidP="00611236">
      <w:pPr>
        <w:pStyle w:val="ListBullet"/>
      </w:pPr>
      <w:r>
        <w:t xml:space="preserve">are </w:t>
      </w:r>
      <w:r w:rsidRPr="00822954">
        <w:t>provided during a limited period or to cover a special event</w:t>
      </w:r>
    </w:p>
    <w:p w14:paraId="3918CC0B" w14:textId="77777777" w:rsidR="00C4396C" w:rsidRDefault="00C4396C" w:rsidP="00611236">
      <w:pPr>
        <w:pStyle w:val="ListBullet"/>
      </w:pPr>
      <w:r w:rsidRPr="00822954">
        <w:t xml:space="preserve">provide programs of limited appeal, or </w:t>
      </w:r>
    </w:p>
    <w:p w14:paraId="0758A50E" w14:textId="77777777" w:rsidR="00C4396C" w:rsidRDefault="00C4396C" w:rsidP="00611236">
      <w:pPr>
        <w:pStyle w:val="ListBulletLast"/>
      </w:pPr>
      <w:r w:rsidRPr="00822954">
        <w:t>for some other reason</w:t>
      </w:r>
      <w:r>
        <w:t>.</w:t>
      </w:r>
    </w:p>
    <w:p w14:paraId="6EC0C281" w14:textId="77777777" w:rsidR="00C4396C" w:rsidRPr="00C97A5B" w:rsidRDefault="00C4396C" w:rsidP="00C4396C">
      <w:pPr>
        <w:rPr>
          <w:rFonts w:cs="Arial"/>
        </w:rPr>
      </w:pPr>
      <w:r w:rsidRPr="00C97A5B">
        <w:rPr>
          <w:rFonts w:cs="Arial"/>
        </w:rPr>
        <w:t xml:space="preserve">In the case of services for special events, </w:t>
      </w:r>
      <w:r>
        <w:rPr>
          <w:rFonts w:cs="Arial"/>
        </w:rPr>
        <w:t>open narrowcasting services are services that</w:t>
      </w:r>
      <w:r w:rsidRPr="00C97A5B">
        <w:rPr>
          <w:rFonts w:cs="Arial"/>
        </w:rPr>
        <w:t xml:space="preserve"> are lim</w:t>
      </w:r>
      <w:r>
        <w:rPr>
          <w:rFonts w:cs="Arial"/>
        </w:rPr>
        <w:t>ited to the coverage of that event. When making spectrum available for services that cover a special event, t</w:t>
      </w:r>
      <w:r w:rsidRPr="00C97A5B">
        <w:rPr>
          <w:rFonts w:cs="Arial"/>
        </w:rPr>
        <w:t>he ACMA attempts to balance longer-term public interest considerations against high levels of immediate demand for ac</w:t>
      </w:r>
      <w:r>
        <w:rPr>
          <w:rFonts w:cs="Arial"/>
        </w:rPr>
        <w:t xml:space="preserve">cess to broadcasting spectrum. </w:t>
      </w:r>
      <w:r w:rsidRPr="00C97A5B">
        <w:rPr>
          <w:rFonts w:cs="Arial"/>
        </w:rPr>
        <w:t>While the ACMA is responding to this demand, it is not intended to be at the expense of the main task of planning spectrum for mainstream broadcasting services.</w:t>
      </w:r>
    </w:p>
    <w:p w14:paraId="73F2C672" w14:textId="77777777" w:rsidR="00715722" w:rsidRDefault="00C4396C" w:rsidP="00715722">
      <w:pPr>
        <w:pStyle w:val="Heading1"/>
      </w:pPr>
      <w:bookmarkStart w:id="2" w:name="_Toc454201748"/>
      <w:r>
        <w:lastRenderedPageBreak/>
        <w:t>What is a special event?</w:t>
      </w:r>
      <w:bookmarkEnd w:id="2"/>
    </w:p>
    <w:p w14:paraId="43B3FFB8" w14:textId="77777777" w:rsidR="00C4396C" w:rsidRPr="00C97A5B" w:rsidRDefault="00C4396C" w:rsidP="00611236">
      <w:pPr>
        <w:spacing w:after="0"/>
        <w:rPr>
          <w:rFonts w:cs="Arial"/>
        </w:rPr>
      </w:pPr>
      <w:r w:rsidRPr="00C97A5B">
        <w:rPr>
          <w:rFonts w:cs="Arial"/>
        </w:rPr>
        <w:t xml:space="preserve">The ACMA defines a special event as: </w:t>
      </w:r>
    </w:p>
    <w:p w14:paraId="6B661CDE" w14:textId="77777777" w:rsidR="00C4396C" w:rsidRPr="00611236" w:rsidRDefault="00C4396C" w:rsidP="00611236">
      <w:pPr>
        <w:rPr>
          <w:b/>
        </w:rPr>
      </w:pPr>
      <w:r w:rsidRPr="00611236">
        <w:rPr>
          <w:b/>
        </w:rPr>
        <w:t>a distinct and organised event of major sporting, cultural or other community significance.</w:t>
      </w:r>
    </w:p>
    <w:p w14:paraId="476E677C" w14:textId="77777777" w:rsidR="00C4396C" w:rsidRPr="00C97A5B" w:rsidRDefault="00C4396C" w:rsidP="00611236">
      <w:pPr>
        <w:spacing w:after="120"/>
        <w:rPr>
          <w:rFonts w:cs="Arial"/>
        </w:rPr>
      </w:pPr>
      <w:r w:rsidRPr="00C97A5B">
        <w:rPr>
          <w:rFonts w:cs="Arial"/>
        </w:rPr>
        <w:t xml:space="preserve">The Explanatory Memorandum to the Act gives the following as examples of the types of events referred to in the legislation: </w:t>
      </w:r>
    </w:p>
    <w:p w14:paraId="7184DD2E" w14:textId="77777777" w:rsidR="00C4396C" w:rsidRPr="00611236" w:rsidRDefault="00C4396C" w:rsidP="00C4396C">
      <w:pPr>
        <w:ind w:left="720"/>
        <w:rPr>
          <w:rFonts w:cs="Arial"/>
          <w:sz w:val="18"/>
          <w:szCs w:val="18"/>
        </w:rPr>
      </w:pPr>
      <w:r w:rsidRPr="00611236">
        <w:rPr>
          <w:rFonts w:cs="Arial"/>
          <w:sz w:val="18"/>
          <w:szCs w:val="18"/>
        </w:rPr>
        <w:t xml:space="preserve">sporting events such as the Adelaide Grand Prix [now the Australian Grand Prix], the Olympic or Commonwealth Games, various championships etc.; cultural events such as horticultural or flower shows, artistic exhibitions, etc </w:t>
      </w:r>
    </w:p>
    <w:p w14:paraId="11262573" w14:textId="74E7E9B1" w:rsidR="00C4396C" w:rsidRPr="00C97A5B" w:rsidRDefault="00B1508E" w:rsidP="00611236">
      <w:pPr>
        <w:spacing w:after="120"/>
        <w:rPr>
          <w:rFonts w:cs="Arial"/>
        </w:rPr>
      </w:pPr>
      <w:r>
        <w:rPr>
          <w:rFonts w:cs="Arial"/>
        </w:rPr>
        <w:t>For</w:t>
      </w:r>
      <w:r w:rsidR="00C4396C">
        <w:rPr>
          <w:rFonts w:cs="Arial"/>
        </w:rPr>
        <w:t xml:space="preserve"> open narrowcasting services for radio, section 8</w:t>
      </w:r>
      <w:r w:rsidR="00C4396C" w:rsidRPr="00C97A5B">
        <w:rPr>
          <w:rFonts w:cs="Arial"/>
        </w:rPr>
        <w:t xml:space="preserve"> of the Broadcasting Services Clarification Notice 201</w:t>
      </w:r>
      <w:r w:rsidR="00C4396C">
        <w:rPr>
          <w:rFonts w:cs="Arial"/>
        </w:rPr>
        <w:t>6</w:t>
      </w:r>
      <w:r w:rsidR="00C4396C" w:rsidRPr="00C97A5B">
        <w:rPr>
          <w:rFonts w:cs="Arial"/>
        </w:rPr>
        <w:t xml:space="preserve"> states: </w:t>
      </w:r>
    </w:p>
    <w:p w14:paraId="7F776A71" w14:textId="77777777" w:rsidR="00C4396C" w:rsidRPr="00822954" w:rsidRDefault="00C4396C" w:rsidP="00611236">
      <w:pPr>
        <w:pStyle w:val="HR"/>
        <w:spacing w:before="120"/>
        <w:rPr>
          <w:b w:val="0"/>
          <w:i/>
          <w:sz w:val="20"/>
        </w:rPr>
      </w:pPr>
      <w:r w:rsidRPr="00822954">
        <w:rPr>
          <w:b w:val="0"/>
          <w:i/>
          <w:sz w:val="20"/>
        </w:rPr>
        <w:t>Special event</w:t>
      </w:r>
    </w:p>
    <w:p w14:paraId="233B5DB3" w14:textId="77777777" w:rsidR="00C4396C" w:rsidRPr="00822954" w:rsidRDefault="00C4396C" w:rsidP="00C4396C">
      <w:pPr>
        <w:pStyle w:val="R1"/>
        <w:keepNext/>
        <w:tabs>
          <w:tab w:val="clear" w:pos="794"/>
          <w:tab w:val="clear" w:pos="964"/>
        </w:tabs>
        <w:spacing w:line="240" w:lineRule="auto"/>
        <w:ind w:left="993" w:hanging="709"/>
        <w:rPr>
          <w:rFonts w:ascii="Arial" w:hAnsi="Arial" w:cs="Arial"/>
          <w:sz w:val="20"/>
        </w:rPr>
      </w:pPr>
      <w:r w:rsidRPr="00822954">
        <w:rPr>
          <w:rFonts w:ascii="Arial" w:hAnsi="Arial" w:cs="Arial"/>
          <w:sz w:val="20"/>
        </w:rPr>
        <w:t>(1)</w:t>
      </w:r>
      <w:r w:rsidRPr="00822954">
        <w:rPr>
          <w:rFonts w:ascii="Arial" w:hAnsi="Arial" w:cs="Arial"/>
          <w:sz w:val="20"/>
        </w:rPr>
        <w:tab/>
        <w:t>This section applies if the broadcasting service is provided for a continuous period of not more than 30 days to cover an event that:</w:t>
      </w:r>
    </w:p>
    <w:p w14:paraId="37865E31" w14:textId="77777777" w:rsidR="00C4396C" w:rsidRPr="00822954" w:rsidRDefault="00C4396C" w:rsidP="00611236">
      <w:pPr>
        <w:pStyle w:val="P1"/>
        <w:tabs>
          <w:tab w:val="clear" w:pos="1191"/>
          <w:tab w:val="clear" w:pos="1644"/>
        </w:tabs>
        <w:spacing w:line="240" w:lineRule="auto"/>
        <w:ind w:left="1701" w:hanging="708"/>
        <w:jc w:val="left"/>
        <w:rPr>
          <w:rFonts w:ascii="Arial" w:hAnsi="Arial" w:cs="Arial"/>
          <w:sz w:val="20"/>
        </w:rPr>
      </w:pPr>
      <w:r w:rsidRPr="00822954">
        <w:rPr>
          <w:rFonts w:ascii="Arial" w:hAnsi="Arial" w:cs="Arial"/>
          <w:sz w:val="20"/>
        </w:rPr>
        <w:t>(a)</w:t>
      </w:r>
      <w:r w:rsidRPr="00822954">
        <w:rPr>
          <w:rFonts w:ascii="Arial" w:hAnsi="Arial" w:cs="Arial"/>
          <w:sz w:val="20"/>
        </w:rPr>
        <w:tab/>
        <w:t xml:space="preserve">has major cultural significance, sporting significance or other community significance; and </w:t>
      </w:r>
    </w:p>
    <w:p w14:paraId="38D84030" w14:textId="77777777" w:rsidR="00C4396C" w:rsidRPr="00822954" w:rsidRDefault="00C4396C" w:rsidP="00611236">
      <w:pPr>
        <w:pStyle w:val="P1"/>
        <w:tabs>
          <w:tab w:val="clear" w:pos="1191"/>
          <w:tab w:val="clear" w:pos="1644"/>
        </w:tabs>
        <w:spacing w:line="240" w:lineRule="auto"/>
        <w:ind w:left="1701" w:hanging="708"/>
        <w:jc w:val="left"/>
        <w:rPr>
          <w:rFonts w:ascii="Arial" w:hAnsi="Arial" w:cs="Arial"/>
          <w:sz w:val="20"/>
        </w:rPr>
      </w:pPr>
      <w:r w:rsidRPr="00822954">
        <w:rPr>
          <w:rFonts w:ascii="Arial" w:hAnsi="Arial" w:cs="Arial"/>
          <w:sz w:val="20"/>
        </w:rPr>
        <w:t>(b)</w:t>
      </w:r>
      <w:r w:rsidRPr="00822954">
        <w:rPr>
          <w:rFonts w:ascii="Arial" w:hAnsi="Arial" w:cs="Arial"/>
          <w:sz w:val="20"/>
        </w:rPr>
        <w:tab/>
        <w:t>is organised by 1 or more persons.</w:t>
      </w:r>
    </w:p>
    <w:p w14:paraId="5B2348BA" w14:textId="77777777" w:rsidR="00C4396C" w:rsidRPr="00033E7B" w:rsidRDefault="00C4396C" w:rsidP="00C4396C">
      <w:pPr>
        <w:pStyle w:val="R1"/>
        <w:keepNext/>
        <w:tabs>
          <w:tab w:val="clear" w:pos="794"/>
          <w:tab w:val="clear" w:pos="964"/>
        </w:tabs>
        <w:spacing w:line="240" w:lineRule="auto"/>
        <w:ind w:left="993" w:hanging="709"/>
        <w:rPr>
          <w:rFonts w:ascii="Arial" w:hAnsi="Arial" w:cs="Arial"/>
          <w:sz w:val="20"/>
        </w:rPr>
      </w:pPr>
      <w:r w:rsidRPr="00822954">
        <w:rPr>
          <w:rFonts w:ascii="Arial" w:hAnsi="Arial" w:cs="Arial"/>
          <w:sz w:val="20"/>
        </w:rPr>
        <w:t>(2)</w:t>
      </w:r>
      <w:r w:rsidRPr="00822954">
        <w:rPr>
          <w:rFonts w:ascii="Arial" w:hAnsi="Arial" w:cs="Arial"/>
          <w:sz w:val="20"/>
        </w:rPr>
        <w:tab/>
        <w:t>The broadcasting service is an open narrowcasting service.</w:t>
      </w:r>
      <w:r w:rsidRPr="00F567BD">
        <w:rPr>
          <w:rFonts w:ascii="Arial" w:hAnsi="Arial" w:cs="Arial"/>
          <w:sz w:val="20"/>
        </w:rPr>
        <w:t xml:space="preserve"> </w:t>
      </w:r>
    </w:p>
    <w:p w14:paraId="73A9F8DC" w14:textId="77777777" w:rsidR="00C4396C" w:rsidRPr="00822954" w:rsidRDefault="00C4396C" w:rsidP="00611236">
      <w:pPr>
        <w:pStyle w:val="HE"/>
        <w:spacing w:after="240"/>
        <w:rPr>
          <w:rFonts w:ascii="Arial" w:hAnsi="Arial" w:cs="Arial"/>
          <w:sz w:val="18"/>
          <w:szCs w:val="18"/>
        </w:rPr>
      </w:pPr>
      <w:r w:rsidRPr="00822954">
        <w:rPr>
          <w:rFonts w:ascii="Arial" w:hAnsi="Arial" w:cs="Arial"/>
          <w:sz w:val="18"/>
          <w:szCs w:val="18"/>
        </w:rPr>
        <w:t>Note</w:t>
      </w:r>
      <w:r w:rsidRPr="00822954">
        <w:rPr>
          <w:rFonts w:ascii="Arial" w:hAnsi="Arial" w:cs="Arial"/>
          <w:i w:val="0"/>
          <w:sz w:val="18"/>
          <w:szCs w:val="18"/>
        </w:rPr>
        <w:t xml:space="preserve"> While it is likely that cultural and sporting events of major significance will be organised by 1 or more persons, it should not be presumed that all events are organised in a way that meet the requirements of subsection (1). For example, events such as the Moomba Festival and the Sydney to Hobart Yacht Race are clearly organised. On the other hand, the ski season, which occurs </w:t>
      </w:r>
      <w:proofErr w:type="gramStart"/>
      <w:r w:rsidRPr="00822954">
        <w:rPr>
          <w:rFonts w:ascii="Arial" w:hAnsi="Arial" w:cs="Arial"/>
          <w:i w:val="0"/>
          <w:sz w:val="18"/>
          <w:szCs w:val="18"/>
        </w:rPr>
        <w:t>if and when</w:t>
      </w:r>
      <w:proofErr w:type="gramEnd"/>
      <w:r w:rsidRPr="00822954">
        <w:rPr>
          <w:rFonts w:ascii="Arial" w:hAnsi="Arial" w:cs="Arial"/>
          <w:i w:val="0"/>
          <w:sz w:val="18"/>
          <w:szCs w:val="18"/>
        </w:rPr>
        <w:t xml:space="preserve"> particular weather conditions exist, is an example of an event which is not an ‘organised’ event for the purposes of this section</w:t>
      </w:r>
      <w:r w:rsidRPr="00822954">
        <w:rPr>
          <w:rFonts w:ascii="Arial" w:hAnsi="Arial" w:cs="Arial"/>
          <w:sz w:val="18"/>
          <w:szCs w:val="18"/>
        </w:rPr>
        <w:t xml:space="preserve">. </w:t>
      </w:r>
    </w:p>
    <w:p w14:paraId="200F852C" w14:textId="77777777" w:rsidR="00C4396C" w:rsidRPr="00C97A5B" w:rsidRDefault="00C4396C" w:rsidP="00B1508E">
      <w:r w:rsidRPr="00C97A5B">
        <w:t xml:space="preserve">However, this clause does not limit the ACMA’s discretion in relation to services for special events. </w:t>
      </w:r>
    </w:p>
    <w:p w14:paraId="0E7499FE" w14:textId="7FFD13AC" w:rsidR="00C4396C" w:rsidRPr="00C97A5B" w:rsidRDefault="00C4396C" w:rsidP="00B1508E">
      <w:r w:rsidRPr="00C97A5B">
        <w:t xml:space="preserve">Special event licences will be limited to coverage of the </w:t>
      </w:r>
      <w:proofErr w:type="gramStart"/>
      <w:r w:rsidRPr="00C97A5B">
        <w:t>event, and</w:t>
      </w:r>
      <w:proofErr w:type="gramEnd"/>
      <w:r w:rsidRPr="00C97A5B">
        <w:t xml:space="preserve"> will normally be granted to cover a short period (</w:t>
      </w:r>
      <w:r w:rsidR="00B1508E">
        <w:t>that is</w:t>
      </w:r>
      <w:r w:rsidRPr="00C97A5B">
        <w:t xml:space="preserve">. licences will not normally be granted for a period longer than 30 days) coinciding with the duration of the special </w:t>
      </w:r>
      <w:proofErr w:type="gramStart"/>
      <w:r w:rsidRPr="00C97A5B">
        <w:t>event, and</w:t>
      </w:r>
      <w:proofErr w:type="gramEnd"/>
      <w:r w:rsidRPr="00C97A5B">
        <w:t xml:space="preserve"> may include one or two days before the event for testing.</w:t>
      </w:r>
    </w:p>
    <w:p w14:paraId="2A4450CF" w14:textId="77777777" w:rsidR="00C4396C" w:rsidRPr="00C97A5B" w:rsidRDefault="00C4396C" w:rsidP="00C4396C">
      <w:pPr>
        <w:pStyle w:val="Heading1"/>
      </w:pPr>
      <w:bookmarkStart w:id="3" w:name="_Toc446422552"/>
      <w:bookmarkStart w:id="4" w:name="_Toc454201749"/>
      <w:r w:rsidRPr="00C97A5B">
        <w:lastRenderedPageBreak/>
        <w:t>Approach to special event licensing</w:t>
      </w:r>
      <w:bookmarkEnd w:id="3"/>
      <w:bookmarkEnd w:id="4"/>
    </w:p>
    <w:p w14:paraId="19DCDD22" w14:textId="77777777" w:rsidR="00C4396C" w:rsidRPr="00C97A5B" w:rsidRDefault="00C4396C" w:rsidP="00C4396C">
      <w:pPr>
        <w:spacing w:after="80"/>
        <w:rPr>
          <w:rFonts w:cs="Arial"/>
        </w:rPr>
      </w:pPr>
      <w:r w:rsidRPr="00C97A5B">
        <w:rPr>
          <w:rFonts w:cs="Arial"/>
        </w:rPr>
        <w:t xml:space="preserve">The following should be noted: </w:t>
      </w:r>
    </w:p>
    <w:p w14:paraId="491C2337" w14:textId="2AE8AEBD" w:rsidR="00C4396C" w:rsidRPr="00C97A5B" w:rsidRDefault="00C4396C" w:rsidP="00611236">
      <w:pPr>
        <w:pStyle w:val="ListBullet"/>
      </w:pPr>
      <w:r w:rsidRPr="00C97A5B">
        <w:t xml:space="preserve">Special event applications must be received </w:t>
      </w:r>
      <w:r>
        <w:t>eight</w:t>
      </w:r>
      <w:r w:rsidRPr="00C97A5B">
        <w:t xml:space="preserve"> weeks before the licence is required</w:t>
      </w:r>
      <w:r>
        <w:t>.</w:t>
      </w:r>
      <w:r w:rsidRPr="00C97A5B">
        <w:t xml:space="preserve"> </w:t>
      </w:r>
    </w:p>
    <w:p w14:paraId="577FC1DB" w14:textId="3B8448E0" w:rsidR="00C4396C" w:rsidRPr="00C97A5B" w:rsidRDefault="00C4396C" w:rsidP="00611236">
      <w:pPr>
        <w:pStyle w:val="ListBullet"/>
      </w:pPr>
      <w:r w:rsidRPr="00C97A5B">
        <w:t xml:space="preserve">Where there is no frequency readily available for special event purposes, the ACMA will spend a limited time (no more than </w:t>
      </w:r>
      <w:r>
        <w:t>two</w:t>
      </w:r>
      <w:r w:rsidRPr="00C97A5B">
        <w:t xml:space="preserve"> days) searching for an alternative lower power frequency for any special event licence. This will focus on ‘highly localised’ spectrum use</w:t>
      </w:r>
      <w:r>
        <w:t>, that is,</w:t>
      </w:r>
      <w:r w:rsidRPr="00C97A5B">
        <w:t xml:space="preserve"> spectrum using relatively low power that will serve only the precise special event purpose for the precise location</w:t>
      </w:r>
      <w:r>
        <w:t>.</w:t>
      </w:r>
    </w:p>
    <w:p w14:paraId="5B3CD655" w14:textId="344402C1" w:rsidR="00C4396C" w:rsidRPr="00C97A5B" w:rsidRDefault="00C4396C" w:rsidP="00611236">
      <w:pPr>
        <w:pStyle w:val="ListBulletLast"/>
      </w:pPr>
      <w:r w:rsidRPr="00C97A5B">
        <w:t xml:space="preserve">One special event licence will be issued for one event to the event organiser or a peak body. </w:t>
      </w:r>
      <w:r w:rsidR="00B1508E">
        <w:t>If</w:t>
      </w:r>
      <w:r w:rsidRPr="00C97A5B">
        <w:t xml:space="preserve"> there is no event organiser, or where there are competing claims from applicants about who the peak body is</w:t>
      </w:r>
      <w:r>
        <w:t xml:space="preserve"> (</w:t>
      </w:r>
      <w:r w:rsidR="00B1508E">
        <w:t>that is,</w:t>
      </w:r>
      <w:r w:rsidRPr="00C97A5B">
        <w:t xml:space="preserve"> for religious celebrations</w:t>
      </w:r>
      <w:r>
        <w:t>)</w:t>
      </w:r>
      <w:r w:rsidRPr="00C97A5B">
        <w:t>, if there is a frequency available, the ACMA will ask applicants (</w:t>
      </w:r>
      <w:r>
        <w:t>seven</w:t>
      </w:r>
      <w:r w:rsidRPr="00C97A5B">
        <w:t xml:space="preserve"> weeks prior to the event) to put forward a proposal for a shared air-time arrangement no later than </w:t>
      </w:r>
      <w:r>
        <w:t>three weeks before the event.</w:t>
      </w:r>
      <w:r w:rsidRPr="00C97A5B">
        <w:t xml:space="preserve"> If applicants do not come to a sharing arrangement, the ACMA will, after consultation with applicants, allocate licences equally to the applicants over the period of the event. </w:t>
      </w:r>
    </w:p>
    <w:p w14:paraId="47F76AAC" w14:textId="77777777" w:rsidR="00C4396C" w:rsidRPr="00C97A5B" w:rsidRDefault="00C4396C" w:rsidP="00611236">
      <w:pPr>
        <w:pStyle w:val="BodySubHeader"/>
      </w:pPr>
      <w:r w:rsidRPr="00C97A5B">
        <w:t>Note</w:t>
      </w:r>
    </w:p>
    <w:p w14:paraId="79C4229F" w14:textId="77777777" w:rsidR="00C4396C" w:rsidRPr="00C97A5B" w:rsidRDefault="00C4396C" w:rsidP="00C4396C">
      <w:pPr>
        <w:spacing w:after="360"/>
        <w:rPr>
          <w:rFonts w:cs="Arial"/>
        </w:rPr>
      </w:pPr>
      <w:r w:rsidRPr="00C97A5B">
        <w:rPr>
          <w:rFonts w:cs="Arial"/>
        </w:rPr>
        <w:t xml:space="preserve">Under section 114 of the </w:t>
      </w:r>
      <w:r w:rsidRPr="00C97A5B">
        <w:rPr>
          <w:rFonts w:cs="Arial"/>
          <w:i/>
        </w:rPr>
        <w:t>Radiocommunications Act 1992</w:t>
      </w:r>
      <w:r w:rsidRPr="00C97A5B">
        <w:rPr>
          <w:rFonts w:cs="Arial"/>
        </w:rPr>
        <w:t>, open narrowcasting licensees may, in writing, authorise other persons to operate a transmitter under the licence. This arrangement is an agreement</w:t>
      </w:r>
      <w:r>
        <w:rPr>
          <w:rFonts w:cs="Arial"/>
        </w:rPr>
        <w:t xml:space="preserve"> between the two parties only. </w:t>
      </w:r>
      <w:r w:rsidRPr="00C97A5B">
        <w:rPr>
          <w:rFonts w:cs="Arial"/>
        </w:rPr>
        <w:t>However, upon request, the authorisation must be made available to the ACMA.</w:t>
      </w:r>
    </w:p>
    <w:p w14:paraId="74711B4E" w14:textId="77777777" w:rsidR="00C4396C" w:rsidRPr="00B344B3" w:rsidRDefault="00C4396C" w:rsidP="00611236">
      <w:pPr>
        <w:pStyle w:val="Heading1"/>
      </w:pPr>
      <w:bookmarkStart w:id="5" w:name="_Toc446422553"/>
      <w:bookmarkStart w:id="6" w:name="_Toc454201750"/>
      <w:bookmarkStart w:id="7" w:name="_Toc348105634"/>
      <w:r w:rsidRPr="00B344B3">
        <w:lastRenderedPageBreak/>
        <w:t xml:space="preserve">Technical </w:t>
      </w:r>
      <w:r w:rsidRPr="00B1508E">
        <w:t>specifications</w:t>
      </w:r>
      <w:bookmarkEnd w:id="5"/>
      <w:bookmarkEnd w:id="6"/>
    </w:p>
    <w:p w14:paraId="32316EC1" w14:textId="271CC5B4" w:rsidR="00C4396C" w:rsidRPr="00B344B3" w:rsidRDefault="00C4396C" w:rsidP="00C4396C">
      <w:pPr>
        <w:rPr>
          <w:rFonts w:cs="Arial"/>
        </w:rPr>
      </w:pPr>
      <w:r w:rsidRPr="00B344B3">
        <w:rPr>
          <w:rFonts w:cs="Arial"/>
        </w:rPr>
        <w:t xml:space="preserve">The transmitter signal power, commonly known as effective radiated power (ERP), is determined </w:t>
      </w:r>
      <w:proofErr w:type="gramStart"/>
      <w:r w:rsidRPr="00B344B3">
        <w:rPr>
          <w:rFonts w:cs="Arial"/>
        </w:rPr>
        <w:t>on the basis of</w:t>
      </w:r>
      <w:proofErr w:type="gramEnd"/>
      <w:r w:rsidRPr="00B344B3">
        <w:rPr>
          <w:rFonts w:cs="Arial"/>
        </w:rPr>
        <w:t xml:space="preserve"> the coverage requi</w:t>
      </w:r>
      <w:r>
        <w:rPr>
          <w:rFonts w:cs="Arial"/>
        </w:rPr>
        <w:t xml:space="preserve">rements for a particular area. </w:t>
      </w:r>
      <w:r w:rsidRPr="00B344B3">
        <w:rPr>
          <w:rFonts w:cs="Arial"/>
        </w:rPr>
        <w:t xml:space="preserve">The useable signal strength requirement </w:t>
      </w:r>
      <w:r>
        <w:rPr>
          <w:rFonts w:cs="Arial"/>
        </w:rPr>
        <w:t>depend</w:t>
      </w:r>
      <w:r w:rsidR="00B1508E">
        <w:rPr>
          <w:rFonts w:cs="Arial"/>
        </w:rPr>
        <w:t>s</w:t>
      </w:r>
      <w:r>
        <w:rPr>
          <w:rFonts w:cs="Arial"/>
        </w:rPr>
        <w:t xml:space="preserve"> on the environment. </w:t>
      </w:r>
      <w:r w:rsidRPr="00B344B3">
        <w:rPr>
          <w:rFonts w:cs="Arial"/>
        </w:rPr>
        <w:t xml:space="preserve">Higher signal strength is required in urban (as distinct from rural) areas to overcome the higher level of manufactured noise. </w:t>
      </w:r>
    </w:p>
    <w:p w14:paraId="2D72BFDA" w14:textId="77777777" w:rsidR="00C4396C" w:rsidRPr="00B344B3" w:rsidRDefault="00C4396C" w:rsidP="00C4396C">
      <w:pPr>
        <w:rPr>
          <w:rFonts w:cs="Arial"/>
        </w:rPr>
      </w:pPr>
      <w:r w:rsidRPr="00B344B3">
        <w:rPr>
          <w:rFonts w:cs="Arial"/>
        </w:rPr>
        <w:t>Transmitter licences for special events may be granted for either television or radio and usually use planned FM radio frequencies and UHF television channels.</w:t>
      </w:r>
    </w:p>
    <w:p w14:paraId="2636CA97" w14:textId="77777777" w:rsidR="00C4396C" w:rsidRDefault="00C4396C" w:rsidP="00C4396C">
      <w:pPr>
        <w:pStyle w:val="Heading1"/>
      </w:pPr>
      <w:bookmarkStart w:id="8" w:name="_Toc446422554"/>
      <w:bookmarkStart w:id="9" w:name="_Toc454201751"/>
      <w:r w:rsidRPr="00B344B3">
        <w:lastRenderedPageBreak/>
        <w:t>How to apply</w:t>
      </w:r>
      <w:bookmarkEnd w:id="8"/>
      <w:bookmarkEnd w:id="9"/>
    </w:p>
    <w:p w14:paraId="11DD4307" w14:textId="3D6ADB89" w:rsidR="00B1508E" w:rsidRPr="00B1508E" w:rsidRDefault="00D37E95" w:rsidP="00611236">
      <w:pPr>
        <w:spacing w:after="80"/>
      </w:pPr>
      <w:r>
        <w:t xml:space="preserve">Follow the steps below to apply for a transmitter licence for a special event: </w:t>
      </w:r>
    </w:p>
    <w:p w14:paraId="1F06C5C5" w14:textId="1CE7C867" w:rsidR="00C4396C" w:rsidRPr="00B344B3" w:rsidRDefault="00C4396C" w:rsidP="00611236">
      <w:pPr>
        <w:pStyle w:val="ListNumber"/>
      </w:pPr>
      <w:r w:rsidRPr="00B344B3">
        <w:t xml:space="preserve">Complete </w:t>
      </w:r>
      <w:r w:rsidR="00B1508E">
        <w:t>f</w:t>
      </w:r>
      <w:r w:rsidRPr="00B344B3">
        <w:t xml:space="preserve">orm ACMA B12 and the ACMA Special Events Checklist (available on the </w:t>
      </w:r>
      <w:hyperlink r:id="rId27" w:history="1">
        <w:r w:rsidRPr="00701930">
          <w:rPr>
            <w:rStyle w:val="Hyperlink"/>
            <w:rFonts w:cs="Arial"/>
          </w:rPr>
          <w:t>ACMA website</w:t>
        </w:r>
      </w:hyperlink>
      <w:r w:rsidRPr="00B344B3">
        <w:t xml:space="preserve">) to accompany an application for a transmitter licence for a special event. </w:t>
      </w:r>
    </w:p>
    <w:p w14:paraId="61DDD1E8" w14:textId="29E3C731" w:rsidR="00C4396C" w:rsidRPr="00B344B3" w:rsidRDefault="00C4396C" w:rsidP="00611236">
      <w:pPr>
        <w:pStyle w:val="ListNumber"/>
      </w:pPr>
      <w:r w:rsidRPr="00B344B3">
        <w:t xml:space="preserve">Attach the checklist (and supporting documents) to the completed </w:t>
      </w:r>
      <w:r w:rsidR="00D37E95">
        <w:t>f</w:t>
      </w:r>
      <w:r w:rsidRPr="00B344B3">
        <w:t xml:space="preserve">orm ACMA </w:t>
      </w:r>
      <w:r>
        <w:t>B</w:t>
      </w:r>
      <w:r w:rsidRPr="00B344B3">
        <w:t>12 and</w:t>
      </w:r>
      <w:r>
        <w:t xml:space="preserve"> send or</w:t>
      </w:r>
      <w:r w:rsidRPr="00B344B3">
        <w:t xml:space="preserve"> </w:t>
      </w:r>
      <w:r>
        <w:t>email</w:t>
      </w:r>
      <w:r w:rsidRPr="00B344B3">
        <w:t xml:space="preserve"> to the ACMA at the address below.</w:t>
      </w:r>
    </w:p>
    <w:p w14:paraId="15CAAC17" w14:textId="225D79A6" w:rsidR="00C4396C" w:rsidRPr="00B344B3" w:rsidRDefault="00C4396C" w:rsidP="00611236">
      <w:pPr>
        <w:pStyle w:val="ListNumber"/>
      </w:pPr>
      <w:r w:rsidRPr="00B344B3">
        <w:t xml:space="preserve">Applications must be submitted at least </w:t>
      </w:r>
      <w:r>
        <w:t>eight</w:t>
      </w:r>
      <w:r w:rsidRPr="00B344B3">
        <w:t xml:space="preserve"> weeks before the special event. Applications submitted less than </w:t>
      </w:r>
      <w:r>
        <w:t>eight</w:t>
      </w:r>
      <w:r w:rsidRPr="00B344B3">
        <w:t xml:space="preserve"> weeks before the event may not be processed in time. </w:t>
      </w:r>
    </w:p>
    <w:p w14:paraId="1B38BD08" w14:textId="3A403D32" w:rsidR="00C4396C" w:rsidRPr="00B344B3" w:rsidRDefault="00C4396C" w:rsidP="00C4396C">
      <w:pPr>
        <w:spacing w:after="360"/>
        <w:ind w:left="284" w:hanging="284"/>
        <w:rPr>
          <w:rFonts w:cs="Arial"/>
        </w:rPr>
      </w:pPr>
      <w:r w:rsidRPr="00B344B3">
        <w:rPr>
          <w:rFonts w:cs="Arial"/>
        </w:rPr>
        <w:t>4.</w:t>
      </w:r>
      <w:r w:rsidRPr="00B344B3">
        <w:rPr>
          <w:rFonts w:cs="Arial"/>
        </w:rPr>
        <w:tab/>
        <w:t xml:space="preserve">If your application is approved, you will be required to pay a transmitter licence tax. Copies of the fee schedule are available from the </w:t>
      </w:r>
      <w:hyperlink r:id="rId28" w:history="1">
        <w:r w:rsidRPr="00611236">
          <w:rPr>
            <w:rStyle w:val="Hyperlink"/>
            <w:rFonts w:cs="Arial"/>
          </w:rPr>
          <w:t>ACMA</w:t>
        </w:r>
        <w:r w:rsidR="00611236" w:rsidRPr="00611236">
          <w:rPr>
            <w:rStyle w:val="Hyperlink"/>
            <w:rFonts w:cs="Arial"/>
          </w:rPr>
          <w:t xml:space="preserve"> website</w:t>
        </w:r>
      </w:hyperlink>
      <w:r w:rsidRPr="00B344B3">
        <w:rPr>
          <w:rFonts w:cs="Arial"/>
        </w:rPr>
        <w:t>.</w:t>
      </w:r>
    </w:p>
    <w:p w14:paraId="6AB8AB1A" w14:textId="77777777" w:rsidR="00C4396C" w:rsidRPr="00B344B3" w:rsidRDefault="00C4396C" w:rsidP="00611236">
      <w:pPr>
        <w:pStyle w:val="Heading2"/>
      </w:pPr>
      <w:bookmarkStart w:id="10" w:name="_Toc446422555"/>
      <w:bookmarkStart w:id="11" w:name="_Toc454201752"/>
      <w:r w:rsidRPr="00B344B3">
        <w:t>Where to get more information</w:t>
      </w:r>
      <w:bookmarkEnd w:id="10"/>
      <w:bookmarkEnd w:id="11"/>
    </w:p>
    <w:p w14:paraId="4989046C" w14:textId="0A06F4F3" w:rsidR="00C4396C" w:rsidRPr="00B344B3" w:rsidRDefault="00C4396C" w:rsidP="00C4396C">
      <w:pPr>
        <w:spacing w:after="120"/>
        <w:rPr>
          <w:rFonts w:cs="Arial"/>
        </w:rPr>
      </w:pPr>
      <w:r w:rsidRPr="00B344B3">
        <w:rPr>
          <w:rFonts w:cs="Arial"/>
        </w:rPr>
        <w:t>For more information about special event licences</w:t>
      </w:r>
      <w:r w:rsidR="00D37E95">
        <w:rPr>
          <w:rFonts w:cs="Arial"/>
        </w:rPr>
        <w:t>,</w:t>
      </w:r>
      <w:r w:rsidRPr="00B344B3">
        <w:rPr>
          <w:rFonts w:cs="Arial"/>
        </w:rPr>
        <w:t xml:space="preserve"> contact:</w:t>
      </w:r>
    </w:p>
    <w:p w14:paraId="287B865E" w14:textId="77777777" w:rsidR="00C4396C" w:rsidRPr="00B344B3" w:rsidRDefault="00C4396C" w:rsidP="00611236">
      <w:pPr>
        <w:spacing w:after="0"/>
        <w:ind w:left="284"/>
        <w:rPr>
          <w:rFonts w:cs="Arial"/>
        </w:rPr>
      </w:pPr>
      <w:r w:rsidRPr="00B344B3">
        <w:rPr>
          <w:rFonts w:cs="Arial"/>
        </w:rPr>
        <w:t>The Australian Communications and Media Authority</w:t>
      </w:r>
    </w:p>
    <w:p w14:paraId="25DE838A" w14:textId="77777777" w:rsidR="00C4396C" w:rsidRPr="00B344B3" w:rsidRDefault="00C4396C" w:rsidP="00611236">
      <w:pPr>
        <w:spacing w:after="0"/>
        <w:ind w:left="284"/>
        <w:rPr>
          <w:rFonts w:cs="Arial"/>
        </w:rPr>
      </w:pPr>
      <w:r>
        <w:rPr>
          <w:rFonts w:cs="Arial"/>
        </w:rPr>
        <w:t>Customer Service Centre</w:t>
      </w:r>
      <w:r w:rsidRPr="00B344B3">
        <w:rPr>
          <w:rFonts w:cs="Arial"/>
        </w:rPr>
        <w:t xml:space="preserve"> </w:t>
      </w:r>
    </w:p>
    <w:p w14:paraId="6469123B" w14:textId="77777777" w:rsidR="00C4396C" w:rsidRDefault="00C4396C" w:rsidP="00611236">
      <w:pPr>
        <w:spacing w:after="0"/>
        <w:ind w:left="284"/>
        <w:rPr>
          <w:rFonts w:cs="Arial"/>
        </w:rPr>
      </w:pPr>
      <w:r w:rsidRPr="00B344B3">
        <w:rPr>
          <w:rFonts w:cs="Arial"/>
        </w:rPr>
        <w:t>PO Box 78</w:t>
      </w:r>
    </w:p>
    <w:p w14:paraId="064061F8" w14:textId="77108D6C" w:rsidR="00C4396C" w:rsidRPr="00B344B3" w:rsidRDefault="00C4396C" w:rsidP="00D37E95">
      <w:pPr>
        <w:ind w:left="284"/>
        <w:rPr>
          <w:rFonts w:cs="Arial"/>
        </w:rPr>
      </w:pPr>
      <w:r w:rsidRPr="00B344B3">
        <w:rPr>
          <w:rFonts w:cs="Arial"/>
        </w:rPr>
        <w:t>Belconnen ACT 2616</w:t>
      </w:r>
    </w:p>
    <w:p w14:paraId="6EFB1BFE" w14:textId="77777777" w:rsidR="00C4396C" w:rsidRPr="00B344B3" w:rsidRDefault="00C4396C" w:rsidP="00611236">
      <w:pPr>
        <w:spacing w:after="0"/>
        <w:ind w:left="284"/>
        <w:rPr>
          <w:rFonts w:cs="Arial"/>
        </w:rPr>
      </w:pPr>
      <w:r w:rsidRPr="00B344B3">
        <w:rPr>
          <w:rFonts w:cs="Arial"/>
        </w:rPr>
        <w:t>Tel: 1300 850 115</w:t>
      </w:r>
    </w:p>
    <w:p w14:paraId="37C20F81" w14:textId="510E6A4F" w:rsidR="00C4396C" w:rsidRPr="00B344B3" w:rsidRDefault="00C4396C" w:rsidP="00D37E95">
      <w:pPr>
        <w:ind w:left="284"/>
        <w:rPr>
          <w:rFonts w:cs="Arial"/>
        </w:rPr>
      </w:pPr>
      <w:r w:rsidRPr="00B344B3">
        <w:rPr>
          <w:rFonts w:cs="Arial"/>
        </w:rPr>
        <w:t>Fax: (02) 6219 53</w:t>
      </w:r>
      <w:r>
        <w:rPr>
          <w:rFonts w:cs="Arial"/>
        </w:rPr>
        <w:t>53</w:t>
      </w:r>
    </w:p>
    <w:p w14:paraId="2AD9A42D" w14:textId="31113F21" w:rsidR="00C4396C" w:rsidRPr="00E20773" w:rsidRDefault="00C4396C" w:rsidP="00611236">
      <w:pPr>
        <w:spacing w:after="0"/>
        <w:ind w:left="284"/>
        <w:rPr>
          <w:rFonts w:cs="Arial"/>
        </w:rPr>
      </w:pPr>
      <w:r w:rsidRPr="00B344B3">
        <w:rPr>
          <w:rFonts w:cs="Arial"/>
        </w:rPr>
        <w:t xml:space="preserve">Email: </w:t>
      </w:r>
      <w:hyperlink r:id="rId29" w:history="1">
        <w:r w:rsidRPr="00D37E95">
          <w:rPr>
            <w:rStyle w:val="Hyperlink"/>
          </w:rPr>
          <w:t>info@acma.gov.au</w:t>
        </w:r>
      </w:hyperlink>
    </w:p>
    <w:p w14:paraId="77524191" w14:textId="56DF1B0C" w:rsidR="00C4396C" w:rsidRDefault="00C4396C" w:rsidP="00611236">
      <w:pPr>
        <w:ind w:left="284"/>
      </w:pPr>
      <w:r w:rsidRPr="00B344B3">
        <w:rPr>
          <w:rFonts w:cs="Arial"/>
        </w:rPr>
        <w:t xml:space="preserve">Website: </w:t>
      </w:r>
      <w:hyperlink r:id="rId30" w:history="1">
        <w:r w:rsidRPr="00B344B3">
          <w:rPr>
            <w:rStyle w:val="Hyperlink"/>
            <w:rFonts w:cs="Arial"/>
          </w:rPr>
          <w:t>www.acma.gov.au</w:t>
        </w:r>
      </w:hyperlink>
      <w:r w:rsidRPr="00B344B3">
        <w:rPr>
          <w:rFonts w:cs="Arial"/>
        </w:rPr>
        <w:t xml:space="preserve"> </w:t>
      </w:r>
      <w:bookmarkEnd w:id="7"/>
    </w:p>
    <w:sectPr w:rsidR="00C4396C" w:rsidSect="00C77380">
      <w:headerReference w:type="even" r:id="rId31"/>
      <w:headerReference w:type="default" r:id="rId32"/>
      <w:footerReference w:type="even" r:id="rId33"/>
      <w:footerReference w:type="default" r:id="rId34"/>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FE9B95" w14:textId="77777777" w:rsidR="00875664" w:rsidRDefault="00875664">
      <w:r>
        <w:separator/>
      </w:r>
    </w:p>
  </w:endnote>
  <w:endnote w:type="continuationSeparator" w:id="0">
    <w:p w14:paraId="40ADB6E6" w14:textId="77777777" w:rsidR="00875664" w:rsidRDefault="008756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3D3021" w14:textId="77777777" w:rsidR="00C053A1" w:rsidRPr="00A5474E" w:rsidRDefault="00C053A1" w:rsidP="00A5474E">
    <w:pPr>
      <w:pStyle w:val="Footer"/>
    </w:pPr>
    <w:r>
      <w:rPr>
        <w:noProof/>
      </w:rPr>
      <w:drawing>
        <wp:inline distT="0" distB="0" distL="0" distR="0" wp14:anchorId="08434332" wp14:editId="177584BF">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65CC7B"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25A602"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EF303C"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101A5547"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066AF4"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3641FEB0"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C98BE2"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510375">
      <w:rPr>
        <w:noProof/>
        <w:color w:val="505050"/>
      </w:rPr>
      <w:t>iii</w:t>
    </w:r>
    <w:r w:rsidRPr="002E4DDC">
      <w:rPr>
        <w:color w:val="505050"/>
      </w:rPr>
      <w:fldChar w:fldCharType="end"/>
    </w:r>
  </w:p>
  <w:p w14:paraId="35081347"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E3EC42"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510375">
      <w:rPr>
        <w:noProof/>
      </w:rPr>
      <w:t>4</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CEB86C7"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2B0E0F"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510375">
      <w:rPr>
        <w:noProof/>
        <w:color w:val="505050"/>
      </w:rPr>
      <w:t>5</w:t>
    </w:r>
    <w:r w:rsidRPr="00575AC5">
      <w:rPr>
        <w:color w:val="505050"/>
      </w:rPr>
      <w:fldChar w:fldCharType="end"/>
    </w:r>
  </w:p>
  <w:p w14:paraId="6BC717C2"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FF6E3C" w14:textId="77777777" w:rsidR="00875664" w:rsidRDefault="00875664">
      <w:r>
        <w:separator/>
      </w:r>
    </w:p>
  </w:footnote>
  <w:footnote w:type="continuationSeparator" w:id="0">
    <w:p w14:paraId="766EDE2A" w14:textId="77777777" w:rsidR="00875664" w:rsidRDefault="008756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82AA0D" w14:textId="77777777" w:rsidR="00C053A1" w:rsidRPr="00A5474E" w:rsidRDefault="00C053A1" w:rsidP="00A5474E">
    <w:pPr>
      <w:pStyle w:val="Header"/>
    </w:pPr>
    <w:r>
      <w:rPr>
        <w:noProof/>
      </w:rPr>
      <w:drawing>
        <wp:inline distT="0" distB="0" distL="0" distR="0" wp14:anchorId="76214475" wp14:editId="754C3968">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7852AF"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B2C3DA"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D057A9"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2C4E233C" w14:textId="77777777" w:rsidTr="003B0421">
      <w:trPr>
        <w:trHeight w:hRule="exact" w:val="988"/>
      </w:trPr>
      <w:tc>
        <w:tcPr>
          <w:tcW w:w="7678" w:type="dxa"/>
          <w:shd w:val="clear" w:color="auto" w:fill="auto"/>
        </w:tcPr>
        <w:p w14:paraId="62B09B99" w14:textId="77777777" w:rsidR="00971914" w:rsidRDefault="00971914" w:rsidP="00971914">
          <w:pPr>
            <w:pStyle w:val="Header"/>
          </w:pPr>
        </w:p>
      </w:tc>
    </w:tr>
    <w:tr w:rsidR="00971914" w14:paraId="454E9EF9" w14:textId="77777777" w:rsidTr="003B0421">
      <w:tc>
        <w:tcPr>
          <w:tcW w:w="7678" w:type="dxa"/>
          <w:shd w:val="clear" w:color="auto" w:fill="auto"/>
        </w:tcPr>
        <w:p w14:paraId="4CAA88CB" w14:textId="77777777" w:rsidR="00971914" w:rsidRDefault="00971914" w:rsidP="00971914">
          <w:pPr>
            <w:pStyle w:val="GridTable31"/>
          </w:pPr>
          <w:r>
            <w:t xml:space="preserve">Contents </w:t>
          </w:r>
          <w:r w:rsidRPr="00915B1C">
            <w:rPr>
              <w:b w:val="0"/>
              <w:spacing w:val="0"/>
              <w:sz w:val="28"/>
              <w:szCs w:val="28"/>
            </w:rPr>
            <w:t>(Continued)</w:t>
          </w:r>
        </w:p>
      </w:tc>
    </w:tr>
    <w:tr w:rsidR="00971914" w14:paraId="4809ECF8" w14:textId="77777777" w:rsidTr="003B0421">
      <w:trPr>
        <w:trHeight w:val="1220"/>
      </w:trPr>
      <w:tc>
        <w:tcPr>
          <w:tcW w:w="7678" w:type="dxa"/>
          <w:shd w:val="clear" w:color="auto" w:fill="auto"/>
        </w:tcPr>
        <w:p w14:paraId="74359E61" w14:textId="77777777" w:rsidR="00971914" w:rsidRDefault="00971914" w:rsidP="00971914"/>
      </w:tc>
    </w:tr>
  </w:tbl>
  <w:p w14:paraId="3FD4B824"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A441E2E" w14:textId="77777777" w:rsidTr="003B0421">
      <w:trPr>
        <w:trHeight w:hRule="exact" w:val="988"/>
      </w:trPr>
      <w:tc>
        <w:tcPr>
          <w:tcW w:w="7678" w:type="dxa"/>
          <w:shd w:val="clear" w:color="auto" w:fill="auto"/>
        </w:tcPr>
        <w:p w14:paraId="1748ADE6" w14:textId="77777777" w:rsidR="00971914" w:rsidRDefault="00971914" w:rsidP="00971914">
          <w:pPr>
            <w:pStyle w:val="Header"/>
          </w:pPr>
        </w:p>
      </w:tc>
    </w:tr>
    <w:tr w:rsidR="00971914" w14:paraId="6C2BFAFF" w14:textId="77777777" w:rsidTr="003B0421">
      <w:tc>
        <w:tcPr>
          <w:tcW w:w="7678" w:type="dxa"/>
          <w:shd w:val="clear" w:color="auto" w:fill="auto"/>
        </w:tcPr>
        <w:p w14:paraId="0246AB73" w14:textId="77777777" w:rsidR="00971914" w:rsidRDefault="00971914" w:rsidP="00971914">
          <w:pPr>
            <w:pStyle w:val="GridTable31"/>
          </w:pPr>
          <w:r>
            <w:t xml:space="preserve">Contents </w:t>
          </w:r>
          <w:r w:rsidRPr="00915B1C">
            <w:rPr>
              <w:b w:val="0"/>
              <w:spacing w:val="0"/>
              <w:sz w:val="28"/>
              <w:szCs w:val="28"/>
            </w:rPr>
            <w:t>(Continued)</w:t>
          </w:r>
        </w:p>
      </w:tc>
    </w:tr>
    <w:tr w:rsidR="00971914" w14:paraId="7DC08402" w14:textId="77777777" w:rsidTr="003B0421">
      <w:trPr>
        <w:trHeight w:val="1220"/>
      </w:trPr>
      <w:tc>
        <w:tcPr>
          <w:tcW w:w="7678" w:type="dxa"/>
          <w:shd w:val="clear" w:color="auto" w:fill="auto"/>
        </w:tcPr>
        <w:p w14:paraId="6E48E686" w14:textId="77777777" w:rsidR="00971914" w:rsidRDefault="00971914" w:rsidP="00971914"/>
      </w:tc>
    </w:tr>
  </w:tbl>
  <w:p w14:paraId="5D953F21"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B9B924"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B3ACCF"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69.75pt;height:43.5pt;visibility:visible;mso-wrap-style:square" o:bullet="t">
        <v:imagedata r:id="rId1" o:title="" croptop="15915f" cropbottom="20445f" cropleft="21717f" cropright="21898f"/>
      </v:shape>
    </w:pict>
  </w:numPicBullet>
  <w:abstractNum w:abstractNumId="0" w15:restartNumberingAfterBreak="0">
    <w:nsid w:val="FFFFFF1D"/>
    <w:multiLevelType w:val="multilevel"/>
    <w:tmpl w:val="26F28F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C721FB0"/>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914A43A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812948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15:restartNumberingAfterBreak="0">
    <w:nsid w:val="FFFFFF80"/>
    <w:multiLevelType w:val="singleLevel"/>
    <w:tmpl w:val="0FBE6B5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09693F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8BCA506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15:restartNumberingAfterBreak="0">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4" w15:restartNumberingAfterBreak="0">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6" w15:restartNumberingAfterBreak="0">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4C355E6D"/>
    <w:multiLevelType w:val="hybridMultilevel"/>
    <w:tmpl w:val="833ADF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3"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0"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1" w15:restartNumberingAfterBreak="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3" w15:restartNumberingAfterBreak="0">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40"/>
  </w:num>
  <w:num w:numId="12">
    <w:abstractNumId w:val="23"/>
  </w:num>
  <w:num w:numId="13">
    <w:abstractNumId w:val="28"/>
  </w:num>
  <w:num w:numId="14">
    <w:abstractNumId w:val="19"/>
  </w:num>
  <w:num w:numId="15">
    <w:abstractNumId w:val="21"/>
  </w:num>
  <w:num w:numId="16">
    <w:abstractNumId w:val="46"/>
  </w:num>
  <w:num w:numId="17">
    <w:abstractNumId w:val="42"/>
  </w:num>
  <w:num w:numId="18">
    <w:abstractNumId w:val="32"/>
  </w:num>
  <w:num w:numId="19">
    <w:abstractNumId w:val="13"/>
  </w:num>
  <w:num w:numId="20">
    <w:abstractNumId w:val="0"/>
  </w:num>
  <w:num w:numId="21">
    <w:abstractNumId w:val="15"/>
  </w:num>
  <w:num w:numId="22">
    <w:abstractNumId w:val="25"/>
  </w:num>
  <w:num w:numId="23">
    <w:abstractNumId w:val="22"/>
  </w:num>
  <w:num w:numId="24">
    <w:abstractNumId w:val="36"/>
  </w:num>
  <w:num w:numId="25">
    <w:abstractNumId w:val="44"/>
  </w:num>
  <w:num w:numId="26">
    <w:abstractNumId w:val="31"/>
  </w:num>
  <w:num w:numId="27">
    <w:abstractNumId w:val="33"/>
  </w:num>
  <w:num w:numId="28">
    <w:abstractNumId w:val="30"/>
  </w:num>
  <w:num w:numId="29">
    <w:abstractNumId w:val="20"/>
  </w:num>
  <w:num w:numId="30">
    <w:abstractNumId w:val="24"/>
  </w:num>
  <w:num w:numId="31">
    <w:abstractNumId w:val="34"/>
  </w:num>
  <w:num w:numId="32">
    <w:abstractNumId w:val="45"/>
  </w:num>
  <w:num w:numId="33">
    <w:abstractNumId w:val="26"/>
  </w:num>
  <w:num w:numId="34">
    <w:abstractNumId w:val="38"/>
  </w:num>
  <w:num w:numId="35">
    <w:abstractNumId w:val="18"/>
  </w:num>
  <w:num w:numId="36">
    <w:abstractNumId w:val="14"/>
  </w:num>
  <w:num w:numId="37">
    <w:abstractNumId w:val="16"/>
  </w:num>
  <w:num w:numId="38">
    <w:abstractNumId w:val="39"/>
  </w:num>
  <w:num w:numId="39">
    <w:abstractNumId w:val="27"/>
  </w:num>
  <w:num w:numId="40">
    <w:abstractNumId w:val="35"/>
  </w:num>
  <w:num w:numId="41">
    <w:abstractNumId w:val="41"/>
  </w:num>
  <w:num w:numId="42">
    <w:abstractNumId w:val="43"/>
  </w:num>
  <w:num w:numId="43">
    <w:abstractNumId w:val="37"/>
  </w:num>
  <w:num w:numId="44">
    <w:abstractNumId w:val="17"/>
  </w:num>
  <w:num w:numId="45">
    <w:abstractNumId w:val="12"/>
  </w:num>
  <w:num w:numId="46">
    <w:abstractNumId w:val="11"/>
  </w:num>
  <w:num w:numId="47">
    <w:abstractNumId w:val="10"/>
  </w:num>
  <w:num w:numId="48">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396C"/>
    <w:rsid w:val="00010667"/>
    <w:rsid w:val="000129D5"/>
    <w:rsid w:val="00015AE7"/>
    <w:rsid w:val="00016E21"/>
    <w:rsid w:val="0001719C"/>
    <w:rsid w:val="00017B5B"/>
    <w:rsid w:val="0002224E"/>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69BD"/>
    <w:rsid w:val="000969BF"/>
    <w:rsid w:val="000A0C22"/>
    <w:rsid w:val="000A3C43"/>
    <w:rsid w:val="000A4A51"/>
    <w:rsid w:val="000A5D2B"/>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1591"/>
    <w:rsid w:val="00173981"/>
    <w:rsid w:val="0017719D"/>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6D15"/>
    <w:rsid w:val="001F7558"/>
    <w:rsid w:val="00205B57"/>
    <w:rsid w:val="002157E0"/>
    <w:rsid w:val="00216A57"/>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165E6"/>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5254"/>
    <w:rsid w:val="003A04DB"/>
    <w:rsid w:val="003A5F5B"/>
    <w:rsid w:val="003A789A"/>
    <w:rsid w:val="003B12EC"/>
    <w:rsid w:val="003C77E0"/>
    <w:rsid w:val="003D17D7"/>
    <w:rsid w:val="003D2678"/>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5605"/>
    <w:rsid w:val="00447037"/>
    <w:rsid w:val="0045124D"/>
    <w:rsid w:val="00454596"/>
    <w:rsid w:val="0045605D"/>
    <w:rsid w:val="0046135B"/>
    <w:rsid w:val="00461D47"/>
    <w:rsid w:val="004718CC"/>
    <w:rsid w:val="00481695"/>
    <w:rsid w:val="00495A96"/>
    <w:rsid w:val="00495BB3"/>
    <w:rsid w:val="004A56BB"/>
    <w:rsid w:val="004B1751"/>
    <w:rsid w:val="004C0253"/>
    <w:rsid w:val="004D56FF"/>
    <w:rsid w:val="004E39D3"/>
    <w:rsid w:val="004E508A"/>
    <w:rsid w:val="004E616D"/>
    <w:rsid w:val="004F1BDE"/>
    <w:rsid w:val="004F2CEE"/>
    <w:rsid w:val="004F556E"/>
    <w:rsid w:val="004F7F44"/>
    <w:rsid w:val="005037B4"/>
    <w:rsid w:val="005079BF"/>
    <w:rsid w:val="00510375"/>
    <w:rsid w:val="0051269A"/>
    <w:rsid w:val="005219E7"/>
    <w:rsid w:val="00531B9A"/>
    <w:rsid w:val="00531D15"/>
    <w:rsid w:val="00537604"/>
    <w:rsid w:val="00542377"/>
    <w:rsid w:val="005476EB"/>
    <w:rsid w:val="00551782"/>
    <w:rsid w:val="00563EF1"/>
    <w:rsid w:val="00566AB4"/>
    <w:rsid w:val="00575AC5"/>
    <w:rsid w:val="0057605D"/>
    <w:rsid w:val="00581347"/>
    <w:rsid w:val="00581AC9"/>
    <w:rsid w:val="005849F8"/>
    <w:rsid w:val="005938DF"/>
    <w:rsid w:val="00594E9C"/>
    <w:rsid w:val="005A099B"/>
    <w:rsid w:val="005A2D9C"/>
    <w:rsid w:val="005A55FE"/>
    <w:rsid w:val="005A6A11"/>
    <w:rsid w:val="005B54F6"/>
    <w:rsid w:val="005D2502"/>
    <w:rsid w:val="005D40BB"/>
    <w:rsid w:val="005D47F3"/>
    <w:rsid w:val="005D49BF"/>
    <w:rsid w:val="005D6F4E"/>
    <w:rsid w:val="005D7C73"/>
    <w:rsid w:val="005E3ACD"/>
    <w:rsid w:val="005E7226"/>
    <w:rsid w:val="005E7A57"/>
    <w:rsid w:val="005F24B0"/>
    <w:rsid w:val="00604315"/>
    <w:rsid w:val="00604E26"/>
    <w:rsid w:val="006052CF"/>
    <w:rsid w:val="00607B8D"/>
    <w:rsid w:val="00611236"/>
    <w:rsid w:val="00611F5C"/>
    <w:rsid w:val="00616E09"/>
    <w:rsid w:val="00622A3B"/>
    <w:rsid w:val="00622EEA"/>
    <w:rsid w:val="0062396C"/>
    <w:rsid w:val="00623FF9"/>
    <w:rsid w:val="00627D4E"/>
    <w:rsid w:val="00634478"/>
    <w:rsid w:val="00644373"/>
    <w:rsid w:val="00645915"/>
    <w:rsid w:val="006519C3"/>
    <w:rsid w:val="00652B30"/>
    <w:rsid w:val="00656345"/>
    <w:rsid w:val="00656DC6"/>
    <w:rsid w:val="00660EC6"/>
    <w:rsid w:val="00664110"/>
    <w:rsid w:val="00664D17"/>
    <w:rsid w:val="00666520"/>
    <w:rsid w:val="00667C5B"/>
    <w:rsid w:val="00692CDE"/>
    <w:rsid w:val="00693073"/>
    <w:rsid w:val="006977FF"/>
    <w:rsid w:val="006A01FA"/>
    <w:rsid w:val="006A0E9E"/>
    <w:rsid w:val="006A25C7"/>
    <w:rsid w:val="006A4AAD"/>
    <w:rsid w:val="006A6DA2"/>
    <w:rsid w:val="006A7AB2"/>
    <w:rsid w:val="006B5717"/>
    <w:rsid w:val="006B582F"/>
    <w:rsid w:val="006C0CEB"/>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E7683"/>
    <w:rsid w:val="007F49FA"/>
    <w:rsid w:val="007F54C4"/>
    <w:rsid w:val="007F6E9A"/>
    <w:rsid w:val="008044D4"/>
    <w:rsid w:val="00810AB4"/>
    <w:rsid w:val="00817B56"/>
    <w:rsid w:val="00821A88"/>
    <w:rsid w:val="0082495D"/>
    <w:rsid w:val="00831AC3"/>
    <w:rsid w:val="008408FF"/>
    <w:rsid w:val="00851F3F"/>
    <w:rsid w:val="00856EDC"/>
    <w:rsid w:val="008623B5"/>
    <w:rsid w:val="00870ABA"/>
    <w:rsid w:val="008710E1"/>
    <w:rsid w:val="008716E5"/>
    <w:rsid w:val="00875664"/>
    <w:rsid w:val="00881CA9"/>
    <w:rsid w:val="00883628"/>
    <w:rsid w:val="00885544"/>
    <w:rsid w:val="0088634E"/>
    <w:rsid w:val="00893AB8"/>
    <w:rsid w:val="008A04C8"/>
    <w:rsid w:val="008A6913"/>
    <w:rsid w:val="008B70F3"/>
    <w:rsid w:val="008B76DF"/>
    <w:rsid w:val="008C10F4"/>
    <w:rsid w:val="008C65F7"/>
    <w:rsid w:val="008E4767"/>
    <w:rsid w:val="008E7A8C"/>
    <w:rsid w:val="00903285"/>
    <w:rsid w:val="00906F40"/>
    <w:rsid w:val="0090731E"/>
    <w:rsid w:val="00915B1C"/>
    <w:rsid w:val="009174F3"/>
    <w:rsid w:val="0091797D"/>
    <w:rsid w:val="00923CBA"/>
    <w:rsid w:val="00926703"/>
    <w:rsid w:val="00927691"/>
    <w:rsid w:val="00927A5F"/>
    <w:rsid w:val="00935B63"/>
    <w:rsid w:val="0094078F"/>
    <w:rsid w:val="00940FA3"/>
    <w:rsid w:val="00941FB0"/>
    <w:rsid w:val="009426D4"/>
    <w:rsid w:val="00947F25"/>
    <w:rsid w:val="00950159"/>
    <w:rsid w:val="0095490B"/>
    <w:rsid w:val="00960A33"/>
    <w:rsid w:val="00971914"/>
    <w:rsid w:val="00974363"/>
    <w:rsid w:val="00981898"/>
    <w:rsid w:val="0099577C"/>
    <w:rsid w:val="009B2601"/>
    <w:rsid w:val="009B4E9E"/>
    <w:rsid w:val="009C1690"/>
    <w:rsid w:val="009C6881"/>
    <w:rsid w:val="009C7759"/>
    <w:rsid w:val="009D043D"/>
    <w:rsid w:val="009D07C8"/>
    <w:rsid w:val="009D6C71"/>
    <w:rsid w:val="009E0631"/>
    <w:rsid w:val="009E16D0"/>
    <w:rsid w:val="009E38FD"/>
    <w:rsid w:val="009F13D6"/>
    <w:rsid w:val="009F4C6B"/>
    <w:rsid w:val="009F78A8"/>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51D1A"/>
    <w:rsid w:val="00A5418D"/>
    <w:rsid w:val="00A5474E"/>
    <w:rsid w:val="00A70ADF"/>
    <w:rsid w:val="00A71466"/>
    <w:rsid w:val="00A74B5E"/>
    <w:rsid w:val="00A81BED"/>
    <w:rsid w:val="00A81EC4"/>
    <w:rsid w:val="00A967FD"/>
    <w:rsid w:val="00AB156C"/>
    <w:rsid w:val="00AB6814"/>
    <w:rsid w:val="00AC04BA"/>
    <w:rsid w:val="00AC0E39"/>
    <w:rsid w:val="00AD3082"/>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1508E"/>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732C"/>
    <w:rsid w:val="00BE2580"/>
    <w:rsid w:val="00BE266D"/>
    <w:rsid w:val="00BE3938"/>
    <w:rsid w:val="00BE4C11"/>
    <w:rsid w:val="00BE71C0"/>
    <w:rsid w:val="00BF610C"/>
    <w:rsid w:val="00C0060B"/>
    <w:rsid w:val="00C0277D"/>
    <w:rsid w:val="00C053A1"/>
    <w:rsid w:val="00C16198"/>
    <w:rsid w:val="00C2083D"/>
    <w:rsid w:val="00C24A53"/>
    <w:rsid w:val="00C34A05"/>
    <w:rsid w:val="00C36398"/>
    <w:rsid w:val="00C4032F"/>
    <w:rsid w:val="00C4396C"/>
    <w:rsid w:val="00C44047"/>
    <w:rsid w:val="00C45155"/>
    <w:rsid w:val="00C5498F"/>
    <w:rsid w:val="00C55235"/>
    <w:rsid w:val="00C64CD0"/>
    <w:rsid w:val="00C6684F"/>
    <w:rsid w:val="00C70E70"/>
    <w:rsid w:val="00C75F8D"/>
    <w:rsid w:val="00C77380"/>
    <w:rsid w:val="00C97736"/>
    <w:rsid w:val="00CA345A"/>
    <w:rsid w:val="00CB1E82"/>
    <w:rsid w:val="00CB4BA8"/>
    <w:rsid w:val="00CB52D7"/>
    <w:rsid w:val="00CC6732"/>
    <w:rsid w:val="00CE3C96"/>
    <w:rsid w:val="00CE51A8"/>
    <w:rsid w:val="00CF369B"/>
    <w:rsid w:val="00D00E28"/>
    <w:rsid w:val="00D0269E"/>
    <w:rsid w:val="00D15810"/>
    <w:rsid w:val="00D16D4E"/>
    <w:rsid w:val="00D16FE3"/>
    <w:rsid w:val="00D27F41"/>
    <w:rsid w:val="00D36441"/>
    <w:rsid w:val="00D37E95"/>
    <w:rsid w:val="00D4064E"/>
    <w:rsid w:val="00D44E9B"/>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D73C2"/>
    <w:rsid w:val="00DE319B"/>
    <w:rsid w:val="00DF34FE"/>
    <w:rsid w:val="00DF56AA"/>
    <w:rsid w:val="00DF56AF"/>
    <w:rsid w:val="00DF78E7"/>
    <w:rsid w:val="00E110E0"/>
    <w:rsid w:val="00E15371"/>
    <w:rsid w:val="00E24104"/>
    <w:rsid w:val="00E302D0"/>
    <w:rsid w:val="00E35707"/>
    <w:rsid w:val="00E36AA1"/>
    <w:rsid w:val="00E41ECB"/>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43A0"/>
    <w:rsid w:val="00EA6F19"/>
    <w:rsid w:val="00EB7090"/>
    <w:rsid w:val="00EC1BBE"/>
    <w:rsid w:val="00EC5CD7"/>
    <w:rsid w:val="00EE5FB3"/>
    <w:rsid w:val="00EE7F79"/>
    <w:rsid w:val="00EF715A"/>
    <w:rsid w:val="00F06E14"/>
    <w:rsid w:val="00F179D4"/>
    <w:rsid w:val="00F33C56"/>
    <w:rsid w:val="00F347C7"/>
    <w:rsid w:val="00F34848"/>
    <w:rsid w:val="00F42D46"/>
    <w:rsid w:val="00F4496C"/>
    <w:rsid w:val="00F44F3A"/>
    <w:rsid w:val="00F51F10"/>
    <w:rsid w:val="00F529A5"/>
    <w:rsid w:val="00F60F00"/>
    <w:rsid w:val="00F614C0"/>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28EC6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22"/>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43"/>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40"/>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styleId="ListParagraph">
    <w:name w:val="List Paragraph"/>
    <w:basedOn w:val="Normal"/>
    <w:uiPriority w:val="34"/>
    <w:qFormat/>
    <w:rsid w:val="00C4396C"/>
    <w:pPr>
      <w:spacing w:after="0"/>
      <w:ind w:left="720"/>
      <w:contextualSpacing/>
    </w:pPr>
    <w:rPr>
      <w:rFonts w:ascii="HelveticaNeueLT Std Lt" w:hAnsi="HelveticaNeueLT Std Lt"/>
    </w:rPr>
  </w:style>
  <w:style w:type="paragraph" w:customStyle="1" w:styleId="R1">
    <w:name w:val="R1"/>
    <w:aliases w:val="1. or 1.(1)"/>
    <w:basedOn w:val="Normal"/>
    <w:next w:val="Normal"/>
    <w:rsid w:val="00C4396C"/>
    <w:pPr>
      <w:tabs>
        <w:tab w:val="right" w:pos="794"/>
        <w:tab w:val="left" w:pos="964"/>
      </w:tabs>
      <w:spacing w:before="120" w:after="0" w:line="260" w:lineRule="exact"/>
      <w:ind w:left="964" w:hanging="964"/>
      <w:jc w:val="both"/>
    </w:pPr>
    <w:rPr>
      <w:rFonts w:ascii="Times New Roman" w:hAnsi="Times New Roman"/>
      <w:sz w:val="24"/>
      <w:szCs w:val="20"/>
    </w:rPr>
  </w:style>
  <w:style w:type="paragraph" w:customStyle="1" w:styleId="P1">
    <w:name w:val="P1"/>
    <w:aliases w:val="(a)"/>
    <w:basedOn w:val="Normal"/>
    <w:rsid w:val="00C4396C"/>
    <w:pPr>
      <w:tabs>
        <w:tab w:val="right" w:pos="1191"/>
        <w:tab w:val="left" w:pos="1644"/>
      </w:tabs>
      <w:spacing w:before="60" w:after="0" w:line="260" w:lineRule="exact"/>
      <w:ind w:left="1418" w:hanging="1418"/>
      <w:jc w:val="both"/>
    </w:pPr>
    <w:rPr>
      <w:rFonts w:ascii="Times New Roman" w:hAnsi="Times New Roman"/>
      <w:sz w:val="24"/>
      <w:szCs w:val="20"/>
    </w:rPr>
  </w:style>
  <w:style w:type="paragraph" w:customStyle="1" w:styleId="HR">
    <w:name w:val="HR"/>
    <w:aliases w:val="Regulation Heading"/>
    <w:basedOn w:val="Normal"/>
    <w:next w:val="R1"/>
    <w:rsid w:val="00C4396C"/>
    <w:pPr>
      <w:keepNext/>
      <w:spacing w:before="360" w:after="0" w:line="240" w:lineRule="auto"/>
      <w:ind w:left="964" w:hanging="964"/>
    </w:pPr>
    <w:rPr>
      <w:b/>
      <w:sz w:val="24"/>
      <w:szCs w:val="20"/>
    </w:rPr>
  </w:style>
  <w:style w:type="paragraph" w:customStyle="1" w:styleId="HE">
    <w:name w:val="HE"/>
    <w:aliases w:val="Example heading"/>
    <w:basedOn w:val="Normal"/>
    <w:next w:val="Normal"/>
    <w:rsid w:val="00C4396C"/>
    <w:pPr>
      <w:keepNext/>
      <w:tabs>
        <w:tab w:val="left" w:pos="1559"/>
      </w:tabs>
      <w:spacing w:before="120" w:after="0" w:line="220" w:lineRule="exact"/>
      <w:ind w:left="964"/>
    </w:pPr>
    <w:rPr>
      <w:rFonts w:ascii="Times New Roman" w:hAnsi="Times New Roman"/>
      <w:i/>
      <w:szCs w:val="20"/>
    </w:rPr>
  </w:style>
  <w:style w:type="paragraph" w:styleId="Revision">
    <w:name w:val="Revision"/>
    <w:hidden/>
    <w:semiHidden/>
    <w:rsid w:val="00B1508E"/>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3.xml"/><Relationship Id="rId26" Type="http://schemas.openxmlformats.org/officeDocument/2006/relationships/footer" Target="footer6.xml"/><Relationship Id="rId3" Type="http://schemas.openxmlformats.org/officeDocument/2006/relationships/customXml" Target="../customXml/item3.xml"/><Relationship Id="rId21" Type="http://schemas.openxmlformats.org/officeDocument/2006/relationships/footer" Target="footer3.xml"/><Relationship Id="rId34" Type="http://schemas.openxmlformats.org/officeDocument/2006/relationships/footer" Target="footer8.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candinfo@acma.gov.au" TargetMode="External"/><Relationship Id="rId25" Type="http://schemas.openxmlformats.org/officeDocument/2006/relationships/footer" Target="footer5.xml"/><Relationship Id="rId33" Type="http://schemas.openxmlformats.org/officeDocument/2006/relationships/footer" Target="footer7.xml"/><Relationship Id="rId2" Type="http://schemas.openxmlformats.org/officeDocument/2006/relationships/customXml" Target="../customXml/item2.xml"/><Relationship Id="rId16" Type="http://schemas.openxmlformats.org/officeDocument/2006/relationships/hyperlink" Target="http://creativecommons.org/licenses/by/3.0/au/" TargetMode="External"/><Relationship Id="rId20" Type="http://schemas.openxmlformats.org/officeDocument/2006/relationships/footer" Target="footer2.xml"/><Relationship Id="rId29" Type="http://schemas.openxmlformats.org/officeDocument/2006/relationships/hyperlink" Target="file:///\\ACVIC01SRVP1\CAI$\Publications\info@acma.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4.xml"/><Relationship Id="rId32" Type="http://schemas.openxmlformats.org/officeDocument/2006/relationships/header" Target="header8.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header" Target="header6.xml"/><Relationship Id="rId28" Type="http://schemas.openxmlformats.org/officeDocument/2006/relationships/hyperlink" Target="http://www.acma.gov.au/theACMA/About/Making-payments/Apparatus-licence-fees/apparatus-licence-fees-acma"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eader" Target="header5.xml"/><Relationship Id="rId27" Type="http://schemas.openxmlformats.org/officeDocument/2006/relationships/hyperlink" Target="http://www.acma.gov.au/theACMA/special-events-licence-guidelines" TargetMode="External"/><Relationship Id="rId30" Type="http://schemas.openxmlformats.org/officeDocument/2006/relationships/hyperlink" Target="http://www.acma.gov.au" TargetMode="External"/><Relationship Id="rId35"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48FAB841CF45E4EA45BE2B086184BF4" ma:contentTypeVersion="7" ma:contentTypeDescription="Create a new document." ma:contentTypeScope="" ma:versionID="6acc1a42159b66c16369f93d53a6d312">
  <xsd:schema xmlns:xsd="http://www.w3.org/2001/XMLSchema" xmlns:xs="http://www.w3.org/2001/XMLSchema" xmlns:p="http://schemas.microsoft.com/office/2006/metadata/properties" xmlns:ns3="917eab60-da2a-47d8-b0da-a59f6ac8aaf9" targetNamespace="http://schemas.microsoft.com/office/2006/metadata/properties" ma:root="true" ma:fieldsID="7e92552a67a9c771b5bb363d6a4e70d2" ns3:_="">
    <xsd:import namespace="917eab60-da2a-47d8-b0da-a59f6ac8aaf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7eab60-da2a-47d8-b0da-a59f6ac8aaf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FB2E34-5E70-4B75-89FD-64C5FD5961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7eab60-da2a-47d8-b0da-a59f6ac8aa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0A1B9E-4915-474B-93F0-30F97F12130F}">
  <ds:schemaRefs>
    <ds:schemaRef ds:uri="http://schemas.microsoft.com/sharepoint/v3/contenttype/forms"/>
  </ds:schemaRefs>
</ds:datastoreItem>
</file>

<file path=customXml/itemProps3.xml><?xml version="1.0" encoding="utf-8"?>
<ds:datastoreItem xmlns:ds="http://schemas.openxmlformats.org/officeDocument/2006/customXml" ds:itemID="{69418BF4-C16F-47B2-A7B8-B465174E771B}">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917eab60-da2a-47d8-b0da-a59f6ac8aaf9"/>
    <ds:schemaRef ds:uri="http://www.w3.org/XML/1998/namespace"/>
    <ds:schemaRef ds:uri="http://purl.org/dc/dcmitype/"/>
  </ds:schemaRefs>
</ds:datastoreItem>
</file>

<file path=customXml/itemProps4.xml><?xml version="1.0" encoding="utf-8"?>
<ds:datastoreItem xmlns:ds="http://schemas.openxmlformats.org/officeDocument/2006/customXml" ds:itemID="{0C7F3727-A597-4280-AF3B-7540944C6F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1257</Words>
  <Characters>7165</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8406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2019-11-11T02:28:00Z</dcterms:created>
  <dcterms:modified xsi:type="dcterms:W3CDTF">2019-11-11T02:28:00Z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0x010100048FAB841CF45E4EA45BE2B086184BF4</vt:lpwstr>
  </property>
</Properties>
</file>