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19E3E2" w14:textId="39E327CD" w:rsidR="00FB6CE1" w:rsidRPr="003F54C3" w:rsidRDefault="00FB6CE1" w:rsidP="00FB6CE1">
      <w:pPr>
        <w:pStyle w:val="ACMAReportTitle"/>
      </w:pPr>
      <w:bookmarkStart w:id="0" w:name="_GoBack"/>
      <w:bookmarkEnd w:id="0"/>
      <w:r w:rsidRPr="003F54C3">
        <w:t xml:space="preserve">Optimising arrangements for the </w:t>
      </w:r>
      <w:r w:rsidRPr="003F54C3">
        <w:br/>
        <w:t>3400</w:t>
      </w:r>
      <w:r w:rsidR="0067714C">
        <w:t>–</w:t>
      </w:r>
      <w:r w:rsidRPr="003F54C3">
        <w:t>3575 MHz band</w:t>
      </w:r>
    </w:p>
    <w:p w14:paraId="7D4851C7" w14:textId="77777777" w:rsidR="00FB6CE1" w:rsidRPr="003F54C3" w:rsidRDefault="00FB6CE1" w:rsidP="00FB6CE1">
      <w:pPr>
        <w:pStyle w:val="ACMAReportSubTitle"/>
      </w:pPr>
      <w:r w:rsidRPr="003F54C3">
        <w:t xml:space="preserve">Planning </w:t>
      </w:r>
      <w:r w:rsidRPr="00806E3A">
        <w:t>d</w:t>
      </w:r>
      <w:r w:rsidRPr="00B7067E">
        <w:t>ecision</w:t>
      </w:r>
      <w:r w:rsidRPr="003A1A7E">
        <w:t>s</w:t>
      </w:r>
      <w:r w:rsidRPr="009B4DF7">
        <w:t xml:space="preserve"> and preliminary views</w:t>
      </w:r>
    </w:p>
    <w:p w14:paraId="5A764916" w14:textId="5AF93ABD" w:rsidR="00C97736" w:rsidRPr="000D76E0" w:rsidRDefault="0067714C"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november</w:t>
      </w:r>
      <w:r w:rsidR="00FB6CE1">
        <w:t xml:space="preserve"> </w:t>
      </w:r>
      <w:r w:rsidR="00BD4421">
        <w:t>2019</w:t>
      </w:r>
    </w:p>
    <w:p w14:paraId="06DEAC55" w14:textId="77777777" w:rsidR="0005011A" w:rsidRPr="00F44F3A" w:rsidRDefault="0005011A" w:rsidP="00FC07B9">
      <w:pPr>
        <w:pStyle w:val="ACMACorporateAddressHeader"/>
      </w:pPr>
      <w:r w:rsidRPr="00F44F3A">
        <w:lastRenderedPageBreak/>
        <w:t>Canberra</w:t>
      </w:r>
    </w:p>
    <w:p w14:paraId="2785FC77"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5A3334ED" w14:textId="77777777" w:rsidR="0005011A" w:rsidRPr="00FC07B9" w:rsidRDefault="0005011A" w:rsidP="00FC07B9">
      <w:pPr>
        <w:pStyle w:val="ACMACorporateAddresses"/>
      </w:pPr>
      <w:r w:rsidRPr="00FC07B9">
        <w:t>PO Box 78</w:t>
      </w:r>
      <w:r w:rsidRPr="00FC07B9">
        <w:br/>
        <w:t>Belconnen ACT 2616</w:t>
      </w:r>
    </w:p>
    <w:p w14:paraId="79823DD0"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148A4CFA" w14:textId="77777777" w:rsidR="0005011A" w:rsidRPr="00F44F3A" w:rsidRDefault="0005011A" w:rsidP="00FC07B9">
      <w:pPr>
        <w:pStyle w:val="ACMACorporateAddressHeader"/>
      </w:pPr>
      <w:r w:rsidRPr="00F44F3A">
        <w:t>Melbourne</w:t>
      </w:r>
    </w:p>
    <w:p w14:paraId="18B7C267"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5CA9AA01"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73EBD83A"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39D3308B" w14:textId="77777777" w:rsidR="0005011A" w:rsidRPr="00F44F3A" w:rsidRDefault="0005011A" w:rsidP="00FC07B9">
      <w:pPr>
        <w:pStyle w:val="ACMACorporateAddressHeader"/>
      </w:pPr>
      <w:r w:rsidRPr="00F44F3A">
        <w:t>Sydney</w:t>
      </w:r>
    </w:p>
    <w:p w14:paraId="75FA078E"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1400C23B"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7C281DC8"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2A0B8562" w14:textId="77777777" w:rsidR="00140318" w:rsidRPr="006D46E5" w:rsidRDefault="00140318" w:rsidP="00FC07B9">
      <w:pPr>
        <w:pStyle w:val="ACMACopyrightHeader"/>
      </w:pPr>
      <w:r w:rsidRPr="00140318">
        <w:t>Copyright notice</w:t>
      </w:r>
    </w:p>
    <w:p w14:paraId="1708C0AB" w14:textId="77777777" w:rsidR="00140318" w:rsidRPr="006D46E5" w:rsidRDefault="00623FF9" w:rsidP="00623FF9">
      <w:pPr>
        <w:pStyle w:val="ACMACClogo"/>
      </w:pPr>
      <w:r w:rsidRPr="00623FF9">
        <w:rPr>
          <w:noProof/>
        </w:rPr>
        <w:drawing>
          <wp:inline distT="0" distB="0" distL="0" distR="0" wp14:anchorId="2E3C0648" wp14:editId="4FC9B60C">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45D41F36" w14:textId="77777777" w:rsidR="00AA2DE5" w:rsidRDefault="006D75D1" w:rsidP="00AA2DE5">
      <w:pPr>
        <w:pStyle w:val="ACMACorporateAddresses"/>
        <w:rPr>
          <w:rStyle w:val="Hyperlink"/>
        </w:rPr>
      </w:pPr>
      <w:hyperlink r:id="rId13" w:history="1">
        <w:r w:rsidR="00AA2DE5">
          <w:rPr>
            <w:rStyle w:val="Hyperlink"/>
          </w:rPr>
          <w:t>https://creativecommons.org/licenses/by/4.0/</w:t>
        </w:r>
      </w:hyperlink>
    </w:p>
    <w:p w14:paraId="75BE3235" w14:textId="77777777" w:rsidR="00AA2DE5" w:rsidRDefault="00AA2DE5" w:rsidP="00AA2DE5">
      <w:pPr>
        <w:pStyle w:val="ACMACorporateAddresses"/>
      </w:pPr>
      <w:proofErr w:type="gramStart"/>
      <w:r>
        <w:t>With the exception of</w:t>
      </w:r>
      <w:proofErr w:type="gramEnd"/>
      <w:r>
        <w:t xml:space="preserve"> coats of arms, logos, emblems, images, other third-party material or devices protected by a trademark, this content is made available under the terms of the Creative Commons Attribution 4.0 International (CC BY 4.0) licence. </w:t>
      </w:r>
    </w:p>
    <w:p w14:paraId="1C99020F" w14:textId="77777777" w:rsidR="00AA2DE5" w:rsidRDefault="00AA2DE5" w:rsidP="00AA2DE5">
      <w:pPr>
        <w:pStyle w:val="ACMACorporateAddresses"/>
      </w:pPr>
      <w:r>
        <w:t>We request attribution as © Commonwealth of Australia (Australian Communications and Media Authority) 201</w:t>
      </w:r>
      <w:r w:rsidR="000245E5">
        <w:t>9</w:t>
      </w:r>
      <w:r>
        <w:t>.</w:t>
      </w:r>
    </w:p>
    <w:p w14:paraId="34F0B505" w14:textId="77777777" w:rsidR="00AA2DE5" w:rsidRDefault="00AA2DE5" w:rsidP="00AA2DE5">
      <w:pPr>
        <w:pStyle w:val="ACMACorporateAddresses"/>
      </w:pPr>
      <w:r>
        <w:t>All other rights are reserved.</w:t>
      </w:r>
    </w:p>
    <w:p w14:paraId="115D43CE"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1FEF826" w14:textId="77777777" w:rsidR="00AA2DE5" w:rsidRDefault="00AA2DE5" w:rsidP="00AA2DE5">
      <w:pPr>
        <w:pStyle w:val="ACMACorporateAddresses"/>
      </w:pPr>
      <w:r>
        <w:t>Written enquiries may be sent to:</w:t>
      </w:r>
    </w:p>
    <w:p w14:paraId="6D829A20"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465FB30A" w14:textId="77777777" w:rsidR="00D16FE3" w:rsidRDefault="00D16FE3" w:rsidP="00D16FE3">
      <w:pPr>
        <w:pStyle w:val="ACMACorporateAddresses"/>
        <w:rPr>
          <w:rStyle w:val="Hyperlink"/>
        </w:rPr>
      </w:pPr>
    </w:p>
    <w:p w14:paraId="60645262"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119695E1" w14:textId="224D0FBF" w:rsidR="00EC6799" w:rsidRDefault="00C65F61">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\t "Exec summary heading,1" </w:instrText>
      </w:r>
      <w:r>
        <w:rPr>
          <w:rFonts w:cs="Arial"/>
          <w:b w:val="0"/>
        </w:rPr>
        <w:fldChar w:fldCharType="separate"/>
      </w:r>
      <w:r w:rsidR="00EC6799">
        <w:t>Executive summary</w:t>
      </w:r>
      <w:r w:rsidR="00EC6799">
        <w:tab/>
      </w:r>
      <w:r w:rsidR="00EC6799">
        <w:fldChar w:fldCharType="begin"/>
      </w:r>
      <w:r w:rsidR="00EC6799">
        <w:instrText xml:space="preserve"> PAGEREF _Toc25047688 \h </w:instrText>
      </w:r>
      <w:r w:rsidR="00EC6799">
        <w:fldChar w:fldCharType="separate"/>
      </w:r>
      <w:r w:rsidR="00EC6799">
        <w:t>1</w:t>
      </w:r>
      <w:r w:rsidR="00EC6799">
        <w:fldChar w:fldCharType="end"/>
      </w:r>
    </w:p>
    <w:p w14:paraId="59009474" w14:textId="0B901066" w:rsidR="00EC6799" w:rsidRDefault="00EC6799">
      <w:pPr>
        <w:pStyle w:val="TOC1"/>
        <w:rPr>
          <w:rFonts w:asciiTheme="minorHAnsi" w:eastAsiaTheme="minorEastAsia" w:hAnsiTheme="minorHAnsi" w:cstheme="minorBidi"/>
          <w:b w:val="0"/>
          <w:spacing w:val="0"/>
          <w:sz w:val="22"/>
          <w:szCs w:val="22"/>
        </w:rPr>
      </w:pPr>
      <w:r>
        <w:t>Introduction</w:t>
      </w:r>
      <w:r>
        <w:tab/>
      </w:r>
      <w:r>
        <w:fldChar w:fldCharType="begin"/>
      </w:r>
      <w:r>
        <w:instrText xml:space="preserve"> PAGEREF _Toc25047689 \h </w:instrText>
      </w:r>
      <w:r>
        <w:fldChar w:fldCharType="separate"/>
      </w:r>
      <w:r>
        <w:t>4</w:t>
      </w:r>
      <w:r>
        <w:fldChar w:fldCharType="end"/>
      </w:r>
    </w:p>
    <w:p w14:paraId="064C1D6E" w14:textId="2A9CECD2" w:rsidR="00EC6799" w:rsidRDefault="00EC6799">
      <w:pPr>
        <w:pStyle w:val="TOC2"/>
        <w:rPr>
          <w:rFonts w:asciiTheme="minorHAnsi" w:eastAsiaTheme="minorEastAsia" w:hAnsiTheme="minorHAnsi" w:cstheme="minorBidi"/>
          <w:spacing w:val="0"/>
          <w:sz w:val="22"/>
          <w:szCs w:val="22"/>
        </w:rPr>
      </w:pPr>
      <w:r>
        <w:t>Legislative and policy environment</w:t>
      </w:r>
      <w:r>
        <w:tab/>
      </w:r>
      <w:r>
        <w:fldChar w:fldCharType="begin"/>
      </w:r>
      <w:r>
        <w:instrText xml:space="preserve"> PAGEREF _Toc25047690 \h </w:instrText>
      </w:r>
      <w:r>
        <w:fldChar w:fldCharType="separate"/>
      </w:r>
      <w:r>
        <w:t>4</w:t>
      </w:r>
      <w:r>
        <w:fldChar w:fldCharType="end"/>
      </w:r>
    </w:p>
    <w:p w14:paraId="3111BF08" w14:textId="78C3FF7E" w:rsidR="00EC6799" w:rsidRDefault="00EC6799">
      <w:pPr>
        <w:pStyle w:val="TOC1"/>
        <w:rPr>
          <w:rFonts w:asciiTheme="minorHAnsi" w:eastAsiaTheme="minorEastAsia" w:hAnsiTheme="minorHAnsi" w:cstheme="minorBidi"/>
          <w:b w:val="0"/>
          <w:spacing w:val="0"/>
          <w:sz w:val="22"/>
          <w:szCs w:val="22"/>
        </w:rPr>
      </w:pPr>
      <w:r>
        <w:t>Discussion</w:t>
      </w:r>
      <w:r>
        <w:tab/>
      </w:r>
      <w:r>
        <w:fldChar w:fldCharType="begin"/>
      </w:r>
      <w:r>
        <w:instrText xml:space="preserve"> PAGEREF _Toc25047691 \h </w:instrText>
      </w:r>
      <w:r>
        <w:fldChar w:fldCharType="separate"/>
      </w:r>
      <w:r>
        <w:t>6</w:t>
      </w:r>
      <w:r>
        <w:fldChar w:fldCharType="end"/>
      </w:r>
    </w:p>
    <w:p w14:paraId="10DA66FB" w14:textId="27C8387A" w:rsidR="00EC6799" w:rsidRDefault="00EC6799">
      <w:pPr>
        <w:pStyle w:val="TOC2"/>
        <w:rPr>
          <w:rFonts w:asciiTheme="minorHAnsi" w:eastAsiaTheme="minorEastAsia" w:hAnsiTheme="minorHAnsi" w:cstheme="minorBidi"/>
          <w:spacing w:val="0"/>
          <w:sz w:val="22"/>
          <w:szCs w:val="22"/>
        </w:rPr>
      </w:pPr>
      <w:r>
        <w:t>Overall approach to optimising the band</w:t>
      </w:r>
      <w:r>
        <w:tab/>
      </w:r>
      <w:r>
        <w:fldChar w:fldCharType="begin"/>
      </w:r>
      <w:r>
        <w:instrText xml:space="preserve"> PAGEREF _Toc25047692 \h </w:instrText>
      </w:r>
      <w:r>
        <w:fldChar w:fldCharType="separate"/>
      </w:r>
      <w:r>
        <w:t>6</w:t>
      </w:r>
      <w:r>
        <w:fldChar w:fldCharType="end"/>
      </w:r>
    </w:p>
    <w:p w14:paraId="25AD7331" w14:textId="563901FC" w:rsidR="00EC6799" w:rsidRDefault="00EC6799">
      <w:pPr>
        <w:pStyle w:val="TOC2"/>
        <w:rPr>
          <w:rFonts w:asciiTheme="minorHAnsi" w:eastAsiaTheme="minorEastAsia" w:hAnsiTheme="minorHAnsi" w:cstheme="minorBidi"/>
          <w:spacing w:val="0"/>
          <w:sz w:val="22"/>
          <w:szCs w:val="22"/>
        </w:rPr>
      </w:pPr>
      <w:r>
        <w:t>Issues raised in submissions</w:t>
      </w:r>
      <w:r>
        <w:tab/>
      </w:r>
      <w:r>
        <w:fldChar w:fldCharType="begin"/>
      </w:r>
      <w:r>
        <w:instrText xml:space="preserve"> PAGEREF _Toc25047693 \h </w:instrText>
      </w:r>
      <w:r>
        <w:fldChar w:fldCharType="separate"/>
      </w:r>
      <w:r>
        <w:t>8</w:t>
      </w:r>
      <w:r>
        <w:fldChar w:fldCharType="end"/>
      </w:r>
    </w:p>
    <w:p w14:paraId="0A28E7A2" w14:textId="576A6441" w:rsidR="00EC6799" w:rsidRDefault="00EC6799">
      <w:pPr>
        <w:pStyle w:val="TOC1"/>
        <w:rPr>
          <w:rFonts w:asciiTheme="minorHAnsi" w:eastAsiaTheme="minorEastAsia" w:hAnsiTheme="minorHAnsi" w:cstheme="minorBidi"/>
          <w:b w:val="0"/>
          <w:spacing w:val="0"/>
          <w:sz w:val="22"/>
          <w:szCs w:val="22"/>
        </w:rPr>
      </w:pPr>
      <w:r>
        <w:t>ACMA planning decisions and preliminary views</w:t>
      </w:r>
      <w:r>
        <w:tab/>
      </w:r>
      <w:r>
        <w:fldChar w:fldCharType="begin"/>
      </w:r>
      <w:r>
        <w:instrText xml:space="preserve"> PAGEREF _Toc25047694 \h </w:instrText>
      </w:r>
      <w:r>
        <w:fldChar w:fldCharType="separate"/>
      </w:r>
      <w:r>
        <w:t>19</w:t>
      </w:r>
      <w:r>
        <w:fldChar w:fldCharType="end"/>
      </w:r>
    </w:p>
    <w:p w14:paraId="5E4AFA9B" w14:textId="564D2D1F" w:rsidR="00EC6799" w:rsidRDefault="00EC6799">
      <w:pPr>
        <w:pStyle w:val="TOC2"/>
        <w:rPr>
          <w:rFonts w:asciiTheme="minorHAnsi" w:eastAsiaTheme="minorEastAsia" w:hAnsiTheme="minorHAnsi" w:cstheme="minorBidi"/>
          <w:spacing w:val="0"/>
          <w:sz w:val="22"/>
          <w:szCs w:val="22"/>
        </w:rPr>
      </w:pPr>
      <w:r>
        <w:t>Next steps</w:t>
      </w:r>
      <w:r>
        <w:tab/>
      </w:r>
      <w:r>
        <w:fldChar w:fldCharType="begin"/>
      </w:r>
      <w:r>
        <w:instrText xml:space="preserve"> PAGEREF _Toc25047695 \h </w:instrText>
      </w:r>
      <w:r>
        <w:fldChar w:fldCharType="separate"/>
      </w:r>
      <w:r>
        <w:t>20</w:t>
      </w:r>
      <w:r>
        <w:fldChar w:fldCharType="end"/>
      </w:r>
    </w:p>
    <w:p w14:paraId="7D7CF475" w14:textId="36318D06" w:rsidR="00EC6799" w:rsidRDefault="00EC6799">
      <w:pPr>
        <w:pStyle w:val="TOC1"/>
        <w:rPr>
          <w:rFonts w:asciiTheme="minorHAnsi" w:eastAsiaTheme="minorEastAsia" w:hAnsiTheme="minorHAnsi" w:cstheme="minorBidi"/>
          <w:b w:val="0"/>
          <w:spacing w:val="0"/>
          <w:sz w:val="22"/>
          <w:szCs w:val="22"/>
        </w:rPr>
      </w:pPr>
      <w:r>
        <w:t>Glossary</w:t>
      </w:r>
      <w:r>
        <w:tab/>
      </w:r>
      <w:r>
        <w:fldChar w:fldCharType="begin"/>
      </w:r>
      <w:r>
        <w:instrText xml:space="preserve"> PAGEREF _Toc25047696 \h </w:instrText>
      </w:r>
      <w:r>
        <w:fldChar w:fldCharType="separate"/>
      </w:r>
      <w:r>
        <w:t>23</w:t>
      </w:r>
      <w:r>
        <w:fldChar w:fldCharType="end"/>
      </w:r>
    </w:p>
    <w:p w14:paraId="3DBB18C7" w14:textId="4E3F4E6D" w:rsidR="00EC6799" w:rsidRDefault="00EC6799">
      <w:pPr>
        <w:pStyle w:val="TOC1"/>
        <w:rPr>
          <w:rFonts w:asciiTheme="minorHAnsi" w:eastAsiaTheme="minorEastAsia" w:hAnsiTheme="minorHAnsi" w:cstheme="minorBidi"/>
          <w:b w:val="0"/>
          <w:spacing w:val="0"/>
          <w:sz w:val="22"/>
          <w:szCs w:val="22"/>
        </w:rPr>
      </w:pPr>
      <w:r>
        <w:t>Appendix A—planning goals</w:t>
      </w:r>
      <w:r>
        <w:tab/>
      </w:r>
      <w:r>
        <w:fldChar w:fldCharType="begin"/>
      </w:r>
      <w:r>
        <w:instrText xml:space="preserve"> PAGEREF _Toc25047697 \h </w:instrText>
      </w:r>
      <w:r>
        <w:fldChar w:fldCharType="separate"/>
      </w:r>
      <w:r>
        <w:t>26</w:t>
      </w:r>
      <w:r>
        <w:fldChar w:fldCharType="end"/>
      </w:r>
    </w:p>
    <w:p w14:paraId="4DB24FE7" w14:textId="68E19EF7" w:rsidR="00EC6799" w:rsidRDefault="00EC6799">
      <w:pPr>
        <w:pStyle w:val="TOC1"/>
        <w:rPr>
          <w:rFonts w:asciiTheme="minorHAnsi" w:eastAsiaTheme="minorEastAsia" w:hAnsiTheme="minorHAnsi" w:cstheme="minorBidi"/>
          <w:b w:val="0"/>
          <w:spacing w:val="0"/>
          <w:sz w:val="22"/>
          <w:szCs w:val="22"/>
        </w:rPr>
      </w:pPr>
      <w:r>
        <w:t>Appendix B—geographical area definitions</w:t>
      </w:r>
      <w:r>
        <w:tab/>
      </w:r>
      <w:r>
        <w:fldChar w:fldCharType="begin"/>
      </w:r>
      <w:r>
        <w:instrText xml:space="preserve"> PAGEREF _Toc25047698 \h </w:instrText>
      </w:r>
      <w:r>
        <w:fldChar w:fldCharType="separate"/>
      </w:r>
      <w:r>
        <w:t>27</w:t>
      </w:r>
      <w:r>
        <w:fldChar w:fldCharType="end"/>
      </w:r>
    </w:p>
    <w:p w14:paraId="4CB020F1" w14:textId="6B2BD0AF" w:rsidR="00EC6799" w:rsidRDefault="00EC6799">
      <w:pPr>
        <w:pStyle w:val="TOC1"/>
        <w:rPr>
          <w:rFonts w:asciiTheme="minorHAnsi" w:eastAsiaTheme="minorEastAsia" w:hAnsiTheme="minorHAnsi" w:cstheme="minorBidi"/>
          <w:b w:val="0"/>
          <w:spacing w:val="0"/>
          <w:sz w:val="22"/>
          <w:szCs w:val="22"/>
        </w:rPr>
      </w:pPr>
      <w:r>
        <w:t>Appendix C—urban excise areas</w:t>
      </w:r>
      <w:r>
        <w:tab/>
      </w:r>
      <w:r>
        <w:fldChar w:fldCharType="begin"/>
      </w:r>
      <w:r>
        <w:instrText xml:space="preserve"> PAGEREF _Toc25047699 \h </w:instrText>
      </w:r>
      <w:r>
        <w:fldChar w:fldCharType="separate"/>
      </w:r>
      <w:r>
        <w:t>36</w:t>
      </w:r>
      <w:r>
        <w:fldChar w:fldCharType="end"/>
      </w:r>
    </w:p>
    <w:p w14:paraId="179EA6E5" w14:textId="1BEC9718" w:rsidR="004D56FF" w:rsidRPr="000D76E0" w:rsidRDefault="00C65F61">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3C754C86" w14:textId="77777777" w:rsidR="009D6C71" w:rsidRPr="009174F3" w:rsidRDefault="009D6C71" w:rsidP="009174F3">
      <w:pPr>
        <w:pStyle w:val="Execsummaryheading"/>
      </w:pPr>
      <w:bookmarkStart w:id="1" w:name="_Toc25047688"/>
      <w:r w:rsidRPr="009174F3">
        <w:lastRenderedPageBreak/>
        <w:t>Executive summary</w:t>
      </w:r>
      <w:bookmarkEnd w:id="1"/>
    </w:p>
    <w:p w14:paraId="7B058665" w14:textId="77777777" w:rsidR="00FB6CE1" w:rsidRDefault="00FB6CE1" w:rsidP="00FB6CE1">
      <w:pPr>
        <w:rPr>
          <w:rFonts w:cs="Arial"/>
        </w:rPr>
      </w:pPr>
      <w:bookmarkStart w:id="2" w:name="_Toc433122125"/>
      <w:r w:rsidRPr="00EF2304">
        <w:rPr>
          <w:rFonts w:cs="Arial"/>
        </w:rPr>
        <w:t xml:space="preserve">The </w:t>
      </w:r>
      <w:r>
        <w:rPr>
          <w:rFonts w:cs="Arial"/>
        </w:rPr>
        <w:t xml:space="preserve">3400–3575 MHz </w:t>
      </w:r>
      <w:r w:rsidRPr="00EF2304">
        <w:rPr>
          <w:rFonts w:cs="Arial"/>
        </w:rPr>
        <w:t>band forms part of the 3300</w:t>
      </w:r>
      <w:r>
        <w:rPr>
          <w:rFonts w:cs="Arial"/>
        </w:rPr>
        <w:t>–</w:t>
      </w:r>
      <w:r w:rsidRPr="00EF2304">
        <w:rPr>
          <w:rFonts w:cs="Arial"/>
        </w:rPr>
        <w:t>3800 MHz band that has been identified globally for wireless broadband use (including 5G)</w:t>
      </w:r>
      <w:r>
        <w:rPr>
          <w:rFonts w:cs="Arial"/>
        </w:rPr>
        <w:t>. Consequently, there has been increasing interest in deploying such services in the band.</w:t>
      </w:r>
    </w:p>
    <w:p w14:paraId="1E01C91B" w14:textId="08F76BBB" w:rsidR="00FB6CE1" w:rsidRDefault="00FB6CE1" w:rsidP="00FB6CE1">
      <w:pPr>
        <w:rPr>
          <w:rFonts w:cs="Arial"/>
        </w:rPr>
      </w:pPr>
      <w:r>
        <w:rPr>
          <w:rFonts w:cs="Arial"/>
        </w:rPr>
        <w:t xml:space="preserve">Mid-band spectrum between 1 and 6 GHz is currently the focus of near-term 5G deployments. </w:t>
      </w:r>
      <w:r>
        <w:t xml:space="preserve">Stakeholder engagement in the lead-up to the 3.6 GHz band auction in 2018 identified optimising spectrum and apparatus licence arrangements </w:t>
      </w:r>
      <w:r w:rsidRPr="00A0300D">
        <w:rPr>
          <w:rFonts w:cs="Arial"/>
        </w:rPr>
        <w:t xml:space="preserve">in the </w:t>
      </w:r>
      <w:r>
        <w:t>adjacent 3400–3575 MHz band as an activity that should be prioritised in the ACMA’s work program.</w:t>
      </w:r>
      <w:r w:rsidRPr="00603262">
        <w:rPr>
          <w:rFonts w:cs="Arial"/>
        </w:rPr>
        <w:t xml:space="preserve"> </w:t>
      </w:r>
      <w:r>
        <w:rPr>
          <w:rFonts w:cs="Arial"/>
        </w:rPr>
        <w:t xml:space="preserve">In the </w:t>
      </w:r>
      <w:r w:rsidRPr="00772048">
        <w:rPr>
          <w:rFonts w:cs="Arial"/>
          <w:i/>
          <w:iCs/>
        </w:rPr>
        <w:t>Five</w:t>
      </w:r>
      <w:r w:rsidR="0067714C" w:rsidRPr="00772048">
        <w:rPr>
          <w:rFonts w:cs="Arial"/>
          <w:i/>
          <w:iCs/>
        </w:rPr>
        <w:t>-y</w:t>
      </w:r>
      <w:r w:rsidRPr="00772048">
        <w:rPr>
          <w:rFonts w:cs="Arial"/>
          <w:i/>
          <w:iCs/>
        </w:rPr>
        <w:t xml:space="preserve">ear </w:t>
      </w:r>
      <w:r w:rsidR="0067714C" w:rsidRPr="00772048">
        <w:rPr>
          <w:rFonts w:cs="Arial"/>
          <w:i/>
          <w:iCs/>
        </w:rPr>
        <w:t>s</w:t>
      </w:r>
      <w:r w:rsidRPr="00772048">
        <w:rPr>
          <w:rFonts w:cs="Arial"/>
          <w:i/>
          <w:iCs/>
        </w:rPr>
        <w:t xml:space="preserve">pectrum </w:t>
      </w:r>
      <w:r w:rsidR="0067714C" w:rsidRPr="00772048">
        <w:rPr>
          <w:rFonts w:cs="Arial"/>
          <w:i/>
          <w:iCs/>
        </w:rPr>
        <w:t>o</w:t>
      </w:r>
      <w:r w:rsidRPr="00772048">
        <w:rPr>
          <w:rFonts w:cs="Arial"/>
          <w:i/>
          <w:iCs/>
        </w:rPr>
        <w:t xml:space="preserve">utlook </w:t>
      </w:r>
      <w:r w:rsidR="0067714C" w:rsidRPr="00772048">
        <w:rPr>
          <w:rFonts w:cs="Arial"/>
          <w:i/>
          <w:iCs/>
        </w:rPr>
        <w:t>2019–23</w:t>
      </w:r>
      <w:r w:rsidR="0067714C">
        <w:rPr>
          <w:rFonts w:cs="Arial"/>
        </w:rPr>
        <w:t xml:space="preserve"> (FYSO 2019–23) </w:t>
      </w:r>
      <w:r>
        <w:rPr>
          <w:rFonts w:cs="Arial"/>
        </w:rPr>
        <w:t>we identified major opportunities for efficiency gains through the defragmentation of the current 3400</w:t>
      </w:r>
      <w:r w:rsidR="0067714C">
        <w:rPr>
          <w:rFonts w:cs="Arial"/>
        </w:rPr>
        <w:t>–</w:t>
      </w:r>
      <w:r>
        <w:rPr>
          <w:rFonts w:cs="Arial"/>
        </w:rPr>
        <w:t>3575 MHz frequency range.</w:t>
      </w:r>
    </w:p>
    <w:p w14:paraId="458CC063" w14:textId="77E8F87D" w:rsidR="00FB6CE1" w:rsidRDefault="00FB6CE1" w:rsidP="00FB6CE1">
      <w:pPr>
        <w:rPr>
          <w:rFonts w:cs="Arial"/>
        </w:rPr>
      </w:pPr>
      <w:bookmarkStart w:id="3" w:name="_Hlk22729815"/>
      <w:r>
        <w:rPr>
          <w:rFonts w:cs="Arial"/>
        </w:rPr>
        <w:t xml:space="preserve">Consolidating the different licence arrangements for wireless broadband use (referred to as ‘defragmentation’ or ‘defrag’ in this paper) </w:t>
      </w:r>
      <w:r>
        <w:t>is expected to result in more efficient use of spectrum and a reduction in network deployment costs.</w:t>
      </w:r>
      <w:r w:rsidRPr="00B05327">
        <w:rPr>
          <w:rFonts w:cs="Arial"/>
        </w:rPr>
        <w:t xml:space="preserve"> </w:t>
      </w:r>
      <w:bookmarkStart w:id="4" w:name="_Hlk5603669"/>
      <w:r>
        <w:rPr>
          <w:color w:val="000000" w:themeColor="text1"/>
          <w:szCs w:val="20"/>
        </w:rPr>
        <w:t>The ACMA has previously considered planning options and made proposals to address this issue. Most notably this included the release of the</w:t>
      </w:r>
      <w:r w:rsidR="00801254">
        <w:rPr>
          <w:color w:val="000000" w:themeColor="text1"/>
          <w:szCs w:val="20"/>
        </w:rPr>
        <w:t xml:space="preserve"> 2014</w:t>
      </w:r>
      <w:r>
        <w:rPr>
          <w:color w:val="000000" w:themeColor="text1"/>
          <w:szCs w:val="20"/>
        </w:rPr>
        <w:t xml:space="preserve"> discussion paper</w:t>
      </w:r>
      <w:r w:rsidR="00801254">
        <w:rPr>
          <w:color w:val="000000" w:themeColor="text1"/>
          <w:szCs w:val="20"/>
        </w:rPr>
        <w:t>,</w:t>
      </w:r>
      <w:r>
        <w:rPr>
          <w:color w:val="000000" w:themeColor="text1"/>
          <w:szCs w:val="20"/>
        </w:rPr>
        <w:t xml:space="preserve"> </w:t>
      </w:r>
      <w:r w:rsidR="00042CBF" w:rsidRPr="00236FF3">
        <w:rPr>
          <w:i/>
          <w:iCs/>
        </w:rPr>
        <w:t>Transitioning the 3.5 GHz band for future opportunities</w:t>
      </w:r>
      <w:r>
        <w:rPr>
          <w:color w:val="000000" w:themeColor="text1"/>
          <w:szCs w:val="20"/>
        </w:rPr>
        <w:t xml:space="preserve">. </w:t>
      </w:r>
      <w:bookmarkEnd w:id="4"/>
      <w:r>
        <w:rPr>
          <w:color w:val="000000" w:themeColor="text1"/>
          <w:szCs w:val="20"/>
        </w:rPr>
        <w:t xml:space="preserve">Also, as part of the reissue of 3.4 GHz spectrum licences process, the ACMA facilitated the defragmentation of spectrum holdings within the space identified for spectrum licensing. </w:t>
      </w:r>
    </w:p>
    <w:bookmarkEnd w:id="3"/>
    <w:p w14:paraId="43BD7CEB" w14:textId="77777777" w:rsidR="00FB6CE1" w:rsidRDefault="00FB6CE1" w:rsidP="00FB6CE1">
      <w:pPr>
        <w:rPr>
          <w:rFonts w:cs="Arial"/>
        </w:rPr>
      </w:pPr>
      <w:r w:rsidRPr="00744C4A">
        <w:rPr>
          <w:rFonts w:cs="Arial"/>
        </w:rPr>
        <w:t>To date</w:t>
      </w:r>
      <w:r>
        <w:rPr>
          <w:rFonts w:cs="Arial"/>
        </w:rPr>
        <w:t>,</w:t>
      </w:r>
      <w:r w:rsidRPr="00744C4A">
        <w:rPr>
          <w:rFonts w:cs="Arial"/>
        </w:rPr>
        <w:t xml:space="preserve"> the mix of licensing types across the band has impeded commercial negotiations </w:t>
      </w:r>
      <w:r>
        <w:rPr>
          <w:rFonts w:cs="Arial"/>
        </w:rPr>
        <w:t>to defrag arrangements across the entire band</w:t>
      </w:r>
      <w:r w:rsidRPr="00744C4A">
        <w:rPr>
          <w:rFonts w:cs="Arial"/>
        </w:rPr>
        <w:t>.</w:t>
      </w:r>
      <w:r>
        <w:rPr>
          <w:rFonts w:cs="Arial"/>
        </w:rPr>
        <w:t xml:space="preserve"> For this reason, there has been growing interest for the ACMA to intervene to facilitate defrag and make more of the band available for wireless broadband use. We consequently commenced work to identify options for change.</w:t>
      </w:r>
    </w:p>
    <w:p w14:paraId="576E0CE0" w14:textId="7CC9021C" w:rsidR="00FB6CE1" w:rsidRDefault="00FB6CE1" w:rsidP="00FB6CE1">
      <w:r>
        <w:rPr>
          <w:rFonts w:cs="Arial"/>
        </w:rPr>
        <w:t xml:space="preserve">We identified a set of planning goals to guide the assessment of options considering changes in the licensing arrangements in the band. We also considered options for change against our </w:t>
      </w:r>
      <w:hyperlink r:id="rId24" w:history="1">
        <w:r w:rsidR="00666A39" w:rsidRPr="00666A39">
          <w:rPr>
            <w:rStyle w:val="Hyperlink"/>
            <w:rFonts w:cs="Arial"/>
          </w:rPr>
          <w:t>Principles for Spectrum Management</w:t>
        </w:r>
      </w:hyperlink>
      <w:r w:rsidRPr="00772048">
        <w:rPr>
          <w:rStyle w:val="Hyperlink"/>
          <w:iCs/>
          <w:u w:val="none"/>
        </w:rPr>
        <w:t xml:space="preserve"> </w:t>
      </w:r>
      <w:r w:rsidRPr="00855F6A">
        <w:rPr>
          <w:rStyle w:val="Hyperlink"/>
          <w:iCs/>
          <w:color w:val="auto"/>
          <w:u w:val="none"/>
        </w:rPr>
        <w:t xml:space="preserve">and the </w:t>
      </w:r>
      <w:r>
        <w:t xml:space="preserve">object of the </w:t>
      </w:r>
      <w:r w:rsidRPr="00E55017">
        <w:rPr>
          <w:i/>
          <w:iCs/>
        </w:rPr>
        <w:t>Radiocommunications Act 1992</w:t>
      </w:r>
      <w:r w:rsidR="00AE0117">
        <w:rPr>
          <w:i/>
          <w:iCs/>
        </w:rPr>
        <w:t xml:space="preserve"> </w:t>
      </w:r>
      <w:r w:rsidR="00AE0117">
        <w:t>(the Act)</w:t>
      </w:r>
      <w:r>
        <w:t xml:space="preserve">, including maximising the overall public benefit derived from using the radiofrequency spectrum. </w:t>
      </w:r>
      <w:bookmarkStart w:id="5" w:name="_Hlk19196222"/>
    </w:p>
    <w:p w14:paraId="33F0CE7C" w14:textId="2701C0A9" w:rsidR="00FB6CE1" w:rsidRDefault="00FB6CE1" w:rsidP="00FB6CE1">
      <w:pPr>
        <w:tabs>
          <w:tab w:val="right" w:pos="9923"/>
        </w:tabs>
        <w:spacing w:before="120" w:line="240" w:lineRule="auto"/>
      </w:pPr>
      <w:r>
        <w:t>To inform our decision making, w</w:t>
      </w:r>
      <w:r>
        <w:rPr>
          <w:color w:val="000000" w:themeColor="text1"/>
          <w:szCs w:val="20"/>
        </w:rPr>
        <w:t xml:space="preserve">e released </w:t>
      </w:r>
      <w:r w:rsidR="00B52CFC">
        <w:rPr>
          <w:color w:val="000000" w:themeColor="text1"/>
          <w:szCs w:val="20"/>
        </w:rPr>
        <w:t xml:space="preserve">the </w:t>
      </w:r>
      <w:hyperlink r:id="rId25" w:history="1">
        <w:r w:rsidR="00B52CFC" w:rsidRPr="00666A39">
          <w:rPr>
            <w:rStyle w:val="Hyperlink"/>
            <w:i/>
            <w:iCs/>
          </w:rPr>
          <w:t>Optimising arrangements for the 3400–3575 MHz band: Options paper</w:t>
        </w:r>
      </w:hyperlink>
      <w:r>
        <w:t xml:space="preserve"> </w:t>
      </w:r>
      <w:r w:rsidR="00874875">
        <w:t xml:space="preserve">(the Options paper) </w:t>
      </w:r>
      <w:r>
        <w:t xml:space="preserve">in </w:t>
      </w:r>
      <w:r w:rsidRPr="009B4DF7">
        <w:t>April 2019</w:t>
      </w:r>
      <w:r w:rsidR="00B52CFC">
        <w:t>.</w:t>
      </w:r>
      <w:r>
        <w:t xml:space="preserve"> Th</w:t>
      </w:r>
      <w:r w:rsidR="00DA6995">
        <w:t>e Options</w:t>
      </w:r>
      <w:r>
        <w:t xml:space="preserve"> paper identified the need for change and put forward three planning options for consideration. These options were intended to </w:t>
      </w:r>
      <w:r w:rsidRPr="009B4DF7">
        <w:rPr>
          <w:rFonts w:cs="Arial"/>
        </w:rPr>
        <w:t xml:space="preserve">facilitate a defrag of spectrum and apparatus licence arrangements </w:t>
      </w:r>
      <w:r>
        <w:rPr>
          <w:rFonts w:cs="Arial"/>
        </w:rPr>
        <w:t xml:space="preserve">and make more </w:t>
      </w:r>
      <w:r w:rsidRPr="008264DB">
        <w:rPr>
          <w:rFonts w:cs="Arial"/>
        </w:rPr>
        <w:t>of the band available for wireless broadband use</w:t>
      </w:r>
      <w:r w:rsidRPr="008264DB">
        <w:t>.</w:t>
      </w:r>
      <w:r>
        <w:t xml:space="preserve"> We sought information from stakeholders to inform consideration of a preferred planning approach.</w:t>
      </w:r>
    </w:p>
    <w:p w14:paraId="382E2E1C" w14:textId="1E463A52" w:rsidR="00FB6CE1" w:rsidRPr="00DB2736" w:rsidRDefault="00FB6CE1" w:rsidP="00FB6CE1">
      <w:pPr>
        <w:tabs>
          <w:tab w:val="right" w:pos="9923"/>
        </w:tabs>
        <w:spacing w:before="120" w:line="240" w:lineRule="auto"/>
        <w:rPr>
          <w:rFonts w:cs="Arial"/>
        </w:rPr>
      </w:pPr>
      <w:r>
        <w:t xml:space="preserve">The </w:t>
      </w:r>
      <w:r w:rsidR="00B52CFC">
        <w:t xml:space="preserve">Options </w:t>
      </w:r>
      <w:r>
        <w:t xml:space="preserve">paper </w:t>
      </w:r>
      <w:r w:rsidRPr="003F54C3">
        <w:rPr>
          <w:rFonts w:cs="Arial"/>
        </w:rPr>
        <w:t>also started the discussion on</w:t>
      </w:r>
      <w:r>
        <w:rPr>
          <w:rFonts w:cs="Arial"/>
        </w:rPr>
        <w:t xml:space="preserve"> whether and how</w:t>
      </w:r>
      <w:r w:rsidRPr="003F54C3">
        <w:rPr>
          <w:rFonts w:cs="Arial"/>
        </w:rPr>
        <w:t xml:space="preserve"> urban areas of NBN Co’s 3.5 GHz public telecommunications service (PTS) licences could be made available for use by other operators.</w:t>
      </w:r>
      <w:r>
        <w:rPr>
          <w:rFonts w:cs="Arial"/>
        </w:rPr>
        <w:t xml:space="preserve"> </w:t>
      </w:r>
      <w:r>
        <w:t xml:space="preserve">The ACMA recognises this could make an additional 75 MHz of internationally harmonised 5G spectrum available for use in capital cities. For this reason, since reviewing submissions to the Options paper, we have worked with NBN Co to define these areas (referred to in this paper as </w:t>
      </w:r>
      <w:r w:rsidR="00236FF3">
        <w:t>‘</w:t>
      </w:r>
      <w:r>
        <w:t>urban excise areas</w:t>
      </w:r>
      <w:r w:rsidR="00236FF3">
        <w:t>’</w:t>
      </w:r>
      <w:r>
        <w:t>)</w:t>
      </w:r>
      <w:r w:rsidR="00327A1D">
        <w:t>. The</w:t>
      </w:r>
      <w:r>
        <w:t xml:space="preserve"> resulting areas are detailed at Appendix C.</w:t>
      </w:r>
    </w:p>
    <w:p w14:paraId="5EABB173" w14:textId="0FBC5234" w:rsidR="00FB6CE1" w:rsidRDefault="00FB6CE1" w:rsidP="00772048">
      <w:pPr>
        <w:spacing w:after="80"/>
      </w:pPr>
      <w:r>
        <w:lastRenderedPageBreak/>
        <w:t xml:space="preserve">This </w:t>
      </w:r>
      <w:r w:rsidR="00236FF3">
        <w:t>d</w:t>
      </w:r>
      <w:r w:rsidR="00DA6995">
        <w:t xml:space="preserve">ecision </w:t>
      </w:r>
      <w:r>
        <w:t>paper concludes the ACMA’s review of planning arrangements for the 3400</w:t>
      </w:r>
      <w:r w:rsidR="00266EE1">
        <w:t>–</w:t>
      </w:r>
      <w:r>
        <w:t>3575 band. Key planning decisions made for the 3400</w:t>
      </w:r>
      <w:r w:rsidR="00266EE1">
        <w:t>–</w:t>
      </w:r>
      <w:r>
        <w:t>3575 band include:</w:t>
      </w:r>
      <w:bookmarkEnd w:id="5"/>
    </w:p>
    <w:p w14:paraId="7BC37B57" w14:textId="77777777" w:rsidR="00FB6CE1" w:rsidRDefault="00FB6CE1" w:rsidP="00266EE1">
      <w:pPr>
        <w:pStyle w:val="ListBullet"/>
      </w:pPr>
      <w:bookmarkStart w:id="6" w:name="_Hlk21021015"/>
      <w:bookmarkStart w:id="7" w:name="_Hlk21019846"/>
      <w:r>
        <w:t>Implementing the arrangements detailed in Option 3b of the Options paper and illustrated in Figure 1. This involves:</w:t>
      </w:r>
    </w:p>
    <w:p w14:paraId="155FAE65" w14:textId="74326BC9" w:rsidR="00FB6CE1" w:rsidRDefault="00DA6995" w:rsidP="00772048">
      <w:pPr>
        <w:pStyle w:val="ListBullet2"/>
      </w:pPr>
      <w:r>
        <w:t>M</w:t>
      </w:r>
      <w:r w:rsidR="00FB6CE1">
        <w:t>aintaining existing arrangements for radiolocation services and devices operating under class licences</w:t>
      </w:r>
      <w:r>
        <w:t>.</w:t>
      </w:r>
    </w:p>
    <w:p w14:paraId="12B220DA" w14:textId="361C215C" w:rsidR="00FB6CE1" w:rsidRDefault="00DA6995" w:rsidP="00772048">
      <w:pPr>
        <w:pStyle w:val="ListBullet2"/>
      </w:pPr>
      <w:r>
        <w:t>E</w:t>
      </w:r>
      <w:r w:rsidR="00FB6CE1">
        <w:t xml:space="preserve">xtending existing </w:t>
      </w:r>
      <w:r w:rsidR="00FB6CE1" w:rsidRPr="003F54C3">
        <w:t>E</w:t>
      </w:r>
      <w:r w:rsidR="00FB6CE1">
        <w:t>arth Station Protection Zones</w:t>
      </w:r>
      <w:r w:rsidR="00FB6CE1" w:rsidRPr="003F54C3">
        <w:t xml:space="preserve"> </w:t>
      </w:r>
      <w:r w:rsidR="00FB6CE1">
        <w:t xml:space="preserve">(ESPZs) </w:t>
      </w:r>
      <w:r w:rsidR="00FB6CE1" w:rsidRPr="003F54C3">
        <w:t>in eastern Australia</w:t>
      </w:r>
      <w:r w:rsidR="00FB6CE1">
        <w:t xml:space="preserve"> to</w:t>
      </w:r>
      <w:r w:rsidR="00FB6CE1" w:rsidRPr="003F54C3">
        <w:t xml:space="preserve"> cover those parts of the band not already subject to spectrum licensing (the 3400</w:t>
      </w:r>
      <w:r>
        <w:t>–</w:t>
      </w:r>
      <w:r w:rsidR="00FB6CE1" w:rsidRPr="003F54C3">
        <w:t>3442.5 MHz and 3475</w:t>
      </w:r>
      <w:r>
        <w:t>–</w:t>
      </w:r>
      <w:r w:rsidR="00FB6CE1" w:rsidRPr="003F54C3">
        <w:t xml:space="preserve">3542.5 MHz frequency ranges). </w:t>
      </w:r>
      <w:r w:rsidR="00FB6CE1">
        <w:t>The ACMA also does not propose these areas and frequencies be identified for spectrum licensing</w:t>
      </w:r>
      <w:r>
        <w:t>.</w:t>
      </w:r>
    </w:p>
    <w:p w14:paraId="56A2FB99" w14:textId="3F91C620" w:rsidR="00FB6CE1" w:rsidRDefault="00DA6995" w:rsidP="00772048">
      <w:pPr>
        <w:pStyle w:val="ListBullet2"/>
      </w:pPr>
      <w:r>
        <w:t>R</w:t>
      </w:r>
      <w:r w:rsidR="00FB6CE1" w:rsidRPr="0053513E">
        <w:t>estacking</w:t>
      </w:r>
      <w:r w:rsidR="00FB6CE1">
        <w:t xml:space="preserve"> (or retuning)</w:t>
      </w:r>
      <w:r w:rsidR="00FB6CE1" w:rsidRPr="0053513E">
        <w:t xml:space="preserve"> </w:t>
      </w:r>
      <w:r w:rsidR="00FB6CE1">
        <w:t xml:space="preserve">incumbent amateur, point-to-multipoint (PMP), NBN Co’s 3.5 GHz PTS </w:t>
      </w:r>
      <w:r w:rsidR="00FB6CE1" w:rsidRPr="0053513E">
        <w:t>apparatus licence</w:t>
      </w:r>
      <w:r w:rsidR="00FB6CE1">
        <w:t>s to achieve the new consolidated arrangements</w:t>
      </w:r>
      <w:r w:rsidR="00FB6CE1" w:rsidRPr="0053513E">
        <w:t xml:space="preserve"> in the band</w:t>
      </w:r>
      <w:r w:rsidR="00FB6CE1">
        <w:t xml:space="preserve">. </w:t>
      </w:r>
      <w:r w:rsidR="00FB6CE1" w:rsidRPr="004B06AF">
        <w:rPr>
          <w:rFonts w:cs="Arial"/>
        </w:rPr>
        <w:t>To ensure a timely restack of services</w:t>
      </w:r>
      <w:r w:rsidR="00FB6CE1">
        <w:rPr>
          <w:rFonts w:cs="Arial"/>
        </w:rPr>
        <w:t xml:space="preserve">, the ACMA will </w:t>
      </w:r>
      <w:bookmarkStart w:id="8" w:name="_Hlk22113886"/>
      <w:r w:rsidR="00FB6CE1">
        <w:rPr>
          <w:rFonts w:cs="Arial"/>
        </w:rPr>
        <w:t xml:space="preserve">adopt a policy of only reissuing PMP </w:t>
      </w:r>
      <w:r w:rsidR="00FB6CE1" w:rsidRPr="00C46F8B">
        <w:rPr>
          <w:rFonts w:cs="Arial"/>
        </w:rPr>
        <w:t>licen</w:t>
      </w:r>
      <w:r w:rsidR="00FB6CE1">
        <w:rPr>
          <w:rFonts w:cs="Arial"/>
        </w:rPr>
        <w:t>ces</w:t>
      </w:r>
      <w:r w:rsidR="00FB6CE1" w:rsidRPr="00C46F8B">
        <w:rPr>
          <w:rFonts w:cs="Arial"/>
        </w:rPr>
        <w:t xml:space="preserve"> in the 3425</w:t>
      </w:r>
      <w:r>
        <w:t>–</w:t>
      </w:r>
      <w:r w:rsidR="00FB6CE1" w:rsidRPr="00C46F8B">
        <w:rPr>
          <w:rFonts w:cs="Arial"/>
        </w:rPr>
        <w:t>3442.5 MHz band</w:t>
      </w:r>
      <w:r w:rsidR="00FB6CE1">
        <w:rPr>
          <w:rFonts w:cs="Arial"/>
        </w:rPr>
        <w:t xml:space="preserve"> in regional areas</w:t>
      </w:r>
      <w:r w:rsidR="00FB6CE1" w:rsidRPr="00C46F8B">
        <w:rPr>
          <w:rFonts w:cs="Arial"/>
        </w:rPr>
        <w:t xml:space="preserve"> </w:t>
      </w:r>
      <w:r w:rsidR="00FB6CE1">
        <w:rPr>
          <w:rFonts w:cs="Arial"/>
        </w:rPr>
        <w:t xml:space="preserve">on the basis they expire on or before </w:t>
      </w:r>
      <w:r w:rsidR="00FB6CE1" w:rsidRPr="00C46F8B">
        <w:rPr>
          <w:rFonts w:cs="Arial"/>
        </w:rPr>
        <w:t xml:space="preserve">30 November </w:t>
      </w:r>
      <w:bookmarkEnd w:id="8"/>
      <w:r w:rsidR="00FB6CE1" w:rsidRPr="00C46F8B">
        <w:rPr>
          <w:rFonts w:cs="Arial"/>
        </w:rPr>
        <w:t>2020. During this time alternative spectrum in the 3475</w:t>
      </w:r>
      <w:r>
        <w:t>–</w:t>
      </w:r>
      <w:r w:rsidR="00FB6CE1" w:rsidRPr="00C46F8B">
        <w:rPr>
          <w:rFonts w:cs="Arial"/>
        </w:rPr>
        <w:t>3510 MHz band will be ma</w:t>
      </w:r>
      <w:r w:rsidR="00FB6CE1">
        <w:rPr>
          <w:rFonts w:cs="Arial"/>
        </w:rPr>
        <w:t>de available for licensees to move into. Licensees will also be free to investigate other options</w:t>
      </w:r>
      <w:r>
        <w:rPr>
          <w:rFonts w:cs="Arial"/>
        </w:rPr>
        <w:t>.</w:t>
      </w:r>
    </w:p>
    <w:p w14:paraId="459B0375" w14:textId="2D132360" w:rsidR="00FB6CE1" w:rsidRDefault="00DA6995" w:rsidP="00772048">
      <w:pPr>
        <w:pStyle w:val="ListBullet2"/>
      </w:pPr>
      <w:r>
        <w:t>O</w:t>
      </w:r>
      <w:r w:rsidR="00FB6CE1">
        <w:t>nce restack is complete, and subject to a decision by the Minister for Communications, Cyber Safety and the Arts, commencing processes to convert NBN Co’s 3.5 GHz PTS licences to spectrum licences. This will enable licence trades or variations to occur between NBN Co and Optus to defrag their spectrum holdings</w:t>
      </w:r>
      <w:r>
        <w:t>.</w:t>
      </w:r>
    </w:p>
    <w:p w14:paraId="66E08867" w14:textId="636DC36C" w:rsidR="00FB6CE1" w:rsidRDefault="00874875" w:rsidP="00772048">
      <w:pPr>
        <w:pStyle w:val="ListBullet2"/>
      </w:pPr>
      <w:r>
        <w:t>D</w:t>
      </w:r>
      <w:r w:rsidR="00FB6CE1" w:rsidRPr="00C46F8B">
        <w:t xml:space="preserve">eveloping arrangements for </w:t>
      </w:r>
      <w:r w:rsidR="00FB6CE1">
        <w:t xml:space="preserve">PMP licensing in </w:t>
      </w:r>
      <w:r w:rsidR="00FB6CE1" w:rsidRPr="00C46F8B">
        <w:t>those</w:t>
      </w:r>
      <w:r w:rsidR="00FB6CE1" w:rsidRPr="00806E3A">
        <w:t xml:space="preserve"> parts of the band that are not identified for spectrum licensing</w:t>
      </w:r>
      <w:r w:rsidR="00FB6CE1">
        <w:t xml:space="preserve">. This includes: </w:t>
      </w:r>
    </w:p>
    <w:p w14:paraId="4EDDBCA5" w14:textId="600D9169" w:rsidR="00FB6CE1" w:rsidRPr="009B4DF7" w:rsidRDefault="00FB6CE1" w:rsidP="00772048">
      <w:pPr>
        <w:pStyle w:val="ListBullet"/>
        <w:tabs>
          <w:tab w:val="clear" w:pos="295"/>
          <w:tab w:val="num" w:pos="1140"/>
        </w:tabs>
        <w:ind w:left="1140"/>
      </w:pPr>
      <w:r w:rsidRPr="009B4DF7">
        <w:t xml:space="preserve">50 MHz in </w:t>
      </w:r>
      <w:r w:rsidR="00C32FDD">
        <w:t>major</w:t>
      </w:r>
      <w:r w:rsidRPr="009B4DF7">
        <w:t xml:space="preserve"> regional centres </w:t>
      </w:r>
    </w:p>
    <w:p w14:paraId="2B9AEEFE" w14:textId="5351ED98" w:rsidR="00FB6CE1" w:rsidRPr="009B4DF7" w:rsidRDefault="00FB6CE1" w:rsidP="00772048">
      <w:pPr>
        <w:pStyle w:val="ListBullet"/>
        <w:tabs>
          <w:tab w:val="clear" w:pos="295"/>
          <w:tab w:val="num" w:pos="1140"/>
        </w:tabs>
        <w:ind w:left="1140"/>
      </w:pPr>
      <w:r w:rsidRPr="009B4DF7">
        <w:t>35</w:t>
      </w:r>
      <w:r w:rsidR="00266EE1">
        <w:t>–</w:t>
      </w:r>
      <w:r w:rsidRPr="009B4DF7">
        <w:t>67.5 MHz in regional areas</w:t>
      </w:r>
    </w:p>
    <w:p w14:paraId="71CF5312" w14:textId="0914BC4F" w:rsidR="00FB6CE1" w:rsidRPr="00EF5D2F" w:rsidRDefault="00FB6CE1" w:rsidP="00772048">
      <w:pPr>
        <w:pStyle w:val="ListBullet"/>
        <w:tabs>
          <w:tab w:val="clear" w:pos="295"/>
          <w:tab w:val="num" w:pos="1140"/>
        </w:tabs>
        <w:ind w:left="1140"/>
      </w:pPr>
      <w:r w:rsidRPr="00EF5D2F">
        <w:t>300 MHz in remote areas</w:t>
      </w:r>
      <w:r>
        <w:t xml:space="preserve"> (when combined with existing arrangements in the 3575</w:t>
      </w:r>
      <w:r w:rsidR="00266EE1">
        <w:t>–</w:t>
      </w:r>
      <w:r>
        <w:t>3700 MHz band)</w:t>
      </w:r>
      <w:r w:rsidRPr="00EF5D2F">
        <w:t>.</w:t>
      </w:r>
    </w:p>
    <w:p w14:paraId="39B2E0B6" w14:textId="7B88DF3D" w:rsidR="00FB6CE1" w:rsidRDefault="00FB6CE1" w:rsidP="00772048">
      <w:pPr>
        <w:pStyle w:val="ListBullet"/>
        <w:numPr>
          <w:ilvl w:val="0"/>
          <w:numId w:val="0"/>
        </w:numPr>
        <w:ind w:left="845"/>
      </w:pPr>
      <w:r>
        <w:t xml:space="preserve">PMP arrangements are expected to be of interest to localised wireless broadband operators such as </w:t>
      </w:r>
      <w:r w:rsidRPr="00EF5D2F">
        <w:t>wireless internet service providers (WISPs), miners and other industry verticals</w:t>
      </w:r>
      <w:r w:rsidR="00874875">
        <w:t>.</w:t>
      </w:r>
    </w:p>
    <w:p w14:paraId="1E6373AC" w14:textId="77777777" w:rsidR="00FB6CE1" w:rsidRPr="003F54C3" w:rsidRDefault="00FB6CE1" w:rsidP="00FB6CE1">
      <w:pPr>
        <w:pStyle w:val="ListBullet"/>
      </w:pPr>
      <w:r>
        <w:t>E</w:t>
      </w:r>
      <w:r w:rsidRPr="003F54C3">
        <w:t>xcis</w:t>
      </w:r>
      <w:r>
        <w:t>ing</w:t>
      </w:r>
      <w:r w:rsidRPr="003F54C3">
        <w:t xml:space="preserve"> </w:t>
      </w:r>
      <w:r>
        <w:t xml:space="preserve">unused urban areas of </w:t>
      </w:r>
      <w:r w:rsidRPr="003F54C3">
        <w:t>by</w:t>
      </w:r>
      <w:r>
        <w:t xml:space="preserve"> </w:t>
      </w:r>
      <w:r w:rsidRPr="009B4DF7">
        <w:t>NBN Co’s</w:t>
      </w:r>
      <w:r>
        <w:t xml:space="preserve"> 3.5 GHz PTS license and making them available for use by other wireless broadband operators (referred to in this paper as urban excise). This involves:   </w:t>
      </w:r>
    </w:p>
    <w:p w14:paraId="685940E2" w14:textId="263EFC0E" w:rsidR="00FB6CE1" w:rsidRPr="003F54C3" w:rsidRDefault="00874875" w:rsidP="00772048">
      <w:pPr>
        <w:pStyle w:val="ListBullet2"/>
      </w:pPr>
      <w:r>
        <w:t>E</w:t>
      </w:r>
      <w:r w:rsidR="00FB6CE1" w:rsidRPr="003F54C3">
        <w:t xml:space="preserve">ngaging with industry to develop interference management criteria to and from </w:t>
      </w:r>
      <w:r w:rsidR="00FB6CE1">
        <w:t>urban excise areas</w:t>
      </w:r>
      <w:r>
        <w:t>.</w:t>
      </w:r>
    </w:p>
    <w:p w14:paraId="431B0F2B" w14:textId="2DA379FA" w:rsidR="00FB6CE1" w:rsidRPr="003F54C3" w:rsidRDefault="00874875" w:rsidP="00772048">
      <w:pPr>
        <w:pStyle w:val="ListBullet2"/>
      </w:pPr>
      <w:r>
        <w:t>D</w:t>
      </w:r>
      <w:r w:rsidR="00FB6CE1" w:rsidRPr="003F54C3">
        <w:t>etermin</w:t>
      </w:r>
      <w:r w:rsidR="00FB6CE1">
        <w:t>ing</w:t>
      </w:r>
      <w:r w:rsidR="00FB6CE1" w:rsidRPr="003F54C3">
        <w:t xml:space="preserve"> the utility of urban excise areas and an appropriate licensing approach to make the</w:t>
      </w:r>
      <w:r w:rsidR="00FB6CE1">
        <w:t>m</w:t>
      </w:r>
      <w:r w:rsidR="00FB6CE1" w:rsidRPr="003F54C3">
        <w:t xml:space="preserve"> available</w:t>
      </w:r>
      <w:r>
        <w:t>.</w:t>
      </w:r>
    </w:p>
    <w:p w14:paraId="0021C223" w14:textId="738B388B" w:rsidR="00FB6CE1" w:rsidRPr="00EF5D2F" w:rsidRDefault="00874875" w:rsidP="00772048">
      <w:pPr>
        <w:pStyle w:val="ListBullet2"/>
      </w:pPr>
      <w:r>
        <w:t>O</w:t>
      </w:r>
      <w:r w:rsidR="00FB6CE1" w:rsidRPr="003F54C3">
        <w:t xml:space="preserve">nce defrag is complete, excising </w:t>
      </w:r>
      <w:r w:rsidR="00FB6CE1">
        <w:t xml:space="preserve">urban </w:t>
      </w:r>
      <w:r w:rsidR="00FB6CE1" w:rsidRPr="003F54C3">
        <w:t xml:space="preserve">areas </w:t>
      </w:r>
      <w:r w:rsidR="00FB6CE1" w:rsidRPr="009B4DF7">
        <w:t xml:space="preserve">from NBN Co’s </w:t>
      </w:r>
      <w:r w:rsidR="00FB6CE1">
        <w:t xml:space="preserve">newly converted </w:t>
      </w:r>
      <w:r w:rsidR="00FB6CE1" w:rsidRPr="009B4DF7">
        <w:t>spectrum licences</w:t>
      </w:r>
      <w:r w:rsidR="00FB6CE1" w:rsidRPr="00EF5D2F">
        <w:t>.</w:t>
      </w:r>
    </w:p>
    <w:p w14:paraId="2A216034" w14:textId="212021AA" w:rsidR="00FB6CE1" w:rsidRPr="003F54C3" w:rsidRDefault="00FB6CE1" w:rsidP="00772048">
      <w:pPr>
        <w:pStyle w:val="ListBulletLast"/>
      </w:pPr>
      <w:r>
        <w:t xml:space="preserve">Subject to a decision to designate additional spectrum for the issue of spectrum licences by the </w:t>
      </w:r>
      <w:r w:rsidR="00236FF3">
        <w:t>M</w:t>
      </w:r>
      <w:r>
        <w:t>inister, a</w:t>
      </w:r>
      <w:r w:rsidRPr="0053513E">
        <w:t>llocat</w:t>
      </w:r>
      <w:r>
        <w:t>ing</w:t>
      </w:r>
      <w:r w:rsidRPr="0053513E">
        <w:t xml:space="preserve"> </w:t>
      </w:r>
      <w:r>
        <w:t xml:space="preserve">25 MHz and 42.5 MHz of spectrum in major regional centres and defined regional areas. </w:t>
      </w:r>
      <w:r w:rsidRPr="003A1A7E">
        <w:t>This may</w:t>
      </w:r>
      <w:r>
        <w:t xml:space="preserve"> also</w:t>
      </w:r>
      <w:r w:rsidRPr="003A1A7E">
        <w:t xml:space="preserve"> include </w:t>
      </w:r>
      <w:r>
        <w:t xml:space="preserve">the allocation of </w:t>
      </w:r>
      <w:r w:rsidRPr="003A1A7E">
        <w:t>urban excise areas</w:t>
      </w:r>
      <w:r>
        <w:t>.</w:t>
      </w:r>
      <w:r w:rsidRPr="003A1A7E">
        <w:t xml:space="preserve"> </w:t>
      </w:r>
      <w:r>
        <w:t>I</w:t>
      </w:r>
      <w:r w:rsidRPr="003A1A7E">
        <w:t>f it does not, these areas will be made available via other appropriate means.</w:t>
      </w:r>
    </w:p>
    <w:bookmarkEnd w:id="6"/>
    <w:bookmarkEnd w:id="7"/>
    <w:p w14:paraId="5D747A2A" w14:textId="77777777" w:rsidR="00FB6CE1" w:rsidRDefault="00FB6CE1" w:rsidP="00FB6CE1">
      <w:pPr>
        <w:pStyle w:val="ListBulletLast"/>
        <w:numPr>
          <w:ilvl w:val="0"/>
          <w:numId w:val="0"/>
        </w:numPr>
        <w:tabs>
          <w:tab w:val="left" w:pos="720"/>
        </w:tabs>
      </w:pPr>
      <w:r>
        <w:t xml:space="preserve">The ACMA has formed the view that this combination of measures will best maximise the overall public benefit derived from use of the band, </w:t>
      </w:r>
      <w:r w:rsidRPr="003F54C3">
        <w:t>by making more of the band available for both wide-area</w:t>
      </w:r>
      <w:r>
        <w:t xml:space="preserve"> wireless broadband</w:t>
      </w:r>
      <w:r w:rsidRPr="00EF5D2F">
        <w:t xml:space="preserve"> (such as mobile network operators) and localised wireless broadband services</w:t>
      </w:r>
      <w:r w:rsidRPr="006C6E23">
        <w:t>.</w:t>
      </w:r>
      <w:r w:rsidRPr="003A1A7E">
        <w:t xml:space="preserve"> </w:t>
      </w:r>
    </w:p>
    <w:p w14:paraId="587F8C3A" w14:textId="77777777" w:rsidR="00FB6CE1" w:rsidRPr="00EF5D2F" w:rsidRDefault="00FB6CE1" w:rsidP="00FB6CE1">
      <w:r w:rsidRPr="003F54C3">
        <w:rPr>
          <w:rFonts w:cs="Arial"/>
        </w:rPr>
        <w:lastRenderedPageBreak/>
        <w:t xml:space="preserve">A key benefit of </w:t>
      </w:r>
      <w:r>
        <w:rPr>
          <w:rFonts w:cs="Arial"/>
        </w:rPr>
        <w:t xml:space="preserve">these arrangements is that they minimise the impact on </w:t>
      </w:r>
      <w:r w:rsidRPr="003F54C3">
        <w:rPr>
          <w:rFonts w:cs="Arial"/>
        </w:rPr>
        <w:t xml:space="preserve">incumbent services. Existing spectrum and class licensed arrangements are not affected. </w:t>
      </w:r>
      <w:r>
        <w:rPr>
          <w:rFonts w:cs="Arial"/>
        </w:rPr>
        <w:t>While</w:t>
      </w:r>
      <w:r w:rsidRPr="003F54C3">
        <w:rPr>
          <w:rFonts w:cs="Arial"/>
        </w:rPr>
        <w:t xml:space="preserve"> </w:t>
      </w:r>
      <w:proofErr w:type="gramStart"/>
      <w:r w:rsidRPr="003F54C3">
        <w:rPr>
          <w:rFonts w:cs="Arial"/>
        </w:rPr>
        <w:t>a number of</w:t>
      </w:r>
      <w:proofErr w:type="gramEnd"/>
      <w:r w:rsidRPr="003F54C3">
        <w:rPr>
          <w:rFonts w:cs="Arial"/>
        </w:rPr>
        <w:t xml:space="preserve"> existing apparatus</w:t>
      </w:r>
      <w:r>
        <w:rPr>
          <w:rFonts w:cs="Arial"/>
        </w:rPr>
        <w:t>-</w:t>
      </w:r>
      <w:r w:rsidRPr="003F54C3">
        <w:rPr>
          <w:rFonts w:cs="Arial"/>
        </w:rPr>
        <w:t xml:space="preserve">licensed services will be affected by the restack process, the final arrangements ensure they will have access to the same </w:t>
      </w:r>
      <w:r>
        <w:rPr>
          <w:rFonts w:cs="Arial"/>
        </w:rPr>
        <w:t xml:space="preserve">quantum of, </w:t>
      </w:r>
      <w:r w:rsidRPr="003F54C3">
        <w:rPr>
          <w:rFonts w:cs="Arial"/>
        </w:rPr>
        <w:t>or more</w:t>
      </w:r>
      <w:r>
        <w:rPr>
          <w:rFonts w:cs="Arial"/>
        </w:rPr>
        <w:t>,</w:t>
      </w:r>
      <w:r w:rsidRPr="003F54C3">
        <w:rPr>
          <w:rFonts w:cs="Arial"/>
        </w:rPr>
        <w:t xml:space="preserve"> spectrum within the band. </w:t>
      </w:r>
    </w:p>
    <w:p w14:paraId="30336749" w14:textId="3F052CB3" w:rsidR="00FB6CE1" w:rsidRPr="00B5231A" w:rsidRDefault="00FB6CE1" w:rsidP="00FB6CE1">
      <w:pPr>
        <w:spacing w:before="240"/>
      </w:pPr>
      <w:r w:rsidRPr="00B5231A">
        <w:t xml:space="preserve">Based on </w:t>
      </w:r>
      <w:r>
        <w:t xml:space="preserve">planning </w:t>
      </w:r>
      <w:r w:rsidRPr="00B5231A">
        <w:t xml:space="preserve">decisions made in this paper, a summary of the overall </w:t>
      </w:r>
      <w:r>
        <w:t xml:space="preserve">proposed </w:t>
      </w:r>
      <w:r w:rsidRPr="00B5231A">
        <w:t xml:space="preserve">configuration </w:t>
      </w:r>
      <w:r>
        <w:t>for the 3400</w:t>
      </w:r>
      <w:r w:rsidR="00F7279E">
        <w:t>–</w:t>
      </w:r>
      <w:r>
        <w:t xml:space="preserve">3575 band </w:t>
      </w:r>
      <w:r w:rsidRPr="00B5231A">
        <w:t xml:space="preserve">is shown in Figure 1. </w:t>
      </w:r>
    </w:p>
    <w:p w14:paraId="3F0E29AC" w14:textId="77777777" w:rsidR="00FB6CE1" w:rsidRPr="00874875" w:rsidRDefault="00FB6CE1" w:rsidP="00772048">
      <w:pPr>
        <w:pStyle w:val="Heading3"/>
      </w:pPr>
      <w:bookmarkStart w:id="9" w:name="_Toc18403199"/>
      <w:bookmarkStart w:id="10" w:name="_Toc21088506"/>
      <w:r w:rsidRPr="00874875">
        <w:t>Next steps</w:t>
      </w:r>
      <w:bookmarkEnd w:id="9"/>
      <w:bookmarkEnd w:id="10"/>
    </w:p>
    <w:p w14:paraId="1D617045" w14:textId="5113EFE6" w:rsidR="00FB6CE1" w:rsidRDefault="00FB6CE1" w:rsidP="00772048">
      <w:pPr>
        <w:pStyle w:val="Paragraphbeforelist"/>
      </w:pPr>
      <w:r>
        <w:t>A detailed implementation plan has been developed and is outlined in Table 2 of this paper.</w:t>
      </w:r>
    </w:p>
    <w:p w14:paraId="3E1CD72A" w14:textId="77777777" w:rsidR="00FB6CE1" w:rsidRDefault="00FB6CE1" w:rsidP="00FB6CE1">
      <w:pPr>
        <w:pStyle w:val="ListBullet"/>
        <w:numPr>
          <w:ilvl w:val="0"/>
          <w:numId w:val="0"/>
        </w:numPr>
        <w:spacing w:before="120" w:after="240" w:line="240" w:lineRule="auto"/>
      </w:pPr>
      <w:r>
        <w:t>The ACMA recognises that some of the steps to implement these planning decisions require negotiation and commercial agreements between incumbent spectrum and apparatus licensees. This includes coordinating efforts to restack services, the creation of third-party authorisations where relevant and the trading (or variation) of spectrum licences to consolidate licence holdings. However, due to the strong support for change evident in submissions to the Options paper, the ACMA sees that there are strong incentives for incumbent licenses to participate in these activities to achieve a successful defrag of the band.</w:t>
      </w:r>
    </w:p>
    <w:p w14:paraId="737746C3" w14:textId="77777777" w:rsidR="00715722" w:rsidRDefault="00FB6CE1" w:rsidP="00715722">
      <w:pPr>
        <w:pStyle w:val="Heading1"/>
      </w:pPr>
      <w:bookmarkStart w:id="11" w:name="_Toc25047689"/>
      <w:bookmarkEnd w:id="2"/>
      <w:r>
        <w:lastRenderedPageBreak/>
        <w:t>Introduction</w:t>
      </w:r>
      <w:bookmarkEnd w:id="11"/>
    </w:p>
    <w:p w14:paraId="41E2A53E" w14:textId="03796828" w:rsidR="00FB6CE1" w:rsidRPr="009B4DF7" w:rsidRDefault="00FB6CE1" w:rsidP="00772048">
      <w:pPr>
        <w:spacing w:after="80"/>
      </w:pPr>
      <w:bookmarkStart w:id="12" w:name="_Hlk20990894"/>
      <w:bookmarkStart w:id="13" w:name="_Toc482886572"/>
      <w:bookmarkStart w:id="14" w:name="_Toc482886611"/>
      <w:bookmarkStart w:id="15" w:name="_Toc482888952"/>
      <w:bookmarkStart w:id="16" w:name="_Toc482891223"/>
      <w:bookmarkStart w:id="17" w:name="_Toc482891290"/>
      <w:bookmarkStart w:id="18" w:name="_Toc482956501"/>
      <w:bookmarkStart w:id="19" w:name="_Toc484011473"/>
      <w:bookmarkStart w:id="20" w:name="_Toc484511689"/>
      <w:bookmarkStart w:id="21" w:name="_Toc485967351"/>
      <w:bookmarkStart w:id="22" w:name="_Toc495935477"/>
      <w:bookmarkStart w:id="23" w:name="_Toc495935507"/>
      <w:bookmarkStart w:id="24" w:name="_Toc4664086"/>
      <w:bookmarkStart w:id="25" w:name="_Toc19620709"/>
      <w:bookmarkStart w:id="26" w:name="_Toc494375833"/>
      <w:bookmarkStart w:id="27" w:name="_Toc494378906"/>
      <w:bookmarkStart w:id="28" w:name="_Toc459906703"/>
      <w:bookmarkStart w:id="29" w:name="_Toc464480497"/>
      <w:r w:rsidRPr="009B4DF7">
        <w:t xml:space="preserve">In April 2019, the ACMA released the </w:t>
      </w:r>
      <w:hyperlink r:id="rId26" w:history="1">
        <w:r w:rsidR="0037146A" w:rsidRPr="00A14856">
          <w:rPr>
            <w:rStyle w:val="Hyperlink"/>
            <w:i/>
            <w:iCs/>
          </w:rPr>
          <w:t>Optimising arrangements for the 3400–3575 MHz band: Options paper</w:t>
        </w:r>
      </w:hyperlink>
      <w:r w:rsidRPr="00A14856">
        <w:rPr>
          <w:i/>
          <w:iCs/>
        </w:rPr>
        <w:t>.</w:t>
      </w:r>
      <w:r w:rsidRPr="00806E3A">
        <w:t xml:space="preserve"> </w:t>
      </w:r>
      <w:bookmarkEnd w:id="12"/>
      <w:r w:rsidRPr="00B7067E">
        <w:t>The Options paper</w:t>
      </w:r>
      <w:bookmarkStart w:id="30" w:name="_Hlk20990951"/>
      <w:r w:rsidRPr="00B7067E">
        <w:t xml:space="preserve"> </w:t>
      </w:r>
      <w:r w:rsidRPr="006C6E23">
        <w:t>presented a case for change in the 3400</w:t>
      </w:r>
      <w:r w:rsidR="00874875">
        <w:t>–</w:t>
      </w:r>
      <w:r w:rsidRPr="003A1A7E">
        <w:t>3575 MHz band and identified</w:t>
      </w:r>
      <w:r w:rsidRPr="009B4DF7">
        <w:t xml:space="preserve"> planning options to:</w:t>
      </w:r>
    </w:p>
    <w:p w14:paraId="2EEA25D9" w14:textId="639D6CF8" w:rsidR="00FB6CE1" w:rsidRPr="009B4DF7" w:rsidRDefault="00FB6CE1" w:rsidP="00772048">
      <w:pPr>
        <w:pStyle w:val="ListBullet"/>
      </w:pPr>
      <w:r w:rsidRPr="009B4DF7">
        <w:t>facilitate a defragmentation of spectrum and apparatus licence arrangements in the band (defrag)</w:t>
      </w:r>
    </w:p>
    <w:p w14:paraId="67BAC601" w14:textId="77777777" w:rsidR="00FB6CE1" w:rsidRPr="00DB2736" w:rsidRDefault="00FB6CE1" w:rsidP="00772048">
      <w:pPr>
        <w:pStyle w:val="ListBulletLast"/>
      </w:pPr>
      <w:r w:rsidRPr="008264DB">
        <w:t>make more of the band available for wireless broadband use.</w:t>
      </w:r>
    </w:p>
    <w:bookmarkEnd w:id="30"/>
    <w:p w14:paraId="034AFBD8" w14:textId="6D2ED977" w:rsidR="00FB6CE1" w:rsidRPr="003F54C3" w:rsidRDefault="00FB6CE1" w:rsidP="00FB6CE1">
      <w:pPr>
        <w:tabs>
          <w:tab w:val="right" w:pos="9923"/>
        </w:tabs>
        <w:spacing w:before="120" w:line="240" w:lineRule="auto"/>
        <w:rPr>
          <w:rFonts w:cs="Arial"/>
        </w:rPr>
      </w:pPr>
      <w:r w:rsidRPr="003F54C3">
        <w:rPr>
          <w:rFonts w:cs="Arial"/>
        </w:rPr>
        <w:t xml:space="preserve">The Options paper also started the discussion on </w:t>
      </w:r>
      <w:r>
        <w:rPr>
          <w:rFonts w:cs="Arial"/>
        </w:rPr>
        <w:t>whether</w:t>
      </w:r>
      <w:r w:rsidRPr="003F54C3">
        <w:rPr>
          <w:rFonts w:cs="Arial"/>
        </w:rPr>
        <w:t xml:space="preserve"> (</w:t>
      </w:r>
      <w:r>
        <w:rPr>
          <w:rFonts w:cs="Arial"/>
        </w:rPr>
        <w:t>and how</w:t>
      </w:r>
      <w:r w:rsidRPr="003F54C3">
        <w:rPr>
          <w:rFonts w:cs="Arial"/>
        </w:rPr>
        <w:t>) urban areas of NBN Co’s 3400</w:t>
      </w:r>
      <w:r w:rsidR="00F7279E">
        <w:t>–</w:t>
      </w:r>
      <w:r w:rsidRPr="003F54C3">
        <w:rPr>
          <w:rFonts w:cs="Arial"/>
        </w:rPr>
        <w:t>3425 MHz and 3492.5</w:t>
      </w:r>
      <w:r w:rsidR="00F7279E">
        <w:t>–</w:t>
      </w:r>
      <w:r w:rsidRPr="003F54C3">
        <w:rPr>
          <w:rFonts w:cs="Arial"/>
        </w:rPr>
        <w:t>3542.5 MHz (3.5 GHz) PTS licences in the band could be made available for use by other operators.</w:t>
      </w:r>
    </w:p>
    <w:p w14:paraId="5C0DAB65" w14:textId="77777777" w:rsidR="00A14856" w:rsidRDefault="00FB6CE1" w:rsidP="00FB6CE1">
      <w:bookmarkStart w:id="31" w:name="_Hlk19197127"/>
      <w:r w:rsidRPr="00806E3A">
        <w:t>This</w:t>
      </w:r>
      <w:r w:rsidR="00874875">
        <w:t xml:space="preserve"> </w:t>
      </w:r>
      <w:r w:rsidR="00A14856">
        <w:t>d</w:t>
      </w:r>
      <w:r w:rsidR="00874875">
        <w:t>ecision</w:t>
      </w:r>
      <w:r w:rsidRPr="00806E3A">
        <w:t xml:space="preserve"> </w:t>
      </w:r>
      <w:r w:rsidRPr="00806E3A" w:rsidDel="00E31A1E">
        <w:t xml:space="preserve">paper </w:t>
      </w:r>
      <w:r w:rsidRPr="00B7067E">
        <w:t>summarise</w:t>
      </w:r>
      <w:r w:rsidRPr="006C6E23">
        <w:t>s</w:t>
      </w:r>
      <w:r w:rsidRPr="003A1A7E">
        <w:t xml:space="preserve"> and considers</w:t>
      </w:r>
      <w:r w:rsidRPr="009B4DF7">
        <w:t xml:space="preserve"> issues raised in submissions to the Options paper which have informed </w:t>
      </w:r>
      <w:r w:rsidRPr="009B4DF7" w:rsidDel="00E31A1E">
        <w:t xml:space="preserve">planning decisions </w:t>
      </w:r>
      <w:r w:rsidRPr="009B4DF7">
        <w:t>the ACMA has made for the 3400</w:t>
      </w:r>
      <w:r w:rsidR="00874875">
        <w:t>–</w:t>
      </w:r>
      <w:r w:rsidRPr="009B4DF7">
        <w:t>3575 MHz</w:t>
      </w:r>
      <w:r w:rsidRPr="00B84735">
        <w:t xml:space="preserve"> band. It also provides detail</w:t>
      </w:r>
      <w:r>
        <w:t>s</w:t>
      </w:r>
      <w:r w:rsidRPr="00B84735">
        <w:t xml:space="preserve"> on the process, with indicative timeframes, the </w:t>
      </w:r>
      <w:bookmarkStart w:id="32" w:name="_Hlk19197207"/>
      <w:r w:rsidRPr="008264DB">
        <w:t xml:space="preserve">ACMA </w:t>
      </w:r>
      <w:r w:rsidRPr="00DB2736">
        <w:t xml:space="preserve">intends to follow </w:t>
      </w:r>
      <w:r w:rsidRPr="003F54C3">
        <w:t>to implement planning decisions made.</w:t>
      </w:r>
      <w:bookmarkEnd w:id="32"/>
      <w:r w:rsidRPr="003F54C3">
        <w:t xml:space="preserve"> </w:t>
      </w:r>
    </w:p>
    <w:p w14:paraId="6EAC3B06" w14:textId="182E6900" w:rsidR="00FB6CE1" w:rsidRPr="003A1A7E" w:rsidRDefault="00FB6CE1" w:rsidP="00FB6CE1">
      <w:pPr>
        <w:rPr>
          <w:color w:val="000000" w:themeColor="text1"/>
          <w:szCs w:val="20"/>
        </w:rPr>
      </w:pPr>
      <w:r w:rsidRPr="00806E3A">
        <w:t xml:space="preserve">Importantly, </w:t>
      </w:r>
      <w:r w:rsidRPr="00806E3A">
        <w:rPr>
          <w:color w:val="000000" w:themeColor="text1"/>
          <w:szCs w:val="20"/>
        </w:rPr>
        <w:t>w</w:t>
      </w:r>
      <w:r w:rsidRPr="00B7067E">
        <w:rPr>
          <w:color w:val="000000" w:themeColor="text1"/>
          <w:szCs w:val="20"/>
        </w:rPr>
        <w:t>hile the ACMA will manage and implement key aspects of this process, there are some elements that will need to be undertaken via negotiati</w:t>
      </w:r>
      <w:r w:rsidRPr="006C6E23">
        <w:rPr>
          <w:color w:val="000000" w:themeColor="text1"/>
          <w:szCs w:val="20"/>
        </w:rPr>
        <w:t>on and agreement bet</w:t>
      </w:r>
      <w:r w:rsidRPr="003A1A7E">
        <w:rPr>
          <w:color w:val="000000" w:themeColor="text1"/>
          <w:szCs w:val="20"/>
        </w:rPr>
        <w:t xml:space="preserve">ween incumbent licensees or that are dependent on decisions made by the </w:t>
      </w:r>
      <w:r w:rsidR="00A14856">
        <w:rPr>
          <w:color w:val="000000" w:themeColor="text1"/>
          <w:szCs w:val="20"/>
        </w:rPr>
        <w:t>M</w:t>
      </w:r>
      <w:r w:rsidRPr="009B4DF7">
        <w:rPr>
          <w:color w:val="000000" w:themeColor="text1"/>
          <w:szCs w:val="20"/>
        </w:rPr>
        <w:t>inister (for example, designating</w:t>
      </w:r>
      <w:r w:rsidRPr="003F54C3">
        <w:rPr>
          <w:color w:val="000000" w:themeColor="text1"/>
          <w:szCs w:val="20"/>
        </w:rPr>
        <w:t xml:space="preserve"> parts of the </w:t>
      </w:r>
      <w:r w:rsidRPr="00806E3A">
        <w:rPr>
          <w:color w:val="000000" w:themeColor="text1"/>
          <w:szCs w:val="20"/>
        </w:rPr>
        <w:t>spectrum</w:t>
      </w:r>
      <w:r w:rsidRPr="00806E3A">
        <w:t xml:space="preserve"> </w:t>
      </w:r>
      <w:r w:rsidRPr="00B7067E">
        <w:rPr>
          <w:color w:val="000000" w:themeColor="text1"/>
          <w:szCs w:val="20"/>
        </w:rPr>
        <w:t>to be allocated by issuing spectrum licences</w:t>
      </w:r>
      <w:r w:rsidRPr="006C6E23">
        <w:rPr>
          <w:color w:val="000000" w:themeColor="text1"/>
          <w:szCs w:val="20"/>
        </w:rPr>
        <w:t xml:space="preserve"> is a decision for the </w:t>
      </w:r>
      <w:r w:rsidR="00A14856">
        <w:rPr>
          <w:color w:val="000000" w:themeColor="text1"/>
          <w:szCs w:val="20"/>
        </w:rPr>
        <w:t>M</w:t>
      </w:r>
      <w:r w:rsidRPr="006C6E23">
        <w:rPr>
          <w:color w:val="000000" w:themeColor="text1"/>
          <w:szCs w:val="20"/>
        </w:rPr>
        <w:t>inister</w:t>
      </w:r>
      <w:r w:rsidRPr="003A1A7E">
        <w:rPr>
          <w:color w:val="000000" w:themeColor="text1"/>
          <w:szCs w:val="20"/>
        </w:rPr>
        <w:t>).</w:t>
      </w:r>
    </w:p>
    <w:p w14:paraId="60613FCE" w14:textId="477EF420" w:rsidR="00FB6CE1" w:rsidRPr="009B4DF7" w:rsidRDefault="00FB6CE1" w:rsidP="00772048">
      <w:pPr>
        <w:spacing w:before="240" w:after="80"/>
        <w:rPr>
          <w:rFonts w:cs="Arial"/>
        </w:rPr>
      </w:pPr>
      <w:r w:rsidRPr="009B4DF7">
        <w:rPr>
          <w:rFonts w:cs="Arial"/>
        </w:rPr>
        <w:t>For the purposes of this paper</w:t>
      </w:r>
      <w:r w:rsidR="00A14856">
        <w:rPr>
          <w:rFonts w:cs="Arial"/>
        </w:rPr>
        <w:t>,</w:t>
      </w:r>
      <w:r w:rsidRPr="009B4DF7">
        <w:rPr>
          <w:rFonts w:cs="Arial"/>
        </w:rPr>
        <w:t xml:space="preserve"> the following geographical areas are defined in Appendix B: </w:t>
      </w:r>
    </w:p>
    <w:p w14:paraId="0DD99E87" w14:textId="6C684245" w:rsidR="00FB6CE1" w:rsidRPr="00AE2B86" w:rsidRDefault="00FB6CE1" w:rsidP="00772048">
      <w:pPr>
        <w:pStyle w:val="ListBullet"/>
      </w:pPr>
      <w:r w:rsidRPr="00AE2B86">
        <w:t>metropolitan, regional and remote areas as well as major regional centres</w:t>
      </w:r>
    </w:p>
    <w:p w14:paraId="70A3489A" w14:textId="77777777" w:rsidR="00FB6CE1" w:rsidRPr="00AE2B86" w:rsidRDefault="00FB6CE1" w:rsidP="00772048">
      <w:pPr>
        <w:pStyle w:val="ListBulletLast"/>
      </w:pPr>
      <w:r w:rsidRPr="00AE2B86">
        <w:t xml:space="preserve">geographical areas encompassed by NBN Co’s 3.5 GHz PTS licences. </w:t>
      </w:r>
    </w:p>
    <w:p w14:paraId="4325388D" w14:textId="08D1CB5A" w:rsidR="00FB6CE1" w:rsidRPr="00806E3A" w:rsidRDefault="00FB6CE1" w:rsidP="00FB6CE1">
      <w:pPr>
        <w:pStyle w:val="ListBullet"/>
        <w:numPr>
          <w:ilvl w:val="0"/>
          <w:numId w:val="0"/>
        </w:numPr>
        <w:spacing w:line="240" w:lineRule="auto"/>
        <w:rPr>
          <w:rFonts w:cs="Arial"/>
        </w:rPr>
      </w:pPr>
      <w:bookmarkStart w:id="33" w:name="_Hlk20837120"/>
      <w:r w:rsidRPr="00B84735">
        <w:rPr>
          <w:rFonts w:cs="Arial"/>
        </w:rPr>
        <w:t xml:space="preserve">It is also noted that the ACMA recently conducted a </w:t>
      </w:r>
      <w:hyperlink r:id="rId27" w:history="1">
        <w:r w:rsidR="0037146A" w:rsidRPr="0037146A">
          <w:rPr>
            <w:rStyle w:val="Hyperlink"/>
            <w:rFonts w:cs="Arial"/>
          </w:rPr>
          <w:t>process to allocate</w:t>
        </w:r>
      </w:hyperlink>
      <w:r w:rsidR="0037146A">
        <w:rPr>
          <w:rFonts w:cs="Arial"/>
        </w:rPr>
        <w:t xml:space="preserve"> the </w:t>
      </w:r>
      <w:r w:rsidR="00FD7320">
        <w:rPr>
          <w:rFonts w:cs="Arial"/>
        </w:rPr>
        <w:t>remainin</w:t>
      </w:r>
      <w:r w:rsidR="00FD7320" w:rsidRPr="00AE2B86">
        <w:t>g</w:t>
      </w:r>
      <w:r w:rsidR="00AE2B86" w:rsidRPr="00772048">
        <w:t xml:space="preserve"> unsold spectrum in the 3.4 GHz spectrum licence band</w:t>
      </w:r>
      <w:r w:rsidRPr="003F54C3">
        <w:t xml:space="preserve">. The outcomes of this process will be </w:t>
      </w:r>
      <w:r w:rsidR="00AE2B86" w:rsidRPr="003F54C3">
        <w:t>considered</w:t>
      </w:r>
      <w:r w:rsidRPr="003F54C3">
        <w:t xml:space="preserve"> when implementing planning decisions made in this paper. </w:t>
      </w:r>
      <w:r w:rsidRPr="00806E3A">
        <w:rPr>
          <w:rFonts w:cs="Arial"/>
        </w:rPr>
        <w:t xml:space="preserve"> </w:t>
      </w:r>
      <w:bookmarkEnd w:id="33"/>
    </w:p>
    <w:p w14:paraId="05F755C3" w14:textId="77777777" w:rsidR="00FB6CE1" w:rsidRPr="00AE2B86" w:rsidRDefault="00FB6CE1" w:rsidP="00AE2B86">
      <w:pPr>
        <w:pStyle w:val="Heading2"/>
      </w:pPr>
      <w:bookmarkStart w:id="34" w:name="_Toc21088508"/>
      <w:bookmarkStart w:id="35" w:name="_Toc25047690"/>
      <w:bookmarkEnd w:id="31"/>
      <w:r w:rsidRPr="00AE2B86">
        <w:t>Legislative and policy environment</w:t>
      </w:r>
      <w:bookmarkEnd w:id="13"/>
      <w:bookmarkEnd w:id="14"/>
      <w:bookmarkEnd w:id="15"/>
      <w:bookmarkEnd w:id="16"/>
      <w:bookmarkEnd w:id="17"/>
      <w:bookmarkEnd w:id="18"/>
      <w:bookmarkEnd w:id="19"/>
      <w:bookmarkEnd w:id="20"/>
      <w:bookmarkEnd w:id="21"/>
      <w:bookmarkEnd w:id="22"/>
      <w:bookmarkEnd w:id="23"/>
      <w:bookmarkEnd w:id="24"/>
      <w:bookmarkEnd w:id="25"/>
      <w:bookmarkEnd w:id="34"/>
      <w:bookmarkEnd w:id="35"/>
      <w:r w:rsidRPr="00AE2B86">
        <w:t xml:space="preserve"> </w:t>
      </w:r>
      <w:bookmarkEnd w:id="26"/>
      <w:bookmarkEnd w:id="27"/>
    </w:p>
    <w:bookmarkEnd w:id="28"/>
    <w:bookmarkEnd w:id="29"/>
    <w:p w14:paraId="7CA1D9D3" w14:textId="77777777" w:rsidR="00FB6CE1" w:rsidRPr="009B4DF7" w:rsidRDefault="00FB6CE1" w:rsidP="00772048">
      <w:pPr>
        <w:spacing w:before="120" w:after="80" w:line="240" w:lineRule="auto"/>
        <w:rPr>
          <w:szCs w:val="20"/>
        </w:rPr>
      </w:pPr>
      <w:r w:rsidRPr="009B4DF7">
        <w:t>The</w:t>
      </w:r>
      <w:r w:rsidRPr="009B4DF7">
        <w:rPr>
          <w:szCs w:val="21"/>
        </w:rPr>
        <w:t xml:space="preserve"> </w:t>
      </w:r>
      <w:r w:rsidRPr="009B4DF7">
        <w:t>Options paper</w:t>
      </w:r>
      <w:r w:rsidRPr="009B4DF7">
        <w:rPr>
          <w:szCs w:val="20"/>
        </w:rPr>
        <w:t xml:space="preserve"> </w:t>
      </w:r>
      <w:r w:rsidRPr="009B4DF7">
        <w:t>identified the relevant considerations in the ACMA’s legislative and policy environment which inform its spectrum planning decisions.</w:t>
      </w:r>
      <w:r w:rsidRPr="009B4DF7">
        <w:rPr>
          <w:szCs w:val="20"/>
        </w:rPr>
        <w:t xml:space="preserve"> This included descriptions of:</w:t>
      </w:r>
    </w:p>
    <w:p w14:paraId="682E7880" w14:textId="1E61B6E7" w:rsidR="00FB6CE1" w:rsidRPr="00B84735" w:rsidRDefault="00FB6CE1" w:rsidP="00772048">
      <w:pPr>
        <w:pStyle w:val="ListBullet"/>
      </w:pPr>
      <w:r w:rsidRPr="009B4DF7">
        <w:t xml:space="preserve">the primary legislation under which the ACMA currently manages spectrum, being the </w:t>
      </w:r>
      <w:r w:rsidRPr="009B4DF7">
        <w:rPr>
          <w:i/>
        </w:rPr>
        <w:t>Radiocommunications Act 1992</w:t>
      </w:r>
      <w:r w:rsidRPr="009B4DF7">
        <w:t>, this includes the object of the Act to provide for management of the radiofrequency spectrum in order to (among other goals):</w:t>
      </w:r>
    </w:p>
    <w:p w14:paraId="59D1A249" w14:textId="77777777" w:rsidR="00FB6CE1" w:rsidRPr="003F54C3" w:rsidRDefault="00FB6CE1" w:rsidP="00772048">
      <w:pPr>
        <w:pStyle w:val="ListBullet2"/>
      </w:pPr>
      <w:r w:rsidRPr="008264DB">
        <w:t>maximise, by ensuring the efficient allocation and use of the spectrum, the overall public benefit derived from using the radiofrequency spectrum</w:t>
      </w:r>
    </w:p>
    <w:p w14:paraId="5A4BB7EA" w14:textId="77777777" w:rsidR="00FB6CE1" w:rsidRPr="003F54C3" w:rsidRDefault="00FB6CE1" w:rsidP="00772048">
      <w:pPr>
        <w:pStyle w:val="ListBullet2"/>
      </w:pPr>
      <w:r w:rsidRPr="003F54C3">
        <w:t>provide a responsive and flexible approach to meeting the needs of users of the spectrum</w:t>
      </w:r>
    </w:p>
    <w:p w14:paraId="25DB6D57" w14:textId="77777777" w:rsidR="00FB6CE1" w:rsidRPr="009B4DF7" w:rsidRDefault="00FB6CE1" w:rsidP="00772048">
      <w:pPr>
        <w:pStyle w:val="ListBullet2"/>
      </w:pPr>
      <w:r w:rsidRPr="003F54C3">
        <w:t xml:space="preserve">encourage the use of </w:t>
      </w:r>
      <w:r w:rsidRPr="009B4DF7">
        <w:t>efficient radiocommunication technologies so that a wide range of services of an adequate quality can be provided</w:t>
      </w:r>
    </w:p>
    <w:p w14:paraId="6DFE7A92" w14:textId="77777777" w:rsidR="00FB6CE1" w:rsidRPr="009B4DF7" w:rsidRDefault="00FB6CE1" w:rsidP="00772048">
      <w:pPr>
        <w:pStyle w:val="ListBullet2"/>
      </w:pPr>
      <w:r w:rsidRPr="009B4DF7">
        <w:t>support the communications policy objectives of the Australian Government.</w:t>
      </w:r>
    </w:p>
    <w:p w14:paraId="56B11651" w14:textId="35C31B0B" w:rsidR="00FB6CE1" w:rsidRPr="00806E3A" w:rsidRDefault="00FB6CE1" w:rsidP="00FB6CE1">
      <w:pPr>
        <w:pStyle w:val="ListBullet"/>
        <w:spacing w:before="80" w:line="240" w:lineRule="auto"/>
      </w:pPr>
      <w:r w:rsidRPr="009B4DF7">
        <w:t xml:space="preserve">the </w:t>
      </w:r>
      <w:hyperlink r:id="rId28" w:history="1">
        <w:r w:rsidR="00FD7320" w:rsidRPr="00FD7320">
          <w:rPr>
            <w:rStyle w:val="Hyperlink"/>
          </w:rPr>
          <w:t>Principles for Spectrum Management</w:t>
        </w:r>
      </w:hyperlink>
      <w:r w:rsidRPr="003F54C3">
        <w:t>, which provide guidance when making decisions on spectrum use</w:t>
      </w:r>
    </w:p>
    <w:p w14:paraId="62B21530" w14:textId="77777777" w:rsidR="00FB6CE1" w:rsidRPr="009B4DF7" w:rsidRDefault="00FB6CE1" w:rsidP="00FB6CE1">
      <w:pPr>
        <w:pStyle w:val="ListBullet"/>
        <w:spacing w:before="80" w:line="240" w:lineRule="auto"/>
      </w:pPr>
      <w:r w:rsidRPr="00B7067E">
        <w:t>the three licence types under which spectrum</w:t>
      </w:r>
      <w:r w:rsidRPr="006C6E23">
        <w:t xml:space="preserve"> access can be authorised, being</w:t>
      </w:r>
      <w:r w:rsidRPr="003A1A7E">
        <w:t xml:space="preserve"> apparatus, spectrum and class</w:t>
      </w:r>
      <w:r w:rsidRPr="003A1A7E">
        <w:rPr>
          <w:i/>
        </w:rPr>
        <w:t xml:space="preserve"> </w:t>
      </w:r>
      <w:r w:rsidRPr="009B4DF7">
        <w:t>licensing</w:t>
      </w:r>
    </w:p>
    <w:p w14:paraId="64E3C4A0" w14:textId="77777777" w:rsidR="00FB6CE1" w:rsidRPr="009B4DF7" w:rsidRDefault="00FB6CE1" w:rsidP="00FB6CE1">
      <w:pPr>
        <w:pStyle w:val="ListBullet"/>
        <w:spacing w:before="80" w:line="240" w:lineRule="auto"/>
      </w:pPr>
      <w:r w:rsidRPr="009B4DF7">
        <w:lastRenderedPageBreak/>
        <w:t>key ACMA tools which provide transparency to industry and the public on spectrum management and allocation programs, including:</w:t>
      </w:r>
    </w:p>
    <w:p w14:paraId="10FB2770" w14:textId="09A61A15" w:rsidR="00FB6CE1" w:rsidRPr="006C6E23" w:rsidRDefault="00FB6CE1" w:rsidP="00772048">
      <w:pPr>
        <w:pStyle w:val="ListBullet2"/>
      </w:pPr>
      <w:r w:rsidRPr="009B4DF7">
        <w:t xml:space="preserve">the </w:t>
      </w:r>
      <w:r w:rsidR="00176F28" w:rsidRPr="00772048">
        <w:t xml:space="preserve">Mobile </w:t>
      </w:r>
      <w:r w:rsidR="00A14856">
        <w:t>B</w:t>
      </w:r>
      <w:r w:rsidR="00176F28" w:rsidRPr="00772048">
        <w:t>roadband (MBB) strategy</w:t>
      </w:r>
      <w:r w:rsidRPr="003F54C3">
        <w:t xml:space="preserve">, which provides a framework for the </w:t>
      </w:r>
      <w:r w:rsidRPr="00806E3A">
        <w:t>consideration and, where deemed appropriate, progression of frequency bands to allocation for provision of mobile (and other wireless) broadband servic</w:t>
      </w:r>
      <w:r w:rsidRPr="00B7067E">
        <w:t>es</w:t>
      </w:r>
    </w:p>
    <w:p w14:paraId="0E24AA17" w14:textId="5B35A7CD" w:rsidR="00FB6CE1" w:rsidRPr="003F54C3" w:rsidRDefault="00FB6CE1" w:rsidP="00772048">
      <w:pPr>
        <w:pStyle w:val="ListBullet2"/>
      </w:pPr>
      <w:r w:rsidRPr="003A1A7E">
        <w:t xml:space="preserve">the </w:t>
      </w:r>
      <w:hyperlink r:id="rId29" w:history="1">
        <w:r w:rsidR="00176F28" w:rsidRPr="00F65BC1">
          <w:rPr>
            <w:rStyle w:val="Hyperlink"/>
          </w:rPr>
          <w:t>FYS</w:t>
        </w:r>
        <w:r w:rsidR="00A14856">
          <w:rPr>
            <w:rStyle w:val="Hyperlink"/>
          </w:rPr>
          <w:t>O 2019–23</w:t>
        </w:r>
      </w:hyperlink>
      <w:r w:rsidR="00176F28" w:rsidRPr="00772048">
        <w:t>,</w:t>
      </w:r>
      <w:r w:rsidRPr="003F54C3">
        <w:t xml:space="preserve"> which sets out the ACMA’s forward work program over a five-year period.</w:t>
      </w:r>
    </w:p>
    <w:p w14:paraId="2F9DE2E3" w14:textId="77777777" w:rsidR="005E250B" w:rsidRPr="00C35CCE" w:rsidRDefault="00FB6CE1" w:rsidP="005E250B">
      <w:pPr>
        <w:pStyle w:val="Heading1"/>
      </w:pPr>
      <w:bookmarkStart w:id="36" w:name="_Toc25047691"/>
      <w:r>
        <w:lastRenderedPageBreak/>
        <w:t>Discussion</w:t>
      </w:r>
      <w:bookmarkEnd w:id="36"/>
    </w:p>
    <w:p w14:paraId="5715F096" w14:textId="77777777" w:rsidR="00FB6CE1" w:rsidRDefault="00FB6CE1" w:rsidP="00FB6CE1">
      <w:r>
        <w:t xml:space="preserve">This chapter identifies the issues raised in submissions to the Options paper, discusses the differing views expressed and outlines the ACMA’s response. </w:t>
      </w:r>
    </w:p>
    <w:p w14:paraId="7FBB8753" w14:textId="77777777" w:rsidR="00FB6CE1" w:rsidRPr="00B7067E" w:rsidRDefault="00FB6CE1" w:rsidP="00FB6CE1">
      <w:pPr>
        <w:pStyle w:val="Heading2"/>
      </w:pPr>
      <w:bookmarkStart w:id="37" w:name="_Toc21088510"/>
      <w:bookmarkStart w:id="38" w:name="_Toc25047692"/>
      <w:r>
        <w:t>Overall approach to optimising the band</w:t>
      </w:r>
      <w:bookmarkEnd w:id="37"/>
      <w:bookmarkEnd w:id="38"/>
    </w:p>
    <w:p w14:paraId="58437D60" w14:textId="43B93B19" w:rsidR="00FB6CE1" w:rsidRPr="009B4DF7" w:rsidRDefault="00FB6CE1" w:rsidP="00FB6CE1">
      <w:r w:rsidRPr="006C6E23">
        <w:t xml:space="preserve">The Options paper identified three planning options to </w:t>
      </w:r>
      <w:r>
        <w:t xml:space="preserve">optimise arrangements in the </w:t>
      </w:r>
      <w:r w:rsidR="00643396">
        <w:t>3400</w:t>
      </w:r>
      <w:r w:rsidR="00A14856">
        <w:t>–</w:t>
      </w:r>
      <w:r w:rsidR="00643396">
        <w:t xml:space="preserve">3575 MHz </w:t>
      </w:r>
      <w:r>
        <w:t xml:space="preserve">band. These options </w:t>
      </w:r>
      <w:r w:rsidRPr="00B7067E">
        <w:t>facilitate a defra</w:t>
      </w:r>
      <w:r w:rsidRPr="006C6E23">
        <w:t>g of spectrum and apparatus licence arrangements, make more of the band available for wireless broad</w:t>
      </w:r>
      <w:r w:rsidRPr="003A1A7E">
        <w:t>band use and investigate the potential availability of urban areas of NB</w:t>
      </w:r>
      <w:r>
        <w:t>N</w:t>
      </w:r>
      <w:r w:rsidRPr="003A1A7E">
        <w:t xml:space="preserve"> Co’s PTS apparatus licences for use by other operators.</w:t>
      </w:r>
    </w:p>
    <w:p w14:paraId="302DC064" w14:textId="77777777" w:rsidR="00FB6CE1" w:rsidRPr="00BC181F" w:rsidRDefault="00FB6CE1" w:rsidP="00772048">
      <w:pPr>
        <w:spacing w:after="80"/>
      </w:pPr>
      <w:r w:rsidRPr="009B4DF7">
        <w:t xml:space="preserve">The planning options identified </w:t>
      </w:r>
      <w:r w:rsidRPr="00BC181F">
        <w:t>were:</w:t>
      </w:r>
    </w:p>
    <w:p w14:paraId="663A811C" w14:textId="2F0FAC80" w:rsidR="00FB6CE1" w:rsidRPr="00B84735" w:rsidRDefault="00FB6CE1" w:rsidP="00176F28">
      <w:pPr>
        <w:pStyle w:val="ListBullet"/>
      </w:pPr>
      <w:r w:rsidRPr="00176F28">
        <w:t>Option</w:t>
      </w:r>
      <w:r w:rsidRPr="00B84735">
        <w:t xml:space="preserve"> 1—</w:t>
      </w:r>
      <w:r w:rsidR="00A14856">
        <w:t>N</w:t>
      </w:r>
      <w:r w:rsidRPr="00B84735">
        <w:t xml:space="preserve">o change. </w:t>
      </w:r>
    </w:p>
    <w:p w14:paraId="6D7805A2" w14:textId="0FB854F9" w:rsidR="00FB6CE1" w:rsidRPr="003F54C3" w:rsidRDefault="00FB6CE1" w:rsidP="00FB6CE1">
      <w:pPr>
        <w:pStyle w:val="ListBullet"/>
      </w:pPr>
      <w:r w:rsidRPr="008264DB">
        <w:t>Option 2—Convert</w:t>
      </w:r>
      <w:r w:rsidRPr="00DB2736">
        <w:t xml:space="preserve"> NBN Co’s 3.5 GHz PTS licences to spectrum licences (conversion)</w:t>
      </w:r>
      <w:r w:rsidRPr="003F54C3">
        <w:t xml:space="preserve"> and reallocate additional spectrum for spectrum licensing (reallocate). Two sub-options were identified:</w:t>
      </w:r>
    </w:p>
    <w:p w14:paraId="307CF85C" w14:textId="2DA07CFF" w:rsidR="00FB6CE1" w:rsidRPr="003F54C3" w:rsidRDefault="00FB6CE1" w:rsidP="00772048">
      <w:pPr>
        <w:pStyle w:val="ListBullet2"/>
      </w:pPr>
      <w:r w:rsidRPr="003F54C3">
        <w:t xml:space="preserve">Option 2a reallocates all regional areas and major regional centres not currently subject to spectrum licensing. </w:t>
      </w:r>
    </w:p>
    <w:p w14:paraId="4550B976" w14:textId="00E80062" w:rsidR="00FB6CE1" w:rsidRPr="003F54C3" w:rsidRDefault="00FB6CE1" w:rsidP="00772048">
      <w:pPr>
        <w:pStyle w:val="ListBullet2"/>
      </w:pPr>
      <w:r w:rsidRPr="003F54C3">
        <w:t xml:space="preserve">Option 2b reallocates some regional areas and major regional centres and provides more spectrum for localised wireless broadband use in those areas and frequencies not subject to spectrum licensing. </w:t>
      </w:r>
    </w:p>
    <w:p w14:paraId="44E7CE1E" w14:textId="5F63567D" w:rsidR="00FB6CE1" w:rsidRPr="003F54C3" w:rsidRDefault="00FB6CE1" w:rsidP="00FB6CE1">
      <w:pPr>
        <w:pStyle w:val="ListBullet"/>
      </w:pPr>
      <w:r w:rsidRPr="003F54C3">
        <w:t>Option 3—Restack apparatus licences, then convert NBN Co’s 3.5 GHz PTS licences to spectrum licences and reallocate additional spectrum for spectrum licensing. Two sub-options were identified</w:t>
      </w:r>
      <w:r>
        <w:t>:</w:t>
      </w:r>
      <w:r w:rsidRPr="003F54C3">
        <w:t xml:space="preserve"> </w:t>
      </w:r>
    </w:p>
    <w:p w14:paraId="0BDB1E1B" w14:textId="00F9DDAB" w:rsidR="00FB6CE1" w:rsidRPr="003F54C3" w:rsidRDefault="00FB6CE1" w:rsidP="00772048">
      <w:pPr>
        <w:pStyle w:val="ListBullet2"/>
      </w:pPr>
      <w:r w:rsidRPr="003F54C3">
        <w:t xml:space="preserve">Option 3a reallocates all regional areas not encompassed by the newly restacked and consolidated localised wireless broadband apparatus licence arrangements. </w:t>
      </w:r>
    </w:p>
    <w:p w14:paraId="701EB70A" w14:textId="0CB9A96A" w:rsidR="00FB6CE1" w:rsidRPr="003F54C3" w:rsidRDefault="00FB6CE1" w:rsidP="00772048">
      <w:pPr>
        <w:pStyle w:val="ListBullet2"/>
        <w:spacing w:after="240"/>
      </w:pPr>
      <w:r w:rsidRPr="003F54C3">
        <w:t>Option 3b reallocates regional areas and major regional centres in the 3400–3442.5 MHz frequency range and provides more spectrum for localised wireless broadband apparatus licensing in the remaining areas and frequencies not subject to spectrum licensing.</w:t>
      </w:r>
    </w:p>
    <w:p w14:paraId="6560F48A" w14:textId="77777777" w:rsidR="00FB6CE1" w:rsidRPr="003F54C3" w:rsidRDefault="00FB6CE1" w:rsidP="00772048">
      <w:pPr>
        <w:spacing w:after="80"/>
      </w:pPr>
      <w:r w:rsidRPr="003F54C3">
        <w:t xml:space="preserve">The ACMA identified Option 3b as its preferred planning option. This was because it most closely achieved the identified planning goals which </w:t>
      </w:r>
      <w:r>
        <w:t>were:</w:t>
      </w:r>
    </w:p>
    <w:p w14:paraId="5392405A" w14:textId="4DF38C78" w:rsidR="00FB6CE1" w:rsidRPr="003F54C3" w:rsidRDefault="00035BE2" w:rsidP="00772048">
      <w:pPr>
        <w:pStyle w:val="ListBullet"/>
      </w:pPr>
      <w:r>
        <w:t>B</w:t>
      </w:r>
      <w:r w:rsidR="00FB6CE1" w:rsidRPr="003F54C3">
        <w:t xml:space="preserve">arriers to change </w:t>
      </w:r>
      <w:r w:rsidR="00FB6CE1">
        <w:t>(</w:t>
      </w:r>
      <w:r>
        <w:t>for example,</w:t>
      </w:r>
      <w:r w:rsidR="00FB6CE1">
        <w:t xml:space="preserve"> trading) are removed</w:t>
      </w:r>
      <w:r>
        <w:t>.</w:t>
      </w:r>
      <w:r w:rsidR="00FB6CE1">
        <w:t xml:space="preserve"> </w:t>
      </w:r>
    </w:p>
    <w:p w14:paraId="2CBB9DF4" w14:textId="7E3C0FBC" w:rsidR="00FB6CE1" w:rsidRPr="003F54C3" w:rsidRDefault="002C1308" w:rsidP="00772048">
      <w:pPr>
        <w:pStyle w:val="ListBullet"/>
      </w:pPr>
      <w:r>
        <w:t>A</w:t>
      </w:r>
      <w:r w:rsidR="00FB6CE1" w:rsidRPr="003F54C3">
        <w:t>rrangements for wireless broadband use are put in place across the entire 3400</w:t>
      </w:r>
      <w:r w:rsidR="00035BE2">
        <w:t>–</w:t>
      </w:r>
      <w:r w:rsidR="00FB6CE1" w:rsidRPr="003F54C3">
        <w:t>3575 MHz band Australia-wide</w:t>
      </w:r>
      <w:r>
        <w:t>.</w:t>
      </w:r>
    </w:p>
    <w:p w14:paraId="34A76AA4" w14:textId="6134A87D" w:rsidR="00FB6CE1" w:rsidRPr="003F54C3" w:rsidRDefault="002C1308" w:rsidP="00772048">
      <w:pPr>
        <w:pStyle w:val="ListBullet"/>
      </w:pPr>
      <w:r>
        <w:t>A</w:t>
      </w:r>
      <w:r w:rsidR="00FB6CE1" w:rsidRPr="003F54C3">
        <w:t>rea-based PTS and spectrum licensees achieve contiguous spectrum holdings in all areas they hold licences</w:t>
      </w:r>
      <w:r>
        <w:t>.</w:t>
      </w:r>
    </w:p>
    <w:p w14:paraId="15B2D69E" w14:textId="3C30B3BA" w:rsidR="00FB6CE1" w:rsidRPr="003F54C3" w:rsidRDefault="002C1308" w:rsidP="00772048">
      <w:pPr>
        <w:pStyle w:val="ListBullet"/>
      </w:pPr>
      <w:r>
        <w:t>A</w:t>
      </w:r>
      <w:r w:rsidR="00FB6CE1" w:rsidRPr="003F54C3">
        <w:t xml:space="preserve">rea-based PTS and spectrum licensees </w:t>
      </w:r>
      <w:r w:rsidR="00FB6CE1">
        <w:t>maintain</w:t>
      </w:r>
      <w:r w:rsidR="00FB6CE1" w:rsidRPr="003F54C3">
        <w:t xml:space="preserve"> the same amount of spectrum in all areas they </w:t>
      </w:r>
      <w:r w:rsidR="00FB6CE1">
        <w:t xml:space="preserve">currently </w:t>
      </w:r>
      <w:r w:rsidR="00FB6CE1" w:rsidRPr="003F54C3">
        <w:t>hold licences</w:t>
      </w:r>
      <w:r>
        <w:t>.</w:t>
      </w:r>
    </w:p>
    <w:p w14:paraId="08E0385A" w14:textId="495C5B53" w:rsidR="00FB6CE1" w:rsidRPr="003F54C3" w:rsidRDefault="002C1308" w:rsidP="00772048">
      <w:pPr>
        <w:pStyle w:val="ListBullet"/>
      </w:pPr>
      <w:r>
        <w:t>S</w:t>
      </w:r>
      <w:r w:rsidR="00FB6CE1" w:rsidRPr="003F54C3">
        <w:t>pectrum arrangements for PMP licensing are consolidated into a single frequency range to facilitate the adoption of TDD wireless broadband technologies and provide access to larger channel sizes</w:t>
      </w:r>
      <w:r>
        <w:t>.</w:t>
      </w:r>
      <w:r w:rsidR="00FB6CE1" w:rsidRPr="003F54C3">
        <w:t xml:space="preserve"> </w:t>
      </w:r>
    </w:p>
    <w:p w14:paraId="1CDE9D14" w14:textId="77284AAD" w:rsidR="00FB6CE1" w:rsidRPr="003F54C3" w:rsidRDefault="002C1308" w:rsidP="00772048">
      <w:pPr>
        <w:pStyle w:val="ListBulletLast"/>
      </w:pPr>
      <w:r>
        <w:t>T</w:t>
      </w:r>
      <w:r w:rsidR="00FB6CE1" w:rsidRPr="003F54C3">
        <w:t>he amount of spectrum available for PMP licensing remains the same or increases in all areas. This provides an option for incumbent PMP licensees to continue operating in the band if they wish.</w:t>
      </w:r>
    </w:p>
    <w:p w14:paraId="233CCD94" w14:textId="49A4F524" w:rsidR="00FB6CE1" w:rsidRPr="009B4DF7" w:rsidRDefault="00FB6CE1" w:rsidP="00FB6CE1">
      <w:pPr>
        <w:spacing w:before="240"/>
      </w:pPr>
      <w:r>
        <w:lastRenderedPageBreak/>
        <w:t xml:space="preserve">Option 3b is also assessed as achieving </w:t>
      </w:r>
      <w:r w:rsidRPr="003F54C3">
        <w:t xml:space="preserve">the greatest net public benefit </w:t>
      </w:r>
      <w:r>
        <w:t xml:space="preserve">compared to other options, </w:t>
      </w:r>
      <w:r w:rsidRPr="003F54C3">
        <w:t xml:space="preserve">by </w:t>
      </w:r>
      <w:r w:rsidRPr="003F54C3">
        <w:rPr>
          <w:rFonts w:cs="Arial"/>
        </w:rPr>
        <w:t xml:space="preserve">making more of the band available for both </w:t>
      </w:r>
      <w:r w:rsidRPr="003F54C3">
        <w:t>wide-area</w:t>
      </w:r>
      <w:r>
        <w:t xml:space="preserve"> wireless broadband</w:t>
      </w:r>
      <w:r w:rsidRPr="00EF5D2F">
        <w:t xml:space="preserve"> (such as mobile network operators) and localised wireless broadband services</w:t>
      </w:r>
      <w:r w:rsidRPr="00EF5D2F">
        <w:rPr>
          <w:rFonts w:cs="Arial"/>
        </w:rPr>
        <w:t xml:space="preserve"> </w:t>
      </w:r>
      <w:r w:rsidR="002C1308">
        <w:t>(</w:t>
      </w:r>
      <w:r w:rsidRPr="00EF5D2F">
        <w:t>such as wireless internet service providers (WISPs), miners and other industry verticals</w:t>
      </w:r>
      <w:r w:rsidRPr="00B7067E">
        <w:t>)</w:t>
      </w:r>
      <w:r w:rsidRPr="006C6E23">
        <w:t>.</w:t>
      </w:r>
      <w:r w:rsidRPr="003A1A7E">
        <w:t xml:space="preserve"> </w:t>
      </w:r>
      <w:r>
        <w:t xml:space="preserve">The detailed assessment of the options against the planning goals is outlined in the </w:t>
      </w:r>
      <w:r w:rsidR="002C1308" w:rsidRPr="00772048">
        <w:t>Options paper</w:t>
      </w:r>
      <w:r>
        <w:t>.</w:t>
      </w:r>
    </w:p>
    <w:p w14:paraId="6EA75AEA" w14:textId="77777777" w:rsidR="00FB6CE1" w:rsidRPr="003F54C3" w:rsidRDefault="00FB6CE1" w:rsidP="00FB6CE1">
      <w:r w:rsidRPr="00EF5D2F">
        <w:t xml:space="preserve">Eight submissions were received to the Options paper. These were from NBN Co, Telstra, Optus, </w:t>
      </w:r>
      <w:r w:rsidRPr="00B84735">
        <w:t>Vodafone Hutchison Australia (VHA), the Department of Defence, the Australian Radio Communications Indu</w:t>
      </w:r>
      <w:r w:rsidRPr="008264DB">
        <w:t>stry Association (ARCIA</w:t>
      </w:r>
      <w:r w:rsidRPr="00DB2736">
        <w:t>), Lockheed Martin Australia and DB Telecommunications</w:t>
      </w:r>
      <w:r w:rsidRPr="003F54C3">
        <w:t>.</w:t>
      </w:r>
    </w:p>
    <w:p w14:paraId="2557AD09" w14:textId="1C9DDDD5" w:rsidR="00FB6CE1" w:rsidRPr="009B4DF7" w:rsidRDefault="00FB6CE1" w:rsidP="00FB6CE1">
      <w:r w:rsidRPr="003F54C3">
        <w:t>All submissions agreed there was a need to optimise arrangements in the 3400</w:t>
      </w:r>
      <w:r w:rsidR="002C1308">
        <w:t>–</w:t>
      </w:r>
      <w:r w:rsidRPr="003F54C3">
        <w:t>3575 MHz band and there was general support for the ACMA’s preferred planning option (Option 3b)</w:t>
      </w:r>
      <w:r>
        <w:t>, with submissions providing additional suggestions on implementation</w:t>
      </w:r>
      <w:r w:rsidRPr="003F54C3">
        <w:t>.</w:t>
      </w:r>
      <w:r>
        <w:t xml:space="preserve"> These are discussed further in </w:t>
      </w:r>
      <w:r w:rsidR="00A14856">
        <w:t>‘</w:t>
      </w:r>
      <w:r w:rsidR="004C54C8">
        <w:t>I</w:t>
      </w:r>
      <w:r>
        <w:t>ssues raised in submissions</w:t>
      </w:r>
      <w:r w:rsidR="004C54C8">
        <w:t>’</w:t>
      </w:r>
      <w:r>
        <w:t xml:space="preserve"> below. </w:t>
      </w:r>
    </w:p>
    <w:p w14:paraId="2F95E6A5" w14:textId="03767144" w:rsidR="00FB6CE1" w:rsidRPr="00EF5D2F" w:rsidRDefault="00FB6CE1" w:rsidP="00772048">
      <w:pPr>
        <w:spacing w:after="80"/>
      </w:pPr>
      <w:r w:rsidRPr="009B4DF7">
        <w:rPr>
          <w:rFonts w:cs="Arial"/>
          <w:bCs/>
        </w:rPr>
        <w:t>When determining whether and how to progress re</w:t>
      </w:r>
      <w:r w:rsidR="00A14856">
        <w:rPr>
          <w:rFonts w:cs="Arial"/>
          <w:bCs/>
        </w:rPr>
        <w:t>-</w:t>
      </w:r>
      <w:r w:rsidRPr="009B4DF7">
        <w:rPr>
          <w:rFonts w:cs="Arial"/>
          <w:bCs/>
        </w:rPr>
        <w:t>planning activities in the 3400</w:t>
      </w:r>
      <w:r w:rsidR="004C54C8">
        <w:t>–</w:t>
      </w:r>
      <w:r w:rsidRPr="009B4DF7">
        <w:rPr>
          <w:rFonts w:cs="Arial"/>
          <w:bCs/>
        </w:rPr>
        <w:t xml:space="preserve">3575 MHz band, </w:t>
      </w:r>
      <w:r w:rsidRPr="00EF5D2F">
        <w:rPr>
          <w:rFonts w:cs="Arial"/>
          <w:bCs/>
        </w:rPr>
        <w:t xml:space="preserve">the ACMA considered a variety of issues. </w:t>
      </w:r>
      <w:r w:rsidRPr="00EF5D2F">
        <w:rPr>
          <w:rFonts w:cs="Arial"/>
        </w:rPr>
        <w:t>These</w:t>
      </w:r>
      <w:r w:rsidRPr="00EF5D2F">
        <w:rPr>
          <w:rFonts w:cs="Arial"/>
          <w:bCs/>
        </w:rPr>
        <w:t xml:space="preserve"> included</w:t>
      </w:r>
      <w:r w:rsidRPr="00EF5D2F">
        <w:t>:</w:t>
      </w:r>
    </w:p>
    <w:p w14:paraId="24BE2082" w14:textId="77777777" w:rsidR="00FB6CE1" w:rsidRPr="00EF5D2F" w:rsidRDefault="00FB6CE1" w:rsidP="00772048">
      <w:pPr>
        <w:pStyle w:val="ListBullet"/>
      </w:pPr>
      <w:r w:rsidRPr="00EF5D2F">
        <w:t>current uses of the band</w:t>
      </w:r>
    </w:p>
    <w:p w14:paraId="2CF1E987" w14:textId="77777777" w:rsidR="00FB6CE1" w:rsidRPr="00B84735" w:rsidRDefault="00FB6CE1" w:rsidP="00772048">
      <w:pPr>
        <w:pStyle w:val="ListBullet"/>
      </w:pPr>
      <w:r w:rsidRPr="00B84735">
        <w:t>international trends</w:t>
      </w:r>
    </w:p>
    <w:p w14:paraId="5798B2C3" w14:textId="77777777" w:rsidR="00FB6CE1" w:rsidRPr="00DB2736" w:rsidRDefault="00FB6CE1" w:rsidP="00772048">
      <w:pPr>
        <w:pStyle w:val="ListBullet"/>
      </w:pPr>
      <w:r w:rsidRPr="008264DB">
        <w:t xml:space="preserve">issues raised in submissions </w:t>
      </w:r>
      <w:r w:rsidRPr="00DB2736">
        <w:t>to the Options paper</w:t>
      </w:r>
    </w:p>
    <w:p w14:paraId="180ED110" w14:textId="77777777" w:rsidR="00FB6CE1" w:rsidRPr="001031D4" w:rsidRDefault="00FB6CE1" w:rsidP="00772048">
      <w:pPr>
        <w:pStyle w:val="ListBullet"/>
      </w:pPr>
      <w:r w:rsidRPr="001031D4">
        <w:t xml:space="preserve">the effect each option would have on incumbent services </w:t>
      </w:r>
    </w:p>
    <w:p w14:paraId="0B770DB6" w14:textId="77777777" w:rsidR="00FB6CE1" w:rsidRPr="001031D4" w:rsidRDefault="00FB6CE1" w:rsidP="00772048">
      <w:pPr>
        <w:pStyle w:val="ListBullet"/>
      </w:pPr>
      <w:r w:rsidRPr="001031D4">
        <w:t>the relative incremental benefits and costs for each replanning option</w:t>
      </w:r>
    </w:p>
    <w:p w14:paraId="7155A9C0" w14:textId="77777777" w:rsidR="00FB6CE1" w:rsidRPr="00EF5D2F" w:rsidRDefault="00FB6CE1" w:rsidP="00772048">
      <w:pPr>
        <w:pStyle w:val="ListBulletLast"/>
        <w:rPr>
          <w:bCs/>
        </w:rPr>
      </w:pPr>
      <w:r w:rsidRPr="003F54C3">
        <w:t xml:space="preserve">an assessment of each planning option against its planning goals and the Principles for </w:t>
      </w:r>
      <w:r>
        <w:t>S</w:t>
      </w:r>
      <w:r w:rsidRPr="003F54C3">
        <w:t xml:space="preserve">pectrum </w:t>
      </w:r>
      <w:r>
        <w:t>M</w:t>
      </w:r>
      <w:r w:rsidRPr="003F54C3">
        <w:t>anagement</w:t>
      </w:r>
      <w:r>
        <w:t xml:space="preserve"> (as outlined in the Options paper)</w:t>
      </w:r>
      <w:r w:rsidRPr="00EF5D2F">
        <w:t>.</w:t>
      </w:r>
    </w:p>
    <w:p w14:paraId="7E5E1226" w14:textId="77777777" w:rsidR="00FB6CE1" w:rsidRPr="005B78E8" w:rsidRDefault="00FB6CE1" w:rsidP="00FB6CE1">
      <w:r w:rsidRPr="00B84735">
        <w:t xml:space="preserve">After </w:t>
      </w:r>
      <w:r w:rsidRPr="005B78E8">
        <w:t xml:space="preserve">considering all relevant issues, the ACMA has decided to </w:t>
      </w:r>
      <w:r w:rsidRPr="00D04EA1">
        <w:t>proceed with Option 3b as illustrated in</w:t>
      </w:r>
      <w:r w:rsidRPr="00D33125">
        <w:t xml:space="preserve"> </w:t>
      </w:r>
      <w:r w:rsidRPr="00E84B55">
        <w:t>Figure 1</w:t>
      </w:r>
      <w:r w:rsidRPr="005B78E8">
        <w:t xml:space="preserve">. </w:t>
      </w:r>
    </w:p>
    <w:p w14:paraId="79EB2F1E" w14:textId="5040C80A" w:rsidR="00FB6CE1" w:rsidRDefault="00FB6CE1" w:rsidP="00FB6CE1">
      <w:pPr>
        <w:pStyle w:val="ListBullet"/>
        <w:numPr>
          <w:ilvl w:val="0"/>
          <w:numId w:val="0"/>
        </w:numPr>
        <w:spacing w:before="120" w:after="240" w:line="240" w:lineRule="auto"/>
      </w:pPr>
      <w:r w:rsidRPr="006704FF">
        <w:t xml:space="preserve">In the ACMA’s view, this </w:t>
      </w:r>
      <w:r w:rsidR="00A14856">
        <w:t>o</w:t>
      </w:r>
      <w:r w:rsidRPr="006704FF">
        <w:t xml:space="preserve">ption best delivers the planning goals, is consistent with </w:t>
      </w:r>
      <w:r>
        <w:t>the P</w:t>
      </w:r>
      <w:r w:rsidRPr="006704FF">
        <w:t xml:space="preserve">rinciples for </w:t>
      </w:r>
      <w:r>
        <w:t>S</w:t>
      </w:r>
      <w:r w:rsidRPr="006704FF">
        <w:t xml:space="preserve">pectrum </w:t>
      </w:r>
      <w:r>
        <w:t>M</w:t>
      </w:r>
      <w:r w:rsidRPr="006704FF">
        <w:t>anagement</w:t>
      </w:r>
      <w:r>
        <w:t xml:space="preserve"> and it maximises overall public benefit </w:t>
      </w:r>
      <w:r w:rsidRPr="003F54C3">
        <w:t xml:space="preserve">by </w:t>
      </w:r>
      <w:r w:rsidRPr="003F54C3">
        <w:rPr>
          <w:rFonts w:cs="Arial"/>
        </w:rPr>
        <w:t xml:space="preserve">making more </w:t>
      </w:r>
      <w:r>
        <w:rPr>
          <w:rFonts w:cs="Arial"/>
        </w:rPr>
        <w:t xml:space="preserve">spectrum </w:t>
      </w:r>
      <w:r w:rsidRPr="003F54C3">
        <w:rPr>
          <w:rFonts w:cs="Arial"/>
        </w:rPr>
        <w:t xml:space="preserve">available for </w:t>
      </w:r>
      <w:r>
        <w:rPr>
          <w:rFonts w:cs="Arial"/>
        </w:rPr>
        <w:t xml:space="preserve">a range of uses that include </w:t>
      </w:r>
      <w:r w:rsidRPr="003F54C3">
        <w:t>wide-area</w:t>
      </w:r>
      <w:r>
        <w:t xml:space="preserve"> wireless broadband</w:t>
      </w:r>
      <w:r w:rsidRPr="00EF5D2F">
        <w:t xml:space="preserve"> and localised wireless broadband services</w:t>
      </w:r>
      <w:r>
        <w:t>.</w:t>
      </w:r>
    </w:p>
    <w:p w14:paraId="4E7B80B8" w14:textId="77777777" w:rsidR="00FB6CE1" w:rsidRDefault="00FB6CE1" w:rsidP="00FB6CE1">
      <w:pPr>
        <w:pStyle w:val="ListBullet"/>
        <w:numPr>
          <w:ilvl w:val="0"/>
          <w:numId w:val="0"/>
        </w:numPr>
        <w:spacing w:before="120" w:after="240" w:line="240" w:lineRule="auto"/>
      </w:pPr>
      <w:r>
        <w:t>The ACMA recognises that some of the steps to implement Option 3b require negotiation and commercial agreements between incumbent spectrum and apparatus licensees. This includes coordinating efforts to restack services, the creation of third-party authorisations where relevant and the trading (or variation) of spectrum licences to consolidate licence holdings. However, due to the strong support for change evident in submissions to the Options paper, the ACMA sees that there are strong incentives for incumbent licensees to participate in these activities to achieve a successful defrag of the band</w:t>
      </w:r>
    </w:p>
    <w:p w14:paraId="7305DF31" w14:textId="0D2D6510" w:rsidR="00FB6CE1" w:rsidRPr="00B7067E" w:rsidRDefault="00FB6CE1" w:rsidP="00FB6CE1">
      <w:pPr>
        <w:pStyle w:val="ListBullet"/>
        <w:numPr>
          <w:ilvl w:val="0"/>
          <w:numId w:val="0"/>
        </w:numPr>
        <w:spacing w:before="120" w:after="240" w:line="240" w:lineRule="auto"/>
      </w:pPr>
      <w:r>
        <w:t xml:space="preserve">The ACMA’s overall implementation plan is provided in </w:t>
      </w:r>
      <w:r w:rsidR="004C54C8">
        <w:t>‘</w:t>
      </w:r>
      <w:r w:rsidRPr="00772048">
        <w:t xml:space="preserve">Planning decisions and preliminary </w:t>
      </w:r>
      <w:proofErr w:type="gramStart"/>
      <w:r w:rsidRPr="00772048">
        <w:t>views</w:t>
      </w:r>
      <w:r w:rsidR="004C54C8">
        <w:t>’</w:t>
      </w:r>
      <w:proofErr w:type="gramEnd"/>
      <w:r>
        <w:t xml:space="preserve">. </w:t>
      </w:r>
    </w:p>
    <w:p w14:paraId="43505E86" w14:textId="77777777" w:rsidR="00FB6CE1" w:rsidRDefault="00FB6CE1" w:rsidP="00FB6CE1">
      <w:pPr>
        <w:spacing w:after="0" w:line="240" w:lineRule="auto"/>
        <w:rPr>
          <w:b/>
          <w:bCs/>
          <w:color w:val="323232"/>
          <w:szCs w:val="20"/>
        </w:rPr>
      </w:pPr>
      <w:r>
        <w:br w:type="page"/>
      </w:r>
    </w:p>
    <w:p w14:paraId="7D47211A" w14:textId="77777777" w:rsidR="00FB6CE1" w:rsidRPr="003F54C3" w:rsidRDefault="00FB6CE1" w:rsidP="00FB6CE1">
      <w:pPr>
        <w:pStyle w:val="ACMAFigureHeader"/>
        <w:spacing w:before="360"/>
      </w:pPr>
      <w:r w:rsidRPr="003F54C3">
        <w:lastRenderedPageBreak/>
        <w:t>Final planning arrangements for the 3400–3575 MHz band</w:t>
      </w:r>
    </w:p>
    <w:p w14:paraId="2CCDEE43" w14:textId="77777777" w:rsidR="00FB6CE1" w:rsidRPr="003F54C3" w:rsidRDefault="00FB6CE1" w:rsidP="00FB6CE1">
      <w:pPr>
        <w:pStyle w:val="ACMAFigureHeader"/>
        <w:numPr>
          <w:ilvl w:val="0"/>
          <w:numId w:val="0"/>
        </w:numPr>
        <w:spacing w:after="120"/>
        <w:ind w:left="1021"/>
        <w:rPr>
          <w:i/>
          <w:sz w:val="16"/>
          <w:szCs w:val="16"/>
        </w:rPr>
      </w:pPr>
      <w:r w:rsidRPr="003F54C3">
        <w:rPr>
          <w:i/>
          <w:sz w:val="16"/>
          <w:szCs w:val="16"/>
        </w:rPr>
        <w:t>FSS = fixed satellite service, PMP = point-to-multipoint, SL = spectrum licence</w:t>
      </w:r>
    </w:p>
    <w:p w14:paraId="733A5814" w14:textId="77777777" w:rsidR="00FB6CE1" w:rsidRPr="003F54C3" w:rsidRDefault="00FB6CE1" w:rsidP="00FB6CE1">
      <w:pPr>
        <w:spacing w:after="0"/>
        <w:rPr>
          <w:rFonts w:cs="Arial"/>
          <w:b/>
          <w:u w:val="single"/>
        </w:rPr>
      </w:pPr>
      <w:r>
        <w:rPr>
          <w:noProof/>
        </w:rPr>
        <w:drawing>
          <wp:inline distT="0" distB="0" distL="0" distR="0" wp14:anchorId="56C0D76D" wp14:editId="5268A847">
            <wp:extent cx="5973418" cy="3522845"/>
            <wp:effectExtent l="0" t="0" r="8890" b="1905"/>
            <wp:docPr id="3" name="Picture 3" descr="Final planning arrangements for the 3400–3575 MHz b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6000233" cy="3538659"/>
                    </a:xfrm>
                    <a:prstGeom prst="rect">
                      <a:avLst/>
                    </a:prstGeom>
                  </pic:spPr>
                </pic:pic>
              </a:graphicData>
            </a:graphic>
          </wp:inline>
        </w:drawing>
      </w:r>
    </w:p>
    <w:p w14:paraId="2051EC02" w14:textId="77777777" w:rsidR="00FB6CE1" w:rsidRDefault="00FB6CE1" w:rsidP="00FB6CE1">
      <w:pPr>
        <w:pStyle w:val="Heading2"/>
      </w:pPr>
      <w:bookmarkStart w:id="39" w:name="_Toc21088511"/>
      <w:bookmarkStart w:id="40" w:name="_Toc25047693"/>
      <w:r>
        <w:t>Issues raised in submissions</w:t>
      </w:r>
      <w:bookmarkEnd w:id="39"/>
      <w:bookmarkEnd w:id="40"/>
      <w:r>
        <w:t xml:space="preserve"> </w:t>
      </w:r>
    </w:p>
    <w:p w14:paraId="01D7BC35" w14:textId="218AD4D9" w:rsidR="00FB6CE1" w:rsidRDefault="00FB6CE1" w:rsidP="00FB6CE1">
      <w:pPr>
        <w:pStyle w:val="ListBullet"/>
        <w:numPr>
          <w:ilvl w:val="0"/>
          <w:numId w:val="0"/>
        </w:numPr>
        <w:spacing w:before="120" w:after="240" w:line="240" w:lineRule="auto"/>
      </w:pPr>
      <w:r>
        <w:t>Submissions to the Options paper strongly supported the defrag of the band, but there were differing views expressed about the scope of defrag across different geographic areas, the investigation of a possible excise of urban areas of NBN Co apparatus licences and managing any impacts on incumbent licensees</w:t>
      </w:r>
      <w:r w:rsidR="004C54C8">
        <w:t>.</w:t>
      </w:r>
      <w:r>
        <w:t xml:space="preserve"> Our consideration of the issues raised and our response to each is outlined below.</w:t>
      </w:r>
    </w:p>
    <w:p w14:paraId="4C5BE890" w14:textId="77777777" w:rsidR="00FB6CE1" w:rsidRDefault="00FB6CE1" w:rsidP="00FB6CE1">
      <w:pPr>
        <w:pStyle w:val="Heading3"/>
      </w:pPr>
      <w:bookmarkStart w:id="41" w:name="_Toc21088512"/>
      <w:r>
        <w:t>Geographic considerations</w:t>
      </w:r>
      <w:bookmarkEnd w:id="41"/>
    </w:p>
    <w:p w14:paraId="7CF5B5B3" w14:textId="77777777" w:rsidR="00FB6CE1" w:rsidRDefault="00FB6CE1" w:rsidP="00FB6CE1">
      <w:r>
        <w:t>Different sets of concerns were raised in relation to remote areas and other population centres of metropolitan, regional and major regional areas.</w:t>
      </w:r>
    </w:p>
    <w:p w14:paraId="79489F9E" w14:textId="66145ED4" w:rsidR="00FB6CE1" w:rsidRPr="00D961D6" w:rsidRDefault="00FB6CE1" w:rsidP="00772048">
      <w:pPr>
        <w:pStyle w:val="Heading4"/>
      </w:pPr>
      <w:r>
        <w:t xml:space="preserve">Remote </w:t>
      </w:r>
      <w:r w:rsidR="004C54C8">
        <w:t>a</w:t>
      </w:r>
      <w:r>
        <w:t>reas</w:t>
      </w:r>
    </w:p>
    <w:p w14:paraId="72205985" w14:textId="77777777" w:rsidR="00FB6CE1" w:rsidRPr="009B4DF7" w:rsidRDefault="00FB6CE1" w:rsidP="00FB6CE1">
      <w:pPr>
        <w:rPr>
          <w:rFonts w:cs="Arial"/>
        </w:rPr>
      </w:pPr>
      <w:r w:rsidRPr="00B7067E">
        <w:t>Except for Option 1</w:t>
      </w:r>
      <w:r w:rsidRPr="006C6E23">
        <w:t xml:space="preserve"> (no change)</w:t>
      </w:r>
      <w:r w:rsidRPr="003A1A7E">
        <w:t xml:space="preserve">, all options </w:t>
      </w:r>
      <w:r w:rsidRPr="009B4DF7">
        <w:t xml:space="preserve">proposed </w:t>
      </w:r>
      <w:r>
        <w:t>extending</w:t>
      </w:r>
      <w:r w:rsidRPr="009B4DF7">
        <w:t xml:space="preserve"> arrangements </w:t>
      </w:r>
      <w:r>
        <w:t xml:space="preserve">for PMP licensing </w:t>
      </w:r>
      <w:r w:rsidRPr="009B4DF7">
        <w:t xml:space="preserve">across the </w:t>
      </w:r>
      <w:r>
        <w:t xml:space="preserve">entire </w:t>
      </w:r>
      <w:r w:rsidRPr="009B4DF7">
        <w:t xml:space="preserve">3400–3575 MHz band in remote areas. </w:t>
      </w:r>
      <w:bookmarkStart w:id="42" w:name="_Hlk5608385"/>
      <w:r>
        <w:rPr>
          <w:rFonts w:cs="Arial"/>
        </w:rPr>
        <w:t xml:space="preserve">The Options paper </w:t>
      </w:r>
      <w:r w:rsidRPr="00806E3A">
        <w:rPr>
          <w:rFonts w:cs="Arial"/>
        </w:rPr>
        <w:t>further proposed</w:t>
      </w:r>
      <w:r>
        <w:rPr>
          <w:rFonts w:cs="Arial"/>
        </w:rPr>
        <w:t xml:space="preserve"> that</w:t>
      </w:r>
      <w:r w:rsidRPr="00806E3A">
        <w:rPr>
          <w:rFonts w:cs="Arial"/>
        </w:rPr>
        <w:t xml:space="preserve"> </w:t>
      </w:r>
      <w:r>
        <w:rPr>
          <w:rFonts w:cs="Arial"/>
        </w:rPr>
        <w:t>these arrangements</w:t>
      </w:r>
      <w:r w:rsidRPr="00B7067E">
        <w:rPr>
          <w:rFonts w:cs="Arial"/>
        </w:rPr>
        <w:t xml:space="preserve"> be limited to </w:t>
      </w:r>
      <w:r>
        <w:rPr>
          <w:rFonts w:cs="Arial"/>
        </w:rPr>
        <w:t>services</w:t>
      </w:r>
      <w:r w:rsidRPr="00B7067E">
        <w:rPr>
          <w:rFonts w:cs="Arial"/>
        </w:rPr>
        <w:t xml:space="preserve"> using time division duplex (TDD) technologies and incorporate ex</w:t>
      </w:r>
      <w:r w:rsidRPr="006C6E23">
        <w:rPr>
          <w:rFonts w:cs="Arial"/>
        </w:rPr>
        <w:t xml:space="preserve">isting arrangements in the adjacent 3575–3700 MHz band. This is because international standards for wireless broadband </w:t>
      </w:r>
      <w:r w:rsidRPr="003A1A7E">
        <w:rPr>
          <w:rFonts w:cs="Arial"/>
        </w:rPr>
        <w:t xml:space="preserve">are based on TDD technologies </w:t>
      </w:r>
      <w:r w:rsidRPr="009B4DF7">
        <w:rPr>
          <w:rFonts w:cs="Arial"/>
        </w:rPr>
        <w:t xml:space="preserve">that typically operate over the 3300–3800 MHz frequency range. </w:t>
      </w:r>
    </w:p>
    <w:bookmarkEnd w:id="42"/>
    <w:p w14:paraId="5E173D86" w14:textId="77777777" w:rsidR="00FB6CE1" w:rsidRDefault="00FB6CE1" w:rsidP="00FB6CE1">
      <w:pPr>
        <w:rPr>
          <w:rFonts w:cs="Arial"/>
        </w:rPr>
      </w:pPr>
      <w:r w:rsidRPr="00EF5D2F">
        <w:rPr>
          <w:rFonts w:cs="Arial"/>
        </w:rPr>
        <w:t xml:space="preserve">Submissions to the consultation were supportive of the approach proposed for remote areas. One submission </w:t>
      </w:r>
      <w:r>
        <w:rPr>
          <w:rFonts w:cs="Arial"/>
        </w:rPr>
        <w:t xml:space="preserve">also </w:t>
      </w:r>
      <w:r w:rsidRPr="00EF5D2F">
        <w:rPr>
          <w:rFonts w:cs="Arial"/>
        </w:rPr>
        <w:t xml:space="preserve">proposed </w:t>
      </w:r>
      <w:r>
        <w:rPr>
          <w:rFonts w:cs="Arial"/>
        </w:rPr>
        <w:t xml:space="preserve">developing </w:t>
      </w:r>
      <w:r w:rsidRPr="00EF5D2F">
        <w:rPr>
          <w:rFonts w:cs="Arial"/>
        </w:rPr>
        <w:t>arrangements for</w:t>
      </w:r>
      <w:r>
        <w:rPr>
          <w:rFonts w:cs="Arial"/>
        </w:rPr>
        <w:t xml:space="preserve"> both</w:t>
      </w:r>
      <w:r w:rsidRPr="00EF5D2F">
        <w:rPr>
          <w:rFonts w:cs="Arial"/>
        </w:rPr>
        <w:t xml:space="preserve"> </w:t>
      </w:r>
      <w:r w:rsidRPr="0053513E">
        <w:t xml:space="preserve">PMP </w:t>
      </w:r>
      <w:r w:rsidRPr="00B84735">
        <w:rPr>
          <w:rFonts w:cs="Arial"/>
        </w:rPr>
        <w:t>and PTS apparatus licensing</w:t>
      </w:r>
      <w:r>
        <w:rPr>
          <w:rFonts w:cs="Arial"/>
        </w:rPr>
        <w:t xml:space="preserve"> across the entire band</w:t>
      </w:r>
      <w:r w:rsidRPr="00B84735">
        <w:rPr>
          <w:rFonts w:cs="Arial"/>
        </w:rPr>
        <w:t>. This would facilitate deployments by mobile network o</w:t>
      </w:r>
      <w:r w:rsidRPr="008264DB">
        <w:rPr>
          <w:rFonts w:cs="Arial"/>
        </w:rPr>
        <w:t>perators (MNOs)</w:t>
      </w:r>
      <w:r w:rsidRPr="00DB2736">
        <w:rPr>
          <w:rFonts w:cs="Arial"/>
        </w:rPr>
        <w:t xml:space="preserve"> and private networks. </w:t>
      </w:r>
    </w:p>
    <w:p w14:paraId="3CA02169" w14:textId="3686E0CE" w:rsidR="00FB6CE1" w:rsidRPr="00772048" w:rsidRDefault="00FB6CE1" w:rsidP="00FB6CE1">
      <w:pPr>
        <w:spacing w:after="120"/>
        <w:rPr>
          <w:rFonts w:cs="Arial"/>
          <w:i/>
          <w:iCs/>
        </w:rPr>
      </w:pPr>
      <w:r w:rsidRPr="00772048">
        <w:rPr>
          <w:rFonts w:cs="Arial"/>
          <w:i/>
          <w:iCs/>
        </w:rPr>
        <w:t xml:space="preserve">ACMA </w:t>
      </w:r>
      <w:r w:rsidR="004C54C8" w:rsidRPr="00772048">
        <w:rPr>
          <w:rFonts w:cs="Arial"/>
          <w:i/>
          <w:iCs/>
        </w:rPr>
        <w:t>r</w:t>
      </w:r>
      <w:r w:rsidRPr="00772048">
        <w:rPr>
          <w:rFonts w:cs="Arial"/>
          <w:i/>
          <w:iCs/>
        </w:rPr>
        <w:t>esponse</w:t>
      </w:r>
    </w:p>
    <w:p w14:paraId="662E89EA" w14:textId="77777777" w:rsidR="00FB6CE1" w:rsidRPr="003F54C3" w:rsidRDefault="00FB6CE1" w:rsidP="00FB6CE1">
      <w:r w:rsidRPr="003A1A7E">
        <w:t>Due to the support ev</w:t>
      </w:r>
      <w:r w:rsidRPr="009B4DF7">
        <w:t xml:space="preserve">ident in submissions, the ACMA will implement the proposed arrangements for remote areas </w:t>
      </w:r>
      <w:r>
        <w:t xml:space="preserve">as outlined </w:t>
      </w:r>
      <w:r w:rsidRPr="009B4DF7">
        <w:t xml:space="preserve">in the Options paper. The ACMA’s </w:t>
      </w:r>
      <w:r>
        <w:t>current</w:t>
      </w:r>
      <w:r w:rsidRPr="00EF5D2F">
        <w:t xml:space="preserve"> </w:t>
      </w:r>
      <w:r w:rsidRPr="00EF5D2F">
        <w:lastRenderedPageBreak/>
        <w:t>preference i</w:t>
      </w:r>
      <w:r w:rsidRPr="0053513E">
        <w:t xml:space="preserve">s for PMP </w:t>
      </w:r>
      <w:r>
        <w:t>arrangements to be developed</w:t>
      </w:r>
      <w:r w:rsidRPr="00B84735">
        <w:t xml:space="preserve">. This is because </w:t>
      </w:r>
      <w:r>
        <w:t xml:space="preserve">there is known demand for spectrum in some remote areas (particularly for mining uses). To enable this demand to be met in the shortest timeframe, it is preferable to adopt the fixed apparatus licensing and pricing </w:t>
      </w:r>
      <w:r w:rsidRPr="00B84735">
        <w:t xml:space="preserve">arrangements for </w:t>
      </w:r>
      <w:r>
        <w:t xml:space="preserve">PMP use, which are </w:t>
      </w:r>
      <w:r w:rsidRPr="008264DB">
        <w:t xml:space="preserve">already </w:t>
      </w:r>
      <w:r w:rsidRPr="00DB2736">
        <w:t>in place across the entire 3400</w:t>
      </w:r>
      <w:r>
        <w:t>–</w:t>
      </w:r>
      <w:r w:rsidRPr="00DB2736">
        <w:t>3700 MH</w:t>
      </w:r>
      <w:r>
        <w:t>z</w:t>
      </w:r>
      <w:r w:rsidRPr="00DB2736">
        <w:t xml:space="preserve"> band</w:t>
      </w:r>
      <w:r>
        <w:t xml:space="preserve">. The alternative of using PTS licensing and pricing arrangements would take longer as it requires establishing new arrangements in the band, so it is not preferred at present, but the ACMA is open to further consideration of </w:t>
      </w:r>
      <w:r w:rsidRPr="003F54C3">
        <w:t xml:space="preserve">PTS licensing in the future. </w:t>
      </w:r>
    </w:p>
    <w:p w14:paraId="226DCEDF" w14:textId="77777777" w:rsidR="00FB6CE1" w:rsidRPr="00806E3A" w:rsidRDefault="00FB6CE1" w:rsidP="00772048">
      <w:pPr>
        <w:spacing w:after="80"/>
      </w:pPr>
      <w:bookmarkStart w:id="43" w:name="_Hlk21018502"/>
      <w:r w:rsidRPr="003F54C3">
        <w:t>In summary the ACMA will take the following actions in remote areas:</w:t>
      </w:r>
    </w:p>
    <w:p w14:paraId="69A5F3F6" w14:textId="77777777" w:rsidR="00FB6CE1" w:rsidRPr="00D035AB" w:rsidRDefault="00FB6CE1" w:rsidP="00772048">
      <w:pPr>
        <w:pStyle w:val="ListBullet"/>
      </w:pPr>
      <w:r w:rsidRPr="004C54C8">
        <w:t xml:space="preserve">develop consolidated arrangements for PMP apparatus licences across the broader 3400–3700 MHz band to support TDD wireless broadband services </w:t>
      </w:r>
    </w:p>
    <w:p w14:paraId="1E8D11FD" w14:textId="6F6B06FD" w:rsidR="00FB6CE1" w:rsidRPr="004C54C8" w:rsidRDefault="00FB6CE1" w:rsidP="00772048">
      <w:pPr>
        <w:pStyle w:val="ListBullet"/>
      </w:pPr>
      <w:r w:rsidRPr="00D035AB">
        <w:t>investigate making larger channel sizes av</w:t>
      </w:r>
      <w:r w:rsidRPr="00124BA8">
        <w:t>ailable for PMP use (</w:t>
      </w:r>
      <w:r w:rsidR="004C54C8">
        <w:t>for example,</w:t>
      </w:r>
      <w:r w:rsidRPr="004C54C8">
        <w:t xml:space="preserve"> 40–100 MHz) </w:t>
      </w:r>
    </w:p>
    <w:p w14:paraId="24F7E6C9" w14:textId="77777777" w:rsidR="00FB6CE1" w:rsidRPr="00124BA8" w:rsidRDefault="00FB6CE1" w:rsidP="00772048">
      <w:pPr>
        <w:pStyle w:val="ListBullet"/>
      </w:pPr>
      <w:r w:rsidRPr="00D035AB">
        <w:t>grandfather existing frequency division duplex (FDD) PMP licences and provide them with ongoing protection</w:t>
      </w:r>
      <w:r w:rsidRPr="00124BA8">
        <w:t>. Due to the amount of spectrum being considered and there only being two FDD PMP licences in remote areas, this is expected to have a negligible impact on access to the band by new TDD PMP services</w:t>
      </w:r>
    </w:p>
    <w:p w14:paraId="555D789F" w14:textId="77777777" w:rsidR="00FB6CE1" w:rsidRPr="004C54C8" w:rsidRDefault="00FB6CE1" w:rsidP="00772048">
      <w:pPr>
        <w:pStyle w:val="ListBulletLast"/>
      </w:pPr>
      <w:r w:rsidRPr="00124BA8">
        <w:t xml:space="preserve">maintain existing arrangements for radiolocation, amateur and fixed satellite service (FSS) as well as devices operating under the </w:t>
      </w:r>
      <w:hyperlink r:id="rId31" w:history="1">
        <w:r w:rsidRPr="00772048">
          <w:rPr>
            <w:rStyle w:val="Hyperlink"/>
            <w:color w:val="auto"/>
            <w:u w:val="none"/>
          </w:rPr>
          <w:t>Radiocommunications (Low Interference Potential Devices) Class Licence 2015</w:t>
        </w:r>
      </w:hyperlink>
      <w:r w:rsidRPr="004C54C8">
        <w:t xml:space="preserve"> (the LIPD).</w:t>
      </w:r>
    </w:p>
    <w:bookmarkEnd w:id="43"/>
    <w:p w14:paraId="7DE9502A" w14:textId="77777777" w:rsidR="00FB6CE1" w:rsidRPr="006C6E23" w:rsidRDefault="00FB6CE1" w:rsidP="00FB6CE1">
      <w:pPr>
        <w:rPr>
          <w:b/>
          <w:bCs/>
          <w:color w:val="323232"/>
          <w:szCs w:val="20"/>
        </w:rPr>
      </w:pPr>
      <w:r w:rsidRPr="00806E3A">
        <w:rPr>
          <w:rFonts w:cs="Arial"/>
        </w:rPr>
        <w:t>The ACMA considers that the development and implementation of arrangements</w:t>
      </w:r>
      <w:r>
        <w:rPr>
          <w:rFonts w:cs="Arial"/>
        </w:rPr>
        <w:t xml:space="preserve"> in remote areas </w:t>
      </w:r>
      <w:r w:rsidRPr="00806E3A">
        <w:rPr>
          <w:rFonts w:cs="Arial"/>
        </w:rPr>
        <w:t>is not dependant on decisions made in other areas. Consequently, it intends to progress work in remote areas independent</w:t>
      </w:r>
      <w:r>
        <w:rPr>
          <w:rFonts w:cs="Arial"/>
        </w:rPr>
        <w:t>ly from</w:t>
      </w:r>
      <w:r w:rsidRPr="00806E3A">
        <w:rPr>
          <w:rFonts w:cs="Arial"/>
        </w:rPr>
        <w:t xml:space="preserve"> work performed in metropolitan areas, regionals</w:t>
      </w:r>
      <w:r w:rsidRPr="00B7067E">
        <w:rPr>
          <w:rFonts w:cs="Arial"/>
        </w:rPr>
        <w:t xml:space="preserve"> areas and major regional centres. </w:t>
      </w:r>
    </w:p>
    <w:p w14:paraId="7AB54461" w14:textId="77777777" w:rsidR="00FB6CE1" w:rsidRPr="00D961D6" w:rsidRDefault="00FB6CE1" w:rsidP="00772048">
      <w:pPr>
        <w:pStyle w:val="Heading4"/>
      </w:pPr>
      <w:r w:rsidRPr="00D961D6">
        <w:t>Metropolitan areas, regional areas and major regional centres</w:t>
      </w:r>
    </w:p>
    <w:p w14:paraId="170D3773" w14:textId="77777777" w:rsidR="00FB6CE1" w:rsidRDefault="00FB6CE1" w:rsidP="00FB6CE1">
      <w:pPr>
        <w:rPr>
          <w:rFonts w:cs="Arial"/>
        </w:rPr>
      </w:pPr>
      <w:r w:rsidRPr="009B4DF7">
        <w:rPr>
          <w:rFonts w:cs="Arial"/>
        </w:rPr>
        <w:t xml:space="preserve">The Options paper described the implementation </w:t>
      </w:r>
      <w:r w:rsidRPr="00BC181F">
        <w:rPr>
          <w:rFonts w:cs="Arial"/>
        </w:rPr>
        <w:t>process for</w:t>
      </w:r>
      <w:r w:rsidRPr="00EF5D2F">
        <w:rPr>
          <w:rFonts w:cs="Arial"/>
        </w:rPr>
        <w:t xml:space="preserve"> Option 3b occurring over two phases in metropolitan areas, regional areas and major regional centres</w:t>
      </w:r>
      <w:r>
        <w:rPr>
          <w:rFonts w:cs="Arial"/>
        </w:rPr>
        <w:t>.</w:t>
      </w:r>
      <w:r w:rsidRPr="00B84735">
        <w:rPr>
          <w:rFonts w:cs="Arial"/>
        </w:rPr>
        <w:t xml:space="preserve"> </w:t>
      </w:r>
    </w:p>
    <w:p w14:paraId="7114F424" w14:textId="77777777" w:rsidR="00FB6CE1" w:rsidRDefault="00FB6CE1" w:rsidP="00FB6CE1">
      <w:pPr>
        <w:rPr>
          <w:rFonts w:cs="Arial"/>
        </w:rPr>
      </w:pPr>
      <w:r w:rsidRPr="003F54C3">
        <w:rPr>
          <w:rFonts w:cs="Arial"/>
        </w:rPr>
        <w:t>Phase 1 involve</w:t>
      </w:r>
      <w:r>
        <w:rPr>
          <w:rFonts w:cs="Arial"/>
        </w:rPr>
        <w:t>s</w:t>
      </w:r>
      <w:r w:rsidRPr="003F54C3">
        <w:rPr>
          <w:rFonts w:cs="Arial"/>
        </w:rPr>
        <w:t xml:space="preserve"> the restack of apparatus licences and conversion of NBN </w:t>
      </w:r>
      <w:r w:rsidRPr="00806E3A">
        <w:rPr>
          <w:rFonts w:cs="Arial"/>
        </w:rPr>
        <w:t>Co’s 3.5 GHz PTS licences</w:t>
      </w:r>
      <w:r>
        <w:rPr>
          <w:rFonts w:cs="Arial"/>
        </w:rPr>
        <w:t xml:space="preserve"> to spectrum licences</w:t>
      </w:r>
      <w:r w:rsidRPr="00806E3A">
        <w:rPr>
          <w:rFonts w:cs="Arial"/>
        </w:rPr>
        <w:t xml:space="preserve">. </w:t>
      </w:r>
    </w:p>
    <w:p w14:paraId="4BE70037" w14:textId="6046FC13" w:rsidR="00FB6CE1" w:rsidRPr="0053513E" w:rsidRDefault="00FB6CE1" w:rsidP="00FB6CE1">
      <w:pPr>
        <w:rPr>
          <w:rFonts w:cs="Arial"/>
        </w:rPr>
      </w:pPr>
      <w:r w:rsidRPr="00806E3A">
        <w:rPr>
          <w:rFonts w:cs="Arial"/>
        </w:rPr>
        <w:t>Phase 2 involve</w:t>
      </w:r>
      <w:r>
        <w:rPr>
          <w:rFonts w:cs="Arial"/>
        </w:rPr>
        <w:t>s</w:t>
      </w:r>
      <w:r w:rsidRPr="00806E3A">
        <w:rPr>
          <w:rFonts w:cs="Arial"/>
        </w:rPr>
        <w:t xml:space="preserve"> developing arran</w:t>
      </w:r>
      <w:r w:rsidRPr="00B7067E">
        <w:rPr>
          <w:rFonts w:cs="Arial"/>
        </w:rPr>
        <w:t>gements for PMP licensing in relevant portions of the 3475</w:t>
      </w:r>
      <w:r w:rsidR="004C54C8">
        <w:rPr>
          <w:rFonts w:cs="Arial"/>
        </w:rPr>
        <w:t>–</w:t>
      </w:r>
      <w:r w:rsidRPr="00B7067E">
        <w:rPr>
          <w:rFonts w:cs="Arial"/>
        </w:rPr>
        <w:t xml:space="preserve">3542.5 MHz band and </w:t>
      </w:r>
      <w:r w:rsidRPr="006C6E23">
        <w:rPr>
          <w:rFonts w:cs="Arial"/>
        </w:rPr>
        <w:t>reallocatin</w:t>
      </w:r>
      <w:r w:rsidRPr="003A1A7E">
        <w:rPr>
          <w:rFonts w:cs="Arial"/>
        </w:rPr>
        <w:t xml:space="preserve">g </w:t>
      </w:r>
      <w:r w:rsidRPr="009B4DF7">
        <w:rPr>
          <w:rFonts w:cs="Arial"/>
        </w:rPr>
        <w:t>portions of the 3400</w:t>
      </w:r>
      <w:r w:rsidR="004C54C8">
        <w:rPr>
          <w:rFonts w:cs="Arial"/>
        </w:rPr>
        <w:t>–</w:t>
      </w:r>
      <w:r w:rsidRPr="009B4DF7">
        <w:rPr>
          <w:rFonts w:cs="Arial"/>
        </w:rPr>
        <w:t>3442.5 MHz band for spectrum licensing in defined areas. While notionally Phase 2 would commence after Phase 1, it was identified that some of the work could be conducted in parallel. This include</w:t>
      </w:r>
      <w:r>
        <w:rPr>
          <w:rFonts w:cs="Arial"/>
        </w:rPr>
        <w:t>s</w:t>
      </w:r>
      <w:r w:rsidRPr="00BC181F">
        <w:rPr>
          <w:rFonts w:cs="Arial"/>
        </w:rPr>
        <w:t xml:space="preserve"> developing</w:t>
      </w:r>
      <w:r w:rsidRPr="00EF5D2F">
        <w:rPr>
          <w:rFonts w:cs="Arial"/>
        </w:rPr>
        <w:t xml:space="preserve"> arrangements for PMP licensing. </w:t>
      </w:r>
    </w:p>
    <w:p w14:paraId="780010A0" w14:textId="77777777" w:rsidR="00FB6CE1" w:rsidRPr="003A1A7E" w:rsidRDefault="00FB6CE1" w:rsidP="00772048">
      <w:pPr>
        <w:spacing w:after="80"/>
        <w:rPr>
          <w:rFonts w:cs="Arial"/>
        </w:rPr>
      </w:pPr>
      <w:r w:rsidRPr="00B84735">
        <w:rPr>
          <w:rFonts w:cs="Arial"/>
        </w:rPr>
        <w:t xml:space="preserve">The ACMA sought comment on this process which included the following specific </w:t>
      </w:r>
      <w:r>
        <w:rPr>
          <w:rFonts w:cs="Arial"/>
        </w:rPr>
        <w:t>issues</w:t>
      </w:r>
      <w:r w:rsidRPr="003A1A7E">
        <w:rPr>
          <w:rFonts w:cs="Arial"/>
        </w:rPr>
        <w:t>:</w:t>
      </w:r>
    </w:p>
    <w:p w14:paraId="358AB161" w14:textId="1E4159F1" w:rsidR="00FB6CE1" w:rsidRPr="00124BA8" w:rsidRDefault="00FB6CE1" w:rsidP="00772048">
      <w:pPr>
        <w:pStyle w:val="ListBullet"/>
      </w:pPr>
      <w:r w:rsidRPr="004C54C8">
        <w:t>To remove possible impediments to the restack (or retuning) of services into defragmented spectrum arrangements</w:t>
      </w:r>
      <w:r w:rsidRPr="00D035AB">
        <w:t xml:space="preserve">, it was proposed that affected apparatus licences </w:t>
      </w:r>
      <w:r w:rsidR="004C54C8" w:rsidRPr="00124BA8">
        <w:t>are not</w:t>
      </w:r>
      <w:r w:rsidRPr="00124BA8">
        <w:t xml:space="preserve"> reissued beyond a defined date. The length of this period is something that the ACMA sought feedback on.</w:t>
      </w:r>
    </w:p>
    <w:p w14:paraId="24C39568" w14:textId="25FB3C5E" w:rsidR="00FB6CE1" w:rsidRPr="00124BA8" w:rsidRDefault="00FB6CE1" w:rsidP="00772048">
      <w:pPr>
        <w:pStyle w:val="ListBullet"/>
      </w:pPr>
      <w:r w:rsidRPr="00124BA8">
        <w:t xml:space="preserve">For any areas and frequencies that are reallocated for the issue of spectrum licences (refer to Figure 1), the ACMA sought feedback on the appropriate length of the reallocation period. </w:t>
      </w:r>
    </w:p>
    <w:p w14:paraId="7E476EF9" w14:textId="77777777" w:rsidR="00FB6CE1" w:rsidRPr="00124BA8" w:rsidRDefault="00FB6CE1" w:rsidP="00772048">
      <w:pPr>
        <w:pStyle w:val="ListBulletLast"/>
      </w:pPr>
      <w:r w:rsidRPr="00124BA8">
        <w:t>Is there benefit in converting metropolitan areas of NBN Co’s 3.5 GHz PTS licences before the regional areas. Would this provide greater certainty for negotiations on defrag to occur?</w:t>
      </w:r>
    </w:p>
    <w:p w14:paraId="15794F81" w14:textId="77777777" w:rsidR="00FB6CE1" w:rsidRDefault="00FB6CE1" w:rsidP="00FB6CE1">
      <w:pPr>
        <w:rPr>
          <w:rFonts w:cs="Arial"/>
        </w:rPr>
      </w:pPr>
      <w:bookmarkStart w:id="44" w:name="_Hlk20908208"/>
      <w:bookmarkStart w:id="45" w:name="_Hlk20913934"/>
      <w:r w:rsidRPr="003A1A7E">
        <w:rPr>
          <w:rFonts w:cs="Arial"/>
        </w:rPr>
        <w:lastRenderedPageBreak/>
        <w:t xml:space="preserve">Submissions to the consultation were </w:t>
      </w:r>
      <w:r w:rsidRPr="009B4DF7">
        <w:rPr>
          <w:rFonts w:cs="Arial"/>
        </w:rPr>
        <w:t xml:space="preserve">generally supportive of </w:t>
      </w:r>
      <w:r>
        <w:rPr>
          <w:rFonts w:cs="Arial"/>
        </w:rPr>
        <w:t xml:space="preserve">the </w:t>
      </w:r>
      <w:r w:rsidRPr="003A1A7E">
        <w:rPr>
          <w:rFonts w:cs="Arial"/>
        </w:rPr>
        <w:t>implement</w:t>
      </w:r>
      <w:r>
        <w:rPr>
          <w:rFonts w:cs="Arial"/>
        </w:rPr>
        <w:t>ation process described for</w:t>
      </w:r>
      <w:r w:rsidRPr="003A1A7E">
        <w:rPr>
          <w:rFonts w:cs="Arial"/>
        </w:rPr>
        <w:t xml:space="preserve"> Option 3b</w:t>
      </w:r>
      <w:r w:rsidRPr="009B4DF7">
        <w:rPr>
          <w:rFonts w:cs="Arial"/>
        </w:rPr>
        <w:t xml:space="preserve">. There was also interest in making more of the band available for wide-area and localised wireless broadband use in regional areas and major regional centres as proposed under </w:t>
      </w:r>
      <w:r>
        <w:rPr>
          <w:rFonts w:cs="Arial"/>
        </w:rPr>
        <w:t>P</w:t>
      </w:r>
      <w:r w:rsidRPr="009B4DF7">
        <w:rPr>
          <w:rFonts w:cs="Arial"/>
        </w:rPr>
        <w:t xml:space="preserve">hase 2. </w:t>
      </w:r>
    </w:p>
    <w:p w14:paraId="69EBC3E1" w14:textId="77777777" w:rsidR="00FB6CE1" w:rsidRPr="00806E3A" w:rsidRDefault="00FB6CE1" w:rsidP="00FB6CE1">
      <w:pPr>
        <w:rPr>
          <w:rFonts w:cs="Arial"/>
        </w:rPr>
      </w:pPr>
      <w:r>
        <w:rPr>
          <w:rFonts w:cs="Arial"/>
        </w:rPr>
        <w:t>S</w:t>
      </w:r>
      <w:r w:rsidRPr="00806E3A">
        <w:rPr>
          <w:rFonts w:cs="Arial"/>
        </w:rPr>
        <w:t xml:space="preserve">ubmissions </w:t>
      </w:r>
      <w:r>
        <w:rPr>
          <w:rFonts w:cs="Arial"/>
        </w:rPr>
        <w:t xml:space="preserve">from ARCIA and DB Telecoms also </w:t>
      </w:r>
      <w:r w:rsidRPr="00806E3A">
        <w:rPr>
          <w:rFonts w:cs="Arial"/>
        </w:rPr>
        <w:t>indicated pent-up demand from localised wireless broadband operators for access to spectrum in metropolitan areas, regional areas and major regional centres.</w:t>
      </w:r>
    </w:p>
    <w:p w14:paraId="14C67B8A" w14:textId="77777777" w:rsidR="00FB6CE1" w:rsidRDefault="00FB6CE1" w:rsidP="00FB6CE1">
      <w:pPr>
        <w:rPr>
          <w:rFonts w:cs="Arial"/>
        </w:rPr>
      </w:pPr>
      <w:r w:rsidRPr="004B06AF">
        <w:rPr>
          <w:rFonts w:cs="Arial"/>
        </w:rPr>
        <w:t xml:space="preserve">There was interest </w:t>
      </w:r>
      <w:r>
        <w:rPr>
          <w:rFonts w:cs="Arial"/>
        </w:rPr>
        <w:t xml:space="preserve">from NBN Co, Telstra and Optus for </w:t>
      </w:r>
      <w:r w:rsidRPr="004B06AF">
        <w:rPr>
          <w:rFonts w:cs="Arial"/>
        </w:rPr>
        <w:t xml:space="preserve">the ACMA prioritising work on the defragmentation of spectrum arrangements. </w:t>
      </w:r>
      <w:r>
        <w:rPr>
          <w:rFonts w:cs="Arial"/>
        </w:rPr>
        <w:t xml:space="preserve">Optus noted that if a national defrag plan could not be agreed to in 2019, then the restack and defragmentation process should be prioritised in the highest value areas first. Optus further indicated individual regions could be progressively restacked according to an agreed priority between affected licensees. </w:t>
      </w:r>
    </w:p>
    <w:p w14:paraId="1D7E06B8" w14:textId="2BEDF077" w:rsidR="00FB6CE1" w:rsidRDefault="00FB6CE1" w:rsidP="00FB6CE1">
      <w:pPr>
        <w:rPr>
          <w:rFonts w:cs="Arial"/>
        </w:rPr>
      </w:pPr>
      <w:r>
        <w:rPr>
          <w:rFonts w:cs="Arial"/>
        </w:rPr>
        <w:t xml:space="preserve">For areas where </w:t>
      </w:r>
      <w:r w:rsidRPr="004B06AF">
        <w:rPr>
          <w:rFonts w:cs="Arial"/>
        </w:rPr>
        <w:t>coexistence</w:t>
      </w:r>
      <w:r>
        <w:rPr>
          <w:rFonts w:cs="Arial"/>
        </w:rPr>
        <w:t xml:space="preserve"> issues</w:t>
      </w:r>
      <w:r w:rsidRPr="004B06AF">
        <w:rPr>
          <w:rFonts w:cs="Arial"/>
        </w:rPr>
        <w:t xml:space="preserve"> or </w:t>
      </w:r>
      <w:r>
        <w:rPr>
          <w:rFonts w:cs="Arial"/>
        </w:rPr>
        <w:t>the absence of agreements between licensees might prevent restack from occurring</w:t>
      </w:r>
      <w:r w:rsidRPr="004B06AF">
        <w:rPr>
          <w:rFonts w:cs="Arial"/>
        </w:rPr>
        <w:t xml:space="preserve">, </w:t>
      </w:r>
      <w:r>
        <w:rPr>
          <w:rFonts w:cs="Arial"/>
        </w:rPr>
        <w:t xml:space="preserve">Optus proposed that the </w:t>
      </w:r>
      <w:r w:rsidRPr="004B06AF">
        <w:rPr>
          <w:rFonts w:cs="Arial"/>
        </w:rPr>
        <w:t xml:space="preserve">period </w:t>
      </w:r>
      <w:r>
        <w:rPr>
          <w:rFonts w:cs="Arial"/>
        </w:rPr>
        <w:t xml:space="preserve">before affected apparatus licences are not reissued </w:t>
      </w:r>
      <w:r w:rsidRPr="004B06AF">
        <w:rPr>
          <w:rFonts w:cs="Arial"/>
        </w:rPr>
        <w:t xml:space="preserve">should be </w:t>
      </w:r>
      <w:r>
        <w:rPr>
          <w:rFonts w:cs="Arial"/>
        </w:rPr>
        <w:t>twelve</w:t>
      </w:r>
      <w:r w:rsidRPr="004B06AF">
        <w:rPr>
          <w:rFonts w:cs="Arial"/>
        </w:rPr>
        <w:t xml:space="preserve"> months.</w:t>
      </w:r>
      <w:r>
        <w:rPr>
          <w:rFonts w:cs="Arial"/>
        </w:rPr>
        <w:t xml:space="preserve"> A timeframe of three years was proposed in areas where coexistence was possible. DB Telecoms believed a three to </w:t>
      </w:r>
      <w:r w:rsidR="004C54C8">
        <w:rPr>
          <w:rFonts w:cs="Arial"/>
        </w:rPr>
        <w:t>five-year</w:t>
      </w:r>
      <w:r>
        <w:rPr>
          <w:rFonts w:cs="Arial"/>
        </w:rPr>
        <w:t xml:space="preserve"> timeframe was appropriate on the basis this was a restack rather than a reallocation process.</w:t>
      </w:r>
      <w:r w:rsidRPr="004B06AF">
        <w:rPr>
          <w:rFonts w:cs="Arial"/>
        </w:rPr>
        <w:t xml:space="preserve"> </w:t>
      </w:r>
      <w:r>
        <w:rPr>
          <w:rFonts w:cs="Arial"/>
        </w:rPr>
        <w:t xml:space="preserve">VHA suggested a two-year period was </w:t>
      </w:r>
      <w:proofErr w:type="gramStart"/>
      <w:r>
        <w:rPr>
          <w:rFonts w:cs="Arial"/>
        </w:rPr>
        <w:t>sufficient</w:t>
      </w:r>
      <w:proofErr w:type="gramEnd"/>
      <w:r>
        <w:rPr>
          <w:rFonts w:cs="Arial"/>
        </w:rPr>
        <w:t>, while NBN Co considered it desirable to have necessary commercial agreements in place before determining any maximum timeframes for restack to occur.</w:t>
      </w:r>
    </w:p>
    <w:p w14:paraId="06D4936B" w14:textId="77777777" w:rsidR="00FB6CE1" w:rsidRDefault="00FB6CE1" w:rsidP="00FB6CE1">
      <w:pPr>
        <w:rPr>
          <w:rFonts w:cs="Arial"/>
        </w:rPr>
      </w:pPr>
      <w:r>
        <w:rPr>
          <w:rFonts w:cs="Arial"/>
        </w:rPr>
        <w:t xml:space="preserve">Optus considered an early conversion of metropolitan areas would facilitate defrag negotiations. However, while NBN Co was open to further discussion on the issue, they did not see any immediate benefits. </w:t>
      </w:r>
    </w:p>
    <w:p w14:paraId="242829CB" w14:textId="37B4F93C" w:rsidR="00FB6CE1" w:rsidRPr="009B4DF7" w:rsidRDefault="00FB6CE1" w:rsidP="00FB6CE1">
      <w:pPr>
        <w:rPr>
          <w:rFonts w:cs="Arial"/>
        </w:rPr>
      </w:pPr>
      <w:r>
        <w:rPr>
          <w:rFonts w:cs="Arial"/>
        </w:rPr>
        <w:t>Telstra</w:t>
      </w:r>
      <w:r w:rsidRPr="00806E3A">
        <w:rPr>
          <w:rFonts w:cs="Arial"/>
        </w:rPr>
        <w:t xml:space="preserve"> suggested that 5G operators should be consolidated at the top of the band and other operators, including NBN Co and legacy PMP services, at the bottom. This would increase the frequency </w:t>
      </w:r>
      <w:r w:rsidRPr="00B7067E">
        <w:rPr>
          <w:rFonts w:cs="Arial"/>
        </w:rPr>
        <w:t>separa</w:t>
      </w:r>
      <w:r w:rsidRPr="006C6E23">
        <w:rPr>
          <w:rFonts w:cs="Arial"/>
        </w:rPr>
        <w:t>tion</w:t>
      </w:r>
      <w:r w:rsidRPr="003A1A7E">
        <w:rPr>
          <w:rFonts w:cs="Arial"/>
        </w:rPr>
        <w:t xml:space="preserve"> between the services an</w:t>
      </w:r>
      <w:r>
        <w:rPr>
          <w:rFonts w:cs="Arial"/>
        </w:rPr>
        <w:t>d</w:t>
      </w:r>
      <w:r w:rsidRPr="003A1A7E">
        <w:rPr>
          <w:rFonts w:cs="Arial"/>
        </w:rPr>
        <w:t xml:space="preserve"> enable 5G </w:t>
      </w:r>
      <w:r w:rsidRPr="009B4DF7">
        <w:rPr>
          <w:rFonts w:cs="Arial"/>
        </w:rPr>
        <w:t xml:space="preserve">operators to adopt </w:t>
      </w:r>
      <w:r>
        <w:rPr>
          <w:rFonts w:cs="Arial"/>
        </w:rPr>
        <w:t xml:space="preserve">a </w:t>
      </w:r>
      <w:r w:rsidRPr="003A1A7E">
        <w:rPr>
          <w:rFonts w:cs="Arial"/>
        </w:rPr>
        <w:t xml:space="preserve">more efficient frame structure when </w:t>
      </w:r>
      <w:r w:rsidRPr="009B4DF7">
        <w:rPr>
          <w:rFonts w:cs="Arial"/>
        </w:rPr>
        <w:t xml:space="preserve">synchronising services. </w:t>
      </w:r>
      <w:r>
        <w:rPr>
          <w:rFonts w:cs="Arial"/>
        </w:rPr>
        <w:t>Telstra was</w:t>
      </w:r>
      <w:r w:rsidRPr="003A1A7E">
        <w:rPr>
          <w:rFonts w:cs="Arial"/>
        </w:rPr>
        <w:t xml:space="preserve"> also interest</w:t>
      </w:r>
      <w:r>
        <w:rPr>
          <w:rFonts w:cs="Arial"/>
        </w:rPr>
        <w:t>ed</w:t>
      </w:r>
      <w:r w:rsidRPr="003A1A7E">
        <w:rPr>
          <w:rFonts w:cs="Arial"/>
        </w:rPr>
        <w:t xml:space="preserve"> in </w:t>
      </w:r>
      <w:r>
        <w:rPr>
          <w:rFonts w:cs="Arial"/>
        </w:rPr>
        <w:t>requiring</w:t>
      </w:r>
      <w:r w:rsidRPr="003A1A7E">
        <w:rPr>
          <w:rFonts w:cs="Arial"/>
        </w:rPr>
        <w:t xml:space="preserve"> all wireless broadband services in the 3400</w:t>
      </w:r>
      <w:r w:rsidR="004C54C8">
        <w:rPr>
          <w:rFonts w:cs="Arial"/>
        </w:rPr>
        <w:t>–</w:t>
      </w:r>
      <w:r w:rsidRPr="003A1A7E">
        <w:rPr>
          <w:rFonts w:cs="Arial"/>
        </w:rPr>
        <w:t xml:space="preserve">3575 MHz band to </w:t>
      </w:r>
      <w:r w:rsidRPr="009B4DF7">
        <w:rPr>
          <w:rFonts w:cs="Arial"/>
        </w:rPr>
        <w:t xml:space="preserve">synchronise in the event there is interference and no agreement on how to resolve it. </w:t>
      </w:r>
    </w:p>
    <w:bookmarkEnd w:id="44"/>
    <w:p w14:paraId="33D813E2" w14:textId="364BB889" w:rsidR="00FB6CE1" w:rsidRDefault="00FB6CE1" w:rsidP="00FB6CE1">
      <w:pPr>
        <w:rPr>
          <w:rFonts w:cs="Arial"/>
        </w:rPr>
      </w:pPr>
      <w:r>
        <w:rPr>
          <w:rFonts w:cs="Arial"/>
        </w:rPr>
        <w:t>Regarding the possible reallocation of spectrum for the issue of spectrum licences, recommended timeframes for the associated reallocation period ranged from 2</w:t>
      </w:r>
      <w:r w:rsidR="004C54C8">
        <w:rPr>
          <w:rFonts w:cs="Arial"/>
        </w:rPr>
        <w:t>–</w:t>
      </w:r>
      <w:r>
        <w:rPr>
          <w:rFonts w:cs="Arial"/>
        </w:rPr>
        <w:t xml:space="preserve">7 years. DB Telecoms stated that, consistent with the 3.6 GHz band, a seven-year period was appropriate. VHA and Telstra supported a two-year period, while Optus proposed a three-year period and believed seven years was excessive. Optus also wanted to ensure any reallocation process was, as far as possible, decoupled from the defragmentation of metropolitan areas. </w:t>
      </w:r>
    </w:p>
    <w:p w14:paraId="037F955B" w14:textId="77777777" w:rsidR="00FB6CE1" w:rsidRPr="009B4DF7" w:rsidRDefault="00FB6CE1" w:rsidP="00FB6CE1">
      <w:pPr>
        <w:rPr>
          <w:rFonts w:cs="Arial"/>
        </w:rPr>
      </w:pPr>
      <w:r w:rsidRPr="003A1A7E">
        <w:rPr>
          <w:rFonts w:cs="Arial"/>
        </w:rPr>
        <w:t>Incumbent radiolocation (Department of Defence) and FSS earth station (Lockheed Martin Australia) licensees wh</w:t>
      </w:r>
      <w:r w:rsidRPr="009B4DF7">
        <w:rPr>
          <w:rFonts w:cs="Arial"/>
        </w:rPr>
        <w:t>ere interested in ensuring they c</w:t>
      </w:r>
      <w:r>
        <w:rPr>
          <w:rFonts w:cs="Arial"/>
        </w:rPr>
        <w:t>ould</w:t>
      </w:r>
      <w:r w:rsidRPr="009B4DF7">
        <w:rPr>
          <w:rFonts w:cs="Arial"/>
        </w:rPr>
        <w:t xml:space="preserve"> continue operating in the band. </w:t>
      </w:r>
    </w:p>
    <w:bookmarkEnd w:id="45"/>
    <w:p w14:paraId="509165C7" w14:textId="4EBEED98" w:rsidR="00FB6CE1" w:rsidRPr="00772048" w:rsidRDefault="00FB6CE1" w:rsidP="00FB6CE1">
      <w:pPr>
        <w:spacing w:after="120"/>
        <w:rPr>
          <w:rFonts w:cs="Arial"/>
          <w:i/>
          <w:iCs/>
        </w:rPr>
      </w:pPr>
      <w:r w:rsidRPr="00772048">
        <w:rPr>
          <w:rFonts w:cs="Arial"/>
          <w:i/>
          <w:iCs/>
        </w:rPr>
        <w:t xml:space="preserve">ACMA </w:t>
      </w:r>
      <w:r w:rsidR="004C54C8" w:rsidRPr="00772048">
        <w:rPr>
          <w:rFonts w:cs="Arial"/>
          <w:i/>
          <w:iCs/>
        </w:rPr>
        <w:t>r</w:t>
      </w:r>
      <w:r w:rsidRPr="00772048">
        <w:rPr>
          <w:rFonts w:cs="Arial"/>
          <w:i/>
          <w:iCs/>
        </w:rPr>
        <w:t>esponse</w:t>
      </w:r>
    </w:p>
    <w:p w14:paraId="74FA5317" w14:textId="0DADCAC5" w:rsidR="00FB6CE1" w:rsidRDefault="00FB6CE1" w:rsidP="00FB6CE1">
      <w:pPr>
        <w:rPr>
          <w:rFonts w:cs="Arial"/>
        </w:rPr>
      </w:pPr>
      <w:r>
        <w:rPr>
          <w:rFonts w:cs="Arial"/>
        </w:rPr>
        <w:t>The ACMA is progressing work on the optimisation of arrangements in the 3400</w:t>
      </w:r>
      <w:r w:rsidR="004C54C8">
        <w:rPr>
          <w:rFonts w:cs="Arial"/>
        </w:rPr>
        <w:t>–</w:t>
      </w:r>
      <w:r>
        <w:rPr>
          <w:rFonts w:cs="Arial"/>
        </w:rPr>
        <w:t xml:space="preserve">3575 MHz band as a matter of priority. To this end the ACMA will implement both phases of Option 3b as discussed in the Options paper. </w:t>
      </w:r>
    </w:p>
    <w:p w14:paraId="4252845A" w14:textId="77777777" w:rsidR="00FB6CE1" w:rsidRDefault="00FB6CE1" w:rsidP="00FB6CE1">
      <w:pPr>
        <w:rPr>
          <w:rFonts w:cs="Arial"/>
        </w:rPr>
      </w:pPr>
      <w:r>
        <w:rPr>
          <w:rFonts w:cs="Arial"/>
        </w:rPr>
        <w:t>To implement defrag, the ACMA has identified two key deliverables:</w:t>
      </w:r>
    </w:p>
    <w:p w14:paraId="72AC5938" w14:textId="3A970B9D" w:rsidR="00FB6CE1" w:rsidRPr="003A1A7E" w:rsidRDefault="00FB6CE1" w:rsidP="00772048">
      <w:pPr>
        <w:pStyle w:val="ListBullet"/>
      </w:pPr>
      <w:r w:rsidRPr="004C54C8">
        <w:lastRenderedPageBreak/>
        <w:t>Operational</w:t>
      </w:r>
      <w:r>
        <w:t xml:space="preserve"> defrag</w:t>
      </w:r>
      <w:r w:rsidR="004C54C8">
        <w:t>—</w:t>
      </w:r>
      <w:r w:rsidR="009B21E4">
        <w:t>T</w:t>
      </w:r>
      <w:r>
        <w:t xml:space="preserve">his is achieved when licensees are operating devices in consolidated spectrum arrangements. At this point the cost and operational benefits of defrag will start being realised. </w:t>
      </w:r>
    </w:p>
    <w:p w14:paraId="58E7A218" w14:textId="13ACE4F5" w:rsidR="00FB6CE1" w:rsidRPr="003A1A7E" w:rsidRDefault="00FB6CE1" w:rsidP="009B21E4">
      <w:pPr>
        <w:pStyle w:val="ListBulletLast"/>
      </w:pPr>
      <w:r>
        <w:t>Licence defrag</w:t>
      </w:r>
      <w:r w:rsidR="004C54C8">
        <w:t>—</w:t>
      </w:r>
      <w:r w:rsidR="009B21E4">
        <w:t>T</w:t>
      </w:r>
      <w:r>
        <w:t xml:space="preserve">his is achieved when licences are traded or varied to achieve </w:t>
      </w:r>
      <w:r w:rsidRPr="009B21E4">
        <w:t>contiguous</w:t>
      </w:r>
      <w:r>
        <w:t xml:space="preserve"> holdings. </w:t>
      </w:r>
    </w:p>
    <w:p w14:paraId="49424A29" w14:textId="77777777" w:rsidR="00FB6CE1" w:rsidRDefault="00FB6CE1" w:rsidP="00FB6CE1">
      <w:pPr>
        <w:pStyle w:val="ListBullet"/>
        <w:numPr>
          <w:ilvl w:val="0"/>
          <w:numId w:val="0"/>
        </w:numPr>
        <w:spacing w:after="120" w:line="240" w:lineRule="auto"/>
        <w:rPr>
          <w:rFonts w:cs="Arial"/>
        </w:rPr>
      </w:pPr>
      <w:r>
        <w:rPr>
          <w:rFonts w:cs="Arial"/>
        </w:rPr>
        <w:t xml:space="preserve">The ACMA considers that operational defrag can be achieved as part of the restack process. For spectrum licensees, licence defrag can be achieved after NBN Co’s 3.5 GHz PTS licences are converted. </w:t>
      </w:r>
    </w:p>
    <w:p w14:paraId="0F23DFC3" w14:textId="77777777" w:rsidR="00FB6CE1" w:rsidRPr="004B06AF" w:rsidRDefault="00FB6CE1" w:rsidP="00FB6CE1">
      <w:pPr>
        <w:pStyle w:val="ListBullet"/>
        <w:numPr>
          <w:ilvl w:val="0"/>
          <w:numId w:val="0"/>
        </w:numPr>
        <w:spacing w:after="240" w:line="240" w:lineRule="auto"/>
      </w:pPr>
      <w:r>
        <w:rPr>
          <w:rFonts w:cs="Arial"/>
        </w:rPr>
        <w:t xml:space="preserve">As suggested in submissions, it is possible for restack to be prioritised and implemented faster in different areas via agreement between licensees. This means operational defrag can be achieved in a relatively short period in key areas. The ACMA encourages such agreements being negotiated. </w:t>
      </w:r>
      <w:r>
        <w:t xml:space="preserve">It will also </w:t>
      </w:r>
      <w:r w:rsidRPr="004B06AF">
        <w:t xml:space="preserve">work with licensees to manage </w:t>
      </w:r>
      <w:r>
        <w:t xml:space="preserve">regulatory </w:t>
      </w:r>
      <w:r w:rsidRPr="004B06AF">
        <w:t>issues associated wi</w:t>
      </w:r>
      <w:r>
        <w:t>t</w:t>
      </w:r>
      <w:r w:rsidRPr="004B06AF">
        <w:t xml:space="preserve">h </w:t>
      </w:r>
      <w:r>
        <w:t xml:space="preserve">the </w:t>
      </w:r>
      <w:r w:rsidRPr="004B06AF">
        <w:t>restack process including</w:t>
      </w:r>
      <w:r>
        <w:t>:</w:t>
      </w:r>
      <w:r w:rsidRPr="004B06AF">
        <w:t xml:space="preserve"> </w:t>
      </w:r>
      <w:r>
        <w:t xml:space="preserve">the </w:t>
      </w:r>
      <w:r w:rsidRPr="004B06AF">
        <w:t>regist</w:t>
      </w:r>
      <w:r>
        <w:t>ration of</w:t>
      </w:r>
      <w:r w:rsidRPr="004B06AF">
        <w:t xml:space="preserve"> devices near spectrum licence boundaries </w:t>
      </w:r>
      <w:r>
        <w:t>and/</w:t>
      </w:r>
      <w:r w:rsidRPr="004B06AF">
        <w:t xml:space="preserve">or that </w:t>
      </w:r>
      <w:r>
        <w:t xml:space="preserve">straddle </w:t>
      </w:r>
      <w:r w:rsidRPr="004B06AF">
        <w:t>spectrum and apparatus licences</w:t>
      </w:r>
      <w:r>
        <w:t xml:space="preserve"> frequency boundaries. Affected PMP</w:t>
      </w:r>
      <w:r>
        <w:rPr>
          <w:rFonts w:cs="Arial"/>
        </w:rPr>
        <w:t xml:space="preserve"> licensees will also be able to apply for new licences in the newly consolidated PMP spectrum arrangements. </w:t>
      </w:r>
    </w:p>
    <w:p w14:paraId="6E4BFFA6" w14:textId="4ABA3DDC" w:rsidR="00FB6CE1" w:rsidRDefault="00FB6CE1" w:rsidP="00FB6CE1">
      <w:pPr>
        <w:pStyle w:val="ListBullet"/>
        <w:numPr>
          <w:ilvl w:val="0"/>
          <w:numId w:val="0"/>
        </w:numPr>
        <w:spacing w:after="240" w:line="240" w:lineRule="auto"/>
        <w:rPr>
          <w:rFonts w:cs="Arial"/>
        </w:rPr>
      </w:pPr>
      <w:bookmarkStart w:id="46" w:name="_Hlk20929547"/>
      <w:bookmarkStart w:id="47" w:name="_Hlk21022039"/>
      <w:r w:rsidRPr="004B06AF">
        <w:rPr>
          <w:rFonts w:cs="Arial"/>
        </w:rPr>
        <w:t>To ensure a timely restack of services</w:t>
      </w:r>
      <w:r>
        <w:rPr>
          <w:rFonts w:cs="Arial"/>
        </w:rPr>
        <w:t xml:space="preserve">, the ACMA will adopt a policy of only reissuing PMP </w:t>
      </w:r>
      <w:r w:rsidRPr="005B78E8">
        <w:rPr>
          <w:rFonts w:cs="Arial"/>
        </w:rPr>
        <w:t>licen</w:t>
      </w:r>
      <w:r>
        <w:rPr>
          <w:rFonts w:cs="Arial"/>
        </w:rPr>
        <w:t>c</w:t>
      </w:r>
      <w:r w:rsidRPr="005B78E8">
        <w:rPr>
          <w:rFonts w:cs="Arial"/>
        </w:rPr>
        <w:t xml:space="preserve">es </w:t>
      </w:r>
      <w:r w:rsidRPr="00D04EA1">
        <w:rPr>
          <w:rFonts w:cs="Arial"/>
        </w:rPr>
        <w:t>operating in the 3425</w:t>
      </w:r>
      <w:r w:rsidR="004C54C8">
        <w:t>–</w:t>
      </w:r>
      <w:r w:rsidRPr="00D04EA1">
        <w:rPr>
          <w:rFonts w:cs="Arial"/>
        </w:rPr>
        <w:t>3442.5 MHz band in</w:t>
      </w:r>
      <w:r w:rsidRPr="00D33125">
        <w:rPr>
          <w:rFonts w:cs="Arial"/>
        </w:rPr>
        <w:t xml:space="preserve"> </w:t>
      </w:r>
      <w:r w:rsidRPr="005F4563">
        <w:rPr>
          <w:rFonts w:cs="Arial"/>
        </w:rPr>
        <w:t xml:space="preserve">regional areas </w:t>
      </w:r>
      <w:r>
        <w:rPr>
          <w:rFonts w:cs="Arial"/>
        </w:rPr>
        <w:t xml:space="preserve">on the basis they expire on or before </w:t>
      </w:r>
      <w:r w:rsidRPr="00C46F8B">
        <w:rPr>
          <w:rFonts w:cs="Arial"/>
        </w:rPr>
        <w:t>30 November</w:t>
      </w:r>
      <w:r w:rsidR="005D292D">
        <w:rPr>
          <w:rFonts w:cs="Arial"/>
        </w:rPr>
        <w:t xml:space="preserve"> 2020</w:t>
      </w:r>
      <w:r w:rsidRPr="005B78E8">
        <w:rPr>
          <w:rFonts w:cs="Arial"/>
        </w:rPr>
        <w:t>. During this time alternative spectrum in the 3475</w:t>
      </w:r>
      <w:r w:rsidR="004C54C8">
        <w:t>–</w:t>
      </w:r>
      <w:r w:rsidRPr="005B78E8">
        <w:rPr>
          <w:rFonts w:cs="Arial"/>
        </w:rPr>
        <w:t>3510 MHz band will be ma</w:t>
      </w:r>
      <w:r>
        <w:rPr>
          <w:rFonts w:cs="Arial"/>
        </w:rPr>
        <w:t xml:space="preserve">de available for licensees to move into. Licensees will also be free to investigate other options, for details refer to ‘Effect on incumbent </w:t>
      </w:r>
      <w:proofErr w:type="gramStart"/>
      <w:r>
        <w:rPr>
          <w:rFonts w:cs="Arial"/>
        </w:rPr>
        <w:t>licensees’</w:t>
      </w:r>
      <w:bookmarkEnd w:id="46"/>
      <w:proofErr w:type="gramEnd"/>
      <w:r>
        <w:rPr>
          <w:rFonts w:cs="Arial"/>
        </w:rPr>
        <w:t xml:space="preserve">. </w:t>
      </w:r>
      <w:bookmarkEnd w:id="47"/>
      <w:r>
        <w:rPr>
          <w:rFonts w:cs="Arial"/>
        </w:rPr>
        <w:t>The same non-renewal timeframe will apply to the affected portions of NBN Co’s 3.5 GHz PTS licence in the 3492.5</w:t>
      </w:r>
      <w:r w:rsidR="004C54C8">
        <w:t>–</w:t>
      </w:r>
      <w:r>
        <w:rPr>
          <w:rFonts w:cs="Arial"/>
        </w:rPr>
        <w:t>3510 MHz band that are required to move to the 3425</w:t>
      </w:r>
      <w:r w:rsidR="004C54C8">
        <w:t>–</w:t>
      </w:r>
      <w:r>
        <w:rPr>
          <w:rFonts w:cs="Arial"/>
        </w:rPr>
        <w:t>3442.5 MHz band.</w:t>
      </w:r>
    </w:p>
    <w:p w14:paraId="749B6BE7" w14:textId="77777777" w:rsidR="00FB6CE1" w:rsidRDefault="00FB6CE1" w:rsidP="00FB6CE1">
      <w:pPr>
        <w:pStyle w:val="ListBullet"/>
        <w:numPr>
          <w:ilvl w:val="0"/>
          <w:numId w:val="0"/>
        </w:numPr>
        <w:spacing w:after="240" w:line="240" w:lineRule="auto"/>
        <w:rPr>
          <w:rFonts w:cs="Arial"/>
        </w:rPr>
      </w:pPr>
      <w:r>
        <w:rPr>
          <w:rFonts w:cs="Arial"/>
        </w:rPr>
        <w:t xml:space="preserve">This timeframe is considered suitable due to the small number of licences affected and the availability of equivalent alternative spectrum. It will also mean spectrum will be made available for new localised wireless broadband use in a shorter timeframe. It is expected that incumbent TDD PMP services will be able to retune into these consolidated arrangements using existing equipment. The ACMA also acknowledges that FDD PMP services may be required to replace equipment in order to move services. In such cases, licensees may also wish to investigate either negotiating arrangements to restack faster or obtain third-party access to NBN Co’s spectrum holdings to enable ongoing operation on current frequencies.    </w:t>
      </w:r>
    </w:p>
    <w:p w14:paraId="09876CA4" w14:textId="57894458" w:rsidR="00FB6CE1" w:rsidRDefault="00FB6CE1" w:rsidP="00FB6CE1">
      <w:pPr>
        <w:pStyle w:val="ListBullet"/>
        <w:numPr>
          <w:ilvl w:val="0"/>
          <w:numId w:val="0"/>
        </w:numPr>
        <w:spacing w:before="120" w:after="240" w:line="240" w:lineRule="auto"/>
      </w:pPr>
      <w:r w:rsidRPr="004B06AF">
        <w:t>To preserve options for PMP licensees and NBN Co during the restack process, an embargo will be placed on the 3425</w:t>
      </w:r>
      <w:r w:rsidR="003C3144">
        <w:t>–</w:t>
      </w:r>
      <w:r w:rsidRPr="004B06AF">
        <w:t>3442.5 MHz and 3475</w:t>
      </w:r>
      <w:r w:rsidR="003C3144">
        <w:t>–</w:t>
      </w:r>
      <w:r w:rsidRPr="004B06AF">
        <w:t>3510 MHz frequency ranges in regional areas. This will ensure there is clear spectrum for affected licensees to move into. The ACMA will also maintain the embargo in the 3400</w:t>
      </w:r>
      <w:r w:rsidR="003C3144">
        <w:t>–</w:t>
      </w:r>
      <w:r w:rsidRPr="004B06AF">
        <w:t>3425 MHz and 3492.5</w:t>
      </w:r>
      <w:r w:rsidR="003C3144">
        <w:t>–</w:t>
      </w:r>
      <w:r w:rsidRPr="004B06AF">
        <w:t xml:space="preserve">3542.5 MHz frequency ranges in metropolitan areas, regional areas and </w:t>
      </w:r>
      <w:r w:rsidR="00C32FDD">
        <w:t>major</w:t>
      </w:r>
      <w:r w:rsidR="007A60D8">
        <w:t xml:space="preserve"> regional</w:t>
      </w:r>
      <w:r w:rsidRPr="004B06AF">
        <w:t xml:space="preserve"> centres. Once arrangements for new PMP licen</w:t>
      </w:r>
      <w:r>
        <w:t>c</w:t>
      </w:r>
      <w:r w:rsidRPr="004B06AF">
        <w:t>es are finalised these embargoes will be appropriately modified. The embargoes will remain in place in those areas and frequencies</w:t>
      </w:r>
      <w:r>
        <w:t xml:space="preserve"> will be</w:t>
      </w:r>
      <w:r w:rsidRPr="004B06AF">
        <w:t xml:space="preserve"> proposed for the issue of spectrum licences. </w:t>
      </w:r>
    </w:p>
    <w:p w14:paraId="2B5F7C76" w14:textId="77777777" w:rsidR="00FB6CE1" w:rsidRDefault="00FB6CE1" w:rsidP="00FB6CE1">
      <w:pPr>
        <w:pStyle w:val="ListBullet"/>
        <w:numPr>
          <w:ilvl w:val="0"/>
          <w:numId w:val="0"/>
        </w:numPr>
        <w:spacing w:after="240" w:line="240" w:lineRule="auto"/>
        <w:rPr>
          <w:rFonts w:cs="Arial"/>
        </w:rPr>
      </w:pPr>
      <w:r>
        <w:rPr>
          <w:rFonts w:cs="Arial"/>
        </w:rPr>
        <w:t xml:space="preserve">In parallel to the restack process, the ACMA will commence work to develop arrangements for PMP licensing in relevant parts of the band. If possible, the ACMA will also investigate making spectrum available for new licences while restack is occurring. However, this will be limited to those areas and frequencies that will not impact the restack process. </w:t>
      </w:r>
    </w:p>
    <w:p w14:paraId="09368D24" w14:textId="56DF3D78" w:rsidR="00FB6CE1" w:rsidRDefault="00FB6CE1" w:rsidP="00FB6CE1">
      <w:pPr>
        <w:pStyle w:val="ListBullet"/>
        <w:numPr>
          <w:ilvl w:val="0"/>
          <w:numId w:val="0"/>
        </w:numPr>
        <w:spacing w:before="120" w:after="240" w:line="240" w:lineRule="auto"/>
      </w:pPr>
      <w:r>
        <w:t xml:space="preserve">The ACMA considered whether to separate 5G services from other services in the band, including NBN Co’s use of the spectrum. Under the current regulatory framework, the arrangements proposed under Option 3b enable this to be largely achieved via a combination of trading and third-party authorisations. For NBN Co this will be dependent on relevant agreements being reached to trade or vary their licences to the lower end of the band. In addition, existing PMP licensees will be confined to the </w:t>
      </w:r>
      <w:r>
        <w:lastRenderedPageBreak/>
        <w:t>3475</w:t>
      </w:r>
      <w:r w:rsidR="003C3144">
        <w:t>–</w:t>
      </w:r>
      <w:r>
        <w:t xml:space="preserve">3510 MHz frequency range. This provides a minimum 32.5 MHz frequency buffer with Telstra’s existing spectrum licences. When developing arrangements for new PMP licences in regional areas and </w:t>
      </w:r>
      <w:r w:rsidR="00C32FDD">
        <w:t xml:space="preserve">major </w:t>
      </w:r>
      <w:r w:rsidR="007A60D8">
        <w:t xml:space="preserve">regional </w:t>
      </w:r>
      <w:r>
        <w:t>centres, the ACMA will also work with interested parties to implement appropriate conditions to manage interference. This will include consideration of an appropriate synchronisation requirement.</w:t>
      </w:r>
    </w:p>
    <w:p w14:paraId="0CD1627E" w14:textId="77777777" w:rsidR="00FB6CE1" w:rsidRDefault="00FB6CE1" w:rsidP="00772048">
      <w:pPr>
        <w:pStyle w:val="ListBullet"/>
        <w:numPr>
          <w:ilvl w:val="0"/>
          <w:numId w:val="0"/>
        </w:numPr>
        <w:spacing w:line="240" w:lineRule="auto"/>
      </w:pPr>
      <w:bookmarkStart w:id="48" w:name="_Hlk21018694"/>
      <w:r>
        <w:t xml:space="preserve">As part of the arrangements proposed under Option 3b it is intended that: </w:t>
      </w:r>
    </w:p>
    <w:p w14:paraId="57BC2907" w14:textId="696ADACA" w:rsidR="00FB6CE1" w:rsidRPr="003A1A7E" w:rsidRDefault="00D035AB" w:rsidP="00772048">
      <w:pPr>
        <w:pStyle w:val="ListBullet"/>
      </w:pPr>
      <w:r>
        <w:t>I</w:t>
      </w:r>
      <w:r w:rsidR="00FB6CE1">
        <w:t xml:space="preserve">ncumbent </w:t>
      </w:r>
      <w:r w:rsidR="00FB6CE1" w:rsidRPr="00D035AB">
        <w:t>radiolocation</w:t>
      </w:r>
      <w:r w:rsidR="00FB6CE1">
        <w:t xml:space="preserve"> services can continue operating </w:t>
      </w:r>
      <w:r w:rsidR="00937C43">
        <w:t>in</w:t>
      </w:r>
      <w:r w:rsidR="00FB6CE1">
        <w:t xml:space="preserve"> the band under existing arrangements</w:t>
      </w:r>
      <w:r>
        <w:t>.</w:t>
      </w:r>
    </w:p>
    <w:p w14:paraId="687EE6A7" w14:textId="31920274" w:rsidR="00FB6CE1" w:rsidRPr="003A1A7E" w:rsidRDefault="00D035AB" w:rsidP="00FB6CE1">
      <w:pPr>
        <w:pStyle w:val="ListBullet"/>
        <w:numPr>
          <w:ilvl w:val="0"/>
          <w:numId w:val="16"/>
        </w:numPr>
        <w:tabs>
          <w:tab w:val="num" w:pos="295"/>
        </w:tabs>
        <w:spacing w:after="120" w:line="240" w:lineRule="auto"/>
        <w:ind w:left="295" w:hanging="295"/>
      </w:pPr>
      <w:r>
        <w:t>A</w:t>
      </w:r>
      <w:r w:rsidR="00FB6CE1">
        <w:t xml:space="preserve">mateur use in the band be limited to </w:t>
      </w:r>
      <w:r w:rsidR="00FB6CE1" w:rsidRPr="003F54C3">
        <w:t xml:space="preserve">those areas and frequencies that that will </w:t>
      </w:r>
      <w:r w:rsidR="00FB6CE1" w:rsidRPr="00806E3A">
        <w:rPr>
          <w:rFonts w:cs="Arial"/>
        </w:rPr>
        <w:t>not be subject to spectrum licensin</w:t>
      </w:r>
      <w:r w:rsidR="00FB6CE1">
        <w:rPr>
          <w:rFonts w:cs="Arial"/>
        </w:rPr>
        <w:t xml:space="preserve">g. </w:t>
      </w:r>
      <w:bookmarkStart w:id="49" w:name="_Hlk21018936"/>
      <w:r w:rsidR="00FB6CE1">
        <w:rPr>
          <w:rFonts w:cs="Arial"/>
        </w:rPr>
        <w:t>While this results in a change to the parts of the band that can be used, ultimately the total amount of spectrum available remains the same or increases in relevant areas</w:t>
      </w:r>
      <w:r>
        <w:rPr>
          <w:rFonts w:cs="Arial"/>
        </w:rPr>
        <w:t>.</w:t>
      </w:r>
      <w:bookmarkEnd w:id="49"/>
    </w:p>
    <w:p w14:paraId="67639132" w14:textId="269BF20F" w:rsidR="00FB6CE1" w:rsidRDefault="00D035AB" w:rsidP="00FB6CE1">
      <w:pPr>
        <w:pStyle w:val="ListBullet"/>
        <w:numPr>
          <w:ilvl w:val="0"/>
          <w:numId w:val="16"/>
        </w:numPr>
        <w:tabs>
          <w:tab w:val="num" w:pos="295"/>
        </w:tabs>
        <w:spacing w:after="120" w:line="240" w:lineRule="auto"/>
        <w:ind w:left="295" w:hanging="295"/>
      </w:pPr>
      <w:r>
        <w:t>O</w:t>
      </w:r>
      <w:r w:rsidR="00FB6CE1">
        <w:t xml:space="preserve">ngoing use of the band by FSS in regional areas be supported at the Earth station protection zones (ESPZs) defined in </w:t>
      </w:r>
      <w:r w:rsidRPr="00772048">
        <w:t>Radiocommunications allocation and licensing instruction MS44</w:t>
      </w:r>
      <w:r w:rsidR="00FB6CE1" w:rsidRPr="009B21E4">
        <w:rPr>
          <w:rStyle w:val="Hyperlink"/>
          <w:rFonts w:cs="Arial"/>
          <w:u w:val="none"/>
        </w:rPr>
        <w:t xml:space="preserve">: </w:t>
      </w:r>
      <w:hyperlink r:id="rId32" w:history="1">
        <w:r w:rsidR="00FB6CE1" w:rsidRPr="00FD7320">
          <w:rPr>
            <w:rStyle w:val="Hyperlink"/>
            <w:rFonts w:cs="Arial"/>
            <w:i/>
            <w:iCs/>
          </w:rPr>
          <w:t xml:space="preserve">Frequency procedures for the </w:t>
        </w:r>
        <w:r w:rsidR="009B21E4">
          <w:rPr>
            <w:rStyle w:val="Hyperlink"/>
            <w:rFonts w:cs="Arial"/>
            <w:i/>
            <w:iCs/>
          </w:rPr>
          <w:t>e</w:t>
        </w:r>
        <w:r w:rsidR="00FB6CE1" w:rsidRPr="00FD7320">
          <w:rPr>
            <w:rStyle w:val="Hyperlink"/>
            <w:rFonts w:cs="Arial"/>
            <w:i/>
            <w:iCs/>
          </w:rPr>
          <w:t>arth station protection zones</w:t>
        </w:r>
      </w:hyperlink>
      <w:r w:rsidR="00FB6CE1" w:rsidRPr="00806E3A">
        <w:rPr>
          <w:rFonts w:cs="Arial"/>
        </w:rPr>
        <w:t xml:space="preserve"> (RALI MS44)</w:t>
      </w:r>
      <w:r w:rsidR="00FB6CE1">
        <w:t xml:space="preserve">. To enable ongoing use, the frequency </w:t>
      </w:r>
      <w:r w:rsidR="00FB6CE1" w:rsidRPr="003A1A7E">
        <w:rPr>
          <w:rFonts w:cs="Arial"/>
        </w:rPr>
        <w:t xml:space="preserve">range covered by the ESPZs in </w:t>
      </w:r>
      <w:r w:rsidR="009B21E4">
        <w:rPr>
          <w:rFonts w:cs="Arial"/>
        </w:rPr>
        <w:t>e</w:t>
      </w:r>
      <w:r w:rsidR="00FB6CE1" w:rsidRPr="003A1A7E">
        <w:rPr>
          <w:rFonts w:cs="Arial"/>
        </w:rPr>
        <w:t xml:space="preserve">astern Australia </w:t>
      </w:r>
      <w:r w:rsidR="00FB6CE1">
        <w:rPr>
          <w:rFonts w:cs="Arial"/>
        </w:rPr>
        <w:t xml:space="preserve">will be extended </w:t>
      </w:r>
      <w:r w:rsidR="00FB6CE1" w:rsidRPr="003A1A7E">
        <w:rPr>
          <w:rFonts w:cs="Arial"/>
        </w:rPr>
        <w:t>to encompass those parts of the 3400</w:t>
      </w:r>
      <w:r>
        <w:t>–</w:t>
      </w:r>
      <w:r w:rsidR="00FB6CE1" w:rsidRPr="003A1A7E">
        <w:rPr>
          <w:rFonts w:cs="Arial"/>
        </w:rPr>
        <w:t>3575 MHz band not already subject to spectrum licensing (the 3400</w:t>
      </w:r>
      <w:r>
        <w:t>–</w:t>
      </w:r>
      <w:r w:rsidR="00FB6CE1" w:rsidRPr="003A1A7E">
        <w:rPr>
          <w:rFonts w:cs="Arial"/>
        </w:rPr>
        <w:t>3442.5 MHz and 3475</w:t>
      </w:r>
      <w:r>
        <w:t>–</w:t>
      </w:r>
      <w:r w:rsidR="00FB6CE1" w:rsidRPr="003A1A7E">
        <w:rPr>
          <w:rFonts w:cs="Arial"/>
        </w:rPr>
        <w:t xml:space="preserve">3542.5 MHz frequency ranges). </w:t>
      </w:r>
      <w:r w:rsidR="00FB6CE1">
        <w:rPr>
          <w:rFonts w:cs="Arial"/>
        </w:rPr>
        <w:t>Also, the ACMA does not propose these areas and frequencies be identified for spectrum licensing.</w:t>
      </w:r>
      <w:r w:rsidR="00FB6CE1">
        <w:t xml:space="preserve"> </w:t>
      </w:r>
    </w:p>
    <w:p w14:paraId="71C62705" w14:textId="431A409B" w:rsidR="00FB6CE1" w:rsidRPr="003A1A7E" w:rsidRDefault="00D035AB" w:rsidP="00772048">
      <w:pPr>
        <w:pStyle w:val="ListBulletLast"/>
      </w:pPr>
      <w:r>
        <w:t>E</w:t>
      </w:r>
      <w:r w:rsidR="00FB6CE1">
        <w:t>xisting class licence arrangements in the band remain in place.</w:t>
      </w:r>
    </w:p>
    <w:bookmarkEnd w:id="48"/>
    <w:p w14:paraId="59D3CE52" w14:textId="77777777" w:rsidR="00FB6CE1" w:rsidRDefault="00FB6CE1" w:rsidP="00FB6CE1">
      <w:pPr>
        <w:pStyle w:val="ListBullet"/>
        <w:numPr>
          <w:ilvl w:val="0"/>
          <w:numId w:val="0"/>
        </w:numPr>
        <w:spacing w:after="120" w:line="240" w:lineRule="auto"/>
      </w:pPr>
      <w:r>
        <w:rPr>
          <w:rFonts w:cs="Arial"/>
        </w:rPr>
        <w:t xml:space="preserve">The ACMA does not see benefit in converting </w:t>
      </w:r>
      <w:r>
        <w:t xml:space="preserve">metropolitan areas of NBN Co’s 3.5 GHz PTS licences before regional areas. Based on submissions it appears such an approach would not provide greater certainty for negotiations on defrag to occur. </w:t>
      </w:r>
    </w:p>
    <w:p w14:paraId="2D9F0206" w14:textId="2F167E6C" w:rsidR="00FB6CE1" w:rsidRDefault="00FB6CE1" w:rsidP="00FB6CE1">
      <w:pPr>
        <w:pStyle w:val="ListBullet"/>
        <w:numPr>
          <w:ilvl w:val="0"/>
          <w:numId w:val="0"/>
        </w:numPr>
        <w:spacing w:after="120" w:line="240" w:lineRule="auto"/>
        <w:rPr>
          <w:rFonts w:cs="Arial"/>
        </w:rPr>
      </w:pPr>
      <w:r>
        <w:rPr>
          <w:rFonts w:cs="Arial"/>
        </w:rPr>
        <w:t xml:space="preserve">With regards to the areas and frequencies proposed for reallocation under Option 3b, the ACMA now considers it is appropriate for these to be designated for spectrum licencing. This is because, after 30 November 2020, there should be no PMP or amateur licences operating in that spectrum. This would enable a single designation </w:t>
      </w:r>
      <w:proofErr w:type="gramStart"/>
      <w:r>
        <w:rPr>
          <w:rFonts w:cs="Arial"/>
        </w:rPr>
        <w:t>notice</w:t>
      </w:r>
      <w:proofErr w:type="gramEnd"/>
      <w:r>
        <w:rPr>
          <w:rFonts w:cs="Arial"/>
        </w:rPr>
        <w:t xml:space="preserve"> to cover the areas and frequencies proposed for conversion and allocation via the issue of spectrum licences. It also means there is no need to define a reallocation period and enables the defrag outcomes to be achieved earlier. </w:t>
      </w:r>
    </w:p>
    <w:p w14:paraId="481D58AD" w14:textId="77777777" w:rsidR="00FB6CE1" w:rsidRPr="003F54C3" w:rsidRDefault="00FB6CE1" w:rsidP="00FB6CE1">
      <w:pPr>
        <w:spacing w:after="80"/>
      </w:pPr>
      <w:r w:rsidRPr="003F54C3">
        <w:t xml:space="preserve">In summary the ACMA will take the following actions in </w:t>
      </w:r>
      <w:r w:rsidRPr="003F54C3">
        <w:rPr>
          <w:rFonts w:cs="Arial"/>
        </w:rPr>
        <w:t>metropolitan areas, regional areas and major regional centres</w:t>
      </w:r>
      <w:r w:rsidRPr="003F54C3">
        <w:t>:</w:t>
      </w:r>
    </w:p>
    <w:p w14:paraId="28DFBD0A" w14:textId="77777777" w:rsidR="00FB6CE1" w:rsidRPr="003F54C3" w:rsidRDefault="00FB6CE1" w:rsidP="00772048">
      <w:pPr>
        <w:pStyle w:val="ListBullet"/>
      </w:pPr>
      <w:r w:rsidRPr="003F54C3">
        <w:t>Implement the planning arrangements detailed under both phases of Option 3b (refer to Figure 1). This includes:</w:t>
      </w:r>
    </w:p>
    <w:p w14:paraId="2A63FA75" w14:textId="0CFCCC4E" w:rsidR="00FB6CE1" w:rsidRPr="003F54C3" w:rsidRDefault="00D035AB" w:rsidP="00772048">
      <w:pPr>
        <w:pStyle w:val="ListBullet2"/>
      </w:pPr>
      <w:r>
        <w:t>A</w:t>
      </w:r>
      <w:r w:rsidR="00FB6CE1">
        <w:t>dopting a policy of only</w:t>
      </w:r>
      <w:r w:rsidR="00FB6CE1" w:rsidRPr="003F54C3">
        <w:t xml:space="preserve"> reissu</w:t>
      </w:r>
      <w:r w:rsidR="00FB6CE1">
        <w:t>ing</w:t>
      </w:r>
      <w:r w:rsidR="00FB6CE1" w:rsidRPr="003F54C3">
        <w:t xml:space="preserve"> PMP licences in the 3425</w:t>
      </w:r>
      <w:r>
        <w:t>–</w:t>
      </w:r>
      <w:r w:rsidR="00FB6CE1" w:rsidRPr="003F54C3">
        <w:t xml:space="preserve">3442.5 MHz frequency range in regional areas </w:t>
      </w:r>
      <w:r w:rsidR="00FB6CE1">
        <w:rPr>
          <w:rFonts w:cs="Arial"/>
        </w:rPr>
        <w:t xml:space="preserve">on the basis they expire on or before </w:t>
      </w:r>
      <w:r w:rsidR="00FB6CE1" w:rsidRPr="00C46F8B">
        <w:rPr>
          <w:rFonts w:cs="Arial"/>
        </w:rPr>
        <w:t>30 November 2020.</w:t>
      </w:r>
      <w:r w:rsidR="00FB6CE1" w:rsidRPr="003F54C3">
        <w:t xml:space="preserve"> Before this date, enable these licences to retune into the 3475</w:t>
      </w:r>
      <w:r>
        <w:t>–</w:t>
      </w:r>
      <w:r w:rsidR="00FB6CE1" w:rsidRPr="003F54C3">
        <w:t>3510 MHz frequency range</w:t>
      </w:r>
      <w:r>
        <w:t>.</w:t>
      </w:r>
    </w:p>
    <w:p w14:paraId="588C1B77" w14:textId="5936825C" w:rsidR="00FB6CE1" w:rsidRPr="003F54C3" w:rsidRDefault="00D035AB" w:rsidP="00772048">
      <w:pPr>
        <w:pStyle w:val="ListBullet2"/>
      </w:pPr>
      <w:r>
        <w:t>A</w:t>
      </w:r>
      <w:r w:rsidR="00FB6CE1">
        <w:t>dopting a policy of only</w:t>
      </w:r>
      <w:r w:rsidR="00FB6CE1" w:rsidRPr="003F54C3">
        <w:t xml:space="preserve"> reissu</w:t>
      </w:r>
      <w:r w:rsidR="00FB6CE1">
        <w:t>ing</w:t>
      </w:r>
      <w:r w:rsidR="00FB6CE1" w:rsidRPr="003F54C3">
        <w:t xml:space="preserve"> P</w:t>
      </w:r>
      <w:r w:rsidR="00FB6CE1">
        <w:t>TS</w:t>
      </w:r>
      <w:r w:rsidR="00FB6CE1" w:rsidRPr="003F54C3">
        <w:t xml:space="preserve"> licences in the </w:t>
      </w:r>
      <w:r w:rsidR="00FB6CE1">
        <w:t>3492.5</w:t>
      </w:r>
      <w:r>
        <w:t>–</w:t>
      </w:r>
      <w:r w:rsidR="00FB6CE1">
        <w:t>3510</w:t>
      </w:r>
      <w:r w:rsidR="00FB6CE1" w:rsidRPr="003F54C3">
        <w:t xml:space="preserve"> MHz frequency range in regional areas </w:t>
      </w:r>
      <w:r w:rsidR="00FB6CE1">
        <w:rPr>
          <w:rFonts w:cs="Arial"/>
        </w:rPr>
        <w:t xml:space="preserve">on the basis they expire on or before </w:t>
      </w:r>
      <w:r w:rsidR="00FB6CE1" w:rsidRPr="00C46F8B">
        <w:rPr>
          <w:rFonts w:cs="Arial"/>
        </w:rPr>
        <w:t xml:space="preserve">30 November 2020. </w:t>
      </w:r>
      <w:r w:rsidR="00FB6CE1" w:rsidRPr="003F54C3">
        <w:t>Before this date, enable these licences to retune into the 3425</w:t>
      </w:r>
      <w:r>
        <w:t>–</w:t>
      </w:r>
      <w:r w:rsidR="00FB6CE1" w:rsidRPr="003F54C3">
        <w:t>3442.5 MHz frequency range</w:t>
      </w:r>
      <w:r w:rsidR="00FB6CE1">
        <w:t xml:space="preserve">. This will also require an amendment to the </w:t>
      </w:r>
      <w:hyperlink r:id="rId33" w:history="1">
        <w:r w:rsidR="00FB6CE1" w:rsidRPr="00772048">
          <w:rPr>
            <w:rStyle w:val="Hyperlink"/>
          </w:rPr>
          <w:t>Radiocommunications (Transmitter Licence Tax) Determination 2015</w:t>
        </w:r>
      </w:hyperlink>
      <w:r w:rsidR="00FB6CE1" w:rsidRPr="00D035AB">
        <w:t xml:space="preserve"> (</w:t>
      </w:r>
      <w:r w:rsidR="00FB6CE1">
        <w:t xml:space="preserve">Tax Determination) to include tax arrangements for PTS licences in the </w:t>
      </w:r>
      <w:r w:rsidR="00FB6CE1" w:rsidRPr="003F54C3">
        <w:t>3425</w:t>
      </w:r>
      <w:r>
        <w:t>–</w:t>
      </w:r>
      <w:r w:rsidR="00FB6CE1" w:rsidRPr="003F54C3">
        <w:t>3442.5 MHz</w:t>
      </w:r>
      <w:r w:rsidR="00FB6CE1">
        <w:t xml:space="preserve"> frequency range</w:t>
      </w:r>
      <w:r>
        <w:t>.</w:t>
      </w:r>
    </w:p>
    <w:p w14:paraId="12069094" w14:textId="2F858778" w:rsidR="00FB6CE1" w:rsidRPr="00806E3A" w:rsidRDefault="009B21E4" w:rsidP="00772048">
      <w:pPr>
        <w:pStyle w:val="ListBullet2"/>
      </w:pPr>
      <w:r>
        <w:t>V</w:t>
      </w:r>
      <w:r w:rsidR="00FB6CE1" w:rsidRPr="003F54C3">
        <w:t>ary the</w:t>
      </w:r>
      <w:r w:rsidR="00FB6CE1" w:rsidRPr="00D035AB">
        <w:t xml:space="preserve"> </w:t>
      </w:r>
      <w:hyperlink r:id="rId34" w:history="1">
        <w:r w:rsidR="00FB6CE1" w:rsidRPr="00772048">
          <w:rPr>
            <w:rStyle w:val="Hyperlink"/>
          </w:rPr>
          <w:t>Radiocommunications Licence Conditions (Amateur Licence) Determination 2015</w:t>
        </w:r>
      </w:hyperlink>
      <w:r w:rsidR="00FB6CE1" w:rsidRPr="003F54C3">
        <w:rPr>
          <w:rFonts w:cs="Arial"/>
        </w:rPr>
        <w:t xml:space="preserve"> (the Amateur LCD) and </w:t>
      </w:r>
      <w:hyperlink r:id="rId35" w:history="1">
        <w:r w:rsidR="00FB6CE1" w:rsidRPr="00772048">
          <w:rPr>
            <w:rStyle w:val="Hyperlink"/>
          </w:rPr>
          <w:t>Radiocommunications (Overseas Amateurs Visiting Australia) Class Licence 2015</w:t>
        </w:r>
      </w:hyperlink>
      <w:r w:rsidR="00FB6CE1" w:rsidRPr="003F54C3">
        <w:rPr>
          <w:i/>
          <w:iCs/>
        </w:rPr>
        <w:t xml:space="preserve"> </w:t>
      </w:r>
      <w:r w:rsidR="00FB6CE1" w:rsidRPr="003F54C3">
        <w:t xml:space="preserve">(the Visiting amateurs class licence) to </w:t>
      </w:r>
      <w:r w:rsidR="00FB6CE1">
        <w:t xml:space="preserve">only </w:t>
      </w:r>
      <w:r w:rsidR="00FB6CE1" w:rsidRPr="003F54C3">
        <w:t xml:space="preserve">allow use in those areas and frequencies that that will </w:t>
      </w:r>
      <w:r w:rsidR="00FB6CE1" w:rsidRPr="00806E3A">
        <w:rPr>
          <w:rFonts w:cs="Arial"/>
        </w:rPr>
        <w:t>not be subject to spectrum licensing</w:t>
      </w:r>
      <w:r w:rsidR="00D035AB">
        <w:rPr>
          <w:rFonts w:cs="Arial"/>
        </w:rPr>
        <w:t>.</w:t>
      </w:r>
    </w:p>
    <w:p w14:paraId="20E54A45" w14:textId="5991EF87" w:rsidR="00FB6CE1" w:rsidRPr="003A1A7E" w:rsidRDefault="00D035AB" w:rsidP="00772048">
      <w:pPr>
        <w:pStyle w:val="ListBullet2"/>
        <w:spacing w:after="240"/>
      </w:pPr>
      <w:bookmarkStart w:id="50" w:name="_Hlk20926431"/>
      <w:r>
        <w:lastRenderedPageBreak/>
        <w:t>V</w:t>
      </w:r>
      <w:r w:rsidR="00FB6CE1" w:rsidRPr="00806E3A">
        <w:t>ary RALI MS44 so that ESPZs in eastern Australia cover those parts of the band not already subject to spectrum licensing (the 3400</w:t>
      </w:r>
      <w:r>
        <w:t>–</w:t>
      </w:r>
      <w:r w:rsidR="00FB6CE1" w:rsidRPr="00806E3A">
        <w:t>3442.5 MHz and 3475</w:t>
      </w:r>
      <w:r>
        <w:t>–</w:t>
      </w:r>
      <w:r w:rsidR="00FB6CE1" w:rsidRPr="00806E3A">
        <w:t xml:space="preserve">3542.5 MHz frequency ranges). </w:t>
      </w:r>
      <w:r w:rsidR="00FB6CE1">
        <w:t xml:space="preserve">The ACMA does not propose these areas and frequencies be identified for spectrum licensing. </w:t>
      </w:r>
      <w:r w:rsidR="00FB6CE1" w:rsidRPr="003A1A7E">
        <w:t xml:space="preserve"> </w:t>
      </w:r>
    </w:p>
    <w:p w14:paraId="175EFE01" w14:textId="77777777" w:rsidR="00FB6CE1" w:rsidRPr="00124BA8" w:rsidRDefault="00FB6CE1" w:rsidP="00124BA8">
      <w:pPr>
        <w:pStyle w:val="Heading3"/>
      </w:pPr>
      <w:bookmarkStart w:id="51" w:name="_Toc21088513"/>
      <w:bookmarkEnd w:id="50"/>
      <w:r w:rsidRPr="00124BA8">
        <w:t>Investigating a possible urban excise</w:t>
      </w:r>
      <w:bookmarkEnd w:id="51"/>
    </w:p>
    <w:p w14:paraId="32432409" w14:textId="77777777" w:rsidR="00FB6CE1" w:rsidRDefault="00FB6CE1" w:rsidP="00772048">
      <w:pPr>
        <w:spacing w:after="80"/>
        <w:rPr>
          <w:rFonts w:cs="Arial"/>
        </w:rPr>
      </w:pPr>
      <w:r>
        <w:rPr>
          <w:rFonts w:cs="Arial"/>
        </w:rPr>
        <w:t>The Options paper raised</w:t>
      </w:r>
      <w:r w:rsidRPr="004D26A5">
        <w:rPr>
          <w:rFonts w:cs="Arial"/>
        </w:rPr>
        <w:t xml:space="preserve"> </w:t>
      </w:r>
      <w:r>
        <w:rPr>
          <w:rFonts w:cs="Arial"/>
        </w:rPr>
        <w:t xml:space="preserve">whether and how </w:t>
      </w:r>
      <w:r w:rsidRPr="00F55D23">
        <w:rPr>
          <w:rFonts w:cs="Arial"/>
        </w:rPr>
        <w:t>urban areas of NBN Co’s</w:t>
      </w:r>
      <w:r>
        <w:rPr>
          <w:rFonts w:cs="Arial"/>
        </w:rPr>
        <w:t xml:space="preserve"> 3.5 GHz</w:t>
      </w:r>
      <w:r w:rsidRPr="00F55D23">
        <w:rPr>
          <w:rFonts w:cs="Arial"/>
        </w:rPr>
        <w:t xml:space="preserve"> </w:t>
      </w:r>
      <w:r>
        <w:rPr>
          <w:rFonts w:cs="Arial"/>
        </w:rPr>
        <w:t>PTS</w:t>
      </w:r>
      <w:r w:rsidRPr="00F55D23">
        <w:rPr>
          <w:rFonts w:cs="Arial"/>
        </w:rPr>
        <w:t xml:space="preserve"> apparatus licences </w:t>
      </w:r>
      <w:r>
        <w:rPr>
          <w:rFonts w:cs="Arial"/>
        </w:rPr>
        <w:t xml:space="preserve">could be made available </w:t>
      </w:r>
      <w:r w:rsidRPr="00F55D23">
        <w:rPr>
          <w:rFonts w:cs="Arial"/>
        </w:rPr>
        <w:t>for use by other operators.</w:t>
      </w:r>
      <w:r>
        <w:rPr>
          <w:rFonts w:cs="Arial"/>
        </w:rPr>
        <w:t xml:space="preserve"> Two possible approaches to facilitate this were identified:</w:t>
      </w:r>
    </w:p>
    <w:p w14:paraId="54CA4589" w14:textId="41F3C772" w:rsidR="00FB6CE1" w:rsidRPr="008B2E44" w:rsidRDefault="00FB6CE1" w:rsidP="00124BA8">
      <w:pPr>
        <w:pStyle w:val="ListNumber"/>
        <w:rPr>
          <w:rFonts w:cs="Arial"/>
        </w:rPr>
      </w:pPr>
      <w:r>
        <w:rPr>
          <w:rFonts w:cs="Arial"/>
        </w:rPr>
        <w:t>n</w:t>
      </w:r>
      <w:r w:rsidRPr="008B2E44">
        <w:rPr>
          <w:rFonts w:cs="Arial"/>
        </w:rPr>
        <w:t xml:space="preserve">egotiate access under third-party authorisation arrangements </w:t>
      </w:r>
    </w:p>
    <w:p w14:paraId="6EDA718F" w14:textId="40372FC3" w:rsidR="00FB6CE1" w:rsidRPr="008B2E44" w:rsidRDefault="00FB6CE1" w:rsidP="00FB6CE1">
      <w:pPr>
        <w:pStyle w:val="ListNumber"/>
        <w:spacing w:after="240"/>
        <w:rPr>
          <w:rFonts w:cs="Arial"/>
        </w:rPr>
      </w:pPr>
      <w:r>
        <w:rPr>
          <w:rFonts w:cs="Arial"/>
        </w:rPr>
        <w:t>identify and e</w:t>
      </w:r>
      <w:r w:rsidRPr="008B2E44">
        <w:rPr>
          <w:rFonts w:cs="Arial"/>
        </w:rPr>
        <w:t>xcise defined urban areas from NBN Co’s licence</w:t>
      </w:r>
      <w:r>
        <w:rPr>
          <w:rFonts w:cs="Arial"/>
        </w:rPr>
        <w:t>s</w:t>
      </w:r>
      <w:r w:rsidRPr="008B2E44">
        <w:rPr>
          <w:rFonts w:cs="Arial"/>
        </w:rPr>
        <w:t xml:space="preserve"> and allocate them via market-based mechanisms (such as an auction)</w:t>
      </w:r>
      <w:r w:rsidR="00D035AB">
        <w:rPr>
          <w:rFonts w:cs="Arial"/>
        </w:rPr>
        <w:t>—</w:t>
      </w:r>
      <w:r>
        <w:rPr>
          <w:rFonts w:cs="Arial"/>
        </w:rPr>
        <w:t>referred to in this paper as ‘urban excise’.</w:t>
      </w:r>
    </w:p>
    <w:p w14:paraId="4D435E27" w14:textId="77777777" w:rsidR="00FB6CE1" w:rsidRDefault="00FB6CE1" w:rsidP="00772048">
      <w:pPr>
        <w:spacing w:after="80"/>
        <w:rPr>
          <w:rFonts w:cs="Arial"/>
        </w:rPr>
      </w:pPr>
      <w:r>
        <w:rPr>
          <w:rFonts w:cs="Arial"/>
        </w:rPr>
        <w:t>It was noted that while the first approach is available for interested parties to explore now, the second required further investigation by the ACMA to:</w:t>
      </w:r>
    </w:p>
    <w:p w14:paraId="2C7FEAE4" w14:textId="77777777" w:rsidR="00FB6CE1" w:rsidRPr="00EC65B3" w:rsidRDefault="00FB6CE1" w:rsidP="00772048">
      <w:pPr>
        <w:pStyle w:val="ListBullet"/>
      </w:pPr>
      <w:r w:rsidRPr="00EC65B3">
        <w:t xml:space="preserve">better </w:t>
      </w:r>
      <w:r w:rsidRPr="00124BA8">
        <w:t>understand</w:t>
      </w:r>
      <w:r w:rsidRPr="00EC65B3">
        <w:t xml:space="preserve"> NBN Co’s </w:t>
      </w:r>
      <w:r>
        <w:t xml:space="preserve">current and </w:t>
      </w:r>
      <w:r w:rsidRPr="00EC65B3">
        <w:t>future requirements in the 3400</w:t>
      </w:r>
      <w:r>
        <w:t>–</w:t>
      </w:r>
      <w:r w:rsidRPr="00EC65B3">
        <w:t xml:space="preserve">3575 MHz band </w:t>
      </w:r>
      <w:r>
        <w:t>to identify possible urban excise areas</w:t>
      </w:r>
    </w:p>
    <w:p w14:paraId="4262F5CF" w14:textId="77777777" w:rsidR="00FB6CE1" w:rsidRPr="00EC65B3" w:rsidRDefault="00FB6CE1" w:rsidP="00FB6CE1">
      <w:pPr>
        <w:pStyle w:val="ListBullet"/>
        <w:numPr>
          <w:ilvl w:val="0"/>
          <w:numId w:val="16"/>
        </w:numPr>
        <w:tabs>
          <w:tab w:val="num" w:pos="295"/>
        </w:tabs>
        <w:spacing w:line="240" w:lineRule="auto"/>
        <w:ind w:left="295" w:hanging="295"/>
        <w:rPr>
          <w:szCs w:val="20"/>
        </w:rPr>
      </w:pPr>
      <w:r w:rsidRPr="00EC65B3">
        <w:rPr>
          <w:szCs w:val="20"/>
        </w:rPr>
        <w:t>determine appropriate interference management technique</w:t>
      </w:r>
      <w:r>
        <w:rPr>
          <w:szCs w:val="20"/>
        </w:rPr>
        <w:t>s with relevant services</w:t>
      </w:r>
    </w:p>
    <w:p w14:paraId="697CDCE4" w14:textId="77777777" w:rsidR="00FB6CE1" w:rsidRPr="00EC65B3" w:rsidRDefault="00FB6CE1" w:rsidP="00FB6CE1">
      <w:pPr>
        <w:pStyle w:val="ListBullet"/>
        <w:numPr>
          <w:ilvl w:val="0"/>
          <w:numId w:val="16"/>
        </w:numPr>
        <w:tabs>
          <w:tab w:val="num" w:pos="295"/>
        </w:tabs>
        <w:spacing w:after="240"/>
        <w:ind w:left="295" w:hanging="295"/>
        <w:rPr>
          <w:szCs w:val="20"/>
        </w:rPr>
      </w:pPr>
      <w:r w:rsidRPr="00EC65B3">
        <w:rPr>
          <w:szCs w:val="20"/>
        </w:rPr>
        <w:t xml:space="preserve">determine the effect the </w:t>
      </w:r>
      <w:r>
        <w:rPr>
          <w:szCs w:val="20"/>
        </w:rPr>
        <w:t>first</w:t>
      </w:r>
      <w:r w:rsidRPr="00EC65B3">
        <w:rPr>
          <w:szCs w:val="20"/>
        </w:rPr>
        <w:t xml:space="preserve"> two points have on the </w:t>
      </w:r>
      <w:r>
        <w:rPr>
          <w:szCs w:val="20"/>
        </w:rPr>
        <w:t>utility</w:t>
      </w:r>
      <w:r w:rsidRPr="00EC65B3">
        <w:rPr>
          <w:szCs w:val="20"/>
        </w:rPr>
        <w:t xml:space="preserve"> of </w:t>
      </w:r>
      <w:r>
        <w:rPr>
          <w:szCs w:val="20"/>
        </w:rPr>
        <w:t xml:space="preserve">any </w:t>
      </w:r>
      <w:r w:rsidRPr="00EC65B3">
        <w:rPr>
          <w:szCs w:val="20"/>
        </w:rPr>
        <w:t xml:space="preserve">urban </w:t>
      </w:r>
      <w:r>
        <w:rPr>
          <w:szCs w:val="20"/>
        </w:rPr>
        <w:t xml:space="preserve">excise </w:t>
      </w:r>
      <w:r w:rsidRPr="00EC65B3">
        <w:rPr>
          <w:szCs w:val="20"/>
        </w:rPr>
        <w:t xml:space="preserve">areas.  </w:t>
      </w:r>
    </w:p>
    <w:p w14:paraId="7632F6BC" w14:textId="77777777" w:rsidR="00FB6CE1" w:rsidRDefault="00FB6CE1" w:rsidP="00FB6CE1">
      <w:r>
        <w:rPr>
          <w:rFonts w:cs="Arial"/>
        </w:rPr>
        <w:t>Noting that urban excise could occur under either of Options 2 or 3, t</w:t>
      </w:r>
      <w:r w:rsidRPr="00594CB7">
        <w:rPr>
          <w:rFonts w:cs="Arial"/>
        </w:rPr>
        <w:t xml:space="preserve">he </w:t>
      </w:r>
      <w:r>
        <w:rPr>
          <w:rFonts w:cs="Arial"/>
        </w:rPr>
        <w:t xml:space="preserve">Options paper sought feedback on </w:t>
      </w:r>
      <w:r w:rsidRPr="00594CB7">
        <w:rPr>
          <w:rFonts w:cs="Arial"/>
        </w:rPr>
        <w:t xml:space="preserve">whether </w:t>
      </w:r>
      <w:r>
        <w:rPr>
          <w:rFonts w:cs="Arial"/>
        </w:rPr>
        <w:t xml:space="preserve">the ACMA should further </w:t>
      </w:r>
      <w:r w:rsidRPr="00594CB7">
        <w:rPr>
          <w:rFonts w:cs="Arial"/>
        </w:rPr>
        <w:t>investigate</w:t>
      </w:r>
      <w:r>
        <w:rPr>
          <w:rFonts w:cs="Arial"/>
        </w:rPr>
        <w:t xml:space="preserve"> the issue or if using third-party arrangements would be adequate.</w:t>
      </w:r>
    </w:p>
    <w:p w14:paraId="1C307752" w14:textId="77777777" w:rsidR="00FB6CE1" w:rsidRDefault="00FB6CE1" w:rsidP="00772048">
      <w:pPr>
        <w:spacing w:after="80"/>
      </w:pPr>
      <w:r>
        <w:t>There were mixed views in s</w:t>
      </w:r>
      <w:r w:rsidRPr="00123A0C">
        <w:t xml:space="preserve">ubmissions to the Options paper </w:t>
      </w:r>
      <w:r>
        <w:t>with regards to urban excise. Incumbent spectrum licensees (Optus, NBN Co and Telstra) did not support further investigation of this issue. Reasons for this included:</w:t>
      </w:r>
    </w:p>
    <w:p w14:paraId="0A5E435C" w14:textId="77777777" w:rsidR="00FB6CE1" w:rsidRPr="00327CEF" w:rsidRDefault="00FB6CE1" w:rsidP="00124BA8">
      <w:pPr>
        <w:pStyle w:val="ListBullet"/>
        <w:numPr>
          <w:ilvl w:val="0"/>
          <w:numId w:val="16"/>
        </w:numPr>
        <w:spacing w:line="240" w:lineRule="auto"/>
        <w:rPr>
          <w:szCs w:val="20"/>
        </w:rPr>
      </w:pPr>
      <w:r w:rsidRPr="00327CEF">
        <w:rPr>
          <w:szCs w:val="20"/>
        </w:rPr>
        <w:t xml:space="preserve">it would delay defrag as well as increase the cost and complexity of </w:t>
      </w:r>
      <w:r>
        <w:rPr>
          <w:szCs w:val="20"/>
        </w:rPr>
        <w:t xml:space="preserve">its </w:t>
      </w:r>
      <w:r w:rsidRPr="00327CEF">
        <w:rPr>
          <w:szCs w:val="20"/>
        </w:rPr>
        <w:t>implementation</w:t>
      </w:r>
    </w:p>
    <w:p w14:paraId="5D4AC73C" w14:textId="77777777" w:rsidR="00FB6CE1" w:rsidRPr="00327CEF" w:rsidRDefault="00FB6CE1" w:rsidP="00FB6CE1">
      <w:pPr>
        <w:pStyle w:val="ListBullet"/>
        <w:numPr>
          <w:ilvl w:val="0"/>
          <w:numId w:val="16"/>
        </w:numPr>
        <w:spacing w:line="240" w:lineRule="auto"/>
        <w:rPr>
          <w:szCs w:val="20"/>
        </w:rPr>
      </w:pPr>
      <w:r w:rsidRPr="00327CEF">
        <w:rPr>
          <w:szCs w:val="20"/>
        </w:rPr>
        <w:t xml:space="preserve">the size </w:t>
      </w:r>
      <w:r>
        <w:rPr>
          <w:szCs w:val="20"/>
        </w:rPr>
        <w:t xml:space="preserve">and utility </w:t>
      </w:r>
      <w:r w:rsidRPr="00327CEF">
        <w:rPr>
          <w:szCs w:val="20"/>
        </w:rPr>
        <w:t xml:space="preserve">of </w:t>
      </w:r>
      <w:r>
        <w:rPr>
          <w:szCs w:val="20"/>
        </w:rPr>
        <w:t xml:space="preserve">possible excise </w:t>
      </w:r>
      <w:r w:rsidRPr="00327CEF">
        <w:rPr>
          <w:szCs w:val="20"/>
        </w:rPr>
        <w:t xml:space="preserve">areas </w:t>
      </w:r>
      <w:r>
        <w:rPr>
          <w:szCs w:val="20"/>
        </w:rPr>
        <w:t xml:space="preserve">had </w:t>
      </w:r>
      <w:r w:rsidRPr="00327CEF">
        <w:rPr>
          <w:szCs w:val="20"/>
        </w:rPr>
        <w:t>been overstated</w:t>
      </w:r>
    </w:p>
    <w:p w14:paraId="18CA2616" w14:textId="77777777" w:rsidR="00FB6CE1" w:rsidRPr="00327CEF" w:rsidRDefault="00FB6CE1" w:rsidP="00FB6CE1">
      <w:pPr>
        <w:pStyle w:val="ListBullet"/>
        <w:numPr>
          <w:ilvl w:val="0"/>
          <w:numId w:val="16"/>
        </w:numPr>
        <w:spacing w:line="240" w:lineRule="auto"/>
        <w:rPr>
          <w:szCs w:val="20"/>
        </w:rPr>
      </w:pPr>
      <w:r w:rsidRPr="00327CEF">
        <w:rPr>
          <w:szCs w:val="20"/>
        </w:rPr>
        <w:t xml:space="preserve">managing interference with </w:t>
      </w:r>
      <w:r>
        <w:rPr>
          <w:szCs w:val="20"/>
        </w:rPr>
        <w:t xml:space="preserve">excised </w:t>
      </w:r>
      <w:r w:rsidRPr="00327CEF">
        <w:rPr>
          <w:szCs w:val="20"/>
        </w:rPr>
        <w:t>areas would be complicated and it would affect the</w:t>
      </w:r>
      <w:r>
        <w:rPr>
          <w:szCs w:val="20"/>
        </w:rPr>
        <w:t xml:space="preserve"> ability of licensees to</w:t>
      </w:r>
      <w:r w:rsidRPr="00327CEF">
        <w:rPr>
          <w:szCs w:val="20"/>
        </w:rPr>
        <w:t xml:space="preserve"> deploy new services</w:t>
      </w:r>
    </w:p>
    <w:p w14:paraId="1E23D2F1" w14:textId="20303365" w:rsidR="00FB6CE1" w:rsidRDefault="00FB6CE1" w:rsidP="00FB6CE1">
      <w:pPr>
        <w:pStyle w:val="ListBullet"/>
        <w:numPr>
          <w:ilvl w:val="0"/>
          <w:numId w:val="16"/>
        </w:numPr>
        <w:spacing w:after="240" w:line="240" w:lineRule="auto"/>
      </w:pPr>
      <w:r w:rsidRPr="00327CEF">
        <w:rPr>
          <w:szCs w:val="20"/>
        </w:rPr>
        <w:t xml:space="preserve">there would be an increase in geographical fragmentation of licence holdings </w:t>
      </w:r>
      <w:r>
        <w:rPr>
          <w:szCs w:val="20"/>
        </w:rPr>
        <w:t>across</w:t>
      </w:r>
      <w:r w:rsidRPr="00327CEF">
        <w:rPr>
          <w:szCs w:val="20"/>
        </w:rPr>
        <w:t xml:space="preserve"> the broader 3400</w:t>
      </w:r>
      <w:r w:rsidR="00D035AB">
        <w:t>–</w:t>
      </w:r>
      <w:r w:rsidRPr="00327CEF">
        <w:rPr>
          <w:szCs w:val="20"/>
        </w:rPr>
        <w:t>3700 MHz band</w:t>
      </w:r>
      <w:r>
        <w:rPr>
          <w:szCs w:val="20"/>
        </w:rPr>
        <w:t>.</w:t>
      </w:r>
    </w:p>
    <w:p w14:paraId="5F601CD3" w14:textId="77777777" w:rsidR="00FB6CE1" w:rsidRDefault="00FB6CE1" w:rsidP="00FB6CE1">
      <w:r>
        <w:t xml:space="preserve">VHA, ARCIA and DB Telecommunications supported further investigating a possible urban excise, indicating strong demand for access to spectrum in these areas. They argued that the expected value of spectrum in metropolitan areas in combination with the low incentive NBN Co has in negotiating third party access made urban excise the most appropriate way forward. There was interest in making any areas identified available for use as soon as practicable, with respondents stating this should be prioritised over defrag.  </w:t>
      </w:r>
    </w:p>
    <w:p w14:paraId="053EAA1D" w14:textId="74305E37" w:rsidR="00FB6CE1" w:rsidRDefault="00FB6CE1" w:rsidP="00FB6CE1">
      <w:r>
        <w:t xml:space="preserve">One submission stated that the size and utility of urban excise areas could be improved by the adoption of appropriate licence conditions. There was also interest in ensuring that any allocation of urban excise areas </w:t>
      </w:r>
      <w:proofErr w:type="gramStart"/>
      <w:r>
        <w:t>took into account</w:t>
      </w:r>
      <w:proofErr w:type="gramEnd"/>
      <w:r>
        <w:t xml:space="preserve"> existing spectrum holdings in the 3400</w:t>
      </w:r>
      <w:r w:rsidR="00D035AB">
        <w:t>–</w:t>
      </w:r>
      <w:r>
        <w:t>3700 MHz band and other equivalent mid-range bands.</w:t>
      </w:r>
    </w:p>
    <w:p w14:paraId="5010DDBF" w14:textId="77777777" w:rsidR="00FB6CE1" w:rsidRDefault="00FB6CE1" w:rsidP="00FB6CE1">
      <w:pPr>
        <w:spacing w:after="0" w:line="240" w:lineRule="auto"/>
        <w:rPr>
          <w:i/>
          <w:iCs/>
          <w:u w:val="single"/>
        </w:rPr>
      </w:pPr>
      <w:r>
        <w:rPr>
          <w:i/>
          <w:iCs/>
          <w:u w:val="single"/>
        </w:rPr>
        <w:br w:type="page"/>
      </w:r>
    </w:p>
    <w:p w14:paraId="3217BF9B" w14:textId="7E9B4A7B" w:rsidR="00FB6CE1" w:rsidRPr="00772048" w:rsidRDefault="00FB6CE1" w:rsidP="00FB6CE1">
      <w:pPr>
        <w:spacing w:after="120"/>
        <w:rPr>
          <w:i/>
          <w:iCs/>
        </w:rPr>
      </w:pPr>
      <w:r w:rsidRPr="00772048">
        <w:rPr>
          <w:i/>
          <w:iCs/>
        </w:rPr>
        <w:lastRenderedPageBreak/>
        <w:t xml:space="preserve">ACMA </w:t>
      </w:r>
      <w:r w:rsidR="00D035AB" w:rsidRPr="00772048">
        <w:rPr>
          <w:i/>
          <w:iCs/>
        </w:rPr>
        <w:t>r</w:t>
      </w:r>
      <w:r w:rsidRPr="00772048">
        <w:rPr>
          <w:i/>
          <w:iCs/>
        </w:rPr>
        <w:t>esponse</w:t>
      </w:r>
    </w:p>
    <w:p w14:paraId="541E6145" w14:textId="77777777" w:rsidR="00FB6CE1" w:rsidRDefault="00FB6CE1" w:rsidP="00FB6CE1">
      <w:r>
        <w:t>The ACMA recognises the benefits that can be realised from urban excise. Chief among these is making an additional 75 MHz of internationally harmonised 5G spectrum available for use in capital cities</w:t>
      </w:r>
    </w:p>
    <w:p w14:paraId="2C86643E" w14:textId="26853D1B" w:rsidR="00FB6CE1" w:rsidRDefault="00FB6CE1" w:rsidP="00FB6CE1">
      <w:r>
        <w:t xml:space="preserve">Since receiving submissions to the Options paper, the ACMA has worked with NBN Co to define urban excise areas. This involved identifying the location of premises NBN Co is required to provide fixed wireless services to and using this information to determine </w:t>
      </w:r>
      <w:r w:rsidRPr="00E84B55">
        <w:t>unused urban areas. The resulting areas are described at Appendix C and illustrated in Figure 4. Since these areas are not required for use by NBN Co, the ACMA intends to take steps to</w:t>
      </w:r>
      <w:r>
        <w:t xml:space="preserve"> excise them from NBN Co’s licence holdings. </w:t>
      </w:r>
    </w:p>
    <w:p w14:paraId="3AC05FA3" w14:textId="6086085A" w:rsidR="00FB6CE1" w:rsidRDefault="00FB6CE1" w:rsidP="00FB6CE1">
      <w:r>
        <w:t>The ACMA will work with industry to develop suitable interference management criteria</w:t>
      </w:r>
      <w:r>
        <w:softHyphen/>
        <w:t xml:space="preserve"> to and from these areas</w:t>
      </w:r>
      <w:r w:rsidR="00D035AB">
        <w:t>—</w:t>
      </w:r>
      <w:r>
        <w:t>which, together with their geographic extent, will also determine their utility. While these criteria are expected to be based on the existing 3.4 GHz band spectrum licence framework, there will likely be a need to investigate additional approaches to managing adjacent area interference. For example, a first-in-time coordination approach is expected to result in greater utility of the smaller urban excise areas. This will have to be balanced with the need to protect NBN Co’s existing services and provide a reasonable level or assurance it can migrate to new technologies and/or densify its network as capacity requirements change.</w:t>
      </w:r>
    </w:p>
    <w:p w14:paraId="0121C424" w14:textId="77777777" w:rsidR="00FB6CE1" w:rsidRDefault="00FB6CE1" w:rsidP="00FB6CE1">
      <w:r>
        <w:t xml:space="preserve">Pending an assessment on the utility of the urban excise areas, based on interference management criteria developed, the ACMA will determine the most appropriate method of allocation. This could include an auction of spectrum licences if it is determined that the utility of the areas will result in sufficient demand and competing deployment models where certainty is required for long term investment decisions (for example if it could support the deployment of macro base stations). Other mechanisms such as class or apparatus licensing could be considered if there is limited demand and/or where use may be limited to indoor or small cell deployments. Apparatus licensing would only be available if the minister decides to repeal the notice designating the spectrum for spectrum licensing. Issues related to competition, including the possible implementation of competition limits, will be considered as part of the development of any allocation arrangements that </w:t>
      </w:r>
      <w:proofErr w:type="gramStart"/>
      <w:r>
        <w:t>take into account</w:t>
      </w:r>
      <w:proofErr w:type="gramEnd"/>
      <w:r>
        <w:t xml:space="preserve"> relevant market circumstances. </w:t>
      </w:r>
    </w:p>
    <w:p w14:paraId="076E36FA" w14:textId="77777777" w:rsidR="00FB6CE1" w:rsidRPr="003D1ECC" w:rsidRDefault="00FB6CE1" w:rsidP="00772048">
      <w:pPr>
        <w:spacing w:after="80"/>
        <w:rPr>
          <w:szCs w:val="20"/>
        </w:rPr>
      </w:pPr>
      <w:r>
        <w:t xml:space="preserve">When implementing the arrangements defined in Option 3b, the ACMA </w:t>
      </w:r>
      <w:r w:rsidRPr="00231629">
        <w:t>consider</w:t>
      </w:r>
      <w:r>
        <w:t>s</w:t>
      </w:r>
      <w:r w:rsidRPr="00231629">
        <w:t xml:space="preserve"> </w:t>
      </w:r>
      <w:r>
        <w:t xml:space="preserve">work on </w:t>
      </w:r>
      <w:r w:rsidRPr="00231629">
        <w:t>defrag should be prioritised</w:t>
      </w:r>
      <w:r>
        <w:t xml:space="preserve"> over work on urban excise. The reasons for this are:</w:t>
      </w:r>
    </w:p>
    <w:p w14:paraId="2A3FDA82" w14:textId="77777777" w:rsidR="00FB6CE1" w:rsidRPr="00F17278" w:rsidRDefault="00FB6CE1" w:rsidP="00772048">
      <w:pPr>
        <w:pStyle w:val="ListBullet"/>
      </w:pPr>
      <w:r>
        <w:t xml:space="preserve">The longer defrag is delayed and as more services are deployed, the more </w:t>
      </w:r>
      <w:r w:rsidRPr="00F17278">
        <w:t xml:space="preserve">complicated it becomes to implement and the smaller the cost savings </w:t>
      </w:r>
      <w:r>
        <w:t xml:space="preserve">realised </w:t>
      </w:r>
      <w:r w:rsidRPr="00F17278">
        <w:t>on infrastructure deployments.</w:t>
      </w:r>
    </w:p>
    <w:p w14:paraId="6EAE695B" w14:textId="14A5DC66" w:rsidR="00FB6CE1" w:rsidRPr="006D4863" w:rsidRDefault="00FB6CE1" w:rsidP="00772048">
      <w:pPr>
        <w:pStyle w:val="ListBullet"/>
        <w:rPr>
          <w:szCs w:val="20"/>
        </w:rPr>
      </w:pPr>
      <w:r w:rsidRPr="00124BA8">
        <w:t>Allocating</w:t>
      </w:r>
      <w:r w:rsidRPr="00F17278">
        <w:rPr>
          <w:szCs w:val="20"/>
        </w:rPr>
        <w:t xml:space="preserve"> urban excise areas will introduce one or more </w:t>
      </w:r>
      <w:r w:rsidRPr="00F17278">
        <w:t>new licensees into defrag negotiations. This increase</w:t>
      </w:r>
      <w:r>
        <w:t>s</w:t>
      </w:r>
      <w:r w:rsidRPr="00F17278">
        <w:t xml:space="preserve"> the risk that one party may </w:t>
      </w:r>
      <w:r w:rsidR="00760D0E">
        <w:t xml:space="preserve">not </w:t>
      </w:r>
      <w:r w:rsidRPr="00F17278">
        <w:t>agree</w:t>
      </w:r>
      <w:r w:rsidR="00760D0E">
        <w:t xml:space="preserve"> to implement defrag</w:t>
      </w:r>
      <w:r w:rsidRPr="00F17278">
        <w:t xml:space="preserve">, especially if </w:t>
      </w:r>
      <w:r>
        <w:t xml:space="preserve">its </w:t>
      </w:r>
      <w:r w:rsidRPr="00F17278">
        <w:t xml:space="preserve">holdings are already consolidated in the band. </w:t>
      </w:r>
    </w:p>
    <w:p w14:paraId="340CAC20" w14:textId="3A04E3D0" w:rsidR="00FB6CE1" w:rsidRPr="00BD31F2" w:rsidRDefault="006B5C8B" w:rsidP="00772048">
      <w:pPr>
        <w:pStyle w:val="ListBulletLast"/>
      </w:pPr>
      <w:r>
        <w:t>I</w:t>
      </w:r>
      <w:r w:rsidR="00FB6CE1">
        <w:t xml:space="preserve">t is considered unlikely that the negotiations and agreements required to implement defrag would occur before </w:t>
      </w:r>
      <w:r w:rsidR="00FB6CE1" w:rsidRPr="00124BA8">
        <w:t>urban</w:t>
      </w:r>
      <w:r w:rsidR="00FB6CE1">
        <w:t xml:space="preserve"> excise areas are allocated. This is because there would be no licensee in the urban excise areas to negotiate third party access or licence trades with. Incumbent licensees are unlikely to risk retuning services into urban excise areas in the short term without the long-term certainty they can remain in the spectrum.  </w:t>
      </w:r>
    </w:p>
    <w:p w14:paraId="6534249C" w14:textId="77777777" w:rsidR="00FB6CE1" w:rsidRDefault="00FB6CE1" w:rsidP="00FB6CE1">
      <w:r>
        <w:t xml:space="preserve">Prioritising defrag means the excision of urban areas and their subsequent allocation would be delayed until after NBN Co’s licences are converted and its licence holdings consolidated. </w:t>
      </w:r>
    </w:p>
    <w:p w14:paraId="1C6D5E79" w14:textId="3EAEA3D0" w:rsidR="00FB6CE1" w:rsidRDefault="00FB6CE1" w:rsidP="00FB6CE1">
      <w:r>
        <w:lastRenderedPageBreak/>
        <w:t xml:space="preserve">The process of excising urban areas will be conducted using the ‘resuming spectrum licences’ powers in Chapter 3 Part 3.2 Division 6 of the Act. The ACMA’s current preference will be for any resumption to occur via agreement with the licensee, pursuant to section 89 of the Act. Work concerning the development of interference management criteria and determining the utility of urban excise areas can be conducted in parallel to the defrag process. </w:t>
      </w:r>
    </w:p>
    <w:p w14:paraId="2ACE0DB8" w14:textId="77777777" w:rsidR="00FB6CE1" w:rsidRPr="007D1BB5" w:rsidRDefault="00FB6CE1" w:rsidP="00FB6CE1">
      <w:pPr>
        <w:spacing w:after="80"/>
      </w:pPr>
      <w:bookmarkStart w:id="52" w:name="_Hlk21019165"/>
      <w:r>
        <w:t>In summary</w:t>
      </w:r>
      <w:r w:rsidRPr="007D1BB5">
        <w:t xml:space="preserve"> the ACMA will take the following actions regarding urban excise:</w:t>
      </w:r>
    </w:p>
    <w:p w14:paraId="3DF10371" w14:textId="68A46339" w:rsidR="00FB6CE1" w:rsidRPr="00124BA8" w:rsidRDefault="006B5C8B" w:rsidP="00772048">
      <w:pPr>
        <w:pStyle w:val="ListBullet"/>
      </w:pPr>
      <w:r>
        <w:t>W</w:t>
      </w:r>
      <w:r w:rsidR="00FB6CE1">
        <w:t xml:space="preserve">ork with </w:t>
      </w:r>
      <w:r w:rsidR="00FB6CE1" w:rsidRPr="00124BA8">
        <w:t>industry to develop interference management criteria to and from urban excise areas. This will be conducted in parallel to the work leading up to the allocation of urban excise areas.</w:t>
      </w:r>
    </w:p>
    <w:p w14:paraId="621DD759" w14:textId="057F788C" w:rsidR="00FB6CE1" w:rsidRPr="00124BA8" w:rsidRDefault="006B5C8B" w:rsidP="00772048">
      <w:pPr>
        <w:pStyle w:val="ListBullet"/>
      </w:pPr>
      <w:r>
        <w:t>D</w:t>
      </w:r>
      <w:r w:rsidR="00FB6CE1" w:rsidRPr="00124BA8">
        <w:t>etermine the utility of urban excise areas and an appropriate licensing approach to make the spectrum available.</w:t>
      </w:r>
    </w:p>
    <w:p w14:paraId="2DDB4E3F" w14:textId="0640497C" w:rsidR="00FB6CE1" w:rsidRPr="00124BA8" w:rsidRDefault="006B5C8B" w:rsidP="00772048">
      <w:pPr>
        <w:pStyle w:val="ListBullet"/>
      </w:pPr>
      <w:r>
        <w:t>O</w:t>
      </w:r>
      <w:r w:rsidR="00FB6CE1" w:rsidRPr="00124BA8">
        <w:t>nce defrag is complete, commence processes to resume urban excise areas pursuant to section 89 of the Act.</w:t>
      </w:r>
    </w:p>
    <w:p w14:paraId="5155835A" w14:textId="6B4FDD7B" w:rsidR="00FB6CE1" w:rsidRDefault="006B5C8B" w:rsidP="00772048">
      <w:pPr>
        <w:pStyle w:val="ListBulletLast"/>
      </w:pPr>
      <w:r>
        <w:t>D</w:t>
      </w:r>
      <w:r w:rsidR="00FB6CE1" w:rsidRPr="00124BA8">
        <w:t>evelop allocation instruments (if appropriate</w:t>
      </w:r>
      <w:r w:rsidR="00FB6CE1">
        <w:t>) and allocate urban excise areas.</w:t>
      </w:r>
    </w:p>
    <w:bookmarkEnd w:id="52"/>
    <w:p w14:paraId="589D03F0" w14:textId="77777777" w:rsidR="00FB6CE1" w:rsidRDefault="00FB6CE1" w:rsidP="00FB6CE1">
      <w:r>
        <w:t>The ACMA’s full implementation plan is provided below under ‘ACMA p</w:t>
      </w:r>
      <w:r w:rsidRPr="004B2AC2">
        <w:t xml:space="preserve">lanning decisions and preliminary </w:t>
      </w:r>
      <w:proofErr w:type="gramStart"/>
      <w:r w:rsidRPr="004B2AC2">
        <w:t>views’</w:t>
      </w:r>
      <w:proofErr w:type="gramEnd"/>
      <w:r w:rsidRPr="004B2AC2">
        <w:t>.</w:t>
      </w:r>
      <w:r>
        <w:t xml:space="preserve">  </w:t>
      </w:r>
    </w:p>
    <w:p w14:paraId="1AACEBC7" w14:textId="77777777" w:rsidR="00FB6CE1" w:rsidRPr="00124BA8" w:rsidRDefault="00FB6CE1" w:rsidP="00124BA8">
      <w:pPr>
        <w:pStyle w:val="Heading3"/>
      </w:pPr>
      <w:bookmarkStart w:id="53" w:name="_Toc21088514"/>
      <w:r w:rsidRPr="00124BA8">
        <w:t>Effect on incumbent licensees</w:t>
      </w:r>
      <w:bookmarkEnd w:id="53"/>
      <w:r w:rsidRPr="00124BA8">
        <w:t xml:space="preserve"> </w:t>
      </w:r>
    </w:p>
    <w:p w14:paraId="76DDDFBF" w14:textId="77777777" w:rsidR="00FB6CE1" w:rsidRPr="003F54C3" w:rsidRDefault="00FB6CE1" w:rsidP="00FB6CE1">
      <w:pPr>
        <w:rPr>
          <w:rFonts w:cs="Arial"/>
        </w:rPr>
      </w:pPr>
      <w:bookmarkStart w:id="54" w:name="_Hlk5778596"/>
      <w:r w:rsidRPr="009B4DF7">
        <w:rPr>
          <w:rFonts w:cs="Arial"/>
        </w:rPr>
        <w:t xml:space="preserve">The 3400–3575 MHz band is subject to a mix of spectrum, apparatus </w:t>
      </w:r>
      <w:r w:rsidRPr="00BC181F">
        <w:rPr>
          <w:rFonts w:cs="Arial"/>
        </w:rPr>
        <w:t xml:space="preserve">and class </w:t>
      </w:r>
      <w:r w:rsidRPr="00EF5D2F">
        <w:rPr>
          <w:rFonts w:cs="Arial"/>
        </w:rPr>
        <w:t xml:space="preserve">licensing arrangements. These arrangements authorise a variety of services, including </w:t>
      </w:r>
      <w:r w:rsidRPr="00B84735">
        <w:rPr>
          <w:rFonts w:cs="Arial"/>
        </w:rPr>
        <w:t>wide-area and localised wireless broadband, fixed satellite, radiolocation and amateur services</w:t>
      </w:r>
      <w:r w:rsidRPr="008264DB">
        <w:rPr>
          <w:rFonts w:cs="Arial"/>
        </w:rPr>
        <w:t xml:space="preserve"> as well ultra-wide band (UWB) and building material analysis devices authorise</w:t>
      </w:r>
      <w:r w:rsidRPr="003F54C3">
        <w:rPr>
          <w:rFonts w:cs="Arial"/>
        </w:rPr>
        <w:t xml:space="preserve">d for operation under the LIPD. </w:t>
      </w:r>
      <w:bookmarkEnd w:id="54"/>
    </w:p>
    <w:p w14:paraId="38DD93E7" w14:textId="77777777" w:rsidR="00FB6CE1" w:rsidRPr="003F54C3" w:rsidRDefault="00FB6CE1" w:rsidP="00FB6CE1">
      <w:pPr>
        <w:rPr>
          <w:rFonts w:cs="Arial"/>
        </w:rPr>
      </w:pPr>
      <w:bookmarkStart w:id="55" w:name="_Hlk5111156"/>
      <w:r w:rsidRPr="003F54C3">
        <w:rPr>
          <w:rFonts w:cs="Arial"/>
        </w:rPr>
        <w:t xml:space="preserve">A key benefit of implementing Option 3b is </w:t>
      </w:r>
      <w:r>
        <w:rPr>
          <w:rFonts w:cs="Arial"/>
        </w:rPr>
        <w:t xml:space="preserve">that </w:t>
      </w:r>
      <w:r w:rsidRPr="003F54C3">
        <w:rPr>
          <w:rFonts w:cs="Arial"/>
        </w:rPr>
        <w:t xml:space="preserve">it minimises the impact on incumbent services. Existing spectrum and class licensed arrangements are not affected. Also, while </w:t>
      </w:r>
      <w:proofErr w:type="gramStart"/>
      <w:r w:rsidRPr="003F54C3">
        <w:rPr>
          <w:rFonts w:cs="Arial"/>
        </w:rPr>
        <w:t>a number of</w:t>
      </w:r>
      <w:proofErr w:type="gramEnd"/>
      <w:r w:rsidRPr="003F54C3">
        <w:rPr>
          <w:rFonts w:cs="Arial"/>
        </w:rPr>
        <w:t xml:space="preserve"> existing apparatus licensed services will be affected by the restack process, the final arrangements ensure they will have access to the same or more spectrum within the band. </w:t>
      </w:r>
    </w:p>
    <w:p w14:paraId="277FE5F4" w14:textId="77777777" w:rsidR="00FB6CE1" w:rsidRPr="003F54C3" w:rsidRDefault="00FB6CE1" w:rsidP="00FB6CE1">
      <w:r w:rsidRPr="003F54C3">
        <w:rPr>
          <w:rFonts w:cs="Arial"/>
        </w:rPr>
        <w:t xml:space="preserve">Details on the effect the new planning arrangements will have on each incumbent service are provided below. </w:t>
      </w:r>
    </w:p>
    <w:p w14:paraId="70A57DBB" w14:textId="77777777" w:rsidR="00FB6CE1" w:rsidRPr="003F54C3" w:rsidRDefault="00FB6CE1" w:rsidP="00772048">
      <w:pPr>
        <w:pStyle w:val="Heading4"/>
      </w:pPr>
      <w:r w:rsidRPr="003F54C3">
        <w:t xml:space="preserve">3.4 GHz spectrum licences </w:t>
      </w:r>
    </w:p>
    <w:p w14:paraId="17D562B3" w14:textId="77777777" w:rsidR="00FB6CE1" w:rsidRDefault="00FB6CE1" w:rsidP="00FB6CE1">
      <w:r w:rsidRPr="003F54C3">
        <w:t xml:space="preserve">Optus, Telstra and NBN Co currently hold spectrum licences in the 3.4 GHz band. These licences will not be directly affected by the ACMA’s planning decisions. However, the new arrangements are expected to remove barriers to facilitate negotiations on and implementation of defrag. </w:t>
      </w:r>
    </w:p>
    <w:p w14:paraId="703838ED" w14:textId="77777777" w:rsidR="00FB6CE1" w:rsidRPr="003F54C3" w:rsidRDefault="00FB6CE1" w:rsidP="00FB6CE1">
      <w:r>
        <w:t xml:space="preserve">The new planning arrangements also propose, subject to a decision from the minister, that an additional 42.5 MHz and 25 MHz of spectrum be made available for spectrum licensing in major regional centres and defined regional areas respectively. </w:t>
      </w:r>
    </w:p>
    <w:p w14:paraId="37ECDC60" w14:textId="77777777" w:rsidR="00FB6CE1" w:rsidRPr="003F54C3" w:rsidRDefault="00FB6CE1" w:rsidP="00772048">
      <w:pPr>
        <w:pStyle w:val="Heading4"/>
      </w:pPr>
      <w:r w:rsidRPr="003F54C3">
        <w:t xml:space="preserve">PTS licences </w:t>
      </w:r>
    </w:p>
    <w:p w14:paraId="14CF2785" w14:textId="47A1EB63" w:rsidR="00FB6CE1" w:rsidRPr="003F54C3" w:rsidRDefault="00FB6CE1" w:rsidP="00FB6CE1">
      <w:r w:rsidRPr="003F54C3">
        <w:t>NBN Co is currently the only PTS licensee in the 3400</w:t>
      </w:r>
      <w:r w:rsidR="006B5C8B">
        <w:t>–</w:t>
      </w:r>
      <w:r w:rsidRPr="003F54C3">
        <w:t xml:space="preserve">3575 MHz band. Under the planning decisions </w:t>
      </w:r>
      <w:r>
        <w:t>proposed in this paper</w:t>
      </w:r>
      <w:r w:rsidRPr="003F54C3">
        <w:t xml:space="preserve">, the ACMA will work with NBN Co to restack and then convert these to spectrum licences (refer to Appendix D of the Options paper for an overview of the conversion process). </w:t>
      </w:r>
      <w:r>
        <w:t xml:space="preserve">This will also require an amendment to the Tax Determination to include tax arrangements for PTS licences in the </w:t>
      </w:r>
      <w:r w:rsidRPr="003F54C3">
        <w:t>3425</w:t>
      </w:r>
      <w:r w:rsidR="006B5C8B">
        <w:t>–</w:t>
      </w:r>
      <w:r w:rsidRPr="003F54C3">
        <w:t>3442.5 MHz</w:t>
      </w:r>
      <w:r>
        <w:t xml:space="preserve"> frequency range</w:t>
      </w:r>
      <w:r w:rsidR="009B21E4">
        <w:t>.</w:t>
      </w:r>
    </w:p>
    <w:p w14:paraId="6A2BC838" w14:textId="2CEED0DB" w:rsidR="00FB6CE1" w:rsidRPr="00806E3A" w:rsidRDefault="00FB6CE1" w:rsidP="00FB6CE1">
      <w:r w:rsidRPr="003F54C3">
        <w:lastRenderedPageBreak/>
        <w:t xml:space="preserve">This process will require a decision by the </w:t>
      </w:r>
      <w:r w:rsidR="009B21E4">
        <w:t>M</w:t>
      </w:r>
      <w:r w:rsidRPr="003F54C3">
        <w:t xml:space="preserve">inister to designate the relevant areas and frequencies that will be converted to spectrum licences. At a minimum </w:t>
      </w:r>
      <w:r>
        <w:t xml:space="preserve">it is proposed it </w:t>
      </w:r>
      <w:r w:rsidRPr="003F54C3">
        <w:t>include</w:t>
      </w:r>
      <w:r w:rsidRPr="003F54C3">
        <w:rPr>
          <w:rFonts w:cs="Arial"/>
        </w:rPr>
        <w:t xml:space="preserve"> the areas and frequencies </w:t>
      </w:r>
      <w:r>
        <w:rPr>
          <w:rFonts w:cs="Arial"/>
        </w:rPr>
        <w:t xml:space="preserve">currently </w:t>
      </w:r>
      <w:r w:rsidRPr="003F54C3">
        <w:rPr>
          <w:rFonts w:cs="Arial"/>
        </w:rPr>
        <w:t xml:space="preserve">covered by NBN Co’s 3.5 GHz PTS licences. However, to enable NBN Co to continue operating existing services, the geographical boundaries of </w:t>
      </w:r>
      <w:r>
        <w:rPr>
          <w:rFonts w:cs="Arial"/>
        </w:rPr>
        <w:t>its</w:t>
      </w:r>
      <w:r w:rsidRPr="003F54C3">
        <w:rPr>
          <w:rFonts w:cs="Arial"/>
        </w:rPr>
        <w:t xml:space="preserve"> converted licence may need to be extended in some regional areas</w:t>
      </w:r>
      <w:r>
        <w:rPr>
          <w:rFonts w:cs="Arial"/>
        </w:rPr>
        <w:t>, pursuant with section 53(3) of the Act</w:t>
      </w:r>
      <w:r w:rsidRPr="003F54C3">
        <w:rPr>
          <w:rFonts w:cs="Arial"/>
        </w:rPr>
        <w:t xml:space="preserve">. This will </w:t>
      </w:r>
      <w:r w:rsidRPr="00806E3A">
        <w:rPr>
          <w:rFonts w:cs="Arial"/>
        </w:rPr>
        <w:t xml:space="preserve">only be done to ensure existing services meet the requirements of the </w:t>
      </w:r>
      <w:hyperlink r:id="rId36" w:history="1">
        <w:r w:rsidRPr="00772048">
          <w:rPr>
            <w:rStyle w:val="Hyperlink"/>
          </w:rPr>
          <w:t>Radiocommunications (Unacceptable Levels of Interference—3.4 GHz Band) Determination 2015</w:t>
        </w:r>
      </w:hyperlink>
      <w:r w:rsidRPr="003F54C3">
        <w:rPr>
          <w:rFonts w:cs="Arial"/>
        </w:rPr>
        <w:t xml:space="preserve">, </w:t>
      </w:r>
      <w:r w:rsidRPr="003F54C3">
        <w:t>which controls the levels of emissions leaving a licence area.</w:t>
      </w:r>
    </w:p>
    <w:p w14:paraId="2CAD014F" w14:textId="77777777" w:rsidR="00FB6CE1" w:rsidRPr="003A1A7E" w:rsidRDefault="00FB6CE1" w:rsidP="00772048">
      <w:pPr>
        <w:pStyle w:val="Heading4"/>
      </w:pPr>
      <w:r w:rsidRPr="006C6E23">
        <w:t xml:space="preserve">PMP licences </w:t>
      </w:r>
    </w:p>
    <w:p w14:paraId="0417FBEF" w14:textId="6167AD51" w:rsidR="00FB6CE1" w:rsidRPr="00EF5D2F" w:rsidRDefault="00FB6CE1" w:rsidP="00FB6CE1">
      <w:r w:rsidRPr="009B4DF7">
        <w:t>Arrangements for PMP licensing in remote areas will be extended to cover the entire 3400</w:t>
      </w:r>
      <w:r w:rsidR="006B5C8B">
        <w:t>–</w:t>
      </w:r>
      <w:r w:rsidRPr="009B4DF7">
        <w:t xml:space="preserve">3700 MHz frequency range. Due to the amount of spectrum available and the small number of incumbent licences, existing PMP licences will </w:t>
      </w:r>
      <w:r>
        <w:t>not be required to move to the new arrangements. They will also be afforded ongoing protection from new services</w:t>
      </w:r>
      <w:r w:rsidRPr="00EF5D2F">
        <w:t xml:space="preserve">. </w:t>
      </w:r>
    </w:p>
    <w:p w14:paraId="2728B733" w14:textId="60CF2B5C" w:rsidR="00FB6CE1" w:rsidRDefault="00FB6CE1" w:rsidP="00FB6CE1">
      <w:r w:rsidRPr="0053513E">
        <w:t>Existing arrangements for PMP licensing in the 3425</w:t>
      </w:r>
      <w:r w:rsidR="006B5C8B">
        <w:t>–</w:t>
      </w:r>
      <w:r w:rsidRPr="0053513E">
        <w:t>3442.5 MHz and 3475</w:t>
      </w:r>
      <w:r w:rsidR="006B5C8B">
        <w:t>–</w:t>
      </w:r>
      <w:r w:rsidRPr="0053513E">
        <w:t xml:space="preserve">3492.5 MHz </w:t>
      </w:r>
      <w:r>
        <w:t xml:space="preserve">frequency ranges </w:t>
      </w:r>
      <w:r w:rsidRPr="0053513E">
        <w:t xml:space="preserve">in regional areas will be affected by the ACMA’s planning decisions. Specifically, the </w:t>
      </w:r>
      <w:r w:rsidRPr="00B84735">
        <w:t>arrangements will be consolidated to encompass the 3492.5</w:t>
      </w:r>
      <w:r w:rsidR="006B5C8B">
        <w:t>–</w:t>
      </w:r>
      <w:r w:rsidRPr="00B84735">
        <w:t xml:space="preserve">3510 MHz frequency range. </w:t>
      </w:r>
      <w:r w:rsidRPr="004B06AF">
        <w:t xml:space="preserve">To </w:t>
      </w:r>
      <w:r>
        <w:t>give effect to</w:t>
      </w:r>
      <w:r w:rsidRPr="004B06AF">
        <w:t xml:space="preserve"> this outcome</w:t>
      </w:r>
      <w:r>
        <w:t xml:space="preserve"> and facilitate implementation of the new planning arrangements across the broader 3400</w:t>
      </w:r>
      <w:r w:rsidR="006B5C8B">
        <w:t>–</w:t>
      </w:r>
      <w:r>
        <w:t>3575 MHz band</w:t>
      </w:r>
      <w:r w:rsidRPr="004B06AF">
        <w:t xml:space="preserve">, </w:t>
      </w:r>
      <w:r w:rsidRPr="003F54C3">
        <w:t xml:space="preserve">the ACMA will </w:t>
      </w:r>
      <w:r>
        <w:t xml:space="preserve">adopt a policy of </w:t>
      </w:r>
      <w:r w:rsidRPr="003F54C3">
        <w:t>not reissu</w:t>
      </w:r>
      <w:r>
        <w:t>ing</w:t>
      </w:r>
      <w:r w:rsidRPr="003F54C3">
        <w:t xml:space="preserve"> PMP licen</w:t>
      </w:r>
      <w:r>
        <w:t>c</w:t>
      </w:r>
      <w:r w:rsidRPr="003F54C3">
        <w:t>es in the 3425</w:t>
      </w:r>
      <w:r w:rsidR="006B5C8B">
        <w:t>–</w:t>
      </w:r>
      <w:r w:rsidRPr="003F54C3">
        <w:t xml:space="preserve">3442.5 MHz band beyond </w:t>
      </w:r>
      <w:r>
        <w:t>30 November 2020</w:t>
      </w:r>
      <w:r w:rsidRPr="00806E3A">
        <w:t>.</w:t>
      </w:r>
    </w:p>
    <w:p w14:paraId="6008DBEB" w14:textId="18D22BAA" w:rsidR="00FB6CE1" w:rsidRPr="003F54C3" w:rsidRDefault="00FB6CE1" w:rsidP="00FB6CE1">
      <w:r w:rsidRPr="00806E3A">
        <w:t>The ACMA will also develop arrangements to support PMP apparatus licensing in the 3492.5</w:t>
      </w:r>
      <w:r w:rsidR="006B5C8B">
        <w:t>–</w:t>
      </w:r>
      <w:r w:rsidRPr="00806E3A">
        <w:t xml:space="preserve">3542.5 MHz frequency range </w:t>
      </w:r>
      <w:r w:rsidRPr="006C6E23">
        <w:t xml:space="preserve">in </w:t>
      </w:r>
      <w:r w:rsidR="00C32FDD">
        <w:t xml:space="preserve">major </w:t>
      </w:r>
      <w:r w:rsidR="007A60D8">
        <w:t>regional</w:t>
      </w:r>
      <w:r w:rsidR="007A60D8" w:rsidRPr="006C6E23">
        <w:t xml:space="preserve"> </w:t>
      </w:r>
      <w:r w:rsidRPr="006C6E23">
        <w:t>centres and the 3510</w:t>
      </w:r>
      <w:r w:rsidR="006B5C8B">
        <w:t>–</w:t>
      </w:r>
      <w:r w:rsidRPr="006C6E23">
        <w:t xml:space="preserve">3542.5 MHz frequency range in </w:t>
      </w:r>
      <w:r w:rsidRPr="003A1A7E">
        <w:t xml:space="preserve">those regional areas not </w:t>
      </w:r>
      <w:r w:rsidRPr="009B4DF7">
        <w:t>designated for spectrum licensing</w:t>
      </w:r>
      <w:r w:rsidRPr="003F54C3">
        <w:t xml:space="preserve">. </w:t>
      </w:r>
    </w:p>
    <w:p w14:paraId="4EE9AFA5" w14:textId="77777777" w:rsidR="00FB6CE1" w:rsidRPr="009B4DF7" w:rsidRDefault="00FB6CE1" w:rsidP="00772048">
      <w:pPr>
        <w:spacing w:after="80"/>
      </w:pPr>
      <w:r w:rsidRPr="00806E3A">
        <w:t xml:space="preserve">The new planning arrangements will result in the following amount of spectrum being </w:t>
      </w:r>
      <w:r w:rsidRPr="006C6E23">
        <w:t xml:space="preserve">available for PMP </w:t>
      </w:r>
      <w:r w:rsidRPr="003A1A7E">
        <w:t xml:space="preserve">licensing: </w:t>
      </w:r>
    </w:p>
    <w:p w14:paraId="76042EA5" w14:textId="5D429887" w:rsidR="00FB6CE1" w:rsidRPr="009B4DF7" w:rsidRDefault="00FB6CE1" w:rsidP="00772048">
      <w:pPr>
        <w:pStyle w:val="ListBullet"/>
      </w:pPr>
      <w:r w:rsidRPr="009B4DF7">
        <w:t xml:space="preserve">50 MHz in </w:t>
      </w:r>
      <w:r w:rsidR="00C32FDD">
        <w:t xml:space="preserve">major </w:t>
      </w:r>
      <w:r w:rsidRPr="009B4DF7">
        <w:t xml:space="preserve">regional centres </w:t>
      </w:r>
    </w:p>
    <w:p w14:paraId="197E6AC0" w14:textId="2F7D744B" w:rsidR="00FB6CE1" w:rsidRPr="009B4DF7" w:rsidRDefault="00FB6CE1" w:rsidP="00FB6CE1">
      <w:pPr>
        <w:pStyle w:val="ListBullet"/>
        <w:numPr>
          <w:ilvl w:val="0"/>
          <w:numId w:val="16"/>
        </w:numPr>
        <w:tabs>
          <w:tab w:val="num" w:pos="295"/>
        </w:tabs>
        <w:spacing w:before="120" w:after="120" w:line="240" w:lineRule="auto"/>
        <w:ind w:left="295" w:hanging="295"/>
      </w:pPr>
      <w:r w:rsidRPr="009B4DF7">
        <w:t>35</w:t>
      </w:r>
      <w:r w:rsidR="006B5C8B">
        <w:t>–</w:t>
      </w:r>
      <w:r w:rsidRPr="009B4DF7">
        <w:t>67.5 MHz in regional areas</w:t>
      </w:r>
    </w:p>
    <w:p w14:paraId="21D21680" w14:textId="7AE33769" w:rsidR="00FB6CE1" w:rsidRPr="00EF5D2F" w:rsidRDefault="00FB6CE1" w:rsidP="00FB6CE1">
      <w:pPr>
        <w:pStyle w:val="ListBullet"/>
        <w:numPr>
          <w:ilvl w:val="0"/>
          <w:numId w:val="16"/>
        </w:numPr>
        <w:tabs>
          <w:tab w:val="num" w:pos="295"/>
        </w:tabs>
        <w:spacing w:before="120" w:after="240" w:line="240" w:lineRule="auto"/>
        <w:ind w:left="295" w:hanging="295"/>
      </w:pPr>
      <w:r w:rsidRPr="00EF5D2F">
        <w:t>300 MHz in remote areas</w:t>
      </w:r>
      <w:r>
        <w:t xml:space="preserve"> (when combined with existing arrangements in the 3575</w:t>
      </w:r>
      <w:r w:rsidR="006B5C8B">
        <w:t>–</w:t>
      </w:r>
      <w:r>
        <w:t>3700 MHz band)</w:t>
      </w:r>
      <w:r w:rsidRPr="00EF5D2F">
        <w:t>.</w:t>
      </w:r>
    </w:p>
    <w:p w14:paraId="13B602AC" w14:textId="77777777" w:rsidR="00FB6CE1" w:rsidRPr="00B84735" w:rsidRDefault="00FB6CE1" w:rsidP="00FB6CE1">
      <w:pPr>
        <w:pStyle w:val="ListBullet"/>
        <w:numPr>
          <w:ilvl w:val="0"/>
          <w:numId w:val="0"/>
        </w:numPr>
        <w:spacing w:before="120" w:after="240" w:line="240" w:lineRule="auto"/>
      </w:pPr>
      <w:r w:rsidRPr="00EF5D2F">
        <w:t xml:space="preserve">This outcome </w:t>
      </w:r>
      <w:r w:rsidRPr="0053513E">
        <w:t xml:space="preserve">ensures current and prospective PMP licensees have access to larger channel bandwidths and same or more spectrum in more areas. Importantly these arrangements also encompass spectrum </w:t>
      </w:r>
      <w:r>
        <w:t>in which</w:t>
      </w:r>
      <w:r w:rsidRPr="0053513E">
        <w:t xml:space="preserve"> there is a competitive global </w:t>
      </w:r>
      <w:r w:rsidRPr="00B84735">
        <w:t xml:space="preserve">equipment ecosystem catering for both fixed and mobile wireless broadband services.       </w:t>
      </w:r>
    </w:p>
    <w:p w14:paraId="48912F9D" w14:textId="77777777" w:rsidR="00FB6CE1" w:rsidRPr="009B4DF7" w:rsidRDefault="00FB6CE1" w:rsidP="00772048">
      <w:pPr>
        <w:spacing w:after="80"/>
      </w:pPr>
      <w:r>
        <w:t xml:space="preserve">To achieve the intended outcome </w:t>
      </w:r>
      <w:r w:rsidRPr="00806E3A">
        <w:t xml:space="preserve">affected services </w:t>
      </w:r>
      <w:r>
        <w:t xml:space="preserve">will need </w:t>
      </w:r>
      <w:r w:rsidRPr="00806E3A">
        <w:t>to do one of</w:t>
      </w:r>
      <w:r>
        <w:t xml:space="preserve"> the following</w:t>
      </w:r>
      <w:r w:rsidRPr="003A1A7E">
        <w:t>:</w:t>
      </w:r>
    </w:p>
    <w:p w14:paraId="04DC7D8B" w14:textId="7CCCEA94" w:rsidR="00FB6CE1" w:rsidRPr="00BC181F" w:rsidRDefault="00FB6CE1" w:rsidP="00772048">
      <w:pPr>
        <w:pStyle w:val="ListBullet"/>
        <w:numPr>
          <w:ilvl w:val="0"/>
          <w:numId w:val="16"/>
        </w:numPr>
        <w:tabs>
          <w:tab w:val="num" w:pos="295"/>
        </w:tabs>
        <w:spacing w:before="120" w:line="240" w:lineRule="auto"/>
        <w:ind w:left="295" w:hanging="295"/>
      </w:pPr>
      <w:r w:rsidRPr="009B4DF7">
        <w:rPr>
          <w:rFonts w:cs="Arial"/>
        </w:rPr>
        <w:t>retune services into the 3492.5</w:t>
      </w:r>
      <w:r w:rsidR="006B5C8B">
        <w:t>–</w:t>
      </w:r>
      <w:r w:rsidRPr="009B4DF7">
        <w:rPr>
          <w:rFonts w:cs="Arial"/>
        </w:rPr>
        <w:t>3510 MHz frequency range</w:t>
      </w:r>
    </w:p>
    <w:p w14:paraId="19C8F95E" w14:textId="5C50190A" w:rsidR="00FB6CE1" w:rsidRPr="0053513E" w:rsidRDefault="00FB6CE1" w:rsidP="00FB6CE1">
      <w:pPr>
        <w:pStyle w:val="ListBullet"/>
        <w:numPr>
          <w:ilvl w:val="0"/>
          <w:numId w:val="16"/>
        </w:numPr>
        <w:tabs>
          <w:tab w:val="num" w:pos="295"/>
        </w:tabs>
        <w:spacing w:before="120" w:after="120" w:line="240" w:lineRule="auto"/>
        <w:ind w:left="295" w:hanging="295"/>
      </w:pPr>
      <w:r w:rsidRPr="00EF5D2F">
        <w:t>relocate</w:t>
      </w:r>
      <w:r w:rsidRPr="00EF5D2F">
        <w:rPr>
          <w:rFonts w:cs="Arial"/>
        </w:rPr>
        <w:t xml:space="preserve"> to another frequency band in areas</w:t>
      </w:r>
      <w:r>
        <w:rPr>
          <w:rFonts w:cs="Arial"/>
        </w:rPr>
        <w:t xml:space="preserve"> where</w:t>
      </w:r>
      <w:r w:rsidRPr="00EF5D2F">
        <w:rPr>
          <w:rFonts w:cs="Arial"/>
        </w:rPr>
        <w:t xml:space="preserve"> suitable alternative spectrum options exist</w:t>
      </w:r>
    </w:p>
    <w:p w14:paraId="4E1343A5" w14:textId="56149BEB" w:rsidR="00FB6CE1" w:rsidRPr="003F54C3" w:rsidRDefault="00FB6CE1" w:rsidP="00FB6CE1">
      <w:pPr>
        <w:pStyle w:val="ListBullet"/>
        <w:numPr>
          <w:ilvl w:val="0"/>
          <w:numId w:val="16"/>
        </w:numPr>
        <w:tabs>
          <w:tab w:val="num" w:pos="295"/>
        </w:tabs>
        <w:spacing w:before="120" w:after="120" w:line="240" w:lineRule="auto"/>
        <w:ind w:left="295" w:hanging="295"/>
      </w:pPr>
      <w:r w:rsidRPr="0053513E">
        <w:t>negotiate ongoing access to the spectrum via third-party arrangements</w:t>
      </w:r>
      <w:r w:rsidR="006B5C8B">
        <w:t>—</w:t>
      </w:r>
      <w:r w:rsidRPr="0053513E">
        <w:t>this will only be possible in areas covered by NBN Co’s restacked 3.5 GHz PTS licences</w:t>
      </w:r>
      <w:r w:rsidR="006B5C8B">
        <w:t>,</w:t>
      </w:r>
      <w:r w:rsidRPr="0053513E">
        <w:t xml:space="preserve"> </w:t>
      </w:r>
      <w:r w:rsidRPr="003F54C3">
        <w:t>or</w:t>
      </w:r>
    </w:p>
    <w:p w14:paraId="5416E922" w14:textId="77777777" w:rsidR="00FB6CE1" w:rsidRPr="00806E3A" w:rsidRDefault="00FB6CE1" w:rsidP="00FB6CE1">
      <w:pPr>
        <w:pStyle w:val="ListBullet"/>
        <w:numPr>
          <w:ilvl w:val="0"/>
          <w:numId w:val="16"/>
        </w:numPr>
        <w:tabs>
          <w:tab w:val="num" w:pos="295"/>
        </w:tabs>
        <w:spacing w:before="120" w:after="240" w:line="240" w:lineRule="auto"/>
        <w:ind w:left="295" w:hanging="295"/>
      </w:pPr>
      <w:r w:rsidRPr="00806E3A">
        <w:rPr>
          <w:rFonts w:cs="Arial"/>
        </w:rPr>
        <w:t>cease operating in the band.</w:t>
      </w:r>
    </w:p>
    <w:p w14:paraId="0DFA8F2D" w14:textId="6FAE7749" w:rsidR="00FB6CE1" w:rsidRPr="003F54C3" w:rsidRDefault="00FB6CE1" w:rsidP="00FB6CE1">
      <w:pPr>
        <w:spacing w:after="360"/>
        <w:rPr>
          <w:rFonts w:cs="Arial"/>
        </w:rPr>
      </w:pPr>
      <w:r w:rsidRPr="008264DB">
        <w:rPr>
          <w:rFonts w:cs="Arial"/>
        </w:rPr>
        <w:t xml:space="preserve">Table 1 summarises the PMP licensees and the number of licences affected by the </w:t>
      </w:r>
      <w:r w:rsidRPr="003F54C3">
        <w:rPr>
          <w:rFonts w:cs="Arial"/>
        </w:rPr>
        <w:t xml:space="preserve">ACMA’s planning decisions. The ACMA </w:t>
      </w:r>
      <w:r>
        <w:rPr>
          <w:rFonts w:cs="Arial"/>
        </w:rPr>
        <w:t>notes that</w:t>
      </w:r>
      <w:r w:rsidRPr="003F54C3">
        <w:rPr>
          <w:rFonts w:cs="Arial"/>
        </w:rPr>
        <w:t xml:space="preserve"> there are both FDD and TDD PMP services operating in the 3425</w:t>
      </w:r>
      <w:r w:rsidR="006B5C8B">
        <w:t>–</w:t>
      </w:r>
      <w:r w:rsidRPr="003F54C3">
        <w:rPr>
          <w:rFonts w:cs="Arial"/>
        </w:rPr>
        <w:t xml:space="preserve">3442.5 MHz frequency range. </w:t>
      </w:r>
      <w:bookmarkStart w:id="56" w:name="_Hlk5616491"/>
      <w:r w:rsidRPr="003F54C3">
        <w:rPr>
          <w:rFonts w:cs="Arial"/>
        </w:rPr>
        <w:t xml:space="preserve">It is anticipated that TDD </w:t>
      </w:r>
      <w:r w:rsidRPr="003F54C3">
        <w:rPr>
          <w:rFonts w:cs="Arial"/>
        </w:rPr>
        <w:lastRenderedPageBreak/>
        <w:t>services will be able to retune their equipment to operate under the new arrangements. However, this may not be possible for FDD PMP licensees unless they replace their equipment with TDD systems</w:t>
      </w:r>
      <w:bookmarkEnd w:id="56"/>
      <w:r w:rsidRPr="003F54C3">
        <w:rPr>
          <w:rFonts w:cs="Arial"/>
        </w:rPr>
        <w:t>.</w:t>
      </w:r>
    </w:p>
    <w:p w14:paraId="6053724F" w14:textId="77777777" w:rsidR="00FB6CE1" w:rsidRPr="003F54C3" w:rsidRDefault="00FB6CE1" w:rsidP="00FB6CE1">
      <w:pPr>
        <w:pStyle w:val="ACMATableHeader"/>
        <w:numPr>
          <w:ilvl w:val="0"/>
          <w:numId w:val="17"/>
        </w:numPr>
        <w:spacing w:before="240"/>
      </w:pPr>
      <w:r w:rsidRPr="003F54C3">
        <w:t>Summary of PTS, PMP and spectrum licensees affected by planning Option 3b (based on RRL data from 1 October 2019)</w:t>
      </w:r>
    </w:p>
    <w:tbl>
      <w:tblPr>
        <w:tblStyle w:val="TableGrid"/>
        <w:tblW w:w="8936" w:type="dxa"/>
        <w:tblInd w:w="-147" w:type="dxa"/>
        <w:tblLayout w:type="fixed"/>
        <w:tblCellMar>
          <w:top w:w="28" w:type="dxa"/>
          <w:left w:w="57" w:type="dxa"/>
          <w:bottom w:w="28" w:type="dxa"/>
          <w:right w:w="57" w:type="dxa"/>
        </w:tblCellMar>
        <w:tblLook w:val="04A0" w:firstRow="1" w:lastRow="0" w:firstColumn="1" w:lastColumn="0" w:noHBand="0" w:noVBand="1"/>
        <w:tblCaption w:val="Indicative timeline for the progression of one band through the process for consideration of additional spectrum for mobile borabdand services"/>
        <w:tblDescription w:val="includes stage, milestones and indicative timings."/>
      </w:tblPr>
      <w:tblGrid>
        <w:gridCol w:w="1565"/>
        <w:gridCol w:w="5670"/>
        <w:gridCol w:w="1701"/>
      </w:tblGrid>
      <w:tr w:rsidR="00FB6CE1" w:rsidRPr="003F54C3" w14:paraId="46F4D240" w14:textId="77777777" w:rsidTr="0067714C">
        <w:trPr>
          <w:trHeight w:val="86"/>
          <w:tblHeader/>
        </w:trPr>
        <w:tc>
          <w:tcPr>
            <w:tcW w:w="1565" w:type="dxa"/>
            <w:tcBorders>
              <w:top w:val="single" w:sz="4" w:space="0" w:color="auto"/>
              <w:left w:val="single" w:sz="4" w:space="0" w:color="auto"/>
              <w:bottom w:val="single" w:sz="4" w:space="0" w:color="auto"/>
              <w:right w:val="single" w:sz="4" w:space="0" w:color="auto"/>
            </w:tcBorders>
            <w:shd w:val="clear" w:color="auto" w:fill="404040" w:themeFill="text1" w:themeFillTint="BF"/>
            <w:tcMar>
              <w:top w:w="57" w:type="dxa"/>
              <w:bottom w:w="57" w:type="dxa"/>
            </w:tcMar>
            <w:vAlign w:val="center"/>
          </w:tcPr>
          <w:p w14:paraId="7C552D0B" w14:textId="13232176" w:rsidR="00FB6CE1" w:rsidRPr="00772048" w:rsidRDefault="00FB6CE1" w:rsidP="00772048">
            <w:pPr>
              <w:pStyle w:val="TableHeading0"/>
              <w:rPr>
                <w:color w:val="FFFFFF" w:themeColor="background1"/>
              </w:rPr>
            </w:pPr>
            <w:r w:rsidRPr="00772048">
              <w:rPr>
                <w:color w:val="FFFFFF" w:themeColor="background1"/>
              </w:rPr>
              <w:t xml:space="preserve">Licence </w:t>
            </w:r>
            <w:r w:rsidR="006B5C8B" w:rsidRPr="00772048">
              <w:rPr>
                <w:color w:val="FFFFFF" w:themeColor="background1"/>
              </w:rPr>
              <w:t>t</w:t>
            </w:r>
            <w:r w:rsidRPr="00772048">
              <w:rPr>
                <w:color w:val="FFFFFF" w:themeColor="background1"/>
              </w:rPr>
              <w:t>ype</w:t>
            </w:r>
          </w:p>
        </w:tc>
        <w:tc>
          <w:tcPr>
            <w:tcW w:w="5670" w:type="dxa"/>
            <w:tcBorders>
              <w:top w:val="single" w:sz="4" w:space="0" w:color="auto"/>
              <w:left w:val="single" w:sz="4" w:space="0" w:color="auto"/>
              <w:bottom w:val="single" w:sz="4" w:space="0" w:color="auto"/>
              <w:right w:val="single" w:sz="4" w:space="0" w:color="auto"/>
            </w:tcBorders>
            <w:shd w:val="clear" w:color="auto" w:fill="404040" w:themeFill="text1" w:themeFillTint="BF"/>
            <w:tcMar>
              <w:top w:w="57" w:type="dxa"/>
              <w:bottom w:w="57" w:type="dxa"/>
            </w:tcMar>
            <w:vAlign w:val="center"/>
            <w:hideMark/>
          </w:tcPr>
          <w:p w14:paraId="6AADF1DC" w14:textId="77777777" w:rsidR="00FB6CE1" w:rsidRPr="00772048" w:rsidRDefault="00FB6CE1" w:rsidP="00772048">
            <w:pPr>
              <w:pStyle w:val="TableHeading0"/>
              <w:rPr>
                <w:color w:val="FFFFFF" w:themeColor="background1"/>
              </w:rPr>
            </w:pPr>
            <w:r w:rsidRPr="00772048">
              <w:rPr>
                <w:color w:val="FFFFFF" w:themeColor="background1"/>
              </w:rPr>
              <w:t xml:space="preserve">Licensees </w:t>
            </w:r>
          </w:p>
        </w:tc>
        <w:tc>
          <w:tcPr>
            <w:tcW w:w="1701" w:type="dxa"/>
            <w:tcBorders>
              <w:top w:val="single" w:sz="4" w:space="0" w:color="auto"/>
              <w:left w:val="single" w:sz="4" w:space="0" w:color="auto"/>
              <w:bottom w:val="single" w:sz="4" w:space="0" w:color="auto"/>
              <w:right w:val="single" w:sz="4" w:space="0" w:color="auto"/>
            </w:tcBorders>
            <w:shd w:val="clear" w:color="auto" w:fill="404040" w:themeFill="text1" w:themeFillTint="BF"/>
            <w:tcMar>
              <w:top w:w="57" w:type="dxa"/>
              <w:bottom w:w="57" w:type="dxa"/>
            </w:tcMar>
            <w:vAlign w:val="center"/>
            <w:hideMark/>
          </w:tcPr>
          <w:p w14:paraId="2E24704C" w14:textId="45C75BBF" w:rsidR="00FB6CE1" w:rsidRPr="00772048" w:rsidRDefault="00FB6CE1" w:rsidP="00772048">
            <w:pPr>
              <w:pStyle w:val="TableHeading0"/>
              <w:rPr>
                <w:color w:val="FFFFFF" w:themeColor="background1"/>
              </w:rPr>
            </w:pPr>
            <w:r w:rsidRPr="00772048">
              <w:rPr>
                <w:color w:val="FFFFFF" w:themeColor="background1"/>
              </w:rPr>
              <w:t xml:space="preserve">Number of </w:t>
            </w:r>
            <w:r w:rsidR="006B5C8B" w:rsidRPr="00772048">
              <w:rPr>
                <w:color w:val="FFFFFF" w:themeColor="background1"/>
              </w:rPr>
              <w:t>l</w:t>
            </w:r>
            <w:r w:rsidRPr="00772048">
              <w:rPr>
                <w:color w:val="FFFFFF" w:themeColor="background1"/>
              </w:rPr>
              <w:t>icences</w:t>
            </w:r>
          </w:p>
        </w:tc>
      </w:tr>
      <w:tr w:rsidR="00FB6CE1" w:rsidRPr="003F54C3" w14:paraId="63A20BA3" w14:textId="77777777" w:rsidTr="0067714C">
        <w:tc>
          <w:tcPr>
            <w:tcW w:w="1565" w:type="dxa"/>
            <w:tcBorders>
              <w:top w:val="single" w:sz="4" w:space="0" w:color="auto"/>
              <w:left w:val="single" w:sz="4" w:space="0" w:color="auto"/>
              <w:bottom w:val="single" w:sz="4" w:space="0" w:color="auto"/>
              <w:right w:val="single" w:sz="4" w:space="0" w:color="auto"/>
            </w:tcBorders>
            <w:tcMar>
              <w:top w:w="45" w:type="dxa"/>
              <w:left w:w="57" w:type="dxa"/>
              <w:bottom w:w="45" w:type="dxa"/>
              <w:right w:w="57" w:type="dxa"/>
            </w:tcMar>
          </w:tcPr>
          <w:p w14:paraId="3932B565" w14:textId="77777777" w:rsidR="00FB6CE1" w:rsidRPr="003F54C3" w:rsidRDefault="00FB6CE1" w:rsidP="00772048">
            <w:pPr>
              <w:pStyle w:val="TableBody"/>
            </w:pPr>
            <w:r w:rsidRPr="003F54C3">
              <w:t>FDD-PMP</w:t>
            </w:r>
          </w:p>
        </w:tc>
        <w:tc>
          <w:tcPr>
            <w:tcW w:w="5670" w:type="dxa"/>
            <w:tcBorders>
              <w:top w:val="single" w:sz="4" w:space="0" w:color="auto"/>
              <w:left w:val="single" w:sz="4" w:space="0" w:color="auto"/>
              <w:bottom w:val="single" w:sz="4" w:space="0" w:color="auto"/>
              <w:right w:val="single" w:sz="4" w:space="0" w:color="auto"/>
            </w:tcBorders>
            <w:tcMar>
              <w:top w:w="45" w:type="dxa"/>
              <w:left w:w="57" w:type="dxa"/>
              <w:bottom w:w="45" w:type="dxa"/>
              <w:right w:w="57" w:type="dxa"/>
            </w:tcMar>
          </w:tcPr>
          <w:p w14:paraId="6965BCDB" w14:textId="77777777" w:rsidR="00FB6CE1" w:rsidRPr="003F54C3" w:rsidRDefault="00FB6CE1" w:rsidP="00772048">
            <w:pPr>
              <w:pStyle w:val="TableBody"/>
            </w:pPr>
            <w:r w:rsidRPr="003F54C3">
              <w:t xml:space="preserve">Agile Pty Ltd, Armidale Dumaresq Council, Aussie Broadband Pty Ltd, </w:t>
            </w:r>
            <w:proofErr w:type="spellStart"/>
            <w:r w:rsidRPr="003F54C3">
              <w:t>Davco</w:t>
            </w:r>
            <w:proofErr w:type="spellEnd"/>
            <w:r w:rsidRPr="003F54C3">
              <w:t xml:space="preserve"> Farming Company, </w:t>
            </w:r>
            <w:proofErr w:type="spellStart"/>
            <w:r w:rsidRPr="003F54C3">
              <w:t>HaleNET</w:t>
            </w:r>
            <w:proofErr w:type="spellEnd"/>
            <w:r w:rsidRPr="003F54C3">
              <w:t xml:space="preserve"> Pty Ltd, NC Cable Pty Ltd, Silk Telecom Pty Ltd, Uralla Shire Council</w:t>
            </w:r>
          </w:p>
        </w:tc>
        <w:tc>
          <w:tcPr>
            <w:tcW w:w="1701" w:type="dxa"/>
            <w:tcBorders>
              <w:top w:val="single" w:sz="4" w:space="0" w:color="auto"/>
              <w:left w:val="single" w:sz="4" w:space="0" w:color="auto"/>
              <w:bottom w:val="single" w:sz="4" w:space="0" w:color="auto"/>
              <w:right w:val="single" w:sz="4" w:space="0" w:color="auto"/>
            </w:tcBorders>
            <w:tcMar>
              <w:top w:w="45" w:type="dxa"/>
              <w:left w:w="57" w:type="dxa"/>
              <w:bottom w:w="45" w:type="dxa"/>
              <w:right w:w="57" w:type="dxa"/>
            </w:tcMar>
          </w:tcPr>
          <w:p w14:paraId="7F0AFD3D" w14:textId="77777777" w:rsidR="00FB6CE1" w:rsidRPr="003F54C3" w:rsidRDefault="00FB6CE1" w:rsidP="00772048">
            <w:pPr>
              <w:pStyle w:val="TableBody"/>
              <w:rPr>
                <w:highlight w:val="yellow"/>
              </w:rPr>
            </w:pPr>
            <w:r w:rsidRPr="003F54C3">
              <w:t>24</w:t>
            </w:r>
          </w:p>
        </w:tc>
      </w:tr>
      <w:tr w:rsidR="00FB6CE1" w:rsidRPr="003F54C3" w14:paraId="24AE4924" w14:textId="77777777" w:rsidTr="0067714C">
        <w:tc>
          <w:tcPr>
            <w:tcW w:w="1565" w:type="dxa"/>
            <w:tcBorders>
              <w:top w:val="single" w:sz="4" w:space="0" w:color="auto"/>
              <w:left w:val="single" w:sz="4" w:space="0" w:color="auto"/>
              <w:bottom w:val="single" w:sz="4" w:space="0" w:color="auto"/>
              <w:right w:val="single" w:sz="4" w:space="0" w:color="auto"/>
            </w:tcBorders>
            <w:tcMar>
              <w:top w:w="45" w:type="dxa"/>
              <w:left w:w="57" w:type="dxa"/>
              <w:bottom w:w="45" w:type="dxa"/>
              <w:right w:w="57" w:type="dxa"/>
            </w:tcMar>
          </w:tcPr>
          <w:p w14:paraId="5AA55D6E" w14:textId="77777777" w:rsidR="00FB6CE1" w:rsidRPr="003F54C3" w:rsidRDefault="00FB6CE1" w:rsidP="00772048">
            <w:pPr>
              <w:pStyle w:val="TableBody"/>
            </w:pPr>
            <w:r w:rsidRPr="003F54C3">
              <w:t>TDD-PMP</w:t>
            </w:r>
          </w:p>
        </w:tc>
        <w:tc>
          <w:tcPr>
            <w:tcW w:w="5670" w:type="dxa"/>
            <w:tcBorders>
              <w:top w:val="single" w:sz="4" w:space="0" w:color="auto"/>
              <w:left w:val="single" w:sz="4" w:space="0" w:color="auto"/>
              <w:bottom w:val="single" w:sz="4" w:space="0" w:color="auto"/>
              <w:right w:val="single" w:sz="4" w:space="0" w:color="auto"/>
            </w:tcBorders>
            <w:tcMar>
              <w:top w:w="45" w:type="dxa"/>
              <w:left w:w="57" w:type="dxa"/>
              <w:bottom w:w="45" w:type="dxa"/>
              <w:right w:w="57" w:type="dxa"/>
            </w:tcMar>
          </w:tcPr>
          <w:p w14:paraId="14FE3069" w14:textId="77777777" w:rsidR="00FB6CE1" w:rsidRPr="003F54C3" w:rsidRDefault="00FB6CE1" w:rsidP="00772048">
            <w:pPr>
              <w:pStyle w:val="TableBody"/>
            </w:pPr>
            <w:r w:rsidRPr="003F54C3">
              <w:t xml:space="preserve">March IT Pty Ltd, </w:t>
            </w:r>
            <w:proofErr w:type="spellStart"/>
            <w:r w:rsidRPr="003F54C3">
              <w:t>Maules</w:t>
            </w:r>
            <w:proofErr w:type="spellEnd"/>
            <w:r w:rsidRPr="003F54C3">
              <w:t xml:space="preserve"> Creek Coal Pty Ltd, </w:t>
            </w:r>
            <w:proofErr w:type="spellStart"/>
            <w:r w:rsidRPr="003F54C3">
              <w:t>Satstream</w:t>
            </w:r>
            <w:proofErr w:type="spellEnd"/>
            <w:r w:rsidRPr="003F54C3">
              <w:t xml:space="preserve"> (Australia) Pty Ltd, </w:t>
            </w:r>
            <w:proofErr w:type="spellStart"/>
            <w:r w:rsidRPr="003F54C3">
              <w:t>Wujal</w:t>
            </w:r>
            <w:proofErr w:type="spellEnd"/>
            <w:r w:rsidRPr="003F54C3">
              <w:t xml:space="preserve"> </w:t>
            </w:r>
            <w:proofErr w:type="spellStart"/>
            <w:r w:rsidRPr="003F54C3">
              <w:t>Wujal</w:t>
            </w:r>
            <w:proofErr w:type="spellEnd"/>
            <w:r w:rsidRPr="003F54C3">
              <w:t xml:space="preserve"> Aboriginal Shire Council</w:t>
            </w:r>
          </w:p>
        </w:tc>
        <w:tc>
          <w:tcPr>
            <w:tcW w:w="1701" w:type="dxa"/>
            <w:tcBorders>
              <w:top w:val="single" w:sz="4" w:space="0" w:color="auto"/>
              <w:left w:val="single" w:sz="4" w:space="0" w:color="auto"/>
              <w:bottom w:val="single" w:sz="4" w:space="0" w:color="auto"/>
              <w:right w:val="single" w:sz="4" w:space="0" w:color="auto"/>
            </w:tcBorders>
            <w:tcMar>
              <w:top w:w="45" w:type="dxa"/>
              <w:left w:w="57" w:type="dxa"/>
              <w:bottom w:w="45" w:type="dxa"/>
              <w:right w:w="57" w:type="dxa"/>
            </w:tcMar>
          </w:tcPr>
          <w:p w14:paraId="7693F1C0" w14:textId="77777777" w:rsidR="00FB6CE1" w:rsidRPr="003F54C3" w:rsidRDefault="00FB6CE1" w:rsidP="00772048">
            <w:pPr>
              <w:pStyle w:val="TableBody"/>
              <w:rPr>
                <w:highlight w:val="yellow"/>
              </w:rPr>
            </w:pPr>
            <w:r w:rsidRPr="003F54C3">
              <w:t>7</w:t>
            </w:r>
          </w:p>
        </w:tc>
      </w:tr>
    </w:tbl>
    <w:p w14:paraId="4D389D41" w14:textId="77777777" w:rsidR="00FB6CE1" w:rsidRPr="003F54C3" w:rsidRDefault="00FB6CE1" w:rsidP="00FB6CE1"/>
    <w:p w14:paraId="0FF5A2C7" w14:textId="77777777" w:rsidR="00FB6CE1" w:rsidRPr="003F54C3" w:rsidRDefault="00FB6CE1" w:rsidP="00772048">
      <w:pPr>
        <w:pStyle w:val="Heading4"/>
      </w:pPr>
      <w:r w:rsidRPr="003F54C3">
        <w:t>Fixed satellite service (FSS)</w:t>
      </w:r>
    </w:p>
    <w:p w14:paraId="5D726FCD" w14:textId="2FB5CE28" w:rsidR="00FB6CE1" w:rsidRPr="009B4DF7" w:rsidRDefault="00FB6CE1" w:rsidP="00FB6CE1">
      <w:pPr>
        <w:tabs>
          <w:tab w:val="right" w:pos="9923"/>
        </w:tabs>
        <w:spacing w:before="120" w:after="120" w:line="240" w:lineRule="auto"/>
        <w:rPr>
          <w:rFonts w:cs="Arial"/>
        </w:rPr>
      </w:pPr>
      <w:bookmarkStart w:id="57" w:name="_Hlk20925927"/>
      <w:r w:rsidRPr="003F54C3">
        <w:rPr>
          <w:rFonts w:cs="Arial"/>
        </w:rPr>
        <w:t>The ACMA has established an ESPZ near Mingenew in Western Australia</w:t>
      </w:r>
      <w:r>
        <w:rPr>
          <w:rFonts w:cs="Arial"/>
        </w:rPr>
        <w:t>. It has also established</w:t>
      </w:r>
      <w:r w:rsidRPr="003F54C3">
        <w:rPr>
          <w:rFonts w:cs="Arial"/>
        </w:rPr>
        <w:t xml:space="preserve"> </w:t>
      </w:r>
      <w:r>
        <w:rPr>
          <w:rFonts w:cs="Arial"/>
        </w:rPr>
        <w:t xml:space="preserve">several ESPZs in </w:t>
      </w:r>
      <w:r w:rsidR="009B21E4">
        <w:rPr>
          <w:rFonts w:cs="Arial"/>
        </w:rPr>
        <w:t>e</w:t>
      </w:r>
      <w:r>
        <w:rPr>
          <w:rFonts w:cs="Arial"/>
        </w:rPr>
        <w:t xml:space="preserve">astern Australia while it </w:t>
      </w:r>
      <w:r w:rsidRPr="003F54C3">
        <w:rPr>
          <w:rFonts w:cs="Arial"/>
        </w:rPr>
        <w:t>investigat</w:t>
      </w:r>
      <w:r>
        <w:rPr>
          <w:rFonts w:cs="Arial"/>
        </w:rPr>
        <w:t>es</w:t>
      </w:r>
      <w:r w:rsidRPr="003F54C3">
        <w:rPr>
          <w:rFonts w:cs="Arial"/>
        </w:rPr>
        <w:t xml:space="preserve"> the</w:t>
      </w:r>
      <w:r>
        <w:rPr>
          <w:rFonts w:cs="Arial"/>
        </w:rPr>
        <w:t>ir</w:t>
      </w:r>
      <w:r w:rsidRPr="003F54C3">
        <w:rPr>
          <w:rFonts w:cs="Arial"/>
        </w:rPr>
        <w:t xml:space="preserve"> viability </w:t>
      </w:r>
      <w:r>
        <w:rPr>
          <w:rFonts w:cs="Arial"/>
        </w:rPr>
        <w:t xml:space="preserve">for long term use by satellite services. </w:t>
      </w:r>
      <w:r w:rsidRPr="00806E3A">
        <w:rPr>
          <w:rFonts w:cs="Arial"/>
        </w:rPr>
        <w:t xml:space="preserve">The frequencies and areas covered by these </w:t>
      </w:r>
      <w:r w:rsidRPr="006C6E23">
        <w:rPr>
          <w:rFonts w:cs="Arial"/>
        </w:rPr>
        <w:t xml:space="preserve">ESPZs are defined in </w:t>
      </w:r>
      <w:r w:rsidRPr="003A1A7E">
        <w:rPr>
          <w:rFonts w:cs="Arial"/>
        </w:rPr>
        <w:t xml:space="preserve">RALI MS44. </w:t>
      </w:r>
      <w:r w:rsidRPr="009B4DF7">
        <w:rPr>
          <w:rFonts w:cs="Arial"/>
        </w:rPr>
        <w:t>The Mingenew ESPZ already covers the entire 3400</w:t>
      </w:r>
      <w:r w:rsidR="006B5C8B">
        <w:t>–</w:t>
      </w:r>
      <w:r w:rsidRPr="009B4DF7">
        <w:rPr>
          <w:rFonts w:cs="Arial"/>
        </w:rPr>
        <w:t xml:space="preserve">3575 MHz band. However, the ESPZs in </w:t>
      </w:r>
      <w:r w:rsidR="009B21E4">
        <w:rPr>
          <w:rFonts w:cs="Arial"/>
        </w:rPr>
        <w:t>e</w:t>
      </w:r>
      <w:r w:rsidRPr="009B4DF7">
        <w:rPr>
          <w:rFonts w:cs="Arial"/>
        </w:rPr>
        <w:t>astern Australia do not.</w:t>
      </w:r>
    </w:p>
    <w:p w14:paraId="0A37FE91" w14:textId="1D84E7F0" w:rsidR="00FB6CE1" w:rsidRPr="003F54C3" w:rsidRDefault="00FB6CE1" w:rsidP="00FB6CE1">
      <w:pPr>
        <w:tabs>
          <w:tab w:val="right" w:pos="9923"/>
        </w:tabs>
        <w:spacing w:before="120" w:after="120" w:line="240" w:lineRule="auto"/>
        <w:rPr>
          <w:rFonts w:cs="Arial"/>
        </w:rPr>
      </w:pPr>
      <w:r w:rsidRPr="009B4DF7">
        <w:rPr>
          <w:rFonts w:cs="Arial"/>
        </w:rPr>
        <w:t xml:space="preserve">The ACMA intends to extend the frequency range covered by </w:t>
      </w:r>
      <w:r w:rsidRPr="00BC181F">
        <w:rPr>
          <w:rFonts w:cs="Arial"/>
        </w:rPr>
        <w:t xml:space="preserve">the ESPZs </w:t>
      </w:r>
      <w:r w:rsidRPr="00EF5D2F">
        <w:rPr>
          <w:rFonts w:cs="Arial"/>
        </w:rPr>
        <w:t xml:space="preserve">in </w:t>
      </w:r>
      <w:r w:rsidR="009B21E4">
        <w:rPr>
          <w:rFonts w:cs="Arial"/>
        </w:rPr>
        <w:t>e</w:t>
      </w:r>
      <w:r w:rsidRPr="00EF5D2F">
        <w:rPr>
          <w:rFonts w:cs="Arial"/>
        </w:rPr>
        <w:t>astern Australia to encompass those parts of the 3400</w:t>
      </w:r>
      <w:r w:rsidR="006B5C8B">
        <w:t>–</w:t>
      </w:r>
      <w:r w:rsidRPr="00EF5D2F">
        <w:rPr>
          <w:rFonts w:cs="Arial"/>
        </w:rPr>
        <w:t>3575 MHz band not already subject to spectru</w:t>
      </w:r>
      <w:r w:rsidRPr="0053513E">
        <w:rPr>
          <w:rFonts w:cs="Arial"/>
        </w:rPr>
        <w:t>m licensing (the 3400</w:t>
      </w:r>
      <w:r w:rsidR="006B5C8B">
        <w:t>–</w:t>
      </w:r>
      <w:r w:rsidRPr="0053513E">
        <w:rPr>
          <w:rFonts w:cs="Arial"/>
        </w:rPr>
        <w:t>3442.5 MHz and 3475</w:t>
      </w:r>
      <w:r w:rsidR="006B5C8B">
        <w:t>–</w:t>
      </w:r>
      <w:r w:rsidRPr="0053513E">
        <w:rPr>
          <w:rFonts w:cs="Arial"/>
        </w:rPr>
        <w:t xml:space="preserve">3542.5 MHz frequency ranges). It is the ACMA’s view that these areas and frequencies </w:t>
      </w:r>
      <w:r>
        <w:rPr>
          <w:rFonts w:cs="Arial"/>
        </w:rPr>
        <w:t xml:space="preserve">should </w:t>
      </w:r>
      <w:r w:rsidRPr="0053513E">
        <w:rPr>
          <w:rFonts w:cs="Arial"/>
        </w:rPr>
        <w:t>not</w:t>
      </w:r>
      <w:r w:rsidRPr="00B84735">
        <w:rPr>
          <w:rFonts w:cs="Arial"/>
        </w:rPr>
        <w:t xml:space="preserve"> </w:t>
      </w:r>
      <w:r>
        <w:rPr>
          <w:rFonts w:cs="Arial"/>
        </w:rPr>
        <w:t xml:space="preserve">be </w:t>
      </w:r>
      <w:r w:rsidRPr="00B84735">
        <w:rPr>
          <w:rFonts w:cs="Arial"/>
        </w:rPr>
        <w:t xml:space="preserve">identified for spectrum licensing. </w:t>
      </w:r>
    </w:p>
    <w:p w14:paraId="212DB427" w14:textId="0E96D06E" w:rsidR="00FB6CE1" w:rsidRPr="009B4DF7" w:rsidRDefault="00FB6CE1" w:rsidP="00FB6CE1">
      <w:pPr>
        <w:tabs>
          <w:tab w:val="right" w:pos="9923"/>
        </w:tabs>
        <w:spacing w:before="120" w:after="120" w:line="240" w:lineRule="auto"/>
        <w:rPr>
          <w:rFonts w:cs="Arial"/>
        </w:rPr>
      </w:pPr>
      <w:r w:rsidRPr="00806E3A">
        <w:rPr>
          <w:rFonts w:cs="Arial"/>
        </w:rPr>
        <w:t>FSS use in the 3400</w:t>
      </w:r>
      <w:r w:rsidR="006B5C8B">
        <w:t>–</w:t>
      </w:r>
      <w:r w:rsidRPr="00806E3A">
        <w:rPr>
          <w:rFonts w:cs="Arial"/>
        </w:rPr>
        <w:t>3600 MHz band is usually on a secondary basis to the fixed and mobile services. To promote use of the ESPZs</w:t>
      </w:r>
      <w:r w:rsidRPr="006C6E23">
        <w:rPr>
          <w:rFonts w:cs="Arial"/>
        </w:rPr>
        <w:t xml:space="preserve"> and provide certainty for current and future FSS services, FSS use in these areas will</w:t>
      </w:r>
      <w:r w:rsidRPr="003A1A7E">
        <w:rPr>
          <w:rFonts w:cs="Arial"/>
        </w:rPr>
        <w:t xml:space="preserve"> be afforded the same</w:t>
      </w:r>
      <w:r w:rsidR="00834347">
        <w:rPr>
          <w:rFonts w:cs="Arial"/>
        </w:rPr>
        <w:t xml:space="preserve"> co-channel</w:t>
      </w:r>
      <w:r w:rsidRPr="003A1A7E">
        <w:rPr>
          <w:rFonts w:cs="Arial"/>
        </w:rPr>
        <w:t xml:space="preserve"> protection as </w:t>
      </w:r>
      <w:r>
        <w:rPr>
          <w:rFonts w:cs="Arial"/>
        </w:rPr>
        <w:t xml:space="preserve">in </w:t>
      </w:r>
      <w:r w:rsidRPr="009B4DF7">
        <w:rPr>
          <w:rFonts w:cs="Arial"/>
        </w:rPr>
        <w:t>the directly adjacent 3600</w:t>
      </w:r>
      <w:r w:rsidR="006B5C8B">
        <w:t>–</w:t>
      </w:r>
      <w:r w:rsidRPr="009B4DF7">
        <w:rPr>
          <w:rFonts w:cs="Arial"/>
        </w:rPr>
        <w:t>4200 MHz band.</w:t>
      </w:r>
    </w:p>
    <w:p w14:paraId="71650DD6" w14:textId="5A8FA572" w:rsidR="00FB6CE1" w:rsidRPr="0053513E" w:rsidRDefault="00FB6CE1" w:rsidP="00FB6CE1">
      <w:pPr>
        <w:tabs>
          <w:tab w:val="right" w:pos="9923"/>
        </w:tabs>
        <w:spacing w:before="120" w:after="120" w:line="240" w:lineRule="auto"/>
        <w:rPr>
          <w:rFonts w:cs="Arial"/>
        </w:rPr>
      </w:pPr>
      <w:r w:rsidRPr="009B4DF7">
        <w:rPr>
          <w:rFonts w:cs="Arial"/>
        </w:rPr>
        <w:t>There is currently only one FSS licensee (Lockheed Martin)</w:t>
      </w:r>
      <w:r w:rsidRPr="00BC181F">
        <w:rPr>
          <w:rFonts w:cs="Arial"/>
        </w:rPr>
        <w:t xml:space="preserve"> operating in the </w:t>
      </w:r>
      <w:r w:rsidRPr="00EF5D2F">
        <w:rPr>
          <w:rFonts w:cs="Arial"/>
        </w:rPr>
        <w:t>3400</w:t>
      </w:r>
      <w:r w:rsidR="006B5C8B">
        <w:t>–</w:t>
      </w:r>
      <w:r w:rsidRPr="00EF5D2F">
        <w:rPr>
          <w:rFonts w:cs="Arial"/>
        </w:rPr>
        <w:t xml:space="preserve">3575 MHz band. This </w:t>
      </w:r>
      <w:r w:rsidRPr="0053513E">
        <w:rPr>
          <w:rFonts w:cs="Arial"/>
        </w:rPr>
        <w:t>is located at the Lockheed Martin facility near Uralla, NSW, which is one of the ESPZs</w:t>
      </w:r>
      <w:r w:rsidR="000A2382">
        <w:rPr>
          <w:rFonts w:cs="Arial"/>
        </w:rPr>
        <w:t xml:space="preserve"> identified</w:t>
      </w:r>
      <w:r w:rsidRPr="0053513E">
        <w:rPr>
          <w:rFonts w:cs="Arial"/>
        </w:rPr>
        <w:t xml:space="preserve"> in </w:t>
      </w:r>
      <w:r w:rsidR="009B21E4">
        <w:rPr>
          <w:rFonts w:cs="Arial"/>
        </w:rPr>
        <w:t>e</w:t>
      </w:r>
      <w:r w:rsidRPr="0053513E">
        <w:rPr>
          <w:rFonts w:cs="Arial"/>
        </w:rPr>
        <w:t xml:space="preserve">astern Australia. The planned changes to RALI MS44 will ensure services at this facility can continue to operate. </w:t>
      </w:r>
    </w:p>
    <w:bookmarkEnd w:id="57"/>
    <w:p w14:paraId="4CD0CA7F" w14:textId="77777777" w:rsidR="00FB6CE1" w:rsidRPr="0053513E" w:rsidRDefault="00FB6CE1" w:rsidP="00772048">
      <w:pPr>
        <w:pStyle w:val="Heading4"/>
      </w:pPr>
      <w:r w:rsidRPr="0053513E">
        <w:t xml:space="preserve">Amateur services </w:t>
      </w:r>
    </w:p>
    <w:p w14:paraId="00F53871" w14:textId="68D58DD6" w:rsidR="00FB6CE1" w:rsidRPr="003F54C3" w:rsidRDefault="00FB6CE1" w:rsidP="00FB6CE1">
      <w:pPr>
        <w:rPr>
          <w:rFonts w:cs="Arial"/>
        </w:rPr>
      </w:pPr>
      <w:r w:rsidRPr="00B84735">
        <w:rPr>
          <w:rFonts w:cs="Arial"/>
        </w:rPr>
        <w:t xml:space="preserve">The Amateur LCD and </w:t>
      </w:r>
      <w:r w:rsidRPr="00B84735">
        <w:t xml:space="preserve">the Visiting amateurs class licence </w:t>
      </w:r>
      <w:r w:rsidRPr="00B84735">
        <w:rPr>
          <w:rFonts w:cs="Arial"/>
        </w:rPr>
        <w:t xml:space="preserve">will be varied to enable amateur service use in </w:t>
      </w:r>
      <w:r w:rsidRPr="00B84735">
        <w:t xml:space="preserve">those areas and frequencies that </w:t>
      </w:r>
      <w:r w:rsidRPr="005B78E8">
        <w:t xml:space="preserve">will </w:t>
      </w:r>
      <w:r w:rsidRPr="005B78E8">
        <w:rPr>
          <w:rFonts w:cs="Arial"/>
        </w:rPr>
        <w:t>not be subject to spectrum licensing in the 3400</w:t>
      </w:r>
      <w:r w:rsidR="006B5C8B">
        <w:t>–</w:t>
      </w:r>
      <w:r w:rsidRPr="005B78E8">
        <w:rPr>
          <w:rFonts w:cs="Arial"/>
        </w:rPr>
        <w:t xml:space="preserve">3575 MHz band (refer to </w:t>
      </w:r>
      <w:r w:rsidRPr="00E84B55">
        <w:rPr>
          <w:rFonts w:cs="Arial"/>
        </w:rPr>
        <w:t>Figure 1</w:t>
      </w:r>
      <w:r w:rsidRPr="005B78E8">
        <w:rPr>
          <w:rFonts w:cs="Arial"/>
        </w:rPr>
        <w:t xml:space="preserve">). </w:t>
      </w:r>
      <w:r>
        <w:rPr>
          <w:rFonts w:cs="Arial"/>
        </w:rPr>
        <w:t>While this results in a change to the parts of the band that can be used, ultimately the total amount of spectrum available in all areas remains the same or increases.</w:t>
      </w:r>
      <w:r w:rsidRPr="005B78E8">
        <w:rPr>
          <w:rFonts w:cs="Arial"/>
        </w:rPr>
        <w:t xml:space="preserve"> </w:t>
      </w:r>
      <w:r>
        <w:rPr>
          <w:rFonts w:cs="Arial"/>
        </w:rPr>
        <w:t>T</w:t>
      </w:r>
      <w:r w:rsidRPr="005B78E8">
        <w:rPr>
          <w:rFonts w:cs="Arial"/>
        </w:rPr>
        <w:t xml:space="preserve">here are </w:t>
      </w:r>
      <w:r>
        <w:rPr>
          <w:rFonts w:cs="Arial"/>
        </w:rPr>
        <w:t xml:space="preserve">also </w:t>
      </w:r>
      <w:r w:rsidRPr="005B78E8">
        <w:rPr>
          <w:rFonts w:cs="Arial"/>
        </w:rPr>
        <w:t>equivalent spectrum opt</w:t>
      </w:r>
      <w:r w:rsidRPr="00D04EA1">
        <w:rPr>
          <w:rFonts w:cs="Arial"/>
        </w:rPr>
        <w:t>ions available for amateur services</w:t>
      </w:r>
      <w:r w:rsidRPr="003F54C3">
        <w:rPr>
          <w:rFonts w:cs="Arial"/>
        </w:rPr>
        <w:t xml:space="preserve"> in the adjacent 3300</w:t>
      </w:r>
      <w:r w:rsidR="006B5C8B">
        <w:t>–</w:t>
      </w:r>
      <w:r w:rsidRPr="003F54C3">
        <w:rPr>
          <w:rFonts w:cs="Arial"/>
        </w:rPr>
        <w:t>3400 MHz band.</w:t>
      </w:r>
    </w:p>
    <w:p w14:paraId="5A82F368" w14:textId="77777777" w:rsidR="00FB6CE1" w:rsidRPr="003F54C3" w:rsidRDefault="00FB6CE1" w:rsidP="00772048">
      <w:pPr>
        <w:spacing w:after="80"/>
        <w:rPr>
          <w:rFonts w:cs="Arial"/>
        </w:rPr>
      </w:pPr>
      <w:r w:rsidRPr="003F54C3">
        <w:rPr>
          <w:rFonts w:cs="Arial"/>
        </w:rPr>
        <w:t xml:space="preserve">Specific changes to the Amateur LCD and </w:t>
      </w:r>
      <w:r w:rsidRPr="003F54C3">
        <w:t>Visiting amateurs class licence</w:t>
      </w:r>
      <w:r w:rsidRPr="003F54C3">
        <w:rPr>
          <w:rFonts w:cs="Arial"/>
        </w:rPr>
        <w:t xml:space="preserve"> include:</w:t>
      </w:r>
    </w:p>
    <w:p w14:paraId="6CC0CB00" w14:textId="547F52BE" w:rsidR="00FB6CE1" w:rsidRPr="003F54C3" w:rsidRDefault="006B5C8B" w:rsidP="00772048">
      <w:pPr>
        <w:pStyle w:val="ListBullet"/>
        <w:numPr>
          <w:ilvl w:val="0"/>
          <w:numId w:val="16"/>
        </w:numPr>
        <w:tabs>
          <w:tab w:val="num" w:pos="295"/>
        </w:tabs>
        <w:spacing w:before="120" w:line="240" w:lineRule="auto"/>
        <w:ind w:left="295" w:hanging="295"/>
      </w:pPr>
      <w:r>
        <w:t>E</w:t>
      </w:r>
      <w:r w:rsidR="00FB6CE1" w:rsidRPr="003F54C3">
        <w:t>nabling use of the 3492.5</w:t>
      </w:r>
      <w:r>
        <w:t>–</w:t>
      </w:r>
      <w:r w:rsidR="00FB6CE1" w:rsidRPr="003F54C3">
        <w:t xml:space="preserve">3510 MHz band in all regional areas. </w:t>
      </w:r>
    </w:p>
    <w:p w14:paraId="3B38ABB9" w14:textId="339631D8" w:rsidR="00FB6CE1" w:rsidRPr="00806E3A" w:rsidRDefault="006B5C8B" w:rsidP="00772048">
      <w:pPr>
        <w:pStyle w:val="ListBullet"/>
        <w:numPr>
          <w:ilvl w:val="0"/>
          <w:numId w:val="16"/>
        </w:numPr>
        <w:tabs>
          <w:tab w:val="num" w:pos="295"/>
        </w:tabs>
        <w:spacing w:before="120" w:line="240" w:lineRule="auto"/>
        <w:ind w:left="295" w:hanging="295"/>
      </w:pPr>
      <w:r>
        <w:t>P</w:t>
      </w:r>
      <w:r w:rsidR="00FB6CE1" w:rsidRPr="003F54C3">
        <w:t xml:space="preserve">rohibiting use of the following frequencies and areas that are </w:t>
      </w:r>
      <w:r w:rsidR="00FB6CE1">
        <w:t xml:space="preserve">identified </w:t>
      </w:r>
      <w:r w:rsidR="00FB6CE1" w:rsidRPr="003F54C3">
        <w:t xml:space="preserve">for spectrum licencing: </w:t>
      </w:r>
    </w:p>
    <w:p w14:paraId="0820A144" w14:textId="60472CB1" w:rsidR="00FB6CE1" w:rsidRPr="006C6E23" w:rsidRDefault="006B5C8B" w:rsidP="00772048">
      <w:pPr>
        <w:pStyle w:val="ListBullet2"/>
      </w:pPr>
      <w:r>
        <w:t>T</w:t>
      </w:r>
      <w:r w:rsidR="00FB6CE1">
        <w:t xml:space="preserve">he </w:t>
      </w:r>
      <w:r w:rsidR="00FB6CE1" w:rsidRPr="00806E3A">
        <w:t>3400</w:t>
      </w:r>
      <w:r>
        <w:t>–</w:t>
      </w:r>
      <w:r w:rsidR="00FB6CE1" w:rsidRPr="00806E3A">
        <w:t>3425 M</w:t>
      </w:r>
      <w:r w:rsidR="00FB6CE1" w:rsidRPr="006C6E23">
        <w:t>Hz frequency range in metropolitan areas, regional areas and major regional centres</w:t>
      </w:r>
      <w:r>
        <w:t>.</w:t>
      </w:r>
    </w:p>
    <w:p w14:paraId="66D76500" w14:textId="66729513" w:rsidR="00FB6CE1" w:rsidRPr="003A1A7E" w:rsidRDefault="006B5C8B" w:rsidP="00772048">
      <w:pPr>
        <w:pStyle w:val="ListBullet2"/>
      </w:pPr>
      <w:r>
        <w:t>T</w:t>
      </w:r>
      <w:r w:rsidR="00FB6CE1">
        <w:t xml:space="preserve">he </w:t>
      </w:r>
      <w:r w:rsidR="00FB6CE1" w:rsidRPr="003A1A7E">
        <w:t>3425</w:t>
      </w:r>
      <w:r>
        <w:t>–</w:t>
      </w:r>
      <w:r w:rsidR="00FB6CE1" w:rsidRPr="003A1A7E">
        <w:t>3442.5 MHz frequency range in regional areas</w:t>
      </w:r>
      <w:r>
        <w:t>.</w:t>
      </w:r>
    </w:p>
    <w:p w14:paraId="704A8CC9" w14:textId="503449B3" w:rsidR="00FB6CE1" w:rsidRPr="009B4DF7" w:rsidRDefault="006B5C8B" w:rsidP="00772048">
      <w:pPr>
        <w:pStyle w:val="ListBullet2"/>
      </w:pPr>
      <w:r>
        <w:lastRenderedPageBreak/>
        <w:t>T</w:t>
      </w:r>
      <w:r w:rsidR="00FB6CE1">
        <w:t xml:space="preserve">he </w:t>
      </w:r>
      <w:r w:rsidR="00FB6CE1" w:rsidRPr="009B4DF7">
        <w:t>3492.5</w:t>
      </w:r>
      <w:r>
        <w:t>–</w:t>
      </w:r>
      <w:r w:rsidR="00FB6CE1" w:rsidRPr="009B4DF7">
        <w:t>3510 MHz frequency range in metropolitan areas</w:t>
      </w:r>
      <w:r>
        <w:t>.</w:t>
      </w:r>
    </w:p>
    <w:p w14:paraId="7707E869" w14:textId="2A1DE2DF" w:rsidR="00FB6CE1" w:rsidRPr="003F54C3" w:rsidRDefault="006B5C8B" w:rsidP="00772048">
      <w:pPr>
        <w:pStyle w:val="ListBullet2"/>
        <w:spacing w:after="240"/>
      </w:pPr>
      <w:r>
        <w:t>T</w:t>
      </w:r>
      <w:r w:rsidR="00FB6CE1">
        <w:t xml:space="preserve">he </w:t>
      </w:r>
      <w:r w:rsidR="00FB6CE1" w:rsidRPr="009B4DF7">
        <w:t>3510</w:t>
      </w:r>
      <w:r>
        <w:t>–</w:t>
      </w:r>
      <w:r w:rsidR="00FB6CE1" w:rsidRPr="009B4DF7">
        <w:t xml:space="preserve">3542.5 MHz frequency range in any areas potentially </w:t>
      </w:r>
      <w:r w:rsidR="00FB6CE1" w:rsidRPr="00BC181F">
        <w:t>cov</w:t>
      </w:r>
      <w:r w:rsidR="00FB6CE1" w:rsidRPr="00EF5D2F">
        <w:t xml:space="preserve">ered by converted NBN Co 3.5 GHz PTS licences. Subject to </w:t>
      </w:r>
      <w:r w:rsidR="00FB6CE1">
        <w:t xml:space="preserve">the </w:t>
      </w:r>
      <w:r w:rsidR="009B21E4">
        <w:t>M</w:t>
      </w:r>
      <w:r w:rsidR="00FB6CE1">
        <w:t xml:space="preserve">inister making the </w:t>
      </w:r>
      <w:r w:rsidR="00FB6CE1" w:rsidRPr="00EF5D2F">
        <w:t>designation</w:t>
      </w:r>
      <w:r w:rsidR="00FB6CE1">
        <w:t xml:space="preserve"> notice</w:t>
      </w:r>
      <w:r w:rsidR="00FB6CE1" w:rsidRPr="00EF5D2F">
        <w:t>, t</w:t>
      </w:r>
      <w:r w:rsidR="00FB6CE1" w:rsidRPr="0053513E">
        <w:rPr>
          <w:rFonts w:cs="Arial"/>
        </w:rPr>
        <w:t>o enable NBN Co to continue operating services under a spectrum licence to the same extent that they currently do, the geographical boundaries of their licence may need to be extended in some regional areas.</w:t>
      </w:r>
      <w:r w:rsidR="00FB6CE1" w:rsidRPr="0053513E">
        <w:t xml:space="preserve"> </w:t>
      </w:r>
    </w:p>
    <w:p w14:paraId="056C0BD8" w14:textId="77777777" w:rsidR="00FB6CE1" w:rsidRPr="00806E3A" w:rsidRDefault="00FB6CE1" w:rsidP="00772048">
      <w:pPr>
        <w:pStyle w:val="Heading4"/>
      </w:pPr>
      <w:r w:rsidRPr="00806E3A">
        <w:t xml:space="preserve">Radiolocation services </w:t>
      </w:r>
    </w:p>
    <w:p w14:paraId="1D0F0F26" w14:textId="77777777" w:rsidR="00FB6CE1" w:rsidRPr="003A1A7E" w:rsidRDefault="00FB6CE1" w:rsidP="00FB6CE1">
      <w:bookmarkStart w:id="58" w:name="_Hlk20925937"/>
      <w:r w:rsidRPr="006C6E23">
        <w:rPr>
          <w:rFonts w:cs="Arial"/>
        </w:rPr>
        <w:t xml:space="preserve">Radiolocation services </w:t>
      </w:r>
      <w:r w:rsidRPr="003A1A7E">
        <w:rPr>
          <w:rFonts w:cs="Arial"/>
        </w:rPr>
        <w:t>will continue to operate in the band under existing arrangements.</w:t>
      </w:r>
    </w:p>
    <w:bookmarkEnd w:id="58"/>
    <w:p w14:paraId="65C4E8B0" w14:textId="77777777" w:rsidR="00FB6CE1" w:rsidRPr="009B4DF7" w:rsidRDefault="00FB6CE1" w:rsidP="00772048">
      <w:pPr>
        <w:pStyle w:val="Heading4"/>
      </w:pPr>
      <w:r w:rsidRPr="009B4DF7">
        <w:t>Devices operating under class licences</w:t>
      </w:r>
    </w:p>
    <w:p w14:paraId="4E1F9781" w14:textId="77777777" w:rsidR="00FB6CE1" w:rsidRPr="00EF5D2F" w:rsidRDefault="00FB6CE1" w:rsidP="00772048">
      <w:pPr>
        <w:keepNext/>
        <w:keepLines/>
        <w:spacing w:after="80" w:line="80" w:lineRule="atLeast"/>
      </w:pPr>
      <w:r w:rsidRPr="009B4DF7">
        <w:t>The LIPD defines arrangements for the following devices to operate across</w:t>
      </w:r>
      <w:r w:rsidRPr="00BC181F">
        <w:t xml:space="preserve"> the 3.6 GHz band:</w:t>
      </w:r>
    </w:p>
    <w:p w14:paraId="1DE1C560" w14:textId="14FA3856" w:rsidR="006B5C8B" w:rsidRPr="0053513E" w:rsidRDefault="00FB6CE1" w:rsidP="00772048">
      <w:pPr>
        <w:pStyle w:val="ListBullet"/>
      </w:pPr>
      <w:r w:rsidRPr="00EF5D2F">
        <w:t>building material analysis transmitters operating in the 2200–</w:t>
      </w:r>
      <w:r w:rsidRPr="0053513E">
        <w:t xml:space="preserve">8500 MHz band </w:t>
      </w:r>
    </w:p>
    <w:p w14:paraId="119E516A" w14:textId="77777777" w:rsidR="00FB6CE1" w:rsidRPr="00124BA8" w:rsidRDefault="00FB6CE1" w:rsidP="00772048">
      <w:pPr>
        <w:pStyle w:val="ListBulletLast"/>
      </w:pPr>
      <w:r w:rsidRPr="00124BA8">
        <w:t>ultra-wideband transmitters operating in the 3400–4800 MHz band.</w:t>
      </w:r>
    </w:p>
    <w:p w14:paraId="01A6174B" w14:textId="77777777" w:rsidR="00FB6CE1" w:rsidRPr="00B84735" w:rsidRDefault="00FB6CE1" w:rsidP="00FB6CE1">
      <w:r w:rsidRPr="0053513E">
        <w:rPr>
          <w:rFonts w:cs="Arial"/>
        </w:rPr>
        <w:t>Under the LIPD, these devices are not afforded protection from interference. Given this a</w:t>
      </w:r>
      <w:r w:rsidRPr="00B84735">
        <w:rPr>
          <w:rFonts w:cs="Arial"/>
        </w:rPr>
        <w:t>nd their low interference potential, the ACMA does not intend to change existing arrangements for these devices</w:t>
      </w:r>
      <w:r w:rsidRPr="00B84735">
        <w:t>.</w:t>
      </w:r>
    </w:p>
    <w:bookmarkEnd w:id="55"/>
    <w:p w14:paraId="5BD84C2C" w14:textId="77777777" w:rsidR="00FB6CE1" w:rsidRDefault="00FB6CE1" w:rsidP="00FB6CE1">
      <w:pPr>
        <w:spacing w:after="0" w:line="240" w:lineRule="auto"/>
        <w:rPr>
          <w:rFonts w:cs="Arial"/>
          <w:b/>
          <w:bCs/>
          <w:iCs/>
          <w:sz w:val="28"/>
          <w:szCs w:val="28"/>
        </w:rPr>
      </w:pPr>
      <w:r>
        <w:br w:type="page"/>
      </w:r>
    </w:p>
    <w:p w14:paraId="13EF091B" w14:textId="77777777" w:rsidR="00FB6CE1" w:rsidRPr="000D76E0" w:rsidRDefault="00FB6CE1" w:rsidP="00FB6CE1">
      <w:pPr>
        <w:pStyle w:val="Heading1"/>
      </w:pPr>
      <w:bookmarkStart w:id="59" w:name="_Toc21088515"/>
      <w:bookmarkStart w:id="60" w:name="_Toc25047694"/>
      <w:r>
        <w:lastRenderedPageBreak/>
        <w:t xml:space="preserve">ACMA planning </w:t>
      </w:r>
      <w:r w:rsidRPr="00363B33">
        <w:t>decisions</w:t>
      </w:r>
      <w:r>
        <w:t xml:space="preserve"> </w:t>
      </w:r>
      <w:r w:rsidRPr="002F732D">
        <w:t>and preliminary views</w:t>
      </w:r>
      <w:bookmarkEnd w:id="59"/>
      <w:bookmarkEnd w:id="60"/>
    </w:p>
    <w:p w14:paraId="543D1CEF" w14:textId="40330E4C" w:rsidR="00FB6CE1" w:rsidRDefault="00FB6CE1" w:rsidP="00FB6CE1">
      <w:bookmarkStart w:id="61" w:name="_Hlk19200209"/>
      <w:r w:rsidRPr="009B4DF7">
        <w:t xml:space="preserve">This </w:t>
      </w:r>
      <w:r>
        <w:t>chapter</w:t>
      </w:r>
      <w:r w:rsidRPr="006C6E23">
        <w:t xml:space="preserve"> </w:t>
      </w:r>
      <w:r w:rsidRPr="003A1A7E">
        <w:t>summarises the ACMA’s overall plan</w:t>
      </w:r>
      <w:r w:rsidRPr="009B4DF7">
        <w:t xml:space="preserve"> for the optimisation of the 3400</w:t>
      </w:r>
      <w:r w:rsidR="003B7463">
        <w:t>–</w:t>
      </w:r>
      <w:r w:rsidRPr="009B4DF7">
        <w:t xml:space="preserve">3575 MHz band. </w:t>
      </w:r>
    </w:p>
    <w:p w14:paraId="478BEBA5" w14:textId="27936378" w:rsidR="00FB6CE1" w:rsidRPr="00B84735" w:rsidRDefault="00FB6CE1" w:rsidP="00FB6CE1">
      <w:r>
        <w:t>An</w:t>
      </w:r>
      <w:r w:rsidRPr="009B4DF7">
        <w:t xml:space="preserve"> indicative timeline for the A</w:t>
      </w:r>
      <w:r>
        <w:t>CMA</w:t>
      </w:r>
      <w:r w:rsidRPr="009B4DF7">
        <w:t xml:space="preserve">’s full implementation plan </w:t>
      </w:r>
      <w:r>
        <w:t>is</w:t>
      </w:r>
      <w:r w:rsidRPr="00EF5D2F">
        <w:t xml:space="preserve"> provided </w:t>
      </w:r>
      <w:r>
        <w:t xml:space="preserve">below </w:t>
      </w:r>
      <w:r w:rsidRPr="00EF5D2F">
        <w:t>under ‘</w:t>
      </w:r>
      <w:r w:rsidRPr="0053513E">
        <w:t xml:space="preserve">Next </w:t>
      </w:r>
      <w:proofErr w:type="gramStart"/>
      <w:r w:rsidRPr="0053513E">
        <w:t>steps’</w:t>
      </w:r>
      <w:proofErr w:type="gramEnd"/>
      <w:r w:rsidRPr="0053513E">
        <w:t xml:space="preserve">. </w:t>
      </w:r>
      <w:r w:rsidRPr="0053513E">
        <w:rPr>
          <w:color w:val="000000" w:themeColor="text1"/>
          <w:szCs w:val="20"/>
        </w:rPr>
        <w:t xml:space="preserve">While the ACMA will manage and implement key aspects of this process, there are some elements that will need to be undertaken via negotiation and agreement </w:t>
      </w:r>
      <w:r w:rsidRPr="00B84735">
        <w:rPr>
          <w:color w:val="000000" w:themeColor="text1"/>
          <w:szCs w:val="20"/>
        </w:rPr>
        <w:t xml:space="preserve">between incumbent licensees or that are dependent on decisions made by the </w:t>
      </w:r>
      <w:r w:rsidR="00EC6799">
        <w:rPr>
          <w:color w:val="000000" w:themeColor="text1"/>
          <w:szCs w:val="20"/>
        </w:rPr>
        <w:t>M</w:t>
      </w:r>
      <w:r w:rsidRPr="00B84735">
        <w:rPr>
          <w:color w:val="000000" w:themeColor="text1"/>
          <w:szCs w:val="20"/>
        </w:rPr>
        <w:t>inister (for example</w:t>
      </w:r>
      <w:r w:rsidR="00EC6799">
        <w:rPr>
          <w:color w:val="000000" w:themeColor="text1"/>
          <w:szCs w:val="20"/>
        </w:rPr>
        <w:t>,</w:t>
      </w:r>
      <w:r w:rsidRPr="00B84735">
        <w:rPr>
          <w:color w:val="000000" w:themeColor="text1"/>
          <w:szCs w:val="20"/>
        </w:rPr>
        <w:t xml:space="preserve"> to designate spectrum</w:t>
      </w:r>
      <w:r>
        <w:rPr>
          <w:color w:val="000000" w:themeColor="text1"/>
          <w:szCs w:val="20"/>
        </w:rPr>
        <w:t xml:space="preserve"> for spectrum licensing</w:t>
      </w:r>
      <w:r w:rsidRPr="00B84735">
        <w:rPr>
          <w:color w:val="000000" w:themeColor="text1"/>
          <w:szCs w:val="20"/>
        </w:rPr>
        <w:t xml:space="preserve">). </w:t>
      </w:r>
    </w:p>
    <w:bookmarkEnd w:id="61"/>
    <w:p w14:paraId="5DDBE538" w14:textId="77777777" w:rsidR="00FB6CE1" w:rsidRPr="003F54C3" w:rsidRDefault="00FB6CE1" w:rsidP="00FB6CE1">
      <w:r w:rsidRPr="00B84735">
        <w:t xml:space="preserve">A full suite of licensing provisions and conditions that will apply as well as details on any allocation processes are not included in this paper. These will be developed as part of subsequent consultation processes in accordance with normal practice. </w:t>
      </w:r>
    </w:p>
    <w:p w14:paraId="57F56BBC" w14:textId="330F23A0" w:rsidR="00FB6CE1" w:rsidRPr="009B4DF7" w:rsidRDefault="00FB6CE1" w:rsidP="00772048">
      <w:pPr>
        <w:pStyle w:val="ListBullet"/>
        <w:numPr>
          <w:ilvl w:val="0"/>
          <w:numId w:val="0"/>
        </w:numPr>
        <w:spacing w:before="120" w:line="240" w:lineRule="auto"/>
      </w:pPr>
      <w:bookmarkStart w:id="62" w:name="_Hlk20761625"/>
      <w:r w:rsidRPr="003F54C3">
        <w:t>Regarding the optimisation of arrangements in the 3400</w:t>
      </w:r>
      <w:r w:rsidR="003B7463">
        <w:t>–</w:t>
      </w:r>
      <w:r w:rsidRPr="003F54C3">
        <w:t xml:space="preserve">3575 MHz band </w:t>
      </w:r>
      <w:r w:rsidRPr="00806E3A">
        <w:t xml:space="preserve">the ACMA </w:t>
      </w:r>
      <w:r w:rsidRPr="003A1A7E">
        <w:t>will</w:t>
      </w:r>
      <w:r w:rsidRPr="009B4DF7">
        <w:t>:</w:t>
      </w:r>
    </w:p>
    <w:p w14:paraId="7D32F5B1" w14:textId="77777777" w:rsidR="00FB6CE1" w:rsidRPr="0053513E" w:rsidRDefault="00FB6CE1" w:rsidP="00772048">
      <w:pPr>
        <w:pStyle w:val="ListBullet"/>
      </w:pPr>
      <w:r w:rsidRPr="009B4DF7">
        <w:t>Im</w:t>
      </w:r>
      <w:r w:rsidRPr="00EF5D2F">
        <w:t xml:space="preserve">plement the planning arrangements detailed under both phases of </w:t>
      </w:r>
      <w:r w:rsidRPr="0053513E">
        <w:t xml:space="preserve">Option 3b (refer to </w:t>
      </w:r>
      <w:r w:rsidRPr="00124BA8">
        <w:t>Figure</w:t>
      </w:r>
      <w:r w:rsidRPr="0053513E">
        <w:t xml:space="preserve"> 1). This includes: </w:t>
      </w:r>
    </w:p>
    <w:p w14:paraId="270884CF" w14:textId="4F47BB48" w:rsidR="00FB6CE1" w:rsidRPr="0053513E" w:rsidRDefault="003B7463" w:rsidP="00772048">
      <w:pPr>
        <w:pStyle w:val="ListBullet2"/>
      </w:pPr>
      <w:r>
        <w:t>R</w:t>
      </w:r>
      <w:r w:rsidR="00FB6CE1" w:rsidRPr="0053513E">
        <w:t>estacking apparatus licences in the band</w:t>
      </w:r>
      <w:r>
        <w:t>.</w:t>
      </w:r>
      <w:r w:rsidR="00FB6CE1" w:rsidRPr="0053513E">
        <w:t xml:space="preserve"> </w:t>
      </w:r>
    </w:p>
    <w:p w14:paraId="0CDBB645" w14:textId="4EEE287B" w:rsidR="00FB6CE1" w:rsidRPr="003F54C3" w:rsidRDefault="003B7463" w:rsidP="00772048">
      <w:pPr>
        <w:pStyle w:val="ListBullet2"/>
      </w:pPr>
      <w:r>
        <w:t>A</w:t>
      </w:r>
      <w:r w:rsidR="00FB6CE1" w:rsidRPr="0053513E">
        <w:t>s restack nears completion</w:t>
      </w:r>
      <w:r w:rsidR="00FB6CE1">
        <w:t xml:space="preserve"> and</w:t>
      </w:r>
      <w:r w:rsidR="00FB6CE1" w:rsidRPr="0053513E">
        <w:t xml:space="preserve"> </w:t>
      </w:r>
      <w:r w:rsidR="00FB6CE1">
        <w:t>subject to ministerial designation,</w:t>
      </w:r>
      <w:r w:rsidR="00FB6CE1" w:rsidRPr="0053513E">
        <w:t xml:space="preserve"> commencing processes to convert NBN Co’s 3.5 GHz PTS licences to spectr</w:t>
      </w:r>
      <w:r w:rsidR="00FB6CE1" w:rsidRPr="00B84735">
        <w:t>um licences</w:t>
      </w:r>
      <w:r>
        <w:t>.</w:t>
      </w:r>
      <w:r w:rsidR="00FB6CE1" w:rsidRPr="003F54C3">
        <w:rPr>
          <w:rStyle w:val="FootnoteReference"/>
        </w:rPr>
        <w:footnoteReference w:id="1"/>
      </w:r>
    </w:p>
    <w:p w14:paraId="63EC29F7" w14:textId="7E34A3D3" w:rsidR="00FB6CE1" w:rsidRPr="003F54C3" w:rsidRDefault="003B7463" w:rsidP="00772048">
      <w:pPr>
        <w:pStyle w:val="ListBullet2"/>
      </w:pPr>
      <w:r>
        <w:t>A</w:t>
      </w:r>
      <w:r w:rsidR="00FB6CE1" w:rsidRPr="00806E3A">
        <w:t>s restack nears completion, commencing processes to designate</w:t>
      </w:r>
      <w:r w:rsidR="00FB6CE1" w:rsidRPr="003A1A7E">
        <w:t xml:space="preserve"> relevant portions of </w:t>
      </w:r>
      <w:r w:rsidR="00FB6CE1" w:rsidRPr="005B78E8">
        <w:t>the 3400</w:t>
      </w:r>
      <w:r>
        <w:t>–</w:t>
      </w:r>
      <w:r w:rsidR="00FB6CE1" w:rsidRPr="005B78E8">
        <w:t>3442.5</w:t>
      </w:r>
      <w:r w:rsidR="00FB6CE1" w:rsidRPr="00D04EA1">
        <w:t xml:space="preserve"> MHz frequency range in major regional centres and defined regional areas </w:t>
      </w:r>
      <w:r w:rsidR="00FB6CE1" w:rsidRPr="004E7FDD">
        <w:t xml:space="preserve">for the issue of spectrum licences (refer to </w:t>
      </w:r>
      <w:r w:rsidR="00FB6CE1" w:rsidRPr="00E84B55">
        <w:t>Figure 1</w:t>
      </w:r>
      <w:r w:rsidR="00FB6CE1" w:rsidRPr="005B78E8">
        <w:t xml:space="preserve">). </w:t>
      </w:r>
      <w:r w:rsidR="00FB6CE1" w:rsidRPr="00D04EA1">
        <w:t>The process</w:t>
      </w:r>
      <w:r w:rsidR="00FB6CE1" w:rsidRPr="0053513E">
        <w:t xml:space="preserve"> to allocate these areas will commence after urban excise is completed</w:t>
      </w:r>
      <w:r>
        <w:t>.</w:t>
      </w:r>
    </w:p>
    <w:p w14:paraId="7612CBB5" w14:textId="2C2E50F6" w:rsidR="00FB6CE1" w:rsidRPr="00806E3A" w:rsidRDefault="003B7463" w:rsidP="00772048">
      <w:pPr>
        <w:pStyle w:val="ListBullet2"/>
      </w:pPr>
      <w:r>
        <w:t>D</w:t>
      </w:r>
      <w:r w:rsidR="00FB6CE1" w:rsidRPr="00806E3A">
        <w:t>eveloping arrangements for localised wireless broadband use in those parts of the band that are not identified for spectrum licensing</w:t>
      </w:r>
      <w:r>
        <w:t>.</w:t>
      </w:r>
      <w:r w:rsidR="00FB6CE1" w:rsidRPr="00806E3A">
        <w:t xml:space="preserve"> </w:t>
      </w:r>
    </w:p>
    <w:p w14:paraId="4A1DDCEF" w14:textId="5C5BBD5F" w:rsidR="00FB6CE1" w:rsidRPr="0053513E" w:rsidRDefault="003B7463" w:rsidP="00772048">
      <w:pPr>
        <w:pStyle w:val="ListBullet2"/>
      </w:pPr>
      <w:r>
        <w:t>A</w:t>
      </w:r>
      <w:r w:rsidR="00FB6CE1">
        <w:t>dopting a policy of only</w:t>
      </w:r>
      <w:r w:rsidR="00FB6CE1" w:rsidRPr="003F54C3">
        <w:t xml:space="preserve"> reissu</w:t>
      </w:r>
      <w:r w:rsidR="00FB6CE1">
        <w:t>ing</w:t>
      </w:r>
      <w:r w:rsidR="00FB6CE1" w:rsidRPr="003F54C3">
        <w:t xml:space="preserve"> </w:t>
      </w:r>
      <w:r w:rsidR="00FB6CE1">
        <w:t>PMP</w:t>
      </w:r>
      <w:r w:rsidR="00FB6CE1" w:rsidRPr="003F54C3">
        <w:t xml:space="preserve"> licences in the 3425</w:t>
      </w:r>
      <w:r>
        <w:t>–</w:t>
      </w:r>
      <w:r w:rsidR="00FB6CE1" w:rsidRPr="003F54C3">
        <w:t xml:space="preserve">3442.5 MHz frequency range in regional areas </w:t>
      </w:r>
      <w:r w:rsidR="00FB6CE1">
        <w:rPr>
          <w:rFonts w:cs="Arial"/>
        </w:rPr>
        <w:t xml:space="preserve">on the basis they expire on or before </w:t>
      </w:r>
      <w:r w:rsidR="00FB6CE1" w:rsidRPr="00C46F8B">
        <w:rPr>
          <w:rFonts w:cs="Arial"/>
        </w:rPr>
        <w:t xml:space="preserve">30 November 2020. </w:t>
      </w:r>
      <w:r w:rsidR="00FB6CE1" w:rsidRPr="003F54C3">
        <w:t>Before this date, enable these licences to retune into the 3425</w:t>
      </w:r>
      <w:r>
        <w:t>–</w:t>
      </w:r>
      <w:r w:rsidR="00FB6CE1" w:rsidRPr="003F54C3">
        <w:t>3442.5 MHz frequency range</w:t>
      </w:r>
      <w:r w:rsidR="00FB6CE1">
        <w:t xml:space="preserve">. This will also require an amendment to the Tax Determination to include tax arrangements for PTS licences in the </w:t>
      </w:r>
      <w:r w:rsidR="00FB6CE1" w:rsidRPr="003F54C3">
        <w:t>3425</w:t>
      </w:r>
      <w:r>
        <w:t>–</w:t>
      </w:r>
      <w:r w:rsidR="00FB6CE1" w:rsidRPr="003F54C3">
        <w:t>3442.5 MHz</w:t>
      </w:r>
      <w:r w:rsidR="00FB6CE1">
        <w:t xml:space="preserve"> frequency range</w:t>
      </w:r>
      <w:r>
        <w:t>.</w:t>
      </w:r>
    </w:p>
    <w:p w14:paraId="76B1922A" w14:textId="467CC9FE" w:rsidR="00FB6CE1" w:rsidRPr="00B84735" w:rsidRDefault="003B7463" w:rsidP="00772048">
      <w:pPr>
        <w:pStyle w:val="ListBullet2"/>
      </w:pPr>
      <w:r>
        <w:t>A</w:t>
      </w:r>
      <w:r w:rsidR="00FB6CE1">
        <w:t>dopting a policy of only</w:t>
      </w:r>
      <w:r w:rsidR="00FB6CE1" w:rsidRPr="00B84735">
        <w:t xml:space="preserve"> reissuing PTS licences in the 3492.5</w:t>
      </w:r>
      <w:r>
        <w:t>–</w:t>
      </w:r>
      <w:r w:rsidR="00FB6CE1" w:rsidRPr="00B84735">
        <w:t xml:space="preserve">3510 MHz frequency range in regional areas </w:t>
      </w:r>
      <w:r w:rsidR="00FB6CE1">
        <w:rPr>
          <w:rFonts w:cs="Arial"/>
        </w:rPr>
        <w:t xml:space="preserve">on the basis they expire on or before </w:t>
      </w:r>
      <w:r w:rsidR="00FB6CE1">
        <w:t>30 November 2020</w:t>
      </w:r>
      <w:r w:rsidR="00FB6CE1" w:rsidRPr="00B84735">
        <w:t>. Before this date, enable these licences to retune to the 3425</w:t>
      </w:r>
      <w:r>
        <w:t>–</w:t>
      </w:r>
      <w:r w:rsidR="00FB6CE1" w:rsidRPr="00B84735">
        <w:t>3442.5 MHz frequency range</w:t>
      </w:r>
      <w:r>
        <w:t>.</w:t>
      </w:r>
    </w:p>
    <w:p w14:paraId="15415131" w14:textId="2EF12128" w:rsidR="00FB6CE1" w:rsidRPr="003F54C3" w:rsidRDefault="003B7463" w:rsidP="00772048">
      <w:pPr>
        <w:pStyle w:val="ListBullet2"/>
      </w:pPr>
      <w:r>
        <w:rPr>
          <w:rFonts w:cs="Arial"/>
        </w:rPr>
        <w:t>Va</w:t>
      </w:r>
      <w:r w:rsidR="00FB6CE1" w:rsidRPr="008264DB">
        <w:rPr>
          <w:rFonts w:cs="Arial"/>
        </w:rPr>
        <w:t>rying the Amateur LCD</w:t>
      </w:r>
      <w:r w:rsidR="00FB6CE1" w:rsidRPr="008264DB">
        <w:t xml:space="preserve"> and Visiting amateurs class licence as detailed u</w:t>
      </w:r>
      <w:r w:rsidR="00FB6CE1" w:rsidRPr="003F54C3">
        <w:t>nder ‘</w:t>
      </w:r>
      <w:r>
        <w:t>E</w:t>
      </w:r>
      <w:r w:rsidR="00FB6CE1" w:rsidRPr="003F54C3">
        <w:t xml:space="preserve">ffect on incumbent </w:t>
      </w:r>
      <w:r w:rsidR="00FB6CE1">
        <w:t>licensees</w:t>
      </w:r>
      <w:r w:rsidR="00FB6CE1" w:rsidRPr="003F54C3">
        <w:t>’ in this paper</w:t>
      </w:r>
      <w:r>
        <w:t>.</w:t>
      </w:r>
    </w:p>
    <w:p w14:paraId="05D48910" w14:textId="56C22175" w:rsidR="00FB6CE1" w:rsidRPr="003F54C3" w:rsidRDefault="003B7463" w:rsidP="00772048">
      <w:pPr>
        <w:pStyle w:val="ListBullet2"/>
      </w:pPr>
      <w:r>
        <w:rPr>
          <w:rFonts w:cs="Arial"/>
        </w:rPr>
        <w:t>V</w:t>
      </w:r>
      <w:r w:rsidR="00FB6CE1" w:rsidRPr="003F54C3">
        <w:rPr>
          <w:rFonts w:cs="Arial"/>
        </w:rPr>
        <w:t>ary RALI MS44 so that ESPZs in eastern Australia cover those parts of the band not already subject to spectrum licensing (the 3400</w:t>
      </w:r>
      <w:r>
        <w:t>–</w:t>
      </w:r>
      <w:r w:rsidR="00FB6CE1" w:rsidRPr="003F54C3">
        <w:rPr>
          <w:rFonts w:cs="Arial"/>
        </w:rPr>
        <w:t>3442.5 MHz and 3475</w:t>
      </w:r>
      <w:r>
        <w:t>–</w:t>
      </w:r>
      <w:r w:rsidR="00FB6CE1" w:rsidRPr="003F54C3">
        <w:rPr>
          <w:rFonts w:cs="Arial"/>
        </w:rPr>
        <w:t xml:space="preserve">3542.5 MHz frequency ranges). </w:t>
      </w:r>
      <w:r w:rsidR="00FB6CE1">
        <w:rPr>
          <w:rFonts w:cs="Arial"/>
        </w:rPr>
        <w:t>The ACMA also does not propose these areas and frequencies be identified for spectrum licensing.</w:t>
      </w:r>
      <w:r w:rsidR="00FB6CE1">
        <w:t xml:space="preserve"> </w:t>
      </w:r>
      <w:r w:rsidR="00FB6CE1" w:rsidRPr="003F54C3">
        <w:rPr>
          <w:rFonts w:cs="Arial"/>
        </w:rPr>
        <w:t xml:space="preserve"> </w:t>
      </w:r>
    </w:p>
    <w:p w14:paraId="459AF07F" w14:textId="77777777" w:rsidR="00FB6CE1" w:rsidRPr="003F54C3" w:rsidRDefault="00FB6CE1" w:rsidP="00772048">
      <w:pPr>
        <w:pStyle w:val="ListBullet"/>
      </w:pPr>
      <w:r w:rsidRPr="00124BA8">
        <w:lastRenderedPageBreak/>
        <w:t>Progress</w:t>
      </w:r>
      <w:r w:rsidRPr="003F54C3">
        <w:t xml:space="preserve"> work on urban excise by:</w:t>
      </w:r>
    </w:p>
    <w:p w14:paraId="64090F20" w14:textId="066770EE" w:rsidR="00FB6CE1" w:rsidRPr="003F54C3" w:rsidRDefault="003B7463" w:rsidP="00772048">
      <w:pPr>
        <w:pStyle w:val="ListBullet2"/>
      </w:pPr>
      <w:r>
        <w:t>E</w:t>
      </w:r>
      <w:r w:rsidR="00FB6CE1" w:rsidRPr="003F54C3">
        <w:t>ngaging with industry to develop interference management criteria to and from urban excise areas. This will be conducted in parallel to the work leading up to the allocation of urban excise areas</w:t>
      </w:r>
      <w:r>
        <w:t>.</w:t>
      </w:r>
    </w:p>
    <w:p w14:paraId="4A963A68" w14:textId="1F96F4EE" w:rsidR="00FB6CE1" w:rsidRPr="003F54C3" w:rsidRDefault="003B7463" w:rsidP="00772048">
      <w:pPr>
        <w:pStyle w:val="ListBullet2"/>
      </w:pPr>
      <w:r>
        <w:t>D</w:t>
      </w:r>
      <w:r w:rsidR="00FB6CE1" w:rsidRPr="003F54C3">
        <w:t>etermine the utility of urban excise areas and an appropriate licensing approach to make the spectrum available</w:t>
      </w:r>
      <w:r>
        <w:t>.</w:t>
      </w:r>
    </w:p>
    <w:p w14:paraId="004B8452" w14:textId="7D3F0B60" w:rsidR="00FB6CE1" w:rsidRPr="00EF5D2F" w:rsidRDefault="003B7463" w:rsidP="00772048">
      <w:pPr>
        <w:pStyle w:val="ListBullet2"/>
      </w:pPr>
      <w:r>
        <w:t>O</w:t>
      </w:r>
      <w:r w:rsidR="00FB6CE1" w:rsidRPr="003F54C3">
        <w:t xml:space="preserve">nce defrag is complete, </w:t>
      </w:r>
      <w:r w:rsidR="00FB6CE1">
        <w:t xml:space="preserve">commencing processes to resume urban excise areas (as </w:t>
      </w:r>
      <w:r w:rsidR="00FB6CE1" w:rsidRPr="003F54C3">
        <w:t xml:space="preserve">defined at Appendix </w:t>
      </w:r>
      <w:r w:rsidR="00FB6CE1">
        <w:t>C)</w:t>
      </w:r>
      <w:r w:rsidR="00FB6CE1" w:rsidRPr="009B4DF7">
        <w:t xml:space="preserve"> from NBN Co’s spectrum licences</w:t>
      </w:r>
      <w:r w:rsidR="00FB6CE1">
        <w:t>, pursuant to section 89 of the Act</w:t>
      </w:r>
      <w:r w:rsidR="00FB6CE1" w:rsidRPr="00EF5D2F">
        <w:t>.</w:t>
      </w:r>
    </w:p>
    <w:p w14:paraId="6C1FFDC7" w14:textId="1973608A" w:rsidR="00FB6CE1" w:rsidRPr="003F54C3" w:rsidRDefault="00FB6CE1" w:rsidP="00772048">
      <w:pPr>
        <w:pStyle w:val="ListBullet"/>
      </w:pPr>
      <w:r w:rsidRPr="0053513E">
        <w:t xml:space="preserve">Allocate </w:t>
      </w:r>
      <w:r>
        <w:t xml:space="preserve">urban excise areas as well as </w:t>
      </w:r>
      <w:r w:rsidRPr="0053513E">
        <w:t>spectrum licences</w:t>
      </w:r>
      <w:r>
        <w:t xml:space="preserve"> in the 3400</w:t>
      </w:r>
      <w:r w:rsidR="003B7463">
        <w:t>–</w:t>
      </w:r>
      <w:r>
        <w:t xml:space="preserve">3442.5 MHz frequency </w:t>
      </w:r>
      <w:r w:rsidRPr="00124BA8">
        <w:t>range</w:t>
      </w:r>
      <w:r>
        <w:t xml:space="preserve"> in defined regional areas and the 3400</w:t>
      </w:r>
      <w:r w:rsidR="003B7463">
        <w:t>–</w:t>
      </w:r>
      <w:r>
        <w:t>3425 MHz frequency range in major regional centres by:</w:t>
      </w:r>
    </w:p>
    <w:p w14:paraId="225799C8" w14:textId="33B95400" w:rsidR="00FB6CE1" w:rsidRPr="00806E3A" w:rsidRDefault="003B7463" w:rsidP="00772048">
      <w:pPr>
        <w:pStyle w:val="ListBullet2"/>
      </w:pPr>
      <w:r>
        <w:t>D</w:t>
      </w:r>
      <w:r w:rsidR="00FB6CE1" w:rsidRPr="00806E3A">
        <w:t>evelop</w:t>
      </w:r>
      <w:r w:rsidR="00FB6CE1">
        <w:t>ing</w:t>
      </w:r>
      <w:r w:rsidR="00FB6CE1" w:rsidRPr="00806E3A">
        <w:t xml:space="preserve"> allocation instruments</w:t>
      </w:r>
      <w:r>
        <w:t>.</w:t>
      </w:r>
    </w:p>
    <w:p w14:paraId="15B35178" w14:textId="67D85871" w:rsidR="00FB6CE1" w:rsidRPr="003A1A7E" w:rsidRDefault="003B7463" w:rsidP="00772048">
      <w:pPr>
        <w:pStyle w:val="ListBullet2"/>
      </w:pPr>
      <w:r>
        <w:t>C</w:t>
      </w:r>
      <w:r w:rsidR="00FB6CE1" w:rsidRPr="00806E3A">
        <w:t>onduct</w:t>
      </w:r>
      <w:r w:rsidR="00FB6CE1">
        <w:t>ing</w:t>
      </w:r>
      <w:r w:rsidR="00FB6CE1" w:rsidRPr="00806E3A">
        <w:t xml:space="preserve"> an allocation process for those areas and frequencies identified for spectrum licensing</w:t>
      </w:r>
      <w:r w:rsidR="00FB6CE1" w:rsidRPr="006C6E23">
        <w:t>.</w:t>
      </w:r>
      <w:r w:rsidR="00FB6CE1" w:rsidRPr="003A1A7E">
        <w:t xml:space="preserve"> This may include urban excise areas</w:t>
      </w:r>
      <w:r w:rsidR="00FB6CE1">
        <w:t>.</w:t>
      </w:r>
      <w:r w:rsidR="00FB6CE1" w:rsidRPr="003A1A7E">
        <w:t xml:space="preserve"> </w:t>
      </w:r>
      <w:r w:rsidR="00FB6CE1">
        <w:t>I</w:t>
      </w:r>
      <w:r w:rsidR="00FB6CE1" w:rsidRPr="003A1A7E">
        <w:t>f it does not, these areas will be made available via other appropriate means.</w:t>
      </w:r>
    </w:p>
    <w:p w14:paraId="1B492AD5" w14:textId="77777777" w:rsidR="00FB6CE1" w:rsidRPr="009B4DF7" w:rsidRDefault="00FB6CE1" w:rsidP="00FB6CE1">
      <w:pPr>
        <w:pStyle w:val="Heading2"/>
      </w:pPr>
      <w:bookmarkStart w:id="63" w:name="_Toc21088516"/>
      <w:bookmarkStart w:id="64" w:name="_Toc25047695"/>
      <w:bookmarkEnd w:id="62"/>
      <w:r w:rsidRPr="009B4DF7">
        <w:t>Next steps</w:t>
      </w:r>
      <w:bookmarkEnd w:id="63"/>
      <w:bookmarkEnd w:id="64"/>
    </w:p>
    <w:p w14:paraId="60FCF6BB" w14:textId="77777777" w:rsidR="00FB6CE1" w:rsidRPr="00806E3A" w:rsidRDefault="00FB6CE1" w:rsidP="00FB6CE1">
      <w:pPr>
        <w:spacing w:before="120" w:after="120" w:line="240" w:lineRule="auto"/>
      </w:pPr>
      <w:r w:rsidRPr="00EF5D2F">
        <w:t xml:space="preserve">To </w:t>
      </w:r>
      <w:bookmarkStart w:id="65" w:name="_Hlk18339492"/>
      <w:r w:rsidRPr="00EF5D2F">
        <w:t xml:space="preserve">give effect to the planning decisions </w:t>
      </w:r>
      <w:r w:rsidRPr="003E390E">
        <w:t>and preliminary views</w:t>
      </w:r>
      <w:r w:rsidRPr="003F54C3">
        <w:t xml:space="preserve"> outlined</w:t>
      </w:r>
      <w:r w:rsidRPr="00806E3A">
        <w:t xml:space="preserve"> in this paper, the ACMA has developed the implementation plan set out in Table 2. </w:t>
      </w:r>
    </w:p>
    <w:p w14:paraId="63925D77" w14:textId="77777777" w:rsidR="00FB6CE1" w:rsidRPr="006C6E23" w:rsidRDefault="00FB6CE1" w:rsidP="00FB6CE1">
      <w:pPr>
        <w:spacing w:before="120" w:after="120" w:line="240" w:lineRule="auto"/>
        <w:rPr>
          <w:highlight w:val="yellow"/>
        </w:rPr>
      </w:pPr>
    </w:p>
    <w:p w14:paraId="01188FE7" w14:textId="77777777" w:rsidR="00FB6CE1" w:rsidRPr="003F54C3" w:rsidRDefault="00FB6CE1" w:rsidP="00FB6CE1">
      <w:pPr>
        <w:pStyle w:val="ACMATableHeader"/>
        <w:keepNext/>
        <w:keepLines/>
        <w:spacing w:before="120" w:after="120"/>
        <w:sectPr w:rsidR="00FB6CE1" w:rsidRPr="003F54C3" w:rsidSect="00C77380">
          <w:headerReference w:type="even" r:id="rId37"/>
          <w:headerReference w:type="default" r:id="rId38"/>
          <w:footerReference w:type="even" r:id="rId39"/>
          <w:footerReference w:type="default" r:id="rId40"/>
          <w:pgSz w:w="11906" w:h="16838" w:code="9"/>
          <w:pgMar w:top="1945" w:right="3101" w:bottom="1134" w:left="1134" w:header="709" w:footer="119" w:gutter="0"/>
          <w:pgNumType w:start="1"/>
          <w:cols w:space="708"/>
          <w:docGrid w:linePitch="360"/>
        </w:sectPr>
      </w:pPr>
    </w:p>
    <w:p w14:paraId="26553316" w14:textId="36979346" w:rsidR="00FB6CE1" w:rsidRPr="003F54C3" w:rsidRDefault="00FB6CE1" w:rsidP="00FB6CE1">
      <w:pPr>
        <w:pStyle w:val="ACMATableHeader"/>
        <w:keepNext/>
        <w:keepLines/>
        <w:spacing w:before="120" w:after="120"/>
      </w:pPr>
      <w:r w:rsidRPr="003F54C3">
        <w:lastRenderedPageBreak/>
        <w:t>Indicative timetable for implementation of planning arrangements in the 3400</w:t>
      </w:r>
      <w:r w:rsidR="003B7463">
        <w:t>–</w:t>
      </w:r>
      <w:r w:rsidRPr="003F54C3">
        <w:t>3575 MHz band</w:t>
      </w:r>
    </w:p>
    <w:tbl>
      <w:tblPr>
        <w:tblStyle w:val="TableGrid"/>
        <w:tblW w:w="14454" w:type="dxa"/>
        <w:jc w:val="center"/>
        <w:tblLayout w:type="fixed"/>
        <w:tblCellMar>
          <w:top w:w="28" w:type="dxa"/>
          <w:left w:w="57" w:type="dxa"/>
          <w:bottom w:w="28" w:type="dxa"/>
          <w:right w:w="57" w:type="dxa"/>
        </w:tblCellMar>
        <w:tblLook w:val="04A0" w:firstRow="1" w:lastRow="0" w:firstColumn="1" w:lastColumn="0" w:noHBand="0" w:noVBand="1"/>
      </w:tblPr>
      <w:tblGrid>
        <w:gridCol w:w="1980"/>
        <w:gridCol w:w="2410"/>
        <w:gridCol w:w="6662"/>
        <w:gridCol w:w="1560"/>
        <w:gridCol w:w="1842"/>
      </w:tblGrid>
      <w:tr w:rsidR="00FB6CE1" w:rsidRPr="003B7463" w14:paraId="1E5C31B3" w14:textId="77777777" w:rsidTr="0067714C">
        <w:trPr>
          <w:trHeight w:val="359"/>
          <w:tblHeader/>
          <w:jc w:val="center"/>
        </w:trPr>
        <w:tc>
          <w:tcPr>
            <w:tcW w:w="1980"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tcPr>
          <w:p w14:paraId="2D95A63D" w14:textId="77777777" w:rsidR="00FB6CE1" w:rsidRPr="00772048" w:rsidRDefault="00FB6CE1" w:rsidP="00772048">
            <w:pPr>
              <w:pStyle w:val="TableHeading0"/>
              <w:rPr>
                <w:color w:val="FFFFFF" w:themeColor="background1"/>
              </w:rPr>
            </w:pPr>
            <w:bookmarkStart w:id="66" w:name="_Hlk20835111"/>
            <w:bookmarkEnd w:id="65"/>
            <w:r w:rsidRPr="00772048">
              <w:rPr>
                <w:color w:val="FFFFFF" w:themeColor="background1"/>
              </w:rPr>
              <w:t>Step</w:t>
            </w:r>
          </w:p>
        </w:tc>
        <w:tc>
          <w:tcPr>
            <w:tcW w:w="2410" w:type="dxa"/>
            <w:tcBorders>
              <w:top w:val="single" w:sz="4" w:space="0" w:color="auto"/>
              <w:left w:val="single" w:sz="4" w:space="0" w:color="auto"/>
              <w:bottom w:val="single" w:sz="4" w:space="0" w:color="auto"/>
              <w:right w:val="single" w:sz="4" w:space="0" w:color="auto"/>
            </w:tcBorders>
            <w:shd w:val="clear" w:color="auto" w:fill="404040" w:themeFill="text1" w:themeFillTint="BF"/>
            <w:tcMar>
              <w:top w:w="28" w:type="dxa"/>
              <w:left w:w="28" w:type="dxa"/>
              <w:bottom w:w="28" w:type="dxa"/>
              <w:right w:w="28" w:type="dxa"/>
            </w:tcMar>
            <w:vAlign w:val="center"/>
          </w:tcPr>
          <w:p w14:paraId="61174FEE" w14:textId="77777777" w:rsidR="00FB6CE1" w:rsidRPr="00772048" w:rsidRDefault="00FB6CE1" w:rsidP="00772048">
            <w:pPr>
              <w:pStyle w:val="TableHeading0"/>
              <w:rPr>
                <w:color w:val="FFFFFF" w:themeColor="background1"/>
              </w:rPr>
            </w:pPr>
            <w:r w:rsidRPr="00772048">
              <w:rPr>
                <w:color w:val="FFFFFF" w:themeColor="background1"/>
              </w:rPr>
              <w:t>Step detail</w:t>
            </w:r>
          </w:p>
        </w:tc>
        <w:tc>
          <w:tcPr>
            <w:tcW w:w="6662" w:type="dxa"/>
            <w:tcBorders>
              <w:top w:val="single" w:sz="4" w:space="0" w:color="auto"/>
              <w:left w:val="single" w:sz="4" w:space="0" w:color="auto"/>
              <w:bottom w:val="single" w:sz="4" w:space="0" w:color="auto"/>
              <w:right w:val="single" w:sz="4" w:space="0" w:color="auto"/>
            </w:tcBorders>
            <w:shd w:val="clear" w:color="auto" w:fill="404040" w:themeFill="text1" w:themeFillTint="BF"/>
            <w:tcMar>
              <w:top w:w="28" w:type="dxa"/>
              <w:left w:w="28" w:type="dxa"/>
              <w:bottom w:w="28" w:type="dxa"/>
              <w:right w:w="28" w:type="dxa"/>
            </w:tcMar>
            <w:vAlign w:val="center"/>
          </w:tcPr>
          <w:p w14:paraId="566256E2" w14:textId="77777777" w:rsidR="00FB6CE1" w:rsidRPr="00772048" w:rsidRDefault="00FB6CE1" w:rsidP="00772048">
            <w:pPr>
              <w:pStyle w:val="TableHeading0"/>
              <w:rPr>
                <w:color w:val="FFFFFF" w:themeColor="background1"/>
              </w:rPr>
            </w:pPr>
            <w:r w:rsidRPr="00772048">
              <w:rPr>
                <w:color w:val="FFFFFF" w:themeColor="background1"/>
              </w:rPr>
              <w:t>Comments</w:t>
            </w:r>
          </w:p>
        </w:tc>
        <w:tc>
          <w:tcPr>
            <w:tcW w:w="1560"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tcPr>
          <w:p w14:paraId="15ABF02D" w14:textId="77777777" w:rsidR="00FB6CE1" w:rsidRPr="00772048" w:rsidRDefault="00FB6CE1" w:rsidP="00772048">
            <w:pPr>
              <w:pStyle w:val="TableHeading0"/>
              <w:rPr>
                <w:color w:val="FFFFFF" w:themeColor="background1"/>
              </w:rPr>
            </w:pPr>
            <w:r w:rsidRPr="00772048">
              <w:rPr>
                <w:color w:val="FFFFFF" w:themeColor="background1"/>
              </w:rPr>
              <w:t>Individual step timeframes</w:t>
            </w:r>
          </w:p>
          <w:p w14:paraId="00299A2F" w14:textId="77777777" w:rsidR="00FB6CE1" w:rsidRPr="00772048" w:rsidRDefault="00FB6CE1" w:rsidP="00772048">
            <w:pPr>
              <w:pStyle w:val="TableHeading0"/>
              <w:rPr>
                <w:color w:val="FFFFFF" w:themeColor="background1"/>
              </w:rPr>
            </w:pPr>
            <w:r w:rsidRPr="00772048">
              <w:rPr>
                <w:color w:val="FFFFFF" w:themeColor="background1"/>
              </w:rPr>
              <w:t>(cumulative timeframe)</w:t>
            </w:r>
          </w:p>
        </w:tc>
        <w:tc>
          <w:tcPr>
            <w:tcW w:w="1842"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tcPr>
          <w:p w14:paraId="570CBA84" w14:textId="77777777" w:rsidR="00FB6CE1" w:rsidRPr="00772048" w:rsidRDefault="00FB6CE1" w:rsidP="00772048">
            <w:pPr>
              <w:pStyle w:val="TableHeading0"/>
              <w:rPr>
                <w:color w:val="FFFFFF" w:themeColor="background1"/>
              </w:rPr>
            </w:pPr>
            <w:r w:rsidRPr="00772048">
              <w:rPr>
                <w:color w:val="FFFFFF" w:themeColor="background1"/>
              </w:rPr>
              <w:t>Completion dates</w:t>
            </w:r>
          </w:p>
        </w:tc>
      </w:tr>
      <w:tr w:rsidR="00FB6CE1" w:rsidRPr="003F54C3" w14:paraId="41441F7D" w14:textId="77777777" w:rsidTr="0067714C">
        <w:trPr>
          <w:cantSplit/>
          <w:jc w:val="center"/>
        </w:trPr>
        <w:tc>
          <w:tcPr>
            <w:tcW w:w="1980" w:type="dxa"/>
            <w:tcBorders>
              <w:top w:val="single" w:sz="4" w:space="0" w:color="auto"/>
              <w:left w:val="single" w:sz="4" w:space="0" w:color="auto"/>
              <w:right w:val="single" w:sz="4" w:space="0" w:color="auto"/>
            </w:tcBorders>
          </w:tcPr>
          <w:p w14:paraId="51EB566D" w14:textId="77777777" w:rsidR="00FB6CE1" w:rsidRPr="003F54C3" w:rsidRDefault="00FB6CE1" w:rsidP="0067714C">
            <w:pPr>
              <w:spacing w:before="120" w:after="60" w:line="180" w:lineRule="exact"/>
              <w:rPr>
                <w:rFonts w:cs="Arial"/>
                <w:sz w:val="16"/>
                <w:szCs w:val="16"/>
              </w:rPr>
            </w:pPr>
            <w:bookmarkStart w:id="67" w:name="_Hlk21019610"/>
            <w:r w:rsidRPr="003F54C3">
              <w:rPr>
                <w:rFonts w:cs="Arial"/>
                <w:sz w:val="16"/>
                <w:szCs w:val="16"/>
              </w:rPr>
              <w:t>Step 1a</w:t>
            </w:r>
          </w:p>
          <w:p w14:paraId="4C5F687E" w14:textId="77777777" w:rsidR="00FB6CE1" w:rsidRPr="003F54C3" w:rsidRDefault="00FB6CE1" w:rsidP="0067714C">
            <w:pPr>
              <w:spacing w:before="120" w:after="60" w:line="180" w:lineRule="exact"/>
              <w:rPr>
                <w:rFonts w:cs="Arial"/>
                <w:sz w:val="16"/>
                <w:szCs w:val="16"/>
              </w:rPr>
            </w:pPr>
            <w:r w:rsidRPr="003F54C3">
              <w:rPr>
                <w:rFonts w:cs="Arial"/>
                <w:sz w:val="16"/>
                <w:szCs w:val="16"/>
              </w:rPr>
              <w:t xml:space="preserve">UTILITY OF URBAN EXCISE </w:t>
            </w:r>
          </w:p>
        </w:tc>
        <w:tc>
          <w:tcPr>
            <w:tcW w:w="241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14:paraId="03387BE6" w14:textId="77777777" w:rsidR="00FB6CE1" w:rsidRPr="003F54C3" w:rsidRDefault="00FB6CE1" w:rsidP="0067714C">
            <w:pPr>
              <w:spacing w:before="120" w:after="60" w:line="180" w:lineRule="exact"/>
              <w:rPr>
                <w:rFonts w:cs="Arial"/>
                <w:sz w:val="16"/>
                <w:szCs w:val="16"/>
              </w:rPr>
            </w:pPr>
            <w:r w:rsidRPr="003F54C3">
              <w:rPr>
                <w:rFonts w:cs="Arial"/>
                <w:sz w:val="16"/>
                <w:szCs w:val="16"/>
              </w:rPr>
              <w:t>Investigate utility of urban excise areas</w:t>
            </w:r>
          </w:p>
          <w:p w14:paraId="28F5DD07" w14:textId="77777777" w:rsidR="00FB6CE1" w:rsidRPr="003F54C3" w:rsidRDefault="00FB6CE1" w:rsidP="0067714C">
            <w:pPr>
              <w:spacing w:before="120" w:after="60" w:line="180" w:lineRule="exact"/>
              <w:rPr>
                <w:rFonts w:cs="Arial"/>
                <w:sz w:val="16"/>
                <w:szCs w:val="16"/>
              </w:rPr>
            </w:pPr>
            <w:r w:rsidRPr="003F54C3">
              <w:rPr>
                <w:rFonts w:cs="Arial"/>
                <w:sz w:val="16"/>
                <w:szCs w:val="16"/>
              </w:rPr>
              <w:t>(performed in parallel to Steps 1, 2, 3 and 4)</w:t>
            </w:r>
          </w:p>
        </w:tc>
        <w:tc>
          <w:tcPr>
            <w:tcW w:w="6662"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14:paraId="7B2D3167" w14:textId="77777777" w:rsidR="00FB6CE1" w:rsidRPr="003F54C3" w:rsidRDefault="00FB6CE1" w:rsidP="00772048">
            <w:pPr>
              <w:pStyle w:val="ListParagraph"/>
              <w:numPr>
                <w:ilvl w:val="0"/>
                <w:numId w:val="29"/>
              </w:numPr>
              <w:spacing w:before="120" w:after="60" w:line="180" w:lineRule="exact"/>
              <w:rPr>
                <w:rFonts w:cs="Arial"/>
                <w:sz w:val="16"/>
                <w:szCs w:val="16"/>
              </w:rPr>
            </w:pPr>
            <w:r w:rsidRPr="003F54C3">
              <w:rPr>
                <w:rFonts w:cs="Arial"/>
                <w:sz w:val="16"/>
                <w:szCs w:val="16"/>
              </w:rPr>
              <w:t xml:space="preserve">Work with stakeholders to develop interference management criteria to and from urban excise areas. </w:t>
            </w:r>
          </w:p>
          <w:p w14:paraId="0FCD47CA" w14:textId="77777777" w:rsidR="00FB6CE1" w:rsidRPr="003F54C3" w:rsidRDefault="00FB6CE1" w:rsidP="00772048">
            <w:pPr>
              <w:pStyle w:val="ListParagraph"/>
              <w:numPr>
                <w:ilvl w:val="0"/>
                <w:numId w:val="29"/>
              </w:numPr>
              <w:spacing w:before="120" w:after="60" w:line="180" w:lineRule="exact"/>
              <w:rPr>
                <w:rFonts w:cs="Arial"/>
                <w:sz w:val="16"/>
                <w:szCs w:val="16"/>
              </w:rPr>
            </w:pPr>
            <w:r w:rsidRPr="003F54C3">
              <w:rPr>
                <w:rFonts w:cs="Arial"/>
                <w:sz w:val="16"/>
                <w:szCs w:val="16"/>
              </w:rPr>
              <w:t xml:space="preserve">Assess utility of any identified areas considering interference management criteria. </w:t>
            </w:r>
          </w:p>
          <w:p w14:paraId="5147BE2A" w14:textId="09F95C5D" w:rsidR="00FB6CE1" w:rsidRPr="003F54C3" w:rsidRDefault="00FB6CE1" w:rsidP="00772048">
            <w:pPr>
              <w:pStyle w:val="ListParagraph"/>
              <w:numPr>
                <w:ilvl w:val="0"/>
                <w:numId w:val="29"/>
              </w:numPr>
              <w:spacing w:before="120" w:after="60" w:line="180" w:lineRule="exact"/>
              <w:rPr>
                <w:rFonts w:cs="Arial"/>
                <w:sz w:val="16"/>
                <w:szCs w:val="16"/>
              </w:rPr>
            </w:pPr>
            <w:r w:rsidRPr="003F54C3">
              <w:rPr>
                <w:rFonts w:cs="Arial"/>
                <w:sz w:val="16"/>
                <w:szCs w:val="16"/>
              </w:rPr>
              <w:t>Determine an appropriate method for making the spectrum available</w:t>
            </w:r>
            <w:r w:rsidR="003B7463">
              <w:rPr>
                <w:rFonts w:cs="Arial"/>
                <w:sz w:val="16"/>
                <w:szCs w:val="16"/>
              </w:rPr>
              <w:t>.</w:t>
            </w:r>
          </w:p>
        </w:tc>
        <w:tc>
          <w:tcPr>
            <w:tcW w:w="1560" w:type="dxa"/>
            <w:tcBorders>
              <w:top w:val="single" w:sz="4" w:space="0" w:color="auto"/>
              <w:left w:val="single" w:sz="4" w:space="0" w:color="auto"/>
              <w:right w:val="single" w:sz="4" w:space="0" w:color="auto"/>
            </w:tcBorders>
          </w:tcPr>
          <w:p w14:paraId="48572A6C" w14:textId="77777777" w:rsidR="00FB6CE1" w:rsidRPr="003F54C3" w:rsidRDefault="00FB6CE1" w:rsidP="0067714C">
            <w:pPr>
              <w:spacing w:before="120" w:after="60" w:line="180" w:lineRule="exact"/>
              <w:rPr>
                <w:rFonts w:cs="Arial"/>
                <w:sz w:val="16"/>
                <w:szCs w:val="16"/>
              </w:rPr>
            </w:pPr>
            <w:r w:rsidRPr="003F54C3">
              <w:rPr>
                <w:rFonts w:cs="Arial"/>
                <w:sz w:val="16"/>
                <w:szCs w:val="16"/>
              </w:rPr>
              <w:t>8 months</w:t>
            </w:r>
          </w:p>
        </w:tc>
        <w:tc>
          <w:tcPr>
            <w:tcW w:w="1842" w:type="dxa"/>
            <w:tcBorders>
              <w:top w:val="single" w:sz="4" w:space="0" w:color="auto"/>
              <w:left w:val="single" w:sz="4" w:space="0" w:color="auto"/>
              <w:right w:val="single" w:sz="4" w:space="0" w:color="auto"/>
            </w:tcBorders>
          </w:tcPr>
          <w:p w14:paraId="530350EB" w14:textId="6FF9A6F7" w:rsidR="00FB6CE1" w:rsidRPr="003F54C3" w:rsidRDefault="00FB6CE1" w:rsidP="0067714C">
            <w:pPr>
              <w:spacing w:before="120" w:after="60" w:line="180" w:lineRule="exact"/>
              <w:rPr>
                <w:rFonts w:cs="Arial"/>
                <w:sz w:val="16"/>
                <w:szCs w:val="16"/>
              </w:rPr>
            </w:pPr>
            <w:r w:rsidRPr="003F54C3">
              <w:rPr>
                <w:rFonts w:cs="Arial"/>
                <w:sz w:val="16"/>
                <w:szCs w:val="16"/>
              </w:rPr>
              <w:t>Jun 2020</w:t>
            </w:r>
          </w:p>
        </w:tc>
      </w:tr>
      <w:tr w:rsidR="00FB6CE1" w:rsidRPr="003F54C3" w14:paraId="2BD304B2" w14:textId="77777777" w:rsidTr="0067714C">
        <w:trPr>
          <w:jc w:val="center"/>
        </w:trPr>
        <w:tc>
          <w:tcPr>
            <w:tcW w:w="1980" w:type="dxa"/>
            <w:tcBorders>
              <w:left w:val="single" w:sz="4" w:space="0" w:color="auto"/>
              <w:bottom w:val="single" w:sz="4" w:space="0" w:color="auto"/>
              <w:right w:val="single" w:sz="4" w:space="0" w:color="auto"/>
            </w:tcBorders>
          </w:tcPr>
          <w:p w14:paraId="6D78C943" w14:textId="77777777" w:rsidR="00FB6CE1" w:rsidRPr="003F54C3" w:rsidRDefault="00FB6CE1" w:rsidP="0067714C">
            <w:pPr>
              <w:spacing w:before="120" w:after="60" w:line="180" w:lineRule="exact"/>
              <w:rPr>
                <w:rFonts w:cs="Arial"/>
                <w:sz w:val="16"/>
                <w:szCs w:val="16"/>
              </w:rPr>
            </w:pPr>
            <w:r w:rsidRPr="003F54C3">
              <w:rPr>
                <w:rFonts w:cs="Arial"/>
                <w:sz w:val="16"/>
                <w:szCs w:val="16"/>
              </w:rPr>
              <w:t>Step 1b</w:t>
            </w:r>
          </w:p>
          <w:p w14:paraId="4DCDFAC9" w14:textId="77777777" w:rsidR="00FB6CE1" w:rsidRPr="003F54C3" w:rsidRDefault="00FB6CE1" w:rsidP="0067714C">
            <w:pPr>
              <w:spacing w:before="120" w:after="60" w:line="180" w:lineRule="exact"/>
              <w:rPr>
                <w:rFonts w:cs="Arial"/>
                <w:sz w:val="16"/>
                <w:szCs w:val="16"/>
              </w:rPr>
            </w:pPr>
            <w:r w:rsidRPr="003F54C3">
              <w:rPr>
                <w:rFonts w:cs="Arial"/>
                <w:sz w:val="16"/>
                <w:szCs w:val="16"/>
              </w:rPr>
              <w:t>RESTACK</w:t>
            </w:r>
          </w:p>
        </w:tc>
        <w:tc>
          <w:tcPr>
            <w:tcW w:w="241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14:paraId="721ADD23" w14:textId="77777777" w:rsidR="00FB6CE1" w:rsidRPr="003F54C3" w:rsidRDefault="00FB6CE1" w:rsidP="0067714C">
            <w:pPr>
              <w:spacing w:before="120" w:after="60" w:line="180" w:lineRule="exact"/>
              <w:rPr>
                <w:rFonts w:cs="Arial"/>
                <w:sz w:val="16"/>
                <w:szCs w:val="16"/>
              </w:rPr>
            </w:pPr>
            <w:r w:rsidRPr="003F54C3">
              <w:rPr>
                <w:rFonts w:cs="Arial"/>
                <w:sz w:val="16"/>
                <w:szCs w:val="16"/>
              </w:rPr>
              <w:t>Restack of apparatus licences and development of PMP arrangements</w:t>
            </w:r>
          </w:p>
        </w:tc>
        <w:tc>
          <w:tcPr>
            <w:tcW w:w="6662"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14:paraId="3262C5C0" w14:textId="77777777" w:rsidR="00092ED8" w:rsidRPr="00092ED8" w:rsidRDefault="00092ED8" w:rsidP="00092ED8">
            <w:pPr>
              <w:pStyle w:val="ListParagraph"/>
              <w:numPr>
                <w:ilvl w:val="0"/>
                <w:numId w:val="30"/>
              </w:numPr>
              <w:spacing w:before="120" w:after="60" w:line="180" w:lineRule="exact"/>
              <w:rPr>
                <w:rFonts w:cs="Arial"/>
                <w:sz w:val="16"/>
                <w:szCs w:val="16"/>
              </w:rPr>
            </w:pPr>
            <w:r w:rsidRPr="00092ED8">
              <w:rPr>
                <w:rFonts w:cs="Arial"/>
                <w:sz w:val="16"/>
                <w:szCs w:val="16"/>
              </w:rPr>
              <w:t xml:space="preserve">Licences that have not been moved into the new band arrangement by 30 November 2020 will not be re-issued. </w:t>
            </w:r>
          </w:p>
          <w:p w14:paraId="12492427" w14:textId="77777777" w:rsidR="00092ED8" w:rsidRPr="00092ED8" w:rsidRDefault="00092ED8" w:rsidP="00092ED8">
            <w:pPr>
              <w:pStyle w:val="ListParagraph"/>
              <w:numPr>
                <w:ilvl w:val="0"/>
                <w:numId w:val="30"/>
              </w:numPr>
              <w:spacing w:before="120" w:after="60" w:line="180" w:lineRule="exact"/>
              <w:rPr>
                <w:rFonts w:cs="Arial"/>
                <w:sz w:val="16"/>
                <w:szCs w:val="16"/>
              </w:rPr>
            </w:pPr>
            <w:r w:rsidRPr="00092ED8">
              <w:rPr>
                <w:rFonts w:cs="Arial"/>
                <w:sz w:val="16"/>
                <w:szCs w:val="16"/>
              </w:rPr>
              <w:t>NBN Co and Optus may optionally choose to develop third party agreements to retune devices into consolidated spectrum holdings.</w:t>
            </w:r>
          </w:p>
          <w:p w14:paraId="1AFCB7FF" w14:textId="77777777" w:rsidR="00092ED8" w:rsidRPr="00092ED8" w:rsidRDefault="00092ED8" w:rsidP="00092ED8">
            <w:pPr>
              <w:pStyle w:val="ListParagraph"/>
              <w:numPr>
                <w:ilvl w:val="0"/>
                <w:numId w:val="30"/>
              </w:numPr>
              <w:spacing w:before="120" w:after="60" w:line="180" w:lineRule="exact"/>
              <w:rPr>
                <w:rFonts w:cs="Arial"/>
                <w:sz w:val="16"/>
                <w:szCs w:val="16"/>
              </w:rPr>
            </w:pPr>
            <w:r w:rsidRPr="00092ED8">
              <w:rPr>
                <w:rFonts w:cs="Arial"/>
                <w:sz w:val="16"/>
                <w:szCs w:val="16"/>
              </w:rPr>
              <w:t xml:space="preserve">The minimum timeframe for restack is based on the time required to vary the Amateur LCD and Visiting amateurs class licence (5 months) which </w:t>
            </w:r>
            <w:proofErr w:type="gramStart"/>
            <w:r w:rsidRPr="00092ED8">
              <w:rPr>
                <w:rFonts w:cs="Arial"/>
                <w:sz w:val="16"/>
                <w:szCs w:val="16"/>
              </w:rPr>
              <w:t>takes into account</w:t>
            </w:r>
            <w:proofErr w:type="gramEnd"/>
            <w:r w:rsidRPr="00092ED8">
              <w:rPr>
                <w:rFonts w:cs="Arial"/>
                <w:sz w:val="16"/>
                <w:szCs w:val="16"/>
              </w:rPr>
              <w:t xml:space="preserve"> the Christmas holiday period. Restack can be finalised any time after this point and before 30 November 2020 via negotiation between incumbent licensees. It is possible for restack to be finished in some areas faster than others.  </w:t>
            </w:r>
          </w:p>
          <w:p w14:paraId="6C2B8494" w14:textId="77777777" w:rsidR="00092ED8" w:rsidRPr="00092ED8" w:rsidRDefault="00092ED8" w:rsidP="00092ED8">
            <w:pPr>
              <w:pStyle w:val="ListParagraph"/>
              <w:numPr>
                <w:ilvl w:val="0"/>
                <w:numId w:val="30"/>
              </w:numPr>
              <w:spacing w:before="120" w:after="60" w:line="180" w:lineRule="exact"/>
              <w:rPr>
                <w:rFonts w:cs="Arial"/>
                <w:sz w:val="16"/>
                <w:szCs w:val="16"/>
              </w:rPr>
            </w:pPr>
            <w:r w:rsidRPr="00092ED8">
              <w:rPr>
                <w:rFonts w:cs="Arial"/>
                <w:sz w:val="16"/>
                <w:szCs w:val="16"/>
              </w:rPr>
              <w:t>The ACMA will also consult on amendments to the Radiocommunications (Transmitter Licence Tax) Determination 2015 to include tax arrangements for PTS licences in the 3425–3442.5 MHz frequency range.</w:t>
            </w:r>
          </w:p>
          <w:p w14:paraId="5C8A24E4" w14:textId="77777777" w:rsidR="00092ED8" w:rsidRPr="00092ED8" w:rsidRDefault="00092ED8" w:rsidP="00092ED8">
            <w:pPr>
              <w:pStyle w:val="ListParagraph"/>
              <w:numPr>
                <w:ilvl w:val="0"/>
                <w:numId w:val="30"/>
              </w:numPr>
              <w:spacing w:before="120" w:after="60" w:line="180" w:lineRule="exact"/>
              <w:rPr>
                <w:rFonts w:cs="Arial"/>
                <w:sz w:val="16"/>
                <w:szCs w:val="16"/>
              </w:rPr>
            </w:pPr>
            <w:r w:rsidRPr="00092ED8">
              <w:rPr>
                <w:rFonts w:cs="Arial"/>
                <w:sz w:val="16"/>
                <w:szCs w:val="16"/>
              </w:rPr>
              <w:t>While restack is underway the ACMA will commence development of arrangements for new PMP licensing and associated arrangements in regional areas and major regional centres as well as remote areas</w:t>
            </w:r>
          </w:p>
          <w:p w14:paraId="3AB613DF" w14:textId="77777777" w:rsidR="00092ED8" w:rsidRPr="00092ED8" w:rsidRDefault="00092ED8" w:rsidP="00092ED8">
            <w:pPr>
              <w:pStyle w:val="ListParagraph"/>
              <w:numPr>
                <w:ilvl w:val="0"/>
                <w:numId w:val="30"/>
              </w:numPr>
              <w:spacing w:before="120" w:after="60" w:line="180" w:lineRule="exact"/>
              <w:rPr>
                <w:rFonts w:cs="Arial"/>
                <w:sz w:val="16"/>
                <w:szCs w:val="16"/>
              </w:rPr>
            </w:pPr>
            <w:r w:rsidRPr="00092ED8">
              <w:rPr>
                <w:rFonts w:cs="Arial"/>
                <w:sz w:val="16"/>
                <w:szCs w:val="16"/>
              </w:rPr>
              <w:t>Development and implementation of new PMP arrangements may overlap with step 2, depending on how fast restack occurs.</w:t>
            </w:r>
          </w:p>
          <w:p w14:paraId="32830E60" w14:textId="73DC8B9A" w:rsidR="00FB6CE1" w:rsidRPr="003F54C3" w:rsidRDefault="00092ED8" w:rsidP="00772048">
            <w:pPr>
              <w:pStyle w:val="ListParagraph"/>
              <w:numPr>
                <w:ilvl w:val="0"/>
                <w:numId w:val="30"/>
              </w:numPr>
              <w:spacing w:before="120" w:after="120" w:line="180" w:lineRule="exact"/>
              <w:rPr>
                <w:rFonts w:cs="Arial"/>
                <w:sz w:val="16"/>
                <w:szCs w:val="16"/>
              </w:rPr>
            </w:pPr>
            <w:r w:rsidRPr="00092ED8">
              <w:rPr>
                <w:rFonts w:cs="Arial"/>
                <w:sz w:val="16"/>
                <w:szCs w:val="16"/>
              </w:rPr>
              <w:t>Vary RALI MS44</w:t>
            </w:r>
          </w:p>
        </w:tc>
        <w:tc>
          <w:tcPr>
            <w:tcW w:w="1560" w:type="dxa"/>
            <w:tcBorders>
              <w:left w:val="single" w:sz="4" w:space="0" w:color="auto"/>
              <w:bottom w:val="single" w:sz="4" w:space="0" w:color="auto"/>
              <w:right w:val="single" w:sz="4" w:space="0" w:color="auto"/>
            </w:tcBorders>
          </w:tcPr>
          <w:p w14:paraId="68CB46A6" w14:textId="6EE475B3" w:rsidR="00FB6CE1" w:rsidRPr="003F54C3" w:rsidRDefault="00FB6CE1" w:rsidP="0067714C">
            <w:pPr>
              <w:spacing w:before="120" w:after="60" w:line="180" w:lineRule="exact"/>
              <w:rPr>
                <w:rFonts w:cs="Arial"/>
                <w:sz w:val="16"/>
                <w:szCs w:val="16"/>
              </w:rPr>
            </w:pPr>
            <w:r w:rsidRPr="003F54C3">
              <w:rPr>
                <w:rFonts w:cs="Arial"/>
                <w:sz w:val="16"/>
                <w:szCs w:val="16"/>
              </w:rPr>
              <w:t>5</w:t>
            </w:r>
            <w:r w:rsidR="003B7463">
              <w:t>–</w:t>
            </w:r>
            <w:r w:rsidRPr="003F54C3">
              <w:rPr>
                <w:rFonts w:cs="Arial"/>
                <w:sz w:val="16"/>
                <w:szCs w:val="16"/>
              </w:rPr>
              <w:t>12 months</w:t>
            </w:r>
          </w:p>
          <w:p w14:paraId="59623CF9" w14:textId="77777777" w:rsidR="00FB6CE1" w:rsidRPr="003F54C3" w:rsidRDefault="00FB6CE1" w:rsidP="0067714C">
            <w:pPr>
              <w:spacing w:before="120" w:after="60" w:line="180" w:lineRule="exact"/>
              <w:rPr>
                <w:rFonts w:cs="Arial"/>
                <w:sz w:val="16"/>
                <w:szCs w:val="16"/>
              </w:rPr>
            </w:pPr>
          </w:p>
          <w:p w14:paraId="28CA012A" w14:textId="4D843D73" w:rsidR="00FB6CE1" w:rsidRPr="003F54C3" w:rsidRDefault="00FB6CE1" w:rsidP="0067714C">
            <w:pPr>
              <w:spacing w:before="120" w:after="60" w:line="180" w:lineRule="exact"/>
              <w:rPr>
                <w:rFonts w:cs="Arial"/>
                <w:sz w:val="16"/>
                <w:szCs w:val="16"/>
              </w:rPr>
            </w:pPr>
            <w:r w:rsidRPr="003F54C3">
              <w:rPr>
                <w:rFonts w:cs="Arial"/>
                <w:sz w:val="16"/>
                <w:szCs w:val="16"/>
              </w:rPr>
              <w:t>(5</w:t>
            </w:r>
            <w:r w:rsidR="003B7463">
              <w:t>–</w:t>
            </w:r>
            <w:r w:rsidRPr="003F54C3">
              <w:rPr>
                <w:rFonts w:cs="Arial"/>
                <w:sz w:val="16"/>
                <w:szCs w:val="16"/>
              </w:rPr>
              <w:t>12 months)</w:t>
            </w:r>
          </w:p>
        </w:tc>
        <w:tc>
          <w:tcPr>
            <w:tcW w:w="1842" w:type="dxa"/>
            <w:tcBorders>
              <w:left w:val="single" w:sz="4" w:space="0" w:color="auto"/>
              <w:bottom w:val="single" w:sz="4" w:space="0" w:color="auto"/>
              <w:right w:val="single" w:sz="4" w:space="0" w:color="auto"/>
            </w:tcBorders>
          </w:tcPr>
          <w:p w14:paraId="689B6087" w14:textId="6536547E" w:rsidR="00FB6CE1" w:rsidRPr="003F54C3" w:rsidRDefault="00FB6CE1" w:rsidP="0067714C">
            <w:pPr>
              <w:spacing w:before="120" w:after="60" w:line="180" w:lineRule="exact"/>
              <w:rPr>
                <w:rFonts w:cs="Arial"/>
                <w:sz w:val="16"/>
                <w:szCs w:val="16"/>
              </w:rPr>
            </w:pPr>
            <w:r w:rsidRPr="003F54C3">
              <w:rPr>
                <w:rFonts w:cs="Arial"/>
                <w:sz w:val="16"/>
                <w:szCs w:val="16"/>
              </w:rPr>
              <w:t>Mar 2020</w:t>
            </w:r>
            <w:r w:rsidR="003B7463">
              <w:t>–</w:t>
            </w:r>
            <w:r w:rsidRPr="003F54C3">
              <w:rPr>
                <w:rFonts w:cs="Arial"/>
                <w:sz w:val="16"/>
                <w:szCs w:val="16"/>
              </w:rPr>
              <w:t>Nov 2020</w:t>
            </w:r>
          </w:p>
        </w:tc>
      </w:tr>
      <w:tr w:rsidR="00FB6CE1" w:rsidRPr="003F54C3" w14:paraId="0575D6B3" w14:textId="77777777" w:rsidTr="0067714C">
        <w:trPr>
          <w:jc w:val="center"/>
        </w:trPr>
        <w:tc>
          <w:tcPr>
            <w:tcW w:w="198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967D87C" w14:textId="77777777" w:rsidR="00FB6CE1" w:rsidRPr="003F54C3" w:rsidRDefault="00FB6CE1" w:rsidP="0067714C">
            <w:pPr>
              <w:spacing w:before="120" w:after="60" w:line="180" w:lineRule="exact"/>
              <w:rPr>
                <w:rFonts w:cs="Arial"/>
                <w:sz w:val="16"/>
                <w:szCs w:val="16"/>
              </w:rPr>
            </w:pPr>
            <w:r w:rsidRPr="003F54C3">
              <w:rPr>
                <w:rFonts w:cs="Arial"/>
                <w:sz w:val="16"/>
                <w:szCs w:val="16"/>
              </w:rPr>
              <w:t>Step 2</w:t>
            </w:r>
          </w:p>
          <w:p w14:paraId="7FE8F33F" w14:textId="77777777" w:rsidR="00FB6CE1" w:rsidRPr="003F54C3" w:rsidRDefault="00FB6CE1" w:rsidP="0067714C">
            <w:pPr>
              <w:spacing w:before="120" w:after="0" w:line="180" w:lineRule="exact"/>
              <w:rPr>
                <w:rFonts w:cs="Arial"/>
                <w:sz w:val="16"/>
                <w:szCs w:val="16"/>
              </w:rPr>
            </w:pPr>
            <w:r w:rsidRPr="003F54C3">
              <w:rPr>
                <w:rFonts w:cs="Arial"/>
                <w:sz w:val="16"/>
                <w:szCs w:val="16"/>
              </w:rPr>
              <w:t xml:space="preserve">DESIGNATION </w:t>
            </w:r>
          </w:p>
        </w:tc>
        <w:tc>
          <w:tcPr>
            <w:tcW w:w="241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28" w:type="dxa"/>
              <w:left w:w="28" w:type="dxa"/>
              <w:bottom w:w="28" w:type="dxa"/>
              <w:right w:w="28" w:type="dxa"/>
            </w:tcMar>
          </w:tcPr>
          <w:p w14:paraId="26C8AECD" w14:textId="77777777" w:rsidR="00FB6CE1" w:rsidRDefault="00FB6CE1" w:rsidP="0067714C">
            <w:pPr>
              <w:spacing w:before="120" w:after="60" w:line="180" w:lineRule="exact"/>
              <w:rPr>
                <w:rFonts w:cs="Arial"/>
                <w:sz w:val="16"/>
                <w:szCs w:val="16"/>
              </w:rPr>
            </w:pPr>
            <w:r>
              <w:rPr>
                <w:rFonts w:cs="Arial"/>
                <w:sz w:val="16"/>
                <w:szCs w:val="16"/>
              </w:rPr>
              <w:t>Designate</w:t>
            </w:r>
            <w:r w:rsidRPr="008264DB">
              <w:rPr>
                <w:rFonts w:cs="Arial"/>
                <w:sz w:val="16"/>
                <w:szCs w:val="16"/>
              </w:rPr>
              <w:t xml:space="preserve"> </w:t>
            </w:r>
            <w:r>
              <w:rPr>
                <w:rFonts w:cs="Arial"/>
                <w:sz w:val="16"/>
                <w:szCs w:val="16"/>
              </w:rPr>
              <w:t>relevant areas and frequencies.</w:t>
            </w:r>
          </w:p>
          <w:p w14:paraId="7BE6AC23" w14:textId="77777777" w:rsidR="00FB6CE1" w:rsidRPr="008264DB" w:rsidRDefault="00FB6CE1" w:rsidP="0067714C">
            <w:pPr>
              <w:spacing w:before="120" w:after="60" w:line="180" w:lineRule="exact"/>
              <w:rPr>
                <w:rFonts w:cs="Arial"/>
                <w:sz w:val="16"/>
                <w:szCs w:val="16"/>
              </w:rPr>
            </w:pPr>
            <w:r w:rsidRPr="008264DB">
              <w:rPr>
                <w:rFonts w:cs="Arial"/>
                <w:sz w:val="16"/>
                <w:szCs w:val="16"/>
              </w:rPr>
              <w:t xml:space="preserve">Convert NBN Co’s apparatus </w:t>
            </w:r>
            <w:r w:rsidRPr="00B61220">
              <w:rPr>
                <w:rFonts w:cs="Arial"/>
                <w:sz w:val="16"/>
                <w:szCs w:val="16"/>
              </w:rPr>
              <w:t>licences to spectrum licences</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28" w:type="dxa"/>
              <w:left w:w="28" w:type="dxa"/>
              <w:bottom w:w="28" w:type="dxa"/>
              <w:right w:w="28" w:type="dxa"/>
            </w:tcMar>
          </w:tcPr>
          <w:p w14:paraId="5B66A75C" w14:textId="77777777" w:rsidR="00FB6CE1" w:rsidRPr="008264DB" w:rsidRDefault="00FB6CE1" w:rsidP="00772048">
            <w:pPr>
              <w:pStyle w:val="ListParagraph"/>
              <w:numPr>
                <w:ilvl w:val="0"/>
                <w:numId w:val="31"/>
              </w:numPr>
              <w:spacing w:before="120" w:after="60" w:line="180" w:lineRule="exact"/>
              <w:rPr>
                <w:rFonts w:cs="Arial"/>
                <w:sz w:val="16"/>
                <w:szCs w:val="16"/>
              </w:rPr>
            </w:pPr>
            <w:r w:rsidRPr="008264DB">
              <w:rPr>
                <w:rFonts w:cs="Arial"/>
                <w:sz w:val="16"/>
                <w:szCs w:val="16"/>
              </w:rPr>
              <w:t xml:space="preserve">This step starts </w:t>
            </w:r>
            <w:proofErr w:type="gramStart"/>
            <w:r w:rsidRPr="008264DB">
              <w:rPr>
                <w:rFonts w:cs="Arial"/>
                <w:sz w:val="16"/>
                <w:szCs w:val="16"/>
              </w:rPr>
              <w:t>if and when</w:t>
            </w:r>
            <w:proofErr w:type="gramEnd"/>
            <w:r w:rsidRPr="008264DB">
              <w:rPr>
                <w:rFonts w:cs="Arial"/>
                <w:sz w:val="16"/>
                <w:szCs w:val="16"/>
              </w:rPr>
              <w:t xml:space="preserve"> the minister makes a designation notice via s.36 of the Act. This will not occur until </w:t>
            </w:r>
            <w:r w:rsidRPr="008264DB">
              <w:rPr>
                <w:rFonts w:cs="Arial"/>
                <w:sz w:val="16"/>
                <w:szCs w:val="16"/>
                <w:u w:val="single"/>
              </w:rPr>
              <w:t>all</w:t>
            </w:r>
            <w:r w:rsidRPr="008264DB">
              <w:rPr>
                <w:rFonts w:cs="Arial"/>
                <w:sz w:val="16"/>
                <w:szCs w:val="16"/>
              </w:rPr>
              <w:t xml:space="preserve"> affected apparatus licences have been restacked in </w:t>
            </w:r>
            <w:r w:rsidRPr="008264DB">
              <w:rPr>
                <w:rFonts w:cs="Arial"/>
                <w:sz w:val="16"/>
                <w:szCs w:val="16"/>
                <w:u w:val="single"/>
              </w:rPr>
              <w:t>all</w:t>
            </w:r>
            <w:r w:rsidRPr="008264DB">
              <w:rPr>
                <w:rFonts w:cs="Arial"/>
                <w:sz w:val="16"/>
                <w:szCs w:val="16"/>
              </w:rPr>
              <w:t xml:space="preserve"> areas.</w:t>
            </w:r>
          </w:p>
          <w:p w14:paraId="0C2F5CF3" w14:textId="77777777" w:rsidR="00FB6CE1" w:rsidRPr="003F54C3" w:rsidRDefault="00FB6CE1" w:rsidP="00772048">
            <w:pPr>
              <w:pStyle w:val="ListParagraph"/>
              <w:numPr>
                <w:ilvl w:val="0"/>
                <w:numId w:val="31"/>
              </w:numPr>
              <w:spacing w:before="120" w:after="60" w:line="180" w:lineRule="exact"/>
              <w:rPr>
                <w:rFonts w:cs="Arial"/>
                <w:sz w:val="16"/>
                <w:szCs w:val="16"/>
              </w:rPr>
            </w:pPr>
            <w:r w:rsidRPr="008264DB">
              <w:rPr>
                <w:rFonts w:cs="Arial"/>
                <w:sz w:val="16"/>
                <w:szCs w:val="16"/>
              </w:rPr>
              <w:t>The minister may, after consulting with the ACMA, give the ACMA a written notice designating a specified part of the spectrum in specified areas to be allocated by issuing spectrum licences</w:t>
            </w:r>
            <w:r>
              <w:rPr>
                <w:rFonts w:cs="Arial"/>
                <w:sz w:val="16"/>
                <w:szCs w:val="16"/>
              </w:rPr>
              <w:t xml:space="preserve">. </w:t>
            </w:r>
            <w:r w:rsidRPr="008264DB">
              <w:rPr>
                <w:rFonts w:cs="Arial"/>
                <w:sz w:val="16"/>
                <w:szCs w:val="16"/>
              </w:rPr>
              <w:t>The ACMA may</w:t>
            </w:r>
            <w:r>
              <w:rPr>
                <w:rFonts w:cs="Arial"/>
                <w:sz w:val="16"/>
                <w:szCs w:val="16"/>
              </w:rPr>
              <w:t xml:space="preserve"> also</w:t>
            </w:r>
            <w:r w:rsidRPr="008264DB">
              <w:rPr>
                <w:rFonts w:cs="Arial"/>
                <w:sz w:val="16"/>
                <w:szCs w:val="16"/>
              </w:rPr>
              <w:t>, at the minister’s request or on its own initiative, make a recommendation to the minister to make such a designation</w:t>
            </w:r>
            <w:r>
              <w:rPr>
                <w:rFonts w:cs="Arial"/>
                <w:sz w:val="16"/>
                <w:szCs w:val="16"/>
              </w:rPr>
              <w:t xml:space="preserve">. </w:t>
            </w:r>
            <w:r w:rsidRPr="008264DB">
              <w:rPr>
                <w:rFonts w:cs="Arial"/>
                <w:sz w:val="16"/>
                <w:szCs w:val="16"/>
              </w:rPr>
              <w:t xml:space="preserve">Before making </w:t>
            </w:r>
            <w:r w:rsidRPr="008264DB">
              <w:rPr>
                <w:rFonts w:cs="Arial"/>
                <w:sz w:val="16"/>
                <w:szCs w:val="16"/>
              </w:rPr>
              <w:lastRenderedPageBreak/>
              <w:t xml:space="preserve">such a recommendation the ACMA must give members of the public reasonable opportunity to make representations about the proposed recommendation </w:t>
            </w:r>
          </w:p>
        </w:tc>
        <w:tc>
          <w:tcPr>
            <w:tcW w:w="156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00D98AB" w14:textId="77777777" w:rsidR="00FB6CE1" w:rsidRPr="006C6E23" w:rsidRDefault="00FB6CE1" w:rsidP="0067714C">
            <w:pPr>
              <w:spacing w:before="120" w:after="60" w:line="180" w:lineRule="exact"/>
              <w:rPr>
                <w:rFonts w:cs="Arial"/>
                <w:sz w:val="16"/>
                <w:szCs w:val="16"/>
              </w:rPr>
            </w:pPr>
            <w:r w:rsidRPr="00806E3A">
              <w:rPr>
                <w:rFonts w:cs="Arial"/>
                <w:sz w:val="16"/>
                <w:szCs w:val="16"/>
              </w:rPr>
              <w:lastRenderedPageBreak/>
              <w:t>5.5 months</w:t>
            </w:r>
          </w:p>
          <w:p w14:paraId="74A6890C" w14:textId="77777777" w:rsidR="00FB6CE1" w:rsidRPr="003A1A7E" w:rsidRDefault="00FB6CE1" w:rsidP="0067714C">
            <w:pPr>
              <w:spacing w:before="120" w:after="60" w:line="180" w:lineRule="exact"/>
              <w:rPr>
                <w:rFonts w:cs="Arial"/>
                <w:sz w:val="16"/>
                <w:szCs w:val="16"/>
              </w:rPr>
            </w:pPr>
          </w:p>
          <w:p w14:paraId="33E482A7" w14:textId="70545F4E" w:rsidR="00FB6CE1" w:rsidRPr="0053513E" w:rsidRDefault="00FB6CE1" w:rsidP="0067714C">
            <w:pPr>
              <w:spacing w:before="120" w:after="60" w:line="180" w:lineRule="exact"/>
              <w:rPr>
                <w:rFonts w:cs="Arial"/>
                <w:sz w:val="16"/>
                <w:szCs w:val="16"/>
              </w:rPr>
            </w:pPr>
            <w:r w:rsidRPr="009B4DF7">
              <w:rPr>
                <w:rFonts w:cs="Arial"/>
                <w:sz w:val="16"/>
                <w:szCs w:val="16"/>
              </w:rPr>
              <w:t>(10.5</w:t>
            </w:r>
            <w:r w:rsidR="003B7463">
              <w:t>–</w:t>
            </w:r>
            <w:r w:rsidRPr="00EF5D2F">
              <w:rPr>
                <w:rFonts w:cs="Arial"/>
                <w:sz w:val="16"/>
                <w:szCs w:val="16"/>
              </w:rPr>
              <w:t>17.5 months</w:t>
            </w:r>
            <w:r w:rsidRPr="0053513E">
              <w:rPr>
                <w:rFonts w:cs="Arial"/>
                <w:sz w:val="16"/>
                <w:szCs w:val="16"/>
              </w:rPr>
              <w:t>)</w:t>
            </w:r>
          </w:p>
        </w:tc>
        <w:tc>
          <w:tcPr>
            <w:tcW w:w="184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0750CB8" w14:textId="786D5FF7" w:rsidR="00FB6CE1" w:rsidRPr="0053513E" w:rsidRDefault="00FB6CE1" w:rsidP="0067714C">
            <w:pPr>
              <w:spacing w:before="120" w:after="60" w:line="180" w:lineRule="exact"/>
              <w:rPr>
                <w:rFonts w:cs="Arial"/>
                <w:sz w:val="16"/>
                <w:szCs w:val="16"/>
              </w:rPr>
            </w:pPr>
            <w:r w:rsidRPr="0053513E">
              <w:rPr>
                <w:rFonts w:cs="Arial"/>
                <w:sz w:val="16"/>
                <w:szCs w:val="16"/>
              </w:rPr>
              <w:t>Sep 2020</w:t>
            </w:r>
            <w:r w:rsidR="003B7463">
              <w:t>–</w:t>
            </w:r>
            <w:r w:rsidRPr="0053513E">
              <w:rPr>
                <w:rFonts w:cs="Arial"/>
                <w:sz w:val="16"/>
                <w:szCs w:val="16"/>
              </w:rPr>
              <w:t>May 2021</w:t>
            </w:r>
          </w:p>
        </w:tc>
      </w:tr>
      <w:tr w:rsidR="00FB6CE1" w:rsidRPr="003F54C3" w14:paraId="205E45C4" w14:textId="77777777" w:rsidTr="0067714C">
        <w:trPr>
          <w:jc w:val="center"/>
        </w:trPr>
        <w:tc>
          <w:tcPr>
            <w:tcW w:w="1980" w:type="dxa"/>
            <w:tcBorders>
              <w:top w:val="single" w:sz="4" w:space="0" w:color="auto"/>
              <w:left w:val="single" w:sz="4" w:space="0" w:color="auto"/>
              <w:bottom w:val="single" w:sz="4" w:space="0" w:color="auto"/>
              <w:right w:val="single" w:sz="4" w:space="0" w:color="auto"/>
            </w:tcBorders>
          </w:tcPr>
          <w:p w14:paraId="14BA3B11" w14:textId="77777777" w:rsidR="00FB6CE1" w:rsidRPr="003F54C3" w:rsidRDefault="00FB6CE1" w:rsidP="0067714C">
            <w:pPr>
              <w:spacing w:before="120" w:after="60" w:line="180" w:lineRule="exact"/>
              <w:rPr>
                <w:rFonts w:cs="Arial"/>
                <w:sz w:val="16"/>
                <w:szCs w:val="16"/>
              </w:rPr>
            </w:pPr>
            <w:r w:rsidRPr="003F54C3">
              <w:rPr>
                <w:rFonts w:cs="Arial"/>
                <w:sz w:val="16"/>
                <w:szCs w:val="16"/>
              </w:rPr>
              <w:t>Step 3</w:t>
            </w:r>
          </w:p>
          <w:p w14:paraId="4778AAD4" w14:textId="77777777" w:rsidR="00FB6CE1" w:rsidRPr="003F54C3" w:rsidRDefault="00FB6CE1" w:rsidP="0067714C">
            <w:pPr>
              <w:spacing w:before="120" w:after="60" w:line="180" w:lineRule="exact"/>
              <w:rPr>
                <w:rFonts w:cs="Arial"/>
                <w:sz w:val="16"/>
                <w:szCs w:val="16"/>
              </w:rPr>
            </w:pPr>
            <w:r w:rsidRPr="003F54C3">
              <w:rPr>
                <w:rFonts w:cs="Arial"/>
                <w:sz w:val="16"/>
                <w:szCs w:val="16"/>
              </w:rPr>
              <w:t>LICENCE CONSOLIDATION</w:t>
            </w:r>
          </w:p>
        </w:tc>
        <w:tc>
          <w:tcPr>
            <w:tcW w:w="241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14:paraId="7B3E74EF" w14:textId="77777777" w:rsidR="00FB6CE1" w:rsidRPr="003F54C3" w:rsidRDefault="00FB6CE1" w:rsidP="0067714C">
            <w:pPr>
              <w:spacing w:before="120" w:after="60" w:line="180" w:lineRule="exact"/>
              <w:rPr>
                <w:rFonts w:cs="Arial"/>
                <w:sz w:val="16"/>
                <w:szCs w:val="16"/>
              </w:rPr>
            </w:pPr>
            <w:r w:rsidRPr="003F54C3">
              <w:rPr>
                <w:rFonts w:cs="Arial"/>
                <w:sz w:val="16"/>
                <w:szCs w:val="16"/>
              </w:rPr>
              <w:t>Trading or s.72 variations of spectrum licences to consolidate holdings</w:t>
            </w:r>
          </w:p>
        </w:tc>
        <w:tc>
          <w:tcPr>
            <w:tcW w:w="6662"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14:paraId="2618E093" w14:textId="77777777" w:rsidR="00FB6CE1" w:rsidRPr="003F54C3" w:rsidRDefault="00FB6CE1" w:rsidP="00FB6CE1">
            <w:pPr>
              <w:pStyle w:val="ListParagraph"/>
              <w:numPr>
                <w:ilvl w:val="0"/>
                <w:numId w:val="23"/>
              </w:numPr>
              <w:spacing w:before="120" w:after="60" w:line="180" w:lineRule="exact"/>
              <w:rPr>
                <w:rFonts w:cs="Arial"/>
                <w:sz w:val="16"/>
                <w:szCs w:val="16"/>
              </w:rPr>
            </w:pPr>
            <w:r w:rsidRPr="003F54C3">
              <w:rPr>
                <w:rFonts w:cs="Arial"/>
                <w:sz w:val="16"/>
                <w:szCs w:val="16"/>
              </w:rPr>
              <w:t>Actual timeframe is dependent on agreement from relevant spectrum licensees to trade or vary their licences.</w:t>
            </w:r>
          </w:p>
        </w:tc>
        <w:tc>
          <w:tcPr>
            <w:tcW w:w="1560" w:type="dxa"/>
            <w:tcBorders>
              <w:top w:val="single" w:sz="4" w:space="0" w:color="auto"/>
              <w:left w:val="single" w:sz="4" w:space="0" w:color="auto"/>
              <w:bottom w:val="single" w:sz="4" w:space="0" w:color="auto"/>
              <w:right w:val="single" w:sz="4" w:space="0" w:color="auto"/>
            </w:tcBorders>
          </w:tcPr>
          <w:p w14:paraId="236C22AC" w14:textId="77777777" w:rsidR="00FB6CE1" w:rsidRPr="003F54C3" w:rsidRDefault="00FB6CE1" w:rsidP="0067714C">
            <w:pPr>
              <w:spacing w:before="120" w:after="60" w:line="180" w:lineRule="exact"/>
              <w:rPr>
                <w:rFonts w:cs="Arial"/>
                <w:sz w:val="16"/>
                <w:szCs w:val="16"/>
              </w:rPr>
            </w:pPr>
            <w:r w:rsidRPr="003F54C3">
              <w:rPr>
                <w:rFonts w:cs="Arial"/>
                <w:sz w:val="16"/>
                <w:szCs w:val="16"/>
              </w:rPr>
              <w:t>2 months</w:t>
            </w:r>
          </w:p>
          <w:p w14:paraId="067AEDF7" w14:textId="77777777" w:rsidR="00FB6CE1" w:rsidRPr="003F54C3" w:rsidRDefault="00FB6CE1" w:rsidP="0067714C">
            <w:pPr>
              <w:spacing w:before="120" w:after="60" w:line="180" w:lineRule="exact"/>
              <w:rPr>
                <w:rFonts w:cs="Arial"/>
                <w:sz w:val="16"/>
                <w:szCs w:val="16"/>
              </w:rPr>
            </w:pPr>
          </w:p>
          <w:p w14:paraId="3507C92A" w14:textId="17078763" w:rsidR="00FB6CE1" w:rsidRPr="003F54C3" w:rsidRDefault="00FB6CE1" w:rsidP="0067714C">
            <w:pPr>
              <w:spacing w:before="120" w:after="60" w:line="180" w:lineRule="exact"/>
              <w:rPr>
                <w:rFonts w:cs="Arial"/>
                <w:sz w:val="16"/>
                <w:szCs w:val="16"/>
              </w:rPr>
            </w:pPr>
            <w:r w:rsidRPr="003F54C3">
              <w:rPr>
                <w:rFonts w:cs="Arial"/>
                <w:sz w:val="16"/>
                <w:szCs w:val="16"/>
              </w:rPr>
              <w:t>(12.5</w:t>
            </w:r>
            <w:r w:rsidR="003B7463">
              <w:t>–</w:t>
            </w:r>
            <w:r w:rsidRPr="003F54C3">
              <w:rPr>
                <w:rFonts w:cs="Arial"/>
                <w:sz w:val="16"/>
                <w:szCs w:val="16"/>
              </w:rPr>
              <w:t>19.5 months)</w:t>
            </w:r>
          </w:p>
        </w:tc>
        <w:tc>
          <w:tcPr>
            <w:tcW w:w="1842" w:type="dxa"/>
            <w:tcBorders>
              <w:top w:val="single" w:sz="4" w:space="0" w:color="auto"/>
              <w:left w:val="single" w:sz="4" w:space="0" w:color="auto"/>
              <w:bottom w:val="single" w:sz="4" w:space="0" w:color="auto"/>
              <w:right w:val="single" w:sz="4" w:space="0" w:color="auto"/>
            </w:tcBorders>
          </w:tcPr>
          <w:p w14:paraId="06BD1F16" w14:textId="16E18FCC" w:rsidR="00FB6CE1" w:rsidRPr="003F54C3" w:rsidRDefault="00FB6CE1" w:rsidP="0067714C">
            <w:pPr>
              <w:spacing w:before="120" w:after="60" w:line="180" w:lineRule="exact"/>
              <w:rPr>
                <w:rFonts w:cs="Arial"/>
                <w:sz w:val="16"/>
                <w:szCs w:val="16"/>
              </w:rPr>
            </w:pPr>
            <w:r w:rsidRPr="003F54C3">
              <w:rPr>
                <w:rFonts w:cs="Arial"/>
                <w:sz w:val="16"/>
                <w:szCs w:val="16"/>
              </w:rPr>
              <w:t>Nov 2020</w:t>
            </w:r>
            <w:r w:rsidR="003B7463">
              <w:t>–</w:t>
            </w:r>
            <w:r w:rsidRPr="003F54C3">
              <w:rPr>
                <w:rFonts w:cs="Arial"/>
                <w:sz w:val="16"/>
                <w:szCs w:val="16"/>
              </w:rPr>
              <w:t>Jul 2021</w:t>
            </w:r>
          </w:p>
        </w:tc>
      </w:tr>
      <w:tr w:rsidR="00FB6CE1" w:rsidRPr="003F54C3" w14:paraId="626EB4BC" w14:textId="77777777" w:rsidTr="0067714C">
        <w:trPr>
          <w:jc w:val="center"/>
        </w:trPr>
        <w:tc>
          <w:tcPr>
            <w:tcW w:w="198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BA74193" w14:textId="77777777" w:rsidR="00FB6CE1" w:rsidRPr="003F54C3" w:rsidRDefault="00FB6CE1" w:rsidP="0067714C">
            <w:pPr>
              <w:spacing w:before="120" w:after="60" w:line="180" w:lineRule="exact"/>
              <w:rPr>
                <w:rFonts w:cs="Arial"/>
                <w:sz w:val="16"/>
                <w:szCs w:val="16"/>
              </w:rPr>
            </w:pPr>
            <w:r w:rsidRPr="003F54C3">
              <w:rPr>
                <w:rFonts w:cs="Arial"/>
                <w:sz w:val="16"/>
                <w:szCs w:val="16"/>
              </w:rPr>
              <w:t>Step 4</w:t>
            </w:r>
          </w:p>
          <w:p w14:paraId="3A8B8848" w14:textId="77777777" w:rsidR="00FB6CE1" w:rsidRPr="003F54C3" w:rsidRDefault="00FB6CE1" w:rsidP="0067714C">
            <w:pPr>
              <w:spacing w:before="120" w:after="60" w:line="180" w:lineRule="exact"/>
              <w:rPr>
                <w:rFonts w:cs="Arial"/>
                <w:sz w:val="16"/>
                <w:szCs w:val="16"/>
              </w:rPr>
            </w:pPr>
            <w:r w:rsidRPr="003F54C3">
              <w:rPr>
                <w:rFonts w:cs="Arial"/>
                <w:sz w:val="16"/>
                <w:szCs w:val="16"/>
              </w:rPr>
              <w:t>RESUMPTION</w:t>
            </w:r>
          </w:p>
        </w:tc>
        <w:tc>
          <w:tcPr>
            <w:tcW w:w="241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28" w:type="dxa"/>
              <w:left w:w="28" w:type="dxa"/>
              <w:bottom w:w="28" w:type="dxa"/>
              <w:right w:w="28" w:type="dxa"/>
            </w:tcMar>
          </w:tcPr>
          <w:p w14:paraId="15F810DE" w14:textId="77777777" w:rsidR="00FB6CE1" w:rsidRPr="003F54C3" w:rsidRDefault="00FB6CE1" w:rsidP="0067714C">
            <w:pPr>
              <w:spacing w:before="120" w:after="60" w:line="180" w:lineRule="exact"/>
              <w:rPr>
                <w:rFonts w:cs="Arial"/>
                <w:sz w:val="16"/>
                <w:szCs w:val="16"/>
              </w:rPr>
            </w:pPr>
            <w:r w:rsidRPr="003F54C3">
              <w:rPr>
                <w:rFonts w:cs="Arial"/>
                <w:sz w:val="16"/>
                <w:szCs w:val="16"/>
              </w:rPr>
              <w:t xml:space="preserve">Resumption of urban excise areas </w:t>
            </w:r>
          </w:p>
          <w:p w14:paraId="68ABDEE6" w14:textId="77777777" w:rsidR="00FB6CE1" w:rsidRPr="003F54C3" w:rsidRDefault="00FB6CE1" w:rsidP="0067714C">
            <w:pPr>
              <w:spacing w:before="120" w:after="60" w:line="180" w:lineRule="exact"/>
              <w:rPr>
                <w:rFonts w:cs="Arial"/>
                <w:sz w:val="16"/>
                <w:szCs w:val="16"/>
              </w:rPr>
            </w:pPr>
          </w:p>
          <w:p w14:paraId="24931DFC" w14:textId="77777777" w:rsidR="00FB6CE1" w:rsidRPr="003F54C3" w:rsidRDefault="00FB6CE1" w:rsidP="0067714C">
            <w:pPr>
              <w:spacing w:after="60" w:line="180" w:lineRule="exact"/>
              <w:rPr>
                <w:rFonts w:cs="Arial"/>
                <w:sz w:val="16"/>
                <w:szCs w:val="16"/>
              </w:rPr>
            </w:pP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28" w:type="dxa"/>
              <w:left w:w="28" w:type="dxa"/>
              <w:bottom w:w="28" w:type="dxa"/>
              <w:right w:w="28" w:type="dxa"/>
            </w:tcMar>
          </w:tcPr>
          <w:p w14:paraId="3AF20CC3" w14:textId="77777777" w:rsidR="00FB6CE1" w:rsidRPr="003F54C3" w:rsidRDefault="00FB6CE1" w:rsidP="00FB6CE1">
            <w:pPr>
              <w:pStyle w:val="ListParagraph"/>
              <w:numPr>
                <w:ilvl w:val="0"/>
                <w:numId w:val="23"/>
              </w:numPr>
              <w:spacing w:before="120" w:after="60" w:line="180" w:lineRule="exact"/>
              <w:rPr>
                <w:rFonts w:cs="Arial"/>
                <w:sz w:val="16"/>
                <w:szCs w:val="16"/>
              </w:rPr>
            </w:pPr>
            <w:r w:rsidRPr="003F54C3">
              <w:rPr>
                <w:rFonts w:cs="Arial"/>
                <w:sz w:val="16"/>
                <w:szCs w:val="16"/>
              </w:rPr>
              <w:t>Performed under Chapter 3 Part 3.2 Division 6 of the Act.</w:t>
            </w:r>
          </w:p>
        </w:tc>
        <w:tc>
          <w:tcPr>
            <w:tcW w:w="156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2E061DD" w14:textId="77777777" w:rsidR="00FB6CE1" w:rsidRPr="003F54C3" w:rsidRDefault="00FB6CE1" w:rsidP="0067714C">
            <w:pPr>
              <w:spacing w:before="120" w:after="60" w:line="180" w:lineRule="exact"/>
              <w:rPr>
                <w:rFonts w:cs="Arial"/>
                <w:sz w:val="16"/>
                <w:szCs w:val="16"/>
              </w:rPr>
            </w:pPr>
            <w:r w:rsidRPr="003F54C3">
              <w:rPr>
                <w:rFonts w:cs="Arial"/>
                <w:sz w:val="16"/>
                <w:szCs w:val="16"/>
              </w:rPr>
              <w:t>2 months</w:t>
            </w:r>
          </w:p>
          <w:p w14:paraId="25175100" w14:textId="66564CBD" w:rsidR="00FB6CE1" w:rsidRPr="003F54C3" w:rsidRDefault="00FB6CE1" w:rsidP="0067714C">
            <w:pPr>
              <w:spacing w:before="120" w:after="60" w:line="180" w:lineRule="exact"/>
              <w:rPr>
                <w:rFonts w:cs="Arial"/>
                <w:sz w:val="16"/>
                <w:szCs w:val="16"/>
              </w:rPr>
            </w:pPr>
            <w:r w:rsidRPr="003F54C3">
              <w:rPr>
                <w:rFonts w:cs="Arial"/>
                <w:sz w:val="16"/>
                <w:szCs w:val="16"/>
              </w:rPr>
              <w:t>(14.5</w:t>
            </w:r>
            <w:r w:rsidR="003B7463">
              <w:t>–</w:t>
            </w:r>
            <w:r w:rsidRPr="003F54C3">
              <w:rPr>
                <w:rFonts w:cs="Arial"/>
                <w:sz w:val="16"/>
                <w:szCs w:val="16"/>
              </w:rPr>
              <w:t>21.5 months)</w:t>
            </w:r>
          </w:p>
          <w:p w14:paraId="0A8B2E44" w14:textId="77777777" w:rsidR="00FB6CE1" w:rsidRPr="003F54C3" w:rsidRDefault="00FB6CE1" w:rsidP="0067714C">
            <w:pPr>
              <w:spacing w:after="60" w:line="180" w:lineRule="exact"/>
              <w:rPr>
                <w:rFonts w:cs="Arial"/>
                <w:sz w:val="16"/>
                <w:szCs w:val="16"/>
              </w:rPr>
            </w:pPr>
          </w:p>
          <w:p w14:paraId="187AA233" w14:textId="77777777" w:rsidR="00FB6CE1" w:rsidRPr="003F54C3" w:rsidRDefault="00FB6CE1" w:rsidP="0067714C">
            <w:pPr>
              <w:spacing w:before="120" w:after="60" w:line="180" w:lineRule="exact"/>
              <w:rPr>
                <w:rFonts w:cs="Arial"/>
                <w:sz w:val="16"/>
                <w:szCs w:val="16"/>
              </w:rPr>
            </w:pPr>
          </w:p>
        </w:tc>
        <w:tc>
          <w:tcPr>
            <w:tcW w:w="184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3AD3A8C" w14:textId="17CAE161" w:rsidR="00FB6CE1" w:rsidRPr="003F54C3" w:rsidRDefault="00FB6CE1" w:rsidP="0067714C">
            <w:pPr>
              <w:spacing w:before="120" w:after="60" w:line="180" w:lineRule="exact"/>
              <w:rPr>
                <w:rFonts w:cs="Arial"/>
                <w:sz w:val="16"/>
                <w:szCs w:val="16"/>
              </w:rPr>
            </w:pPr>
            <w:r w:rsidRPr="003F54C3">
              <w:rPr>
                <w:rFonts w:cs="Arial"/>
                <w:sz w:val="16"/>
                <w:szCs w:val="16"/>
              </w:rPr>
              <w:t>Jan 2021</w:t>
            </w:r>
            <w:r w:rsidR="003B7463">
              <w:t>–</w:t>
            </w:r>
            <w:r w:rsidRPr="003F54C3">
              <w:rPr>
                <w:rFonts w:cs="Arial"/>
                <w:sz w:val="16"/>
                <w:szCs w:val="16"/>
              </w:rPr>
              <w:t>Sep 2021</w:t>
            </w:r>
          </w:p>
          <w:p w14:paraId="17ABD34B" w14:textId="77777777" w:rsidR="00FB6CE1" w:rsidRPr="003F54C3" w:rsidRDefault="00FB6CE1" w:rsidP="0067714C">
            <w:pPr>
              <w:spacing w:before="120" w:after="60" w:line="180" w:lineRule="exact"/>
              <w:rPr>
                <w:rFonts w:cs="Arial"/>
                <w:sz w:val="16"/>
                <w:szCs w:val="16"/>
              </w:rPr>
            </w:pPr>
          </w:p>
          <w:p w14:paraId="35D5B432" w14:textId="77777777" w:rsidR="00FB6CE1" w:rsidRPr="003F54C3" w:rsidRDefault="00FB6CE1" w:rsidP="0067714C">
            <w:pPr>
              <w:spacing w:before="120" w:after="60" w:line="180" w:lineRule="exact"/>
              <w:rPr>
                <w:rFonts w:cs="Arial"/>
                <w:sz w:val="16"/>
                <w:szCs w:val="16"/>
              </w:rPr>
            </w:pPr>
          </w:p>
        </w:tc>
      </w:tr>
      <w:tr w:rsidR="00FB6CE1" w:rsidRPr="003F54C3" w14:paraId="35533F0D" w14:textId="77777777" w:rsidTr="0067714C">
        <w:trPr>
          <w:jc w:val="center"/>
        </w:trPr>
        <w:tc>
          <w:tcPr>
            <w:tcW w:w="1980" w:type="dxa"/>
            <w:tcBorders>
              <w:top w:val="single" w:sz="4" w:space="0" w:color="auto"/>
              <w:left w:val="single" w:sz="4" w:space="0" w:color="auto"/>
              <w:bottom w:val="single" w:sz="4" w:space="0" w:color="auto"/>
              <w:right w:val="single" w:sz="4" w:space="0" w:color="auto"/>
            </w:tcBorders>
            <w:shd w:val="clear" w:color="auto" w:fill="FFFFFF" w:themeFill="background1"/>
          </w:tcPr>
          <w:p w14:paraId="4C187094" w14:textId="77777777" w:rsidR="00FB6CE1" w:rsidRPr="003F54C3" w:rsidRDefault="00FB6CE1" w:rsidP="0067714C">
            <w:pPr>
              <w:spacing w:before="120" w:after="60" w:line="180" w:lineRule="exact"/>
              <w:rPr>
                <w:rFonts w:cs="Arial"/>
                <w:sz w:val="16"/>
                <w:szCs w:val="16"/>
              </w:rPr>
            </w:pPr>
            <w:r w:rsidRPr="003F54C3">
              <w:rPr>
                <w:rFonts w:cs="Arial"/>
                <w:sz w:val="16"/>
                <w:szCs w:val="16"/>
              </w:rPr>
              <w:t>Step 5</w:t>
            </w:r>
          </w:p>
          <w:p w14:paraId="60A3C743" w14:textId="77777777" w:rsidR="00FB6CE1" w:rsidRPr="003F54C3" w:rsidRDefault="00FB6CE1" w:rsidP="0067714C">
            <w:pPr>
              <w:spacing w:before="120" w:after="60" w:line="180" w:lineRule="exact"/>
              <w:rPr>
                <w:rFonts w:cs="Arial"/>
                <w:sz w:val="16"/>
                <w:szCs w:val="16"/>
              </w:rPr>
            </w:pPr>
            <w:r w:rsidRPr="003F54C3">
              <w:rPr>
                <w:rFonts w:cs="Arial"/>
                <w:sz w:val="16"/>
                <w:szCs w:val="16"/>
              </w:rPr>
              <w:t>ALLOCATION</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tcMar>
              <w:top w:w="28" w:type="dxa"/>
              <w:left w:w="28" w:type="dxa"/>
              <w:bottom w:w="28" w:type="dxa"/>
              <w:right w:w="28" w:type="dxa"/>
            </w:tcMar>
          </w:tcPr>
          <w:p w14:paraId="06204BF5" w14:textId="77777777" w:rsidR="00FB6CE1" w:rsidRPr="003F54C3" w:rsidRDefault="00FB6CE1" w:rsidP="0067714C">
            <w:pPr>
              <w:spacing w:before="120" w:after="60" w:line="180" w:lineRule="exact"/>
              <w:rPr>
                <w:rFonts w:cs="Arial"/>
                <w:sz w:val="16"/>
                <w:szCs w:val="16"/>
              </w:rPr>
            </w:pPr>
            <w:r w:rsidRPr="003F54C3">
              <w:rPr>
                <w:rFonts w:cs="Arial"/>
                <w:sz w:val="16"/>
                <w:szCs w:val="16"/>
              </w:rPr>
              <w:t>Allocation of urban excise areas and additional regional areas identified for spectrum licensing</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Mar>
              <w:top w:w="28" w:type="dxa"/>
              <w:left w:w="28" w:type="dxa"/>
              <w:bottom w:w="28" w:type="dxa"/>
              <w:right w:w="28" w:type="dxa"/>
            </w:tcMar>
          </w:tcPr>
          <w:p w14:paraId="200E97B9" w14:textId="77777777" w:rsidR="00FB6CE1" w:rsidRPr="003F54C3" w:rsidRDefault="00FB6CE1" w:rsidP="00FB6CE1">
            <w:pPr>
              <w:pStyle w:val="ListParagraph"/>
              <w:numPr>
                <w:ilvl w:val="0"/>
                <w:numId w:val="23"/>
              </w:numPr>
              <w:spacing w:before="120" w:after="60" w:line="180" w:lineRule="exact"/>
              <w:rPr>
                <w:rFonts w:cs="Arial"/>
                <w:sz w:val="16"/>
                <w:szCs w:val="16"/>
              </w:rPr>
            </w:pPr>
            <w:r w:rsidRPr="003F54C3">
              <w:rPr>
                <w:rFonts w:cs="Arial"/>
                <w:sz w:val="16"/>
                <w:szCs w:val="16"/>
              </w:rPr>
              <w:t xml:space="preserve">This step involves the development of allocation instruments and conducting an allocation process. </w:t>
            </w: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tcPr>
          <w:p w14:paraId="6ADF6401" w14:textId="77777777" w:rsidR="00FB6CE1" w:rsidRPr="003F54C3" w:rsidRDefault="00FB6CE1" w:rsidP="0067714C">
            <w:pPr>
              <w:spacing w:before="120" w:after="60" w:line="180" w:lineRule="exact"/>
              <w:rPr>
                <w:rFonts w:cs="Arial"/>
                <w:sz w:val="16"/>
                <w:szCs w:val="16"/>
              </w:rPr>
            </w:pPr>
            <w:r w:rsidRPr="003F54C3">
              <w:rPr>
                <w:rFonts w:cs="Arial"/>
                <w:sz w:val="16"/>
                <w:szCs w:val="16"/>
              </w:rPr>
              <w:t>15.5 months</w:t>
            </w:r>
          </w:p>
          <w:p w14:paraId="170C655D" w14:textId="5D34FD3C" w:rsidR="00FB6CE1" w:rsidRPr="003F54C3" w:rsidRDefault="00FB6CE1" w:rsidP="0067714C">
            <w:pPr>
              <w:spacing w:before="120" w:after="60" w:line="180" w:lineRule="exact"/>
              <w:rPr>
                <w:rFonts w:cs="Arial"/>
                <w:sz w:val="16"/>
                <w:szCs w:val="16"/>
              </w:rPr>
            </w:pPr>
            <w:r w:rsidRPr="003F54C3">
              <w:rPr>
                <w:rFonts w:cs="Arial"/>
                <w:sz w:val="16"/>
                <w:szCs w:val="16"/>
              </w:rPr>
              <w:t>(30</w:t>
            </w:r>
            <w:r w:rsidR="003B7463">
              <w:t>–</w:t>
            </w:r>
            <w:r w:rsidRPr="003F54C3">
              <w:rPr>
                <w:rFonts w:cs="Arial"/>
                <w:sz w:val="16"/>
                <w:szCs w:val="16"/>
              </w:rPr>
              <w:t>37 months)</w:t>
            </w:r>
          </w:p>
        </w:tc>
        <w:tc>
          <w:tcPr>
            <w:tcW w:w="1842" w:type="dxa"/>
            <w:tcBorders>
              <w:top w:val="single" w:sz="4" w:space="0" w:color="auto"/>
              <w:left w:val="single" w:sz="4" w:space="0" w:color="auto"/>
              <w:bottom w:val="single" w:sz="4" w:space="0" w:color="auto"/>
              <w:right w:val="single" w:sz="4" w:space="0" w:color="auto"/>
            </w:tcBorders>
            <w:shd w:val="clear" w:color="auto" w:fill="FFFFFF" w:themeFill="background1"/>
          </w:tcPr>
          <w:p w14:paraId="519962F2" w14:textId="54E3CD13" w:rsidR="00FB6CE1" w:rsidRPr="003F54C3" w:rsidRDefault="00FB6CE1" w:rsidP="0067714C">
            <w:pPr>
              <w:spacing w:before="120" w:after="60" w:line="180" w:lineRule="exact"/>
              <w:rPr>
                <w:rFonts w:cs="Arial"/>
                <w:sz w:val="16"/>
                <w:szCs w:val="16"/>
              </w:rPr>
            </w:pPr>
            <w:r w:rsidRPr="003F54C3">
              <w:rPr>
                <w:rFonts w:cs="Arial"/>
                <w:sz w:val="16"/>
                <w:szCs w:val="16"/>
              </w:rPr>
              <w:t>May 2022</w:t>
            </w:r>
            <w:r w:rsidR="003B7463">
              <w:t>–</w:t>
            </w:r>
            <w:r w:rsidRPr="003F54C3">
              <w:rPr>
                <w:rFonts w:cs="Arial"/>
                <w:sz w:val="16"/>
                <w:szCs w:val="16"/>
              </w:rPr>
              <w:t>Dec 2022</w:t>
            </w:r>
          </w:p>
          <w:p w14:paraId="0475C6AB" w14:textId="77777777" w:rsidR="00FB6CE1" w:rsidRPr="003F54C3" w:rsidRDefault="00FB6CE1" w:rsidP="0067714C">
            <w:pPr>
              <w:spacing w:before="120" w:after="60" w:line="180" w:lineRule="exact"/>
              <w:rPr>
                <w:rFonts w:cs="Arial"/>
                <w:sz w:val="16"/>
                <w:szCs w:val="16"/>
              </w:rPr>
            </w:pPr>
          </w:p>
        </w:tc>
      </w:tr>
      <w:bookmarkEnd w:id="66"/>
      <w:bookmarkEnd w:id="67"/>
    </w:tbl>
    <w:p w14:paraId="55A6A0A6" w14:textId="77777777" w:rsidR="00FB6CE1" w:rsidRPr="003F54C3" w:rsidRDefault="00FB6CE1" w:rsidP="00FB6CE1">
      <w:pPr>
        <w:rPr>
          <w:rFonts w:cs="Arial"/>
        </w:rPr>
      </w:pPr>
    </w:p>
    <w:p w14:paraId="746DF2B8" w14:textId="77777777" w:rsidR="00FB6CE1" w:rsidRPr="003F54C3" w:rsidRDefault="00FB6CE1" w:rsidP="00FB6CE1">
      <w:pPr>
        <w:rPr>
          <w:rFonts w:cs="Arial"/>
        </w:rPr>
        <w:sectPr w:rsidR="00FB6CE1" w:rsidRPr="003F54C3" w:rsidSect="0067714C">
          <w:pgSz w:w="16838" w:h="11906" w:orient="landscape" w:code="9"/>
          <w:pgMar w:top="1134" w:right="1945" w:bottom="3101" w:left="1134" w:header="709" w:footer="119" w:gutter="0"/>
          <w:cols w:space="708"/>
          <w:docGrid w:linePitch="360"/>
        </w:sectPr>
      </w:pPr>
    </w:p>
    <w:p w14:paraId="390564B2" w14:textId="77777777" w:rsidR="00FB6CE1" w:rsidRPr="003F54C3" w:rsidRDefault="00FB6CE1" w:rsidP="00FB6CE1">
      <w:pPr>
        <w:pStyle w:val="Heading1"/>
      </w:pPr>
      <w:bookmarkStart w:id="68" w:name="_Toc6923132"/>
      <w:bookmarkStart w:id="69" w:name="_Toc25047696"/>
      <w:bookmarkStart w:id="70" w:name="_Toc21088517"/>
      <w:r w:rsidRPr="003F54C3">
        <w:lastRenderedPageBreak/>
        <w:t>Glossary</w:t>
      </w:r>
      <w:bookmarkEnd w:id="68"/>
      <w:bookmarkEnd w:id="69"/>
      <w:r w:rsidRPr="003F54C3">
        <w:t xml:space="preserve"> </w:t>
      </w:r>
      <w:bookmarkEnd w:id="70"/>
    </w:p>
    <w:tbl>
      <w:tblPr>
        <w:tblStyle w:val="PlainTable1"/>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57" w:type="dxa"/>
          <w:left w:w="57" w:type="dxa"/>
          <w:bottom w:w="57" w:type="dxa"/>
          <w:right w:w="57" w:type="dxa"/>
        </w:tblCellMar>
        <w:tblLook w:val="04A0" w:firstRow="1" w:lastRow="0" w:firstColumn="1" w:lastColumn="0" w:noHBand="0" w:noVBand="1"/>
        <w:tblCaption w:val="Terms and definitions used in this document."/>
      </w:tblPr>
      <w:tblGrid>
        <w:gridCol w:w="2405"/>
        <w:gridCol w:w="5256"/>
      </w:tblGrid>
      <w:tr w:rsidR="00FB6CE1" w:rsidRPr="003F54C3" w14:paraId="0A890EB8" w14:textId="77777777" w:rsidTr="0067714C">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2405" w:type="dxa"/>
            <w:shd w:val="clear" w:color="auto" w:fill="404040" w:themeFill="text1" w:themeFillTint="BF"/>
          </w:tcPr>
          <w:p w14:paraId="1EF4D137" w14:textId="77777777" w:rsidR="00FB6CE1" w:rsidRPr="00806E3A" w:rsidRDefault="00FB6CE1" w:rsidP="0067714C">
            <w:pPr>
              <w:pStyle w:val="TableHeading0"/>
              <w:spacing w:line="240" w:lineRule="auto"/>
              <w:rPr>
                <w:color w:val="FFFFFF" w:themeColor="background1"/>
              </w:rPr>
            </w:pPr>
            <w:r w:rsidRPr="00806E3A">
              <w:rPr>
                <w:b/>
                <w:color w:val="FFFFFF" w:themeColor="background1"/>
              </w:rPr>
              <w:t>Term</w:t>
            </w:r>
          </w:p>
        </w:tc>
        <w:tc>
          <w:tcPr>
            <w:tcW w:w="5256" w:type="dxa"/>
            <w:shd w:val="clear" w:color="auto" w:fill="404040" w:themeFill="text1" w:themeFillTint="BF"/>
          </w:tcPr>
          <w:p w14:paraId="310AE893" w14:textId="77777777" w:rsidR="00FB6CE1" w:rsidRPr="006C6E23" w:rsidRDefault="00FB6CE1" w:rsidP="0067714C">
            <w:pPr>
              <w:pStyle w:val="TableHeading0"/>
              <w:spacing w:line="240" w:lineRule="auto"/>
              <w:cnfStyle w:val="100000000000" w:firstRow="1" w:lastRow="0" w:firstColumn="0" w:lastColumn="0" w:oddVBand="0" w:evenVBand="0" w:oddHBand="0" w:evenHBand="0" w:firstRowFirstColumn="0" w:firstRowLastColumn="0" w:lastRowFirstColumn="0" w:lastRowLastColumn="0"/>
              <w:rPr>
                <w:color w:val="FFFFFF" w:themeColor="background1"/>
              </w:rPr>
            </w:pPr>
            <w:r w:rsidRPr="006C6E23">
              <w:rPr>
                <w:b/>
                <w:color w:val="FFFFFF" w:themeColor="background1"/>
              </w:rPr>
              <w:t>Definition</w:t>
            </w:r>
          </w:p>
        </w:tc>
      </w:tr>
      <w:tr w:rsidR="00FB6CE1" w:rsidRPr="003F54C3" w14:paraId="09A69209" w14:textId="77777777" w:rsidTr="0067714C">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47066EFA" w14:textId="77777777" w:rsidR="00FB6CE1" w:rsidRPr="003F54C3" w:rsidRDefault="00FB6CE1" w:rsidP="0067714C">
            <w:pPr>
              <w:spacing w:after="0" w:line="240" w:lineRule="auto"/>
            </w:pPr>
            <w:r w:rsidRPr="003F54C3">
              <w:t>3.4 GHz spectrum licence band</w:t>
            </w:r>
          </w:p>
        </w:tc>
        <w:tc>
          <w:tcPr>
            <w:tcW w:w="5256" w:type="dxa"/>
          </w:tcPr>
          <w:p w14:paraId="5CDC4742" w14:textId="77777777" w:rsidR="00FB6CE1" w:rsidRPr="003F54C3" w:rsidRDefault="00FB6CE1" w:rsidP="0067714C">
            <w:pPr>
              <w:spacing w:after="0" w:line="240" w:lineRule="auto"/>
              <w:cnfStyle w:val="000000100000" w:firstRow="0" w:lastRow="0" w:firstColumn="0" w:lastColumn="0" w:oddVBand="0" w:evenVBand="0" w:oddHBand="1" w:evenHBand="0" w:firstRowFirstColumn="0" w:firstRowLastColumn="0" w:lastRowFirstColumn="0" w:lastRowLastColumn="0"/>
            </w:pPr>
            <w:r w:rsidRPr="003F54C3">
              <w:t>Refers to the 3425–3492.5 MHz and 3542.5–3575 MHz frequency ranges</w:t>
            </w:r>
          </w:p>
        </w:tc>
      </w:tr>
      <w:tr w:rsidR="00FB6CE1" w:rsidRPr="003F54C3" w14:paraId="473EB89F" w14:textId="77777777" w:rsidTr="0067714C">
        <w:trPr>
          <w:cantSplit/>
        </w:trPr>
        <w:tc>
          <w:tcPr>
            <w:cnfStyle w:val="001000000000" w:firstRow="0" w:lastRow="0" w:firstColumn="1" w:lastColumn="0" w:oddVBand="0" w:evenVBand="0" w:oddHBand="0" w:evenHBand="0" w:firstRowFirstColumn="0" w:firstRowLastColumn="0" w:lastRowFirstColumn="0" w:lastRowLastColumn="0"/>
            <w:tcW w:w="2405" w:type="dxa"/>
          </w:tcPr>
          <w:p w14:paraId="563D1BB1" w14:textId="77777777" w:rsidR="00FB6CE1" w:rsidRPr="003F54C3" w:rsidRDefault="00FB6CE1" w:rsidP="0067714C">
            <w:pPr>
              <w:spacing w:after="0" w:line="240" w:lineRule="auto"/>
            </w:pPr>
            <w:r w:rsidRPr="003F54C3">
              <w:t>3.5 GHz band</w:t>
            </w:r>
          </w:p>
        </w:tc>
        <w:tc>
          <w:tcPr>
            <w:tcW w:w="5256" w:type="dxa"/>
          </w:tcPr>
          <w:p w14:paraId="015C2687" w14:textId="77777777" w:rsidR="00FB6CE1" w:rsidRPr="003F54C3" w:rsidRDefault="00FB6CE1" w:rsidP="0067714C">
            <w:pPr>
              <w:spacing w:after="0" w:line="240" w:lineRule="auto"/>
              <w:cnfStyle w:val="000000000000" w:firstRow="0" w:lastRow="0" w:firstColumn="0" w:lastColumn="0" w:oddVBand="0" w:evenVBand="0" w:oddHBand="0" w:evenHBand="0" w:firstRowFirstColumn="0" w:firstRowLastColumn="0" w:lastRowFirstColumn="0" w:lastRowLastColumn="0"/>
            </w:pPr>
            <w:r w:rsidRPr="003F54C3">
              <w:t>Refers to the 3400–3425 MHz and 3492.5–3542.5 MHz frequency ranges</w:t>
            </w:r>
          </w:p>
        </w:tc>
      </w:tr>
      <w:tr w:rsidR="00FB6CE1" w:rsidRPr="003F54C3" w14:paraId="318553DE" w14:textId="77777777" w:rsidTr="0067714C">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4C3D92B7" w14:textId="77777777" w:rsidR="00FB6CE1" w:rsidRPr="003F54C3" w:rsidRDefault="00FB6CE1" w:rsidP="0067714C">
            <w:pPr>
              <w:spacing w:after="0" w:line="240" w:lineRule="auto"/>
            </w:pPr>
            <w:r w:rsidRPr="003F54C3">
              <w:t>3.6 GHz band</w:t>
            </w:r>
          </w:p>
        </w:tc>
        <w:tc>
          <w:tcPr>
            <w:tcW w:w="5256" w:type="dxa"/>
          </w:tcPr>
          <w:p w14:paraId="71324B72" w14:textId="77777777" w:rsidR="00FB6CE1" w:rsidRPr="003F54C3" w:rsidRDefault="00FB6CE1" w:rsidP="0067714C">
            <w:pPr>
              <w:spacing w:after="0" w:line="240" w:lineRule="auto"/>
              <w:cnfStyle w:val="000000100000" w:firstRow="0" w:lastRow="0" w:firstColumn="0" w:lastColumn="0" w:oddVBand="0" w:evenVBand="0" w:oddHBand="1" w:evenHBand="0" w:firstRowFirstColumn="0" w:firstRowLastColumn="0" w:lastRowFirstColumn="0" w:lastRowLastColumn="0"/>
            </w:pPr>
            <w:r w:rsidRPr="003F54C3">
              <w:t>Refers to the 3575–3700 MHz frequency range</w:t>
            </w:r>
          </w:p>
        </w:tc>
      </w:tr>
      <w:tr w:rsidR="00FB6CE1" w:rsidRPr="003F54C3" w14:paraId="26FDDC34" w14:textId="77777777" w:rsidTr="0067714C">
        <w:trPr>
          <w:cantSplit/>
        </w:trPr>
        <w:tc>
          <w:tcPr>
            <w:cnfStyle w:val="001000000000" w:firstRow="0" w:lastRow="0" w:firstColumn="1" w:lastColumn="0" w:oddVBand="0" w:evenVBand="0" w:oddHBand="0" w:evenHBand="0" w:firstRowFirstColumn="0" w:firstRowLastColumn="0" w:lastRowFirstColumn="0" w:lastRowLastColumn="0"/>
            <w:tcW w:w="2405" w:type="dxa"/>
          </w:tcPr>
          <w:p w14:paraId="62EF4470" w14:textId="77777777" w:rsidR="00FB6CE1" w:rsidRPr="003F54C3" w:rsidRDefault="00FB6CE1" w:rsidP="0067714C">
            <w:pPr>
              <w:spacing w:after="0" w:line="240" w:lineRule="auto"/>
              <w:rPr>
                <w:b w:val="0"/>
              </w:rPr>
            </w:pPr>
            <w:r w:rsidRPr="003F54C3">
              <w:t>3GPP</w:t>
            </w:r>
          </w:p>
        </w:tc>
        <w:tc>
          <w:tcPr>
            <w:tcW w:w="5256" w:type="dxa"/>
          </w:tcPr>
          <w:p w14:paraId="10215FE5" w14:textId="77777777" w:rsidR="00FB6CE1" w:rsidRPr="003F54C3" w:rsidRDefault="00FB6CE1" w:rsidP="0067714C">
            <w:pPr>
              <w:spacing w:after="80" w:line="240" w:lineRule="auto"/>
              <w:cnfStyle w:val="000000000000" w:firstRow="0" w:lastRow="0" w:firstColumn="0" w:lastColumn="0" w:oddVBand="0" w:evenVBand="0" w:oddHBand="0" w:evenHBand="0" w:firstRowFirstColumn="0" w:firstRowLastColumn="0" w:lastRowFirstColumn="0" w:lastRowLastColumn="0"/>
            </w:pPr>
            <w:r w:rsidRPr="003F54C3">
              <w:t>3</w:t>
            </w:r>
            <w:r w:rsidRPr="003F54C3">
              <w:rPr>
                <w:vertAlign w:val="superscript"/>
              </w:rPr>
              <w:t>rd</w:t>
            </w:r>
            <w:r w:rsidRPr="003F54C3">
              <w:t xml:space="preserve"> Generation Partnership Project</w:t>
            </w:r>
          </w:p>
          <w:p w14:paraId="6B689A8C" w14:textId="77777777" w:rsidR="00FB6CE1" w:rsidRPr="003F54C3" w:rsidRDefault="00FB6CE1" w:rsidP="0067714C">
            <w:pPr>
              <w:spacing w:after="0" w:line="240" w:lineRule="auto"/>
              <w:cnfStyle w:val="000000000000" w:firstRow="0" w:lastRow="0" w:firstColumn="0" w:lastColumn="0" w:oddVBand="0" w:evenVBand="0" w:oddHBand="0" w:evenHBand="0" w:firstRowFirstColumn="0" w:firstRowLastColumn="0" w:lastRowFirstColumn="0" w:lastRowLastColumn="0"/>
            </w:pPr>
            <w:r w:rsidRPr="003F54C3">
              <w:t>An international body responsible for the standardisation of (cellular) mobile (including broadband) telecommunications, including the 2G, 3G, 4G and (soon) 5G technology standards.</w:t>
            </w:r>
          </w:p>
        </w:tc>
      </w:tr>
      <w:tr w:rsidR="00FB6CE1" w:rsidRPr="003F54C3" w14:paraId="1501B339" w14:textId="77777777" w:rsidTr="0067714C">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73F58DBB" w14:textId="77777777" w:rsidR="00FB6CE1" w:rsidRPr="003F54C3" w:rsidRDefault="00FB6CE1" w:rsidP="0067714C">
            <w:pPr>
              <w:spacing w:after="0" w:line="240" w:lineRule="auto"/>
              <w:rPr>
                <w:rFonts w:cs="Arial"/>
              </w:rPr>
            </w:pPr>
            <w:r>
              <w:rPr>
                <w:rFonts w:cs="Arial"/>
              </w:rPr>
              <w:t>The Act</w:t>
            </w:r>
          </w:p>
        </w:tc>
        <w:tc>
          <w:tcPr>
            <w:tcW w:w="5256" w:type="dxa"/>
          </w:tcPr>
          <w:p w14:paraId="2E4B2CC8" w14:textId="77777777" w:rsidR="00FB6CE1" w:rsidRPr="003F54C3" w:rsidRDefault="00FB6CE1" w:rsidP="0067714C">
            <w:pPr>
              <w:spacing w:after="0" w:line="240" w:lineRule="auto"/>
              <w:cnfStyle w:val="000000100000" w:firstRow="0" w:lastRow="0" w:firstColumn="0" w:lastColumn="0" w:oddVBand="0" w:evenVBand="0" w:oddHBand="1" w:evenHBand="0" w:firstRowFirstColumn="0" w:firstRowLastColumn="0" w:lastRowFirstColumn="0" w:lastRowLastColumn="0"/>
            </w:pPr>
            <w:r>
              <w:t xml:space="preserve">Refers to the </w:t>
            </w:r>
            <w:r w:rsidRPr="003F54C3">
              <w:rPr>
                <w:i/>
              </w:rPr>
              <w:t>Radiocommunications Act 1992</w:t>
            </w:r>
          </w:p>
        </w:tc>
      </w:tr>
      <w:tr w:rsidR="00FB6CE1" w:rsidRPr="003F54C3" w14:paraId="1EB4725A" w14:textId="77777777" w:rsidTr="0067714C">
        <w:trPr>
          <w:cantSplit/>
        </w:trPr>
        <w:tc>
          <w:tcPr>
            <w:cnfStyle w:val="001000000000" w:firstRow="0" w:lastRow="0" w:firstColumn="1" w:lastColumn="0" w:oddVBand="0" w:evenVBand="0" w:oddHBand="0" w:evenHBand="0" w:firstRowFirstColumn="0" w:firstRowLastColumn="0" w:lastRowFirstColumn="0" w:lastRowLastColumn="0"/>
            <w:tcW w:w="2405" w:type="dxa"/>
          </w:tcPr>
          <w:p w14:paraId="7D455EE1" w14:textId="77777777" w:rsidR="00FB6CE1" w:rsidRPr="003F54C3" w:rsidRDefault="00FB6CE1" w:rsidP="0067714C">
            <w:pPr>
              <w:spacing w:after="0" w:line="240" w:lineRule="auto"/>
            </w:pPr>
            <w:r w:rsidRPr="003F54C3">
              <w:rPr>
                <w:rFonts w:cs="Arial"/>
              </w:rPr>
              <w:t>Apparatus licence</w:t>
            </w:r>
          </w:p>
        </w:tc>
        <w:tc>
          <w:tcPr>
            <w:tcW w:w="5256" w:type="dxa"/>
          </w:tcPr>
          <w:p w14:paraId="6955E163" w14:textId="77777777" w:rsidR="00FB6CE1" w:rsidRPr="003F54C3" w:rsidRDefault="00FB6CE1" w:rsidP="0067714C">
            <w:pPr>
              <w:spacing w:after="0" w:line="240" w:lineRule="auto"/>
              <w:cnfStyle w:val="000000000000" w:firstRow="0" w:lastRow="0" w:firstColumn="0" w:lastColumn="0" w:oddVBand="0" w:evenVBand="0" w:oddHBand="0" w:evenHBand="0" w:firstRowFirstColumn="0" w:firstRowLastColumn="0" w:lastRowFirstColumn="0" w:lastRowLastColumn="0"/>
            </w:pPr>
            <w:r w:rsidRPr="003F54C3">
              <w:t>An apparatus licence authorises, under the</w:t>
            </w:r>
            <w:r>
              <w:t xml:space="preserve"> Act</w:t>
            </w:r>
            <w:r w:rsidRPr="003F54C3">
              <w:t xml:space="preserve">, the use of a radiocommunications device under a </w:t>
            </w:r>
            <w:proofErr w:type="gramStart"/>
            <w:r w:rsidRPr="003F54C3">
              <w:t>particular service</w:t>
            </w:r>
            <w:proofErr w:type="gramEnd"/>
            <w:r w:rsidRPr="003F54C3">
              <w:t xml:space="preserve"> type, in a particular frequency range and at a particular geographic location for a period of up to five years. </w:t>
            </w:r>
          </w:p>
        </w:tc>
      </w:tr>
      <w:tr w:rsidR="00FB6CE1" w:rsidRPr="003F54C3" w14:paraId="06DE93CC" w14:textId="77777777" w:rsidTr="0067714C">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0B93A2F1" w14:textId="77777777" w:rsidR="00FB6CE1" w:rsidRPr="003F54C3" w:rsidRDefault="00FB6CE1" w:rsidP="0067714C">
            <w:pPr>
              <w:spacing w:after="0" w:line="240" w:lineRule="auto"/>
            </w:pPr>
            <w:r w:rsidRPr="003F54C3">
              <w:t>ASMG</w:t>
            </w:r>
          </w:p>
        </w:tc>
        <w:tc>
          <w:tcPr>
            <w:tcW w:w="5256" w:type="dxa"/>
          </w:tcPr>
          <w:p w14:paraId="39DEAC87" w14:textId="77777777" w:rsidR="00FB6CE1" w:rsidRPr="003F54C3" w:rsidRDefault="00FB6CE1" w:rsidP="0067714C">
            <w:pPr>
              <w:spacing w:after="80" w:line="240" w:lineRule="auto"/>
              <w:cnfStyle w:val="000000100000" w:firstRow="0" w:lastRow="0" w:firstColumn="0" w:lastColumn="0" w:oddVBand="0" w:evenVBand="0" w:oddHBand="1" w:evenHBand="0" w:firstRowFirstColumn="0" w:firstRowLastColumn="0" w:lastRowFirstColumn="0" w:lastRowLastColumn="0"/>
              <w:rPr>
                <w:rFonts w:cs="Arial"/>
              </w:rPr>
            </w:pPr>
            <w:r w:rsidRPr="003F54C3">
              <w:rPr>
                <w:rFonts w:cs="Arial"/>
              </w:rPr>
              <w:t xml:space="preserve">Australian </w:t>
            </w:r>
            <w:r w:rsidRPr="003F54C3">
              <w:t>Spectrum</w:t>
            </w:r>
            <w:r w:rsidRPr="003F54C3">
              <w:rPr>
                <w:rFonts w:cs="Arial"/>
              </w:rPr>
              <w:t xml:space="preserve"> Map Grid</w:t>
            </w:r>
          </w:p>
          <w:p w14:paraId="2E8D7AA1" w14:textId="66AA11FA" w:rsidR="00FB6CE1" w:rsidRPr="00806E3A" w:rsidRDefault="00FB6CE1" w:rsidP="0067714C">
            <w:pPr>
              <w:spacing w:after="0" w:line="240" w:lineRule="auto"/>
              <w:cnfStyle w:val="000000100000" w:firstRow="0" w:lastRow="0" w:firstColumn="0" w:lastColumn="0" w:oddVBand="0" w:evenVBand="0" w:oddHBand="1" w:evenHBand="0" w:firstRowFirstColumn="0" w:firstRowLastColumn="0" w:lastRowFirstColumn="0" w:lastRowLastColumn="0"/>
              <w:rPr>
                <w:rFonts w:cs="Arial"/>
              </w:rPr>
            </w:pPr>
            <w:r w:rsidRPr="003F54C3">
              <w:rPr>
                <w:rFonts w:cs="Arial"/>
              </w:rPr>
              <w:t xml:space="preserve">Used to define geographical areas over which spectrum licences are issued. The HCIS is used to define the cells that make up the ASMG. The ASMG is described in detail in the document: </w:t>
            </w:r>
            <w:hyperlink r:id="rId41" w:history="1">
              <w:r w:rsidR="00FD7320" w:rsidRPr="00FD7320">
                <w:rPr>
                  <w:rStyle w:val="Hyperlink"/>
                  <w:rFonts w:cs="Arial"/>
                </w:rPr>
                <w:t>The Australian spectrum map grid 2012.</w:t>
              </w:r>
            </w:hyperlink>
          </w:p>
          <w:p w14:paraId="04A64630" w14:textId="77777777" w:rsidR="00FB6CE1" w:rsidRPr="006C6E23" w:rsidRDefault="00FB6CE1" w:rsidP="0067714C">
            <w:pPr>
              <w:spacing w:after="0" w:line="240" w:lineRule="auto"/>
              <w:cnfStyle w:val="000000100000" w:firstRow="0" w:lastRow="0" w:firstColumn="0" w:lastColumn="0" w:oddVBand="0" w:evenVBand="0" w:oddHBand="1" w:evenHBand="0" w:firstRowFirstColumn="0" w:firstRowLastColumn="0" w:lastRowFirstColumn="0" w:lastRowLastColumn="0"/>
              <w:rPr>
                <w:rFonts w:cs="Arial"/>
                <w:i/>
              </w:rPr>
            </w:pPr>
          </w:p>
          <w:p w14:paraId="79DF4ECA" w14:textId="77777777" w:rsidR="00FB6CE1" w:rsidRPr="009B4DF7" w:rsidRDefault="00FB6CE1" w:rsidP="0067714C">
            <w:pPr>
              <w:spacing w:after="0" w:line="240" w:lineRule="auto"/>
              <w:cnfStyle w:val="000000100000" w:firstRow="0" w:lastRow="0" w:firstColumn="0" w:lastColumn="0" w:oddVBand="0" w:evenVBand="0" w:oddHBand="1" w:evenHBand="0" w:firstRowFirstColumn="0" w:firstRowLastColumn="0" w:lastRowFirstColumn="0" w:lastRowLastColumn="0"/>
            </w:pPr>
            <w:r w:rsidRPr="00880B4D">
              <w:rPr>
                <w:rFonts w:cs="Arial"/>
                <w:iCs/>
              </w:rPr>
              <w:t>See also</w:t>
            </w:r>
            <w:r w:rsidRPr="009B4DF7">
              <w:rPr>
                <w:rFonts w:cs="Arial"/>
              </w:rPr>
              <w:t xml:space="preserve"> HCIS.</w:t>
            </w:r>
          </w:p>
        </w:tc>
      </w:tr>
      <w:tr w:rsidR="00FB6CE1" w:rsidRPr="003F54C3" w14:paraId="3DFB4A55" w14:textId="77777777" w:rsidTr="0067714C">
        <w:trPr>
          <w:cantSplit/>
        </w:trPr>
        <w:tc>
          <w:tcPr>
            <w:cnfStyle w:val="001000000000" w:firstRow="0" w:lastRow="0" w:firstColumn="1" w:lastColumn="0" w:oddVBand="0" w:evenVBand="0" w:oddHBand="0" w:evenHBand="0" w:firstRowFirstColumn="0" w:firstRowLastColumn="0" w:lastRowFirstColumn="0" w:lastRowLastColumn="0"/>
            <w:tcW w:w="2405" w:type="dxa"/>
          </w:tcPr>
          <w:p w14:paraId="23D8A8B1" w14:textId="77777777" w:rsidR="00FB6CE1" w:rsidRPr="003F54C3" w:rsidRDefault="00FB6CE1" w:rsidP="0067714C">
            <w:pPr>
              <w:spacing w:after="0" w:line="240" w:lineRule="auto"/>
            </w:pPr>
            <w:r w:rsidRPr="003F54C3">
              <w:t>Class licence</w:t>
            </w:r>
          </w:p>
        </w:tc>
        <w:tc>
          <w:tcPr>
            <w:tcW w:w="5256" w:type="dxa"/>
          </w:tcPr>
          <w:p w14:paraId="49CC4EE4" w14:textId="77777777" w:rsidR="00FB6CE1" w:rsidRPr="003F54C3" w:rsidRDefault="00FB6CE1" w:rsidP="0067714C">
            <w:pPr>
              <w:spacing w:after="0" w:line="240" w:lineRule="auto"/>
              <w:cnfStyle w:val="000000000000" w:firstRow="0" w:lastRow="0" w:firstColumn="0" w:lastColumn="0" w:oddVBand="0" w:evenVBand="0" w:oddHBand="0" w:evenHBand="0" w:firstRowFirstColumn="0" w:firstRowLastColumn="0" w:lastRowFirstColumn="0" w:lastRowLastColumn="0"/>
            </w:pPr>
            <w:r w:rsidRPr="003F54C3">
              <w:t>A standing authorisation for the operation of an unlimited number of radiocommunications devices operating within a set of conditions specified within the authorisation.</w:t>
            </w:r>
          </w:p>
        </w:tc>
      </w:tr>
      <w:tr w:rsidR="00FB6CE1" w:rsidRPr="003F54C3" w14:paraId="5AE04CCF" w14:textId="77777777" w:rsidTr="0067714C">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6C5F7FFC" w14:textId="77777777" w:rsidR="00FB6CE1" w:rsidRPr="003F54C3" w:rsidRDefault="00FB6CE1" w:rsidP="0067714C">
            <w:pPr>
              <w:spacing w:after="0" w:line="240" w:lineRule="auto"/>
            </w:pPr>
            <w:r w:rsidRPr="003F54C3">
              <w:t>Conversion</w:t>
            </w:r>
          </w:p>
        </w:tc>
        <w:tc>
          <w:tcPr>
            <w:tcW w:w="5256" w:type="dxa"/>
          </w:tcPr>
          <w:p w14:paraId="26BDCFF9" w14:textId="77777777" w:rsidR="00FB6CE1" w:rsidRPr="003F54C3" w:rsidRDefault="00FB6CE1" w:rsidP="0067714C">
            <w:pPr>
              <w:spacing w:after="0" w:line="240" w:lineRule="auto"/>
              <w:cnfStyle w:val="000000100000" w:firstRow="0" w:lastRow="0" w:firstColumn="0" w:lastColumn="0" w:oddVBand="0" w:evenVBand="0" w:oddHBand="1" w:evenHBand="0" w:firstRowFirstColumn="0" w:firstRowLastColumn="0" w:lastRowFirstColumn="0" w:lastRowLastColumn="0"/>
            </w:pPr>
            <w:r w:rsidRPr="003F54C3">
              <w:t xml:space="preserve">The process by which one or more apparatus licences within frequencies and areas covered by a </w:t>
            </w:r>
            <w:r>
              <w:t>m</w:t>
            </w:r>
            <w:r w:rsidRPr="003F54C3">
              <w:t xml:space="preserve">inisterial </w:t>
            </w:r>
            <w:r>
              <w:t>designation</w:t>
            </w:r>
            <w:r w:rsidRPr="003F54C3">
              <w:t xml:space="preserve"> notice made under section 36 of the Act are converted to spectrum licences. </w:t>
            </w:r>
          </w:p>
        </w:tc>
      </w:tr>
      <w:tr w:rsidR="00FB6CE1" w:rsidRPr="003F54C3" w14:paraId="0581817B" w14:textId="77777777" w:rsidTr="0067714C">
        <w:trPr>
          <w:cantSplit/>
        </w:trPr>
        <w:tc>
          <w:tcPr>
            <w:cnfStyle w:val="001000000000" w:firstRow="0" w:lastRow="0" w:firstColumn="1" w:lastColumn="0" w:oddVBand="0" w:evenVBand="0" w:oddHBand="0" w:evenHBand="0" w:firstRowFirstColumn="0" w:firstRowLastColumn="0" w:lastRowFirstColumn="0" w:lastRowLastColumn="0"/>
            <w:tcW w:w="2405" w:type="dxa"/>
          </w:tcPr>
          <w:p w14:paraId="69EF9ABB" w14:textId="77777777" w:rsidR="00FB6CE1" w:rsidRPr="003F54C3" w:rsidRDefault="00FB6CE1" w:rsidP="0067714C">
            <w:pPr>
              <w:spacing w:after="0" w:line="240" w:lineRule="auto"/>
            </w:pPr>
            <w:r w:rsidRPr="003F54C3">
              <w:t>Coordination</w:t>
            </w:r>
          </w:p>
        </w:tc>
        <w:tc>
          <w:tcPr>
            <w:tcW w:w="5256" w:type="dxa"/>
          </w:tcPr>
          <w:p w14:paraId="280FE99A" w14:textId="77777777" w:rsidR="00FB6CE1" w:rsidRPr="003F54C3" w:rsidRDefault="00FB6CE1" w:rsidP="0067714C">
            <w:pPr>
              <w:spacing w:after="0" w:line="240" w:lineRule="auto"/>
              <w:cnfStyle w:val="000000000000" w:firstRow="0" w:lastRow="0" w:firstColumn="0" w:lastColumn="0" w:oddVBand="0" w:evenVBand="0" w:oddHBand="0" w:evenHBand="0" w:firstRowFirstColumn="0" w:firstRowLastColumn="0" w:lastRowFirstColumn="0" w:lastRowLastColumn="0"/>
            </w:pPr>
            <w:r w:rsidRPr="003F54C3">
              <w:t xml:space="preserve">The process of assessing the interference potential existing licensed services and a proposed new service will have on each other. Coordination is deemed to fail if the level of interference exceeds the specified protection criteria for the services involved. </w:t>
            </w:r>
          </w:p>
        </w:tc>
      </w:tr>
      <w:tr w:rsidR="00FB6CE1" w:rsidRPr="003F54C3" w14:paraId="1A30C2B1" w14:textId="77777777" w:rsidTr="0067714C">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5450F891" w14:textId="77777777" w:rsidR="00FB6CE1" w:rsidRPr="003F54C3" w:rsidRDefault="00FB6CE1" w:rsidP="0067714C">
            <w:pPr>
              <w:spacing w:after="0" w:line="240" w:lineRule="auto"/>
              <w:rPr>
                <w:b w:val="0"/>
              </w:rPr>
            </w:pPr>
            <w:r w:rsidRPr="003F54C3">
              <w:t>Embargo</w:t>
            </w:r>
          </w:p>
        </w:tc>
        <w:tc>
          <w:tcPr>
            <w:tcW w:w="5256" w:type="dxa"/>
          </w:tcPr>
          <w:p w14:paraId="415CA4F3" w14:textId="77777777" w:rsidR="00FB6CE1" w:rsidRPr="003F54C3" w:rsidRDefault="00FB6CE1" w:rsidP="0067714C">
            <w:pPr>
              <w:spacing w:after="0" w:line="240" w:lineRule="auto"/>
              <w:cnfStyle w:val="000000100000" w:firstRow="0" w:lastRow="0" w:firstColumn="0" w:lastColumn="0" w:oddVBand="0" w:evenVBand="0" w:oddHBand="1" w:evenHBand="0" w:firstRowFirstColumn="0" w:firstRowLastColumn="0" w:lastRowFirstColumn="0" w:lastRowLastColumn="0"/>
            </w:pPr>
            <w:r w:rsidRPr="003F54C3">
              <w:t xml:space="preserve">A spectrum embargo is a policy notice of intent by the ACMA to restrict the allocation of new licences in a </w:t>
            </w:r>
            <w:proofErr w:type="gramStart"/>
            <w:r w:rsidRPr="003F54C3">
              <w:t>particular frequency</w:t>
            </w:r>
            <w:proofErr w:type="gramEnd"/>
            <w:r w:rsidRPr="003F54C3">
              <w:t xml:space="preserve"> range to support replanning of that frequency range. Spectrum may still be able to be accessed on an </w:t>
            </w:r>
            <w:r w:rsidR="00FD7320" w:rsidRPr="003F54C3">
              <w:t>exception’s</w:t>
            </w:r>
            <w:r w:rsidRPr="003F54C3">
              <w:t xml:space="preserve"> basis through an application for an exemption to the embargo.</w:t>
            </w:r>
          </w:p>
        </w:tc>
      </w:tr>
      <w:tr w:rsidR="00FB6CE1" w:rsidRPr="003F54C3" w14:paraId="243835A9" w14:textId="77777777" w:rsidTr="0067714C">
        <w:trPr>
          <w:cantSplit/>
        </w:trPr>
        <w:tc>
          <w:tcPr>
            <w:cnfStyle w:val="001000000000" w:firstRow="0" w:lastRow="0" w:firstColumn="1" w:lastColumn="0" w:oddVBand="0" w:evenVBand="0" w:oddHBand="0" w:evenHBand="0" w:firstRowFirstColumn="0" w:firstRowLastColumn="0" w:lastRowFirstColumn="0" w:lastRowLastColumn="0"/>
            <w:tcW w:w="2405" w:type="dxa"/>
          </w:tcPr>
          <w:p w14:paraId="5BA9AD8E" w14:textId="77777777" w:rsidR="00FB6CE1" w:rsidRPr="003F54C3" w:rsidRDefault="00FB6CE1" w:rsidP="0067714C">
            <w:pPr>
              <w:spacing w:after="0" w:line="240" w:lineRule="auto"/>
            </w:pPr>
            <w:r>
              <w:lastRenderedPageBreak/>
              <w:t>ESPZ</w:t>
            </w:r>
          </w:p>
        </w:tc>
        <w:tc>
          <w:tcPr>
            <w:tcW w:w="5256" w:type="dxa"/>
          </w:tcPr>
          <w:p w14:paraId="177415B4" w14:textId="77777777" w:rsidR="00FB6CE1" w:rsidRDefault="00FB6CE1" w:rsidP="0067714C">
            <w:pPr>
              <w:spacing w:after="120" w:line="240" w:lineRule="auto"/>
              <w:cnfStyle w:val="000000000000" w:firstRow="0" w:lastRow="0" w:firstColumn="0" w:lastColumn="0" w:oddVBand="0" w:evenVBand="0" w:oddHBand="0" w:evenHBand="0" w:firstRowFirstColumn="0" w:firstRowLastColumn="0" w:lastRowFirstColumn="0" w:lastRowLastColumn="0"/>
            </w:pPr>
            <w:r>
              <w:t>Earth station protection zone</w:t>
            </w:r>
          </w:p>
          <w:p w14:paraId="5B714A32" w14:textId="7840F902" w:rsidR="00FB6CE1" w:rsidRPr="003F54C3" w:rsidRDefault="00FB6CE1" w:rsidP="0067714C">
            <w:pPr>
              <w:spacing w:after="120" w:line="240" w:lineRule="auto"/>
              <w:cnfStyle w:val="000000000000" w:firstRow="0" w:lastRow="0" w:firstColumn="0" w:lastColumn="0" w:oddVBand="0" w:evenVBand="0" w:oddHBand="0" w:evenHBand="0" w:firstRowFirstColumn="0" w:firstRowLastColumn="0" w:lastRowFirstColumn="0" w:lastRowLastColumn="0"/>
            </w:pPr>
            <w:r>
              <w:t xml:space="preserve">An ESPZ refers to areas where use of defined frequency ranges is being preserved for use by satellite services. The areas and frequencies covered by ESPZs are defined in </w:t>
            </w:r>
            <w:r w:rsidR="00124BA8" w:rsidRPr="00772048">
              <w:t>Radiocommunications allocation and licensing instruction MS44</w:t>
            </w:r>
            <w:r w:rsidRPr="00EC6799">
              <w:rPr>
                <w:rStyle w:val="Hyperlink"/>
                <w:rFonts w:cs="Arial"/>
                <w:u w:val="none"/>
              </w:rPr>
              <w:t xml:space="preserve">: </w:t>
            </w:r>
            <w:hyperlink r:id="rId42" w:history="1">
              <w:r w:rsidRPr="00FD7320">
                <w:rPr>
                  <w:rStyle w:val="Hyperlink"/>
                  <w:rFonts w:cs="Arial"/>
                  <w:i/>
                  <w:iCs/>
                </w:rPr>
                <w:t xml:space="preserve">Frequency procedures for the </w:t>
              </w:r>
              <w:r w:rsidR="00EC6799">
                <w:rPr>
                  <w:rStyle w:val="Hyperlink"/>
                  <w:rFonts w:cs="Arial"/>
                  <w:i/>
                  <w:iCs/>
                </w:rPr>
                <w:t>e</w:t>
              </w:r>
              <w:r w:rsidRPr="00FD7320">
                <w:rPr>
                  <w:rStyle w:val="Hyperlink"/>
                  <w:rFonts w:cs="Arial"/>
                  <w:i/>
                  <w:iCs/>
                </w:rPr>
                <w:t>arth station protection zones</w:t>
              </w:r>
            </w:hyperlink>
          </w:p>
        </w:tc>
      </w:tr>
      <w:tr w:rsidR="00FB6CE1" w:rsidRPr="003F54C3" w14:paraId="29C1451D" w14:textId="77777777" w:rsidTr="0067714C">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1B6F518A" w14:textId="77777777" w:rsidR="00FB6CE1" w:rsidRPr="003F54C3" w:rsidRDefault="00FB6CE1" w:rsidP="0067714C">
            <w:pPr>
              <w:spacing w:after="0" w:line="240" w:lineRule="auto"/>
            </w:pPr>
            <w:r w:rsidRPr="003F54C3">
              <w:t>FDD</w:t>
            </w:r>
          </w:p>
        </w:tc>
        <w:tc>
          <w:tcPr>
            <w:tcW w:w="5256" w:type="dxa"/>
          </w:tcPr>
          <w:p w14:paraId="1897D701" w14:textId="77777777" w:rsidR="00FB6CE1" w:rsidRPr="003F54C3" w:rsidRDefault="00FB6CE1" w:rsidP="0067714C">
            <w:pPr>
              <w:spacing w:after="120" w:line="240" w:lineRule="auto"/>
              <w:cnfStyle w:val="000000100000" w:firstRow="0" w:lastRow="0" w:firstColumn="0" w:lastColumn="0" w:oddVBand="0" w:evenVBand="0" w:oddHBand="1" w:evenHBand="0" w:firstRowFirstColumn="0" w:firstRowLastColumn="0" w:lastRowFirstColumn="0" w:lastRowLastColumn="0"/>
              <w:rPr>
                <w:b/>
              </w:rPr>
            </w:pPr>
            <w:r w:rsidRPr="003F54C3">
              <w:t xml:space="preserve">Frequency </w:t>
            </w:r>
            <w:r w:rsidRPr="003F54C3">
              <w:rPr>
                <w:rFonts w:cs="Arial"/>
              </w:rPr>
              <w:t>Division</w:t>
            </w:r>
            <w:r w:rsidRPr="003F54C3">
              <w:t xml:space="preserve"> Duplex</w:t>
            </w:r>
          </w:p>
          <w:p w14:paraId="141FF9DD" w14:textId="77777777" w:rsidR="00FB6CE1" w:rsidRPr="003F54C3" w:rsidRDefault="00FB6CE1" w:rsidP="0067714C">
            <w:pPr>
              <w:spacing w:after="0" w:line="240" w:lineRule="auto"/>
              <w:cnfStyle w:val="000000100000" w:firstRow="0" w:lastRow="0" w:firstColumn="0" w:lastColumn="0" w:oddVBand="0" w:evenVBand="0" w:oddHBand="1" w:evenHBand="0" w:firstRowFirstColumn="0" w:firstRowLastColumn="0" w:lastRowFirstColumn="0" w:lastRowLastColumn="0"/>
            </w:pPr>
            <w:r w:rsidRPr="003F54C3">
              <w:t>A technique where downlink and uplink communications can operate at the same time but are separated by the allocation of different frequency blocks. The frequency separation between these blocks is known as the FDD ‘split’ (e.g. the FDD split between mobile services operating in the 803–960 MHz band is 45 MHz).</w:t>
            </w:r>
          </w:p>
        </w:tc>
      </w:tr>
      <w:tr w:rsidR="00FB6CE1" w:rsidRPr="003F54C3" w14:paraId="54661106" w14:textId="77777777" w:rsidTr="0067714C">
        <w:trPr>
          <w:cantSplit/>
        </w:trPr>
        <w:tc>
          <w:tcPr>
            <w:cnfStyle w:val="001000000000" w:firstRow="0" w:lastRow="0" w:firstColumn="1" w:lastColumn="0" w:oddVBand="0" w:evenVBand="0" w:oddHBand="0" w:evenHBand="0" w:firstRowFirstColumn="0" w:firstRowLastColumn="0" w:lastRowFirstColumn="0" w:lastRowLastColumn="0"/>
            <w:tcW w:w="2405" w:type="dxa"/>
          </w:tcPr>
          <w:p w14:paraId="76853B5B" w14:textId="77777777" w:rsidR="00FB6CE1" w:rsidRPr="003F54C3" w:rsidRDefault="00FB6CE1" w:rsidP="0067714C">
            <w:pPr>
              <w:spacing w:after="0" w:line="240" w:lineRule="auto"/>
            </w:pPr>
            <w:r>
              <w:t>FSS</w:t>
            </w:r>
          </w:p>
        </w:tc>
        <w:tc>
          <w:tcPr>
            <w:tcW w:w="5256" w:type="dxa"/>
          </w:tcPr>
          <w:p w14:paraId="7042F962" w14:textId="77777777" w:rsidR="00FB6CE1" w:rsidRPr="003F54C3" w:rsidRDefault="00FB6CE1" w:rsidP="0067714C">
            <w:pPr>
              <w:spacing w:after="120" w:line="240" w:lineRule="auto"/>
              <w:cnfStyle w:val="000000000000" w:firstRow="0" w:lastRow="0" w:firstColumn="0" w:lastColumn="0" w:oddVBand="0" w:evenVBand="0" w:oddHBand="0" w:evenHBand="0" w:firstRowFirstColumn="0" w:firstRowLastColumn="0" w:lastRowFirstColumn="0" w:lastRowLastColumn="0"/>
            </w:pPr>
            <w:r>
              <w:t>Fixed satellite service</w:t>
            </w:r>
          </w:p>
        </w:tc>
      </w:tr>
      <w:tr w:rsidR="00FB6CE1" w:rsidRPr="003F54C3" w14:paraId="322327C9" w14:textId="77777777" w:rsidTr="0067714C">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6AA7E6B9" w14:textId="77777777" w:rsidR="00FB6CE1" w:rsidRPr="003F54C3" w:rsidRDefault="00FB6CE1" w:rsidP="0067714C">
            <w:pPr>
              <w:spacing w:after="0" w:line="240" w:lineRule="auto"/>
            </w:pPr>
            <w:r w:rsidRPr="003F54C3">
              <w:t>HCIS</w:t>
            </w:r>
          </w:p>
        </w:tc>
        <w:tc>
          <w:tcPr>
            <w:tcW w:w="5256" w:type="dxa"/>
          </w:tcPr>
          <w:p w14:paraId="464B355A" w14:textId="77777777" w:rsidR="00FB6CE1" w:rsidRPr="003F54C3" w:rsidRDefault="00FB6CE1" w:rsidP="0067714C">
            <w:pPr>
              <w:spacing w:after="120" w:line="240" w:lineRule="auto"/>
              <w:cnfStyle w:val="000000100000" w:firstRow="0" w:lastRow="0" w:firstColumn="0" w:lastColumn="0" w:oddVBand="0" w:evenVBand="0" w:oddHBand="1" w:evenHBand="0" w:firstRowFirstColumn="0" w:firstRowLastColumn="0" w:lastRowFirstColumn="0" w:lastRowLastColumn="0"/>
            </w:pPr>
            <w:r w:rsidRPr="003F54C3">
              <w:t>Hierarchical Cell Identification Scheme</w:t>
            </w:r>
          </w:p>
          <w:p w14:paraId="4E4A97FC" w14:textId="0F6ACD1A" w:rsidR="00FB6CE1" w:rsidRPr="00806E3A" w:rsidRDefault="00FB6CE1" w:rsidP="0067714C">
            <w:pPr>
              <w:spacing w:after="120" w:line="240" w:lineRule="auto"/>
              <w:cnfStyle w:val="000000100000" w:firstRow="0" w:lastRow="0" w:firstColumn="0" w:lastColumn="0" w:oddVBand="0" w:evenVBand="0" w:oddHBand="1" w:evenHBand="0" w:firstRowFirstColumn="0" w:firstRowLastColumn="0" w:lastRowFirstColumn="0" w:lastRowLastColumn="0"/>
              <w:rPr>
                <w:rFonts w:cs="Arial"/>
                <w:color w:val="000000"/>
              </w:rPr>
            </w:pPr>
            <w:r w:rsidRPr="003F54C3">
              <w:rPr>
                <w:rFonts w:cs="Arial"/>
                <w:color w:val="000000"/>
              </w:rPr>
              <w:t xml:space="preserve">A naming convention developed by the ACMA that applies unique ‘names’ to each of the cells of the ASMG. Each </w:t>
            </w:r>
            <w:r w:rsidRPr="003F54C3">
              <w:t>five</w:t>
            </w:r>
            <w:r w:rsidRPr="003F54C3">
              <w:rPr>
                <w:rFonts w:cs="Arial"/>
                <w:color w:val="000000"/>
              </w:rPr>
              <w:t xml:space="preserve">-minute of arc square cell in the ASMG is assigned a unique identifier, derived from the cell’s position in a hierarchically arranged grouping of cells. The </w:t>
            </w:r>
            <w:r w:rsidRPr="003F54C3">
              <w:t>hierarchy</w:t>
            </w:r>
            <w:r w:rsidRPr="003F54C3">
              <w:rPr>
                <w:rFonts w:cs="Arial"/>
                <w:color w:val="000000"/>
              </w:rPr>
              <w:t xml:space="preserve"> has four levels. A detailed description of the HCIS is available on the </w:t>
            </w:r>
            <w:hyperlink r:id="rId43" w:history="1">
              <w:r w:rsidR="00FD7320" w:rsidRPr="00FD7320">
                <w:rPr>
                  <w:rStyle w:val="Hyperlink"/>
                  <w:rFonts w:cs="Arial"/>
                </w:rPr>
                <w:t>ACMA website</w:t>
              </w:r>
            </w:hyperlink>
            <w:r w:rsidRPr="003F54C3">
              <w:rPr>
                <w:rFonts w:cs="Arial"/>
                <w:color w:val="000000"/>
              </w:rPr>
              <w:t>.</w:t>
            </w:r>
          </w:p>
          <w:p w14:paraId="1EB573AB" w14:textId="77777777" w:rsidR="00FB6CE1" w:rsidRPr="009B4DF7" w:rsidRDefault="00FB6CE1" w:rsidP="0067714C">
            <w:pPr>
              <w:spacing w:after="0" w:line="240" w:lineRule="auto"/>
              <w:cnfStyle w:val="000000100000" w:firstRow="0" w:lastRow="0" w:firstColumn="0" w:lastColumn="0" w:oddVBand="0" w:evenVBand="0" w:oddHBand="1" w:evenHBand="0" w:firstRowFirstColumn="0" w:firstRowLastColumn="0" w:lastRowFirstColumn="0" w:lastRowLastColumn="0"/>
            </w:pPr>
            <w:r w:rsidRPr="00880B4D">
              <w:rPr>
                <w:rFonts w:cs="Arial"/>
                <w:iCs/>
              </w:rPr>
              <w:t>See also</w:t>
            </w:r>
            <w:r w:rsidRPr="006C6E23">
              <w:rPr>
                <w:rFonts w:cs="Arial"/>
                <w:i/>
              </w:rPr>
              <w:t xml:space="preserve"> </w:t>
            </w:r>
            <w:r w:rsidRPr="003A1A7E">
              <w:rPr>
                <w:rFonts w:cs="Arial"/>
              </w:rPr>
              <w:t>ASMG</w:t>
            </w:r>
            <w:r w:rsidRPr="009B4DF7">
              <w:rPr>
                <w:rFonts w:cs="Arial"/>
                <w:i/>
              </w:rPr>
              <w:t>.</w:t>
            </w:r>
          </w:p>
        </w:tc>
      </w:tr>
      <w:tr w:rsidR="00FB6CE1" w:rsidRPr="003F54C3" w14:paraId="1A366C47" w14:textId="77777777" w:rsidTr="0067714C">
        <w:trPr>
          <w:cantSplit/>
        </w:trPr>
        <w:tc>
          <w:tcPr>
            <w:cnfStyle w:val="001000000000" w:firstRow="0" w:lastRow="0" w:firstColumn="1" w:lastColumn="0" w:oddVBand="0" w:evenVBand="0" w:oddHBand="0" w:evenHBand="0" w:firstRowFirstColumn="0" w:firstRowLastColumn="0" w:lastRowFirstColumn="0" w:lastRowLastColumn="0"/>
            <w:tcW w:w="2405" w:type="dxa"/>
          </w:tcPr>
          <w:p w14:paraId="09BA1A7F" w14:textId="77777777" w:rsidR="00FB6CE1" w:rsidRPr="003F54C3" w:rsidRDefault="00FB6CE1" w:rsidP="0067714C">
            <w:pPr>
              <w:spacing w:after="0" w:line="240" w:lineRule="auto"/>
            </w:pPr>
            <w:r w:rsidRPr="003F54C3">
              <w:t>FSS</w:t>
            </w:r>
          </w:p>
        </w:tc>
        <w:tc>
          <w:tcPr>
            <w:tcW w:w="5256" w:type="dxa"/>
          </w:tcPr>
          <w:p w14:paraId="439730C2" w14:textId="77777777" w:rsidR="00FB6CE1" w:rsidRPr="003F54C3" w:rsidRDefault="00FB6CE1" w:rsidP="0067714C">
            <w:pPr>
              <w:spacing w:after="0" w:line="240" w:lineRule="auto"/>
              <w:cnfStyle w:val="000000000000" w:firstRow="0" w:lastRow="0" w:firstColumn="0" w:lastColumn="0" w:oddVBand="0" w:evenVBand="0" w:oddHBand="0" w:evenHBand="0" w:firstRowFirstColumn="0" w:firstRowLastColumn="0" w:lastRowFirstColumn="0" w:lastRowLastColumn="0"/>
            </w:pPr>
            <w:r w:rsidRPr="003F54C3">
              <w:t>Fixed satellite service</w:t>
            </w:r>
          </w:p>
        </w:tc>
      </w:tr>
      <w:tr w:rsidR="00FB6CE1" w:rsidRPr="003F54C3" w14:paraId="344D756D" w14:textId="77777777" w:rsidTr="0067714C">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34E4A58D" w14:textId="77777777" w:rsidR="00FB6CE1" w:rsidRPr="003F54C3" w:rsidRDefault="00FB6CE1" w:rsidP="0067714C">
            <w:pPr>
              <w:spacing w:after="0" w:line="240" w:lineRule="auto"/>
            </w:pPr>
            <w:r w:rsidRPr="003F54C3">
              <w:t>HVU</w:t>
            </w:r>
          </w:p>
        </w:tc>
        <w:tc>
          <w:tcPr>
            <w:tcW w:w="5256" w:type="dxa"/>
          </w:tcPr>
          <w:p w14:paraId="42AFF02F" w14:textId="77777777" w:rsidR="00FB6CE1" w:rsidRPr="003F54C3" w:rsidRDefault="00FB6CE1" w:rsidP="0067714C">
            <w:pPr>
              <w:spacing w:after="80" w:line="240" w:lineRule="auto"/>
              <w:cnfStyle w:val="000000100000" w:firstRow="0" w:lastRow="0" w:firstColumn="0" w:lastColumn="0" w:oddVBand="0" w:evenVBand="0" w:oddHBand="1" w:evenHBand="0" w:firstRowFirstColumn="0" w:firstRowLastColumn="0" w:lastRowFirstColumn="0" w:lastRowLastColumn="0"/>
            </w:pPr>
            <w:r w:rsidRPr="003F54C3">
              <w:t>Highest value use</w:t>
            </w:r>
          </w:p>
          <w:p w14:paraId="729E0C5E" w14:textId="77777777" w:rsidR="00FB6CE1" w:rsidRPr="003F54C3" w:rsidRDefault="00FB6CE1" w:rsidP="0067714C">
            <w:pPr>
              <w:autoSpaceDE w:val="0"/>
              <w:autoSpaceDN w:val="0"/>
              <w:spacing w:after="0" w:line="240" w:lineRule="auto"/>
              <w:cnfStyle w:val="000000100000" w:firstRow="0" w:lastRow="0" w:firstColumn="0" w:lastColumn="0" w:oddVBand="0" w:evenVBand="0" w:oddHBand="1" w:evenHBand="0" w:firstRowFirstColumn="0" w:firstRowLastColumn="0" w:lastRowFirstColumn="0" w:lastRowLastColumn="0"/>
              <w:rPr>
                <w:rFonts w:ascii="Calibri" w:hAnsi="Calibri"/>
              </w:rPr>
            </w:pPr>
            <w:r w:rsidRPr="003F54C3">
              <w:t xml:space="preserve">When applied to spectrum, is the use for which spectrum can provide the greatest incremental value to economic welfare. The value provided to the economy by spectrum is typically due to reduced costs for spectrum users to provide services, or the ability to provide new services that would not be possible without the use of </w:t>
            </w:r>
            <w:proofErr w:type="gramStart"/>
            <w:r w:rsidRPr="003F54C3">
              <w:t>particular spectrum</w:t>
            </w:r>
            <w:proofErr w:type="gramEnd"/>
            <w:r w:rsidRPr="003F54C3">
              <w:t>.</w:t>
            </w:r>
          </w:p>
        </w:tc>
      </w:tr>
      <w:tr w:rsidR="00FB6CE1" w:rsidRPr="003F54C3" w14:paraId="5C6D9FAC" w14:textId="77777777" w:rsidTr="0067714C">
        <w:trPr>
          <w:cantSplit/>
        </w:trPr>
        <w:tc>
          <w:tcPr>
            <w:cnfStyle w:val="001000000000" w:firstRow="0" w:lastRow="0" w:firstColumn="1" w:lastColumn="0" w:oddVBand="0" w:evenVBand="0" w:oddHBand="0" w:evenHBand="0" w:firstRowFirstColumn="0" w:firstRowLastColumn="0" w:lastRowFirstColumn="0" w:lastRowLastColumn="0"/>
            <w:tcW w:w="2405" w:type="dxa"/>
          </w:tcPr>
          <w:p w14:paraId="1A9E9311" w14:textId="77777777" w:rsidR="00FB6CE1" w:rsidRPr="003F54C3" w:rsidRDefault="00FB6CE1" w:rsidP="0067714C">
            <w:pPr>
              <w:spacing w:after="0" w:line="240" w:lineRule="auto"/>
            </w:pPr>
            <w:r w:rsidRPr="003F54C3">
              <w:t>Principles for spectrum management</w:t>
            </w:r>
          </w:p>
        </w:tc>
        <w:tc>
          <w:tcPr>
            <w:tcW w:w="5256" w:type="dxa"/>
          </w:tcPr>
          <w:p w14:paraId="507CBD0E" w14:textId="1CEA198B" w:rsidR="00FB6CE1" w:rsidRPr="00806E3A" w:rsidRDefault="00FB6CE1" w:rsidP="0067714C">
            <w:pPr>
              <w:spacing w:after="0" w:line="240" w:lineRule="auto"/>
              <w:cnfStyle w:val="000000000000" w:firstRow="0" w:lastRow="0" w:firstColumn="0" w:lastColumn="0" w:oddVBand="0" w:evenVBand="0" w:oddHBand="0" w:evenHBand="0" w:firstRowFirstColumn="0" w:firstRowLastColumn="0" w:lastRowFirstColumn="0" w:lastRowLastColumn="0"/>
            </w:pPr>
            <w:r w:rsidRPr="003F54C3">
              <w:t xml:space="preserve">A set of principles developed by the ACMA to guide its approach to spectrum management. The key theme of the principles is that maximising the overall public benefit from use of the radiofrequency spectrum requires balanced application of both regulatory and market mechanisms. Details of the principles are available on the </w:t>
            </w:r>
            <w:hyperlink r:id="rId44" w:history="1">
              <w:r w:rsidR="00FD7320" w:rsidRPr="00FD7320">
                <w:rPr>
                  <w:rStyle w:val="Hyperlink"/>
                </w:rPr>
                <w:t>ACMA website</w:t>
              </w:r>
            </w:hyperlink>
            <w:r w:rsidRPr="003F54C3">
              <w:t>.</w:t>
            </w:r>
          </w:p>
        </w:tc>
      </w:tr>
      <w:tr w:rsidR="00FB6CE1" w:rsidRPr="003F54C3" w14:paraId="0B611972" w14:textId="77777777" w:rsidTr="0067714C">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74935E4D" w14:textId="77777777" w:rsidR="00FB6CE1" w:rsidRPr="003F54C3" w:rsidRDefault="00FB6CE1" w:rsidP="0067714C">
            <w:pPr>
              <w:spacing w:after="0" w:line="240" w:lineRule="auto"/>
            </w:pPr>
            <w:r w:rsidRPr="003F54C3">
              <w:t>PMP</w:t>
            </w:r>
          </w:p>
        </w:tc>
        <w:tc>
          <w:tcPr>
            <w:tcW w:w="5256" w:type="dxa"/>
          </w:tcPr>
          <w:p w14:paraId="5495A17D" w14:textId="77777777" w:rsidR="00FB6CE1" w:rsidRPr="003F54C3" w:rsidRDefault="00FB6CE1" w:rsidP="0067714C">
            <w:pPr>
              <w:spacing w:after="0" w:line="240" w:lineRule="auto"/>
              <w:cnfStyle w:val="000000100000" w:firstRow="0" w:lastRow="0" w:firstColumn="0" w:lastColumn="0" w:oddVBand="0" w:evenVBand="0" w:oddHBand="1" w:evenHBand="0" w:firstRowFirstColumn="0" w:firstRowLastColumn="0" w:lastRowFirstColumn="0" w:lastRowLastColumn="0"/>
            </w:pPr>
            <w:r w:rsidRPr="003F54C3">
              <w:t>Point-to-multipoint</w:t>
            </w:r>
          </w:p>
        </w:tc>
      </w:tr>
      <w:tr w:rsidR="00FB6CE1" w:rsidRPr="003F54C3" w14:paraId="2CB2AA51" w14:textId="77777777" w:rsidTr="0067714C">
        <w:trPr>
          <w:cantSplit/>
        </w:trPr>
        <w:tc>
          <w:tcPr>
            <w:cnfStyle w:val="001000000000" w:firstRow="0" w:lastRow="0" w:firstColumn="1" w:lastColumn="0" w:oddVBand="0" w:evenVBand="0" w:oddHBand="0" w:evenHBand="0" w:firstRowFirstColumn="0" w:firstRowLastColumn="0" w:lastRowFirstColumn="0" w:lastRowLastColumn="0"/>
            <w:tcW w:w="2405" w:type="dxa"/>
          </w:tcPr>
          <w:p w14:paraId="2719E682" w14:textId="77777777" w:rsidR="00FB6CE1" w:rsidRPr="003F54C3" w:rsidRDefault="00FB6CE1" w:rsidP="0067714C">
            <w:pPr>
              <w:spacing w:after="0" w:line="240" w:lineRule="auto"/>
            </w:pPr>
            <w:r w:rsidRPr="003F54C3">
              <w:t>PTS</w:t>
            </w:r>
          </w:p>
        </w:tc>
        <w:tc>
          <w:tcPr>
            <w:tcW w:w="5256" w:type="dxa"/>
          </w:tcPr>
          <w:p w14:paraId="27ACD6A1" w14:textId="77777777" w:rsidR="00FB6CE1" w:rsidRPr="003F54C3" w:rsidRDefault="00FB6CE1" w:rsidP="0067714C">
            <w:pPr>
              <w:spacing w:after="0" w:line="240" w:lineRule="auto"/>
              <w:cnfStyle w:val="000000000000" w:firstRow="0" w:lastRow="0" w:firstColumn="0" w:lastColumn="0" w:oddVBand="0" w:evenVBand="0" w:oddHBand="0" w:evenHBand="0" w:firstRowFirstColumn="0" w:firstRowLastColumn="0" w:lastRowFirstColumn="0" w:lastRowLastColumn="0"/>
            </w:pPr>
            <w:r w:rsidRPr="003F54C3">
              <w:t>Public telecommunications service</w:t>
            </w:r>
          </w:p>
        </w:tc>
      </w:tr>
      <w:tr w:rsidR="00FB6CE1" w:rsidRPr="003F54C3" w14:paraId="4A29DF53" w14:textId="77777777" w:rsidTr="0067714C">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5D3CB85F" w14:textId="4D4A0FDB" w:rsidR="00FB6CE1" w:rsidRPr="003F54C3" w:rsidRDefault="00FB6CE1" w:rsidP="0067714C">
            <w:pPr>
              <w:spacing w:after="0" w:line="240" w:lineRule="auto"/>
            </w:pPr>
            <w:r w:rsidRPr="003F54C3">
              <w:t xml:space="preserve">Reallocation of spectrum </w:t>
            </w:r>
          </w:p>
        </w:tc>
        <w:tc>
          <w:tcPr>
            <w:tcW w:w="5256" w:type="dxa"/>
          </w:tcPr>
          <w:p w14:paraId="7D79F145" w14:textId="6C5BFC4F" w:rsidR="00FB6CE1" w:rsidRPr="003F54C3" w:rsidRDefault="00FB6CE1" w:rsidP="0067714C">
            <w:pPr>
              <w:spacing w:after="0" w:line="240" w:lineRule="auto"/>
              <w:cnfStyle w:val="000000100000" w:firstRow="0" w:lastRow="0" w:firstColumn="0" w:lastColumn="0" w:oddVBand="0" w:evenVBand="0" w:oddHBand="1" w:evenHBand="0" w:firstRowFirstColumn="0" w:firstRowLastColumn="0" w:lastRowFirstColumn="0" w:lastRowLastColumn="0"/>
            </w:pPr>
            <w:r w:rsidRPr="003F54C3">
              <w:t xml:space="preserve">Under </w:t>
            </w:r>
            <w:r w:rsidRPr="003F54C3">
              <w:rPr>
                <w:rFonts w:cs="Arial"/>
              </w:rPr>
              <w:t>section 153B of the</w:t>
            </w:r>
            <w:r>
              <w:rPr>
                <w:rFonts w:cs="Arial"/>
              </w:rPr>
              <w:t xml:space="preserve"> Act</w:t>
            </w:r>
            <w:r w:rsidRPr="003F54C3">
              <w:rPr>
                <w:rFonts w:cs="Arial"/>
              </w:rPr>
              <w:t xml:space="preserve">, the </w:t>
            </w:r>
            <w:r w:rsidR="00EC6799">
              <w:rPr>
                <w:rFonts w:cs="Arial"/>
              </w:rPr>
              <w:t>M</w:t>
            </w:r>
            <w:r w:rsidRPr="003F54C3">
              <w:rPr>
                <w:rFonts w:cs="Arial"/>
              </w:rPr>
              <w:t>inster can reallocate specific frequencies and areas for the issue of spectrum (or apparatus) licences. A result of this process is the cancellation of incumbent apparatus licences in the identified areas at the end of a defined timeframe known as the reallocation period.</w:t>
            </w:r>
          </w:p>
        </w:tc>
      </w:tr>
      <w:tr w:rsidR="00FB6CE1" w:rsidRPr="003F54C3" w14:paraId="78CD5574" w14:textId="77777777" w:rsidTr="0067714C">
        <w:trPr>
          <w:cantSplit/>
        </w:trPr>
        <w:tc>
          <w:tcPr>
            <w:cnfStyle w:val="001000000000" w:firstRow="0" w:lastRow="0" w:firstColumn="1" w:lastColumn="0" w:oddVBand="0" w:evenVBand="0" w:oddHBand="0" w:evenHBand="0" w:firstRowFirstColumn="0" w:firstRowLastColumn="0" w:lastRowFirstColumn="0" w:lastRowLastColumn="0"/>
            <w:tcW w:w="2405" w:type="dxa"/>
          </w:tcPr>
          <w:p w14:paraId="43694559" w14:textId="1FEB56D7" w:rsidR="00FB6CE1" w:rsidRPr="003F54C3" w:rsidRDefault="00FB6CE1" w:rsidP="0067714C">
            <w:pPr>
              <w:spacing w:after="0" w:line="240" w:lineRule="auto"/>
            </w:pPr>
            <w:r w:rsidRPr="003F54C3">
              <w:lastRenderedPageBreak/>
              <w:t>Reallocation period</w:t>
            </w:r>
          </w:p>
        </w:tc>
        <w:tc>
          <w:tcPr>
            <w:tcW w:w="5256" w:type="dxa"/>
          </w:tcPr>
          <w:p w14:paraId="38964B23" w14:textId="20BFE697" w:rsidR="00FB6CE1" w:rsidRPr="003F54C3" w:rsidRDefault="00FB6CE1" w:rsidP="0067714C">
            <w:pPr>
              <w:spacing w:after="0" w:line="240" w:lineRule="auto"/>
              <w:cnfStyle w:val="000000000000" w:firstRow="0" w:lastRow="0" w:firstColumn="0" w:lastColumn="0" w:oddVBand="0" w:evenVBand="0" w:oddHBand="0" w:evenHBand="0" w:firstRowFirstColumn="0" w:firstRowLastColumn="0" w:lastRowFirstColumn="0" w:lastRowLastColumn="0"/>
            </w:pPr>
            <w:r w:rsidRPr="003F54C3">
              <w:t xml:space="preserve">The </w:t>
            </w:r>
            <w:proofErr w:type="gramStart"/>
            <w:r w:rsidRPr="003F54C3">
              <w:t>period of time</w:t>
            </w:r>
            <w:proofErr w:type="gramEnd"/>
            <w:r w:rsidRPr="003F54C3">
              <w:t xml:space="preserve"> before </w:t>
            </w:r>
            <w:r w:rsidRPr="003F54C3">
              <w:rPr>
                <w:rFonts w:cs="Arial"/>
              </w:rPr>
              <w:t>incumbent apparatus licenses that fall wholly or partially within the frequencies and areas to be reallocated under section 153B of the</w:t>
            </w:r>
            <w:r>
              <w:rPr>
                <w:rFonts w:cs="Arial"/>
              </w:rPr>
              <w:t xml:space="preserve"> Act</w:t>
            </w:r>
            <w:r w:rsidRPr="003F54C3">
              <w:rPr>
                <w:rFonts w:cs="Arial"/>
              </w:rPr>
              <w:t xml:space="preserve"> will be cancelled. The reallocation period is required to be a minimum of two years.</w:t>
            </w:r>
          </w:p>
        </w:tc>
      </w:tr>
      <w:tr w:rsidR="00FB6CE1" w:rsidRPr="003F54C3" w14:paraId="144DDB84" w14:textId="77777777" w:rsidTr="0067714C">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785437E0" w14:textId="77777777" w:rsidR="00FB6CE1" w:rsidRPr="003F54C3" w:rsidRDefault="00FB6CE1" w:rsidP="0067714C">
            <w:pPr>
              <w:spacing w:after="0" w:line="240" w:lineRule="auto"/>
            </w:pPr>
            <w:r w:rsidRPr="003F54C3">
              <w:t>Spectrum licence</w:t>
            </w:r>
          </w:p>
        </w:tc>
        <w:tc>
          <w:tcPr>
            <w:tcW w:w="5256" w:type="dxa"/>
          </w:tcPr>
          <w:p w14:paraId="51F08C94" w14:textId="2C01F789" w:rsidR="00FB6CE1" w:rsidRPr="003F54C3" w:rsidRDefault="00FB6CE1" w:rsidP="0067714C">
            <w:pPr>
              <w:spacing w:after="0" w:line="240" w:lineRule="auto"/>
              <w:cnfStyle w:val="000000100000" w:firstRow="0" w:lastRow="0" w:firstColumn="0" w:lastColumn="0" w:oddVBand="0" w:evenVBand="0" w:oddHBand="1" w:evenHBand="0" w:firstRowFirstColumn="0" w:firstRowLastColumn="0" w:lastRowFirstColumn="0" w:lastRowLastColumn="0"/>
            </w:pPr>
            <w:r w:rsidRPr="003F54C3">
              <w:t xml:space="preserve">Issued under the </w:t>
            </w:r>
            <w:r>
              <w:t>Act to</w:t>
            </w:r>
            <w:r w:rsidRPr="003F54C3">
              <w:t xml:space="preserve"> authorise the use of a </w:t>
            </w:r>
            <w:proofErr w:type="gramStart"/>
            <w:r w:rsidRPr="003F54C3">
              <w:t>particular frequency</w:t>
            </w:r>
            <w:proofErr w:type="gramEnd"/>
            <w:r w:rsidRPr="003F54C3">
              <w:t xml:space="preserve"> band within a particular geographic area for a period of up to 15 years. The geographic area can vary in size, up to and including the entire country.</w:t>
            </w:r>
          </w:p>
        </w:tc>
      </w:tr>
      <w:tr w:rsidR="00FB6CE1" w:rsidRPr="003F54C3" w14:paraId="0783A165" w14:textId="77777777" w:rsidTr="0067714C">
        <w:trPr>
          <w:cantSplit/>
        </w:trPr>
        <w:tc>
          <w:tcPr>
            <w:cnfStyle w:val="001000000000" w:firstRow="0" w:lastRow="0" w:firstColumn="1" w:lastColumn="0" w:oddVBand="0" w:evenVBand="0" w:oddHBand="0" w:evenHBand="0" w:firstRowFirstColumn="0" w:firstRowLastColumn="0" w:lastRowFirstColumn="0" w:lastRowLastColumn="0"/>
            <w:tcW w:w="2405" w:type="dxa"/>
          </w:tcPr>
          <w:p w14:paraId="09EB10F4" w14:textId="77777777" w:rsidR="00FB6CE1" w:rsidRPr="003F54C3" w:rsidRDefault="00FB6CE1" w:rsidP="0067714C">
            <w:pPr>
              <w:spacing w:after="0" w:line="240" w:lineRule="auto"/>
            </w:pPr>
            <w:r w:rsidRPr="003F54C3">
              <w:t>TDD</w:t>
            </w:r>
          </w:p>
        </w:tc>
        <w:tc>
          <w:tcPr>
            <w:tcW w:w="5256" w:type="dxa"/>
          </w:tcPr>
          <w:p w14:paraId="19F60462" w14:textId="77777777" w:rsidR="00FB6CE1" w:rsidRPr="003F54C3" w:rsidRDefault="00FB6CE1" w:rsidP="0067714C">
            <w:pPr>
              <w:spacing w:after="120" w:line="240" w:lineRule="auto"/>
              <w:cnfStyle w:val="000000000000" w:firstRow="0" w:lastRow="0" w:firstColumn="0" w:lastColumn="0" w:oddVBand="0" w:evenVBand="0" w:oddHBand="0" w:evenHBand="0" w:firstRowFirstColumn="0" w:firstRowLastColumn="0" w:lastRowFirstColumn="0" w:lastRowLastColumn="0"/>
            </w:pPr>
            <w:r w:rsidRPr="003F54C3">
              <w:t>Time Division Duplex</w:t>
            </w:r>
          </w:p>
          <w:p w14:paraId="0E12EFBB" w14:textId="77777777" w:rsidR="00FB6CE1" w:rsidRPr="003F54C3" w:rsidRDefault="00FB6CE1" w:rsidP="0067714C">
            <w:pPr>
              <w:spacing w:after="0" w:line="240" w:lineRule="auto"/>
              <w:cnfStyle w:val="000000000000" w:firstRow="0" w:lastRow="0" w:firstColumn="0" w:lastColumn="0" w:oddVBand="0" w:evenVBand="0" w:oddHBand="0" w:evenHBand="0" w:firstRowFirstColumn="0" w:firstRowLastColumn="0" w:lastRowFirstColumn="0" w:lastRowLastColumn="0"/>
            </w:pPr>
            <w:r w:rsidRPr="003F54C3">
              <w:t>A technique where downlink and uplink communications use the same frequency but are separated by the allocation of different slots. This means uplink and downlink communications cannot occur at the same time.</w:t>
            </w:r>
          </w:p>
        </w:tc>
      </w:tr>
      <w:tr w:rsidR="00FB6CE1" w:rsidRPr="003F54C3" w14:paraId="0373BA6E" w14:textId="77777777" w:rsidTr="0067714C">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5FD3459A" w14:textId="77777777" w:rsidR="00FB6CE1" w:rsidRPr="003F54C3" w:rsidRDefault="00FB6CE1" w:rsidP="0067714C">
            <w:pPr>
              <w:spacing w:after="0" w:line="240" w:lineRule="auto"/>
            </w:pPr>
            <w:r w:rsidRPr="003F54C3">
              <w:t>WISP</w:t>
            </w:r>
          </w:p>
        </w:tc>
        <w:tc>
          <w:tcPr>
            <w:tcW w:w="5256" w:type="dxa"/>
          </w:tcPr>
          <w:p w14:paraId="472221B3" w14:textId="77777777" w:rsidR="00FB6CE1" w:rsidRPr="003F54C3" w:rsidRDefault="00FB6CE1" w:rsidP="0067714C">
            <w:pPr>
              <w:spacing w:after="0" w:line="240" w:lineRule="auto"/>
              <w:cnfStyle w:val="000000100000" w:firstRow="0" w:lastRow="0" w:firstColumn="0" w:lastColumn="0" w:oddVBand="0" w:evenVBand="0" w:oddHBand="1" w:evenHBand="0" w:firstRowFirstColumn="0" w:firstRowLastColumn="0" w:lastRowFirstColumn="0" w:lastRowLastColumn="0"/>
            </w:pPr>
            <w:r w:rsidRPr="003F54C3">
              <w:t>Wireless Internet Service Provider</w:t>
            </w:r>
          </w:p>
        </w:tc>
      </w:tr>
    </w:tbl>
    <w:p w14:paraId="09C3BEBE" w14:textId="6282065A" w:rsidR="00FB6CE1" w:rsidRPr="003F54C3" w:rsidRDefault="00FB6CE1" w:rsidP="00FB6CE1">
      <w:pPr>
        <w:pStyle w:val="Heading1"/>
      </w:pPr>
      <w:bookmarkStart w:id="71" w:name="_Toc21088518"/>
      <w:bookmarkStart w:id="72" w:name="_Toc25047697"/>
      <w:bookmarkStart w:id="73" w:name="_Toc19620728"/>
      <w:r w:rsidRPr="003F54C3">
        <w:lastRenderedPageBreak/>
        <w:t>Appendix A—</w:t>
      </w:r>
      <w:r w:rsidR="009437E7">
        <w:t>p</w:t>
      </w:r>
      <w:r w:rsidRPr="003F54C3">
        <w:t>lanning goals</w:t>
      </w:r>
      <w:bookmarkEnd w:id="71"/>
      <w:bookmarkEnd w:id="72"/>
    </w:p>
    <w:p w14:paraId="35793C04" w14:textId="77777777" w:rsidR="00FB6CE1" w:rsidRPr="003F54C3" w:rsidRDefault="00FB6CE1" w:rsidP="00772048">
      <w:pPr>
        <w:spacing w:before="240" w:after="80"/>
        <w:rPr>
          <w:rFonts w:cs="Arial"/>
        </w:rPr>
      </w:pPr>
      <w:bookmarkStart w:id="74" w:name="_Hlk5606916"/>
      <w:r w:rsidRPr="003F54C3">
        <w:rPr>
          <w:rFonts w:cs="Arial"/>
        </w:rPr>
        <w:t>The ACMA’s planning goals for the 3400–3575 MHz band are to ensure, as much as possible, the following:</w:t>
      </w:r>
    </w:p>
    <w:p w14:paraId="070039C0" w14:textId="313AA4C1" w:rsidR="00FB6CE1" w:rsidRPr="003F54C3" w:rsidRDefault="00FB6CE1" w:rsidP="00772048">
      <w:pPr>
        <w:pStyle w:val="ListBullet"/>
      </w:pPr>
      <w:r w:rsidRPr="003F54C3">
        <w:t>Barriers to change (</w:t>
      </w:r>
      <w:r w:rsidR="009437E7">
        <w:t>for example,</w:t>
      </w:r>
      <w:r w:rsidRPr="003F54C3">
        <w:t xml:space="preserve"> trading) are removed</w:t>
      </w:r>
      <w:r w:rsidR="008D5773">
        <w:t>.</w:t>
      </w:r>
    </w:p>
    <w:p w14:paraId="2EB43B7D" w14:textId="6F63E9B1" w:rsidR="00FB6CE1" w:rsidRPr="003F54C3" w:rsidRDefault="00FB6CE1" w:rsidP="00772048">
      <w:pPr>
        <w:pStyle w:val="ListBullet"/>
      </w:pPr>
      <w:r w:rsidRPr="003F54C3">
        <w:t>Arrangements for wireless broadband use are put in place across the entire 3400–3575 MHz band, Australia-wide</w:t>
      </w:r>
      <w:r w:rsidR="008D5773">
        <w:t>.</w:t>
      </w:r>
    </w:p>
    <w:p w14:paraId="535B01DA" w14:textId="515ACB00" w:rsidR="00FB6CE1" w:rsidRPr="003F54C3" w:rsidRDefault="00FB6CE1" w:rsidP="00772048">
      <w:pPr>
        <w:pStyle w:val="ListBullet"/>
      </w:pPr>
      <w:r w:rsidRPr="003F54C3">
        <w:t>Area-based apparatus and spectrum licensees achieve contiguous spectrum holdings in all areas in which they hold licences</w:t>
      </w:r>
      <w:r w:rsidR="008D5773">
        <w:t>.</w:t>
      </w:r>
    </w:p>
    <w:p w14:paraId="6562E10F" w14:textId="1366AF72" w:rsidR="00FB6CE1" w:rsidRPr="003F54C3" w:rsidRDefault="00FB6CE1" w:rsidP="00772048">
      <w:pPr>
        <w:pStyle w:val="ListBullet"/>
      </w:pPr>
      <w:r w:rsidRPr="003F54C3">
        <w:t>Area-based apparatus and spectrum licensees</w:t>
      </w:r>
      <w:r>
        <w:t>’</w:t>
      </w:r>
      <w:r w:rsidRPr="003F54C3">
        <w:t xml:space="preserve"> total spectrum holdings are maintained in all areas they hold licences</w:t>
      </w:r>
      <w:r w:rsidR="008D5773">
        <w:t>.</w:t>
      </w:r>
      <w:r w:rsidRPr="003F54C3">
        <w:t xml:space="preserve"> </w:t>
      </w:r>
    </w:p>
    <w:p w14:paraId="1D60E6A0" w14:textId="3F40DCD3" w:rsidR="00FB6CE1" w:rsidRPr="003F54C3" w:rsidRDefault="00FB6CE1" w:rsidP="00772048">
      <w:pPr>
        <w:pStyle w:val="ListBullet"/>
      </w:pPr>
      <w:r w:rsidRPr="003F54C3">
        <w:t>Spectrum arrangements for localised wireless broadband apparatus licensing are consolidated into a single frequency range to facilitate the adoption of TDD technologies and provide access to larger channel sizes</w:t>
      </w:r>
      <w:r w:rsidR="008D5773">
        <w:t>.</w:t>
      </w:r>
      <w:r w:rsidRPr="003F54C3">
        <w:t xml:space="preserve"> </w:t>
      </w:r>
    </w:p>
    <w:p w14:paraId="297C4A5D" w14:textId="77777777" w:rsidR="00FB6CE1" w:rsidRPr="003F54C3" w:rsidRDefault="00FB6CE1" w:rsidP="00772048">
      <w:pPr>
        <w:pStyle w:val="ListBullet"/>
      </w:pPr>
      <w:r w:rsidRPr="003F54C3">
        <w:t>The amount of spectrum available for localised wireless broadband apparatus licensing remains the same or increases in all areas. This provides an option for incumbent localised wireless broadband apparatus licensees to continue operating in the band if they wish to do so.</w:t>
      </w:r>
    </w:p>
    <w:p w14:paraId="203D9B24" w14:textId="31CF55D5" w:rsidR="00FB6CE1" w:rsidRPr="003F54C3" w:rsidRDefault="00FB6CE1" w:rsidP="00FB6CE1">
      <w:pPr>
        <w:pStyle w:val="Heading1"/>
      </w:pPr>
      <w:bookmarkStart w:id="75" w:name="_Toc6923142"/>
      <w:bookmarkStart w:id="76" w:name="_Toc21088519"/>
      <w:bookmarkStart w:id="77" w:name="_Toc25047698"/>
      <w:bookmarkEnd w:id="73"/>
      <w:bookmarkEnd w:id="74"/>
      <w:r w:rsidRPr="003F54C3">
        <w:lastRenderedPageBreak/>
        <w:t>Appendix B—</w:t>
      </w:r>
      <w:r w:rsidR="009437E7">
        <w:t>g</w:t>
      </w:r>
      <w:r w:rsidRPr="003F54C3">
        <w:t>eographical area definitions</w:t>
      </w:r>
      <w:bookmarkEnd w:id="75"/>
      <w:bookmarkEnd w:id="76"/>
      <w:bookmarkEnd w:id="77"/>
    </w:p>
    <w:p w14:paraId="7675873F" w14:textId="77777777" w:rsidR="00FB6CE1" w:rsidRPr="003F54C3" w:rsidRDefault="00FB6CE1" w:rsidP="00FB6CE1">
      <w:pPr>
        <w:spacing w:after="80" w:line="80" w:lineRule="atLeast"/>
      </w:pPr>
      <w:r w:rsidRPr="003F54C3">
        <w:t>This appendix provides a definition for the following areas used in this paper:</w:t>
      </w:r>
    </w:p>
    <w:p w14:paraId="15D26D8E" w14:textId="28EE0DC0" w:rsidR="00FB6CE1" w:rsidRPr="009B4DF7" w:rsidRDefault="00FB6CE1" w:rsidP="00772048">
      <w:pPr>
        <w:pStyle w:val="Bulletlevel1"/>
      </w:pPr>
      <w:r w:rsidRPr="003F54C3">
        <w:t xml:space="preserve">Metropolitan areas: </w:t>
      </w:r>
      <w:r w:rsidR="00EC6799">
        <w:t>T</w:t>
      </w:r>
      <w:r w:rsidRPr="003F54C3">
        <w:t xml:space="preserve">hese areas cover the capital cities of Adelaide, Brisbane, Canberra, Melbourne, Perth, Sydney. The exact areas mirror the </w:t>
      </w:r>
      <w:r w:rsidR="008D5773" w:rsidRPr="00772048">
        <w:t>capital city areas that formed part of the year 2000 auction</w:t>
      </w:r>
      <w:r w:rsidRPr="003F54C3">
        <w:t xml:space="preserve"> of spectrum licenses in the 3425</w:t>
      </w:r>
      <w:r w:rsidRPr="00806E3A">
        <w:t>–</w:t>
      </w:r>
      <w:r w:rsidRPr="006C6E23">
        <w:t>3492.5 GHz and 3542.5</w:t>
      </w:r>
      <w:r w:rsidRPr="003A1A7E">
        <w:t>–</w:t>
      </w:r>
      <w:r w:rsidRPr="009B4DF7">
        <w:t>3575 MHz bands</w:t>
      </w:r>
      <w:r w:rsidR="00FD7320">
        <w:t xml:space="preserve">, whose definition can be found in the </w:t>
      </w:r>
      <w:hyperlink r:id="rId45" w:history="1">
        <w:r w:rsidR="00FD7320" w:rsidRPr="00DB4E0A">
          <w:rPr>
            <w:rStyle w:val="Hyperlink"/>
          </w:rPr>
          <w:t>marketing plan</w:t>
        </w:r>
      </w:hyperlink>
      <w:r w:rsidRPr="009B4DF7">
        <w:t>.</w:t>
      </w:r>
    </w:p>
    <w:p w14:paraId="44C1A931" w14:textId="1B0F71F0" w:rsidR="00FB6CE1" w:rsidRPr="009B4DF7" w:rsidRDefault="00FB6CE1" w:rsidP="00772048">
      <w:pPr>
        <w:pStyle w:val="Bulletlevel1"/>
      </w:pPr>
      <w:r w:rsidRPr="00EF5D2F">
        <w:t>Major regional centres:</w:t>
      </w:r>
      <w:r w:rsidRPr="0053513E">
        <w:t xml:space="preserve"> These areas cover the cities of Albury, Ballarat, Bendigo, Cairns, Rockhampton, Hobart, Launceston, Toowoomba and Townsville. The exact areas mirror the </w:t>
      </w:r>
      <w:hyperlink r:id="rId46" w:history="1">
        <w:r w:rsidR="00DB4E0A" w:rsidRPr="00DB4E0A">
          <w:rPr>
            <w:rStyle w:val="Hyperlink"/>
          </w:rPr>
          <w:t>major regional centres</w:t>
        </w:r>
      </w:hyperlink>
      <w:r w:rsidR="008D5773" w:rsidRPr="00772048">
        <w:t xml:space="preserve"> that formed part of the year 2000 auction</w:t>
      </w:r>
      <w:r w:rsidRPr="003F54C3">
        <w:t xml:space="preserve"> of spectrum licenses in the 3425</w:t>
      </w:r>
      <w:r w:rsidRPr="00806E3A">
        <w:t>–</w:t>
      </w:r>
      <w:r w:rsidRPr="006C6E23">
        <w:t>3492.5 GHz and 3542.5</w:t>
      </w:r>
      <w:r w:rsidRPr="003A1A7E">
        <w:t>–</w:t>
      </w:r>
      <w:r w:rsidRPr="009B4DF7">
        <w:t>3575 MHz bands.</w:t>
      </w:r>
    </w:p>
    <w:p w14:paraId="54849703" w14:textId="77777777" w:rsidR="00FB6CE1" w:rsidRPr="0053513E" w:rsidRDefault="00FB6CE1" w:rsidP="00772048">
      <w:pPr>
        <w:pStyle w:val="Bulletlevel1"/>
      </w:pPr>
      <w:r w:rsidRPr="009B4DF7">
        <w:t>Regional areas:</w:t>
      </w:r>
      <w:r w:rsidRPr="00EF5D2F">
        <w:t xml:space="preserve"> This area covers</w:t>
      </w:r>
      <w:r w:rsidRPr="0053513E">
        <w:t xml:space="preserve"> the regional areas defined in the </w:t>
      </w:r>
      <w:hyperlink r:id="rId47" w:history="1">
        <w:r w:rsidRPr="00772048">
          <w:rPr>
            <w:rStyle w:val="Hyperlink"/>
            <w:iCs/>
          </w:rPr>
          <w:t>Radiocommunications (Spectrum Re-allocation—3.6 GHz Band for Regional Australia) Declaration 2018</w:t>
        </w:r>
      </w:hyperlink>
      <w:r w:rsidRPr="003F54C3">
        <w:t xml:space="preserve"> </w:t>
      </w:r>
      <w:r w:rsidRPr="00806E3A">
        <w:t>with</w:t>
      </w:r>
      <w:r w:rsidRPr="006C6E23">
        <w:t xml:space="preserve"> those areas </w:t>
      </w:r>
      <w:r w:rsidRPr="003A1A7E">
        <w:t>encompassed in the definition of</w:t>
      </w:r>
      <w:r w:rsidRPr="009B4DF7">
        <w:t xml:space="preserve"> major regional centres </w:t>
      </w:r>
      <w:r w:rsidRPr="00EF5D2F">
        <w:t>removed.</w:t>
      </w:r>
    </w:p>
    <w:p w14:paraId="7DA2429A" w14:textId="77777777" w:rsidR="00FB6CE1" w:rsidRPr="00B84735" w:rsidRDefault="00FB6CE1" w:rsidP="00772048">
      <w:pPr>
        <w:pStyle w:val="Bulletlevel1"/>
      </w:pPr>
      <w:r w:rsidRPr="0053513E">
        <w:t>Remote areas: This includes all those areas not encompassed in the definition of metropolitan, major regional centr</w:t>
      </w:r>
      <w:r w:rsidRPr="00B84735">
        <w:t>es and regional areas.</w:t>
      </w:r>
    </w:p>
    <w:p w14:paraId="54E1F918" w14:textId="77777777" w:rsidR="00FB6CE1" w:rsidRPr="008264DB" w:rsidRDefault="00FB6CE1" w:rsidP="00772048">
      <w:pPr>
        <w:pStyle w:val="Bulletlevel1last"/>
      </w:pPr>
      <w:r w:rsidRPr="00B84735">
        <w:t xml:space="preserve">Areas covered by NBN Co’s 3.5 GHz PTS licences: These areas encompass all metropolitan areas, the major regional centres of Ballarat, Bendigo and Toowoomba as well as part of the </w:t>
      </w:r>
      <w:r w:rsidRPr="008264DB">
        <w:t>defined regional areas.</w:t>
      </w:r>
    </w:p>
    <w:p w14:paraId="7C1DDDF7" w14:textId="77777777" w:rsidR="00FB6CE1" w:rsidRPr="005D14C2" w:rsidRDefault="00FB6CE1" w:rsidP="00FB6CE1">
      <w:pPr>
        <w:spacing w:after="80" w:line="80" w:lineRule="atLeast"/>
      </w:pPr>
      <w:r w:rsidRPr="00B61220">
        <w:t xml:space="preserve">For each area the following is </w:t>
      </w:r>
      <w:r w:rsidRPr="005D14C2">
        <w:t>provided:</w:t>
      </w:r>
    </w:p>
    <w:p w14:paraId="20D93B2D" w14:textId="6DBC54E2" w:rsidR="00FB6CE1" w:rsidRPr="005D14C2" w:rsidRDefault="009437E7" w:rsidP="00772048">
      <w:pPr>
        <w:pStyle w:val="Bulletlevel1"/>
      </w:pPr>
      <w:r>
        <w:t>a</w:t>
      </w:r>
      <w:r w:rsidR="00FB6CE1" w:rsidRPr="005D14C2">
        <w:t>n illustration of the area (refer to Figure 2 and Figure 3)</w:t>
      </w:r>
    </w:p>
    <w:p w14:paraId="48BFFD4C" w14:textId="6D11509E" w:rsidR="00FB6CE1" w:rsidRPr="005D14C2" w:rsidRDefault="00FB6CE1" w:rsidP="00772048">
      <w:pPr>
        <w:pStyle w:val="Bulletlevel1last"/>
      </w:pPr>
      <w:r w:rsidRPr="005D14C2">
        <w:t>HCIS identifiers describing the area (refer to Tables 3</w:t>
      </w:r>
      <w:r w:rsidR="009437E7">
        <w:t>–</w:t>
      </w:r>
      <w:r w:rsidRPr="005D14C2">
        <w:t>6).</w:t>
      </w:r>
    </w:p>
    <w:p w14:paraId="08651F2F" w14:textId="05362231" w:rsidR="00FB6CE1" w:rsidRPr="006C6E23" w:rsidRDefault="00FB6CE1" w:rsidP="00FB6CE1">
      <w:r w:rsidRPr="006C6E23">
        <w:t xml:space="preserve">The HCIS coordinates in this appendix can be converted into a Placemark file (viewable in Google Earth) through a facility </w:t>
      </w:r>
      <w:r w:rsidRPr="003A1A7E">
        <w:t>o</w:t>
      </w:r>
      <w:r w:rsidRPr="009B4DF7">
        <w:t xml:space="preserve">n the </w:t>
      </w:r>
      <w:hyperlink r:id="rId48" w:history="1">
        <w:r w:rsidR="00DB4E0A" w:rsidRPr="00DB4E0A">
          <w:rPr>
            <w:rStyle w:val="Hyperlink"/>
          </w:rPr>
          <w:t>ACMA website</w:t>
        </w:r>
      </w:hyperlink>
      <w:r w:rsidRPr="003F54C3">
        <w:rPr>
          <w:rFonts w:cs="Arial"/>
        </w:rPr>
        <w:t>.</w:t>
      </w:r>
      <w:r w:rsidRPr="00806E3A">
        <w:t xml:space="preserve"> </w:t>
      </w:r>
    </w:p>
    <w:p w14:paraId="2A6A07FF" w14:textId="77777777" w:rsidR="00FB6CE1" w:rsidRPr="009B4DF7" w:rsidRDefault="00FB6CE1" w:rsidP="00FB6CE1">
      <w:pPr>
        <w:spacing w:after="0" w:line="240" w:lineRule="auto"/>
      </w:pPr>
      <w:r w:rsidRPr="003A1A7E">
        <w:br w:type="page"/>
      </w:r>
    </w:p>
    <w:p w14:paraId="40C184C6" w14:textId="77777777" w:rsidR="00FB6CE1" w:rsidRPr="0053513E" w:rsidRDefault="00FB6CE1" w:rsidP="00FB6CE1">
      <w:pPr>
        <w:pStyle w:val="ACMAFigureHeader"/>
      </w:pPr>
      <w:r w:rsidRPr="009B4DF7">
        <w:lastRenderedPageBreak/>
        <w:t xml:space="preserve">Illustration of metropolitan areas (yellow areas), major regional centres (orange areas), regional areas (blue areas) and remote areas (all </w:t>
      </w:r>
      <w:r w:rsidRPr="00EF5D2F">
        <w:t>other areas)</w:t>
      </w:r>
    </w:p>
    <w:p w14:paraId="5B0F702D" w14:textId="77777777" w:rsidR="00FB6CE1" w:rsidRPr="003F54C3" w:rsidRDefault="00FB6CE1" w:rsidP="00FB6CE1">
      <w:pPr>
        <w:rPr>
          <w:highlight w:val="yellow"/>
        </w:rPr>
      </w:pPr>
      <w:r w:rsidRPr="001031D4">
        <w:rPr>
          <w:noProof/>
        </w:rPr>
        <w:drawing>
          <wp:inline distT="0" distB="0" distL="0" distR="0" wp14:anchorId="31060324" wp14:editId="4EB3577D">
            <wp:extent cx="5911702" cy="5476281"/>
            <wp:effectExtent l="0" t="0" r="0" b="0"/>
            <wp:docPr id="2" name="Picture 2" descr="Illustration of metropolitan areas (yellow areas) areas, major regional centres (orange areas), regional areas (blue areas) and remote areas (all other are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9"/>
                    <a:stretch>
                      <a:fillRect/>
                    </a:stretch>
                  </pic:blipFill>
                  <pic:spPr>
                    <a:xfrm>
                      <a:off x="0" y="0"/>
                      <a:ext cx="5921931" cy="5485756"/>
                    </a:xfrm>
                    <a:prstGeom prst="rect">
                      <a:avLst/>
                    </a:prstGeom>
                  </pic:spPr>
                </pic:pic>
              </a:graphicData>
            </a:graphic>
          </wp:inline>
        </w:drawing>
      </w:r>
    </w:p>
    <w:p w14:paraId="7A4F5CCA" w14:textId="77777777" w:rsidR="00FB6CE1" w:rsidRPr="006C6E23" w:rsidRDefault="00FB6CE1" w:rsidP="00FB6CE1">
      <w:pPr>
        <w:spacing w:after="0" w:line="240" w:lineRule="auto"/>
        <w:rPr>
          <w:highlight w:val="yellow"/>
        </w:rPr>
      </w:pPr>
      <w:r w:rsidRPr="00806E3A">
        <w:rPr>
          <w:highlight w:val="yellow"/>
        </w:rPr>
        <w:br w:type="page"/>
      </w:r>
    </w:p>
    <w:p w14:paraId="51A7A78B" w14:textId="77777777" w:rsidR="00FB6CE1" w:rsidRPr="003A1A7E" w:rsidRDefault="00FB6CE1" w:rsidP="00FB6CE1">
      <w:pPr>
        <w:pStyle w:val="ACMAFigureHeader"/>
      </w:pPr>
      <w:r w:rsidRPr="006C6E23">
        <w:lastRenderedPageBreak/>
        <w:t xml:space="preserve">Areas covered by NBN Co’s 3.5 GHz PTS licences (purple areas) </w:t>
      </w:r>
    </w:p>
    <w:p w14:paraId="27D36A92" w14:textId="77777777" w:rsidR="00FB6CE1" w:rsidRPr="003F54C3" w:rsidRDefault="00FB6CE1" w:rsidP="00FB6CE1">
      <w:pPr>
        <w:rPr>
          <w:highlight w:val="yellow"/>
        </w:rPr>
      </w:pPr>
      <w:r w:rsidRPr="001031D4">
        <w:rPr>
          <w:noProof/>
        </w:rPr>
        <w:drawing>
          <wp:inline distT="0" distB="0" distL="0" distR="0" wp14:anchorId="51304754" wp14:editId="442D3117">
            <wp:extent cx="5975498" cy="5543168"/>
            <wp:effectExtent l="0" t="0" r="6350" b="635"/>
            <wp:docPr id="7" name="Picture 7" descr="Areas covered by NBN Co’s 3.5 GHz PTS licences (purple are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a:stretch>
                      <a:fillRect/>
                    </a:stretch>
                  </pic:blipFill>
                  <pic:spPr>
                    <a:xfrm>
                      <a:off x="0" y="0"/>
                      <a:ext cx="5979119" cy="5546527"/>
                    </a:xfrm>
                    <a:prstGeom prst="rect">
                      <a:avLst/>
                    </a:prstGeom>
                  </pic:spPr>
                </pic:pic>
              </a:graphicData>
            </a:graphic>
          </wp:inline>
        </w:drawing>
      </w:r>
    </w:p>
    <w:p w14:paraId="74AC2C2B" w14:textId="77777777" w:rsidR="00FB6CE1" w:rsidRPr="00806E3A" w:rsidRDefault="00FB6CE1" w:rsidP="00FB6CE1">
      <w:pPr>
        <w:rPr>
          <w:highlight w:val="yellow"/>
        </w:rPr>
      </w:pPr>
    </w:p>
    <w:p w14:paraId="0C275241" w14:textId="77777777" w:rsidR="00FB6CE1" w:rsidRPr="006C6E23" w:rsidRDefault="00FB6CE1" w:rsidP="00FB6CE1">
      <w:pPr>
        <w:rPr>
          <w:highlight w:val="yellow"/>
        </w:rPr>
      </w:pPr>
    </w:p>
    <w:p w14:paraId="5B8B38FD" w14:textId="77777777" w:rsidR="00FB6CE1" w:rsidRPr="009B4DF7" w:rsidRDefault="00FB6CE1" w:rsidP="00FB6CE1">
      <w:pPr>
        <w:spacing w:after="0" w:line="240" w:lineRule="auto"/>
        <w:rPr>
          <w:highlight w:val="yellow"/>
        </w:rPr>
      </w:pPr>
      <w:r w:rsidRPr="003A1A7E">
        <w:rPr>
          <w:highlight w:val="yellow"/>
        </w:rPr>
        <w:br w:type="page"/>
      </w:r>
    </w:p>
    <w:p w14:paraId="071636A7" w14:textId="77777777" w:rsidR="00FB6CE1" w:rsidRPr="009B4DF7" w:rsidRDefault="00FB6CE1" w:rsidP="00FB6CE1">
      <w:pPr>
        <w:pStyle w:val="ACMATableHeader"/>
        <w:numPr>
          <w:ilvl w:val="0"/>
          <w:numId w:val="17"/>
        </w:numPr>
      </w:pPr>
      <w:r w:rsidRPr="009B4DF7">
        <w:lastRenderedPageBreak/>
        <w:t>HCIS description of metropolitan areas</w:t>
      </w:r>
    </w:p>
    <w:tbl>
      <w:tblPr>
        <w:tblStyle w:val="TableGrid"/>
        <w:tblW w:w="8365" w:type="dxa"/>
        <w:tblLayout w:type="fixed"/>
        <w:tblLook w:val="04A0" w:firstRow="1" w:lastRow="0" w:firstColumn="1" w:lastColumn="0" w:noHBand="0" w:noVBand="1"/>
        <w:tblCaption w:val="HCIS description of areas"/>
        <w:tblDescription w:val="Table containing a descirption of the different area re-farming options "/>
      </w:tblPr>
      <w:tblGrid>
        <w:gridCol w:w="1460"/>
        <w:gridCol w:w="6905"/>
      </w:tblGrid>
      <w:tr w:rsidR="00FB6CE1" w:rsidRPr="003F54C3" w14:paraId="3E8E3F25" w14:textId="77777777" w:rsidTr="0067714C">
        <w:trPr>
          <w:cantSplit/>
          <w:tblHeader/>
        </w:trPr>
        <w:tc>
          <w:tcPr>
            <w:tcW w:w="1460"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7A3B57FE" w14:textId="77777777" w:rsidR="00FB6CE1" w:rsidRPr="009B4DF7" w:rsidRDefault="00FB6CE1" w:rsidP="0067714C">
            <w:pPr>
              <w:pStyle w:val="TableHeading0"/>
              <w:rPr>
                <w:color w:val="FFFFFF" w:themeColor="background1"/>
              </w:rPr>
            </w:pPr>
            <w:r w:rsidRPr="009B4DF7">
              <w:rPr>
                <w:color w:val="FFFFFF" w:themeColor="background1"/>
              </w:rPr>
              <w:t>Sub-area name</w:t>
            </w:r>
          </w:p>
        </w:tc>
        <w:tc>
          <w:tcPr>
            <w:tcW w:w="6905"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51AB955F" w14:textId="77777777" w:rsidR="00FB6CE1" w:rsidRPr="00EF5D2F" w:rsidRDefault="00FB6CE1" w:rsidP="0067714C">
            <w:pPr>
              <w:pStyle w:val="TableHeading0"/>
              <w:rPr>
                <w:color w:val="FFFFFF" w:themeColor="background1"/>
              </w:rPr>
            </w:pPr>
            <w:r w:rsidRPr="00EF5D2F">
              <w:rPr>
                <w:color w:val="FFFFFF" w:themeColor="background1"/>
              </w:rPr>
              <w:t>HCIS</w:t>
            </w:r>
          </w:p>
        </w:tc>
      </w:tr>
      <w:tr w:rsidR="00FB6CE1" w:rsidRPr="003F54C3" w14:paraId="58613585" w14:textId="77777777" w:rsidTr="0067714C">
        <w:trPr>
          <w:cantSplit/>
        </w:trPr>
        <w:tc>
          <w:tcPr>
            <w:tcW w:w="1460" w:type="dxa"/>
            <w:tcBorders>
              <w:top w:val="single" w:sz="4" w:space="0" w:color="auto"/>
              <w:left w:val="single" w:sz="4" w:space="0" w:color="auto"/>
              <w:bottom w:val="single" w:sz="4" w:space="0" w:color="auto"/>
              <w:right w:val="single" w:sz="4" w:space="0" w:color="auto"/>
            </w:tcBorders>
            <w:hideMark/>
          </w:tcPr>
          <w:p w14:paraId="72193BEA" w14:textId="77777777" w:rsidR="00FB6CE1" w:rsidRPr="003F54C3" w:rsidRDefault="00FB6CE1" w:rsidP="0067714C">
            <w:pPr>
              <w:pStyle w:val="TableBody"/>
              <w:spacing w:line="240" w:lineRule="atLeast"/>
            </w:pPr>
            <w:r w:rsidRPr="003F54C3">
              <w:t>Adelaide A</w:t>
            </w:r>
          </w:p>
        </w:tc>
        <w:tc>
          <w:tcPr>
            <w:tcW w:w="6905" w:type="dxa"/>
            <w:tcBorders>
              <w:top w:val="single" w:sz="4" w:space="0" w:color="auto"/>
              <w:left w:val="single" w:sz="4" w:space="0" w:color="auto"/>
              <w:bottom w:val="single" w:sz="4" w:space="0" w:color="auto"/>
              <w:right w:val="single" w:sz="4" w:space="0" w:color="auto"/>
            </w:tcBorders>
          </w:tcPr>
          <w:p w14:paraId="4D1C792B" w14:textId="77777777" w:rsidR="00FB6CE1" w:rsidRPr="003F54C3" w:rsidRDefault="00FB6CE1" w:rsidP="0067714C">
            <w:pPr>
              <w:pStyle w:val="TableBody"/>
              <w:spacing w:line="240" w:lineRule="atLeast"/>
            </w:pPr>
            <w:r w:rsidRPr="003F54C3">
              <w:t>IW3J, IW3K, IW3L, IW3N, IW3O, IW3P, IW6B, IW6C, IW6D, IW6F, IW6G, IW6H, IW3E5, IW3E6, IW3E8, IW3E9, IW3F4, IW3F5, IW3F6, IW3F7, IW3F8, IW3F9, IW3G4, IW3G5, IW3G6, IW3G7, IW3G8, IW3G9, IW3H4, IW3H5, IW3H6, IW3H7, IW3H8, IW3H9, IW3I2, IW3I3, IW3I5, IW3I6, IW3I8, IW3I9, IW3M2, IW3M3, IW3M5, IW3M6, IW3M8, IW3M9, IW6A2, IW6A3, IW6A5, IW6A6, IW6A8, IW6A9, IW6E2, IW6E3, IW6E5, IW6E6, IW6E8, IW6E9, JW1E4, JW1E7, JW1I1, JW1I4, JW1I7, JW1M1, JW1M4</w:t>
            </w:r>
          </w:p>
        </w:tc>
      </w:tr>
      <w:tr w:rsidR="00FB6CE1" w:rsidRPr="003F54C3" w14:paraId="522BF04D" w14:textId="77777777" w:rsidTr="0067714C">
        <w:trPr>
          <w:cantSplit/>
        </w:trPr>
        <w:tc>
          <w:tcPr>
            <w:tcW w:w="1460" w:type="dxa"/>
            <w:tcBorders>
              <w:top w:val="single" w:sz="4" w:space="0" w:color="auto"/>
              <w:left w:val="single" w:sz="4" w:space="0" w:color="auto"/>
              <w:bottom w:val="single" w:sz="4" w:space="0" w:color="auto"/>
              <w:right w:val="single" w:sz="4" w:space="0" w:color="auto"/>
            </w:tcBorders>
            <w:hideMark/>
          </w:tcPr>
          <w:p w14:paraId="244F136C" w14:textId="77777777" w:rsidR="00FB6CE1" w:rsidRPr="003F54C3" w:rsidRDefault="00FB6CE1" w:rsidP="0067714C">
            <w:pPr>
              <w:pStyle w:val="TableBody"/>
              <w:spacing w:line="240" w:lineRule="atLeast"/>
            </w:pPr>
            <w:r w:rsidRPr="003F54C3">
              <w:t>Brisbane A</w:t>
            </w:r>
          </w:p>
        </w:tc>
        <w:tc>
          <w:tcPr>
            <w:tcW w:w="6905" w:type="dxa"/>
            <w:tcBorders>
              <w:top w:val="single" w:sz="4" w:space="0" w:color="auto"/>
              <w:left w:val="single" w:sz="4" w:space="0" w:color="auto"/>
              <w:bottom w:val="single" w:sz="4" w:space="0" w:color="auto"/>
              <w:right w:val="single" w:sz="4" w:space="0" w:color="auto"/>
            </w:tcBorders>
          </w:tcPr>
          <w:p w14:paraId="08A8E37D" w14:textId="77777777" w:rsidR="00FB6CE1" w:rsidRPr="003F54C3" w:rsidRDefault="00FB6CE1" w:rsidP="0067714C">
            <w:pPr>
              <w:pStyle w:val="TableBody"/>
              <w:spacing w:line="240" w:lineRule="atLeast"/>
            </w:pPr>
            <w:r w:rsidRPr="003F54C3">
              <w:t>NT9, NT8C, NT8D, NT8G, NT8H, NT8K, NT8L, NT8O, NT8P, NU3A, NU3B, NU3C, NU3D, NU3F, NU3G, NU3H, NT5O4, NT5O5, NT5O6, NT5O7, NT5O8, NT5O9, NT5P4, NT5P5, NT5P6, NT5P7, NT5P8, NT5P9, NT6M4, NT6M5, NT6M6, NT6M7, NT6M8, NT6M9, NT6N4, NT6N5, NT6N6, NT6N7, NT6N8, NT6N9, NT6O4, NT6O5, NT6O6, NT6O7, NT6O8, NT6O9, NT6P4, NT6P5, NT6P6, NT6P7, NT6P8, NT6P9, NU2C1, NU2C2, NU2C3, NU2D1, NU2D2, NU2D3, NU2D5, NU2D6, NU2D8, NU2D9, NU2H2, NU2H3, NU3E1, NU3E2, NU3E3, NU3E5, NU3E6, NU3E8, NU3E9, NU3I2, NU3I3, NU3J1, NU3J2, NU3J3, NU3K1, NU3K2, NU3K3, NU3L1, NU3L2, NU3L3</w:t>
            </w:r>
          </w:p>
        </w:tc>
      </w:tr>
      <w:tr w:rsidR="00FB6CE1" w:rsidRPr="003F54C3" w14:paraId="252A9D38" w14:textId="77777777" w:rsidTr="0067714C">
        <w:trPr>
          <w:cantSplit/>
        </w:trPr>
        <w:tc>
          <w:tcPr>
            <w:tcW w:w="1460" w:type="dxa"/>
            <w:tcBorders>
              <w:top w:val="single" w:sz="4" w:space="0" w:color="auto"/>
              <w:left w:val="single" w:sz="4" w:space="0" w:color="auto"/>
              <w:bottom w:val="single" w:sz="4" w:space="0" w:color="auto"/>
              <w:right w:val="single" w:sz="4" w:space="0" w:color="auto"/>
            </w:tcBorders>
            <w:hideMark/>
          </w:tcPr>
          <w:p w14:paraId="7AAE9528" w14:textId="77777777" w:rsidR="00FB6CE1" w:rsidRPr="003F54C3" w:rsidRDefault="00FB6CE1" w:rsidP="0067714C">
            <w:pPr>
              <w:pStyle w:val="TableBody"/>
              <w:spacing w:line="240" w:lineRule="atLeast"/>
            </w:pPr>
            <w:r w:rsidRPr="003F54C3">
              <w:t>Canberra A</w:t>
            </w:r>
          </w:p>
        </w:tc>
        <w:tc>
          <w:tcPr>
            <w:tcW w:w="6905" w:type="dxa"/>
            <w:tcBorders>
              <w:top w:val="single" w:sz="4" w:space="0" w:color="auto"/>
              <w:left w:val="single" w:sz="4" w:space="0" w:color="auto"/>
              <w:bottom w:val="single" w:sz="4" w:space="0" w:color="auto"/>
              <w:right w:val="single" w:sz="4" w:space="0" w:color="auto"/>
            </w:tcBorders>
          </w:tcPr>
          <w:p w14:paraId="169D21E9" w14:textId="77777777" w:rsidR="00FB6CE1" w:rsidRPr="003F54C3" w:rsidRDefault="00FB6CE1" w:rsidP="0067714C">
            <w:pPr>
              <w:pStyle w:val="TableBody"/>
              <w:spacing w:line="240" w:lineRule="atLeast"/>
            </w:pPr>
            <w:r w:rsidRPr="003F54C3">
              <w:t>MW4D, MW4H, MW4L, MW5A, MW5B, MW5E, MW5F, MW5I, MW5J, MW1P4, MW1P5, MW1P6, MW1P7, MW1P8, MW1P9, MW2M4, MW2M5, MW2M6, MW2M7, MW2M8, MW2M9, MW2N4, MW2N5, MW2N6, MW2N7, MW2N8, MW2N9, MW4P1, MW4P2, MW4P3, MW5M1, MW5M2, MW5M3, MW5N1, MW5N2, MW5N3</w:t>
            </w:r>
          </w:p>
        </w:tc>
      </w:tr>
      <w:tr w:rsidR="00FB6CE1" w:rsidRPr="003F54C3" w14:paraId="041840F6" w14:textId="77777777" w:rsidTr="0067714C">
        <w:trPr>
          <w:cantSplit/>
          <w:trHeight w:val="1772"/>
        </w:trPr>
        <w:tc>
          <w:tcPr>
            <w:tcW w:w="1460" w:type="dxa"/>
            <w:tcBorders>
              <w:top w:val="single" w:sz="4" w:space="0" w:color="auto"/>
              <w:left w:val="single" w:sz="4" w:space="0" w:color="auto"/>
              <w:bottom w:val="single" w:sz="4" w:space="0" w:color="auto"/>
              <w:right w:val="single" w:sz="4" w:space="0" w:color="auto"/>
            </w:tcBorders>
            <w:hideMark/>
          </w:tcPr>
          <w:p w14:paraId="6EDE424F" w14:textId="77777777" w:rsidR="00FB6CE1" w:rsidRPr="003F54C3" w:rsidRDefault="00FB6CE1" w:rsidP="0067714C">
            <w:pPr>
              <w:pStyle w:val="TableBody"/>
              <w:spacing w:line="240" w:lineRule="atLeast"/>
            </w:pPr>
            <w:r w:rsidRPr="003F54C3">
              <w:t>Melbourne A</w:t>
            </w:r>
          </w:p>
        </w:tc>
        <w:tc>
          <w:tcPr>
            <w:tcW w:w="6905" w:type="dxa"/>
            <w:tcBorders>
              <w:top w:val="single" w:sz="4" w:space="0" w:color="auto"/>
              <w:left w:val="single" w:sz="4" w:space="0" w:color="auto"/>
              <w:bottom w:val="single" w:sz="4" w:space="0" w:color="auto"/>
              <w:right w:val="single" w:sz="4" w:space="0" w:color="auto"/>
            </w:tcBorders>
          </w:tcPr>
          <w:p w14:paraId="5FA2D027" w14:textId="77777777" w:rsidR="00FB6CE1" w:rsidRPr="003F54C3" w:rsidRDefault="00FB6CE1" w:rsidP="0067714C">
            <w:pPr>
              <w:pStyle w:val="TableBody"/>
              <w:spacing w:line="240" w:lineRule="atLeast"/>
            </w:pPr>
            <w:r w:rsidRPr="003F54C3">
              <w:t>KX3J, KX3K, KX3L, KX3N, KX3O, KX3P, KX6A, KX6B, KX6C, KX6D, KX6E, KX6F, KX6G, KX6H, KX6I, KX6J, KX6K, KX6L, LX1I, LX1M, LX1N, LX1O, LX4A, LX4B, LX4C, LX4E, LX4I, KX3E9, KX3F5, KX3F6, KX3F7, KX3F8, KX3F9, KX3G1, KX3G2, KX3G4, KX3G5, KX3G6, KX3G7, KX3G8, KX3G9, KX3H4, KX3H5, KX3H6, KX3H7, KX3H8, KX3H9, KX3I3, KX3I6, KX3I8, KX3I9, KX3M2, KX3M3, KX3M4, KX3M5, KX3M6, KX3M7, KX3M8, KX3M9, LX1E4, LX1E7, LX1E8, LX1E9, LX1J1, LX1J4, LX1J5, LX1J6, LX1J7, LX1J8, LX1J9, LX1K4, LX1K7, LX4F1, LX4F2, LX4F4, LX4F5, LX4F7, LX4F8, LX4J1, LX4J2, LX4J4, LX4J5, LX4J7, LX4J8</w:t>
            </w:r>
          </w:p>
        </w:tc>
      </w:tr>
      <w:tr w:rsidR="00FB6CE1" w:rsidRPr="003F54C3" w14:paraId="2FB1B2CD" w14:textId="77777777" w:rsidTr="0067714C">
        <w:trPr>
          <w:cantSplit/>
        </w:trPr>
        <w:tc>
          <w:tcPr>
            <w:tcW w:w="1460" w:type="dxa"/>
            <w:tcBorders>
              <w:top w:val="single" w:sz="4" w:space="0" w:color="auto"/>
              <w:left w:val="single" w:sz="4" w:space="0" w:color="auto"/>
              <w:bottom w:val="single" w:sz="4" w:space="0" w:color="auto"/>
              <w:right w:val="single" w:sz="4" w:space="0" w:color="auto"/>
            </w:tcBorders>
            <w:hideMark/>
          </w:tcPr>
          <w:p w14:paraId="3180DA36" w14:textId="77777777" w:rsidR="00FB6CE1" w:rsidRPr="003F54C3" w:rsidRDefault="00FB6CE1" w:rsidP="0067714C">
            <w:pPr>
              <w:pStyle w:val="TableBody"/>
              <w:spacing w:line="240" w:lineRule="atLeast"/>
            </w:pPr>
            <w:r w:rsidRPr="003F54C3">
              <w:t>Perth A</w:t>
            </w:r>
          </w:p>
        </w:tc>
        <w:tc>
          <w:tcPr>
            <w:tcW w:w="6905" w:type="dxa"/>
            <w:tcBorders>
              <w:top w:val="single" w:sz="4" w:space="0" w:color="auto"/>
              <w:left w:val="single" w:sz="4" w:space="0" w:color="auto"/>
              <w:bottom w:val="single" w:sz="4" w:space="0" w:color="auto"/>
              <w:right w:val="single" w:sz="4" w:space="0" w:color="auto"/>
            </w:tcBorders>
          </w:tcPr>
          <w:p w14:paraId="37400FFA" w14:textId="77777777" w:rsidR="00FB6CE1" w:rsidRPr="003F54C3" w:rsidRDefault="00FB6CE1" w:rsidP="0067714C">
            <w:pPr>
              <w:pStyle w:val="TableBody"/>
              <w:spacing w:line="240" w:lineRule="atLeast"/>
            </w:pPr>
            <w:r w:rsidRPr="003F54C3">
              <w:t>BV1I, BV1J, BV1K, BV1L, BV1M, BV1N, BV1O, BV1P, BV2I, BV2J, BV2M, BV2N, BV4A, BV4B, BV4C, BV4D, BV4E, BV4F, BV4G, BV4H, BV4I, BV4J, BV4K, BV4L, BV5A, BV5B, BV5E, BV5F, BV5I, BV5J, BV1E7, BV1E8, BV1E9, BV1F7, BV1F8, BV1F9, BV1G7, BV1G8, BV1G9, BV1H7, BV1H8, BV1H9, BV2E7, BV2E8, BV2E9, BV2F7, BV2F8, BV2F9, BV4M1, BV4M2, BV4M3, BV4N1, BV4N2, BV4N3, BV4O1, BV4O2, BV4O3, BV4P1, BV4P2, BV4P3, BV5M1, BV5M2, BV5M3, BV5N1, BV5N2, BV5N3</w:t>
            </w:r>
          </w:p>
        </w:tc>
      </w:tr>
      <w:tr w:rsidR="00FB6CE1" w:rsidRPr="003F54C3" w14:paraId="6FBA9847" w14:textId="77777777" w:rsidTr="0067714C">
        <w:trPr>
          <w:cantSplit/>
        </w:trPr>
        <w:tc>
          <w:tcPr>
            <w:tcW w:w="1460" w:type="dxa"/>
            <w:tcBorders>
              <w:top w:val="single" w:sz="4" w:space="0" w:color="auto"/>
              <w:left w:val="single" w:sz="4" w:space="0" w:color="auto"/>
              <w:bottom w:val="single" w:sz="4" w:space="0" w:color="auto"/>
              <w:right w:val="single" w:sz="4" w:space="0" w:color="auto"/>
            </w:tcBorders>
            <w:hideMark/>
          </w:tcPr>
          <w:p w14:paraId="4F25392A" w14:textId="77777777" w:rsidR="00FB6CE1" w:rsidRPr="003F54C3" w:rsidRDefault="00FB6CE1" w:rsidP="0067714C">
            <w:pPr>
              <w:pStyle w:val="TableBody"/>
              <w:spacing w:line="240" w:lineRule="atLeast"/>
            </w:pPr>
            <w:r w:rsidRPr="003F54C3">
              <w:lastRenderedPageBreak/>
              <w:t>Sydney A</w:t>
            </w:r>
          </w:p>
        </w:tc>
        <w:tc>
          <w:tcPr>
            <w:tcW w:w="6905" w:type="dxa"/>
            <w:tcBorders>
              <w:top w:val="single" w:sz="4" w:space="0" w:color="auto"/>
              <w:left w:val="single" w:sz="4" w:space="0" w:color="auto"/>
              <w:bottom w:val="single" w:sz="4" w:space="0" w:color="auto"/>
              <w:right w:val="single" w:sz="4" w:space="0" w:color="auto"/>
            </w:tcBorders>
          </w:tcPr>
          <w:p w14:paraId="620EE02A" w14:textId="77777777" w:rsidR="00FB6CE1" w:rsidRPr="003F54C3" w:rsidRDefault="00FB6CE1" w:rsidP="0067714C">
            <w:pPr>
              <w:pStyle w:val="TableBody"/>
              <w:spacing w:line="240" w:lineRule="atLeast"/>
            </w:pPr>
            <w:r w:rsidRPr="003F54C3">
              <w:t>MV9I, MV9J, MV9K, MV9L, MV9M, MV9N, MV9O, MV9P, MW3C, MW3D, MW3G, MW3H, MW3K, MW3L, NV4N, NV4O, NV4P, NV5M, NV5N, NV5O, NV5P, NV7B, NV7C, NV7D, NV7E, NV7F, NV7G, NV7H, NV7I, NV7J, NV7K, NV7L, NV7M, NV7N, NV7O, NV7P, NW1A, NW1B, NW1C, NW1D, NW1E, NW1F, NW1G, NW1H, NW1I, NW1J, NW1K, NW1L, MV9D6, MV9D9, MV9E4, MV9E5, MV9E6, MV9E7, MV9E8, MV9E9, MV9F4, MV9F5, MV9F6, MV9F7, MV9F8, MV9F9, MV9G4, MV9G5, MV9G6, MV9G7, MV9G8, MV9G9, MV9H3, MV9H4, MV9H5, MV9H6, MV9H7, MV9H8, MV9H9, MW3B2, MW3B3, MW3B5, MW3B6, MW3B8, MW3B9, MW3F2, MW3F3, MW3F5, MW3F6, MW3F8, MW3F9, MW3J2, MW3J3, MW3O1, MW3O2, MW3O3, MW3P1, MW3P2, MW3P3, NV4I5, NV4I6, NV4I8, NV4I9, NV4J4, NV4J5, NV4J6, NV4J7, NV4J8, NV4J9, NV4K4, NV4K5, NV4K6, NV4K7, NV4K8, NV4K9, NV4L4, NV4L5, NV4L6, NV4L7, NV4L8, NV4L9, NV4M2, NV4M3, NV4M5, NV4M6, NV4M8, NV4M9, NV5I4, NV5I5, NV5I6, NV5I7, NV5I8, NV5I9, NV5J4, NV5J5, NV5J6, NV5J7, NV5J8, NV5J9, NV5K4, NV5K5, NV5K6, NV5K7, NV5K8, NV5K9, NV5L4, NV5L5, NV5L6, NV5L7, NV5L8, NV5L9, NV7A2, NV7A3, NV7A4, NV7A5, NV7A6, NV7A7, NV7A8, NV7A9, NW1M1, NW1M2, NW1M3, NW1N1, NW1N2, NW1N3, NW1O1, NW1O2, NW1O3, NW1P1, NW1P2, NW1P3</w:t>
            </w:r>
          </w:p>
        </w:tc>
      </w:tr>
    </w:tbl>
    <w:p w14:paraId="6470C0A5" w14:textId="77777777" w:rsidR="00FB6CE1" w:rsidRPr="003F54C3" w:rsidRDefault="00FB6CE1" w:rsidP="00FB6CE1">
      <w:pPr>
        <w:spacing w:after="120"/>
      </w:pPr>
    </w:p>
    <w:p w14:paraId="549B66A9" w14:textId="77777777" w:rsidR="00FB6CE1" w:rsidRPr="003F54C3" w:rsidRDefault="00FB6CE1" w:rsidP="00FB6CE1">
      <w:pPr>
        <w:pStyle w:val="ACMATableHeader"/>
        <w:numPr>
          <w:ilvl w:val="0"/>
          <w:numId w:val="17"/>
        </w:numPr>
      </w:pPr>
      <w:r w:rsidRPr="003F54C3">
        <w:t xml:space="preserve">HCIS description of major regional centres </w:t>
      </w:r>
    </w:p>
    <w:tbl>
      <w:tblPr>
        <w:tblStyle w:val="TableGrid"/>
        <w:tblW w:w="8365" w:type="dxa"/>
        <w:tblLayout w:type="fixed"/>
        <w:tblLook w:val="04A0" w:firstRow="1" w:lastRow="0" w:firstColumn="1" w:lastColumn="0" w:noHBand="0" w:noVBand="1"/>
        <w:tblCaption w:val="HCIS description of areas"/>
        <w:tblDescription w:val="Table containing a descirption of the different area re-farming options "/>
      </w:tblPr>
      <w:tblGrid>
        <w:gridCol w:w="1460"/>
        <w:gridCol w:w="6905"/>
      </w:tblGrid>
      <w:tr w:rsidR="00FB6CE1" w:rsidRPr="003F54C3" w14:paraId="03A1119C" w14:textId="77777777" w:rsidTr="0067714C">
        <w:trPr>
          <w:cantSplit/>
          <w:tblHeader/>
        </w:trPr>
        <w:tc>
          <w:tcPr>
            <w:tcW w:w="1460"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68BE50BC" w14:textId="77777777" w:rsidR="00FB6CE1" w:rsidRPr="003F54C3" w:rsidRDefault="00FB6CE1" w:rsidP="0067714C">
            <w:pPr>
              <w:pStyle w:val="TableHeading0"/>
              <w:rPr>
                <w:color w:val="FFFFFF" w:themeColor="background1"/>
              </w:rPr>
            </w:pPr>
            <w:r w:rsidRPr="003F54C3">
              <w:rPr>
                <w:color w:val="FFFFFF" w:themeColor="background1"/>
              </w:rPr>
              <w:t>Sub-area name</w:t>
            </w:r>
          </w:p>
        </w:tc>
        <w:tc>
          <w:tcPr>
            <w:tcW w:w="6905"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682C395A" w14:textId="77777777" w:rsidR="00FB6CE1" w:rsidRPr="003F54C3" w:rsidRDefault="00FB6CE1" w:rsidP="0067714C">
            <w:pPr>
              <w:pStyle w:val="TableHeading0"/>
              <w:rPr>
                <w:color w:val="FFFFFF" w:themeColor="background1"/>
              </w:rPr>
            </w:pPr>
            <w:r w:rsidRPr="003F54C3">
              <w:rPr>
                <w:color w:val="FFFFFF" w:themeColor="background1"/>
              </w:rPr>
              <w:t>HCIS</w:t>
            </w:r>
          </w:p>
        </w:tc>
      </w:tr>
      <w:tr w:rsidR="00FB6CE1" w:rsidRPr="003F54C3" w14:paraId="3265DDB3" w14:textId="77777777" w:rsidTr="0067714C">
        <w:trPr>
          <w:cantSplit/>
        </w:trPr>
        <w:tc>
          <w:tcPr>
            <w:tcW w:w="1460" w:type="dxa"/>
            <w:tcBorders>
              <w:top w:val="single" w:sz="4" w:space="0" w:color="auto"/>
              <w:left w:val="single" w:sz="4" w:space="0" w:color="auto"/>
              <w:bottom w:val="single" w:sz="4" w:space="0" w:color="auto"/>
              <w:right w:val="single" w:sz="4" w:space="0" w:color="auto"/>
            </w:tcBorders>
          </w:tcPr>
          <w:p w14:paraId="552D2DF7" w14:textId="77777777" w:rsidR="00FB6CE1" w:rsidRPr="003F54C3" w:rsidRDefault="00FB6CE1" w:rsidP="0067714C">
            <w:pPr>
              <w:pStyle w:val="TableBody"/>
              <w:spacing w:line="240" w:lineRule="atLeast"/>
            </w:pPr>
            <w:r w:rsidRPr="003F54C3">
              <w:t>Albury</w:t>
            </w:r>
          </w:p>
        </w:tc>
        <w:tc>
          <w:tcPr>
            <w:tcW w:w="6905" w:type="dxa"/>
            <w:tcBorders>
              <w:top w:val="single" w:sz="4" w:space="0" w:color="auto"/>
              <w:left w:val="single" w:sz="4" w:space="0" w:color="auto"/>
              <w:bottom w:val="single" w:sz="4" w:space="0" w:color="auto"/>
              <w:right w:val="single" w:sz="4" w:space="0" w:color="auto"/>
            </w:tcBorders>
            <w:vAlign w:val="center"/>
          </w:tcPr>
          <w:p w14:paraId="41494196" w14:textId="77777777" w:rsidR="00FB6CE1" w:rsidRPr="003F54C3" w:rsidRDefault="00FB6CE1" w:rsidP="0067714C">
            <w:pPr>
              <w:pStyle w:val="TableBody"/>
              <w:spacing w:line="240" w:lineRule="atLeast"/>
            </w:pPr>
            <w:r w:rsidRPr="003F54C3">
              <w:t>LW5P, LW6M, LW8D, LW8H, LW9A, LW9E, LW5O2, LW5O3, LW5O5, LW5O6, LW5O8, LW5O9, LW8C2, LW8C3, LW8C5, LW8C6, LW8C8, LW8C9, LW8G2, LW8G3, LW8G5, LW8G6, LW8G8, LW8G9</w:t>
            </w:r>
          </w:p>
        </w:tc>
      </w:tr>
      <w:tr w:rsidR="00FB6CE1" w:rsidRPr="003F54C3" w14:paraId="7BAA4522" w14:textId="77777777" w:rsidTr="0067714C">
        <w:trPr>
          <w:cantSplit/>
          <w:trHeight w:val="2811"/>
        </w:trPr>
        <w:tc>
          <w:tcPr>
            <w:tcW w:w="1460" w:type="dxa"/>
            <w:tcBorders>
              <w:top w:val="single" w:sz="4" w:space="0" w:color="auto"/>
              <w:left w:val="single" w:sz="4" w:space="0" w:color="auto"/>
              <w:bottom w:val="single" w:sz="4" w:space="0" w:color="auto"/>
              <w:right w:val="single" w:sz="4" w:space="0" w:color="auto"/>
            </w:tcBorders>
          </w:tcPr>
          <w:p w14:paraId="08F6FD70" w14:textId="77777777" w:rsidR="00FB6CE1" w:rsidRPr="003F54C3" w:rsidRDefault="00FB6CE1" w:rsidP="0067714C">
            <w:pPr>
              <w:pStyle w:val="TableBody"/>
              <w:spacing w:line="240" w:lineRule="atLeast"/>
            </w:pPr>
            <w:r w:rsidRPr="003F54C3">
              <w:t>Bendigo and Ballarat</w:t>
            </w:r>
          </w:p>
        </w:tc>
        <w:tc>
          <w:tcPr>
            <w:tcW w:w="6905" w:type="dxa"/>
            <w:tcBorders>
              <w:top w:val="single" w:sz="4" w:space="0" w:color="auto"/>
              <w:left w:val="single" w:sz="4" w:space="0" w:color="auto"/>
              <w:bottom w:val="single" w:sz="4" w:space="0" w:color="auto"/>
              <w:right w:val="single" w:sz="4" w:space="0" w:color="auto"/>
            </w:tcBorders>
            <w:vAlign w:val="center"/>
          </w:tcPr>
          <w:p w14:paraId="06656A43" w14:textId="77777777" w:rsidR="00FB6CE1" w:rsidRPr="003F54C3" w:rsidRDefault="00FB6CE1" w:rsidP="0067714C">
            <w:pPr>
              <w:spacing w:after="0"/>
              <w:rPr>
                <w:rFonts w:ascii="Calibri" w:hAnsi="Calibri"/>
              </w:rPr>
            </w:pPr>
            <w:r w:rsidRPr="003F54C3">
              <w:t>KW9I, KW9J, KW9M, KW9N, KX2G, KX2H, KX2K, KX2L, KX3A, KX3B, KW8H6, KW8H9, KW8L3, KW8L6, KW8L9, KW8P3, KW8P6, KW8P9, KW9E4, KW9E5, KW9E6, KW9E7, KW9E8, KW9E9, KW9F4, KW9F5, KW9F6, KW9F7, KW9F8, KW9F9, KW9G4, KW9G5, KW9G7, KW9G8, KW9K1, KW9K2, KW9K4, KW9K5, KW9K7, KW9K8, KW9O1, KW9O2, KW9O4, KW9O5, KW9O7, KW9O8, KX2C7, KX2C8, KX2C9, KX2D3, KX2D6, KX2D7, KX2D8, KX2D9, KX2O1, KX2O2, KX2O3, KX2O4, KX2O5, KX2O6, KX2P1, KX2P2, KX2P3, KX2P4, KX2P5, KX2P6, KX3C1, KX3C2, KX3C4, KX3C5, KX3C7, KX3C8, KX3E1, KX3E2, KX3E3, KX3E4, KX3E5, KX3E6, KX3E7, KX3E8, KX3F1, KX3F2, KX3F3, KX3F4, KX3I1, KX3I2, KX3I4, KX3I5, KX3I7, KX3M1</w:t>
            </w:r>
          </w:p>
        </w:tc>
      </w:tr>
      <w:tr w:rsidR="00FB6CE1" w:rsidRPr="003F54C3" w14:paraId="11CBE0F4" w14:textId="77777777" w:rsidTr="0067714C">
        <w:trPr>
          <w:cantSplit/>
        </w:trPr>
        <w:tc>
          <w:tcPr>
            <w:tcW w:w="1460" w:type="dxa"/>
            <w:tcBorders>
              <w:top w:val="single" w:sz="4" w:space="0" w:color="auto"/>
              <w:left w:val="single" w:sz="4" w:space="0" w:color="auto"/>
              <w:bottom w:val="single" w:sz="4" w:space="0" w:color="auto"/>
              <w:right w:val="single" w:sz="4" w:space="0" w:color="auto"/>
            </w:tcBorders>
          </w:tcPr>
          <w:p w14:paraId="4E2B1D6A" w14:textId="77777777" w:rsidR="00FB6CE1" w:rsidRPr="003F54C3" w:rsidRDefault="00FB6CE1" w:rsidP="0067714C">
            <w:pPr>
              <w:pStyle w:val="TableBody"/>
              <w:spacing w:line="240" w:lineRule="atLeast"/>
            </w:pPr>
            <w:r w:rsidRPr="003F54C3">
              <w:t>Cairns</w:t>
            </w:r>
          </w:p>
        </w:tc>
        <w:tc>
          <w:tcPr>
            <w:tcW w:w="6905" w:type="dxa"/>
            <w:tcBorders>
              <w:top w:val="single" w:sz="4" w:space="0" w:color="auto"/>
              <w:left w:val="single" w:sz="4" w:space="0" w:color="auto"/>
              <w:bottom w:val="single" w:sz="4" w:space="0" w:color="auto"/>
              <w:right w:val="single" w:sz="4" w:space="0" w:color="auto"/>
            </w:tcBorders>
            <w:vAlign w:val="bottom"/>
          </w:tcPr>
          <w:p w14:paraId="67145348" w14:textId="77777777" w:rsidR="00FB6CE1" w:rsidRPr="003F54C3" w:rsidRDefault="00FB6CE1" w:rsidP="0067714C">
            <w:pPr>
              <w:pStyle w:val="TableBody"/>
              <w:spacing w:line="240" w:lineRule="atLeast"/>
            </w:pPr>
            <w:r w:rsidRPr="003F54C3">
              <w:t>LQ1K, LQ1L, LQ1O, LQ1P, LQ1J2, LQ1J3, LQ1J5, LQ1J6, LQ1J8, LQ1J9, LQ1N2, LQ1N3, LQ1N5, LQ1N6, LQ1N8, LQ1N9, LQ4B2, LQ4B3, LQ4B5, LQ4B6, LQ4C1, LQ4C2, LQ4C3, LQ4C4, LQ4C5, LQ4C6, LQ4D1, LQ4D2, LQ4D3, LQ4D4, LQ4D5, LQ4D6</w:t>
            </w:r>
          </w:p>
        </w:tc>
      </w:tr>
      <w:tr w:rsidR="00FB6CE1" w:rsidRPr="003F54C3" w14:paraId="704435FD" w14:textId="77777777" w:rsidTr="0067714C">
        <w:trPr>
          <w:cantSplit/>
          <w:trHeight w:val="1772"/>
        </w:trPr>
        <w:tc>
          <w:tcPr>
            <w:tcW w:w="1460" w:type="dxa"/>
            <w:tcBorders>
              <w:top w:val="single" w:sz="4" w:space="0" w:color="auto"/>
              <w:left w:val="single" w:sz="4" w:space="0" w:color="auto"/>
              <w:bottom w:val="single" w:sz="4" w:space="0" w:color="auto"/>
              <w:right w:val="single" w:sz="4" w:space="0" w:color="auto"/>
            </w:tcBorders>
          </w:tcPr>
          <w:p w14:paraId="5581A46A" w14:textId="77777777" w:rsidR="00FB6CE1" w:rsidRPr="003F54C3" w:rsidRDefault="00FB6CE1" w:rsidP="0067714C">
            <w:pPr>
              <w:pStyle w:val="TableBody"/>
              <w:spacing w:line="240" w:lineRule="atLeast"/>
            </w:pPr>
            <w:r w:rsidRPr="003F54C3">
              <w:t>Hobart</w:t>
            </w:r>
          </w:p>
        </w:tc>
        <w:tc>
          <w:tcPr>
            <w:tcW w:w="6905" w:type="dxa"/>
            <w:tcBorders>
              <w:top w:val="single" w:sz="4" w:space="0" w:color="auto"/>
              <w:left w:val="single" w:sz="4" w:space="0" w:color="auto"/>
              <w:bottom w:val="single" w:sz="4" w:space="0" w:color="auto"/>
              <w:right w:val="single" w:sz="4" w:space="0" w:color="auto"/>
            </w:tcBorders>
          </w:tcPr>
          <w:p w14:paraId="698D640D" w14:textId="77777777" w:rsidR="00FB6CE1" w:rsidRPr="003F54C3" w:rsidRDefault="00FB6CE1" w:rsidP="0067714C">
            <w:pPr>
              <w:spacing w:after="0"/>
              <w:rPr>
                <w:rFonts w:ascii="Calibri" w:hAnsi="Calibri"/>
              </w:rPr>
            </w:pPr>
            <w:r w:rsidRPr="003F54C3">
              <w:t>LY8L, LY8P, LY9I, LY9J, LY9K, LY9L, LY9M, LY9N, LY9O, LY9P, LZ2D, LZ2H, LZ3A, LZ3B, LZ3C, LZ3D, LZ3E, LZ3F, LZ3G, LZ3H, LY8H4, LY8H5, LY8H6, LY8H7, LY8H8, LY8H9, LY9E4, LY9E5, LY9E6, LY9E7, LY9E8, LY9E9, LY9F4, LY9F5, LY9F6, LY9F7, LY9F8, LY9F9, LY9G4, LY9G5, LY9G6, LY9G7, LY9G8, LY9G9, LY9H4, LY9H5, LY9H6, LY9H7, LY9H8, LY9H9, LZ2L1, LZ2L2, LZ2L3, LZ3I1, LZ3I2, LZ3I3, LZ3J1, LZ3J2, LZ3J3, LZ3K1, LZ3K2, LZ3K3, LZ3L1, LZ3L2, LZ3L3</w:t>
            </w:r>
          </w:p>
        </w:tc>
      </w:tr>
      <w:tr w:rsidR="00FB6CE1" w:rsidRPr="003F54C3" w14:paraId="06E3F868" w14:textId="77777777" w:rsidTr="0067714C">
        <w:trPr>
          <w:cantSplit/>
        </w:trPr>
        <w:tc>
          <w:tcPr>
            <w:tcW w:w="1460" w:type="dxa"/>
            <w:tcBorders>
              <w:top w:val="single" w:sz="4" w:space="0" w:color="auto"/>
              <w:left w:val="single" w:sz="4" w:space="0" w:color="auto"/>
              <w:bottom w:val="single" w:sz="4" w:space="0" w:color="auto"/>
              <w:right w:val="single" w:sz="4" w:space="0" w:color="auto"/>
            </w:tcBorders>
          </w:tcPr>
          <w:p w14:paraId="03D82100" w14:textId="77777777" w:rsidR="00FB6CE1" w:rsidRPr="003F54C3" w:rsidRDefault="00FB6CE1" w:rsidP="0067714C">
            <w:pPr>
              <w:pStyle w:val="TableBody"/>
              <w:spacing w:line="240" w:lineRule="atLeast"/>
            </w:pPr>
            <w:r w:rsidRPr="003F54C3">
              <w:lastRenderedPageBreak/>
              <w:t>Launceston</w:t>
            </w:r>
          </w:p>
        </w:tc>
        <w:tc>
          <w:tcPr>
            <w:tcW w:w="6905" w:type="dxa"/>
            <w:tcBorders>
              <w:top w:val="single" w:sz="4" w:space="0" w:color="auto"/>
              <w:left w:val="single" w:sz="4" w:space="0" w:color="auto"/>
              <w:bottom w:val="single" w:sz="4" w:space="0" w:color="auto"/>
              <w:right w:val="single" w:sz="4" w:space="0" w:color="auto"/>
            </w:tcBorders>
            <w:vAlign w:val="center"/>
          </w:tcPr>
          <w:p w14:paraId="1576BAAB" w14:textId="77777777" w:rsidR="00FB6CE1" w:rsidRPr="003F54C3" w:rsidRDefault="00FB6CE1" w:rsidP="0067714C">
            <w:pPr>
              <w:pStyle w:val="TableBody"/>
              <w:spacing w:line="240" w:lineRule="atLeast"/>
            </w:pPr>
            <w:r w:rsidRPr="003F54C3">
              <w:t>LY5C, LY5D, LY5G, LY5H, LY6A, LY6B, LY6E, LY6F, LY5K1, LY5K2, LY5K3, LY5K4, LY5K5, LY5K6, LY5L1, LY5L2, LY5L3, LY5L4, LY5L5, LY5L6, LY6I1, LY6I2, LY6I3, LY6I4, LY6I5, LY6I6, LY6J1, LY6J2, LY6J3, LY6J4, LY6J5, LY6J6</w:t>
            </w:r>
          </w:p>
        </w:tc>
      </w:tr>
      <w:tr w:rsidR="00FB6CE1" w:rsidRPr="003F54C3" w14:paraId="28EDE27C" w14:textId="77777777" w:rsidTr="0067714C">
        <w:trPr>
          <w:cantSplit/>
        </w:trPr>
        <w:tc>
          <w:tcPr>
            <w:tcW w:w="1460" w:type="dxa"/>
            <w:tcBorders>
              <w:top w:val="single" w:sz="4" w:space="0" w:color="auto"/>
              <w:left w:val="single" w:sz="4" w:space="0" w:color="auto"/>
              <w:bottom w:val="single" w:sz="4" w:space="0" w:color="auto"/>
              <w:right w:val="single" w:sz="4" w:space="0" w:color="auto"/>
            </w:tcBorders>
          </w:tcPr>
          <w:p w14:paraId="72BD6FCA" w14:textId="77777777" w:rsidR="00FB6CE1" w:rsidRPr="003F54C3" w:rsidRDefault="00FB6CE1" w:rsidP="0067714C">
            <w:pPr>
              <w:pStyle w:val="TableBody"/>
              <w:spacing w:line="240" w:lineRule="atLeast"/>
            </w:pPr>
            <w:r w:rsidRPr="003F54C3">
              <w:t>Rockhampton</w:t>
            </w:r>
          </w:p>
        </w:tc>
        <w:tc>
          <w:tcPr>
            <w:tcW w:w="6905" w:type="dxa"/>
            <w:tcBorders>
              <w:top w:val="single" w:sz="4" w:space="0" w:color="auto"/>
              <w:left w:val="single" w:sz="4" w:space="0" w:color="auto"/>
              <w:bottom w:val="single" w:sz="4" w:space="0" w:color="auto"/>
              <w:right w:val="single" w:sz="4" w:space="0" w:color="auto"/>
            </w:tcBorders>
            <w:vAlign w:val="center"/>
          </w:tcPr>
          <w:p w14:paraId="6876998F" w14:textId="77777777" w:rsidR="00FB6CE1" w:rsidRPr="003F54C3" w:rsidRDefault="00FB6CE1" w:rsidP="0067714C">
            <w:pPr>
              <w:spacing w:after="0"/>
              <w:rPr>
                <w:rFonts w:ascii="Calibri" w:hAnsi="Calibri"/>
              </w:rPr>
            </w:pPr>
            <w:r w:rsidRPr="003F54C3">
              <w:t>MS6A, MS6B, MS6C, MS6D, MS6E, MS6F, MS6G, MS6H, MS6I, MS6J, MS6K, MS6L</w:t>
            </w:r>
          </w:p>
        </w:tc>
      </w:tr>
      <w:tr w:rsidR="00FB6CE1" w:rsidRPr="003F54C3" w14:paraId="64762AF4" w14:textId="77777777" w:rsidTr="0067714C">
        <w:trPr>
          <w:cantSplit/>
        </w:trPr>
        <w:tc>
          <w:tcPr>
            <w:tcW w:w="1460" w:type="dxa"/>
            <w:tcBorders>
              <w:top w:val="single" w:sz="4" w:space="0" w:color="auto"/>
              <w:left w:val="single" w:sz="4" w:space="0" w:color="auto"/>
              <w:bottom w:val="single" w:sz="4" w:space="0" w:color="auto"/>
              <w:right w:val="single" w:sz="4" w:space="0" w:color="auto"/>
            </w:tcBorders>
          </w:tcPr>
          <w:p w14:paraId="4916793A" w14:textId="77777777" w:rsidR="00FB6CE1" w:rsidRPr="003F54C3" w:rsidRDefault="00FB6CE1" w:rsidP="0067714C">
            <w:pPr>
              <w:pStyle w:val="TableBody"/>
              <w:spacing w:line="240" w:lineRule="atLeast"/>
            </w:pPr>
            <w:r w:rsidRPr="003F54C3">
              <w:t>Toowoomba</w:t>
            </w:r>
          </w:p>
        </w:tc>
        <w:tc>
          <w:tcPr>
            <w:tcW w:w="6905" w:type="dxa"/>
            <w:tcBorders>
              <w:top w:val="single" w:sz="4" w:space="0" w:color="auto"/>
              <w:left w:val="single" w:sz="4" w:space="0" w:color="auto"/>
              <w:bottom w:val="single" w:sz="4" w:space="0" w:color="auto"/>
              <w:right w:val="single" w:sz="4" w:space="0" w:color="auto"/>
            </w:tcBorders>
            <w:vAlign w:val="center"/>
          </w:tcPr>
          <w:p w14:paraId="7E35792A" w14:textId="77777777" w:rsidR="00FB6CE1" w:rsidRPr="003F54C3" w:rsidRDefault="00FB6CE1" w:rsidP="0067714C">
            <w:pPr>
              <w:spacing w:after="0"/>
              <w:rPr>
                <w:rFonts w:ascii="Calibri" w:hAnsi="Calibri"/>
              </w:rPr>
            </w:pPr>
            <w:r w:rsidRPr="003F54C3">
              <w:t>NT7H, NT7L, NT8E, NT8F, NT8I, NT8J, NT7G2, NT7G3, NT7G5, NT7G6, NT7G8, NT7G9, NT7K2, NT7K3, NT7K5, NT7K6, NT7K8, NT7K9, NT7O2, NT7O3, NT7O5, NT7O6, NT7P1, NT7P2, NT7P3, NT7P4, NT7P5, NT7P6, NT8M1, NT8M2, NT8M3, NT8M4, NT8M5, NT8M6, NT8N1, NT8N1, NT8N2, NT8N3, NT8N4, NT8N5, NT8N6</w:t>
            </w:r>
          </w:p>
        </w:tc>
      </w:tr>
      <w:tr w:rsidR="00FB6CE1" w:rsidRPr="003F54C3" w14:paraId="258CC3B6" w14:textId="77777777" w:rsidTr="0067714C">
        <w:trPr>
          <w:cantSplit/>
        </w:trPr>
        <w:tc>
          <w:tcPr>
            <w:tcW w:w="1460" w:type="dxa"/>
            <w:tcBorders>
              <w:top w:val="single" w:sz="4" w:space="0" w:color="auto"/>
              <w:left w:val="single" w:sz="4" w:space="0" w:color="auto"/>
              <w:bottom w:val="single" w:sz="4" w:space="0" w:color="auto"/>
              <w:right w:val="single" w:sz="4" w:space="0" w:color="auto"/>
            </w:tcBorders>
          </w:tcPr>
          <w:p w14:paraId="245AC5A8" w14:textId="77777777" w:rsidR="00FB6CE1" w:rsidRPr="003F54C3" w:rsidRDefault="00FB6CE1" w:rsidP="0067714C">
            <w:pPr>
              <w:pStyle w:val="TableBody"/>
              <w:spacing w:line="240" w:lineRule="atLeast"/>
            </w:pPr>
            <w:r w:rsidRPr="003F54C3">
              <w:t>Townsville</w:t>
            </w:r>
          </w:p>
        </w:tc>
        <w:tc>
          <w:tcPr>
            <w:tcW w:w="6905" w:type="dxa"/>
            <w:tcBorders>
              <w:top w:val="single" w:sz="4" w:space="0" w:color="auto"/>
              <w:left w:val="single" w:sz="4" w:space="0" w:color="auto"/>
              <w:bottom w:val="single" w:sz="4" w:space="0" w:color="auto"/>
              <w:right w:val="single" w:sz="4" w:space="0" w:color="auto"/>
            </w:tcBorders>
            <w:vAlign w:val="center"/>
          </w:tcPr>
          <w:p w14:paraId="495D90E7" w14:textId="77777777" w:rsidR="00FB6CE1" w:rsidRPr="003F54C3" w:rsidRDefault="00FB6CE1" w:rsidP="0067714C">
            <w:pPr>
              <w:spacing w:after="0"/>
              <w:rPr>
                <w:rFonts w:ascii="Calibri" w:hAnsi="Calibri"/>
              </w:rPr>
            </w:pPr>
            <w:r w:rsidRPr="003F54C3">
              <w:t>LR2C, LR2D, LR2G, LR2H, LQ8N8, LQ8N9, LQ8O7, LQ8O8, LQ8O9, LQ8P7, LQ8P8, LQ8P9, LR2B2, LR2B3, LR2B5, LR2B6, LR2B8, LR2B9, LR2F2, LR2F3, LR2F5, LR2F6, LR2F8, LR2F9, LR2J2, LR2J3, LR2J5, LR2J6, LR2K1, LR2K2, LR2K3, LR2K4, LR2K5, LR2K6, LR2L1, LR2L2, LR2L3, LR2L4, LR2L5, LR2L6, LR3A1, LR3A2, LR3A4, LR3A5, LR3A7, LR3A8, LR3E1, LR3E2, LR3E4, LR3E5, LR3E7, LR3E8, LR3I1, LR3I2, LR3I4, LR3I5</w:t>
            </w:r>
          </w:p>
        </w:tc>
      </w:tr>
    </w:tbl>
    <w:p w14:paraId="243CF622" w14:textId="77777777" w:rsidR="00FB6CE1" w:rsidRPr="003F54C3" w:rsidRDefault="00FB6CE1" w:rsidP="00FB6CE1">
      <w:pPr>
        <w:spacing w:after="0" w:line="240" w:lineRule="auto"/>
      </w:pPr>
    </w:p>
    <w:p w14:paraId="51BB4819" w14:textId="77777777" w:rsidR="00FB6CE1" w:rsidRPr="003F54C3" w:rsidRDefault="00FB6CE1" w:rsidP="00FB6CE1">
      <w:pPr>
        <w:pStyle w:val="ACMATableHeader"/>
        <w:numPr>
          <w:ilvl w:val="0"/>
          <w:numId w:val="17"/>
        </w:numPr>
      </w:pPr>
      <w:r w:rsidRPr="003F54C3">
        <w:t>HCIS description of regional areas</w:t>
      </w:r>
    </w:p>
    <w:tbl>
      <w:tblPr>
        <w:tblStyle w:val="TableGrid"/>
        <w:tblW w:w="8222" w:type="dxa"/>
        <w:tblInd w:w="-5" w:type="dxa"/>
        <w:tblLook w:val="04A0" w:firstRow="1" w:lastRow="0" w:firstColumn="1" w:lastColumn="0" w:noHBand="0" w:noVBand="1"/>
      </w:tblPr>
      <w:tblGrid>
        <w:gridCol w:w="1418"/>
        <w:gridCol w:w="6804"/>
      </w:tblGrid>
      <w:tr w:rsidR="00FB6CE1" w:rsidRPr="003F54C3" w14:paraId="45AD3EA9" w14:textId="77777777" w:rsidTr="0067714C">
        <w:tc>
          <w:tcPr>
            <w:tcW w:w="1418" w:type="dxa"/>
            <w:shd w:val="clear" w:color="auto" w:fill="404040" w:themeFill="text1" w:themeFillTint="BF"/>
            <w:vAlign w:val="center"/>
          </w:tcPr>
          <w:p w14:paraId="18C9C771" w14:textId="77777777" w:rsidR="00FB6CE1" w:rsidRPr="003F54C3" w:rsidRDefault="00FB6CE1" w:rsidP="0067714C">
            <w:pPr>
              <w:pStyle w:val="ACMATableHeader"/>
              <w:numPr>
                <w:ilvl w:val="0"/>
                <w:numId w:val="0"/>
              </w:numPr>
            </w:pPr>
            <w:r w:rsidRPr="003F54C3">
              <w:rPr>
                <w:color w:val="FFFFFF" w:themeColor="background1"/>
              </w:rPr>
              <w:t>Sub-area name</w:t>
            </w:r>
          </w:p>
        </w:tc>
        <w:tc>
          <w:tcPr>
            <w:tcW w:w="6804" w:type="dxa"/>
            <w:shd w:val="clear" w:color="auto" w:fill="404040" w:themeFill="text1" w:themeFillTint="BF"/>
            <w:vAlign w:val="center"/>
          </w:tcPr>
          <w:p w14:paraId="0FF50428" w14:textId="77777777" w:rsidR="00FB6CE1" w:rsidRPr="003F54C3" w:rsidRDefault="00FB6CE1" w:rsidP="0067714C">
            <w:pPr>
              <w:pStyle w:val="ACMATableHeader"/>
              <w:numPr>
                <w:ilvl w:val="0"/>
                <w:numId w:val="0"/>
              </w:numPr>
            </w:pPr>
            <w:r w:rsidRPr="003F54C3">
              <w:rPr>
                <w:color w:val="FFFFFF" w:themeColor="background1"/>
              </w:rPr>
              <w:t>HCIS</w:t>
            </w:r>
          </w:p>
        </w:tc>
      </w:tr>
      <w:tr w:rsidR="00FB6CE1" w:rsidRPr="003F54C3" w14:paraId="20F99C5A" w14:textId="77777777" w:rsidTr="0067714C">
        <w:tc>
          <w:tcPr>
            <w:tcW w:w="1418" w:type="dxa"/>
          </w:tcPr>
          <w:p w14:paraId="2249A1DA" w14:textId="77777777" w:rsidR="00FB6CE1" w:rsidRPr="003F54C3" w:rsidRDefault="00FB6CE1" w:rsidP="0067714C">
            <w:pPr>
              <w:pStyle w:val="ACMATableHeader"/>
              <w:numPr>
                <w:ilvl w:val="0"/>
                <w:numId w:val="0"/>
              </w:numPr>
              <w:rPr>
                <w:b w:val="0"/>
              </w:rPr>
            </w:pPr>
            <w:r w:rsidRPr="003F54C3">
              <w:rPr>
                <w:b w:val="0"/>
              </w:rPr>
              <w:t>Regional</w:t>
            </w:r>
          </w:p>
        </w:tc>
        <w:tc>
          <w:tcPr>
            <w:tcW w:w="6804" w:type="dxa"/>
          </w:tcPr>
          <w:p w14:paraId="7DD2F478" w14:textId="77777777" w:rsidR="00FB6CE1" w:rsidRPr="003F54C3" w:rsidRDefault="00FB6CE1" w:rsidP="0067714C">
            <w:pPr>
              <w:pStyle w:val="ACMATableHeader"/>
              <w:numPr>
                <w:ilvl w:val="0"/>
                <w:numId w:val="0"/>
              </w:numPr>
              <w:spacing w:after="0"/>
              <w:rPr>
                <w:b w:val="0"/>
              </w:rPr>
            </w:pPr>
            <w:r w:rsidRPr="003F54C3">
              <w:rPr>
                <w:b w:val="0"/>
              </w:rPr>
              <w:t xml:space="preserve">CV, DV, IV, JV, KQ, KV, LV, MT, MU, AU9, AV9, AW3, BU7, BU8, BV3, BV6, BV7, BV8, BV9, BW1, BW2, BW3, BW5, BW6, CW1, CW2, CW3, CW4, DW1, DW2, DW3, EV1, EV2, EV3, EV4, EV5, EV6, EV7, FV1, FV2, FV3, FV4, FV5, GV1, GV2, GV3, GV6, HV1, HV2, HV3, HV4, HV5, HV6, HV8, HV9, HW3, HW6, IW1, IW2, IW4, IW5, IW7, IW8, IW9, JW2, JW3, JW4, JW5, JW6, JW7, JW8, JW9, JX1, JX2, JX3, JX5, JX6, KO1, KO4, KO5, KO7, KO8, KP1, KP2, KP4, KP5, KP6, KP7, KP8, KP9, KW1, KW2, KW3, KW4, KW5, KW6, KW7, KX1, KX4, KX5, KX8, KX9, KY2, KY3, KY6, LP4, LP7, LQ2, LQ5, LQ7, LR1, LR4, LR5, LR6, LR7, LR8, LR9, LW1, LW2, LW3, LW4, LW7, LX2, LX3, LX5, LX6, LX7, LX8, LX9, LY1, LY2, LY3, LY4, LY7, LZ1, MR1, MR4, MR5, MR7, MR8, MR9, MS1, MS2, MS3, MS4, MS5, MS7, MS8, MS9, MV1, MV2, MV3, MV4, MV5, MV6, MV7, MV8, MW6, MW7, MW8, MW9, MX1, MX2, MX3, MX4, MX7, MY1, MY4, MY7, MZ1, NS4, NS7, NS8, NS9, NT1, NT2, NT3, NT4, NU1, NU4, NU5, NU6, NU7, NU8, NU9, NV1, NV2, NV3, AU6I, AU6J, AU6K, AU6L, AU6M, AU6N, AU6O, AU6P, BU4H, BU4I, BU4J, BU4K, BU4L, BU4M, BU4N, BU4O, BU4P, BU5E, BU5F, BU5G, BU5H, BU5I, BU5J, BU5K, BU5L, BU5M, BU5N, BU5O, BU5P, BU9A, BU9B, BU9E, BU9F, BU9I, BU9J, BU9M, BU9N, BV1A, BV1B, BV1C, BV1D, BV2A, BV2B, BV2C, BV2D, BV2G, BV2H, BV2K, BV2L, BV2O, BV2P, BV5C, BV5D, BV5G, BV5H, BV5K, BV5L, BV5O, BV5P, IW3A, IW3B, IW3C, IW3D, IW6I, IW6J, IW6K, IW6L, IW6M, IW6N, IW6O, IW6P, JW1A, JW1B, JW1C, JW1D, JW1F, JW1G, JW1H, JW1J, JW1K, JW1L, JW1N, JW1O, JW1P, KW8A, KW8B, KW8C, KW8D, KW8E, KW8F, KW8G, KW8I, KW8J, KW8K, KW8M, KW8N, KW8O, KW9A, KW9B, KW9C, KW9D, KW9H, KW9L, KW9P, KX2A, KX2B, KX2E, KX2F, KX2I, KX2J, KX2M, KX2N, KX3D, KX6M, KX6N, KX6O, KX6P, LQ1A, LQ1B, LQ1C, LQ1D, LQ1E, LQ1F, LQ1G, LQ1H, LQ1I, LQ1M, LQ4A, LQ4E, LQ4F, LQ4G, LQ4H, LQ4I, LQ4J, LQ4K, LQ4L, LQ4M, LQ4N, LQ4O, LQ4P, LQ8A, LQ8B, LQ8C, LQ8D, LQ8E, LQ8F, LQ8G, LQ8H, LQ8I, LQ8J, LQ8K, LQ8L, LQ8M, LR2A, LR2E, LR2I, LR2M, LR2N, LR2O, LR2P, LR3B, LR3C, LR3D, LR3F, </w:t>
            </w:r>
            <w:r w:rsidRPr="003F54C3">
              <w:rPr>
                <w:b w:val="0"/>
              </w:rPr>
              <w:lastRenderedPageBreak/>
              <w:t xml:space="preserve">LR3G, LR3H, LR3J, LR3K, LR3L, LR3M, LR3N, LR3O, LR3P, LW5A, LW5B, LW5C, LW5D, LW5E, LW5F, LW5G, LW5H, LW5I, LW5J, LW5K, LW5L, LW5M, LW5N, LW6A, LW6B, LW6C, LW6D, LW6E, LW6F, LW6G, LW6H, LW6I, LW6J, LW6K, LW6L, LW6N, LW6O, LW6P, LW8A, LW8B, LW8E, LW8F, LW8I, LW8J, LW8K, LW8L, LW8M, LW8N, LW8O, LW8P, LW9B, LW9C, LW9D, LW9F, LW9G, LW9H, LW9I, LW9J, LW9K, LW9L, LW9M, LW9N, LW9O, LW9P, LX1A, LX1B, LX1C, LX1D, LX1F, LX1G, LX1H, LX1L, LX1P, LX4D, LX4G, LX4H, LX4K, LX4L, LX4M, LX4N, LX4O, LX4P, LY5A, LY5B, LY5E, LY5F, LY5I, LY5J, LY5M, LY5N, LY5O, LY5P, LY6C, LY6D, LY6G, LY6H, LY6K, LY6L, LY6M, LY6N, LY6O, LY6P, LY8A, LY8B, LY8C, LY8D, LY8E, LY8F, LY8G, LY8I, LY8J, LY8K, LY8M, LY8N, LY8O, LY9A, LY9B, LY9C, LY9D, LZ2A, LZ2B, LZ2C, LZ2E, LZ2F, LZ2G, LZ2I, LZ2J, LZ2K, LZ2M, LZ2N, LZ2O, LZ2P, LZ3M, LZ3N, LZ3O, LZ3P, MS6M, MS6N, MS6O, MS6P, MV9A, MV9B, MV9C, MW1A, MW1B, MW1C, MW1D, MW1E, MW1F, MW1G, MW1H, MW1I, MW1J, MW1K, MW1L, MW1M, MW1N, MW1O, MW2A, MW2B, MW2C, MW2D, MW2E, MW2F, MW2G, MW2H, MW2I, MW2J, MW2K, MW2L, MW2O, MW2P, MW3A, MW3E, MW3I, MW3M, MW3N, MW4A, MW4B, MW4C, MW4E, MW4F, MW4G, MW4I, MW4J, MW4K, MW4M, MW4N, MW4O, MW5C, MW5D, MW5G, MW5H, MW5K, MW5L, MW5O, MW5P, NT5A, NT5B, NT5C, NT5D, NT5E, NT5F, NT5G, NT5H, NT5I, NT5J, NT5K, NT5L, NT5M, NT5N, NT6A, NT6B, NT6C, NT6D, NT6E, NT6F, NT6G, NT6H, NT6I, NT6J, NT6K, NT6L, NT7A, NT7B, NT7C, NT7D, NT7E, NT7F, NT7I, NT7J, NT7M, NT7N, NT8A, NT8B, NU2A, NU2B, NU2E, NU2F, NU2G, NU2I, NU2J, NU2K, NU2L, NU2M, NU2N, NU2O, NU2P, NU3M, NU3N, NU3O, NU3P, NV4A, NV4B, NV4C, NV4D, NV4E, NV4F, NV4G, NV4H, NV5A, NV5B, NV5C, NV5D, NV5E, NV5F, NV5G, NV5H, BV1E1, BV1E2, BV1E3, BV1E4, BV1E5, BV1E6, BV1F1, BV1F2, BV1F3, BV1F4, BV1F5, BV1F6, BV1G1, BV1G2, BV1G3, BV1G4, BV1G5, BV1G6, BV1H1, BV1H2, BV1H3, BV1H4, BV1H5, BV1H6, BV2E1, BV2E2, BV2E3, BV2E4, BV2E5, BV2E6, BV2F1, BV2F2, BV2F3, BV2F4, BV2F5, BV2F6, BV4M4, BV4M5, BV4M6, BV4M7, BV4M8, BV4M9, BV4N4, BV4N5, BV4N6, BV4N7, BV4N8, BV4N9, BV4O4, BV4O5, BV4O6, BV4O7, BV4O8, BV4O9, BV4P4, BV4P5, BV4P6, BV4P7, BV4P8, BV4P9, BV5M4, BV5M5, BV5M6, BV5M7, BV5M8, BV5M9, BV5N4, BV5N5, BV5N6, BV5N7, BV5N8, BV5N9, IW3E1, IW3E2, IW3E3, IW3E4, IW3E7, IW3F1, IW3F2, IW3F3, IW3G1, IW3G2, IW3G3, IW3H1, IW3H2, IW3H3, IW3I1, IW3I4, IW3I7, IW3M1, IW3M4, IW3M7, IW6A1, IW6A4, IW6A7, IW6E1, IW6E4, IW6E7, JW1E1, JW1E2, JW1E3, JW1E5, JW1E6, JW1E8, JW1E9, JW1I2, JW1I3, JW1I5, JW1I6, JW1I8, JW1I9, JW1M2, JW1M3, JW1M5, JW1M6, JW1M7, JW1M8, JW1M9, KW8H1, KW8H2, KW8H3, KW8H4, KW8H5, KW8H7, KW8H8, KW8L1, KW8L2, KW8L4, KW8L5, KW8L7, KW8L8, KW8P1, KW8P2, KW8P4, KW8P5, KW8P7, KW8P8, KW9E1, KW9E2, KW9E3, KW9F1, KW9F2, KW9F3, KW9G1, KW9G2, KW9G3, KW9G6, KW9G9, KW9K3, KW9K6, KW9K9, KW9O3, KW9O6, KW9O9, KX2C1, KX2C2, KX2C3, KX2C4, KX2C5, KX2C6, KX2D1, KX2D2, KX2D4, KX2D5, KX2O7, KX2O8, KX2O9, KX2P7, KX2P8, KX2P9, KX3C3, KX3C6, KX3C9, KX3G3, KX3H1, KX3H2, KX3H3, LQ1J1, LQ1J4, LQ1J7, LQ1N1, LQ1N4, LQ1N7, LQ4B1, LQ4B4, LQ4B7, LQ4B8, LQ4B9, LQ4C7, LQ4C8, LQ4C9, LQ4D7, LQ4D8, LQ4D9, LQ8N1, LQ8N2, LQ8N3, LQ8N4, LQ8N5, LQ8N6, LQ8N7, LQ8O1, LQ8O2, LQ8O3, LQ8O4, LQ8O5, LQ8O6, LQ8P1, LQ8P2, LQ8P3, LQ8P4, LQ8P5, LQ8P6, LR2B1, LR2B4, LR2B7, LR2F1, LR2F4, LR2F7, LR2J1, LR2J4, LR2J7, LR2J8, LR2J9, LR2K7, LR2K8, LR2K9, LR2L7, LR2L8, LR2L9, LR3A3, LR3A6, LR3A9, LR3E3, LR3E6, LR3E9, LR3I3, LR3I6, LR3I7, LR3I8, LR3I9, LW5O1, LW5O4, LW5O7, LW8C1, LW8C4, LW8C7, LW8G1, LW8G4, LW8G7, </w:t>
            </w:r>
            <w:r w:rsidRPr="003F54C3">
              <w:rPr>
                <w:b w:val="0"/>
              </w:rPr>
              <w:lastRenderedPageBreak/>
              <w:t>LX1E1, LX1E2, LX1E3, LX1E5, LX1E6, LX1J2, LX1J3, LX1K1, LX1K2, LX1K3, LX1K5, LX1K6, LX1K8, LX1K9, LX4F3, LX4F6, LX4F9, LX4J3, LX4J6, LX4J9, LY5K7, LY5K8, LY5K9, LY5L7, LY5L8, LY5L9, LY6I7, LY6I8, LY6I9, LY6J7, LY6J8, LY6J9, LY8H1, LY8H2, LY8H3, LY9E1, LY9E2, LY9E3, LY9F1, LY9F2, LY9F3, LY9G1, LY9G2, LY9G3, LY9H1, LY9H2, LY9H3, LZ2L4, LZ2L5, LZ2L6, LZ2L7, LZ2L8, LZ2L9, LZ3I4, LZ3I5, LZ3I6, LZ3I7, LZ3I8, LZ3I9, LZ3J4, LZ3J5, LZ3J6, LZ3J7, LZ3J8, LZ3J9, LZ3K4, LZ3K5, LZ3K6, LZ3K7, LZ3K8, LZ3K9, LZ3L4, LZ3L5, LZ3L6, LZ3L7, LZ3L8, LZ3L9, MV9D1, MV9D2, MV9D3, MV9D4, MV9D5, MV9D7, MV9D8, MV9E1, MV9E2, MV9E3, MV9F1, MV9F2, MV9F3, MV9G1, MV9G2, MV9G3, MV9H1, MV9H2, MW1P1, MW1P2, MW1P3, MW2M1, MW2M2, MW2M3, MW2N1, MW2N2, MW2N3, MW3B1, MW3B4, MW3B7, MW3F1, MW3F4, MW3F7, MW3J1, MW3J4, MW3J5, MW3J6, MW3J7, MW3J8, MW3J9, MW3O4, MW3O5, MW3O6, MW3O7, MW3O8, MW3O9, MW3P4, MW3P5, MW3P6, MW3P7, MW3P8, MW3P9, MW4P4, MW4P5, MW4P6, MW4P7, MW4P8, MW4P9, MW5M4, MW5M5, MW5M6, MW5M7, MW5M8, MW5M9, MW5N4, MW5N5, MW5N6, MW5N7, MW5N8, MW5N9, NT5O1, NT5O2, NT5O3, NT5P1, NT5P2, NT5P3, NT6M1, NT6M2, NT6M3, NT6N1, NT6N2, NT6N3, NT6O1, NT6O2, NT6O3, NT6P1, NT6P2, NT6P3, NT7G1, NT7G4, NT7G7, NT7K1, NT7K4, NT7K7, NT7O1, NT7O4, NT7O7, NT7O8, NT7O9, NT7P7, NT7P8, NT7P9, NT8M7, NT8M8, NT8M9, NT8N7, NT8N8, NT8N9, NU2C4, NU2C5, NU2C6, NU2C7, NU2C8, NU2C9, NU2D4, NU2D7, NU2H1, NU2H4, NU2H5, NU2H6, NU2H7, NU2H8, NU2H9, NU3E4, NU3E7, NU3I1, NU3I4, NU3I5, NU3I6, NU3I7, NU3I8, NU3I9, NU3J4, NU3J5, NU3J6, NU3J7, NU3J8, NU3J9, NU3K4, NU3K5, NU3K6, NU3K7, NU3K8, NU3K9, NU3L4, NU3L5, NU3L6, NU3L7, NU3L8, NU3L9, NV4I1, NV4I2, NV4I3, NV4I4, NV4I7, NV4J1, NV4J2, NV4J3, NV4K1, NV4K2, NV4K3, NV4L1, NV4L2, NV4L3, NV4M1, NV4M4, NV4M7, NV5I1, NV5I2, NV5I3, NV5J1, NV5J2, NV5J3, NV5K1, NV5K2, NV5K3, NV5L1, NV5L2, NV5L3, NV7A1, NW1M4, NW1M5, NW1M6, NW1M7, NW1M8, NW1M9, NW1N4, NW1N5, NW1N6, NW1N7, NW1N8, NW1N9, NW1O4, NW1O5, NW1O6, NW1O7, NW1O8, NW1O9, NW1P4, NW1P5, NW1P6, NW1P7, NW1P8, NW1P9</w:t>
            </w:r>
          </w:p>
        </w:tc>
      </w:tr>
    </w:tbl>
    <w:p w14:paraId="22EFECCF" w14:textId="77777777" w:rsidR="00FB6CE1" w:rsidRPr="003F54C3" w:rsidRDefault="00FB6CE1" w:rsidP="00FB6CE1">
      <w:pPr>
        <w:pStyle w:val="ACMATableHeader"/>
        <w:numPr>
          <w:ilvl w:val="0"/>
          <w:numId w:val="0"/>
        </w:numPr>
        <w:ind w:left="964" w:hanging="964"/>
      </w:pPr>
    </w:p>
    <w:p w14:paraId="695C78F2" w14:textId="77777777" w:rsidR="00FB6CE1" w:rsidRPr="003F54C3" w:rsidRDefault="00FB6CE1" w:rsidP="00FB6CE1">
      <w:pPr>
        <w:pStyle w:val="ACMATableHeader"/>
        <w:numPr>
          <w:ilvl w:val="0"/>
          <w:numId w:val="17"/>
        </w:numPr>
      </w:pPr>
      <w:r w:rsidRPr="003F54C3">
        <w:t>HCIS description of the areas covered by NBN Co’s 3.5 GHz PTS licences</w:t>
      </w:r>
    </w:p>
    <w:tbl>
      <w:tblPr>
        <w:tblStyle w:val="TableGrid"/>
        <w:tblW w:w="8365" w:type="dxa"/>
        <w:tblLayout w:type="fixed"/>
        <w:tblLook w:val="04A0" w:firstRow="1" w:lastRow="0" w:firstColumn="1" w:lastColumn="0" w:noHBand="0" w:noVBand="1"/>
        <w:tblCaption w:val="HCIS description of areas"/>
        <w:tblDescription w:val="Table containing a descirption of the different area re-farming options "/>
      </w:tblPr>
      <w:tblGrid>
        <w:gridCol w:w="1460"/>
        <w:gridCol w:w="6905"/>
      </w:tblGrid>
      <w:tr w:rsidR="00FB6CE1" w:rsidRPr="003F54C3" w14:paraId="22B7868A" w14:textId="77777777" w:rsidTr="0067714C">
        <w:trPr>
          <w:cantSplit/>
          <w:tblHeader/>
        </w:trPr>
        <w:tc>
          <w:tcPr>
            <w:tcW w:w="1460"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1B98BB27" w14:textId="77777777" w:rsidR="00FB6CE1" w:rsidRPr="003F54C3" w:rsidRDefault="00FB6CE1" w:rsidP="0067714C">
            <w:pPr>
              <w:pStyle w:val="TableHeading0"/>
              <w:rPr>
                <w:color w:val="FFFFFF" w:themeColor="background1"/>
              </w:rPr>
            </w:pPr>
            <w:r w:rsidRPr="003F54C3">
              <w:rPr>
                <w:color w:val="FFFFFF" w:themeColor="background1"/>
              </w:rPr>
              <w:t>Sub-area name</w:t>
            </w:r>
          </w:p>
        </w:tc>
        <w:tc>
          <w:tcPr>
            <w:tcW w:w="6905"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4D507579" w14:textId="77777777" w:rsidR="00FB6CE1" w:rsidRPr="003F54C3" w:rsidRDefault="00FB6CE1" w:rsidP="0067714C">
            <w:pPr>
              <w:pStyle w:val="TableHeading0"/>
              <w:rPr>
                <w:color w:val="FFFFFF" w:themeColor="background1"/>
              </w:rPr>
            </w:pPr>
            <w:r w:rsidRPr="003F54C3">
              <w:rPr>
                <w:color w:val="FFFFFF" w:themeColor="background1"/>
              </w:rPr>
              <w:t>HCIS</w:t>
            </w:r>
          </w:p>
        </w:tc>
      </w:tr>
      <w:tr w:rsidR="00FB6CE1" w:rsidRPr="003F54C3" w14:paraId="7626C604" w14:textId="77777777" w:rsidTr="0067714C">
        <w:trPr>
          <w:cantSplit/>
        </w:trPr>
        <w:tc>
          <w:tcPr>
            <w:tcW w:w="1460" w:type="dxa"/>
            <w:tcBorders>
              <w:top w:val="single" w:sz="4" w:space="0" w:color="auto"/>
              <w:left w:val="single" w:sz="4" w:space="0" w:color="auto"/>
              <w:bottom w:val="single" w:sz="4" w:space="0" w:color="auto"/>
              <w:right w:val="single" w:sz="4" w:space="0" w:color="auto"/>
            </w:tcBorders>
            <w:hideMark/>
          </w:tcPr>
          <w:p w14:paraId="75B11EF7" w14:textId="77777777" w:rsidR="00FB6CE1" w:rsidRPr="003F54C3" w:rsidRDefault="00FB6CE1" w:rsidP="0067714C">
            <w:pPr>
              <w:pStyle w:val="TableBody"/>
              <w:spacing w:line="240" w:lineRule="atLeast"/>
            </w:pPr>
            <w:r w:rsidRPr="003F54C3">
              <w:t>Adelaide B</w:t>
            </w:r>
          </w:p>
        </w:tc>
        <w:tc>
          <w:tcPr>
            <w:tcW w:w="6905" w:type="dxa"/>
            <w:tcBorders>
              <w:top w:val="single" w:sz="4" w:space="0" w:color="auto"/>
              <w:left w:val="single" w:sz="4" w:space="0" w:color="auto"/>
              <w:bottom w:val="single" w:sz="4" w:space="0" w:color="auto"/>
              <w:right w:val="single" w:sz="4" w:space="0" w:color="auto"/>
            </w:tcBorders>
          </w:tcPr>
          <w:p w14:paraId="26FDEAD5" w14:textId="77777777" w:rsidR="00FB6CE1" w:rsidRPr="003F54C3" w:rsidRDefault="00FB6CE1" w:rsidP="0067714C">
            <w:pPr>
              <w:pStyle w:val="TableBody"/>
              <w:spacing w:line="240" w:lineRule="atLeast"/>
            </w:pPr>
            <w:r w:rsidRPr="003F54C3">
              <w:t>IV8K, IV8L, IV8N, IV8O, IV8P, IV9I, IV9J, IV9K, IV9L, IV9M, IV9N, IV9O, IV9P, IW1P, IW2, IW3, IW4D, IW4H, IW4K, IW4L, IW4N, IW4O, IW4P, IW5, IW6, IW7, IW8, IW9, JV7M, JV7N, JV7O, JV7P, JV8M, JW1, JW2A, JW2B, JW2E, JW2F, JW2G, JW2I, JW2J, JW2K, JW2M, JW2N, JW2O, JW4, JW5A, JW5B, JW5C, JW5E, JW5F, JW5I, JW5J, JW5M, JW7A, JW7B, JW7C, JW7D, JW7E, JW7F, JW7G, JW7I</w:t>
            </w:r>
          </w:p>
        </w:tc>
      </w:tr>
      <w:tr w:rsidR="00FB6CE1" w:rsidRPr="003F54C3" w14:paraId="0EFB9C32" w14:textId="77777777" w:rsidTr="0067714C">
        <w:trPr>
          <w:cantSplit/>
        </w:trPr>
        <w:tc>
          <w:tcPr>
            <w:tcW w:w="1460" w:type="dxa"/>
            <w:tcBorders>
              <w:top w:val="single" w:sz="4" w:space="0" w:color="auto"/>
              <w:left w:val="single" w:sz="4" w:space="0" w:color="auto"/>
              <w:bottom w:val="single" w:sz="4" w:space="0" w:color="auto"/>
              <w:right w:val="single" w:sz="4" w:space="0" w:color="auto"/>
            </w:tcBorders>
            <w:hideMark/>
          </w:tcPr>
          <w:p w14:paraId="48878316" w14:textId="77777777" w:rsidR="00FB6CE1" w:rsidRPr="003F54C3" w:rsidRDefault="00FB6CE1" w:rsidP="0067714C">
            <w:pPr>
              <w:pStyle w:val="TableBody"/>
              <w:spacing w:line="240" w:lineRule="atLeast"/>
            </w:pPr>
            <w:r w:rsidRPr="003F54C3">
              <w:t>Brisbane B</w:t>
            </w:r>
          </w:p>
        </w:tc>
        <w:tc>
          <w:tcPr>
            <w:tcW w:w="6905" w:type="dxa"/>
            <w:tcBorders>
              <w:top w:val="single" w:sz="4" w:space="0" w:color="auto"/>
              <w:left w:val="single" w:sz="4" w:space="0" w:color="auto"/>
              <w:bottom w:val="single" w:sz="4" w:space="0" w:color="auto"/>
              <w:right w:val="single" w:sz="4" w:space="0" w:color="auto"/>
            </w:tcBorders>
          </w:tcPr>
          <w:p w14:paraId="11BCB1BF" w14:textId="77777777" w:rsidR="00FB6CE1" w:rsidRPr="003F54C3" w:rsidRDefault="00FB6CE1" w:rsidP="0067714C">
            <w:pPr>
              <w:pStyle w:val="TableBody"/>
              <w:spacing w:line="240" w:lineRule="atLeast"/>
            </w:pPr>
            <w:r w:rsidRPr="003F54C3">
              <w:t>NT4G, NT4H, NT4K, NT4L, NT4O, NT4P, NT5D, NT5E, NT5F, NT5G, NT5H, NT5I, NT5J, NT5K, NT5L, NT5M, NT5N, NT5O, NT5P, NT6, NT7C, NT7D, NT7G, NT7H, NT7K, NT7L, NT7O, NT7P, NT8, NT9, NU2B, NU2C, NU2D, NU2F, NU2G, NU2H, NU2L, NU3</w:t>
            </w:r>
          </w:p>
        </w:tc>
      </w:tr>
      <w:tr w:rsidR="00FB6CE1" w:rsidRPr="003F54C3" w14:paraId="3387A8FB" w14:textId="77777777" w:rsidTr="0067714C">
        <w:trPr>
          <w:cantSplit/>
        </w:trPr>
        <w:tc>
          <w:tcPr>
            <w:tcW w:w="1460" w:type="dxa"/>
            <w:tcBorders>
              <w:top w:val="single" w:sz="4" w:space="0" w:color="auto"/>
              <w:left w:val="single" w:sz="4" w:space="0" w:color="auto"/>
              <w:bottom w:val="single" w:sz="4" w:space="0" w:color="auto"/>
              <w:right w:val="single" w:sz="4" w:space="0" w:color="auto"/>
            </w:tcBorders>
            <w:hideMark/>
          </w:tcPr>
          <w:p w14:paraId="65A3D94B" w14:textId="77777777" w:rsidR="00FB6CE1" w:rsidRPr="003F54C3" w:rsidRDefault="00FB6CE1" w:rsidP="0067714C">
            <w:pPr>
              <w:pStyle w:val="TableBody"/>
              <w:spacing w:line="240" w:lineRule="atLeast"/>
            </w:pPr>
            <w:r w:rsidRPr="003F54C3">
              <w:lastRenderedPageBreak/>
              <w:t>Canberra/ Sydney B</w:t>
            </w:r>
          </w:p>
        </w:tc>
        <w:tc>
          <w:tcPr>
            <w:tcW w:w="6905" w:type="dxa"/>
            <w:tcBorders>
              <w:top w:val="single" w:sz="4" w:space="0" w:color="auto"/>
              <w:left w:val="single" w:sz="4" w:space="0" w:color="auto"/>
              <w:bottom w:val="single" w:sz="4" w:space="0" w:color="auto"/>
              <w:right w:val="single" w:sz="4" w:space="0" w:color="auto"/>
            </w:tcBorders>
          </w:tcPr>
          <w:p w14:paraId="59D3F5C0" w14:textId="77777777" w:rsidR="00FB6CE1" w:rsidRPr="003F54C3" w:rsidRDefault="00FB6CE1" w:rsidP="0067714C">
            <w:pPr>
              <w:pStyle w:val="TableBody"/>
              <w:spacing w:line="240" w:lineRule="atLeast"/>
            </w:pPr>
            <w:r w:rsidRPr="003F54C3">
              <w:t>MV2P, MV3L, MV3M, MV3N, MV3O, MV3P, MV5D, MV5H, MV5L, MV5P, MV6, MV8D, MV8H, MV8J, MV8K, MV8L, MV8N, MV8O, MV8P, MV9, MW, MX1C, MX1D, MX1H, MX2A, MX2B, MX2C, MX2D, MX2E, MX2F, MX2G, MX2H, MX3A, MX3B, MX3C, MX3D, MX3E, MX3F, MX3G, MX3H, NV1I, NV1J, NV1K, NV1L, NV1M, NV1N, NV1O, NV1P, NV2I, NV2J, NV2K, NV2L, NV2M, NV2N, NV2O, NV2P, NV3I, NV3J, NV3K, NV3L, NV3M, NV3N, NV3O, NV3P, NV4, NV5, NV7, NW1</w:t>
            </w:r>
          </w:p>
        </w:tc>
      </w:tr>
      <w:tr w:rsidR="00FB6CE1" w:rsidRPr="003F54C3" w14:paraId="2F216D56" w14:textId="77777777" w:rsidTr="0067714C">
        <w:trPr>
          <w:cantSplit/>
          <w:trHeight w:val="1441"/>
        </w:trPr>
        <w:tc>
          <w:tcPr>
            <w:tcW w:w="1460" w:type="dxa"/>
            <w:tcBorders>
              <w:top w:val="single" w:sz="4" w:space="0" w:color="auto"/>
              <w:left w:val="single" w:sz="4" w:space="0" w:color="auto"/>
              <w:bottom w:val="single" w:sz="4" w:space="0" w:color="auto"/>
              <w:right w:val="single" w:sz="4" w:space="0" w:color="auto"/>
            </w:tcBorders>
            <w:hideMark/>
          </w:tcPr>
          <w:p w14:paraId="766A840A" w14:textId="77777777" w:rsidR="00FB6CE1" w:rsidRPr="003F54C3" w:rsidRDefault="00FB6CE1" w:rsidP="0067714C">
            <w:pPr>
              <w:pStyle w:val="TableBody"/>
              <w:spacing w:line="240" w:lineRule="atLeast"/>
            </w:pPr>
            <w:r w:rsidRPr="003F54C3">
              <w:t>Melbourne B</w:t>
            </w:r>
          </w:p>
        </w:tc>
        <w:tc>
          <w:tcPr>
            <w:tcW w:w="6905" w:type="dxa"/>
            <w:tcBorders>
              <w:top w:val="single" w:sz="4" w:space="0" w:color="auto"/>
              <w:left w:val="single" w:sz="4" w:space="0" w:color="auto"/>
              <w:bottom w:val="single" w:sz="4" w:space="0" w:color="auto"/>
              <w:right w:val="single" w:sz="4" w:space="0" w:color="auto"/>
            </w:tcBorders>
          </w:tcPr>
          <w:p w14:paraId="6F58722F" w14:textId="77777777" w:rsidR="00FB6CE1" w:rsidRPr="003F54C3" w:rsidRDefault="00FB6CE1" w:rsidP="0067714C">
            <w:pPr>
              <w:pStyle w:val="TableBody"/>
              <w:spacing w:line="240" w:lineRule="atLeast"/>
            </w:pPr>
            <w:r w:rsidRPr="003F54C3">
              <w:t>KW8H, KW8I, KW8J, KW8K, KW8L, KW8M, KW8N, KW8O, KW8P, KW9E, KW9F, KW9G, KW9H, KW9I, KW9J, KW9K, KW9L, KW9M, KW9N, KW9O, KW9P, KX1P, KX2, KX3, KX4D, KX4H, KX4L, KX4P, KX5, KX6, KX8, KX9, LW7I, LW7J, LW7M, LW7N, LW7O, LW7P, LX1, LX2E, LX2I, LX2M, LX2N, LX2O, LX4, LX5A, LX5B, LX5C, LX5D, LX5E, LX5F, LX5G, LX5H, LX5I, LX5J, LX5K, LX5L, LX5M, LX5N, LX5O, LX5P, LX7, LX8</w:t>
            </w:r>
          </w:p>
        </w:tc>
      </w:tr>
      <w:tr w:rsidR="00FB6CE1" w:rsidRPr="003F54C3" w14:paraId="73A63262" w14:textId="77777777" w:rsidTr="0067714C">
        <w:trPr>
          <w:cantSplit/>
        </w:trPr>
        <w:tc>
          <w:tcPr>
            <w:tcW w:w="1460" w:type="dxa"/>
            <w:tcBorders>
              <w:top w:val="single" w:sz="4" w:space="0" w:color="auto"/>
              <w:left w:val="single" w:sz="4" w:space="0" w:color="auto"/>
              <w:bottom w:val="single" w:sz="4" w:space="0" w:color="auto"/>
              <w:right w:val="single" w:sz="4" w:space="0" w:color="auto"/>
            </w:tcBorders>
            <w:hideMark/>
          </w:tcPr>
          <w:p w14:paraId="306C4440" w14:textId="77777777" w:rsidR="00FB6CE1" w:rsidRPr="003F54C3" w:rsidRDefault="00FB6CE1" w:rsidP="0067714C">
            <w:pPr>
              <w:pStyle w:val="TableBody"/>
              <w:spacing w:line="240" w:lineRule="atLeast"/>
            </w:pPr>
            <w:r w:rsidRPr="003F54C3">
              <w:t>Perth B</w:t>
            </w:r>
          </w:p>
        </w:tc>
        <w:tc>
          <w:tcPr>
            <w:tcW w:w="6905" w:type="dxa"/>
            <w:tcBorders>
              <w:top w:val="single" w:sz="4" w:space="0" w:color="auto"/>
              <w:left w:val="single" w:sz="4" w:space="0" w:color="auto"/>
              <w:bottom w:val="single" w:sz="4" w:space="0" w:color="auto"/>
              <w:right w:val="single" w:sz="4" w:space="0" w:color="auto"/>
            </w:tcBorders>
          </w:tcPr>
          <w:p w14:paraId="44831415" w14:textId="77777777" w:rsidR="00FB6CE1" w:rsidRPr="003F54C3" w:rsidRDefault="00FB6CE1" w:rsidP="0067714C">
            <w:pPr>
              <w:pStyle w:val="TableBody"/>
              <w:spacing w:line="240" w:lineRule="atLeast"/>
            </w:pPr>
            <w:r w:rsidRPr="003F54C3">
              <w:t>AU6I, AU6J, AU6K, AU6L, AU6M, AU6N, AU6O, AU6P, AU9, AV9, AW3, BU4H, BU4I, BU4J, BU4K, BU4L, BU4M, BU4N, BU4O, BU4P, BU5E, BU5F, BU5G, BU5H, BU5I, BU5J, BU5K, BU5L, BU5M, BU5N, BU5O, BU5P, BU7, BU8, BU9A, BU9B, BU9E, BU9F, BU9I, BU9J, BU9M, BU9N, BV1, BV2, BV3A, BV3B, BV3E, BV3F, BV3I, BV3J, BV3M, BV3N, BV4, BV5, BV6A, BV6B, BV6E, BV6F, BV6I, BV6J, BV6M, BV6N, BV7, BV8, BV9A, BV9B, BV9E, BV9F, BV9I, BV9J, BV9M, BV9N, BW1, BW2, BW3A, BW5</w:t>
            </w:r>
          </w:p>
        </w:tc>
      </w:tr>
    </w:tbl>
    <w:p w14:paraId="49E7C1C0" w14:textId="77777777" w:rsidR="00FB6CE1" w:rsidRPr="003F54C3" w:rsidRDefault="00FB6CE1" w:rsidP="00FB6CE1"/>
    <w:p w14:paraId="5B00CF2B" w14:textId="4C4EBA9A" w:rsidR="00FB6CE1" w:rsidRPr="00B84735" w:rsidRDefault="00FB6CE1" w:rsidP="00FB6CE1">
      <w:pPr>
        <w:pStyle w:val="Heading1"/>
      </w:pPr>
      <w:bookmarkStart w:id="78" w:name="_Toc21088520"/>
      <w:bookmarkStart w:id="79" w:name="_Toc25047699"/>
      <w:r w:rsidRPr="00EF5D2F">
        <w:lastRenderedPageBreak/>
        <w:t xml:space="preserve">Appendix </w:t>
      </w:r>
      <w:r w:rsidRPr="0053513E">
        <w:t>C—</w:t>
      </w:r>
      <w:r w:rsidR="009437E7">
        <w:t>u</w:t>
      </w:r>
      <w:r w:rsidRPr="0053513E">
        <w:t>rban excise areas</w:t>
      </w:r>
      <w:bookmarkEnd w:id="78"/>
      <w:bookmarkEnd w:id="79"/>
    </w:p>
    <w:p w14:paraId="49189E74" w14:textId="77777777" w:rsidR="00FB6CE1" w:rsidRPr="003F54C3" w:rsidRDefault="00FB6CE1" w:rsidP="00FB6CE1">
      <w:pPr>
        <w:spacing w:after="80" w:line="80" w:lineRule="atLeast"/>
      </w:pPr>
      <w:r w:rsidRPr="00B84735">
        <w:t>This appendix provides a definition of urban excise areas. For each area the following is provided:</w:t>
      </w:r>
    </w:p>
    <w:p w14:paraId="5083AF51" w14:textId="06AA07CF" w:rsidR="00FB6CE1" w:rsidRPr="005D14C2" w:rsidRDefault="009437E7" w:rsidP="00772048">
      <w:pPr>
        <w:pStyle w:val="ListBullet"/>
      </w:pPr>
      <w:r>
        <w:t>a</w:t>
      </w:r>
      <w:r w:rsidR="00FB6CE1" w:rsidRPr="006C6E23">
        <w:t>n illustration</w:t>
      </w:r>
      <w:r w:rsidR="00FB6CE1" w:rsidRPr="003A1A7E">
        <w:t xml:space="preserve"> of the area (</w:t>
      </w:r>
      <w:r w:rsidR="00FB6CE1" w:rsidRPr="005D14C2">
        <w:t>refer to Figure 4)</w:t>
      </w:r>
    </w:p>
    <w:p w14:paraId="66E994D5" w14:textId="43FA562F" w:rsidR="00FB6CE1" w:rsidRPr="005D14C2" w:rsidRDefault="00FB6CE1" w:rsidP="00772048">
      <w:pPr>
        <w:pStyle w:val="ListBulletLast"/>
      </w:pPr>
      <w:r w:rsidRPr="005D14C2">
        <w:t>HCIS identifiers describing the area (refer to Table 7).</w:t>
      </w:r>
    </w:p>
    <w:p w14:paraId="29FFAA7D" w14:textId="6B1617C8" w:rsidR="00FB6CE1" w:rsidRPr="006C6E23" w:rsidRDefault="00FB6CE1" w:rsidP="00FB6CE1">
      <w:r w:rsidRPr="006C6E23">
        <w:t>The HCIS coordinate</w:t>
      </w:r>
      <w:r w:rsidRPr="003A1A7E">
        <w:t>s in this appendix can be conver</w:t>
      </w:r>
      <w:r w:rsidRPr="009B4DF7">
        <w:t xml:space="preserve">ted into a Placemark file (viewable in Google Earth) through a facility on the </w:t>
      </w:r>
      <w:hyperlink r:id="rId51" w:history="1">
        <w:r w:rsidR="00DB4E0A" w:rsidRPr="00DB4E0A">
          <w:rPr>
            <w:rStyle w:val="Hyperlink"/>
          </w:rPr>
          <w:t>ACMA website</w:t>
        </w:r>
      </w:hyperlink>
      <w:r w:rsidRPr="003F54C3">
        <w:rPr>
          <w:rFonts w:cs="Arial"/>
        </w:rPr>
        <w:t>.</w:t>
      </w:r>
      <w:r w:rsidRPr="00806E3A">
        <w:t xml:space="preserve"> </w:t>
      </w:r>
    </w:p>
    <w:p w14:paraId="3C1E6540" w14:textId="77777777" w:rsidR="00FB6CE1" w:rsidRDefault="00FB6CE1" w:rsidP="00FB6CE1">
      <w:pPr>
        <w:spacing w:after="80"/>
      </w:pPr>
    </w:p>
    <w:p w14:paraId="751F284E" w14:textId="77777777" w:rsidR="00FB6CE1" w:rsidRPr="009B4DF7" w:rsidRDefault="00FB6CE1" w:rsidP="00FB6CE1">
      <w:pPr>
        <w:pStyle w:val="ACMATableHeader"/>
        <w:numPr>
          <w:ilvl w:val="0"/>
          <w:numId w:val="17"/>
        </w:numPr>
      </w:pPr>
      <w:r w:rsidRPr="00806E3A">
        <w:t>HCIS descriptio</w:t>
      </w:r>
      <w:r w:rsidRPr="006C6E23">
        <w:t>n</w:t>
      </w:r>
      <w:r w:rsidRPr="003A1A7E">
        <w:t xml:space="preserve"> of </w:t>
      </w:r>
      <w:r w:rsidRPr="009B4DF7">
        <w:t>urban excise areas</w:t>
      </w:r>
    </w:p>
    <w:tbl>
      <w:tblPr>
        <w:tblStyle w:val="TableGrid"/>
        <w:tblW w:w="8365" w:type="dxa"/>
        <w:tblLayout w:type="fixed"/>
        <w:tblLook w:val="04A0" w:firstRow="1" w:lastRow="0" w:firstColumn="1" w:lastColumn="0" w:noHBand="0" w:noVBand="1"/>
        <w:tblCaption w:val="HCIS description of areas"/>
        <w:tblDescription w:val="Table containing a descirption of the different area re-farming options "/>
      </w:tblPr>
      <w:tblGrid>
        <w:gridCol w:w="1460"/>
        <w:gridCol w:w="6905"/>
      </w:tblGrid>
      <w:tr w:rsidR="00FB6CE1" w:rsidRPr="003F54C3" w14:paraId="3120BEC0" w14:textId="77777777" w:rsidTr="0067714C">
        <w:trPr>
          <w:cantSplit/>
          <w:tblHeader/>
        </w:trPr>
        <w:tc>
          <w:tcPr>
            <w:tcW w:w="1460"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475A334B" w14:textId="77777777" w:rsidR="00FB6CE1" w:rsidRPr="009B4DF7" w:rsidRDefault="00FB6CE1" w:rsidP="0067714C">
            <w:pPr>
              <w:pStyle w:val="TableHeading0"/>
              <w:rPr>
                <w:color w:val="FFFFFF" w:themeColor="background1"/>
              </w:rPr>
            </w:pPr>
            <w:r w:rsidRPr="009B4DF7">
              <w:rPr>
                <w:color w:val="FFFFFF" w:themeColor="background1"/>
              </w:rPr>
              <w:t>Sub-area name</w:t>
            </w:r>
          </w:p>
        </w:tc>
        <w:tc>
          <w:tcPr>
            <w:tcW w:w="6905"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6A6EA0EE" w14:textId="77777777" w:rsidR="00FB6CE1" w:rsidRPr="00EF5D2F" w:rsidRDefault="00FB6CE1" w:rsidP="0067714C">
            <w:pPr>
              <w:pStyle w:val="TableHeading0"/>
              <w:rPr>
                <w:color w:val="FFFFFF" w:themeColor="background1"/>
              </w:rPr>
            </w:pPr>
            <w:r w:rsidRPr="00EF5D2F">
              <w:rPr>
                <w:color w:val="FFFFFF" w:themeColor="background1"/>
              </w:rPr>
              <w:t>HCIS</w:t>
            </w:r>
          </w:p>
        </w:tc>
      </w:tr>
      <w:tr w:rsidR="008D5510" w:rsidRPr="003F54C3" w14:paraId="5FDE30AE" w14:textId="77777777" w:rsidTr="0067714C">
        <w:trPr>
          <w:cantSplit/>
        </w:trPr>
        <w:tc>
          <w:tcPr>
            <w:tcW w:w="1460" w:type="dxa"/>
            <w:tcBorders>
              <w:top w:val="single" w:sz="4" w:space="0" w:color="auto"/>
              <w:left w:val="single" w:sz="4" w:space="0" w:color="auto"/>
              <w:bottom w:val="single" w:sz="4" w:space="0" w:color="auto"/>
              <w:right w:val="single" w:sz="4" w:space="0" w:color="auto"/>
            </w:tcBorders>
            <w:hideMark/>
          </w:tcPr>
          <w:p w14:paraId="5042A1FE" w14:textId="77777777" w:rsidR="008D5510" w:rsidRPr="003F54C3" w:rsidRDefault="008D5510" w:rsidP="008D5510">
            <w:pPr>
              <w:pStyle w:val="TableBody"/>
              <w:spacing w:line="240" w:lineRule="atLeast"/>
            </w:pPr>
            <w:r w:rsidRPr="003F54C3">
              <w:t>Adelaide C</w:t>
            </w:r>
          </w:p>
        </w:tc>
        <w:tc>
          <w:tcPr>
            <w:tcW w:w="6905" w:type="dxa"/>
            <w:tcBorders>
              <w:top w:val="single" w:sz="4" w:space="0" w:color="auto"/>
              <w:left w:val="single" w:sz="4" w:space="0" w:color="auto"/>
              <w:bottom w:val="single" w:sz="4" w:space="0" w:color="auto"/>
              <w:right w:val="single" w:sz="4" w:space="0" w:color="auto"/>
            </w:tcBorders>
          </w:tcPr>
          <w:p w14:paraId="274D69BD" w14:textId="08EFCDF7" w:rsidR="008D5510" w:rsidRPr="003F54C3" w:rsidRDefault="008D5510" w:rsidP="008D5510">
            <w:pPr>
              <w:pStyle w:val="TableBody"/>
              <w:spacing w:line="240" w:lineRule="atLeast"/>
            </w:pPr>
            <w:r w:rsidRPr="00D00EDB">
              <w:t>IW3N, IW3O4, IW3O5, IW3O7, IW3O8, IW6B1, IW6B2, IW6B3, IW6B5, IW6B6</w:t>
            </w:r>
          </w:p>
        </w:tc>
      </w:tr>
      <w:tr w:rsidR="008D5510" w:rsidRPr="003F54C3" w14:paraId="6D1F9A49" w14:textId="77777777" w:rsidTr="0067714C">
        <w:trPr>
          <w:cantSplit/>
        </w:trPr>
        <w:tc>
          <w:tcPr>
            <w:tcW w:w="1460" w:type="dxa"/>
            <w:tcBorders>
              <w:top w:val="single" w:sz="4" w:space="0" w:color="auto"/>
              <w:left w:val="single" w:sz="4" w:space="0" w:color="auto"/>
              <w:bottom w:val="single" w:sz="4" w:space="0" w:color="auto"/>
              <w:right w:val="single" w:sz="4" w:space="0" w:color="auto"/>
            </w:tcBorders>
            <w:hideMark/>
          </w:tcPr>
          <w:p w14:paraId="69FE65D0" w14:textId="77777777" w:rsidR="008D5510" w:rsidRPr="003F54C3" w:rsidRDefault="008D5510" w:rsidP="008D5510">
            <w:pPr>
              <w:pStyle w:val="TableBody"/>
              <w:spacing w:line="240" w:lineRule="atLeast"/>
            </w:pPr>
            <w:r w:rsidRPr="003F54C3">
              <w:t>Brisbane C</w:t>
            </w:r>
          </w:p>
        </w:tc>
        <w:tc>
          <w:tcPr>
            <w:tcW w:w="6905" w:type="dxa"/>
            <w:tcBorders>
              <w:top w:val="single" w:sz="4" w:space="0" w:color="auto"/>
              <w:left w:val="single" w:sz="4" w:space="0" w:color="auto"/>
              <w:bottom w:val="single" w:sz="4" w:space="0" w:color="auto"/>
              <w:right w:val="single" w:sz="4" w:space="0" w:color="auto"/>
            </w:tcBorders>
          </w:tcPr>
          <w:p w14:paraId="5F94DE43" w14:textId="15E8FE35" w:rsidR="008D5510" w:rsidRPr="003F54C3" w:rsidRDefault="008D5510" w:rsidP="008D5510">
            <w:pPr>
              <w:pStyle w:val="TableBody"/>
              <w:spacing w:line="240" w:lineRule="atLeast"/>
            </w:pPr>
            <w:r w:rsidRPr="00941468">
              <w:t>NT9B, NT9C, NT9D, NT9E, NT9F, NT9G, NT9H, NT9K, NT9L, NT8H3, NT8L2, NT8L3, NT8L5, NT8L6, NT8L8, NT8L9, NT9A6, NT9A7, NT9A8, NT9A9, NT9I1, NT9I2, NT9I3, NT9I4, NT9I5, NT9I6, NT9J1, NT9J2, NT9J3, NT9J4, NT9J5, NT9J6, NT9J9, NT9N5, NT9N6, NT9N8, NT9N9,</w:t>
            </w:r>
            <w:r>
              <w:t xml:space="preserve"> NT9O4, NT9O7, </w:t>
            </w:r>
            <w:r w:rsidRPr="00941468">
              <w:t>NU3B2, NU3B3</w:t>
            </w:r>
            <w:r>
              <w:t>, NU3C1, NU3C4</w:t>
            </w:r>
          </w:p>
        </w:tc>
      </w:tr>
      <w:tr w:rsidR="008D5510" w:rsidRPr="003F54C3" w14:paraId="6CC31A09" w14:textId="77777777" w:rsidTr="0067714C">
        <w:trPr>
          <w:cantSplit/>
        </w:trPr>
        <w:tc>
          <w:tcPr>
            <w:tcW w:w="1460" w:type="dxa"/>
            <w:tcBorders>
              <w:top w:val="single" w:sz="4" w:space="0" w:color="auto"/>
              <w:left w:val="single" w:sz="4" w:space="0" w:color="auto"/>
              <w:bottom w:val="single" w:sz="4" w:space="0" w:color="auto"/>
              <w:right w:val="single" w:sz="4" w:space="0" w:color="auto"/>
            </w:tcBorders>
            <w:hideMark/>
          </w:tcPr>
          <w:p w14:paraId="706EDC93" w14:textId="77777777" w:rsidR="008D5510" w:rsidRPr="003F54C3" w:rsidRDefault="008D5510" w:rsidP="008D5510">
            <w:pPr>
              <w:pStyle w:val="TableBody"/>
              <w:spacing w:line="240" w:lineRule="atLeast"/>
            </w:pPr>
            <w:r w:rsidRPr="003F54C3">
              <w:t xml:space="preserve">Canberra C </w:t>
            </w:r>
          </w:p>
        </w:tc>
        <w:tc>
          <w:tcPr>
            <w:tcW w:w="6905" w:type="dxa"/>
            <w:tcBorders>
              <w:top w:val="single" w:sz="4" w:space="0" w:color="auto"/>
              <w:left w:val="single" w:sz="4" w:space="0" w:color="auto"/>
              <w:bottom w:val="single" w:sz="4" w:space="0" w:color="auto"/>
              <w:right w:val="single" w:sz="4" w:space="0" w:color="auto"/>
            </w:tcBorders>
          </w:tcPr>
          <w:p w14:paraId="6810EF8E" w14:textId="266CF4D9" w:rsidR="008D5510" w:rsidRPr="003F54C3" w:rsidRDefault="008D5510" w:rsidP="008D5510">
            <w:pPr>
              <w:pStyle w:val="TableBody"/>
              <w:spacing w:line="240" w:lineRule="atLeast"/>
            </w:pPr>
            <w:r w:rsidRPr="00C768B1">
              <w:t>MW4D, MW4H, MW5A, MW5B, MW5E, MW5F</w:t>
            </w:r>
            <w:r>
              <w:t xml:space="preserve">, </w:t>
            </w:r>
            <w:r w:rsidRPr="00C768B1">
              <w:t>MW2M5, MW2M6, MW2M7, MW2M8, MW2M9, MW2N4, MW2N5, MW2N7, MW2N8, MW2N9, MW4L1, MW4L2, MW4L3, MW4L5, MW4L6, MW5I1, MW5I2, MW5I3, MW5I4, MW5I5, MW5I6, MW5J1, MW5J2, MW5J4, MW5J5</w:t>
            </w:r>
          </w:p>
        </w:tc>
      </w:tr>
      <w:tr w:rsidR="008D5510" w:rsidRPr="003F54C3" w14:paraId="4E6D6F84" w14:textId="77777777" w:rsidTr="0067714C">
        <w:trPr>
          <w:cantSplit/>
          <w:trHeight w:val="283"/>
        </w:trPr>
        <w:tc>
          <w:tcPr>
            <w:tcW w:w="1460" w:type="dxa"/>
            <w:tcBorders>
              <w:top w:val="single" w:sz="4" w:space="0" w:color="auto"/>
              <w:left w:val="single" w:sz="4" w:space="0" w:color="auto"/>
              <w:bottom w:val="single" w:sz="4" w:space="0" w:color="auto"/>
              <w:right w:val="single" w:sz="4" w:space="0" w:color="auto"/>
            </w:tcBorders>
            <w:hideMark/>
          </w:tcPr>
          <w:p w14:paraId="13CACA5A" w14:textId="77777777" w:rsidR="008D5510" w:rsidRPr="003F54C3" w:rsidRDefault="008D5510" w:rsidP="008D5510">
            <w:pPr>
              <w:pStyle w:val="TableBody"/>
              <w:spacing w:line="240" w:lineRule="atLeast"/>
            </w:pPr>
            <w:r w:rsidRPr="003F54C3">
              <w:t>Melbourne C</w:t>
            </w:r>
          </w:p>
        </w:tc>
        <w:tc>
          <w:tcPr>
            <w:tcW w:w="6905" w:type="dxa"/>
            <w:tcBorders>
              <w:top w:val="single" w:sz="4" w:space="0" w:color="auto"/>
              <w:left w:val="single" w:sz="4" w:space="0" w:color="auto"/>
              <w:bottom w:val="single" w:sz="4" w:space="0" w:color="auto"/>
              <w:right w:val="single" w:sz="4" w:space="0" w:color="auto"/>
            </w:tcBorders>
          </w:tcPr>
          <w:p w14:paraId="65C19491" w14:textId="3CF9E826" w:rsidR="008D5510" w:rsidRPr="003F54C3" w:rsidRDefault="008D5510" w:rsidP="008D5510">
            <w:pPr>
              <w:pStyle w:val="TableBody"/>
              <w:spacing w:line="240" w:lineRule="atLeast"/>
            </w:pPr>
            <w:r w:rsidRPr="00C768B1">
              <w:t>KX3P,</w:t>
            </w:r>
            <w:r>
              <w:t xml:space="preserve"> </w:t>
            </w:r>
            <w:r w:rsidRPr="00C768B1">
              <w:t>KX3L6, KX3L7, KX3L8, KX3L9, KX6D1, KX6D2, KX6D3, KX6D5, KX6D6, LX1M, LX1I7, LX1N4, LX4A1, LX4A2, LX4A3, LX4A4, LX4A5</w:t>
            </w:r>
            <w:r>
              <w:t>, LX4B1</w:t>
            </w:r>
          </w:p>
        </w:tc>
      </w:tr>
      <w:tr w:rsidR="008D5510" w:rsidRPr="003F54C3" w14:paraId="64C7446D" w14:textId="77777777" w:rsidTr="0067714C">
        <w:trPr>
          <w:cantSplit/>
        </w:trPr>
        <w:tc>
          <w:tcPr>
            <w:tcW w:w="1460" w:type="dxa"/>
            <w:tcBorders>
              <w:top w:val="single" w:sz="4" w:space="0" w:color="auto"/>
              <w:left w:val="single" w:sz="4" w:space="0" w:color="auto"/>
              <w:bottom w:val="single" w:sz="4" w:space="0" w:color="auto"/>
              <w:right w:val="single" w:sz="4" w:space="0" w:color="auto"/>
            </w:tcBorders>
            <w:hideMark/>
          </w:tcPr>
          <w:p w14:paraId="575C09EC" w14:textId="77777777" w:rsidR="008D5510" w:rsidRPr="003F54C3" w:rsidRDefault="008D5510" w:rsidP="008D5510">
            <w:pPr>
              <w:pStyle w:val="TableBody"/>
              <w:spacing w:line="240" w:lineRule="atLeast"/>
            </w:pPr>
            <w:r w:rsidRPr="003F54C3">
              <w:t>Perth C</w:t>
            </w:r>
          </w:p>
        </w:tc>
        <w:tc>
          <w:tcPr>
            <w:tcW w:w="6905" w:type="dxa"/>
            <w:tcBorders>
              <w:top w:val="single" w:sz="4" w:space="0" w:color="auto"/>
              <w:left w:val="single" w:sz="4" w:space="0" w:color="auto"/>
              <w:bottom w:val="single" w:sz="4" w:space="0" w:color="auto"/>
              <w:right w:val="single" w:sz="4" w:space="0" w:color="auto"/>
            </w:tcBorders>
          </w:tcPr>
          <w:p w14:paraId="00F57CF4" w14:textId="5A4BBFF0" w:rsidR="008D5510" w:rsidRPr="003F54C3" w:rsidRDefault="008D5510" w:rsidP="008D5510">
            <w:pPr>
              <w:pStyle w:val="TableBody"/>
              <w:spacing w:line="240" w:lineRule="atLeast"/>
            </w:pPr>
            <w:r w:rsidRPr="00C768B1">
              <w:t>BV1M, BV1N, BV1O, BV4A, BV4B, BV4C</w:t>
            </w:r>
            <w:r>
              <w:t xml:space="preserve">, </w:t>
            </w:r>
            <w:r w:rsidRPr="00C768B1">
              <w:t>BV1L5, BV1L8, BV1P1, BV1P2, BV1P4, BV1P5, BV1P7, BV1P8, BV4D1, BV4D2, BV4E1, BV4E2, BV4E3, BV4F1, BV4F2, BV4F3, BV4G1, BV4G2</w:t>
            </w:r>
            <w:r>
              <w:t>, BV1P9, BV4D3, BV4D4, BV4G3</w:t>
            </w:r>
          </w:p>
        </w:tc>
      </w:tr>
      <w:tr w:rsidR="008D5510" w:rsidRPr="003F54C3" w14:paraId="749A28C4" w14:textId="77777777" w:rsidTr="0067714C">
        <w:trPr>
          <w:cantSplit/>
        </w:trPr>
        <w:tc>
          <w:tcPr>
            <w:tcW w:w="1460" w:type="dxa"/>
            <w:tcBorders>
              <w:top w:val="single" w:sz="4" w:space="0" w:color="auto"/>
              <w:left w:val="single" w:sz="4" w:space="0" w:color="auto"/>
              <w:bottom w:val="single" w:sz="4" w:space="0" w:color="auto"/>
              <w:right w:val="single" w:sz="4" w:space="0" w:color="auto"/>
            </w:tcBorders>
          </w:tcPr>
          <w:p w14:paraId="4B98F4BF" w14:textId="77777777" w:rsidR="008D5510" w:rsidRPr="003F54C3" w:rsidRDefault="008D5510" w:rsidP="008D5510">
            <w:pPr>
              <w:pStyle w:val="TableBody"/>
              <w:spacing w:line="240" w:lineRule="atLeast"/>
            </w:pPr>
            <w:r w:rsidRPr="003F54C3">
              <w:t>Sydney C</w:t>
            </w:r>
          </w:p>
        </w:tc>
        <w:tc>
          <w:tcPr>
            <w:tcW w:w="6905" w:type="dxa"/>
            <w:tcBorders>
              <w:top w:val="single" w:sz="4" w:space="0" w:color="auto"/>
              <w:left w:val="single" w:sz="4" w:space="0" w:color="auto"/>
              <w:bottom w:val="single" w:sz="4" w:space="0" w:color="auto"/>
              <w:right w:val="single" w:sz="4" w:space="0" w:color="auto"/>
            </w:tcBorders>
          </w:tcPr>
          <w:p w14:paraId="45F21EF3" w14:textId="270F34A1" w:rsidR="008D5510" w:rsidRPr="003F54C3" w:rsidRDefault="008D5510" w:rsidP="008D5510">
            <w:pPr>
              <w:pStyle w:val="TableBody"/>
              <w:spacing w:line="240" w:lineRule="atLeast"/>
            </w:pPr>
            <w:r w:rsidRPr="00941468">
              <w:t>NV7G, NV7H, NV7J, NV7K, NV7L, NV7M, NV7N, NV7O, NV7P, NW1A, NW1B, NW1C, NW1D, NW1E, NW1F, NW1G, NW1H, MV9P2, MV9P3, MV9P5, MV9P6, MV9P7, MV9P8, MV9P9, MW3D1, MW3D2, MW3D3, MW3D5, MW3D6, MW3D8, MW3D9, MW3H2, MW3H3, MW3H5, MW3H6, MW3H9, MW3L2, MW3L3, NV4O7, NV4O8, NV4O9, NV4P7, NV7F6, NV7F8, NV7F9, NV7I6, NV7I8, NV7I9, NW1I1, NW1I2, NW1I3, NW1J1, NW1J2, NW1J3, NW1K1, NW1K2, NW1K3, NW1L1, NW1L2, NW1L3</w:t>
            </w:r>
          </w:p>
        </w:tc>
      </w:tr>
    </w:tbl>
    <w:p w14:paraId="591AD4E6" w14:textId="77777777" w:rsidR="00FB6CE1" w:rsidRDefault="00FB6CE1" w:rsidP="00FB6CE1">
      <w:pPr>
        <w:spacing w:after="80"/>
      </w:pPr>
    </w:p>
    <w:p w14:paraId="75665265" w14:textId="77777777" w:rsidR="00FB6CE1" w:rsidRDefault="00FB6CE1" w:rsidP="00FB6CE1">
      <w:pPr>
        <w:spacing w:after="80"/>
      </w:pPr>
    </w:p>
    <w:p w14:paraId="7173DA89" w14:textId="77777777" w:rsidR="00FB6CE1" w:rsidRDefault="00FB6CE1" w:rsidP="00FB6CE1">
      <w:pPr>
        <w:spacing w:after="80"/>
      </w:pPr>
    </w:p>
    <w:p w14:paraId="07899CA0" w14:textId="77777777" w:rsidR="00314225" w:rsidRDefault="00314225">
      <w:pPr>
        <w:spacing w:after="0" w:line="240" w:lineRule="auto"/>
        <w:rPr>
          <w:b/>
          <w:bCs/>
          <w:color w:val="323232"/>
          <w:szCs w:val="20"/>
        </w:rPr>
      </w:pPr>
      <w:r>
        <w:br w:type="page"/>
      </w:r>
    </w:p>
    <w:p w14:paraId="25D53BC4" w14:textId="5EE4B892" w:rsidR="00314225" w:rsidRPr="009B4DF7" w:rsidRDefault="00314225" w:rsidP="00772048">
      <w:pPr>
        <w:pStyle w:val="ACMAFigureHeader"/>
        <w:spacing w:after="60"/>
      </w:pPr>
      <w:r w:rsidRPr="003A1A7E">
        <w:lastRenderedPageBreak/>
        <w:t>Illustration of urban excise areas (pu</w:t>
      </w:r>
      <w:r w:rsidRPr="009B4DF7">
        <w:t xml:space="preserve">rple areas) </w:t>
      </w:r>
    </w:p>
    <w:p w14:paraId="00628714" w14:textId="72BD3C1F" w:rsidR="00314225" w:rsidRDefault="001A3C6E" w:rsidP="00772048">
      <w:pPr>
        <w:spacing w:after="60"/>
        <w:ind w:right="-1260"/>
      </w:pPr>
      <w:r>
        <w:rPr>
          <w:noProof/>
        </w:rPr>
        <w:drawing>
          <wp:inline distT="0" distB="0" distL="0" distR="0" wp14:anchorId="4DFF4E24" wp14:editId="145521AC">
            <wp:extent cx="2588400" cy="2700000"/>
            <wp:effectExtent l="0" t="0" r="2540" b="5715"/>
            <wp:docPr id="5" name="Picture 5" descr="Illustration of urban excise areas (purple area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2"/>
                    <a:srcRect l="4268"/>
                    <a:stretch/>
                  </pic:blipFill>
                  <pic:spPr bwMode="auto">
                    <a:xfrm>
                      <a:off x="0" y="0"/>
                      <a:ext cx="2588400" cy="2700000"/>
                    </a:xfrm>
                    <a:prstGeom prst="rect">
                      <a:avLst/>
                    </a:prstGeom>
                    <a:ln>
                      <a:noFill/>
                    </a:ln>
                    <a:extLst>
                      <a:ext uri="{53640926-AAD7-44D8-BBD7-CCE9431645EC}">
                        <a14:shadowObscured xmlns:a14="http://schemas.microsoft.com/office/drawing/2010/main"/>
                      </a:ext>
                    </a:extLst>
                  </pic:spPr>
                </pic:pic>
              </a:graphicData>
            </a:graphic>
          </wp:inline>
        </w:drawing>
      </w:r>
      <w:r w:rsidR="00256B9D">
        <w:t xml:space="preserve"> </w:t>
      </w:r>
      <w:r w:rsidR="004070A8">
        <w:rPr>
          <w:noProof/>
        </w:rPr>
        <w:drawing>
          <wp:inline distT="0" distB="0" distL="0" distR="0" wp14:anchorId="184860E5" wp14:editId="1F8BD390">
            <wp:extent cx="2430000" cy="2700000"/>
            <wp:effectExtent l="0" t="0" r="8890" b="5715"/>
            <wp:docPr id="4" name="Picture 4" descr="Illustration of urban excise areas (purple area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a:stretch>
                      <a:fillRect/>
                    </a:stretch>
                  </pic:blipFill>
                  <pic:spPr>
                    <a:xfrm>
                      <a:off x="0" y="0"/>
                      <a:ext cx="2430000" cy="2700000"/>
                    </a:xfrm>
                    <a:prstGeom prst="rect">
                      <a:avLst/>
                    </a:prstGeom>
                  </pic:spPr>
                </pic:pic>
              </a:graphicData>
            </a:graphic>
          </wp:inline>
        </w:drawing>
      </w:r>
    </w:p>
    <w:p w14:paraId="4655B2B0" w14:textId="5A3A6069" w:rsidR="00D2675A" w:rsidRDefault="00EB5557" w:rsidP="00772048">
      <w:pPr>
        <w:spacing w:after="60"/>
        <w:ind w:right="-1260"/>
      </w:pPr>
      <w:r w:rsidRPr="001B01B4">
        <w:rPr>
          <w:noProof/>
        </w:rPr>
        <w:drawing>
          <wp:inline distT="0" distB="0" distL="0" distR="0" wp14:anchorId="4DD7455C" wp14:editId="7E787659">
            <wp:extent cx="2588400" cy="2631600"/>
            <wp:effectExtent l="0" t="0" r="2540" b="0"/>
            <wp:docPr id="6" name="Picture 6" descr="Illustration of urban excise areas (purple area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4"/>
                    <a:srcRect b="7313"/>
                    <a:stretch/>
                  </pic:blipFill>
                  <pic:spPr bwMode="auto">
                    <a:xfrm>
                      <a:off x="0" y="0"/>
                      <a:ext cx="2588400" cy="2631600"/>
                    </a:xfrm>
                    <a:prstGeom prst="rect">
                      <a:avLst/>
                    </a:prstGeom>
                    <a:ln>
                      <a:noFill/>
                    </a:ln>
                    <a:extLst>
                      <a:ext uri="{53640926-AAD7-44D8-BBD7-CCE9431645EC}">
                        <a14:shadowObscured xmlns:a14="http://schemas.microsoft.com/office/drawing/2010/main"/>
                      </a:ext>
                    </a:extLst>
                  </pic:spPr>
                </pic:pic>
              </a:graphicData>
            </a:graphic>
          </wp:inline>
        </w:drawing>
      </w:r>
      <w:r w:rsidRPr="00772048">
        <w:t xml:space="preserve"> </w:t>
      </w:r>
      <w:r w:rsidR="00CC6565">
        <w:rPr>
          <w:noProof/>
        </w:rPr>
        <w:drawing>
          <wp:inline distT="0" distB="0" distL="0" distR="0" wp14:anchorId="1F5EA725" wp14:editId="1F913B51">
            <wp:extent cx="2430000" cy="2624400"/>
            <wp:effectExtent l="0" t="0" r="8890" b="5080"/>
            <wp:docPr id="8" name="Picture 8" descr="Illustration of urban excise areas (purple area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5"/>
                    <a:srcRect t="146" r="13707" b="6792"/>
                    <a:stretch/>
                  </pic:blipFill>
                  <pic:spPr bwMode="auto">
                    <a:xfrm>
                      <a:off x="0" y="0"/>
                      <a:ext cx="2430000" cy="2624400"/>
                    </a:xfrm>
                    <a:prstGeom prst="rect">
                      <a:avLst/>
                    </a:prstGeom>
                    <a:ln>
                      <a:noFill/>
                    </a:ln>
                    <a:extLst>
                      <a:ext uri="{53640926-AAD7-44D8-BBD7-CCE9431645EC}">
                        <a14:shadowObscured xmlns:a14="http://schemas.microsoft.com/office/drawing/2010/main"/>
                      </a:ext>
                    </a:extLst>
                  </pic:spPr>
                </pic:pic>
              </a:graphicData>
            </a:graphic>
          </wp:inline>
        </w:drawing>
      </w:r>
    </w:p>
    <w:p w14:paraId="04939EB4" w14:textId="564A3FDC" w:rsidR="00FF3C69" w:rsidRDefault="00D2675A" w:rsidP="00772048">
      <w:pPr>
        <w:spacing w:after="60"/>
        <w:ind w:right="-1260"/>
      </w:pPr>
      <w:r>
        <w:rPr>
          <w:noProof/>
        </w:rPr>
        <w:drawing>
          <wp:inline distT="0" distB="0" distL="0" distR="0" wp14:anchorId="3DC4CCF6" wp14:editId="2E2FCB4F">
            <wp:extent cx="2588400" cy="3020400"/>
            <wp:effectExtent l="0" t="0" r="2540" b="8890"/>
            <wp:docPr id="9" name="Picture 9" descr="Illustration of urban excise areas (purple area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stretch>
                      <a:fillRect/>
                    </a:stretch>
                  </pic:blipFill>
                  <pic:spPr>
                    <a:xfrm>
                      <a:off x="0" y="0"/>
                      <a:ext cx="2588400" cy="3020400"/>
                    </a:xfrm>
                    <a:prstGeom prst="rect">
                      <a:avLst/>
                    </a:prstGeom>
                  </pic:spPr>
                </pic:pic>
              </a:graphicData>
            </a:graphic>
          </wp:inline>
        </w:drawing>
      </w:r>
      <w:r w:rsidRPr="00D2675A">
        <w:rPr>
          <w:noProof/>
        </w:rPr>
        <w:t xml:space="preserve"> </w:t>
      </w:r>
      <w:r w:rsidR="00456B91">
        <w:rPr>
          <w:noProof/>
        </w:rPr>
        <w:drawing>
          <wp:inline distT="0" distB="0" distL="0" distR="0" wp14:anchorId="77C70D88" wp14:editId="1D1224A7">
            <wp:extent cx="2421566" cy="3028315"/>
            <wp:effectExtent l="0" t="0" r="0" b="635"/>
            <wp:docPr id="11" name="Picture 11" descr="Illustration of urban excise areas (purple area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7"/>
                    <a:srcRect l="5556" r="1"/>
                    <a:stretch/>
                  </pic:blipFill>
                  <pic:spPr bwMode="auto">
                    <a:xfrm>
                      <a:off x="0" y="0"/>
                      <a:ext cx="2439935" cy="3051286"/>
                    </a:xfrm>
                    <a:prstGeom prst="rect">
                      <a:avLst/>
                    </a:prstGeom>
                    <a:ln>
                      <a:noFill/>
                    </a:ln>
                    <a:extLst>
                      <a:ext uri="{53640926-AAD7-44D8-BBD7-CCE9431645EC}">
                        <a14:shadowObscured xmlns:a14="http://schemas.microsoft.com/office/drawing/2010/main"/>
                      </a:ext>
                    </a:extLst>
                  </pic:spPr>
                </pic:pic>
              </a:graphicData>
            </a:graphic>
          </wp:inline>
        </w:drawing>
      </w:r>
      <w:r w:rsidR="0041371B">
        <w:t xml:space="preserve"> </w:t>
      </w:r>
    </w:p>
    <w:sectPr w:rsidR="00FF3C69" w:rsidSect="009C6C04">
      <w:headerReference w:type="even" r:id="rId58"/>
      <w:headerReference w:type="default" r:id="rId59"/>
      <w:footerReference w:type="even" r:id="rId60"/>
      <w:footerReference w:type="default" r:id="rId61"/>
      <w:pgSz w:w="11906" w:h="16838" w:code="9"/>
      <w:pgMar w:top="1945" w:right="3101" w:bottom="1134" w:left="1134"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B9713E" w14:textId="77777777" w:rsidR="00236FF3" w:rsidRDefault="00236FF3">
      <w:r>
        <w:separator/>
      </w:r>
    </w:p>
  </w:endnote>
  <w:endnote w:type="continuationSeparator" w:id="0">
    <w:p w14:paraId="6D599BE8" w14:textId="77777777" w:rsidR="00236FF3" w:rsidRDefault="00236F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Times New Roman"/>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933459" w14:textId="77777777" w:rsidR="00236FF3" w:rsidRDefault="00236FF3" w:rsidP="005E250B">
    <w:pPr>
      <w:pStyle w:val="Footer"/>
      <w:jc w:val="right"/>
    </w:pPr>
    <w:r w:rsidRPr="005E250B">
      <w:rPr>
        <w:noProof/>
        <w:vertAlign w:val="subscript"/>
      </w:rPr>
      <w:drawing>
        <wp:inline distT="0" distB="0" distL="0" distR="0" wp14:anchorId="27452783" wp14:editId="2309993E">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C30149" w14:textId="77777777" w:rsidR="00236FF3" w:rsidRDefault="00236FF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651A33" w14:textId="77777777" w:rsidR="00236FF3" w:rsidRDefault="00236FF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3A3D6F" w14:textId="77777777" w:rsidR="00236FF3" w:rsidRPr="00622A3B" w:rsidRDefault="00236FF3"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3E53CE86" w14:textId="77777777" w:rsidR="00236FF3" w:rsidRPr="00A5474E" w:rsidRDefault="00236FF3"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9E705E" w14:textId="77777777" w:rsidR="00236FF3" w:rsidRPr="00622A3B" w:rsidRDefault="00236FF3"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0B499F3E" w14:textId="77777777" w:rsidR="00236FF3" w:rsidRPr="00A5474E" w:rsidRDefault="00236FF3"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C3D09D" w14:textId="77777777" w:rsidR="00236FF3" w:rsidRPr="00622A3B" w:rsidRDefault="00236FF3"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2C26E184" w14:textId="77777777" w:rsidR="00236FF3" w:rsidRPr="00A5474E" w:rsidRDefault="00236FF3"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18AE75" w14:textId="77777777" w:rsidR="00236FF3" w:rsidRPr="00622A3B" w:rsidRDefault="00236FF3"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31E9968C" w14:textId="77777777" w:rsidR="00236FF3" w:rsidRPr="00A5474E" w:rsidRDefault="00236FF3"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C43498" w14:textId="77777777" w:rsidR="00236FF3" w:rsidRPr="00622A3B" w:rsidRDefault="00236FF3"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30227074" w14:textId="77777777" w:rsidR="00236FF3" w:rsidRPr="00A5474E" w:rsidRDefault="00236FF3" w:rsidP="00A5474E">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CECC3C" w14:textId="77777777" w:rsidR="00236FF3" w:rsidRPr="00622A3B" w:rsidRDefault="00236FF3"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07DF6C8" w14:textId="77777777" w:rsidR="00236FF3" w:rsidRPr="00A5474E" w:rsidRDefault="00236FF3" w:rsidP="00A5474E">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C28E44" w14:textId="77777777" w:rsidR="00236FF3" w:rsidRPr="00622A3B" w:rsidRDefault="00236FF3"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7CD87E4C" w14:textId="77777777" w:rsidR="00236FF3" w:rsidRPr="00A5474E" w:rsidRDefault="00236FF3"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061F8D" w14:textId="77777777" w:rsidR="00236FF3" w:rsidRDefault="00236FF3">
      <w:r>
        <w:separator/>
      </w:r>
    </w:p>
  </w:footnote>
  <w:footnote w:type="continuationSeparator" w:id="0">
    <w:p w14:paraId="3217C6FC" w14:textId="77777777" w:rsidR="00236FF3" w:rsidRDefault="00236FF3">
      <w:r>
        <w:continuationSeparator/>
      </w:r>
    </w:p>
  </w:footnote>
  <w:footnote w:id="1">
    <w:p w14:paraId="4248B265" w14:textId="77777777" w:rsidR="00236FF3" w:rsidRDefault="00236FF3" w:rsidP="00FB6CE1">
      <w:pPr>
        <w:pStyle w:val="FootnoteText"/>
      </w:pPr>
      <w:r>
        <w:rPr>
          <w:rStyle w:val="FootnoteReference"/>
        </w:rPr>
        <w:footnoteRef/>
      </w:r>
      <w:r>
        <w:t xml:space="preserve"> Appendix D of the Options paper provides detail of the conversion process.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3C99B8" w14:textId="77777777" w:rsidR="00236FF3" w:rsidRPr="00A5474E" w:rsidRDefault="00236FF3" w:rsidP="00A5474E">
    <w:pPr>
      <w:pStyle w:val="Header"/>
    </w:pPr>
    <w:r>
      <w:rPr>
        <w:noProof/>
      </w:rPr>
      <w:drawing>
        <wp:inline distT="0" distB="0" distL="0" distR="0" wp14:anchorId="7A9D41F2" wp14:editId="7DF7D221">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7E26E0" w14:textId="77777777" w:rsidR="00236FF3" w:rsidRPr="00A5474E" w:rsidRDefault="00236FF3"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8EE8EC" w14:textId="77777777" w:rsidR="00236FF3" w:rsidRDefault="00236FF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A0DADA" w14:textId="77777777" w:rsidR="00236FF3" w:rsidRDefault="00236FF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236FF3" w14:paraId="02D9CE79" w14:textId="77777777" w:rsidTr="0067714C">
      <w:trPr>
        <w:trHeight w:hRule="exact" w:val="988"/>
      </w:trPr>
      <w:tc>
        <w:tcPr>
          <w:tcW w:w="7678" w:type="dxa"/>
          <w:shd w:val="clear" w:color="auto" w:fill="auto"/>
        </w:tcPr>
        <w:p w14:paraId="01CBCF3B" w14:textId="77777777" w:rsidR="00236FF3" w:rsidRDefault="00236FF3" w:rsidP="00971914">
          <w:pPr>
            <w:pStyle w:val="Header"/>
          </w:pPr>
        </w:p>
      </w:tc>
    </w:tr>
    <w:tr w:rsidR="00236FF3" w14:paraId="44A02EA6" w14:textId="77777777" w:rsidTr="0067714C">
      <w:tc>
        <w:tcPr>
          <w:tcW w:w="7678" w:type="dxa"/>
          <w:shd w:val="clear" w:color="auto" w:fill="auto"/>
        </w:tcPr>
        <w:p w14:paraId="78D2A8BC" w14:textId="77777777" w:rsidR="00236FF3" w:rsidRDefault="00236FF3" w:rsidP="00971914">
          <w:pPr>
            <w:pStyle w:val="GridTable31"/>
          </w:pPr>
          <w:r>
            <w:t xml:space="preserve">Contents </w:t>
          </w:r>
          <w:r w:rsidRPr="00915B1C">
            <w:rPr>
              <w:b w:val="0"/>
              <w:spacing w:val="0"/>
              <w:sz w:val="28"/>
              <w:szCs w:val="28"/>
            </w:rPr>
            <w:t>(Continued)</w:t>
          </w:r>
        </w:p>
      </w:tc>
    </w:tr>
    <w:tr w:rsidR="00236FF3" w14:paraId="0989F12F" w14:textId="77777777" w:rsidTr="0067714C">
      <w:trPr>
        <w:trHeight w:val="1220"/>
      </w:trPr>
      <w:tc>
        <w:tcPr>
          <w:tcW w:w="7678" w:type="dxa"/>
          <w:shd w:val="clear" w:color="auto" w:fill="auto"/>
        </w:tcPr>
        <w:p w14:paraId="502A8054" w14:textId="77777777" w:rsidR="00236FF3" w:rsidRDefault="00236FF3" w:rsidP="00971914"/>
      </w:tc>
    </w:tr>
  </w:tbl>
  <w:p w14:paraId="0BF64350" w14:textId="77777777" w:rsidR="00236FF3" w:rsidRDefault="00236FF3"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236FF3" w14:paraId="736F670C" w14:textId="77777777" w:rsidTr="0067714C">
      <w:trPr>
        <w:trHeight w:hRule="exact" w:val="988"/>
      </w:trPr>
      <w:tc>
        <w:tcPr>
          <w:tcW w:w="7678" w:type="dxa"/>
          <w:shd w:val="clear" w:color="auto" w:fill="auto"/>
        </w:tcPr>
        <w:p w14:paraId="4CEE779C" w14:textId="77777777" w:rsidR="00236FF3" w:rsidRDefault="00236FF3" w:rsidP="00971914">
          <w:pPr>
            <w:pStyle w:val="Header"/>
          </w:pPr>
        </w:p>
      </w:tc>
    </w:tr>
    <w:tr w:rsidR="00236FF3" w14:paraId="5C787F31" w14:textId="77777777" w:rsidTr="0067714C">
      <w:tc>
        <w:tcPr>
          <w:tcW w:w="7678" w:type="dxa"/>
          <w:shd w:val="clear" w:color="auto" w:fill="auto"/>
        </w:tcPr>
        <w:p w14:paraId="13D138B0" w14:textId="77777777" w:rsidR="00236FF3" w:rsidRDefault="00236FF3" w:rsidP="00971914">
          <w:pPr>
            <w:pStyle w:val="GridTable31"/>
          </w:pPr>
          <w:r>
            <w:t xml:space="preserve">Contents </w:t>
          </w:r>
          <w:r w:rsidRPr="00915B1C">
            <w:rPr>
              <w:b w:val="0"/>
              <w:spacing w:val="0"/>
              <w:sz w:val="28"/>
              <w:szCs w:val="28"/>
            </w:rPr>
            <w:t>(Continued)</w:t>
          </w:r>
        </w:p>
      </w:tc>
    </w:tr>
    <w:tr w:rsidR="00236FF3" w14:paraId="4661583C" w14:textId="77777777" w:rsidTr="0067714C">
      <w:trPr>
        <w:trHeight w:val="1220"/>
      </w:trPr>
      <w:tc>
        <w:tcPr>
          <w:tcW w:w="7678" w:type="dxa"/>
          <w:shd w:val="clear" w:color="auto" w:fill="auto"/>
        </w:tcPr>
        <w:p w14:paraId="15B4710A" w14:textId="77777777" w:rsidR="00236FF3" w:rsidRDefault="00236FF3" w:rsidP="00971914"/>
      </w:tc>
    </w:tr>
  </w:tbl>
  <w:p w14:paraId="1F82DA34" w14:textId="77777777" w:rsidR="00236FF3" w:rsidRPr="00A5474E" w:rsidRDefault="00236FF3"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FA412B" w14:textId="77777777" w:rsidR="00236FF3" w:rsidRDefault="00236FF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3C9EEF" w14:textId="77777777" w:rsidR="00236FF3" w:rsidRDefault="00236FF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B858B8" w14:textId="77777777" w:rsidR="00236FF3" w:rsidRDefault="00236FF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A49E78" w14:textId="77777777" w:rsidR="00236FF3" w:rsidRDefault="00236FF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B3DEF1AC"/>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2"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4"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B044642"/>
    <w:multiLevelType w:val="hybridMultilevel"/>
    <w:tmpl w:val="2F6A7D3E"/>
    <w:lvl w:ilvl="0" w:tplc="6EC058B2">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0EFC1AA0"/>
    <w:multiLevelType w:val="hybridMultilevel"/>
    <w:tmpl w:val="4E8265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3FC60E9"/>
    <w:multiLevelType w:val="hybridMultilevel"/>
    <w:tmpl w:val="514C3B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DCE109E"/>
    <w:multiLevelType w:val="hybridMultilevel"/>
    <w:tmpl w:val="643811A4"/>
    <w:lvl w:ilvl="0" w:tplc="6EC058B2">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208D6EE0"/>
    <w:multiLevelType w:val="hybridMultilevel"/>
    <w:tmpl w:val="BA667CD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3" w15:restartNumberingAfterBreak="0">
    <w:nsid w:val="37586D62"/>
    <w:multiLevelType w:val="hybridMultilevel"/>
    <w:tmpl w:val="4398B1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266752E"/>
    <w:multiLevelType w:val="hybridMultilevel"/>
    <w:tmpl w:val="6EAA022C"/>
    <w:lvl w:ilvl="0" w:tplc="6EC058B2">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45F16E81"/>
    <w:multiLevelType w:val="hybridMultilevel"/>
    <w:tmpl w:val="A3BAC3EC"/>
    <w:lvl w:ilvl="0" w:tplc="44EEC084">
      <w:start w:val="1"/>
      <w:numFmt w:val="bullet"/>
      <w:lvlText w:val="&gt;"/>
      <w:lvlJc w:val="left"/>
      <w:pPr>
        <w:ind w:left="360" w:hanging="360"/>
      </w:pPr>
      <w:rPr>
        <w:rFonts w:ascii="HelveticaNeueLT Std" w:hAnsi="HelveticaNeueLT Std" w:hint="default"/>
      </w:rPr>
    </w:lvl>
    <w:lvl w:ilvl="1" w:tplc="55F2986E">
      <w:start w:val="1"/>
      <w:numFmt w:val="bullet"/>
      <w:lvlText w:val=""/>
      <w:lvlJc w:val="left"/>
      <w:pPr>
        <w:ind w:left="1080" w:hanging="360"/>
      </w:pPr>
      <w:rPr>
        <w:rFonts w:ascii="Symbol" w:hAnsi="Symbol"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524E38F0"/>
    <w:multiLevelType w:val="hybridMultilevel"/>
    <w:tmpl w:val="FA9E2662"/>
    <w:lvl w:ilvl="0" w:tplc="01464D12">
      <w:start w:val="1"/>
      <w:numFmt w:val="bullet"/>
      <w:lvlText w:val=""/>
      <w:lvlJc w:val="left"/>
      <w:pPr>
        <w:ind w:left="282" w:hanging="360"/>
      </w:pPr>
      <w:rPr>
        <w:rFonts w:ascii="Symbol" w:hAnsi="Symbol" w:hint="default"/>
      </w:rPr>
    </w:lvl>
    <w:lvl w:ilvl="1" w:tplc="0C090003">
      <w:start w:val="1"/>
      <w:numFmt w:val="bullet"/>
      <w:lvlText w:val="o"/>
      <w:lvlJc w:val="left"/>
      <w:pPr>
        <w:ind w:left="1002" w:hanging="360"/>
      </w:pPr>
      <w:rPr>
        <w:rFonts w:ascii="Courier New" w:hAnsi="Courier New" w:cs="Courier New" w:hint="default"/>
      </w:rPr>
    </w:lvl>
    <w:lvl w:ilvl="2" w:tplc="0C090005" w:tentative="1">
      <w:start w:val="1"/>
      <w:numFmt w:val="bullet"/>
      <w:lvlText w:val=""/>
      <w:lvlJc w:val="left"/>
      <w:pPr>
        <w:ind w:left="1722" w:hanging="360"/>
      </w:pPr>
      <w:rPr>
        <w:rFonts w:ascii="Wingdings" w:hAnsi="Wingdings" w:hint="default"/>
      </w:rPr>
    </w:lvl>
    <w:lvl w:ilvl="3" w:tplc="0C090001" w:tentative="1">
      <w:start w:val="1"/>
      <w:numFmt w:val="bullet"/>
      <w:lvlText w:val=""/>
      <w:lvlJc w:val="left"/>
      <w:pPr>
        <w:ind w:left="2442" w:hanging="360"/>
      </w:pPr>
      <w:rPr>
        <w:rFonts w:ascii="Symbol" w:hAnsi="Symbol" w:hint="default"/>
      </w:rPr>
    </w:lvl>
    <w:lvl w:ilvl="4" w:tplc="0C090003" w:tentative="1">
      <w:start w:val="1"/>
      <w:numFmt w:val="bullet"/>
      <w:lvlText w:val="o"/>
      <w:lvlJc w:val="left"/>
      <w:pPr>
        <w:ind w:left="3162" w:hanging="360"/>
      </w:pPr>
      <w:rPr>
        <w:rFonts w:ascii="Courier New" w:hAnsi="Courier New" w:cs="Courier New" w:hint="default"/>
      </w:rPr>
    </w:lvl>
    <w:lvl w:ilvl="5" w:tplc="0C090005" w:tentative="1">
      <w:start w:val="1"/>
      <w:numFmt w:val="bullet"/>
      <w:lvlText w:val=""/>
      <w:lvlJc w:val="left"/>
      <w:pPr>
        <w:ind w:left="3882" w:hanging="360"/>
      </w:pPr>
      <w:rPr>
        <w:rFonts w:ascii="Wingdings" w:hAnsi="Wingdings" w:hint="default"/>
      </w:rPr>
    </w:lvl>
    <w:lvl w:ilvl="6" w:tplc="0C090001" w:tentative="1">
      <w:start w:val="1"/>
      <w:numFmt w:val="bullet"/>
      <w:lvlText w:val=""/>
      <w:lvlJc w:val="left"/>
      <w:pPr>
        <w:ind w:left="4602" w:hanging="360"/>
      </w:pPr>
      <w:rPr>
        <w:rFonts w:ascii="Symbol" w:hAnsi="Symbol" w:hint="default"/>
      </w:rPr>
    </w:lvl>
    <w:lvl w:ilvl="7" w:tplc="0C090003" w:tentative="1">
      <w:start w:val="1"/>
      <w:numFmt w:val="bullet"/>
      <w:lvlText w:val="o"/>
      <w:lvlJc w:val="left"/>
      <w:pPr>
        <w:ind w:left="5322" w:hanging="360"/>
      </w:pPr>
      <w:rPr>
        <w:rFonts w:ascii="Courier New" w:hAnsi="Courier New" w:cs="Courier New" w:hint="default"/>
      </w:rPr>
    </w:lvl>
    <w:lvl w:ilvl="8" w:tplc="0C090005" w:tentative="1">
      <w:start w:val="1"/>
      <w:numFmt w:val="bullet"/>
      <w:lvlText w:val=""/>
      <w:lvlJc w:val="left"/>
      <w:pPr>
        <w:ind w:left="6042" w:hanging="360"/>
      </w:pPr>
      <w:rPr>
        <w:rFonts w:ascii="Wingdings" w:hAnsi="Wingdings" w:hint="default"/>
      </w:rPr>
    </w:lvl>
  </w:abstractNum>
  <w:abstractNum w:abstractNumId="17"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A470BFA"/>
    <w:multiLevelType w:val="hybridMultilevel"/>
    <w:tmpl w:val="65027D9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FA5653D"/>
    <w:multiLevelType w:val="hybridMultilevel"/>
    <w:tmpl w:val="35D0FDAA"/>
    <w:lvl w:ilvl="0" w:tplc="749AADFC">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755B7914"/>
    <w:multiLevelType w:val="hybridMultilevel"/>
    <w:tmpl w:val="85940D40"/>
    <w:lvl w:ilvl="0" w:tplc="3E303AD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768A6B11"/>
    <w:multiLevelType w:val="hybridMultilevel"/>
    <w:tmpl w:val="61C8998E"/>
    <w:lvl w:ilvl="0" w:tplc="6EC058B2">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7A2644FC"/>
    <w:multiLevelType w:val="hybridMultilevel"/>
    <w:tmpl w:val="54AA93A0"/>
    <w:lvl w:ilvl="0" w:tplc="FA94A91C">
      <w:start w:val="1"/>
      <w:numFmt w:val="decimal"/>
      <w:lvlText w:val="%1."/>
      <w:lvlJc w:val="left"/>
      <w:pPr>
        <w:ind w:left="360" w:hanging="360"/>
      </w:pPr>
      <w:rPr>
        <w:rFonts w:ascii="Arial" w:hAnsi="Arial" w:cs="Arial"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4"/>
  </w:num>
  <w:num w:numId="2">
    <w:abstractNumId w:val="2"/>
  </w:num>
  <w:num w:numId="3">
    <w:abstractNumId w:val="3"/>
  </w:num>
  <w:num w:numId="4">
    <w:abstractNumId w:val="1"/>
  </w:num>
  <w:num w:numId="5">
    <w:abstractNumId w:val="12"/>
  </w:num>
  <w:num w:numId="6">
    <w:abstractNumId w:val="20"/>
  </w:num>
  <w:num w:numId="7">
    <w:abstractNumId w:val="17"/>
  </w:num>
  <w:num w:numId="8">
    <w:abstractNumId w:val="19"/>
  </w:num>
  <w:num w:numId="9">
    <w:abstractNumId w:val="21"/>
  </w:num>
  <w:num w:numId="10">
    <w:abstractNumId w:val="6"/>
  </w:num>
  <w:num w:numId="11">
    <w:abstractNumId w:val="5"/>
  </w:num>
  <w:num w:numId="12">
    <w:abstractNumId w:val="4"/>
  </w:num>
  <w:num w:numId="13">
    <w:abstractNumId w:val="3"/>
    <w:lvlOverride w:ilvl="0">
      <w:startOverride w:val="1"/>
    </w:lvlOverride>
  </w:num>
  <w:num w:numId="14">
    <w:abstractNumId w:val="3"/>
    <w:lvlOverride w:ilvl="0">
      <w:startOverride w:val="1"/>
    </w:lvlOverride>
  </w:num>
  <w:num w:numId="15">
    <w:abstractNumId w:val="3"/>
    <w:lvlOverride w:ilvl="0">
      <w:startOverride w:val="1"/>
    </w:lvlOverride>
  </w:num>
  <w:num w:numId="16">
    <w:abstractNumId w:val="15"/>
  </w:num>
  <w:num w:numId="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3"/>
  </w:num>
  <w:num w:numId="19">
    <w:abstractNumId w:val="16"/>
  </w:num>
  <w:num w:numId="20">
    <w:abstractNumId w:val="13"/>
  </w:num>
  <w:num w:numId="21">
    <w:abstractNumId w:val="9"/>
  </w:num>
  <w:num w:numId="22">
    <w:abstractNumId w:val="18"/>
  </w:num>
  <w:num w:numId="23">
    <w:abstractNumId w:val="10"/>
  </w:num>
  <w:num w:numId="24">
    <w:abstractNumId w:val="11"/>
  </w:num>
  <w:num w:numId="25">
    <w:abstractNumId w:val="8"/>
  </w:num>
  <w:num w:numId="26">
    <w:abstractNumId w:val="25"/>
  </w:num>
  <w:num w:numId="27">
    <w:abstractNumId w:val="0"/>
  </w:num>
  <w:num w:numId="28">
    <w:abstractNumId w:val="22"/>
  </w:num>
  <w:num w:numId="29">
    <w:abstractNumId w:val="7"/>
  </w:num>
  <w:num w:numId="30">
    <w:abstractNumId w:val="24"/>
  </w:num>
  <w:num w:numId="31">
    <w:abstractNumId w:val="1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0241">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6CE1"/>
    <w:rsid w:val="00010667"/>
    <w:rsid w:val="000129D5"/>
    <w:rsid w:val="00013DFA"/>
    <w:rsid w:val="00015AE7"/>
    <w:rsid w:val="00016E21"/>
    <w:rsid w:val="0001719C"/>
    <w:rsid w:val="0002224E"/>
    <w:rsid w:val="000245E5"/>
    <w:rsid w:val="0002531A"/>
    <w:rsid w:val="00026F91"/>
    <w:rsid w:val="00032621"/>
    <w:rsid w:val="00035BE2"/>
    <w:rsid w:val="00042CBF"/>
    <w:rsid w:val="0004764C"/>
    <w:rsid w:val="0005011A"/>
    <w:rsid w:val="0005045A"/>
    <w:rsid w:val="00051C1E"/>
    <w:rsid w:val="000539F9"/>
    <w:rsid w:val="00054C27"/>
    <w:rsid w:val="00055EC3"/>
    <w:rsid w:val="000563CE"/>
    <w:rsid w:val="000659B6"/>
    <w:rsid w:val="00066048"/>
    <w:rsid w:val="0006686F"/>
    <w:rsid w:val="0006722A"/>
    <w:rsid w:val="00070AEB"/>
    <w:rsid w:val="000732CF"/>
    <w:rsid w:val="00075B96"/>
    <w:rsid w:val="0008196A"/>
    <w:rsid w:val="00083E2D"/>
    <w:rsid w:val="000849FC"/>
    <w:rsid w:val="000915ED"/>
    <w:rsid w:val="0009209D"/>
    <w:rsid w:val="00092ED8"/>
    <w:rsid w:val="0009463C"/>
    <w:rsid w:val="000969BD"/>
    <w:rsid w:val="000969BF"/>
    <w:rsid w:val="000A0C22"/>
    <w:rsid w:val="000A1400"/>
    <w:rsid w:val="000A2382"/>
    <w:rsid w:val="000A3C43"/>
    <w:rsid w:val="000A4A51"/>
    <w:rsid w:val="000A5D2B"/>
    <w:rsid w:val="000B4664"/>
    <w:rsid w:val="000B5DE3"/>
    <w:rsid w:val="000C0A57"/>
    <w:rsid w:val="000C230C"/>
    <w:rsid w:val="000C6AB4"/>
    <w:rsid w:val="000D71D9"/>
    <w:rsid w:val="000D76E0"/>
    <w:rsid w:val="000D7E8B"/>
    <w:rsid w:val="000E4449"/>
    <w:rsid w:val="000E6097"/>
    <w:rsid w:val="00103829"/>
    <w:rsid w:val="00111FCE"/>
    <w:rsid w:val="001229A5"/>
    <w:rsid w:val="0012489B"/>
    <w:rsid w:val="00124BA8"/>
    <w:rsid w:val="00130017"/>
    <w:rsid w:val="00130F91"/>
    <w:rsid w:val="001349ED"/>
    <w:rsid w:val="00137424"/>
    <w:rsid w:val="00140318"/>
    <w:rsid w:val="00141AD9"/>
    <w:rsid w:val="00146CE6"/>
    <w:rsid w:val="00152903"/>
    <w:rsid w:val="00153FD5"/>
    <w:rsid w:val="0015614F"/>
    <w:rsid w:val="001577C2"/>
    <w:rsid w:val="001633C4"/>
    <w:rsid w:val="001704D5"/>
    <w:rsid w:val="00171591"/>
    <w:rsid w:val="00173981"/>
    <w:rsid w:val="00176F28"/>
    <w:rsid w:val="0017719D"/>
    <w:rsid w:val="00183FD7"/>
    <w:rsid w:val="00185CAB"/>
    <w:rsid w:val="001875B7"/>
    <w:rsid w:val="00187CB3"/>
    <w:rsid w:val="0019050A"/>
    <w:rsid w:val="001910D4"/>
    <w:rsid w:val="001976E3"/>
    <w:rsid w:val="001A3C6E"/>
    <w:rsid w:val="001A44EC"/>
    <w:rsid w:val="001B01B4"/>
    <w:rsid w:val="001B58AA"/>
    <w:rsid w:val="001B7E48"/>
    <w:rsid w:val="001C17CE"/>
    <w:rsid w:val="001C36CA"/>
    <w:rsid w:val="001C44D1"/>
    <w:rsid w:val="001C6AEE"/>
    <w:rsid w:val="001C7630"/>
    <w:rsid w:val="001D6D15"/>
    <w:rsid w:val="001F6BB6"/>
    <w:rsid w:val="001F7558"/>
    <w:rsid w:val="00201EE2"/>
    <w:rsid w:val="00205B57"/>
    <w:rsid w:val="0021426C"/>
    <w:rsid w:val="002157E0"/>
    <w:rsid w:val="00216A57"/>
    <w:rsid w:val="00217448"/>
    <w:rsid w:val="0022334F"/>
    <w:rsid w:val="00226819"/>
    <w:rsid w:val="00230903"/>
    <w:rsid w:val="00233101"/>
    <w:rsid w:val="00233817"/>
    <w:rsid w:val="002367FF"/>
    <w:rsid w:val="00236FF3"/>
    <w:rsid w:val="00240CE9"/>
    <w:rsid w:val="002434BA"/>
    <w:rsid w:val="00246089"/>
    <w:rsid w:val="00246093"/>
    <w:rsid w:val="00246702"/>
    <w:rsid w:val="00247C59"/>
    <w:rsid w:val="00247F2E"/>
    <w:rsid w:val="00250ADC"/>
    <w:rsid w:val="00250B07"/>
    <w:rsid w:val="00256B9D"/>
    <w:rsid w:val="00257553"/>
    <w:rsid w:val="00260FB2"/>
    <w:rsid w:val="00262128"/>
    <w:rsid w:val="00266EE1"/>
    <w:rsid w:val="0027165D"/>
    <w:rsid w:val="00273CEB"/>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1308"/>
    <w:rsid w:val="002C210F"/>
    <w:rsid w:val="002D3600"/>
    <w:rsid w:val="002E4DDC"/>
    <w:rsid w:val="00302480"/>
    <w:rsid w:val="00302758"/>
    <w:rsid w:val="00314225"/>
    <w:rsid w:val="003165E6"/>
    <w:rsid w:val="003215B5"/>
    <w:rsid w:val="003221CF"/>
    <w:rsid w:val="003233ED"/>
    <w:rsid w:val="00324D9F"/>
    <w:rsid w:val="00327948"/>
    <w:rsid w:val="00327A1D"/>
    <w:rsid w:val="0033000F"/>
    <w:rsid w:val="00332011"/>
    <w:rsid w:val="00332518"/>
    <w:rsid w:val="00332925"/>
    <w:rsid w:val="003332ED"/>
    <w:rsid w:val="003368DC"/>
    <w:rsid w:val="00345927"/>
    <w:rsid w:val="00350584"/>
    <w:rsid w:val="00351857"/>
    <w:rsid w:val="003545E8"/>
    <w:rsid w:val="003610E1"/>
    <w:rsid w:val="003671BE"/>
    <w:rsid w:val="0037146A"/>
    <w:rsid w:val="00372485"/>
    <w:rsid w:val="00373200"/>
    <w:rsid w:val="00375EF5"/>
    <w:rsid w:val="003767A5"/>
    <w:rsid w:val="00381D15"/>
    <w:rsid w:val="00382ECD"/>
    <w:rsid w:val="00385254"/>
    <w:rsid w:val="003933E8"/>
    <w:rsid w:val="00394031"/>
    <w:rsid w:val="003A04DB"/>
    <w:rsid w:val="003A5F5B"/>
    <w:rsid w:val="003A789A"/>
    <w:rsid w:val="003B12EC"/>
    <w:rsid w:val="003B7463"/>
    <w:rsid w:val="003C3144"/>
    <w:rsid w:val="003C77E0"/>
    <w:rsid w:val="003D17D7"/>
    <w:rsid w:val="003D2678"/>
    <w:rsid w:val="003D71A3"/>
    <w:rsid w:val="003E2B8A"/>
    <w:rsid w:val="003F10EE"/>
    <w:rsid w:val="003F16F6"/>
    <w:rsid w:val="003F4DC7"/>
    <w:rsid w:val="003F5235"/>
    <w:rsid w:val="004027E4"/>
    <w:rsid w:val="004070A8"/>
    <w:rsid w:val="0041071D"/>
    <w:rsid w:val="0041371B"/>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56B91"/>
    <w:rsid w:val="0046135B"/>
    <w:rsid w:val="00461D47"/>
    <w:rsid w:val="004718CC"/>
    <w:rsid w:val="00481695"/>
    <w:rsid w:val="00495A96"/>
    <w:rsid w:val="00495BB3"/>
    <w:rsid w:val="004A56BB"/>
    <w:rsid w:val="004A70D6"/>
    <w:rsid w:val="004B1751"/>
    <w:rsid w:val="004C0253"/>
    <w:rsid w:val="004C54C8"/>
    <w:rsid w:val="004C6C45"/>
    <w:rsid w:val="004D56FF"/>
    <w:rsid w:val="004E39D3"/>
    <w:rsid w:val="004E508A"/>
    <w:rsid w:val="004E616D"/>
    <w:rsid w:val="004F1BDE"/>
    <w:rsid w:val="004F2CEE"/>
    <w:rsid w:val="004F556E"/>
    <w:rsid w:val="004F591C"/>
    <w:rsid w:val="004F7F44"/>
    <w:rsid w:val="005037B4"/>
    <w:rsid w:val="005079BF"/>
    <w:rsid w:val="0051269A"/>
    <w:rsid w:val="005219E7"/>
    <w:rsid w:val="00531B9A"/>
    <w:rsid w:val="00531D15"/>
    <w:rsid w:val="00537604"/>
    <w:rsid w:val="00542377"/>
    <w:rsid w:val="005476EB"/>
    <w:rsid w:val="00551782"/>
    <w:rsid w:val="00563EF1"/>
    <w:rsid w:val="00566AB4"/>
    <w:rsid w:val="00573812"/>
    <w:rsid w:val="00575AC5"/>
    <w:rsid w:val="0057605D"/>
    <w:rsid w:val="00581347"/>
    <w:rsid w:val="00581AC9"/>
    <w:rsid w:val="005849F8"/>
    <w:rsid w:val="005938DF"/>
    <w:rsid w:val="00594E9C"/>
    <w:rsid w:val="005A099B"/>
    <w:rsid w:val="005A1BBF"/>
    <w:rsid w:val="005A2D9C"/>
    <w:rsid w:val="005A55FE"/>
    <w:rsid w:val="005A6A11"/>
    <w:rsid w:val="005B2F0D"/>
    <w:rsid w:val="005D1F75"/>
    <w:rsid w:val="005D2502"/>
    <w:rsid w:val="005D292D"/>
    <w:rsid w:val="005D40BB"/>
    <w:rsid w:val="005D47F3"/>
    <w:rsid w:val="005D49BF"/>
    <w:rsid w:val="005D4AA5"/>
    <w:rsid w:val="005D6F4E"/>
    <w:rsid w:val="005D7C73"/>
    <w:rsid w:val="005E250B"/>
    <w:rsid w:val="005E3ACD"/>
    <w:rsid w:val="005E7226"/>
    <w:rsid w:val="005E7A57"/>
    <w:rsid w:val="005F24B0"/>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478"/>
    <w:rsid w:val="00643396"/>
    <w:rsid w:val="00644373"/>
    <w:rsid w:val="00645915"/>
    <w:rsid w:val="00646CC4"/>
    <w:rsid w:val="006519C3"/>
    <w:rsid w:val="00652B30"/>
    <w:rsid w:val="00656345"/>
    <w:rsid w:val="00656DC6"/>
    <w:rsid w:val="00660EC6"/>
    <w:rsid w:val="00664110"/>
    <w:rsid w:val="00664D17"/>
    <w:rsid w:val="00666520"/>
    <w:rsid w:val="00666A39"/>
    <w:rsid w:val="00667C5B"/>
    <w:rsid w:val="0067628D"/>
    <w:rsid w:val="0067714C"/>
    <w:rsid w:val="00691EB8"/>
    <w:rsid w:val="00692CDE"/>
    <w:rsid w:val="00693073"/>
    <w:rsid w:val="006977FF"/>
    <w:rsid w:val="006A01FA"/>
    <w:rsid w:val="006A0E9E"/>
    <w:rsid w:val="006A25C7"/>
    <w:rsid w:val="006A4AAD"/>
    <w:rsid w:val="006A6DA2"/>
    <w:rsid w:val="006A7AB2"/>
    <w:rsid w:val="006B52DE"/>
    <w:rsid w:val="006B5717"/>
    <w:rsid w:val="006B582F"/>
    <w:rsid w:val="006B5C8B"/>
    <w:rsid w:val="006B5EB2"/>
    <w:rsid w:val="006C0CEB"/>
    <w:rsid w:val="006C1631"/>
    <w:rsid w:val="006C3B1E"/>
    <w:rsid w:val="006C47FD"/>
    <w:rsid w:val="006C5C19"/>
    <w:rsid w:val="006C70A0"/>
    <w:rsid w:val="006D27CB"/>
    <w:rsid w:val="006D2F08"/>
    <w:rsid w:val="006D576C"/>
    <w:rsid w:val="006D5865"/>
    <w:rsid w:val="006D75D1"/>
    <w:rsid w:val="006E4B1B"/>
    <w:rsid w:val="006E5445"/>
    <w:rsid w:val="006E7D93"/>
    <w:rsid w:val="0070133D"/>
    <w:rsid w:val="007029A3"/>
    <w:rsid w:val="00706E4E"/>
    <w:rsid w:val="0070791C"/>
    <w:rsid w:val="0071383C"/>
    <w:rsid w:val="007141A7"/>
    <w:rsid w:val="00715722"/>
    <w:rsid w:val="00715BAF"/>
    <w:rsid w:val="00721032"/>
    <w:rsid w:val="00721B55"/>
    <w:rsid w:val="00726CE4"/>
    <w:rsid w:val="00734143"/>
    <w:rsid w:val="00737E47"/>
    <w:rsid w:val="00740EAC"/>
    <w:rsid w:val="00744956"/>
    <w:rsid w:val="00745A5C"/>
    <w:rsid w:val="0074605F"/>
    <w:rsid w:val="00747E94"/>
    <w:rsid w:val="00754C83"/>
    <w:rsid w:val="00760D0E"/>
    <w:rsid w:val="00761E5C"/>
    <w:rsid w:val="00765DF8"/>
    <w:rsid w:val="00766749"/>
    <w:rsid w:val="00767C1B"/>
    <w:rsid w:val="00770B3F"/>
    <w:rsid w:val="007714A9"/>
    <w:rsid w:val="00772048"/>
    <w:rsid w:val="00774F88"/>
    <w:rsid w:val="00774FDB"/>
    <w:rsid w:val="00777BA2"/>
    <w:rsid w:val="00781408"/>
    <w:rsid w:val="00784F7F"/>
    <w:rsid w:val="007878BD"/>
    <w:rsid w:val="00796F25"/>
    <w:rsid w:val="007A28B0"/>
    <w:rsid w:val="007A2E98"/>
    <w:rsid w:val="007A3BA3"/>
    <w:rsid w:val="007A60D8"/>
    <w:rsid w:val="007A6CC0"/>
    <w:rsid w:val="007A7FEC"/>
    <w:rsid w:val="007B1499"/>
    <w:rsid w:val="007B1BBF"/>
    <w:rsid w:val="007B2960"/>
    <w:rsid w:val="007B355D"/>
    <w:rsid w:val="007B7980"/>
    <w:rsid w:val="007C0DEF"/>
    <w:rsid w:val="007C5D5A"/>
    <w:rsid w:val="007C607F"/>
    <w:rsid w:val="007C79DD"/>
    <w:rsid w:val="007D1A97"/>
    <w:rsid w:val="007D2CD6"/>
    <w:rsid w:val="007D3063"/>
    <w:rsid w:val="007D3CEB"/>
    <w:rsid w:val="007D46C5"/>
    <w:rsid w:val="007E03EF"/>
    <w:rsid w:val="007E7683"/>
    <w:rsid w:val="007F49FA"/>
    <w:rsid w:val="007F54C4"/>
    <w:rsid w:val="007F6E9A"/>
    <w:rsid w:val="00800CCD"/>
    <w:rsid w:val="00801254"/>
    <w:rsid w:val="008044D4"/>
    <w:rsid w:val="00810AB4"/>
    <w:rsid w:val="00817B56"/>
    <w:rsid w:val="00821A88"/>
    <w:rsid w:val="0082322E"/>
    <w:rsid w:val="0082495D"/>
    <w:rsid w:val="00826F80"/>
    <w:rsid w:val="00831AC3"/>
    <w:rsid w:val="00834347"/>
    <w:rsid w:val="00836FCE"/>
    <w:rsid w:val="008408FF"/>
    <w:rsid w:val="00851F3F"/>
    <w:rsid w:val="00856EDC"/>
    <w:rsid w:val="008623B5"/>
    <w:rsid w:val="00870ABA"/>
    <w:rsid w:val="008710E1"/>
    <w:rsid w:val="008716E5"/>
    <w:rsid w:val="00874875"/>
    <w:rsid w:val="00881CA9"/>
    <w:rsid w:val="00883628"/>
    <w:rsid w:val="00885544"/>
    <w:rsid w:val="0088634E"/>
    <w:rsid w:val="00893AB8"/>
    <w:rsid w:val="008A04C8"/>
    <w:rsid w:val="008A6913"/>
    <w:rsid w:val="008B70F3"/>
    <w:rsid w:val="008B71C4"/>
    <w:rsid w:val="008B76DF"/>
    <w:rsid w:val="008C10F4"/>
    <w:rsid w:val="008C65F7"/>
    <w:rsid w:val="008D5510"/>
    <w:rsid w:val="008D5773"/>
    <w:rsid w:val="008E4767"/>
    <w:rsid w:val="008E7A8C"/>
    <w:rsid w:val="0090203B"/>
    <w:rsid w:val="00903285"/>
    <w:rsid w:val="00906F40"/>
    <w:rsid w:val="0090731E"/>
    <w:rsid w:val="00915B1C"/>
    <w:rsid w:val="009174F3"/>
    <w:rsid w:val="0091797D"/>
    <w:rsid w:val="00923CBA"/>
    <w:rsid w:val="00926703"/>
    <w:rsid w:val="00927691"/>
    <w:rsid w:val="00927A5F"/>
    <w:rsid w:val="00930510"/>
    <w:rsid w:val="00935B63"/>
    <w:rsid w:val="00936E95"/>
    <w:rsid w:val="00937C43"/>
    <w:rsid w:val="0094078F"/>
    <w:rsid w:val="00940FA3"/>
    <w:rsid w:val="00941FB0"/>
    <w:rsid w:val="009426D4"/>
    <w:rsid w:val="009437E7"/>
    <w:rsid w:val="00945297"/>
    <w:rsid w:val="00947F25"/>
    <w:rsid w:val="00950159"/>
    <w:rsid w:val="0095490B"/>
    <w:rsid w:val="00960A33"/>
    <w:rsid w:val="00971914"/>
    <w:rsid w:val="00974363"/>
    <w:rsid w:val="00981898"/>
    <w:rsid w:val="0099577C"/>
    <w:rsid w:val="009957B1"/>
    <w:rsid w:val="009A021C"/>
    <w:rsid w:val="009A25CC"/>
    <w:rsid w:val="009B21E4"/>
    <w:rsid w:val="009B24A5"/>
    <w:rsid w:val="009B2601"/>
    <w:rsid w:val="009B4E9E"/>
    <w:rsid w:val="009C1690"/>
    <w:rsid w:val="009C6881"/>
    <w:rsid w:val="009C6C04"/>
    <w:rsid w:val="009C7759"/>
    <w:rsid w:val="009D043D"/>
    <w:rsid w:val="009D07C8"/>
    <w:rsid w:val="009D4C85"/>
    <w:rsid w:val="009D6C71"/>
    <w:rsid w:val="009E0631"/>
    <w:rsid w:val="009E16D0"/>
    <w:rsid w:val="009E2051"/>
    <w:rsid w:val="009E38FD"/>
    <w:rsid w:val="009F13D6"/>
    <w:rsid w:val="009F4C6B"/>
    <w:rsid w:val="009F78A8"/>
    <w:rsid w:val="00A02AD6"/>
    <w:rsid w:val="00A07096"/>
    <w:rsid w:val="00A07318"/>
    <w:rsid w:val="00A11370"/>
    <w:rsid w:val="00A14856"/>
    <w:rsid w:val="00A224CE"/>
    <w:rsid w:val="00A22522"/>
    <w:rsid w:val="00A24AFD"/>
    <w:rsid w:val="00A24F5C"/>
    <w:rsid w:val="00A32F96"/>
    <w:rsid w:val="00A40871"/>
    <w:rsid w:val="00A412AB"/>
    <w:rsid w:val="00A4193E"/>
    <w:rsid w:val="00A440E0"/>
    <w:rsid w:val="00A442EF"/>
    <w:rsid w:val="00A51D1A"/>
    <w:rsid w:val="00A5418D"/>
    <w:rsid w:val="00A5474E"/>
    <w:rsid w:val="00A64234"/>
    <w:rsid w:val="00A67AA0"/>
    <w:rsid w:val="00A70ADF"/>
    <w:rsid w:val="00A71466"/>
    <w:rsid w:val="00A74B5E"/>
    <w:rsid w:val="00A81BED"/>
    <w:rsid w:val="00A81EC4"/>
    <w:rsid w:val="00A824E8"/>
    <w:rsid w:val="00A967FD"/>
    <w:rsid w:val="00AA2DE5"/>
    <w:rsid w:val="00AB156C"/>
    <w:rsid w:val="00AB6814"/>
    <w:rsid w:val="00AC04BA"/>
    <w:rsid w:val="00AC0E39"/>
    <w:rsid w:val="00AD3082"/>
    <w:rsid w:val="00AD32B4"/>
    <w:rsid w:val="00AD4AD0"/>
    <w:rsid w:val="00AD5436"/>
    <w:rsid w:val="00AD60CD"/>
    <w:rsid w:val="00AD6C8C"/>
    <w:rsid w:val="00AE0117"/>
    <w:rsid w:val="00AE091D"/>
    <w:rsid w:val="00AE2B86"/>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52CFC"/>
    <w:rsid w:val="00B6003C"/>
    <w:rsid w:val="00B61F03"/>
    <w:rsid w:val="00B626E4"/>
    <w:rsid w:val="00B72F4A"/>
    <w:rsid w:val="00B83C27"/>
    <w:rsid w:val="00B84BC3"/>
    <w:rsid w:val="00B84BDD"/>
    <w:rsid w:val="00B92812"/>
    <w:rsid w:val="00BA214C"/>
    <w:rsid w:val="00BB45A1"/>
    <w:rsid w:val="00BB7686"/>
    <w:rsid w:val="00BB7802"/>
    <w:rsid w:val="00BC23F9"/>
    <w:rsid w:val="00BC3421"/>
    <w:rsid w:val="00BC732C"/>
    <w:rsid w:val="00BD4421"/>
    <w:rsid w:val="00BE2580"/>
    <w:rsid w:val="00BE266D"/>
    <w:rsid w:val="00BE3938"/>
    <w:rsid w:val="00BE4C11"/>
    <w:rsid w:val="00BE71C0"/>
    <w:rsid w:val="00BF2491"/>
    <w:rsid w:val="00BF610C"/>
    <w:rsid w:val="00C0060B"/>
    <w:rsid w:val="00C01A6C"/>
    <w:rsid w:val="00C0277D"/>
    <w:rsid w:val="00C02F26"/>
    <w:rsid w:val="00C053A1"/>
    <w:rsid w:val="00C16198"/>
    <w:rsid w:val="00C2083D"/>
    <w:rsid w:val="00C24A53"/>
    <w:rsid w:val="00C32FDD"/>
    <w:rsid w:val="00C34A05"/>
    <w:rsid w:val="00C35CCE"/>
    <w:rsid w:val="00C4032F"/>
    <w:rsid w:val="00C44047"/>
    <w:rsid w:val="00C45155"/>
    <w:rsid w:val="00C5498F"/>
    <w:rsid w:val="00C55235"/>
    <w:rsid w:val="00C56E8C"/>
    <w:rsid w:val="00C64CD0"/>
    <w:rsid w:val="00C65F61"/>
    <w:rsid w:val="00C6684F"/>
    <w:rsid w:val="00C70E70"/>
    <w:rsid w:val="00C75F8D"/>
    <w:rsid w:val="00C77380"/>
    <w:rsid w:val="00C778F5"/>
    <w:rsid w:val="00C87E8A"/>
    <w:rsid w:val="00C913D6"/>
    <w:rsid w:val="00C97736"/>
    <w:rsid w:val="00CA0B6D"/>
    <w:rsid w:val="00CA345A"/>
    <w:rsid w:val="00CB1E82"/>
    <w:rsid w:val="00CB4BA8"/>
    <w:rsid w:val="00CB52D7"/>
    <w:rsid w:val="00CC6565"/>
    <w:rsid w:val="00CC6732"/>
    <w:rsid w:val="00CC6AE1"/>
    <w:rsid w:val="00CD6ACF"/>
    <w:rsid w:val="00CD7DCC"/>
    <w:rsid w:val="00CE3C96"/>
    <w:rsid w:val="00CE51A8"/>
    <w:rsid w:val="00CF369B"/>
    <w:rsid w:val="00D00E28"/>
    <w:rsid w:val="00D0269E"/>
    <w:rsid w:val="00D035AB"/>
    <w:rsid w:val="00D05D6C"/>
    <w:rsid w:val="00D15810"/>
    <w:rsid w:val="00D16D4E"/>
    <w:rsid w:val="00D16FE3"/>
    <w:rsid w:val="00D17266"/>
    <w:rsid w:val="00D228D5"/>
    <w:rsid w:val="00D2675A"/>
    <w:rsid w:val="00D27F41"/>
    <w:rsid w:val="00D36441"/>
    <w:rsid w:val="00D401CE"/>
    <w:rsid w:val="00D4064E"/>
    <w:rsid w:val="00D44E9B"/>
    <w:rsid w:val="00D47AEB"/>
    <w:rsid w:val="00D50DB9"/>
    <w:rsid w:val="00D51302"/>
    <w:rsid w:val="00D52C43"/>
    <w:rsid w:val="00D61243"/>
    <w:rsid w:val="00D6507F"/>
    <w:rsid w:val="00D730BC"/>
    <w:rsid w:val="00D73912"/>
    <w:rsid w:val="00D85226"/>
    <w:rsid w:val="00D87B94"/>
    <w:rsid w:val="00D92D49"/>
    <w:rsid w:val="00D92EC1"/>
    <w:rsid w:val="00D9434E"/>
    <w:rsid w:val="00D96DEA"/>
    <w:rsid w:val="00DA4E41"/>
    <w:rsid w:val="00DA6995"/>
    <w:rsid w:val="00DB117A"/>
    <w:rsid w:val="00DB4E0A"/>
    <w:rsid w:val="00DB5173"/>
    <w:rsid w:val="00DB7873"/>
    <w:rsid w:val="00DC187B"/>
    <w:rsid w:val="00DD1A43"/>
    <w:rsid w:val="00DD1E01"/>
    <w:rsid w:val="00DD73C2"/>
    <w:rsid w:val="00DE319B"/>
    <w:rsid w:val="00DF34FE"/>
    <w:rsid w:val="00DF56AA"/>
    <w:rsid w:val="00DF56AF"/>
    <w:rsid w:val="00DF78E7"/>
    <w:rsid w:val="00E110E0"/>
    <w:rsid w:val="00E15371"/>
    <w:rsid w:val="00E24104"/>
    <w:rsid w:val="00E302D0"/>
    <w:rsid w:val="00E35707"/>
    <w:rsid w:val="00E36AA1"/>
    <w:rsid w:val="00E41ECB"/>
    <w:rsid w:val="00E42676"/>
    <w:rsid w:val="00E4469C"/>
    <w:rsid w:val="00E54FDB"/>
    <w:rsid w:val="00E5617D"/>
    <w:rsid w:val="00E563D7"/>
    <w:rsid w:val="00E663F4"/>
    <w:rsid w:val="00E666F2"/>
    <w:rsid w:val="00E66DD4"/>
    <w:rsid w:val="00E71872"/>
    <w:rsid w:val="00E748CC"/>
    <w:rsid w:val="00E75415"/>
    <w:rsid w:val="00E775B1"/>
    <w:rsid w:val="00E810A7"/>
    <w:rsid w:val="00E8152A"/>
    <w:rsid w:val="00E93629"/>
    <w:rsid w:val="00E93B5C"/>
    <w:rsid w:val="00E94CEC"/>
    <w:rsid w:val="00EA04EF"/>
    <w:rsid w:val="00EA6C79"/>
    <w:rsid w:val="00EA6F19"/>
    <w:rsid w:val="00EB5557"/>
    <w:rsid w:val="00EB7090"/>
    <w:rsid w:val="00EC1BBE"/>
    <w:rsid w:val="00EC2B68"/>
    <w:rsid w:val="00EC3AEF"/>
    <w:rsid w:val="00EC5CD7"/>
    <w:rsid w:val="00EC6799"/>
    <w:rsid w:val="00EE5FB3"/>
    <w:rsid w:val="00EE7F79"/>
    <w:rsid w:val="00EF715A"/>
    <w:rsid w:val="00F06E14"/>
    <w:rsid w:val="00F179D4"/>
    <w:rsid w:val="00F22600"/>
    <w:rsid w:val="00F22A23"/>
    <w:rsid w:val="00F27088"/>
    <w:rsid w:val="00F33A31"/>
    <w:rsid w:val="00F33C56"/>
    <w:rsid w:val="00F347C7"/>
    <w:rsid w:val="00F34848"/>
    <w:rsid w:val="00F42D46"/>
    <w:rsid w:val="00F4496C"/>
    <w:rsid w:val="00F44F3A"/>
    <w:rsid w:val="00F51F10"/>
    <w:rsid w:val="00F529A5"/>
    <w:rsid w:val="00F5310D"/>
    <w:rsid w:val="00F60F00"/>
    <w:rsid w:val="00F614C0"/>
    <w:rsid w:val="00F65BC1"/>
    <w:rsid w:val="00F7279E"/>
    <w:rsid w:val="00F83848"/>
    <w:rsid w:val="00F975E9"/>
    <w:rsid w:val="00FA1B7D"/>
    <w:rsid w:val="00FB6CE1"/>
    <w:rsid w:val="00FC07B9"/>
    <w:rsid w:val="00FC4E21"/>
    <w:rsid w:val="00FC5F6D"/>
    <w:rsid w:val="00FD0107"/>
    <w:rsid w:val="00FD2C2F"/>
    <w:rsid w:val="00FD3B31"/>
    <w:rsid w:val="00FD4C60"/>
    <w:rsid w:val="00FD7320"/>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colormru v:ext="edit" colors="red,#4d4d4f"/>
    </o:shapedefaults>
    <o:shapelayout v:ext="edit">
      <o:idmap v:ext="edit" data="1"/>
    </o:shapelayout>
  </w:shapeDefaults>
  <w:decimalSymbol w:val="."/>
  <w:listSeparator w:val=","/>
  <w14:docId w14:val="11C4BE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sdException w:name="Plain Table 1" w:uiPriority="4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EA6C79"/>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aliases w:val="RIS 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aliases w:val="List Bullet 1"/>
    <w:basedOn w:val="Normal"/>
    <w:link w:val="ListBulletChar"/>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
    <w:basedOn w:val="DefaultParagraphFont"/>
    <w:uiPriority w:val="99"/>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rsid w:val="00D61243"/>
    <w:pPr>
      <w:spacing w:after="0"/>
    </w:pPr>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unhideWhenUsed/>
    <w:qFormat/>
    <w:rsid w:val="00FC07B9"/>
    <w:pPr>
      <w:spacing w:before="0" w:after="120"/>
    </w:pPr>
    <w:rPr>
      <w:b w:val="0"/>
    </w:rPr>
  </w:style>
  <w:style w:type="paragraph" w:customStyle="1" w:styleId="ACMACopyrightHeader">
    <w:name w:val="ACMA_CopyrightHeader"/>
    <w:basedOn w:val="ACMACorporateAddressHeader"/>
    <w:unhideWhenUsed/>
    <w:qFormat/>
    <w:rsid w:val="00950159"/>
    <w:pPr>
      <w:spacing w:before="3000"/>
    </w:pPr>
  </w:style>
  <w:style w:type="paragraph" w:customStyle="1" w:styleId="ACMACClogo">
    <w:name w:val="ACMA_CClogo"/>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F5310D"/>
    <w:rPr>
      <w:rFonts w:ascii="Arial" w:hAnsi="Arial" w:cs="Arial"/>
      <w:bCs/>
      <w:color w:val="323232"/>
      <w:kern w:val="32"/>
      <w:sz w:val="53"/>
      <w:szCs w:val="32"/>
    </w:rPr>
  </w:style>
  <w:style w:type="character" w:customStyle="1" w:styleId="Heading2Char">
    <w:name w:val="Heading 2 Char"/>
    <w:aliases w:val="RIS Heading 2 Char"/>
    <w:basedOn w:val="DefaultParagraphFont"/>
    <w:link w:val="Heading2"/>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ACMAReportTitle">
    <w:name w:val="ACMA_ReportTitle"/>
    <w:basedOn w:val="Normal"/>
    <w:qFormat/>
    <w:rsid w:val="00FB6CE1"/>
    <w:pPr>
      <w:spacing w:after="0" w:line="560" w:lineRule="exact"/>
    </w:pPr>
    <w:rPr>
      <w:b/>
      <w:spacing w:val="-28"/>
      <w:sz w:val="53"/>
    </w:rPr>
  </w:style>
  <w:style w:type="paragraph" w:customStyle="1" w:styleId="ACMAReportSubTitle">
    <w:name w:val="ACMA_ReportSubTitle"/>
    <w:basedOn w:val="Normal"/>
    <w:qFormat/>
    <w:rsid w:val="00FB6CE1"/>
    <w:pPr>
      <w:spacing w:after="200" w:line="560" w:lineRule="exact"/>
    </w:pPr>
    <w:rPr>
      <w:color w:val="323232"/>
      <w:spacing w:val="-28"/>
      <w:sz w:val="53"/>
    </w:rPr>
  </w:style>
  <w:style w:type="character" w:customStyle="1" w:styleId="ListBulletChar">
    <w:name w:val="List Bullet Char"/>
    <w:aliases w:val="List Bullet 1 Char"/>
    <w:basedOn w:val="DefaultParagraphFont"/>
    <w:link w:val="ListBullet"/>
    <w:rsid w:val="00FB6CE1"/>
    <w:rPr>
      <w:rFonts w:ascii="Arial" w:hAnsi="Arial"/>
      <w:sz w:val="20"/>
    </w:rPr>
  </w:style>
  <w:style w:type="paragraph" w:styleId="ListParagraph">
    <w:name w:val="List Paragraph"/>
    <w:aliases w:val="List Paragraph1,Recommendation"/>
    <w:basedOn w:val="Normal"/>
    <w:link w:val="ListParagraphChar"/>
    <w:uiPriority w:val="34"/>
    <w:qFormat/>
    <w:rsid w:val="00FB6CE1"/>
    <w:pPr>
      <w:ind w:left="720"/>
      <w:contextualSpacing/>
    </w:pPr>
  </w:style>
  <w:style w:type="character" w:customStyle="1" w:styleId="ListParagraphChar">
    <w:name w:val="List Paragraph Char"/>
    <w:aliases w:val="List Paragraph1 Char,Recommendation Char"/>
    <w:basedOn w:val="DefaultParagraphFont"/>
    <w:link w:val="ListParagraph"/>
    <w:uiPriority w:val="34"/>
    <w:rsid w:val="00FB6CE1"/>
    <w:rPr>
      <w:rFonts w:ascii="Arial" w:hAnsi="Arial"/>
      <w:sz w:val="20"/>
    </w:rPr>
  </w:style>
  <w:style w:type="paragraph" w:customStyle="1" w:styleId="ACMAReportDate">
    <w:name w:val="ACMA_ReportDate"/>
    <w:basedOn w:val="ACMAReportSubTitle"/>
    <w:qFormat/>
    <w:rsid w:val="00FB6CE1"/>
    <w:pPr>
      <w:spacing w:after="1200" w:line="240" w:lineRule="auto"/>
    </w:pPr>
    <w:rPr>
      <w:caps/>
      <w:spacing w:val="-10"/>
      <w:sz w:val="20"/>
    </w:rPr>
  </w:style>
  <w:style w:type="paragraph" w:customStyle="1" w:styleId="TableHeading0">
    <w:name w:val="Table Heading"/>
    <w:basedOn w:val="Normal"/>
    <w:qFormat/>
    <w:rsid w:val="00FB6CE1"/>
    <w:pPr>
      <w:spacing w:after="0"/>
    </w:pPr>
    <w:rPr>
      <w:b/>
    </w:rPr>
  </w:style>
  <w:style w:type="paragraph" w:customStyle="1" w:styleId="ACMAExecSummaryHeading">
    <w:name w:val="ACMA_ExecSummaryHeading"/>
    <w:basedOn w:val="Normal"/>
    <w:qFormat/>
    <w:rsid w:val="00FB6CE1"/>
    <w:pPr>
      <w:spacing w:after="1440" w:line="550" w:lineRule="exact"/>
    </w:pPr>
    <w:rPr>
      <w:b/>
      <w:color w:val="323232"/>
      <w:spacing w:val="-18"/>
      <w:sz w:val="53"/>
    </w:rPr>
  </w:style>
  <w:style w:type="character" w:styleId="Strong">
    <w:name w:val="Strong"/>
    <w:basedOn w:val="DefaultParagraphFont"/>
    <w:qFormat/>
    <w:rsid w:val="00FB6CE1"/>
    <w:rPr>
      <w:b/>
      <w:bCs/>
    </w:rPr>
  </w:style>
  <w:style w:type="paragraph" w:customStyle="1" w:styleId="ACMANormalTabbed">
    <w:name w:val="ACMA_NormalTabbed"/>
    <w:basedOn w:val="Normal"/>
    <w:qFormat/>
    <w:rsid w:val="00FB6CE1"/>
    <w:pPr>
      <w:tabs>
        <w:tab w:val="left" w:pos="1134"/>
      </w:tabs>
    </w:pPr>
  </w:style>
  <w:style w:type="paragraph" w:customStyle="1" w:styleId="ACMASpaceaftertable">
    <w:name w:val="ACMA_Space after table"/>
    <w:basedOn w:val="Normal"/>
    <w:qFormat/>
    <w:rsid w:val="00FB6CE1"/>
    <w:rPr>
      <w:rFonts w:cs="Arial"/>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rsid w:val="00FB6CE1"/>
    <w:rPr>
      <w:rFonts w:ascii="Arial" w:hAnsi="Arial"/>
      <w:sz w:val="16"/>
      <w:szCs w:val="16"/>
    </w:rPr>
  </w:style>
  <w:style w:type="table" w:styleId="PlainTable1">
    <w:name w:val="Plain Table 1"/>
    <w:basedOn w:val="TableNormal"/>
    <w:uiPriority w:val="41"/>
    <w:rsid w:val="00FB6CE1"/>
    <w:rPr>
      <w:sz w:val="20"/>
      <w:szCs w:val="20"/>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Default">
    <w:name w:val="Default"/>
    <w:rsid w:val="00FB6CE1"/>
    <w:pPr>
      <w:autoSpaceDE w:val="0"/>
      <w:autoSpaceDN w:val="0"/>
      <w:adjustRightInd w:val="0"/>
    </w:pPr>
    <w:rPr>
      <w:rFonts w:ascii="Arial" w:hAnsi="Arial" w:cs="Arial"/>
      <w:color w:val="000000"/>
    </w:rPr>
  </w:style>
  <w:style w:type="paragraph" w:styleId="Revision">
    <w:name w:val="Revision"/>
    <w:hidden/>
    <w:semiHidden/>
    <w:rsid w:val="00FB6CE1"/>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consultations/2019-08/optimising-3400-3575-mhz-band-consultation-122019" TargetMode="External"/><Relationship Id="rId39" Type="http://schemas.openxmlformats.org/officeDocument/2006/relationships/footer" Target="footer7.xml"/><Relationship Id="rId21" Type="http://schemas.openxmlformats.org/officeDocument/2006/relationships/footer" Target="footer4.xml"/><Relationship Id="rId34" Type="http://schemas.openxmlformats.org/officeDocument/2006/relationships/hyperlink" Target="https://www.legislation.gov.au/Details/F2016C00286" TargetMode="External"/><Relationship Id="rId42" Type="http://schemas.openxmlformats.org/officeDocument/2006/relationships/hyperlink" Target="https://acma.gov.au/publications/2019-08/publication/frequency-coordination-procedures-earth-station-protection-zones" TargetMode="External"/><Relationship Id="rId47" Type="http://schemas.openxmlformats.org/officeDocument/2006/relationships/hyperlink" Target="https://www.legislation.gov.au/Details/F2018L00222" TargetMode="External"/><Relationship Id="rId50" Type="http://schemas.openxmlformats.org/officeDocument/2006/relationships/image" Target="media/image6.png"/><Relationship Id="rId55" Type="http://schemas.openxmlformats.org/officeDocument/2006/relationships/image" Target="media/image10.png"/><Relationship Id="rId63"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acma.gov.au/publications/2019-09/publication/five-year-spectrum-outlook-2019-23" TargetMode="External"/><Relationship Id="rId41" Type="http://schemas.openxmlformats.org/officeDocument/2006/relationships/hyperlink" Target="https://acma.gov.au/sites/default/files/2019-08/australian-spectrum-map-grid-2012%20pdf.pdf" TargetMode="External"/><Relationship Id="rId54" Type="http://schemas.openxmlformats.org/officeDocument/2006/relationships/image" Target="media/image9.png"/><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rules-and-principles-manage-spectrum" TargetMode="External"/><Relationship Id="rId32" Type="http://schemas.openxmlformats.org/officeDocument/2006/relationships/hyperlink" Target="https://beta.acma.gov.au/publications/2019-08/publication/frequency-coordination-procedures-earth-station-protection-zones" TargetMode="External"/><Relationship Id="rId37" Type="http://schemas.openxmlformats.org/officeDocument/2006/relationships/header" Target="header7.xml"/><Relationship Id="rId40" Type="http://schemas.openxmlformats.org/officeDocument/2006/relationships/footer" Target="footer8.xml"/><Relationship Id="rId45" Type="http://schemas.openxmlformats.org/officeDocument/2006/relationships/hyperlink" Target="https://www.legislation.gov.au/Details/F2005B00335" TargetMode="External"/><Relationship Id="rId53" Type="http://schemas.openxmlformats.org/officeDocument/2006/relationships/image" Target="media/image8.png"/><Relationship Id="rId58" Type="http://schemas.openxmlformats.org/officeDocument/2006/relationships/header" Target="header9.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acma.gov.au/rules-and-principles-manage-spectrum" TargetMode="External"/><Relationship Id="rId36" Type="http://schemas.openxmlformats.org/officeDocument/2006/relationships/hyperlink" Target="https://www.legislation.gov.au/Details/F2018C00557" TargetMode="External"/><Relationship Id="rId49" Type="http://schemas.openxmlformats.org/officeDocument/2006/relationships/image" Target="media/image5.png"/><Relationship Id="rId57" Type="http://schemas.openxmlformats.org/officeDocument/2006/relationships/image" Target="media/image12.png"/><Relationship Id="rId61" Type="http://schemas.openxmlformats.org/officeDocument/2006/relationships/footer" Target="footer10.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s://www.legislation.gov.au/Details/F2016C00432" TargetMode="External"/><Relationship Id="rId44" Type="http://schemas.openxmlformats.org/officeDocument/2006/relationships/hyperlink" Target="https://acma.gov.au/rules-and-principles-manage-spectrum" TargetMode="External"/><Relationship Id="rId52" Type="http://schemas.openxmlformats.org/officeDocument/2006/relationships/image" Target="media/image7.png"/><Relationship Id="rId60" Type="http://schemas.openxmlformats.org/officeDocument/2006/relationships/footer" Target="footer9.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beta.acma.gov.au/auction-summary-multiband-residual-lots-1800-mhz-2-ghz-23-ghz-and-34-ghz-band-2017" TargetMode="External"/><Relationship Id="rId30" Type="http://schemas.openxmlformats.org/officeDocument/2006/relationships/image" Target="media/image4.png"/><Relationship Id="rId35" Type="http://schemas.openxmlformats.org/officeDocument/2006/relationships/hyperlink" Target="https://www.legislation.gov.au/Details/F2015L01114" TargetMode="External"/><Relationship Id="rId43" Type="http://schemas.openxmlformats.org/officeDocument/2006/relationships/hyperlink" Target="https://acma.gov.au/sites/default/files/2019-08/australian-spectrum-map-grid-2012%20pdf.pdf" TargetMode="External"/><Relationship Id="rId48" Type="http://schemas.openxmlformats.org/officeDocument/2006/relationships/hyperlink" Target="https://acma.gov.au/convert-hcis-area-description-placemark-0" TargetMode="External"/><Relationship Id="rId56" Type="http://schemas.openxmlformats.org/officeDocument/2006/relationships/image" Target="media/image11.png"/><Relationship Id="rId8" Type="http://schemas.openxmlformats.org/officeDocument/2006/relationships/header" Target="header1.xml"/><Relationship Id="rId51" Type="http://schemas.openxmlformats.org/officeDocument/2006/relationships/hyperlink" Target="https://acma.gov.au/convert-hcis-area-description-placemark-0" TargetMode="Externa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consultations/2019-08/optimising-3400-3575-mhz-band-consultation-122019" TargetMode="External"/><Relationship Id="rId33" Type="http://schemas.openxmlformats.org/officeDocument/2006/relationships/hyperlink" Target="https://www.legislation.gov.au/Details/F2019C00167" TargetMode="External"/><Relationship Id="rId38" Type="http://schemas.openxmlformats.org/officeDocument/2006/relationships/header" Target="header8.xml"/><Relationship Id="rId46" Type="http://schemas.openxmlformats.org/officeDocument/2006/relationships/hyperlink" Target="https://www.legislation.gov.au/Details/F2005B00335" TargetMode="External"/><Relationship Id="rId59" Type="http://schemas.openxmlformats.org/officeDocument/2006/relationships/header" Target="header10.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D6B259-A66F-4C7F-AF05-5532633188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41</Pages>
  <Words>12735</Words>
  <Characters>72596</Characters>
  <Application>Microsoft Office Word</Application>
  <DocSecurity>0</DocSecurity>
  <Lines>604</Lines>
  <Paragraphs>170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85161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2019-11-18T22:24:00Z</dcterms:created>
  <dcterms:modified xsi:type="dcterms:W3CDTF">2019-11-18T22:24:00Z</dcterms:modified>
  <cp:category/>
</cp:coreProperties>
</file>