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6D2AD2" w14:textId="77777777" w:rsidR="00F06E14" w:rsidRDefault="00BB3CF3" w:rsidP="00A51D1A">
      <w:pPr>
        <w:pStyle w:val="ACMAReportTitle"/>
        <w:rPr>
          <w:color w:val="4D4D4F"/>
        </w:rPr>
      </w:pPr>
      <w:bookmarkStart w:id="0" w:name="_GoBack"/>
      <w:bookmarkEnd w:id="0"/>
      <w:r w:rsidRPr="00BB3CF3">
        <w:rPr>
          <w:color w:val="4D4D4F"/>
        </w:rPr>
        <w:t>F</w:t>
      </w:r>
      <w:r w:rsidR="00F7447E" w:rsidRPr="00BB3CF3">
        <w:rPr>
          <w:color w:val="4D4D4F"/>
        </w:rPr>
        <w:t>requency assignment practice</w:t>
      </w:r>
    </w:p>
    <w:p w14:paraId="5310691E" w14:textId="77777777" w:rsidR="00BB3CF3" w:rsidRPr="00BB3CF3" w:rsidRDefault="00BB3CF3" w:rsidP="00A51D1A">
      <w:pPr>
        <w:pStyle w:val="ACMAReportTitle"/>
        <w:rPr>
          <w:color w:val="4D4D4F"/>
        </w:rPr>
      </w:pPr>
    </w:p>
    <w:p w14:paraId="379D91E5" w14:textId="77777777" w:rsidR="00F06E14" w:rsidRPr="00BB3CF3" w:rsidRDefault="00BB3CF3" w:rsidP="00F06E14">
      <w:pPr>
        <w:pStyle w:val="ACMAReportSubTitle"/>
        <w:rPr>
          <w:color w:val="808285"/>
        </w:rPr>
      </w:pPr>
      <w:r w:rsidRPr="00BB3CF3">
        <w:rPr>
          <w:color w:val="808285"/>
        </w:rPr>
        <w:t>Guideline No.</w:t>
      </w:r>
      <w:r w:rsidR="00AD45AE">
        <w:rPr>
          <w:color w:val="808285"/>
        </w:rPr>
        <w:t>8</w:t>
      </w:r>
      <w:r w:rsidRPr="00BB3CF3">
        <w:rPr>
          <w:color w:val="808285"/>
        </w:rPr>
        <w:t xml:space="preserve"> - </w:t>
      </w:r>
      <w:r w:rsidR="00F7447E" w:rsidRPr="00BB3CF3">
        <w:rPr>
          <w:color w:val="808285"/>
        </w:rPr>
        <w:t>Assignment of channels for apparatus licensed fixed and land mobile services operating in the frequency range 1.875</w:t>
      </w:r>
      <w:r w:rsidR="002156C4" w:rsidRPr="00BB3CF3">
        <w:rPr>
          <w:color w:val="808285"/>
        </w:rPr>
        <w:t> </w:t>
      </w:r>
      <w:r w:rsidR="00F7447E" w:rsidRPr="00BB3CF3">
        <w:rPr>
          <w:color w:val="808285"/>
        </w:rPr>
        <w:t>MHz to 29.7 MHz</w:t>
      </w:r>
    </w:p>
    <w:p w14:paraId="32F2CA8B" w14:textId="77777777" w:rsidR="00F06E14" w:rsidRPr="0037532A" w:rsidRDefault="00E12AF9" w:rsidP="00D47AEB">
      <w:pPr>
        <w:pStyle w:val="ACMAReportDate"/>
        <w:spacing w:after="720"/>
        <w:rPr>
          <w:rFonts w:asciiTheme="minorHAnsi" w:hAnsiTheme="minorHAnsi"/>
          <w:color w:val="808285"/>
        </w:rPr>
      </w:pPr>
      <w:r w:rsidRPr="0037532A">
        <w:rPr>
          <w:rFonts w:asciiTheme="minorHAnsi" w:hAnsiTheme="minorHAnsi"/>
          <w:color w:val="808285"/>
        </w:rPr>
        <w:t xml:space="preserve">march </w:t>
      </w:r>
      <w:r w:rsidR="009359FD" w:rsidRPr="0037532A">
        <w:rPr>
          <w:rFonts w:asciiTheme="minorHAnsi" w:hAnsiTheme="minorHAnsi"/>
          <w:color w:val="808285"/>
        </w:rPr>
        <w:t>2017</w:t>
      </w:r>
    </w:p>
    <w:p w14:paraId="275113DC" w14:textId="77777777" w:rsidR="00C97736" w:rsidRPr="000D76E0" w:rsidRDefault="00C97736" w:rsidP="0041071D">
      <w:pPr>
        <w:rPr>
          <w:rFonts w:cs="Arial"/>
        </w:rPr>
      </w:pPr>
    </w:p>
    <w:p w14:paraId="6C739ED5" w14:textId="77777777" w:rsidR="00C97736" w:rsidRPr="000D76E0" w:rsidRDefault="00C97736" w:rsidP="0041071D">
      <w:pPr>
        <w:rPr>
          <w:rFonts w:cs="Arial"/>
        </w:rPr>
        <w:sectPr w:rsidR="00C97736" w:rsidRPr="000D76E0" w:rsidSect="004F556E">
          <w:headerReference w:type="default" r:id="rId11"/>
          <w:footerReference w:type="default" r:id="rId12"/>
          <w:headerReference w:type="first" r:id="rId13"/>
          <w:pgSz w:w="11906" w:h="16838" w:code="9"/>
          <w:pgMar w:top="3924" w:right="1797" w:bottom="1440" w:left="1134" w:header="709" w:footer="454" w:gutter="0"/>
          <w:cols w:space="708"/>
          <w:docGrid w:linePitch="360"/>
        </w:sectPr>
      </w:pPr>
    </w:p>
    <w:p w14:paraId="2AA14F43" w14:textId="77777777" w:rsidR="0005011A" w:rsidRPr="00F44F3A" w:rsidRDefault="0005011A" w:rsidP="00FC07B9">
      <w:pPr>
        <w:pStyle w:val="ACMACorporateAddressHeader"/>
      </w:pPr>
      <w:r w:rsidRPr="00F44F3A">
        <w:lastRenderedPageBreak/>
        <w:t>Canberra</w:t>
      </w:r>
    </w:p>
    <w:p w14:paraId="096A76D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45CC940" w14:textId="77777777" w:rsidR="0005011A" w:rsidRPr="00FC07B9" w:rsidRDefault="0005011A" w:rsidP="00FC07B9">
      <w:pPr>
        <w:pStyle w:val="ACMACorporateAddresses"/>
      </w:pPr>
      <w:r w:rsidRPr="00FC07B9">
        <w:t>PO Box 78</w:t>
      </w:r>
      <w:r w:rsidRPr="00FC07B9">
        <w:br/>
        <w:t>Belconnen ACT 2616</w:t>
      </w:r>
    </w:p>
    <w:p w14:paraId="06A1853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D80C7E6" w14:textId="77777777" w:rsidR="0005011A" w:rsidRPr="00F44F3A" w:rsidRDefault="0005011A" w:rsidP="00FC07B9">
      <w:pPr>
        <w:pStyle w:val="ACMACorporateAddressHeader"/>
      </w:pPr>
      <w:r w:rsidRPr="00F44F3A">
        <w:t>Melbourne</w:t>
      </w:r>
    </w:p>
    <w:p w14:paraId="5081CDD8"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EC2CB1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1F5C8E2"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D28614A" w14:textId="77777777" w:rsidR="0005011A" w:rsidRPr="00F44F3A" w:rsidRDefault="0005011A" w:rsidP="00FC07B9">
      <w:pPr>
        <w:pStyle w:val="ACMACorporateAddressHeader"/>
      </w:pPr>
      <w:r w:rsidRPr="00F44F3A">
        <w:t>Sydney</w:t>
      </w:r>
    </w:p>
    <w:p w14:paraId="51292FE5"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41F402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DEC06F5"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2D3BE18" w14:textId="77777777" w:rsidR="00F7447E" w:rsidRPr="00F7447E" w:rsidRDefault="00F7447E" w:rsidP="00F7447E">
      <w:pPr>
        <w:spacing w:before="480" w:after="120"/>
        <w:rPr>
          <w:b/>
        </w:rPr>
      </w:pPr>
      <w:r w:rsidRPr="00F7447E">
        <w:rPr>
          <w:b/>
        </w:rPr>
        <w:t>Amendment history</w:t>
      </w:r>
    </w:p>
    <w:tbl>
      <w:tblPr>
        <w:tblStyle w:val="TableGrid"/>
        <w:tblW w:w="0" w:type="auto"/>
        <w:tblLook w:val="04A0" w:firstRow="1" w:lastRow="0" w:firstColumn="1" w:lastColumn="0" w:noHBand="0" w:noVBand="1"/>
        <w:tblCaption w:val="Amendment history"/>
      </w:tblPr>
      <w:tblGrid>
        <w:gridCol w:w="2988"/>
        <w:gridCol w:w="2832"/>
        <w:gridCol w:w="3145"/>
      </w:tblGrid>
      <w:tr w:rsidR="00F7447E" w14:paraId="35B39B81" w14:textId="77777777" w:rsidTr="009D4196">
        <w:trPr>
          <w:tblHeader/>
        </w:trPr>
        <w:tc>
          <w:tcPr>
            <w:tcW w:w="2988" w:type="dxa"/>
          </w:tcPr>
          <w:p w14:paraId="20307770" w14:textId="77777777" w:rsidR="00F7447E" w:rsidRDefault="00F7447E" w:rsidP="00F7447E">
            <w:pPr>
              <w:pStyle w:val="TableHeading"/>
            </w:pPr>
            <w:r>
              <w:t>Version</w:t>
            </w:r>
          </w:p>
        </w:tc>
        <w:tc>
          <w:tcPr>
            <w:tcW w:w="2832" w:type="dxa"/>
          </w:tcPr>
          <w:p w14:paraId="7E62B98F" w14:textId="77777777" w:rsidR="00F7447E" w:rsidRDefault="00F7447E" w:rsidP="00F7447E">
            <w:pPr>
              <w:pStyle w:val="TableHeading"/>
            </w:pPr>
            <w:r>
              <w:t>Date of effect</w:t>
            </w:r>
          </w:p>
        </w:tc>
        <w:tc>
          <w:tcPr>
            <w:tcW w:w="3145" w:type="dxa"/>
          </w:tcPr>
          <w:p w14:paraId="2C7593CB" w14:textId="77777777" w:rsidR="00F7447E" w:rsidRDefault="00F7447E" w:rsidP="00F7447E">
            <w:pPr>
              <w:pStyle w:val="TableHeading"/>
            </w:pPr>
            <w:r>
              <w:t>Comments</w:t>
            </w:r>
          </w:p>
        </w:tc>
      </w:tr>
      <w:tr w:rsidR="00F7447E" w14:paraId="48F4BF07" w14:textId="77777777" w:rsidTr="009D4196">
        <w:tc>
          <w:tcPr>
            <w:tcW w:w="2988" w:type="dxa"/>
            <w:vAlign w:val="center"/>
          </w:tcPr>
          <w:p w14:paraId="466165A6" w14:textId="77777777" w:rsidR="00F7447E" w:rsidRPr="007C4502" w:rsidRDefault="00F7447E" w:rsidP="00F7447E">
            <w:pPr>
              <w:spacing w:after="0"/>
              <w:rPr>
                <w:rFonts w:eastAsiaTheme="minorHAnsi"/>
              </w:rPr>
            </w:pPr>
            <w:r>
              <w:t>0.1</w:t>
            </w:r>
          </w:p>
        </w:tc>
        <w:tc>
          <w:tcPr>
            <w:tcW w:w="2832" w:type="dxa"/>
            <w:vAlign w:val="center"/>
          </w:tcPr>
          <w:p w14:paraId="21857D94" w14:textId="77777777" w:rsidR="00F7447E" w:rsidRPr="007C4502" w:rsidRDefault="00F7447E" w:rsidP="00F7447E">
            <w:pPr>
              <w:spacing w:after="0"/>
              <w:rPr>
                <w:rFonts w:eastAsiaTheme="minorHAnsi"/>
              </w:rPr>
            </w:pPr>
            <w:r>
              <w:rPr>
                <w:rFonts w:eastAsiaTheme="minorHAnsi"/>
              </w:rPr>
              <w:t xml:space="preserve">November  </w:t>
            </w:r>
            <w:r w:rsidRPr="007C4502">
              <w:rPr>
                <w:rFonts w:eastAsiaTheme="minorHAnsi"/>
              </w:rPr>
              <w:t>201</w:t>
            </w:r>
            <w:r>
              <w:rPr>
                <w:rFonts w:eastAsiaTheme="minorHAnsi"/>
              </w:rPr>
              <w:t>6</w:t>
            </w:r>
          </w:p>
        </w:tc>
        <w:tc>
          <w:tcPr>
            <w:tcW w:w="3145" w:type="dxa"/>
            <w:vAlign w:val="center"/>
          </w:tcPr>
          <w:p w14:paraId="192F5C4D" w14:textId="77777777" w:rsidR="00F7447E" w:rsidRPr="007C4502" w:rsidRDefault="00F7447E" w:rsidP="00F7447E">
            <w:pPr>
              <w:spacing w:after="0"/>
              <w:rPr>
                <w:rFonts w:eastAsiaTheme="minorHAnsi"/>
              </w:rPr>
            </w:pPr>
            <w:r>
              <w:t>Consultation draft</w:t>
            </w:r>
            <w:r w:rsidR="009D4196">
              <w:t xml:space="preserve"> (</w:t>
            </w:r>
            <w:hyperlink r:id="rId14" w:history="1">
              <w:r w:rsidR="009D4196" w:rsidRPr="009D4196">
                <w:rPr>
                  <w:rStyle w:val="Hyperlink"/>
                </w:rPr>
                <w:t>IFC 32/2016</w:t>
              </w:r>
            </w:hyperlink>
            <w:r w:rsidR="009D4196">
              <w:t>)</w:t>
            </w:r>
          </w:p>
        </w:tc>
      </w:tr>
      <w:tr w:rsidR="007765E7" w:rsidRPr="007C4502" w14:paraId="451514CD" w14:textId="77777777" w:rsidTr="009D4196">
        <w:tc>
          <w:tcPr>
            <w:tcW w:w="2988" w:type="dxa"/>
            <w:vAlign w:val="center"/>
          </w:tcPr>
          <w:p w14:paraId="70514D33" w14:textId="77777777" w:rsidR="007765E7" w:rsidRPr="007C4502" w:rsidRDefault="007765E7" w:rsidP="00EA306E">
            <w:pPr>
              <w:spacing w:after="0"/>
              <w:rPr>
                <w:rFonts w:eastAsiaTheme="minorHAnsi"/>
              </w:rPr>
            </w:pPr>
            <w:r>
              <w:t>1.0</w:t>
            </w:r>
          </w:p>
        </w:tc>
        <w:tc>
          <w:tcPr>
            <w:tcW w:w="2832" w:type="dxa"/>
            <w:vAlign w:val="center"/>
          </w:tcPr>
          <w:p w14:paraId="7A0B9FAD" w14:textId="77777777" w:rsidR="007765E7" w:rsidRPr="007C4502" w:rsidRDefault="00E12AF9" w:rsidP="007765E7">
            <w:pPr>
              <w:spacing w:after="0"/>
              <w:rPr>
                <w:rFonts w:eastAsiaTheme="minorHAnsi"/>
              </w:rPr>
            </w:pPr>
            <w:r>
              <w:rPr>
                <w:rFonts w:eastAsiaTheme="minorHAnsi"/>
              </w:rPr>
              <w:t>March 2017</w:t>
            </w:r>
          </w:p>
        </w:tc>
        <w:tc>
          <w:tcPr>
            <w:tcW w:w="3145" w:type="dxa"/>
            <w:vAlign w:val="center"/>
          </w:tcPr>
          <w:p w14:paraId="2AF99D52" w14:textId="77777777" w:rsidR="007765E7" w:rsidRPr="007C4502" w:rsidRDefault="007765E7" w:rsidP="00EA306E">
            <w:pPr>
              <w:spacing w:after="0"/>
              <w:rPr>
                <w:rFonts w:eastAsiaTheme="minorHAnsi"/>
              </w:rPr>
            </w:pPr>
            <w:r>
              <w:rPr>
                <w:rFonts w:eastAsiaTheme="minorHAnsi"/>
              </w:rPr>
              <w:t>Initial release</w:t>
            </w:r>
          </w:p>
        </w:tc>
      </w:tr>
      <w:tr w:rsidR="00F7447E" w14:paraId="4C66FDCC" w14:textId="77777777" w:rsidTr="009D4196">
        <w:tc>
          <w:tcPr>
            <w:tcW w:w="2988" w:type="dxa"/>
          </w:tcPr>
          <w:p w14:paraId="54CBD749" w14:textId="77777777" w:rsidR="00F7447E" w:rsidRDefault="00F7447E" w:rsidP="00FC07B9">
            <w:pPr>
              <w:pStyle w:val="ACMACorporateAddresses"/>
            </w:pPr>
          </w:p>
        </w:tc>
        <w:tc>
          <w:tcPr>
            <w:tcW w:w="2832" w:type="dxa"/>
          </w:tcPr>
          <w:p w14:paraId="2B0EEB0E" w14:textId="77777777" w:rsidR="00F7447E" w:rsidRDefault="00F7447E" w:rsidP="00FC07B9">
            <w:pPr>
              <w:pStyle w:val="ACMACorporateAddresses"/>
            </w:pPr>
          </w:p>
        </w:tc>
        <w:tc>
          <w:tcPr>
            <w:tcW w:w="3145" w:type="dxa"/>
          </w:tcPr>
          <w:p w14:paraId="765C4243" w14:textId="77777777" w:rsidR="00F7447E" w:rsidRDefault="00F7447E" w:rsidP="00FC07B9">
            <w:pPr>
              <w:pStyle w:val="ACMACorporateAddresses"/>
            </w:pPr>
          </w:p>
        </w:tc>
      </w:tr>
    </w:tbl>
    <w:p w14:paraId="262365E2" w14:textId="77777777" w:rsidR="00140318" w:rsidRPr="006D46E5" w:rsidRDefault="00140318" w:rsidP="00F7447E">
      <w:pPr>
        <w:pStyle w:val="ACMACopyrightHeader"/>
        <w:spacing w:before="1200"/>
      </w:pPr>
      <w:r w:rsidRPr="00140318">
        <w:t>Copyright notice</w:t>
      </w:r>
    </w:p>
    <w:p w14:paraId="370862B9" w14:textId="77777777" w:rsidR="00140318" w:rsidRPr="006D46E5" w:rsidRDefault="00623FF9" w:rsidP="00623FF9">
      <w:pPr>
        <w:pStyle w:val="ACMACClogo"/>
      </w:pPr>
      <w:r w:rsidRPr="00623FF9">
        <w:rPr>
          <w:noProof/>
        </w:rPr>
        <w:drawing>
          <wp:inline distT="0" distB="0" distL="0" distR="0" wp14:anchorId="2843181C" wp14:editId="3100B0D5">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57C021F5" w14:textId="77777777" w:rsidR="00140318" w:rsidRPr="00431792" w:rsidRDefault="007F6083"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00E38A2D"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34388F7B"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B6003C">
        <w:t>ations and Media Authority) 201</w:t>
      </w:r>
      <w:r w:rsidR="00F71389">
        <w:t>7</w:t>
      </w:r>
      <w:r w:rsidR="00140318" w:rsidRPr="006D46E5">
        <w:t>.</w:t>
      </w:r>
    </w:p>
    <w:p w14:paraId="78E51ED3" w14:textId="77777777" w:rsidR="00140318" w:rsidRPr="006D46E5" w:rsidRDefault="00140318" w:rsidP="00FC07B9">
      <w:pPr>
        <w:pStyle w:val="ACMACorporateAddresses"/>
      </w:pPr>
      <w:r>
        <w:t>All other rights are reserved.</w:t>
      </w:r>
    </w:p>
    <w:p w14:paraId="08DC7263"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C1D073A" w14:textId="77777777" w:rsidR="00140318" w:rsidRPr="006D46E5" w:rsidRDefault="00140318" w:rsidP="00FC07B9">
      <w:pPr>
        <w:pStyle w:val="ACMACorporateAddresses"/>
      </w:pPr>
      <w:r w:rsidRPr="006D46E5">
        <w:t>Written enquiries may be sent to:</w:t>
      </w:r>
    </w:p>
    <w:p w14:paraId="50AAE594"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8" w:history="1">
        <w:r w:rsidRPr="00431792">
          <w:rPr>
            <w:rStyle w:val="Hyperlink"/>
          </w:rPr>
          <w:t>candinfo@acma.gov.au</w:t>
        </w:r>
      </w:hyperlink>
    </w:p>
    <w:p w14:paraId="473650BB" w14:textId="77777777" w:rsidR="00D16FE3" w:rsidRDefault="00D16FE3" w:rsidP="00D16FE3">
      <w:pPr>
        <w:pStyle w:val="ACMACorporateAddresses"/>
        <w:rPr>
          <w:rStyle w:val="Hyperlink"/>
        </w:rPr>
      </w:pPr>
    </w:p>
    <w:p w14:paraId="09C3FA57"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3E679E5E" w14:textId="77777777" w:rsidR="00D146FE"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D146FE">
        <w:t>Introduction</w:t>
      </w:r>
      <w:r w:rsidR="00D146FE">
        <w:tab/>
      </w:r>
      <w:r w:rsidR="00D146FE">
        <w:fldChar w:fldCharType="begin"/>
      </w:r>
      <w:r w:rsidR="00D146FE">
        <w:instrText xml:space="preserve"> PAGEREF _Toc466880436 \h </w:instrText>
      </w:r>
      <w:r w:rsidR="00D146FE">
        <w:fldChar w:fldCharType="separate"/>
      </w:r>
      <w:r w:rsidR="007E21B6">
        <w:t>1</w:t>
      </w:r>
      <w:r w:rsidR="00D146FE">
        <w:fldChar w:fldCharType="end"/>
      </w:r>
    </w:p>
    <w:p w14:paraId="28334FEC" w14:textId="77777777" w:rsidR="00D146FE" w:rsidRDefault="00D146FE">
      <w:pPr>
        <w:pStyle w:val="TOC2"/>
        <w:rPr>
          <w:rFonts w:asciiTheme="minorHAnsi" w:eastAsiaTheme="minorEastAsia" w:hAnsiTheme="minorHAnsi" w:cstheme="minorBidi"/>
          <w:spacing w:val="0"/>
          <w:sz w:val="22"/>
          <w:szCs w:val="22"/>
        </w:rPr>
      </w:pPr>
      <w:r>
        <w:t>Purpose</w:t>
      </w:r>
      <w:r>
        <w:tab/>
      </w:r>
      <w:r>
        <w:tab/>
      </w:r>
      <w:r>
        <w:fldChar w:fldCharType="begin"/>
      </w:r>
      <w:r>
        <w:instrText xml:space="preserve"> PAGEREF _Toc466880437 \h </w:instrText>
      </w:r>
      <w:r>
        <w:fldChar w:fldCharType="separate"/>
      </w:r>
      <w:r w:rsidR="007E21B6">
        <w:t>1</w:t>
      </w:r>
      <w:r>
        <w:fldChar w:fldCharType="end"/>
      </w:r>
    </w:p>
    <w:p w14:paraId="538DC70E" w14:textId="77777777" w:rsidR="00D146FE" w:rsidRDefault="00D146FE">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_Toc466880438 \h </w:instrText>
      </w:r>
      <w:r>
        <w:fldChar w:fldCharType="separate"/>
      </w:r>
      <w:r w:rsidR="007E21B6">
        <w:t>2</w:t>
      </w:r>
      <w:r>
        <w:fldChar w:fldCharType="end"/>
      </w:r>
    </w:p>
    <w:p w14:paraId="011A5861" w14:textId="77777777" w:rsidR="00D146FE" w:rsidRDefault="00D146FE">
      <w:pPr>
        <w:pStyle w:val="TOC1"/>
        <w:rPr>
          <w:rFonts w:asciiTheme="minorHAnsi" w:eastAsiaTheme="minorEastAsia" w:hAnsiTheme="minorHAnsi" w:cstheme="minorBidi"/>
          <w:b w:val="0"/>
          <w:spacing w:val="0"/>
          <w:sz w:val="22"/>
          <w:szCs w:val="22"/>
        </w:rPr>
      </w:pPr>
      <w:r>
        <w:t>Channel selection considerations</w:t>
      </w:r>
      <w:r>
        <w:tab/>
      </w:r>
      <w:r>
        <w:fldChar w:fldCharType="begin"/>
      </w:r>
      <w:r>
        <w:instrText xml:space="preserve"> PAGEREF _Toc466880439 \h </w:instrText>
      </w:r>
      <w:r>
        <w:fldChar w:fldCharType="separate"/>
      </w:r>
      <w:r w:rsidR="007E21B6">
        <w:t>3</w:t>
      </w:r>
      <w:r>
        <w:fldChar w:fldCharType="end"/>
      </w:r>
    </w:p>
    <w:p w14:paraId="6ABD311D" w14:textId="77777777" w:rsidR="00D146FE" w:rsidRDefault="00D146FE">
      <w:pPr>
        <w:pStyle w:val="TOC2"/>
        <w:rPr>
          <w:rFonts w:asciiTheme="minorHAnsi" w:eastAsiaTheme="minorEastAsia" w:hAnsiTheme="minorHAnsi" w:cstheme="minorBidi"/>
          <w:spacing w:val="0"/>
          <w:sz w:val="22"/>
          <w:szCs w:val="22"/>
        </w:rPr>
      </w:pPr>
      <w:r>
        <w:t>Initial channel selection</w:t>
      </w:r>
      <w:r>
        <w:tab/>
      </w:r>
      <w:r>
        <w:fldChar w:fldCharType="begin"/>
      </w:r>
      <w:r>
        <w:instrText xml:space="preserve"> PAGEREF _Toc466880440 \h </w:instrText>
      </w:r>
      <w:r>
        <w:fldChar w:fldCharType="separate"/>
      </w:r>
      <w:r w:rsidR="007E21B6">
        <w:t>3</w:t>
      </w:r>
      <w:r>
        <w:fldChar w:fldCharType="end"/>
      </w:r>
    </w:p>
    <w:p w14:paraId="7712285C" w14:textId="77777777" w:rsidR="00D146FE" w:rsidRDefault="00D146FE">
      <w:pPr>
        <w:pStyle w:val="TOC2"/>
        <w:rPr>
          <w:rFonts w:asciiTheme="minorHAnsi" w:eastAsiaTheme="minorEastAsia" w:hAnsiTheme="minorHAnsi" w:cstheme="minorBidi"/>
          <w:spacing w:val="0"/>
          <w:sz w:val="22"/>
          <w:szCs w:val="22"/>
        </w:rPr>
      </w:pPr>
      <w:r>
        <w:t>Channel sharing principles</w:t>
      </w:r>
      <w:r>
        <w:tab/>
      </w:r>
      <w:r>
        <w:fldChar w:fldCharType="begin"/>
      </w:r>
      <w:r>
        <w:instrText xml:space="preserve"> PAGEREF _Toc466880441 \h </w:instrText>
      </w:r>
      <w:r>
        <w:fldChar w:fldCharType="separate"/>
      </w:r>
      <w:r w:rsidR="007E21B6">
        <w:t>4</w:t>
      </w:r>
      <w:r>
        <w:fldChar w:fldCharType="end"/>
      </w:r>
    </w:p>
    <w:p w14:paraId="0EA33C46" w14:textId="77777777" w:rsidR="00D146FE" w:rsidRDefault="00D146FE">
      <w:pPr>
        <w:pStyle w:val="TOC2"/>
        <w:rPr>
          <w:rFonts w:asciiTheme="minorHAnsi" w:eastAsiaTheme="minorEastAsia" w:hAnsiTheme="minorHAnsi" w:cstheme="minorBidi"/>
          <w:spacing w:val="0"/>
          <w:sz w:val="22"/>
          <w:szCs w:val="22"/>
        </w:rPr>
      </w:pPr>
      <w:r>
        <w:t>Modulation type (separation of analog and digital services)</w:t>
      </w:r>
      <w:r>
        <w:tab/>
      </w:r>
      <w:r>
        <w:fldChar w:fldCharType="begin"/>
      </w:r>
      <w:r>
        <w:instrText xml:space="preserve"> PAGEREF _Toc466880442 \h </w:instrText>
      </w:r>
      <w:r>
        <w:fldChar w:fldCharType="separate"/>
      </w:r>
      <w:r w:rsidR="007E21B6">
        <w:t>5</w:t>
      </w:r>
      <w:r>
        <w:fldChar w:fldCharType="end"/>
      </w:r>
    </w:p>
    <w:p w14:paraId="274BFDCE" w14:textId="77777777" w:rsidR="00D146FE" w:rsidRDefault="00D146FE">
      <w:pPr>
        <w:pStyle w:val="TOC2"/>
        <w:rPr>
          <w:rFonts w:asciiTheme="minorHAnsi" w:eastAsiaTheme="minorEastAsia" w:hAnsiTheme="minorHAnsi" w:cstheme="minorBidi"/>
          <w:spacing w:val="0"/>
          <w:sz w:val="22"/>
          <w:szCs w:val="22"/>
        </w:rPr>
      </w:pPr>
      <w:r>
        <w:t>International coordination and notification</w:t>
      </w:r>
      <w:r>
        <w:tab/>
      </w:r>
      <w:r>
        <w:fldChar w:fldCharType="begin"/>
      </w:r>
      <w:r>
        <w:instrText xml:space="preserve"> PAGEREF _Toc466880443 \h </w:instrText>
      </w:r>
      <w:r>
        <w:fldChar w:fldCharType="separate"/>
      </w:r>
      <w:r w:rsidR="007E21B6">
        <w:t>5</w:t>
      </w:r>
      <w:r>
        <w:fldChar w:fldCharType="end"/>
      </w:r>
    </w:p>
    <w:p w14:paraId="2954A067" w14:textId="77777777" w:rsidR="00D146FE" w:rsidRDefault="00D146FE">
      <w:pPr>
        <w:pStyle w:val="TOC1"/>
        <w:rPr>
          <w:rFonts w:asciiTheme="minorHAnsi" w:eastAsiaTheme="minorEastAsia" w:hAnsiTheme="minorHAnsi" w:cstheme="minorBidi"/>
          <w:b w:val="0"/>
          <w:spacing w:val="0"/>
          <w:sz w:val="22"/>
          <w:szCs w:val="22"/>
        </w:rPr>
      </w:pPr>
      <w:r>
        <w:t>Frequency coordination</w:t>
      </w:r>
      <w:r>
        <w:tab/>
      </w:r>
      <w:r>
        <w:fldChar w:fldCharType="begin"/>
      </w:r>
      <w:r>
        <w:instrText xml:space="preserve"> PAGEREF _Toc466880444 \h </w:instrText>
      </w:r>
      <w:r>
        <w:fldChar w:fldCharType="separate"/>
      </w:r>
      <w:r w:rsidR="007E21B6">
        <w:t>6</w:t>
      </w:r>
      <w:r>
        <w:fldChar w:fldCharType="end"/>
      </w:r>
    </w:p>
    <w:p w14:paraId="2E9A5DB8" w14:textId="77777777" w:rsidR="00D146FE" w:rsidRDefault="00D146FE">
      <w:pPr>
        <w:pStyle w:val="TOC3"/>
        <w:rPr>
          <w:rFonts w:asciiTheme="minorHAnsi" w:eastAsiaTheme="minorEastAsia" w:hAnsiTheme="minorHAnsi" w:cstheme="minorBidi"/>
        </w:rPr>
      </w:pPr>
      <w:r>
        <w:t>Co-channel coordination requirement:</w:t>
      </w:r>
      <w:r>
        <w:tab/>
      </w:r>
      <w:r>
        <w:fldChar w:fldCharType="begin"/>
      </w:r>
      <w:r>
        <w:instrText xml:space="preserve"> PAGEREF _Toc466880445 \h </w:instrText>
      </w:r>
      <w:r>
        <w:fldChar w:fldCharType="separate"/>
      </w:r>
      <w:r w:rsidR="007E21B6">
        <w:t>6</w:t>
      </w:r>
      <w:r>
        <w:fldChar w:fldCharType="end"/>
      </w:r>
    </w:p>
    <w:p w14:paraId="730A2E90" w14:textId="77777777" w:rsidR="00D146FE" w:rsidRDefault="00D146FE">
      <w:pPr>
        <w:pStyle w:val="TOC3"/>
        <w:rPr>
          <w:rFonts w:asciiTheme="minorHAnsi" w:eastAsiaTheme="minorEastAsia" w:hAnsiTheme="minorHAnsi" w:cstheme="minorBidi"/>
        </w:rPr>
      </w:pPr>
      <w:r>
        <w:t>Adjacent channel coordination requirement:</w:t>
      </w:r>
      <w:r>
        <w:tab/>
      </w:r>
      <w:r>
        <w:fldChar w:fldCharType="begin"/>
      </w:r>
      <w:r>
        <w:instrText xml:space="preserve"> PAGEREF _Toc466880446 \h </w:instrText>
      </w:r>
      <w:r>
        <w:fldChar w:fldCharType="separate"/>
      </w:r>
      <w:r w:rsidR="007E21B6">
        <w:t>6</w:t>
      </w:r>
      <w:r>
        <w:fldChar w:fldCharType="end"/>
      </w:r>
    </w:p>
    <w:p w14:paraId="68A93888" w14:textId="77777777" w:rsidR="00D146FE" w:rsidRDefault="00D146FE">
      <w:pPr>
        <w:pStyle w:val="TOC1"/>
        <w:rPr>
          <w:rFonts w:asciiTheme="minorHAnsi" w:eastAsiaTheme="minorEastAsia" w:hAnsiTheme="minorHAnsi" w:cstheme="minorBidi"/>
          <w:b w:val="0"/>
          <w:spacing w:val="0"/>
          <w:sz w:val="22"/>
          <w:szCs w:val="22"/>
        </w:rPr>
      </w:pPr>
      <w:r>
        <w:t>Further information</w:t>
      </w:r>
      <w:r>
        <w:tab/>
      </w:r>
      <w:r>
        <w:fldChar w:fldCharType="begin"/>
      </w:r>
      <w:r>
        <w:instrText xml:space="preserve"> PAGEREF _Toc466880447 \h </w:instrText>
      </w:r>
      <w:r>
        <w:fldChar w:fldCharType="separate"/>
      </w:r>
      <w:r w:rsidR="007E21B6">
        <w:t>7</w:t>
      </w:r>
      <w:r>
        <w:fldChar w:fldCharType="end"/>
      </w:r>
    </w:p>
    <w:p w14:paraId="3EEA9ABD" w14:textId="77777777" w:rsidR="00D146FE" w:rsidRDefault="00D146FE">
      <w:pPr>
        <w:pStyle w:val="TOC1"/>
        <w:rPr>
          <w:rFonts w:asciiTheme="minorHAnsi" w:eastAsiaTheme="minorEastAsia" w:hAnsiTheme="minorHAnsi" w:cstheme="minorBidi"/>
          <w:b w:val="0"/>
          <w:spacing w:val="0"/>
          <w:sz w:val="22"/>
          <w:szCs w:val="22"/>
        </w:rPr>
      </w:pPr>
      <w:r>
        <w:t>Appendix A: Special conditions</w:t>
      </w:r>
      <w:r>
        <w:tab/>
      </w:r>
      <w:r>
        <w:fldChar w:fldCharType="begin"/>
      </w:r>
      <w:r>
        <w:instrText xml:space="preserve"> PAGEREF _Toc466880448 \h </w:instrText>
      </w:r>
      <w:r>
        <w:fldChar w:fldCharType="separate"/>
      </w:r>
      <w:r w:rsidR="007E21B6">
        <w:t>8</w:t>
      </w:r>
      <w:r>
        <w:fldChar w:fldCharType="end"/>
      </w:r>
    </w:p>
    <w:p w14:paraId="493F1CA0" w14:textId="77777777" w:rsidR="000A4A51" w:rsidRPr="000D76E0" w:rsidRDefault="007A6CC0">
      <w:pPr>
        <w:rPr>
          <w:rFonts w:cs="Arial"/>
        </w:rPr>
      </w:pPr>
      <w:r>
        <w:rPr>
          <w:rFonts w:cs="Arial"/>
          <w:b/>
          <w:noProof/>
          <w:spacing w:val="-14"/>
          <w:sz w:val="28"/>
        </w:rPr>
        <w:fldChar w:fldCharType="end"/>
      </w:r>
    </w:p>
    <w:p w14:paraId="153A0968"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6E87A81B" w14:textId="77777777" w:rsidR="009D6C71" w:rsidRPr="009174F3" w:rsidRDefault="00F0036D" w:rsidP="00F7447E">
      <w:pPr>
        <w:pStyle w:val="Heading1"/>
      </w:pPr>
      <w:r>
        <w:lastRenderedPageBreak/>
        <w:t>Purpose</w:t>
      </w:r>
    </w:p>
    <w:p w14:paraId="6548FF07" w14:textId="77777777" w:rsidR="00F7447E" w:rsidRDefault="00F7447E" w:rsidP="00715722">
      <w:pPr>
        <w:rPr>
          <w:rFonts w:cs="Arial"/>
        </w:rPr>
      </w:pPr>
      <w:r w:rsidRPr="00F7447E">
        <w:rPr>
          <w:rFonts w:cs="Arial"/>
        </w:rPr>
        <w:t>This frequency assignment practice (FAP) provide</w:t>
      </w:r>
      <w:r w:rsidR="00AA45C6">
        <w:rPr>
          <w:rFonts w:cs="Arial"/>
        </w:rPr>
        <w:t>s</w:t>
      </w:r>
      <w:r w:rsidRPr="00F7447E">
        <w:rPr>
          <w:rFonts w:cs="Arial"/>
        </w:rPr>
        <w:t xml:space="preserve"> guidance on selecting and coordinating frequency channels for use by fixed and land mobile services within the frequency range 1.875 MHz to 29.7 MHz</w:t>
      </w:r>
      <w:r w:rsidR="00AA45C6">
        <w:rPr>
          <w:rFonts w:cs="Arial"/>
        </w:rPr>
        <w:t>,</w:t>
      </w:r>
      <w:r w:rsidRPr="00F7447E">
        <w:rPr>
          <w:rFonts w:cs="Arial"/>
        </w:rPr>
        <w:t xml:space="preserve"> as part of the apparatus licencing process.</w:t>
      </w:r>
    </w:p>
    <w:p w14:paraId="3C6CAD0C" w14:textId="77777777" w:rsidR="00F0036D" w:rsidRDefault="00F0036D" w:rsidP="00715722">
      <w:pPr>
        <w:rPr>
          <w:rFonts w:cs="Arial"/>
        </w:rPr>
      </w:pPr>
      <w:r>
        <w:rPr>
          <w:rFonts w:cs="Arial"/>
        </w:rPr>
        <w:t xml:space="preserve">Note that as </w:t>
      </w:r>
      <w:r w:rsidR="00E12AF9">
        <w:rPr>
          <w:rFonts w:cs="Arial"/>
        </w:rPr>
        <w:t>with</w:t>
      </w:r>
      <w:r>
        <w:rPr>
          <w:rFonts w:cs="Arial"/>
        </w:rPr>
        <w:t xml:space="preserve"> all frequency assignment work</w:t>
      </w:r>
      <w:r w:rsidR="00F23B47">
        <w:rPr>
          <w:rFonts w:cs="Arial"/>
        </w:rPr>
        <w:t>,</w:t>
      </w:r>
      <w:r>
        <w:rPr>
          <w:rFonts w:cs="Arial"/>
        </w:rPr>
        <w:t xml:space="preserve"> the requirements of the broader radiocommunications regulatory framework (eg Australian Radiofrequency Spectrum Plan, Spectrum Embargoes</w:t>
      </w:r>
      <w:r w:rsidR="00734CD2">
        <w:rPr>
          <w:rFonts w:cs="Arial"/>
        </w:rPr>
        <w:t>, Standards</w:t>
      </w:r>
      <w:r>
        <w:rPr>
          <w:rFonts w:cs="Arial"/>
        </w:rPr>
        <w:t xml:space="preserve"> and Licence Condition Determinations) need to be considered.  The guidance provided in this frequency assignment practice is </w:t>
      </w:r>
      <w:r w:rsidR="00E71343">
        <w:rPr>
          <w:rFonts w:cs="Arial"/>
        </w:rPr>
        <w:t xml:space="preserve">not a replacement </w:t>
      </w:r>
      <w:r w:rsidR="00BC5A96">
        <w:rPr>
          <w:rFonts w:cs="Arial"/>
        </w:rPr>
        <w:t xml:space="preserve">for </w:t>
      </w:r>
      <w:r>
        <w:rPr>
          <w:rFonts w:cs="Arial"/>
        </w:rPr>
        <w:t xml:space="preserve">those requirements.   </w:t>
      </w:r>
    </w:p>
    <w:p w14:paraId="303788B7" w14:textId="77777777" w:rsidR="007765E7" w:rsidRPr="009174F3" w:rsidRDefault="007765E7" w:rsidP="007765E7">
      <w:pPr>
        <w:pStyle w:val="Heading1"/>
      </w:pPr>
      <w:bookmarkStart w:id="1" w:name="_Toc392147073"/>
      <w:bookmarkStart w:id="2" w:name="_Toc463013666"/>
      <w:bookmarkStart w:id="3" w:name="_Toc466880438"/>
      <w:bookmarkStart w:id="4" w:name="_Toc348105631"/>
      <w:bookmarkStart w:id="5" w:name="_Toc433122124"/>
      <w:r>
        <w:lastRenderedPageBreak/>
        <w:t>Key principles</w:t>
      </w:r>
      <w:r w:rsidRPr="009174F3">
        <w:t xml:space="preserve"> </w:t>
      </w:r>
    </w:p>
    <w:bookmarkEnd w:id="1"/>
    <w:bookmarkEnd w:id="2"/>
    <w:bookmarkEnd w:id="3"/>
    <w:p w14:paraId="5D84A8C6" w14:textId="77777777" w:rsidR="00F7447E" w:rsidRDefault="00F7447E" w:rsidP="00F7447E">
      <w:pPr>
        <w:spacing w:after="80"/>
        <w:rPr>
          <w:rFonts w:cs="Arial"/>
        </w:rPr>
      </w:pPr>
      <w:r>
        <w:rPr>
          <w:rFonts w:cs="Arial"/>
        </w:rPr>
        <w:t xml:space="preserve">Frequency assigning of fixed and land mobile services operating within the frequency range </w:t>
      </w:r>
      <w:r w:rsidRPr="00063416">
        <w:rPr>
          <w:rFonts w:cs="Arial"/>
        </w:rPr>
        <w:t>1.875</w:t>
      </w:r>
      <w:r>
        <w:rPr>
          <w:rFonts w:cs="Arial"/>
        </w:rPr>
        <w:t> </w:t>
      </w:r>
      <w:r w:rsidRPr="00063416">
        <w:rPr>
          <w:rFonts w:cs="Arial"/>
        </w:rPr>
        <w:t>MHz to 29.7 MHz</w:t>
      </w:r>
      <w:r>
        <w:rPr>
          <w:rFonts w:cs="Arial"/>
        </w:rPr>
        <w:t xml:space="preserve"> involves application of the following </w:t>
      </w:r>
      <w:r w:rsidR="007765E7">
        <w:rPr>
          <w:rFonts w:cs="Arial"/>
        </w:rPr>
        <w:t xml:space="preserve">key </w:t>
      </w:r>
      <w:r>
        <w:rPr>
          <w:rFonts w:cs="Arial"/>
        </w:rPr>
        <w:t>principles:</w:t>
      </w:r>
    </w:p>
    <w:p w14:paraId="454B9B08" w14:textId="77777777" w:rsidR="001E62FE" w:rsidRPr="001E62FE" w:rsidRDefault="001E62FE" w:rsidP="001E62FE">
      <w:pPr>
        <w:pStyle w:val="ListBullet"/>
      </w:pPr>
      <w:r>
        <w:t xml:space="preserve">Typical characteristics of assignments covered by this FAP are systems using single sideband suppressed carrier (upper sideband) with a 3 kHz bandwidth (emission </w:t>
      </w:r>
      <w:r w:rsidRPr="001E62FE">
        <w:t>designator 3K00J3E). For such systems in the ACMA licensing system the channel centre is recorded. If desired, the carrier frequency (which is 1.5 kHz below the channel centre) can be identified by a user defined special condition. The channel centre frequency should be of the “xxxxx.500 kHz” format.  That is, 500 Hz plus an integer multiple of 3 kHz.</w:t>
      </w:r>
    </w:p>
    <w:p w14:paraId="0087595A" w14:textId="77777777" w:rsidR="00614A07" w:rsidRDefault="00614A07" w:rsidP="00614A07">
      <w:pPr>
        <w:pStyle w:val="ListBullet"/>
      </w:pPr>
      <w:r>
        <w:t xml:space="preserve">Reflective of the 3 kHz channel bandwidth a </w:t>
      </w:r>
      <w:r w:rsidRPr="003B5FDF">
        <w:t>3 kHz channel</w:t>
      </w:r>
      <w:r>
        <w:t xml:space="preserve"> </w:t>
      </w:r>
      <w:r w:rsidRPr="003B5FDF">
        <w:t xml:space="preserve">spacing </w:t>
      </w:r>
      <w:r>
        <w:t>should be employed for the spectrum between 1.875 MHz and 29.7 MHz</w:t>
      </w:r>
      <w:r w:rsidRPr="003B5FDF">
        <w:t xml:space="preserve"> for fixed and land mobile services.</w:t>
      </w:r>
      <w:r w:rsidR="00E12AF9">
        <w:t xml:space="preserve"> </w:t>
      </w:r>
    </w:p>
    <w:p w14:paraId="637B8432" w14:textId="77777777" w:rsidR="00F7447E" w:rsidRPr="001C3D33" w:rsidRDefault="00F7447E" w:rsidP="00F7447E">
      <w:pPr>
        <w:pStyle w:val="ListBullet"/>
      </w:pPr>
      <w:r>
        <w:rPr>
          <w:bCs/>
        </w:rPr>
        <w:t>C</w:t>
      </w:r>
      <w:r w:rsidRPr="005B3085">
        <w:rPr>
          <w:bCs/>
        </w:rPr>
        <w:t>ommunications systems operate on a shared basis. That is</w:t>
      </w:r>
      <w:r>
        <w:rPr>
          <w:bCs/>
        </w:rPr>
        <w:t>,</w:t>
      </w:r>
      <w:r w:rsidRPr="005B3085">
        <w:rPr>
          <w:bCs/>
        </w:rPr>
        <w:t xml:space="preserve"> where </w:t>
      </w:r>
      <w:r>
        <w:rPr>
          <w:bCs/>
        </w:rPr>
        <w:t xml:space="preserve">possible, </w:t>
      </w:r>
      <w:r w:rsidRPr="005B3085">
        <w:rPr>
          <w:bCs/>
        </w:rPr>
        <w:t xml:space="preserve">channels are shared to </w:t>
      </w:r>
      <w:r w:rsidRPr="00063416">
        <w:rPr>
          <w:bCs/>
        </w:rPr>
        <w:t>maximise</w:t>
      </w:r>
      <w:r w:rsidRPr="005B3085">
        <w:rPr>
          <w:bCs/>
        </w:rPr>
        <w:t xml:space="preserve"> spectrum </w:t>
      </w:r>
      <w:r w:rsidRPr="00063416">
        <w:rPr>
          <w:bCs/>
        </w:rPr>
        <w:t>efficiency and</w:t>
      </w:r>
      <w:r w:rsidRPr="005B3085">
        <w:rPr>
          <w:bCs/>
        </w:rPr>
        <w:t xml:space="preserve"> provide </w:t>
      </w:r>
      <w:r w:rsidRPr="00063416">
        <w:rPr>
          <w:bCs/>
        </w:rPr>
        <w:t xml:space="preserve">equitable access to channels </w:t>
      </w:r>
      <w:r>
        <w:rPr>
          <w:bCs/>
        </w:rPr>
        <w:t xml:space="preserve">for all users. </w:t>
      </w:r>
      <w:r>
        <w:rPr>
          <w:bCs/>
          <w:lang w:val="en-US"/>
        </w:rPr>
        <w:t xml:space="preserve">The ACMA should be contacted if </w:t>
      </w:r>
      <w:r>
        <w:rPr>
          <w:bCs/>
          <w:snapToGrid w:val="0"/>
          <w:lang w:val="en-US"/>
        </w:rPr>
        <w:t>a new channel is being considered.</w:t>
      </w:r>
    </w:p>
    <w:p w14:paraId="148B5C57" w14:textId="77777777" w:rsidR="00F7447E" w:rsidRPr="001E01CE" w:rsidRDefault="00F7447E" w:rsidP="00F7447E">
      <w:pPr>
        <w:pStyle w:val="ListBullet"/>
      </w:pPr>
      <w:r>
        <w:rPr>
          <w:bCs/>
        </w:rPr>
        <w:t>When selecting a channel for a new frequency assignment</w:t>
      </w:r>
      <w:r w:rsidR="00AA45C6">
        <w:rPr>
          <w:bCs/>
        </w:rPr>
        <w:t>,</w:t>
      </w:r>
      <w:r>
        <w:rPr>
          <w:bCs/>
        </w:rPr>
        <w:t xml:space="preserve"> it is best practice to ensure that use of the channel is compatible with existing users (licensees).</w:t>
      </w:r>
    </w:p>
    <w:p w14:paraId="4162434E" w14:textId="77777777" w:rsidR="00E12AF9" w:rsidRDefault="0040248A" w:rsidP="00F7447E">
      <w:pPr>
        <w:pStyle w:val="ListBullet"/>
      </w:pPr>
      <w:r>
        <w:t>This FAP only contains simplistic advice on coordination, propagation and technical compatibility checks</w:t>
      </w:r>
      <w:r w:rsidR="00BC5A96">
        <w:t>.</w:t>
      </w:r>
      <w:r>
        <w:t xml:space="preserve">  More detailed advice on HF propagation is available from the Bureau of Meteorology Space weather Services.</w:t>
      </w:r>
    </w:p>
    <w:p w14:paraId="71BCEF09" w14:textId="77777777" w:rsidR="00F7447E" w:rsidRPr="008E4178" w:rsidRDefault="00F7447E" w:rsidP="00F7447E">
      <w:pPr>
        <w:pStyle w:val="ListBullet"/>
      </w:pPr>
      <w:r>
        <w:t xml:space="preserve">Channels are required to be coordinated and notified </w:t>
      </w:r>
      <w:r w:rsidRPr="003B5FDF">
        <w:t>to the International Telecommunications Union</w:t>
      </w:r>
      <w:r w:rsidR="00AA45C6">
        <w:t xml:space="preserve"> (ITU)</w:t>
      </w:r>
      <w:r>
        <w:t>.</w:t>
      </w:r>
      <w:r w:rsidR="004F0FF6">
        <w:t xml:space="preserve"> </w:t>
      </w:r>
      <w:r w:rsidR="001E01CE" w:rsidRPr="001E01CE">
        <w:rPr>
          <w:bCs/>
          <w:lang w:val="en-US"/>
        </w:rPr>
        <w:t xml:space="preserve"> </w:t>
      </w:r>
      <w:r w:rsidR="001E01CE">
        <w:rPr>
          <w:bCs/>
          <w:lang w:val="en-US"/>
        </w:rPr>
        <w:t>Note the ACMA does not notify channels to the ITU unless specifically requested.</w:t>
      </w:r>
    </w:p>
    <w:p w14:paraId="782B1517" w14:textId="77777777" w:rsidR="004A7E66" w:rsidRDefault="00F7447E" w:rsidP="00F7447E">
      <w:pPr>
        <w:pStyle w:val="ListBullet"/>
      </w:pPr>
      <w:r>
        <w:rPr>
          <w:bCs/>
          <w:lang w:val="en-US"/>
        </w:rPr>
        <w:t xml:space="preserve">Operation on channels not already </w:t>
      </w:r>
      <w:r>
        <w:t xml:space="preserve">coordinated and notified to the ITU is conditional on harmful interference not being caused to services operating </w:t>
      </w:r>
      <w:r w:rsidRPr="00F41BB6">
        <w:t>in accordance with the Radio Regulations of the ITU</w:t>
      </w:r>
      <w:r w:rsidR="00AA45C6">
        <w:t>,</w:t>
      </w:r>
      <w:r w:rsidRPr="00F41BB6">
        <w:t xml:space="preserve"> except where the transmissions are in accordance with any agreements reached as a result of an ITU international frequency coordination process</w:t>
      </w:r>
      <w:r w:rsidR="00AA45C6">
        <w:t>.</w:t>
      </w:r>
    </w:p>
    <w:p w14:paraId="27D5180E" w14:textId="77777777" w:rsidR="00F7447E" w:rsidRPr="008E4178" w:rsidRDefault="004A7E66" w:rsidP="00F7447E">
      <w:pPr>
        <w:pStyle w:val="ListBullet"/>
      </w:pPr>
      <w:r>
        <w:t xml:space="preserve">Where possible frequency assignments </w:t>
      </w:r>
      <w:r w:rsidRPr="003B5FDF">
        <w:t>should</w:t>
      </w:r>
      <w:r>
        <w:rPr>
          <w:bCs/>
          <w:lang w:val="en-US"/>
        </w:rPr>
        <w:t xml:space="preserve"> be made from the </w:t>
      </w:r>
      <w:r>
        <w:rPr>
          <w:bCs/>
          <w:snapToGrid w:val="0"/>
          <w:lang w:val="en-US"/>
        </w:rPr>
        <w:t xml:space="preserve">existing </w:t>
      </w:r>
      <w:r w:rsidRPr="00C343DC">
        <w:rPr>
          <w:bCs/>
          <w:snapToGrid w:val="0"/>
          <w:lang w:val="en-US"/>
        </w:rPr>
        <w:t>channels</w:t>
      </w:r>
      <w:r>
        <w:rPr>
          <w:bCs/>
          <w:lang w:val="en-US"/>
        </w:rPr>
        <w:t xml:space="preserve"> currently in use in Australia as these are more likely to have been notified to the ITU</w:t>
      </w:r>
      <w:r w:rsidR="00614A07">
        <w:rPr>
          <w:bCs/>
          <w:lang w:val="en-US"/>
        </w:rPr>
        <w:t>.</w:t>
      </w:r>
    </w:p>
    <w:p w14:paraId="35089EF0" w14:textId="77777777" w:rsidR="00F7447E" w:rsidRPr="00F7447E" w:rsidRDefault="00F7447E" w:rsidP="00F7447E">
      <w:pPr>
        <w:pStyle w:val="ListBulletLast"/>
      </w:pPr>
      <w:r w:rsidRPr="00F162F9">
        <w:t xml:space="preserve">Digital services </w:t>
      </w:r>
      <w:r>
        <w:t xml:space="preserve">(which do not employ listen before talk protocols) </w:t>
      </w:r>
      <w:r w:rsidRPr="00F162F9">
        <w:t>should not share the same channel</w:t>
      </w:r>
      <w:r>
        <w:t xml:space="preserve"> with analog services. (Note: This is an interim requirement while the ACMA gains greater understanding of digital development and the ability of such systems to share with analog systems</w:t>
      </w:r>
      <w:r w:rsidR="00AA45C6">
        <w:t>.</w:t>
      </w:r>
      <w:r>
        <w:t>)</w:t>
      </w:r>
    </w:p>
    <w:p w14:paraId="26C62C77" w14:textId="77777777" w:rsidR="00F7447E" w:rsidRDefault="00F7447E" w:rsidP="00F7447E">
      <w:pPr>
        <w:rPr>
          <w:rFonts w:cs="Arial"/>
        </w:rPr>
      </w:pPr>
      <w:r>
        <w:rPr>
          <w:rFonts w:cs="Arial"/>
        </w:rPr>
        <w:t xml:space="preserve">Additional information can be found from the </w:t>
      </w:r>
      <w:hyperlink r:id="rId28" w:history="1">
        <w:r w:rsidRPr="00B86869">
          <w:rPr>
            <w:rStyle w:val="Hyperlink"/>
            <w:rFonts w:cs="Arial"/>
            <w:lang w:val="en"/>
          </w:rPr>
          <w:t>Information directory for apparatus licensing</w:t>
        </w:r>
      </w:hyperlink>
      <w:r>
        <w:rPr>
          <w:rFonts w:cs="Arial"/>
          <w:lang w:val="en"/>
        </w:rPr>
        <w:t>.</w:t>
      </w:r>
    </w:p>
    <w:p w14:paraId="1BA48B74" w14:textId="77777777" w:rsidR="00F7447E" w:rsidRDefault="00F7447E" w:rsidP="00F7447E">
      <w:r>
        <w:t xml:space="preserve">This guideline provides guidance on how to apply these principles to the frequency assignment of apparatus licensed </w:t>
      </w:r>
      <w:r w:rsidRPr="00063416">
        <w:t xml:space="preserve">fixed and land mobile services within the frequency range 1.875 MHz to </w:t>
      </w:r>
      <w:r w:rsidRPr="00F7447E">
        <w:t>2</w:t>
      </w:r>
      <w:r w:rsidRPr="00063416">
        <w:t>9.7 MHz</w:t>
      </w:r>
      <w:r w:rsidR="00AA45C6">
        <w:t>.</w:t>
      </w:r>
    </w:p>
    <w:p w14:paraId="128699CA" w14:textId="77777777" w:rsidR="00D146FE" w:rsidRDefault="00D146FE" w:rsidP="00F662F5">
      <w:pPr>
        <w:pStyle w:val="Heading1"/>
      </w:pPr>
      <w:bookmarkStart w:id="6" w:name="_Toc466880439"/>
      <w:bookmarkStart w:id="7" w:name="_Toc463013667"/>
      <w:r>
        <w:lastRenderedPageBreak/>
        <w:t>Channel selection considerations</w:t>
      </w:r>
      <w:bookmarkEnd w:id="6"/>
    </w:p>
    <w:p w14:paraId="50C69A25" w14:textId="77777777" w:rsidR="008C0432" w:rsidRDefault="008C0432" w:rsidP="00D146FE">
      <w:pPr>
        <w:pStyle w:val="Heading2"/>
      </w:pPr>
      <w:bookmarkStart w:id="8" w:name="_Toc466880440"/>
      <w:r>
        <w:t>Regulatory considerations</w:t>
      </w:r>
    </w:p>
    <w:p w14:paraId="6E146D62" w14:textId="77777777" w:rsidR="00F7447E" w:rsidRDefault="004F0FF6" w:rsidP="004F0FF6">
      <w:r>
        <w:t xml:space="preserve">As with all radiocommunications services frequency assigning, licensing and operation of HF fixed and mobile services is to be consistent </w:t>
      </w:r>
      <w:bookmarkEnd w:id="7"/>
      <w:bookmarkEnd w:id="8"/>
      <w:r w:rsidR="00620B3E">
        <w:t xml:space="preserve">with current regulatory arrangements. </w:t>
      </w:r>
      <w:r w:rsidR="006D2139">
        <w:t xml:space="preserve"> </w:t>
      </w:r>
      <w:r>
        <w:t xml:space="preserve">At the high level this means with consistency with requirements as specified in </w:t>
      </w:r>
      <w:r w:rsidR="0084750D">
        <w:t>spectrum embargoes and</w:t>
      </w:r>
      <w:r w:rsidR="006D2139">
        <w:t xml:space="preserve"> </w:t>
      </w:r>
      <w:r>
        <w:t xml:space="preserve">the </w:t>
      </w:r>
      <w:hyperlink r:id="rId29" w:history="1">
        <w:r w:rsidR="00F7447E" w:rsidRPr="00F41BB6">
          <w:rPr>
            <w:color w:val="0000FF"/>
            <w:u w:val="single"/>
          </w:rPr>
          <w:t>Australian Radiofrequency Spectrum Plan</w:t>
        </w:r>
      </w:hyperlink>
      <w:r>
        <w:t xml:space="preserve"> (t</w:t>
      </w:r>
      <w:r w:rsidR="00EE2FF1">
        <w:t>h</w:t>
      </w:r>
      <w:r w:rsidR="00620B3E">
        <w:t xml:space="preserve">at is, </w:t>
      </w:r>
      <w:r w:rsidR="006D2139">
        <w:t xml:space="preserve">use of </w:t>
      </w:r>
      <w:r w:rsidR="00620B3E">
        <w:t xml:space="preserve">frequency ranges where the table of allocations supports fixed, mobile </w:t>
      </w:r>
      <w:r w:rsidR="000A6A56">
        <w:t>or</w:t>
      </w:r>
      <w:r w:rsidR="00620B3E">
        <w:t xml:space="preserve"> land mobile services</w:t>
      </w:r>
      <w:r w:rsidR="000A6A56">
        <w:t xml:space="preserve">, noting that use might be restricted by an Australian or International footnote reference). </w:t>
      </w:r>
    </w:p>
    <w:p w14:paraId="20B530AE" w14:textId="77777777" w:rsidR="006D2139" w:rsidRDefault="004F0FF6" w:rsidP="00385A73">
      <w:r>
        <w:t>There are a variety of</w:t>
      </w:r>
      <w:r w:rsidR="006D127D">
        <w:t xml:space="preserve"> </w:t>
      </w:r>
      <w:r>
        <w:t xml:space="preserve">services </w:t>
      </w:r>
      <w:r w:rsidR="006D127D">
        <w:t xml:space="preserve">operating within the frequency range 1.875-29.7 MHz under </w:t>
      </w:r>
      <w:r w:rsidR="0054268A">
        <w:t>Spectrum Plan allocations supporting fixed and mobile services</w:t>
      </w:r>
      <w:r w:rsidR="006D127D">
        <w:t xml:space="preserve">.  </w:t>
      </w:r>
      <w:r w:rsidR="00CC5BBC">
        <w:t>Consequently in</w:t>
      </w:r>
      <w:r w:rsidR="006D127D">
        <w:t xml:space="preserve"> addition to consider</w:t>
      </w:r>
      <w:r w:rsidR="00CC5BBC">
        <w:t>ing</w:t>
      </w:r>
      <w:r w:rsidR="006D127D">
        <w:t xml:space="preserve"> the Spectrum Plan maintaining </w:t>
      </w:r>
      <w:r w:rsidR="0054268A">
        <w:t>consistency with the regulatory framework</w:t>
      </w:r>
      <w:r w:rsidR="006D127D">
        <w:t xml:space="preserve"> requires consideration of a variety of documents and coordination frameworks. In this regard </w:t>
      </w:r>
      <w:r w:rsidR="00385A73">
        <w:t xml:space="preserve">frequencies </w:t>
      </w:r>
      <w:r w:rsidR="00D76314">
        <w:t xml:space="preserve">authorised for operation by </w:t>
      </w:r>
      <w:r w:rsidR="00D76314" w:rsidRPr="00D76314">
        <w:t xml:space="preserve">outpost licence (outpost assigned station) </w:t>
      </w:r>
      <w:r w:rsidR="00D76314">
        <w:t xml:space="preserve">and </w:t>
      </w:r>
      <w:r w:rsidR="006D2139">
        <w:t>legislative instruments such as class licences</w:t>
      </w:r>
      <w:r w:rsidR="00D76314">
        <w:t xml:space="preserve">, </w:t>
      </w:r>
      <w:r w:rsidR="006D2139">
        <w:t>or licence conditions determinations are to be</w:t>
      </w:r>
      <w:r w:rsidR="006D127D">
        <w:t xml:space="preserve"> avoid </w:t>
      </w:r>
      <w:r w:rsidR="006D2139">
        <w:t xml:space="preserve">unless operation is permitted under those frameworks.  Relevant legislative instruments </w:t>
      </w:r>
      <w:bookmarkStart w:id="9" w:name="Citation"/>
      <w:r w:rsidR="002C411E">
        <w:t>are</w:t>
      </w:r>
      <w:r w:rsidR="006D2139">
        <w:t>:</w:t>
      </w:r>
    </w:p>
    <w:p w14:paraId="62194239" w14:textId="77777777" w:rsidR="006D2139" w:rsidRDefault="006D2139" w:rsidP="001E62FE">
      <w:pPr>
        <w:pStyle w:val="ListParagraph"/>
        <w:numPr>
          <w:ilvl w:val="0"/>
          <w:numId w:val="13"/>
        </w:numPr>
        <w:rPr>
          <w:bCs/>
        </w:rPr>
      </w:pPr>
      <w:r>
        <w:rPr>
          <w:bCs/>
        </w:rPr>
        <w:t xml:space="preserve">The </w:t>
      </w:r>
      <w:r w:rsidR="00385A73" w:rsidRPr="001E62FE">
        <w:rPr>
          <w:bCs/>
        </w:rPr>
        <w:t>Radiocommunications Licence Conditions (Outpost Licence) Determination</w:t>
      </w:r>
      <w:bookmarkEnd w:id="9"/>
    </w:p>
    <w:p w14:paraId="7E0E7BB1" w14:textId="77777777" w:rsidR="006D2139" w:rsidRPr="00251BDF" w:rsidRDefault="006D2139" w:rsidP="001E62FE">
      <w:pPr>
        <w:pStyle w:val="ListParagraph"/>
        <w:numPr>
          <w:ilvl w:val="0"/>
          <w:numId w:val="13"/>
        </w:numPr>
        <w:rPr>
          <w:bCs/>
        </w:rPr>
      </w:pPr>
      <w:r w:rsidRPr="006D2139">
        <w:rPr>
          <w:bCs/>
        </w:rPr>
        <w:t>Radiocommunications (Citizen Band Radio Stations) Class Licence 2015</w:t>
      </w:r>
    </w:p>
    <w:p w14:paraId="0CAC203A" w14:textId="77777777" w:rsidR="006D2139" w:rsidRDefault="006D2139" w:rsidP="001E62FE">
      <w:pPr>
        <w:pStyle w:val="ListParagraph"/>
        <w:numPr>
          <w:ilvl w:val="0"/>
          <w:numId w:val="13"/>
        </w:numPr>
        <w:rPr>
          <w:bCs/>
        </w:rPr>
      </w:pPr>
      <w:r w:rsidRPr="006D2139">
        <w:rPr>
          <w:bCs/>
        </w:rPr>
        <w:t>Radiocommunications (Aircraft and Aeronautical Mobile Stations) Class Licence 2016</w:t>
      </w:r>
    </w:p>
    <w:p w14:paraId="425D0C57" w14:textId="77777777" w:rsidR="006D2139" w:rsidRDefault="006D2139" w:rsidP="001E62FE">
      <w:pPr>
        <w:pStyle w:val="ListParagraph"/>
        <w:numPr>
          <w:ilvl w:val="0"/>
          <w:numId w:val="13"/>
        </w:numPr>
        <w:rPr>
          <w:bCs/>
        </w:rPr>
      </w:pPr>
      <w:r w:rsidRPr="006D2139">
        <w:rPr>
          <w:bCs/>
        </w:rPr>
        <w:t>Radiocommunications (Maritime Ship Station — 27 MHz and VHF) Class Licence 2015</w:t>
      </w:r>
    </w:p>
    <w:p w14:paraId="06AF3316" w14:textId="77777777" w:rsidR="006D2139" w:rsidRDefault="009D381A" w:rsidP="001E62FE">
      <w:pPr>
        <w:pStyle w:val="ListParagraph"/>
        <w:numPr>
          <w:ilvl w:val="0"/>
          <w:numId w:val="13"/>
        </w:numPr>
        <w:rPr>
          <w:bCs/>
        </w:rPr>
      </w:pPr>
      <w:r w:rsidRPr="009D381A">
        <w:rPr>
          <w:bCs/>
        </w:rPr>
        <w:t>Radiocommunications Licence Conditions (Maritime Coast Licence) Determination 2015</w:t>
      </w:r>
    </w:p>
    <w:p w14:paraId="0A477F6E" w14:textId="77777777" w:rsidR="00385A73" w:rsidRDefault="00385A73" w:rsidP="00F7447E"/>
    <w:p w14:paraId="73F0476B" w14:textId="77777777" w:rsidR="002D3EDE" w:rsidRDefault="000A06F5" w:rsidP="000A06F5">
      <w:r>
        <w:t>Noting the complexity of the above,</w:t>
      </w:r>
      <w:r w:rsidR="00EE2FF1">
        <w:t xml:space="preserve"> </w:t>
      </w:r>
      <w:r w:rsidR="00CC5BBC">
        <w:t xml:space="preserve">as guide </w:t>
      </w:r>
      <w:r w:rsidR="00EE2FF1">
        <w:t xml:space="preserve">while consistency with the </w:t>
      </w:r>
      <w:r w:rsidR="00CC5BBC">
        <w:t xml:space="preserve">regulatory framework needs to be assessed, </w:t>
      </w:r>
      <w:r>
        <w:t xml:space="preserve">it is generally advisable to avoid channels licensed </w:t>
      </w:r>
      <w:r w:rsidRPr="00741B0A">
        <w:t>to Department of Defence, Airservices</w:t>
      </w:r>
      <w:r>
        <w:t xml:space="preserve"> Australia</w:t>
      </w:r>
      <w:r w:rsidRPr="00741B0A">
        <w:t xml:space="preserve">, </w:t>
      </w:r>
      <w:r w:rsidR="002D3EDE">
        <w:t xml:space="preserve">and </w:t>
      </w:r>
      <w:r w:rsidR="00BC5A96">
        <w:t xml:space="preserve">the </w:t>
      </w:r>
      <w:r w:rsidRPr="00741B0A">
        <w:t>Royal Flying Doctors Services</w:t>
      </w:r>
      <w:r>
        <w:t>,</w:t>
      </w:r>
      <w:r w:rsidR="002D3EDE">
        <w:t xml:space="preserve"> or authorised by </w:t>
      </w:r>
      <w:hyperlink r:id="rId30" w:tgtFrame="_top" w:history="1">
        <w:r w:rsidR="002D3EDE" w:rsidRPr="002D3EDE">
          <w:rPr>
            <w:rStyle w:val="Hyperlink"/>
          </w:rPr>
          <w:t>Aeronautical</w:t>
        </w:r>
      </w:hyperlink>
      <w:r w:rsidR="002D3EDE">
        <w:t xml:space="preserve">, </w:t>
      </w:r>
      <w:hyperlink r:id="rId31" w:tgtFrame="_top" w:history="1">
        <w:r w:rsidR="002D3EDE" w:rsidRPr="002D3EDE">
          <w:rPr>
            <w:rStyle w:val="Hyperlink"/>
          </w:rPr>
          <w:t>Aircraft</w:t>
        </w:r>
      </w:hyperlink>
      <w:r w:rsidR="002D3EDE">
        <w:t xml:space="preserve">, </w:t>
      </w:r>
      <w:hyperlink r:id="rId32" w:tgtFrame="_top" w:history="1">
        <w:r w:rsidR="002D3EDE" w:rsidRPr="002D3EDE">
          <w:rPr>
            <w:rStyle w:val="Hyperlink"/>
          </w:rPr>
          <w:t>Maritime coast</w:t>
        </w:r>
      </w:hyperlink>
      <w:r w:rsidR="002D3EDE">
        <w:t xml:space="preserve">, </w:t>
      </w:r>
      <w:hyperlink r:id="rId33" w:tgtFrame="_top" w:history="1">
        <w:r w:rsidR="002D3EDE" w:rsidRPr="002D3EDE">
          <w:rPr>
            <w:rStyle w:val="Hyperlink"/>
          </w:rPr>
          <w:t>Maritime ship</w:t>
        </w:r>
      </w:hyperlink>
      <w:r w:rsidR="002D3EDE">
        <w:t xml:space="preserve">, </w:t>
      </w:r>
      <w:hyperlink r:id="rId34" w:tgtFrame="_top" w:history="1">
        <w:r w:rsidR="002D3EDE" w:rsidRPr="002D3EDE">
          <w:rPr>
            <w:rStyle w:val="Hyperlink"/>
          </w:rPr>
          <w:t>Major coast receive</w:t>
        </w:r>
      </w:hyperlink>
      <w:r w:rsidR="002D3EDE">
        <w:t xml:space="preserve">, or </w:t>
      </w:r>
      <w:hyperlink r:id="rId35" w:tgtFrame="_top" w:history="1">
        <w:r w:rsidR="002D3EDE" w:rsidRPr="002D3EDE">
          <w:rPr>
            <w:rStyle w:val="Hyperlink"/>
          </w:rPr>
          <w:t>Outpost</w:t>
        </w:r>
      </w:hyperlink>
      <w:r w:rsidR="002D3EDE">
        <w:t xml:space="preserve"> licences types </w:t>
      </w:r>
      <w:r>
        <w:t xml:space="preserve">unless </w:t>
      </w:r>
      <w:r w:rsidR="003A2575">
        <w:t>it has been</w:t>
      </w:r>
      <w:r>
        <w:t xml:space="preserve"> confirmed that the regulatory framework supports use by the proposed service. </w:t>
      </w:r>
      <w:r w:rsidR="00161468">
        <w:t xml:space="preserve"> </w:t>
      </w:r>
      <w:r w:rsidR="00BC5A96">
        <w:t>T</w:t>
      </w:r>
      <w:r w:rsidR="00CC7A9E">
        <w:t>o determine whether such licences have been issued</w:t>
      </w:r>
      <w:r w:rsidR="00BC5A96">
        <w:t>,</w:t>
      </w:r>
      <w:r w:rsidR="00CC7A9E">
        <w:t xml:space="preserve"> an Australian wide assessment is required.</w:t>
      </w:r>
    </w:p>
    <w:p w14:paraId="63F0D75E" w14:textId="77777777" w:rsidR="002D3EDE" w:rsidRDefault="00BC5A96" w:rsidP="000A06F5">
      <w:r>
        <w:t>Channels</w:t>
      </w:r>
      <w:r w:rsidR="00CC5BBC">
        <w:t xml:space="preserve"> </w:t>
      </w:r>
      <w:r w:rsidR="002D3EDE">
        <w:t xml:space="preserve">that </w:t>
      </w:r>
      <w:r>
        <w:t>are</w:t>
      </w:r>
      <w:r w:rsidR="002D3EDE">
        <w:t xml:space="preserve"> as authorised by non-assigned licences and class licence are not recorded in the register of radiocommunications licences and these need to be checked separately.  </w:t>
      </w:r>
    </w:p>
    <w:p w14:paraId="298328F6" w14:textId="77777777" w:rsidR="008C0432" w:rsidRDefault="008C0432" w:rsidP="008C0432">
      <w:pPr>
        <w:pStyle w:val="Heading2"/>
      </w:pPr>
      <w:r>
        <w:t>Propagation considerations</w:t>
      </w:r>
    </w:p>
    <w:p w14:paraId="27C729DA" w14:textId="77777777" w:rsidR="00385A73" w:rsidRPr="00F7447E" w:rsidRDefault="008C0432" w:rsidP="00F7447E">
      <w:r>
        <w:t xml:space="preserve">Channels are typically chosen from the list of channels currently in use, based on coverage distance needs of the user, </w:t>
      </w:r>
    </w:p>
    <w:p w14:paraId="1E9D6AC9" w14:textId="77777777" w:rsidR="00F7447E" w:rsidRPr="00F7447E" w:rsidRDefault="00CA4F0C" w:rsidP="00F7447E">
      <w:r>
        <w:t>T</w:t>
      </w:r>
      <w:r w:rsidR="00F7447E">
        <w:t>able</w:t>
      </w:r>
      <w:r>
        <w:t xml:space="preserve"> 1</w:t>
      </w:r>
      <w:r w:rsidR="00F7447E">
        <w:t xml:space="preserve"> may be used as a guide if the prospective licensee has not identified a band or channel. </w:t>
      </w:r>
      <w:r>
        <w:t>A</w:t>
      </w:r>
      <w:r w:rsidR="00F7447E">
        <w:t xml:space="preserve">ctual communication distances will depend on conditions in the ionosphere that vary with the time of year and solar cycle. To enable reliable communications over all seasons in a year and at different times during the day, it is usual for a set of specially selected channels to be assigned to a user. More advice on </w:t>
      </w:r>
      <w:r w:rsidR="00F7447E">
        <w:lastRenderedPageBreak/>
        <w:t xml:space="preserve">channel selection and propagation is available from the </w:t>
      </w:r>
      <w:r w:rsidR="00B430B4">
        <w:t xml:space="preserve">Bureau of Meteorology Space </w:t>
      </w:r>
      <w:r w:rsidR="00620B3E">
        <w:t>W</w:t>
      </w:r>
      <w:r w:rsidR="00B430B4">
        <w:t>eather Services</w:t>
      </w:r>
      <w:r w:rsidR="001E01CE">
        <w:rPr>
          <w:rStyle w:val="FootnoteReference"/>
        </w:rPr>
        <w:footnoteReference w:id="1"/>
      </w:r>
      <w:r w:rsidR="00B430B4">
        <w:t xml:space="preserve">. </w:t>
      </w:r>
    </w:p>
    <w:p w14:paraId="18166BA7" w14:textId="77777777" w:rsidR="00F7447E" w:rsidRDefault="00F7447E" w:rsidP="00F7447E">
      <w:r>
        <w:t>The selected frequency channel should be the lowest available from the existing assigned frequencies to reduce the area of potential spectrum denial from assignment of the channel. Geographical sharing is most likely where the channel frequency is less than 5 MHz.</w:t>
      </w:r>
    </w:p>
    <w:p w14:paraId="2F2C95D9" w14:textId="77777777" w:rsidR="00F7447E" w:rsidRPr="00D146FE" w:rsidRDefault="00D146FE" w:rsidP="00F7447E">
      <w:pPr>
        <w:pStyle w:val="ACMATableHeader"/>
      </w:pPr>
      <w:r w:rsidRPr="00D146FE">
        <w:t xml:space="preserve">Indicative communication distances </w:t>
      </w:r>
    </w:p>
    <w:tbl>
      <w:tblPr>
        <w:tblStyle w:val="TableGrid"/>
        <w:tblW w:w="0" w:type="auto"/>
        <w:tblCellMar>
          <w:top w:w="85" w:type="dxa"/>
          <w:left w:w="85" w:type="dxa"/>
          <w:bottom w:w="85" w:type="dxa"/>
          <w:right w:w="85" w:type="dxa"/>
        </w:tblCellMar>
        <w:tblLook w:val="04A0" w:firstRow="1" w:lastRow="0" w:firstColumn="1" w:lastColumn="0" w:noHBand="0" w:noVBand="1"/>
        <w:tblCaption w:val="frequency table"/>
      </w:tblPr>
      <w:tblGrid>
        <w:gridCol w:w="2553"/>
        <w:gridCol w:w="2554"/>
        <w:gridCol w:w="2554"/>
      </w:tblGrid>
      <w:tr w:rsidR="00F7447E" w14:paraId="20D634AC" w14:textId="77777777" w:rsidTr="00F662F5">
        <w:trPr>
          <w:tblHeader/>
        </w:trPr>
        <w:tc>
          <w:tcPr>
            <w:tcW w:w="2553" w:type="dxa"/>
            <w:shd w:val="clear" w:color="auto" w:fill="404040" w:themeFill="text1" w:themeFillTint="BF"/>
            <w:vAlign w:val="center"/>
          </w:tcPr>
          <w:p w14:paraId="5C7D77CD" w14:textId="77777777" w:rsidR="00F7447E" w:rsidRPr="00F662F5" w:rsidRDefault="00F7447E" w:rsidP="00F7447E">
            <w:pPr>
              <w:pStyle w:val="TableHeading"/>
              <w:rPr>
                <w:color w:val="FFFFFF" w:themeColor="background1"/>
              </w:rPr>
            </w:pPr>
            <w:r w:rsidRPr="00F662F5">
              <w:rPr>
                <w:color w:val="FFFFFF" w:themeColor="background1"/>
              </w:rPr>
              <w:t xml:space="preserve">Approximate </w:t>
            </w:r>
            <w:r w:rsidR="00CA4F0C" w:rsidRPr="00F662F5">
              <w:rPr>
                <w:color w:val="FFFFFF" w:themeColor="background1"/>
              </w:rPr>
              <w:t>d</w:t>
            </w:r>
            <w:r w:rsidRPr="00F662F5">
              <w:rPr>
                <w:color w:val="FFFFFF" w:themeColor="background1"/>
              </w:rPr>
              <w:t xml:space="preserve">istance </w:t>
            </w:r>
          </w:p>
        </w:tc>
        <w:tc>
          <w:tcPr>
            <w:tcW w:w="2554" w:type="dxa"/>
            <w:shd w:val="clear" w:color="auto" w:fill="404040" w:themeFill="text1" w:themeFillTint="BF"/>
            <w:vAlign w:val="center"/>
          </w:tcPr>
          <w:p w14:paraId="5469E8BC" w14:textId="77777777" w:rsidR="00F7447E" w:rsidRPr="00F662F5" w:rsidRDefault="00F7447E" w:rsidP="00CA4F0C">
            <w:pPr>
              <w:pStyle w:val="TableHeading"/>
              <w:rPr>
                <w:color w:val="FFFFFF" w:themeColor="background1"/>
                <w:sz w:val="16"/>
                <w:szCs w:val="16"/>
              </w:rPr>
            </w:pPr>
            <w:r w:rsidRPr="00F662F5">
              <w:rPr>
                <w:b w:val="0"/>
                <w:color w:val="FFFFFF" w:themeColor="background1"/>
              </w:rPr>
              <w:t>Day</w:t>
            </w:r>
          </w:p>
        </w:tc>
        <w:tc>
          <w:tcPr>
            <w:tcW w:w="2554" w:type="dxa"/>
            <w:shd w:val="clear" w:color="auto" w:fill="404040" w:themeFill="text1" w:themeFillTint="BF"/>
            <w:vAlign w:val="center"/>
          </w:tcPr>
          <w:p w14:paraId="7E125866" w14:textId="77777777" w:rsidR="00F7447E" w:rsidRPr="00F662F5" w:rsidRDefault="00F7447E" w:rsidP="00F7447E">
            <w:pPr>
              <w:pStyle w:val="TableHeading"/>
              <w:rPr>
                <w:color w:val="FFFFFF" w:themeColor="background1"/>
              </w:rPr>
            </w:pPr>
            <w:r w:rsidRPr="00F662F5">
              <w:rPr>
                <w:b w:val="0"/>
                <w:color w:val="FFFFFF" w:themeColor="background1"/>
              </w:rPr>
              <w:t xml:space="preserve">Night </w:t>
            </w:r>
          </w:p>
        </w:tc>
      </w:tr>
      <w:tr w:rsidR="00F7447E" w14:paraId="46801DCB" w14:textId="77777777" w:rsidTr="00227B5B">
        <w:tc>
          <w:tcPr>
            <w:tcW w:w="2553" w:type="dxa"/>
            <w:vAlign w:val="center"/>
          </w:tcPr>
          <w:p w14:paraId="54AF6873" w14:textId="77777777" w:rsidR="00F7447E" w:rsidRPr="00EB30F3" w:rsidRDefault="00F7447E" w:rsidP="00F7447E">
            <w:pPr>
              <w:spacing w:after="0"/>
            </w:pPr>
            <w:r w:rsidRPr="00EB30F3">
              <w:t xml:space="preserve">Less than 300 km </w:t>
            </w:r>
          </w:p>
        </w:tc>
        <w:tc>
          <w:tcPr>
            <w:tcW w:w="2554" w:type="dxa"/>
            <w:vAlign w:val="center"/>
          </w:tcPr>
          <w:p w14:paraId="6846E5EE" w14:textId="77777777" w:rsidR="00F7447E" w:rsidRPr="00EB30F3" w:rsidRDefault="00F7447E" w:rsidP="00F7447E">
            <w:pPr>
              <w:spacing w:after="0"/>
            </w:pPr>
            <w:r w:rsidRPr="00EB30F3">
              <w:t>3</w:t>
            </w:r>
            <w:r w:rsidR="00CA4F0C">
              <w:t>–</w:t>
            </w:r>
            <w:r w:rsidRPr="00EB30F3">
              <w:t>4</w:t>
            </w:r>
            <w:r w:rsidR="00CA4F0C">
              <w:t xml:space="preserve"> MHz</w:t>
            </w:r>
          </w:p>
        </w:tc>
        <w:tc>
          <w:tcPr>
            <w:tcW w:w="2554" w:type="dxa"/>
            <w:vAlign w:val="center"/>
          </w:tcPr>
          <w:p w14:paraId="02EFD9B8" w14:textId="77777777" w:rsidR="00F7447E" w:rsidRPr="00EB30F3" w:rsidRDefault="00F7447E" w:rsidP="00F7447E">
            <w:pPr>
              <w:spacing w:after="0"/>
            </w:pPr>
            <w:r w:rsidRPr="00EB30F3">
              <w:t>2</w:t>
            </w:r>
            <w:r w:rsidR="00CA4F0C">
              <w:t>–</w:t>
            </w:r>
            <w:r w:rsidRPr="00EB30F3">
              <w:t>4</w:t>
            </w:r>
            <w:r w:rsidR="00CA4F0C">
              <w:t xml:space="preserve"> MHz</w:t>
            </w:r>
          </w:p>
        </w:tc>
      </w:tr>
      <w:tr w:rsidR="00F7447E" w14:paraId="16555A42" w14:textId="77777777" w:rsidTr="00F662F5">
        <w:tc>
          <w:tcPr>
            <w:tcW w:w="2553" w:type="dxa"/>
            <w:shd w:val="clear" w:color="auto" w:fill="F2F2F2" w:themeFill="background1" w:themeFillShade="F2"/>
            <w:vAlign w:val="center"/>
          </w:tcPr>
          <w:p w14:paraId="3C03C632" w14:textId="77777777" w:rsidR="00F7447E" w:rsidRPr="00EB30F3" w:rsidRDefault="00F7447E" w:rsidP="00CA4F0C">
            <w:pPr>
              <w:spacing w:after="0"/>
            </w:pPr>
            <w:r w:rsidRPr="00EB30F3">
              <w:t xml:space="preserve">Between 300 km and </w:t>
            </w:r>
            <w:r w:rsidR="00CA4F0C" w:rsidRPr="00EB30F3">
              <w:t>750</w:t>
            </w:r>
            <w:r w:rsidR="00CA4F0C">
              <w:t> </w:t>
            </w:r>
            <w:r w:rsidRPr="00EB30F3">
              <w:t xml:space="preserve">km </w:t>
            </w:r>
          </w:p>
        </w:tc>
        <w:tc>
          <w:tcPr>
            <w:tcW w:w="2554" w:type="dxa"/>
            <w:shd w:val="clear" w:color="auto" w:fill="F2F2F2" w:themeFill="background1" w:themeFillShade="F2"/>
            <w:vAlign w:val="center"/>
          </w:tcPr>
          <w:p w14:paraId="77D747A6" w14:textId="77777777" w:rsidR="00F7447E" w:rsidRPr="00EB30F3" w:rsidRDefault="00F7447E" w:rsidP="00F7447E">
            <w:pPr>
              <w:spacing w:after="0"/>
            </w:pPr>
            <w:r w:rsidRPr="00EB30F3">
              <w:t>5</w:t>
            </w:r>
            <w:r w:rsidR="00CA4F0C">
              <w:t>–</w:t>
            </w:r>
            <w:r w:rsidRPr="00EB30F3">
              <w:t>6</w:t>
            </w:r>
            <w:r w:rsidR="00CA4F0C">
              <w:t xml:space="preserve"> MHz</w:t>
            </w:r>
          </w:p>
        </w:tc>
        <w:tc>
          <w:tcPr>
            <w:tcW w:w="2554" w:type="dxa"/>
            <w:shd w:val="clear" w:color="auto" w:fill="F2F2F2" w:themeFill="background1" w:themeFillShade="F2"/>
            <w:vAlign w:val="center"/>
          </w:tcPr>
          <w:p w14:paraId="18E4A331" w14:textId="77777777" w:rsidR="00F7447E" w:rsidRPr="00EB30F3" w:rsidRDefault="00F7447E" w:rsidP="00F7447E">
            <w:pPr>
              <w:spacing w:after="0"/>
            </w:pPr>
            <w:r w:rsidRPr="00EB30F3">
              <w:t>3</w:t>
            </w:r>
            <w:r w:rsidR="00CA4F0C">
              <w:t>–</w:t>
            </w:r>
            <w:r w:rsidRPr="00EB30F3">
              <w:t>7</w:t>
            </w:r>
            <w:r w:rsidR="00CA4F0C">
              <w:t xml:space="preserve"> MHz</w:t>
            </w:r>
          </w:p>
        </w:tc>
      </w:tr>
      <w:tr w:rsidR="00F7447E" w14:paraId="070731BF" w14:textId="77777777" w:rsidTr="00227B5B">
        <w:tc>
          <w:tcPr>
            <w:tcW w:w="2553" w:type="dxa"/>
            <w:vAlign w:val="center"/>
          </w:tcPr>
          <w:p w14:paraId="63744614" w14:textId="77777777" w:rsidR="00F7447E" w:rsidRPr="00EB30F3" w:rsidRDefault="00F7447E" w:rsidP="00F7447E">
            <w:pPr>
              <w:spacing w:after="0"/>
            </w:pPr>
            <w:r w:rsidRPr="00EB30F3">
              <w:t xml:space="preserve">Between 750 km and 1,500 km </w:t>
            </w:r>
          </w:p>
        </w:tc>
        <w:tc>
          <w:tcPr>
            <w:tcW w:w="2554" w:type="dxa"/>
            <w:vAlign w:val="center"/>
          </w:tcPr>
          <w:p w14:paraId="7EB15EA1" w14:textId="77777777" w:rsidR="00F7447E" w:rsidRPr="00EB30F3" w:rsidRDefault="00F7447E" w:rsidP="00F7447E">
            <w:pPr>
              <w:spacing w:after="0"/>
            </w:pPr>
            <w:r>
              <w:t>5</w:t>
            </w:r>
            <w:r w:rsidR="00CA4F0C">
              <w:t>–</w:t>
            </w:r>
            <w:r w:rsidRPr="00EB30F3">
              <w:t>9</w:t>
            </w:r>
            <w:r w:rsidR="00CA4F0C">
              <w:t xml:space="preserve"> MHz</w:t>
            </w:r>
          </w:p>
        </w:tc>
        <w:tc>
          <w:tcPr>
            <w:tcW w:w="2554" w:type="dxa"/>
            <w:vAlign w:val="center"/>
          </w:tcPr>
          <w:p w14:paraId="75883FDF" w14:textId="77777777" w:rsidR="00F7447E" w:rsidRPr="00EB30F3" w:rsidRDefault="00F7447E" w:rsidP="00F7447E">
            <w:pPr>
              <w:spacing w:after="0"/>
            </w:pPr>
            <w:r w:rsidRPr="00EB30F3">
              <w:t>6</w:t>
            </w:r>
            <w:r w:rsidR="00CA4F0C">
              <w:t>–</w:t>
            </w:r>
            <w:r w:rsidRPr="00EB30F3">
              <w:t>10</w:t>
            </w:r>
            <w:r w:rsidR="00CA4F0C">
              <w:t xml:space="preserve"> MHz</w:t>
            </w:r>
          </w:p>
        </w:tc>
      </w:tr>
      <w:tr w:rsidR="00F7447E" w14:paraId="04AFEAAA" w14:textId="77777777" w:rsidTr="00F662F5">
        <w:tc>
          <w:tcPr>
            <w:tcW w:w="2553" w:type="dxa"/>
            <w:shd w:val="clear" w:color="auto" w:fill="F2F2F2" w:themeFill="background1" w:themeFillShade="F2"/>
            <w:vAlign w:val="center"/>
          </w:tcPr>
          <w:p w14:paraId="3A0C16DF" w14:textId="77777777" w:rsidR="00F7447E" w:rsidRPr="00EB30F3" w:rsidRDefault="00F7447E" w:rsidP="00F7447E">
            <w:pPr>
              <w:spacing w:after="0"/>
            </w:pPr>
            <w:r w:rsidRPr="00EB30F3">
              <w:t xml:space="preserve">Between 1,500 km and 2,500 km </w:t>
            </w:r>
          </w:p>
        </w:tc>
        <w:tc>
          <w:tcPr>
            <w:tcW w:w="2554" w:type="dxa"/>
            <w:shd w:val="clear" w:color="auto" w:fill="F2F2F2" w:themeFill="background1" w:themeFillShade="F2"/>
            <w:vAlign w:val="center"/>
          </w:tcPr>
          <w:p w14:paraId="7CD64279" w14:textId="77777777" w:rsidR="00F7447E" w:rsidRPr="00EB30F3" w:rsidRDefault="00F7447E" w:rsidP="00B430B4">
            <w:pPr>
              <w:spacing w:after="0"/>
            </w:pPr>
            <w:r w:rsidRPr="00EB30F3">
              <w:t>8</w:t>
            </w:r>
            <w:r w:rsidR="00CA4F0C">
              <w:t>–</w:t>
            </w:r>
            <w:r w:rsidRPr="00EB30F3">
              <w:t>12</w:t>
            </w:r>
            <w:r w:rsidR="00CA4F0C">
              <w:t xml:space="preserve"> </w:t>
            </w:r>
            <w:r w:rsidR="00B430B4">
              <w:t>MHz</w:t>
            </w:r>
          </w:p>
        </w:tc>
        <w:tc>
          <w:tcPr>
            <w:tcW w:w="2554" w:type="dxa"/>
            <w:shd w:val="clear" w:color="auto" w:fill="F2F2F2" w:themeFill="background1" w:themeFillShade="F2"/>
            <w:vAlign w:val="center"/>
          </w:tcPr>
          <w:p w14:paraId="42C11784" w14:textId="77777777" w:rsidR="00F7447E" w:rsidRPr="00EB30F3" w:rsidRDefault="00F7447E" w:rsidP="00F7447E">
            <w:pPr>
              <w:spacing w:after="0"/>
            </w:pPr>
            <w:r w:rsidRPr="00EB30F3">
              <w:t>7</w:t>
            </w:r>
            <w:r w:rsidR="00CA4F0C">
              <w:t>–</w:t>
            </w:r>
            <w:r w:rsidRPr="00EB30F3">
              <w:t>11</w:t>
            </w:r>
            <w:r w:rsidR="00CA4F0C">
              <w:t xml:space="preserve"> MHz</w:t>
            </w:r>
          </w:p>
        </w:tc>
      </w:tr>
      <w:tr w:rsidR="00F7447E" w14:paraId="058EA602" w14:textId="77777777" w:rsidTr="00227B5B">
        <w:tc>
          <w:tcPr>
            <w:tcW w:w="2553" w:type="dxa"/>
            <w:vAlign w:val="center"/>
          </w:tcPr>
          <w:p w14:paraId="6BCA28B6" w14:textId="77777777" w:rsidR="00F7447E" w:rsidRPr="00EB30F3" w:rsidRDefault="00F7447E" w:rsidP="00F7447E">
            <w:pPr>
              <w:spacing w:after="0"/>
            </w:pPr>
            <w:r w:rsidRPr="00EB30F3">
              <w:t xml:space="preserve">Between 2,500 km and 5,000 km </w:t>
            </w:r>
          </w:p>
        </w:tc>
        <w:tc>
          <w:tcPr>
            <w:tcW w:w="2554" w:type="dxa"/>
            <w:vAlign w:val="center"/>
          </w:tcPr>
          <w:p w14:paraId="4588CDB8" w14:textId="77777777" w:rsidR="00F7447E" w:rsidRPr="00EB30F3" w:rsidRDefault="00F7447E" w:rsidP="00F7447E">
            <w:pPr>
              <w:spacing w:after="0"/>
            </w:pPr>
            <w:r w:rsidRPr="00EB30F3">
              <w:t>10</w:t>
            </w:r>
            <w:r w:rsidR="00CA4F0C">
              <w:t>–</w:t>
            </w:r>
            <w:r w:rsidRPr="00EB30F3">
              <w:t>18</w:t>
            </w:r>
            <w:r w:rsidR="00CA4F0C">
              <w:t xml:space="preserve"> MHz</w:t>
            </w:r>
          </w:p>
        </w:tc>
        <w:tc>
          <w:tcPr>
            <w:tcW w:w="2554" w:type="dxa"/>
            <w:vAlign w:val="center"/>
          </w:tcPr>
          <w:p w14:paraId="2C48F292" w14:textId="77777777" w:rsidR="00F7447E" w:rsidRPr="00EB30F3" w:rsidRDefault="00F7447E" w:rsidP="00F7447E">
            <w:pPr>
              <w:spacing w:after="0"/>
            </w:pPr>
            <w:r w:rsidRPr="00EB30F3">
              <w:t>8</w:t>
            </w:r>
            <w:r w:rsidR="00CA4F0C">
              <w:t>–</w:t>
            </w:r>
            <w:r w:rsidRPr="00EB30F3">
              <w:t>15</w:t>
            </w:r>
            <w:r w:rsidR="00CA4F0C">
              <w:t xml:space="preserve"> MHz</w:t>
            </w:r>
          </w:p>
        </w:tc>
      </w:tr>
    </w:tbl>
    <w:p w14:paraId="4C833B78" w14:textId="77777777" w:rsidR="00F7447E" w:rsidRDefault="00F7447E" w:rsidP="00F7447E">
      <w:pPr>
        <w:pStyle w:val="ACMASpaceaftertable"/>
      </w:pPr>
    </w:p>
    <w:p w14:paraId="618D52E4" w14:textId="77777777" w:rsidR="00F7447E" w:rsidRPr="00F41BB6" w:rsidRDefault="00D146FE" w:rsidP="00F7447E">
      <w:pPr>
        <w:pStyle w:val="Heading2"/>
      </w:pPr>
      <w:bookmarkStart w:id="10" w:name="_Toc463013668"/>
      <w:bookmarkStart w:id="11" w:name="_Toc466880441"/>
      <w:r>
        <w:t>Channel s</w:t>
      </w:r>
      <w:r w:rsidR="00F7447E">
        <w:t xml:space="preserve">haring </w:t>
      </w:r>
      <w:r w:rsidR="00F7447E" w:rsidRPr="00F7447E">
        <w:t>principles</w:t>
      </w:r>
      <w:bookmarkEnd w:id="10"/>
      <w:bookmarkEnd w:id="11"/>
    </w:p>
    <w:p w14:paraId="05B1EF0A" w14:textId="77777777" w:rsidR="00F7447E" w:rsidRPr="00741B0A" w:rsidRDefault="00F7447E" w:rsidP="00F7447E">
      <w:pPr>
        <w:spacing w:after="80"/>
        <w:rPr>
          <w:rFonts w:cs="Arial"/>
          <w:szCs w:val="20"/>
        </w:rPr>
      </w:pPr>
      <w:r w:rsidRPr="00741B0A">
        <w:t xml:space="preserve">Sharing of channels in the land mobile service is usually possible, as licensees often operate across different times of the day or there is sufficient geographical separation available. </w:t>
      </w:r>
      <w:r w:rsidRPr="00741B0A">
        <w:rPr>
          <w:rFonts w:cs="Arial"/>
          <w:bCs/>
        </w:rPr>
        <w:t xml:space="preserve">Sharing is based on equitable access to all licensed users. It is important that users of shared channels are compatible with one another. Licensees that commonly </w:t>
      </w:r>
      <w:r w:rsidRPr="00741B0A">
        <w:rPr>
          <w:rFonts w:cs="Arial"/>
          <w:szCs w:val="20"/>
        </w:rPr>
        <w:t>have similar requirements can group as:</w:t>
      </w:r>
    </w:p>
    <w:p w14:paraId="162C0FED" w14:textId="77777777" w:rsidR="00F7447E" w:rsidRPr="00741B0A" w:rsidRDefault="00CA4F0C" w:rsidP="00F7447E">
      <w:pPr>
        <w:pStyle w:val="ListBullet"/>
      </w:pPr>
      <w:r>
        <w:t>g</w:t>
      </w:r>
      <w:r w:rsidR="00F7447E">
        <w:t>overnment</w:t>
      </w:r>
    </w:p>
    <w:p w14:paraId="336BC0E7" w14:textId="77777777" w:rsidR="00F7447E" w:rsidRPr="00741B0A" w:rsidRDefault="00CA4F0C" w:rsidP="00F7447E">
      <w:pPr>
        <w:pStyle w:val="ListBullet"/>
        <w:rPr>
          <w:rFonts w:cs="Arial"/>
          <w:szCs w:val="20"/>
        </w:rPr>
      </w:pPr>
      <w:r>
        <w:rPr>
          <w:rFonts w:cs="Arial"/>
          <w:szCs w:val="20"/>
        </w:rPr>
        <w:t>s</w:t>
      </w:r>
      <w:r w:rsidR="00F7447E">
        <w:rPr>
          <w:rFonts w:cs="Arial"/>
          <w:szCs w:val="20"/>
        </w:rPr>
        <w:t>tate emergency services</w:t>
      </w:r>
    </w:p>
    <w:p w14:paraId="47D43489" w14:textId="77777777" w:rsidR="00F7447E" w:rsidRPr="00741B0A" w:rsidRDefault="00F7447E" w:rsidP="00F7447E">
      <w:pPr>
        <w:pStyle w:val="ListBullet"/>
        <w:rPr>
          <w:rFonts w:cs="Arial"/>
          <w:szCs w:val="20"/>
        </w:rPr>
      </w:pPr>
      <w:r w:rsidRPr="00741B0A">
        <w:rPr>
          <w:rFonts w:cs="Arial"/>
          <w:szCs w:val="20"/>
        </w:rPr>
        <w:t>Defence</w:t>
      </w:r>
    </w:p>
    <w:p w14:paraId="32F044B6" w14:textId="77777777" w:rsidR="00F7447E" w:rsidRPr="00741B0A" w:rsidRDefault="00CA4F0C" w:rsidP="00F662F5">
      <w:pPr>
        <w:pStyle w:val="ListBullet"/>
        <w:keepNext/>
        <w:rPr>
          <w:rFonts w:cs="Arial"/>
          <w:szCs w:val="20"/>
        </w:rPr>
      </w:pPr>
      <w:r>
        <w:rPr>
          <w:rFonts w:cs="Arial"/>
          <w:szCs w:val="20"/>
        </w:rPr>
        <w:t>c</w:t>
      </w:r>
      <w:r w:rsidR="00F7447E" w:rsidRPr="00741B0A">
        <w:rPr>
          <w:rFonts w:cs="Arial"/>
          <w:szCs w:val="20"/>
        </w:rPr>
        <w:t>ommercial</w:t>
      </w:r>
    </w:p>
    <w:p w14:paraId="4688C4E5" w14:textId="77777777" w:rsidR="00F7447E" w:rsidRPr="00F7447E" w:rsidRDefault="00CA4F0C" w:rsidP="00F7447E">
      <w:pPr>
        <w:pStyle w:val="ListBulletLast"/>
      </w:pPr>
      <w:r>
        <w:t>r</w:t>
      </w:r>
      <w:r w:rsidR="00F7447E" w:rsidRPr="00741B0A">
        <w:t>ecreational (community and volunteer organisations).</w:t>
      </w:r>
    </w:p>
    <w:p w14:paraId="07F669AD" w14:textId="77777777" w:rsidR="00F7447E" w:rsidRPr="00F7447E" w:rsidRDefault="00F7447E" w:rsidP="00F7447E">
      <w:r w:rsidRPr="00741B0A">
        <w:t xml:space="preserve">Assessing compatibility also requires consideration of required communication range, time/hours of operation, propagation mode and </w:t>
      </w:r>
      <w:r>
        <w:t>purpose of communications.</w:t>
      </w:r>
    </w:p>
    <w:p w14:paraId="1340B538" w14:textId="77777777" w:rsidR="00F7447E" w:rsidRPr="00741B0A" w:rsidRDefault="00F7447E" w:rsidP="00F7447E">
      <w:pPr>
        <w:spacing w:after="80"/>
      </w:pPr>
      <w:r w:rsidRPr="00741B0A">
        <w:t>Under these principles</w:t>
      </w:r>
      <w:r>
        <w:t>,</w:t>
      </w:r>
      <w:r w:rsidRPr="00741B0A">
        <w:t xml:space="preserve"> scenarios that might be considered compatible </w:t>
      </w:r>
      <w:r>
        <w:t xml:space="preserve">for shared </w:t>
      </w:r>
      <w:r w:rsidRPr="00741B0A">
        <w:t>channel use include:</w:t>
      </w:r>
    </w:p>
    <w:p w14:paraId="3474CEA1" w14:textId="77777777" w:rsidR="00F7447E" w:rsidRPr="00741B0A" w:rsidRDefault="00CA4F0C" w:rsidP="00F7447E">
      <w:pPr>
        <w:pStyle w:val="ListBullet"/>
      </w:pPr>
      <w:r>
        <w:t>w</w:t>
      </w:r>
      <w:r w:rsidR="00F7447E" w:rsidRPr="00741B0A">
        <w:t>here services make compl</w:t>
      </w:r>
      <w:r>
        <w:t>e</w:t>
      </w:r>
      <w:r w:rsidR="00F7447E" w:rsidRPr="00741B0A">
        <w:t>mentary use of a channel in terms of hours of operation, the channel may be shared between those services</w:t>
      </w:r>
    </w:p>
    <w:p w14:paraId="0027D38E" w14:textId="77777777" w:rsidR="00F7447E" w:rsidRPr="00741B0A" w:rsidRDefault="00CA4F0C" w:rsidP="00F7447E">
      <w:pPr>
        <w:pStyle w:val="ListBullet"/>
      </w:pPr>
      <w:r>
        <w:t>a</w:t>
      </w:r>
      <w:r w:rsidR="00F7447E" w:rsidRPr="00741B0A">
        <w:t xml:space="preserve"> service with medium or low volume channel usage may be shared with another service that has low or medium volume channel usage</w:t>
      </w:r>
    </w:p>
    <w:p w14:paraId="12EB92A1" w14:textId="77777777" w:rsidR="00F7447E" w:rsidRPr="00F7447E" w:rsidRDefault="00CA4F0C" w:rsidP="00F7447E">
      <w:pPr>
        <w:pStyle w:val="ListBulletLast"/>
      </w:pPr>
      <w:r>
        <w:lastRenderedPageBreak/>
        <w:t>g</w:t>
      </w:r>
      <w:r w:rsidR="00F7447E" w:rsidRPr="00741B0A">
        <w:t>eneral commercial services and commercial telephone interconnect services may be compatible under certain circumstances.</w:t>
      </w:r>
    </w:p>
    <w:p w14:paraId="7264EC20" w14:textId="77777777" w:rsidR="00F7447E" w:rsidRPr="00741B0A" w:rsidRDefault="00F7447E" w:rsidP="00F7447E">
      <w:pPr>
        <w:spacing w:after="80"/>
      </w:pPr>
      <w:r w:rsidRPr="00741B0A">
        <w:t xml:space="preserve">Scenarios that might be considered incompatible </w:t>
      </w:r>
      <w:r>
        <w:t xml:space="preserve">for shared </w:t>
      </w:r>
      <w:r w:rsidRPr="00741B0A">
        <w:t>channel use include:</w:t>
      </w:r>
    </w:p>
    <w:p w14:paraId="24C37454" w14:textId="77777777" w:rsidR="00F7447E" w:rsidRPr="00741B0A" w:rsidRDefault="00CA4F0C" w:rsidP="002156C4">
      <w:pPr>
        <w:pStyle w:val="ListBullet"/>
      </w:pPr>
      <w:r>
        <w:t>r</w:t>
      </w:r>
      <w:r w:rsidR="00F7447E" w:rsidRPr="00741B0A">
        <w:t xml:space="preserve">ecreational services and most commercial services (particularly commercial telephone interconnect services) </w:t>
      </w:r>
    </w:p>
    <w:p w14:paraId="79528B5C" w14:textId="77777777" w:rsidR="002156C4" w:rsidRDefault="00CA4F0C" w:rsidP="00F662F5">
      <w:pPr>
        <w:pStyle w:val="ListBulletLast"/>
      </w:pPr>
      <w:r>
        <w:t>a</w:t>
      </w:r>
      <w:r w:rsidR="00F7447E" w:rsidRPr="00741B0A">
        <w:t xml:space="preserve"> service that has a high volume channel usage</w:t>
      </w:r>
      <w:r w:rsidR="002156C4">
        <w:t xml:space="preserve">.  </w:t>
      </w:r>
    </w:p>
    <w:p w14:paraId="6EB9483F" w14:textId="77777777" w:rsidR="00F7447E" w:rsidRPr="00741B0A" w:rsidRDefault="00F7447E" w:rsidP="00F662F5">
      <w:r w:rsidRPr="00741B0A">
        <w:t xml:space="preserve">Sometimes the volume of channel use of a licensee increases over time, as the service they </w:t>
      </w:r>
      <w:r>
        <w:t xml:space="preserve">provide becomes more popular. </w:t>
      </w:r>
      <w:r w:rsidRPr="00741B0A">
        <w:t>In practice, a licensee should anticipate if the usage of a channel is likely to become high, and the licensee should negotiate an agreement for predominant use of the channel with the other licensees sharing that channel</w:t>
      </w:r>
      <w:r w:rsidR="00CA4F0C">
        <w:t>,</w:t>
      </w:r>
      <w:r w:rsidRPr="00741B0A">
        <w:t xml:space="preserve"> befo</w:t>
      </w:r>
      <w:r>
        <w:t xml:space="preserve">re sharing difficulties arise. </w:t>
      </w:r>
      <w:r w:rsidRPr="00741B0A">
        <w:t>Alternatively, the licensee could elect to move to another, more suitable, channel.</w:t>
      </w:r>
    </w:p>
    <w:p w14:paraId="55159498" w14:textId="77777777" w:rsidR="00F7447E" w:rsidRDefault="00CC7A9E" w:rsidP="00F7447E">
      <w:r>
        <w:t>Under these principles g</w:t>
      </w:r>
      <w:r w:rsidR="00F7447E" w:rsidRPr="00741B0A">
        <w:t>enerally channels assigned to Department of Defence, Airservices, Royal Flying Doctors Services</w:t>
      </w:r>
      <w:r w:rsidR="00F7447E">
        <w:t xml:space="preserve">, </w:t>
      </w:r>
      <w:r w:rsidR="00F7447E" w:rsidRPr="00741B0A">
        <w:t>and broadcasting services oper</w:t>
      </w:r>
      <w:r w:rsidR="00F7447E">
        <w:t xml:space="preserve">ating in broadcasting spectrum </w:t>
      </w:r>
      <w:r w:rsidR="00F7447E" w:rsidRPr="00741B0A">
        <w:t>should be avoid</w:t>
      </w:r>
      <w:r w:rsidR="00F7447E">
        <w:t>ed</w:t>
      </w:r>
      <w:r w:rsidR="00F7447E" w:rsidRPr="00741B0A">
        <w:t>.</w:t>
      </w:r>
      <w:r>
        <w:t xml:space="preserve"> As noted in the regulatory considerations section, in </w:t>
      </w:r>
      <w:r w:rsidR="00F7447E" w:rsidRPr="00741B0A">
        <w:t>some cases</w:t>
      </w:r>
      <w:r w:rsidR="00CA4F0C">
        <w:t>,</w:t>
      </w:r>
      <w:r w:rsidR="00F7447E" w:rsidRPr="00741B0A">
        <w:t xml:space="preserve"> this will be prescribed by legislative requirements such as the Spectrum Plan or licence conditions.</w:t>
      </w:r>
    </w:p>
    <w:p w14:paraId="37F260DD" w14:textId="77777777" w:rsidR="00F50E27" w:rsidRPr="00741B0A" w:rsidRDefault="00F50E27" w:rsidP="00F7447E">
      <w:r>
        <w:t>It is recognised that applying the above criteria by consideration of existing licences as recorded in the RRL can be a matter of judgement.  The ACMA has no additional information that can assist in this regard.  If further information is required</w:t>
      </w:r>
      <w:r w:rsidR="001E62FE">
        <w:t xml:space="preserve"> an option is to contact the </w:t>
      </w:r>
      <w:r>
        <w:t xml:space="preserve">licensee.   </w:t>
      </w:r>
    </w:p>
    <w:p w14:paraId="687AC95C" w14:textId="77777777" w:rsidR="00F7447E" w:rsidRPr="00F41BB6" w:rsidRDefault="00F7447E" w:rsidP="00F7447E">
      <w:pPr>
        <w:pStyle w:val="Heading2"/>
      </w:pPr>
      <w:bookmarkStart w:id="12" w:name="_Toc463013669"/>
      <w:bookmarkStart w:id="13" w:name="_Toc466880442"/>
      <w:r>
        <w:t>Modulation type</w:t>
      </w:r>
      <w:r w:rsidRPr="00F41BB6">
        <w:t xml:space="preserve"> </w:t>
      </w:r>
      <w:r>
        <w:t>(separation of analog and digital services)</w:t>
      </w:r>
      <w:bookmarkEnd w:id="12"/>
      <w:bookmarkEnd w:id="13"/>
    </w:p>
    <w:p w14:paraId="498BCEC6" w14:textId="77777777" w:rsidR="00F7447E" w:rsidRDefault="00F7447E" w:rsidP="00F7447E">
      <w:r w:rsidRPr="00F41BB6">
        <w:t xml:space="preserve">Assignments </w:t>
      </w:r>
      <w:r>
        <w:t xml:space="preserve">of frequency channels </w:t>
      </w:r>
      <w:r w:rsidRPr="00F41BB6">
        <w:t xml:space="preserve">in support of </w:t>
      </w:r>
      <w:r>
        <w:t xml:space="preserve">new land mobile and fixed </w:t>
      </w:r>
      <w:r w:rsidRPr="00F41BB6">
        <w:t>station apparatus licences must accord</w:t>
      </w:r>
      <w:r>
        <w:t xml:space="preserve"> with the modulation type</w:t>
      </w:r>
      <w:r w:rsidR="00CA4F0C">
        <w:t>—</w:t>
      </w:r>
      <w:r>
        <w:t>analog or digital</w:t>
      </w:r>
      <w:r w:rsidR="00CA4F0C">
        <w:rPr>
          <w:rFonts w:ascii="Calibri" w:hAnsi="Calibri"/>
        </w:rPr>
        <w:t>—</w:t>
      </w:r>
      <w:r>
        <w:t>described in the emission designator of the existing radiocommunications services operating on that frequency channel</w:t>
      </w:r>
      <w:r w:rsidR="00CA4F0C">
        <w:t>,</w:t>
      </w:r>
      <w:r>
        <w:t xml:space="preserve"> as listed in the Register of Radiocommunications Licences (RRL). This is because of the potential incompatibility of these different systems; for example</w:t>
      </w:r>
      <w:r w:rsidR="00CA4F0C">
        <w:t>,</w:t>
      </w:r>
      <w:r>
        <w:t xml:space="preserve"> digital systems </w:t>
      </w:r>
      <w:r w:rsidR="00CA4F0C">
        <w:t xml:space="preserve">that </w:t>
      </w:r>
      <w:r>
        <w:t>do not employ listen before talk protocols can impede the ability to determine emergency traffic on the shared channel.</w:t>
      </w:r>
    </w:p>
    <w:p w14:paraId="1388618B" w14:textId="77777777" w:rsidR="00F7447E" w:rsidRPr="00F41BB6" w:rsidRDefault="00F7447E" w:rsidP="002156C4">
      <w:pPr>
        <w:pStyle w:val="Heading2"/>
      </w:pPr>
      <w:bookmarkStart w:id="14" w:name="_Toc463013670"/>
      <w:bookmarkStart w:id="15" w:name="_Toc466880443"/>
      <w:r>
        <w:t xml:space="preserve">International </w:t>
      </w:r>
      <w:r w:rsidRPr="002156C4">
        <w:t>coordination</w:t>
      </w:r>
      <w:r>
        <w:t xml:space="preserve"> </w:t>
      </w:r>
      <w:r w:rsidR="00CA4F0C">
        <w:t>and</w:t>
      </w:r>
      <w:r>
        <w:t xml:space="preserve"> notification</w:t>
      </w:r>
      <w:bookmarkEnd w:id="14"/>
      <w:bookmarkEnd w:id="15"/>
      <w:r>
        <w:t xml:space="preserve"> </w:t>
      </w:r>
    </w:p>
    <w:p w14:paraId="7212BC47" w14:textId="77777777" w:rsidR="00F7447E" w:rsidRPr="002156C4" w:rsidRDefault="00F7447E" w:rsidP="00F7447E">
      <w:pPr>
        <w:rPr>
          <w:rFonts w:cs="Arial"/>
        </w:rPr>
      </w:pPr>
      <w:r w:rsidRPr="00AA3B14">
        <w:rPr>
          <w:rFonts w:cs="Arial"/>
        </w:rPr>
        <w:t xml:space="preserve">Assignments are subject to the notification procedures detailed in Article 11 </w:t>
      </w:r>
      <w:r>
        <w:rPr>
          <w:rFonts w:cs="Arial"/>
        </w:rPr>
        <w:t xml:space="preserve">of the ITU Radio Regulations. </w:t>
      </w:r>
      <w:r w:rsidRPr="00AA3B14">
        <w:rPr>
          <w:rFonts w:cs="Arial"/>
        </w:rPr>
        <w:t>T</w:t>
      </w:r>
      <w:r>
        <w:rPr>
          <w:rFonts w:cs="Arial"/>
        </w:rPr>
        <w:t xml:space="preserve">he ACMA, acting as the </w:t>
      </w:r>
      <w:r w:rsidRPr="00AA3B14">
        <w:t xml:space="preserve">Australian Administration, </w:t>
      </w:r>
      <w:r>
        <w:t xml:space="preserve">if advised </w:t>
      </w:r>
      <w:r w:rsidRPr="00AA3B14">
        <w:rPr>
          <w:rFonts w:cs="Arial"/>
        </w:rPr>
        <w:t>will notify the ITU Radiocommunications Bureau of assignments not already noti</w:t>
      </w:r>
      <w:r>
        <w:rPr>
          <w:rFonts w:cs="Arial"/>
        </w:rPr>
        <w:t>fi</w:t>
      </w:r>
      <w:r w:rsidRPr="00AA3B14">
        <w:rPr>
          <w:rFonts w:cs="Arial"/>
        </w:rPr>
        <w:t>ed to the ITU.</w:t>
      </w:r>
    </w:p>
    <w:p w14:paraId="53CDE521" w14:textId="77777777" w:rsidR="00F7447E" w:rsidRPr="002156C4" w:rsidRDefault="00F7447E" w:rsidP="00F7447E">
      <w:r w:rsidRPr="00AA3B14">
        <w:t xml:space="preserve">The issue </w:t>
      </w:r>
      <w:r w:rsidR="00CA4F0C">
        <w:t>(</w:t>
      </w:r>
      <w:r w:rsidRPr="00AA3B14">
        <w:t>including conditions associated with the issue</w:t>
      </w:r>
      <w:r w:rsidR="00CA4F0C">
        <w:t>)</w:t>
      </w:r>
      <w:r w:rsidR="00CA4F0C" w:rsidRPr="00AA3B14">
        <w:t xml:space="preserve"> </w:t>
      </w:r>
      <w:r w:rsidRPr="00AA3B14">
        <w:t>of an apparatus licence authorising the operation of a service may be dependent on the Bureau’s findings in relation to the proposed assignment.</w:t>
      </w:r>
      <w:r>
        <w:t xml:space="preserve"> For this reason</w:t>
      </w:r>
      <w:r w:rsidR="00CA4F0C">
        <w:t>,</w:t>
      </w:r>
      <w:r>
        <w:t xml:space="preserve"> the predefined special condition (IC1) applies to all assignments. </w:t>
      </w:r>
    </w:p>
    <w:p w14:paraId="1CDC0E37" w14:textId="77777777" w:rsidR="00F7447E" w:rsidRPr="002156C4" w:rsidRDefault="00F7447E" w:rsidP="002156C4">
      <w:pPr>
        <w:rPr>
          <w:i/>
        </w:rPr>
      </w:pPr>
      <w:r w:rsidRPr="002156C4">
        <w:rPr>
          <w:i/>
        </w:rPr>
        <w:t>The continued operation of the service(s) authorised by this licence are conditional on a favourable finding under the provisions of Article 11.31 of the Radio Regulations of the International Telecommunications Union. In the event of an unfavourable finding, the licensee may be required to cease operation or to operate under amended conditions.</w:t>
      </w:r>
    </w:p>
    <w:p w14:paraId="411A04AF" w14:textId="77777777" w:rsidR="00F7447E" w:rsidRPr="002156C4" w:rsidRDefault="00F7447E" w:rsidP="00F7447E">
      <w:pPr>
        <w:rPr>
          <w:szCs w:val="20"/>
        </w:rPr>
      </w:pPr>
      <w:r>
        <w:rPr>
          <w:szCs w:val="20"/>
        </w:rPr>
        <w:lastRenderedPageBreak/>
        <w:t>For these reasons</w:t>
      </w:r>
      <w:r w:rsidR="00CA4F0C">
        <w:rPr>
          <w:szCs w:val="20"/>
        </w:rPr>
        <w:t>,</w:t>
      </w:r>
      <w:r>
        <w:rPr>
          <w:szCs w:val="20"/>
        </w:rPr>
        <w:t xml:space="preserve"> a</w:t>
      </w:r>
      <w:r w:rsidRPr="00F41BB6">
        <w:rPr>
          <w:szCs w:val="20"/>
        </w:rPr>
        <w:t xml:space="preserve">ssignments </w:t>
      </w:r>
      <w:r>
        <w:rPr>
          <w:szCs w:val="20"/>
        </w:rPr>
        <w:t xml:space="preserve">of frequency channels </w:t>
      </w:r>
      <w:r w:rsidRPr="00F41BB6">
        <w:rPr>
          <w:szCs w:val="20"/>
        </w:rPr>
        <w:t xml:space="preserve">in support of </w:t>
      </w:r>
      <w:r>
        <w:rPr>
          <w:szCs w:val="20"/>
        </w:rPr>
        <w:t>new fixed or mobile apparatus licences should</w:t>
      </w:r>
      <w:r w:rsidR="00CA4F0C">
        <w:rPr>
          <w:szCs w:val="20"/>
        </w:rPr>
        <w:t>,</w:t>
      </w:r>
      <w:r>
        <w:rPr>
          <w:szCs w:val="20"/>
        </w:rPr>
        <w:t xml:space="preserve"> in the first case</w:t>
      </w:r>
      <w:r w:rsidR="00CA4F0C">
        <w:rPr>
          <w:szCs w:val="20"/>
        </w:rPr>
        <w:t>,</w:t>
      </w:r>
      <w:r>
        <w:rPr>
          <w:szCs w:val="20"/>
        </w:rPr>
        <w:t xml:space="preserve"> accord with channels currently licensed in accordance with the RRL.</w:t>
      </w:r>
    </w:p>
    <w:p w14:paraId="1E3289F7" w14:textId="77777777" w:rsidR="00F7447E" w:rsidRPr="002156C4" w:rsidRDefault="00F7447E" w:rsidP="00F7447E">
      <w:pPr>
        <w:rPr>
          <w:rFonts w:cs="Arial"/>
          <w:szCs w:val="20"/>
        </w:rPr>
      </w:pPr>
      <w:r>
        <w:rPr>
          <w:rFonts w:cs="Arial"/>
        </w:rPr>
        <w:t>A check of assignments notified to and recorded by the ITU can be undertaken from</w:t>
      </w:r>
      <w:r w:rsidRPr="00AC2D19">
        <w:t xml:space="preserve"> </w:t>
      </w:r>
      <w:r>
        <w:t xml:space="preserve">the ITU-R International Frequency Information Circular (Terrestrial Services) or </w:t>
      </w:r>
      <w:r>
        <w:rPr>
          <w:rFonts w:cs="Arial"/>
        </w:rPr>
        <w:t>by using the ITU eMIFRA service (</w:t>
      </w:r>
      <w:hyperlink r:id="rId36" w:history="1">
        <w:r w:rsidRPr="008E572A">
          <w:rPr>
            <w:rStyle w:val="Hyperlink"/>
            <w:rFonts w:cs="Arial"/>
            <w:szCs w:val="20"/>
          </w:rPr>
          <w:t>https://www.itu.int/ITU-R/terrestrial/eTerraQuery/eQry.aspx</w:t>
        </w:r>
      </w:hyperlink>
      <w:r>
        <w:rPr>
          <w:rFonts w:cs="Arial"/>
          <w:szCs w:val="20"/>
        </w:rPr>
        <w:t xml:space="preserve">). Note an ITU </w:t>
      </w:r>
      <w:r w:rsidR="00CA2FBE" w:rsidRPr="002072CE">
        <w:rPr>
          <w:rFonts w:cs="Arial"/>
        </w:rPr>
        <w:t>Telecommunication Information Exchange Service (</w:t>
      </w:r>
      <w:hyperlink r:id="rId37" w:history="1">
        <w:r w:rsidRPr="00AC2D19">
          <w:rPr>
            <w:rStyle w:val="Hyperlink"/>
            <w:rFonts w:cs="Arial"/>
            <w:szCs w:val="20"/>
          </w:rPr>
          <w:t>TIES</w:t>
        </w:r>
      </w:hyperlink>
      <w:r w:rsidR="00CA2FBE">
        <w:rPr>
          <w:rFonts w:cs="Arial"/>
          <w:szCs w:val="20"/>
        </w:rPr>
        <w:t xml:space="preserve">) </w:t>
      </w:r>
      <w:r>
        <w:rPr>
          <w:rFonts w:cs="Arial"/>
          <w:szCs w:val="20"/>
        </w:rPr>
        <w:t>account is required to access this service.</w:t>
      </w:r>
    </w:p>
    <w:p w14:paraId="13E37AC9" w14:textId="77777777" w:rsidR="00F7447E" w:rsidRPr="00F41BB6" w:rsidRDefault="00F7447E" w:rsidP="00F662F5">
      <w:pPr>
        <w:pStyle w:val="Heading1"/>
      </w:pPr>
      <w:bookmarkStart w:id="16" w:name="_Toc463013671"/>
      <w:bookmarkStart w:id="17" w:name="_Toc466880444"/>
      <w:r w:rsidRPr="00F41BB6">
        <w:lastRenderedPageBreak/>
        <w:t>Frequency co</w:t>
      </w:r>
      <w:r w:rsidRPr="002156C4">
        <w:t>o</w:t>
      </w:r>
      <w:r w:rsidRPr="00F41BB6">
        <w:t>rdination</w:t>
      </w:r>
      <w:bookmarkEnd w:id="16"/>
      <w:bookmarkEnd w:id="17"/>
    </w:p>
    <w:p w14:paraId="18EA3163" w14:textId="77777777" w:rsidR="0025127C" w:rsidRDefault="00F7447E" w:rsidP="00F7447E">
      <w:r w:rsidRPr="00F41BB6">
        <w:t>Depending on the frequency band of operation</w:t>
      </w:r>
      <w:r w:rsidR="00A13E29">
        <w:t>,</w:t>
      </w:r>
      <w:r w:rsidRPr="00F41BB6">
        <w:t xml:space="preserve"> the proposed service may need to be coordinated with </w:t>
      </w:r>
      <w:r>
        <w:t xml:space="preserve">other </w:t>
      </w:r>
      <w:r w:rsidRPr="00F41BB6">
        <w:t xml:space="preserve">incumbent radiocommunications services operating in or adjacent </w:t>
      </w:r>
      <w:r>
        <w:t xml:space="preserve">to </w:t>
      </w:r>
      <w:r w:rsidRPr="00F41BB6">
        <w:t>the proposed band of operation.</w:t>
      </w:r>
      <w:r w:rsidR="0084750D">
        <w:t xml:space="preserve">  </w:t>
      </w:r>
      <w:r w:rsidR="00F50E27">
        <w:t>Note that the procedures outlined here only provide</w:t>
      </w:r>
      <w:r w:rsidR="00BC5A96">
        <w:t>s</w:t>
      </w:r>
      <w:r w:rsidR="00F50E27">
        <w:t xml:space="preserve"> simplistic advice on technical compatibility of HF services, particularly in regard to co-channel assessment where the prime </w:t>
      </w:r>
      <w:r w:rsidR="0025127C">
        <w:t>mechanism is</w:t>
      </w:r>
      <w:r w:rsidR="00F50E27">
        <w:t xml:space="preserve"> suitability of </w:t>
      </w:r>
      <w:r w:rsidR="0025127C">
        <w:t xml:space="preserve">channel </w:t>
      </w:r>
      <w:r w:rsidR="00F50E27">
        <w:t xml:space="preserve">sharing, </w:t>
      </w:r>
      <w:r w:rsidR="0025127C">
        <w:t xml:space="preserve">They assume the matters discussed </w:t>
      </w:r>
      <w:r w:rsidR="00A44035">
        <w:t>in previous</w:t>
      </w:r>
      <w:r w:rsidR="0025127C">
        <w:t xml:space="preserve"> section</w:t>
      </w:r>
      <w:r w:rsidR="00A44035">
        <w:t>s</w:t>
      </w:r>
      <w:r w:rsidR="0025127C">
        <w:t xml:space="preserve"> have been already assessed (eg regulatory consideration, channels sharing etc)</w:t>
      </w:r>
    </w:p>
    <w:p w14:paraId="6B755790" w14:textId="77777777" w:rsidR="00F7447E" w:rsidRDefault="0025127C" w:rsidP="002156C4">
      <w:r>
        <w:t>The procedures below reflect t</w:t>
      </w:r>
      <w:r w:rsidR="00F7447E">
        <w:t>he typical characteristics of assignments covered by this FAP</w:t>
      </w:r>
      <w:r>
        <w:t xml:space="preserve">.  That is, </w:t>
      </w:r>
      <w:r w:rsidR="00F7447E">
        <w:t>an assumed channel bandwidth of 3 kHz and a maximum transmitter power not exceeding 100 W.</w:t>
      </w:r>
    </w:p>
    <w:p w14:paraId="0FAD1CC9" w14:textId="77777777" w:rsidR="00F7447E" w:rsidRPr="002156C4" w:rsidRDefault="00F7447E" w:rsidP="00F7447E">
      <w:r>
        <w:t>With the possibility of high power defence services</w:t>
      </w:r>
      <w:r w:rsidR="0049799B">
        <w:t xml:space="preserve"> or broadcast services</w:t>
      </w:r>
      <w:r>
        <w:t xml:space="preserve">, a listing of other base (fixed) stations within 100 </w:t>
      </w:r>
      <w:r w:rsidR="00A13E29">
        <w:t xml:space="preserve">kilometres </w:t>
      </w:r>
      <w:r>
        <w:t xml:space="preserve">of the proposed base station site and </w:t>
      </w:r>
      <w:r w:rsidRPr="001F6A77">
        <w:rPr>
          <w:u w:val="single"/>
        </w:rPr>
        <w:t>+</w:t>
      </w:r>
      <w:r>
        <w:t xml:space="preserve">2 MHz will identify all stations that require more detailed </w:t>
      </w:r>
      <w:r w:rsidR="0025127C">
        <w:t>consideration</w:t>
      </w:r>
      <w:r>
        <w:t xml:space="preserve">. If </w:t>
      </w:r>
      <w:r w:rsidR="00A13E29">
        <w:t xml:space="preserve">the </w:t>
      </w:r>
      <w:r>
        <w:t xml:space="preserve">only services identified are those with a channel bandwidth of 3 kHz and a maximum transmitter power not exceeding 100 W frequency, then </w:t>
      </w:r>
      <w:r w:rsidR="00F202D6">
        <w:t xml:space="preserve">the cull range can be reduced to </w:t>
      </w:r>
      <w:r>
        <w:t xml:space="preserve">30 </w:t>
      </w:r>
      <w:r w:rsidR="00A13E29">
        <w:t xml:space="preserve">kilometres </w:t>
      </w:r>
      <w:r>
        <w:t xml:space="preserve">of the proposed base station site and </w:t>
      </w:r>
      <w:r w:rsidRPr="001F6A77">
        <w:rPr>
          <w:u w:val="single"/>
        </w:rPr>
        <w:t>+</w:t>
      </w:r>
      <w:r>
        <w:t>300 kHz.</w:t>
      </w:r>
    </w:p>
    <w:p w14:paraId="7F360D07" w14:textId="77777777" w:rsidR="00F7447E" w:rsidRPr="002156C4" w:rsidRDefault="00F7447E" w:rsidP="002156C4">
      <w:pPr>
        <w:pStyle w:val="Heading3"/>
      </w:pPr>
      <w:bookmarkStart w:id="18" w:name="_Toc463013672"/>
      <w:bookmarkStart w:id="19" w:name="_Toc466880445"/>
      <w:r w:rsidRPr="002156C4">
        <w:t>Co-channel coordination requirement:</w:t>
      </w:r>
      <w:bookmarkEnd w:id="18"/>
      <w:bookmarkEnd w:id="19"/>
      <w:r w:rsidRPr="002156C4">
        <w:t xml:space="preserve"> </w:t>
      </w:r>
    </w:p>
    <w:p w14:paraId="579EC6B8" w14:textId="77777777" w:rsidR="00216C1E" w:rsidRDefault="00216C1E" w:rsidP="00F7447E">
      <w:pPr>
        <w:rPr>
          <w:rFonts w:cs="Arial"/>
          <w:szCs w:val="20"/>
        </w:rPr>
      </w:pPr>
      <w:r>
        <w:rPr>
          <w:rFonts w:cs="Arial"/>
          <w:szCs w:val="20"/>
        </w:rPr>
        <w:t>As noted</w:t>
      </w:r>
      <w:r w:rsidR="00057366">
        <w:rPr>
          <w:rFonts w:cs="Arial"/>
          <w:szCs w:val="20"/>
        </w:rPr>
        <w:t>,</w:t>
      </w:r>
      <w:r>
        <w:rPr>
          <w:rFonts w:cs="Arial"/>
          <w:szCs w:val="20"/>
        </w:rPr>
        <w:t xml:space="preserve"> the prime co-channel </w:t>
      </w:r>
      <w:r w:rsidR="00057366">
        <w:rPr>
          <w:rFonts w:cs="Arial"/>
          <w:szCs w:val="20"/>
        </w:rPr>
        <w:t xml:space="preserve">compatibility </w:t>
      </w:r>
      <w:r>
        <w:rPr>
          <w:rFonts w:cs="Arial"/>
          <w:szCs w:val="20"/>
        </w:rPr>
        <w:t>assessment mechanism is channel sharing</w:t>
      </w:r>
      <w:r w:rsidR="00057366">
        <w:rPr>
          <w:rFonts w:cs="Arial"/>
          <w:szCs w:val="20"/>
        </w:rPr>
        <w:t>.  Th</w:t>
      </w:r>
      <w:r>
        <w:rPr>
          <w:rFonts w:cs="Arial"/>
          <w:szCs w:val="20"/>
        </w:rPr>
        <w:t>is check is to manage the occurrence of high level co-channel signals in the vicinity of base station receivers.</w:t>
      </w:r>
    </w:p>
    <w:p w14:paraId="013A6062" w14:textId="77777777" w:rsidR="00F7447E" w:rsidRPr="002156C4" w:rsidRDefault="00F7447E" w:rsidP="00F7447E">
      <w:pPr>
        <w:rPr>
          <w:rFonts w:cs="Arial"/>
          <w:szCs w:val="20"/>
        </w:rPr>
      </w:pPr>
      <w:r>
        <w:rPr>
          <w:rFonts w:cs="Arial"/>
          <w:szCs w:val="20"/>
        </w:rPr>
        <w:t xml:space="preserve">A minimum co-channel separation distance for proposed fixed and mobile service base stations from existing stations in the RRL is a distance equivalent to </w:t>
      </w:r>
      <w:r w:rsidR="00A13E29">
        <w:rPr>
          <w:rFonts w:cs="Arial"/>
          <w:szCs w:val="20"/>
        </w:rPr>
        <w:t xml:space="preserve">three </w:t>
      </w:r>
      <w:r>
        <w:rPr>
          <w:rFonts w:cs="Arial"/>
          <w:szCs w:val="20"/>
        </w:rPr>
        <w:t>times the wavelength of the centre frequency of the proposed channel.</w:t>
      </w:r>
    </w:p>
    <w:p w14:paraId="3790336B" w14:textId="77777777" w:rsidR="00F7447E" w:rsidRDefault="00F7447E" w:rsidP="002156C4">
      <w:pPr>
        <w:pStyle w:val="Heading3"/>
      </w:pPr>
      <w:bookmarkStart w:id="20" w:name="_Toc463013673"/>
      <w:bookmarkStart w:id="21" w:name="_Toc466880446"/>
      <w:r>
        <w:t xml:space="preserve">Adjacent channel coordination </w:t>
      </w:r>
      <w:r w:rsidRPr="002156C4">
        <w:t>requirement</w:t>
      </w:r>
      <w:r>
        <w:t>:</w:t>
      </w:r>
      <w:bookmarkEnd w:id="20"/>
      <w:bookmarkEnd w:id="21"/>
    </w:p>
    <w:p w14:paraId="321162F8" w14:textId="77777777" w:rsidR="002156C4" w:rsidRDefault="00F7447E" w:rsidP="002156C4">
      <w:pPr>
        <w:rPr>
          <w:color w:val="1F497D"/>
        </w:rPr>
      </w:pPr>
      <w:r>
        <w:t xml:space="preserve">The adjacent channel coordination minimum separation distance for fixed and mobile service base stations from existing stations in the RRL may be calculated using the following formula: </w:t>
      </w:r>
    </w:p>
    <w:p w14:paraId="600E93E4" w14:textId="77777777" w:rsidR="00F7447E" w:rsidRPr="008E4178" w:rsidRDefault="00F7447E" w:rsidP="002156C4">
      <w:pPr>
        <w:spacing w:after="360"/>
      </w:pPr>
      <m:oMathPara>
        <m:oMath>
          <m:r>
            <m:rPr>
              <m:sty m:val="p"/>
            </m:rPr>
            <w:rPr>
              <w:rFonts w:ascii="Cambria Math" w:hAnsi="Cambria Math"/>
            </w:rPr>
            <m:t xml:space="preserve">Minimum distance separation </m:t>
          </m:r>
          <m:d>
            <m:dPr>
              <m:ctrlPr>
                <w:rPr>
                  <w:rFonts w:ascii="Cambria Math" w:eastAsiaTheme="minorHAnsi" w:hAnsi="Cambria Math"/>
                  <w:sz w:val="22"/>
                  <w:szCs w:val="22"/>
                  <w:lang w:eastAsia="en-US"/>
                </w:rPr>
              </m:ctrlPr>
            </m:dPr>
            <m:e>
              <m:r>
                <m:rPr>
                  <m:sty m:val="p"/>
                </m:rPr>
                <w:rPr>
                  <w:rFonts w:ascii="Cambria Math" w:hAnsi="Cambria Math"/>
                </w:rPr>
                <m:t>km</m:t>
              </m:r>
            </m:e>
          </m:d>
          <m:r>
            <m:rPr>
              <m:sty m:val="p"/>
            </m:rPr>
            <w:rPr>
              <w:rFonts w:ascii="Cambria Math" w:hAnsi="Cambria Math"/>
            </w:rPr>
            <m:t>=</m:t>
          </m:r>
          <m:f>
            <m:fPr>
              <m:ctrlPr>
                <w:rPr>
                  <w:rFonts w:ascii="Cambria Math" w:eastAsiaTheme="minorHAnsi" w:hAnsi="Cambria Math"/>
                  <w:sz w:val="22"/>
                  <w:szCs w:val="22"/>
                  <w:lang w:eastAsia="en-US"/>
                </w:rPr>
              </m:ctrlPr>
            </m:fPr>
            <m:num>
              <m:r>
                <m:rPr>
                  <m:sty m:val="p"/>
                </m:rPr>
                <w:rPr>
                  <w:rFonts w:ascii="Cambria Math" w:hAnsi="Cambria Math"/>
                </w:rPr>
                <m:t>30</m:t>
              </m:r>
            </m:num>
            <m:den>
              <m:r>
                <m:rPr>
                  <m:sty m:val="p"/>
                </m:rPr>
                <w:rPr>
                  <w:rFonts w:ascii="Cambria Math" w:hAnsi="Cambria Math"/>
                </w:rPr>
                <m:t xml:space="preserve">Frequency separation </m:t>
              </m:r>
              <m:d>
                <m:dPr>
                  <m:ctrlPr>
                    <w:rPr>
                      <w:rFonts w:ascii="Cambria Math" w:eastAsiaTheme="minorHAnsi" w:hAnsi="Cambria Math"/>
                      <w:sz w:val="22"/>
                      <w:szCs w:val="22"/>
                      <w:lang w:eastAsia="en-US"/>
                    </w:rPr>
                  </m:ctrlPr>
                </m:dPr>
                <m:e>
                  <m:r>
                    <m:rPr>
                      <m:sty m:val="p"/>
                    </m:rPr>
                    <w:rPr>
                      <w:rFonts w:ascii="Cambria Math" w:hAnsi="Cambria Math"/>
                    </w:rPr>
                    <m:t>kHz</m:t>
                  </m:r>
                </m:e>
              </m:d>
            </m:den>
          </m:f>
          <m:r>
            <m:rPr>
              <m:sty m:val="p"/>
            </m:rPr>
            <w:rPr>
              <w:rFonts w:ascii="Cambria Math" w:hAnsi="Cambria Math"/>
            </w:rPr>
            <m:t>×√</m:t>
          </m:r>
          <m:d>
            <m:dPr>
              <m:ctrlPr>
                <w:rPr>
                  <w:rFonts w:ascii="Cambria Math" w:eastAsiaTheme="minorHAnsi" w:hAnsi="Cambria Math"/>
                  <w:sz w:val="22"/>
                  <w:szCs w:val="22"/>
                  <w:lang w:eastAsia="en-US"/>
                </w:rPr>
              </m:ctrlPr>
            </m:dPr>
            <m:e>
              <m:f>
                <m:fPr>
                  <m:ctrlPr>
                    <w:rPr>
                      <w:rFonts w:ascii="Cambria Math" w:eastAsiaTheme="minorHAnsi" w:hAnsi="Cambria Math"/>
                      <w:sz w:val="22"/>
                      <w:szCs w:val="22"/>
                      <w:lang w:eastAsia="en-US"/>
                    </w:rPr>
                  </m:ctrlPr>
                </m:fPr>
                <m:num>
                  <m:r>
                    <m:rPr>
                      <m:sty m:val="p"/>
                    </m:rPr>
                    <w:rPr>
                      <w:rFonts w:ascii="Cambria Math" w:hAnsi="Cambria Math"/>
                    </w:rPr>
                    <m:t>Tx power watts</m:t>
                  </m:r>
                </m:num>
                <m:den>
                  <m:r>
                    <m:rPr>
                      <m:sty m:val="p"/>
                    </m:rPr>
                    <w:rPr>
                      <w:rFonts w:ascii="Cambria Math" w:hAnsi="Cambria Math"/>
                    </w:rPr>
                    <m:t>100</m:t>
                  </m:r>
                </m:den>
              </m:f>
            </m:e>
          </m:d>
        </m:oMath>
      </m:oMathPara>
    </w:p>
    <w:p w14:paraId="2A4C7CD4" w14:textId="77777777" w:rsidR="00F7447E" w:rsidRPr="008E4178" w:rsidRDefault="00F7447E" w:rsidP="00F7447E">
      <w:r w:rsidRPr="00B86869">
        <w:t>Where this requirement cannot b</w:t>
      </w:r>
      <w:r w:rsidRPr="008E4178">
        <w:t>e met for all current stations</w:t>
      </w:r>
      <w:r w:rsidR="00A13E29">
        <w:t>,</w:t>
      </w:r>
      <w:r w:rsidRPr="008E4178">
        <w:t xml:space="preserve"> then it is permissible to use the lesser requirement: </w:t>
      </w:r>
    </w:p>
    <w:p w14:paraId="535D932D" w14:textId="77777777" w:rsidR="00F7447E" w:rsidRPr="008E4178" w:rsidRDefault="00F7447E" w:rsidP="002156C4">
      <w:pPr>
        <w:spacing w:after="360"/>
      </w:pPr>
      <m:oMathPara>
        <m:oMath>
          <m:r>
            <m:rPr>
              <m:sty m:val="p"/>
            </m:rPr>
            <w:rPr>
              <w:rFonts w:ascii="Cambria Math" w:hAnsi="Cambria Math"/>
            </w:rPr>
            <m:t xml:space="preserve">Minimum distance separation </m:t>
          </m:r>
          <m:d>
            <m:dPr>
              <m:ctrlPr>
                <w:rPr>
                  <w:rFonts w:ascii="Cambria Math" w:eastAsiaTheme="minorHAnsi" w:hAnsi="Cambria Math"/>
                  <w:sz w:val="22"/>
                  <w:szCs w:val="22"/>
                  <w:lang w:eastAsia="en-US"/>
                </w:rPr>
              </m:ctrlPr>
            </m:dPr>
            <m:e>
              <m:r>
                <m:rPr>
                  <m:sty m:val="p"/>
                </m:rPr>
                <w:rPr>
                  <w:rFonts w:ascii="Cambria Math" w:hAnsi="Cambria Math"/>
                </w:rPr>
                <m:t>km</m:t>
              </m:r>
            </m:e>
          </m:d>
          <m:r>
            <m:rPr>
              <m:sty m:val="p"/>
            </m:rPr>
            <w:rPr>
              <w:rFonts w:ascii="Cambria Math" w:hAnsi="Cambria Math"/>
            </w:rPr>
            <m:t>=</m:t>
          </m:r>
          <m:f>
            <m:fPr>
              <m:ctrlPr>
                <w:rPr>
                  <w:rFonts w:ascii="Cambria Math" w:eastAsiaTheme="minorHAnsi" w:hAnsi="Cambria Math"/>
                  <w:sz w:val="22"/>
                  <w:szCs w:val="22"/>
                  <w:lang w:eastAsia="en-US"/>
                </w:rPr>
              </m:ctrlPr>
            </m:fPr>
            <m:num>
              <m:r>
                <m:rPr>
                  <m:sty m:val="p"/>
                </m:rPr>
                <w:rPr>
                  <w:rFonts w:ascii="Cambria Math" w:hAnsi="Cambria Math"/>
                </w:rPr>
                <m:t>10</m:t>
              </m:r>
            </m:num>
            <m:den>
              <m:r>
                <m:rPr>
                  <m:sty m:val="p"/>
                </m:rPr>
                <w:rPr>
                  <w:rFonts w:ascii="Cambria Math" w:hAnsi="Cambria Math"/>
                </w:rPr>
                <m:t xml:space="preserve">Frequency separation </m:t>
              </m:r>
              <m:d>
                <m:dPr>
                  <m:ctrlPr>
                    <w:rPr>
                      <w:rFonts w:ascii="Cambria Math" w:eastAsiaTheme="minorHAnsi" w:hAnsi="Cambria Math"/>
                      <w:sz w:val="22"/>
                      <w:szCs w:val="22"/>
                      <w:lang w:eastAsia="en-US"/>
                    </w:rPr>
                  </m:ctrlPr>
                </m:dPr>
                <m:e>
                  <m:r>
                    <m:rPr>
                      <m:sty m:val="p"/>
                    </m:rPr>
                    <w:rPr>
                      <w:rFonts w:ascii="Cambria Math" w:hAnsi="Cambria Math"/>
                    </w:rPr>
                    <m:t>kHz</m:t>
                  </m:r>
                </m:e>
              </m:d>
            </m:den>
          </m:f>
          <m:r>
            <m:rPr>
              <m:sty m:val="p"/>
            </m:rPr>
            <w:rPr>
              <w:rFonts w:ascii="Cambria Math" w:hAnsi="Cambria Math"/>
            </w:rPr>
            <m:t>×√</m:t>
          </m:r>
          <m:d>
            <m:dPr>
              <m:ctrlPr>
                <w:rPr>
                  <w:rFonts w:ascii="Cambria Math" w:eastAsiaTheme="minorHAnsi" w:hAnsi="Cambria Math"/>
                  <w:sz w:val="22"/>
                  <w:szCs w:val="22"/>
                  <w:lang w:eastAsia="en-US"/>
                </w:rPr>
              </m:ctrlPr>
            </m:dPr>
            <m:e>
              <m:f>
                <m:fPr>
                  <m:ctrlPr>
                    <w:rPr>
                      <w:rFonts w:ascii="Cambria Math" w:eastAsiaTheme="minorHAnsi" w:hAnsi="Cambria Math"/>
                      <w:sz w:val="22"/>
                      <w:szCs w:val="22"/>
                      <w:lang w:eastAsia="en-US"/>
                    </w:rPr>
                  </m:ctrlPr>
                </m:fPr>
                <m:num>
                  <m:r>
                    <m:rPr>
                      <m:sty m:val="p"/>
                    </m:rPr>
                    <w:rPr>
                      <w:rFonts w:ascii="Cambria Math" w:hAnsi="Cambria Math"/>
                    </w:rPr>
                    <m:t>Tx power watts</m:t>
                  </m:r>
                </m:num>
                <m:den>
                  <m:r>
                    <m:rPr>
                      <m:sty m:val="p"/>
                    </m:rPr>
                    <w:rPr>
                      <w:rFonts w:ascii="Cambria Math" w:hAnsi="Cambria Math"/>
                    </w:rPr>
                    <m:t>100</m:t>
                  </m:r>
                </m:den>
              </m:f>
            </m:e>
          </m:d>
        </m:oMath>
      </m:oMathPara>
    </w:p>
    <w:p w14:paraId="47E40E19" w14:textId="77777777" w:rsidR="00F7447E" w:rsidRPr="00113829" w:rsidRDefault="00F7447E" w:rsidP="002156C4">
      <w:pPr>
        <w:spacing w:before="240"/>
      </w:pPr>
      <w:r>
        <w:t>However this option should not be used where there are multiple stations that do not meet the first requirement.</w:t>
      </w:r>
    </w:p>
    <w:p w14:paraId="12FDAC60" w14:textId="77777777" w:rsidR="00F7447E" w:rsidRPr="00F41BB6" w:rsidRDefault="00F7447E" w:rsidP="00F662F5">
      <w:pPr>
        <w:pStyle w:val="Heading1"/>
      </w:pPr>
      <w:bookmarkStart w:id="22" w:name="_Toc392147079"/>
      <w:bookmarkStart w:id="23" w:name="_Toc463013674"/>
      <w:bookmarkStart w:id="24" w:name="_Toc466880447"/>
      <w:r w:rsidRPr="00F41BB6">
        <w:lastRenderedPageBreak/>
        <w:t xml:space="preserve">Further </w:t>
      </w:r>
      <w:r w:rsidRPr="002156C4">
        <w:t>information</w:t>
      </w:r>
      <w:bookmarkEnd w:id="22"/>
      <w:bookmarkEnd w:id="23"/>
      <w:bookmarkEnd w:id="24"/>
    </w:p>
    <w:p w14:paraId="28CAA9CE" w14:textId="77777777" w:rsidR="00F7447E" w:rsidRPr="002156C4" w:rsidRDefault="00F7447E" w:rsidP="00F7447E">
      <w:r w:rsidRPr="00F41BB6">
        <w:t>Please contact the</w:t>
      </w:r>
      <w:r>
        <w:t xml:space="preserve"> </w:t>
      </w:r>
      <w:hyperlink r:id="rId38" w:history="1">
        <w:r>
          <w:rPr>
            <w:rStyle w:val="Hyperlink"/>
          </w:rPr>
          <w:t>Licensing Information and Allocations Section</w:t>
        </w:r>
      </w:hyperlink>
      <w:hyperlink r:id="rId39" w:history="1"/>
      <w:r w:rsidRPr="00F41BB6">
        <w:t>.</w:t>
      </w:r>
    </w:p>
    <w:p w14:paraId="01E10FE4" w14:textId="77777777" w:rsidR="00F7447E" w:rsidRDefault="00F7447E" w:rsidP="00F7447E">
      <w:pPr>
        <w:pStyle w:val="Heading1"/>
      </w:pPr>
      <w:bookmarkStart w:id="25" w:name="_Toc463013675"/>
      <w:bookmarkStart w:id="26" w:name="_Toc466880448"/>
      <w:r w:rsidRPr="006D46E5">
        <w:lastRenderedPageBreak/>
        <w:t>Appendix A</w:t>
      </w:r>
      <w:bookmarkEnd w:id="25"/>
      <w:r w:rsidR="00D146FE">
        <w:t>: Special conditions</w:t>
      </w:r>
      <w:bookmarkEnd w:id="26"/>
    </w:p>
    <w:p w14:paraId="322B5F51" w14:textId="77777777" w:rsidR="00F7447E" w:rsidRPr="00F41BB6" w:rsidRDefault="00F7447E" w:rsidP="00F7447E">
      <w:pPr>
        <w:pStyle w:val="BodySubHeader"/>
      </w:pPr>
      <w:r>
        <w:t xml:space="preserve">Land </w:t>
      </w:r>
      <w:r w:rsidR="00A13E29">
        <w:t>m</w:t>
      </w:r>
      <w:r>
        <w:t xml:space="preserve">obile </w:t>
      </w:r>
      <w:r w:rsidRPr="00006756">
        <w:t xml:space="preserve">stations </w:t>
      </w:r>
    </w:p>
    <w:p w14:paraId="44F476D4" w14:textId="77777777" w:rsidR="00F7447E" w:rsidRPr="00F7447E" w:rsidRDefault="00F7447E" w:rsidP="00F7447E">
      <w:pPr>
        <w:rPr>
          <w:u w:val="single"/>
        </w:rPr>
      </w:pPr>
      <w:r w:rsidRPr="00F41BB6">
        <w:rPr>
          <w:u w:val="single"/>
        </w:rPr>
        <w:t>The following special condition</w:t>
      </w:r>
      <w:r>
        <w:rPr>
          <w:u w:val="single"/>
        </w:rPr>
        <w:t xml:space="preserve">s are to be </w:t>
      </w:r>
      <w:r w:rsidRPr="00F41BB6">
        <w:rPr>
          <w:u w:val="single"/>
        </w:rPr>
        <w:t xml:space="preserve">applied </w:t>
      </w:r>
      <w:r>
        <w:rPr>
          <w:u w:val="single"/>
        </w:rPr>
        <w:t>to all land mobile stations in the frequency range 1.875 MHz to 29.7 MHz.</w:t>
      </w:r>
    </w:p>
    <w:p w14:paraId="717F69AC" w14:textId="77777777" w:rsidR="00F7447E" w:rsidRPr="00F7447E" w:rsidRDefault="00F7447E" w:rsidP="00F7447E">
      <w:pPr>
        <w:rPr>
          <w:b/>
        </w:rPr>
      </w:pPr>
      <w:bookmarkStart w:id="27" w:name="_Toc392151137"/>
      <w:r w:rsidRPr="00A30784">
        <w:rPr>
          <w:b/>
        </w:rPr>
        <w:t>SPECIAL CONDITION</w:t>
      </w:r>
      <w:bookmarkEnd w:id="27"/>
    </w:p>
    <w:p w14:paraId="4005D057" w14:textId="77777777" w:rsidR="00F7447E" w:rsidRPr="00F7447E" w:rsidRDefault="00F7447E" w:rsidP="00F7447E">
      <w:pPr>
        <w:rPr>
          <w:b/>
        </w:rPr>
      </w:pPr>
      <w:r w:rsidRPr="00006756">
        <w:rPr>
          <w:b/>
        </w:rPr>
        <w:t>Pre-defined (</w:t>
      </w:r>
      <w:r>
        <w:rPr>
          <w:b/>
        </w:rPr>
        <w:t>I</w:t>
      </w:r>
      <w:r w:rsidRPr="00006756">
        <w:rPr>
          <w:b/>
        </w:rPr>
        <w:t>C</w:t>
      </w:r>
      <w:r>
        <w:rPr>
          <w:b/>
        </w:rPr>
        <w:t>1</w:t>
      </w:r>
      <w:r w:rsidRPr="00006756">
        <w:rPr>
          <w:b/>
        </w:rPr>
        <w:t>)</w:t>
      </w:r>
    </w:p>
    <w:p w14:paraId="3A165FF7" w14:textId="77777777" w:rsidR="00F7447E" w:rsidRPr="00F41BB6" w:rsidRDefault="00F7447E" w:rsidP="002156C4">
      <w:pPr>
        <w:pStyle w:val="ListParagraph"/>
        <w:numPr>
          <w:ilvl w:val="0"/>
          <w:numId w:val="10"/>
        </w:numPr>
        <w:spacing w:after="240"/>
      </w:pPr>
      <w:r w:rsidRPr="00B07243">
        <w:rPr>
          <w:rFonts w:cs="Arial"/>
        </w:rPr>
        <w:t>The continued operation of the service(s) authorised by this licence are conditional on a favourable finding under the provisions of Article 11.31 of the Radio Regulations of the International Telecommunications Union. In the event of an unfavourable finding, the licensee may be required to cease operation or to operate under amended conditions</w:t>
      </w:r>
      <w:r w:rsidRPr="00D92D99">
        <w:t>.</w:t>
      </w:r>
    </w:p>
    <w:p w14:paraId="076C4FB7" w14:textId="77777777" w:rsidR="00F7447E" w:rsidRDefault="00F7447E" w:rsidP="00F7447E">
      <w:pPr>
        <w:rPr>
          <w:rFonts w:cs="Arial"/>
          <w:bCs/>
          <w:lang w:val="en-US"/>
        </w:rPr>
      </w:pPr>
      <w:r w:rsidRPr="00B07243">
        <w:rPr>
          <w:rFonts w:cs="Arial"/>
          <w:b/>
          <w:bCs/>
          <w:lang w:val="en-US"/>
        </w:rPr>
        <w:t>User</w:t>
      </w:r>
      <w:r>
        <w:rPr>
          <w:rFonts w:cs="Arial"/>
          <w:b/>
          <w:bCs/>
          <w:lang w:val="en-US"/>
        </w:rPr>
        <w:t>-</w:t>
      </w:r>
      <w:r w:rsidRPr="00B07243">
        <w:rPr>
          <w:rFonts w:cs="Arial"/>
          <w:b/>
          <w:bCs/>
          <w:lang w:val="en-US"/>
        </w:rPr>
        <w:t>defined</w:t>
      </w:r>
      <w:r>
        <w:rPr>
          <w:rFonts w:cs="Arial"/>
          <w:bCs/>
          <w:lang w:val="en-US"/>
        </w:rPr>
        <w:t xml:space="preserve"> (</w:t>
      </w:r>
      <w:r w:rsidR="00A13E29">
        <w:rPr>
          <w:rFonts w:cs="Arial"/>
          <w:bCs/>
          <w:lang w:val="en-US"/>
        </w:rPr>
        <w:t>o</w:t>
      </w:r>
      <w:r>
        <w:rPr>
          <w:rFonts w:cs="Arial"/>
          <w:bCs/>
          <w:lang w:val="en-US"/>
        </w:rPr>
        <w:t>ptional if desired to record carrier frequency)</w:t>
      </w:r>
    </w:p>
    <w:p w14:paraId="613ACFCF" w14:textId="77777777" w:rsidR="00F7447E" w:rsidRPr="00F7447E" w:rsidRDefault="00F7447E" w:rsidP="002156C4">
      <w:pPr>
        <w:pStyle w:val="ACMABodyText"/>
        <w:numPr>
          <w:ilvl w:val="0"/>
          <w:numId w:val="11"/>
        </w:numPr>
        <w:spacing w:before="0" w:after="0" w:line="240" w:lineRule="auto"/>
        <w:rPr>
          <w:rFonts w:ascii="Arial" w:hAnsi="Arial" w:cs="Arial"/>
          <w:bCs/>
          <w:sz w:val="20"/>
          <w:lang w:val="en-US"/>
        </w:rPr>
      </w:pPr>
      <w:r>
        <w:rPr>
          <w:rFonts w:ascii="Arial" w:hAnsi="Arial" w:cs="Arial"/>
          <w:bCs/>
          <w:sz w:val="20"/>
          <w:lang w:val="en-US"/>
        </w:rPr>
        <w:t xml:space="preserve">Carrier </w:t>
      </w:r>
      <w:r w:rsidR="00A13E29">
        <w:rPr>
          <w:rFonts w:ascii="Arial" w:hAnsi="Arial" w:cs="Arial"/>
          <w:bCs/>
          <w:sz w:val="20"/>
          <w:lang w:val="en-US"/>
        </w:rPr>
        <w:t>f</w:t>
      </w:r>
      <w:r>
        <w:rPr>
          <w:rFonts w:ascii="Arial" w:hAnsi="Arial" w:cs="Arial"/>
          <w:bCs/>
          <w:sz w:val="20"/>
          <w:lang w:val="en-US"/>
        </w:rPr>
        <w:t>requency: x.xxx</w:t>
      </w:r>
      <w:r w:rsidRPr="00D92D99">
        <w:rPr>
          <w:rFonts w:ascii="Arial" w:hAnsi="Arial" w:cs="Arial"/>
          <w:bCs/>
          <w:sz w:val="20"/>
          <w:lang w:val="en-US"/>
        </w:rPr>
        <w:t xml:space="preserve"> MHz</w:t>
      </w:r>
      <w:bookmarkEnd w:id="4"/>
      <w:bookmarkEnd w:id="5"/>
    </w:p>
    <w:sectPr w:rsidR="00F7447E" w:rsidRPr="00F7447E" w:rsidSect="00C77380">
      <w:headerReference w:type="even" r:id="rId40"/>
      <w:headerReference w:type="default" r:id="rId41"/>
      <w:footerReference w:type="even" r:id="rId42"/>
      <w:footerReference w:type="default" r:id="rId4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3D3007" w14:textId="77777777" w:rsidR="00410095" w:rsidRDefault="00410095">
      <w:r>
        <w:separator/>
      </w:r>
    </w:p>
  </w:endnote>
  <w:endnote w:type="continuationSeparator" w:id="0">
    <w:p w14:paraId="7CD47095" w14:textId="77777777" w:rsidR="00410095" w:rsidRDefault="00410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C9D8EC" w14:textId="77777777" w:rsidR="00C053A1" w:rsidRPr="00A5474E" w:rsidRDefault="00C053A1" w:rsidP="00A5474E">
    <w:pPr>
      <w:pStyle w:val="Footer"/>
    </w:pPr>
    <w:r>
      <w:rPr>
        <w:noProof/>
      </w:rPr>
      <w:drawing>
        <wp:inline distT="0" distB="0" distL="0" distR="0" wp14:anchorId="1BE0CB3E" wp14:editId="19E1D50E">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AE66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A633A"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9D6A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66D970B"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B0247"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B1314B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AF1404"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9D4196">
      <w:rPr>
        <w:noProof/>
        <w:color w:val="505050"/>
      </w:rPr>
      <w:t>iii</w:t>
    </w:r>
    <w:r w:rsidRPr="002E4DDC">
      <w:rPr>
        <w:color w:val="505050"/>
      </w:rPr>
      <w:fldChar w:fldCharType="end"/>
    </w:r>
  </w:p>
  <w:p w14:paraId="129FE34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FA48CF"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9D4196">
      <w:rPr>
        <w:noProof/>
      </w:rPr>
      <w:t>8</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7C817D2"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9FD1A"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9D4196">
      <w:rPr>
        <w:noProof/>
        <w:color w:val="505050"/>
      </w:rPr>
      <w:t>9</w:t>
    </w:r>
    <w:r w:rsidRPr="00575AC5">
      <w:rPr>
        <w:color w:val="505050"/>
      </w:rPr>
      <w:fldChar w:fldCharType="end"/>
    </w:r>
  </w:p>
  <w:p w14:paraId="68DFC61B"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C99E0" w14:textId="77777777" w:rsidR="00410095" w:rsidRDefault="00410095">
      <w:r>
        <w:separator/>
      </w:r>
    </w:p>
  </w:footnote>
  <w:footnote w:type="continuationSeparator" w:id="0">
    <w:p w14:paraId="4A7C33C1" w14:textId="77777777" w:rsidR="00410095" w:rsidRDefault="00410095">
      <w:r>
        <w:continuationSeparator/>
      </w:r>
    </w:p>
  </w:footnote>
  <w:footnote w:id="1">
    <w:p w14:paraId="07B73129" w14:textId="77777777" w:rsidR="001E01CE" w:rsidRDefault="001E01CE">
      <w:pPr>
        <w:pStyle w:val="FootnoteText"/>
      </w:pPr>
      <w:r>
        <w:rPr>
          <w:rStyle w:val="FootnoteReference"/>
        </w:rPr>
        <w:footnoteRef/>
      </w:r>
      <w:r>
        <w:t xml:space="preserve"> For example see  </w:t>
      </w:r>
      <w:hyperlink r:id="rId1" w:history="1">
        <w:r w:rsidRPr="00D16EB5">
          <w:rPr>
            <w:rStyle w:val="Hyperlink"/>
          </w:rPr>
          <w:t>http://www.sws.bom.gov.au/HF_Systems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974A9" w14:textId="77777777" w:rsidR="00C053A1" w:rsidRPr="00A5474E" w:rsidRDefault="00C053A1" w:rsidP="00A5474E">
    <w:pPr>
      <w:pStyle w:val="Header"/>
    </w:pPr>
    <w:r>
      <w:rPr>
        <w:noProof/>
      </w:rPr>
      <w:drawing>
        <wp:inline distT="0" distB="0" distL="0" distR="0" wp14:anchorId="5ED43DCD" wp14:editId="0F53C608">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95C52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EBA2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0C04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EDA1D8D" w14:textId="77777777" w:rsidTr="003B0421">
      <w:trPr>
        <w:trHeight w:hRule="exact" w:val="988"/>
      </w:trPr>
      <w:tc>
        <w:tcPr>
          <w:tcW w:w="7678" w:type="dxa"/>
          <w:shd w:val="clear" w:color="auto" w:fill="auto"/>
        </w:tcPr>
        <w:p w14:paraId="222FCD0D" w14:textId="77777777" w:rsidR="00971914" w:rsidRDefault="00971914" w:rsidP="00971914">
          <w:pPr>
            <w:pStyle w:val="Header"/>
          </w:pPr>
        </w:p>
      </w:tc>
    </w:tr>
    <w:tr w:rsidR="00971914" w14:paraId="641F9952" w14:textId="77777777" w:rsidTr="003B0421">
      <w:tc>
        <w:tcPr>
          <w:tcW w:w="7678" w:type="dxa"/>
          <w:shd w:val="clear" w:color="auto" w:fill="auto"/>
        </w:tcPr>
        <w:p w14:paraId="30AC7C0C" w14:textId="77777777" w:rsidR="00971914" w:rsidRDefault="00971914" w:rsidP="00971914">
          <w:pPr>
            <w:pStyle w:val="GridTable31"/>
          </w:pPr>
          <w:r>
            <w:t xml:space="preserve">Contents </w:t>
          </w:r>
          <w:r w:rsidRPr="00915B1C">
            <w:rPr>
              <w:b w:val="0"/>
              <w:spacing w:val="0"/>
              <w:sz w:val="28"/>
              <w:szCs w:val="28"/>
            </w:rPr>
            <w:t>(Continued)</w:t>
          </w:r>
        </w:p>
      </w:tc>
    </w:tr>
    <w:tr w:rsidR="00971914" w14:paraId="4902CA37" w14:textId="77777777" w:rsidTr="003B0421">
      <w:trPr>
        <w:trHeight w:val="1220"/>
      </w:trPr>
      <w:tc>
        <w:tcPr>
          <w:tcW w:w="7678" w:type="dxa"/>
          <w:shd w:val="clear" w:color="auto" w:fill="auto"/>
        </w:tcPr>
        <w:p w14:paraId="2B49CB23" w14:textId="77777777" w:rsidR="00971914" w:rsidRDefault="00971914" w:rsidP="00971914"/>
      </w:tc>
    </w:tr>
  </w:tbl>
  <w:p w14:paraId="0B148B48"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D4AABF2" w14:textId="77777777" w:rsidTr="003B0421">
      <w:trPr>
        <w:trHeight w:hRule="exact" w:val="988"/>
      </w:trPr>
      <w:tc>
        <w:tcPr>
          <w:tcW w:w="7678" w:type="dxa"/>
          <w:shd w:val="clear" w:color="auto" w:fill="auto"/>
        </w:tcPr>
        <w:p w14:paraId="029C9D49" w14:textId="77777777" w:rsidR="00971914" w:rsidRDefault="00971914" w:rsidP="00971914">
          <w:pPr>
            <w:pStyle w:val="Header"/>
          </w:pPr>
        </w:p>
      </w:tc>
    </w:tr>
    <w:tr w:rsidR="00971914" w14:paraId="2C95F0A0" w14:textId="77777777" w:rsidTr="003B0421">
      <w:tc>
        <w:tcPr>
          <w:tcW w:w="7678" w:type="dxa"/>
          <w:shd w:val="clear" w:color="auto" w:fill="auto"/>
        </w:tcPr>
        <w:p w14:paraId="44B3461F" w14:textId="77777777" w:rsidR="00971914" w:rsidRDefault="00971914" w:rsidP="00971914">
          <w:pPr>
            <w:pStyle w:val="GridTable31"/>
          </w:pPr>
          <w:r>
            <w:t xml:space="preserve">Contents </w:t>
          </w:r>
          <w:r w:rsidRPr="00915B1C">
            <w:rPr>
              <w:b w:val="0"/>
              <w:spacing w:val="0"/>
              <w:sz w:val="28"/>
              <w:szCs w:val="28"/>
            </w:rPr>
            <w:t>(Continued)</w:t>
          </w:r>
        </w:p>
      </w:tc>
    </w:tr>
    <w:tr w:rsidR="00971914" w14:paraId="2EEB5927" w14:textId="77777777" w:rsidTr="003B0421">
      <w:trPr>
        <w:trHeight w:val="1220"/>
      </w:trPr>
      <w:tc>
        <w:tcPr>
          <w:tcW w:w="7678" w:type="dxa"/>
          <w:shd w:val="clear" w:color="auto" w:fill="auto"/>
        </w:tcPr>
        <w:p w14:paraId="0F3CEA0B" w14:textId="77777777" w:rsidR="00971914" w:rsidRDefault="00971914" w:rsidP="00971914"/>
      </w:tc>
    </w:tr>
  </w:tbl>
  <w:p w14:paraId="15C7E6A4"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D6352"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E960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FBE11F6"/>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68F01C6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2B9C3D14"/>
    <w:multiLevelType w:val="hybridMultilevel"/>
    <w:tmpl w:val="6C90417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278036A"/>
    <w:multiLevelType w:val="hybridMultilevel"/>
    <w:tmpl w:val="499C32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1C05F1"/>
    <w:multiLevelType w:val="hybridMultilevel"/>
    <w:tmpl w:val="F8E63BC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6"/>
  </w:num>
  <w:num w:numId="6">
    <w:abstractNumId w:val="11"/>
  </w:num>
  <w:num w:numId="7">
    <w:abstractNumId w:val="8"/>
  </w:num>
  <w:num w:numId="8">
    <w:abstractNumId w:val="10"/>
  </w:num>
  <w:num w:numId="9">
    <w:abstractNumId w:val="12"/>
  </w:num>
  <w:num w:numId="10">
    <w:abstractNumId w:val="9"/>
  </w:num>
  <w:num w:numId="11">
    <w:abstractNumId w:val="5"/>
  </w:num>
  <w:num w:numId="12">
    <w:abstractNumId w:val="0"/>
  </w:num>
  <w:num w:numId="13">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47E"/>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57366"/>
    <w:rsid w:val="000659B6"/>
    <w:rsid w:val="00065AAC"/>
    <w:rsid w:val="0006686F"/>
    <w:rsid w:val="0006722A"/>
    <w:rsid w:val="000732CF"/>
    <w:rsid w:val="00075B96"/>
    <w:rsid w:val="0008196A"/>
    <w:rsid w:val="000915ED"/>
    <w:rsid w:val="0009209D"/>
    <w:rsid w:val="000969BD"/>
    <w:rsid w:val="000969BF"/>
    <w:rsid w:val="000A06F5"/>
    <w:rsid w:val="000A0C22"/>
    <w:rsid w:val="000A3C43"/>
    <w:rsid w:val="000A4A51"/>
    <w:rsid w:val="000A5D2B"/>
    <w:rsid w:val="000A6A56"/>
    <w:rsid w:val="000B5DE3"/>
    <w:rsid w:val="000C0A57"/>
    <w:rsid w:val="000C230C"/>
    <w:rsid w:val="000C6AB4"/>
    <w:rsid w:val="000D71D9"/>
    <w:rsid w:val="000D76E0"/>
    <w:rsid w:val="000D7E8B"/>
    <w:rsid w:val="000E4449"/>
    <w:rsid w:val="000E6097"/>
    <w:rsid w:val="00103829"/>
    <w:rsid w:val="00111FCE"/>
    <w:rsid w:val="00116648"/>
    <w:rsid w:val="001229A5"/>
    <w:rsid w:val="0012489B"/>
    <w:rsid w:val="00130017"/>
    <w:rsid w:val="00130F91"/>
    <w:rsid w:val="001349ED"/>
    <w:rsid w:val="00137424"/>
    <w:rsid w:val="00140318"/>
    <w:rsid w:val="00141AD9"/>
    <w:rsid w:val="00146CE6"/>
    <w:rsid w:val="00147C9A"/>
    <w:rsid w:val="00152903"/>
    <w:rsid w:val="00153FD5"/>
    <w:rsid w:val="0015614F"/>
    <w:rsid w:val="001577C2"/>
    <w:rsid w:val="00161468"/>
    <w:rsid w:val="001633C4"/>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E01CE"/>
    <w:rsid w:val="001E62FE"/>
    <w:rsid w:val="001F7558"/>
    <w:rsid w:val="00205B57"/>
    <w:rsid w:val="002156C4"/>
    <w:rsid w:val="002157E0"/>
    <w:rsid w:val="00216A57"/>
    <w:rsid w:val="00216C1E"/>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127C"/>
    <w:rsid w:val="00251BDF"/>
    <w:rsid w:val="00257553"/>
    <w:rsid w:val="00260FB2"/>
    <w:rsid w:val="00262128"/>
    <w:rsid w:val="0027165D"/>
    <w:rsid w:val="00273CEB"/>
    <w:rsid w:val="00277F0D"/>
    <w:rsid w:val="00281C89"/>
    <w:rsid w:val="0028282F"/>
    <w:rsid w:val="002841DD"/>
    <w:rsid w:val="0029593B"/>
    <w:rsid w:val="00297FC5"/>
    <w:rsid w:val="002A0417"/>
    <w:rsid w:val="002A16D8"/>
    <w:rsid w:val="002A1BC8"/>
    <w:rsid w:val="002A3EF2"/>
    <w:rsid w:val="002B0DED"/>
    <w:rsid w:val="002B19A2"/>
    <w:rsid w:val="002B381A"/>
    <w:rsid w:val="002B4FCC"/>
    <w:rsid w:val="002B7408"/>
    <w:rsid w:val="002B7CFD"/>
    <w:rsid w:val="002C210F"/>
    <w:rsid w:val="002C411E"/>
    <w:rsid w:val="002D3600"/>
    <w:rsid w:val="002D3EDE"/>
    <w:rsid w:val="002E4DDC"/>
    <w:rsid w:val="00302480"/>
    <w:rsid w:val="003165E6"/>
    <w:rsid w:val="003221CF"/>
    <w:rsid w:val="003233ED"/>
    <w:rsid w:val="00324D9F"/>
    <w:rsid w:val="00327948"/>
    <w:rsid w:val="0033000F"/>
    <w:rsid w:val="00332011"/>
    <w:rsid w:val="00332518"/>
    <w:rsid w:val="00332925"/>
    <w:rsid w:val="003332ED"/>
    <w:rsid w:val="003368DC"/>
    <w:rsid w:val="003447C0"/>
    <w:rsid w:val="00345927"/>
    <w:rsid w:val="00350584"/>
    <w:rsid w:val="00351857"/>
    <w:rsid w:val="003545E8"/>
    <w:rsid w:val="003610E1"/>
    <w:rsid w:val="003671BE"/>
    <w:rsid w:val="00372485"/>
    <w:rsid w:val="00373200"/>
    <w:rsid w:val="0037532A"/>
    <w:rsid w:val="00375EF5"/>
    <w:rsid w:val="003767A5"/>
    <w:rsid w:val="00385254"/>
    <w:rsid w:val="00385A73"/>
    <w:rsid w:val="003A04DB"/>
    <w:rsid w:val="003A2575"/>
    <w:rsid w:val="003A5F5B"/>
    <w:rsid w:val="003A789A"/>
    <w:rsid w:val="003B12EC"/>
    <w:rsid w:val="003C77E0"/>
    <w:rsid w:val="003D17D7"/>
    <w:rsid w:val="003D2678"/>
    <w:rsid w:val="003D71A3"/>
    <w:rsid w:val="003E2B8A"/>
    <w:rsid w:val="003F10EE"/>
    <w:rsid w:val="003F16F6"/>
    <w:rsid w:val="003F4DC7"/>
    <w:rsid w:val="003F5235"/>
    <w:rsid w:val="0040248A"/>
    <w:rsid w:val="004027E4"/>
    <w:rsid w:val="00410095"/>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9799B"/>
    <w:rsid w:val="004A56BB"/>
    <w:rsid w:val="004A7E66"/>
    <w:rsid w:val="004B1751"/>
    <w:rsid w:val="004C0253"/>
    <w:rsid w:val="004D0712"/>
    <w:rsid w:val="004D56FF"/>
    <w:rsid w:val="004E04BC"/>
    <w:rsid w:val="004E39D3"/>
    <w:rsid w:val="004E508A"/>
    <w:rsid w:val="004E616D"/>
    <w:rsid w:val="004F0FF6"/>
    <w:rsid w:val="004F1BDE"/>
    <w:rsid w:val="004F2CEE"/>
    <w:rsid w:val="004F556E"/>
    <w:rsid w:val="004F7F44"/>
    <w:rsid w:val="005037B4"/>
    <w:rsid w:val="005079BF"/>
    <w:rsid w:val="0051269A"/>
    <w:rsid w:val="00516F8F"/>
    <w:rsid w:val="005219E7"/>
    <w:rsid w:val="00531B9A"/>
    <w:rsid w:val="00531D15"/>
    <w:rsid w:val="00537604"/>
    <w:rsid w:val="00542377"/>
    <w:rsid w:val="0054268A"/>
    <w:rsid w:val="005476EB"/>
    <w:rsid w:val="00551782"/>
    <w:rsid w:val="00563EF1"/>
    <w:rsid w:val="00566AB4"/>
    <w:rsid w:val="00575AC5"/>
    <w:rsid w:val="0057605D"/>
    <w:rsid w:val="00581347"/>
    <w:rsid w:val="00581AC9"/>
    <w:rsid w:val="005849F8"/>
    <w:rsid w:val="005938DF"/>
    <w:rsid w:val="00594E9C"/>
    <w:rsid w:val="005A099B"/>
    <w:rsid w:val="005A2D9C"/>
    <w:rsid w:val="005A5002"/>
    <w:rsid w:val="005A55FE"/>
    <w:rsid w:val="005A6A11"/>
    <w:rsid w:val="005D2502"/>
    <w:rsid w:val="005D40BB"/>
    <w:rsid w:val="005D47F3"/>
    <w:rsid w:val="005D49BF"/>
    <w:rsid w:val="005D6F4E"/>
    <w:rsid w:val="005D7C73"/>
    <w:rsid w:val="005E3ACD"/>
    <w:rsid w:val="005E7226"/>
    <w:rsid w:val="005E7A57"/>
    <w:rsid w:val="005F24B0"/>
    <w:rsid w:val="00604315"/>
    <w:rsid w:val="00604E26"/>
    <w:rsid w:val="006052CF"/>
    <w:rsid w:val="00607B8D"/>
    <w:rsid w:val="00611F5C"/>
    <w:rsid w:val="00614A07"/>
    <w:rsid w:val="00616E09"/>
    <w:rsid w:val="00620B3E"/>
    <w:rsid w:val="00622A3B"/>
    <w:rsid w:val="00622EEA"/>
    <w:rsid w:val="0062396C"/>
    <w:rsid w:val="00623FF9"/>
    <w:rsid w:val="00627D4E"/>
    <w:rsid w:val="00634478"/>
    <w:rsid w:val="00644373"/>
    <w:rsid w:val="00645915"/>
    <w:rsid w:val="006519C3"/>
    <w:rsid w:val="00652B30"/>
    <w:rsid w:val="00656345"/>
    <w:rsid w:val="00656DC6"/>
    <w:rsid w:val="00660EC6"/>
    <w:rsid w:val="00664110"/>
    <w:rsid w:val="00664D17"/>
    <w:rsid w:val="00666520"/>
    <w:rsid w:val="00667C5B"/>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127D"/>
    <w:rsid w:val="006D2139"/>
    <w:rsid w:val="006D27CB"/>
    <w:rsid w:val="006D2F08"/>
    <w:rsid w:val="006D576C"/>
    <w:rsid w:val="006D5865"/>
    <w:rsid w:val="006E3477"/>
    <w:rsid w:val="006E4B1B"/>
    <w:rsid w:val="006E5445"/>
    <w:rsid w:val="006E7D93"/>
    <w:rsid w:val="007029A3"/>
    <w:rsid w:val="00706E4E"/>
    <w:rsid w:val="0070791C"/>
    <w:rsid w:val="0071383C"/>
    <w:rsid w:val="007141A7"/>
    <w:rsid w:val="00715722"/>
    <w:rsid w:val="00721032"/>
    <w:rsid w:val="00721B55"/>
    <w:rsid w:val="00726CE4"/>
    <w:rsid w:val="00734143"/>
    <w:rsid w:val="00734CD2"/>
    <w:rsid w:val="00737E47"/>
    <w:rsid w:val="00740EAC"/>
    <w:rsid w:val="00744956"/>
    <w:rsid w:val="00745A5C"/>
    <w:rsid w:val="0074605F"/>
    <w:rsid w:val="00747E94"/>
    <w:rsid w:val="00754C83"/>
    <w:rsid w:val="00765DF8"/>
    <w:rsid w:val="00766749"/>
    <w:rsid w:val="00767C1B"/>
    <w:rsid w:val="007714A9"/>
    <w:rsid w:val="00774F88"/>
    <w:rsid w:val="00774FDB"/>
    <w:rsid w:val="007765E7"/>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21B6"/>
    <w:rsid w:val="007E7683"/>
    <w:rsid w:val="007F49FA"/>
    <w:rsid w:val="007F54C4"/>
    <w:rsid w:val="007F6083"/>
    <w:rsid w:val="007F6E9A"/>
    <w:rsid w:val="008044D4"/>
    <w:rsid w:val="00810AB4"/>
    <w:rsid w:val="00817B56"/>
    <w:rsid w:val="00821A88"/>
    <w:rsid w:val="0082495D"/>
    <w:rsid w:val="00831AC3"/>
    <w:rsid w:val="008408FF"/>
    <w:rsid w:val="0084750D"/>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6DF"/>
    <w:rsid w:val="008C0432"/>
    <w:rsid w:val="008C10F4"/>
    <w:rsid w:val="008C65F7"/>
    <w:rsid w:val="008E24B1"/>
    <w:rsid w:val="008E3407"/>
    <w:rsid w:val="008E4767"/>
    <w:rsid w:val="008E7A8C"/>
    <w:rsid w:val="00903285"/>
    <w:rsid w:val="00906F40"/>
    <w:rsid w:val="0090731E"/>
    <w:rsid w:val="00915B1C"/>
    <w:rsid w:val="009174F3"/>
    <w:rsid w:val="0091797D"/>
    <w:rsid w:val="00923CBA"/>
    <w:rsid w:val="00926703"/>
    <w:rsid w:val="00927691"/>
    <w:rsid w:val="00927A5F"/>
    <w:rsid w:val="009359FD"/>
    <w:rsid w:val="00935B63"/>
    <w:rsid w:val="0094078F"/>
    <w:rsid w:val="00940FA3"/>
    <w:rsid w:val="00941FB0"/>
    <w:rsid w:val="009426D4"/>
    <w:rsid w:val="00947F25"/>
    <w:rsid w:val="00950159"/>
    <w:rsid w:val="0095490B"/>
    <w:rsid w:val="00960A33"/>
    <w:rsid w:val="00967CD5"/>
    <w:rsid w:val="00971914"/>
    <w:rsid w:val="00974363"/>
    <w:rsid w:val="00981898"/>
    <w:rsid w:val="0099577C"/>
    <w:rsid w:val="009B2601"/>
    <w:rsid w:val="009B4E9E"/>
    <w:rsid w:val="009B5B27"/>
    <w:rsid w:val="009C1690"/>
    <w:rsid w:val="009C301F"/>
    <w:rsid w:val="009C6881"/>
    <w:rsid w:val="009C7759"/>
    <w:rsid w:val="009D043D"/>
    <w:rsid w:val="009D07C8"/>
    <w:rsid w:val="009D381A"/>
    <w:rsid w:val="009D4196"/>
    <w:rsid w:val="009D6C71"/>
    <w:rsid w:val="009E0631"/>
    <w:rsid w:val="009E16D0"/>
    <w:rsid w:val="009E38FD"/>
    <w:rsid w:val="009F13D6"/>
    <w:rsid w:val="009F4C6B"/>
    <w:rsid w:val="009F78A8"/>
    <w:rsid w:val="00A02AD6"/>
    <w:rsid w:val="00A07096"/>
    <w:rsid w:val="00A07318"/>
    <w:rsid w:val="00A11370"/>
    <w:rsid w:val="00A13E29"/>
    <w:rsid w:val="00A224CE"/>
    <w:rsid w:val="00A22522"/>
    <w:rsid w:val="00A24AFD"/>
    <w:rsid w:val="00A24F5C"/>
    <w:rsid w:val="00A32F96"/>
    <w:rsid w:val="00A40871"/>
    <w:rsid w:val="00A412AB"/>
    <w:rsid w:val="00A4193E"/>
    <w:rsid w:val="00A44035"/>
    <w:rsid w:val="00A440E0"/>
    <w:rsid w:val="00A442EF"/>
    <w:rsid w:val="00A51D1A"/>
    <w:rsid w:val="00A5418D"/>
    <w:rsid w:val="00A5474E"/>
    <w:rsid w:val="00A70ADF"/>
    <w:rsid w:val="00A71466"/>
    <w:rsid w:val="00A74B5E"/>
    <w:rsid w:val="00A81BED"/>
    <w:rsid w:val="00A81EC4"/>
    <w:rsid w:val="00A967FD"/>
    <w:rsid w:val="00AA45C6"/>
    <w:rsid w:val="00AB156C"/>
    <w:rsid w:val="00AB6814"/>
    <w:rsid w:val="00AC04BA"/>
    <w:rsid w:val="00AC0E39"/>
    <w:rsid w:val="00AC11FE"/>
    <w:rsid w:val="00AD3082"/>
    <w:rsid w:val="00AD45AE"/>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0B4"/>
    <w:rsid w:val="00B43262"/>
    <w:rsid w:val="00B44100"/>
    <w:rsid w:val="00B46CBA"/>
    <w:rsid w:val="00B46F94"/>
    <w:rsid w:val="00B573F4"/>
    <w:rsid w:val="00B6003C"/>
    <w:rsid w:val="00B61F03"/>
    <w:rsid w:val="00B626E4"/>
    <w:rsid w:val="00B631D3"/>
    <w:rsid w:val="00B72F4A"/>
    <w:rsid w:val="00B83C27"/>
    <w:rsid w:val="00B84BC3"/>
    <w:rsid w:val="00B84BDD"/>
    <w:rsid w:val="00B92812"/>
    <w:rsid w:val="00BB3CF3"/>
    <w:rsid w:val="00BB45A1"/>
    <w:rsid w:val="00BB7686"/>
    <w:rsid w:val="00BC23F9"/>
    <w:rsid w:val="00BC3421"/>
    <w:rsid w:val="00BC5A96"/>
    <w:rsid w:val="00BC732C"/>
    <w:rsid w:val="00BD1728"/>
    <w:rsid w:val="00BE2580"/>
    <w:rsid w:val="00BE266D"/>
    <w:rsid w:val="00BE28E3"/>
    <w:rsid w:val="00BE3938"/>
    <w:rsid w:val="00BE4C11"/>
    <w:rsid w:val="00BE71C0"/>
    <w:rsid w:val="00BF53E6"/>
    <w:rsid w:val="00BF610C"/>
    <w:rsid w:val="00C0060B"/>
    <w:rsid w:val="00C0277D"/>
    <w:rsid w:val="00C053A1"/>
    <w:rsid w:val="00C16198"/>
    <w:rsid w:val="00C2083D"/>
    <w:rsid w:val="00C24A53"/>
    <w:rsid w:val="00C34A05"/>
    <w:rsid w:val="00C4032F"/>
    <w:rsid w:val="00C44047"/>
    <w:rsid w:val="00C45155"/>
    <w:rsid w:val="00C5498F"/>
    <w:rsid w:val="00C55235"/>
    <w:rsid w:val="00C64CD0"/>
    <w:rsid w:val="00C6684F"/>
    <w:rsid w:val="00C70E70"/>
    <w:rsid w:val="00C75D44"/>
    <w:rsid w:val="00C75F8D"/>
    <w:rsid w:val="00C77380"/>
    <w:rsid w:val="00C97736"/>
    <w:rsid w:val="00CA2FBE"/>
    <w:rsid w:val="00CA345A"/>
    <w:rsid w:val="00CA4F0C"/>
    <w:rsid w:val="00CB1E82"/>
    <w:rsid w:val="00CB4BA8"/>
    <w:rsid w:val="00CB52D7"/>
    <w:rsid w:val="00CB5FF4"/>
    <w:rsid w:val="00CC5BBC"/>
    <w:rsid w:val="00CC6732"/>
    <w:rsid w:val="00CC7A9E"/>
    <w:rsid w:val="00CE3C96"/>
    <w:rsid w:val="00CE51A8"/>
    <w:rsid w:val="00CF369B"/>
    <w:rsid w:val="00D00E28"/>
    <w:rsid w:val="00D0269E"/>
    <w:rsid w:val="00D146FE"/>
    <w:rsid w:val="00D15810"/>
    <w:rsid w:val="00D16D4E"/>
    <w:rsid w:val="00D16FE3"/>
    <w:rsid w:val="00D25C5F"/>
    <w:rsid w:val="00D27F41"/>
    <w:rsid w:val="00D36441"/>
    <w:rsid w:val="00D4064E"/>
    <w:rsid w:val="00D44E9B"/>
    <w:rsid w:val="00D47AEB"/>
    <w:rsid w:val="00D50DB9"/>
    <w:rsid w:val="00D51302"/>
    <w:rsid w:val="00D52C43"/>
    <w:rsid w:val="00D554DD"/>
    <w:rsid w:val="00D6507F"/>
    <w:rsid w:val="00D65B3C"/>
    <w:rsid w:val="00D730BC"/>
    <w:rsid w:val="00D73912"/>
    <w:rsid w:val="00D76314"/>
    <w:rsid w:val="00D85226"/>
    <w:rsid w:val="00D87B94"/>
    <w:rsid w:val="00D92D49"/>
    <w:rsid w:val="00D92EC1"/>
    <w:rsid w:val="00D96DEA"/>
    <w:rsid w:val="00DA4E41"/>
    <w:rsid w:val="00DB117A"/>
    <w:rsid w:val="00DB5173"/>
    <w:rsid w:val="00DB7873"/>
    <w:rsid w:val="00DC187B"/>
    <w:rsid w:val="00DD73C2"/>
    <w:rsid w:val="00DE319B"/>
    <w:rsid w:val="00DF23FD"/>
    <w:rsid w:val="00DF34FE"/>
    <w:rsid w:val="00DF56AA"/>
    <w:rsid w:val="00DF56AF"/>
    <w:rsid w:val="00DF78E7"/>
    <w:rsid w:val="00E110E0"/>
    <w:rsid w:val="00E12AF9"/>
    <w:rsid w:val="00E15371"/>
    <w:rsid w:val="00E2064B"/>
    <w:rsid w:val="00E24104"/>
    <w:rsid w:val="00E302D0"/>
    <w:rsid w:val="00E35707"/>
    <w:rsid w:val="00E36AA1"/>
    <w:rsid w:val="00E41ECB"/>
    <w:rsid w:val="00E54FDB"/>
    <w:rsid w:val="00E5617D"/>
    <w:rsid w:val="00E563D7"/>
    <w:rsid w:val="00E663F4"/>
    <w:rsid w:val="00E666F2"/>
    <w:rsid w:val="00E66DD4"/>
    <w:rsid w:val="00E71343"/>
    <w:rsid w:val="00E748CC"/>
    <w:rsid w:val="00E75415"/>
    <w:rsid w:val="00E775B1"/>
    <w:rsid w:val="00E8152A"/>
    <w:rsid w:val="00E93629"/>
    <w:rsid w:val="00E93B5C"/>
    <w:rsid w:val="00E94CEC"/>
    <w:rsid w:val="00EA04EF"/>
    <w:rsid w:val="00EA43A0"/>
    <w:rsid w:val="00EA6F19"/>
    <w:rsid w:val="00EB7090"/>
    <w:rsid w:val="00EC1BBE"/>
    <w:rsid w:val="00EC5CD7"/>
    <w:rsid w:val="00EE2FF1"/>
    <w:rsid w:val="00EE5FB3"/>
    <w:rsid w:val="00EE7F79"/>
    <w:rsid w:val="00EF715A"/>
    <w:rsid w:val="00F0036D"/>
    <w:rsid w:val="00F06E14"/>
    <w:rsid w:val="00F179D4"/>
    <w:rsid w:val="00F202D6"/>
    <w:rsid w:val="00F23B47"/>
    <w:rsid w:val="00F33C56"/>
    <w:rsid w:val="00F347C7"/>
    <w:rsid w:val="00F34848"/>
    <w:rsid w:val="00F42D46"/>
    <w:rsid w:val="00F4496C"/>
    <w:rsid w:val="00F44F3A"/>
    <w:rsid w:val="00F50E27"/>
    <w:rsid w:val="00F51F10"/>
    <w:rsid w:val="00F529A5"/>
    <w:rsid w:val="00F60F00"/>
    <w:rsid w:val="00F614C0"/>
    <w:rsid w:val="00F662F5"/>
    <w:rsid w:val="00F71389"/>
    <w:rsid w:val="00F7447E"/>
    <w:rsid w:val="00F83848"/>
    <w:rsid w:val="00F931DD"/>
    <w:rsid w:val="00F975E9"/>
    <w:rsid w:val="00FA1B7D"/>
    <w:rsid w:val="00FC07B9"/>
    <w:rsid w:val="00FC2E4B"/>
    <w:rsid w:val="00FC4E21"/>
    <w:rsid w:val="00FC5F6D"/>
    <w:rsid w:val="00FD0107"/>
    <w:rsid w:val="00FD2C2F"/>
    <w:rsid w:val="00FD3B31"/>
    <w:rsid w:val="00FE1823"/>
    <w:rsid w:val="00FE487A"/>
    <w:rsid w:val="00FF0569"/>
    <w:rsid w:val="00FF206E"/>
    <w:rsid w:val="00FF3C69"/>
    <w:rsid w:val="00FF4FB1"/>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0458A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F7447E"/>
    <w:pPr>
      <w:spacing w:after="0"/>
      <w:ind w:left="720"/>
      <w:contextualSpacing/>
    </w:pPr>
  </w:style>
  <w:style w:type="paragraph" w:customStyle="1" w:styleId="ACMABodyText">
    <w:name w:val="ACMA Body Text"/>
    <w:rsid w:val="00F7447E"/>
    <w:pPr>
      <w:suppressAutoHyphens/>
      <w:spacing w:before="80" w:after="120" w:line="280" w:lineRule="atLeast"/>
    </w:pPr>
    <w:rPr>
      <w:snapToGrid w:val="0"/>
      <w:szCs w:val="20"/>
      <w:lang w:eastAsia="en-US"/>
    </w:rPr>
  </w:style>
  <w:style w:type="paragraph" w:styleId="Revision">
    <w:name w:val="Revision"/>
    <w:hidden/>
    <w:semiHidden/>
    <w:rsid w:val="00CA4F0C"/>
    <w:rPr>
      <w:rFonts w:ascii="Arial" w:hAnsi="Arial"/>
      <w:sz w:val="20"/>
    </w:rPr>
  </w:style>
  <w:style w:type="paragraph" w:styleId="Title">
    <w:name w:val="Title"/>
    <w:basedOn w:val="Normal"/>
    <w:next w:val="Normal"/>
    <w:link w:val="TitleChar"/>
    <w:rsid w:val="00385A7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385A7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7419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candinfo@acma.gov.au" TargetMode="External"/><Relationship Id="rId26" Type="http://schemas.openxmlformats.org/officeDocument/2006/relationships/footer" Target="footer5.xml"/><Relationship Id="rId39" Type="http://schemas.openxmlformats.org/officeDocument/2006/relationships/hyperlink" Target="mailto:info@acma.gov.au" TargetMode="Externa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hyperlink" Target="http://www.acma.gov.au/Industry/Spectrum/Radiocomms-licensing/Apparatus-licences/major-coast-receive-licences-guidelines" TargetMode="External"/><Relationship Id="rId42"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creativecommons.org/licenses/by/3.0/au/" TargetMode="External"/><Relationship Id="rId25" Type="http://schemas.openxmlformats.org/officeDocument/2006/relationships/footer" Target="footer4.xml"/><Relationship Id="rId33" Type="http://schemas.openxmlformats.org/officeDocument/2006/relationships/hyperlink" Target="http://www.acma.gov.au/theACMA/maritime-ship-licences-guidelines" TargetMode="External"/><Relationship Id="rId38" Type="http://schemas.openxmlformats.org/officeDocument/2006/relationships/hyperlink" Target="mailto:info@acma.gov.au" TargetMode="Externa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eader" Target="header4.xml"/><Relationship Id="rId29" Type="http://schemas.openxmlformats.org/officeDocument/2006/relationships/hyperlink" Target="http://www.acma.gov.au/Industry/Spectrum/Spectrum-planning/About-spectrum-planning/australian-radiofrequency-spectrum-plan-spectrum-planning-acma" TargetMode="Externa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6.xml"/><Relationship Id="rId32" Type="http://schemas.openxmlformats.org/officeDocument/2006/relationships/hyperlink" Target="http://www.acma.gov.au/theACMA/maritime-coast-licences-guidelines" TargetMode="External"/><Relationship Id="rId37" Type="http://schemas.openxmlformats.org/officeDocument/2006/relationships/hyperlink" Target="https://www.itu.int/TIES/" TargetMode="External"/><Relationship Id="rId40" Type="http://schemas.openxmlformats.org/officeDocument/2006/relationships/header" Target="header7.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hyperlink" Target="http://www.acma.gov.au/Industry/Spectrum/Spectrum-planning/Current-APs-info-and-resources/information-directory-index" TargetMode="External"/><Relationship Id="rId36" Type="http://schemas.openxmlformats.org/officeDocument/2006/relationships/hyperlink" Target="https://www.itu.int/ITU-R/terrestrial/eTerraQuery/eQry.aspx"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www.acma.gov.au/Industry/Spectrum/Radiocomms-licensing/Apparatus-licences/aircraft-licences-guidelines"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cma.gov.au/theACMA/hf-fixed-and-land-mobile-services-draft-frequency-assignment-practice"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acma.gov.au/theACMA/aeronautical-licences-guidelines" TargetMode="External"/><Relationship Id="rId35" Type="http://schemas.openxmlformats.org/officeDocument/2006/relationships/hyperlink" Target="http://www.acma.gov.au/theACMA/outpost-licences-guidelines" TargetMode="External"/><Relationship Id="rId43"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sws.bom.gov.au/HF_System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549132-96B4-4044-82F6-44441CF16F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CD5F5FD-CB39-48C7-B9E9-4B06E4930AF0}">
  <ds:schemaRefs>
    <ds:schemaRef ds:uri="http://schemas.microsoft.com/sharepoint/v3/contenttype/forms"/>
  </ds:schemaRefs>
</ds:datastoreItem>
</file>

<file path=customXml/itemProps3.xml><?xml version="1.0" encoding="utf-8"?>
<ds:datastoreItem xmlns:ds="http://schemas.openxmlformats.org/officeDocument/2006/customXml" ds:itemID="{8B29209F-81F6-4DB8-A889-A5169881686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230A2E6-E17E-4037-98F8-1291902108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2778</Words>
  <Characters>15839</Characters>
  <Application>Microsoft Office Word</Application>
  <DocSecurity>4</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18580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2019-11-07T07:17:00Z</dcterms:created>
  <dcterms:modified xsi:type="dcterms:W3CDTF">2019-11-07T07:17:00Z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