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69B060" w14:textId="3DEA6D43" w:rsidR="00F10F99" w:rsidRDefault="00F10F99" w:rsidP="00F10F99">
      <w:pPr>
        <w:pStyle w:val="ListParagraph"/>
        <w:spacing w:line="24" w:lineRule="atLeast"/>
        <w:ind w:left="1021"/>
        <w:rPr>
          <w:rFonts w:ascii="Arial" w:hAnsi="Arial" w:cs="Arial"/>
        </w:rPr>
      </w:pPr>
      <w:r>
        <w:rPr>
          <w:noProof/>
          <w:lang w:eastAsia="en-AU"/>
        </w:rPr>
        <w:drawing>
          <wp:anchor distT="0" distB="0" distL="114300" distR="114300" simplePos="0" relativeHeight="251658240" behindDoc="1" locked="0" layoutInCell="1" allowOverlap="1" wp14:anchorId="23502A0B" wp14:editId="0B119E16">
            <wp:simplePos x="0" y="0"/>
            <wp:positionH relativeFrom="column">
              <wp:posOffset>-338455</wp:posOffset>
            </wp:positionH>
            <wp:positionV relativeFrom="paragraph">
              <wp:posOffset>-237490</wp:posOffset>
            </wp:positionV>
            <wp:extent cx="6635115" cy="939800"/>
            <wp:effectExtent l="0" t="0" r="0" b="0"/>
            <wp:wrapSquare wrapText="bothSides"/>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35115" cy="939800"/>
                    </a:xfrm>
                    <a:prstGeom prst="rect">
                      <a:avLst/>
                    </a:prstGeom>
                    <a:noFill/>
                  </pic:spPr>
                </pic:pic>
              </a:graphicData>
            </a:graphic>
            <wp14:sizeRelH relativeFrom="margin">
              <wp14:pctWidth>0</wp14:pctWidth>
            </wp14:sizeRelH>
            <wp14:sizeRelV relativeFrom="margin">
              <wp14:pctHeight>0</wp14:pctHeight>
            </wp14:sizeRelV>
          </wp:anchor>
        </w:drawing>
      </w:r>
    </w:p>
    <w:p w14:paraId="52A03E8C" w14:textId="77777777" w:rsidR="00F10F99" w:rsidRPr="00F10F99" w:rsidRDefault="00F10F99" w:rsidP="00F10F99">
      <w:pPr>
        <w:spacing w:before="100" w:beforeAutospacing="1" w:after="100" w:afterAutospacing="1" w:line="24" w:lineRule="atLeast"/>
        <w:rPr>
          <w:rFonts w:ascii="Arial" w:eastAsia="Times New Roman" w:hAnsi="Arial" w:cs="Arial"/>
          <w:b/>
          <w:bCs/>
          <w:noProof/>
          <w:lang w:eastAsia="en-AU"/>
        </w:rPr>
      </w:pPr>
      <w:r w:rsidRPr="00F10F99">
        <w:rPr>
          <w:rFonts w:ascii="Arial" w:eastAsia="Times New Roman" w:hAnsi="Arial" w:cs="Arial"/>
          <w:b/>
          <w:bCs/>
          <w:lang w:eastAsia="en-AU"/>
        </w:rPr>
        <w:t xml:space="preserve">STATEMENT OF REASONS FOR THE DECISION </w:t>
      </w:r>
      <w:r w:rsidRPr="00F10F99">
        <w:rPr>
          <w:rFonts w:ascii="Arial" w:eastAsia="Times New Roman" w:hAnsi="Arial" w:cs="Arial"/>
          <w:b/>
          <w:bCs/>
          <w:iCs/>
          <w:lang w:eastAsia="en-AU"/>
        </w:rPr>
        <w:t xml:space="preserve">TO MAKE THE EXEMPTION ORDER STV/EO-00288 </w:t>
      </w:r>
      <w:r w:rsidRPr="00F10F99">
        <w:rPr>
          <w:rFonts w:ascii="Arial" w:eastAsia="Times New Roman" w:hAnsi="Arial" w:cs="Arial"/>
          <w:b/>
          <w:bCs/>
          <w:lang w:eastAsia="en-AU"/>
        </w:rPr>
        <w:t>FOR FETCHTV</w:t>
      </w:r>
      <w:r w:rsidRPr="00F10F99">
        <w:rPr>
          <w:rFonts w:ascii="Arial" w:eastAsia="Times New Roman" w:hAnsi="Arial" w:cs="Arial"/>
          <w:b/>
          <w:bCs/>
          <w:noProof/>
          <w:lang w:eastAsia="en-AU"/>
        </w:rPr>
        <w:t xml:space="preserve"> PTY LTD</w:t>
      </w:r>
      <w:r w:rsidRPr="00F10F99">
        <w:rPr>
          <w:rFonts w:ascii="Arial" w:eastAsia="Times New Roman" w:hAnsi="Arial" w:cs="Arial"/>
          <w:b/>
          <w:bCs/>
          <w:lang w:eastAsia="en-AU"/>
        </w:rPr>
        <w:t xml:space="preserve"> IN RESPECT OF THE SUBSCRIPTION TELEVISION SERVICE CHANNEL NEWS ASIA</w:t>
      </w:r>
    </w:p>
    <w:p w14:paraId="688C5B5F" w14:textId="77777777" w:rsidR="00F10F99" w:rsidRPr="00F10F99" w:rsidRDefault="00F10F99" w:rsidP="00F10F99">
      <w:pPr>
        <w:pStyle w:val="ListParagraph"/>
        <w:numPr>
          <w:ilvl w:val="0"/>
          <w:numId w:val="1"/>
        </w:numPr>
        <w:spacing w:line="24" w:lineRule="atLeast"/>
        <w:ind w:left="284"/>
        <w:rPr>
          <w:rFonts w:ascii="Arial" w:hAnsi="Arial" w:cs="Arial"/>
          <w:b/>
        </w:rPr>
      </w:pPr>
      <w:r w:rsidRPr="00F10F99">
        <w:rPr>
          <w:rFonts w:ascii="Arial" w:hAnsi="Arial" w:cs="Arial"/>
          <w:b/>
        </w:rPr>
        <w:t>DECISION</w:t>
      </w:r>
      <w:bookmarkStart w:id="0" w:name="_GoBack"/>
      <w:bookmarkEnd w:id="0"/>
    </w:p>
    <w:p w14:paraId="6B9A3588" w14:textId="77777777" w:rsidR="00F10F99" w:rsidRPr="00F10F99" w:rsidRDefault="00F10F99" w:rsidP="00F10F99">
      <w:pPr>
        <w:pStyle w:val="ListParagraph"/>
        <w:spacing w:line="24" w:lineRule="atLeast"/>
        <w:ind w:left="284"/>
        <w:rPr>
          <w:rFonts w:ascii="Arial" w:hAnsi="Arial" w:cs="Arial"/>
          <w:b/>
        </w:rPr>
      </w:pPr>
    </w:p>
    <w:p w14:paraId="1604A370"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On 19 May 2017, for the reasons set out below, the Australian Communications and Media Authority (ACMA) decided to make an exemption order, under subsection 130ZY(3) of the BSA, for FetchTV Pty Ltd (the Applicant; Fetch TV), in relation to the subscription television news service, Channel News Asia (the Service) (the Exemption Order). </w:t>
      </w:r>
    </w:p>
    <w:p w14:paraId="4AFEAB12" w14:textId="77777777" w:rsidR="00F10F99" w:rsidRPr="00F10F99" w:rsidRDefault="00F10F99" w:rsidP="00F10F99">
      <w:pPr>
        <w:pStyle w:val="ListParagraph"/>
        <w:spacing w:line="24" w:lineRule="atLeast"/>
        <w:ind w:left="1021"/>
        <w:rPr>
          <w:rFonts w:ascii="Arial" w:hAnsi="Arial" w:cs="Arial"/>
        </w:rPr>
      </w:pPr>
    </w:p>
    <w:p w14:paraId="26F5B1E6"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The Exemption Order exempts the Applicant from the requirement to ensure that a captioning service was provided for: </w:t>
      </w:r>
    </w:p>
    <w:p w14:paraId="3AB68EA9" w14:textId="77777777" w:rsidR="00F10F99" w:rsidRPr="00F10F99" w:rsidRDefault="00F10F99" w:rsidP="00F10F99">
      <w:pPr>
        <w:pStyle w:val="ListParagraph"/>
        <w:rPr>
          <w:rFonts w:ascii="Arial" w:hAnsi="Arial" w:cs="Arial"/>
        </w:rPr>
      </w:pPr>
    </w:p>
    <w:p w14:paraId="088BB586" w14:textId="77777777" w:rsidR="00F10F99" w:rsidRPr="00F10F99" w:rsidRDefault="00F10F99" w:rsidP="00F10F99">
      <w:pPr>
        <w:pStyle w:val="ListParagraph"/>
        <w:numPr>
          <w:ilvl w:val="0"/>
          <w:numId w:val="2"/>
        </w:numPr>
        <w:spacing w:line="24" w:lineRule="atLeast"/>
        <w:rPr>
          <w:rFonts w:ascii="Arial" w:hAnsi="Arial" w:cs="Arial"/>
        </w:rPr>
      </w:pPr>
      <w:r w:rsidRPr="00F10F99">
        <w:rPr>
          <w:rFonts w:ascii="Arial" w:hAnsi="Arial" w:cs="Arial"/>
        </w:rPr>
        <w:t>25 per cent of the total number of hours of television programs transmitted on the Service in the financial year 1 July 2016 to 30 June 2017; and</w:t>
      </w:r>
    </w:p>
    <w:p w14:paraId="72BF9E22" w14:textId="77777777" w:rsidR="00F10F99" w:rsidRDefault="00F10F99" w:rsidP="00F10F99">
      <w:pPr>
        <w:pStyle w:val="ListParagraph"/>
        <w:numPr>
          <w:ilvl w:val="0"/>
          <w:numId w:val="2"/>
        </w:numPr>
        <w:spacing w:line="24" w:lineRule="atLeast"/>
        <w:rPr>
          <w:rFonts w:ascii="Arial" w:hAnsi="Arial" w:cs="Arial"/>
        </w:rPr>
      </w:pPr>
      <w:r w:rsidRPr="00F10F99">
        <w:rPr>
          <w:rFonts w:ascii="Arial" w:hAnsi="Arial" w:cs="Arial"/>
        </w:rPr>
        <w:t>30 per cent of the total number of hours of television programs transmitted on the Service</w:t>
      </w:r>
      <w:r>
        <w:rPr>
          <w:rFonts w:ascii="Arial" w:hAnsi="Arial" w:cs="Arial"/>
        </w:rPr>
        <w:t xml:space="preserve"> in the financial year 1 July 2017 to 30 June 2018 (the Specified Eligible Period).</w:t>
      </w:r>
    </w:p>
    <w:p w14:paraId="3C2270FE" w14:textId="77777777" w:rsidR="00F10F99" w:rsidRDefault="00F10F99" w:rsidP="00F10F99">
      <w:pPr>
        <w:pStyle w:val="ListParagraph"/>
        <w:spacing w:line="24" w:lineRule="atLeast"/>
        <w:ind w:left="1021"/>
        <w:rPr>
          <w:rFonts w:ascii="Arial" w:hAnsi="Arial" w:cs="Arial"/>
        </w:rPr>
      </w:pPr>
    </w:p>
    <w:p w14:paraId="105596D2" w14:textId="77777777" w:rsidR="00F10F99" w:rsidRDefault="00F10F99" w:rsidP="00F10F99">
      <w:pPr>
        <w:pStyle w:val="ListParagraph"/>
        <w:numPr>
          <w:ilvl w:val="0"/>
          <w:numId w:val="1"/>
        </w:numPr>
        <w:spacing w:line="24" w:lineRule="atLeast"/>
        <w:ind w:left="284"/>
        <w:rPr>
          <w:rFonts w:ascii="Arial" w:hAnsi="Arial" w:cs="Arial"/>
          <w:b/>
        </w:rPr>
      </w:pPr>
      <w:r>
        <w:rPr>
          <w:rFonts w:ascii="Arial" w:hAnsi="Arial" w:cs="Arial"/>
          <w:b/>
        </w:rPr>
        <w:t>LEGISLATION</w:t>
      </w:r>
    </w:p>
    <w:p w14:paraId="3E87A1E6" w14:textId="77777777" w:rsidR="00F10F99" w:rsidRDefault="00F10F99" w:rsidP="00F10F99">
      <w:pPr>
        <w:pStyle w:val="ListParagraph"/>
        <w:spacing w:line="24" w:lineRule="atLeast"/>
        <w:ind w:left="1021"/>
        <w:rPr>
          <w:rFonts w:ascii="Arial" w:hAnsi="Arial" w:cs="Arial"/>
        </w:rPr>
      </w:pPr>
    </w:p>
    <w:p w14:paraId="745AC37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Subsection 130ZV(1) of the </w:t>
      </w:r>
      <w:r>
        <w:rPr>
          <w:rFonts w:ascii="Arial" w:hAnsi="Arial" w:cs="Arial"/>
          <w:i/>
        </w:rPr>
        <w:t>Broadcasting Services Act 1992</w:t>
      </w:r>
      <w:r>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59091D3E" w14:textId="77777777" w:rsidR="00F10F99" w:rsidRDefault="00F10F99" w:rsidP="00F10F99">
      <w:pPr>
        <w:pStyle w:val="ListParagraph"/>
        <w:spacing w:line="24" w:lineRule="atLeast"/>
        <w:ind w:left="1021"/>
        <w:rPr>
          <w:rFonts w:ascii="Arial" w:hAnsi="Arial" w:cs="Arial"/>
        </w:rPr>
      </w:pPr>
    </w:p>
    <w:p w14:paraId="4DB3C723"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04EB6DF9" w14:textId="77777777" w:rsidR="00F10F99" w:rsidRDefault="00F10F99" w:rsidP="00F10F99">
      <w:pPr>
        <w:pStyle w:val="ListParagraph"/>
        <w:spacing w:line="24" w:lineRule="atLeast"/>
        <w:rPr>
          <w:rFonts w:ascii="Arial" w:hAnsi="Arial" w:cs="Arial"/>
        </w:rPr>
      </w:pPr>
    </w:p>
    <w:p w14:paraId="56E69E48"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Paragraph 130ZY(1)(a) of the BSA provides that a subscription television licensee may apply to the ACMA for an order (an </w:t>
      </w:r>
      <w:r>
        <w:rPr>
          <w:rFonts w:ascii="Arial" w:hAnsi="Arial" w:cs="Arial"/>
          <w:i/>
        </w:rPr>
        <w:t>exemption order</w:t>
      </w:r>
      <w:r>
        <w:rPr>
          <w:rFonts w:ascii="Arial" w:hAnsi="Arial" w:cs="Arial"/>
        </w:rPr>
        <w:t>)</w:t>
      </w:r>
      <w:r>
        <w:rPr>
          <w:rFonts w:ascii="Arial" w:hAnsi="Arial" w:cs="Arial"/>
          <w:i/>
        </w:rPr>
        <w:t xml:space="preserve"> </w:t>
      </w:r>
      <w:r>
        <w:rPr>
          <w:rFonts w:ascii="Arial" w:hAnsi="Arial" w:cs="Arial"/>
        </w:rPr>
        <w:t>that exempts from subsection 130ZV(1) of the BSA, a specified subscription television service provided by that licensee in a specified eligible period.</w:t>
      </w:r>
    </w:p>
    <w:p w14:paraId="68530C2B" w14:textId="77777777" w:rsidR="00F10F99" w:rsidRDefault="00F10F99" w:rsidP="00F10F99">
      <w:pPr>
        <w:pStyle w:val="ListParagraph"/>
        <w:spacing w:line="24" w:lineRule="atLeast"/>
        <w:ind w:left="2160"/>
        <w:rPr>
          <w:rFonts w:ascii="Arial" w:hAnsi="Arial" w:cs="Arial"/>
        </w:rPr>
      </w:pPr>
    </w:p>
    <w:p w14:paraId="5506A98F"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7BA3A7EA" w14:textId="77777777" w:rsidR="00F10F99" w:rsidRDefault="00F10F99" w:rsidP="00F10F99">
      <w:pPr>
        <w:pStyle w:val="ListParagraph"/>
        <w:spacing w:line="24" w:lineRule="atLeast"/>
        <w:ind w:left="1021"/>
        <w:rPr>
          <w:rFonts w:ascii="Arial" w:hAnsi="Arial" w:cs="Arial"/>
        </w:rPr>
      </w:pPr>
    </w:p>
    <w:p w14:paraId="506DBB76"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1CBD76A9" w14:textId="77777777" w:rsidR="00F10F99" w:rsidRDefault="00F10F99" w:rsidP="00F10F99">
      <w:pPr>
        <w:pStyle w:val="ListParagraph"/>
        <w:spacing w:line="24" w:lineRule="atLeast"/>
        <w:rPr>
          <w:rFonts w:ascii="Arial" w:hAnsi="Arial" w:cs="Arial"/>
          <w:highlight w:val="yellow"/>
        </w:rPr>
      </w:pPr>
    </w:p>
    <w:p w14:paraId="2B7DEE3D"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Subsection 130ZY(5) of the BSA specifies the matters the ACMA must have regard to in determining whether a failure to make the exemption order would impose an unjustifiable hardship on the applicant. A copy of these matters is at </w:t>
      </w:r>
      <w:r>
        <w:rPr>
          <w:rFonts w:ascii="Arial" w:hAnsi="Arial" w:cs="Arial"/>
          <w:b/>
        </w:rPr>
        <w:t>Attachment A</w:t>
      </w:r>
      <w:r>
        <w:rPr>
          <w:rFonts w:ascii="Arial" w:hAnsi="Arial" w:cs="Arial"/>
        </w:rPr>
        <w:t xml:space="preserve">. </w:t>
      </w:r>
    </w:p>
    <w:p w14:paraId="19296085" w14:textId="77777777" w:rsidR="00F10F99" w:rsidRDefault="00F10F99" w:rsidP="00F10F99">
      <w:pPr>
        <w:pStyle w:val="ListParagraph"/>
        <w:spacing w:line="24" w:lineRule="atLeast"/>
        <w:rPr>
          <w:rFonts w:ascii="Arial" w:hAnsi="Arial" w:cs="Arial"/>
        </w:rPr>
      </w:pPr>
    </w:p>
    <w:p w14:paraId="6368974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Subsection 130ZY(6) of the BSA provides that, before making an exemption order under subsection 130ZY(3) of the BSA, the ACMA must:</w:t>
      </w:r>
    </w:p>
    <w:p w14:paraId="3E81154D" w14:textId="77777777" w:rsidR="00F10F99" w:rsidRDefault="00F10F99" w:rsidP="00F10F99">
      <w:pPr>
        <w:pStyle w:val="ListParagraph"/>
        <w:rPr>
          <w:rFonts w:ascii="Arial" w:hAnsi="Arial" w:cs="Arial"/>
        </w:rPr>
      </w:pPr>
    </w:p>
    <w:p w14:paraId="791B0AE1" w14:textId="77777777" w:rsidR="00F10F99" w:rsidRDefault="00F10F99" w:rsidP="00F10F99">
      <w:pPr>
        <w:pStyle w:val="ListParagraph"/>
        <w:numPr>
          <w:ilvl w:val="0"/>
          <w:numId w:val="3"/>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1D7D46C3" w14:textId="77777777" w:rsidR="00F10F99" w:rsidRDefault="00F10F99" w:rsidP="00F10F99">
      <w:pPr>
        <w:pStyle w:val="ListParagraph"/>
        <w:spacing w:line="24" w:lineRule="atLeast"/>
        <w:ind w:left="2520"/>
        <w:rPr>
          <w:rFonts w:ascii="Arial" w:hAnsi="Arial" w:cs="Arial"/>
        </w:rPr>
      </w:pPr>
    </w:p>
    <w:p w14:paraId="6A106567" w14:textId="77777777" w:rsidR="00F10F99" w:rsidRDefault="00F10F99" w:rsidP="00F10F99">
      <w:pPr>
        <w:pStyle w:val="ListParagraph"/>
        <w:numPr>
          <w:ilvl w:val="0"/>
          <w:numId w:val="4"/>
        </w:numPr>
        <w:spacing w:line="24" w:lineRule="atLeast"/>
        <w:rPr>
          <w:rFonts w:ascii="Arial" w:hAnsi="Arial" w:cs="Arial"/>
        </w:rPr>
      </w:pPr>
      <w:r>
        <w:rPr>
          <w:rFonts w:ascii="Arial" w:hAnsi="Arial" w:cs="Arial"/>
        </w:rPr>
        <w:t>setting out the draft exemption order; and</w:t>
      </w:r>
    </w:p>
    <w:p w14:paraId="120F13F6" w14:textId="77777777" w:rsidR="00F10F99" w:rsidRDefault="00F10F99" w:rsidP="00F10F99">
      <w:pPr>
        <w:pStyle w:val="ListParagraph"/>
        <w:spacing w:line="24" w:lineRule="atLeast"/>
        <w:ind w:left="2520"/>
        <w:rPr>
          <w:rFonts w:ascii="Arial" w:hAnsi="Arial" w:cs="Arial"/>
        </w:rPr>
      </w:pPr>
    </w:p>
    <w:p w14:paraId="677D7B4A" w14:textId="77777777" w:rsidR="00F10F99" w:rsidRDefault="00F10F99" w:rsidP="00F10F99">
      <w:pPr>
        <w:pStyle w:val="ListParagraph"/>
        <w:numPr>
          <w:ilvl w:val="0"/>
          <w:numId w:val="4"/>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53EFA531" w14:textId="77777777" w:rsidR="00F10F99" w:rsidRDefault="00F10F99" w:rsidP="00F10F99">
      <w:pPr>
        <w:pStyle w:val="ListParagraph"/>
        <w:spacing w:line="24" w:lineRule="atLeast"/>
        <w:ind w:left="1440"/>
        <w:rPr>
          <w:rFonts w:ascii="Arial" w:hAnsi="Arial" w:cs="Arial"/>
        </w:rPr>
      </w:pPr>
    </w:p>
    <w:p w14:paraId="2BA12471" w14:textId="77777777" w:rsidR="00F10F99" w:rsidRDefault="00F10F99" w:rsidP="00F10F99">
      <w:pPr>
        <w:pStyle w:val="ListParagraph"/>
        <w:numPr>
          <w:ilvl w:val="0"/>
          <w:numId w:val="3"/>
        </w:numPr>
        <w:spacing w:line="24" w:lineRule="atLeast"/>
        <w:rPr>
          <w:rFonts w:ascii="Arial" w:hAnsi="Arial" w:cs="Arial"/>
        </w:rPr>
      </w:pPr>
      <w:r>
        <w:rPr>
          <w:rFonts w:ascii="Arial" w:hAnsi="Arial" w:cs="Arial"/>
        </w:rPr>
        <w:t>consider any submissions received within the 30-day period mentioned in subparagraph 130ZY(6)(a)(ii) of the BSA.</w:t>
      </w:r>
    </w:p>
    <w:p w14:paraId="5FFFBC25" w14:textId="77777777" w:rsidR="00F10F99" w:rsidRDefault="00F10F99" w:rsidP="00F10F99">
      <w:pPr>
        <w:pStyle w:val="ListParagraph"/>
        <w:spacing w:line="24" w:lineRule="atLeast"/>
        <w:ind w:hanging="720"/>
        <w:rPr>
          <w:rFonts w:ascii="Arial" w:hAnsi="Arial" w:cs="Arial"/>
        </w:rPr>
      </w:pPr>
    </w:p>
    <w:p w14:paraId="70E1C103"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1FB68DAC" w14:textId="77777777" w:rsidR="00F10F99" w:rsidRDefault="00F10F99" w:rsidP="00F10F99">
      <w:pPr>
        <w:pStyle w:val="ListParagraph"/>
        <w:spacing w:line="24" w:lineRule="atLeast"/>
        <w:ind w:left="1021"/>
        <w:rPr>
          <w:rFonts w:ascii="Arial" w:hAnsi="Arial" w:cs="Arial"/>
        </w:rPr>
      </w:pPr>
    </w:p>
    <w:p w14:paraId="3965C372"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1007BC97" w14:textId="77777777" w:rsidR="00F10F99" w:rsidRDefault="00F10F99" w:rsidP="00F10F99">
      <w:pPr>
        <w:pStyle w:val="ListParagraph"/>
        <w:rPr>
          <w:rFonts w:ascii="Arial" w:hAnsi="Arial" w:cs="Arial"/>
        </w:rPr>
      </w:pPr>
    </w:p>
    <w:p w14:paraId="13DAADF9" w14:textId="77777777" w:rsidR="00F10F99" w:rsidRDefault="00F10F99" w:rsidP="00F10F99">
      <w:pPr>
        <w:pStyle w:val="ListParagraph"/>
        <w:numPr>
          <w:ilvl w:val="0"/>
          <w:numId w:val="5"/>
        </w:numPr>
        <w:spacing w:line="24" w:lineRule="atLeast"/>
        <w:rPr>
          <w:rFonts w:ascii="Arial" w:hAnsi="Arial" w:cs="Arial"/>
        </w:rPr>
      </w:pPr>
      <w:r>
        <w:rPr>
          <w:rFonts w:ascii="Arial" w:hAnsi="Arial" w:cs="Arial"/>
        </w:rPr>
        <w:t>a statement setting out the reasons for the decision; and</w:t>
      </w:r>
    </w:p>
    <w:p w14:paraId="4750D703" w14:textId="77777777" w:rsidR="00F10F99" w:rsidRDefault="00F10F99" w:rsidP="00F10F99">
      <w:pPr>
        <w:pStyle w:val="ListParagraph"/>
        <w:spacing w:line="24" w:lineRule="atLeast"/>
        <w:ind w:left="1440"/>
        <w:rPr>
          <w:rFonts w:ascii="Arial" w:hAnsi="Arial" w:cs="Arial"/>
        </w:rPr>
      </w:pPr>
    </w:p>
    <w:p w14:paraId="035578B8" w14:textId="77777777" w:rsidR="00F10F99" w:rsidRDefault="00F10F99" w:rsidP="00F10F99">
      <w:pPr>
        <w:pStyle w:val="ListParagraph"/>
        <w:numPr>
          <w:ilvl w:val="0"/>
          <w:numId w:val="5"/>
        </w:numPr>
        <w:spacing w:line="24" w:lineRule="atLeast"/>
        <w:rPr>
          <w:rFonts w:ascii="Arial" w:hAnsi="Arial" w:cs="Arial"/>
        </w:rPr>
      </w:pPr>
      <w:r>
        <w:rPr>
          <w:rFonts w:ascii="Arial" w:hAnsi="Arial" w:cs="Arial"/>
        </w:rPr>
        <w:t>a statement to the effect that an application may be made to the AAT for a review of the decision.</w:t>
      </w:r>
    </w:p>
    <w:p w14:paraId="0104CA2B" w14:textId="77777777" w:rsidR="00F10F99" w:rsidRPr="00F10F99" w:rsidRDefault="00F10F99" w:rsidP="00F10F99">
      <w:pPr>
        <w:pStyle w:val="ListParagraph"/>
        <w:spacing w:line="24" w:lineRule="atLeast"/>
        <w:ind w:hanging="720"/>
        <w:rPr>
          <w:rFonts w:ascii="Arial" w:hAnsi="Arial" w:cs="Arial"/>
        </w:rPr>
      </w:pPr>
    </w:p>
    <w:p w14:paraId="2FCC8440" w14:textId="77777777" w:rsidR="00F10F99" w:rsidRPr="00F10F99" w:rsidRDefault="00F10F99" w:rsidP="00F10F99">
      <w:pPr>
        <w:pStyle w:val="ListParagraph"/>
        <w:spacing w:line="24" w:lineRule="atLeast"/>
        <w:ind w:hanging="720"/>
        <w:rPr>
          <w:rFonts w:ascii="Arial" w:hAnsi="Arial" w:cs="Arial"/>
        </w:rPr>
      </w:pPr>
    </w:p>
    <w:p w14:paraId="53FA60AB" w14:textId="77777777" w:rsidR="00F10F99" w:rsidRPr="00F10F99" w:rsidRDefault="00F10F99" w:rsidP="00F10F99">
      <w:pPr>
        <w:pStyle w:val="ListParagraph"/>
        <w:numPr>
          <w:ilvl w:val="0"/>
          <w:numId w:val="1"/>
        </w:numPr>
        <w:spacing w:line="24" w:lineRule="atLeast"/>
        <w:ind w:left="284"/>
        <w:rPr>
          <w:rFonts w:ascii="Arial" w:hAnsi="Arial" w:cs="Arial"/>
          <w:b/>
        </w:rPr>
      </w:pPr>
      <w:r w:rsidRPr="00F10F99">
        <w:rPr>
          <w:rFonts w:ascii="Arial" w:hAnsi="Arial" w:cs="Arial"/>
          <w:b/>
        </w:rPr>
        <w:t>BACKGROUND</w:t>
      </w:r>
    </w:p>
    <w:p w14:paraId="475B6829" w14:textId="77777777" w:rsidR="00F10F99" w:rsidRPr="00F10F99" w:rsidRDefault="00F10F99" w:rsidP="00F10F99">
      <w:pPr>
        <w:pStyle w:val="ListParagraph"/>
        <w:spacing w:line="24" w:lineRule="atLeast"/>
        <w:rPr>
          <w:rFonts w:ascii="Arial" w:hAnsi="Arial" w:cs="Arial"/>
        </w:rPr>
      </w:pPr>
    </w:p>
    <w:p w14:paraId="18B7BB92"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On </w:t>
      </w:r>
      <w:r w:rsidRPr="00F10F99">
        <w:rPr>
          <w:rFonts w:ascii="Arial" w:hAnsi="Arial" w:cs="Arial"/>
          <w:noProof/>
        </w:rPr>
        <w:t>20 February 2016</w:t>
      </w:r>
      <w:r w:rsidRPr="00F10F99">
        <w:rPr>
          <w:rFonts w:ascii="Arial" w:hAnsi="Arial" w:cs="Arial"/>
        </w:rPr>
        <w:t xml:space="preserve">, the Applicant submitted an application seeking an </w:t>
      </w:r>
      <w:r w:rsidRPr="00F10F99">
        <w:rPr>
          <w:rFonts w:ascii="Arial" w:hAnsi="Arial" w:cs="Arial"/>
          <w:noProof/>
        </w:rPr>
        <w:t>exemption order</w:t>
      </w:r>
      <w:r w:rsidRPr="00F10F99">
        <w:rPr>
          <w:rFonts w:ascii="Arial" w:hAnsi="Arial" w:cs="Arial"/>
        </w:rPr>
        <w:t xml:space="preserve"> under paragraph 130ZY(1)(a) of the BSA in relation to the Service for the Specified Eligible Period (the Application).</w:t>
      </w:r>
    </w:p>
    <w:p w14:paraId="5BA39F3D" w14:textId="77777777" w:rsidR="00F10F99" w:rsidRPr="00F10F99" w:rsidRDefault="00F10F99" w:rsidP="00F10F99">
      <w:pPr>
        <w:pStyle w:val="ListParagraph"/>
        <w:spacing w:line="24" w:lineRule="atLeast"/>
        <w:ind w:left="1021"/>
        <w:rPr>
          <w:rFonts w:ascii="Arial" w:hAnsi="Arial" w:cs="Arial"/>
        </w:rPr>
      </w:pPr>
    </w:p>
    <w:p w14:paraId="2F20C0C7" w14:textId="77777777" w:rsid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The Applicant is a</w:t>
      </w:r>
      <w:r>
        <w:rPr>
          <w:rFonts w:ascii="Arial" w:hAnsi="Arial" w:cs="Arial"/>
        </w:rPr>
        <w:t xml:space="preserve"> subscription television licensee. The Applicant provides general entertainment, news, sport and music television services. The Applicant also provides access to apps to watch movies on demand.</w:t>
      </w:r>
    </w:p>
    <w:p w14:paraId="16904F10" w14:textId="77777777" w:rsidR="00F10F99" w:rsidRDefault="00F10F99" w:rsidP="00F10F99">
      <w:pPr>
        <w:pStyle w:val="ListParagraph"/>
        <w:spacing w:line="24" w:lineRule="atLeast"/>
        <w:ind w:left="1021"/>
        <w:rPr>
          <w:rFonts w:ascii="Arial" w:hAnsi="Arial" w:cs="Arial"/>
          <w:highlight w:val="yellow"/>
        </w:rPr>
      </w:pPr>
    </w:p>
    <w:p w14:paraId="3935D83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and FetchTV Content Pty Ltd are indirect wholly owned subsidiaries of Media Innovations Pte Ltd (MIPL). </w:t>
      </w:r>
    </w:p>
    <w:p w14:paraId="61B40FFD" w14:textId="77777777" w:rsidR="00F10F99" w:rsidRDefault="00F10F99" w:rsidP="00F10F99">
      <w:pPr>
        <w:pStyle w:val="ListParagraph"/>
        <w:rPr>
          <w:rFonts w:ascii="Arial" w:hAnsi="Arial" w:cs="Arial"/>
          <w:highlight w:val="yellow"/>
        </w:rPr>
      </w:pPr>
    </w:p>
    <w:p w14:paraId="53D65997" w14:textId="77777777" w:rsidR="00F10F99" w:rsidRP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is primarily a wholesaler of subscription television services and also has a small direct to retail distribution. The customers of the Applicant are Australian Internet Service Providers (ISPs) and direct customers. ISPs typically offer access to the </w:t>
      </w:r>
      <w:r w:rsidRPr="00F10F99">
        <w:rPr>
          <w:rFonts w:ascii="Arial" w:hAnsi="Arial" w:cs="Arial"/>
        </w:rPr>
        <w:t>Applicant’s services as part of a bundle of products, while direct customers can sign up for the Applicant’s services via the Applicant’s website or selected consumer electronic stores.</w:t>
      </w:r>
    </w:p>
    <w:p w14:paraId="6137D949" w14:textId="77777777" w:rsidR="00F10F99" w:rsidRPr="00F10F99" w:rsidRDefault="00F10F99" w:rsidP="00F10F99">
      <w:pPr>
        <w:pStyle w:val="ListParagraph"/>
        <w:spacing w:line="24" w:lineRule="atLeast"/>
        <w:rPr>
          <w:rFonts w:ascii="Arial" w:hAnsi="Arial" w:cs="Arial"/>
        </w:rPr>
      </w:pPr>
    </w:p>
    <w:p w14:paraId="3697A0C8"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The Service has been broadcast on Fetch TV since January 2014 and is an English language Asian TV news channel based in Singapore. As a subscription television news service, the annual captioning target for the Specified Eligible Period is 25% for the financial year 1 July 2016 to 30 June 2017 and 30% for the financial year 1 July 2017 to 30 June 2018. This represents the percentage of total number of hours of television programs transmitted</w:t>
      </w:r>
      <w:r>
        <w:rPr>
          <w:rFonts w:ascii="Arial" w:hAnsi="Arial" w:cs="Arial"/>
        </w:rPr>
        <w:t xml:space="preserve"> on the Service which must be </w:t>
      </w:r>
      <w:r w:rsidRPr="00F10F99">
        <w:rPr>
          <w:rFonts w:ascii="Arial" w:hAnsi="Arial" w:cs="Arial"/>
        </w:rPr>
        <w:t>captioned during the Specified Eligible Period.</w:t>
      </w:r>
    </w:p>
    <w:p w14:paraId="71FFFBA2" w14:textId="77777777" w:rsidR="00F10F99" w:rsidRPr="00F10F99" w:rsidRDefault="00F10F99" w:rsidP="00F10F99">
      <w:pPr>
        <w:pStyle w:val="ListParagraph"/>
        <w:rPr>
          <w:rFonts w:ascii="Arial" w:hAnsi="Arial" w:cs="Arial"/>
        </w:rPr>
      </w:pPr>
    </w:p>
    <w:p w14:paraId="04657409"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The key content of the Service is live news coverage. For existing subscribers, the Service is provided as part of the Fetch TV ’Entertainment’ package. The Applicant re-packaged its channel offerings at the end of February 2017. For new subscribers, the Service is available as part of the ‘Knowledge’ channel pack, which consists of 17 television services. </w:t>
      </w:r>
      <w:r w:rsidRPr="00F10F99">
        <w:rPr>
          <w:rFonts w:ascii="Arial" w:eastAsiaTheme="minorEastAsia" w:hAnsi="Arial" w:cs="Arial"/>
          <w:lang w:eastAsia="en-AU"/>
        </w:rPr>
        <w:t xml:space="preserve"> </w:t>
      </w:r>
      <w:r w:rsidRPr="00F10F99">
        <w:rPr>
          <w:rFonts w:ascii="Arial" w:hAnsi="Arial" w:cs="Arial"/>
        </w:rPr>
        <w:t xml:space="preserve">Subscribers are not able to subscribe solely to the Service. </w:t>
      </w:r>
    </w:p>
    <w:p w14:paraId="43212C40" w14:textId="77777777" w:rsidR="00F10F99" w:rsidRPr="00F10F99" w:rsidRDefault="00F10F99" w:rsidP="00F10F99">
      <w:pPr>
        <w:pStyle w:val="ListParagraph"/>
        <w:rPr>
          <w:rFonts w:ascii="Arial" w:hAnsi="Arial" w:cs="Arial"/>
        </w:rPr>
      </w:pPr>
    </w:p>
    <w:p w14:paraId="6AAB68D1"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Like every channel provided through Fetch TV, the Service is obtained under licence wholly from the channel provider which acquires and compiles the channel and then delivers it to the Applicant. The Applicant provides no input to the content of the Service. The channel provider of the Service is MCN International Pte Ltd (the Channel Provider). </w:t>
      </w:r>
    </w:p>
    <w:p w14:paraId="4CE10466" w14:textId="77777777" w:rsidR="00F10F99" w:rsidRPr="00F10F99" w:rsidRDefault="00F10F99" w:rsidP="00F10F99">
      <w:pPr>
        <w:pStyle w:val="ListParagraph"/>
        <w:spacing w:line="24" w:lineRule="atLeast"/>
        <w:rPr>
          <w:rFonts w:ascii="Arial" w:hAnsi="Arial" w:cs="Arial"/>
        </w:rPr>
      </w:pPr>
    </w:p>
    <w:p w14:paraId="6F729B29"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This is the second application by the Applicant for an exemption order under paragraph 130ZY(1)(a) of the BSA relating to the Service. The ACMA has already made an exemption order for the Service. The first exemption order for the Service (ST/EO-152) was made on 14 March 2014 and covered the financial years 1 July 2013 to 30 June 2014 and 1 July 2014 to 30 June 2015. </w:t>
      </w:r>
    </w:p>
    <w:p w14:paraId="1AB7797F" w14:textId="77777777" w:rsidR="00F10F99" w:rsidRPr="00F10F99" w:rsidRDefault="00F10F99" w:rsidP="00F10F99">
      <w:pPr>
        <w:pStyle w:val="ListParagraph"/>
        <w:rPr>
          <w:rFonts w:ascii="Arial" w:hAnsi="Arial" w:cs="Arial"/>
        </w:rPr>
      </w:pPr>
    </w:p>
    <w:p w14:paraId="0BBCAB85"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On 5 April 2017, the ACMA published on its website a notice setting out the draft exemption order for the Service and invited persons to make submissions to the ACMA by 5 May 2017.</w:t>
      </w:r>
    </w:p>
    <w:p w14:paraId="600CD180" w14:textId="77777777" w:rsidR="00F10F99" w:rsidRPr="00F10F99" w:rsidRDefault="00F10F99" w:rsidP="00F10F99">
      <w:pPr>
        <w:pStyle w:val="ListParagraph"/>
        <w:spacing w:line="24" w:lineRule="atLeast"/>
        <w:rPr>
          <w:rFonts w:ascii="Arial" w:hAnsi="Arial" w:cs="Arial"/>
        </w:rPr>
      </w:pPr>
    </w:p>
    <w:p w14:paraId="66CE0094" w14:textId="77777777" w:rsidR="00F10F99" w:rsidRPr="00F10F99" w:rsidRDefault="00F10F99" w:rsidP="00F10F99">
      <w:pPr>
        <w:pStyle w:val="ListParagraph"/>
        <w:numPr>
          <w:ilvl w:val="0"/>
          <w:numId w:val="1"/>
        </w:numPr>
        <w:spacing w:line="24" w:lineRule="atLeast"/>
        <w:ind w:left="283" w:hanging="357"/>
        <w:rPr>
          <w:rFonts w:ascii="Arial" w:hAnsi="Arial" w:cs="Arial"/>
          <w:b/>
        </w:rPr>
      </w:pPr>
      <w:r w:rsidRPr="00F10F99">
        <w:rPr>
          <w:rFonts w:ascii="Arial" w:hAnsi="Arial" w:cs="Arial"/>
          <w:b/>
        </w:rPr>
        <w:t>EVIDENCE AND REASONS FOR DECISION</w:t>
      </w:r>
    </w:p>
    <w:p w14:paraId="07F908E2" w14:textId="77777777" w:rsidR="00F10F99" w:rsidRDefault="00F10F99" w:rsidP="00F10F99">
      <w:pPr>
        <w:pStyle w:val="ListParagraph"/>
        <w:spacing w:line="24" w:lineRule="atLeast"/>
        <w:rPr>
          <w:rFonts w:ascii="Arial" w:hAnsi="Arial" w:cs="Arial"/>
        </w:rPr>
      </w:pPr>
    </w:p>
    <w:p w14:paraId="77D674C7"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In deciding to make the Exemption Order, the ACMA assessed firstly, whether a refusal and/or failure to make the Exemption Order would impose hardship on the Applicant and secondly, whether such hardship would be unjustifiable in light of the objects and purposes of the BSA. In making this assessment, the ACMA had regard to the matters specified in subsection 130ZY(5) of the BSA.</w:t>
      </w:r>
    </w:p>
    <w:p w14:paraId="794AFCB6" w14:textId="77777777" w:rsidR="00F10F99" w:rsidRDefault="00F10F99" w:rsidP="00F10F99">
      <w:pPr>
        <w:pStyle w:val="ListParagraph"/>
        <w:spacing w:line="24" w:lineRule="atLeast"/>
        <w:ind w:left="1021"/>
        <w:rPr>
          <w:rFonts w:ascii="Arial" w:hAnsi="Arial" w:cs="Arial"/>
        </w:rPr>
      </w:pPr>
    </w:p>
    <w:p w14:paraId="4CCDCD39"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has relied upon written representations and supporting evidence submitted by the Applicant in its application and in response to further enquiries. The ACMA has also relied upon written representations and supporting evidence submitted by the Applicant as part of the previous exemption order application for the Service, outlined in paragraph 3.8 above, as well as publicly available information. Information provided to the ACMA on a confidential basis by the Applicant has not been reproduced. </w:t>
      </w:r>
    </w:p>
    <w:p w14:paraId="0E46EE55" w14:textId="77777777" w:rsidR="00F10F99" w:rsidRDefault="00F10F99" w:rsidP="00F10F99">
      <w:pPr>
        <w:pStyle w:val="ListParagraph"/>
        <w:rPr>
          <w:rFonts w:ascii="Arial" w:hAnsi="Arial" w:cs="Arial"/>
        </w:rPr>
      </w:pPr>
    </w:p>
    <w:p w14:paraId="5231F890" w14:textId="4E59C98A"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Additionally, the ACMA has relied upon submissions received during the consultation period from Media Access Australia, Deaf Australia, the Australian Communications Consumer Action Network (ACCAN), and a number of individuals. A list of parties </w:t>
      </w:r>
      <w:r w:rsidRPr="00F10F99">
        <w:rPr>
          <w:rFonts w:ascii="Arial" w:hAnsi="Arial" w:cs="Arial"/>
        </w:rPr>
        <w:t xml:space="preserve">who made submissions can be found at </w:t>
      </w:r>
      <w:r w:rsidRPr="00F10F99">
        <w:rPr>
          <w:rFonts w:ascii="Arial" w:hAnsi="Arial" w:cs="Arial"/>
          <w:b/>
        </w:rPr>
        <w:t>Attachment B</w:t>
      </w:r>
      <w:r w:rsidRPr="00F10F99">
        <w:rPr>
          <w:rFonts w:ascii="Arial" w:hAnsi="Arial" w:cs="Arial"/>
        </w:rPr>
        <w:t>. These submissions are discussed in greater detail below in paragraphs 4.50 – 4.68</w:t>
      </w:r>
      <w:r w:rsidR="00CB44AC">
        <w:rPr>
          <w:rFonts w:ascii="Arial" w:hAnsi="Arial" w:cs="Arial"/>
        </w:rPr>
        <w:t>.</w:t>
      </w:r>
    </w:p>
    <w:p w14:paraId="6219834D" w14:textId="77777777" w:rsidR="00F10F99" w:rsidRDefault="00F10F99" w:rsidP="00F10F99">
      <w:pPr>
        <w:spacing w:line="24" w:lineRule="atLeast"/>
        <w:ind w:left="340"/>
        <w:rPr>
          <w:rFonts w:ascii="Arial" w:hAnsi="Arial" w:cs="Arial"/>
          <w:b/>
          <w:i/>
        </w:rPr>
      </w:pPr>
      <w:r>
        <w:rPr>
          <w:rFonts w:ascii="Arial" w:hAnsi="Arial" w:cs="Arial"/>
          <w:b/>
          <w:i/>
        </w:rPr>
        <w:lastRenderedPageBreak/>
        <w:t>Paragraph 130ZY(5)(a) of the BSA – the nature of the detriment likely to be suffered by the applicant</w:t>
      </w:r>
    </w:p>
    <w:p w14:paraId="07CF1CC2"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submitted that, if an exemption order is not made the Service will be removed from the Applicant’s channel offerings. This will diminish the value and appeal of the Applicant’s services as subscribers will be deprived of access to the Service and this may affect the Applicant financially.</w:t>
      </w:r>
    </w:p>
    <w:p w14:paraId="2F8EF4A7" w14:textId="77777777" w:rsidR="00F10F99" w:rsidRDefault="00F10F99" w:rsidP="00F10F99">
      <w:pPr>
        <w:pStyle w:val="ListParagraph"/>
        <w:spacing w:line="24" w:lineRule="atLeast"/>
        <w:ind w:left="1021"/>
        <w:rPr>
          <w:rFonts w:ascii="Arial" w:hAnsi="Arial" w:cs="Arial"/>
        </w:rPr>
      </w:pPr>
    </w:p>
    <w:p w14:paraId="1A4C6AA9"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In addition, the Applicant has submitted that a failure to make an exemption order will be detrimental to the Channel Provider. While the Applicant acknowledged that the Service is available online via the Channel News Asia website where captioning is not required, the Applicant submitted that the Channel Provider will lose a credible and high quality platform for the distribution for their channel.</w:t>
      </w:r>
    </w:p>
    <w:p w14:paraId="00A48D85" w14:textId="77777777" w:rsidR="00F10F99" w:rsidRDefault="00F10F99" w:rsidP="00F10F99">
      <w:pPr>
        <w:pStyle w:val="ListParagraph"/>
        <w:rPr>
          <w:rFonts w:ascii="Arial" w:hAnsi="Arial" w:cs="Arial"/>
        </w:rPr>
      </w:pPr>
    </w:p>
    <w:p w14:paraId="43D5DCAA"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has submitted that if an exemption order is not made for the Service, the Applicant will need to remove the Service because: </w:t>
      </w:r>
    </w:p>
    <w:p w14:paraId="7E7F4C2F"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the Service does not contain captioning;</w:t>
      </w:r>
    </w:p>
    <w:p w14:paraId="749A97FD"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 xml:space="preserve">the Applicant is not in a financial position to caption the Service; and </w:t>
      </w:r>
    </w:p>
    <w:p w14:paraId="69C5BAEC"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the Channel Provider will not caption the Service because captioning is not required in Singapore where the Service is produced and it is not commercially viable for the Channel Provider to live caption the channel for Australian distribution only.</w:t>
      </w:r>
    </w:p>
    <w:p w14:paraId="61A0CCDE" w14:textId="77777777" w:rsidR="00F10F99" w:rsidRDefault="00F10F99" w:rsidP="00F10F99">
      <w:pPr>
        <w:pStyle w:val="ListParagraph"/>
        <w:spacing w:line="24" w:lineRule="atLeast"/>
        <w:ind w:left="1021"/>
        <w:rPr>
          <w:rFonts w:ascii="Arial" w:hAnsi="Arial" w:cs="Arial"/>
        </w:rPr>
      </w:pPr>
    </w:p>
    <w:p w14:paraId="70E05862"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In considering whether a failure to make the Exemption Order would impose unjustifiable hardship on the Applicant, the ACMA considered that the nature of the detriment likely to be suffered by the Applicant is the removal of the Service.</w:t>
      </w:r>
    </w:p>
    <w:p w14:paraId="69AB8B7B" w14:textId="77777777" w:rsidR="00F10F99" w:rsidRDefault="00F10F99" w:rsidP="00F10F99">
      <w:pPr>
        <w:pStyle w:val="ListParagraph"/>
        <w:spacing w:line="24" w:lineRule="atLeast"/>
        <w:ind w:left="1021"/>
        <w:rPr>
          <w:rFonts w:ascii="Arial" w:hAnsi="Arial" w:cs="Arial"/>
        </w:rPr>
      </w:pPr>
    </w:p>
    <w:p w14:paraId="7512CC77"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also considered that there may be associated consequences such as loss of revenue for the Channel Provider and the Applicant which would directly result from a failure to make the Exemption Order, and the removal of the Service. </w:t>
      </w:r>
      <w:r>
        <w:rPr>
          <w:rFonts w:ascii="Arial" w:hAnsi="Arial" w:cs="Arial"/>
        </w:rPr>
        <w:br/>
      </w:r>
    </w:p>
    <w:p w14:paraId="6D3AE8D0"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Based on the information provided, the ACMA is satisfied that that a refusal and/or failure to make the Exemption Order would impose an unjustifiable hardship on the Applicant, given that it would be likely to result in the removal of the Service, due to the financial situation of the Applicant and its difficulty in being able to incur the costs of providing captioning services at this point in time. </w:t>
      </w:r>
    </w:p>
    <w:p w14:paraId="08026FDF" w14:textId="77777777" w:rsidR="00F10F99" w:rsidRDefault="00F10F99" w:rsidP="00F10F99">
      <w:pPr>
        <w:spacing w:line="24" w:lineRule="atLeast"/>
        <w:rPr>
          <w:rFonts w:ascii="Arial" w:hAnsi="Arial" w:cs="Arial"/>
          <w:b/>
          <w:i/>
        </w:rPr>
      </w:pPr>
      <w:r>
        <w:rPr>
          <w:rFonts w:ascii="Arial" w:hAnsi="Arial" w:cs="Arial"/>
          <w:b/>
          <w:i/>
        </w:rPr>
        <w:t>Paragraph 130ZY(5)(b) of the BSA – the impact of making the exemption order on deaf or hearing impaired viewers, or potential viewers, of the subscription television service concerned;</w:t>
      </w:r>
    </w:p>
    <w:p w14:paraId="608A7EAC"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has submitted that the Service has a small audience and therefore the overall number of deaf or hearing impaired viewers or potential viewers is likely to be small.</w:t>
      </w:r>
    </w:p>
    <w:p w14:paraId="3C2A8352" w14:textId="77777777" w:rsidR="00F10F99" w:rsidRDefault="00F10F99" w:rsidP="00F10F99">
      <w:pPr>
        <w:pStyle w:val="ListParagraph"/>
        <w:spacing w:line="24" w:lineRule="atLeast"/>
        <w:ind w:left="1021"/>
        <w:rPr>
          <w:rFonts w:ascii="Arial" w:hAnsi="Arial" w:cs="Arial"/>
        </w:rPr>
      </w:pPr>
    </w:p>
    <w:p w14:paraId="45FCBDC6"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has advised that if there is a growth in subscriber numbers in Australia, the Channel Provider may be incentivised to commit funds to the provision of captioning to remain in the market.</w:t>
      </w:r>
    </w:p>
    <w:p w14:paraId="0C093EBB" w14:textId="77777777" w:rsidR="00F10F99" w:rsidRDefault="00F10F99" w:rsidP="00F10F99">
      <w:pPr>
        <w:pStyle w:val="ListParagraph"/>
        <w:spacing w:line="24" w:lineRule="atLeast"/>
        <w:ind w:left="1021"/>
        <w:rPr>
          <w:rFonts w:ascii="Arial" w:hAnsi="Arial" w:cs="Arial"/>
        </w:rPr>
      </w:pPr>
    </w:p>
    <w:p w14:paraId="59B851B1"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considers that making the Exemption Order will be detrimental for viewers, or potential viewers who are deaf or hearing impaired. This is because the provision of captioning services allows viewers who are deaf and hearing impaired to access television services and in this case, a television news service.</w:t>
      </w:r>
    </w:p>
    <w:p w14:paraId="0F22D144" w14:textId="77777777" w:rsidR="00F10F99" w:rsidRDefault="00F10F99" w:rsidP="00F10F99">
      <w:pPr>
        <w:pStyle w:val="ListParagraph"/>
        <w:spacing w:line="24" w:lineRule="atLeast"/>
        <w:ind w:left="1021"/>
        <w:rPr>
          <w:rFonts w:ascii="Arial" w:hAnsi="Arial" w:cs="Arial"/>
        </w:rPr>
      </w:pPr>
    </w:p>
    <w:p w14:paraId="45C2C8A3"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lastRenderedPageBreak/>
        <w:t>The ACMA accepts the evidence provided by the Applicant that the number of subscribers who have access to the Service and watch the Service is small; however, the ACMA also recognises that the number of subscribers to the Service who watch the Service may increase if captions were provided.</w:t>
      </w:r>
    </w:p>
    <w:p w14:paraId="5C97F220" w14:textId="77777777" w:rsidR="00F10F99" w:rsidRDefault="00F10F99" w:rsidP="00F10F99">
      <w:pPr>
        <w:pStyle w:val="ListParagraph"/>
        <w:rPr>
          <w:rFonts w:ascii="Arial" w:hAnsi="Arial" w:cs="Arial"/>
        </w:rPr>
      </w:pPr>
    </w:p>
    <w:p w14:paraId="4C30987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is not satisfied, therefore, that making the Exemption Order would not have a detrimental impact on deaf or hearing impaired viewers, or potential viewers, of FetchTV, including the Service. </w:t>
      </w:r>
    </w:p>
    <w:p w14:paraId="7F558A61" w14:textId="77777777" w:rsidR="00F10F99" w:rsidRDefault="00F10F99" w:rsidP="00F10F99">
      <w:pPr>
        <w:spacing w:line="24" w:lineRule="atLeast"/>
        <w:rPr>
          <w:rFonts w:ascii="Arial" w:hAnsi="Arial" w:cs="Arial"/>
          <w:b/>
          <w:i/>
        </w:rPr>
      </w:pPr>
      <w:r>
        <w:rPr>
          <w:rFonts w:ascii="Arial" w:hAnsi="Arial" w:cs="Arial"/>
          <w:b/>
          <w:i/>
        </w:rPr>
        <w:t>Paragraph 130ZY(5)(c) of the BSA – the number of people who subscribe to the subscription television service concerned;</w:t>
      </w:r>
    </w:p>
    <w:p w14:paraId="0FAAAF31"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provided a breakdown of the: </w:t>
      </w:r>
    </w:p>
    <w:p w14:paraId="220F9955"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 xml:space="preserve">total number of subscribers to Fetch TV; </w:t>
      </w:r>
    </w:p>
    <w:p w14:paraId="4B7A2400"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 xml:space="preserve">the number of subscribers who would be able to access the Service because they are subscribers to the Entertainment package; and </w:t>
      </w:r>
    </w:p>
    <w:p w14:paraId="27C3F0D7"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 xml:space="preserve">the number of subscribers who were actually viewing channels within the Entertainment package during November 2016 – January 2017. </w:t>
      </w:r>
    </w:p>
    <w:p w14:paraId="22FB1D9B" w14:textId="77777777" w:rsidR="00F10F99" w:rsidRDefault="00F10F99" w:rsidP="00F10F99">
      <w:pPr>
        <w:pStyle w:val="ListParagraph"/>
        <w:spacing w:after="0" w:line="24" w:lineRule="atLeast"/>
        <w:ind w:left="1021"/>
        <w:rPr>
          <w:rFonts w:ascii="Arial" w:hAnsi="Arial" w:cs="Arial"/>
          <w:highlight w:val="yellow"/>
        </w:rPr>
      </w:pPr>
    </w:p>
    <w:p w14:paraId="16AB9150"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also provided internal analysis using data received from each set-top box to determine the number of viewers who accessed the Service.</w:t>
      </w:r>
    </w:p>
    <w:p w14:paraId="4EF260E9" w14:textId="77777777" w:rsidR="00F10F99" w:rsidRDefault="00F10F99" w:rsidP="00F10F99">
      <w:pPr>
        <w:pStyle w:val="ListParagraph"/>
        <w:spacing w:line="24" w:lineRule="atLeast"/>
        <w:ind w:left="1021"/>
        <w:rPr>
          <w:rFonts w:ascii="Arial" w:hAnsi="Arial" w:cs="Arial"/>
        </w:rPr>
      </w:pPr>
    </w:p>
    <w:p w14:paraId="437CA2FC"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 </w:t>
      </w:r>
    </w:p>
    <w:p w14:paraId="1F857D4F" w14:textId="77777777" w:rsidR="00F10F99" w:rsidRDefault="00F10F99" w:rsidP="00F10F99">
      <w:pPr>
        <w:pStyle w:val="ListParagraph"/>
        <w:rPr>
          <w:rFonts w:ascii="Arial" w:hAnsi="Arial" w:cs="Arial"/>
        </w:rPr>
      </w:pPr>
    </w:p>
    <w:p w14:paraId="5F24F86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As the Service is offered to subscribers as part of a package, the ACMA acknowledges that the information provided by the Applicant helped to distinguish the number of subscribers who have access to the Service, and those that actually watch the Service.</w:t>
      </w:r>
    </w:p>
    <w:p w14:paraId="285B0DF8" w14:textId="77777777" w:rsidR="00F10F99" w:rsidRDefault="00F10F99" w:rsidP="00F10F99">
      <w:pPr>
        <w:pStyle w:val="ListParagraph"/>
        <w:spacing w:line="24" w:lineRule="atLeast"/>
        <w:ind w:left="1021"/>
        <w:rPr>
          <w:rFonts w:ascii="Arial" w:hAnsi="Arial" w:cs="Arial"/>
        </w:rPr>
      </w:pPr>
    </w:p>
    <w:p w14:paraId="4833A88D"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00D611AD" w14:textId="77777777" w:rsidR="00F10F99" w:rsidRDefault="00F10F99" w:rsidP="00F10F99">
      <w:pPr>
        <w:spacing w:line="24" w:lineRule="atLeast"/>
        <w:rPr>
          <w:rFonts w:ascii="Arial" w:hAnsi="Arial" w:cs="Arial"/>
          <w:b/>
          <w:i/>
        </w:rPr>
      </w:pPr>
      <w:r>
        <w:rPr>
          <w:rFonts w:ascii="Arial" w:hAnsi="Arial" w:cs="Arial"/>
          <w:b/>
          <w:i/>
        </w:rPr>
        <w:t>Paragraph 130ZY(5)(d) of the BSA – the financial circumstances of the applicant</w:t>
      </w:r>
    </w:p>
    <w:p w14:paraId="2F70D54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has submitted information about its financial circumstances and the financial circumstances of MIPL and its subsidiary companies on a commercial-in-confidence basis.</w:t>
      </w:r>
    </w:p>
    <w:p w14:paraId="16B26D1F" w14:textId="77777777" w:rsidR="00F10F99" w:rsidRDefault="00F10F99" w:rsidP="00F10F99">
      <w:pPr>
        <w:pStyle w:val="ListParagraph"/>
        <w:spacing w:line="24" w:lineRule="atLeast"/>
        <w:ind w:left="1021"/>
        <w:rPr>
          <w:rFonts w:ascii="Arial" w:hAnsi="Arial" w:cs="Arial"/>
        </w:rPr>
      </w:pPr>
    </w:p>
    <w:p w14:paraId="5610EDF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was established in 2009 and has been available commercially since June 2010. </w:t>
      </w:r>
    </w:p>
    <w:p w14:paraId="628587DC" w14:textId="77777777" w:rsidR="00F10F99" w:rsidRDefault="00F10F99" w:rsidP="00F10F99">
      <w:pPr>
        <w:pStyle w:val="ListParagraph"/>
        <w:spacing w:line="24" w:lineRule="atLeast"/>
        <w:ind w:left="1021"/>
        <w:rPr>
          <w:rFonts w:ascii="Arial" w:hAnsi="Arial" w:cs="Arial"/>
        </w:rPr>
      </w:pPr>
    </w:p>
    <w:p w14:paraId="37B9FFC1"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notes the Applicant’s submission that the Applicant’s business proposition is to provide an extremely low cost but full service subscription TV offering and therefore the content must be largely available to the Applicant at a low price point. Retail customers pay $399 (Mighty) or $149 (Mini) for the Fetch TV box and pay a $1 one-off activation fee. Premium channel packs, such as the one on which the Service can be accessed, are added at $6 each per month or $20 per month for all four packs. The ACMA does not consider that the </w:t>
      </w:r>
      <w:r>
        <w:rPr>
          <w:rFonts w:ascii="Arial" w:hAnsi="Arial" w:cs="Arial"/>
        </w:rPr>
        <w:lastRenderedPageBreak/>
        <w:t>Applicant’s business model should exempt the Applicant from having to meet captioning targets.</w:t>
      </w:r>
    </w:p>
    <w:p w14:paraId="75955A1D" w14:textId="77777777" w:rsidR="00F10F99" w:rsidRDefault="00F10F99" w:rsidP="00F10F99">
      <w:pPr>
        <w:pStyle w:val="ListParagraph"/>
        <w:rPr>
          <w:rFonts w:ascii="Arial" w:hAnsi="Arial" w:cs="Arial"/>
        </w:rPr>
      </w:pPr>
    </w:p>
    <w:p w14:paraId="7DAF03EA"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examined the financial information provided by the Applicant on a commercial-in-confidence basis and is satisfied that a failure to make the Exemption Order would: </w:t>
      </w:r>
    </w:p>
    <w:p w14:paraId="3E36321A" w14:textId="77777777" w:rsidR="00F10F99" w:rsidRDefault="00F10F99" w:rsidP="00F10F99">
      <w:pPr>
        <w:pStyle w:val="ListParagraph"/>
        <w:spacing w:line="24" w:lineRule="atLeast"/>
        <w:ind w:left="1021"/>
        <w:rPr>
          <w:rFonts w:ascii="Arial" w:hAnsi="Arial" w:cs="Arial"/>
        </w:rPr>
      </w:pPr>
    </w:p>
    <w:p w14:paraId="402CE04B"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 xml:space="preserve">impose financial costs on the Applicant, as the Applicant would be required to caption the Service, which would include captioning infrastructure establishment costs; or </w:t>
      </w:r>
    </w:p>
    <w:p w14:paraId="14A576B7"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cause the Applicant to remove the Service.</w:t>
      </w:r>
      <w:r>
        <w:rPr>
          <w:rFonts w:ascii="Arial" w:hAnsi="Arial" w:cs="Arial"/>
        </w:rPr>
        <w:br/>
      </w:r>
    </w:p>
    <w:p w14:paraId="2AC7F950"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In order to provide captioning on the Service, the Applicant would need to pay for the set up costs for a third party captioning provider, as well as the cost to live caption the Service to meet the annual captioning target. </w:t>
      </w:r>
    </w:p>
    <w:p w14:paraId="54B439B1" w14:textId="77777777" w:rsidR="00F10F99" w:rsidRDefault="00F10F99" w:rsidP="00F10F99">
      <w:pPr>
        <w:pStyle w:val="ListParagraph"/>
        <w:spacing w:line="24" w:lineRule="atLeast"/>
        <w:ind w:left="1021"/>
        <w:rPr>
          <w:rFonts w:ascii="Arial" w:hAnsi="Arial" w:cs="Arial"/>
        </w:rPr>
      </w:pPr>
    </w:p>
    <w:p w14:paraId="21162E05"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Based on the 21 applications for exemption and target reduction orders made by the Applicant for the Specified Eligible Period, the ACMA considers that the costs involved in providing live captioning for television services that are not captioned by the channel providers is likely to exceed $22 million in order to meet the annual captioning targets in the 2016–17 financial year.</w:t>
      </w:r>
    </w:p>
    <w:p w14:paraId="6AF02CD0" w14:textId="77777777" w:rsidR="00F10F99" w:rsidRDefault="00F10F99" w:rsidP="00F10F99">
      <w:pPr>
        <w:pStyle w:val="ListParagraph"/>
        <w:rPr>
          <w:rFonts w:ascii="Arial" w:hAnsi="Arial" w:cs="Arial"/>
        </w:rPr>
      </w:pPr>
    </w:p>
    <w:p w14:paraId="1AF40DD8"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Based on the information provided, the ACMA considers that the current financial circumstances of the Applicant would make it difficult for the Applicant to incur the costs involved in providing captioning services in accordance with the legislation and therefore not making the Exemption Order would impose unjustifiable hardship on the Applicant.</w:t>
      </w:r>
    </w:p>
    <w:p w14:paraId="1FC3C8B3" w14:textId="77777777" w:rsidR="00F10F99" w:rsidRDefault="00F10F99" w:rsidP="00F10F99">
      <w:pPr>
        <w:spacing w:line="24" w:lineRule="atLeast"/>
        <w:rPr>
          <w:rFonts w:ascii="Arial" w:hAnsi="Arial" w:cs="Arial"/>
          <w:b/>
          <w:i/>
        </w:rPr>
      </w:pPr>
      <w:r>
        <w:rPr>
          <w:rFonts w:ascii="Arial" w:hAnsi="Arial" w:cs="Arial"/>
          <w:b/>
          <w:i/>
        </w:rPr>
        <w:t xml:space="preserve">Paragraph 130ZY(5)(e) of the BSA – the estimated amount of expenditure that the applicant would be required to make if there was a failure to make the exemption order </w:t>
      </w:r>
      <w:r>
        <w:rPr>
          <w:rFonts w:ascii="Arial" w:hAnsi="Arial" w:cs="Arial"/>
        </w:rPr>
        <w:t xml:space="preserve"> </w:t>
      </w:r>
    </w:p>
    <w:p w14:paraId="34F73B77"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Channel Provider has advised that none of the content contained in the Service is captioned in English or any other language outside of Australia. </w:t>
      </w:r>
    </w:p>
    <w:p w14:paraId="0BB1262A" w14:textId="77777777" w:rsidR="00F10F99" w:rsidRDefault="00F10F99" w:rsidP="00F10F99">
      <w:pPr>
        <w:pStyle w:val="ListParagraph"/>
        <w:spacing w:line="24" w:lineRule="atLeast"/>
        <w:ind w:left="1021"/>
        <w:rPr>
          <w:rFonts w:ascii="Arial" w:hAnsi="Arial" w:cs="Arial"/>
        </w:rPr>
      </w:pPr>
    </w:p>
    <w:p w14:paraId="2611DC3F"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Channel Provider also advised that it would not be commercially viable for it to caption the channel for the Australian distribution only and provided supporting evidence. </w:t>
      </w:r>
    </w:p>
    <w:p w14:paraId="163B1F33" w14:textId="77777777" w:rsidR="00F10F99" w:rsidRDefault="00F10F99" w:rsidP="00F10F99">
      <w:pPr>
        <w:pStyle w:val="ListParagraph"/>
        <w:rPr>
          <w:rFonts w:ascii="Arial" w:hAnsi="Arial" w:cs="Arial"/>
          <w:highlight w:val="yellow"/>
        </w:rPr>
      </w:pPr>
    </w:p>
    <w:p w14:paraId="7528B7D9" w14:textId="77777777" w:rsidR="00F10F99" w:rsidRP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w:t>
      </w:r>
      <w:r w:rsidRPr="00F10F99">
        <w:rPr>
          <w:rFonts w:ascii="Arial" w:hAnsi="Arial" w:cs="Arial"/>
        </w:rPr>
        <w:t>provided a third party quote of the costs to caption the Service:</w:t>
      </w:r>
    </w:p>
    <w:p w14:paraId="3621F53F" w14:textId="77777777" w:rsidR="00F10F99" w:rsidRPr="00F10F99" w:rsidRDefault="00F10F99" w:rsidP="00F10F99">
      <w:pPr>
        <w:pStyle w:val="ListParagraph"/>
        <w:numPr>
          <w:ilvl w:val="0"/>
          <w:numId w:val="2"/>
        </w:numPr>
        <w:spacing w:line="24" w:lineRule="atLeast"/>
        <w:ind w:left="1741"/>
        <w:rPr>
          <w:rFonts w:ascii="Arial" w:hAnsi="Arial" w:cs="Arial"/>
        </w:rPr>
      </w:pPr>
      <w:r w:rsidRPr="00F10F99">
        <w:rPr>
          <w:rFonts w:ascii="Arial" w:hAnsi="Arial" w:cs="Arial"/>
        </w:rPr>
        <w:t>$120,000 non-recurring costs;</w:t>
      </w:r>
    </w:p>
    <w:p w14:paraId="4FCA3DA3" w14:textId="77777777" w:rsidR="00F10F99" w:rsidRPr="00F10F99" w:rsidRDefault="00F10F99" w:rsidP="00F10F99">
      <w:pPr>
        <w:pStyle w:val="ListParagraph"/>
        <w:numPr>
          <w:ilvl w:val="0"/>
          <w:numId w:val="2"/>
        </w:numPr>
        <w:spacing w:line="24" w:lineRule="atLeast"/>
        <w:ind w:left="1741"/>
        <w:rPr>
          <w:rFonts w:ascii="Arial" w:hAnsi="Arial" w:cs="Arial"/>
        </w:rPr>
      </w:pPr>
      <w:r w:rsidRPr="00F10F99">
        <w:rPr>
          <w:rFonts w:ascii="Arial" w:hAnsi="Arial" w:cs="Arial"/>
        </w:rPr>
        <w:t>$59,000 recurring annual costs from the first year; and</w:t>
      </w:r>
    </w:p>
    <w:p w14:paraId="1CAB888F" w14:textId="77777777" w:rsidR="00F10F99" w:rsidRPr="00F10F99" w:rsidRDefault="00F10F99" w:rsidP="00F10F99">
      <w:pPr>
        <w:pStyle w:val="ListParagraph"/>
        <w:numPr>
          <w:ilvl w:val="0"/>
          <w:numId w:val="2"/>
        </w:numPr>
        <w:spacing w:line="24" w:lineRule="atLeast"/>
        <w:ind w:left="1741"/>
        <w:rPr>
          <w:rFonts w:ascii="Arial" w:hAnsi="Arial" w:cs="Arial"/>
        </w:rPr>
      </w:pPr>
      <w:r w:rsidRPr="00F10F99">
        <w:rPr>
          <w:rFonts w:ascii="Arial" w:hAnsi="Arial" w:cs="Arial"/>
        </w:rPr>
        <w:t>$668,200 to live caption each year.</w:t>
      </w:r>
    </w:p>
    <w:p w14:paraId="7BA29077" w14:textId="77777777" w:rsidR="00F10F99" w:rsidRPr="00F10F99" w:rsidRDefault="00F10F99" w:rsidP="00F10F99">
      <w:pPr>
        <w:pStyle w:val="ListParagraph"/>
        <w:spacing w:line="24" w:lineRule="atLeast"/>
        <w:ind w:left="1021"/>
        <w:rPr>
          <w:rFonts w:ascii="Arial" w:hAnsi="Arial" w:cs="Arial"/>
        </w:rPr>
      </w:pPr>
    </w:p>
    <w:p w14:paraId="268D201D" w14:textId="77777777" w:rsidR="00F10F99" w:rsidRDefault="00F10F99" w:rsidP="00F10F99">
      <w:pPr>
        <w:pStyle w:val="ListParagraph"/>
        <w:numPr>
          <w:ilvl w:val="1"/>
          <w:numId w:val="1"/>
        </w:numPr>
        <w:rPr>
          <w:rFonts w:ascii="Arial" w:hAnsi="Arial" w:cs="Arial"/>
        </w:rPr>
      </w:pPr>
      <w:r w:rsidRPr="00F10F99">
        <w:rPr>
          <w:rFonts w:ascii="Arial" w:hAnsi="Arial" w:cs="Arial"/>
        </w:rPr>
        <w:t>The third party quote also indicates that the non-recurring cost to set up 21 channels for captioning would be approximately $955,000, averaging $45,500 per channel, as some of</w:t>
      </w:r>
      <w:r>
        <w:rPr>
          <w:rFonts w:ascii="Arial" w:hAnsi="Arial" w:cs="Arial"/>
        </w:rPr>
        <w:t xml:space="preserve"> the set-up costs would be shared across the 21 channels.</w:t>
      </w:r>
    </w:p>
    <w:p w14:paraId="0F15CE2E" w14:textId="77777777" w:rsidR="00F10F99" w:rsidRDefault="00F10F99" w:rsidP="00F10F99">
      <w:pPr>
        <w:pStyle w:val="ListParagraph"/>
        <w:ind w:left="1021"/>
        <w:rPr>
          <w:rFonts w:ascii="Arial" w:hAnsi="Arial" w:cs="Arial"/>
        </w:rPr>
      </w:pPr>
    </w:p>
    <w:p w14:paraId="529385CA"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noted that if it was required to caption the Service, it would be required to live caption it, as it is a pass-through service for which the Applicant does not have any input into the content of the Service.</w:t>
      </w:r>
    </w:p>
    <w:p w14:paraId="00807060" w14:textId="77777777" w:rsidR="00F10F99" w:rsidRDefault="00F10F99" w:rsidP="00F10F99">
      <w:pPr>
        <w:pStyle w:val="ListParagraph"/>
        <w:rPr>
          <w:rFonts w:ascii="Arial" w:hAnsi="Arial" w:cs="Arial"/>
        </w:rPr>
      </w:pPr>
    </w:p>
    <w:p w14:paraId="5A63CC1E"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lastRenderedPageBreak/>
        <w:t>The ACMA is satisfied that based on the Applicant’s financial circumstances and the cost of providing captioning on the Service, failing to make the Exemption Order for the Service would create unjustifiable hardship on the Applicant.</w:t>
      </w:r>
    </w:p>
    <w:p w14:paraId="419A9269" w14:textId="77777777" w:rsidR="00F10F99" w:rsidRDefault="00F10F99" w:rsidP="00F10F99">
      <w:pPr>
        <w:spacing w:line="24" w:lineRule="atLeast"/>
        <w:rPr>
          <w:rFonts w:ascii="Arial" w:hAnsi="Arial" w:cs="Arial"/>
          <w:b/>
          <w:i/>
        </w:rPr>
      </w:pPr>
      <w:r>
        <w:rPr>
          <w:rFonts w:ascii="Arial" w:hAnsi="Arial" w:cs="Arial"/>
          <w:b/>
          <w:i/>
        </w:rPr>
        <w:t>Paragraph 130ZY(5)(f) of the BSA – the extent to which captioning services are provided by the applicant for television programs transmitted on subscription television services provided by the applicant</w:t>
      </w:r>
    </w:p>
    <w:p w14:paraId="61EFA095"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In accordance with section 130ZV of the BSA, the Applicant is required to meet the annual captioning targets for the various categories. For a television news service, the annual captioning target is 25 per cent for the financial year 2016–17, and 30 per cent for the financial year 2017–18. </w:t>
      </w:r>
    </w:p>
    <w:p w14:paraId="40F0572F" w14:textId="77777777" w:rsidR="00F10F99" w:rsidRDefault="00F10F99" w:rsidP="00F10F99">
      <w:pPr>
        <w:pStyle w:val="ListParagraph"/>
        <w:spacing w:line="24" w:lineRule="atLeast"/>
        <w:ind w:left="1021"/>
        <w:rPr>
          <w:rFonts w:ascii="Arial" w:hAnsi="Arial" w:cs="Arial"/>
        </w:rPr>
      </w:pPr>
    </w:p>
    <w:p w14:paraId="5F4D84D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Under section 130ZX of the BSA, prior to 1 July 2022, a subscription television licensee can nominate certain television services to be exempt from captioning obligations within a genre category within a financial year if: </w:t>
      </w:r>
    </w:p>
    <w:p w14:paraId="3BEEBD25" w14:textId="77777777" w:rsidR="00F10F99" w:rsidRDefault="00F10F99" w:rsidP="00F10F99">
      <w:pPr>
        <w:pStyle w:val="ListParagraph"/>
        <w:spacing w:line="24" w:lineRule="atLeast"/>
        <w:ind w:left="1741"/>
        <w:rPr>
          <w:rFonts w:ascii="Arial" w:hAnsi="Arial" w:cs="Arial"/>
        </w:rPr>
      </w:pPr>
    </w:p>
    <w:p w14:paraId="50DB0A62"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it has already met the captioning targets for the set number of television services within that particular genre category; and</w:t>
      </w:r>
    </w:p>
    <w:p w14:paraId="7E2A388D" w14:textId="77777777" w:rsidR="00F10F99" w:rsidRDefault="00F10F99" w:rsidP="00F10F99">
      <w:pPr>
        <w:pStyle w:val="ListParagraph"/>
        <w:numPr>
          <w:ilvl w:val="0"/>
          <w:numId w:val="2"/>
        </w:numPr>
        <w:spacing w:line="24" w:lineRule="atLeast"/>
        <w:ind w:left="1741"/>
        <w:rPr>
          <w:rFonts w:ascii="Arial" w:hAnsi="Arial" w:cs="Arial"/>
        </w:rPr>
      </w:pPr>
      <w:r>
        <w:rPr>
          <w:rFonts w:ascii="Arial" w:hAnsi="Arial" w:cs="Arial"/>
        </w:rPr>
        <w:t>it has remaining television services within that particular genre category.</w:t>
      </w:r>
    </w:p>
    <w:p w14:paraId="34C86917" w14:textId="77777777" w:rsidR="00F10F99" w:rsidRDefault="00F10F99" w:rsidP="00F10F99">
      <w:pPr>
        <w:spacing w:line="24" w:lineRule="atLeast"/>
        <w:ind w:left="993"/>
        <w:rPr>
          <w:rFonts w:ascii="Arial" w:hAnsi="Arial" w:cs="Arial"/>
        </w:rPr>
      </w:pPr>
      <w:r>
        <w:rPr>
          <w:rFonts w:ascii="Arial" w:hAnsi="Arial" w:cs="Arial"/>
        </w:rPr>
        <w:t xml:space="preserve">The number of services that may be nominated for exemption will decrease over time. </w:t>
      </w:r>
    </w:p>
    <w:p w14:paraId="0774788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In order for the Applicant to nominate a television news service to be an exempt service, under section 130ZX of the BSA for this financial year, it must have met the captioning target for three of its other television news services. </w:t>
      </w:r>
    </w:p>
    <w:p w14:paraId="1A41102A" w14:textId="77777777" w:rsidR="00F10F99" w:rsidRDefault="00F10F99" w:rsidP="00F10F99">
      <w:pPr>
        <w:pStyle w:val="ListParagraph"/>
        <w:spacing w:line="24" w:lineRule="atLeast"/>
        <w:ind w:left="1021"/>
        <w:rPr>
          <w:rFonts w:ascii="Arial" w:hAnsi="Arial" w:cs="Arial"/>
        </w:rPr>
      </w:pPr>
    </w:p>
    <w:p w14:paraId="4D15E06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Based on the information available, the Applicant broadcasts nine television news services, and it has sought exemptions for all of these services. Therefore it is not eligible to nominate any additional television news services to be exempt services under section 130ZX of the BSA.</w:t>
      </w:r>
    </w:p>
    <w:p w14:paraId="5B4F3572" w14:textId="77777777" w:rsidR="00F10F99" w:rsidRDefault="00F10F99" w:rsidP="00F10F99">
      <w:pPr>
        <w:pStyle w:val="ListParagraph"/>
        <w:spacing w:line="24" w:lineRule="atLeast"/>
        <w:ind w:left="1021"/>
        <w:rPr>
          <w:rFonts w:ascii="Arial" w:hAnsi="Arial" w:cs="Arial"/>
        </w:rPr>
      </w:pPr>
    </w:p>
    <w:p w14:paraId="08C248AF"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In providing information about the number of captioning services provided by the Applicant, the Applicant referred to the annual compliance report provided to the ACMA with respect to its captioning requirements in the last financial year.</w:t>
      </w:r>
    </w:p>
    <w:p w14:paraId="206B1521" w14:textId="77777777" w:rsidR="00F10F99" w:rsidRDefault="00F10F99" w:rsidP="00F10F99">
      <w:pPr>
        <w:pStyle w:val="ListParagraph"/>
        <w:spacing w:line="24" w:lineRule="atLeast"/>
        <w:rPr>
          <w:rFonts w:ascii="Arial" w:hAnsi="Arial" w:cs="Arial"/>
        </w:rPr>
      </w:pPr>
    </w:p>
    <w:p w14:paraId="4716454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Captioning was provided on 23 of its 42 subscription television services during the period of 1 July 2015 – 30 June 2016. </w:t>
      </w:r>
    </w:p>
    <w:p w14:paraId="3C6C16F9" w14:textId="77777777" w:rsidR="00F10F99" w:rsidRDefault="00F10F99" w:rsidP="00F10F99">
      <w:pPr>
        <w:pStyle w:val="ListParagraph"/>
        <w:spacing w:line="24" w:lineRule="atLeast"/>
        <w:ind w:left="1021"/>
        <w:rPr>
          <w:rFonts w:ascii="Arial" w:hAnsi="Arial" w:cs="Arial"/>
        </w:rPr>
      </w:pPr>
    </w:p>
    <w:p w14:paraId="19BA1D0F"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information submitted indicates that the Applicant exceeded its annual captioning targets with respect to nearly all of its general entertainment, sport and music services which were not subject to exemption or target reduction orders. The Applicant had exemption orders for eight out of nine television news services. The Applicant did not meet the annual captioning target for the Service and another subscription television service. </w:t>
      </w:r>
    </w:p>
    <w:p w14:paraId="13F990AF" w14:textId="77777777" w:rsidR="00F10F99" w:rsidRDefault="00F10F99" w:rsidP="00F10F99">
      <w:pPr>
        <w:pStyle w:val="ListParagraph"/>
        <w:spacing w:line="24" w:lineRule="atLeast"/>
        <w:ind w:left="1021"/>
        <w:rPr>
          <w:rFonts w:ascii="Arial" w:hAnsi="Arial" w:cs="Arial"/>
        </w:rPr>
      </w:pPr>
    </w:p>
    <w:p w14:paraId="683040F2"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acknowledges that where the captioning services are provided by third party channel providers, the Applicant has met if not exceeded the annual captioning targets in most cases.</w:t>
      </w:r>
      <w:r>
        <w:rPr>
          <w:rFonts w:ascii="Arial" w:hAnsi="Arial" w:cs="Arial"/>
          <w:highlight w:val="yellow"/>
        </w:rPr>
        <w:br/>
      </w:r>
    </w:p>
    <w:p w14:paraId="1E3866AC" w14:textId="77777777" w:rsidR="00F10F99" w:rsidRDefault="00F10F99" w:rsidP="00F10F99">
      <w:pPr>
        <w:keepNext/>
        <w:spacing w:line="24" w:lineRule="atLeast"/>
        <w:rPr>
          <w:rFonts w:ascii="Arial" w:hAnsi="Arial" w:cs="Arial"/>
          <w:b/>
        </w:rPr>
      </w:pPr>
      <w:r>
        <w:rPr>
          <w:rFonts w:ascii="Arial" w:hAnsi="Arial" w:cs="Arial"/>
          <w:b/>
          <w:i/>
        </w:rPr>
        <w:lastRenderedPageBreak/>
        <w:t>Paragraph 130ZY(5)(g) of the BSA – the likely impact of a failure to make the exemption order on the quantity and quality of television programs transmitted on subscription television services provided by the applicant</w:t>
      </w:r>
    </w:p>
    <w:p w14:paraId="74C79764"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The Applicant submitted that a failure to make an exemption order would result in the Service being removed from the Applicant’s channel offerings, which would have reduced the availability of content the Applicant could provide and potentially affect the viability of the business.</w:t>
      </w:r>
    </w:p>
    <w:p w14:paraId="2807DF66" w14:textId="77777777" w:rsidR="00F10F99" w:rsidRDefault="00F10F99" w:rsidP="00F10F99">
      <w:pPr>
        <w:pStyle w:val="ListParagraph"/>
        <w:spacing w:after="0" w:line="24" w:lineRule="atLeast"/>
        <w:ind w:left="1021"/>
        <w:rPr>
          <w:rFonts w:ascii="Arial" w:hAnsi="Arial" w:cs="Arial"/>
        </w:rPr>
      </w:pPr>
    </w:p>
    <w:p w14:paraId="51122080"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acknowledges that the removal of the Service as a result of failing to make the Exemption Order would affect the quality and quantity of television programs offered by the Applicant. This is because the ACMA notes that the Service targets viewers with a particular interest in Asian perspectives on global news.</w:t>
      </w:r>
      <w:r>
        <w:rPr>
          <w:rFonts w:ascii="Arial" w:hAnsi="Arial" w:cs="Arial"/>
        </w:rPr>
        <w:br/>
      </w:r>
    </w:p>
    <w:p w14:paraId="3F759D2D"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Applicant has also submitted that the success of any other exemption and target order application could have very serious detrimental effects on the ongoing viability of Fetch TV services. </w:t>
      </w:r>
      <w:r>
        <w:rPr>
          <w:rFonts w:ascii="Arial" w:hAnsi="Arial" w:cs="Arial"/>
        </w:rPr>
        <w:br/>
      </w:r>
    </w:p>
    <w:p w14:paraId="1E1B968D"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considers that a failure to make the Exemption Order for the Applicant is likely to result in the removal of a large number of television programs from Fetch TV’s channel offerings due to the financial situation of the Applicant and its difficulty in being able to incur the costs of providing captioning services at this point in time. Therefore the ACMA is satisfied that failing to make the Exemption Order for the Service would cause unjustifiable hardship on the Applicant.</w:t>
      </w:r>
    </w:p>
    <w:p w14:paraId="236B527A" w14:textId="77777777" w:rsidR="00F10F99" w:rsidRDefault="00F10F99" w:rsidP="00F10F99">
      <w:pPr>
        <w:spacing w:line="24" w:lineRule="atLeast"/>
        <w:rPr>
          <w:rFonts w:ascii="Arial" w:hAnsi="Arial" w:cs="Arial"/>
          <w:b/>
          <w:i/>
        </w:rPr>
      </w:pPr>
      <w:r>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6747CF16"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ACMA has made the following exemption and target reduction orders for services provided by the Applicant:</w:t>
      </w:r>
    </w:p>
    <w:p w14:paraId="48E064BF" w14:textId="77777777" w:rsidR="00F10F99" w:rsidRDefault="00F10F99" w:rsidP="00F10F99">
      <w:pPr>
        <w:pStyle w:val="ListParagraph"/>
        <w:spacing w:line="24" w:lineRule="atLeast"/>
        <w:ind w:left="1021"/>
        <w:rPr>
          <w:rFonts w:ascii="Arial" w:hAnsi="Arial" w:cs="Arial"/>
        </w:rPr>
      </w:pPr>
    </w:p>
    <w:tbl>
      <w:tblPr>
        <w:tblStyle w:val="TableGrid"/>
        <w:tblpPr w:leftFromText="180" w:rightFromText="180" w:vertAnchor="text" w:horzAnchor="margin" w:tblpXSpec="center" w:tblpY="233"/>
        <w:tblW w:w="7711" w:type="dxa"/>
        <w:tblLook w:val="04A0" w:firstRow="1" w:lastRow="0" w:firstColumn="1" w:lastColumn="0" w:noHBand="0" w:noVBand="1"/>
        <w:tblCaption w:val="Previous orders granted"/>
        <w:tblDescription w:val="For the period 2012 to 2013, the ACMA granted 4 exemption orders and no target reduction orders. For the period 2012 to 2014, the ACMA granted 17 exemption orders and 1 target reduction order. For the period 2013 to 2015, the ACMA granted 1 exemption order and no target reduction orders. For the period 2014 to 2015, the ACMA granted 1 exemption order and no target reduction orders. For the period 2014 to 2016, the ACMA granted 18 exemption orders and 4 target reduction orders. "/>
      </w:tblPr>
      <w:tblGrid>
        <w:gridCol w:w="3074"/>
        <w:gridCol w:w="2126"/>
        <w:gridCol w:w="2511"/>
      </w:tblGrid>
      <w:tr w:rsidR="00F10F99" w14:paraId="7E404B42" w14:textId="77777777" w:rsidTr="00CB44AC">
        <w:trPr>
          <w:trHeight w:val="399"/>
          <w:tblHeader/>
        </w:trPr>
        <w:tc>
          <w:tcPr>
            <w:tcW w:w="3074" w:type="dxa"/>
            <w:tcBorders>
              <w:top w:val="single" w:sz="4" w:space="0" w:color="auto"/>
              <w:left w:val="single" w:sz="4" w:space="0" w:color="auto"/>
              <w:bottom w:val="single" w:sz="4" w:space="0" w:color="auto"/>
              <w:right w:val="single" w:sz="4" w:space="0" w:color="auto"/>
            </w:tcBorders>
          </w:tcPr>
          <w:p w14:paraId="6385C07C" w14:textId="77777777" w:rsidR="00F10F99" w:rsidRDefault="00F10F99">
            <w:pPr>
              <w:pStyle w:val="ListParagraph"/>
              <w:spacing w:line="24" w:lineRule="atLeast"/>
              <w:ind w:left="0"/>
              <w:rPr>
                <w:rFonts w:ascii="Arial" w:hAnsi="Arial" w:cs="Arial"/>
              </w:rPr>
            </w:pPr>
          </w:p>
        </w:tc>
        <w:tc>
          <w:tcPr>
            <w:tcW w:w="2126" w:type="dxa"/>
            <w:tcBorders>
              <w:top w:val="single" w:sz="4" w:space="0" w:color="auto"/>
              <w:left w:val="single" w:sz="4" w:space="0" w:color="auto"/>
              <w:bottom w:val="single" w:sz="4" w:space="0" w:color="auto"/>
              <w:right w:val="single" w:sz="4" w:space="0" w:color="auto"/>
            </w:tcBorders>
            <w:hideMark/>
          </w:tcPr>
          <w:p w14:paraId="1D3651BB" w14:textId="77777777" w:rsidR="00F10F99" w:rsidRDefault="00F10F99">
            <w:pPr>
              <w:pStyle w:val="ListParagraph"/>
              <w:spacing w:line="24" w:lineRule="atLeast"/>
              <w:ind w:left="0"/>
              <w:rPr>
                <w:rFonts w:ascii="Arial" w:hAnsi="Arial" w:cs="Arial"/>
              </w:rPr>
            </w:pPr>
            <w:r>
              <w:rPr>
                <w:rFonts w:ascii="Arial" w:hAnsi="Arial" w:cs="Arial"/>
              </w:rPr>
              <w:t>Exemption orders</w:t>
            </w:r>
          </w:p>
        </w:tc>
        <w:tc>
          <w:tcPr>
            <w:tcW w:w="2511" w:type="dxa"/>
            <w:tcBorders>
              <w:top w:val="single" w:sz="4" w:space="0" w:color="auto"/>
              <w:left w:val="single" w:sz="4" w:space="0" w:color="auto"/>
              <w:bottom w:val="single" w:sz="4" w:space="0" w:color="auto"/>
              <w:right w:val="single" w:sz="4" w:space="0" w:color="auto"/>
            </w:tcBorders>
            <w:hideMark/>
          </w:tcPr>
          <w:p w14:paraId="47EA3000" w14:textId="77777777" w:rsidR="00F10F99" w:rsidRDefault="00F10F99">
            <w:pPr>
              <w:pStyle w:val="ListParagraph"/>
              <w:spacing w:line="24" w:lineRule="atLeast"/>
              <w:ind w:left="0"/>
              <w:rPr>
                <w:rFonts w:ascii="Arial" w:hAnsi="Arial" w:cs="Arial"/>
              </w:rPr>
            </w:pPr>
            <w:r>
              <w:rPr>
                <w:rFonts w:ascii="Arial" w:hAnsi="Arial" w:cs="Arial"/>
              </w:rPr>
              <w:t>Target reduction orders</w:t>
            </w:r>
          </w:p>
        </w:tc>
      </w:tr>
      <w:tr w:rsidR="00F10F99" w14:paraId="4B1C7E20" w14:textId="77777777" w:rsidTr="00F10F99">
        <w:trPr>
          <w:trHeight w:val="399"/>
        </w:trPr>
        <w:tc>
          <w:tcPr>
            <w:tcW w:w="3074" w:type="dxa"/>
            <w:tcBorders>
              <w:top w:val="single" w:sz="4" w:space="0" w:color="auto"/>
              <w:left w:val="single" w:sz="4" w:space="0" w:color="auto"/>
              <w:bottom w:val="single" w:sz="4" w:space="0" w:color="auto"/>
              <w:right w:val="single" w:sz="4" w:space="0" w:color="auto"/>
            </w:tcBorders>
            <w:hideMark/>
          </w:tcPr>
          <w:p w14:paraId="03942C53" w14:textId="77777777" w:rsidR="00F10F99" w:rsidRDefault="00F10F99">
            <w:pPr>
              <w:pStyle w:val="ListParagraph"/>
              <w:spacing w:line="24" w:lineRule="atLeast"/>
              <w:ind w:left="0"/>
              <w:rPr>
                <w:rFonts w:ascii="Arial" w:hAnsi="Arial" w:cs="Arial"/>
              </w:rPr>
            </w:pPr>
            <w:r>
              <w:rPr>
                <w:rFonts w:ascii="Arial" w:hAnsi="Arial" w:cs="Arial"/>
              </w:rPr>
              <w:t>1 July 2012 – 30 June 2013</w:t>
            </w:r>
          </w:p>
        </w:tc>
        <w:tc>
          <w:tcPr>
            <w:tcW w:w="2126" w:type="dxa"/>
            <w:tcBorders>
              <w:top w:val="single" w:sz="4" w:space="0" w:color="auto"/>
              <w:left w:val="single" w:sz="4" w:space="0" w:color="auto"/>
              <w:bottom w:val="single" w:sz="4" w:space="0" w:color="auto"/>
              <w:right w:val="single" w:sz="4" w:space="0" w:color="auto"/>
            </w:tcBorders>
            <w:hideMark/>
          </w:tcPr>
          <w:p w14:paraId="66751DAE" w14:textId="77777777" w:rsidR="00F10F99" w:rsidRDefault="00F10F99">
            <w:pPr>
              <w:pStyle w:val="ListParagraph"/>
              <w:spacing w:line="24" w:lineRule="atLeast"/>
              <w:ind w:left="0"/>
              <w:rPr>
                <w:rFonts w:ascii="Arial" w:hAnsi="Arial" w:cs="Arial"/>
              </w:rPr>
            </w:pPr>
            <w:r>
              <w:rPr>
                <w:rFonts w:ascii="Arial" w:hAnsi="Arial" w:cs="Arial"/>
              </w:rPr>
              <w:t>4</w:t>
            </w:r>
          </w:p>
        </w:tc>
        <w:tc>
          <w:tcPr>
            <w:tcW w:w="2511" w:type="dxa"/>
            <w:tcBorders>
              <w:top w:val="single" w:sz="4" w:space="0" w:color="auto"/>
              <w:left w:val="single" w:sz="4" w:space="0" w:color="auto"/>
              <w:bottom w:val="single" w:sz="4" w:space="0" w:color="auto"/>
              <w:right w:val="single" w:sz="4" w:space="0" w:color="auto"/>
            </w:tcBorders>
          </w:tcPr>
          <w:p w14:paraId="36007886" w14:textId="77777777" w:rsidR="00F10F99" w:rsidRDefault="00F10F99">
            <w:pPr>
              <w:pStyle w:val="ListParagraph"/>
              <w:spacing w:line="24" w:lineRule="atLeast"/>
              <w:ind w:left="0"/>
              <w:rPr>
                <w:rFonts w:ascii="Arial" w:hAnsi="Arial" w:cs="Arial"/>
              </w:rPr>
            </w:pPr>
          </w:p>
        </w:tc>
      </w:tr>
      <w:tr w:rsidR="00F10F99" w14:paraId="117F6AF5" w14:textId="77777777" w:rsidTr="00F10F99">
        <w:trPr>
          <w:trHeight w:val="399"/>
        </w:trPr>
        <w:tc>
          <w:tcPr>
            <w:tcW w:w="3074" w:type="dxa"/>
            <w:tcBorders>
              <w:top w:val="single" w:sz="4" w:space="0" w:color="auto"/>
              <w:left w:val="single" w:sz="4" w:space="0" w:color="auto"/>
              <w:bottom w:val="single" w:sz="4" w:space="0" w:color="auto"/>
              <w:right w:val="single" w:sz="4" w:space="0" w:color="auto"/>
            </w:tcBorders>
            <w:hideMark/>
          </w:tcPr>
          <w:p w14:paraId="1F1F7C7A" w14:textId="77777777" w:rsidR="00F10F99" w:rsidRDefault="00F10F99">
            <w:pPr>
              <w:pStyle w:val="ListParagraph"/>
              <w:spacing w:line="24" w:lineRule="atLeast"/>
              <w:ind w:left="0"/>
              <w:rPr>
                <w:rFonts w:ascii="Arial" w:hAnsi="Arial" w:cs="Arial"/>
              </w:rPr>
            </w:pPr>
            <w:r>
              <w:rPr>
                <w:rFonts w:ascii="Arial" w:hAnsi="Arial" w:cs="Arial"/>
              </w:rPr>
              <w:t>1 July 2012 – 30 June 2014</w:t>
            </w:r>
          </w:p>
        </w:tc>
        <w:tc>
          <w:tcPr>
            <w:tcW w:w="2126" w:type="dxa"/>
            <w:tcBorders>
              <w:top w:val="single" w:sz="4" w:space="0" w:color="auto"/>
              <w:left w:val="single" w:sz="4" w:space="0" w:color="auto"/>
              <w:bottom w:val="single" w:sz="4" w:space="0" w:color="auto"/>
              <w:right w:val="single" w:sz="4" w:space="0" w:color="auto"/>
            </w:tcBorders>
            <w:hideMark/>
          </w:tcPr>
          <w:p w14:paraId="15F7088C" w14:textId="77777777" w:rsidR="00F10F99" w:rsidRDefault="00F10F99">
            <w:pPr>
              <w:pStyle w:val="ListParagraph"/>
              <w:spacing w:line="24" w:lineRule="atLeast"/>
              <w:ind w:left="0"/>
              <w:rPr>
                <w:rFonts w:ascii="Arial" w:hAnsi="Arial" w:cs="Arial"/>
              </w:rPr>
            </w:pPr>
            <w:r>
              <w:rPr>
                <w:rFonts w:ascii="Arial" w:hAnsi="Arial" w:cs="Arial"/>
              </w:rPr>
              <w:t>17</w:t>
            </w:r>
          </w:p>
        </w:tc>
        <w:tc>
          <w:tcPr>
            <w:tcW w:w="2511" w:type="dxa"/>
            <w:tcBorders>
              <w:top w:val="single" w:sz="4" w:space="0" w:color="auto"/>
              <w:left w:val="single" w:sz="4" w:space="0" w:color="auto"/>
              <w:bottom w:val="single" w:sz="4" w:space="0" w:color="auto"/>
              <w:right w:val="single" w:sz="4" w:space="0" w:color="auto"/>
            </w:tcBorders>
            <w:hideMark/>
          </w:tcPr>
          <w:p w14:paraId="410FAD7D" w14:textId="77777777" w:rsidR="00F10F99" w:rsidRDefault="00F10F99">
            <w:pPr>
              <w:pStyle w:val="ListParagraph"/>
              <w:spacing w:line="24" w:lineRule="atLeast"/>
              <w:ind w:left="0"/>
              <w:rPr>
                <w:rFonts w:ascii="Arial" w:hAnsi="Arial" w:cs="Arial"/>
              </w:rPr>
            </w:pPr>
            <w:r>
              <w:rPr>
                <w:rFonts w:ascii="Arial" w:hAnsi="Arial" w:cs="Arial"/>
              </w:rPr>
              <w:t>1</w:t>
            </w:r>
          </w:p>
        </w:tc>
      </w:tr>
      <w:tr w:rsidR="00F10F99" w14:paraId="73140CB6" w14:textId="77777777" w:rsidTr="00F10F99">
        <w:tc>
          <w:tcPr>
            <w:tcW w:w="3074" w:type="dxa"/>
            <w:tcBorders>
              <w:top w:val="single" w:sz="4" w:space="0" w:color="auto"/>
              <w:left w:val="single" w:sz="4" w:space="0" w:color="auto"/>
              <w:bottom w:val="single" w:sz="4" w:space="0" w:color="auto"/>
              <w:right w:val="single" w:sz="4" w:space="0" w:color="auto"/>
            </w:tcBorders>
            <w:hideMark/>
          </w:tcPr>
          <w:p w14:paraId="6036E49C" w14:textId="77777777" w:rsidR="00F10F99" w:rsidRDefault="00F10F99">
            <w:pPr>
              <w:pStyle w:val="ListParagraph"/>
              <w:spacing w:line="24" w:lineRule="atLeast"/>
              <w:ind w:left="0"/>
              <w:rPr>
                <w:rFonts w:ascii="Arial" w:hAnsi="Arial" w:cs="Arial"/>
              </w:rPr>
            </w:pPr>
            <w:r>
              <w:rPr>
                <w:rFonts w:ascii="Arial" w:hAnsi="Arial" w:cs="Arial"/>
              </w:rPr>
              <w:t>1 July 2013 – 30 June 2015</w:t>
            </w:r>
          </w:p>
        </w:tc>
        <w:tc>
          <w:tcPr>
            <w:tcW w:w="2126" w:type="dxa"/>
            <w:tcBorders>
              <w:top w:val="single" w:sz="4" w:space="0" w:color="auto"/>
              <w:left w:val="single" w:sz="4" w:space="0" w:color="auto"/>
              <w:bottom w:val="single" w:sz="4" w:space="0" w:color="auto"/>
              <w:right w:val="single" w:sz="4" w:space="0" w:color="auto"/>
            </w:tcBorders>
            <w:hideMark/>
          </w:tcPr>
          <w:p w14:paraId="34ED29F0" w14:textId="77777777" w:rsidR="00F10F99" w:rsidRDefault="00F10F99">
            <w:pPr>
              <w:pStyle w:val="ListParagraph"/>
              <w:spacing w:line="24" w:lineRule="atLeast"/>
              <w:ind w:left="0"/>
              <w:rPr>
                <w:rFonts w:ascii="Arial" w:hAnsi="Arial" w:cs="Arial"/>
              </w:rPr>
            </w:pPr>
            <w:r>
              <w:rPr>
                <w:rFonts w:ascii="Arial" w:hAnsi="Arial" w:cs="Arial"/>
              </w:rPr>
              <w:t>1</w:t>
            </w:r>
          </w:p>
        </w:tc>
        <w:tc>
          <w:tcPr>
            <w:tcW w:w="2511" w:type="dxa"/>
            <w:tcBorders>
              <w:top w:val="single" w:sz="4" w:space="0" w:color="auto"/>
              <w:left w:val="single" w:sz="4" w:space="0" w:color="auto"/>
              <w:bottom w:val="single" w:sz="4" w:space="0" w:color="auto"/>
              <w:right w:val="single" w:sz="4" w:space="0" w:color="auto"/>
            </w:tcBorders>
          </w:tcPr>
          <w:p w14:paraId="096E99EF" w14:textId="77777777" w:rsidR="00F10F99" w:rsidRDefault="00F10F99">
            <w:pPr>
              <w:pStyle w:val="ListParagraph"/>
              <w:spacing w:line="24" w:lineRule="atLeast"/>
              <w:ind w:left="0"/>
              <w:rPr>
                <w:rFonts w:ascii="Arial" w:hAnsi="Arial" w:cs="Arial"/>
              </w:rPr>
            </w:pPr>
          </w:p>
        </w:tc>
      </w:tr>
      <w:tr w:rsidR="00F10F99" w14:paraId="350A6F5A" w14:textId="77777777" w:rsidTr="00F10F99">
        <w:tc>
          <w:tcPr>
            <w:tcW w:w="3074" w:type="dxa"/>
            <w:tcBorders>
              <w:top w:val="single" w:sz="4" w:space="0" w:color="auto"/>
              <w:left w:val="single" w:sz="4" w:space="0" w:color="auto"/>
              <w:bottom w:val="single" w:sz="4" w:space="0" w:color="auto"/>
              <w:right w:val="single" w:sz="4" w:space="0" w:color="auto"/>
            </w:tcBorders>
            <w:hideMark/>
          </w:tcPr>
          <w:p w14:paraId="6338865F" w14:textId="77777777" w:rsidR="00F10F99" w:rsidRDefault="00F10F99">
            <w:pPr>
              <w:pStyle w:val="ListParagraph"/>
              <w:spacing w:line="24" w:lineRule="atLeast"/>
              <w:ind w:left="0"/>
              <w:rPr>
                <w:rFonts w:ascii="Arial" w:hAnsi="Arial" w:cs="Arial"/>
              </w:rPr>
            </w:pPr>
            <w:r>
              <w:rPr>
                <w:rFonts w:ascii="Arial" w:hAnsi="Arial" w:cs="Arial"/>
              </w:rPr>
              <w:t>1 July 2014 – 30 June 2015</w:t>
            </w:r>
          </w:p>
        </w:tc>
        <w:tc>
          <w:tcPr>
            <w:tcW w:w="2126" w:type="dxa"/>
            <w:tcBorders>
              <w:top w:val="single" w:sz="4" w:space="0" w:color="auto"/>
              <w:left w:val="single" w:sz="4" w:space="0" w:color="auto"/>
              <w:bottom w:val="single" w:sz="4" w:space="0" w:color="auto"/>
              <w:right w:val="single" w:sz="4" w:space="0" w:color="auto"/>
            </w:tcBorders>
            <w:hideMark/>
          </w:tcPr>
          <w:p w14:paraId="0A87C5DA" w14:textId="77777777" w:rsidR="00F10F99" w:rsidRDefault="00F10F99">
            <w:pPr>
              <w:pStyle w:val="ListParagraph"/>
              <w:spacing w:line="24" w:lineRule="atLeast"/>
              <w:ind w:left="0"/>
              <w:rPr>
                <w:rFonts w:ascii="Arial" w:hAnsi="Arial" w:cs="Arial"/>
              </w:rPr>
            </w:pPr>
            <w:r>
              <w:rPr>
                <w:rFonts w:ascii="Arial" w:hAnsi="Arial" w:cs="Arial"/>
              </w:rPr>
              <w:t>1</w:t>
            </w:r>
          </w:p>
        </w:tc>
        <w:tc>
          <w:tcPr>
            <w:tcW w:w="2511" w:type="dxa"/>
            <w:tcBorders>
              <w:top w:val="single" w:sz="4" w:space="0" w:color="auto"/>
              <w:left w:val="single" w:sz="4" w:space="0" w:color="auto"/>
              <w:bottom w:val="single" w:sz="4" w:space="0" w:color="auto"/>
              <w:right w:val="single" w:sz="4" w:space="0" w:color="auto"/>
            </w:tcBorders>
          </w:tcPr>
          <w:p w14:paraId="15BDFFC9" w14:textId="77777777" w:rsidR="00F10F99" w:rsidRDefault="00F10F99">
            <w:pPr>
              <w:pStyle w:val="ListParagraph"/>
              <w:spacing w:line="24" w:lineRule="atLeast"/>
              <w:ind w:left="0"/>
              <w:rPr>
                <w:rFonts w:ascii="Arial" w:hAnsi="Arial" w:cs="Arial"/>
              </w:rPr>
            </w:pPr>
          </w:p>
        </w:tc>
      </w:tr>
      <w:tr w:rsidR="00F10F99" w14:paraId="5B0237FE" w14:textId="77777777" w:rsidTr="00F10F99">
        <w:tc>
          <w:tcPr>
            <w:tcW w:w="3074" w:type="dxa"/>
            <w:tcBorders>
              <w:top w:val="single" w:sz="4" w:space="0" w:color="auto"/>
              <w:left w:val="single" w:sz="4" w:space="0" w:color="auto"/>
              <w:bottom w:val="single" w:sz="4" w:space="0" w:color="auto"/>
              <w:right w:val="single" w:sz="4" w:space="0" w:color="auto"/>
            </w:tcBorders>
            <w:hideMark/>
          </w:tcPr>
          <w:p w14:paraId="6C5EA569" w14:textId="77777777" w:rsidR="00F10F99" w:rsidRDefault="00F10F99">
            <w:pPr>
              <w:pStyle w:val="ListParagraph"/>
              <w:spacing w:line="24" w:lineRule="atLeast"/>
              <w:ind w:left="0"/>
              <w:rPr>
                <w:rFonts w:ascii="Arial" w:hAnsi="Arial" w:cs="Arial"/>
              </w:rPr>
            </w:pPr>
            <w:r>
              <w:rPr>
                <w:rFonts w:ascii="Arial" w:hAnsi="Arial" w:cs="Arial"/>
              </w:rPr>
              <w:t>1 July 2014 – 30 June 2016</w:t>
            </w:r>
          </w:p>
        </w:tc>
        <w:tc>
          <w:tcPr>
            <w:tcW w:w="2126" w:type="dxa"/>
            <w:tcBorders>
              <w:top w:val="single" w:sz="4" w:space="0" w:color="auto"/>
              <w:left w:val="single" w:sz="4" w:space="0" w:color="auto"/>
              <w:bottom w:val="single" w:sz="4" w:space="0" w:color="auto"/>
              <w:right w:val="single" w:sz="4" w:space="0" w:color="auto"/>
            </w:tcBorders>
            <w:hideMark/>
          </w:tcPr>
          <w:p w14:paraId="05FCA58F" w14:textId="77777777" w:rsidR="00F10F99" w:rsidRDefault="00F10F99">
            <w:pPr>
              <w:pStyle w:val="ListParagraph"/>
              <w:spacing w:line="24" w:lineRule="atLeast"/>
              <w:ind w:left="0"/>
              <w:rPr>
                <w:rFonts w:ascii="Arial" w:hAnsi="Arial" w:cs="Arial"/>
              </w:rPr>
            </w:pPr>
            <w:r>
              <w:rPr>
                <w:rFonts w:ascii="Arial" w:hAnsi="Arial" w:cs="Arial"/>
              </w:rPr>
              <w:t>18</w:t>
            </w:r>
          </w:p>
        </w:tc>
        <w:tc>
          <w:tcPr>
            <w:tcW w:w="2511" w:type="dxa"/>
            <w:tcBorders>
              <w:top w:val="single" w:sz="4" w:space="0" w:color="auto"/>
              <w:left w:val="single" w:sz="4" w:space="0" w:color="auto"/>
              <w:bottom w:val="single" w:sz="4" w:space="0" w:color="auto"/>
              <w:right w:val="single" w:sz="4" w:space="0" w:color="auto"/>
            </w:tcBorders>
            <w:hideMark/>
          </w:tcPr>
          <w:p w14:paraId="48680E87" w14:textId="77777777" w:rsidR="00F10F99" w:rsidRDefault="00F10F99">
            <w:pPr>
              <w:pStyle w:val="ListParagraph"/>
              <w:spacing w:line="24" w:lineRule="atLeast"/>
              <w:ind w:left="0"/>
              <w:rPr>
                <w:rFonts w:ascii="Arial" w:hAnsi="Arial" w:cs="Arial"/>
              </w:rPr>
            </w:pPr>
            <w:r>
              <w:rPr>
                <w:rFonts w:ascii="Arial" w:hAnsi="Arial" w:cs="Arial"/>
              </w:rPr>
              <w:t>4</w:t>
            </w:r>
          </w:p>
        </w:tc>
      </w:tr>
    </w:tbl>
    <w:p w14:paraId="2178EE30" w14:textId="77777777" w:rsidR="00F10F99" w:rsidRDefault="00F10F99" w:rsidP="00F10F99">
      <w:pPr>
        <w:spacing w:after="160" w:line="256" w:lineRule="auto"/>
        <w:rPr>
          <w:rFonts w:ascii="Arial" w:hAnsi="Arial" w:cs="Arial"/>
        </w:rPr>
      </w:pPr>
    </w:p>
    <w:p w14:paraId="4C20D4BD" w14:textId="62EB5B72" w:rsidR="00CB44AC" w:rsidRDefault="00CB44AC" w:rsidP="00F10F99">
      <w:pPr>
        <w:spacing w:after="160" w:line="256" w:lineRule="auto"/>
        <w:rPr>
          <w:rFonts w:ascii="Arial" w:hAnsi="Arial" w:cs="Arial"/>
        </w:rPr>
      </w:pPr>
    </w:p>
    <w:p w14:paraId="7F79136E" w14:textId="77777777" w:rsidR="00CB44AC" w:rsidRDefault="00CB44AC" w:rsidP="00F10F99">
      <w:pPr>
        <w:spacing w:after="160" w:line="256" w:lineRule="auto"/>
        <w:rPr>
          <w:rFonts w:ascii="Arial" w:hAnsi="Arial" w:cs="Arial"/>
        </w:rPr>
      </w:pPr>
    </w:p>
    <w:p w14:paraId="56F542B8" w14:textId="77777777" w:rsidR="00CB44AC" w:rsidRDefault="00CB44AC" w:rsidP="00F10F99">
      <w:pPr>
        <w:spacing w:after="160" w:line="256" w:lineRule="auto"/>
        <w:rPr>
          <w:rFonts w:ascii="Arial" w:hAnsi="Arial" w:cs="Arial"/>
        </w:rPr>
      </w:pPr>
    </w:p>
    <w:p w14:paraId="42F6EB87" w14:textId="77777777" w:rsidR="00CB44AC" w:rsidRDefault="00CB44AC" w:rsidP="00F10F99">
      <w:pPr>
        <w:spacing w:after="160" w:line="256" w:lineRule="auto"/>
        <w:rPr>
          <w:rFonts w:ascii="Arial" w:hAnsi="Arial" w:cs="Arial"/>
        </w:rPr>
      </w:pPr>
    </w:p>
    <w:p w14:paraId="41617DCF" w14:textId="77777777" w:rsidR="00CB44AC" w:rsidRDefault="00CB44AC" w:rsidP="00F10F99">
      <w:pPr>
        <w:spacing w:after="160" w:line="256" w:lineRule="auto"/>
        <w:rPr>
          <w:rFonts w:ascii="Arial" w:hAnsi="Arial" w:cs="Arial"/>
        </w:rPr>
      </w:pPr>
    </w:p>
    <w:p w14:paraId="1682B646" w14:textId="77777777" w:rsidR="00CB44AC" w:rsidRDefault="00CB44AC" w:rsidP="00F10F99">
      <w:pPr>
        <w:spacing w:after="160" w:line="256" w:lineRule="auto"/>
        <w:rPr>
          <w:rFonts w:ascii="Arial" w:hAnsi="Arial" w:cs="Arial"/>
        </w:rPr>
      </w:pPr>
    </w:p>
    <w:p w14:paraId="674C9CF0" w14:textId="77777777" w:rsidR="00CB44AC" w:rsidRDefault="00CB44AC" w:rsidP="00F10F99">
      <w:pPr>
        <w:spacing w:after="160" w:line="256" w:lineRule="auto"/>
        <w:rPr>
          <w:rFonts w:ascii="Arial" w:hAnsi="Arial" w:cs="Arial"/>
        </w:rPr>
      </w:pPr>
    </w:p>
    <w:p w14:paraId="3756634E" w14:textId="77777777" w:rsidR="00F10F99" w:rsidRDefault="00F10F99" w:rsidP="00F10F99">
      <w:pPr>
        <w:pStyle w:val="ListParagraph"/>
        <w:numPr>
          <w:ilvl w:val="1"/>
          <w:numId w:val="1"/>
        </w:numPr>
        <w:spacing w:after="160" w:line="256" w:lineRule="auto"/>
        <w:rPr>
          <w:rFonts w:ascii="Arial" w:hAnsi="Arial" w:cs="Arial"/>
        </w:rPr>
      </w:pPr>
      <w:r>
        <w:rPr>
          <w:rFonts w:ascii="Arial" w:hAnsi="Arial" w:cs="Arial"/>
        </w:rPr>
        <w:t xml:space="preserve">The Applicant applied for 16 exemption orders and four target reduction orders for the financial years 2016–17 and 2017–18; and one exemption order for the financial year 2016–17. Further information about the channels subject to those applications can be found at </w:t>
      </w:r>
      <w:r>
        <w:rPr>
          <w:rFonts w:ascii="Arial" w:hAnsi="Arial" w:cs="Arial"/>
          <w:b/>
        </w:rPr>
        <w:t>Attachment C</w:t>
      </w:r>
      <w:r>
        <w:rPr>
          <w:rFonts w:ascii="Arial" w:hAnsi="Arial" w:cs="Arial"/>
        </w:rPr>
        <w:t>.</w:t>
      </w:r>
    </w:p>
    <w:p w14:paraId="44E69892" w14:textId="77777777" w:rsidR="00F10F99" w:rsidRDefault="00F10F99" w:rsidP="00F10F99">
      <w:pPr>
        <w:spacing w:line="24" w:lineRule="atLeast"/>
        <w:rPr>
          <w:rFonts w:ascii="Arial" w:hAnsi="Arial" w:cs="Arial"/>
          <w:b/>
          <w:i/>
          <w:iCs/>
        </w:rPr>
      </w:pPr>
    </w:p>
    <w:p w14:paraId="5D77EAB6" w14:textId="77777777" w:rsidR="00F10F99" w:rsidRDefault="00F10F99" w:rsidP="00F10F99">
      <w:pPr>
        <w:spacing w:line="24" w:lineRule="atLeast"/>
        <w:rPr>
          <w:rFonts w:ascii="Arial" w:hAnsi="Arial" w:cs="Arial"/>
          <w:b/>
          <w:i/>
          <w:iCs/>
        </w:rPr>
      </w:pPr>
    </w:p>
    <w:p w14:paraId="082C8633" w14:textId="77777777" w:rsidR="00F10F99" w:rsidRDefault="00F10F99" w:rsidP="00F10F99">
      <w:pPr>
        <w:spacing w:line="24" w:lineRule="atLeast"/>
        <w:rPr>
          <w:rFonts w:ascii="Arial" w:hAnsi="Arial" w:cs="Arial"/>
          <w:b/>
          <w:i/>
          <w:iCs/>
        </w:rPr>
      </w:pPr>
      <w:r>
        <w:rPr>
          <w:rFonts w:ascii="Arial" w:hAnsi="Arial" w:cs="Arial"/>
          <w:b/>
          <w:i/>
          <w:iCs/>
        </w:rPr>
        <w:lastRenderedPageBreak/>
        <w:t>Paragraph 130ZY(5)(i) of the BSA – such other matters (if any) as the ACMA considers relevant.</w:t>
      </w:r>
    </w:p>
    <w:p w14:paraId="2F25045B"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3A24E8E2" w14:textId="77777777" w:rsidR="00F10F99" w:rsidRDefault="00F10F99" w:rsidP="00F10F99">
      <w:pPr>
        <w:pStyle w:val="ListParagraph"/>
        <w:rPr>
          <w:rFonts w:ascii="Arial" w:hAnsi="Arial" w:cs="Arial"/>
        </w:rPr>
      </w:pPr>
    </w:p>
    <w:p w14:paraId="3506E711"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acknowledges a number of additional matters submitted by the Applicant; however, the ACMA does not consider that these matters are relevant in deciding whether a failure to make the Exemption Order would impose an unjustifiable hardship on the Applicant. </w:t>
      </w:r>
    </w:p>
    <w:p w14:paraId="64DB3D28" w14:textId="77777777" w:rsidR="00F10F99" w:rsidRDefault="00F10F99" w:rsidP="00F10F99">
      <w:pPr>
        <w:pStyle w:val="ListParagraph"/>
        <w:spacing w:after="0" w:line="24" w:lineRule="atLeast"/>
        <w:ind w:left="1021"/>
        <w:rPr>
          <w:rFonts w:ascii="Arial" w:hAnsi="Arial" w:cs="Arial"/>
          <w:highlight w:val="yellow"/>
        </w:rPr>
      </w:pPr>
    </w:p>
    <w:p w14:paraId="49C61A65" w14:textId="77777777" w:rsidR="00F10F99" w:rsidRDefault="00F10F99" w:rsidP="00F10F99">
      <w:pPr>
        <w:spacing w:line="24" w:lineRule="atLeast"/>
        <w:ind w:left="340"/>
        <w:rPr>
          <w:rFonts w:ascii="Arial" w:hAnsi="Arial" w:cs="Arial"/>
          <w:i/>
          <w:u w:val="single"/>
        </w:rPr>
      </w:pPr>
      <w:r>
        <w:rPr>
          <w:rFonts w:ascii="Arial" w:hAnsi="Arial" w:cs="Arial"/>
          <w:i/>
          <w:u w:val="single"/>
        </w:rPr>
        <w:t>Submission received from Media Access Australia</w:t>
      </w:r>
    </w:p>
    <w:p w14:paraId="4FEF7FFD"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In its submission, Media Access Australia (MAA) objected to the ACMA granting the Order on the basis that:</w:t>
      </w:r>
    </w:p>
    <w:p w14:paraId="320DEAF2" w14:textId="77777777" w:rsidR="00F10F99" w:rsidRDefault="00F10F99" w:rsidP="00F10F99">
      <w:pPr>
        <w:pStyle w:val="ListParagraph"/>
        <w:spacing w:line="24" w:lineRule="atLeast"/>
        <w:ind w:left="1021"/>
        <w:rPr>
          <w:rFonts w:ascii="Arial" w:hAnsi="Arial" w:cs="Arial"/>
        </w:rPr>
      </w:pPr>
    </w:p>
    <w:p w14:paraId="5AFB1E2E" w14:textId="77777777" w:rsidR="00F10F99" w:rsidRDefault="00F10F99" w:rsidP="00F10F99">
      <w:pPr>
        <w:pStyle w:val="ListParagraph"/>
        <w:numPr>
          <w:ilvl w:val="0"/>
          <w:numId w:val="6"/>
        </w:numPr>
        <w:spacing w:after="120" w:line="24" w:lineRule="atLeast"/>
        <w:ind w:left="1491" w:hanging="357"/>
        <w:rPr>
          <w:rFonts w:ascii="Arial" w:hAnsi="Arial" w:cs="Arial"/>
        </w:rPr>
      </w:pPr>
      <w:r>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exemptions based on financial hardship or burden.</w:t>
      </w:r>
    </w:p>
    <w:p w14:paraId="6EC1A380" w14:textId="77777777" w:rsidR="00F10F99" w:rsidRDefault="00F10F99" w:rsidP="00F10F99">
      <w:pPr>
        <w:pStyle w:val="ListParagraph"/>
        <w:numPr>
          <w:ilvl w:val="0"/>
          <w:numId w:val="6"/>
        </w:numPr>
        <w:spacing w:after="120" w:line="24" w:lineRule="atLeast"/>
        <w:ind w:left="1491" w:hanging="357"/>
        <w:rPr>
          <w:rFonts w:ascii="Arial" w:hAnsi="Arial" w:cs="Arial"/>
        </w:rPr>
      </w:pPr>
      <w:r>
        <w:rPr>
          <w:rFonts w:ascii="Arial" w:hAnsi="Arial" w:cs="Arial"/>
        </w:rPr>
        <w:t>The granting of an exemption order should be treated as an exceptional circumstance, provided as a last resort and for a minimum timeframe.</w:t>
      </w:r>
    </w:p>
    <w:p w14:paraId="15AA48B5" w14:textId="77777777" w:rsidR="00F10F99" w:rsidRDefault="00F10F99" w:rsidP="00F10F99">
      <w:pPr>
        <w:pStyle w:val="ListParagraph"/>
        <w:numPr>
          <w:ilvl w:val="0"/>
          <w:numId w:val="6"/>
        </w:numPr>
        <w:spacing w:after="120" w:line="24" w:lineRule="atLeast"/>
        <w:ind w:left="1491" w:hanging="357"/>
        <w:rPr>
          <w:rFonts w:ascii="Arial" w:hAnsi="Arial" w:cs="Arial"/>
        </w:rPr>
      </w:pPr>
      <w:r>
        <w:rPr>
          <w:rFonts w:ascii="Arial" w:hAnsi="Arial" w:cs="Arial"/>
        </w:rPr>
        <w:t xml:space="preserve">There is insufficient clarity regarding how the ACMA determines financial hardship or burden, or how profitable the Applicant would need to become before it is required to deliver captioning. </w:t>
      </w:r>
    </w:p>
    <w:p w14:paraId="40B40E1D" w14:textId="77777777" w:rsidR="00F10F99" w:rsidRDefault="00F10F99" w:rsidP="00F10F99">
      <w:pPr>
        <w:pStyle w:val="ListParagraph"/>
        <w:numPr>
          <w:ilvl w:val="0"/>
          <w:numId w:val="6"/>
        </w:numPr>
        <w:spacing w:after="120" w:line="24" w:lineRule="atLeast"/>
        <w:ind w:left="1491" w:hanging="357"/>
        <w:rPr>
          <w:rFonts w:ascii="Arial" w:hAnsi="Arial" w:cs="Arial"/>
        </w:rPr>
      </w:pPr>
      <w:r>
        <w:rPr>
          <w:rFonts w:ascii="Arial" w:hAnsi="Arial" w:cs="Arial"/>
        </w:rPr>
        <w:t>An exemption order would be incompatible with the overarching intent of the BSA that subscription television licensees meet annual captioning targets, increasing incrementally over time.</w:t>
      </w:r>
    </w:p>
    <w:p w14:paraId="568E3784" w14:textId="77777777" w:rsidR="00F10F99" w:rsidRDefault="00F10F99" w:rsidP="00F10F99">
      <w:pPr>
        <w:pStyle w:val="ListParagraph"/>
        <w:numPr>
          <w:ilvl w:val="0"/>
          <w:numId w:val="6"/>
        </w:numPr>
        <w:spacing w:after="120" w:line="24" w:lineRule="atLeast"/>
        <w:ind w:left="1491" w:hanging="357"/>
        <w:rPr>
          <w:rFonts w:ascii="Arial" w:hAnsi="Arial" w:cs="Arial"/>
        </w:rPr>
      </w:pPr>
      <w:r>
        <w:rPr>
          <w:rFonts w:ascii="Arial" w:hAnsi="Arial" w:cs="Arial"/>
        </w:rPr>
        <w:t>Fetch TV commenced operation in 2010 and has no captioning infrastructure, nor is there any indication that Fetch TV intends to put any captioning infrastructure in place in the future.</w:t>
      </w:r>
      <w:r>
        <w:rPr>
          <w:rFonts w:ascii="Arial" w:hAnsi="Arial" w:cs="Arial"/>
        </w:rPr>
        <w:br/>
      </w:r>
    </w:p>
    <w:p w14:paraId="28F499A6"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acknowledges MAA’s submission; however, notes that the term ‘unjustifiable hardship’ is undefined in both the BSA and the </w:t>
      </w:r>
      <w:r>
        <w:rPr>
          <w:rFonts w:ascii="Arial" w:hAnsi="Arial" w:cs="Arial"/>
          <w:i/>
        </w:rPr>
        <w:t>Explanatory Memorandum to the Broadcasting Services Amendment (Improved Access to Television Services) Bill 2012</w:t>
      </w:r>
      <w:r>
        <w:rPr>
          <w:rFonts w:ascii="Arial" w:hAnsi="Arial" w:cs="Arial"/>
        </w:rPr>
        <w:t xml:space="preserve"> (the Explanatory Memorandum). The ACMA does not have the power to set rules to define what constitutes ‘unjustifiable hardship’. The criteria the ACMA uses to assesses whether a refusal and/or failure to make an exemption order would impose unjustifiable hardship is specified in subsection 130ZY(5) of the BSA. When considering the financial circumstances of an applicant, the ACMA assesses each application on a case by case basis and in the circumstances as a whole.</w:t>
      </w:r>
    </w:p>
    <w:p w14:paraId="4AB72ED9" w14:textId="77777777" w:rsidR="00F10F99" w:rsidRDefault="00F10F99" w:rsidP="00F10F99">
      <w:pPr>
        <w:pStyle w:val="ListParagraph"/>
        <w:rPr>
          <w:rFonts w:ascii="Arial" w:hAnsi="Arial" w:cs="Arial"/>
        </w:rPr>
      </w:pPr>
    </w:p>
    <w:p w14:paraId="708D27DA"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The ACMA also does not have the power to override legitimate claims for confidential treatment of commercial-in-confidence information provided by the Applicant, in order to provide the financial transparency MAA is seeking.</w:t>
      </w:r>
    </w:p>
    <w:p w14:paraId="723EBB0C" w14:textId="77777777" w:rsidR="00F10F99" w:rsidRDefault="00F10F99" w:rsidP="00F10F99">
      <w:pPr>
        <w:pStyle w:val="ListParagraph"/>
        <w:rPr>
          <w:rFonts w:ascii="Arial" w:hAnsi="Arial" w:cs="Arial"/>
        </w:rPr>
      </w:pPr>
    </w:p>
    <w:p w14:paraId="6B9AA814"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 xml:space="preserve">MAA stated that an exemption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272EF6B0" w14:textId="77777777" w:rsidR="00F10F99" w:rsidRDefault="00F10F99" w:rsidP="00F10F99">
      <w:pPr>
        <w:pStyle w:val="ListParagraph"/>
        <w:spacing w:after="0" w:line="24" w:lineRule="atLeast"/>
        <w:ind w:left="1021"/>
        <w:rPr>
          <w:rFonts w:ascii="Arial" w:hAnsi="Arial" w:cs="Arial"/>
        </w:rPr>
      </w:pPr>
    </w:p>
    <w:p w14:paraId="4FBA754F"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 xml:space="preserve">MAA also opposed the granting of an exemption order on the ground that the Applicant has no captioning infrastructure and there are no indications it is making efforts to put such infrastructure in place. The current exemption order process under the BSA requires the ACMA to consider whether a refusal to make an exemption order would impose an unjustifiable hardship on the Applicant. In making the decision, the ACMA must consider the criteria specified in section 130ZY(5) of the BSA, which are listed at </w:t>
      </w:r>
      <w:r>
        <w:rPr>
          <w:rFonts w:ascii="Arial" w:hAnsi="Arial" w:cs="Arial"/>
          <w:b/>
        </w:rPr>
        <w:t>Attachment A</w:t>
      </w:r>
      <w:r>
        <w:rPr>
          <w:rFonts w:ascii="Arial" w:hAnsi="Arial" w:cs="Arial"/>
        </w:rPr>
        <w:t xml:space="preserve">. The criteria include the financial circumstances of the Applicant, the estimated expenditure the Applicant is required to make if an exemption order is not made and the impact on the quantity and quality of subscription television services provided by the Applicant. </w:t>
      </w:r>
    </w:p>
    <w:p w14:paraId="3F333A75" w14:textId="77777777" w:rsidR="00F10F99" w:rsidRDefault="00F10F99" w:rsidP="00F10F99">
      <w:pPr>
        <w:pStyle w:val="ListParagraph"/>
        <w:rPr>
          <w:rFonts w:ascii="Arial" w:hAnsi="Arial" w:cs="Arial"/>
        </w:rPr>
      </w:pPr>
    </w:p>
    <w:p w14:paraId="2B565D6B" w14:textId="283BA01D" w:rsidR="00F10F99" w:rsidRDefault="00F10F99" w:rsidP="00F10F99">
      <w:pPr>
        <w:pStyle w:val="ListParagraph"/>
        <w:numPr>
          <w:ilvl w:val="1"/>
          <w:numId w:val="1"/>
        </w:numPr>
        <w:spacing w:after="0" w:line="24" w:lineRule="atLeast"/>
        <w:rPr>
          <w:rFonts w:ascii="Arial" w:hAnsi="Arial" w:cs="Arial"/>
        </w:rPr>
      </w:pPr>
      <w:r>
        <w:rPr>
          <w:rFonts w:ascii="Arial" w:hAnsi="Arial" w:cs="Arial"/>
        </w:rPr>
        <w:t>Evidence provided by the Applicant indicates that the estimated costs of providing captioning for the Service would be unreasonably high in view of the Applicant’s financial circumstances and would likely result in the removal of the Service by the Applicant.</w:t>
      </w:r>
    </w:p>
    <w:p w14:paraId="2B4A8D37" w14:textId="77777777" w:rsidR="00F10F99" w:rsidRDefault="00F10F99" w:rsidP="00F10F99">
      <w:pPr>
        <w:spacing w:after="0" w:line="24" w:lineRule="atLeast"/>
        <w:rPr>
          <w:rFonts w:ascii="Arial" w:hAnsi="Arial" w:cs="Arial"/>
        </w:rPr>
      </w:pPr>
    </w:p>
    <w:p w14:paraId="66184B6C" w14:textId="77777777" w:rsidR="00F10F99" w:rsidRDefault="00F10F99" w:rsidP="00F10F99">
      <w:pPr>
        <w:spacing w:line="24" w:lineRule="atLeast"/>
        <w:ind w:left="340"/>
        <w:rPr>
          <w:rFonts w:ascii="Arial" w:hAnsi="Arial" w:cs="Arial"/>
          <w:i/>
          <w:u w:val="single"/>
        </w:rPr>
      </w:pPr>
      <w:r>
        <w:rPr>
          <w:rFonts w:ascii="Arial" w:hAnsi="Arial" w:cs="Arial"/>
          <w:i/>
          <w:u w:val="single"/>
        </w:rPr>
        <w:t>Submissions received from ACCAN</w:t>
      </w:r>
    </w:p>
    <w:p w14:paraId="4D126346" w14:textId="77777777" w:rsidR="00F10F99" w:rsidRPr="00F10F99" w:rsidRDefault="00F10F99" w:rsidP="00F10F99">
      <w:pPr>
        <w:pStyle w:val="ListParagraph"/>
        <w:numPr>
          <w:ilvl w:val="1"/>
          <w:numId w:val="1"/>
        </w:numPr>
        <w:spacing w:after="0" w:line="24" w:lineRule="atLeast"/>
        <w:rPr>
          <w:rFonts w:ascii="Arial" w:hAnsi="Arial" w:cs="Arial"/>
          <w:i/>
        </w:rPr>
      </w:pPr>
      <w:r>
        <w:rPr>
          <w:rFonts w:ascii="Arial" w:hAnsi="Arial" w:cs="Arial"/>
        </w:rPr>
        <w:t xml:space="preserve">Similar to MAA’s submission, ACCAN </w:t>
      </w:r>
      <w:r w:rsidRPr="00F10F99">
        <w:rPr>
          <w:rFonts w:ascii="Arial" w:hAnsi="Arial" w:cs="Arial"/>
        </w:rPr>
        <w:t>objected to the ACMA granting an exemption order and noted that the overarching intent of the BSA is that subscription television licensees meet annual captioning targets. The ACMA’s response on this point is as per paragraph 4.52 above.</w:t>
      </w:r>
    </w:p>
    <w:p w14:paraId="557743A1" w14:textId="77777777" w:rsidR="00F10F99" w:rsidRPr="00F10F99" w:rsidRDefault="00F10F99" w:rsidP="00F10F99">
      <w:pPr>
        <w:pStyle w:val="ListParagraph"/>
        <w:spacing w:after="0" w:line="24" w:lineRule="atLeast"/>
        <w:ind w:left="1021"/>
        <w:rPr>
          <w:rFonts w:ascii="Arial" w:hAnsi="Arial" w:cs="Arial"/>
          <w:i/>
        </w:rPr>
      </w:pPr>
    </w:p>
    <w:p w14:paraId="5B6A511A" w14:textId="7ABAC5BB" w:rsidR="00F10F99" w:rsidRPr="00F10F99" w:rsidRDefault="00F10F99" w:rsidP="00F10F99">
      <w:pPr>
        <w:pStyle w:val="ListParagraph"/>
        <w:numPr>
          <w:ilvl w:val="1"/>
          <w:numId w:val="1"/>
        </w:numPr>
        <w:spacing w:after="0" w:line="24" w:lineRule="atLeast"/>
        <w:rPr>
          <w:rFonts w:ascii="Arial" w:hAnsi="Arial" w:cs="Arial"/>
          <w:i/>
        </w:rPr>
      </w:pPr>
      <w:r w:rsidRPr="00F10F99">
        <w:rPr>
          <w:rFonts w:ascii="Arial" w:hAnsi="Arial" w:cs="Arial"/>
        </w:rPr>
        <w:t>ACCAN also stated that it is predicted that the Australian subscription television market will experience increased uptake of services with significant revenue growth over the next 5 years. The ACMA notes that its decision on whether to make an exemption order for the Applicant is based on assessment of the available evidence against the criteria specified in the BSA. The criteria include the number of subscribers to the Service, the impact of making an exemption order on deaf and hearing impaired viewers of the Service and the financial circumstances of the Applicant.</w:t>
      </w:r>
    </w:p>
    <w:p w14:paraId="18B63594" w14:textId="77777777" w:rsidR="00F10F99" w:rsidRPr="00F10F99" w:rsidRDefault="00F10F99" w:rsidP="00F10F99">
      <w:pPr>
        <w:pStyle w:val="ListParagraph"/>
        <w:rPr>
          <w:rFonts w:ascii="Arial" w:hAnsi="Arial" w:cs="Arial"/>
        </w:rPr>
      </w:pPr>
    </w:p>
    <w:p w14:paraId="21322E28" w14:textId="77777777" w:rsidR="00F10F99" w:rsidRPr="00F10F99" w:rsidRDefault="00F10F99" w:rsidP="00F10F99">
      <w:pPr>
        <w:pStyle w:val="ListParagraph"/>
        <w:numPr>
          <w:ilvl w:val="1"/>
          <w:numId w:val="1"/>
        </w:numPr>
        <w:spacing w:after="0" w:line="24" w:lineRule="atLeast"/>
        <w:rPr>
          <w:rFonts w:ascii="Arial" w:hAnsi="Arial" w:cs="Arial"/>
        </w:rPr>
      </w:pPr>
      <w:r w:rsidRPr="00F10F99">
        <w:rPr>
          <w:rFonts w:ascii="Arial" w:hAnsi="Arial" w:cs="Arial"/>
        </w:rPr>
        <w:t>ACCAN asserted that, under the captioning legislative framework in place prior to 2012, subscription services needed to provide tangible evidence that they were working towards meeting their legislative obligations. ACCAN argued that the ACMA needs to apply this principle to the current exemption process. Similar to the MAA submission, ACCAN argued that the Applicant has made no efforts to investigate opportunities to meet its legislative obligation. The ACMA’s response on this point is as per paragraphs 4.53 and 4.54 above.</w:t>
      </w:r>
    </w:p>
    <w:p w14:paraId="1D2181A3" w14:textId="77777777" w:rsidR="00F10F99" w:rsidRPr="00F10F99" w:rsidRDefault="00F10F99" w:rsidP="00F10F99">
      <w:pPr>
        <w:pStyle w:val="ListParagraph"/>
        <w:spacing w:after="0" w:line="24" w:lineRule="atLeast"/>
        <w:ind w:left="1021"/>
        <w:rPr>
          <w:rFonts w:ascii="Arial" w:hAnsi="Arial" w:cs="Arial"/>
        </w:rPr>
      </w:pPr>
    </w:p>
    <w:p w14:paraId="2976FA2C" w14:textId="77777777" w:rsid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ACCAN questioned the Applicant’s cost estimations for set-up of each of the channels subject to an exemption order application.</w:t>
      </w:r>
      <w:r>
        <w:rPr>
          <w:rFonts w:ascii="Arial" w:hAnsi="Arial" w:cs="Arial"/>
        </w:rPr>
        <w:t xml:space="preserve"> Specifically, ACCAN suggested that the one-off set-up cost of $120,000 per channel would surely be amortised across all channels. The ACMA acknowledges that:</w:t>
      </w:r>
    </w:p>
    <w:p w14:paraId="5468270D" w14:textId="77777777" w:rsidR="00F10F99" w:rsidRDefault="00F10F99" w:rsidP="00F10F99">
      <w:pPr>
        <w:pStyle w:val="ListParagraph"/>
        <w:rPr>
          <w:rFonts w:ascii="Arial" w:hAnsi="Arial" w:cs="Arial"/>
        </w:rPr>
      </w:pPr>
    </w:p>
    <w:p w14:paraId="3AAEF8FC" w14:textId="77777777" w:rsidR="00F10F99" w:rsidRDefault="00F10F99" w:rsidP="00F10F99">
      <w:pPr>
        <w:pStyle w:val="ListParagraph"/>
        <w:numPr>
          <w:ilvl w:val="0"/>
          <w:numId w:val="6"/>
        </w:numPr>
        <w:spacing w:line="24" w:lineRule="atLeast"/>
        <w:rPr>
          <w:rFonts w:ascii="Arial" w:hAnsi="Arial" w:cs="Arial"/>
        </w:rPr>
      </w:pPr>
      <w:r>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6592BE86" w14:textId="77777777" w:rsidR="00F10F99" w:rsidRDefault="00F10F99" w:rsidP="00F10F99">
      <w:pPr>
        <w:pStyle w:val="ListParagraph"/>
        <w:numPr>
          <w:ilvl w:val="0"/>
          <w:numId w:val="6"/>
        </w:numPr>
        <w:spacing w:line="24" w:lineRule="atLeast"/>
        <w:rPr>
          <w:rFonts w:ascii="Arial" w:hAnsi="Arial" w:cs="Arial"/>
        </w:rPr>
      </w:pPr>
      <w:r>
        <w:rPr>
          <w:rFonts w:ascii="Arial" w:hAnsi="Arial" w:cs="Arial"/>
        </w:rPr>
        <w:t>other infrastructure costs would need to be paid per channel, including encoders and inserters.</w:t>
      </w:r>
    </w:p>
    <w:p w14:paraId="49A418DC" w14:textId="77777777" w:rsidR="00F10F99" w:rsidRPr="00F10F99" w:rsidRDefault="00F10F99" w:rsidP="00F10F99">
      <w:pPr>
        <w:spacing w:line="24" w:lineRule="atLeast"/>
        <w:ind w:left="1135"/>
        <w:rPr>
          <w:rFonts w:ascii="Arial" w:hAnsi="Arial" w:cs="Arial"/>
        </w:rPr>
      </w:pPr>
      <w:r>
        <w:rPr>
          <w:rFonts w:ascii="Arial" w:hAnsi="Arial" w:cs="Arial"/>
        </w:rPr>
        <w:t xml:space="preserve">On this basis, the cost to set up a single channel for captioning would be approximately $120,000; however, the cost to set up 21 channels for captioning would be approximately $45,500 per channel. As such, the total cost to set up 21 channels for captioning </w:t>
      </w:r>
      <w:r w:rsidRPr="00F10F99">
        <w:rPr>
          <w:rFonts w:ascii="Arial" w:hAnsi="Arial" w:cs="Arial"/>
        </w:rPr>
        <w:t xml:space="preserve">would be approximately $955,000. </w:t>
      </w:r>
    </w:p>
    <w:p w14:paraId="375A8544" w14:textId="77777777" w:rsidR="00F10F99" w:rsidRPr="00F10F99" w:rsidRDefault="00F10F99" w:rsidP="00F10F99">
      <w:pPr>
        <w:pStyle w:val="ListParagraph"/>
        <w:numPr>
          <w:ilvl w:val="1"/>
          <w:numId w:val="1"/>
        </w:numPr>
        <w:spacing w:line="24" w:lineRule="atLeast"/>
        <w:rPr>
          <w:rFonts w:ascii="Arial" w:hAnsi="Arial" w:cs="Arial"/>
        </w:rPr>
      </w:pPr>
      <w:r w:rsidRPr="00F10F99">
        <w:rPr>
          <w:rFonts w:ascii="Arial" w:hAnsi="Arial" w:cs="Arial"/>
        </w:rPr>
        <w:t xml:space="preserve">Similar to MAA’s submission, ACCAN argued that the ACMA should adopt a similar approach to the one used in the UK for determining whether an applicant be excluded from meeting its captioning obligations. The ACMA’s response on this point is as per paragraph 4.51 above. </w:t>
      </w:r>
    </w:p>
    <w:p w14:paraId="26B75746" w14:textId="77777777" w:rsidR="00F10F99" w:rsidRDefault="00F10F99" w:rsidP="00F10F99">
      <w:pPr>
        <w:spacing w:after="0" w:line="24" w:lineRule="atLeast"/>
        <w:ind w:left="340"/>
        <w:rPr>
          <w:rFonts w:ascii="Arial" w:hAnsi="Arial" w:cs="Arial"/>
          <w:i/>
          <w:u w:val="single"/>
        </w:rPr>
      </w:pPr>
      <w:r w:rsidRPr="00F10F99">
        <w:rPr>
          <w:rFonts w:ascii="Arial" w:hAnsi="Arial" w:cs="Arial"/>
          <w:i/>
          <w:u w:val="single"/>
        </w:rPr>
        <w:t>Submission received from Deaf Australia</w:t>
      </w:r>
    </w:p>
    <w:p w14:paraId="629BDC8A" w14:textId="77777777" w:rsidR="00F10F99" w:rsidRDefault="00F10F99" w:rsidP="00F10F99">
      <w:pPr>
        <w:spacing w:after="0" w:line="24" w:lineRule="atLeast"/>
        <w:ind w:left="340"/>
        <w:rPr>
          <w:rFonts w:ascii="Arial" w:hAnsi="Arial" w:cs="Arial"/>
          <w:i/>
        </w:rPr>
      </w:pPr>
    </w:p>
    <w:p w14:paraId="1068783F"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Deaf Australia also objected to the ACMA granting an exemption order,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Pr>
          <w:rStyle w:val="FootnoteReference"/>
          <w:rFonts w:ascii="Arial" w:hAnsi="Arial" w:cs="Arial"/>
        </w:rPr>
        <w:footnoteReference w:id="1"/>
      </w:r>
      <w:r>
        <w:rPr>
          <w:rFonts w:ascii="Arial" w:hAnsi="Arial" w:cs="Arial"/>
        </w:rPr>
        <w:t>. Deaf Australia also referred to the principles of Universal Design referred to in the NDS, which call for products and services to be developed in such a way that they do not need specialised or adapted features to be used by everyone. Deaf Australia noted that the NDS quotes “captions on all visual material such as DVDs, television programs and videotapes”</w:t>
      </w:r>
      <w:r>
        <w:rPr>
          <w:rStyle w:val="FootnoteReference"/>
          <w:rFonts w:ascii="Arial" w:hAnsi="Arial" w:cs="Arial"/>
        </w:rPr>
        <w:footnoteReference w:id="2"/>
      </w:r>
      <w:r>
        <w:rPr>
          <w:rFonts w:ascii="Arial" w:hAnsi="Arial" w:cs="Arial"/>
        </w:rPr>
        <w:t xml:space="preserve"> as an example of universal design. </w:t>
      </w:r>
    </w:p>
    <w:p w14:paraId="12D9C1C3" w14:textId="77777777" w:rsidR="00F10F99" w:rsidRDefault="00F10F99" w:rsidP="00F10F99">
      <w:pPr>
        <w:pStyle w:val="ListParagraph"/>
        <w:spacing w:line="24" w:lineRule="atLeast"/>
        <w:ind w:left="1021"/>
        <w:rPr>
          <w:rFonts w:ascii="Arial" w:hAnsi="Arial" w:cs="Arial"/>
        </w:rPr>
      </w:pPr>
    </w:p>
    <w:p w14:paraId="46EB0425"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Deaf Australia also refers to the United Nations’ Convention on the Rights of Persons with Disabilities (the Convention), and in particular quotes the article of the Convention which refers to persons with disabilities having the right to enjoy access to television programmes, films, theatres and other cultural activities, in accessible formats. </w:t>
      </w:r>
    </w:p>
    <w:p w14:paraId="410AE305" w14:textId="77777777" w:rsidR="00F10F99" w:rsidRDefault="00F10F99" w:rsidP="00F10F99">
      <w:pPr>
        <w:pStyle w:val="ListParagraph"/>
        <w:rPr>
          <w:rFonts w:ascii="Arial" w:hAnsi="Arial" w:cs="Arial"/>
        </w:rPr>
      </w:pPr>
    </w:p>
    <w:p w14:paraId="59B42004"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In response to Deaf Australia’s submission, the ACMA recognises the importance of the NDS and the Convention. The ACMA’s decisions to make exemption orders are based on relevant evidence and the criteria specified in section 130ZY(5) of Part 9D of the BSA. The objectives of Part 9D of the BSA are directed at increasing access to television and as such are consistent with Australia’s international obligations under the Convention and domestic policies, such as the government’s social inclusion policy. This was noted in the Statement of Compatibility with Human Rights in the </w:t>
      </w:r>
      <w:r>
        <w:rPr>
          <w:rFonts w:ascii="Arial" w:hAnsi="Arial" w:cs="Arial"/>
          <w:i/>
        </w:rPr>
        <w:t>Explanatory Memorandum to the Broadcasting Services Amendment (Improved Access to Television Services) Bill 2012</w:t>
      </w:r>
      <w:r>
        <w:rPr>
          <w:rFonts w:ascii="Arial" w:hAnsi="Arial" w:cs="Arial"/>
        </w:rPr>
        <w:t>, which introduced Part 9D of the BSA.</w:t>
      </w:r>
    </w:p>
    <w:p w14:paraId="6E3D1430" w14:textId="77777777" w:rsidR="00F10F99" w:rsidRDefault="00F10F99" w:rsidP="00F10F99">
      <w:pPr>
        <w:pStyle w:val="ListParagraph"/>
        <w:rPr>
          <w:rFonts w:ascii="Arial" w:hAnsi="Arial" w:cs="Arial"/>
        </w:rPr>
      </w:pPr>
    </w:p>
    <w:p w14:paraId="383C745E"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The ACMA also notes that the NDS states that “each level of government has specific roles and responsibilities across the range of policies and programs that </w:t>
      </w:r>
      <w:r>
        <w:rPr>
          <w:rFonts w:ascii="Arial" w:hAnsi="Arial" w:cs="Arial"/>
        </w:rPr>
        <w:lastRenderedPageBreak/>
        <w:t>impact on people with disability, their families and carers. The Strategy does not change the nature of these roles and responsibilities, but seeks to create a more cohesive approach across all governments”</w:t>
      </w:r>
      <w:r>
        <w:rPr>
          <w:rStyle w:val="FootnoteReference"/>
          <w:rFonts w:ascii="Arial" w:hAnsi="Arial" w:cs="Arial"/>
        </w:rPr>
        <w:footnoteReference w:id="3"/>
      </w:r>
      <w:r>
        <w:rPr>
          <w:rFonts w:ascii="Arial" w:hAnsi="Arial" w:cs="Arial"/>
        </w:rPr>
        <w:t xml:space="preserve">. The ACMA’s roles and responsibilities includes granting exemption orders where an applicant meets the criteria specified in the BSA. </w:t>
      </w:r>
    </w:p>
    <w:p w14:paraId="0249089A" w14:textId="77777777" w:rsidR="00F10F99" w:rsidRDefault="00F10F99" w:rsidP="00F10F99">
      <w:pPr>
        <w:spacing w:after="0" w:line="24" w:lineRule="atLeast"/>
        <w:ind w:left="340"/>
        <w:rPr>
          <w:rFonts w:ascii="Arial" w:hAnsi="Arial" w:cs="Arial"/>
          <w:i/>
          <w:u w:val="single"/>
        </w:rPr>
      </w:pPr>
      <w:r>
        <w:rPr>
          <w:rFonts w:ascii="Arial" w:hAnsi="Arial" w:cs="Arial"/>
          <w:i/>
          <w:u w:val="single"/>
        </w:rPr>
        <w:t>Other submissions</w:t>
      </w:r>
    </w:p>
    <w:p w14:paraId="46DBB63D" w14:textId="77777777" w:rsidR="00F10F99" w:rsidRDefault="00F10F99" w:rsidP="00F10F99">
      <w:pPr>
        <w:spacing w:after="0" w:line="24" w:lineRule="atLeast"/>
        <w:ind w:left="340"/>
        <w:rPr>
          <w:rFonts w:ascii="Arial" w:hAnsi="Arial" w:cs="Arial"/>
          <w:i/>
        </w:rPr>
      </w:pPr>
    </w:p>
    <w:p w14:paraId="75EB2823" w14:textId="77777777" w:rsidR="00F10F99" w:rsidRDefault="00F10F99" w:rsidP="00F10F99">
      <w:pPr>
        <w:pStyle w:val="ListParagraph"/>
        <w:numPr>
          <w:ilvl w:val="1"/>
          <w:numId w:val="1"/>
        </w:numPr>
        <w:rPr>
          <w:rFonts w:ascii="Arial" w:hAnsi="Arial" w:cs="Arial"/>
        </w:rPr>
      </w:pPr>
      <w:r>
        <w:rPr>
          <w:rFonts w:ascii="Arial" w:hAnsi="Arial" w:cs="Arial"/>
        </w:rPr>
        <w:t xml:space="preserve">The ACMA received a further 16 submissions from members of the community (see </w:t>
      </w:r>
      <w:r>
        <w:rPr>
          <w:rFonts w:ascii="Arial" w:hAnsi="Arial" w:cs="Arial"/>
          <w:b/>
        </w:rPr>
        <w:t>Attachment B</w:t>
      </w:r>
      <w:r>
        <w:rPr>
          <w:rFonts w:ascii="Arial" w:hAnsi="Arial" w:cs="Arial"/>
        </w:rPr>
        <w:t xml:space="preserve">) in relation to all 17 exemption orders and four target reduction orders applied for by the Applicant in March 2017. The submitters are either deaf or hearing impaired, or have immediate family who is deaf or hearing impaired. All of these submissions asked the ACMA to not make the orders as it would be unfair and unequitable:  </w:t>
      </w:r>
    </w:p>
    <w:p w14:paraId="596FBFB9" w14:textId="77777777" w:rsidR="00F10F99" w:rsidRDefault="00F10F99" w:rsidP="00F10F99">
      <w:pPr>
        <w:pStyle w:val="ListParagraph"/>
        <w:numPr>
          <w:ilvl w:val="0"/>
          <w:numId w:val="6"/>
        </w:numPr>
        <w:rPr>
          <w:rFonts w:ascii="Arial" w:hAnsi="Arial" w:cs="Arial"/>
        </w:rPr>
      </w:pPr>
      <w:r>
        <w:rPr>
          <w:rFonts w:ascii="Arial" w:hAnsi="Arial" w:cs="Arial"/>
        </w:rPr>
        <w:t xml:space="preserve">Three of the submissions stated that the individuals concerned are Fetch TV subscribers and that they pay the same amount as other subscribers yet would have access to less content if the orders were granted. </w:t>
      </w:r>
    </w:p>
    <w:p w14:paraId="2F1B0389" w14:textId="77777777" w:rsidR="00F10F99" w:rsidRDefault="00F10F99" w:rsidP="00F10F99">
      <w:pPr>
        <w:pStyle w:val="ListParagraph"/>
        <w:numPr>
          <w:ilvl w:val="0"/>
          <w:numId w:val="6"/>
        </w:numPr>
        <w:rPr>
          <w:rFonts w:ascii="Arial" w:hAnsi="Arial" w:cs="Arial"/>
        </w:rPr>
      </w:pPr>
      <w:r>
        <w:rPr>
          <w:rFonts w:ascii="Arial" w:hAnsi="Arial" w:cs="Arial"/>
        </w:rPr>
        <w:t>The other 13 submissions stated that the individuals concerned would not subscribe to Fetch TV if the orders were granted, as they or their family members who are deaf or hearing impaired would not have access to the same amount of content as other subscribers.</w:t>
      </w:r>
    </w:p>
    <w:p w14:paraId="3A6364C1" w14:textId="77777777" w:rsidR="00F10F99" w:rsidRDefault="00F10F99" w:rsidP="00F10F99">
      <w:pPr>
        <w:pStyle w:val="ListParagraph"/>
        <w:spacing w:after="0" w:line="24" w:lineRule="atLeast"/>
        <w:ind w:left="1021"/>
        <w:rPr>
          <w:rFonts w:ascii="Arial" w:hAnsi="Arial" w:cs="Arial"/>
        </w:rPr>
      </w:pPr>
    </w:p>
    <w:p w14:paraId="121D0C9E"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 xml:space="preserve">The ACMA acknowledges that deaf and hearing impaired viewers will not have access to the same amount of content as a result of the Exemption Order being granted, and that this places deaf and hearing impaired viewers at a disadvantage. </w:t>
      </w:r>
    </w:p>
    <w:p w14:paraId="7F79CE54" w14:textId="77777777" w:rsidR="00F10F99" w:rsidRDefault="00F10F99" w:rsidP="00F10F99">
      <w:pPr>
        <w:pStyle w:val="ListParagraph"/>
        <w:rPr>
          <w:rFonts w:ascii="Arial" w:hAnsi="Arial" w:cs="Arial"/>
        </w:rPr>
      </w:pPr>
    </w:p>
    <w:p w14:paraId="7EED70E9"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w:t>
      </w:r>
    </w:p>
    <w:p w14:paraId="76119958" w14:textId="77777777" w:rsidR="00F10F99" w:rsidRDefault="00F10F99" w:rsidP="00F10F99">
      <w:pPr>
        <w:pStyle w:val="ListParagraph"/>
        <w:rPr>
          <w:rFonts w:ascii="Arial" w:hAnsi="Arial" w:cs="Arial"/>
        </w:rPr>
      </w:pPr>
    </w:p>
    <w:p w14:paraId="1C34CB2B" w14:textId="77777777" w:rsidR="00F10F99" w:rsidRDefault="00F10F99" w:rsidP="00F10F99">
      <w:pPr>
        <w:pStyle w:val="ListParagraph"/>
        <w:numPr>
          <w:ilvl w:val="1"/>
          <w:numId w:val="1"/>
        </w:numPr>
        <w:spacing w:after="0" w:line="24" w:lineRule="atLeast"/>
        <w:rPr>
          <w:rFonts w:ascii="Arial" w:hAnsi="Arial"/>
        </w:rPr>
      </w:pPr>
      <w:r>
        <w:rPr>
          <w:rFonts w:ascii="Arial" w:hAnsi="Arial"/>
        </w:rPr>
        <w:t xml:space="preserve">The ACMA </w:t>
      </w:r>
      <w:r>
        <w:rPr>
          <w:rFonts w:ascii="Arial" w:hAnsi="Arial" w:cs="Arial"/>
        </w:rPr>
        <w:t>considers</w:t>
      </w:r>
      <w:r>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 and its financial position. The ACMA considers the circumstances of each applicant on a case-by-case basis when determining whether to grant an exemption order. </w:t>
      </w:r>
      <w:r>
        <w:rPr>
          <w:rFonts w:ascii="Arial" w:hAnsi="Arial" w:cs="Arial"/>
          <w:i/>
          <w:highlight w:val="yellow"/>
        </w:rPr>
        <w:br/>
      </w:r>
    </w:p>
    <w:p w14:paraId="3062F063" w14:textId="77777777" w:rsidR="00F10F99" w:rsidRDefault="00F10F99" w:rsidP="00F10F99">
      <w:pPr>
        <w:spacing w:line="24" w:lineRule="atLeast"/>
        <w:ind w:left="720" w:hanging="380"/>
        <w:rPr>
          <w:rFonts w:ascii="Arial" w:hAnsi="Arial" w:cs="Arial"/>
          <w:i/>
          <w:u w:val="single"/>
        </w:rPr>
      </w:pPr>
      <w:r>
        <w:rPr>
          <w:rFonts w:ascii="Arial" w:hAnsi="Arial" w:cs="Arial"/>
          <w:i/>
          <w:u w:val="single"/>
        </w:rPr>
        <w:t>ACMA’s overall assessment of submissions related to this application</w:t>
      </w:r>
    </w:p>
    <w:p w14:paraId="5EACCF8B"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 xml:space="preserve">The ACMA acknowledges that, in making the decision whether to grant the Exemption Order, there was a tension between ensuring that the Service is accessible to deaf and hearing impaired viewers and ensuring the Service is available to any viewer who subscribes to the channel package which includes the Service. </w:t>
      </w:r>
    </w:p>
    <w:p w14:paraId="26A2EF93" w14:textId="77777777" w:rsidR="00F10F99" w:rsidRDefault="00F10F99" w:rsidP="00F10F99">
      <w:pPr>
        <w:pStyle w:val="ListParagraph"/>
        <w:spacing w:after="0" w:line="24" w:lineRule="atLeast"/>
        <w:ind w:left="1021"/>
        <w:rPr>
          <w:rFonts w:ascii="Arial" w:hAnsi="Arial" w:cs="Arial"/>
        </w:rPr>
      </w:pPr>
    </w:p>
    <w:p w14:paraId="53CD9957"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 xml:space="preserve">The Applicant advised the ACMA that if an exemption order was not granted, it would remove the Service from its channel offerings. The ACMA notes that the </w:t>
      </w:r>
      <w:r>
        <w:rPr>
          <w:rFonts w:ascii="Arial" w:hAnsi="Arial" w:cs="Arial"/>
        </w:rPr>
        <w:lastRenderedPageBreak/>
        <w:t xml:space="preserve">Applicant advised that it would do the same for any of the other 16 Services subject to exemption order applications if exemption was not granted. The ACMA acknowledges the impact this would have on the quality and quantity of content provided by the Applicant, and the further possible impacts the ACMA’s decision on competition within the subscription television market in Australia. </w:t>
      </w:r>
    </w:p>
    <w:p w14:paraId="11808EA0" w14:textId="77777777" w:rsidR="00F10F99" w:rsidRDefault="00F10F99" w:rsidP="00F10F99">
      <w:pPr>
        <w:pStyle w:val="ListParagraph"/>
        <w:spacing w:after="0" w:line="24" w:lineRule="atLeast"/>
        <w:ind w:left="1021"/>
        <w:rPr>
          <w:rFonts w:ascii="Arial" w:hAnsi="Arial" w:cs="Arial"/>
        </w:rPr>
      </w:pPr>
    </w:p>
    <w:p w14:paraId="0BEC58CF" w14:textId="58EC1D11" w:rsidR="00F10F99" w:rsidRDefault="00F10F99" w:rsidP="00F10F99">
      <w:pPr>
        <w:pStyle w:val="ListParagraph"/>
        <w:numPr>
          <w:ilvl w:val="1"/>
          <w:numId w:val="1"/>
        </w:numPr>
        <w:spacing w:after="0" w:line="24" w:lineRule="atLeast"/>
        <w:rPr>
          <w:rFonts w:ascii="Arial" w:hAnsi="Arial" w:cs="Arial"/>
        </w:rPr>
      </w:pPr>
      <w:r>
        <w:rPr>
          <w:rFonts w:ascii="Arial" w:hAnsi="Arial" w:cs="Arial"/>
        </w:rPr>
        <w:t>The ACMA also recognises that deaf and hearing impaired viewers who wish to watch the Service will be disadvantaged by the granting of the Exemption Order, and accordingly the ACMA does not make this decision lightly or without careful consideration. However, the ACMA is bound by the current legislative framework to take certain matters into consideration when determining whether to grant an exemption order, and to consider the various intents of the BSA, as set ou</w:t>
      </w:r>
      <w:r w:rsidR="00CB44AC">
        <w:rPr>
          <w:rFonts w:ascii="Arial" w:hAnsi="Arial" w:cs="Arial"/>
        </w:rPr>
        <w:t>t in the Explanatory Memorandum.</w:t>
      </w:r>
    </w:p>
    <w:p w14:paraId="0517B806" w14:textId="77777777" w:rsidR="00F10F99" w:rsidRDefault="00F10F99" w:rsidP="00F10F99">
      <w:pPr>
        <w:pStyle w:val="ListParagraph"/>
        <w:spacing w:after="0" w:line="24" w:lineRule="atLeast"/>
        <w:ind w:left="1021"/>
        <w:rPr>
          <w:rFonts w:ascii="Arial" w:hAnsi="Arial" w:cs="Arial"/>
        </w:rPr>
      </w:pPr>
      <w:r>
        <w:rPr>
          <w:rFonts w:ascii="Arial" w:hAnsi="Arial" w:cs="Arial"/>
        </w:rPr>
        <w:t xml:space="preserve"> </w:t>
      </w:r>
    </w:p>
    <w:p w14:paraId="79FB61D8" w14:textId="77777777" w:rsidR="00F10F99" w:rsidRDefault="00F10F99" w:rsidP="00F10F99">
      <w:pPr>
        <w:pStyle w:val="ListParagraph"/>
        <w:numPr>
          <w:ilvl w:val="1"/>
          <w:numId w:val="1"/>
        </w:numPr>
        <w:spacing w:after="0" w:line="24" w:lineRule="atLeast"/>
        <w:rPr>
          <w:rFonts w:ascii="Arial" w:hAnsi="Arial" w:cs="Arial"/>
        </w:rPr>
      </w:pPr>
      <w:r>
        <w:rPr>
          <w:rFonts w:ascii="Arial" w:hAnsi="Arial" w:cs="Arial"/>
        </w:rPr>
        <w:t>Based on the information provided by the Applicant and in submissions from MAA, ACCAN, Deaf Australia and other individuals, the ACMA is satisfied that a refusal and/or failure to make the Exemption Order would impose an unjustifiable hardship on the Applicant for the following reasons:</w:t>
      </w:r>
    </w:p>
    <w:p w14:paraId="3BE586FE" w14:textId="77777777" w:rsidR="00F10F99" w:rsidRDefault="00F10F99" w:rsidP="00F10F99">
      <w:pPr>
        <w:pStyle w:val="ListParagraph"/>
        <w:spacing w:line="240" w:lineRule="auto"/>
        <w:ind w:left="1021"/>
        <w:rPr>
          <w:rFonts w:ascii="Arial" w:hAnsi="Arial" w:cs="Arial"/>
          <w:highlight w:val="yellow"/>
        </w:rPr>
      </w:pPr>
    </w:p>
    <w:p w14:paraId="6F788AEC" w14:textId="77777777" w:rsidR="00F10F99" w:rsidRDefault="00F10F99" w:rsidP="00F10F99">
      <w:pPr>
        <w:pStyle w:val="ListParagraph"/>
        <w:numPr>
          <w:ilvl w:val="0"/>
          <w:numId w:val="7"/>
        </w:numPr>
        <w:spacing w:line="240" w:lineRule="auto"/>
        <w:rPr>
          <w:rFonts w:ascii="Arial" w:hAnsi="Arial" w:cs="Arial"/>
        </w:rPr>
      </w:pPr>
      <w:r>
        <w:rPr>
          <w:rFonts w:ascii="Arial" w:hAnsi="Arial" w:cs="Arial"/>
        </w:rPr>
        <w:t xml:space="preserve">A failure to make the Exemption Order for the Applicant was likely to result in the removal of a large number of television programs from Fetch TV’s channel offerings due to the financial situation of the Applicant and its difficulty in being able to incur the costs of providing captioning services at this point in time. </w:t>
      </w:r>
    </w:p>
    <w:p w14:paraId="7E7678F7" w14:textId="77777777" w:rsidR="00F10F99" w:rsidRDefault="00F10F99" w:rsidP="00F10F99">
      <w:pPr>
        <w:pStyle w:val="ListParagraph"/>
        <w:numPr>
          <w:ilvl w:val="0"/>
          <w:numId w:val="7"/>
        </w:numPr>
        <w:spacing w:line="240" w:lineRule="auto"/>
        <w:rPr>
          <w:rFonts w:ascii="Arial" w:hAnsi="Arial" w:cs="Arial"/>
        </w:rPr>
      </w:pPr>
      <w:r>
        <w:rPr>
          <w:rFonts w:ascii="Arial" w:hAnsi="Arial" w:cs="Arial"/>
        </w:rPr>
        <w:t>In turn, this would affect the quality and quantity of television programs offered by the Applicant.</w:t>
      </w:r>
    </w:p>
    <w:p w14:paraId="220B980A" w14:textId="77777777" w:rsidR="00F10F99" w:rsidRDefault="00F10F99" w:rsidP="00F10F99">
      <w:pPr>
        <w:pStyle w:val="ListParagraph"/>
        <w:numPr>
          <w:ilvl w:val="0"/>
          <w:numId w:val="7"/>
        </w:numPr>
        <w:spacing w:line="240" w:lineRule="auto"/>
        <w:rPr>
          <w:rFonts w:ascii="Arial" w:hAnsi="Arial" w:cs="Arial"/>
        </w:rPr>
      </w:pPr>
      <w:r>
        <w:rPr>
          <w:rFonts w:ascii="Arial" w:hAnsi="Arial" w:cs="Arial"/>
        </w:rPr>
        <w:t>The Service currently has a small viewing audience and the ACMA must take into account whether captioning obligations may create an administrative burden that is disproportionate to the public benefit of providing channels that have a small number of subscribers.</w:t>
      </w:r>
    </w:p>
    <w:p w14:paraId="31D4784C" w14:textId="77777777" w:rsidR="00F10F99" w:rsidRDefault="00F10F99" w:rsidP="00F10F99">
      <w:pPr>
        <w:spacing w:after="160" w:line="256" w:lineRule="auto"/>
        <w:rPr>
          <w:rFonts w:ascii="Arial" w:hAnsi="Arial" w:cs="Arial"/>
        </w:rPr>
      </w:pPr>
      <w:r>
        <w:rPr>
          <w:rFonts w:ascii="Arial" w:hAnsi="Arial" w:cs="Arial"/>
        </w:rPr>
        <w:br w:type="page"/>
      </w:r>
    </w:p>
    <w:p w14:paraId="3F17CC15" w14:textId="77777777" w:rsidR="00F10F99" w:rsidRDefault="00F10F99" w:rsidP="00F10F99">
      <w:pPr>
        <w:pStyle w:val="ListParagraph"/>
        <w:spacing w:line="240" w:lineRule="auto"/>
        <w:ind w:left="1381"/>
        <w:rPr>
          <w:rFonts w:ascii="Arial" w:hAnsi="Arial" w:cs="Arial"/>
        </w:rPr>
      </w:pPr>
    </w:p>
    <w:p w14:paraId="0EFD1E9E" w14:textId="77777777" w:rsidR="00F10F99" w:rsidRDefault="00F10F99" w:rsidP="00F10F99">
      <w:pPr>
        <w:pStyle w:val="ListParagraph"/>
        <w:rPr>
          <w:rFonts w:ascii="Arial" w:hAnsi="Arial" w:cs="Arial"/>
          <w:highlight w:val="yellow"/>
        </w:rPr>
      </w:pPr>
    </w:p>
    <w:p w14:paraId="1F8C56D6" w14:textId="77777777" w:rsidR="00F10F99" w:rsidRDefault="00F10F99" w:rsidP="00F10F99">
      <w:pPr>
        <w:pStyle w:val="ListParagraph"/>
        <w:numPr>
          <w:ilvl w:val="0"/>
          <w:numId w:val="1"/>
        </w:numPr>
        <w:spacing w:line="24" w:lineRule="atLeast"/>
        <w:ind w:left="283" w:hanging="357"/>
        <w:rPr>
          <w:rFonts w:ascii="Arial" w:hAnsi="Arial" w:cs="Arial"/>
          <w:b/>
        </w:rPr>
      </w:pPr>
      <w:r>
        <w:rPr>
          <w:rFonts w:ascii="Arial" w:hAnsi="Arial" w:cs="Arial"/>
          <w:b/>
        </w:rPr>
        <w:t>DECISION</w:t>
      </w:r>
    </w:p>
    <w:p w14:paraId="65EC1580" w14:textId="77777777" w:rsidR="00F10F99" w:rsidRDefault="00F10F99" w:rsidP="00F10F99">
      <w:pPr>
        <w:pStyle w:val="ListParagraph"/>
        <w:spacing w:line="24" w:lineRule="atLeast"/>
        <w:rPr>
          <w:rFonts w:ascii="Arial" w:hAnsi="Arial" w:cs="Arial"/>
        </w:rPr>
      </w:pPr>
    </w:p>
    <w:p w14:paraId="2D01AD76" w14:textId="77777777" w:rsidR="00F10F99" w:rsidRDefault="00F10F99" w:rsidP="00F10F99">
      <w:pPr>
        <w:pStyle w:val="ListParagraph"/>
        <w:numPr>
          <w:ilvl w:val="1"/>
          <w:numId w:val="1"/>
        </w:numPr>
        <w:spacing w:line="24" w:lineRule="atLeast"/>
        <w:rPr>
          <w:rFonts w:ascii="Arial" w:hAnsi="Arial" w:cs="Arial"/>
        </w:rPr>
      </w:pPr>
      <w:r>
        <w:rPr>
          <w:rFonts w:ascii="Arial" w:hAnsi="Arial" w:cs="Arial"/>
        </w:rPr>
        <w:t xml:space="preserve">Following consideration of the matters outlined </w:t>
      </w:r>
      <w:r w:rsidRPr="00F10F99">
        <w:rPr>
          <w:rFonts w:ascii="Arial" w:hAnsi="Arial" w:cs="Arial"/>
        </w:rPr>
        <w:t>above, on 19 May 2017 the ACMA decided, under subsection 130ZY(6) of the BSA, to make the Exemption Order in respect of the Service, for the Specified Eligible Period.</w:t>
      </w:r>
    </w:p>
    <w:p w14:paraId="3468592A" w14:textId="77777777" w:rsidR="00F10F99" w:rsidRDefault="00F10F99" w:rsidP="00F10F99">
      <w:pPr>
        <w:pStyle w:val="ListParagraph"/>
        <w:spacing w:line="24" w:lineRule="atLeast"/>
        <w:ind w:left="1021"/>
        <w:rPr>
          <w:rFonts w:ascii="Arial" w:hAnsi="Arial" w:cs="Arial"/>
        </w:rPr>
      </w:pPr>
    </w:p>
    <w:p w14:paraId="22317D2C" w14:textId="77777777" w:rsidR="00F10F99" w:rsidRDefault="00F10F99" w:rsidP="00F10F99">
      <w:pPr>
        <w:pStyle w:val="ListParagraph"/>
        <w:numPr>
          <w:ilvl w:val="0"/>
          <w:numId w:val="1"/>
        </w:numPr>
        <w:spacing w:line="24" w:lineRule="atLeast"/>
        <w:ind w:left="283" w:hanging="357"/>
        <w:rPr>
          <w:rFonts w:ascii="Arial" w:hAnsi="Arial" w:cs="Arial"/>
          <w:b/>
          <w:bCs/>
          <w:sz w:val="28"/>
          <w:szCs w:val="28"/>
        </w:rPr>
      </w:pPr>
      <w:r>
        <w:rPr>
          <w:rFonts w:ascii="Arial" w:hAnsi="Arial" w:cs="Arial"/>
          <w:b/>
        </w:rPr>
        <w:t>APPEAL RIGHTS</w:t>
      </w:r>
    </w:p>
    <w:p w14:paraId="5F9BBD73" w14:textId="77777777" w:rsidR="00F10F99" w:rsidRDefault="00F10F99" w:rsidP="00F10F99">
      <w:pPr>
        <w:ind w:left="993" w:hanging="709"/>
        <w:rPr>
          <w:rFonts w:ascii="Arial" w:hAnsi="Arial" w:cs="Arial"/>
        </w:rPr>
      </w:pPr>
      <w:r>
        <w:rPr>
          <w:rFonts w:ascii="Arial" w:hAnsi="Arial" w:cs="Arial"/>
        </w:rPr>
        <w:t>6.1</w:t>
      </w:r>
      <w:r>
        <w:rPr>
          <w:rFonts w:ascii="Arial" w:hAnsi="Arial" w:cs="Arial"/>
        </w:rPr>
        <w:tab/>
        <w:t>Under section 204 of the BSA, a person whose interests are affected by this decision to make the Exemption Order may apply to the AAT for a review of this decision.</w:t>
      </w:r>
    </w:p>
    <w:p w14:paraId="74BFD504" w14:textId="77777777" w:rsidR="00F10F99" w:rsidRDefault="00F10F99" w:rsidP="00F10F99">
      <w:pPr>
        <w:ind w:left="993" w:hanging="709"/>
        <w:rPr>
          <w:rFonts w:ascii="Arial" w:hAnsi="Arial" w:cs="Arial"/>
        </w:rPr>
      </w:pPr>
      <w:r>
        <w:rPr>
          <w:rFonts w:ascii="Arial" w:hAnsi="Arial" w:cs="Arial"/>
        </w:rPr>
        <w:t>6.2</w:t>
      </w:r>
      <w:r>
        <w:rPr>
          <w:rFonts w:ascii="Arial" w:hAnsi="Arial" w:cs="Arial"/>
        </w:rPr>
        <w:tab/>
        <w:t xml:space="preserve">Section 29 of the </w:t>
      </w:r>
      <w:r>
        <w:rPr>
          <w:rFonts w:ascii="Arial" w:hAnsi="Arial" w:cs="Arial"/>
          <w:i/>
          <w:iCs/>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7E5BFE66" w14:textId="760E200A" w:rsidR="00F10F99" w:rsidRDefault="00F10F99" w:rsidP="00F10F99">
      <w:pPr>
        <w:ind w:left="993" w:hanging="709"/>
        <w:rPr>
          <w:rFonts w:ascii="Arial" w:hAnsi="Arial" w:cs="Arial"/>
        </w:rPr>
      </w:pPr>
      <w:r>
        <w:rPr>
          <w:rFonts w:ascii="Arial" w:hAnsi="Arial" w:cs="Arial"/>
        </w:rPr>
        <w:t>6.3</w:t>
      </w:r>
      <w:r>
        <w:rPr>
          <w:rFonts w:ascii="Arial" w:hAnsi="Arial" w:cs="Arial"/>
        </w:rPr>
        <w:tab/>
        <w:t xml:space="preserve">Further information about making an application for review can be obtained through the Administrative Appeals Tribunal website at </w:t>
      </w:r>
      <w:hyperlink r:id="rId12" w:history="1">
        <w:r w:rsidR="00F61D16" w:rsidRPr="00243306">
          <w:rPr>
            <w:rStyle w:val="Hyperlink"/>
            <w:rFonts w:ascii="Arial" w:hAnsi="Arial" w:cs="Arial"/>
          </w:rPr>
          <w:t>www.aat.gov.au</w:t>
        </w:r>
      </w:hyperlink>
      <w:r w:rsidR="00F61D16">
        <w:rPr>
          <w:rFonts w:ascii="Arial" w:hAnsi="Arial" w:cs="Arial"/>
        </w:rPr>
        <w:t xml:space="preserve"> </w:t>
      </w:r>
      <w:r>
        <w:rPr>
          <w:rFonts w:ascii="Arial" w:hAnsi="Arial" w:cs="Arial"/>
        </w:rPr>
        <w:t xml:space="preserve"> or by telephoning the Tribunal on 1300 366 700.</w:t>
      </w:r>
    </w:p>
    <w:p w14:paraId="2A3B8A50" w14:textId="77777777" w:rsidR="00F10F99" w:rsidRDefault="00F10F99" w:rsidP="00F10F99">
      <w:pPr>
        <w:rPr>
          <w:rFonts w:ascii="Calibri" w:hAnsi="Calibri" w:cs="Times New Roman"/>
          <w:color w:val="1F497D"/>
        </w:rPr>
      </w:pPr>
    </w:p>
    <w:p w14:paraId="4935F142" w14:textId="77777777" w:rsidR="00F10F99" w:rsidRDefault="00F10F99" w:rsidP="00F10F99">
      <w:pPr>
        <w:spacing w:line="24" w:lineRule="atLeast"/>
        <w:ind w:left="340"/>
        <w:rPr>
          <w:rFonts w:ascii="Arial" w:hAnsi="Arial" w:cs="Arial"/>
        </w:rPr>
      </w:pPr>
    </w:p>
    <w:p w14:paraId="357554C8" w14:textId="77777777" w:rsidR="00F10F99" w:rsidRDefault="00F10F99" w:rsidP="00F10F99">
      <w:pPr>
        <w:pStyle w:val="ACMAHeading2"/>
        <w:pageBreakBefore/>
        <w:spacing w:after="240" w:line="24" w:lineRule="atLeast"/>
        <w:jc w:val="right"/>
        <w:rPr>
          <w:rFonts w:cs="Arial"/>
        </w:rPr>
      </w:pPr>
      <w:r>
        <w:rPr>
          <w:rFonts w:cs="Arial"/>
        </w:rPr>
        <w:lastRenderedPageBreak/>
        <w:t>Attachment A</w:t>
      </w:r>
    </w:p>
    <w:p w14:paraId="71425465" w14:textId="77777777" w:rsidR="00F10F99" w:rsidRDefault="00F10F99" w:rsidP="00F10F99">
      <w:pPr>
        <w:pStyle w:val="ACMABodyText"/>
        <w:spacing w:line="24" w:lineRule="atLeast"/>
        <w:rPr>
          <w:rFonts w:ascii="Arial" w:hAnsi="Arial" w:cs="Arial"/>
          <w:b/>
          <w:sz w:val="28"/>
          <w:szCs w:val="28"/>
        </w:rPr>
      </w:pPr>
      <w:r>
        <w:rPr>
          <w:rFonts w:ascii="Arial" w:hAnsi="Arial" w:cs="Arial"/>
          <w:b/>
          <w:sz w:val="28"/>
        </w:rPr>
        <w:t xml:space="preserve">Relevant </w:t>
      </w:r>
      <w:r>
        <w:rPr>
          <w:rFonts w:ascii="Arial" w:hAnsi="Arial" w:cs="Arial"/>
          <w:b/>
          <w:sz w:val="28"/>
          <w:szCs w:val="28"/>
        </w:rPr>
        <w:t>provisions of the BSA</w:t>
      </w:r>
    </w:p>
    <w:p w14:paraId="18AC9B6F" w14:textId="77777777" w:rsidR="00F10F99" w:rsidRDefault="00F10F99" w:rsidP="00F10F99">
      <w:pPr>
        <w:pStyle w:val="acthead3"/>
        <w:spacing w:line="24" w:lineRule="atLeast"/>
        <w:rPr>
          <w:rFonts w:ascii="Arial" w:hAnsi="Arial" w:cs="Arial"/>
          <w:b/>
          <w:iCs/>
          <w:szCs w:val="26"/>
        </w:rPr>
      </w:pPr>
      <w:r>
        <w:rPr>
          <w:rFonts w:ascii="Arial" w:hAnsi="Arial" w:cs="Arial"/>
          <w:b/>
          <w:iCs/>
          <w:szCs w:val="26"/>
        </w:rPr>
        <w:t>Part 9D of the BSA — Captioning</w:t>
      </w:r>
    </w:p>
    <w:p w14:paraId="3A49335C" w14:textId="77777777" w:rsidR="00CB44AC" w:rsidRDefault="00F10F99" w:rsidP="00CB44AC">
      <w:pPr>
        <w:pStyle w:val="acthead3"/>
        <w:spacing w:line="24" w:lineRule="atLeast"/>
        <w:rPr>
          <w:rFonts w:ascii="Arial" w:hAnsi="Arial" w:cs="Arial"/>
          <w:b/>
          <w:sz w:val="20"/>
        </w:rPr>
      </w:pPr>
      <w:r>
        <w:rPr>
          <w:rFonts w:ascii="Arial" w:hAnsi="Arial" w:cs="Arial"/>
          <w:b/>
          <w:sz w:val="20"/>
        </w:rPr>
        <w:t>Exemption orders and target reduction orders--unjustifiable hardship</w:t>
      </w:r>
    </w:p>
    <w:p w14:paraId="42661E25" w14:textId="25441C1A" w:rsidR="00F10F99" w:rsidRPr="00CB44AC" w:rsidRDefault="00F10F99" w:rsidP="00CB44AC">
      <w:pPr>
        <w:pStyle w:val="acthead3"/>
        <w:spacing w:line="24" w:lineRule="atLeast"/>
        <w:rPr>
          <w:rFonts w:ascii="Arial" w:hAnsi="Arial" w:cs="Arial"/>
          <w:b/>
          <w:sz w:val="20"/>
        </w:rPr>
      </w:pPr>
      <w:r>
        <w:rPr>
          <w:rFonts w:ascii="Arial" w:hAnsi="Arial" w:cs="Arial"/>
          <w:i/>
          <w:sz w:val="18"/>
          <w:szCs w:val="18"/>
        </w:rPr>
        <w:t>Criteria for making exemption order or target reduction order</w:t>
      </w:r>
    </w:p>
    <w:p w14:paraId="629F4AD4" w14:textId="77777777" w:rsidR="00F10F99" w:rsidRDefault="00F10F99" w:rsidP="00F10F99">
      <w:pPr>
        <w:pStyle w:val="subsection"/>
        <w:spacing w:before="80" w:beforeAutospacing="0" w:after="120" w:afterAutospacing="0" w:line="24" w:lineRule="atLeast"/>
        <w:ind w:left="851" w:right="567" w:hanging="284"/>
        <w:rPr>
          <w:rFonts w:ascii="Arial" w:hAnsi="Arial" w:cs="Arial"/>
          <w:sz w:val="18"/>
          <w:szCs w:val="18"/>
        </w:rPr>
      </w:pPr>
      <w:r>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14069B9B" w14:textId="77777777" w:rsidR="00F10F99" w:rsidRDefault="00F10F99" w:rsidP="00F10F99">
      <w:pPr>
        <w:pStyle w:val="subsection"/>
        <w:spacing w:before="80" w:beforeAutospacing="0" w:after="120" w:afterAutospacing="0" w:line="24" w:lineRule="atLeast"/>
        <w:ind w:left="851" w:right="567" w:hanging="284"/>
        <w:rPr>
          <w:rFonts w:ascii="Arial" w:hAnsi="Arial" w:cs="Arial"/>
          <w:sz w:val="18"/>
          <w:szCs w:val="18"/>
        </w:rPr>
      </w:pPr>
      <w:r>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5C8C550F"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nature of the detriment likely to be suffered by the applicant;</w:t>
      </w:r>
    </w:p>
    <w:p w14:paraId="0EA812CB"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60E5B043"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number of people who subscribe to the subscription television service concerned;</w:t>
      </w:r>
    </w:p>
    <w:p w14:paraId="66A7F538"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financial circumstances of the applicant;</w:t>
      </w:r>
    </w:p>
    <w:p w14:paraId="54776159"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estimated amount of expenditure that the applicant would be required to make if there was a failure to make the exemption order or target reduction order, as the case may be;</w:t>
      </w:r>
    </w:p>
    <w:p w14:paraId="02DE84C7"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extent to which captioning services are provided by the applicant for television programs transmitted on subscription television services provided by the applicant;</w:t>
      </w:r>
    </w:p>
    <w:p w14:paraId="2D9879EC"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4D8A0BFB"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43FA8456" w14:textId="77777777" w:rsidR="00F10F99" w:rsidRDefault="00F10F99" w:rsidP="00F10F99">
      <w:pPr>
        <w:numPr>
          <w:ilvl w:val="0"/>
          <w:numId w:val="8"/>
        </w:numPr>
        <w:spacing w:after="240" w:line="24" w:lineRule="atLeast"/>
        <w:ind w:left="993"/>
        <w:rPr>
          <w:rFonts w:ascii="Arial" w:hAnsi="Arial" w:cs="Arial"/>
          <w:sz w:val="18"/>
          <w:szCs w:val="20"/>
        </w:rPr>
      </w:pPr>
      <w:r>
        <w:rPr>
          <w:rFonts w:ascii="Arial" w:hAnsi="Arial" w:cs="Arial"/>
          <w:sz w:val="18"/>
          <w:szCs w:val="20"/>
        </w:rPr>
        <w:t>such other matters (if any) as the ACMA considers relevant.</w:t>
      </w:r>
    </w:p>
    <w:p w14:paraId="7CB39D26" w14:textId="77777777" w:rsidR="00F10F99" w:rsidRDefault="00F10F99" w:rsidP="00F10F99">
      <w:pPr>
        <w:pStyle w:val="subsection"/>
        <w:spacing w:before="80" w:beforeAutospacing="0" w:after="120" w:afterAutospacing="0" w:line="24" w:lineRule="atLeast"/>
        <w:ind w:right="567"/>
        <w:rPr>
          <w:rFonts w:ascii="Arial" w:hAnsi="Arial" w:cs="Arial"/>
          <w:b/>
        </w:rPr>
      </w:pPr>
    </w:p>
    <w:p w14:paraId="11A0A6B4" w14:textId="77777777" w:rsidR="00F10F99" w:rsidRDefault="00F10F99" w:rsidP="00F10F99"/>
    <w:p w14:paraId="5B281072" w14:textId="77777777" w:rsidR="00F10F99" w:rsidRDefault="00F10F99" w:rsidP="00F10F99">
      <w:pPr>
        <w:spacing w:after="160" w:line="256" w:lineRule="auto"/>
      </w:pPr>
      <w:r>
        <w:br w:type="page"/>
      </w:r>
    </w:p>
    <w:p w14:paraId="2B0BC313" w14:textId="77777777" w:rsidR="00F10F99" w:rsidRDefault="00F10F99" w:rsidP="00F10F99">
      <w:pPr>
        <w:pStyle w:val="ACMAHeading2"/>
        <w:pageBreakBefore/>
        <w:spacing w:after="240" w:line="24" w:lineRule="atLeast"/>
        <w:jc w:val="right"/>
        <w:rPr>
          <w:rFonts w:cs="Arial"/>
        </w:rPr>
      </w:pPr>
      <w:r>
        <w:rPr>
          <w:rFonts w:cs="Arial"/>
        </w:rPr>
        <w:lastRenderedPageBreak/>
        <w:t>Attachment B</w:t>
      </w:r>
    </w:p>
    <w:p w14:paraId="7D478BB0" w14:textId="77777777" w:rsidR="00F10F99" w:rsidRDefault="00F10F99" w:rsidP="00F10F99">
      <w:pPr>
        <w:pStyle w:val="ACMABodyText"/>
        <w:spacing w:line="24" w:lineRule="atLeast"/>
        <w:rPr>
          <w:rFonts w:ascii="Arial" w:hAnsi="Arial" w:cs="Arial"/>
          <w:b/>
          <w:sz w:val="28"/>
        </w:rPr>
      </w:pPr>
      <w:r>
        <w:rPr>
          <w:rFonts w:ascii="Arial" w:hAnsi="Arial" w:cs="Arial"/>
          <w:b/>
          <w:sz w:val="28"/>
        </w:rPr>
        <w:t>Submissions received</w:t>
      </w:r>
    </w:p>
    <w:p w14:paraId="3CC6CC55" w14:textId="77777777" w:rsidR="00F10F99" w:rsidRDefault="00F10F99" w:rsidP="00F10F99">
      <w:pPr>
        <w:pStyle w:val="ACMABodyText"/>
        <w:spacing w:line="24" w:lineRule="atLeast"/>
        <w:rPr>
          <w:rFonts w:ascii="Arial" w:hAnsi="Arial" w:cs="Arial"/>
          <w:b/>
          <w:sz w:val="28"/>
          <w:szCs w:val="28"/>
        </w:rPr>
      </w:pPr>
    </w:p>
    <w:tbl>
      <w:tblPr>
        <w:tblStyle w:val="TableGrid"/>
        <w:tblW w:w="0" w:type="auto"/>
        <w:tblLook w:val="04A0" w:firstRow="1" w:lastRow="0" w:firstColumn="1" w:lastColumn="0" w:noHBand="0" w:noVBand="1"/>
        <w:tblCaption w:val="Submissions received"/>
        <w:tblDescription w:val="The ACMA received 16 submissions from individuals objecting to the exemption orders and target reduction orders which Fetch TV applied for being granted. They objected on the grounds that they or a family member was deaf or hard of hearing and either currently subscribes to Fetch TV and would not be able to enjoy it fully, or was considering subscribing to Fetch TV but would not do so if the orders were granted. Submissions were also received from Media Access Australia, Deaf Australia and the Australian Communications Consumer Action Network.  "/>
      </w:tblPr>
      <w:tblGrid>
        <w:gridCol w:w="704"/>
        <w:gridCol w:w="2835"/>
        <w:gridCol w:w="5478"/>
      </w:tblGrid>
      <w:tr w:rsidR="00F10F99" w14:paraId="1944CD8C" w14:textId="77777777" w:rsidTr="00CB44AC">
        <w:trPr>
          <w:tblHeader/>
        </w:trPr>
        <w:tc>
          <w:tcPr>
            <w:tcW w:w="704" w:type="dxa"/>
            <w:tcBorders>
              <w:top w:val="single" w:sz="4" w:space="0" w:color="auto"/>
              <w:left w:val="single" w:sz="4" w:space="0" w:color="auto"/>
              <w:bottom w:val="single" w:sz="4" w:space="0" w:color="auto"/>
              <w:right w:val="single" w:sz="4" w:space="0" w:color="auto"/>
            </w:tcBorders>
            <w:hideMark/>
          </w:tcPr>
          <w:p w14:paraId="3199BA36" w14:textId="77777777" w:rsidR="00F10F99" w:rsidRDefault="00F10F99">
            <w:pPr>
              <w:pStyle w:val="ACMABodyText"/>
              <w:spacing w:line="24" w:lineRule="atLeast"/>
              <w:rPr>
                <w:rFonts w:ascii="Arial" w:hAnsi="Arial" w:cs="Arial"/>
                <w:b/>
                <w:sz w:val="20"/>
              </w:rPr>
            </w:pPr>
            <w:r>
              <w:rPr>
                <w:rFonts w:ascii="Arial" w:hAnsi="Arial" w:cs="Arial"/>
                <w:b/>
                <w:sz w:val="20"/>
              </w:rPr>
              <w:t xml:space="preserve">No. </w:t>
            </w:r>
          </w:p>
        </w:tc>
        <w:tc>
          <w:tcPr>
            <w:tcW w:w="2835" w:type="dxa"/>
            <w:tcBorders>
              <w:top w:val="single" w:sz="4" w:space="0" w:color="auto"/>
              <w:left w:val="single" w:sz="4" w:space="0" w:color="auto"/>
              <w:bottom w:val="single" w:sz="4" w:space="0" w:color="auto"/>
              <w:right w:val="single" w:sz="4" w:space="0" w:color="auto"/>
            </w:tcBorders>
            <w:hideMark/>
          </w:tcPr>
          <w:p w14:paraId="71898195" w14:textId="77777777" w:rsidR="00F10F99" w:rsidRDefault="00F10F99">
            <w:pPr>
              <w:pStyle w:val="ACMABodyText"/>
              <w:spacing w:line="24" w:lineRule="atLeast"/>
              <w:rPr>
                <w:rFonts w:ascii="Arial" w:hAnsi="Arial" w:cs="Arial"/>
                <w:b/>
                <w:sz w:val="20"/>
              </w:rPr>
            </w:pPr>
            <w:r>
              <w:rPr>
                <w:rFonts w:ascii="Arial" w:hAnsi="Arial" w:cs="Arial"/>
                <w:b/>
                <w:sz w:val="20"/>
              </w:rPr>
              <w:t>Name of submitter</w:t>
            </w:r>
          </w:p>
        </w:tc>
        <w:tc>
          <w:tcPr>
            <w:tcW w:w="5478" w:type="dxa"/>
            <w:tcBorders>
              <w:top w:val="single" w:sz="4" w:space="0" w:color="auto"/>
              <w:left w:val="single" w:sz="4" w:space="0" w:color="auto"/>
              <w:bottom w:val="single" w:sz="4" w:space="0" w:color="auto"/>
              <w:right w:val="single" w:sz="4" w:space="0" w:color="auto"/>
            </w:tcBorders>
            <w:hideMark/>
          </w:tcPr>
          <w:p w14:paraId="433D1469" w14:textId="77777777" w:rsidR="00F10F99" w:rsidRDefault="00F10F99">
            <w:pPr>
              <w:pStyle w:val="ACMABodyText"/>
              <w:spacing w:line="24" w:lineRule="atLeast"/>
              <w:rPr>
                <w:rFonts w:ascii="Arial" w:hAnsi="Arial" w:cs="Arial"/>
                <w:b/>
                <w:sz w:val="20"/>
              </w:rPr>
            </w:pPr>
            <w:r>
              <w:rPr>
                <w:rFonts w:ascii="Arial" w:hAnsi="Arial" w:cs="Arial"/>
                <w:b/>
                <w:sz w:val="20"/>
              </w:rPr>
              <w:t>Summary of submission</w:t>
            </w:r>
          </w:p>
        </w:tc>
      </w:tr>
      <w:tr w:rsidR="00F10F99" w14:paraId="0675E20E"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7F8E3FAF" w14:textId="77777777" w:rsidR="00F10F99" w:rsidRDefault="00F10F99">
            <w:pPr>
              <w:pStyle w:val="ACMABodyText"/>
              <w:spacing w:line="24" w:lineRule="atLeast"/>
              <w:rPr>
                <w:rFonts w:ascii="Arial" w:hAnsi="Arial" w:cs="Arial"/>
                <w:sz w:val="20"/>
              </w:rPr>
            </w:pPr>
            <w:r>
              <w:rPr>
                <w:rFonts w:ascii="Arial" w:hAnsi="Arial" w:cs="Arial"/>
                <w:sz w:val="20"/>
              </w:rPr>
              <w:t>1</w:t>
            </w:r>
          </w:p>
        </w:tc>
        <w:tc>
          <w:tcPr>
            <w:tcW w:w="2835" w:type="dxa"/>
            <w:tcBorders>
              <w:top w:val="single" w:sz="4" w:space="0" w:color="auto"/>
              <w:left w:val="single" w:sz="4" w:space="0" w:color="auto"/>
              <w:bottom w:val="single" w:sz="4" w:space="0" w:color="auto"/>
              <w:right w:val="single" w:sz="4" w:space="0" w:color="auto"/>
            </w:tcBorders>
            <w:hideMark/>
          </w:tcPr>
          <w:p w14:paraId="0F2E15E3" w14:textId="77777777" w:rsidR="00F10F99" w:rsidRDefault="00F10F99">
            <w:pPr>
              <w:pStyle w:val="ACMABodyText"/>
              <w:spacing w:line="24" w:lineRule="atLeast"/>
              <w:rPr>
                <w:rFonts w:ascii="Arial" w:hAnsi="Arial" w:cs="Arial"/>
                <w:sz w:val="20"/>
              </w:rPr>
            </w:pPr>
            <w:r>
              <w:rPr>
                <w:rFonts w:ascii="Arial" w:hAnsi="Arial" w:cs="Arial"/>
                <w:sz w:val="20"/>
              </w:rPr>
              <w:t>Chris Blackham-Davison</w:t>
            </w:r>
          </w:p>
        </w:tc>
        <w:tc>
          <w:tcPr>
            <w:tcW w:w="5478" w:type="dxa"/>
            <w:tcBorders>
              <w:top w:val="single" w:sz="4" w:space="0" w:color="auto"/>
              <w:left w:val="single" w:sz="4" w:space="0" w:color="auto"/>
              <w:bottom w:val="single" w:sz="4" w:space="0" w:color="auto"/>
              <w:right w:val="single" w:sz="4" w:space="0" w:color="auto"/>
            </w:tcBorders>
            <w:hideMark/>
          </w:tcPr>
          <w:p w14:paraId="760A5BEF" w14:textId="77777777" w:rsidR="00F10F99" w:rsidRDefault="00F10F99">
            <w:pPr>
              <w:pStyle w:val="ACMABodyText"/>
              <w:spacing w:line="24" w:lineRule="atLeast"/>
              <w:rPr>
                <w:rFonts w:ascii="Arial" w:hAnsi="Arial" w:cs="Arial"/>
                <w:sz w:val="20"/>
              </w:rPr>
            </w:pPr>
            <w:r>
              <w:rPr>
                <w:rFonts w:ascii="Arial" w:hAnsi="Arial" w:cs="Arial"/>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F10F99" w14:paraId="39A81C86"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736DDADF" w14:textId="77777777" w:rsidR="00F10F99" w:rsidRDefault="00F10F99">
            <w:pPr>
              <w:pStyle w:val="ACMABodyText"/>
              <w:spacing w:line="24" w:lineRule="atLeast"/>
              <w:rPr>
                <w:rFonts w:ascii="Arial" w:hAnsi="Arial" w:cs="Arial"/>
                <w:sz w:val="20"/>
              </w:rPr>
            </w:pPr>
            <w:r>
              <w:rPr>
                <w:rFonts w:ascii="Arial" w:hAnsi="Arial" w:cs="Arial"/>
                <w:sz w:val="20"/>
              </w:rPr>
              <w:t>2</w:t>
            </w:r>
          </w:p>
        </w:tc>
        <w:tc>
          <w:tcPr>
            <w:tcW w:w="2835" w:type="dxa"/>
            <w:tcBorders>
              <w:top w:val="single" w:sz="4" w:space="0" w:color="auto"/>
              <w:left w:val="single" w:sz="4" w:space="0" w:color="auto"/>
              <w:bottom w:val="single" w:sz="4" w:space="0" w:color="auto"/>
              <w:right w:val="single" w:sz="4" w:space="0" w:color="auto"/>
            </w:tcBorders>
            <w:hideMark/>
          </w:tcPr>
          <w:p w14:paraId="58728828" w14:textId="77777777" w:rsidR="00F10F99" w:rsidRDefault="00F10F99">
            <w:pPr>
              <w:pStyle w:val="ACMABodyText"/>
              <w:spacing w:line="24" w:lineRule="atLeast"/>
              <w:rPr>
                <w:rFonts w:ascii="Arial" w:hAnsi="Arial" w:cs="Arial"/>
                <w:sz w:val="20"/>
              </w:rPr>
            </w:pPr>
            <w:r>
              <w:rPr>
                <w:rFonts w:ascii="Arial" w:hAnsi="Arial" w:cs="Arial"/>
                <w:sz w:val="20"/>
              </w:rPr>
              <w:t>Kara Weslake</w:t>
            </w:r>
          </w:p>
        </w:tc>
        <w:tc>
          <w:tcPr>
            <w:tcW w:w="5478" w:type="dxa"/>
            <w:tcBorders>
              <w:top w:val="single" w:sz="4" w:space="0" w:color="auto"/>
              <w:left w:val="single" w:sz="4" w:space="0" w:color="auto"/>
              <w:bottom w:val="single" w:sz="4" w:space="0" w:color="auto"/>
              <w:right w:val="single" w:sz="4" w:space="0" w:color="auto"/>
            </w:tcBorders>
            <w:hideMark/>
          </w:tcPr>
          <w:p w14:paraId="3CDE5D25" w14:textId="77777777" w:rsidR="00F10F99" w:rsidRDefault="00F10F99">
            <w:pPr>
              <w:pStyle w:val="ACMABodyText"/>
              <w:spacing w:line="24" w:lineRule="atLeast"/>
              <w:rPr>
                <w:rFonts w:ascii="Arial" w:hAnsi="Arial" w:cs="Arial"/>
                <w:sz w:val="20"/>
              </w:rPr>
            </w:pPr>
            <w:r>
              <w:rPr>
                <w:rFonts w:ascii="Arial" w:hAnsi="Arial" w:cs="Arial"/>
                <w:sz w:val="20"/>
              </w:rPr>
              <w:t xml:space="preserve">This submission contained content and statements identical to Submission 1. </w:t>
            </w:r>
          </w:p>
        </w:tc>
      </w:tr>
      <w:tr w:rsidR="00F10F99" w14:paraId="6759B887"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015B107C" w14:textId="77777777" w:rsidR="00F10F99" w:rsidRDefault="00F10F99">
            <w:pPr>
              <w:pStyle w:val="ACMABodyText"/>
              <w:spacing w:line="24" w:lineRule="atLeast"/>
              <w:rPr>
                <w:rFonts w:ascii="Arial" w:hAnsi="Arial" w:cs="Arial"/>
                <w:sz w:val="20"/>
              </w:rPr>
            </w:pPr>
            <w:r>
              <w:rPr>
                <w:rFonts w:ascii="Arial" w:hAnsi="Arial" w:cs="Arial"/>
                <w:sz w:val="20"/>
              </w:rPr>
              <w:t>3</w:t>
            </w:r>
          </w:p>
        </w:tc>
        <w:tc>
          <w:tcPr>
            <w:tcW w:w="2835" w:type="dxa"/>
            <w:tcBorders>
              <w:top w:val="single" w:sz="4" w:space="0" w:color="auto"/>
              <w:left w:val="single" w:sz="4" w:space="0" w:color="auto"/>
              <w:bottom w:val="single" w:sz="4" w:space="0" w:color="auto"/>
              <w:right w:val="single" w:sz="4" w:space="0" w:color="auto"/>
            </w:tcBorders>
            <w:hideMark/>
          </w:tcPr>
          <w:p w14:paraId="1D940352" w14:textId="77777777" w:rsidR="00F10F99" w:rsidRDefault="00F10F99">
            <w:pPr>
              <w:pStyle w:val="ACMABodyText"/>
              <w:spacing w:line="24" w:lineRule="atLeast"/>
              <w:rPr>
                <w:rFonts w:ascii="Arial" w:hAnsi="Arial" w:cs="Arial"/>
                <w:sz w:val="20"/>
              </w:rPr>
            </w:pPr>
            <w:r>
              <w:rPr>
                <w:rFonts w:ascii="Arial" w:hAnsi="Arial" w:cs="Arial"/>
                <w:sz w:val="20"/>
              </w:rPr>
              <w:t>Gail Finn</w:t>
            </w:r>
          </w:p>
        </w:tc>
        <w:tc>
          <w:tcPr>
            <w:tcW w:w="5478" w:type="dxa"/>
            <w:tcBorders>
              <w:top w:val="single" w:sz="4" w:space="0" w:color="auto"/>
              <w:left w:val="single" w:sz="4" w:space="0" w:color="auto"/>
              <w:bottom w:val="single" w:sz="4" w:space="0" w:color="auto"/>
              <w:right w:val="single" w:sz="4" w:space="0" w:color="auto"/>
            </w:tcBorders>
            <w:hideMark/>
          </w:tcPr>
          <w:p w14:paraId="525022F3"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10B1BC89"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7808F8F1" w14:textId="77777777" w:rsidR="00F10F99" w:rsidRDefault="00F10F99">
            <w:pPr>
              <w:pStyle w:val="ACMABodyText"/>
              <w:spacing w:line="24" w:lineRule="atLeast"/>
              <w:rPr>
                <w:rFonts w:ascii="Arial" w:hAnsi="Arial" w:cs="Arial"/>
                <w:sz w:val="20"/>
              </w:rPr>
            </w:pPr>
            <w:r>
              <w:rPr>
                <w:rFonts w:ascii="Arial" w:hAnsi="Arial" w:cs="Arial"/>
                <w:sz w:val="20"/>
              </w:rPr>
              <w:t>4</w:t>
            </w:r>
          </w:p>
        </w:tc>
        <w:tc>
          <w:tcPr>
            <w:tcW w:w="2835" w:type="dxa"/>
            <w:tcBorders>
              <w:top w:val="single" w:sz="4" w:space="0" w:color="auto"/>
              <w:left w:val="single" w:sz="4" w:space="0" w:color="auto"/>
              <w:bottom w:val="single" w:sz="4" w:space="0" w:color="auto"/>
              <w:right w:val="single" w:sz="4" w:space="0" w:color="auto"/>
            </w:tcBorders>
            <w:hideMark/>
          </w:tcPr>
          <w:p w14:paraId="0B4336F5" w14:textId="77777777" w:rsidR="00F10F99" w:rsidRDefault="00F10F99">
            <w:pPr>
              <w:pStyle w:val="ACMABodyText"/>
              <w:spacing w:line="24" w:lineRule="atLeast"/>
              <w:rPr>
                <w:rFonts w:ascii="Arial" w:hAnsi="Arial" w:cs="Arial"/>
                <w:sz w:val="20"/>
              </w:rPr>
            </w:pPr>
            <w:r>
              <w:rPr>
                <w:rFonts w:ascii="Arial" w:hAnsi="Arial" w:cs="Arial"/>
                <w:sz w:val="20"/>
              </w:rPr>
              <w:t>Hilda Sutcliffe</w:t>
            </w:r>
          </w:p>
        </w:tc>
        <w:tc>
          <w:tcPr>
            <w:tcW w:w="5478" w:type="dxa"/>
            <w:tcBorders>
              <w:top w:val="single" w:sz="4" w:space="0" w:color="auto"/>
              <w:left w:val="single" w:sz="4" w:space="0" w:color="auto"/>
              <w:bottom w:val="single" w:sz="4" w:space="0" w:color="auto"/>
              <w:right w:val="single" w:sz="4" w:space="0" w:color="auto"/>
            </w:tcBorders>
            <w:hideMark/>
          </w:tcPr>
          <w:p w14:paraId="2C9FFCCB" w14:textId="77777777" w:rsidR="00F10F99" w:rsidRDefault="00F10F99">
            <w:pPr>
              <w:pStyle w:val="ACMABodyText"/>
              <w:spacing w:line="24" w:lineRule="atLeast"/>
              <w:rPr>
                <w:rFonts w:ascii="Arial" w:hAnsi="Arial" w:cs="Arial"/>
                <w:sz w:val="20"/>
              </w:rPr>
            </w:pPr>
            <w:r>
              <w:rPr>
                <w:rFonts w:ascii="Arial" w:hAnsi="Arial" w:cs="Arial"/>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F10F99" w14:paraId="14075D8D"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0D9A7D82" w14:textId="77777777" w:rsidR="00F10F99" w:rsidRDefault="00F10F99">
            <w:pPr>
              <w:pStyle w:val="ACMABodyText"/>
              <w:spacing w:line="24" w:lineRule="atLeast"/>
              <w:rPr>
                <w:rFonts w:ascii="Arial" w:hAnsi="Arial" w:cs="Arial"/>
                <w:sz w:val="20"/>
              </w:rPr>
            </w:pPr>
            <w:r>
              <w:rPr>
                <w:rFonts w:ascii="Arial" w:hAnsi="Arial" w:cs="Arial"/>
                <w:sz w:val="20"/>
              </w:rPr>
              <w:t>5</w:t>
            </w:r>
          </w:p>
        </w:tc>
        <w:tc>
          <w:tcPr>
            <w:tcW w:w="2835" w:type="dxa"/>
            <w:tcBorders>
              <w:top w:val="single" w:sz="4" w:space="0" w:color="auto"/>
              <w:left w:val="single" w:sz="4" w:space="0" w:color="auto"/>
              <w:bottom w:val="single" w:sz="4" w:space="0" w:color="auto"/>
              <w:right w:val="single" w:sz="4" w:space="0" w:color="auto"/>
            </w:tcBorders>
            <w:hideMark/>
          </w:tcPr>
          <w:p w14:paraId="7ACD9E5E" w14:textId="77777777" w:rsidR="00F10F99" w:rsidRDefault="00F10F99">
            <w:pPr>
              <w:pStyle w:val="ACMABodyText"/>
              <w:spacing w:line="24" w:lineRule="atLeast"/>
              <w:rPr>
                <w:rFonts w:ascii="Arial" w:hAnsi="Arial" w:cs="Arial"/>
                <w:sz w:val="20"/>
              </w:rPr>
            </w:pPr>
            <w:r>
              <w:rPr>
                <w:rFonts w:ascii="Arial" w:hAnsi="Arial" w:cs="Arial"/>
                <w:sz w:val="20"/>
              </w:rPr>
              <w:t>Phillip Waters</w:t>
            </w:r>
          </w:p>
        </w:tc>
        <w:tc>
          <w:tcPr>
            <w:tcW w:w="5478" w:type="dxa"/>
            <w:tcBorders>
              <w:top w:val="single" w:sz="4" w:space="0" w:color="auto"/>
              <w:left w:val="single" w:sz="4" w:space="0" w:color="auto"/>
              <w:bottom w:val="single" w:sz="4" w:space="0" w:color="auto"/>
              <w:right w:val="single" w:sz="4" w:space="0" w:color="auto"/>
            </w:tcBorders>
            <w:hideMark/>
          </w:tcPr>
          <w:p w14:paraId="3D417A8E"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46879DCF"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799C9408" w14:textId="77777777" w:rsidR="00F10F99" w:rsidRDefault="00F10F99">
            <w:pPr>
              <w:pStyle w:val="ACMABodyText"/>
              <w:spacing w:line="24" w:lineRule="atLeast"/>
              <w:rPr>
                <w:rFonts w:ascii="Arial" w:hAnsi="Arial" w:cs="Arial"/>
                <w:sz w:val="20"/>
              </w:rPr>
            </w:pPr>
            <w:r>
              <w:rPr>
                <w:rFonts w:ascii="Arial" w:hAnsi="Arial" w:cs="Arial"/>
                <w:sz w:val="20"/>
              </w:rPr>
              <w:t>6</w:t>
            </w:r>
          </w:p>
        </w:tc>
        <w:tc>
          <w:tcPr>
            <w:tcW w:w="2835" w:type="dxa"/>
            <w:tcBorders>
              <w:top w:val="single" w:sz="4" w:space="0" w:color="auto"/>
              <w:left w:val="single" w:sz="4" w:space="0" w:color="auto"/>
              <w:bottom w:val="single" w:sz="4" w:space="0" w:color="auto"/>
              <w:right w:val="single" w:sz="4" w:space="0" w:color="auto"/>
            </w:tcBorders>
            <w:hideMark/>
          </w:tcPr>
          <w:p w14:paraId="06E7DE63" w14:textId="77777777" w:rsidR="00F10F99" w:rsidRDefault="00F10F99">
            <w:pPr>
              <w:pStyle w:val="ACMABodyText"/>
              <w:spacing w:line="24" w:lineRule="atLeast"/>
              <w:rPr>
                <w:rFonts w:ascii="Arial" w:hAnsi="Arial" w:cs="Arial"/>
                <w:sz w:val="20"/>
              </w:rPr>
            </w:pPr>
            <w:r>
              <w:rPr>
                <w:rFonts w:ascii="Arial" w:hAnsi="Arial" w:cs="Arial"/>
                <w:sz w:val="20"/>
              </w:rPr>
              <w:t>Suzanne Robertson</w:t>
            </w:r>
          </w:p>
        </w:tc>
        <w:tc>
          <w:tcPr>
            <w:tcW w:w="5478" w:type="dxa"/>
            <w:tcBorders>
              <w:top w:val="single" w:sz="4" w:space="0" w:color="auto"/>
              <w:left w:val="single" w:sz="4" w:space="0" w:color="auto"/>
              <w:bottom w:val="single" w:sz="4" w:space="0" w:color="auto"/>
              <w:right w:val="single" w:sz="4" w:space="0" w:color="auto"/>
            </w:tcBorders>
            <w:hideMark/>
          </w:tcPr>
          <w:p w14:paraId="084B299A" w14:textId="77777777" w:rsidR="00F10F99" w:rsidRDefault="00F10F99">
            <w:pPr>
              <w:pStyle w:val="ACMABodyText"/>
              <w:spacing w:line="24" w:lineRule="atLeast"/>
              <w:rPr>
                <w:rFonts w:ascii="Arial" w:hAnsi="Arial" w:cs="Arial"/>
                <w:sz w:val="20"/>
              </w:rPr>
            </w:pPr>
            <w:r>
              <w:rPr>
                <w:rFonts w:ascii="Arial" w:hAnsi="Arial" w:cs="Arial"/>
                <w:sz w:val="20"/>
              </w:rPr>
              <w:t xml:space="preserve">This submission contained content and statements identical to Submission 1, with the exception that it is the submitter’s son who is deaf/heard of hearing. </w:t>
            </w:r>
          </w:p>
        </w:tc>
      </w:tr>
      <w:tr w:rsidR="00F10F99" w14:paraId="227379EB"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5BBDF620" w14:textId="77777777" w:rsidR="00F10F99" w:rsidRDefault="00F10F99">
            <w:pPr>
              <w:pStyle w:val="ACMABodyText"/>
              <w:spacing w:line="24" w:lineRule="atLeast"/>
              <w:rPr>
                <w:rFonts w:ascii="Arial" w:hAnsi="Arial" w:cs="Arial"/>
                <w:sz w:val="20"/>
              </w:rPr>
            </w:pPr>
            <w:r>
              <w:rPr>
                <w:rFonts w:ascii="Arial" w:hAnsi="Arial" w:cs="Arial"/>
                <w:sz w:val="20"/>
              </w:rPr>
              <w:t>7</w:t>
            </w:r>
          </w:p>
        </w:tc>
        <w:tc>
          <w:tcPr>
            <w:tcW w:w="2835" w:type="dxa"/>
            <w:tcBorders>
              <w:top w:val="single" w:sz="4" w:space="0" w:color="auto"/>
              <w:left w:val="single" w:sz="4" w:space="0" w:color="auto"/>
              <w:bottom w:val="single" w:sz="4" w:space="0" w:color="auto"/>
              <w:right w:val="single" w:sz="4" w:space="0" w:color="auto"/>
            </w:tcBorders>
            <w:hideMark/>
          </w:tcPr>
          <w:p w14:paraId="219800FE" w14:textId="77777777" w:rsidR="00F10F99" w:rsidRDefault="00F10F99">
            <w:pPr>
              <w:pStyle w:val="ACMABodyText"/>
              <w:spacing w:line="24" w:lineRule="atLeast"/>
              <w:rPr>
                <w:rFonts w:ascii="Arial" w:hAnsi="Arial" w:cs="Arial"/>
                <w:sz w:val="20"/>
              </w:rPr>
            </w:pPr>
            <w:r>
              <w:rPr>
                <w:rFonts w:ascii="Arial" w:hAnsi="Arial" w:cs="Arial"/>
                <w:sz w:val="20"/>
              </w:rPr>
              <w:t>Robyn Anguey</w:t>
            </w:r>
          </w:p>
        </w:tc>
        <w:tc>
          <w:tcPr>
            <w:tcW w:w="5478" w:type="dxa"/>
            <w:tcBorders>
              <w:top w:val="single" w:sz="4" w:space="0" w:color="auto"/>
              <w:left w:val="single" w:sz="4" w:space="0" w:color="auto"/>
              <w:bottom w:val="single" w:sz="4" w:space="0" w:color="auto"/>
              <w:right w:val="single" w:sz="4" w:space="0" w:color="auto"/>
            </w:tcBorders>
            <w:hideMark/>
          </w:tcPr>
          <w:p w14:paraId="5F6AE22B" w14:textId="77777777" w:rsidR="00F10F99" w:rsidRDefault="00F10F99">
            <w:pPr>
              <w:pStyle w:val="ACMABodyText"/>
              <w:spacing w:line="24" w:lineRule="atLeast"/>
              <w:rPr>
                <w:rFonts w:ascii="Arial" w:hAnsi="Arial" w:cs="Arial"/>
                <w:sz w:val="20"/>
              </w:rPr>
            </w:pPr>
            <w:r>
              <w:rPr>
                <w:rFonts w:ascii="Arial" w:hAnsi="Arial" w:cs="Arial"/>
                <w:sz w:val="20"/>
              </w:rPr>
              <w:t>This submission stated that as a subscriber to the Fetch TV service, they submitter pays the same amount as other subscribers yet will have access to less content if the Order is granted, as the submitter is deaf/hard of hearing.</w:t>
            </w:r>
          </w:p>
        </w:tc>
      </w:tr>
      <w:tr w:rsidR="00F10F99" w14:paraId="39A249C5"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4318EE3C" w14:textId="77777777" w:rsidR="00F10F99" w:rsidRDefault="00F10F99">
            <w:pPr>
              <w:pStyle w:val="ACMABodyText"/>
              <w:spacing w:line="24" w:lineRule="atLeast"/>
              <w:rPr>
                <w:rFonts w:ascii="Arial" w:hAnsi="Arial" w:cs="Arial"/>
                <w:sz w:val="20"/>
              </w:rPr>
            </w:pPr>
            <w:r>
              <w:rPr>
                <w:rFonts w:ascii="Arial" w:hAnsi="Arial" w:cs="Arial"/>
                <w:sz w:val="20"/>
              </w:rPr>
              <w:t>8</w:t>
            </w:r>
          </w:p>
        </w:tc>
        <w:tc>
          <w:tcPr>
            <w:tcW w:w="2835" w:type="dxa"/>
            <w:tcBorders>
              <w:top w:val="single" w:sz="4" w:space="0" w:color="auto"/>
              <w:left w:val="single" w:sz="4" w:space="0" w:color="auto"/>
              <w:bottom w:val="single" w:sz="4" w:space="0" w:color="auto"/>
              <w:right w:val="single" w:sz="4" w:space="0" w:color="auto"/>
            </w:tcBorders>
            <w:hideMark/>
          </w:tcPr>
          <w:p w14:paraId="2E7840AD" w14:textId="77777777" w:rsidR="00F10F99" w:rsidRDefault="00F10F99">
            <w:pPr>
              <w:pStyle w:val="ACMABodyText"/>
              <w:spacing w:line="24" w:lineRule="atLeast"/>
              <w:rPr>
                <w:rFonts w:ascii="Arial" w:hAnsi="Arial" w:cs="Arial"/>
                <w:sz w:val="20"/>
              </w:rPr>
            </w:pPr>
            <w:r>
              <w:rPr>
                <w:rFonts w:ascii="Arial" w:hAnsi="Arial" w:cs="Arial"/>
                <w:sz w:val="20"/>
              </w:rPr>
              <w:t>Robyn Whitney</w:t>
            </w:r>
          </w:p>
        </w:tc>
        <w:tc>
          <w:tcPr>
            <w:tcW w:w="5478" w:type="dxa"/>
            <w:tcBorders>
              <w:top w:val="single" w:sz="4" w:space="0" w:color="auto"/>
              <w:left w:val="single" w:sz="4" w:space="0" w:color="auto"/>
              <w:bottom w:val="single" w:sz="4" w:space="0" w:color="auto"/>
              <w:right w:val="single" w:sz="4" w:space="0" w:color="auto"/>
            </w:tcBorders>
            <w:hideMark/>
          </w:tcPr>
          <w:p w14:paraId="5655EE42"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01503272"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21F4E4B5" w14:textId="77777777" w:rsidR="00F10F99" w:rsidRDefault="00F10F99">
            <w:pPr>
              <w:pStyle w:val="ACMABodyText"/>
              <w:spacing w:line="24" w:lineRule="atLeast"/>
              <w:rPr>
                <w:rFonts w:ascii="Arial" w:hAnsi="Arial" w:cs="Arial"/>
                <w:sz w:val="20"/>
              </w:rPr>
            </w:pPr>
            <w:r>
              <w:rPr>
                <w:rFonts w:ascii="Arial" w:hAnsi="Arial" w:cs="Arial"/>
                <w:sz w:val="20"/>
              </w:rPr>
              <w:t>9</w:t>
            </w:r>
          </w:p>
        </w:tc>
        <w:tc>
          <w:tcPr>
            <w:tcW w:w="2835" w:type="dxa"/>
            <w:tcBorders>
              <w:top w:val="single" w:sz="4" w:space="0" w:color="auto"/>
              <w:left w:val="single" w:sz="4" w:space="0" w:color="auto"/>
              <w:bottom w:val="single" w:sz="4" w:space="0" w:color="auto"/>
              <w:right w:val="single" w:sz="4" w:space="0" w:color="auto"/>
            </w:tcBorders>
            <w:hideMark/>
          </w:tcPr>
          <w:p w14:paraId="4AF6BAEF" w14:textId="77777777" w:rsidR="00F10F99" w:rsidRDefault="00F10F99">
            <w:pPr>
              <w:pStyle w:val="ACMABodyText"/>
              <w:spacing w:line="24" w:lineRule="atLeast"/>
              <w:rPr>
                <w:rFonts w:ascii="Arial" w:hAnsi="Arial" w:cs="Arial"/>
                <w:sz w:val="20"/>
              </w:rPr>
            </w:pPr>
            <w:r>
              <w:rPr>
                <w:rFonts w:ascii="Arial" w:hAnsi="Arial" w:cs="Arial"/>
                <w:sz w:val="20"/>
              </w:rPr>
              <w:t>Trish Loveday</w:t>
            </w:r>
          </w:p>
        </w:tc>
        <w:tc>
          <w:tcPr>
            <w:tcW w:w="5478" w:type="dxa"/>
            <w:tcBorders>
              <w:top w:val="single" w:sz="4" w:space="0" w:color="auto"/>
              <w:left w:val="single" w:sz="4" w:space="0" w:color="auto"/>
              <w:bottom w:val="single" w:sz="4" w:space="0" w:color="auto"/>
              <w:right w:val="single" w:sz="4" w:space="0" w:color="auto"/>
            </w:tcBorders>
            <w:hideMark/>
          </w:tcPr>
          <w:p w14:paraId="766E5217"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7.</w:t>
            </w:r>
          </w:p>
        </w:tc>
      </w:tr>
      <w:tr w:rsidR="00F10F99" w14:paraId="3F7C61CA"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7CABFD14" w14:textId="77777777" w:rsidR="00F10F99" w:rsidRDefault="00F10F99">
            <w:pPr>
              <w:pStyle w:val="ACMABodyText"/>
              <w:spacing w:line="24" w:lineRule="atLeast"/>
              <w:rPr>
                <w:rFonts w:ascii="Arial" w:hAnsi="Arial" w:cs="Arial"/>
                <w:sz w:val="20"/>
              </w:rPr>
            </w:pPr>
            <w:r>
              <w:rPr>
                <w:rFonts w:ascii="Arial" w:hAnsi="Arial" w:cs="Arial"/>
                <w:sz w:val="20"/>
              </w:rPr>
              <w:t>10</w:t>
            </w:r>
          </w:p>
        </w:tc>
        <w:tc>
          <w:tcPr>
            <w:tcW w:w="2835" w:type="dxa"/>
            <w:tcBorders>
              <w:top w:val="single" w:sz="4" w:space="0" w:color="auto"/>
              <w:left w:val="single" w:sz="4" w:space="0" w:color="auto"/>
              <w:bottom w:val="single" w:sz="4" w:space="0" w:color="auto"/>
              <w:right w:val="single" w:sz="4" w:space="0" w:color="auto"/>
            </w:tcBorders>
            <w:hideMark/>
          </w:tcPr>
          <w:p w14:paraId="6D18D4E9" w14:textId="77777777" w:rsidR="00F10F99" w:rsidRDefault="00F10F99">
            <w:pPr>
              <w:pStyle w:val="ACMABodyText"/>
              <w:spacing w:line="24" w:lineRule="atLeast"/>
              <w:rPr>
                <w:rFonts w:ascii="Arial" w:hAnsi="Arial" w:cs="Arial"/>
                <w:sz w:val="20"/>
              </w:rPr>
            </w:pPr>
            <w:r>
              <w:rPr>
                <w:rFonts w:ascii="Arial" w:hAnsi="Arial" w:cs="Arial"/>
                <w:sz w:val="20"/>
              </w:rPr>
              <w:t>Rebekah Rose-Mundy</w:t>
            </w:r>
          </w:p>
        </w:tc>
        <w:tc>
          <w:tcPr>
            <w:tcW w:w="5478" w:type="dxa"/>
            <w:tcBorders>
              <w:top w:val="single" w:sz="4" w:space="0" w:color="auto"/>
              <w:left w:val="single" w:sz="4" w:space="0" w:color="auto"/>
              <w:bottom w:val="single" w:sz="4" w:space="0" w:color="auto"/>
              <w:right w:val="single" w:sz="4" w:space="0" w:color="auto"/>
            </w:tcBorders>
            <w:hideMark/>
          </w:tcPr>
          <w:p w14:paraId="6CACE28E"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 to be able to access information and entertainment.</w:t>
            </w:r>
          </w:p>
        </w:tc>
      </w:tr>
      <w:tr w:rsidR="00F10F99" w14:paraId="11C4BAD1"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21C05422" w14:textId="77777777" w:rsidR="00F10F99" w:rsidRDefault="00F10F99">
            <w:pPr>
              <w:pStyle w:val="ACMABodyText"/>
              <w:spacing w:line="24" w:lineRule="atLeast"/>
              <w:rPr>
                <w:rFonts w:ascii="Arial" w:hAnsi="Arial" w:cs="Arial"/>
                <w:sz w:val="20"/>
              </w:rPr>
            </w:pPr>
            <w:r>
              <w:rPr>
                <w:rFonts w:ascii="Arial" w:hAnsi="Arial" w:cs="Arial"/>
                <w:sz w:val="20"/>
              </w:rPr>
              <w:t>11</w:t>
            </w:r>
          </w:p>
        </w:tc>
        <w:tc>
          <w:tcPr>
            <w:tcW w:w="2835" w:type="dxa"/>
            <w:tcBorders>
              <w:top w:val="single" w:sz="4" w:space="0" w:color="auto"/>
              <w:left w:val="single" w:sz="4" w:space="0" w:color="auto"/>
              <w:bottom w:val="single" w:sz="4" w:space="0" w:color="auto"/>
              <w:right w:val="single" w:sz="4" w:space="0" w:color="auto"/>
            </w:tcBorders>
            <w:hideMark/>
          </w:tcPr>
          <w:p w14:paraId="6A685658" w14:textId="77777777" w:rsidR="00F10F99" w:rsidRDefault="00F10F99">
            <w:pPr>
              <w:pStyle w:val="ACMABodyText"/>
              <w:spacing w:line="24" w:lineRule="atLeast"/>
              <w:rPr>
                <w:rFonts w:ascii="Arial" w:hAnsi="Arial" w:cs="Arial"/>
                <w:sz w:val="20"/>
              </w:rPr>
            </w:pPr>
            <w:r>
              <w:rPr>
                <w:rFonts w:ascii="Arial" w:hAnsi="Arial" w:cs="Arial"/>
                <w:sz w:val="20"/>
              </w:rPr>
              <w:t>Rachel Hughes</w:t>
            </w:r>
          </w:p>
        </w:tc>
        <w:tc>
          <w:tcPr>
            <w:tcW w:w="5478" w:type="dxa"/>
            <w:tcBorders>
              <w:top w:val="single" w:sz="4" w:space="0" w:color="auto"/>
              <w:left w:val="single" w:sz="4" w:space="0" w:color="auto"/>
              <w:bottom w:val="single" w:sz="4" w:space="0" w:color="auto"/>
              <w:right w:val="single" w:sz="4" w:space="0" w:color="auto"/>
            </w:tcBorders>
            <w:hideMark/>
          </w:tcPr>
          <w:p w14:paraId="3FC55E70"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0E106177"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433FAC62" w14:textId="77777777" w:rsidR="00F10F99" w:rsidRDefault="00F10F99">
            <w:pPr>
              <w:pStyle w:val="ACMABodyText"/>
              <w:spacing w:line="24" w:lineRule="atLeast"/>
              <w:rPr>
                <w:rFonts w:ascii="Arial" w:hAnsi="Arial" w:cs="Arial"/>
                <w:sz w:val="20"/>
              </w:rPr>
            </w:pPr>
            <w:r>
              <w:rPr>
                <w:rFonts w:ascii="Arial" w:hAnsi="Arial" w:cs="Arial"/>
                <w:sz w:val="20"/>
              </w:rPr>
              <w:lastRenderedPageBreak/>
              <w:t>12</w:t>
            </w:r>
          </w:p>
        </w:tc>
        <w:tc>
          <w:tcPr>
            <w:tcW w:w="2835" w:type="dxa"/>
            <w:tcBorders>
              <w:top w:val="single" w:sz="4" w:space="0" w:color="auto"/>
              <w:left w:val="single" w:sz="4" w:space="0" w:color="auto"/>
              <w:bottom w:val="single" w:sz="4" w:space="0" w:color="auto"/>
              <w:right w:val="single" w:sz="4" w:space="0" w:color="auto"/>
            </w:tcBorders>
            <w:hideMark/>
          </w:tcPr>
          <w:p w14:paraId="7CC4F7E0" w14:textId="77777777" w:rsidR="00F10F99" w:rsidRDefault="00F10F99">
            <w:pPr>
              <w:pStyle w:val="ACMABodyText"/>
              <w:spacing w:line="24" w:lineRule="atLeast"/>
              <w:rPr>
                <w:rFonts w:ascii="Arial" w:hAnsi="Arial" w:cs="Arial"/>
                <w:sz w:val="20"/>
              </w:rPr>
            </w:pPr>
            <w:r>
              <w:rPr>
                <w:rFonts w:ascii="Arial" w:hAnsi="Arial" w:cs="Arial"/>
                <w:sz w:val="20"/>
              </w:rPr>
              <w:t>Emma A. Wilkinson</w:t>
            </w:r>
          </w:p>
        </w:tc>
        <w:tc>
          <w:tcPr>
            <w:tcW w:w="5478" w:type="dxa"/>
            <w:tcBorders>
              <w:top w:val="single" w:sz="4" w:space="0" w:color="auto"/>
              <w:left w:val="single" w:sz="4" w:space="0" w:color="auto"/>
              <w:bottom w:val="single" w:sz="4" w:space="0" w:color="auto"/>
              <w:right w:val="single" w:sz="4" w:space="0" w:color="auto"/>
            </w:tcBorders>
            <w:hideMark/>
          </w:tcPr>
          <w:p w14:paraId="2B664922"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50265BD8"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2577C9FB" w14:textId="77777777" w:rsidR="00F10F99" w:rsidRDefault="00F10F99">
            <w:pPr>
              <w:pStyle w:val="ACMABodyText"/>
              <w:spacing w:line="24" w:lineRule="atLeast"/>
              <w:rPr>
                <w:rFonts w:ascii="Arial" w:hAnsi="Arial" w:cs="Arial"/>
                <w:sz w:val="20"/>
              </w:rPr>
            </w:pPr>
            <w:r>
              <w:rPr>
                <w:rFonts w:ascii="Arial" w:hAnsi="Arial" w:cs="Arial"/>
                <w:sz w:val="20"/>
              </w:rPr>
              <w:t>13</w:t>
            </w:r>
          </w:p>
        </w:tc>
        <w:tc>
          <w:tcPr>
            <w:tcW w:w="2835" w:type="dxa"/>
            <w:tcBorders>
              <w:top w:val="single" w:sz="4" w:space="0" w:color="auto"/>
              <w:left w:val="single" w:sz="4" w:space="0" w:color="auto"/>
              <w:bottom w:val="single" w:sz="4" w:space="0" w:color="auto"/>
              <w:right w:val="single" w:sz="4" w:space="0" w:color="auto"/>
            </w:tcBorders>
            <w:hideMark/>
          </w:tcPr>
          <w:p w14:paraId="7F8C5B0D" w14:textId="77777777" w:rsidR="00F10F99" w:rsidRDefault="00F10F99">
            <w:pPr>
              <w:pStyle w:val="ACMABodyText"/>
              <w:spacing w:line="24" w:lineRule="atLeast"/>
              <w:rPr>
                <w:rFonts w:ascii="Arial" w:hAnsi="Arial" w:cs="Arial"/>
                <w:sz w:val="20"/>
              </w:rPr>
            </w:pPr>
            <w:r>
              <w:rPr>
                <w:rFonts w:ascii="Arial" w:hAnsi="Arial" w:cs="Arial"/>
                <w:sz w:val="20"/>
              </w:rPr>
              <w:t>Jodi Onge-Jacobson</w:t>
            </w:r>
          </w:p>
        </w:tc>
        <w:tc>
          <w:tcPr>
            <w:tcW w:w="5478" w:type="dxa"/>
            <w:tcBorders>
              <w:top w:val="single" w:sz="4" w:space="0" w:color="auto"/>
              <w:left w:val="single" w:sz="4" w:space="0" w:color="auto"/>
              <w:bottom w:val="single" w:sz="4" w:space="0" w:color="auto"/>
              <w:right w:val="single" w:sz="4" w:space="0" w:color="auto"/>
            </w:tcBorders>
            <w:hideMark/>
          </w:tcPr>
          <w:p w14:paraId="468DFCC1" w14:textId="77777777" w:rsidR="00F10F99" w:rsidRDefault="00F10F99">
            <w:pPr>
              <w:pStyle w:val="ACMABodyText"/>
              <w:spacing w:line="24" w:lineRule="atLeast"/>
              <w:rPr>
                <w:rFonts w:ascii="Arial" w:hAnsi="Arial" w:cs="Arial"/>
                <w:sz w:val="20"/>
              </w:rPr>
            </w:pPr>
            <w:r>
              <w:rPr>
                <w:rFonts w:ascii="Arial" w:hAnsi="Arial" w:cs="Arial"/>
                <w:sz w:val="20"/>
              </w:rPr>
              <w:t xml:space="preserve">This submission contained content and statements identical to Submission 7.  </w:t>
            </w:r>
          </w:p>
        </w:tc>
      </w:tr>
      <w:tr w:rsidR="00F10F99" w14:paraId="7E056F9B"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6A9E3E3D" w14:textId="77777777" w:rsidR="00F10F99" w:rsidRDefault="00F10F99">
            <w:pPr>
              <w:pStyle w:val="ACMABodyText"/>
              <w:spacing w:line="24" w:lineRule="atLeast"/>
              <w:rPr>
                <w:rFonts w:ascii="Arial" w:hAnsi="Arial" w:cs="Arial"/>
                <w:sz w:val="20"/>
              </w:rPr>
            </w:pPr>
            <w:r>
              <w:rPr>
                <w:rFonts w:ascii="Arial" w:hAnsi="Arial" w:cs="Arial"/>
                <w:sz w:val="20"/>
              </w:rPr>
              <w:t>14</w:t>
            </w:r>
          </w:p>
        </w:tc>
        <w:tc>
          <w:tcPr>
            <w:tcW w:w="2835" w:type="dxa"/>
            <w:tcBorders>
              <w:top w:val="single" w:sz="4" w:space="0" w:color="auto"/>
              <w:left w:val="single" w:sz="4" w:space="0" w:color="auto"/>
              <w:bottom w:val="single" w:sz="4" w:space="0" w:color="auto"/>
              <w:right w:val="single" w:sz="4" w:space="0" w:color="auto"/>
            </w:tcBorders>
            <w:hideMark/>
          </w:tcPr>
          <w:p w14:paraId="53C6A305" w14:textId="77777777" w:rsidR="00F10F99" w:rsidRDefault="00F10F99">
            <w:pPr>
              <w:pStyle w:val="ACMABodyText"/>
              <w:spacing w:line="24" w:lineRule="atLeast"/>
              <w:rPr>
                <w:rFonts w:ascii="Arial" w:hAnsi="Arial" w:cs="Arial"/>
                <w:sz w:val="20"/>
              </w:rPr>
            </w:pPr>
            <w:r>
              <w:rPr>
                <w:rFonts w:ascii="Arial" w:hAnsi="Arial" w:cs="Arial"/>
                <w:sz w:val="20"/>
              </w:rPr>
              <w:t>Tony Nicholas</w:t>
            </w:r>
          </w:p>
        </w:tc>
        <w:tc>
          <w:tcPr>
            <w:tcW w:w="5478" w:type="dxa"/>
            <w:tcBorders>
              <w:top w:val="single" w:sz="4" w:space="0" w:color="auto"/>
              <w:left w:val="single" w:sz="4" w:space="0" w:color="auto"/>
              <w:bottom w:val="single" w:sz="4" w:space="0" w:color="auto"/>
              <w:right w:val="single" w:sz="4" w:space="0" w:color="auto"/>
            </w:tcBorders>
            <w:hideMark/>
          </w:tcPr>
          <w:p w14:paraId="0668D023"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14:paraId="21917FF9"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3197838C" w14:textId="77777777" w:rsidR="00F10F99" w:rsidRDefault="00F10F99">
            <w:pPr>
              <w:pStyle w:val="ACMABodyText"/>
              <w:spacing w:line="24" w:lineRule="atLeast"/>
              <w:rPr>
                <w:rFonts w:ascii="Arial" w:hAnsi="Arial" w:cs="Arial"/>
                <w:sz w:val="20"/>
              </w:rPr>
            </w:pPr>
            <w:r>
              <w:rPr>
                <w:rFonts w:ascii="Arial" w:hAnsi="Arial" w:cs="Arial"/>
                <w:sz w:val="20"/>
              </w:rPr>
              <w:t>15</w:t>
            </w:r>
          </w:p>
        </w:tc>
        <w:tc>
          <w:tcPr>
            <w:tcW w:w="2835" w:type="dxa"/>
            <w:tcBorders>
              <w:top w:val="single" w:sz="4" w:space="0" w:color="auto"/>
              <w:left w:val="single" w:sz="4" w:space="0" w:color="auto"/>
              <w:bottom w:val="single" w:sz="4" w:space="0" w:color="auto"/>
              <w:right w:val="single" w:sz="4" w:space="0" w:color="auto"/>
            </w:tcBorders>
            <w:hideMark/>
          </w:tcPr>
          <w:p w14:paraId="1C9E5D9D" w14:textId="77777777" w:rsidR="00F10F99" w:rsidRDefault="00F10F99">
            <w:pPr>
              <w:pStyle w:val="ACMABodyText"/>
              <w:spacing w:line="24" w:lineRule="atLeast"/>
              <w:rPr>
                <w:rFonts w:ascii="Arial" w:hAnsi="Arial" w:cs="Arial"/>
                <w:sz w:val="20"/>
              </w:rPr>
            </w:pPr>
            <w:r>
              <w:rPr>
                <w:rFonts w:ascii="Arial" w:hAnsi="Arial" w:cs="Arial"/>
                <w:sz w:val="20"/>
              </w:rPr>
              <w:t>Chelle Destefano</w:t>
            </w:r>
          </w:p>
        </w:tc>
        <w:tc>
          <w:tcPr>
            <w:tcW w:w="5478" w:type="dxa"/>
            <w:tcBorders>
              <w:top w:val="single" w:sz="4" w:space="0" w:color="auto"/>
              <w:left w:val="single" w:sz="4" w:space="0" w:color="auto"/>
              <w:bottom w:val="single" w:sz="4" w:space="0" w:color="auto"/>
              <w:right w:val="single" w:sz="4" w:space="0" w:color="auto"/>
            </w:tcBorders>
            <w:hideMark/>
          </w:tcPr>
          <w:p w14:paraId="027A1C04" w14:textId="77777777" w:rsidR="00F10F99" w:rsidRDefault="00F10F99">
            <w:pPr>
              <w:pStyle w:val="ACMABodyText"/>
              <w:spacing w:line="24" w:lineRule="atLeast"/>
              <w:rPr>
                <w:rFonts w:ascii="Arial" w:hAnsi="Arial" w:cs="Arial"/>
                <w:sz w:val="20"/>
              </w:rPr>
            </w:pPr>
            <w:r>
              <w:rPr>
                <w:rFonts w:ascii="Arial" w:hAnsi="Arial" w:cs="Arial"/>
                <w:sz w:val="20"/>
              </w:rPr>
              <w:t xml:space="preserve">This submission makes the same points as Submission 1. The submission also stated that it is unlawful to discriminate against deaf, hearing impaired and hard of hearing people. </w:t>
            </w:r>
          </w:p>
        </w:tc>
      </w:tr>
      <w:tr w:rsidR="00F10F99" w14:paraId="21FFDC33"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65E747FA" w14:textId="77777777" w:rsidR="00F10F99" w:rsidRDefault="00F10F99">
            <w:pPr>
              <w:pStyle w:val="ACMABodyText"/>
              <w:spacing w:line="24" w:lineRule="atLeast"/>
              <w:rPr>
                <w:rFonts w:ascii="Arial" w:hAnsi="Arial" w:cs="Arial"/>
                <w:sz w:val="20"/>
              </w:rPr>
            </w:pPr>
            <w:r>
              <w:rPr>
                <w:rFonts w:ascii="Arial" w:hAnsi="Arial" w:cs="Arial"/>
                <w:sz w:val="20"/>
              </w:rPr>
              <w:t>16</w:t>
            </w:r>
          </w:p>
        </w:tc>
        <w:tc>
          <w:tcPr>
            <w:tcW w:w="2835" w:type="dxa"/>
            <w:tcBorders>
              <w:top w:val="single" w:sz="4" w:space="0" w:color="auto"/>
              <w:left w:val="single" w:sz="4" w:space="0" w:color="auto"/>
              <w:bottom w:val="single" w:sz="4" w:space="0" w:color="auto"/>
              <w:right w:val="single" w:sz="4" w:space="0" w:color="auto"/>
            </w:tcBorders>
            <w:hideMark/>
          </w:tcPr>
          <w:p w14:paraId="74C12E77" w14:textId="77777777" w:rsidR="00F10F99" w:rsidRDefault="00F10F99">
            <w:pPr>
              <w:pStyle w:val="ACMABodyText"/>
              <w:spacing w:line="24" w:lineRule="atLeast"/>
              <w:rPr>
                <w:rFonts w:ascii="Arial" w:hAnsi="Arial" w:cs="Arial"/>
                <w:sz w:val="20"/>
              </w:rPr>
            </w:pPr>
            <w:r>
              <w:rPr>
                <w:rFonts w:ascii="Arial" w:hAnsi="Arial" w:cs="Arial"/>
                <w:sz w:val="20"/>
              </w:rPr>
              <w:t>Felicity Woodard</w:t>
            </w:r>
          </w:p>
        </w:tc>
        <w:tc>
          <w:tcPr>
            <w:tcW w:w="5478" w:type="dxa"/>
            <w:tcBorders>
              <w:top w:val="single" w:sz="4" w:space="0" w:color="auto"/>
              <w:left w:val="single" w:sz="4" w:space="0" w:color="auto"/>
              <w:bottom w:val="single" w:sz="4" w:space="0" w:color="auto"/>
              <w:right w:val="single" w:sz="4" w:space="0" w:color="auto"/>
            </w:tcBorders>
            <w:hideMark/>
          </w:tcPr>
          <w:p w14:paraId="3220739B" w14:textId="77777777" w:rsidR="00F10F99" w:rsidRDefault="00F10F99">
            <w:pPr>
              <w:pStyle w:val="ACMABodyText"/>
              <w:spacing w:line="24" w:lineRule="atLeast"/>
              <w:rPr>
                <w:rFonts w:ascii="Arial" w:hAnsi="Arial" w:cs="Arial"/>
                <w:sz w:val="20"/>
              </w:rPr>
            </w:pPr>
            <w:r>
              <w:rPr>
                <w:rFonts w:ascii="Arial" w:hAnsi="Arial" w:cs="Arial"/>
                <w:sz w:val="20"/>
              </w:rPr>
              <w:t>This submission contained content and statements identical to Submission 1.</w:t>
            </w:r>
          </w:p>
        </w:tc>
      </w:tr>
      <w:tr w:rsidR="00F10F99" w:rsidRPr="00F10F99" w14:paraId="37F129C2"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6FAF50AA" w14:textId="77777777" w:rsidR="00F10F99" w:rsidRDefault="00F10F99">
            <w:pPr>
              <w:pStyle w:val="ACMABodyText"/>
              <w:spacing w:line="24" w:lineRule="atLeast"/>
              <w:rPr>
                <w:rFonts w:ascii="Arial" w:hAnsi="Arial" w:cs="Arial"/>
                <w:sz w:val="20"/>
              </w:rPr>
            </w:pPr>
            <w:r>
              <w:rPr>
                <w:rFonts w:ascii="Arial" w:hAnsi="Arial" w:cs="Arial"/>
                <w:sz w:val="20"/>
              </w:rPr>
              <w:t>17</w:t>
            </w:r>
          </w:p>
        </w:tc>
        <w:tc>
          <w:tcPr>
            <w:tcW w:w="2835" w:type="dxa"/>
            <w:tcBorders>
              <w:top w:val="single" w:sz="4" w:space="0" w:color="auto"/>
              <w:left w:val="single" w:sz="4" w:space="0" w:color="auto"/>
              <w:bottom w:val="single" w:sz="4" w:space="0" w:color="auto"/>
              <w:right w:val="single" w:sz="4" w:space="0" w:color="auto"/>
            </w:tcBorders>
            <w:hideMark/>
          </w:tcPr>
          <w:p w14:paraId="33B6762E" w14:textId="77777777" w:rsidR="00F10F99" w:rsidRDefault="00F10F99">
            <w:pPr>
              <w:pStyle w:val="ACMABodyText"/>
              <w:spacing w:line="24" w:lineRule="atLeast"/>
              <w:rPr>
                <w:rFonts w:ascii="Arial" w:hAnsi="Arial" w:cs="Arial"/>
                <w:sz w:val="20"/>
              </w:rPr>
            </w:pPr>
            <w:r>
              <w:rPr>
                <w:rFonts w:ascii="Arial" w:hAnsi="Arial" w:cs="Arial"/>
                <w:sz w:val="20"/>
              </w:rPr>
              <w:t>Media Access Australia</w:t>
            </w:r>
          </w:p>
        </w:tc>
        <w:tc>
          <w:tcPr>
            <w:tcW w:w="5478" w:type="dxa"/>
            <w:tcBorders>
              <w:top w:val="single" w:sz="4" w:space="0" w:color="auto"/>
              <w:left w:val="single" w:sz="4" w:space="0" w:color="auto"/>
              <w:bottom w:val="single" w:sz="4" w:space="0" w:color="auto"/>
              <w:right w:val="single" w:sz="4" w:space="0" w:color="auto"/>
            </w:tcBorders>
            <w:hideMark/>
          </w:tcPr>
          <w:p w14:paraId="79E09641" w14:textId="77777777" w:rsidR="00F10F99" w:rsidRPr="00F10F99" w:rsidRDefault="00F10F99">
            <w:pPr>
              <w:pStyle w:val="ACMABodyText"/>
              <w:spacing w:line="24" w:lineRule="atLeast"/>
              <w:rPr>
                <w:rFonts w:ascii="Arial" w:hAnsi="Arial" w:cs="Arial"/>
                <w:sz w:val="20"/>
              </w:rPr>
            </w:pPr>
            <w:r w:rsidRPr="00F10F99">
              <w:rPr>
                <w:rFonts w:ascii="Arial" w:hAnsi="Arial" w:cs="Arial"/>
                <w:sz w:val="20"/>
              </w:rPr>
              <w:t xml:space="preserve">See paragraphs 4.49 to 4.54 of the Statement of Reasons for a description of this submission. </w:t>
            </w:r>
          </w:p>
        </w:tc>
      </w:tr>
      <w:tr w:rsidR="00F10F99" w:rsidRPr="00F10F99" w14:paraId="1F251BCE"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39DBD1EA" w14:textId="77777777" w:rsidR="00F10F99" w:rsidRDefault="00F10F99">
            <w:pPr>
              <w:pStyle w:val="ACMABodyText"/>
              <w:spacing w:line="24" w:lineRule="atLeast"/>
              <w:rPr>
                <w:rFonts w:ascii="Arial" w:hAnsi="Arial" w:cs="Arial"/>
                <w:sz w:val="20"/>
              </w:rPr>
            </w:pPr>
            <w:r>
              <w:rPr>
                <w:rFonts w:ascii="Arial" w:hAnsi="Arial" w:cs="Arial"/>
                <w:sz w:val="20"/>
              </w:rPr>
              <w:t>18</w:t>
            </w:r>
          </w:p>
        </w:tc>
        <w:tc>
          <w:tcPr>
            <w:tcW w:w="2835" w:type="dxa"/>
            <w:tcBorders>
              <w:top w:val="single" w:sz="4" w:space="0" w:color="auto"/>
              <w:left w:val="single" w:sz="4" w:space="0" w:color="auto"/>
              <w:bottom w:val="single" w:sz="4" w:space="0" w:color="auto"/>
              <w:right w:val="single" w:sz="4" w:space="0" w:color="auto"/>
            </w:tcBorders>
            <w:hideMark/>
          </w:tcPr>
          <w:p w14:paraId="4110E110" w14:textId="77777777" w:rsidR="00F10F99" w:rsidRDefault="00F10F99">
            <w:pPr>
              <w:pStyle w:val="ACMABodyText"/>
              <w:spacing w:line="24" w:lineRule="atLeast"/>
              <w:rPr>
                <w:rFonts w:ascii="Arial" w:hAnsi="Arial" w:cs="Arial"/>
                <w:sz w:val="20"/>
              </w:rPr>
            </w:pPr>
            <w:r>
              <w:rPr>
                <w:rFonts w:ascii="Arial" w:hAnsi="Arial" w:cs="Arial"/>
                <w:sz w:val="20"/>
              </w:rPr>
              <w:t>Deaf Australia</w:t>
            </w:r>
          </w:p>
        </w:tc>
        <w:tc>
          <w:tcPr>
            <w:tcW w:w="5478" w:type="dxa"/>
            <w:tcBorders>
              <w:top w:val="single" w:sz="4" w:space="0" w:color="auto"/>
              <w:left w:val="single" w:sz="4" w:space="0" w:color="auto"/>
              <w:bottom w:val="single" w:sz="4" w:space="0" w:color="auto"/>
              <w:right w:val="single" w:sz="4" w:space="0" w:color="auto"/>
            </w:tcBorders>
            <w:hideMark/>
          </w:tcPr>
          <w:p w14:paraId="3F970199" w14:textId="77777777" w:rsidR="00F10F99" w:rsidRPr="00F10F99" w:rsidRDefault="00F10F99">
            <w:pPr>
              <w:pStyle w:val="ACMABodyText"/>
              <w:spacing w:line="24" w:lineRule="atLeast"/>
              <w:rPr>
                <w:rFonts w:ascii="Arial" w:hAnsi="Arial" w:cs="Arial"/>
                <w:sz w:val="20"/>
              </w:rPr>
            </w:pPr>
            <w:r w:rsidRPr="00F10F99">
              <w:rPr>
                <w:rFonts w:ascii="Arial" w:hAnsi="Arial" w:cs="Arial"/>
                <w:sz w:val="20"/>
              </w:rPr>
              <w:t>See paragraphs 4.60 to 4.63 of the Statement of Reasons for a description of this submission.</w:t>
            </w:r>
          </w:p>
        </w:tc>
      </w:tr>
      <w:tr w:rsidR="00F10F99" w:rsidRPr="00F10F99" w14:paraId="7D85A266" w14:textId="77777777" w:rsidTr="00F10F99">
        <w:tc>
          <w:tcPr>
            <w:tcW w:w="704" w:type="dxa"/>
            <w:tcBorders>
              <w:top w:val="single" w:sz="4" w:space="0" w:color="auto"/>
              <w:left w:val="single" w:sz="4" w:space="0" w:color="auto"/>
              <w:bottom w:val="single" w:sz="4" w:space="0" w:color="auto"/>
              <w:right w:val="single" w:sz="4" w:space="0" w:color="auto"/>
            </w:tcBorders>
            <w:hideMark/>
          </w:tcPr>
          <w:p w14:paraId="6DA883C7" w14:textId="77777777" w:rsidR="00F10F99" w:rsidRDefault="00F10F99">
            <w:pPr>
              <w:pStyle w:val="ACMABodyText"/>
              <w:spacing w:line="24" w:lineRule="atLeast"/>
              <w:rPr>
                <w:rFonts w:ascii="Arial" w:hAnsi="Arial" w:cs="Arial"/>
                <w:sz w:val="20"/>
              </w:rPr>
            </w:pPr>
            <w:r>
              <w:rPr>
                <w:rFonts w:ascii="Arial" w:hAnsi="Arial" w:cs="Arial"/>
                <w:sz w:val="20"/>
              </w:rPr>
              <w:t>19</w:t>
            </w:r>
          </w:p>
        </w:tc>
        <w:tc>
          <w:tcPr>
            <w:tcW w:w="2835" w:type="dxa"/>
            <w:tcBorders>
              <w:top w:val="single" w:sz="4" w:space="0" w:color="auto"/>
              <w:left w:val="single" w:sz="4" w:space="0" w:color="auto"/>
              <w:bottom w:val="single" w:sz="4" w:space="0" w:color="auto"/>
              <w:right w:val="single" w:sz="4" w:space="0" w:color="auto"/>
            </w:tcBorders>
            <w:hideMark/>
          </w:tcPr>
          <w:p w14:paraId="74D4503E" w14:textId="77777777" w:rsidR="00F10F99" w:rsidRDefault="00F10F99">
            <w:pPr>
              <w:pStyle w:val="ACMABodyText"/>
              <w:spacing w:line="24" w:lineRule="atLeast"/>
              <w:rPr>
                <w:rFonts w:ascii="Arial" w:hAnsi="Arial" w:cs="Arial"/>
                <w:sz w:val="20"/>
              </w:rPr>
            </w:pPr>
            <w:r>
              <w:rPr>
                <w:rFonts w:ascii="Arial" w:hAnsi="Arial" w:cs="Arial"/>
                <w:sz w:val="20"/>
              </w:rPr>
              <w:t>Australian Communications Consumer Action Network</w:t>
            </w:r>
          </w:p>
        </w:tc>
        <w:tc>
          <w:tcPr>
            <w:tcW w:w="5478" w:type="dxa"/>
            <w:tcBorders>
              <w:top w:val="single" w:sz="4" w:space="0" w:color="auto"/>
              <w:left w:val="single" w:sz="4" w:space="0" w:color="auto"/>
              <w:bottom w:val="single" w:sz="4" w:space="0" w:color="auto"/>
              <w:right w:val="single" w:sz="4" w:space="0" w:color="auto"/>
            </w:tcBorders>
            <w:hideMark/>
          </w:tcPr>
          <w:p w14:paraId="10174A8B" w14:textId="77777777" w:rsidR="00F10F99" w:rsidRPr="00F10F99" w:rsidRDefault="00F10F99">
            <w:pPr>
              <w:pStyle w:val="ACMABodyText"/>
              <w:spacing w:line="24" w:lineRule="atLeast"/>
              <w:rPr>
                <w:rFonts w:ascii="Arial" w:hAnsi="Arial" w:cs="Arial"/>
                <w:sz w:val="20"/>
              </w:rPr>
            </w:pPr>
            <w:r w:rsidRPr="00F10F99">
              <w:rPr>
                <w:rFonts w:ascii="Arial" w:hAnsi="Arial" w:cs="Arial"/>
                <w:sz w:val="20"/>
              </w:rPr>
              <w:t>Two submissions – one relates to the draft orders published on 5 April 2017 and the other relates to the draft orders published on 12 April 2017.</w:t>
            </w:r>
          </w:p>
          <w:p w14:paraId="68937F40" w14:textId="77777777" w:rsidR="00F10F99" w:rsidRPr="00F10F99" w:rsidRDefault="00F10F99">
            <w:pPr>
              <w:pStyle w:val="ACMABodyText"/>
              <w:spacing w:line="24" w:lineRule="atLeast"/>
              <w:rPr>
                <w:rFonts w:ascii="Arial" w:hAnsi="Arial" w:cs="Arial"/>
                <w:b/>
                <w:sz w:val="20"/>
              </w:rPr>
            </w:pPr>
            <w:r w:rsidRPr="00F10F99">
              <w:rPr>
                <w:rFonts w:ascii="Arial" w:hAnsi="Arial" w:cs="Arial"/>
                <w:sz w:val="20"/>
              </w:rPr>
              <w:t>See paragraphs 4.55 to 4.59 of the Statement of Reasons for a description of the submissions.</w:t>
            </w:r>
          </w:p>
        </w:tc>
      </w:tr>
    </w:tbl>
    <w:p w14:paraId="0AB40F54" w14:textId="77777777" w:rsidR="00F10F99" w:rsidRDefault="00F10F99" w:rsidP="00F10F99">
      <w:pPr>
        <w:pStyle w:val="ACMABodyText"/>
        <w:spacing w:line="24" w:lineRule="atLeast"/>
        <w:rPr>
          <w:rFonts w:ascii="Arial" w:hAnsi="Arial" w:cs="Arial"/>
          <w:b/>
          <w:sz w:val="28"/>
          <w:szCs w:val="28"/>
        </w:rPr>
      </w:pPr>
    </w:p>
    <w:p w14:paraId="38BCCF20" w14:textId="77777777" w:rsidR="00F10F99" w:rsidRDefault="00F10F99" w:rsidP="00F10F99">
      <w:pPr>
        <w:spacing w:after="160" w:line="256" w:lineRule="auto"/>
      </w:pPr>
      <w:r>
        <w:br w:type="page"/>
      </w:r>
    </w:p>
    <w:p w14:paraId="3E62CEA6" w14:textId="77777777" w:rsidR="00F10F99" w:rsidRDefault="00F10F99" w:rsidP="00F10F99">
      <w:pPr>
        <w:pStyle w:val="ACMAHeading2"/>
        <w:pageBreakBefore/>
        <w:spacing w:after="240" w:line="24" w:lineRule="atLeast"/>
        <w:jc w:val="right"/>
        <w:rPr>
          <w:rFonts w:cs="Arial"/>
        </w:rPr>
      </w:pPr>
      <w:r>
        <w:rPr>
          <w:rFonts w:cs="Arial"/>
        </w:rPr>
        <w:lastRenderedPageBreak/>
        <w:t>Attachment C</w:t>
      </w:r>
    </w:p>
    <w:p w14:paraId="6F9E8FD7" w14:textId="77777777" w:rsidR="00F10F99" w:rsidRDefault="00F10F99" w:rsidP="00F10F99">
      <w:pPr>
        <w:spacing w:after="0" w:line="24" w:lineRule="atLeast"/>
        <w:rPr>
          <w:rFonts w:ascii="Arial" w:hAnsi="Arial" w:cs="Arial"/>
          <w:u w:val="single"/>
        </w:rPr>
      </w:pPr>
      <w:r>
        <w:rPr>
          <w:rFonts w:ascii="Arial" w:hAnsi="Arial" w:cs="Arial"/>
          <w:u w:val="single"/>
        </w:rPr>
        <w:t>Applications for Exemption Orders for the Specified Eligible Period</w:t>
      </w:r>
    </w:p>
    <w:p w14:paraId="31012DA2" w14:textId="77777777" w:rsidR="00F10F99" w:rsidRDefault="00F10F99" w:rsidP="00F10F99">
      <w:pPr>
        <w:spacing w:after="0" w:line="24" w:lineRule="atLeast"/>
        <w:rPr>
          <w:rFonts w:ascii="Arial" w:hAnsi="Arial" w:cs="Arial"/>
        </w:rPr>
      </w:pPr>
    </w:p>
    <w:p w14:paraId="15406384" w14:textId="77777777" w:rsidR="00F10F99" w:rsidRDefault="00F10F99" w:rsidP="00F10F99">
      <w:pPr>
        <w:spacing w:after="0" w:line="24" w:lineRule="atLeast"/>
        <w:rPr>
          <w:rFonts w:ascii="Arial" w:hAnsi="Arial" w:cs="Arial"/>
        </w:rPr>
      </w:pPr>
      <w:r>
        <w:rPr>
          <w:rFonts w:ascii="Arial" w:hAnsi="Arial" w:cs="Arial"/>
        </w:rPr>
        <w:t>Between 20 February 2017 and 13 March 2017, the Applicant applied for exemption orders for 17 channels provided by the Applicant, including the Service. Each exemption order application is made for the Specified Eligible Period, with the exception of the Applicant’s Ovation channel, for which it applied for exemption from 1 July 2016 to 30 June 2017 (one financial year). Details are contained in the table below:</w:t>
      </w:r>
    </w:p>
    <w:p w14:paraId="62367340" w14:textId="77777777" w:rsidR="00F10F99" w:rsidRDefault="00F10F99" w:rsidP="00F10F99"/>
    <w:tbl>
      <w:tblPr>
        <w:tblStyle w:val="TableGrid"/>
        <w:tblW w:w="0" w:type="auto"/>
        <w:tblInd w:w="-5" w:type="dxa"/>
        <w:tblLook w:val="04A0" w:firstRow="1" w:lastRow="0" w:firstColumn="1" w:lastColumn="0" w:noHBand="0" w:noVBand="1"/>
        <w:tblCaption w:val="Captioning targets for all services for which Fetch has applied for orders to be granted"/>
        <w:tblDescription w:val="Please see the statement of reasons for each individual Service to learn the annual captioning targets which applied to each of the Services for which Fetch TV has sought an exemption order. "/>
      </w:tblPr>
      <w:tblGrid>
        <w:gridCol w:w="1005"/>
        <w:gridCol w:w="2426"/>
        <w:gridCol w:w="3069"/>
        <w:gridCol w:w="1261"/>
        <w:gridCol w:w="1261"/>
      </w:tblGrid>
      <w:tr w:rsidR="00F10F99" w14:paraId="6527D6AF" w14:textId="77777777" w:rsidTr="00CB44AC">
        <w:trPr>
          <w:tblHeader/>
        </w:trPr>
        <w:tc>
          <w:tcPr>
            <w:tcW w:w="1005" w:type="dxa"/>
            <w:tcBorders>
              <w:top w:val="single" w:sz="4" w:space="0" w:color="auto"/>
              <w:left w:val="single" w:sz="4" w:space="0" w:color="auto"/>
              <w:bottom w:val="single" w:sz="4" w:space="0" w:color="auto"/>
              <w:right w:val="single" w:sz="4" w:space="0" w:color="auto"/>
            </w:tcBorders>
            <w:hideMark/>
          </w:tcPr>
          <w:p w14:paraId="5DF05635"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No. </w:t>
            </w:r>
          </w:p>
        </w:tc>
        <w:tc>
          <w:tcPr>
            <w:tcW w:w="2426" w:type="dxa"/>
            <w:tcBorders>
              <w:top w:val="single" w:sz="4" w:space="0" w:color="auto"/>
              <w:left w:val="single" w:sz="4" w:space="0" w:color="auto"/>
              <w:bottom w:val="single" w:sz="4" w:space="0" w:color="auto"/>
              <w:right w:val="single" w:sz="4" w:space="0" w:color="auto"/>
            </w:tcBorders>
            <w:hideMark/>
          </w:tcPr>
          <w:p w14:paraId="68282809"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Channel Name</w:t>
            </w:r>
          </w:p>
        </w:tc>
        <w:tc>
          <w:tcPr>
            <w:tcW w:w="3069" w:type="dxa"/>
            <w:tcBorders>
              <w:top w:val="single" w:sz="4" w:space="0" w:color="auto"/>
              <w:left w:val="single" w:sz="4" w:space="0" w:color="auto"/>
              <w:bottom w:val="single" w:sz="4" w:space="0" w:color="auto"/>
              <w:right w:val="single" w:sz="4" w:space="0" w:color="auto"/>
            </w:tcBorders>
            <w:hideMark/>
          </w:tcPr>
          <w:p w14:paraId="6794D9FA"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Channel Provider</w:t>
            </w:r>
          </w:p>
        </w:tc>
        <w:tc>
          <w:tcPr>
            <w:tcW w:w="1261" w:type="dxa"/>
            <w:tcBorders>
              <w:top w:val="single" w:sz="4" w:space="0" w:color="auto"/>
              <w:left w:val="single" w:sz="4" w:space="0" w:color="auto"/>
              <w:bottom w:val="single" w:sz="4" w:space="0" w:color="auto"/>
              <w:right w:val="single" w:sz="4" w:space="0" w:color="auto"/>
            </w:tcBorders>
            <w:hideMark/>
          </w:tcPr>
          <w:p w14:paraId="547B3D8F"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Annual Captioning Target (FY 2016-17)</w:t>
            </w:r>
          </w:p>
        </w:tc>
        <w:tc>
          <w:tcPr>
            <w:tcW w:w="1261" w:type="dxa"/>
            <w:tcBorders>
              <w:top w:val="single" w:sz="4" w:space="0" w:color="auto"/>
              <w:left w:val="single" w:sz="4" w:space="0" w:color="auto"/>
              <w:bottom w:val="single" w:sz="4" w:space="0" w:color="auto"/>
              <w:right w:val="single" w:sz="4" w:space="0" w:color="auto"/>
            </w:tcBorders>
            <w:hideMark/>
          </w:tcPr>
          <w:p w14:paraId="16F58CD0"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Annual Captioning Target (FY 2017-18)</w:t>
            </w:r>
          </w:p>
        </w:tc>
      </w:tr>
      <w:tr w:rsidR="00F10F99" w14:paraId="61C76537" w14:textId="77777777" w:rsidTr="00F10F99">
        <w:trPr>
          <w:trHeight w:val="415"/>
        </w:trPr>
        <w:tc>
          <w:tcPr>
            <w:tcW w:w="1005" w:type="dxa"/>
            <w:tcBorders>
              <w:top w:val="single" w:sz="4" w:space="0" w:color="auto"/>
              <w:left w:val="single" w:sz="4" w:space="0" w:color="auto"/>
              <w:bottom w:val="single" w:sz="4" w:space="0" w:color="auto"/>
              <w:right w:val="single" w:sz="4" w:space="0" w:color="auto"/>
            </w:tcBorders>
            <w:hideMark/>
          </w:tcPr>
          <w:p w14:paraId="4463F095"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Borders>
              <w:top w:val="single" w:sz="4" w:space="0" w:color="auto"/>
              <w:left w:val="single" w:sz="4" w:space="0" w:color="auto"/>
              <w:bottom w:val="single" w:sz="4" w:space="0" w:color="auto"/>
              <w:right w:val="single" w:sz="4" w:space="0" w:color="auto"/>
            </w:tcBorders>
            <w:hideMark/>
          </w:tcPr>
          <w:p w14:paraId="49116B61"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Channel News Asia</w:t>
            </w:r>
          </w:p>
        </w:tc>
        <w:tc>
          <w:tcPr>
            <w:tcW w:w="3069" w:type="dxa"/>
            <w:tcBorders>
              <w:top w:val="single" w:sz="4" w:space="0" w:color="auto"/>
              <w:left w:val="single" w:sz="4" w:space="0" w:color="auto"/>
              <w:bottom w:val="single" w:sz="4" w:space="0" w:color="auto"/>
              <w:right w:val="single" w:sz="4" w:space="0" w:color="auto"/>
            </w:tcBorders>
            <w:hideMark/>
          </w:tcPr>
          <w:p w14:paraId="3C514D9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MCN International Pte Ltd</w:t>
            </w:r>
          </w:p>
        </w:tc>
        <w:tc>
          <w:tcPr>
            <w:tcW w:w="1261" w:type="dxa"/>
            <w:tcBorders>
              <w:top w:val="single" w:sz="4" w:space="0" w:color="auto"/>
              <w:left w:val="single" w:sz="4" w:space="0" w:color="auto"/>
              <w:bottom w:val="single" w:sz="4" w:space="0" w:color="auto"/>
              <w:right w:val="single" w:sz="4" w:space="0" w:color="auto"/>
            </w:tcBorders>
            <w:hideMark/>
          </w:tcPr>
          <w:p w14:paraId="161B7706" w14:textId="77777777" w:rsidR="00F10F99" w:rsidRDefault="00F10F99">
            <w:pPr>
              <w:spacing w:line="24" w:lineRule="atLeast"/>
              <w:rPr>
                <w:rFonts w:ascii="Arial" w:hAnsi="Arial" w:cs="Arial"/>
                <w:color w:val="000000"/>
                <w:sz w:val="20"/>
              </w:rPr>
            </w:pPr>
            <w:r>
              <w:rPr>
                <w:rFonts w:ascii="Arial" w:hAnsi="Arial" w:cs="Arial"/>
                <w:color w:val="000000"/>
                <w:sz w:val="20"/>
              </w:rPr>
              <w:t>25%</w:t>
            </w:r>
          </w:p>
        </w:tc>
        <w:tc>
          <w:tcPr>
            <w:tcW w:w="1261" w:type="dxa"/>
            <w:tcBorders>
              <w:top w:val="single" w:sz="4" w:space="0" w:color="auto"/>
              <w:left w:val="single" w:sz="4" w:space="0" w:color="auto"/>
              <w:bottom w:val="single" w:sz="4" w:space="0" w:color="auto"/>
              <w:right w:val="single" w:sz="4" w:space="0" w:color="auto"/>
            </w:tcBorders>
            <w:hideMark/>
          </w:tcPr>
          <w:p w14:paraId="36B1E5B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3B62E38C"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3982DBD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Borders>
              <w:top w:val="single" w:sz="4" w:space="0" w:color="auto"/>
              <w:left w:val="single" w:sz="4" w:space="0" w:color="auto"/>
              <w:bottom w:val="single" w:sz="4" w:space="0" w:color="auto"/>
              <w:right w:val="single" w:sz="4" w:space="0" w:color="auto"/>
            </w:tcBorders>
            <w:hideMark/>
          </w:tcPr>
          <w:p w14:paraId="6C39111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BBC World News</w:t>
            </w:r>
          </w:p>
        </w:tc>
        <w:tc>
          <w:tcPr>
            <w:tcW w:w="3069" w:type="dxa"/>
            <w:tcBorders>
              <w:top w:val="single" w:sz="4" w:space="0" w:color="auto"/>
              <w:left w:val="single" w:sz="4" w:space="0" w:color="auto"/>
              <w:bottom w:val="single" w:sz="4" w:space="0" w:color="auto"/>
              <w:right w:val="single" w:sz="4" w:space="0" w:color="auto"/>
            </w:tcBorders>
            <w:hideMark/>
          </w:tcPr>
          <w:p w14:paraId="645253F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BBC Worldwide Australia Pty Limited</w:t>
            </w:r>
          </w:p>
        </w:tc>
        <w:tc>
          <w:tcPr>
            <w:tcW w:w="1261" w:type="dxa"/>
            <w:tcBorders>
              <w:top w:val="single" w:sz="4" w:space="0" w:color="auto"/>
              <w:left w:val="single" w:sz="4" w:space="0" w:color="auto"/>
              <w:bottom w:val="single" w:sz="4" w:space="0" w:color="auto"/>
              <w:right w:val="single" w:sz="4" w:space="0" w:color="auto"/>
            </w:tcBorders>
            <w:hideMark/>
          </w:tcPr>
          <w:p w14:paraId="456CCB47"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79BF4FB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18A01109"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5BC03C43"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Borders>
              <w:top w:val="single" w:sz="4" w:space="0" w:color="auto"/>
              <w:left w:val="single" w:sz="4" w:space="0" w:color="auto"/>
              <w:bottom w:val="single" w:sz="4" w:space="0" w:color="auto"/>
              <w:right w:val="single" w:sz="4" w:space="0" w:color="auto"/>
            </w:tcBorders>
            <w:hideMark/>
          </w:tcPr>
          <w:p w14:paraId="78D4BE5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Ovation</w:t>
            </w:r>
          </w:p>
        </w:tc>
        <w:tc>
          <w:tcPr>
            <w:tcW w:w="3069" w:type="dxa"/>
            <w:tcBorders>
              <w:top w:val="single" w:sz="4" w:space="0" w:color="auto"/>
              <w:left w:val="single" w:sz="4" w:space="0" w:color="auto"/>
              <w:bottom w:val="single" w:sz="4" w:space="0" w:color="auto"/>
              <w:right w:val="single" w:sz="4" w:space="0" w:color="auto"/>
            </w:tcBorders>
            <w:hideMark/>
          </w:tcPr>
          <w:p w14:paraId="1496EDF1"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Ovation Entertainment Pty Ltd</w:t>
            </w:r>
          </w:p>
        </w:tc>
        <w:tc>
          <w:tcPr>
            <w:tcW w:w="1261" w:type="dxa"/>
            <w:tcBorders>
              <w:top w:val="single" w:sz="4" w:space="0" w:color="auto"/>
              <w:left w:val="single" w:sz="4" w:space="0" w:color="auto"/>
              <w:bottom w:val="single" w:sz="4" w:space="0" w:color="auto"/>
              <w:right w:val="single" w:sz="4" w:space="0" w:color="auto"/>
            </w:tcBorders>
            <w:hideMark/>
          </w:tcPr>
          <w:p w14:paraId="7D33046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293CB2B2"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Nil</w:t>
            </w:r>
          </w:p>
        </w:tc>
      </w:tr>
      <w:tr w:rsidR="00F10F99" w14:paraId="4BDA53F9"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4FBA4CD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Borders>
              <w:top w:val="single" w:sz="4" w:space="0" w:color="auto"/>
              <w:left w:val="single" w:sz="4" w:space="0" w:color="auto"/>
              <w:bottom w:val="single" w:sz="4" w:space="0" w:color="auto"/>
              <w:right w:val="single" w:sz="4" w:space="0" w:color="auto"/>
            </w:tcBorders>
            <w:hideMark/>
          </w:tcPr>
          <w:p w14:paraId="39232515"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Horse &amp; Country TV</w:t>
            </w:r>
          </w:p>
        </w:tc>
        <w:tc>
          <w:tcPr>
            <w:tcW w:w="3069" w:type="dxa"/>
            <w:tcBorders>
              <w:top w:val="single" w:sz="4" w:space="0" w:color="auto"/>
              <w:left w:val="single" w:sz="4" w:space="0" w:color="auto"/>
              <w:bottom w:val="single" w:sz="4" w:space="0" w:color="auto"/>
              <w:right w:val="single" w:sz="4" w:space="0" w:color="auto"/>
            </w:tcBorders>
            <w:hideMark/>
          </w:tcPr>
          <w:p w14:paraId="145260F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H&amp;C TV Limited</w:t>
            </w:r>
          </w:p>
        </w:tc>
        <w:tc>
          <w:tcPr>
            <w:tcW w:w="1261" w:type="dxa"/>
            <w:tcBorders>
              <w:top w:val="single" w:sz="4" w:space="0" w:color="auto"/>
              <w:left w:val="single" w:sz="4" w:space="0" w:color="auto"/>
              <w:bottom w:val="single" w:sz="4" w:space="0" w:color="auto"/>
              <w:right w:val="single" w:sz="4" w:space="0" w:color="auto"/>
            </w:tcBorders>
            <w:hideMark/>
          </w:tcPr>
          <w:p w14:paraId="375E780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3E2FD3B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759428DB"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11D4434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5</w:t>
            </w:r>
          </w:p>
        </w:tc>
        <w:tc>
          <w:tcPr>
            <w:tcW w:w="2426" w:type="dxa"/>
            <w:tcBorders>
              <w:top w:val="single" w:sz="4" w:space="0" w:color="auto"/>
              <w:left w:val="single" w:sz="4" w:space="0" w:color="auto"/>
              <w:bottom w:val="single" w:sz="4" w:space="0" w:color="auto"/>
              <w:right w:val="single" w:sz="4" w:space="0" w:color="auto"/>
            </w:tcBorders>
            <w:hideMark/>
          </w:tcPr>
          <w:p w14:paraId="17261A7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Fashion TV</w:t>
            </w:r>
          </w:p>
        </w:tc>
        <w:tc>
          <w:tcPr>
            <w:tcW w:w="3069" w:type="dxa"/>
            <w:tcBorders>
              <w:top w:val="single" w:sz="4" w:space="0" w:color="auto"/>
              <w:left w:val="single" w:sz="4" w:space="0" w:color="auto"/>
              <w:bottom w:val="single" w:sz="4" w:space="0" w:color="auto"/>
              <w:right w:val="single" w:sz="4" w:space="0" w:color="auto"/>
            </w:tcBorders>
            <w:hideMark/>
          </w:tcPr>
          <w:p w14:paraId="2BD223F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F.TV Programmgesellschaft mbH</w:t>
            </w:r>
          </w:p>
        </w:tc>
        <w:tc>
          <w:tcPr>
            <w:tcW w:w="1261" w:type="dxa"/>
            <w:tcBorders>
              <w:top w:val="single" w:sz="4" w:space="0" w:color="auto"/>
              <w:left w:val="single" w:sz="4" w:space="0" w:color="auto"/>
              <w:bottom w:val="single" w:sz="4" w:space="0" w:color="auto"/>
              <w:right w:val="single" w:sz="4" w:space="0" w:color="auto"/>
            </w:tcBorders>
            <w:hideMark/>
          </w:tcPr>
          <w:p w14:paraId="37BB9C2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3362EFB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1661DF9E"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4FF05BC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w:t>
            </w:r>
          </w:p>
        </w:tc>
        <w:tc>
          <w:tcPr>
            <w:tcW w:w="2426" w:type="dxa"/>
            <w:tcBorders>
              <w:top w:val="single" w:sz="4" w:space="0" w:color="auto"/>
              <w:left w:val="single" w:sz="4" w:space="0" w:color="auto"/>
              <w:bottom w:val="single" w:sz="4" w:space="0" w:color="auto"/>
              <w:right w:val="single" w:sz="4" w:space="0" w:color="auto"/>
            </w:tcBorders>
            <w:hideMark/>
          </w:tcPr>
          <w:p w14:paraId="52FDFC2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Al Jazeera</w:t>
            </w:r>
          </w:p>
        </w:tc>
        <w:tc>
          <w:tcPr>
            <w:tcW w:w="3069" w:type="dxa"/>
            <w:tcBorders>
              <w:top w:val="single" w:sz="4" w:space="0" w:color="auto"/>
              <w:left w:val="single" w:sz="4" w:space="0" w:color="auto"/>
              <w:bottom w:val="single" w:sz="4" w:space="0" w:color="auto"/>
              <w:right w:val="single" w:sz="4" w:space="0" w:color="auto"/>
            </w:tcBorders>
            <w:hideMark/>
          </w:tcPr>
          <w:p w14:paraId="74BFE8C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Al Jazeera Media Network</w:t>
            </w:r>
          </w:p>
        </w:tc>
        <w:tc>
          <w:tcPr>
            <w:tcW w:w="1261" w:type="dxa"/>
            <w:tcBorders>
              <w:top w:val="single" w:sz="4" w:space="0" w:color="auto"/>
              <w:left w:val="single" w:sz="4" w:space="0" w:color="auto"/>
              <w:bottom w:val="single" w:sz="4" w:space="0" w:color="auto"/>
              <w:right w:val="single" w:sz="4" w:space="0" w:color="auto"/>
            </w:tcBorders>
            <w:hideMark/>
          </w:tcPr>
          <w:p w14:paraId="01519DA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331A6357"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065ABE14"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43CC7BA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w:t>
            </w:r>
          </w:p>
        </w:tc>
        <w:tc>
          <w:tcPr>
            <w:tcW w:w="2426" w:type="dxa"/>
            <w:tcBorders>
              <w:top w:val="single" w:sz="4" w:space="0" w:color="auto"/>
              <w:left w:val="single" w:sz="4" w:space="0" w:color="auto"/>
              <w:bottom w:val="single" w:sz="4" w:space="0" w:color="auto"/>
              <w:right w:val="single" w:sz="4" w:space="0" w:color="auto"/>
            </w:tcBorders>
            <w:hideMark/>
          </w:tcPr>
          <w:p w14:paraId="16B100F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Baby TV</w:t>
            </w:r>
          </w:p>
        </w:tc>
        <w:tc>
          <w:tcPr>
            <w:tcW w:w="3069" w:type="dxa"/>
            <w:tcBorders>
              <w:top w:val="single" w:sz="4" w:space="0" w:color="auto"/>
              <w:left w:val="single" w:sz="4" w:space="0" w:color="auto"/>
              <w:bottom w:val="single" w:sz="4" w:space="0" w:color="auto"/>
              <w:right w:val="single" w:sz="4" w:space="0" w:color="auto"/>
            </w:tcBorders>
            <w:hideMark/>
          </w:tcPr>
          <w:p w14:paraId="1F7FAC00"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NGC Network (Australia) Pty Ltd)</w:t>
            </w:r>
          </w:p>
        </w:tc>
        <w:tc>
          <w:tcPr>
            <w:tcW w:w="1261" w:type="dxa"/>
            <w:tcBorders>
              <w:top w:val="single" w:sz="4" w:space="0" w:color="auto"/>
              <w:left w:val="single" w:sz="4" w:space="0" w:color="auto"/>
              <w:bottom w:val="single" w:sz="4" w:space="0" w:color="auto"/>
              <w:right w:val="single" w:sz="4" w:space="0" w:color="auto"/>
            </w:tcBorders>
            <w:hideMark/>
          </w:tcPr>
          <w:p w14:paraId="7FF6376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23B8DF4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7FF69DE3"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623AAE7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8</w:t>
            </w:r>
          </w:p>
        </w:tc>
        <w:tc>
          <w:tcPr>
            <w:tcW w:w="2426" w:type="dxa"/>
            <w:tcBorders>
              <w:top w:val="single" w:sz="4" w:space="0" w:color="auto"/>
              <w:left w:val="single" w:sz="4" w:space="0" w:color="auto"/>
              <w:bottom w:val="single" w:sz="4" w:space="0" w:color="auto"/>
              <w:right w:val="single" w:sz="4" w:space="0" w:color="auto"/>
            </w:tcBorders>
            <w:hideMark/>
          </w:tcPr>
          <w:p w14:paraId="0044546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Bloomberg</w:t>
            </w:r>
          </w:p>
        </w:tc>
        <w:tc>
          <w:tcPr>
            <w:tcW w:w="3069" w:type="dxa"/>
            <w:tcBorders>
              <w:top w:val="single" w:sz="4" w:space="0" w:color="auto"/>
              <w:left w:val="single" w:sz="4" w:space="0" w:color="auto"/>
              <w:bottom w:val="single" w:sz="4" w:space="0" w:color="auto"/>
              <w:right w:val="single" w:sz="4" w:space="0" w:color="auto"/>
            </w:tcBorders>
            <w:hideMark/>
          </w:tcPr>
          <w:p w14:paraId="5867350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Bloomberg LP</w:t>
            </w:r>
          </w:p>
        </w:tc>
        <w:tc>
          <w:tcPr>
            <w:tcW w:w="1261" w:type="dxa"/>
            <w:tcBorders>
              <w:top w:val="single" w:sz="4" w:space="0" w:color="auto"/>
              <w:left w:val="single" w:sz="4" w:space="0" w:color="auto"/>
              <w:bottom w:val="single" w:sz="4" w:space="0" w:color="auto"/>
              <w:right w:val="single" w:sz="4" w:space="0" w:color="auto"/>
            </w:tcBorders>
            <w:hideMark/>
          </w:tcPr>
          <w:p w14:paraId="0A6A5B8A" w14:textId="77777777" w:rsidR="00F10F99" w:rsidRDefault="00F10F99">
            <w:pPr>
              <w:tabs>
                <w:tab w:val="left" w:pos="626"/>
              </w:tabs>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2D4660A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236F8D88"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331408A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9</w:t>
            </w:r>
          </w:p>
        </w:tc>
        <w:tc>
          <w:tcPr>
            <w:tcW w:w="2426" w:type="dxa"/>
            <w:tcBorders>
              <w:top w:val="single" w:sz="4" w:space="0" w:color="auto"/>
              <w:left w:val="single" w:sz="4" w:space="0" w:color="auto"/>
              <w:bottom w:val="single" w:sz="4" w:space="0" w:color="auto"/>
              <w:right w:val="single" w:sz="4" w:space="0" w:color="auto"/>
            </w:tcBorders>
            <w:hideMark/>
          </w:tcPr>
          <w:p w14:paraId="229C937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CNBC Asia Pacific</w:t>
            </w:r>
          </w:p>
        </w:tc>
        <w:tc>
          <w:tcPr>
            <w:tcW w:w="3069" w:type="dxa"/>
            <w:tcBorders>
              <w:top w:val="single" w:sz="4" w:space="0" w:color="auto"/>
              <w:left w:val="single" w:sz="4" w:space="0" w:color="auto"/>
              <w:bottom w:val="single" w:sz="4" w:space="0" w:color="auto"/>
              <w:right w:val="single" w:sz="4" w:space="0" w:color="auto"/>
            </w:tcBorders>
            <w:hideMark/>
          </w:tcPr>
          <w:p w14:paraId="6BD1D075"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Business News Asia (LLP) t/a CNBC Asia Pacific</w:t>
            </w:r>
          </w:p>
        </w:tc>
        <w:tc>
          <w:tcPr>
            <w:tcW w:w="1261" w:type="dxa"/>
            <w:tcBorders>
              <w:top w:val="single" w:sz="4" w:space="0" w:color="auto"/>
              <w:left w:val="single" w:sz="4" w:space="0" w:color="auto"/>
              <w:bottom w:val="single" w:sz="4" w:space="0" w:color="auto"/>
              <w:right w:val="single" w:sz="4" w:space="0" w:color="auto"/>
            </w:tcBorders>
            <w:hideMark/>
          </w:tcPr>
          <w:p w14:paraId="6B371A5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3BFAE6A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389732E3"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09954D5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10</w:t>
            </w:r>
          </w:p>
        </w:tc>
        <w:tc>
          <w:tcPr>
            <w:tcW w:w="2426" w:type="dxa"/>
            <w:tcBorders>
              <w:top w:val="single" w:sz="4" w:space="0" w:color="auto"/>
              <w:left w:val="single" w:sz="4" w:space="0" w:color="auto"/>
              <w:bottom w:val="single" w:sz="4" w:space="0" w:color="auto"/>
              <w:right w:val="single" w:sz="4" w:space="0" w:color="auto"/>
            </w:tcBorders>
            <w:hideMark/>
          </w:tcPr>
          <w:p w14:paraId="3FC589A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CGTN (formerly CCTV News)</w:t>
            </w:r>
          </w:p>
        </w:tc>
        <w:tc>
          <w:tcPr>
            <w:tcW w:w="3069" w:type="dxa"/>
            <w:tcBorders>
              <w:top w:val="single" w:sz="4" w:space="0" w:color="auto"/>
              <w:left w:val="single" w:sz="4" w:space="0" w:color="auto"/>
              <w:bottom w:val="single" w:sz="4" w:space="0" w:color="auto"/>
              <w:right w:val="single" w:sz="4" w:space="0" w:color="auto"/>
            </w:tcBorders>
            <w:hideMark/>
          </w:tcPr>
          <w:p w14:paraId="183FA81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China International Communications Co Ltd</w:t>
            </w:r>
          </w:p>
        </w:tc>
        <w:tc>
          <w:tcPr>
            <w:tcW w:w="1261" w:type="dxa"/>
            <w:tcBorders>
              <w:top w:val="single" w:sz="4" w:space="0" w:color="auto"/>
              <w:left w:val="single" w:sz="4" w:space="0" w:color="auto"/>
              <w:bottom w:val="single" w:sz="4" w:space="0" w:color="auto"/>
              <w:right w:val="single" w:sz="4" w:space="0" w:color="auto"/>
            </w:tcBorders>
            <w:hideMark/>
          </w:tcPr>
          <w:p w14:paraId="5D201F9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3468EEA0"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4B0DC1CB"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1B88023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11</w:t>
            </w:r>
          </w:p>
        </w:tc>
        <w:tc>
          <w:tcPr>
            <w:tcW w:w="2426" w:type="dxa"/>
            <w:tcBorders>
              <w:top w:val="single" w:sz="4" w:space="0" w:color="auto"/>
              <w:left w:val="single" w:sz="4" w:space="0" w:color="auto"/>
              <w:bottom w:val="single" w:sz="4" w:space="0" w:color="auto"/>
              <w:right w:val="single" w:sz="4" w:space="0" w:color="auto"/>
            </w:tcBorders>
            <w:hideMark/>
          </w:tcPr>
          <w:p w14:paraId="4BCA947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France 24 (English)</w:t>
            </w:r>
          </w:p>
        </w:tc>
        <w:tc>
          <w:tcPr>
            <w:tcW w:w="3069" w:type="dxa"/>
            <w:tcBorders>
              <w:top w:val="single" w:sz="4" w:space="0" w:color="auto"/>
              <w:left w:val="single" w:sz="4" w:space="0" w:color="auto"/>
              <w:bottom w:val="single" w:sz="4" w:space="0" w:color="auto"/>
              <w:right w:val="single" w:sz="4" w:space="0" w:color="auto"/>
            </w:tcBorders>
            <w:hideMark/>
          </w:tcPr>
          <w:p w14:paraId="35AF26F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France MEDIAS MONDE</w:t>
            </w:r>
          </w:p>
        </w:tc>
        <w:tc>
          <w:tcPr>
            <w:tcW w:w="1261" w:type="dxa"/>
            <w:tcBorders>
              <w:top w:val="single" w:sz="4" w:space="0" w:color="auto"/>
              <w:left w:val="single" w:sz="4" w:space="0" w:color="auto"/>
              <w:bottom w:val="single" w:sz="4" w:space="0" w:color="auto"/>
              <w:right w:val="single" w:sz="4" w:space="0" w:color="auto"/>
            </w:tcBorders>
            <w:hideMark/>
          </w:tcPr>
          <w:p w14:paraId="1B76F4B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3D96537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66EAC9DB"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69D06B59"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12</w:t>
            </w:r>
          </w:p>
        </w:tc>
        <w:tc>
          <w:tcPr>
            <w:tcW w:w="2426" w:type="dxa"/>
            <w:tcBorders>
              <w:top w:val="single" w:sz="4" w:space="0" w:color="auto"/>
              <w:left w:val="single" w:sz="4" w:space="0" w:color="auto"/>
              <w:bottom w:val="single" w:sz="4" w:space="0" w:color="auto"/>
              <w:right w:val="single" w:sz="4" w:space="0" w:color="auto"/>
            </w:tcBorders>
            <w:hideMark/>
          </w:tcPr>
          <w:p w14:paraId="7BB3370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Euronews</w:t>
            </w:r>
          </w:p>
        </w:tc>
        <w:tc>
          <w:tcPr>
            <w:tcW w:w="3069" w:type="dxa"/>
            <w:tcBorders>
              <w:top w:val="single" w:sz="4" w:space="0" w:color="auto"/>
              <w:left w:val="single" w:sz="4" w:space="0" w:color="auto"/>
              <w:bottom w:val="single" w:sz="4" w:space="0" w:color="auto"/>
              <w:right w:val="single" w:sz="4" w:space="0" w:color="auto"/>
            </w:tcBorders>
            <w:hideMark/>
          </w:tcPr>
          <w:p w14:paraId="255317D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Euronews Societe Anonyme</w:t>
            </w:r>
          </w:p>
        </w:tc>
        <w:tc>
          <w:tcPr>
            <w:tcW w:w="1261" w:type="dxa"/>
            <w:tcBorders>
              <w:top w:val="single" w:sz="4" w:space="0" w:color="auto"/>
              <w:left w:val="single" w:sz="4" w:space="0" w:color="auto"/>
              <w:bottom w:val="single" w:sz="4" w:space="0" w:color="auto"/>
              <w:right w:val="single" w:sz="4" w:space="0" w:color="auto"/>
            </w:tcBorders>
            <w:hideMark/>
          </w:tcPr>
          <w:p w14:paraId="7FC7006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10675313"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24366AEE"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584EBB1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13</w:t>
            </w:r>
          </w:p>
        </w:tc>
        <w:tc>
          <w:tcPr>
            <w:tcW w:w="2426" w:type="dxa"/>
            <w:tcBorders>
              <w:top w:val="single" w:sz="4" w:space="0" w:color="auto"/>
              <w:left w:val="single" w:sz="4" w:space="0" w:color="auto"/>
              <w:bottom w:val="single" w:sz="4" w:space="0" w:color="auto"/>
              <w:right w:val="single" w:sz="4" w:space="0" w:color="auto"/>
            </w:tcBorders>
            <w:hideMark/>
          </w:tcPr>
          <w:p w14:paraId="5F6D183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NDTV 24X7</w:t>
            </w:r>
          </w:p>
        </w:tc>
        <w:tc>
          <w:tcPr>
            <w:tcW w:w="3069" w:type="dxa"/>
            <w:tcBorders>
              <w:top w:val="single" w:sz="4" w:space="0" w:color="auto"/>
              <w:left w:val="single" w:sz="4" w:space="0" w:color="auto"/>
              <w:bottom w:val="single" w:sz="4" w:space="0" w:color="auto"/>
              <w:right w:val="single" w:sz="4" w:space="0" w:color="auto"/>
            </w:tcBorders>
            <w:hideMark/>
          </w:tcPr>
          <w:p w14:paraId="77478152"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New Delhi Television Limited</w:t>
            </w:r>
          </w:p>
        </w:tc>
        <w:tc>
          <w:tcPr>
            <w:tcW w:w="1261" w:type="dxa"/>
            <w:tcBorders>
              <w:top w:val="single" w:sz="4" w:space="0" w:color="auto"/>
              <w:left w:val="single" w:sz="4" w:space="0" w:color="auto"/>
              <w:bottom w:val="single" w:sz="4" w:space="0" w:color="auto"/>
              <w:right w:val="single" w:sz="4" w:space="0" w:color="auto"/>
            </w:tcBorders>
            <w:hideMark/>
          </w:tcPr>
          <w:p w14:paraId="0D392A97"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Borders>
              <w:top w:val="single" w:sz="4" w:space="0" w:color="auto"/>
              <w:left w:val="single" w:sz="4" w:space="0" w:color="auto"/>
              <w:bottom w:val="single" w:sz="4" w:space="0" w:color="auto"/>
              <w:right w:val="single" w:sz="4" w:space="0" w:color="auto"/>
            </w:tcBorders>
            <w:hideMark/>
          </w:tcPr>
          <w:p w14:paraId="6523A9D0"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F10F99" w14:paraId="24AB5D76"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56B0E22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14</w:t>
            </w:r>
          </w:p>
        </w:tc>
        <w:tc>
          <w:tcPr>
            <w:tcW w:w="2426" w:type="dxa"/>
            <w:tcBorders>
              <w:top w:val="single" w:sz="4" w:space="0" w:color="auto"/>
              <w:left w:val="single" w:sz="4" w:space="0" w:color="auto"/>
              <w:bottom w:val="single" w:sz="4" w:space="0" w:color="auto"/>
              <w:right w:val="single" w:sz="4" w:space="0" w:color="auto"/>
            </w:tcBorders>
            <w:hideMark/>
          </w:tcPr>
          <w:p w14:paraId="5AE207F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HGTV</w:t>
            </w:r>
          </w:p>
        </w:tc>
        <w:tc>
          <w:tcPr>
            <w:tcW w:w="3069" w:type="dxa"/>
            <w:tcBorders>
              <w:top w:val="single" w:sz="4" w:space="0" w:color="auto"/>
              <w:left w:val="single" w:sz="4" w:space="0" w:color="auto"/>
              <w:bottom w:val="single" w:sz="4" w:space="0" w:color="auto"/>
              <w:right w:val="single" w:sz="4" w:space="0" w:color="auto"/>
            </w:tcBorders>
            <w:hideMark/>
          </w:tcPr>
          <w:p w14:paraId="2C58F90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Scripps Networks Interactive (Asia) Pte Ltd</w:t>
            </w:r>
          </w:p>
        </w:tc>
        <w:tc>
          <w:tcPr>
            <w:tcW w:w="1261" w:type="dxa"/>
            <w:tcBorders>
              <w:top w:val="single" w:sz="4" w:space="0" w:color="auto"/>
              <w:left w:val="single" w:sz="4" w:space="0" w:color="auto"/>
              <w:bottom w:val="single" w:sz="4" w:space="0" w:color="auto"/>
              <w:right w:val="single" w:sz="4" w:space="0" w:color="auto"/>
            </w:tcBorders>
            <w:hideMark/>
          </w:tcPr>
          <w:p w14:paraId="6C56815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Borders>
              <w:top w:val="single" w:sz="4" w:space="0" w:color="auto"/>
              <w:left w:val="single" w:sz="4" w:space="0" w:color="auto"/>
              <w:bottom w:val="single" w:sz="4" w:space="0" w:color="auto"/>
              <w:right w:val="single" w:sz="4" w:space="0" w:color="auto"/>
            </w:tcBorders>
            <w:hideMark/>
          </w:tcPr>
          <w:p w14:paraId="4DADEEB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F10F99" w14:paraId="4B99A895"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5D2D4B30"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15</w:t>
            </w:r>
          </w:p>
        </w:tc>
        <w:tc>
          <w:tcPr>
            <w:tcW w:w="2426" w:type="dxa"/>
            <w:tcBorders>
              <w:top w:val="single" w:sz="4" w:space="0" w:color="auto"/>
              <w:left w:val="single" w:sz="4" w:space="0" w:color="auto"/>
              <w:bottom w:val="single" w:sz="4" w:space="0" w:color="auto"/>
              <w:right w:val="single" w:sz="4" w:space="0" w:color="auto"/>
            </w:tcBorders>
            <w:hideMark/>
          </w:tcPr>
          <w:p w14:paraId="2DAA49AE"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w:t>
            </w:r>
          </w:p>
        </w:tc>
        <w:tc>
          <w:tcPr>
            <w:tcW w:w="3069" w:type="dxa"/>
            <w:tcBorders>
              <w:top w:val="single" w:sz="4" w:space="0" w:color="auto"/>
              <w:left w:val="single" w:sz="4" w:space="0" w:color="auto"/>
              <w:bottom w:val="single" w:sz="4" w:space="0" w:color="auto"/>
              <w:right w:val="single" w:sz="4" w:space="0" w:color="auto"/>
            </w:tcBorders>
            <w:hideMark/>
          </w:tcPr>
          <w:p w14:paraId="78D9587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 Pty Limited</w:t>
            </w:r>
          </w:p>
        </w:tc>
        <w:tc>
          <w:tcPr>
            <w:tcW w:w="1261" w:type="dxa"/>
            <w:tcBorders>
              <w:top w:val="single" w:sz="4" w:space="0" w:color="auto"/>
              <w:left w:val="single" w:sz="4" w:space="0" w:color="auto"/>
              <w:bottom w:val="single" w:sz="4" w:space="0" w:color="auto"/>
              <w:right w:val="single" w:sz="4" w:space="0" w:color="auto"/>
            </w:tcBorders>
            <w:hideMark/>
          </w:tcPr>
          <w:p w14:paraId="4524FA7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36AAA571"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289A0BD5"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60E52F5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16</w:t>
            </w:r>
          </w:p>
        </w:tc>
        <w:tc>
          <w:tcPr>
            <w:tcW w:w="2426" w:type="dxa"/>
            <w:tcBorders>
              <w:top w:val="single" w:sz="4" w:space="0" w:color="auto"/>
              <w:left w:val="single" w:sz="4" w:space="0" w:color="auto"/>
              <w:bottom w:val="single" w:sz="4" w:space="0" w:color="auto"/>
              <w:right w:val="single" w:sz="4" w:space="0" w:color="auto"/>
            </w:tcBorders>
            <w:hideMark/>
          </w:tcPr>
          <w:p w14:paraId="53574825"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Travel Channel</w:t>
            </w:r>
          </w:p>
        </w:tc>
        <w:tc>
          <w:tcPr>
            <w:tcW w:w="3069" w:type="dxa"/>
            <w:tcBorders>
              <w:top w:val="single" w:sz="4" w:space="0" w:color="auto"/>
              <w:left w:val="single" w:sz="4" w:space="0" w:color="auto"/>
              <w:bottom w:val="single" w:sz="4" w:space="0" w:color="auto"/>
              <w:right w:val="single" w:sz="4" w:space="0" w:color="auto"/>
            </w:tcBorders>
            <w:hideMark/>
          </w:tcPr>
          <w:p w14:paraId="56779E37"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Scripps Networks Interactive (Asia) Pte Ltd</w:t>
            </w:r>
          </w:p>
        </w:tc>
        <w:tc>
          <w:tcPr>
            <w:tcW w:w="1261" w:type="dxa"/>
            <w:tcBorders>
              <w:top w:val="single" w:sz="4" w:space="0" w:color="auto"/>
              <w:left w:val="single" w:sz="4" w:space="0" w:color="auto"/>
              <w:bottom w:val="single" w:sz="4" w:space="0" w:color="auto"/>
              <w:right w:val="single" w:sz="4" w:space="0" w:color="auto"/>
            </w:tcBorders>
            <w:hideMark/>
          </w:tcPr>
          <w:p w14:paraId="45FD779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27E21DB2"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08C9FE2B"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38C4BFD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17</w:t>
            </w:r>
          </w:p>
        </w:tc>
        <w:tc>
          <w:tcPr>
            <w:tcW w:w="2426" w:type="dxa"/>
            <w:tcBorders>
              <w:top w:val="single" w:sz="4" w:space="0" w:color="auto"/>
              <w:left w:val="single" w:sz="4" w:space="0" w:color="auto"/>
              <w:bottom w:val="single" w:sz="4" w:space="0" w:color="auto"/>
              <w:right w:val="single" w:sz="4" w:space="0" w:color="auto"/>
            </w:tcBorders>
            <w:hideMark/>
          </w:tcPr>
          <w:p w14:paraId="6F01B18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Food Network</w:t>
            </w:r>
          </w:p>
        </w:tc>
        <w:tc>
          <w:tcPr>
            <w:tcW w:w="3069" w:type="dxa"/>
            <w:tcBorders>
              <w:top w:val="single" w:sz="4" w:space="0" w:color="auto"/>
              <w:left w:val="single" w:sz="4" w:space="0" w:color="auto"/>
              <w:bottom w:val="single" w:sz="4" w:space="0" w:color="auto"/>
              <w:right w:val="single" w:sz="4" w:space="0" w:color="auto"/>
            </w:tcBorders>
            <w:hideMark/>
          </w:tcPr>
          <w:p w14:paraId="2F03F72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Scripps Networks Interactive (Asia) Pte Ltd</w:t>
            </w:r>
          </w:p>
        </w:tc>
        <w:tc>
          <w:tcPr>
            <w:tcW w:w="1261" w:type="dxa"/>
            <w:tcBorders>
              <w:top w:val="single" w:sz="4" w:space="0" w:color="auto"/>
              <w:left w:val="single" w:sz="4" w:space="0" w:color="auto"/>
              <w:bottom w:val="single" w:sz="4" w:space="0" w:color="auto"/>
              <w:right w:val="single" w:sz="4" w:space="0" w:color="auto"/>
            </w:tcBorders>
            <w:hideMark/>
          </w:tcPr>
          <w:p w14:paraId="462EA502"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067D1CE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bl>
    <w:p w14:paraId="482878F5" w14:textId="77777777" w:rsidR="00F10F99" w:rsidRDefault="00F10F99" w:rsidP="00F10F99">
      <w:pPr>
        <w:spacing w:line="24" w:lineRule="atLeast"/>
        <w:rPr>
          <w:rFonts w:ascii="Arial" w:hAnsi="Arial" w:cs="Arial"/>
          <w:highlight w:val="yellow"/>
        </w:rPr>
      </w:pPr>
    </w:p>
    <w:p w14:paraId="53B537D4" w14:textId="77777777" w:rsidR="00F10F99" w:rsidRDefault="00F10F99" w:rsidP="00F10F99">
      <w:pPr>
        <w:spacing w:line="24" w:lineRule="atLeast"/>
        <w:rPr>
          <w:rFonts w:ascii="Arial" w:hAnsi="Arial" w:cs="Arial"/>
          <w:i/>
          <w:u w:val="single"/>
        </w:rPr>
      </w:pPr>
      <w:r>
        <w:rPr>
          <w:rFonts w:ascii="Arial" w:hAnsi="Arial" w:cs="Arial"/>
          <w:i/>
          <w:u w:val="single"/>
        </w:rPr>
        <w:lastRenderedPageBreak/>
        <w:t xml:space="preserve">Target Reduction Order Applications </w:t>
      </w:r>
    </w:p>
    <w:p w14:paraId="6A2B9E46" w14:textId="77777777" w:rsidR="00F10F99" w:rsidRDefault="00F10F99" w:rsidP="00F10F99">
      <w:pPr>
        <w:spacing w:after="0" w:line="24" w:lineRule="atLeast"/>
        <w:rPr>
          <w:rFonts w:ascii="Arial" w:hAnsi="Arial" w:cs="Arial"/>
        </w:rPr>
      </w:pPr>
      <w:r>
        <w:rPr>
          <w:rFonts w:ascii="Arial" w:hAnsi="Arial" w:cs="Arial"/>
        </w:rPr>
        <w:t>Between 21 February 2017 and 28 February 2017, the Applicant applied for target reduction orders for 4 channels provided by the Applicant, including the Service. Each exemption order application is made for the Specified Eligible Period. Details are contained in the table below:</w:t>
      </w:r>
    </w:p>
    <w:p w14:paraId="2663D09A" w14:textId="77777777" w:rsidR="00F10F99" w:rsidRDefault="00F10F99" w:rsidP="00F10F99">
      <w:pPr>
        <w:spacing w:after="0" w:line="24" w:lineRule="atLeast"/>
        <w:rPr>
          <w:rFonts w:ascii="Arial" w:hAnsi="Arial" w:cs="Arial"/>
        </w:rPr>
      </w:pPr>
    </w:p>
    <w:tbl>
      <w:tblPr>
        <w:tblStyle w:val="TableGrid"/>
        <w:tblW w:w="0" w:type="auto"/>
        <w:tblInd w:w="-5" w:type="dxa"/>
        <w:tblLook w:val="04A0" w:firstRow="1" w:lastRow="0" w:firstColumn="1" w:lastColumn="0" w:noHBand="0" w:noVBand="1"/>
        <w:tblCaption w:val="Annual captioning targets for each Service subject to a target reduction order"/>
        <w:tblDescription w:val="Please see the statement of reasons for each individual Service to learn the annual captioning targets which applied to each of the Services for which Fetch TV has sought a target reduction order."/>
      </w:tblPr>
      <w:tblGrid>
        <w:gridCol w:w="1005"/>
        <w:gridCol w:w="2426"/>
        <w:gridCol w:w="3069"/>
        <w:gridCol w:w="1261"/>
        <w:gridCol w:w="1261"/>
      </w:tblGrid>
      <w:tr w:rsidR="00F10F99" w14:paraId="511B3BD5" w14:textId="77777777" w:rsidTr="00CB44AC">
        <w:trPr>
          <w:tblHeader/>
        </w:trPr>
        <w:tc>
          <w:tcPr>
            <w:tcW w:w="1005" w:type="dxa"/>
            <w:tcBorders>
              <w:top w:val="single" w:sz="4" w:space="0" w:color="auto"/>
              <w:left w:val="single" w:sz="4" w:space="0" w:color="auto"/>
              <w:bottom w:val="single" w:sz="4" w:space="0" w:color="auto"/>
              <w:right w:val="single" w:sz="4" w:space="0" w:color="auto"/>
            </w:tcBorders>
            <w:hideMark/>
          </w:tcPr>
          <w:p w14:paraId="5E46705F"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No. </w:t>
            </w:r>
          </w:p>
        </w:tc>
        <w:tc>
          <w:tcPr>
            <w:tcW w:w="2426" w:type="dxa"/>
            <w:tcBorders>
              <w:top w:val="single" w:sz="4" w:space="0" w:color="auto"/>
              <w:left w:val="single" w:sz="4" w:space="0" w:color="auto"/>
              <w:bottom w:val="single" w:sz="4" w:space="0" w:color="auto"/>
              <w:right w:val="single" w:sz="4" w:space="0" w:color="auto"/>
            </w:tcBorders>
            <w:hideMark/>
          </w:tcPr>
          <w:p w14:paraId="4F51D0D7"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Channel Name</w:t>
            </w:r>
          </w:p>
        </w:tc>
        <w:tc>
          <w:tcPr>
            <w:tcW w:w="3069" w:type="dxa"/>
            <w:tcBorders>
              <w:top w:val="single" w:sz="4" w:space="0" w:color="auto"/>
              <w:left w:val="single" w:sz="4" w:space="0" w:color="auto"/>
              <w:bottom w:val="single" w:sz="4" w:space="0" w:color="auto"/>
              <w:right w:val="single" w:sz="4" w:space="0" w:color="auto"/>
            </w:tcBorders>
            <w:hideMark/>
          </w:tcPr>
          <w:p w14:paraId="10C5AA44"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Channel Provider</w:t>
            </w:r>
          </w:p>
        </w:tc>
        <w:tc>
          <w:tcPr>
            <w:tcW w:w="1261" w:type="dxa"/>
            <w:tcBorders>
              <w:top w:val="single" w:sz="4" w:space="0" w:color="auto"/>
              <w:left w:val="single" w:sz="4" w:space="0" w:color="auto"/>
              <w:bottom w:val="single" w:sz="4" w:space="0" w:color="auto"/>
              <w:right w:val="single" w:sz="4" w:space="0" w:color="auto"/>
            </w:tcBorders>
            <w:hideMark/>
          </w:tcPr>
          <w:p w14:paraId="0A21A43C"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Annual Captioning Target (FY 2016-17)</w:t>
            </w:r>
          </w:p>
        </w:tc>
        <w:tc>
          <w:tcPr>
            <w:tcW w:w="1261" w:type="dxa"/>
            <w:tcBorders>
              <w:top w:val="single" w:sz="4" w:space="0" w:color="auto"/>
              <w:left w:val="single" w:sz="4" w:space="0" w:color="auto"/>
              <w:bottom w:val="single" w:sz="4" w:space="0" w:color="auto"/>
              <w:right w:val="single" w:sz="4" w:space="0" w:color="auto"/>
            </w:tcBorders>
            <w:hideMark/>
          </w:tcPr>
          <w:p w14:paraId="47A647BF"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b/>
                <w:sz w:val="20"/>
                <w:lang w:eastAsia="en-AU"/>
              </w:rPr>
              <w:t>Annual Captioning Target (FY 2017-18)</w:t>
            </w:r>
          </w:p>
        </w:tc>
      </w:tr>
      <w:tr w:rsidR="00F10F99" w14:paraId="0FF9C0C3"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1CD3453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Borders>
              <w:top w:val="single" w:sz="4" w:space="0" w:color="auto"/>
              <w:left w:val="single" w:sz="4" w:space="0" w:color="auto"/>
              <w:bottom w:val="single" w:sz="4" w:space="0" w:color="auto"/>
              <w:right w:val="single" w:sz="4" w:space="0" w:color="auto"/>
            </w:tcBorders>
            <w:hideMark/>
          </w:tcPr>
          <w:p w14:paraId="70139CA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CBeebies</w:t>
            </w:r>
          </w:p>
        </w:tc>
        <w:tc>
          <w:tcPr>
            <w:tcW w:w="3069" w:type="dxa"/>
            <w:tcBorders>
              <w:top w:val="single" w:sz="4" w:space="0" w:color="auto"/>
              <w:left w:val="single" w:sz="4" w:space="0" w:color="auto"/>
              <w:bottom w:val="single" w:sz="4" w:space="0" w:color="auto"/>
              <w:right w:val="single" w:sz="4" w:space="0" w:color="auto"/>
            </w:tcBorders>
            <w:hideMark/>
          </w:tcPr>
          <w:p w14:paraId="3B6DCA0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BBC Worldwide Australia Pty Limited</w:t>
            </w:r>
          </w:p>
        </w:tc>
        <w:tc>
          <w:tcPr>
            <w:tcW w:w="1261" w:type="dxa"/>
            <w:tcBorders>
              <w:top w:val="single" w:sz="4" w:space="0" w:color="auto"/>
              <w:left w:val="single" w:sz="4" w:space="0" w:color="auto"/>
              <w:bottom w:val="single" w:sz="4" w:space="0" w:color="auto"/>
              <w:right w:val="single" w:sz="4" w:space="0" w:color="auto"/>
            </w:tcBorders>
            <w:hideMark/>
          </w:tcPr>
          <w:p w14:paraId="7DEC1EB8"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Borders>
              <w:top w:val="single" w:sz="4" w:space="0" w:color="auto"/>
              <w:left w:val="single" w:sz="4" w:space="0" w:color="auto"/>
              <w:bottom w:val="single" w:sz="4" w:space="0" w:color="auto"/>
              <w:right w:val="single" w:sz="4" w:space="0" w:color="auto"/>
            </w:tcBorders>
            <w:hideMark/>
          </w:tcPr>
          <w:p w14:paraId="6663712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F10F99" w14:paraId="147BB2FB"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7B64C48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Borders>
              <w:top w:val="single" w:sz="4" w:space="0" w:color="auto"/>
              <w:left w:val="single" w:sz="4" w:space="0" w:color="auto"/>
              <w:bottom w:val="single" w:sz="4" w:space="0" w:color="auto"/>
              <w:right w:val="single" w:sz="4" w:space="0" w:color="auto"/>
            </w:tcBorders>
            <w:hideMark/>
          </w:tcPr>
          <w:p w14:paraId="63D3E753"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Style</w:t>
            </w:r>
          </w:p>
        </w:tc>
        <w:tc>
          <w:tcPr>
            <w:tcW w:w="3069" w:type="dxa"/>
            <w:tcBorders>
              <w:top w:val="single" w:sz="4" w:space="0" w:color="auto"/>
              <w:left w:val="single" w:sz="4" w:space="0" w:color="auto"/>
              <w:bottom w:val="single" w:sz="4" w:space="0" w:color="auto"/>
              <w:right w:val="single" w:sz="4" w:space="0" w:color="auto"/>
            </w:tcBorders>
            <w:hideMark/>
          </w:tcPr>
          <w:p w14:paraId="535E403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E! Entertainment Television, LLC</w:t>
            </w:r>
          </w:p>
        </w:tc>
        <w:tc>
          <w:tcPr>
            <w:tcW w:w="1261" w:type="dxa"/>
            <w:tcBorders>
              <w:top w:val="single" w:sz="4" w:space="0" w:color="auto"/>
              <w:left w:val="single" w:sz="4" w:space="0" w:color="auto"/>
              <w:bottom w:val="single" w:sz="4" w:space="0" w:color="auto"/>
              <w:right w:val="single" w:sz="4" w:space="0" w:color="auto"/>
            </w:tcBorders>
            <w:hideMark/>
          </w:tcPr>
          <w:p w14:paraId="61D2F28B"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Borders>
              <w:top w:val="single" w:sz="4" w:space="0" w:color="auto"/>
              <w:left w:val="single" w:sz="4" w:space="0" w:color="auto"/>
              <w:bottom w:val="single" w:sz="4" w:space="0" w:color="auto"/>
              <w:right w:val="single" w:sz="4" w:space="0" w:color="auto"/>
            </w:tcBorders>
            <w:hideMark/>
          </w:tcPr>
          <w:p w14:paraId="74AFB9E6"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F10F99" w14:paraId="799559E5"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688DF590"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Borders>
              <w:top w:val="single" w:sz="4" w:space="0" w:color="auto"/>
              <w:left w:val="single" w:sz="4" w:space="0" w:color="auto"/>
              <w:bottom w:val="single" w:sz="4" w:space="0" w:color="auto"/>
              <w:right w:val="single" w:sz="4" w:space="0" w:color="auto"/>
            </w:tcBorders>
            <w:hideMark/>
          </w:tcPr>
          <w:p w14:paraId="29127FD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BBC Knowledge</w:t>
            </w:r>
          </w:p>
        </w:tc>
        <w:tc>
          <w:tcPr>
            <w:tcW w:w="3069" w:type="dxa"/>
            <w:tcBorders>
              <w:top w:val="single" w:sz="4" w:space="0" w:color="auto"/>
              <w:left w:val="single" w:sz="4" w:space="0" w:color="auto"/>
              <w:bottom w:val="single" w:sz="4" w:space="0" w:color="auto"/>
              <w:right w:val="single" w:sz="4" w:space="0" w:color="auto"/>
            </w:tcBorders>
            <w:hideMark/>
          </w:tcPr>
          <w:p w14:paraId="45C00000" w14:textId="77777777" w:rsidR="00F10F99" w:rsidRDefault="00F10F99">
            <w:pPr>
              <w:spacing w:line="24" w:lineRule="atLeast"/>
              <w:rPr>
                <w:rFonts w:ascii="Arial" w:eastAsia="Times New Roman" w:hAnsi="Arial" w:cs="Arial"/>
                <w:b/>
                <w:sz w:val="20"/>
                <w:lang w:eastAsia="en-AU"/>
              </w:rPr>
            </w:pPr>
            <w:r>
              <w:rPr>
                <w:rFonts w:ascii="Arial" w:eastAsia="Times New Roman" w:hAnsi="Arial" w:cs="Arial"/>
                <w:sz w:val="20"/>
                <w:lang w:eastAsia="en-AU"/>
              </w:rPr>
              <w:t>BBC Worldwide Australia Pty Limited</w:t>
            </w:r>
          </w:p>
        </w:tc>
        <w:tc>
          <w:tcPr>
            <w:tcW w:w="1261" w:type="dxa"/>
            <w:tcBorders>
              <w:top w:val="single" w:sz="4" w:space="0" w:color="auto"/>
              <w:left w:val="single" w:sz="4" w:space="0" w:color="auto"/>
              <w:bottom w:val="single" w:sz="4" w:space="0" w:color="auto"/>
              <w:right w:val="single" w:sz="4" w:space="0" w:color="auto"/>
            </w:tcBorders>
            <w:hideMark/>
          </w:tcPr>
          <w:p w14:paraId="71CCDB1C"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Borders>
              <w:top w:val="single" w:sz="4" w:space="0" w:color="auto"/>
              <w:left w:val="single" w:sz="4" w:space="0" w:color="auto"/>
              <w:bottom w:val="single" w:sz="4" w:space="0" w:color="auto"/>
              <w:right w:val="single" w:sz="4" w:space="0" w:color="auto"/>
            </w:tcBorders>
            <w:hideMark/>
          </w:tcPr>
          <w:p w14:paraId="5AFEBC94"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F10F99" w14:paraId="463A2E4C" w14:textId="77777777" w:rsidTr="00F10F99">
        <w:tc>
          <w:tcPr>
            <w:tcW w:w="1005" w:type="dxa"/>
            <w:tcBorders>
              <w:top w:val="single" w:sz="4" w:space="0" w:color="auto"/>
              <w:left w:val="single" w:sz="4" w:space="0" w:color="auto"/>
              <w:bottom w:val="single" w:sz="4" w:space="0" w:color="auto"/>
              <w:right w:val="single" w:sz="4" w:space="0" w:color="auto"/>
            </w:tcBorders>
            <w:hideMark/>
          </w:tcPr>
          <w:p w14:paraId="71A6A81D"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Borders>
              <w:top w:val="single" w:sz="4" w:space="0" w:color="auto"/>
              <w:left w:val="single" w:sz="4" w:space="0" w:color="auto"/>
              <w:bottom w:val="single" w:sz="4" w:space="0" w:color="auto"/>
              <w:right w:val="single" w:sz="4" w:space="0" w:color="auto"/>
            </w:tcBorders>
            <w:hideMark/>
          </w:tcPr>
          <w:p w14:paraId="218C5F8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Nat Geo Wild</w:t>
            </w:r>
          </w:p>
        </w:tc>
        <w:tc>
          <w:tcPr>
            <w:tcW w:w="3069" w:type="dxa"/>
            <w:tcBorders>
              <w:top w:val="single" w:sz="4" w:space="0" w:color="auto"/>
              <w:left w:val="single" w:sz="4" w:space="0" w:color="auto"/>
              <w:bottom w:val="single" w:sz="4" w:space="0" w:color="auto"/>
              <w:right w:val="single" w:sz="4" w:space="0" w:color="auto"/>
            </w:tcBorders>
            <w:hideMark/>
          </w:tcPr>
          <w:p w14:paraId="213A067A"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NGC Network (Australia) Pty Ltd)</w:t>
            </w:r>
          </w:p>
        </w:tc>
        <w:tc>
          <w:tcPr>
            <w:tcW w:w="1261" w:type="dxa"/>
            <w:tcBorders>
              <w:top w:val="single" w:sz="4" w:space="0" w:color="auto"/>
              <w:left w:val="single" w:sz="4" w:space="0" w:color="auto"/>
              <w:bottom w:val="single" w:sz="4" w:space="0" w:color="auto"/>
              <w:right w:val="single" w:sz="4" w:space="0" w:color="auto"/>
            </w:tcBorders>
            <w:hideMark/>
          </w:tcPr>
          <w:p w14:paraId="4A174BE3"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Borders>
              <w:top w:val="single" w:sz="4" w:space="0" w:color="auto"/>
              <w:left w:val="single" w:sz="4" w:space="0" w:color="auto"/>
              <w:bottom w:val="single" w:sz="4" w:space="0" w:color="auto"/>
              <w:right w:val="single" w:sz="4" w:space="0" w:color="auto"/>
            </w:tcBorders>
            <w:hideMark/>
          </w:tcPr>
          <w:p w14:paraId="7AC72DEF" w14:textId="77777777" w:rsidR="00F10F99" w:rsidRDefault="00F10F99">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bl>
    <w:p w14:paraId="410EF8D8" w14:textId="77777777" w:rsidR="00F10F99" w:rsidRDefault="00F10F99" w:rsidP="00F10F99"/>
    <w:p w14:paraId="766D4B22" w14:textId="77777777" w:rsidR="00F10F99" w:rsidRDefault="00F10F99" w:rsidP="00F10F99">
      <w:pPr>
        <w:spacing w:after="0"/>
        <w:sectPr w:rsidR="00F10F99">
          <w:headerReference w:type="even" r:id="rId13"/>
          <w:headerReference w:type="default" r:id="rId14"/>
          <w:footerReference w:type="even" r:id="rId15"/>
          <w:footerReference w:type="default" r:id="rId16"/>
          <w:headerReference w:type="first" r:id="rId17"/>
          <w:footerReference w:type="first" r:id="rId18"/>
          <w:pgSz w:w="11907" w:h="16839"/>
          <w:pgMar w:top="1440" w:right="1440" w:bottom="1440" w:left="1440" w:header="708" w:footer="708" w:gutter="0"/>
          <w:pgNumType w:start="1"/>
          <w:cols w:space="720"/>
        </w:sectPr>
      </w:pPr>
    </w:p>
    <w:p w14:paraId="59E8614B" w14:textId="77777777" w:rsidR="00F10F99" w:rsidRDefault="00F10F99" w:rsidP="00F10F99"/>
    <w:p w14:paraId="64DF78F9" w14:textId="77777777" w:rsidR="000C7763" w:rsidRDefault="000C7763"/>
    <w:sectPr w:rsidR="000C776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4927E0" w14:textId="77777777" w:rsidR="00F10F99" w:rsidRDefault="00F10F99" w:rsidP="00F10F99">
      <w:pPr>
        <w:spacing w:after="0" w:line="240" w:lineRule="auto"/>
      </w:pPr>
      <w:r>
        <w:separator/>
      </w:r>
    </w:p>
  </w:endnote>
  <w:endnote w:type="continuationSeparator" w:id="0">
    <w:p w14:paraId="560BF202" w14:textId="77777777" w:rsidR="00F10F99" w:rsidRDefault="00F10F99" w:rsidP="00F10F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68B92B" w14:textId="77777777" w:rsidR="0014070F" w:rsidRDefault="001407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16C70" w14:textId="77777777" w:rsidR="0014070F" w:rsidRDefault="001407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DFFACE" w14:textId="77777777" w:rsidR="0014070F" w:rsidRDefault="001407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94430F" w14:textId="77777777" w:rsidR="00F10F99" w:rsidRDefault="00F10F99" w:rsidP="00F10F99">
      <w:pPr>
        <w:spacing w:after="0" w:line="240" w:lineRule="auto"/>
      </w:pPr>
      <w:r>
        <w:separator/>
      </w:r>
    </w:p>
  </w:footnote>
  <w:footnote w:type="continuationSeparator" w:id="0">
    <w:p w14:paraId="7FCF4E18" w14:textId="77777777" w:rsidR="00F10F99" w:rsidRDefault="00F10F99" w:rsidP="00F10F99">
      <w:pPr>
        <w:spacing w:after="0" w:line="240" w:lineRule="auto"/>
      </w:pPr>
      <w:r>
        <w:continuationSeparator/>
      </w:r>
    </w:p>
  </w:footnote>
  <w:footnote w:id="1">
    <w:p w14:paraId="42E96385" w14:textId="77777777" w:rsidR="00F10F99" w:rsidRDefault="00F10F99" w:rsidP="00F10F99">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Department of Social Services, </w:t>
      </w:r>
      <w:hyperlink r:id="rId1" w:history="1">
        <w:r>
          <w:rPr>
            <w:rStyle w:val="Hyperlink"/>
            <w:rFonts w:ascii="Arial" w:hAnsi="Arial" w:cs="Arial"/>
            <w:i/>
            <w:sz w:val="18"/>
            <w:szCs w:val="18"/>
          </w:rPr>
          <w:t>‘National Disability Strategy, 2010-2020 Summary Document’</w:t>
        </w:r>
      </w:hyperlink>
      <w:r>
        <w:rPr>
          <w:rFonts w:ascii="Arial" w:hAnsi="Arial" w:cs="Arial"/>
          <w:sz w:val="18"/>
          <w:szCs w:val="18"/>
        </w:rPr>
        <w:t xml:space="preserve">, 2011, p. 2, viewed 11 May 2017. </w:t>
      </w:r>
    </w:p>
  </w:footnote>
  <w:footnote w:id="2">
    <w:p w14:paraId="0E9BC707" w14:textId="77777777" w:rsidR="00F10F99" w:rsidRDefault="00F10F99" w:rsidP="00F10F99">
      <w:pPr>
        <w:pStyle w:val="FootnoteText"/>
      </w:pPr>
      <w:r>
        <w:rPr>
          <w:rStyle w:val="FootnoteReference"/>
        </w:rPr>
        <w:footnoteRef/>
      </w:r>
      <w:r>
        <w:t xml:space="preserve"> </w:t>
      </w:r>
      <w:r>
        <w:rPr>
          <w:rFonts w:ascii="Arial" w:hAnsi="Arial" w:cs="Arial"/>
          <w:sz w:val="18"/>
          <w:szCs w:val="18"/>
        </w:rPr>
        <w:t xml:space="preserve">Department of Social Services, </w:t>
      </w:r>
      <w:hyperlink r:id="rId2" w:history="1">
        <w:r>
          <w:rPr>
            <w:rStyle w:val="Hyperlink"/>
            <w:rFonts w:ascii="Arial" w:hAnsi="Arial" w:cs="Arial"/>
            <w:i/>
            <w:sz w:val="18"/>
            <w:szCs w:val="18"/>
          </w:rPr>
          <w:t>‘National Disability Strategy 2010-2020’</w:t>
        </w:r>
      </w:hyperlink>
      <w:r>
        <w:rPr>
          <w:rFonts w:ascii="Arial" w:hAnsi="Arial" w:cs="Arial"/>
          <w:sz w:val="18"/>
          <w:szCs w:val="18"/>
        </w:rPr>
        <w:t>, 2011, p. 30, viewed 11 May 2017.</w:t>
      </w:r>
    </w:p>
  </w:footnote>
  <w:footnote w:id="3">
    <w:p w14:paraId="092F05A1" w14:textId="77777777" w:rsidR="00F10F99" w:rsidRDefault="00F10F99" w:rsidP="00F10F99">
      <w:pPr>
        <w:pStyle w:val="FootnoteText"/>
      </w:pPr>
      <w:r>
        <w:rPr>
          <w:rStyle w:val="FootnoteReference"/>
        </w:rPr>
        <w:footnoteRef/>
      </w:r>
      <w:r>
        <w:t xml:space="preserve"> </w:t>
      </w:r>
      <w:r>
        <w:rPr>
          <w:rFonts w:ascii="Arial" w:hAnsi="Arial" w:cs="Arial"/>
          <w:sz w:val="18"/>
          <w:szCs w:val="18"/>
        </w:rPr>
        <w:t xml:space="preserve">Ibid, p.8.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71AE1A" w14:textId="77777777" w:rsidR="0014070F" w:rsidRDefault="001407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20FF81" w14:textId="77777777" w:rsidR="0014070F" w:rsidRDefault="001407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793795" w14:textId="77777777" w:rsidR="0014070F" w:rsidRDefault="001407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C6504"/>
    <w:multiLevelType w:val="hybridMultilevel"/>
    <w:tmpl w:val="6A9A209C"/>
    <w:lvl w:ilvl="0" w:tplc="DD468AD0">
      <w:start w:val="1"/>
      <w:numFmt w:val="lowerLetter"/>
      <w:lvlText w:val="(%1)"/>
      <w:lvlJc w:val="left"/>
      <w:pPr>
        <w:ind w:left="1381" w:hanging="360"/>
      </w:pPr>
    </w:lvl>
    <w:lvl w:ilvl="1" w:tplc="0C090019">
      <w:start w:val="1"/>
      <w:numFmt w:val="lowerLetter"/>
      <w:lvlText w:val="%2."/>
      <w:lvlJc w:val="left"/>
      <w:pPr>
        <w:ind w:left="2101" w:hanging="360"/>
      </w:pPr>
    </w:lvl>
    <w:lvl w:ilvl="2" w:tplc="0C09001B">
      <w:start w:val="1"/>
      <w:numFmt w:val="lowerRoman"/>
      <w:lvlText w:val="%3."/>
      <w:lvlJc w:val="right"/>
      <w:pPr>
        <w:ind w:left="2821" w:hanging="180"/>
      </w:pPr>
    </w:lvl>
    <w:lvl w:ilvl="3" w:tplc="0C09000F">
      <w:start w:val="1"/>
      <w:numFmt w:val="decimal"/>
      <w:lvlText w:val="%4."/>
      <w:lvlJc w:val="left"/>
      <w:pPr>
        <w:ind w:left="3541" w:hanging="360"/>
      </w:pPr>
    </w:lvl>
    <w:lvl w:ilvl="4" w:tplc="0C090019">
      <w:start w:val="1"/>
      <w:numFmt w:val="lowerLetter"/>
      <w:lvlText w:val="%5."/>
      <w:lvlJc w:val="left"/>
      <w:pPr>
        <w:ind w:left="4261" w:hanging="360"/>
      </w:pPr>
    </w:lvl>
    <w:lvl w:ilvl="5" w:tplc="0C09001B">
      <w:start w:val="1"/>
      <w:numFmt w:val="lowerRoman"/>
      <w:lvlText w:val="%6."/>
      <w:lvlJc w:val="right"/>
      <w:pPr>
        <w:ind w:left="4981" w:hanging="180"/>
      </w:pPr>
    </w:lvl>
    <w:lvl w:ilvl="6" w:tplc="0C09000F">
      <w:start w:val="1"/>
      <w:numFmt w:val="decimal"/>
      <w:lvlText w:val="%7."/>
      <w:lvlJc w:val="left"/>
      <w:pPr>
        <w:ind w:left="5701" w:hanging="360"/>
      </w:pPr>
    </w:lvl>
    <w:lvl w:ilvl="7" w:tplc="0C090019">
      <w:start w:val="1"/>
      <w:numFmt w:val="lowerLetter"/>
      <w:lvlText w:val="%8."/>
      <w:lvlJc w:val="left"/>
      <w:pPr>
        <w:ind w:left="6421" w:hanging="360"/>
      </w:pPr>
    </w:lvl>
    <w:lvl w:ilvl="8" w:tplc="0C09001B">
      <w:start w:val="1"/>
      <w:numFmt w:val="lowerRoman"/>
      <w:lvlText w:val="%9."/>
      <w:lvlJc w:val="right"/>
      <w:pPr>
        <w:ind w:left="7141" w:hanging="180"/>
      </w:pPr>
    </w:lvl>
  </w:abstractNum>
  <w:abstractNum w:abstractNumId="1">
    <w:nsid w:val="19D41A5D"/>
    <w:multiLevelType w:val="hybridMultilevel"/>
    <w:tmpl w:val="11763828"/>
    <w:lvl w:ilvl="0" w:tplc="C39A6DF0">
      <w:start w:val="1"/>
      <w:numFmt w:val="lowerLetter"/>
      <w:lvlText w:val="(%1)"/>
      <w:lvlJc w:val="left"/>
      <w:pPr>
        <w:ind w:left="1287" w:hanging="360"/>
      </w:p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2">
    <w:nsid w:val="52426EA7"/>
    <w:multiLevelType w:val="multilevel"/>
    <w:tmpl w:val="810E6CA0"/>
    <w:lvl w:ilvl="0">
      <w:start w:val="1"/>
      <w:numFmt w:val="decimal"/>
      <w:lvlText w:val="%1."/>
      <w:lvlJc w:val="left"/>
      <w:pPr>
        <w:ind w:left="720" w:hanging="360"/>
      </w:pPr>
      <w:rPr>
        <w:b/>
        <w:sz w:val="22"/>
        <w:szCs w:val="22"/>
      </w:rPr>
    </w:lvl>
    <w:lvl w:ilvl="1">
      <w:start w:val="1"/>
      <w:numFmt w:val="decimal"/>
      <w:isLgl/>
      <w:lvlText w:val="%1.%2"/>
      <w:lvlJc w:val="left"/>
      <w:pPr>
        <w:ind w:left="1021" w:hanging="681"/>
      </w:pPr>
      <w:rPr>
        <w:i w: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4">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5">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start w:val="1"/>
      <w:numFmt w:val="bullet"/>
      <w:lvlText w:val=""/>
      <w:lvlJc w:val="left"/>
      <w:pPr>
        <w:ind w:left="4680" w:hanging="360"/>
      </w:pPr>
      <w:rPr>
        <w:rFonts w:ascii="Symbol" w:hAnsi="Symbol" w:hint="default"/>
      </w:rPr>
    </w:lvl>
    <w:lvl w:ilvl="4" w:tplc="0C090003">
      <w:start w:val="1"/>
      <w:numFmt w:val="bullet"/>
      <w:lvlText w:val="o"/>
      <w:lvlJc w:val="left"/>
      <w:pPr>
        <w:ind w:left="5400" w:hanging="360"/>
      </w:pPr>
      <w:rPr>
        <w:rFonts w:ascii="Courier New" w:hAnsi="Courier New" w:cs="Courier New" w:hint="default"/>
      </w:rPr>
    </w:lvl>
    <w:lvl w:ilvl="5" w:tplc="0C090005">
      <w:start w:val="1"/>
      <w:numFmt w:val="bullet"/>
      <w:lvlText w:val=""/>
      <w:lvlJc w:val="left"/>
      <w:pPr>
        <w:ind w:left="6120" w:hanging="360"/>
      </w:pPr>
      <w:rPr>
        <w:rFonts w:ascii="Wingdings" w:hAnsi="Wingdings" w:hint="default"/>
      </w:rPr>
    </w:lvl>
    <w:lvl w:ilvl="6" w:tplc="0C090001">
      <w:start w:val="1"/>
      <w:numFmt w:val="bullet"/>
      <w:lvlText w:val=""/>
      <w:lvlJc w:val="left"/>
      <w:pPr>
        <w:ind w:left="6840" w:hanging="360"/>
      </w:pPr>
      <w:rPr>
        <w:rFonts w:ascii="Symbol" w:hAnsi="Symbol" w:hint="default"/>
      </w:rPr>
    </w:lvl>
    <w:lvl w:ilvl="7" w:tplc="0C090003">
      <w:start w:val="1"/>
      <w:numFmt w:val="bullet"/>
      <w:lvlText w:val="o"/>
      <w:lvlJc w:val="left"/>
      <w:pPr>
        <w:ind w:left="7560" w:hanging="360"/>
      </w:pPr>
      <w:rPr>
        <w:rFonts w:ascii="Courier New" w:hAnsi="Courier New" w:cs="Courier New" w:hint="default"/>
      </w:rPr>
    </w:lvl>
    <w:lvl w:ilvl="8" w:tplc="0C090005">
      <w:start w:val="1"/>
      <w:numFmt w:val="bullet"/>
      <w:lvlText w:val=""/>
      <w:lvlJc w:val="left"/>
      <w:pPr>
        <w:ind w:left="8280" w:hanging="360"/>
      </w:pPr>
      <w:rPr>
        <w:rFonts w:ascii="Wingdings" w:hAnsi="Wingdings" w:hint="default"/>
      </w:rPr>
    </w:lvl>
  </w:abstractNum>
  <w:abstractNum w:abstractNumId="7">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lvlOverride w:ilvl="2"/>
    <w:lvlOverride w:ilvl="3"/>
    <w:lvlOverride w:ilvl="4"/>
    <w:lvlOverride w:ilvl="5"/>
    <w:lvlOverride w:ilvl="6"/>
    <w:lvlOverride w:ilvl="7"/>
    <w:lvlOverride w:ilvl="8"/>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763"/>
    <w:rsid w:val="000C7763"/>
    <w:rsid w:val="000F5580"/>
    <w:rsid w:val="0014070F"/>
    <w:rsid w:val="0039441D"/>
    <w:rsid w:val="006A1723"/>
    <w:rsid w:val="006B7AFE"/>
    <w:rsid w:val="00B724EE"/>
    <w:rsid w:val="00CB44AC"/>
    <w:rsid w:val="00DF49D0"/>
    <w:rsid w:val="00E26949"/>
    <w:rsid w:val="00F10F99"/>
    <w:rsid w:val="00F61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2CCCB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0F99"/>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0F99"/>
    <w:rPr>
      <w:color w:val="0563C1" w:themeColor="hyperlink"/>
      <w:u w:val="single"/>
    </w:rPr>
  </w:style>
  <w:style w:type="paragraph" w:styleId="FootnoteText">
    <w:name w:val="footnote text"/>
    <w:basedOn w:val="Normal"/>
    <w:link w:val="FootnoteTextChar"/>
    <w:uiPriority w:val="99"/>
    <w:semiHidden/>
    <w:unhideWhenUsed/>
    <w:rsid w:val="00F10F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10F99"/>
    <w:rPr>
      <w:sz w:val="20"/>
      <w:szCs w:val="20"/>
      <w:lang w:val="en-AU"/>
    </w:rPr>
  </w:style>
  <w:style w:type="paragraph" w:styleId="ListParagraph">
    <w:name w:val="List Paragraph"/>
    <w:basedOn w:val="Normal"/>
    <w:uiPriority w:val="34"/>
    <w:qFormat/>
    <w:rsid w:val="00F10F99"/>
    <w:pPr>
      <w:ind w:left="720"/>
      <w:contextualSpacing/>
    </w:pPr>
  </w:style>
  <w:style w:type="paragraph" w:customStyle="1" w:styleId="ACMAHeading2">
    <w:name w:val="ACMA_Heading2"/>
    <w:next w:val="Normal"/>
    <w:qFormat/>
    <w:rsid w:val="00F10F99"/>
    <w:pPr>
      <w:keepNext/>
      <w:suppressAutoHyphens/>
      <w:spacing w:before="360" w:after="120" w:line="240" w:lineRule="auto"/>
      <w:outlineLvl w:val="2"/>
    </w:pPr>
    <w:rPr>
      <w:rFonts w:ascii="Arial" w:eastAsia="Times New Roman" w:hAnsi="Arial" w:cs="Times New Roman"/>
      <w:b/>
      <w:sz w:val="28"/>
      <w:szCs w:val="20"/>
      <w:lang w:val="en-AU"/>
    </w:rPr>
  </w:style>
  <w:style w:type="character" w:customStyle="1" w:styleId="ACMABodyTextChar">
    <w:name w:val="ACMA Body Text Char"/>
    <w:basedOn w:val="DefaultParagraphFont"/>
    <w:link w:val="ACMABodyText"/>
    <w:locked/>
    <w:rsid w:val="00F10F99"/>
    <w:rPr>
      <w:rFonts w:ascii="Times New Roman" w:eastAsia="Times New Roman" w:hAnsi="Times New Roman" w:cs="Times New Roman"/>
      <w:sz w:val="24"/>
      <w:szCs w:val="20"/>
    </w:rPr>
  </w:style>
  <w:style w:type="paragraph" w:customStyle="1" w:styleId="ACMABodyText">
    <w:name w:val="ACMA Body Text"/>
    <w:link w:val="ACMABodyTextChar"/>
    <w:rsid w:val="00F10F99"/>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cthead3">
    <w:name w:val="acthead3"/>
    <w:basedOn w:val="Normal"/>
    <w:rsid w:val="00F10F9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F10F9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FootnoteReference">
    <w:name w:val="footnote reference"/>
    <w:basedOn w:val="DefaultParagraphFont"/>
    <w:uiPriority w:val="99"/>
    <w:semiHidden/>
    <w:unhideWhenUsed/>
    <w:rsid w:val="00F10F99"/>
    <w:rPr>
      <w:vertAlign w:val="superscript"/>
    </w:rPr>
  </w:style>
  <w:style w:type="table" w:styleId="TableGrid">
    <w:name w:val="Table Grid"/>
    <w:basedOn w:val="TableNormal"/>
    <w:uiPriority w:val="39"/>
    <w:rsid w:val="00F10F99"/>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CB44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B44AC"/>
    <w:rPr>
      <w:lang w:val="en-AU"/>
    </w:rPr>
  </w:style>
  <w:style w:type="paragraph" w:styleId="Footer">
    <w:name w:val="footer"/>
    <w:basedOn w:val="Normal"/>
    <w:link w:val="FooterChar"/>
    <w:uiPriority w:val="99"/>
    <w:unhideWhenUsed/>
    <w:rsid w:val="00CB44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44AC"/>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1277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at.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AM7W7QW6R7VW-674487575-3572</_dlc_DocId>
    <_dlc_DocIdUrl xmlns="d71819ef-55b9-420a-86a4-d36bc037540e">
      <Url>http://collaboration/organisation/cccd/CCB/MOD/_layouts/15/DocIdRedir.aspx?ID=AM7W7QW6R7VW-674487575-3572</Url>
      <Description>AM7W7QW6R7VW-674487575-3572</Description>
    </_dlc_DocIdUrl>
  </documentManagement>
</p:properties>
</file>

<file path=customXml/itemProps1.xml><?xml version="1.0" encoding="utf-8"?>
<ds:datastoreItem xmlns:ds="http://schemas.openxmlformats.org/officeDocument/2006/customXml" ds:itemID="{33E413FB-493E-4BCC-86E4-58FF6D8A79D4}">
  <ds:schemaRefs>
    <ds:schemaRef ds:uri="http://schemas.microsoft.com/sharepoint/v3/contenttype/forms"/>
  </ds:schemaRefs>
</ds:datastoreItem>
</file>

<file path=customXml/itemProps2.xml><?xml version="1.0" encoding="utf-8"?>
<ds:datastoreItem xmlns:ds="http://schemas.openxmlformats.org/officeDocument/2006/customXml" ds:itemID="{2691C58A-A34E-4115-A28B-36396A217E2D}">
  <ds:schemaRefs>
    <ds:schemaRef ds:uri="http://schemas.microsoft.com/sharepoint/events"/>
  </ds:schemaRefs>
</ds:datastoreItem>
</file>

<file path=customXml/itemProps3.xml><?xml version="1.0" encoding="utf-8"?>
<ds:datastoreItem xmlns:ds="http://schemas.openxmlformats.org/officeDocument/2006/customXml" ds:itemID="{168E2F7C-51CB-4A09-AAF8-D2F002F3AF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2784285-061C-4B64-948F-0D857E0A9766}">
  <ds:schemaRefs>
    <ds:schemaRef ds:uri="http://purl.org/dc/terms/"/>
    <ds:schemaRef ds:uri="http://purl.org/dc/dcmitype/"/>
    <ds:schemaRef ds:uri="http://schemas.microsoft.com/office/2006/documentManagement/types"/>
    <ds:schemaRef ds:uri="http://schemas.microsoft.com/office/2006/metadata/properties"/>
    <ds:schemaRef ds:uri="d71819ef-55b9-420a-86a4-d36bc037540e"/>
    <ds:schemaRef ds:uri="http://purl.org/dc/elements/1.1/"/>
    <ds:schemaRef ds:uri="http://schemas.openxmlformats.org/package/2006/metadata/core-properties"/>
    <ds:schemaRef ds:uri="http://www.w3.org/XML/1998/namespa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6669</Words>
  <Characters>38014</Characters>
  <Application>Microsoft Office Word</Application>
  <DocSecurity>8</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2017-05-22T07:02:00Z</dcterms:created>
  <dcterms:modified xsi:type="dcterms:W3CDTF">2017-05-23T02:00:00Z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0d0a85ff-6fa3-40c5-a461-598e1b04c12b</vt:lpwstr>
  </property>
  <property fmtid="{D5CDD505-2E9C-101B-9397-08002B2CF9AE}" pid="3" name="ContentTypeId">
    <vt:lpwstr>0x010100C3F99C8C096DCE4E86DD43B0E41819A8</vt:lpwstr>
  </property>
  <property fmtid="{D5CDD505-2E9C-101B-9397-08002B2CF9AE}" pid="4" name="_MarkAsFinal">
    <vt:bool>true</vt:bool>
  </property>
</Properties>
</file>