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885C1A" w14:textId="77777777" w:rsidR="005E6687" w:rsidRDefault="005E6687" w:rsidP="00F06E14">
      <w:pPr>
        <w:pStyle w:val="ACMAReportSubTitle"/>
        <w:rPr>
          <w:b/>
          <w:color w:val="auto"/>
        </w:rPr>
      </w:pPr>
      <w:bookmarkStart w:id="0" w:name="_GoBack"/>
      <w:bookmarkEnd w:id="0"/>
      <w:r w:rsidRPr="005E6687">
        <w:rPr>
          <w:b/>
          <w:color w:val="auto"/>
        </w:rPr>
        <w:t xml:space="preserve">Draft </w:t>
      </w:r>
      <w:r w:rsidR="00E13611">
        <w:rPr>
          <w:b/>
          <w:color w:val="auto"/>
        </w:rPr>
        <w:t xml:space="preserve">allocation instruments for </w:t>
      </w:r>
      <w:r w:rsidR="002A7E29">
        <w:rPr>
          <w:b/>
          <w:color w:val="auto"/>
        </w:rPr>
        <w:t>700</w:t>
      </w:r>
      <w:r w:rsidR="00F92CD2">
        <w:rPr>
          <w:b/>
          <w:color w:val="auto"/>
        </w:rPr>
        <w:t> </w:t>
      </w:r>
      <w:r w:rsidRPr="005E6687">
        <w:rPr>
          <w:b/>
          <w:color w:val="auto"/>
        </w:rPr>
        <w:t>MHz</w:t>
      </w:r>
      <w:r w:rsidR="00E13611">
        <w:rPr>
          <w:b/>
          <w:color w:val="auto"/>
        </w:rPr>
        <w:t xml:space="preserve"> spectrum</w:t>
      </w:r>
      <w:r w:rsidR="00F92CD2">
        <w:rPr>
          <w:b/>
          <w:color w:val="auto"/>
        </w:rPr>
        <w:t>—</w:t>
      </w:r>
      <w:r w:rsidR="00E13611">
        <w:rPr>
          <w:b/>
          <w:color w:val="auto"/>
        </w:rPr>
        <w:t>unsold lots auction</w:t>
      </w:r>
    </w:p>
    <w:p w14:paraId="04423148" w14:textId="77777777" w:rsidR="00F06E14" w:rsidRDefault="008E795F" w:rsidP="00F06E14">
      <w:pPr>
        <w:pStyle w:val="ACMAReportSubTitle"/>
      </w:pPr>
      <w:r>
        <w:t>Consultation</w:t>
      </w:r>
      <w:r w:rsidRPr="005E6687">
        <w:t xml:space="preserve"> </w:t>
      </w:r>
      <w:r w:rsidR="005E6687" w:rsidRPr="005E6687">
        <w:t>paper</w:t>
      </w:r>
    </w:p>
    <w:p w14:paraId="7A6956D8" w14:textId="77777777" w:rsidR="00C97736" w:rsidRDefault="00DD7360" w:rsidP="005E6687">
      <w:pPr>
        <w:pStyle w:val="ACMAReportDate"/>
        <w:spacing w:after="720"/>
      </w:pPr>
      <w:r>
        <w:t>OCTOBER</w:t>
      </w:r>
      <w:r w:rsidR="00E13611">
        <w:t xml:space="preserve"> 2016</w:t>
      </w:r>
    </w:p>
    <w:p w14:paraId="36358572" w14:textId="77777777" w:rsidR="005E6687" w:rsidRPr="000D76E0" w:rsidRDefault="005E6687" w:rsidP="005E6687">
      <w:pPr>
        <w:pStyle w:val="ACMAReportDate"/>
        <w:spacing w:after="720"/>
        <w:rPr>
          <w:rFonts w:cs="Arial"/>
        </w:rPr>
      </w:pPr>
    </w:p>
    <w:p w14:paraId="3E4D2C53" w14:textId="77777777" w:rsidR="00C97736" w:rsidRPr="000D76E0" w:rsidRDefault="00C97736" w:rsidP="0041071D">
      <w:pPr>
        <w:rPr>
          <w:rFonts w:cs="Arial"/>
        </w:rPr>
        <w:sectPr w:rsidR="00C97736" w:rsidRPr="000D76E0" w:rsidSect="004F556E">
          <w:headerReference w:type="default" r:id="rId12"/>
          <w:footerReference w:type="default" r:id="rId13"/>
          <w:headerReference w:type="first" r:id="rId14"/>
          <w:pgSz w:w="11906" w:h="16838" w:code="9"/>
          <w:pgMar w:top="3924" w:right="1797" w:bottom="1440" w:left="1134" w:header="709" w:footer="454" w:gutter="0"/>
          <w:cols w:space="708"/>
          <w:docGrid w:linePitch="360"/>
        </w:sectPr>
      </w:pPr>
    </w:p>
    <w:p w14:paraId="31AA31B0" w14:textId="77777777" w:rsidR="0005011A" w:rsidRPr="00F44F3A" w:rsidRDefault="0005011A" w:rsidP="00FC07B9">
      <w:pPr>
        <w:pStyle w:val="ACMACorporateAddressHeader"/>
      </w:pPr>
      <w:r w:rsidRPr="00F44F3A">
        <w:lastRenderedPageBreak/>
        <w:t>Canberra</w:t>
      </w:r>
    </w:p>
    <w:p w14:paraId="6940F5FE"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7C29EEEE" w14:textId="77777777" w:rsidR="0005011A" w:rsidRPr="00FC07B9" w:rsidRDefault="0005011A" w:rsidP="00FC07B9">
      <w:pPr>
        <w:pStyle w:val="ACMACorporateAddresses"/>
      </w:pPr>
      <w:r w:rsidRPr="00FC07B9">
        <w:t>PO Box 78</w:t>
      </w:r>
      <w:r w:rsidRPr="00FC07B9">
        <w:br/>
        <w:t>Belconnen ACT 2616</w:t>
      </w:r>
    </w:p>
    <w:p w14:paraId="6FC0229C"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38FCA825" w14:textId="77777777" w:rsidR="0005011A" w:rsidRPr="00F44F3A" w:rsidRDefault="0005011A" w:rsidP="00FC07B9">
      <w:pPr>
        <w:pStyle w:val="ACMACorporateAddressHeader"/>
      </w:pPr>
      <w:r w:rsidRPr="00F44F3A">
        <w:t>Melbourne</w:t>
      </w:r>
    </w:p>
    <w:p w14:paraId="4FCB5574"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469A1DF4"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217BF92D"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2C12FD87" w14:textId="77777777" w:rsidR="0005011A" w:rsidRPr="00F44F3A" w:rsidRDefault="0005011A" w:rsidP="00FC07B9">
      <w:pPr>
        <w:pStyle w:val="ACMACorporateAddressHeader"/>
      </w:pPr>
      <w:r w:rsidRPr="00F44F3A">
        <w:t>Sydney</w:t>
      </w:r>
    </w:p>
    <w:p w14:paraId="6F94F723"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40D9E46A"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021C832A"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1AE08EC5" w14:textId="77777777" w:rsidR="00140318" w:rsidRPr="006D46E5" w:rsidRDefault="00140318" w:rsidP="00FC07B9">
      <w:pPr>
        <w:pStyle w:val="ACMACopyrightHeader"/>
      </w:pPr>
      <w:r w:rsidRPr="00140318">
        <w:t>Copyright notice</w:t>
      </w:r>
    </w:p>
    <w:p w14:paraId="33D1CB00" w14:textId="77777777" w:rsidR="00140318" w:rsidRPr="006D46E5" w:rsidRDefault="00623FF9" w:rsidP="00623FF9">
      <w:pPr>
        <w:pStyle w:val="ACMACClogo"/>
      </w:pPr>
      <w:r w:rsidRPr="00623FF9">
        <w:rPr>
          <w:noProof/>
        </w:rPr>
        <w:drawing>
          <wp:inline distT="0" distB="0" distL="0" distR="0" wp14:anchorId="352B5D90" wp14:editId="5BB12E29">
            <wp:extent cx="838200" cy="295275"/>
            <wp:effectExtent l="0" t="0" r="0" b="0"/>
            <wp:docPr id="1" name="Picture 1" title="Creative Commons logo">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5"/>
                    </pic:cNvPr>
                    <pic:cNvPicPr>
                      <a:picLocks noChangeAspect="1" noChangeArrowheads="1"/>
                    </pic:cNvPicPr>
                  </pic:nvPicPr>
                  <pic:blipFill>
                    <a:blip r:embed="rId16" cstate="print"/>
                    <a:srcRect/>
                    <a:stretch>
                      <a:fillRect/>
                    </a:stretch>
                  </pic:blipFill>
                  <pic:spPr bwMode="auto">
                    <a:xfrm>
                      <a:off x="0" y="0"/>
                      <a:ext cx="838200" cy="295275"/>
                    </a:xfrm>
                    <a:prstGeom prst="rect">
                      <a:avLst/>
                    </a:prstGeom>
                    <a:noFill/>
                  </pic:spPr>
                </pic:pic>
              </a:graphicData>
            </a:graphic>
          </wp:inline>
        </w:drawing>
      </w:r>
    </w:p>
    <w:p w14:paraId="126588A8" w14:textId="77777777" w:rsidR="00140318" w:rsidRPr="00431792" w:rsidRDefault="00241611" w:rsidP="00FC07B9">
      <w:pPr>
        <w:pStyle w:val="ACMACorporateAddresses"/>
        <w:rPr>
          <w:rStyle w:val="Hyperlink"/>
        </w:rPr>
      </w:pPr>
      <w:hyperlink r:id="rId17" w:tooltip="Creative Commons Licenses" w:history="1">
        <w:r w:rsidR="00140318" w:rsidRPr="00431792">
          <w:rPr>
            <w:rStyle w:val="Hyperlink"/>
          </w:rPr>
          <w:t>http://creativecommons.org/licenses/by/3.0/au/</w:t>
        </w:r>
      </w:hyperlink>
    </w:p>
    <w:p w14:paraId="5C385DB6" w14:textId="77777777" w:rsidR="00140318" w:rsidRPr="006D46E5" w:rsidRDefault="00140318" w:rsidP="00FC07B9">
      <w:pPr>
        <w:pStyle w:val="ACMACorporateAddresses"/>
      </w:pPr>
      <w:r w:rsidRPr="006D46E5">
        <w:t xml:space="preserve">With the exception of coats of arms, logos, emblems, images, other third-party material or devices protected by a trademark, this content is licensed under the Creative Commons Australia Attribution 3.0 Licence. </w:t>
      </w:r>
    </w:p>
    <w:p w14:paraId="796FF04C" w14:textId="77777777" w:rsidR="00140318" w:rsidRPr="006D46E5" w:rsidRDefault="00140318" w:rsidP="00FC07B9">
      <w:pPr>
        <w:pStyle w:val="ACMACorporateAddresses"/>
      </w:pPr>
      <w:r w:rsidRPr="006D46E5">
        <w:t>We request attribution as: © Commonwealth of Australia (Australian Communic</w:t>
      </w:r>
      <w:r w:rsidR="008408FF">
        <w:t>ations and Media Authority) 201</w:t>
      </w:r>
      <w:r w:rsidR="000072DE">
        <w:t>6</w:t>
      </w:r>
      <w:r w:rsidRPr="006D46E5">
        <w:t>.</w:t>
      </w:r>
    </w:p>
    <w:p w14:paraId="56628400" w14:textId="77777777" w:rsidR="00140318" w:rsidRPr="006D46E5" w:rsidRDefault="00140318" w:rsidP="00FC07B9">
      <w:pPr>
        <w:pStyle w:val="ACMACorporateAddresses"/>
      </w:pPr>
      <w:r>
        <w:t>All other rights are reserved.</w:t>
      </w:r>
    </w:p>
    <w:p w14:paraId="1C6EDF86" w14:textId="77777777"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6481E441" w14:textId="77777777" w:rsidR="00140318" w:rsidRPr="006D46E5" w:rsidRDefault="00140318" w:rsidP="00FC07B9">
      <w:pPr>
        <w:pStyle w:val="ACMACorporateAddresses"/>
      </w:pPr>
      <w:r w:rsidRPr="006D46E5">
        <w:t>Written enquiries may be sent to:</w:t>
      </w:r>
    </w:p>
    <w:p w14:paraId="661E83E0" w14:textId="77777777"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Tel: 03 9963 6968</w:t>
      </w:r>
      <w:r w:rsidR="00623FF9">
        <w:br/>
      </w:r>
      <w:r w:rsidRPr="006D46E5">
        <w:t xml:space="preserve">Email: </w:t>
      </w:r>
      <w:hyperlink r:id="rId18" w:history="1">
        <w:r w:rsidRPr="00431792">
          <w:rPr>
            <w:rStyle w:val="Hyperlink"/>
          </w:rPr>
          <w:t>candinfo@acma.gov.au</w:t>
        </w:r>
      </w:hyperlink>
    </w:p>
    <w:p w14:paraId="3BB628A7" w14:textId="77777777" w:rsidR="00D16FE3" w:rsidRDefault="00D16FE3" w:rsidP="00D16FE3">
      <w:pPr>
        <w:pStyle w:val="ACMACorporateAddresses"/>
        <w:rPr>
          <w:rStyle w:val="Hyperlink"/>
        </w:rPr>
      </w:pPr>
    </w:p>
    <w:p w14:paraId="5642674F" w14:textId="77777777" w:rsidR="00D16FE3" w:rsidRPr="00D16FE3" w:rsidRDefault="00D16FE3" w:rsidP="00D16FE3">
      <w:pPr>
        <w:pStyle w:val="ACMACorporateAddresses"/>
        <w:sectPr w:rsidR="00D16FE3" w:rsidRPr="00D16FE3">
          <w:headerReference w:type="even" r:id="rId19"/>
          <w:headerReference w:type="default" r:id="rId20"/>
          <w:footerReference w:type="even" r:id="rId21"/>
          <w:footerReference w:type="default" r:id="rId22"/>
          <w:pgSz w:w="11906" w:h="16838" w:code="9"/>
          <w:pgMar w:top="3924" w:right="1797" w:bottom="697" w:left="1134" w:header="709" w:footer="119" w:gutter="0"/>
          <w:cols w:space="708"/>
          <w:docGrid w:linePitch="360"/>
        </w:sectPr>
      </w:pPr>
    </w:p>
    <w:p w14:paraId="4C8216F8" w14:textId="77777777" w:rsidR="003E14D1" w:rsidRDefault="003F0222">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"1-3" \h \z \t "ACMA_ExecSummaryHeading,1" </w:instrText>
      </w:r>
      <w:r>
        <w:rPr>
          <w:rFonts w:cs="Arial"/>
        </w:rPr>
        <w:fldChar w:fldCharType="separate"/>
      </w:r>
      <w:hyperlink w:anchor="_Toc463862883" w:history="1">
        <w:r w:rsidR="003E14D1" w:rsidRPr="005276A9">
          <w:rPr>
            <w:rStyle w:val="Hyperlink"/>
          </w:rPr>
          <w:t>Executive summary</w:t>
        </w:r>
        <w:r w:rsidR="003E14D1">
          <w:rPr>
            <w:webHidden/>
          </w:rPr>
          <w:tab/>
        </w:r>
        <w:r w:rsidR="003E14D1">
          <w:rPr>
            <w:webHidden/>
          </w:rPr>
          <w:fldChar w:fldCharType="begin"/>
        </w:r>
        <w:r w:rsidR="003E14D1">
          <w:rPr>
            <w:webHidden/>
          </w:rPr>
          <w:instrText xml:space="preserve"> PAGEREF _Toc463862883 \h </w:instrText>
        </w:r>
        <w:r w:rsidR="003E14D1">
          <w:rPr>
            <w:webHidden/>
          </w:rPr>
        </w:r>
        <w:r w:rsidR="003E14D1">
          <w:rPr>
            <w:webHidden/>
          </w:rPr>
          <w:fldChar w:fldCharType="separate"/>
        </w:r>
        <w:r w:rsidR="00D35C87">
          <w:rPr>
            <w:webHidden/>
          </w:rPr>
          <w:t>1</w:t>
        </w:r>
        <w:r w:rsidR="003E14D1">
          <w:rPr>
            <w:webHidden/>
          </w:rPr>
          <w:fldChar w:fldCharType="end"/>
        </w:r>
      </w:hyperlink>
    </w:p>
    <w:p w14:paraId="35B7F6B2" w14:textId="77777777" w:rsidR="003E14D1" w:rsidRDefault="00241611">
      <w:pPr>
        <w:pStyle w:val="TOC1"/>
        <w:rPr>
          <w:rFonts w:asciiTheme="minorHAnsi" w:eastAsiaTheme="minorEastAsia" w:hAnsiTheme="minorHAnsi" w:cstheme="minorBidi"/>
          <w:b w:val="0"/>
          <w:spacing w:val="0"/>
          <w:sz w:val="22"/>
          <w:szCs w:val="22"/>
        </w:rPr>
      </w:pPr>
      <w:hyperlink w:anchor="_Toc463862884" w:history="1">
        <w:r w:rsidR="003E14D1" w:rsidRPr="005276A9">
          <w:rPr>
            <w:rStyle w:val="Hyperlink"/>
          </w:rPr>
          <w:t>Issues for comment</w:t>
        </w:r>
        <w:r w:rsidR="003E14D1">
          <w:rPr>
            <w:webHidden/>
          </w:rPr>
          <w:tab/>
        </w:r>
        <w:r w:rsidR="003E14D1">
          <w:rPr>
            <w:webHidden/>
          </w:rPr>
          <w:fldChar w:fldCharType="begin"/>
        </w:r>
        <w:r w:rsidR="003E14D1">
          <w:rPr>
            <w:webHidden/>
          </w:rPr>
          <w:instrText xml:space="preserve"> PAGEREF _Toc463862884 \h </w:instrText>
        </w:r>
        <w:r w:rsidR="003E14D1">
          <w:rPr>
            <w:webHidden/>
          </w:rPr>
        </w:r>
        <w:r w:rsidR="003E14D1">
          <w:rPr>
            <w:webHidden/>
          </w:rPr>
          <w:fldChar w:fldCharType="separate"/>
        </w:r>
        <w:r w:rsidR="00D35C87">
          <w:rPr>
            <w:webHidden/>
          </w:rPr>
          <w:t>3</w:t>
        </w:r>
        <w:r w:rsidR="003E14D1">
          <w:rPr>
            <w:webHidden/>
          </w:rPr>
          <w:fldChar w:fldCharType="end"/>
        </w:r>
      </w:hyperlink>
    </w:p>
    <w:p w14:paraId="6D7FD2E4" w14:textId="77777777" w:rsidR="003E14D1" w:rsidRDefault="00241611">
      <w:pPr>
        <w:pStyle w:val="TOC1"/>
        <w:rPr>
          <w:rFonts w:asciiTheme="minorHAnsi" w:eastAsiaTheme="minorEastAsia" w:hAnsiTheme="minorHAnsi" w:cstheme="minorBidi"/>
          <w:b w:val="0"/>
          <w:spacing w:val="0"/>
          <w:sz w:val="22"/>
          <w:szCs w:val="22"/>
        </w:rPr>
      </w:pPr>
      <w:hyperlink w:anchor="_Toc463862885" w:history="1">
        <w:r w:rsidR="003E14D1" w:rsidRPr="005276A9">
          <w:rPr>
            <w:rStyle w:val="Hyperlink"/>
          </w:rPr>
          <w:t>1. Introduction</w:t>
        </w:r>
        <w:r w:rsidR="003E14D1">
          <w:rPr>
            <w:webHidden/>
          </w:rPr>
          <w:tab/>
        </w:r>
        <w:r w:rsidR="003E14D1">
          <w:rPr>
            <w:webHidden/>
          </w:rPr>
          <w:fldChar w:fldCharType="begin"/>
        </w:r>
        <w:r w:rsidR="003E14D1">
          <w:rPr>
            <w:webHidden/>
          </w:rPr>
          <w:instrText xml:space="preserve"> PAGEREF _Toc463862885 \h </w:instrText>
        </w:r>
        <w:r w:rsidR="003E14D1">
          <w:rPr>
            <w:webHidden/>
          </w:rPr>
        </w:r>
        <w:r w:rsidR="003E14D1">
          <w:rPr>
            <w:webHidden/>
          </w:rPr>
          <w:fldChar w:fldCharType="separate"/>
        </w:r>
        <w:r w:rsidR="00D35C87">
          <w:rPr>
            <w:webHidden/>
          </w:rPr>
          <w:t>4</w:t>
        </w:r>
        <w:r w:rsidR="003E14D1">
          <w:rPr>
            <w:webHidden/>
          </w:rPr>
          <w:fldChar w:fldCharType="end"/>
        </w:r>
      </w:hyperlink>
    </w:p>
    <w:p w14:paraId="5BCA78ED" w14:textId="77777777" w:rsidR="003E14D1" w:rsidRDefault="00241611">
      <w:pPr>
        <w:pStyle w:val="TOC2"/>
        <w:rPr>
          <w:rFonts w:asciiTheme="minorHAnsi" w:eastAsiaTheme="minorEastAsia" w:hAnsiTheme="minorHAnsi" w:cstheme="minorBidi"/>
          <w:spacing w:val="0"/>
          <w:sz w:val="22"/>
          <w:szCs w:val="22"/>
        </w:rPr>
      </w:pPr>
      <w:hyperlink w:anchor="_Toc463862886" w:history="1">
        <w:r w:rsidR="003E14D1" w:rsidRPr="005276A9">
          <w:rPr>
            <w:rStyle w:val="Hyperlink"/>
          </w:rPr>
          <w:t>Legislative context</w:t>
        </w:r>
        <w:r w:rsidR="003E14D1">
          <w:rPr>
            <w:webHidden/>
          </w:rPr>
          <w:tab/>
        </w:r>
        <w:r w:rsidR="003E14D1">
          <w:rPr>
            <w:webHidden/>
          </w:rPr>
          <w:fldChar w:fldCharType="begin"/>
        </w:r>
        <w:r w:rsidR="003E14D1">
          <w:rPr>
            <w:webHidden/>
          </w:rPr>
          <w:instrText xml:space="preserve"> PAGEREF _Toc463862886 \h </w:instrText>
        </w:r>
        <w:r w:rsidR="003E14D1">
          <w:rPr>
            <w:webHidden/>
          </w:rPr>
        </w:r>
        <w:r w:rsidR="003E14D1">
          <w:rPr>
            <w:webHidden/>
          </w:rPr>
          <w:fldChar w:fldCharType="separate"/>
        </w:r>
        <w:r w:rsidR="00D35C87">
          <w:rPr>
            <w:webHidden/>
          </w:rPr>
          <w:t>4</w:t>
        </w:r>
        <w:r w:rsidR="003E14D1">
          <w:rPr>
            <w:webHidden/>
          </w:rPr>
          <w:fldChar w:fldCharType="end"/>
        </w:r>
      </w:hyperlink>
    </w:p>
    <w:p w14:paraId="018DFEEF" w14:textId="77777777" w:rsidR="003E14D1" w:rsidRDefault="00241611">
      <w:pPr>
        <w:pStyle w:val="TOC3"/>
        <w:rPr>
          <w:rFonts w:asciiTheme="minorHAnsi" w:eastAsiaTheme="minorEastAsia" w:hAnsiTheme="minorHAnsi" w:cstheme="minorBidi"/>
        </w:rPr>
      </w:pPr>
      <w:hyperlink w:anchor="_Toc463862887" w:history="1">
        <w:r w:rsidR="003E14D1" w:rsidRPr="005276A9">
          <w:rPr>
            <w:rStyle w:val="Hyperlink"/>
          </w:rPr>
          <w:t>Object of the Act</w:t>
        </w:r>
        <w:r w:rsidR="003E14D1">
          <w:rPr>
            <w:webHidden/>
          </w:rPr>
          <w:tab/>
        </w:r>
        <w:r w:rsidR="003E14D1">
          <w:rPr>
            <w:webHidden/>
          </w:rPr>
          <w:fldChar w:fldCharType="begin"/>
        </w:r>
        <w:r w:rsidR="003E14D1">
          <w:rPr>
            <w:webHidden/>
          </w:rPr>
          <w:instrText xml:space="preserve"> PAGEREF _Toc463862887 \h </w:instrText>
        </w:r>
        <w:r w:rsidR="003E14D1">
          <w:rPr>
            <w:webHidden/>
          </w:rPr>
        </w:r>
        <w:r w:rsidR="003E14D1">
          <w:rPr>
            <w:webHidden/>
          </w:rPr>
          <w:fldChar w:fldCharType="separate"/>
        </w:r>
        <w:r w:rsidR="00D35C87">
          <w:rPr>
            <w:webHidden/>
          </w:rPr>
          <w:t>4</w:t>
        </w:r>
        <w:r w:rsidR="003E14D1">
          <w:rPr>
            <w:webHidden/>
          </w:rPr>
          <w:fldChar w:fldCharType="end"/>
        </w:r>
      </w:hyperlink>
    </w:p>
    <w:p w14:paraId="3F79BA57" w14:textId="77777777" w:rsidR="003E14D1" w:rsidRDefault="00241611">
      <w:pPr>
        <w:pStyle w:val="TOC3"/>
        <w:rPr>
          <w:rFonts w:asciiTheme="minorHAnsi" w:eastAsiaTheme="minorEastAsia" w:hAnsiTheme="minorHAnsi" w:cstheme="minorBidi"/>
        </w:rPr>
      </w:pPr>
      <w:hyperlink w:anchor="_Toc463862888" w:history="1">
        <w:r w:rsidR="003E14D1" w:rsidRPr="005276A9">
          <w:rPr>
            <w:rStyle w:val="Hyperlink"/>
          </w:rPr>
          <w:t>Principles for Spectrum Management</w:t>
        </w:r>
        <w:r w:rsidR="003E14D1">
          <w:rPr>
            <w:webHidden/>
          </w:rPr>
          <w:tab/>
        </w:r>
        <w:r w:rsidR="003E14D1">
          <w:rPr>
            <w:webHidden/>
          </w:rPr>
          <w:fldChar w:fldCharType="begin"/>
        </w:r>
        <w:r w:rsidR="003E14D1">
          <w:rPr>
            <w:webHidden/>
          </w:rPr>
          <w:instrText xml:space="preserve"> PAGEREF _Toc463862888 \h </w:instrText>
        </w:r>
        <w:r w:rsidR="003E14D1">
          <w:rPr>
            <w:webHidden/>
          </w:rPr>
        </w:r>
        <w:r w:rsidR="003E14D1">
          <w:rPr>
            <w:webHidden/>
          </w:rPr>
          <w:fldChar w:fldCharType="separate"/>
        </w:r>
        <w:r w:rsidR="00D35C87">
          <w:rPr>
            <w:webHidden/>
          </w:rPr>
          <w:t>4</w:t>
        </w:r>
        <w:r w:rsidR="003E14D1">
          <w:rPr>
            <w:webHidden/>
          </w:rPr>
          <w:fldChar w:fldCharType="end"/>
        </w:r>
      </w:hyperlink>
    </w:p>
    <w:p w14:paraId="3BEE7931" w14:textId="77777777" w:rsidR="003E14D1" w:rsidRDefault="00241611">
      <w:pPr>
        <w:pStyle w:val="TOC2"/>
        <w:rPr>
          <w:rFonts w:asciiTheme="minorHAnsi" w:eastAsiaTheme="minorEastAsia" w:hAnsiTheme="minorHAnsi" w:cstheme="minorBidi"/>
          <w:spacing w:val="0"/>
          <w:sz w:val="22"/>
          <w:szCs w:val="22"/>
        </w:rPr>
      </w:pPr>
      <w:hyperlink w:anchor="_Toc463862889" w:history="1">
        <w:r w:rsidR="003E14D1" w:rsidRPr="005276A9">
          <w:rPr>
            <w:rStyle w:val="Hyperlink"/>
          </w:rPr>
          <w:t>Background</w:t>
        </w:r>
        <w:r w:rsidR="003E14D1">
          <w:rPr>
            <w:webHidden/>
          </w:rPr>
          <w:tab/>
        </w:r>
        <w:r w:rsidR="003E14D1">
          <w:rPr>
            <w:webHidden/>
          </w:rPr>
          <w:fldChar w:fldCharType="begin"/>
        </w:r>
        <w:r w:rsidR="003E14D1">
          <w:rPr>
            <w:webHidden/>
          </w:rPr>
          <w:instrText xml:space="preserve"> PAGEREF _Toc463862889 \h </w:instrText>
        </w:r>
        <w:r w:rsidR="003E14D1">
          <w:rPr>
            <w:webHidden/>
          </w:rPr>
        </w:r>
        <w:r w:rsidR="003E14D1">
          <w:rPr>
            <w:webHidden/>
          </w:rPr>
          <w:fldChar w:fldCharType="separate"/>
        </w:r>
        <w:r w:rsidR="00D35C87">
          <w:rPr>
            <w:webHidden/>
          </w:rPr>
          <w:t>5</w:t>
        </w:r>
        <w:r w:rsidR="003E14D1">
          <w:rPr>
            <w:webHidden/>
          </w:rPr>
          <w:fldChar w:fldCharType="end"/>
        </w:r>
      </w:hyperlink>
    </w:p>
    <w:p w14:paraId="46AC2D15" w14:textId="77777777" w:rsidR="003E14D1" w:rsidRDefault="00241611">
      <w:pPr>
        <w:pStyle w:val="TOC2"/>
        <w:rPr>
          <w:rFonts w:asciiTheme="minorHAnsi" w:eastAsiaTheme="minorEastAsia" w:hAnsiTheme="minorHAnsi" w:cstheme="minorBidi"/>
          <w:spacing w:val="0"/>
          <w:sz w:val="22"/>
          <w:szCs w:val="22"/>
        </w:rPr>
      </w:pPr>
      <w:hyperlink w:anchor="_Toc463862890" w:history="1">
        <w:r w:rsidR="003E14D1" w:rsidRPr="005276A9">
          <w:rPr>
            <w:rStyle w:val="Hyperlink"/>
          </w:rPr>
          <w:t>The 700 MHz band—unsold lots spectrum auction</w:t>
        </w:r>
        <w:r w:rsidR="003E14D1">
          <w:rPr>
            <w:webHidden/>
          </w:rPr>
          <w:tab/>
        </w:r>
        <w:r w:rsidR="003E14D1">
          <w:rPr>
            <w:webHidden/>
          </w:rPr>
          <w:fldChar w:fldCharType="begin"/>
        </w:r>
        <w:r w:rsidR="003E14D1">
          <w:rPr>
            <w:webHidden/>
          </w:rPr>
          <w:instrText xml:space="preserve"> PAGEREF _Toc463862890 \h </w:instrText>
        </w:r>
        <w:r w:rsidR="003E14D1">
          <w:rPr>
            <w:webHidden/>
          </w:rPr>
        </w:r>
        <w:r w:rsidR="003E14D1">
          <w:rPr>
            <w:webHidden/>
          </w:rPr>
          <w:fldChar w:fldCharType="separate"/>
        </w:r>
        <w:r w:rsidR="00D35C87">
          <w:rPr>
            <w:webHidden/>
          </w:rPr>
          <w:t>6</w:t>
        </w:r>
        <w:r w:rsidR="003E14D1">
          <w:rPr>
            <w:webHidden/>
          </w:rPr>
          <w:fldChar w:fldCharType="end"/>
        </w:r>
      </w:hyperlink>
    </w:p>
    <w:p w14:paraId="564A6820" w14:textId="77777777" w:rsidR="003E14D1" w:rsidRDefault="00241611">
      <w:pPr>
        <w:pStyle w:val="TOC3"/>
        <w:rPr>
          <w:rFonts w:asciiTheme="minorHAnsi" w:eastAsiaTheme="minorEastAsia" w:hAnsiTheme="minorHAnsi" w:cstheme="minorBidi"/>
        </w:rPr>
      </w:pPr>
      <w:hyperlink w:anchor="_Toc463862891" w:history="1">
        <w:r w:rsidR="003E14D1" w:rsidRPr="005276A9">
          <w:rPr>
            <w:rStyle w:val="Hyperlink"/>
          </w:rPr>
          <w:t>Indicative timeline</w:t>
        </w:r>
        <w:r w:rsidR="003E14D1">
          <w:rPr>
            <w:webHidden/>
          </w:rPr>
          <w:tab/>
        </w:r>
        <w:r w:rsidR="003E14D1">
          <w:rPr>
            <w:webHidden/>
          </w:rPr>
          <w:fldChar w:fldCharType="begin"/>
        </w:r>
        <w:r w:rsidR="003E14D1">
          <w:rPr>
            <w:webHidden/>
          </w:rPr>
          <w:instrText xml:space="preserve"> PAGEREF _Toc463862891 \h </w:instrText>
        </w:r>
        <w:r w:rsidR="003E14D1">
          <w:rPr>
            <w:webHidden/>
          </w:rPr>
        </w:r>
        <w:r w:rsidR="003E14D1">
          <w:rPr>
            <w:webHidden/>
          </w:rPr>
          <w:fldChar w:fldCharType="separate"/>
        </w:r>
        <w:r w:rsidR="00D35C87">
          <w:rPr>
            <w:webHidden/>
          </w:rPr>
          <w:t>6</w:t>
        </w:r>
        <w:r w:rsidR="003E14D1">
          <w:rPr>
            <w:webHidden/>
          </w:rPr>
          <w:fldChar w:fldCharType="end"/>
        </w:r>
      </w:hyperlink>
    </w:p>
    <w:p w14:paraId="7F898A3C" w14:textId="77777777" w:rsidR="003E14D1" w:rsidRDefault="00241611">
      <w:pPr>
        <w:pStyle w:val="TOC2"/>
        <w:rPr>
          <w:rFonts w:asciiTheme="minorHAnsi" w:eastAsiaTheme="minorEastAsia" w:hAnsiTheme="minorHAnsi" w:cstheme="minorBidi"/>
          <w:spacing w:val="0"/>
          <w:sz w:val="22"/>
          <w:szCs w:val="22"/>
        </w:rPr>
      </w:pPr>
      <w:hyperlink w:anchor="_Toc463862892" w:history="1">
        <w:r w:rsidR="003E14D1" w:rsidRPr="005276A9">
          <w:rPr>
            <w:rStyle w:val="Hyperlink"/>
          </w:rPr>
          <w:t>Current stage—draft allocation instruments</w:t>
        </w:r>
        <w:r w:rsidR="003E14D1">
          <w:rPr>
            <w:webHidden/>
          </w:rPr>
          <w:tab/>
        </w:r>
        <w:r w:rsidR="003E14D1">
          <w:rPr>
            <w:webHidden/>
          </w:rPr>
          <w:fldChar w:fldCharType="begin"/>
        </w:r>
        <w:r w:rsidR="003E14D1">
          <w:rPr>
            <w:webHidden/>
          </w:rPr>
          <w:instrText xml:space="preserve"> PAGEREF _Toc463862892 \h </w:instrText>
        </w:r>
        <w:r w:rsidR="003E14D1">
          <w:rPr>
            <w:webHidden/>
          </w:rPr>
        </w:r>
        <w:r w:rsidR="003E14D1">
          <w:rPr>
            <w:webHidden/>
          </w:rPr>
          <w:fldChar w:fldCharType="separate"/>
        </w:r>
        <w:r w:rsidR="00D35C87">
          <w:rPr>
            <w:webHidden/>
          </w:rPr>
          <w:t>8</w:t>
        </w:r>
        <w:r w:rsidR="003E14D1">
          <w:rPr>
            <w:webHidden/>
          </w:rPr>
          <w:fldChar w:fldCharType="end"/>
        </w:r>
      </w:hyperlink>
    </w:p>
    <w:p w14:paraId="5A890E3D" w14:textId="77777777" w:rsidR="003E14D1" w:rsidRDefault="00241611">
      <w:pPr>
        <w:pStyle w:val="TOC3"/>
        <w:rPr>
          <w:rFonts w:asciiTheme="minorHAnsi" w:eastAsiaTheme="minorEastAsia" w:hAnsiTheme="minorHAnsi" w:cstheme="minorBidi"/>
        </w:rPr>
      </w:pPr>
      <w:hyperlink w:anchor="_Toc463862893" w:history="1">
        <w:r w:rsidR="003E14D1" w:rsidRPr="005276A9">
          <w:rPr>
            <w:rStyle w:val="Hyperlink"/>
          </w:rPr>
          <w:t>Marketing plan</w:t>
        </w:r>
        <w:r w:rsidR="003E14D1">
          <w:rPr>
            <w:webHidden/>
          </w:rPr>
          <w:tab/>
        </w:r>
        <w:r w:rsidR="003E14D1">
          <w:rPr>
            <w:webHidden/>
          </w:rPr>
          <w:fldChar w:fldCharType="begin"/>
        </w:r>
        <w:r w:rsidR="003E14D1">
          <w:rPr>
            <w:webHidden/>
          </w:rPr>
          <w:instrText xml:space="preserve"> PAGEREF _Toc463862893 \h </w:instrText>
        </w:r>
        <w:r w:rsidR="003E14D1">
          <w:rPr>
            <w:webHidden/>
          </w:rPr>
        </w:r>
        <w:r w:rsidR="003E14D1">
          <w:rPr>
            <w:webHidden/>
          </w:rPr>
          <w:fldChar w:fldCharType="separate"/>
        </w:r>
        <w:r w:rsidR="00D35C87">
          <w:rPr>
            <w:webHidden/>
          </w:rPr>
          <w:t>8</w:t>
        </w:r>
        <w:r w:rsidR="003E14D1">
          <w:rPr>
            <w:webHidden/>
          </w:rPr>
          <w:fldChar w:fldCharType="end"/>
        </w:r>
      </w:hyperlink>
    </w:p>
    <w:p w14:paraId="56F43079" w14:textId="77777777" w:rsidR="003E14D1" w:rsidRDefault="00241611">
      <w:pPr>
        <w:pStyle w:val="TOC3"/>
        <w:rPr>
          <w:rFonts w:asciiTheme="minorHAnsi" w:eastAsiaTheme="minorEastAsia" w:hAnsiTheme="minorHAnsi" w:cstheme="minorBidi"/>
        </w:rPr>
      </w:pPr>
      <w:hyperlink w:anchor="_Toc463862894" w:history="1">
        <w:r w:rsidR="003E14D1" w:rsidRPr="005276A9">
          <w:rPr>
            <w:rStyle w:val="Hyperlink"/>
          </w:rPr>
          <w:t>Allocation determination</w:t>
        </w:r>
        <w:r w:rsidR="003E14D1">
          <w:rPr>
            <w:webHidden/>
          </w:rPr>
          <w:tab/>
        </w:r>
        <w:r w:rsidR="003E14D1">
          <w:rPr>
            <w:webHidden/>
          </w:rPr>
          <w:fldChar w:fldCharType="begin"/>
        </w:r>
        <w:r w:rsidR="003E14D1">
          <w:rPr>
            <w:webHidden/>
          </w:rPr>
          <w:instrText xml:space="preserve"> PAGEREF _Toc463862894 \h </w:instrText>
        </w:r>
        <w:r w:rsidR="003E14D1">
          <w:rPr>
            <w:webHidden/>
          </w:rPr>
        </w:r>
        <w:r w:rsidR="003E14D1">
          <w:rPr>
            <w:webHidden/>
          </w:rPr>
          <w:fldChar w:fldCharType="separate"/>
        </w:r>
        <w:r w:rsidR="00D35C87">
          <w:rPr>
            <w:webHidden/>
          </w:rPr>
          <w:t>8</w:t>
        </w:r>
        <w:r w:rsidR="003E14D1">
          <w:rPr>
            <w:webHidden/>
          </w:rPr>
          <w:fldChar w:fldCharType="end"/>
        </w:r>
      </w:hyperlink>
    </w:p>
    <w:p w14:paraId="70F46486" w14:textId="77777777" w:rsidR="003E14D1" w:rsidRDefault="00241611">
      <w:pPr>
        <w:pStyle w:val="TOC3"/>
        <w:rPr>
          <w:rFonts w:asciiTheme="minorHAnsi" w:eastAsiaTheme="minorEastAsia" w:hAnsiTheme="minorHAnsi" w:cstheme="minorBidi"/>
        </w:rPr>
      </w:pPr>
      <w:hyperlink w:anchor="_Toc463862895" w:history="1">
        <w:r w:rsidR="003E14D1" w:rsidRPr="005276A9">
          <w:rPr>
            <w:rStyle w:val="Hyperlink"/>
          </w:rPr>
          <w:t>Final allocation instruments</w:t>
        </w:r>
        <w:r w:rsidR="003E14D1">
          <w:rPr>
            <w:webHidden/>
          </w:rPr>
          <w:tab/>
        </w:r>
        <w:r w:rsidR="003E14D1">
          <w:rPr>
            <w:webHidden/>
          </w:rPr>
          <w:fldChar w:fldCharType="begin"/>
        </w:r>
        <w:r w:rsidR="003E14D1">
          <w:rPr>
            <w:webHidden/>
          </w:rPr>
          <w:instrText xml:space="preserve"> PAGEREF _Toc463862895 \h </w:instrText>
        </w:r>
        <w:r w:rsidR="003E14D1">
          <w:rPr>
            <w:webHidden/>
          </w:rPr>
        </w:r>
        <w:r w:rsidR="003E14D1">
          <w:rPr>
            <w:webHidden/>
          </w:rPr>
          <w:fldChar w:fldCharType="separate"/>
        </w:r>
        <w:r w:rsidR="00D35C87">
          <w:rPr>
            <w:webHidden/>
          </w:rPr>
          <w:t>9</w:t>
        </w:r>
        <w:r w:rsidR="003E14D1">
          <w:rPr>
            <w:webHidden/>
          </w:rPr>
          <w:fldChar w:fldCharType="end"/>
        </w:r>
      </w:hyperlink>
    </w:p>
    <w:p w14:paraId="6AC16F53" w14:textId="77777777" w:rsidR="003E14D1" w:rsidRDefault="00241611">
      <w:pPr>
        <w:pStyle w:val="TOC3"/>
        <w:rPr>
          <w:rFonts w:asciiTheme="minorHAnsi" w:eastAsiaTheme="minorEastAsia" w:hAnsiTheme="minorHAnsi" w:cstheme="minorBidi"/>
        </w:rPr>
      </w:pPr>
      <w:hyperlink w:anchor="_Toc463862896" w:history="1">
        <w:r w:rsidR="003E14D1" w:rsidRPr="005276A9">
          <w:rPr>
            <w:rStyle w:val="Hyperlink"/>
          </w:rPr>
          <w:t>Next steps</w:t>
        </w:r>
        <w:r w:rsidR="003E14D1">
          <w:rPr>
            <w:webHidden/>
          </w:rPr>
          <w:tab/>
        </w:r>
        <w:r w:rsidR="003E14D1">
          <w:rPr>
            <w:webHidden/>
          </w:rPr>
          <w:fldChar w:fldCharType="begin"/>
        </w:r>
        <w:r w:rsidR="003E14D1">
          <w:rPr>
            <w:webHidden/>
          </w:rPr>
          <w:instrText xml:space="preserve"> PAGEREF _Toc463862896 \h </w:instrText>
        </w:r>
        <w:r w:rsidR="003E14D1">
          <w:rPr>
            <w:webHidden/>
          </w:rPr>
        </w:r>
        <w:r w:rsidR="003E14D1">
          <w:rPr>
            <w:webHidden/>
          </w:rPr>
          <w:fldChar w:fldCharType="separate"/>
        </w:r>
        <w:r w:rsidR="00D35C87">
          <w:rPr>
            <w:webHidden/>
          </w:rPr>
          <w:t>9</w:t>
        </w:r>
        <w:r w:rsidR="003E14D1">
          <w:rPr>
            <w:webHidden/>
          </w:rPr>
          <w:fldChar w:fldCharType="end"/>
        </w:r>
      </w:hyperlink>
    </w:p>
    <w:p w14:paraId="19D8ACBB" w14:textId="77777777" w:rsidR="003E14D1" w:rsidRDefault="00241611">
      <w:pPr>
        <w:pStyle w:val="TOC2"/>
        <w:rPr>
          <w:rFonts w:asciiTheme="minorHAnsi" w:eastAsiaTheme="minorEastAsia" w:hAnsiTheme="minorHAnsi" w:cstheme="minorBidi"/>
          <w:spacing w:val="0"/>
          <w:sz w:val="22"/>
          <w:szCs w:val="22"/>
        </w:rPr>
      </w:pPr>
      <w:hyperlink w:anchor="_Toc463862897" w:history="1">
        <w:r w:rsidR="003E14D1" w:rsidRPr="005276A9">
          <w:rPr>
            <w:rStyle w:val="Hyperlink"/>
          </w:rPr>
          <w:t>Other matters—technical framework</w:t>
        </w:r>
        <w:r w:rsidR="003E14D1">
          <w:rPr>
            <w:webHidden/>
          </w:rPr>
          <w:tab/>
        </w:r>
        <w:r w:rsidR="003E14D1">
          <w:rPr>
            <w:webHidden/>
          </w:rPr>
          <w:fldChar w:fldCharType="begin"/>
        </w:r>
        <w:r w:rsidR="003E14D1">
          <w:rPr>
            <w:webHidden/>
          </w:rPr>
          <w:instrText xml:space="preserve"> PAGEREF _Toc463862897 \h </w:instrText>
        </w:r>
        <w:r w:rsidR="003E14D1">
          <w:rPr>
            <w:webHidden/>
          </w:rPr>
        </w:r>
        <w:r w:rsidR="003E14D1">
          <w:rPr>
            <w:webHidden/>
          </w:rPr>
          <w:fldChar w:fldCharType="separate"/>
        </w:r>
        <w:r w:rsidR="00D35C87">
          <w:rPr>
            <w:webHidden/>
          </w:rPr>
          <w:t>9</w:t>
        </w:r>
        <w:r w:rsidR="003E14D1">
          <w:rPr>
            <w:webHidden/>
          </w:rPr>
          <w:fldChar w:fldCharType="end"/>
        </w:r>
      </w:hyperlink>
    </w:p>
    <w:p w14:paraId="286732CA" w14:textId="77777777" w:rsidR="003E14D1" w:rsidRDefault="00241611">
      <w:pPr>
        <w:pStyle w:val="TOC2"/>
        <w:rPr>
          <w:rFonts w:asciiTheme="minorHAnsi" w:eastAsiaTheme="minorEastAsia" w:hAnsiTheme="minorHAnsi" w:cstheme="minorBidi"/>
          <w:spacing w:val="0"/>
          <w:sz w:val="22"/>
          <w:szCs w:val="22"/>
        </w:rPr>
      </w:pPr>
      <w:hyperlink w:anchor="_Toc463862898" w:history="1">
        <w:r w:rsidR="003E14D1" w:rsidRPr="005276A9">
          <w:rPr>
            <w:rStyle w:val="Hyperlink"/>
          </w:rPr>
          <w:t>Other matters—‘early access’ apparatus licences</w:t>
        </w:r>
        <w:r w:rsidR="003E14D1">
          <w:rPr>
            <w:webHidden/>
          </w:rPr>
          <w:tab/>
        </w:r>
        <w:r w:rsidR="003E14D1">
          <w:rPr>
            <w:webHidden/>
          </w:rPr>
          <w:fldChar w:fldCharType="begin"/>
        </w:r>
        <w:r w:rsidR="003E14D1">
          <w:rPr>
            <w:webHidden/>
          </w:rPr>
          <w:instrText xml:space="preserve"> PAGEREF _Toc463862898 \h </w:instrText>
        </w:r>
        <w:r w:rsidR="003E14D1">
          <w:rPr>
            <w:webHidden/>
          </w:rPr>
        </w:r>
        <w:r w:rsidR="003E14D1">
          <w:rPr>
            <w:webHidden/>
          </w:rPr>
          <w:fldChar w:fldCharType="separate"/>
        </w:r>
        <w:r w:rsidR="00D35C87">
          <w:rPr>
            <w:webHidden/>
          </w:rPr>
          <w:t>10</w:t>
        </w:r>
        <w:r w:rsidR="003E14D1">
          <w:rPr>
            <w:webHidden/>
          </w:rPr>
          <w:fldChar w:fldCharType="end"/>
        </w:r>
      </w:hyperlink>
    </w:p>
    <w:p w14:paraId="1A143358" w14:textId="77777777" w:rsidR="003E14D1" w:rsidRDefault="00241611">
      <w:pPr>
        <w:pStyle w:val="TOC1"/>
        <w:rPr>
          <w:rFonts w:asciiTheme="minorHAnsi" w:eastAsiaTheme="minorEastAsia" w:hAnsiTheme="minorHAnsi" w:cstheme="minorBidi"/>
          <w:b w:val="0"/>
          <w:spacing w:val="0"/>
          <w:sz w:val="22"/>
          <w:szCs w:val="22"/>
        </w:rPr>
      </w:pPr>
      <w:hyperlink w:anchor="_Toc463862899" w:history="1">
        <w:r w:rsidR="003E14D1" w:rsidRPr="005276A9">
          <w:rPr>
            <w:rStyle w:val="Hyperlink"/>
          </w:rPr>
          <w:t>2. Draft marketing plan</w:t>
        </w:r>
        <w:r w:rsidR="003E14D1">
          <w:rPr>
            <w:webHidden/>
          </w:rPr>
          <w:tab/>
        </w:r>
        <w:r w:rsidR="003E14D1">
          <w:rPr>
            <w:webHidden/>
          </w:rPr>
          <w:fldChar w:fldCharType="begin"/>
        </w:r>
        <w:r w:rsidR="003E14D1">
          <w:rPr>
            <w:webHidden/>
          </w:rPr>
          <w:instrText xml:space="preserve"> PAGEREF _Toc463862899 \h </w:instrText>
        </w:r>
        <w:r w:rsidR="003E14D1">
          <w:rPr>
            <w:webHidden/>
          </w:rPr>
        </w:r>
        <w:r w:rsidR="003E14D1">
          <w:rPr>
            <w:webHidden/>
          </w:rPr>
          <w:fldChar w:fldCharType="separate"/>
        </w:r>
        <w:r w:rsidR="00D35C87">
          <w:rPr>
            <w:webHidden/>
          </w:rPr>
          <w:t>12</w:t>
        </w:r>
        <w:r w:rsidR="003E14D1">
          <w:rPr>
            <w:webHidden/>
          </w:rPr>
          <w:fldChar w:fldCharType="end"/>
        </w:r>
      </w:hyperlink>
    </w:p>
    <w:p w14:paraId="14028725" w14:textId="77777777" w:rsidR="003E14D1" w:rsidRDefault="00241611">
      <w:pPr>
        <w:pStyle w:val="TOC2"/>
        <w:rPr>
          <w:rFonts w:asciiTheme="minorHAnsi" w:eastAsiaTheme="minorEastAsia" w:hAnsiTheme="minorHAnsi" w:cstheme="minorBidi"/>
          <w:spacing w:val="0"/>
          <w:sz w:val="22"/>
          <w:szCs w:val="22"/>
        </w:rPr>
      </w:pPr>
      <w:hyperlink w:anchor="_Toc463862900" w:history="1">
        <w:r w:rsidR="003E14D1" w:rsidRPr="005276A9">
          <w:rPr>
            <w:rStyle w:val="Hyperlink"/>
          </w:rPr>
          <w:t>Licence commencement and duration</w:t>
        </w:r>
        <w:r w:rsidR="003E14D1">
          <w:rPr>
            <w:webHidden/>
          </w:rPr>
          <w:tab/>
        </w:r>
        <w:r w:rsidR="003E14D1">
          <w:rPr>
            <w:webHidden/>
          </w:rPr>
          <w:fldChar w:fldCharType="begin"/>
        </w:r>
        <w:r w:rsidR="003E14D1">
          <w:rPr>
            <w:webHidden/>
          </w:rPr>
          <w:instrText xml:space="preserve"> PAGEREF _Toc463862900 \h </w:instrText>
        </w:r>
        <w:r w:rsidR="003E14D1">
          <w:rPr>
            <w:webHidden/>
          </w:rPr>
        </w:r>
        <w:r w:rsidR="003E14D1">
          <w:rPr>
            <w:webHidden/>
          </w:rPr>
          <w:fldChar w:fldCharType="separate"/>
        </w:r>
        <w:r w:rsidR="00D35C87">
          <w:rPr>
            <w:webHidden/>
          </w:rPr>
          <w:t>12</w:t>
        </w:r>
        <w:r w:rsidR="003E14D1">
          <w:rPr>
            <w:webHidden/>
          </w:rPr>
          <w:fldChar w:fldCharType="end"/>
        </w:r>
      </w:hyperlink>
    </w:p>
    <w:p w14:paraId="4007578E" w14:textId="77777777" w:rsidR="003E14D1" w:rsidRDefault="00241611">
      <w:pPr>
        <w:pStyle w:val="TOC2"/>
        <w:rPr>
          <w:rFonts w:asciiTheme="minorHAnsi" w:eastAsiaTheme="minorEastAsia" w:hAnsiTheme="minorHAnsi" w:cstheme="minorBidi"/>
          <w:spacing w:val="0"/>
          <w:sz w:val="22"/>
          <w:szCs w:val="22"/>
        </w:rPr>
      </w:pPr>
      <w:hyperlink w:anchor="_Toc463862901" w:history="1">
        <w:r w:rsidR="003E14D1" w:rsidRPr="005276A9">
          <w:rPr>
            <w:rStyle w:val="Hyperlink"/>
          </w:rPr>
          <w:t>Lot configuration</w:t>
        </w:r>
        <w:r w:rsidR="003E14D1">
          <w:rPr>
            <w:webHidden/>
          </w:rPr>
          <w:tab/>
        </w:r>
        <w:r w:rsidR="003E14D1">
          <w:rPr>
            <w:webHidden/>
          </w:rPr>
          <w:fldChar w:fldCharType="begin"/>
        </w:r>
        <w:r w:rsidR="003E14D1">
          <w:rPr>
            <w:webHidden/>
          </w:rPr>
          <w:instrText xml:space="preserve"> PAGEREF _Toc463862901 \h </w:instrText>
        </w:r>
        <w:r w:rsidR="003E14D1">
          <w:rPr>
            <w:webHidden/>
          </w:rPr>
        </w:r>
        <w:r w:rsidR="003E14D1">
          <w:rPr>
            <w:webHidden/>
          </w:rPr>
          <w:fldChar w:fldCharType="separate"/>
        </w:r>
        <w:r w:rsidR="00D35C87">
          <w:rPr>
            <w:webHidden/>
          </w:rPr>
          <w:t>12</w:t>
        </w:r>
        <w:r w:rsidR="003E14D1">
          <w:rPr>
            <w:webHidden/>
          </w:rPr>
          <w:fldChar w:fldCharType="end"/>
        </w:r>
      </w:hyperlink>
    </w:p>
    <w:p w14:paraId="74B6B681" w14:textId="77777777" w:rsidR="003E14D1" w:rsidRDefault="00241611">
      <w:pPr>
        <w:pStyle w:val="TOC3"/>
        <w:rPr>
          <w:rFonts w:asciiTheme="minorHAnsi" w:eastAsiaTheme="minorEastAsia" w:hAnsiTheme="minorHAnsi" w:cstheme="minorBidi"/>
        </w:rPr>
      </w:pPr>
      <w:hyperlink w:anchor="_Toc463862902" w:history="1">
        <w:r w:rsidR="003E14D1" w:rsidRPr="005276A9">
          <w:rPr>
            <w:rStyle w:val="Hyperlink"/>
          </w:rPr>
          <w:t>Bandwidth</w:t>
        </w:r>
        <w:r w:rsidR="003E14D1">
          <w:rPr>
            <w:webHidden/>
          </w:rPr>
          <w:tab/>
        </w:r>
        <w:r w:rsidR="003E14D1">
          <w:rPr>
            <w:webHidden/>
          </w:rPr>
          <w:fldChar w:fldCharType="begin"/>
        </w:r>
        <w:r w:rsidR="003E14D1">
          <w:rPr>
            <w:webHidden/>
          </w:rPr>
          <w:instrText xml:space="preserve"> PAGEREF _Toc463862902 \h </w:instrText>
        </w:r>
        <w:r w:rsidR="003E14D1">
          <w:rPr>
            <w:webHidden/>
          </w:rPr>
        </w:r>
        <w:r w:rsidR="003E14D1">
          <w:rPr>
            <w:webHidden/>
          </w:rPr>
          <w:fldChar w:fldCharType="separate"/>
        </w:r>
        <w:r w:rsidR="00D35C87">
          <w:rPr>
            <w:webHidden/>
          </w:rPr>
          <w:t>12</w:t>
        </w:r>
        <w:r w:rsidR="003E14D1">
          <w:rPr>
            <w:webHidden/>
          </w:rPr>
          <w:fldChar w:fldCharType="end"/>
        </w:r>
      </w:hyperlink>
    </w:p>
    <w:p w14:paraId="20845D7D" w14:textId="77777777" w:rsidR="003E14D1" w:rsidRDefault="00241611">
      <w:pPr>
        <w:pStyle w:val="TOC3"/>
        <w:rPr>
          <w:rFonts w:asciiTheme="minorHAnsi" w:eastAsiaTheme="minorEastAsia" w:hAnsiTheme="minorHAnsi" w:cstheme="minorBidi"/>
        </w:rPr>
      </w:pPr>
      <w:hyperlink w:anchor="_Toc463862903" w:history="1">
        <w:r w:rsidR="003E14D1" w:rsidRPr="005276A9">
          <w:rPr>
            <w:rStyle w:val="Hyperlink"/>
          </w:rPr>
          <w:t>ACMA preferred view</w:t>
        </w:r>
        <w:r w:rsidR="003E14D1">
          <w:rPr>
            <w:webHidden/>
          </w:rPr>
          <w:tab/>
        </w:r>
        <w:r w:rsidR="003E14D1">
          <w:rPr>
            <w:webHidden/>
          </w:rPr>
          <w:fldChar w:fldCharType="begin"/>
        </w:r>
        <w:r w:rsidR="003E14D1">
          <w:rPr>
            <w:webHidden/>
          </w:rPr>
          <w:instrText xml:space="preserve"> PAGEREF _Toc463862903 \h </w:instrText>
        </w:r>
        <w:r w:rsidR="003E14D1">
          <w:rPr>
            <w:webHidden/>
          </w:rPr>
        </w:r>
        <w:r w:rsidR="003E14D1">
          <w:rPr>
            <w:webHidden/>
          </w:rPr>
          <w:fldChar w:fldCharType="separate"/>
        </w:r>
        <w:r w:rsidR="00D35C87">
          <w:rPr>
            <w:webHidden/>
          </w:rPr>
          <w:t>13</w:t>
        </w:r>
        <w:r w:rsidR="003E14D1">
          <w:rPr>
            <w:webHidden/>
          </w:rPr>
          <w:fldChar w:fldCharType="end"/>
        </w:r>
      </w:hyperlink>
    </w:p>
    <w:p w14:paraId="11034A2C" w14:textId="77777777" w:rsidR="003E14D1" w:rsidRDefault="00241611">
      <w:pPr>
        <w:pStyle w:val="TOC3"/>
        <w:rPr>
          <w:rFonts w:asciiTheme="minorHAnsi" w:eastAsiaTheme="minorEastAsia" w:hAnsiTheme="minorHAnsi" w:cstheme="minorBidi"/>
        </w:rPr>
      </w:pPr>
      <w:hyperlink w:anchor="_Toc463862904" w:history="1">
        <w:r w:rsidR="003E14D1" w:rsidRPr="005276A9">
          <w:rPr>
            <w:rStyle w:val="Hyperlink"/>
          </w:rPr>
          <w:t>Geographic areas</w:t>
        </w:r>
        <w:r w:rsidR="003E14D1">
          <w:rPr>
            <w:webHidden/>
          </w:rPr>
          <w:tab/>
        </w:r>
        <w:r w:rsidR="003E14D1">
          <w:rPr>
            <w:webHidden/>
          </w:rPr>
          <w:fldChar w:fldCharType="begin"/>
        </w:r>
        <w:r w:rsidR="003E14D1">
          <w:rPr>
            <w:webHidden/>
          </w:rPr>
          <w:instrText xml:space="preserve"> PAGEREF _Toc463862904 \h </w:instrText>
        </w:r>
        <w:r w:rsidR="003E14D1">
          <w:rPr>
            <w:webHidden/>
          </w:rPr>
        </w:r>
        <w:r w:rsidR="003E14D1">
          <w:rPr>
            <w:webHidden/>
          </w:rPr>
          <w:fldChar w:fldCharType="separate"/>
        </w:r>
        <w:r w:rsidR="00D35C87">
          <w:rPr>
            <w:webHidden/>
          </w:rPr>
          <w:t>14</w:t>
        </w:r>
        <w:r w:rsidR="003E14D1">
          <w:rPr>
            <w:webHidden/>
          </w:rPr>
          <w:fldChar w:fldCharType="end"/>
        </w:r>
      </w:hyperlink>
    </w:p>
    <w:p w14:paraId="46413195" w14:textId="77777777" w:rsidR="003E14D1" w:rsidRDefault="00241611">
      <w:pPr>
        <w:pStyle w:val="TOC3"/>
        <w:rPr>
          <w:rFonts w:asciiTheme="minorHAnsi" w:eastAsiaTheme="minorEastAsia" w:hAnsiTheme="minorHAnsi" w:cstheme="minorBidi"/>
        </w:rPr>
      </w:pPr>
      <w:hyperlink w:anchor="_Toc463862905" w:history="1">
        <w:r w:rsidR="003E14D1" w:rsidRPr="005276A9">
          <w:rPr>
            <w:rStyle w:val="Hyperlink"/>
          </w:rPr>
          <w:t>ACMA preferred view</w:t>
        </w:r>
        <w:r w:rsidR="003E14D1">
          <w:rPr>
            <w:webHidden/>
          </w:rPr>
          <w:tab/>
        </w:r>
        <w:r w:rsidR="003E14D1">
          <w:rPr>
            <w:webHidden/>
          </w:rPr>
          <w:fldChar w:fldCharType="begin"/>
        </w:r>
        <w:r w:rsidR="003E14D1">
          <w:rPr>
            <w:webHidden/>
          </w:rPr>
          <w:instrText xml:space="preserve"> PAGEREF _Toc463862905 \h </w:instrText>
        </w:r>
        <w:r w:rsidR="003E14D1">
          <w:rPr>
            <w:webHidden/>
          </w:rPr>
        </w:r>
        <w:r w:rsidR="003E14D1">
          <w:rPr>
            <w:webHidden/>
          </w:rPr>
          <w:fldChar w:fldCharType="separate"/>
        </w:r>
        <w:r w:rsidR="00D35C87">
          <w:rPr>
            <w:webHidden/>
          </w:rPr>
          <w:t>14</w:t>
        </w:r>
        <w:r w:rsidR="003E14D1">
          <w:rPr>
            <w:webHidden/>
          </w:rPr>
          <w:fldChar w:fldCharType="end"/>
        </w:r>
      </w:hyperlink>
    </w:p>
    <w:p w14:paraId="4E17F26D" w14:textId="77777777" w:rsidR="003E14D1" w:rsidRDefault="00241611">
      <w:pPr>
        <w:pStyle w:val="TOC2"/>
        <w:rPr>
          <w:rFonts w:asciiTheme="minorHAnsi" w:eastAsiaTheme="minorEastAsia" w:hAnsiTheme="minorHAnsi" w:cstheme="minorBidi"/>
          <w:spacing w:val="0"/>
          <w:sz w:val="22"/>
          <w:szCs w:val="22"/>
        </w:rPr>
      </w:pPr>
      <w:hyperlink w:anchor="_Toc463862906" w:history="1">
        <w:r w:rsidR="003E14D1" w:rsidRPr="005276A9">
          <w:rPr>
            <w:rStyle w:val="Hyperlink"/>
          </w:rPr>
          <w:t>Sample spectrum licence and licence conditions</w:t>
        </w:r>
        <w:r w:rsidR="003E14D1">
          <w:rPr>
            <w:webHidden/>
          </w:rPr>
          <w:tab/>
        </w:r>
        <w:r w:rsidR="003E14D1">
          <w:rPr>
            <w:webHidden/>
          </w:rPr>
          <w:fldChar w:fldCharType="begin"/>
        </w:r>
        <w:r w:rsidR="003E14D1">
          <w:rPr>
            <w:webHidden/>
          </w:rPr>
          <w:instrText xml:space="preserve"> PAGEREF _Toc463862906 \h </w:instrText>
        </w:r>
        <w:r w:rsidR="003E14D1">
          <w:rPr>
            <w:webHidden/>
          </w:rPr>
        </w:r>
        <w:r w:rsidR="003E14D1">
          <w:rPr>
            <w:webHidden/>
          </w:rPr>
          <w:fldChar w:fldCharType="separate"/>
        </w:r>
        <w:r w:rsidR="00D35C87">
          <w:rPr>
            <w:webHidden/>
          </w:rPr>
          <w:t>14</w:t>
        </w:r>
        <w:r w:rsidR="003E14D1">
          <w:rPr>
            <w:webHidden/>
          </w:rPr>
          <w:fldChar w:fldCharType="end"/>
        </w:r>
      </w:hyperlink>
    </w:p>
    <w:p w14:paraId="07BC1C83" w14:textId="77777777" w:rsidR="003E14D1" w:rsidRDefault="00241611">
      <w:pPr>
        <w:pStyle w:val="TOC1"/>
        <w:rPr>
          <w:rFonts w:asciiTheme="minorHAnsi" w:eastAsiaTheme="minorEastAsia" w:hAnsiTheme="minorHAnsi" w:cstheme="minorBidi"/>
          <w:b w:val="0"/>
          <w:spacing w:val="0"/>
          <w:sz w:val="22"/>
          <w:szCs w:val="22"/>
        </w:rPr>
      </w:pPr>
      <w:hyperlink w:anchor="_Toc463862907" w:history="1">
        <w:r w:rsidR="003E14D1" w:rsidRPr="005276A9">
          <w:rPr>
            <w:rStyle w:val="Hyperlink"/>
          </w:rPr>
          <w:t>3. Draft allocation determination</w:t>
        </w:r>
        <w:r w:rsidR="003E14D1">
          <w:rPr>
            <w:webHidden/>
          </w:rPr>
          <w:tab/>
        </w:r>
        <w:r w:rsidR="003E14D1">
          <w:rPr>
            <w:webHidden/>
          </w:rPr>
          <w:fldChar w:fldCharType="begin"/>
        </w:r>
        <w:r w:rsidR="003E14D1">
          <w:rPr>
            <w:webHidden/>
          </w:rPr>
          <w:instrText xml:space="preserve"> PAGEREF _Toc463862907 \h </w:instrText>
        </w:r>
        <w:r w:rsidR="003E14D1">
          <w:rPr>
            <w:webHidden/>
          </w:rPr>
        </w:r>
        <w:r w:rsidR="003E14D1">
          <w:rPr>
            <w:webHidden/>
          </w:rPr>
          <w:fldChar w:fldCharType="separate"/>
        </w:r>
        <w:r w:rsidR="00D35C87">
          <w:rPr>
            <w:webHidden/>
          </w:rPr>
          <w:t>16</w:t>
        </w:r>
        <w:r w:rsidR="003E14D1">
          <w:rPr>
            <w:webHidden/>
          </w:rPr>
          <w:fldChar w:fldCharType="end"/>
        </w:r>
      </w:hyperlink>
    </w:p>
    <w:p w14:paraId="569E8A0E" w14:textId="77777777" w:rsidR="003E14D1" w:rsidRDefault="00241611">
      <w:pPr>
        <w:pStyle w:val="TOC2"/>
        <w:rPr>
          <w:rFonts w:asciiTheme="minorHAnsi" w:eastAsiaTheme="minorEastAsia" w:hAnsiTheme="minorHAnsi" w:cstheme="minorBidi"/>
          <w:spacing w:val="0"/>
          <w:sz w:val="22"/>
          <w:szCs w:val="22"/>
        </w:rPr>
      </w:pPr>
      <w:hyperlink w:anchor="_Toc463862908" w:history="1">
        <w:r w:rsidR="003E14D1" w:rsidRPr="005276A9">
          <w:rPr>
            <w:rStyle w:val="Hyperlink"/>
          </w:rPr>
          <w:t>Allocation methodology</w:t>
        </w:r>
        <w:r w:rsidR="003E14D1">
          <w:rPr>
            <w:webHidden/>
          </w:rPr>
          <w:tab/>
        </w:r>
        <w:r w:rsidR="003E14D1">
          <w:rPr>
            <w:webHidden/>
          </w:rPr>
          <w:fldChar w:fldCharType="begin"/>
        </w:r>
        <w:r w:rsidR="003E14D1">
          <w:rPr>
            <w:webHidden/>
          </w:rPr>
          <w:instrText xml:space="preserve"> PAGEREF _Toc463862908 \h </w:instrText>
        </w:r>
        <w:r w:rsidR="003E14D1">
          <w:rPr>
            <w:webHidden/>
          </w:rPr>
        </w:r>
        <w:r w:rsidR="003E14D1">
          <w:rPr>
            <w:webHidden/>
          </w:rPr>
          <w:fldChar w:fldCharType="separate"/>
        </w:r>
        <w:r w:rsidR="00D35C87">
          <w:rPr>
            <w:webHidden/>
          </w:rPr>
          <w:t>16</w:t>
        </w:r>
        <w:r w:rsidR="003E14D1">
          <w:rPr>
            <w:webHidden/>
          </w:rPr>
          <w:fldChar w:fldCharType="end"/>
        </w:r>
      </w:hyperlink>
    </w:p>
    <w:p w14:paraId="1B232B55" w14:textId="77777777" w:rsidR="003E14D1" w:rsidRDefault="00241611">
      <w:pPr>
        <w:pStyle w:val="TOC2"/>
        <w:rPr>
          <w:rFonts w:asciiTheme="minorHAnsi" w:eastAsiaTheme="minorEastAsia" w:hAnsiTheme="minorHAnsi" w:cstheme="minorBidi"/>
          <w:spacing w:val="0"/>
          <w:sz w:val="22"/>
          <w:szCs w:val="22"/>
        </w:rPr>
      </w:pPr>
      <w:hyperlink w:anchor="_Toc463862909" w:history="1">
        <w:r w:rsidR="003E14D1" w:rsidRPr="005276A9">
          <w:rPr>
            <w:rStyle w:val="Hyperlink"/>
          </w:rPr>
          <w:t>Auction type</w:t>
        </w:r>
        <w:r w:rsidR="003E14D1">
          <w:rPr>
            <w:webHidden/>
          </w:rPr>
          <w:tab/>
        </w:r>
        <w:r w:rsidR="003E14D1">
          <w:rPr>
            <w:webHidden/>
          </w:rPr>
          <w:fldChar w:fldCharType="begin"/>
        </w:r>
        <w:r w:rsidR="003E14D1">
          <w:rPr>
            <w:webHidden/>
          </w:rPr>
          <w:instrText xml:space="preserve"> PAGEREF _Toc463862909 \h </w:instrText>
        </w:r>
        <w:r w:rsidR="003E14D1">
          <w:rPr>
            <w:webHidden/>
          </w:rPr>
        </w:r>
        <w:r w:rsidR="003E14D1">
          <w:rPr>
            <w:webHidden/>
          </w:rPr>
          <w:fldChar w:fldCharType="separate"/>
        </w:r>
        <w:r w:rsidR="00D35C87">
          <w:rPr>
            <w:webHidden/>
          </w:rPr>
          <w:t>16</w:t>
        </w:r>
        <w:r w:rsidR="003E14D1">
          <w:rPr>
            <w:webHidden/>
          </w:rPr>
          <w:fldChar w:fldCharType="end"/>
        </w:r>
      </w:hyperlink>
    </w:p>
    <w:p w14:paraId="2F42131A" w14:textId="77777777" w:rsidR="003E14D1" w:rsidRDefault="00241611">
      <w:pPr>
        <w:pStyle w:val="TOC3"/>
        <w:rPr>
          <w:rFonts w:asciiTheme="minorHAnsi" w:eastAsiaTheme="minorEastAsia" w:hAnsiTheme="minorHAnsi" w:cstheme="minorBidi"/>
        </w:rPr>
      </w:pPr>
      <w:hyperlink w:anchor="_Toc463862910" w:history="1">
        <w:r w:rsidR="003E14D1" w:rsidRPr="005276A9">
          <w:rPr>
            <w:rStyle w:val="Hyperlink"/>
          </w:rPr>
          <w:t>Open outcry auction</w:t>
        </w:r>
        <w:r w:rsidR="003E14D1">
          <w:rPr>
            <w:webHidden/>
          </w:rPr>
          <w:tab/>
        </w:r>
        <w:r w:rsidR="003E14D1">
          <w:rPr>
            <w:webHidden/>
          </w:rPr>
          <w:fldChar w:fldCharType="begin"/>
        </w:r>
        <w:r w:rsidR="003E14D1">
          <w:rPr>
            <w:webHidden/>
          </w:rPr>
          <w:instrText xml:space="preserve"> PAGEREF _Toc463862910 \h </w:instrText>
        </w:r>
        <w:r w:rsidR="003E14D1">
          <w:rPr>
            <w:webHidden/>
          </w:rPr>
        </w:r>
        <w:r w:rsidR="003E14D1">
          <w:rPr>
            <w:webHidden/>
          </w:rPr>
          <w:fldChar w:fldCharType="separate"/>
        </w:r>
        <w:r w:rsidR="00D35C87">
          <w:rPr>
            <w:webHidden/>
          </w:rPr>
          <w:t>16</w:t>
        </w:r>
        <w:r w:rsidR="003E14D1">
          <w:rPr>
            <w:webHidden/>
          </w:rPr>
          <w:fldChar w:fldCharType="end"/>
        </w:r>
      </w:hyperlink>
    </w:p>
    <w:p w14:paraId="14E3A144" w14:textId="77777777" w:rsidR="003E14D1" w:rsidRDefault="00241611">
      <w:pPr>
        <w:pStyle w:val="TOC3"/>
        <w:rPr>
          <w:rFonts w:asciiTheme="minorHAnsi" w:eastAsiaTheme="minorEastAsia" w:hAnsiTheme="minorHAnsi" w:cstheme="minorBidi"/>
        </w:rPr>
      </w:pPr>
      <w:hyperlink w:anchor="_Toc463862911" w:history="1">
        <w:r w:rsidR="003E14D1" w:rsidRPr="005276A9">
          <w:rPr>
            <w:rStyle w:val="Hyperlink"/>
          </w:rPr>
          <w:t>Simple Clock Auction</w:t>
        </w:r>
        <w:r w:rsidR="003E14D1">
          <w:rPr>
            <w:webHidden/>
          </w:rPr>
          <w:tab/>
        </w:r>
        <w:r w:rsidR="003E14D1">
          <w:rPr>
            <w:webHidden/>
          </w:rPr>
          <w:fldChar w:fldCharType="begin"/>
        </w:r>
        <w:r w:rsidR="003E14D1">
          <w:rPr>
            <w:webHidden/>
          </w:rPr>
          <w:instrText xml:space="preserve"> PAGEREF _Toc463862911 \h </w:instrText>
        </w:r>
        <w:r w:rsidR="003E14D1">
          <w:rPr>
            <w:webHidden/>
          </w:rPr>
        </w:r>
        <w:r w:rsidR="003E14D1">
          <w:rPr>
            <w:webHidden/>
          </w:rPr>
          <w:fldChar w:fldCharType="separate"/>
        </w:r>
        <w:r w:rsidR="00D35C87">
          <w:rPr>
            <w:webHidden/>
          </w:rPr>
          <w:t>17</w:t>
        </w:r>
        <w:r w:rsidR="003E14D1">
          <w:rPr>
            <w:webHidden/>
          </w:rPr>
          <w:fldChar w:fldCharType="end"/>
        </w:r>
      </w:hyperlink>
    </w:p>
    <w:p w14:paraId="7BAE78DA" w14:textId="77777777" w:rsidR="003E14D1" w:rsidRDefault="00241611">
      <w:pPr>
        <w:pStyle w:val="TOC3"/>
        <w:rPr>
          <w:rFonts w:asciiTheme="minorHAnsi" w:eastAsiaTheme="minorEastAsia" w:hAnsiTheme="minorHAnsi" w:cstheme="minorBidi"/>
        </w:rPr>
      </w:pPr>
      <w:hyperlink w:anchor="_Toc463862912" w:history="1">
        <w:r w:rsidR="003E14D1" w:rsidRPr="005276A9">
          <w:rPr>
            <w:rStyle w:val="Hyperlink"/>
          </w:rPr>
          <w:t>SMR auction</w:t>
        </w:r>
        <w:r w:rsidR="003E14D1">
          <w:rPr>
            <w:webHidden/>
          </w:rPr>
          <w:tab/>
        </w:r>
        <w:r w:rsidR="003E14D1">
          <w:rPr>
            <w:webHidden/>
          </w:rPr>
          <w:fldChar w:fldCharType="begin"/>
        </w:r>
        <w:r w:rsidR="003E14D1">
          <w:rPr>
            <w:webHidden/>
          </w:rPr>
          <w:instrText xml:space="preserve"> PAGEREF _Toc463862912 \h </w:instrText>
        </w:r>
        <w:r w:rsidR="003E14D1">
          <w:rPr>
            <w:webHidden/>
          </w:rPr>
        </w:r>
        <w:r w:rsidR="003E14D1">
          <w:rPr>
            <w:webHidden/>
          </w:rPr>
          <w:fldChar w:fldCharType="separate"/>
        </w:r>
        <w:r w:rsidR="00D35C87">
          <w:rPr>
            <w:webHidden/>
          </w:rPr>
          <w:t>18</w:t>
        </w:r>
        <w:r w:rsidR="003E14D1">
          <w:rPr>
            <w:webHidden/>
          </w:rPr>
          <w:fldChar w:fldCharType="end"/>
        </w:r>
      </w:hyperlink>
    </w:p>
    <w:p w14:paraId="6F5F4A83" w14:textId="77777777" w:rsidR="003E14D1" w:rsidRDefault="00241611">
      <w:pPr>
        <w:pStyle w:val="TOC3"/>
        <w:rPr>
          <w:rFonts w:asciiTheme="minorHAnsi" w:eastAsiaTheme="minorEastAsia" w:hAnsiTheme="minorHAnsi" w:cstheme="minorBidi"/>
        </w:rPr>
      </w:pPr>
      <w:hyperlink w:anchor="_Toc463862913" w:history="1">
        <w:r w:rsidR="003E14D1" w:rsidRPr="005276A9">
          <w:rPr>
            <w:rStyle w:val="Hyperlink"/>
          </w:rPr>
          <w:t>Combinatorial clock auction</w:t>
        </w:r>
        <w:r w:rsidR="003E14D1">
          <w:rPr>
            <w:webHidden/>
          </w:rPr>
          <w:tab/>
        </w:r>
        <w:r w:rsidR="003E14D1">
          <w:rPr>
            <w:webHidden/>
          </w:rPr>
          <w:fldChar w:fldCharType="begin"/>
        </w:r>
        <w:r w:rsidR="003E14D1">
          <w:rPr>
            <w:webHidden/>
          </w:rPr>
          <w:instrText xml:space="preserve"> PAGEREF _Toc463862913 \h </w:instrText>
        </w:r>
        <w:r w:rsidR="003E14D1">
          <w:rPr>
            <w:webHidden/>
          </w:rPr>
        </w:r>
        <w:r w:rsidR="003E14D1">
          <w:rPr>
            <w:webHidden/>
          </w:rPr>
          <w:fldChar w:fldCharType="separate"/>
        </w:r>
        <w:r w:rsidR="00D35C87">
          <w:rPr>
            <w:webHidden/>
          </w:rPr>
          <w:t>18</w:t>
        </w:r>
        <w:r w:rsidR="003E14D1">
          <w:rPr>
            <w:webHidden/>
          </w:rPr>
          <w:fldChar w:fldCharType="end"/>
        </w:r>
      </w:hyperlink>
    </w:p>
    <w:p w14:paraId="35BA8597" w14:textId="77777777" w:rsidR="003E14D1" w:rsidRDefault="00241611">
      <w:pPr>
        <w:pStyle w:val="TOC3"/>
        <w:rPr>
          <w:rFonts w:asciiTheme="minorHAnsi" w:eastAsiaTheme="minorEastAsia" w:hAnsiTheme="minorHAnsi" w:cstheme="minorBidi"/>
        </w:rPr>
      </w:pPr>
      <w:hyperlink w:anchor="_Toc463862914" w:history="1">
        <w:r w:rsidR="003E14D1" w:rsidRPr="005276A9">
          <w:rPr>
            <w:rStyle w:val="Hyperlink"/>
          </w:rPr>
          <w:t>The ACMA’s preferred view</w:t>
        </w:r>
        <w:r w:rsidR="003E14D1">
          <w:rPr>
            <w:webHidden/>
          </w:rPr>
          <w:tab/>
        </w:r>
        <w:r w:rsidR="003E14D1">
          <w:rPr>
            <w:webHidden/>
          </w:rPr>
          <w:fldChar w:fldCharType="begin"/>
        </w:r>
        <w:r w:rsidR="003E14D1">
          <w:rPr>
            <w:webHidden/>
          </w:rPr>
          <w:instrText xml:space="preserve"> PAGEREF _Toc463862914 \h </w:instrText>
        </w:r>
        <w:r w:rsidR="003E14D1">
          <w:rPr>
            <w:webHidden/>
          </w:rPr>
        </w:r>
        <w:r w:rsidR="003E14D1">
          <w:rPr>
            <w:webHidden/>
          </w:rPr>
          <w:fldChar w:fldCharType="separate"/>
        </w:r>
        <w:r w:rsidR="00D35C87">
          <w:rPr>
            <w:webHidden/>
          </w:rPr>
          <w:t>19</w:t>
        </w:r>
        <w:r w:rsidR="003E14D1">
          <w:rPr>
            <w:webHidden/>
          </w:rPr>
          <w:fldChar w:fldCharType="end"/>
        </w:r>
      </w:hyperlink>
    </w:p>
    <w:p w14:paraId="4FA3D163" w14:textId="77777777" w:rsidR="003E14D1" w:rsidRDefault="00241611">
      <w:pPr>
        <w:pStyle w:val="TOC2"/>
        <w:rPr>
          <w:rFonts w:asciiTheme="minorHAnsi" w:eastAsiaTheme="minorEastAsia" w:hAnsiTheme="minorHAnsi" w:cstheme="minorBidi"/>
          <w:spacing w:val="0"/>
          <w:sz w:val="22"/>
          <w:szCs w:val="22"/>
        </w:rPr>
      </w:pPr>
      <w:hyperlink w:anchor="_Toc463862915" w:history="1">
        <w:r w:rsidR="003E14D1" w:rsidRPr="005276A9">
          <w:rPr>
            <w:rStyle w:val="Hyperlink"/>
          </w:rPr>
          <w:t>Application and registration process</w:t>
        </w:r>
        <w:r w:rsidR="003E14D1">
          <w:rPr>
            <w:webHidden/>
          </w:rPr>
          <w:tab/>
        </w:r>
        <w:r w:rsidR="003E14D1">
          <w:rPr>
            <w:webHidden/>
          </w:rPr>
          <w:fldChar w:fldCharType="begin"/>
        </w:r>
        <w:r w:rsidR="003E14D1">
          <w:rPr>
            <w:webHidden/>
          </w:rPr>
          <w:instrText xml:space="preserve"> PAGEREF _Toc463862915 \h </w:instrText>
        </w:r>
        <w:r w:rsidR="003E14D1">
          <w:rPr>
            <w:webHidden/>
          </w:rPr>
        </w:r>
        <w:r w:rsidR="003E14D1">
          <w:rPr>
            <w:webHidden/>
          </w:rPr>
          <w:fldChar w:fldCharType="separate"/>
        </w:r>
        <w:r w:rsidR="00D35C87">
          <w:rPr>
            <w:webHidden/>
          </w:rPr>
          <w:t>19</w:t>
        </w:r>
        <w:r w:rsidR="003E14D1">
          <w:rPr>
            <w:webHidden/>
          </w:rPr>
          <w:fldChar w:fldCharType="end"/>
        </w:r>
      </w:hyperlink>
    </w:p>
    <w:p w14:paraId="5AA4B381" w14:textId="77777777" w:rsidR="003E14D1" w:rsidRDefault="00241611">
      <w:pPr>
        <w:pStyle w:val="TOC2"/>
        <w:rPr>
          <w:rFonts w:asciiTheme="minorHAnsi" w:eastAsiaTheme="minorEastAsia" w:hAnsiTheme="minorHAnsi" w:cstheme="minorBidi"/>
          <w:spacing w:val="0"/>
          <w:sz w:val="22"/>
          <w:szCs w:val="22"/>
        </w:rPr>
      </w:pPr>
      <w:hyperlink w:anchor="_Toc463862916" w:history="1">
        <w:r w:rsidR="003E14D1" w:rsidRPr="005276A9">
          <w:rPr>
            <w:rStyle w:val="Hyperlink"/>
          </w:rPr>
          <w:t>Starting prices</w:t>
        </w:r>
        <w:r w:rsidR="003E14D1">
          <w:rPr>
            <w:webHidden/>
          </w:rPr>
          <w:tab/>
        </w:r>
        <w:r w:rsidR="003E14D1">
          <w:rPr>
            <w:webHidden/>
          </w:rPr>
          <w:fldChar w:fldCharType="begin"/>
        </w:r>
        <w:r w:rsidR="003E14D1">
          <w:rPr>
            <w:webHidden/>
          </w:rPr>
          <w:instrText xml:space="preserve"> PAGEREF _Toc463862916 \h </w:instrText>
        </w:r>
        <w:r w:rsidR="003E14D1">
          <w:rPr>
            <w:webHidden/>
          </w:rPr>
        </w:r>
        <w:r w:rsidR="003E14D1">
          <w:rPr>
            <w:webHidden/>
          </w:rPr>
          <w:fldChar w:fldCharType="separate"/>
        </w:r>
        <w:r w:rsidR="00D35C87">
          <w:rPr>
            <w:webHidden/>
          </w:rPr>
          <w:t>20</w:t>
        </w:r>
        <w:r w:rsidR="003E14D1">
          <w:rPr>
            <w:webHidden/>
          </w:rPr>
          <w:fldChar w:fldCharType="end"/>
        </w:r>
      </w:hyperlink>
    </w:p>
    <w:p w14:paraId="7B875552" w14:textId="77777777" w:rsidR="003E14D1" w:rsidRDefault="00241611">
      <w:pPr>
        <w:pStyle w:val="TOC2"/>
        <w:rPr>
          <w:rFonts w:asciiTheme="minorHAnsi" w:eastAsiaTheme="minorEastAsia" w:hAnsiTheme="minorHAnsi" w:cstheme="minorBidi"/>
          <w:spacing w:val="0"/>
          <w:sz w:val="22"/>
          <w:szCs w:val="22"/>
        </w:rPr>
      </w:pPr>
      <w:hyperlink w:anchor="_Toc463862917" w:history="1">
        <w:r w:rsidR="003E14D1" w:rsidRPr="005276A9">
          <w:rPr>
            <w:rStyle w:val="Hyperlink"/>
          </w:rPr>
          <w:t>Competition limits</w:t>
        </w:r>
        <w:r w:rsidR="003E14D1">
          <w:rPr>
            <w:webHidden/>
          </w:rPr>
          <w:tab/>
        </w:r>
        <w:r w:rsidR="003E14D1">
          <w:rPr>
            <w:webHidden/>
          </w:rPr>
          <w:fldChar w:fldCharType="begin"/>
        </w:r>
        <w:r w:rsidR="003E14D1">
          <w:rPr>
            <w:webHidden/>
          </w:rPr>
          <w:instrText xml:space="preserve"> PAGEREF _Toc463862917 \h </w:instrText>
        </w:r>
        <w:r w:rsidR="003E14D1">
          <w:rPr>
            <w:webHidden/>
          </w:rPr>
        </w:r>
        <w:r w:rsidR="003E14D1">
          <w:rPr>
            <w:webHidden/>
          </w:rPr>
          <w:fldChar w:fldCharType="separate"/>
        </w:r>
        <w:r w:rsidR="00D35C87">
          <w:rPr>
            <w:webHidden/>
          </w:rPr>
          <w:t>20</w:t>
        </w:r>
        <w:r w:rsidR="003E14D1">
          <w:rPr>
            <w:webHidden/>
          </w:rPr>
          <w:fldChar w:fldCharType="end"/>
        </w:r>
      </w:hyperlink>
    </w:p>
    <w:p w14:paraId="11E1157D" w14:textId="77777777" w:rsidR="003E14D1" w:rsidRDefault="00241611">
      <w:pPr>
        <w:pStyle w:val="TOC2"/>
        <w:rPr>
          <w:rFonts w:asciiTheme="minorHAnsi" w:eastAsiaTheme="minorEastAsia" w:hAnsiTheme="minorHAnsi" w:cstheme="minorBidi"/>
          <w:spacing w:val="0"/>
          <w:sz w:val="22"/>
          <w:szCs w:val="22"/>
        </w:rPr>
      </w:pPr>
      <w:hyperlink w:anchor="_Toc463862918" w:history="1">
        <w:r w:rsidR="003E14D1" w:rsidRPr="005276A9">
          <w:rPr>
            <w:rStyle w:val="Hyperlink"/>
          </w:rPr>
          <w:t>Affiliated applicants</w:t>
        </w:r>
        <w:r w:rsidR="003E14D1">
          <w:rPr>
            <w:webHidden/>
          </w:rPr>
          <w:tab/>
        </w:r>
        <w:r w:rsidR="003E14D1">
          <w:rPr>
            <w:webHidden/>
          </w:rPr>
          <w:fldChar w:fldCharType="begin"/>
        </w:r>
        <w:r w:rsidR="003E14D1">
          <w:rPr>
            <w:webHidden/>
          </w:rPr>
          <w:instrText xml:space="preserve"> PAGEREF _Toc463862918 \h </w:instrText>
        </w:r>
        <w:r w:rsidR="003E14D1">
          <w:rPr>
            <w:webHidden/>
          </w:rPr>
        </w:r>
        <w:r w:rsidR="003E14D1">
          <w:rPr>
            <w:webHidden/>
          </w:rPr>
          <w:fldChar w:fldCharType="separate"/>
        </w:r>
        <w:r w:rsidR="00D35C87">
          <w:rPr>
            <w:webHidden/>
          </w:rPr>
          <w:t>20</w:t>
        </w:r>
        <w:r w:rsidR="003E14D1">
          <w:rPr>
            <w:webHidden/>
          </w:rPr>
          <w:fldChar w:fldCharType="end"/>
        </w:r>
      </w:hyperlink>
    </w:p>
    <w:p w14:paraId="03022911" w14:textId="77777777" w:rsidR="003E14D1" w:rsidRDefault="00241611">
      <w:pPr>
        <w:pStyle w:val="TOC2"/>
        <w:rPr>
          <w:rFonts w:asciiTheme="minorHAnsi" w:eastAsiaTheme="minorEastAsia" w:hAnsiTheme="minorHAnsi" w:cstheme="minorBidi"/>
          <w:spacing w:val="0"/>
          <w:sz w:val="22"/>
          <w:szCs w:val="22"/>
        </w:rPr>
      </w:pPr>
      <w:hyperlink w:anchor="_Toc463862919" w:history="1">
        <w:r w:rsidR="003E14D1" w:rsidRPr="005276A9">
          <w:rPr>
            <w:rStyle w:val="Hyperlink"/>
          </w:rPr>
          <w:t>Payment terms</w:t>
        </w:r>
        <w:r w:rsidR="003E14D1">
          <w:rPr>
            <w:webHidden/>
          </w:rPr>
          <w:tab/>
        </w:r>
        <w:r w:rsidR="003E14D1">
          <w:rPr>
            <w:webHidden/>
          </w:rPr>
          <w:fldChar w:fldCharType="begin"/>
        </w:r>
        <w:r w:rsidR="003E14D1">
          <w:rPr>
            <w:webHidden/>
          </w:rPr>
          <w:instrText xml:space="preserve"> PAGEREF _Toc463862919 \h </w:instrText>
        </w:r>
        <w:r w:rsidR="003E14D1">
          <w:rPr>
            <w:webHidden/>
          </w:rPr>
        </w:r>
        <w:r w:rsidR="003E14D1">
          <w:rPr>
            <w:webHidden/>
          </w:rPr>
          <w:fldChar w:fldCharType="separate"/>
        </w:r>
        <w:r w:rsidR="00D35C87">
          <w:rPr>
            <w:webHidden/>
          </w:rPr>
          <w:t>21</w:t>
        </w:r>
        <w:r w:rsidR="003E14D1">
          <w:rPr>
            <w:webHidden/>
          </w:rPr>
          <w:fldChar w:fldCharType="end"/>
        </w:r>
      </w:hyperlink>
    </w:p>
    <w:p w14:paraId="04EE1DB0" w14:textId="77777777" w:rsidR="003E14D1" w:rsidRDefault="00241611">
      <w:pPr>
        <w:pStyle w:val="TOC3"/>
        <w:rPr>
          <w:rFonts w:asciiTheme="minorHAnsi" w:eastAsiaTheme="minorEastAsia" w:hAnsiTheme="minorHAnsi" w:cstheme="minorBidi"/>
        </w:rPr>
      </w:pPr>
      <w:hyperlink w:anchor="_Toc463862920" w:history="1">
        <w:r w:rsidR="003E14D1" w:rsidRPr="005276A9">
          <w:rPr>
            <w:rStyle w:val="Hyperlink"/>
          </w:rPr>
          <w:t>Upfront payment</w:t>
        </w:r>
        <w:r w:rsidR="003E14D1">
          <w:rPr>
            <w:webHidden/>
          </w:rPr>
          <w:tab/>
        </w:r>
        <w:r w:rsidR="003E14D1">
          <w:rPr>
            <w:webHidden/>
          </w:rPr>
          <w:fldChar w:fldCharType="begin"/>
        </w:r>
        <w:r w:rsidR="003E14D1">
          <w:rPr>
            <w:webHidden/>
          </w:rPr>
          <w:instrText xml:space="preserve"> PAGEREF _Toc463862920 \h </w:instrText>
        </w:r>
        <w:r w:rsidR="003E14D1">
          <w:rPr>
            <w:webHidden/>
          </w:rPr>
        </w:r>
        <w:r w:rsidR="003E14D1">
          <w:rPr>
            <w:webHidden/>
          </w:rPr>
          <w:fldChar w:fldCharType="separate"/>
        </w:r>
        <w:r w:rsidR="00D35C87">
          <w:rPr>
            <w:webHidden/>
          </w:rPr>
          <w:t>22</w:t>
        </w:r>
        <w:r w:rsidR="003E14D1">
          <w:rPr>
            <w:webHidden/>
          </w:rPr>
          <w:fldChar w:fldCharType="end"/>
        </w:r>
      </w:hyperlink>
    </w:p>
    <w:p w14:paraId="3DF5985F" w14:textId="77777777" w:rsidR="003E14D1" w:rsidRDefault="00241611">
      <w:pPr>
        <w:pStyle w:val="TOC3"/>
        <w:rPr>
          <w:rFonts w:asciiTheme="minorHAnsi" w:eastAsiaTheme="minorEastAsia" w:hAnsiTheme="minorHAnsi" w:cstheme="minorBidi"/>
        </w:rPr>
      </w:pPr>
      <w:hyperlink w:anchor="_Toc463862921" w:history="1">
        <w:r w:rsidR="003E14D1" w:rsidRPr="005276A9">
          <w:rPr>
            <w:rStyle w:val="Hyperlink"/>
          </w:rPr>
          <w:t>Delayed payment</w:t>
        </w:r>
        <w:r w:rsidR="003E14D1">
          <w:rPr>
            <w:webHidden/>
          </w:rPr>
          <w:tab/>
        </w:r>
        <w:r w:rsidR="003E14D1">
          <w:rPr>
            <w:webHidden/>
          </w:rPr>
          <w:fldChar w:fldCharType="begin"/>
        </w:r>
        <w:r w:rsidR="003E14D1">
          <w:rPr>
            <w:webHidden/>
          </w:rPr>
          <w:instrText xml:space="preserve"> PAGEREF _Toc463862921 \h </w:instrText>
        </w:r>
        <w:r w:rsidR="003E14D1">
          <w:rPr>
            <w:webHidden/>
          </w:rPr>
        </w:r>
        <w:r w:rsidR="003E14D1">
          <w:rPr>
            <w:webHidden/>
          </w:rPr>
          <w:fldChar w:fldCharType="separate"/>
        </w:r>
        <w:r w:rsidR="00D35C87">
          <w:rPr>
            <w:webHidden/>
          </w:rPr>
          <w:t>22</w:t>
        </w:r>
        <w:r w:rsidR="003E14D1">
          <w:rPr>
            <w:webHidden/>
          </w:rPr>
          <w:fldChar w:fldCharType="end"/>
        </w:r>
      </w:hyperlink>
    </w:p>
    <w:p w14:paraId="11E33E29" w14:textId="77777777" w:rsidR="003E14D1" w:rsidRDefault="00241611">
      <w:pPr>
        <w:pStyle w:val="TOC3"/>
        <w:rPr>
          <w:rFonts w:asciiTheme="minorHAnsi" w:eastAsiaTheme="minorEastAsia" w:hAnsiTheme="minorHAnsi" w:cstheme="minorBidi"/>
        </w:rPr>
      </w:pPr>
      <w:hyperlink w:anchor="_Toc463862922" w:history="1">
        <w:r w:rsidR="003E14D1" w:rsidRPr="005276A9">
          <w:rPr>
            <w:rStyle w:val="Hyperlink"/>
          </w:rPr>
          <w:t>Security for delayed payment</w:t>
        </w:r>
        <w:r w:rsidR="003E14D1">
          <w:rPr>
            <w:webHidden/>
          </w:rPr>
          <w:tab/>
        </w:r>
        <w:r w:rsidR="003E14D1">
          <w:rPr>
            <w:webHidden/>
          </w:rPr>
          <w:fldChar w:fldCharType="begin"/>
        </w:r>
        <w:r w:rsidR="003E14D1">
          <w:rPr>
            <w:webHidden/>
          </w:rPr>
          <w:instrText xml:space="preserve"> PAGEREF _Toc463862922 \h </w:instrText>
        </w:r>
        <w:r w:rsidR="003E14D1">
          <w:rPr>
            <w:webHidden/>
          </w:rPr>
        </w:r>
        <w:r w:rsidR="003E14D1">
          <w:rPr>
            <w:webHidden/>
          </w:rPr>
          <w:fldChar w:fldCharType="separate"/>
        </w:r>
        <w:r w:rsidR="00D35C87">
          <w:rPr>
            <w:webHidden/>
          </w:rPr>
          <w:t>23</w:t>
        </w:r>
        <w:r w:rsidR="003E14D1">
          <w:rPr>
            <w:webHidden/>
          </w:rPr>
          <w:fldChar w:fldCharType="end"/>
        </w:r>
      </w:hyperlink>
    </w:p>
    <w:p w14:paraId="55D4644A" w14:textId="77777777" w:rsidR="003E14D1" w:rsidRDefault="00241611">
      <w:pPr>
        <w:pStyle w:val="TOC1"/>
        <w:rPr>
          <w:rFonts w:asciiTheme="minorHAnsi" w:eastAsiaTheme="minorEastAsia" w:hAnsiTheme="minorHAnsi" w:cstheme="minorBidi"/>
          <w:b w:val="0"/>
          <w:spacing w:val="0"/>
          <w:sz w:val="22"/>
          <w:szCs w:val="22"/>
        </w:rPr>
      </w:pPr>
      <w:hyperlink w:anchor="_Toc463862923" w:history="1">
        <w:r w:rsidR="003E14D1" w:rsidRPr="005276A9">
          <w:rPr>
            <w:rStyle w:val="Hyperlink"/>
          </w:rPr>
          <w:t>Invitation to comment</w:t>
        </w:r>
        <w:r w:rsidR="003E14D1">
          <w:rPr>
            <w:webHidden/>
          </w:rPr>
          <w:tab/>
        </w:r>
        <w:r w:rsidR="003E14D1">
          <w:rPr>
            <w:webHidden/>
          </w:rPr>
          <w:fldChar w:fldCharType="begin"/>
        </w:r>
        <w:r w:rsidR="003E14D1">
          <w:rPr>
            <w:webHidden/>
          </w:rPr>
          <w:instrText xml:space="preserve"> PAGEREF _Toc463862923 \h </w:instrText>
        </w:r>
        <w:r w:rsidR="003E14D1">
          <w:rPr>
            <w:webHidden/>
          </w:rPr>
        </w:r>
        <w:r w:rsidR="003E14D1">
          <w:rPr>
            <w:webHidden/>
          </w:rPr>
          <w:fldChar w:fldCharType="separate"/>
        </w:r>
        <w:r w:rsidR="00D35C87">
          <w:rPr>
            <w:webHidden/>
          </w:rPr>
          <w:t>24</w:t>
        </w:r>
        <w:r w:rsidR="003E14D1">
          <w:rPr>
            <w:webHidden/>
          </w:rPr>
          <w:fldChar w:fldCharType="end"/>
        </w:r>
      </w:hyperlink>
    </w:p>
    <w:p w14:paraId="501849F7" w14:textId="77777777" w:rsidR="003E14D1" w:rsidRDefault="00241611">
      <w:pPr>
        <w:pStyle w:val="TOC2"/>
        <w:rPr>
          <w:rFonts w:asciiTheme="minorHAnsi" w:eastAsiaTheme="minorEastAsia" w:hAnsiTheme="minorHAnsi" w:cstheme="minorBidi"/>
          <w:spacing w:val="0"/>
          <w:sz w:val="22"/>
          <w:szCs w:val="22"/>
        </w:rPr>
      </w:pPr>
      <w:hyperlink w:anchor="_Toc463862924" w:history="1">
        <w:r w:rsidR="003E14D1" w:rsidRPr="005276A9">
          <w:rPr>
            <w:rStyle w:val="Hyperlink"/>
          </w:rPr>
          <w:t>Making a submission</w:t>
        </w:r>
        <w:r w:rsidR="003E14D1">
          <w:rPr>
            <w:webHidden/>
          </w:rPr>
          <w:tab/>
        </w:r>
        <w:r w:rsidR="003E14D1">
          <w:rPr>
            <w:webHidden/>
          </w:rPr>
          <w:fldChar w:fldCharType="begin"/>
        </w:r>
        <w:r w:rsidR="003E14D1">
          <w:rPr>
            <w:webHidden/>
          </w:rPr>
          <w:instrText xml:space="preserve"> PAGEREF _Toc463862924 \h </w:instrText>
        </w:r>
        <w:r w:rsidR="003E14D1">
          <w:rPr>
            <w:webHidden/>
          </w:rPr>
        </w:r>
        <w:r w:rsidR="003E14D1">
          <w:rPr>
            <w:webHidden/>
          </w:rPr>
          <w:fldChar w:fldCharType="separate"/>
        </w:r>
        <w:r w:rsidR="00D35C87">
          <w:rPr>
            <w:webHidden/>
          </w:rPr>
          <w:t>24</w:t>
        </w:r>
        <w:r w:rsidR="003E14D1">
          <w:rPr>
            <w:webHidden/>
          </w:rPr>
          <w:fldChar w:fldCharType="end"/>
        </w:r>
      </w:hyperlink>
    </w:p>
    <w:p w14:paraId="4EDA75D3" w14:textId="77777777" w:rsidR="000A4A51" w:rsidRPr="000D76E0" w:rsidRDefault="003F0222">
      <w:pPr>
        <w:rPr>
          <w:rFonts w:cs="Arial"/>
        </w:rPr>
      </w:pPr>
      <w:r>
        <w:rPr>
          <w:rFonts w:cs="Arial"/>
          <w:noProof/>
          <w:spacing w:val="-14"/>
          <w:sz w:val="28"/>
        </w:rPr>
        <w:fldChar w:fldCharType="end"/>
      </w:r>
    </w:p>
    <w:p w14:paraId="2DE70B7A" w14:textId="77777777" w:rsidR="004D56FF" w:rsidRPr="000D76E0" w:rsidRDefault="004D56FF">
      <w:pPr>
        <w:rPr>
          <w:rFonts w:cs="Arial"/>
        </w:rPr>
        <w:sectPr w:rsidR="004D56FF" w:rsidRPr="000D76E0" w:rsidSect="00C77380">
          <w:headerReference w:type="even" r:id="rId23"/>
          <w:headerReference w:type="default" r:id="rId24"/>
          <w:footerReference w:type="even" r:id="rId25"/>
          <w:footerReference w:type="default" r:id="rId26"/>
          <w:footerReference w:type="first" r:id="rId27"/>
          <w:pgSz w:w="11906" w:h="16838" w:code="9"/>
          <w:pgMar w:top="3646" w:right="3101" w:bottom="1134" w:left="1134" w:header="709" w:footer="119" w:gutter="0"/>
          <w:cols w:space="708"/>
          <w:titlePg/>
          <w:docGrid w:linePitch="360"/>
        </w:sectPr>
      </w:pPr>
    </w:p>
    <w:p w14:paraId="13B00969" w14:textId="77777777" w:rsidR="009D6C71" w:rsidRPr="009174F3" w:rsidRDefault="009D6C71" w:rsidP="009174F3">
      <w:pPr>
        <w:pStyle w:val="ACMAExecSummaryHeading"/>
      </w:pPr>
      <w:bookmarkStart w:id="1" w:name="_Toc459210797"/>
      <w:bookmarkStart w:id="2" w:name="_Toc461025801"/>
      <w:bookmarkStart w:id="3" w:name="_Toc463862883"/>
      <w:r w:rsidRPr="009174F3">
        <w:t>Executive summary</w:t>
      </w:r>
      <w:bookmarkEnd w:id="1"/>
      <w:bookmarkEnd w:id="2"/>
      <w:bookmarkEnd w:id="3"/>
    </w:p>
    <w:p w14:paraId="6365BC90" w14:textId="77777777" w:rsidR="000072DE" w:rsidRPr="00806096" w:rsidRDefault="000072DE" w:rsidP="000072DE">
      <w:pPr>
        <w:spacing w:before="240"/>
        <w:rPr>
          <w:rFonts w:cs="Arial"/>
        </w:rPr>
      </w:pPr>
      <w:r w:rsidRPr="00806096">
        <w:rPr>
          <w:rFonts w:cs="Arial"/>
        </w:rPr>
        <w:t>On 1 November 2011, the</w:t>
      </w:r>
      <w:r>
        <w:rPr>
          <w:rFonts w:cs="Arial"/>
        </w:rPr>
        <w:t xml:space="preserve"> then</w:t>
      </w:r>
      <w:r w:rsidRPr="00806096">
        <w:rPr>
          <w:rFonts w:cs="Arial"/>
        </w:rPr>
        <w:t xml:space="preserve"> Minister for Broadband, Communications and the Digital Economy, having considered recommendations made by the </w:t>
      </w:r>
      <w:r>
        <w:rPr>
          <w:rFonts w:cs="Arial"/>
        </w:rPr>
        <w:t>Australian Communications and Media Authority (</w:t>
      </w:r>
      <w:r w:rsidRPr="00625FEF">
        <w:rPr>
          <w:rFonts w:cs="Arial"/>
        </w:rPr>
        <w:t>the ACMA</w:t>
      </w:r>
      <w:r>
        <w:rPr>
          <w:rFonts w:cs="Arial"/>
        </w:rPr>
        <w:t>)</w:t>
      </w:r>
      <w:r w:rsidRPr="00806096">
        <w:rPr>
          <w:rFonts w:cs="Arial"/>
        </w:rPr>
        <w:t xml:space="preserve">, made </w:t>
      </w:r>
      <w:r>
        <w:rPr>
          <w:rFonts w:cs="Arial"/>
        </w:rPr>
        <w:t xml:space="preserve">the </w:t>
      </w:r>
      <w:r w:rsidRPr="00625FEF">
        <w:rPr>
          <w:rFonts w:cs="Arial"/>
        </w:rPr>
        <w:t>Radiocommunications (Spectrum Re-allocation) Declaration No.1 of 2011</w:t>
      </w:r>
      <w:r>
        <w:rPr>
          <w:rFonts w:cs="Arial"/>
        </w:rPr>
        <w:t xml:space="preserve"> (</w:t>
      </w:r>
      <w:r w:rsidRPr="00625FEF">
        <w:rPr>
          <w:rFonts w:cs="Arial"/>
        </w:rPr>
        <w:t>the reallocation declaration</w:t>
      </w:r>
      <w:r>
        <w:rPr>
          <w:rFonts w:cs="Arial"/>
        </w:rPr>
        <w:t>). The reallocation declaration</w:t>
      </w:r>
      <w:r w:rsidRPr="00806096">
        <w:rPr>
          <w:rFonts w:cs="Arial"/>
        </w:rPr>
        <w:t xml:space="preserve"> provided that</w:t>
      </w:r>
      <w:r>
        <w:rPr>
          <w:rFonts w:cs="Arial"/>
        </w:rPr>
        <w:t xml:space="preserve"> 2</w:t>
      </w:r>
      <w:r w:rsidR="00F92CD2">
        <w:rPr>
          <w:rFonts w:cs="Arial"/>
        </w:rPr>
        <w:t xml:space="preserve"> </w:t>
      </w:r>
      <w:r>
        <w:rPr>
          <w:rFonts w:cs="Arial"/>
        </w:rPr>
        <w:t>x</w:t>
      </w:r>
      <w:r w:rsidR="00F92CD2">
        <w:rPr>
          <w:rFonts w:cs="Arial"/>
        </w:rPr>
        <w:t xml:space="preserve"> </w:t>
      </w:r>
      <w:r>
        <w:rPr>
          <w:rFonts w:cs="Arial"/>
        </w:rPr>
        <w:t>45 MHz of spectrum</w:t>
      </w:r>
      <w:r w:rsidRPr="00806096">
        <w:rPr>
          <w:rFonts w:cs="Arial"/>
        </w:rPr>
        <w:t xml:space="preserve"> </w:t>
      </w:r>
      <w:r>
        <w:rPr>
          <w:rFonts w:cs="Arial"/>
        </w:rPr>
        <w:t>(</w:t>
      </w:r>
      <w:r w:rsidRPr="00806096">
        <w:rPr>
          <w:rFonts w:cs="Arial"/>
        </w:rPr>
        <w:t>703–748 and</w:t>
      </w:r>
      <w:r>
        <w:rPr>
          <w:rFonts w:cs="Arial"/>
        </w:rPr>
        <w:t xml:space="preserve"> </w:t>
      </w:r>
      <w:r w:rsidRPr="00806096">
        <w:rPr>
          <w:rFonts w:cs="Arial"/>
        </w:rPr>
        <w:t>7</w:t>
      </w:r>
      <w:r>
        <w:rPr>
          <w:rFonts w:cs="Arial"/>
        </w:rPr>
        <w:t>58–803 MHz (</w:t>
      </w:r>
      <w:r w:rsidRPr="00625FEF">
        <w:rPr>
          <w:rFonts w:cs="Arial"/>
        </w:rPr>
        <w:t>the declared spectrum</w:t>
      </w:r>
      <w:r>
        <w:rPr>
          <w:rFonts w:cs="Arial"/>
        </w:rPr>
        <w:t xml:space="preserve">)) in the 700 MHz band was to </w:t>
      </w:r>
      <w:r w:rsidRPr="00806096">
        <w:rPr>
          <w:rFonts w:cs="Arial"/>
        </w:rPr>
        <w:t xml:space="preserve">be </w:t>
      </w:r>
      <w:r>
        <w:rPr>
          <w:rFonts w:cs="Arial"/>
        </w:rPr>
        <w:t xml:space="preserve">subject to </w:t>
      </w:r>
      <w:r w:rsidRPr="00806096">
        <w:rPr>
          <w:rFonts w:cs="Arial"/>
        </w:rPr>
        <w:t>re</w:t>
      </w:r>
      <w:r>
        <w:rPr>
          <w:rFonts w:cs="Arial"/>
        </w:rPr>
        <w:t>-</w:t>
      </w:r>
      <w:r w:rsidRPr="00806096">
        <w:rPr>
          <w:rFonts w:cs="Arial"/>
        </w:rPr>
        <w:t>allocat</w:t>
      </w:r>
      <w:r>
        <w:rPr>
          <w:rFonts w:cs="Arial"/>
        </w:rPr>
        <w:t>ion by</w:t>
      </w:r>
      <w:r w:rsidRPr="00806096">
        <w:rPr>
          <w:rFonts w:cs="Arial"/>
        </w:rPr>
        <w:t xml:space="preserve"> issuing spectrum licences. </w:t>
      </w:r>
    </w:p>
    <w:p w14:paraId="50FFBBB9" w14:textId="77777777" w:rsidR="004A12CB" w:rsidRDefault="00BF2BAD" w:rsidP="009D7C23">
      <w:pPr>
        <w:spacing w:before="240"/>
        <w:rPr>
          <w:rFonts w:cs="Arial"/>
        </w:rPr>
      </w:pPr>
      <w:r>
        <w:rPr>
          <w:rFonts w:cs="Arial"/>
        </w:rPr>
        <w:t>Subsequently</w:t>
      </w:r>
      <w:r w:rsidR="00E77297">
        <w:rPr>
          <w:rFonts w:cs="Arial"/>
        </w:rPr>
        <w:t>,</w:t>
      </w:r>
      <w:r w:rsidR="00E26CBE">
        <w:rPr>
          <w:rFonts w:cs="Arial"/>
        </w:rPr>
        <w:t xml:space="preserve"> following comprehensive consultation and various pre-auction processes,</w:t>
      </w:r>
      <w:r w:rsidR="00E77297">
        <w:rPr>
          <w:rFonts w:cs="Arial"/>
        </w:rPr>
        <w:t xml:space="preserve"> </w:t>
      </w:r>
      <w:r w:rsidR="00E13611">
        <w:rPr>
          <w:rFonts w:cs="Arial"/>
        </w:rPr>
        <w:t xml:space="preserve">the ACMA offered the declared spectrum to interested parties through the </w:t>
      </w:r>
      <w:r w:rsidR="001F5E70">
        <w:rPr>
          <w:rFonts w:cs="Arial"/>
        </w:rPr>
        <w:t xml:space="preserve">2013 </w:t>
      </w:r>
      <w:r w:rsidR="00F92CD2">
        <w:rPr>
          <w:rFonts w:cs="Arial"/>
        </w:rPr>
        <w:t>d</w:t>
      </w:r>
      <w:r w:rsidR="001F5E70">
        <w:rPr>
          <w:rFonts w:cs="Arial"/>
        </w:rPr>
        <w:t xml:space="preserve">igital </w:t>
      </w:r>
      <w:r w:rsidR="00F92CD2">
        <w:rPr>
          <w:rFonts w:cs="Arial"/>
        </w:rPr>
        <w:t>d</w:t>
      </w:r>
      <w:r w:rsidR="001F5E70">
        <w:rPr>
          <w:rFonts w:cs="Arial"/>
        </w:rPr>
        <w:t>ividend</w:t>
      </w:r>
      <w:r w:rsidR="00E13611">
        <w:rPr>
          <w:rFonts w:cs="Arial"/>
        </w:rPr>
        <w:t xml:space="preserve"> auction</w:t>
      </w:r>
      <w:r w:rsidR="001F5E70">
        <w:rPr>
          <w:rFonts w:cs="Arial"/>
        </w:rPr>
        <w:t>.</w:t>
      </w:r>
    </w:p>
    <w:p w14:paraId="7DD1991F" w14:textId="77777777" w:rsidR="004A12CB" w:rsidRDefault="004A12CB" w:rsidP="009D7C23">
      <w:pPr>
        <w:spacing w:before="240"/>
        <w:rPr>
          <w:rFonts w:cs="Arial"/>
        </w:rPr>
      </w:pPr>
      <w:r w:rsidRPr="004A12CB">
        <w:rPr>
          <w:rFonts w:cs="Arial"/>
        </w:rPr>
        <w:t>Following the auction, 2</w:t>
      </w:r>
      <w:r w:rsidR="00F92CD2">
        <w:rPr>
          <w:rFonts w:cs="Arial"/>
        </w:rPr>
        <w:t xml:space="preserve"> </w:t>
      </w:r>
      <w:r w:rsidRPr="004A12CB">
        <w:rPr>
          <w:rFonts w:cs="Arial"/>
        </w:rPr>
        <w:t>x</w:t>
      </w:r>
      <w:r w:rsidR="00F92CD2">
        <w:rPr>
          <w:rFonts w:cs="Arial"/>
        </w:rPr>
        <w:t xml:space="preserve"> </w:t>
      </w:r>
      <w:r w:rsidRPr="004A12CB">
        <w:rPr>
          <w:rFonts w:cs="Arial"/>
        </w:rPr>
        <w:t>15 MHz of 700 MHz spectrum remained unsold</w:t>
      </w:r>
      <w:r w:rsidR="000072DE">
        <w:rPr>
          <w:rFonts w:cs="Arial"/>
        </w:rPr>
        <w:t xml:space="preserve"> (</w:t>
      </w:r>
      <w:r w:rsidR="000072DE" w:rsidRPr="00625FEF">
        <w:rPr>
          <w:rFonts w:cs="Arial"/>
        </w:rPr>
        <w:t>the unsold 700 MHz lots</w:t>
      </w:r>
      <w:r w:rsidR="000072DE">
        <w:rPr>
          <w:rFonts w:cs="Arial"/>
        </w:rPr>
        <w:t>)</w:t>
      </w:r>
      <w:r w:rsidRPr="004A12CB">
        <w:rPr>
          <w:rFonts w:cs="Arial"/>
        </w:rPr>
        <w:t>. The ACMA’s allocation procedures for the digital dividend aucti</w:t>
      </w:r>
      <w:r w:rsidR="00367547">
        <w:rPr>
          <w:rFonts w:cs="Arial"/>
        </w:rPr>
        <w:t xml:space="preserve">on </w:t>
      </w:r>
      <w:r w:rsidR="00367547" w:rsidRPr="00DD7360">
        <w:rPr>
          <w:rFonts w:cs="Arial"/>
        </w:rPr>
        <w:t>provided</w:t>
      </w:r>
      <w:r w:rsidR="00367547">
        <w:rPr>
          <w:rFonts w:cs="Arial"/>
        </w:rPr>
        <w:t xml:space="preserve"> that any unsold 700 </w:t>
      </w:r>
      <w:r w:rsidRPr="004A12CB">
        <w:rPr>
          <w:rFonts w:cs="Arial"/>
        </w:rPr>
        <w:t>MHz spectrum lots might later be offered for allocation by a procedure at a time to be determined by the ACMA.</w:t>
      </w:r>
    </w:p>
    <w:p w14:paraId="6CEC3032" w14:textId="2EF38310" w:rsidR="007A6C24" w:rsidRDefault="007A6C24" w:rsidP="009D7C23">
      <w:pPr>
        <w:spacing w:before="240"/>
        <w:rPr>
          <w:rFonts w:cs="Arial"/>
        </w:rPr>
      </w:pPr>
      <w:r>
        <w:rPr>
          <w:rFonts w:cs="Arial"/>
        </w:rPr>
        <w:t>On 7 October 2016</w:t>
      </w:r>
      <w:r w:rsidR="00401F87">
        <w:rPr>
          <w:rFonts w:cs="Arial"/>
        </w:rPr>
        <w:t>, the Minister for C</w:t>
      </w:r>
      <w:r>
        <w:rPr>
          <w:rFonts w:cs="Arial"/>
        </w:rPr>
        <w:t>ommunications</w:t>
      </w:r>
      <w:r w:rsidR="00401F87">
        <w:rPr>
          <w:rFonts w:cs="Arial"/>
        </w:rPr>
        <w:t>,</w:t>
      </w:r>
      <w:r>
        <w:rPr>
          <w:rFonts w:cs="Arial"/>
        </w:rPr>
        <w:t xml:space="preserve"> Senator the Hon. Mitch Fifield</w:t>
      </w:r>
      <w:r w:rsidR="00401F87">
        <w:rPr>
          <w:rFonts w:cs="Arial"/>
        </w:rPr>
        <w:t>,</w:t>
      </w:r>
      <w:r>
        <w:rPr>
          <w:rFonts w:cs="Arial"/>
        </w:rPr>
        <w:t xml:space="preserve"> issued a </w:t>
      </w:r>
      <w:hyperlink r:id="rId28" w:history="1">
        <w:r w:rsidR="00D35C87" w:rsidRPr="00D35C87">
          <w:rPr>
            <w:rStyle w:val="Hyperlink"/>
            <w:rFonts w:cs="Arial"/>
          </w:rPr>
          <w:t>media release</w:t>
        </w:r>
      </w:hyperlink>
      <w:r>
        <w:rPr>
          <w:rFonts w:cs="Arial"/>
        </w:rPr>
        <w:t xml:space="preserve"> announcing that the unsold 700 MHz lots will be auctioned by the ACMA. The </w:t>
      </w:r>
      <w:r w:rsidR="00B92069">
        <w:rPr>
          <w:rFonts w:cs="Arial"/>
        </w:rPr>
        <w:t>m</w:t>
      </w:r>
      <w:r>
        <w:rPr>
          <w:rFonts w:cs="Arial"/>
        </w:rPr>
        <w:t>inister also wrote</w:t>
      </w:r>
      <w:r>
        <w:rPr>
          <w:rStyle w:val="FootnoteReference"/>
          <w:rFonts w:cs="Arial"/>
        </w:rPr>
        <w:footnoteReference w:id="2"/>
      </w:r>
      <w:r w:rsidR="00AE16B8">
        <w:rPr>
          <w:rFonts w:cs="Arial"/>
        </w:rPr>
        <w:t xml:space="preserve"> to the ACMA a</w:t>
      </w:r>
      <w:r>
        <w:rPr>
          <w:rFonts w:cs="Arial"/>
        </w:rPr>
        <w:t>cting Chairman Richard</w:t>
      </w:r>
      <w:r w:rsidR="00B92069">
        <w:rPr>
          <w:rFonts w:cs="Arial"/>
        </w:rPr>
        <w:t xml:space="preserve"> Bean </w:t>
      </w:r>
      <w:r w:rsidR="00401F87">
        <w:rPr>
          <w:rFonts w:cs="Arial"/>
        </w:rPr>
        <w:t>setting out g</w:t>
      </w:r>
      <w:r>
        <w:rPr>
          <w:rFonts w:cs="Arial"/>
        </w:rPr>
        <w:t>overnment’s intention to direct the ACMA on some of the auction parameters.</w:t>
      </w:r>
    </w:p>
    <w:p w14:paraId="3C01EAC5" w14:textId="77777777" w:rsidR="00C64DEB" w:rsidRDefault="004D79C4" w:rsidP="00625FEF">
      <w:pPr>
        <w:spacing w:after="80"/>
      </w:pPr>
      <w:r>
        <w:t>The ACMA has</w:t>
      </w:r>
      <w:r w:rsidR="00666CAF">
        <w:t xml:space="preserve"> </w:t>
      </w:r>
      <w:r w:rsidR="004E15E2">
        <w:t xml:space="preserve">now </w:t>
      </w:r>
      <w:r>
        <w:t xml:space="preserve">commenced preparations to allocate the unsold lots </w:t>
      </w:r>
      <w:r w:rsidR="00F92CD2">
        <w:t xml:space="preserve">by </w:t>
      </w:r>
      <w:r w:rsidR="005311C9">
        <w:t>another</w:t>
      </w:r>
      <w:r>
        <w:t xml:space="preserve"> auction</w:t>
      </w:r>
      <w:r w:rsidR="005311C9">
        <w:t xml:space="preserve"> process</w:t>
      </w:r>
      <w:r w:rsidR="00EF67FC">
        <w:t xml:space="preserve"> scheduled </w:t>
      </w:r>
      <w:r w:rsidR="004A12CB">
        <w:t>to be conducted</w:t>
      </w:r>
      <w:r w:rsidR="005311C9">
        <w:t xml:space="preserve"> in the </w:t>
      </w:r>
      <w:r w:rsidR="0066648A">
        <w:t xml:space="preserve">second </w:t>
      </w:r>
      <w:r w:rsidR="005311C9">
        <w:t>quarter of 2017.</w:t>
      </w:r>
      <w:r>
        <w:t xml:space="preserve"> </w:t>
      </w:r>
      <w:r w:rsidR="009D7C23" w:rsidRPr="009D7C23">
        <w:t xml:space="preserve">This paper </w:t>
      </w:r>
      <w:r w:rsidR="00367547">
        <w:t xml:space="preserve">sets out information on </w:t>
      </w:r>
    </w:p>
    <w:p w14:paraId="3098641B" w14:textId="77777777" w:rsidR="00C64DEB" w:rsidRDefault="00367547" w:rsidP="00C64DEB">
      <w:pPr>
        <w:pStyle w:val="ListBullet"/>
        <w:rPr>
          <w:rFonts w:cs="Arial"/>
        </w:rPr>
      </w:pPr>
      <w:r>
        <w:rPr>
          <w:rFonts w:cs="Arial"/>
        </w:rPr>
        <w:t xml:space="preserve">how the ACMA proposes to configure the spectrum for auction </w:t>
      </w:r>
    </w:p>
    <w:p w14:paraId="61451FCC" w14:textId="77777777" w:rsidR="00C64DEB" w:rsidRDefault="009D7C23" w:rsidP="00C64DEB">
      <w:pPr>
        <w:pStyle w:val="ListBullet"/>
        <w:rPr>
          <w:rFonts w:cs="Arial"/>
        </w:rPr>
      </w:pPr>
      <w:r w:rsidRPr="009D7C23">
        <w:rPr>
          <w:rFonts w:cs="Arial"/>
        </w:rPr>
        <w:t xml:space="preserve">how the auction </w:t>
      </w:r>
      <w:r w:rsidR="00367547">
        <w:rPr>
          <w:rFonts w:cs="Arial"/>
        </w:rPr>
        <w:t>is proposed to operate</w:t>
      </w:r>
    </w:p>
    <w:p w14:paraId="33E1B398" w14:textId="77777777" w:rsidR="009D7C23" w:rsidRPr="009D7C23" w:rsidRDefault="009D7C23" w:rsidP="00C64DEB">
      <w:pPr>
        <w:pStyle w:val="ListBullet"/>
        <w:rPr>
          <w:rFonts w:cs="Arial"/>
        </w:rPr>
      </w:pPr>
      <w:r w:rsidRPr="009D7C23">
        <w:rPr>
          <w:rFonts w:cs="Arial"/>
        </w:rPr>
        <w:t xml:space="preserve">how </w:t>
      </w:r>
      <w:r w:rsidR="00C1028A">
        <w:rPr>
          <w:rFonts w:cs="Arial"/>
        </w:rPr>
        <w:t>interested parties</w:t>
      </w:r>
      <w:r w:rsidR="00C1028A" w:rsidRPr="009D7C23">
        <w:rPr>
          <w:rFonts w:cs="Arial"/>
        </w:rPr>
        <w:t xml:space="preserve"> </w:t>
      </w:r>
      <w:r w:rsidRPr="009D7C23">
        <w:rPr>
          <w:rFonts w:cs="Arial"/>
        </w:rPr>
        <w:t xml:space="preserve">can participate. </w:t>
      </w:r>
    </w:p>
    <w:p w14:paraId="74B3A9EE" w14:textId="77777777" w:rsidR="00720C74" w:rsidRDefault="00720C74" w:rsidP="00293D7C">
      <w:pPr>
        <w:spacing w:before="240"/>
        <w:rPr>
          <w:rFonts w:cs="Arial"/>
        </w:rPr>
      </w:pPr>
      <w:r>
        <w:rPr>
          <w:rFonts w:cs="Arial"/>
        </w:rPr>
        <w:t xml:space="preserve">This paper also sets out information on the ACMA’s proposal to allow winning bidders to apply for ‘early access’ apparatus licences to access the spectrum before their spectrum licences commence. The ACMA proposes to </w:t>
      </w:r>
      <w:r w:rsidR="002A1DD2">
        <w:rPr>
          <w:rFonts w:cs="Arial"/>
        </w:rPr>
        <w:t xml:space="preserve">amend Part 7A of the </w:t>
      </w:r>
      <w:r w:rsidR="002A1DD2" w:rsidRPr="00625FEF">
        <w:rPr>
          <w:rFonts w:cs="Arial"/>
        </w:rPr>
        <w:t>Radiocommunications (Transmitter Licence Tax) Determination 2015</w:t>
      </w:r>
      <w:r w:rsidR="00BB5EFE">
        <w:rPr>
          <w:rFonts w:cs="Arial"/>
        </w:rPr>
        <w:t xml:space="preserve"> (the Tax Determination)</w:t>
      </w:r>
      <w:r w:rsidR="002A1DD2" w:rsidRPr="00D572B0">
        <w:rPr>
          <w:rFonts w:cs="Arial"/>
        </w:rPr>
        <w:t xml:space="preserve"> </w:t>
      </w:r>
      <w:r w:rsidR="002A1DD2">
        <w:rPr>
          <w:rFonts w:cs="Arial"/>
        </w:rPr>
        <w:t xml:space="preserve">in order to </w:t>
      </w:r>
      <w:r>
        <w:rPr>
          <w:rFonts w:cs="Arial"/>
        </w:rPr>
        <w:t>apply an annual licence tax rate of $0.07/MHz (paired)/pop for operation of a transmitter in the frequency range 788–803 MHz.</w:t>
      </w:r>
    </w:p>
    <w:p w14:paraId="2B8AF5E4" w14:textId="77777777" w:rsidR="00BF6266" w:rsidRPr="00BF6266" w:rsidRDefault="00BF6266" w:rsidP="00293D7C">
      <w:pPr>
        <w:spacing w:before="240"/>
        <w:rPr>
          <w:rFonts w:cs="Arial"/>
        </w:rPr>
      </w:pPr>
      <w:r w:rsidRPr="00BF6266">
        <w:rPr>
          <w:rFonts w:cs="Arial"/>
        </w:rPr>
        <w:t>The ACMA has prepared draft legislative instruments, referred to as</w:t>
      </w:r>
      <w:r w:rsidR="005311C9">
        <w:rPr>
          <w:rFonts w:cs="Arial"/>
        </w:rPr>
        <w:t xml:space="preserve"> allocation instruments</w:t>
      </w:r>
      <w:r w:rsidRPr="00BF6266">
        <w:rPr>
          <w:rFonts w:cs="Arial"/>
        </w:rPr>
        <w:t>, which descr</w:t>
      </w:r>
      <w:r w:rsidR="00FD78E3">
        <w:rPr>
          <w:rFonts w:cs="Arial"/>
        </w:rPr>
        <w:t>ibe the product being offered through</w:t>
      </w:r>
      <w:r w:rsidR="00666CAF">
        <w:rPr>
          <w:rFonts w:cs="Arial"/>
        </w:rPr>
        <w:t xml:space="preserve"> the auction as well as</w:t>
      </w:r>
      <w:r w:rsidRPr="00BF6266">
        <w:rPr>
          <w:rFonts w:cs="Arial"/>
        </w:rPr>
        <w:t xml:space="preserve"> set</w:t>
      </w:r>
      <w:r w:rsidR="00666CAF">
        <w:rPr>
          <w:rFonts w:cs="Arial"/>
        </w:rPr>
        <w:t>ting out</w:t>
      </w:r>
      <w:r w:rsidRPr="00BF6266">
        <w:rPr>
          <w:rFonts w:cs="Arial"/>
        </w:rPr>
        <w:t xml:space="preserve"> the rules and procedures that will govern the auction process for the allocation of </w:t>
      </w:r>
      <w:r w:rsidR="00101979">
        <w:rPr>
          <w:rFonts w:cs="Arial"/>
        </w:rPr>
        <w:t>the unsold lots</w:t>
      </w:r>
      <w:r w:rsidRPr="00BF6266">
        <w:rPr>
          <w:rFonts w:cs="Arial"/>
        </w:rPr>
        <w:t>.</w:t>
      </w:r>
      <w:r w:rsidR="00A074A1">
        <w:rPr>
          <w:rFonts w:cs="Arial"/>
        </w:rPr>
        <w:t xml:space="preserve"> </w:t>
      </w:r>
      <w:r w:rsidR="0066648A">
        <w:rPr>
          <w:rFonts w:cs="Arial"/>
        </w:rPr>
        <w:t>T</w:t>
      </w:r>
      <w:r w:rsidRPr="00BF6266">
        <w:rPr>
          <w:rFonts w:cs="Arial"/>
        </w:rPr>
        <w:t xml:space="preserve">he ACMA </w:t>
      </w:r>
      <w:r w:rsidR="00A074A1">
        <w:rPr>
          <w:rFonts w:cs="Arial"/>
        </w:rPr>
        <w:t>intends to use existing</w:t>
      </w:r>
      <w:r w:rsidRPr="00BF6266">
        <w:rPr>
          <w:rFonts w:cs="Arial"/>
        </w:rPr>
        <w:t xml:space="preserve"> </w:t>
      </w:r>
      <w:r w:rsidR="005311C9">
        <w:rPr>
          <w:rFonts w:cs="Arial"/>
        </w:rPr>
        <w:t>technical instruments</w:t>
      </w:r>
      <w:r w:rsidR="00293D7C">
        <w:rPr>
          <w:rFonts w:cs="Arial"/>
        </w:rPr>
        <w:t xml:space="preserve"> </w:t>
      </w:r>
      <w:r w:rsidR="0066648A">
        <w:rPr>
          <w:rFonts w:cs="Arial"/>
        </w:rPr>
        <w:t>to provide the technical and interference management rules for the operation of radiocommunications devices in the unsold lots (</w:t>
      </w:r>
      <w:r w:rsidR="00E77297" w:rsidRPr="00625FEF">
        <w:rPr>
          <w:rFonts w:cs="Arial"/>
        </w:rPr>
        <w:t>the technical framework</w:t>
      </w:r>
      <w:r w:rsidR="0066648A">
        <w:rPr>
          <w:rFonts w:cs="Arial"/>
        </w:rPr>
        <w:t>)</w:t>
      </w:r>
      <w:r w:rsidR="00293D7C" w:rsidRPr="00E77297">
        <w:rPr>
          <w:rFonts w:cs="Arial"/>
        </w:rPr>
        <w:t xml:space="preserve">. </w:t>
      </w:r>
    </w:p>
    <w:p w14:paraId="0D07EAFF" w14:textId="77777777" w:rsidR="00BF6266" w:rsidRPr="00BF6266" w:rsidRDefault="00BF6266" w:rsidP="00625FEF">
      <w:pPr>
        <w:spacing w:after="80"/>
        <w:rPr>
          <w:rFonts w:cs="Arial"/>
        </w:rPr>
      </w:pPr>
      <w:r w:rsidRPr="00BF6266">
        <w:rPr>
          <w:rFonts w:cs="Arial"/>
        </w:rPr>
        <w:t>The</w:t>
      </w:r>
      <w:r w:rsidR="00666CAF">
        <w:rPr>
          <w:rFonts w:cs="Arial"/>
        </w:rPr>
        <w:t xml:space="preserve"> draft</w:t>
      </w:r>
      <w:r w:rsidRPr="00BF6266">
        <w:rPr>
          <w:rFonts w:cs="Arial"/>
        </w:rPr>
        <w:t xml:space="preserve"> allocation instruments are: </w:t>
      </w:r>
    </w:p>
    <w:p w14:paraId="03CEF0D6" w14:textId="77777777" w:rsidR="00BF6266" w:rsidRDefault="00BF6266" w:rsidP="003B2207">
      <w:pPr>
        <w:pStyle w:val="ListBullet"/>
        <w:rPr>
          <w:rFonts w:cs="Arial"/>
        </w:rPr>
      </w:pPr>
      <w:r w:rsidRPr="00BF6266">
        <w:rPr>
          <w:rFonts w:cs="Arial"/>
        </w:rPr>
        <w:t>a marketing plan</w:t>
      </w:r>
      <w:r w:rsidR="00B8126C">
        <w:rPr>
          <w:rFonts w:cs="Arial"/>
        </w:rPr>
        <w:t xml:space="preserve"> (discussed in </w:t>
      </w:r>
      <w:r w:rsidR="00F92CD2">
        <w:rPr>
          <w:rFonts w:cs="Arial"/>
        </w:rPr>
        <w:t>C</w:t>
      </w:r>
      <w:r w:rsidR="00B8126C">
        <w:rPr>
          <w:rFonts w:cs="Arial"/>
        </w:rPr>
        <w:t xml:space="preserve">hapter </w:t>
      </w:r>
      <w:r w:rsidR="005C48C2">
        <w:rPr>
          <w:rFonts w:cs="Arial"/>
        </w:rPr>
        <w:t>2</w:t>
      </w:r>
      <w:r w:rsidR="00B8126C">
        <w:rPr>
          <w:rFonts w:cs="Arial"/>
        </w:rPr>
        <w:t>)</w:t>
      </w:r>
      <w:r w:rsidR="00BF2BAD">
        <w:rPr>
          <w:rFonts w:cs="Arial"/>
        </w:rPr>
        <w:t>, to be made under section</w:t>
      </w:r>
      <w:r w:rsidRPr="00BF6266">
        <w:rPr>
          <w:rFonts w:cs="Arial"/>
        </w:rPr>
        <w:t xml:space="preserve"> 39A of the</w:t>
      </w:r>
      <w:r w:rsidR="00BF2BAD">
        <w:rPr>
          <w:rFonts w:cs="Arial"/>
        </w:rPr>
        <w:t xml:space="preserve"> </w:t>
      </w:r>
      <w:r w:rsidR="00BF2BAD" w:rsidRPr="00BF2BAD">
        <w:rPr>
          <w:rFonts w:cs="Arial"/>
          <w:i/>
        </w:rPr>
        <w:t>Radiocommunications</w:t>
      </w:r>
      <w:r w:rsidRPr="00BF2BAD">
        <w:rPr>
          <w:rFonts w:cs="Arial"/>
          <w:i/>
        </w:rPr>
        <w:t xml:space="preserve"> Act</w:t>
      </w:r>
      <w:r w:rsidR="00BF2BAD" w:rsidRPr="00BF2BAD">
        <w:rPr>
          <w:rFonts w:cs="Arial"/>
          <w:i/>
        </w:rPr>
        <w:t xml:space="preserve"> 1992</w:t>
      </w:r>
      <w:r w:rsidR="00BF2BAD">
        <w:rPr>
          <w:rFonts w:cs="Arial"/>
        </w:rPr>
        <w:t xml:space="preserve"> (</w:t>
      </w:r>
      <w:r w:rsidR="00BF2BAD" w:rsidRPr="00625FEF">
        <w:rPr>
          <w:rFonts w:cs="Arial"/>
        </w:rPr>
        <w:t>the Act</w:t>
      </w:r>
      <w:r w:rsidR="00BF2BAD">
        <w:rPr>
          <w:rFonts w:cs="Arial"/>
        </w:rPr>
        <w:t>)</w:t>
      </w:r>
    </w:p>
    <w:p w14:paraId="34F9FE0F" w14:textId="77777777" w:rsidR="005821D3" w:rsidRDefault="005821D3" w:rsidP="00F92CD2">
      <w:pPr>
        <w:pStyle w:val="ListBullet"/>
      </w:pPr>
      <w:r>
        <w:t xml:space="preserve">a marketing plan variation instrument, </w:t>
      </w:r>
      <w:r w:rsidRPr="00063191">
        <w:t>to be made under subsection 42(1) of the Act</w:t>
      </w:r>
      <w:r>
        <w:t xml:space="preserve"> </w:t>
      </w:r>
    </w:p>
    <w:p w14:paraId="759467C1" w14:textId="77777777" w:rsidR="00B8126C" w:rsidRPr="00D84676" w:rsidRDefault="00C1028A" w:rsidP="00625FEF">
      <w:pPr>
        <w:pStyle w:val="ListBulletLast"/>
      </w:pPr>
      <w:r w:rsidRPr="00345B02">
        <w:t xml:space="preserve">an allocation determination (discussed in </w:t>
      </w:r>
      <w:r w:rsidR="00F92CD2">
        <w:t>C</w:t>
      </w:r>
      <w:r w:rsidRPr="00345B02">
        <w:t xml:space="preserve">hapter </w:t>
      </w:r>
      <w:r w:rsidR="005C48C2">
        <w:t>3</w:t>
      </w:r>
      <w:r w:rsidRPr="00345B02">
        <w:t xml:space="preserve">), to be made under sections 60 and 294 of the Act. </w:t>
      </w:r>
    </w:p>
    <w:p w14:paraId="595D3CF1" w14:textId="77777777" w:rsidR="00DA027F" w:rsidRDefault="00DE138A" w:rsidP="00BF6266">
      <w:pPr>
        <w:rPr>
          <w:rFonts w:cs="Arial"/>
        </w:rPr>
      </w:pPr>
      <w:r>
        <w:rPr>
          <w:rFonts w:cs="Arial"/>
        </w:rPr>
        <w:t>Draft v</w:t>
      </w:r>
      <w:r w:rsidR="00BF6266" w:rsidRPr="00BF6266">
        <w:rPr>
          <w:rFonts w:cs="Arial"/>
        </w:rPr>
        <w:t>ersions of the</w:t>
      </w:r>
      <w:r>
        <w:rPr>
          <w:rFonts w:cs="Arial"/>
        </w:rPr>
        <w:t xml:space="preserve"> marketing plan</w:t>
      </w:r>
      <w:r w:rsidR="005821D3">
        <w:rPr>
          <w:rFonts w:cs="Arial"/>
        </w:rPr>
        <w:t>, the marketing plan variation instrument and</w:t>
      </w:r>
      <w:r w:rsidR="00C1028A">
        <w:rPr>
          <w:rFonts w:cs="Arial"/>
        </w:rPr>
        <w:t xml:space="preserve"> </w:t>
      </w:r>
      <w:r w:rsidR="005821D3">
        <w:rPr>
          <w:rFonts w:cs="Arial"/>
        </w:rPr>
        <w:t xml:space="preserve">the </w:t>
      </w:r>
      <w:r w:rsidR="00C1028A">
        <w:rPr>
          <w:rFonts w:cs="Arial"/>
        </w:rPr>
        <w:t xml:space="preserve">allocation determination </w:t>
      </w:r>
      <w:r w:rsidR="00F92CD2">
        <w:rPr>
          <w:rFonts w:cs="Arial"/>
        </w:rPr>
        <w:t>can be accessed on the ACMA website</w:t>
      </w:r>
      <w:r w:rsidR="00BF6266" w:rsidRPr="00BF6266">
        <w:rPr>
          <w:rFonts w:cs="Arial"/>
        </w:rPr>
        <w:t>.</w:t>
      </w:r>
      <w:r>
        <w:rPr>
          <w:rFonts w:cs="Arial"/>
        </w:rPr>
        <w:t xml:space="preserve"> </w:t>
      </w:r>
    </w:p>
    <w:p w14:paraId="68F7BDB1" w14:textId="77777777" w:rsidR="00B92069" w:rsidRDefault="00B92069" w:rsidP="00BF6266">
      <w:pPr>
        <w:rPr>
          <w:rFonts w:cs="Arial"/>
        </w:rPr>
      </w:pPr>
      <w:r>
        <w:rPr>
          <w:rFonts w:cs="Arial"/>
        </w:rPr>
        <w:t>The ACMA note</w:t>
      </w:r>
      <w:r w:rsidR="00AE16B8">
        <w:rPr>
          <w:rFonts w:cs="Arial"/>
        </w:rPr>
        <w:t>s</w:t>
      </w:r>
      <w:r>
        <w:rPr>
          <w:rFonts w:cs="Arial"/>
        </w:rPr>
        <w:t xml:space="preserve"> that the draft allocation instruments, and this </w:t>
      </w:r>
      <w:r w:rsidR="0017346A">
        <w:rPr>
          <w:rFonts w:cs="Arial"/>
        </w:rPr>
        <w:t>consultation</w:t>
      </w:r>
      <w:r>
        <w:rPr>
          <w:rFonts w:cs="Arial"/>
        </w:rPr>
        <w:t xml:space="preserve"> paper, incorporate certain proposals (</w:t>
      </w:r>
      <w:r w:rsidR="00401F87">
        <w:rPr>
          <w:rFonts w:cs="Arial"/>
        </w:rPr>
        <w:t>for example,</w:t>
      </w:r>
      <w:r>
        <w:rPr>
          <w:rFonts w:cs="Arial"/>
        </w:rPr>
        <w:t xml:space="preserve"> in regards to</w:t>
      </w:r>
      <w:r w:rsidR="00586FBF">
        <w:rPr>
          <w:rFonts w:cs="Arial"/>
        </w:rPr>
        <w:t xml:space="preserve"> reserve/starting prices,</w:t>
      </w:r>
      <w:r>
        <w:rPr>
          <w:rFonts w:cs="Arial"/>
        </w:rPr>
        <w:t xml:space="preserve"> payment terms and the competition limits) </w:t>
      </w:r>
      <w:r w:rsidR="00915BDD">
        <w:rPr>
          <w:rFonts w:cs="Arial"/>
        </w:rPr>
        <w:t>in</w:t>
      </w:r>
      <w:r>
        <w:rPr>
          <w:rFonts w:cs="Arial"/>
        </w:rPr>
        <w:t xml:space="preserve"> anticip</w:t>
      </w:r>
      <w:r w:rsidR="00915BDD">
        <w:rPr>
          <w:rFonts w:cs="Arial"/>
        </w:rPr>
        <w:t>ation</w:t>
      </w:r>
      <w:r>
        <w:rPr>
          <w:rFonts w:cs="Arial"/>
        </w:rPr>
        <w:t xml:space="preserve"> </w:t>
      </w:r>
      <w:r w:rsidR="00AE16B8">
        <w:rPr>
          <w:rFonts w:cs="Arial"/>
        </w:rPr>
        <w:t>of</w:t>
      </w:r>
      <w:r>
        <w:rPr>
          <w:rFonts w:cs="Arial"/>
        </w:rPr>
        <w:t xml:space="preserve"> the minister direct</w:t>
      </w:r>
      <w:r w:rsidR="00AE16B8">
        <w:rPr>
          <w:rFonts w:cs="Arial"/>
        </w:rPr>
        <w:t>ing</w:t>
      </w:r>
      <w:r>
        <w:rPr>
          <w:rFonts w:cs="Arial"/>
        </w:rPr>
        <w:t xml:space="preserve"> the ACMA as foreshadowed in his letter to the ACMA </w:t>
      </w:r>
      <w:r w:rsidR="00AE16B8">
        <w:rPr>
          <w:rFonts w:cs="Arial"/>
        </w:rPr>
        <w:t>a</w:t>
      </w:r>
      <w:r>
        <w:rPr>
          <w:rFonts w:cs="Arial"/>
        </w:rPr>
        <w:t>cting Chairman.</w:t>
      </w:r>
    </w:p>
    <w:p w14:paraId="03352ED5" w14:textId="77777777" w:rsidR="00BF6266" w:rsidRDefault="001079F3" w:rsidP="00BF6266">
      <w:pPr>
        <w:rPr>
          <w:rFonts w:cs="Arial"/>
        </w:rPr>
      </w:pPr>
      <w:r>
        <w:rPr>
          <w:rFonts w:cs="Arial"/>
        </w:rPr>
        <w:t>The ACMA welcomes comment</w:t>
      </w:r>
      <w:r w:rsidR="003526D8">
        <w:rPr>
          <w:rFonts w:cs="Arial"/>
        </w:rPr>
        <w:t xml:space="preserve"> on </w:t>
      </w:r>
      <w:r>
        <w:rPr>
          <w:rFonts w:cs="Arial"/>
        </w:rPr>
        <w:t>matters</w:t>
      </w:r>
      <w:r w:rsidR="003526D8">
        <w:rPr>
          <w:rFonts w:cs="Arial"/>
        </w:rPr>
        <w:t xml:space="preserve"> raised in this paper, and on any other issues relevant to the allocation</w:t>
      </w:r>
      <w:r w:rsidR="00BF2BAD">
        <w:rPr>
          <w:rFonts w:cs="Arial"/>
        </w:rPr>
        <w:t xml:space="preserve"> of the unsold</w:t>
      </w:r>
      <w:r w:rsidR="00177680">
        <w:rPr>
          <w:rFonts w:cs="Arial"/>
        </w:rPr>
        <w:t xml:space="preserve"> </w:t>
      </w:r>
      <w:r w:rsidR="00806096">
        <w:rPr>
          <w:rFonts w:cs="Arial"/>
        </w:rPr>
        <w:t>700 MHz</w:t>
      </w:r>
      <w:r w:rsidR="00BF2BAD">
        <w:rPr>
          <w:rFonts w:cs="Arial"/>
        </w:rPr>
        <w:t xml:space="preserve"> lots</w:t>
      </w:r>
      <w:r>
        <w:rPr>
          <w:rFonts w:cs="Arial"/>
        </w:rPr>
        <w:t>.</w:t>
      </w:r>
    </w:p>
    <w:p w14:paraId="2A525AB3" w14:textId="77777777" w:rsidR="00DD7360" w:rsidRDefault="00DD7360" w:rsidP="00DD7360">
      <w:pPr>
        <w:pStyle w:val="Heading1"/>
      </w:pPr>
      <w:bookmarkStart w:id="4" w:name="_Toc433122125"/>
      <w:bookmarkStart w:id="5" w:name="_Toc442879664"/>
      <w:bookmarkStart w:id="6" w:name="_Toc463351292"/>
      <w:bookmarkStart w:id="7" w:name="_Toc463862884"/>
      <w:bookmarkStart w:id="8" w:name="_Toc459210798"/>
      <w:bookmarkStart w:id="9" w:name="_Toc461025802"/>
      <w:r>
        <w:t>Issu</w:t>
      </w:r>
      <w:r w:rsidRPr="0018435D">
        <w:t>es</w:t>
      </w:r>
      <w:r>
        <w:t xml:space="preserve"> for comment</w:t>
      </w:r>
      <w:bookmarkEnd w:id="4"/>
      <w:bookmarkEnd w:id="5"/>
      <w:bookmarkEnd w:id="6"/>
      <w:bookmarkEnd w:id="7"/>
    </w:p>
    <w:p w14:paraId="346E5D25" w14:textId="77777777" w:rsidR="00DD7360" w:rsidRDefault="00DD7360" w:rsidP="00DD7360">
      <w:pPr>
        <w:spacing w:after="80"/>
      </w:pPr>
      <w:r w:rsidRPr="00DC30A3">
        <w:t>The ACMA invites comments on</w:t>
      </w:r>
      <w:r>
        <w:t>:</w:t>
      </w:r>
    </w:p>
    <w:p w14:paraId="08F8364D" w14:textId="77777777" w:rsidR="00DD7360" w:rsidRDefault="00DD7360" w:rsidP="00DD7360">
      <w:pPr>
        <w:pStyle w:val="ListBullet"/>
      </w:pPr>
      <w:r w:rsidRPr="00DC30A3">
        <w:t xml:space="preserve">the </w:t>
      </w:r>
      <w:r>
        <w:t>draft allocation and technical instruments</w:t>
      </w:r>
    </w:p>
    <w:p w14:paraId="3547E3FE" w14:textId="77777777" w:rsidR="00DD7360" w:rsidRDefault="00DD7360" w:rsidP="00DD7360">
      <w:pPr>
        <w:pStyle w:val="ListBullet"/>
      </w:pPr>
      <w:r>
        <w:t xml:space="preserve">the proposals associated with early access arrangements </w:t>
      </w:r>
    </w:p>
    <w:p w14:paraId="22024DB5" w14:textId="77777777" w:rsidR="00DD7360" w:rsidRDefault="00DD7360" w:rsidP="00DD7360">
      <w:pPr>
        <w:pStyle w:val="ListBulletLast"/>
      </w:pPr>
      <w:r w:rsidRPr="00DC30A3">
        <w:t>any other issue raised in this paper.</w:t>
      </w:r>
    </w:p>
    <w:p w14:paraId="4D6BE8B4" w14:textId="77777777" w:rsidR="00DD7360" w:rsidRDefault="00DD7360" w:rsidP="00DD7360">
      <w:r>
        <w:t xml:space="preserve">Specific questions are featured in the relevant sections of this </w:t>
      </w:r>
      <w:r w:rsidR="003B4C34">
        <w:t xml:space="preserve">paper </w:t>
      </w:r>
      <w:r>
        <w:t>and collated below.</w:t>
      </w:r>
    </w:p>
    <w:p w14:paraId="3FCB13F6" w14:textId="77777777" w:rsidR="001724FD" w:rsidRDefault="00401F87" w:rsidP="001724FD">
      <w:pPr>
        <w:spacing w:after="0"/>
        <w:rPr>
          <w:b/>
        </w:rPr>
      </w:pPr>
      <w:r>
        <w:rPr>
          <w:b/>
        </w:rPr>
        <w:t>Issue for comment 1—</w:t>
      </w:r>
      <w:r w:rsidR="001724FD">
        <w:rPr>
          <w:b/>
        </w:rPr>
        <w:t>Proposed timeline</w:t>
      </w:r>
    </w:p>
    <w:p w14:paraId="6CC9A4A6" w14:textId="77777777" w:rsidR="001724FD" w:rsidRDefault="001724FD" w:rsidP="00401F87">
      <w:pPr>
        <w:spacing w:after="0"/>
      </w:pPr>
      <w:r w:rsidRPr="009B3AC3">
        <w:t xml:space="preserve">The ACMA seeks stakeholder views on the proposed timeline </w:t>
      </w:r>
      <w:r>
        <w:t>for</w:t>
      </w:r>
      <w:r w:rsidRPr="009B3AC3">
        <w:t xml:space="preserve"> the 700 MHz auction. </w:t>
      </w:r>
    </w:p>
    <w:p w14:paraId="0EBE5DCF" w14:textId="77777777" w:rsidR="001724FD" w:rsidRDefault="001724FD" w:rsidP="00401F87">
      <w:pPr>
        <w:spacing w:after="0"/>
      </w:pPr>
    </w:p>
    <w:p w14:paraId="38217816" w14:textId="77777777" w:rsidR="002A0386" w:rsidRDefault="002A0386" w:rsidP="002A0386">
      <w:pPr>
        <w:spacing w:after="0"/>
        <w:rPr>
          <w:b/>
        </w:rPr>
      </w:pPr>
      <w:r w:rsidRPr="002A0386">
        <w:rPr>
          <w:b/>
        </w:rPr>
        <w:t xml:space="preserve">Issue for comment </w:t>
      </w:r>
      <w:r w:rsidR="001724FD">
        <w:rPr>
          <w:b/>
        </w:rPr>
        <w:t>2</w:t>
      </w:r>
      <w:r>
        <w:rPr>
          <w:b/>
        </w:rPr>
        <w:t>—Amendment to the Tax Determination</w:t>
      </w:r>
    </w:p>
    <w:p w14:paraId="7708AC12" w14:textId="77777777" w:rsidR="002A0386" w:rsidRDefault="002A0386" w:rsidP="00DD7360">
      <w:r>
        <w:t xml:space="preserve">The ACMA seeks views on the proposal to amend the Tax Determination to </w:t>
      </w:r>
      <w:r>
        <w:rPr>
          <w:rFonts w:cs="Arial"/>
        </w:rPr>
        <w:t xml:space="preserve">incorporate an annual licence tax rate of $0.07/MHz (paired)/pop for operation of a transmitter in the frequency range </w:t>
      </w:r>
      <w:r w:rsidRPr="00401F87">
        <w:rPr>
          <w:rFonts w:cs="Arial"/>
        </w:rPr>
        <w:t>788–803 MHz</w:t>
      </w:r>
      <w:r>
        <w:rPr>
          <w:rFonts w:cs="Arial"/>
        </w:rPr>
        <w:t>.</w:t>
      </w:r>
    </w:p>
    <w:p w14:paraId="22BE24B4" w14:textId="77777777" w:rsidR="00DD7360" w:rsidRPr="001437C0" w:rsidRDefault="00DD7360" w:rsidP="00DD7360">
      <w:pPr>
        <w:spacing w:after="0"/>
        <w:rPr>
          <w:b/>
        </w:rPr>
      </w:pPr>
      <w:r w:rsidRPr="00DD7360">
        <w:rPr>
          <w:b/>
        </w:rPr>
        <w:t xml:space="preserve">Issue for comment </w:t>
      </w:r>
      <w:r w:rsidR="001724FD">
        <w:rPr>
          <w:b/>
        </w:rPr>
        <w:t>3</w:t>
      </w:r>
      <w:r w:rsidRPr="00DD7360">
        <w:rPr>
          <w:b/>
        </w:rPr>
        <w:t>—The draft marketing plan</w:t>
      </w:r>
    </w:p>
    <w:p w14:paraId="7392D219" w14:textId="77777777" w:rsidR="00DD7360" w:rsidRDefault="00DD7360" w:rsidP="00DD7360">
      <w:r>
        <w:t>The ACMA seeks stakeholder views on the draft marketing plan.</w:t>
      </w:r>
    </w:p>
    <w:p w14:paraId="6292F893" w14:textId="77777777" w:rsidR="00DD7360" w:rsidRPr="00DD7360" w:rsidRDefault="00DD7360" w:rsidP="00DD7360">
      <w:pPr>
        <w:spacing w:after="0"/>
        <w:rPr>
          <w:b/>
        </w:rPr>
      </w:pPr>
      <w:r w:rsidRPr="00DD7360">
        <w:rPr>
          <w:b/>
        </w:rPr>
        <w:t xml:space="preserve">Issue for comment </w:t>
      </w:r>
      <w:r w:rsidR="001724FD">
        <w:rPr>
          <w:b/>
        </w:rPr>
        <w:t>4</w:t>
      </w:r>
      <w:r w:rsidRPr="00DD7360">
        <w:rPr>
          <w:b/>
        </w:rPr>
        <w:t>—The draft allocation determination</w:t>
      </w:r>
    </w:p>
    <w:p w14:paraId="3B570408" w14:textId="77777777" w:rsidR="00DD7360" w:rsidRDefault="00DD7360" w:rsidP="00DD7360">
      <w:r>
        <w:t>The ACMA seeks stakeholder views on the draft allocation determination at Attachment C.</w:t>
      </w:r>
    </w:p>
    <w:p w14:paraId="14427E93" w14:textId="32233060" w:rsidR="00DD7360" w:rsidRDefault="00DD7360" w:rsidP="00DD7360">
      <w:pPr>
        <w:rPr>
          <w:i/>
        </w:rPr>
      </w:pPr>
      <w:r>
        <w:t xml:space="preserve">Details on making a submission can be found at </w:t>
      </w:r>
      <w:hyperlink w:anchor="Invite" w:history="1">
        <w:r w:rsidRPr="00D35C87">
          <w:rPr>
            <w:rStyle w:val="Hyperlink"/>
            <w:i/>
          </w:rPr>
          <w:t>Invitation to comment</w:t>
        </w:r>
      </w:hyperlink>
      <w:r>
        <w:rPr>
          <w:i/>
        </w:rPr>
        <w:t xml:space="preserve"> </w:t>
      </w:r>
      <w:r>
        <w:t>at the end of this document</w:t>
      </w:r>
      <w:r>
        <w:rPr>
          <w:i/>
        </w:rPr>
        <w:t>.</w:t>
      </w:r>
    </w:p>
    <w:p w14:paraId="55FE94CF" w14:textId="77777777" w:rsidR="00BE4C11" w:rsidRPr="000D76E0" w:rsidRDefault="00536ACB" w:rsidP="00777BA2">
      <w:pPr>
        <w:pStyle w:val="Heading1"/>
      </w:pPr>
      <w:bookmarkStart w:id="10" w:name="_Toc463862885"/>
      <w:r>
        <w:t>1</w:t>
      </w:r>
      <w:r w:rsidR="00DD7360">
        <w:t>.</w:t>
      </w:r>
      <w:r>
        <w:t xml:space="preserve"> </w:t>
      </w:r>
      <w:r w:rsidR="00822D18">
        <w:t>Intro</w:t>
      </w:r>
      <w:r w:rsidR="00853887">
        <w:t>duction</w:t>
      </w:r>
      <w:bookmarkEnd w:id="8"/>
      <w:bookmarkEnd w:id="9"/>
      <w:bookmarkEnd w:id="10"/>
    </w:p>
    <w:p w14:paraId="229FA703" w14:textId="77777777" w:rsidR="003642CA" w:rsidRPr="00BF6266" w:rsidRDefault="003642CA" w:rsidP="003642CA">
      <w:pPr>
        <w:spacing w:before="240"/>
        <w:rPr>
          <w:rFonts w:cs="Arial"/>
        </w:rPr>
      </w:pPr>
      <w:bookmarkStart w:id="11" w:name="_Toc319572491"/>
      <w:r w:rsidRPr="00BF6266">
        <w:rPr>
          <w:rFonts w:cs="Arial"/>
        </w:rPr>
        <w:t>The</w:t>
      </w:r>
      <w:r w:rsidR="00F570A9">
        <w:rPr>
          <w:rFonts w:cs="Arial"/>
        </w:rPr>
        <w:t xml:space="preserve"> ACMA</w:t>
      </w:r>
      <w:r w:rsidRPr="00BF6266">
        <w:rPr>
          <w:rFonts w:cs="Arial"/>
        </w:rPr>
        <w:t xml:space="preserve"> is</w:t>
      </w:r>
      <w:r>
        <w:rPr>
          <w:rFonts w:cs="Arial"/>
        </w:rPr>
        <w:t xml:space="preserve"> </w:t>
      </w:r>
      <w:r w:rsidRPr="00BF6266">
        <w:rPr>
          <w:rFonts w:cs="Arial"/>
        </w:rPr>
        <w:t>preparing to allocate</w:t>
      </w:r>
      <w:r w:rsidR="0066648A">
        <w:rPr>
          <w:rFonts w:cs="Arial"/>
        </w:rPr>
        <w:t>,</w:t>
      </w:r>
      <w:r w:rsidR="00F846DE">
        <w:rPr>
          <w:rFonts w:cs="Arial"/>
        </w:rPr>
        <w:t xml:space="preserve"> </w:t>
      </w:r>
      <w:r w:rsidR="00F92CD2">
        <w:rPr>
          <w:rFonts w:cs="Arial"/>
        </w:rPr>
        <w:t xml:space="preserve">by </w:t>
      </w:r>
      <w:r w:rsidR="00F846DE">
        <w:rPr>
          <w:rFonts w:cs="Arial"/>
        </w:rPr>
        <w:t>auction,</w:t>
      </w:r>
      <w:r w:rsidR="00370C54">
        <w:rPr>
          <w:rFonts w:cs="Arial"/>
        </w:rPr>
        <w:t xml:space="preserve"> spectrum lots that remained unsold</w:t>
      </w:r>
      <w:r w:rsidR="00F34F9E">
        <w:rPr>
          <w:rFonts w:cs="Arial"/>
        </w:rPr>
        <w:t xml:space="preserve"> </w:t>
      </w:r>
      <w:r w:rsidR="00370C54">
        <w:rPr>
          <w:rFonts w:cs="Arial"/>
        </w:rPr>
        <w:t xml:space="preserve">after the </w:t>
      </w:r>
      <w:r w:rsidR="00806096">
        <w:rPr>
          <w:rFonts w:cs="Arial"/>
        </w:rPr>
        <w:t>700 MHz</w:t>
      </w:r>
      <w:r w:rsidR="00370C54">
        <w:rPr>
          <w:rFonts w:cs="Arial"/>
        </w:rPr>
        <w:t xml:space="preserve"> </w:t>
      </w:r>
      <w:r w:rsidR="00F92CD2">
        <w:rPr>
          <w:rFonts w:cs="Arial"/>
        </w:rPr>
        <w:t>d</w:t>
      </w:r>
      <w:r w:rsidR="004A12CB">
        <w:rPr>
          <w:rFonts w:cs="Arial"/>
        </w:rPr>
        <w:t xml:space="preserve">igital </w:t>
      </w:r>
      <w:r w:rsidR="00F92CD2">
        <w:rPr>
          <w:rFonts w:cs="Arial"/>
        </w:rPr>
        <w:t>d</w:t>
      </w:r>
      <w:r w:rsidR="004A12CB">
        <w:rPr>
          <w:rFonts w:cs="Arial"/>
        </w:rPr>
        <w:t xml:space="preserve">ividend </w:t>
      </w:r>
      <w:r w:rsidR="00370C54">
        <w:rPr>
          <w:rFonts w:cs="Arial"/>
        </w:rPr>
        <w:t>auction</w:t>
      </w:r>
      <w:r w:rsidR="008F1D8D">
        <w:rPr>
          <w:rFonts w:cs="Arial"/>
        </w:rPr>
        <w:t xml:space="preserve"> held </w:t>
      </w:r>
      <w:r w:rsidR="004A12CB">
        <w:rPr>
          <w:rFonts w:cs="Arial"/>
        </w:rPr>
        <w:t>in 2013</w:t>
      </w:r>
      <w:r w:rsidR="00370C54">
        <w:rPr>
          <w:rFonts w:cs="Arial"/>
        </w:rPr>
        <w:t>.</w:t>
      </w:r>
      <w:r w:rsidR="00D23C03">
        <w:rPr>
          <w:rFonts w:cs="Arial"/>
        </w:rPr>
        <w:t xml:space="preserve"> These lots are referred to in this paper as the ‘</w:t>
      </w:r>
      <w:r w:rsidR="00D23C03" w:rsidRPr="00625FEF">
        <w:rPr>
          <w:rFonts w:cs="Arial"/>
        </w:rPr>
        <w:t xml:space="preserve">unsold </w:t>
      </w:r>
      <w:r w:rsidR="00806096" w:rsidRPr="00625FEF">
        <w:rPr>
          <w:rFonts w:cs="Arial"/>
        </w:rPr>
        <w:t>700 MHz</w:t>
      </w:r>
      <w:r w:rsidR="00D23C03" w:rsidRPr="00625FEF">
        <w:rPr>
          <w:rFonts w:cs="Arial"/>
        </w:rPr>
        <w:t xml:space="preserve"> lots</w:t>
      </w:r>
      <w:r w:rsidR="00D23C03" w:rsidRPr="00F92CD2">
        <w:rPr>
          <w:rFonts w:cs="Arial"/>
        </w:rPr>
        <w:t>’</w:t>
      </w:r>
      <w:r w:rsidR="00D23C03">
        <w:rPr>
          <w:rFonts w:cs="Arial"/>
        </w:rPr>
        <w:t>.</w:t>
      </w:r>
      <w:r w:rsidR="003F77FB">
        <w:rPr>
          <w:rFonts w:cs="Arial"/>
        </w:rPr>
        <w:t xml:space="preserve"> </w:t>
      </w:r>
      <w:r w:rsidR="000C73EE">
        <w:rPr>
          <w:rFonts w:cs="Arial"/>
        </w:rPr>
        <w:t>Subsequently</w:t>
      </w:r>
      <w:r w:rsidR="00401F87">
        <w:rPr>
          <w:rFonts w:cs="Arial"/>
        </w:rPr>
        <w:t>,</w:t>
      </w:r>
      <w:r w:rsidR="000C73EE">
        <w:rPr>
          <w:rFonts w:cs="Arial"/>
        </w:rPr>
        <w:t xml:space="preserve"> in this </w:t>
      </w:r>
      <w:r w:rsidR="008F1D8D">
        <w:rPr>
          <w:rFonts w:cs="Arial"/>
        </w:rPr>
        <w:t>paper, the initial</w:t>
      </w:r>
      <w:r w:rsidR="006567EC">
        <w:rPr>
          <w:rFonts w:cs="Arial"/>
        </w:rPr>
        <w:t xml:space="preserve"> </w:t>
      </w:r>
      <w:r w:rsidR="004A12CB">
        <w:rPr>
          <w:rFonts w:cs="Arial"/>
        </w:rPr>
        <w:t>2013</w:t>
      </w:r>
      <w:r w:rsidR="008F1D8D">
        <w:rPr>
          <w:rFonts w:cs="Arial"/>
        </w:rPr>
        <w:t xml:space="preserve"> auction of</w:t>
      </w:r>
      <w:r w:rsidR="00447705">
        <w:rPr>
          <w:rFonts w:cs="Arial"/>
        </w:rPr>
        <w:t xml:space="preserve"> </w:t>
      </w:r>
      <w:r w:rsidR="00806096">
        <w:rPr>
          <w:rFonts w:cs="Arial"/>
        </w:rPr>
        <w:t>700 MHz</w:t>
      </w:r>
      <w:r w:rsidR="008F1D8D">
        <w:rPr>
          <w:rFonts w:cs="Arial"/>
        </w:rPr>
        <w:t xml:space="preserve"> spectrum will be referred to as the ‘</w:t>
      </w:r>
      <w:r w:rsidR="00F34F9E" w:rsidRPr="00625FEF">
        <w:rPr>
          <w:rFonts w:cs="Arial"/>
        </w:rPr>
        <w:t>initial</w:t>
      </w:r>
      <w:r w:rsidR="008F1D8D" w:rsidRPr="00625FEF">
        <w:rPr>
          <w:rFonts w:cs="Arial"/>
        </w:rPr>
        <w:t xml:space="preserve"> </w:t>
      </w:r>
      <w:r w:rsidR="00806096" w:rsidRPr="00625FEF">
        <w:rPr>
          <w:rFonts w:cs="Arial"/>
        </w:rPr>
        <w:t>700 MHz</w:t>
      </w:r>
      <w:r w:rsidR="008F1D8D" w:rsidRPr="00625FEF">
        <w:rPr>
          <w:rFonts w:cs="Arial"/>
        </w:rPr>
        <w:t xml:space="preserve"> auction</w:t>
      </w:r>
      <w:r w:rsidR="0066648A" w:rsidRPr="00625FEF">
        <w:rPr>
          <w:rFonts w:cs="Arial"/>
        </w:rPr>
        <w:t>’</w:t>
      </w:r>
      <w:r w:rsidR="00F92CD2">
        <w:rPr>
          <w:rFonts w:cs="Arial"/>
        </w:rPr>
        <w:t>,</w:t>
      </w:r>
      <w:r w:rsidR="00370C54">
        <w:rPr>
          <w:rFonts w:cs="Arial"/>
        </w:rPr>
        <w:t xml:space="preserve"> </w:t>
      </w:r>
      <w:r w:rsidR="00F34F9E">
        <w:rPr>
          <w:rFonts w:cs="Arial"/>
        </w:rPr>
        <w:t xml:space="preserve">while the </w:t>
      </w:r>
      <w:r w:rsidR="006567EC">
        <w:rPr>
          <w:rFonts w:cs="Arial"/>
        </w:rPr>
        <w:t>proposed 2017</w:t>
      </w:r>
      <w:r w:rsidR="005C48C2">
        <w:rPr>
          <w:rFonts w:cs="Arial"/>
        </w:rPr>
        <w:t xml:space="preserve"> </w:t>
      </w:r>
      <w:r w:rsidR="00BE54DE">
        <w:rPr>
          <w:rFonts w:cs="Arial"/>
        </w:rPr>
        <w:t>auction of</w:t>
      </w:r>
      <w:r w:rsidR="008F1D8D">
        <w:rPr>
          <w:rFonts w:cs="Arial"/>
        </w:rPr>
        <w:t xml:space="preserve"> unsold</w:t>
      </w:r>
      <w:r w:rsidR="00F34F9E">
        <w:rPr>
          <w:rFonts w:cs="Arial"/>
        </w:rPr>
        <w:t xml:space="preserve"> </w:t>
      </w:r>
      <w:r w:rsidR="00806096">
        <w:rPr>
          <w:rFonts w:cs="Arial"/>
        </w:rPr>
        <w:t>700 MHz</w:t>
      </w:r>
      <w:r w:rsidR="00F34F9E">
        <w:rPr>
          <w:rFonts w:cs="Arial"/>
        </w:rPr>
        <w:t xml:space="preserve"> lots will be referred to as the ‘</w:t>
      </w:r>
      <w:r w:rsidR="00F34F9E" w:rsidRPr="00625FEF">
        <w:rPr>
          <w:rFonts w:cs="Arial"/>
        </w:rPr>
        <w:t>unsold lots auction</w:t>
      </w:r>
      <w:r w:rsidR="00F34F9E">
        <w:rPr>
          <w:rFonts w:cs="Arial"/>
        </w:rPr>
        <w:t>’.</w:t>
      </w:r>
    </w:p>
    <w:p w14:paraId="61D6E173" w14:textId="77777777" w:rsidR="00822D18" w:rsidRPr="009C5A85" w:rsidRDefault="00822D18" w:rsidP="00822D18">
      <w:pPr>
        <w:pStyle w:val="Heading2"/>
        <w:spacing w:line="276" w:lineRule="auto"/>
      </w:pPr>
      <w:bookmarkStart w:id="12" w:name="_Toc459210799"/>
      <w:bookmarkStart w:id="13" w:name="_Toc461025803"/>
      <w:bookmarkStart w:id="14" w:name="_Toc463862886"/>
      <w:r w:rsidRPr="009C5A85">
        <w:t>Legislative context</w:t>
      </w:r>
      <w:bookmarkEnd w:id="12"/>
      <w:bookmarkEnd w:id="13"/>
      <w:bookmarkEnd w:id="14"/>
    </w:p>
    <w:p w14:paraId="0B93DDEF" w14:textId="77777777" w:rsidR="00822D18" w:rsidRDefault="00822D18" w:rsidP="00822D18">
      <w:r w:rsidRPr="005A1431">
        <w:t>The ACMA is guided in its spectrum management functions by the object</w:t>
      </w:r>
      <w:r w:rsidR="00C40BCD">
        <w:t>s</w:t>
      </w:r>
      <w:r w:rsidRPr="005A1431">
        <w:t xml:space="preserve"> </w:t>
      </w:r>
      <w:r>
        <w:t xml:space="preserve">of the </w:t>
      </w:r>
      <w:r w:rsidR="009258B9" w:rsidRPr="009258B9">
        <w:rPr>
          <w:i/>
        </w:rPr>
        <w:t>Radiocommunications Act 1992</w:t>
      </w:r>
      <w:r w:rsidR="009258B9">
        <w:t xml:space="preserve"> (the </w:t>
      </w:r>
      <w:r>
        <w:t>Act</w:t>
      </w:r>
      <w:r w:rsidR="009258B9">
        <w:t>)</w:t>
      </w:r>
      <w:r>
        <w:t>, set out in</w:t>
      </w:r>
      <w:r w:rsidRPr="005A1431">
        <w:t xml:space="preserve"> </w:t>
      </w:r>
      <w:r w:rsidRPr="00F92CD2">
        <w:t>section 3,</w:t>
      </w:r>
      <w:r w:rsidRPr="005A1431">
        <w:t xml:space="preserve"> and the</w:t>
      </w:r>
      <w:r w:rsidR="003D1DF2">
        <w:t xml:space="preserve"> ACMA’s</w:t>
      </w:r>
      <w:r w:rsidRPr="005A1431">
        <w:t xml:space="preserve"> </w:t>
      </w:r>
      <w:hyperlink r:id="rId29" w:history="1">
        <w:r w:rsidRPr="00625FEF">
          <w:rPr>
            <w:rStyle w:val="Hyperlink"/>
          </w:rPr>
          <w:t xml:space="preserve">Principles for </w:t>
        </w:r>
        <w:r w:rsidR="00F92CD2">
          <w:rPr>
            <w:rStyle w:val="Hyperlink"/>
          </w:rPr>
          <w:t>S</w:t>
        </w:r>
        <w:r w:rsidRPr="00625FEF">
          <w:rPr>
            <w:rStyle w:val="Hyperlink"/>
          </w:rPr>
          <w:t xml:space="preserve">pectrum </w:t>
        </w:r>
        <w:r w:rsidR="00F92CD2">
          <w:rPr>
            <w:rStyle w:val="Hyperlink"/>
          </w:rPr>
          <w:t>M</w:t>
        </w:r>
        <w:r w:rsidRPr="00625FEF">
          <w:rPr>
            <w:rStyle w:val="Hyperlink"/>
          </w:rPr>
          <w:t>anagement</w:t>
        </w:r>
      </w:hyperlink>
      <w:r w:rsidRPr="005A1431">
        <w:t xml:space="preserve"> (the </w:t>
      </w:r>
      <w:r w:rsidR="003D1DF2">
        <w:t>P</w:t>
      </w:r>
      <w:r w:rsidRPr="005A1431">
        <w:t xml:space="preserve">rinciples). </w:t>
      </w:r>
      <w:r w:rsidRPr="00880169">
        <w:rPr>
          <w:rFonts w:cs="Arial"/>
        </w:rPr>
        <w:t xml:space="preserve">The key theme of the </w:t>
      </w:r>
      <w:r w:rsidR="00F92CD2">
        <w:rPr>
          <w:rFonts w:cs="Arial"/>
        </w:rPr>
        <w:t>P</w:t>
      </w:r>
      <w:r w:rsidRPr="00880169">
        <w:rPr>
          <w:rFonts w:cs="Arial"/>
        </w:rPr>
        <w:t xml:space="preserve">rinciples is that maximising the overall public benefit from use of the radiofrequency spectrum requires </w:t>
      </w:r>
      <w:r w:rsidR="00F92CD2">
        <w:rPr>
          <w:rFonts w:cs="Arial"/>
        </w:rPr>
        <w:t xml:space="preserve">a </w:t>
      </w:r>
      <w:r w:rsidRPr="00880169">
        <w:rPr>
          <w:rFonts w:cs="Arial"/>
        </w:rPr>
        <w:t>balanced application of both re</w:t>
      </w:r>
      <w:r>
        <w:rPr>
          <w:rFonts w:cs="Arial"/>
        </w:rPr>
        <w:t>gulatory and market mechanisms.</w:t>
      </w:r>
      <w:r w:rsidR="00853887" w:rsidRPr="00853887">
        <w:t xml:space="preserve"> </w:t>
      </w:r>
      <w:r w:rsidR="00853887" w:rsidRPr="005A1431">
        <w:t xml:space="preserve">The </w:t>
      </w:r>
      <w:r w:rsidR="00853887">
        <w:t>draft</w:t>
      </w:r>
      <w:r w:rsidR="00F846DE">
        <w:t xml:space="preserve"> allocation</w:t>
      </w:r>
      <w:r w:rsidR="00853887">
        <w:t xml:space="preserve"> instruments are</w:t>
      </w:r>
      <w:r w:rsidR="00853887" w:rsidRPr="005A1431">
        <w:t xml:space="preserve"> informed by</w:t>
      </w:r>
      <w:r w:rsidR="00F92CD2">
        <w:t>,</w:t>
      </w:r>
      <w:r w:rsidR="00853887" w:rsidRPr="005A1431">
        <w:t xml:space="preserve"> and consistent with</w:t>
      </w:r>
      <w:r w:rsidR="00F92CD2">
        <w:t>,</w:t>
      </w:r>
      <w:r w:rsidR="00853887" w:rsidRPr="005A1431">
        <w:t xml:space="preserve"> the object</w:t>
      </w:r>
      <w:r w:rsidR="00C40BCD">
        <w:t>s</w:t>
      </w:r>
      <w:r w:rsidR="00853887">
        <w:t xml:space="preserve"> of the Act and the Principles.</w:t>
      </w:r>
    </w:p>
    <w:p w14:paraId="42B5D58B" w14:textId="77777777" w:rsidR="004F23E1" w:rsidRPr="00474646" w:rsidRDefault="004F23E1" w:rsidP="004F23E1">
      <w:pPr>
        <w:pStyle w:val="Heading3"/>
      </w:pPr>
      <w:bookmarkStart w:id="15" w:name="_Toc459210800"/>
      <w:bookmarkStart w:id="16" w:name="_Toc461025804"/>
      <w:bookmarkStart w:id="17" w:name="_Toc463862887"/>
      <w:r w:rsidRPr="00474646">
        <w:t xml:space="preserve">Object of the </w:t>
      </w:r>
      <w:r w:rsidRPr="009258B9">
        <w:t>Act</w:t>
      </w:r>
      <w:bookmarkEnd w:id="15"/>
      <w:bookmarkEnd w:id="16"/>
      <w:bookmarkEnd w:id="17"/>
    </w:p>
    <w:p w14:paraId="54CE066B" w14:textId="77777777" w:rsidR="004F23E1" w:rsidRPr="005A1431" w:rsidRDefault="00F92CD2" w:rsidP="004F23E1">
      <w:pPr>
        <w:keepNext/>
        <w:spacing w:after="80"/>
      </w:pPr>
      <w:r>
        <w:t>T</w:t>
      </w:r>
      <w:r w:rsidR="004F23E1">
        <w:t>he relevant outcomes sought to be achieved by the Act’s provision for management of the radiofrequency spectrum, which are contained in section 3 of the Act</w:t>
      </w:r>
      <w:r>
        <w:t>, are</w:t>
      </w:r>
      <w:r w:rsidR="004F23E1">
        <w:t>:</w:t>
      </w:r>
    </w:p>
    <w:p w14:paraId="7ED9174D" w14:textId="77777777" w:rsidR="004F23E1" w:rsidRPr="0021085A" w:rsidRDefault="004F23E1" w:rsidP="004F23E1">
      <w:pPr>
        <w:tabs>
          <w:tab w:val="left" w:pos="284"/>
        </w:tabs>
        <w:spacing w:after="80" w:line="276" w:lineRule="auto"/>
        <w:ind w:left="284" w:hanging="284"/>
        <w:rPr>
          <w:rFonts w:cs="Arial"/>
        </w:rPr>
      </w:pPr>
      <w:r>
        <w:t xml:space="preserve">a. </w:t>
      </w:r>
      <w:r>
        <w:tab/>
      </w:r>
      <w:r w:rsidRPr="0021085A">
        <w:rPr>
          <w:rFonts w:cs="Arial"/>
        </w:rPr>
        <w:t>Maximis</w:t>
      </w:r>
      <w:r>
        <w:rPr>
          <w:rFonts w:cs="Arial"/>
        </w:rPr>
        <w:t>ing</w:t>
      </w:r>
      <w:r w:rsidRPr="0021085A">
        <w:rPr>
          <w:rFonts w:cs="Arial"/>
        </w:rPr>
        <w:t>, by ensuring the efficient allocation and use of the spectrum, the overall public benefit derived from using the radiofrequency spectrum.</w:t>
      </w:r>
    </w:p>
    <w:p w14:paraId="695FDC68" w14:textId="77777777" w:rsidR="004F23E1" w:rsidRPr="0021085A" w:rsidRDefault="004F23E1" w:rsidP="004F23E1">
      <w:pPr>
        <w:tabs>
          <w:tab w:val="left" w:pos="284"/>
        </w:tabs>
        <w:spacing w:after="80" w:line="276" w:lineRule="auto"/>
        <w:ind w:left="284" w:hanging="284"/>
        <w:rPr>
          <w:rFonts w:cs="Arial"/>
        </w:rPr>
      </w:pPr>
      <w:r>
        <w:t xml:space="preserve">c. </w:t>
      </w:r>
      <w:r>
        <w:tab/>
      </w:r>
      <w:r w:rsidRPr="0021085A">
        <w:rPr>
          <w:rFonts w:cs="Arial"/>
        </w:rPr>
        <w:t>Provid</w:t>
      </w:r>
      <w:r>
        <w:rPr>
          <w:rFonts w:cs="Arial"/>
        </w:rPr>
        <w:t>ing</w:t>
      </w:r>
      <w:r w:rsidRPr="0021085A">
        <w:rPr>
          <w:rFonts w:cs="Arial"/>
        </w:rPr>
        <w:t xml:space="preserve"> a responsive and flexible approach to meeting the needs of users of the spectrum.</w:t>
      </w:r>
    </w:p>
    <w:p w14:paraId="1D97704E" w14:textId="77777777" w:rsidR="004F23E1" w:rsidRPr="0021085A" w:rsidRDefault="004F23E1" w:rsidP="004F23E1">
      <w:pPr>
        <w:tabs>
          <w:tab w:val="left" w:pos="284"/>
        </w:tabs>
        <w:spacing w:after="80" w:line="276" w:lineRule="auto"/>
        <w:ind w:left="284" w:hanging="284"/>
        <w:rPr>
          <w:rFonts w:cs="Arial"/>
        </w:rPr>
      </w:pPr>
      <w:r>
        <w:rPr>
          <w:rFonts w:cs="Arial"/>
        </w:rPr>
        <w:t xml:space="preserve">e. </w:t>
      </w:r>
      <w:r>
        <w:rPr>
          <w:rFonts w:cs="Arial"/>
        </w:rPr>
        <w:tab/>
      </w:r>
      <w:r w:rsidRPr="0021085A">
        <w:rPr>
          <w:rFonts w:cs="Arial"/>
        </w:rPr>
        <w:t>Provid</w:t>
      </w:r>
      <w:r>
        <w:rPr>
          <w:rFonts w:cs="Arial"/>
        </w:rPr>
        <w:t>ing</w:t>
      </w:r>
      <w:r w:rsidRPr="0021085A">
        <w:rPr>
          <w:rFonts w:cs="Arial"/>
        </w:rPr>
        <w:t xml:space="preserve"> an efficient, equitable and transparent system of charging for use of the spectrum, taking account of the value of both commercial and non-commercial use of spectrum.</w:t>
      </w:r>
    </w:p>
    <w:p w14:paraId="55BC10BD" w14:textId="77777777" w:rsidR="004F23E1" w:rsidRDefault="004F23E1" w:rsidP="004F23E1">
      <w:pPr>
        <w:tabs>
          <w:tab w:val="left" w:pos="284"/>
        </w:tabs>
        <w:spacing w:line="276" w:lineRule="auto"/>
        <w:ind w:left="284" w:hanging="284"/>
        <w:rPr>
          <w:rFonts w:cs="Arial"/>
        </w:rPr>
      </w:pPr>
      <w:r>
        <w:t xml:space="preserve">f. </w:t>
      </w:r>
      <w:r>
        <w:tab/>
      </w:r>
      <w:r w:rsidRPr="0021085A">
        <w:rPr>
          <w:rFonts w:cs="Arial"/>
        </w:rPr>
        <w:t>Support</w:t>
      </w:r>
      <w:r>
        <w:rPr>
          <w:rFonts w:cs="Arial"/>
        </w:rPr>
        <w:t>ing</w:t>
      </w:r>
      <w:r w:rsidRPr="0021085A">
        <w:rPr>
          <w:rFonts w:cs="Arial"/>
        </w:rPr>
        <w:t xml:space="preserve"> the communications policy objectives of the Commonwealth Government.</w:t>
      </w:r>
    </w:p>
    <w:p w14:paraId="2ADB098A" w14:textId="77777777" w:rsidR="004F23E1" w:rsidRDefault="004F23E1" w:rsidP="004F23E1">
      <w:pPr>
        <w:pStyle w:val="Heading3"/>
        <w:spacing w:line="276" w:lineRule="auto"/>
      </w:pPr>
      <w:bookmarkStart w:id="18" w:name="_Toc459210801"/>
      <w:bookmarkStart w:id="19" w:name="_Toc461025805"/>
      <w:bookmarkStart w:id="20" w:name="_Toc463862888"/>
      <w:r>
        <w:t xml:space="preserve">Principles for </w:t>
      </w:r>
      <w:r w:rsidR="00F92CD2">
        <w:t>S</w:t>
      </w:r>
      <w:r>
        <w:t xml:space="preserve">pectrum </w:t>
      </w:r>
      <w:r w:rsidR="00F92CD2">
        <w:t>M</w:t>
      </w:r>
      <w:r>
        <w:t>anagement</w:t>
      </w:r>
      <w:bookmarkEnd w:id="18"/>
      <w:bookmarkEnd w:id="19"/>
      <w:bookmarkEnd w:id="20"/>
    </w:p>
    <w:p w14:paraId="3009B5AC" w14:textId="77777777" w:rsidR="004F23E1" w:rsidRPr="005A1431" w:rsidRDefault="004F23E1" w:rsidP="004F23E1">
      <w:pPr>
        <w:spacing w:after="80"/>
      </w:pPr>
      <w:r>
        <w:t>The</w:t>
      </w:r>
      <w:r w:rsidRPr="005A1431">
        <w:t xml:space="preserve"> </w:t>
      </w:r>
      <w:r>
        <w:t>P</w:t>
      </w:r>
      <w:r w:rsidRPr="005A1431">
        <w:t>rinciples</w:t>
      </w:r>
      <w:r>
        <w:t xml:space="preserve"> are</w:t>
      </w:r>
      <w:r w:rsidRPr="005A1431">
        <w:t>:</w:t>
      </w:r>
    </w:p>
    <w:p w14:paraId="7F8B4658" w14:textId="77777777" w:rsidR="004F23E1" w:rsidRPr="003D4AA1" w:rsidRDefault="004F23E1" w:rsidP="004F23E1">
      <w:pPr>
        <w:pStyle w:val="ListBullet"/>
        <w:rPr>
          <w:rFonts w:cs="Arial"/>
        </w:rPr>
      </w:pPr>
      <w:r w:rsidRPr="003D4AA1">
        <w:rPr>
          <w:rFonts w:cs="Arial"/>
        </w:rPr>
        <w:t>Principle 1—Allocate spectrum to the highest value use or uses.</w:t>
      </w:r>
    </w:p>
    <w:p w14:paraId="1D16AD62" w14:textId="77777777" w:rsidR="004F23E1" w:rsidRPr="003D4AA1" w:rsidRDefault="004F23E1" w:rsidP="004F23E1">
      <w:pPr>
        <w:pStyle w:val="ListBullet"/>
        <w:rPr>
          <w:rFonts w:cs="Arial"/>
        </w:rPr>
      </w:pPr>
      <w:r w:rsidRPr="003D4AA1">
        <w:rPr>
          <w:rFonts w:cs="Arial"/>
        </w:rPr>
        <w:t>Principle 2—Enable and encourage spectrum to move to its highest value use or uses.</w:t>
      </w:r>
    </w:p>
    <w:p w14:paraId="0A06558E" w14:textId="77777777" w:rsidR="004F23E1" w:rsidRPr="003D4AA1" w:rsidRDefault="004F23E1" w:rsidP="004F23E1">
      <w:pPr>
        <w:pStyle w:val="ListBullet"/>
        <w:rPr>
          <w:rFonts w:cs="Arial"/>
        </w:rPr>
      </w:pPr>
      <w:r w:rsidRPr="003D4AA1">
        <w:rPr>
          <w:rFonts w:cs="Arial"/>
        </w:rPr>
        <w:t>Principle 3—Use the least cost and least restrictive approach to achieving policy objectives.</w:t>
      </w:r>
    </w:p>
    <w:p w14:paraId="300CF0F8" w14:textId="77777777" w:rsidR="004F23E1" w:rsidRPr="003D4AA1" w:rsidRDefault="004F23E1" w:rsidP="004F23E1">
      <w:pPr>
        <w:pStyle w:val="ListBullet"/>
        <w:rPr>
          <w:rFonts w:cs="Arial"/>
        </w:rPr>
      </w:pPr>
      <w:r w:rsidRPr="003D4AA1">
        <w:rPr>
          <w:rFonts w:cs="Arial"/>
        </w:rPr>
        <w:t>Principle 4—To the extent possible, promote both certainty and flexibility.</w:t>
      </w:r>
    </w:p>
    <w:p w14:paraId="7B851F66" w14:textId="77777777" w:rsidR="004F23E1" w:rsidRPr="003D4AA1" w:rsidRDefault="004F23E1" w:rsidP="00625FEF">
      <w:pPr>
        <w:pStyle w:val="ListBulletLast"/>
      </w:pPr>
      <w:r w:rsidRPr="003D4AA1">
        <w:t>Principle 5—Balance the cost of interference and the benefits of greater spectrum utilisation.</w:t>
      </w:r>
    </w:p>
    <w:p w14:paraId="3D128CEF" w14:textId="77777777" w:rsidR="00853887" w:rsidRDefault="00853887" w:rsidP="00853887">
      <w:r w:rsidRPr="009E47E4">
        <w:t xml:space="preserve">In arriving at regulatory decisions, </w:t>
      </w:r>
      <w:r>
        <w:t xml:space="preserve">including the making of legislative instruments, </w:t>
      </w:r>
      <w:r w:rsidRPr="009E47E4">
        <w:t xml:space="preserve">the ACMA considers a range of factors identified in its spectrum management decision framework (see Figure </w:t>
      </w:r>
      <w:r>
        <w:t>1</w:t>
      </w:r>
      <w:r w:rsidRPr="009E47E4">
        <w:t xml:space="preserve">). </w:t>
      </w:r>
    </w:p>
    <w:p w14:paraId="0BB5707D" w14:textId="77777777" w:rsidR="00E06B5A" w:rsidRPr="00E06B5A" w:rsidRDefault="00E06B5A" w:rsidP="00625FEF">
      <w:pPr>
        <w:pStyle w:val="ACMAFigureHeader"/>
        <w:keepNext/>
        <w:ind w:left="992" w:hanging="992"/>
      </w:pPr>
      <w:r w:rsidRPr="00E06B5A">
        <w:t>Spectrum management decision framework</w:t>
      </w:r>
    </w:p>
    <w:p w14:paraId="4AA91FB6" w14:textId="77777777" w:rsidR="00E06B5A" w:rsidRDefault="00E06B5A" w:rsidP="00625FEF">
      <w:pPr>
        <w:pStyle w:val="ACMASpaceaftertable"/>
        <w:spacing w:after="0"/>
      </w:pPr>
      <w:r>
        <w:rPr>
          <w:noProof/>
        </w:rPr>
        <w:drawing>
          <wp:inline distT="0" distB="0" distL="0" distR="0" wp14:anchorId="3744B45C" wp14:editId="61C8029D">
            <wp:extent cx="6029325" cy="3919855"/>
            <wp:effectExtent l="0" t="0" r="9525" b="4445"/>
            <wp:docPr id="4" name="Picture 4" descr="This picture outlines the framework that the ACMA employs as part of its spectrum management decision making. This includes environment, supply and demand of the spectrum, work priorities, filters for consideration and outcomes." title="Figure 1: Spectrum management decision framewo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6029325" cy="3919855"/>
                    </a:xfrm>
                    <a:prstGeom prst="rect">
                      <a:avLst/>
                    </a:prstGeom>
                    <a:noFill/>
                  </pic:spPr>
                </pic:pic>
              </a:graphicData>
            </a:graphic>
          </wp:inline>
        </w:drawing>
      </w:r>
    </w:p>
    <w:p w14:paraId="55325AB7" w14:textId="77777777" w:rsidR="00F92CD2" w:rsidRPr="00AC2AAF" w:rsidRDefault="00F92CD2" w:rsidP="00625FEF">
      <w:pPr>
        <w:pStyle w:val="ACMASpaceaftertable"/>
      </w:pPr>
      <w:bookmarkStart w:id="21" w:name="_Toc314998855"/>
      <w:bookmarkStart w:id="22" w:name="_Toc459210802"/>
      <w:bookmarkStart w:id="23" w:name="_Toc461025806"/>
      <w:bookmarkEnd w:id="21"/>
    </w:p>
    <w:p w14:paraId="07CEF0E8" w14:textId="77777777" w:rsidR="00853887" w:rsidRDefault="00853887" w:rsidP="00A8355E">
      <w:pPr>
        <w:pStyle w:val="Heading2"/>
        <w:spacing w:before="0"/>
      </w:pPr>
      <w:bookmarkStart w:id="24" w:name="_Toc463862889"/>
      <w:r>
        <w:t>Background</w:t>
      </w:r>
      <w:bookmarkEnd w:id="22"/>
      <w:bookmarkEnd w:id="23"/>
      <w:bookmarkEnd w:id="24"/>
    </w:p>
    <w:p w14:paraId="28FCA044" w14:textId="77777777" w:rsidR="0019106A" w:rsidRDefault="0019106A" w:rsidP="00361A0C">
      <w:r>
        <w:t>The ACMA’s original auction of the 700 MHz</w:t>
      </w:r>
      <w:r w:rsidR="00D87A6F">
        <w:t>—</w:t>
      </w:r>
      <w:r>
        <w:t>or ‘digital dividend’</w:t>
      </w:r>
      <w:r w:rsidR="00D87A6F">
        <w:t>—</w:t>
      </w:r>
      <w:r>
        <w:t xml:space="preserve">band </w:t>
      </w:r>
      <w:r w:rsidR="005821D3">
        <w:t xml:space="preserve">in 2013 </w:t>
      </w:r>
      <w:r>
        <w:t>was part of a worldwide trend of releasing digital dividend spectrum to allow greater use of this valuable public resource. A large contiguous block of spectrum was freed up as a result of the switchover to digital television across Australia and the subsequent restack of digital television transmissions to channels below 694 MHz. This switchover was completed by December 2013.</w:t>
      </w:r>
      <w:r>
        <w:rPr>
          <w:rStyle w:val="FootnoteReference"/>
        </w:rPr>
        <w:footnoteReference w:id="3"/>
      </w:r>
    </w:p>
    <w:p w14:paraId="7E9D1C14" w14:textId="77777777" w:rsidR="00B65693" w:rsidRDefault="00B65693" w:rsidP="00361A0C">
      <w:r>
        <w:t>The initial 700 MHz auction started on 23 April 2013 and concluded on 7 May 2013.</w:t>
      </w:r>
      <w:r>
        <w:rPr>
          <w:rStyle w:val="FootnoteReference"/>
        </w:rPr>
        <w:footnoteReference w:id="4"/>
      </w:r>
      <w:r>
        <w:t xml:space="preserve"> </w:t>
      </w:r>
      <w:r w:rsidR="00CD2AC6">
        <w:t>The 700 MHz band was configured in nine nationwide lots, each of 2</w:t>
      </w:r>
      <w:r w:rsidR="00D87A6F">
        <w:t xml:space="preserve"> </w:t>
      </w:r>
      <w:r w:rsidR="00CD2AC6">
        <w:t>x</w:t>
      </w:r>
      <w:r w:rsidR="00D87A6F">
        <w:t xml:space="preserve"> </w:t>
      </w:r>
      <w:r w:rsidR="00CD2AC6">
        <w:t xml:space="preserve">5 MHz. </w:t>
      </w:r>
      <w:r w:rsidR="00432EEF">
        <w:t>Telstra acquired 2</w:t>
      </w:r>
      <w:r w:rsidR="00D87A6F">
        <w:t xml:space="preserve"> </w:t>
      </w:r>
      <w:r w:rsidR="00432EEF">
        <w:t>x</w:t>
      </w:r>
      <w:r w:rsidR="00D87A6F">
        <w:t xml:space="preserve"> </w:t>
      </w:r>
      <w:r w:rsidR="00432EEF">
        <w:t>20 MHz in the band, and Optus ac</w:t>
      </w:r>
      <w:r w:rsidR="00CD2AC6">
        <w:t>quired 2</w:t>
      </w:r>
      <w:r w:rsidR="00D87A6F">
        <w:t xml:space="preserve"> </w:t>
      </w:r>
      <w:r w:rsidR="00CD2AC6">
        <w:t>x</w:t>
      </w:r>
      <w:r w:rsidR="00D87A6F">
        <w:t xml:space="preserve"> </w:t>
      </w:r>
      <w:r w:rsidR="00CD2AC6">
        <w:t>10 MHz. A further 2</w:t>
      </w:r>
      <w:r w:rsidR="00D87A6F">
        <w:t> </w:t>
      </w:r>
      <w:r w:rsidR="00CD2AC6">
        <w:t>x</w:t>
      </w:r>
      <w:r w:rsidR="00D87A6F">
        <w:t> </w:t>
      </w:r>
      <w:r w:rsidR="00CD2AC6">
        <w:t>15 </w:t>
      </w:r>
      <w:r w:rsidR="00432EEF">
        <w:t>MHz remained unallocated at the end of the auction (733</w:t>
      </w:r>
      <w:r w:rsidR="00D87A6F">
        <w:t>–</w:t>
      </w:r>
      <w:r w:rsidR="00432EEF">
        <w:t xml:space="preserve">748 MHz </w:t>
      </w:r>
      <w:r w:rsidR="00EF67FC">
        <w:t xml:space="preserve">paired with </w:t>
      </w:r>
      <w:r w:rsidR="00432EEF">
        <w:t>788</w:t>
      </w:r>
      <w:r w:rsidR="00D87A6F">
        <w:t>–</w:t>
      </w:r>
      <w:r w:rsidR="00432EEF">
        <w:t xml:space="preserve">803 MHz). These arrangements are shown in </w:t>
      </w:r>
      <w:r w:rsidR="00432EEF" w:rsidRPr="00432EEF">
        <w:t>Figure 2</w:t>
      </w:r>
      <w:r w:rsidR="00432EEF">
        <w:t>.</w:t>
      </w:r>
    </w:p>
    <w:p w14:paraId="6C4B2120" w14:textId="77777777" w:rsidR="00432EEF" w:rsidRPr="00432EEF" w:rsidRDefault="00432EEF" w:rsidP="00625FEF">
      <w:pPr>
        <w:pStyle w:val="ACMAFigureHeader"/>
        <w:keepNext/>
        <w:ind w:left="992" w:hanging="992"/>
      </w:pPr>
      <w:r w:rsidRPr="00D87A6F">
        <w:t>Location</w:t>
      </w:r>
      <w:r w:rsidRPr="00432EEF">
        <w:t xml:space="preserve"> of digital dividend spectrum and unsold lots</w:t>
      </w:r>
    </w:p>
    <w:p w14:paraId="1942BE31" w14:textId="77777777" w:rsidR="00432EEF" w:rsidRDefault="00432EEF" w:rsidP="00432EEF">
      <w:r>
        <w:rPr>
          <w:noProof/>
        </w:rPr>
        <w:drawing>
          <wp:inline distT="0" distB="0" distL="0" distR="0" wp14:anchorId="51192F07" wp14:editId="4E2E1242">
            <wp:extent cx="6309360" cy="914400"/>
            <wp:effectExtent l="0" t="0" r="0" b="0"/>
            <wp:docPr id="24" name="Picture 1" descr="Diagram shows the 700 MHz band (703–803 MHz) divided into 9 national lots of 2.5 MHz." title="location of digital dividend spectrum and unsold lo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6309360" cy="914400"/>
                    </a:xfrm>
                    <a:prstGeom prst="rect">
                      <a:avLst/>
                    </a:prstGeom>
                    <a:noFill/>
                    <a:ln>
                      <a:noFill/>
                    </a:ln>
                  </pic:spPr>
                </pic:pic>
              </a:graphicData>
            </a:graphic>
          </wp:inline>
        </w:drawing>
      </w:r>
    </w:p>
    <w:p w14:paraId="30871121" w14:textId="77777777" w:rsidR="00CD2AC6" w:rsidRPr="00080443" w:rsidRDefault="00CD2AC6" w:rsidP="00CD2AC6">
      <w:pPr>
        <w:rPr>
          <w:rFonts w:cs="Arial"/>
        </w:rPr>
      </w:pPr>
      <w:r>
        <w:rPr>
          <w:rFonts w:cs="Arial"/>
          <w:szCs w:val="26"/>
        </w:rPr>
        <w:t xml:space="preserve">The initial 700 MHz auction followed the then </w:t>
      </w:r>
      <w:r w:rsidRPr="00080443">
        <w:rPr>
          <w:rFonts w:cs="Arial"/>
        </w:rPr>
        <w:t>Minister for Broadband, Communications and the Digital Economy, Senator Stephen Conroy</w:t>
      </w:r>
      <w:r>
        <w:rPr>
          <w:rFonts w:cs="Arial"/>
        </w:rPr>
        <w:t xml:space="preserve">, </w:t>
      </w:r>
      <w:r>
        <w:rPr>
          <w:rFonts w:cs="Arial"/>
          <w:szCs w:val="26"/>
        </w:rPr>
        <w:t xml:space="preserve">making the </w:t>
      </w:r>
      <w:r w:rsidRPr="00D87A6F">
        <w:rPr>
          <w:rFonts w:cs="Arial"/>
        </w:rPr>
        <w:t xml:space="preserve">Radiocommunications (Spectrum Re-allocation) Declaration No.1 of 2011 </w:t>
      </w:r>
      <w:r>
        <w:rPr>
          <w:rFonts w:cs="Arial"/>
        </w:rPr>
        <w:t>(</w:t>
      </w:r>
      <w:r w:rsidRPr="00D87A6F">
        <w:rPr>
          <w:rFonts w:cs="Arial"/>
        </w:rPr>
        <w:t>the declaration</w:t>
      </w:r>
      <w:r>
        <w:rPr>
          <w:rFonts w:cs="Arial"/>
        </w:rPr>
        <w:t xml:space="preserve">) </w:t>
      </w:r>
      <w:r>
        <w:rPr>
          <w:rFonts w:cs="Arial"/>
          <w:szCs w:val="26"/>
        </w:rPr>
        <w:t xml:space="preserve">on </w:t>
      </w:r>
      <w:r w:rsidRPr="00080443">
        <w:rPr>
          <w:rFonts w:cs="Arial"/>
        </w:rPr>
        <w:t>1 November 2011</w:t>
      </w:r>
      <w:r>
        <w:rPr>
          <w:rFonts w:cs="Arial"/>
        </w:rPr>
        <w:t>.</w:t>
      </w:r>
      <w:r>
        <w:rPr>
          <w:rStyle w:val="FootnoteReference"/>
          <w:rFonts w:cs="Arial"/>
        </w:rPr>
        <w:footnoteReference w:id="5"/>
      </w:r>
      <w:r>
        <w:rPr>
          <w:rFonts w:cs="Arial"/>
        </w:rPr>
        <w:t xml:space="preserve"> The declaration provides that the </w:t>
      </w:r>
      <w:r w:rsidRPr="00080443">
        <w:rPr>
          <w:rFonts w:cs="Arial"/>
        </w:rPr>
        <w:t>700 MHz band</w:t>
      </w:r>
      <w:r>
        <w:rPr>
          <w:rFonts w:cs="Arial"/>
        </w:rPr>
        <w:t xml:space="preserve"> </w:t>
      </w:r>
      <w:r w:rsidRPr="00080443">
        <w:rPr>
          <w:rFonts w:cs="Arial"/>
        </w:rPr>
        <w:t xml:space="preserve">should be reallocated </w:t>
      </w:r>
      <w:r w:rsidR="00215841">
        <w:rPr>
          <w:rFonts w:cs="Arial"/>
        </w:rPr>
        <w:t>by</w:t>
      </w:r>
      <w:r w:rsidRPr="00080443">
        <w:rPr>
          <w:rFonts w:cs="Arial"/>
        </w:rPr>
        <w:t xml:space="preserve"> issuing spectrum licences. </w:t>
      </w:r>
    </w:p>
    <w:p w14:paraId="48A8E2B9" w14:textId="77777777" w:rsidR="00CD2AC6" w:rsidRPr="00080443" w:rsidRDefault="00CD2AC6" w:rsidP="00CD2AC6">
      <w:pPr>
        <w:rPr>
          <w:rFonts w:cs="Arial"/>
        </w:rPr>
      </w:pPr>
      <w:r w:rsidRPr="00080443">
        <w:rPr>
          <w:rFonts w:cs="Arial"/>
        </w:rPr>
        <w:t>The declaration provide</w:t>
      </w:r>
      <w:r w:rsidR="00706CAE">
        <w:rPr>
          <w:rFonts w:cs="Arial"/>
        </w:rPr>
        <w:t>s</w:t>
      </w:r>
      <w:r w:rsidRPr="00080443">
        <w:rPr>
          <w:rFonts w:cs="Arial"/>
        </w:rPr>
        <w:t xml:space="preserve"> that the spectrum in the 700 MHz </w:t>
      </w:r>
      <w:r w:rsidR="00706CAE">
        <w:rPr>
          <w:rFonts w:cs="Arial"/>
        </w:rPr>
        <w:t xml:space="preserve">band </w:t>
      </w:r>
      <w:r w:rsidRPr="00080443">
        <w:rPr>
          <w:rFonts w:cs="Arial"/>
        </w:rPr>
        <w:t>should be realloc</w:t>
      </w:r>
      <w:r w:rsidR="00684568">
        <w:rPr>
          <w:rFonts w:cs="Arial"/>
        </w:rPr>
        <w:t>ated nationally, excluding the m</w:t>
      </w:r>
      <w:r w:rsidRPr="00080443">
        <w:rPr>
          <w:rFonts w:cs="Arial"/>
        </w:rPr>
        <w:t xml:space="preserve">id-west Radio Quiet Zone (RQZ). The ACMA endeavours to maintain low levels of radiofrequency emissions in the RQZ area (near Boolardy Station, approximately 200 kilometres west of Meekatharra in remote Western Australia) to facilitate the development and use of radioastronomy technologies at the Murchison Radio-astronomy Observatory. </w:t>
      </w:r>
    </w:p>
    <w:p w14:paraId="120EB4D7" w14:textId="77777777" w:rsidR="00F5015A" w:rsidRPr="003B2207" w:rsidRDefault="00F5015A" w:rsidP="00943776">
      <w:pPr>
        <w:pStyle w:val="Heading2"/>
        <w:spacing w:before="0"/>
      </w:pPr>
      <w:bookmarkStart w:id="25" w:name="_Toc459210804"/>
      <w:bookmarkStart w:id="26" w:name="_Toc461025807"/>
      <w:bookmarkStart w:id="27" w:name="_Toc463862890"/>
      <w:r w:rsidRPr="003B2207">
        <w:t>The</w:t>
      </w:r>
      <w:r>
        <w:t xml:space="preserve"> </w:t>
      </w:r>
      <w:r w:rsidR="00806096">
        <w:t>700 MHz</w:t>
      </w:r>
      <w:r w:rsidR="00684568">
        <w:t xml:space="preserve"> band—</w:t>
      </w:r>
      <w:r>
        <w:t>unsold lots spectrum</w:t>
      </w:r>
      <w:r w:rsidRPr="003B2207">
        <w:t xml:space="preserve"> auction</w:t>
      </w:r>
      <w:bookmarkEnd w:id="25"/>
      <w:bookmarkEnd w:id="26"/>
      <w:bookmarkEnd w:id="27"/>
    </w:p>
    <w:p w14:paraId="593C6995" w14:textId="77777777" w:rsidR="00F5015A" w:rsidRDefault="00893FA4" w:rsidP="00F5015A">
      <w:r>
        <w:t>The</w:t>
      </w:r>
      <w:r w:rsidR="00F5015A">
        <w:t xml:space="preserve"> ACMA</w:t>
      </w:r>
      <w:r>
        <w:t xml:space="preserve"> has begun</w:t>
      </w:r>
      <w:r w:rsidR="00F5015A">
        <w:t xml:space="preserve"> preparing to allocate the </w:t>
      </w:r>
      <w:r w:rsidR="00806096">
        <w:t>700 MHz</w:t>
      </w:r>
      <w:r w:rsidR="00F5015A">
        <w:t xml:space="preserve"> unsold lots through a second auction</w:t>
      </w:r>
      <w:r w:rsidR="00684568">
        <w:t>—</w:t>
      </w:r>
      <w:r w:rsidR="00F5015A">
        <w:t xml:space="preserve">the unsold lots auction. </w:t>
      </w:r>
    </w:p>
    <w:p w14:paraId="7DAB4BEC" w14:textId="77777777" w:rsidR="00F5015A" w:rsidRDefault="00B70855" w:rsidP="00F5015A">
      <w:pPr>
        <w:spacing w:before="240"/>
      </w:pPr>
      <w:r>
        <w:t>The ACMA proposes that t</w:t>
      </w:r>
      <w:r w:rsidR="00F5015A">
        <w:t xml:space="preserve">he unsold lots </w:t>
      </w:r>
      <w:r w:rsidR="00F5015A" w:rsidRPr="003B2207">
        <w:t xml:space="preserve">auction will be run online using a </w:t>
      </w:r>
      <w:r w:rsidR="00F5015A">
        <w:t>Simple Clock Auction (</w:t>
      </w:r>
      <w:r w:rsidR="00F5015A" w:rsidRPr="00684568">
        <w:t>SCA</w:t>
      </w:r>
      <w:r w:rsidR="00F5015A">
        <w:t xml:space="preserve">) format. </w:t>
      </w:r>
      <w:r w:rsidR="002D0E9D">
        <w:t>An</w:t>
      </w:r>
      <w:r w:rsidR="00F5015A">
        <w:t xml:space="preserve"> SCA </w:t>
      </w:r>
      <w:r w:rsidR="002D0E9D">
        <w:t xml:space="preserve">is </w:t>
      </w:r>
      <w:r w:rsidR="00BC379D">
        <w:t xml:space="preserve">like </w:t>
      </w:r>
      <w:r w:rsidR="002D0E9D">
        <w:t>an English Open Outcry auction</w:t>
      </w:r>
      <w:r w:rsidR="002D0E9D" w:rsidRPr="00343390">
        <w:t xml:space="preserve"> </w:t>
      </w:r>
      <w:r w:rsidR="002D0E9D">
        <w:t>(</w:t>
      </w:r>
      <w:r w:rsidR="002D0E9D" w:rsidRPr="00684568">
        <w:t>EOO</w:t>
      </w:r>
      <w:r w:rsidR="002D0E9D">
        <w:t>)</w:t>
      </w:r>
      <w:r w:rsidR="00684568">
        <w:t>,</w:t>
      </w:r>
      <w:r w:rsidR="002D0E9D">
        <w:t xml:space="preserve"> where </w:t>
      </w:r>
      <w:r w:rsidR="00F5015A">
        <w:t>all</w:t>
      </w:r>
      <w:r w:rsidR="00F5015A" w:rsidRPr="003B2207">
        <w:t xml:space="preserve"> lots </w:t>
      </w:r>
      <w:r w:rsidR="00F5015A">
        <w:t xml:space="preserve">may be </w:t>
      </w:r>
      <w:r w:rsidR="00F5015A" w:rsidRPr="003B2207">
        <w:t xml:space="preserve">open for bidding </w:t>
      </w:r>
      <w:r w:rsidR="002D0E9D">
        <w:t xml:space="preserve">in </w:t>
      </w:r>
      <w:r w:rsidR="002D0E9D" w:rsidRPr="00343390">
        <w:t>a simple ascending-bid process</w:t>
      </w:r>
      <w:r w:rsidR="002D0E9D" w:rsidRPr="003B2207">
        <w:t xml:space="preserve"> </w:t>
      </w:r>
      <w:r w:rsidR="00F5015A" w:rsidRPr="003B2207">
        <w:t>at the same time</w:t>
      </w:r>
      <w:r w:rsidR="00BC379D">
        <w:t>,</w:t>
      </w:r>
      <w:r w:rsidR="002D0E9D">
        <w:t xml:space="preserve"> or </w:t>
      </w:r>
      <w:r w:rsidR="00BC379D">
        <w:t xml:space="preserve">they may be </w:t>
      </w:r>
      <w:r w:rsidR="002D0E9D">
        <w:t xml:space="preserve">allocated sequentially. </w:t>
      </w:r>
      <w:r w:rsidR="00F5015A">
        <w:t xml:space="preserve">The SCA methodology </w:t>
      </w:r>
      <w:r w:rsidR="00F5015A" w:rsidRPr="00EB6EC1">
        <w:t xml:space="preserve">combines the </w:t>
      </w:r>
      <w:r w:rsidR="00F5015A">
        <w:t>simplicity</w:t>
      </w:r>
      <w:r w:rsidR="00F5015A" w:rsidRPr="00EB6EC1">
        <w:t xml:space="preserve"> of the EOO auction</w:t>
      </w:r>
      <w:r w:rsidR="00F5015A">
        <w:t xml:space="preserve"> format with additional functionality</w:t>
      </w:r>
      <w:r w:rsidR="00F5015A" w:rsidRPr="00EB6EC1">
        <w:t xml:space="preserve"> enabled</w:t>
      </w:r>
      <w:r w:rsidR="00F5015A">
        <w:t xml:space="preserve"> by an electronic platform</w:t>
      </w:r>
      <w:r w:rsidR="00F5015A" w:rsidRPr="00EB6EC1">
        <w:t xml:space="preserve">. </w:t>
      </w:r>
      <w:r w:rsidR="00F5015A">
        <w:t>A</w:t>
      </w:r>
      <w:r w:rsidR="00BC379D">
        <w:t>n</w:t>
      </w:r>
      <w:r w:rsidR="00F5015A">
        <w:t xml:space="preserve"> SCA format</w:t>
      </w:r>
      <w:r w:rsidR="00F5015A" w:rsidRPr="00343390">
        <w:t xml:space="preserve"> formalises the process by which prices increase and how much time bidders are given to </w:t>
      </w:r>
      <w:r w:rsidR="00F5015A">
        <w:t xml:space="preserve">place </w:t>
      </w:r>
      <w:r w:rsidR="00F5015A" w:rsidRPr="00343390">
        <w:t xml:space="preserve">bids. </w:t>
      </w:r>
    </w:p>
    <w:p w14:paraId="2F8C91EC" w14:textId="77777777" w:rsidR="00F5015A" w:rsidRDefault="00F5015A" w:rsidP="00F5015A">
      <w:pPr>
        <w:spacing w:before="240"/>
      </w:pPr>
      <w:r>
        <w:t xml:space="preserve">Further discussion about the lots </w:t>
      </w:r>
      <w:r w:rsidR="00BC379D">
        <w:t>on offer and the auction format and</w:t>
      </w:r>
      <w:r w:rsidR="00874800">
        <w:t xml:space="preserve"> </w:t>
      </w:r>
      <w:r>
        <w:t>rule</w:t>
      </w:r>
      <w:r w:rsidR="00684568">
        <w:t>s is provided in c</w:t>
      </w:r>
      <w:r w:rsidR="005C48C2">
        <w:t xml:space="preserve">hapters </w:t>
      </w:r>
      <w:r w:rsidR="00874800">
        <w:t>2 and 3</w:t>
      </w:r>
      <w:r>
        <w:t>.</w:t>
      </w:r>
    </w:p>
    <w:p w14:paraId="3EC6E7DF" w14:textId="77777777" w:rsidR="00F5015A" w:rsidRDefault="00CB5A6E" w:rsidP="00F5015A">
      <w:r>
        <w:t xml:space="preserve">Following consideration of matters raised in submissions to this paper, the ACMA will make the </w:t>
      </w:r>
      <w:r w:rsidR="00F5015A">
        <w:t xml:space="preserve">allocation instruments </w:t>
      </w:r>
      <w:r>
        <w:t xml:space="preserve">and </w:t>
      </w:r>
      <w:r w:rsidR="00F5015A">
        <w:t xml:space="preserve">invite interested parties to register as bidders for the </w:t>
      </w:r>
      <w:r w:rsidR="00806096">
        <w:t>700 MHz</w:t>
      </w:r>
      <w:r w:rsidR="00F5015A">
        <w:t xml:space="preserve"> band unsold lots auction. Registered bidders will be provided with an opportunity </w:t>
      </w:r>
      <w:r w:rsidR="00576F3A">
        <w:t xml:space="preserve">prior to the auction </w:t>
      </w:r>
      <w:r w:rsidR="00F5015A">
        <w:t>to trial the computer systems and/or software that</w:t>
      </w:r>
      <w:r w:rsidR="003966DB">
        <w:t xml:space="preserve"> </w:t>
      </w:r>
      <w:r w:rsidR="00F5015A">
        <w:t xml:space="preserve">will be used for the auction. </w:t>
      </w:r>
    </w:p>
    <w:p w14:paraId="6FBA2762" w14:textId="77777777" w:rsidR="00CB5A6E" w:rsidRDefault="00AF687A" w:rsidP="00CB5A6E">
      <w:pPr>
        <w:pStyle w:val="Heading3"/>
      </w:pPr>
      <w:bookmarkStart w:id="28" w:name="_Toc463862891"/>
      <w:r>
        <w:t>Indicative t</w:t>
      </w:r>
      <w:r w:rsidR="00CB5A6E">
        <w:t>imeline</w:t>
      </w:r>
      <w:bookmarkEnd w:id="28"/>
    </w:p>
    <w:p w14:paraId="5385BE7B" w14:textId="77777777" w:rsidR="007B752E" w:rsidRDefault="007B752E" w:rsidP="007B752E">
      <w:r>
        <w:t xml:space="preserve">The ACMA has prepared the following indicative timeline (Table 1) to assist potentially interested parties in considering whether or not they might wish to participate in the unsold lots auction. </w:t>
      </w:r>
      <w:r w:rsidRPr="00120D4C">
        <w:t>The ACMA emphasises that the dates in this timeline are estimates only and may change as the allocation process progresses</w:t>
      </w:r>
      <w:r>
        <w:t>, including following consideration of information provided by bidders during consultation</w:t>
      </w:r>
      <w:r w:rsidRPr="00120D4C">
        <w:t>.</w:t>
      </w:r>
      <w:r>
        <w:t xml:space="preserve"> </w:t>
      </w:r>
    </w:p>
    <w:p w14:paraId="4CE95378" w14:textId="77777777" w:rsidR="007B752E" w:rsidRDefault="007B752E" w:rsidP="007B752E">
      <w:r>
        <w:t>The proposed time frame contemplates commencement of the application process in mid-January in recognition of the Christmas</w:t>
      </w:r>
      <w:r w:rsidR="0034593D">
        <w:t>–</w:t>
      </w:r>
      <w:r>
        <w:t xml:space="preserve">New Year period. If bidder requirements necessitated deferral to the end of January, commencement of the auction itself would be delayed till late in April. </w:t>
      </w:r>
    </w:p>
    <w:p w14:paraId="2E33F3D1" w14:textId="77777777" w:rsidR="007B752E" w:rsidRDefault="007B752E" w:rsidP="007B752E">
      <w:r>
        <w:t>The ACMA will provide updated timelines on its website as and when further information becomes available. However, the ACMA considers that it is appropriate to provide an indicative timeline to assist interested parties in preparing for key points in the process.</w:t>
      </w:r>
    </w:p>
    <w:p w14:paraId="1A1D6EDF" w14:textId="77777777" w:rsidR="00B5276B" w:rsidRDefault="007B752E" w:rsidP="00B5276B">
      <w:r>
        <w:t>In his letter to</w:t>
      </w:r>
      <w:r w:rsidR="0034593D">
        <w:t xml:space="preserve"> the ACMA dated 5 October, the m</w:t>
      </w:r>
      <w:r>
        <w:t xml:space="preserve">inister affirmed the government’s intention that this matter be resolved as quickly as possible to provide investment certainty to </w:t>
      </w:r>
      <w:r w:rsidRPr="001C7709">
        <w:t>industry.</w:t>
      </w:r>
    </w:p>
    <w:p w14:paraId="76332199" w14:textId="77777777" w:rsidR="00B5276B" w:rsidRPr="00264872" w:rsidRDefault="00B5276B" w:rsidP="00B5276B">
      <w:pPr>
        <w:pBdr>
          <w:top w:val="single" w:sz="4" w:space="1" w:color="auto"/>
          <w:left w:val="single" w:sz="4" w:space="4" w:color="auto"/>
          <w:bottom w:val="single" w:sz="4" w:space="1" w:color="auto"/>
          <w:right w:val="single" w:sz="4" w:space="4" w:color="auto"/>
        </w:pBdr>
        <w:shd w:val="clear" w:color="auto" w:fill="D9D9D9" w:themeFill="background1" w:themeFillShade="D9"/>
        <w:spacing w:after="0"/>
        <w:rPr>
          <w:b/>
        </w:rPr>
      </w:pPr>
      <w:r w:rsidRPr="00264872">
        <w:rPr>
          <w:b/>
          <w:caps/>
        </w:rPr>
        <w:t>Issue for comment</w:t>
      </w:r>
      <w:r w:rsidRPr="00264872">
        <w:rPr>
          <w:b/>
        </w:rPr>
        <w:t xml:space="preserve"> 1—</w:t>
      </w:r>
      <w:r>
        <w:rPr>
          <w:b/>
        </w:rPr>
        <w:t>Proposed timeline</w:t>
      </w:r>
    </w:p>
    <w:p w14:paraId="229CDA74" w14:textId="77777777" w:rsidR="00B5276B" w:rsidRPr="00264872" w:rsidRDefault="00B5276B" w:rsidP="00B5276B">
      <w:pPr>
        <w:pBdr>
          <w:top w:val="single" w:sz="4" w:space="1" w:color="auto"/>
          <w:left w:val="single" w:sz="4" w:space="4" w:color="auto"/>
          <w:bottom w:val="single" w:sz="4" w:space="1" w:color="auto"/>
          <w:right w:val="single" w:sz="4" w:space="4" w:color="auto"/>
        </w:pBdr>
        <w:shd w:val="clear" w:color="auto" w:fill="D9D9D9" w:themeFill="background1" w:themeFillShade="D9"/>
        <w:spacing w:after="0"/>
      </w:pPr>
      <w:r w:rsidRPr="00264872">
        <w:t xml:space="preserve">The ACMA seeks stakeholder views on the </w:t>
      </w:r>
      <w:r>
        <w:t>proposed timeline of the 700 MHz auction</w:t>
      </w:r>
      <w:r w:rsidRPr="00264872">
        <w:rPr>
          <w:rFonts w:cs="Arial"/>
        </w:rPr>
        <w:t xml:space="preserve">. </w:t>
      </w:r>
    </w:p>
    <w:p w14:paraId="76754EF5" w14:textId="77777777" w:rsidR="00B5276B" w:rsidRDefault="00B5276B" w:rsidP="00D0455B">
      <w:pPr>
        <w:pStyle w:val="ACMASpaceaftertable"/>
      </w:pPr>
    </w:p>
    <w:p w14:paraId="0D62FD66" w14:textId="77777777" w:rsidR="00684568" w:rsidRDefault="00684568" w:rsidP="00D0455B">
      <w:pPr>
        <w:pStyle w:val="ACMATableHeader"/>
      </w:pPr>
      <w:r>
        <w:t>Indicative timeline for unsold lots auction</w:t>
      </w:r>
    </w:p>
    <w:tbl>
      <w:tblPr>
        <w:tblStyle w:val="TableGrid"/>
        <w:tblW w:w="8511" w:type="dxa"/>
        <w:tblInd w:w="50" w:type="dxa"/>
        <w:tblLayout w:type="fixed"/>
        <w:tblCellMar>
          <w:top w:w="85" w:type="dxa"/>
          <w:left w:w="57" w:type="dxa"/>
          <w:bottom w:w="85" w:type="dxa"/>
          <w:right w:w="57" w:type="dxa"/>
        </w:tblCellMar>
        <w:tblLook w:val="04A0" w:firstRow="1" w:lastRow="0" w:firstColumn="1" w:lastColumn="0" w:noHBand="0" w:noVBand="1"/>
        <w:tblCaption w:val="Indicative timeline for unsold lot auctions"/>
        <w:tblDescription w:val="Includes desciption of the event and date."/>
      </w:tblPr>
      <w:tblGrid>
        <w:gridCol w:w="427"/>
        <w:gridCol w:w="5924"/>
        <w:gridCol w:w="2160"/>
      </w:tblGrid>
      <w:tr w:rsidR="00684568" w:rsidRPr="00080443" w14:paraId="2B10E730" w14:textId="77777777" w:rsidTr="00625FEF">
        <w:trPr>
          <w:trHeight w:val="278"/>
          <w:tblHeader/>
        </w:trPr>
        <w:tc>
          <w:tcPr>
            <w:tcW w:w="427" w:type="dxa"/>
            <w:tcBorders>
              <w:top w:val="nil"/>
              <w:left w:val="nil"/>
              <w:bottom w:val="single" w:sz="4" w:space="0" w:color="auto"/>
            </w:tcBorders>
            <w:shd w:val="clear" w:color="auto" w:fill="auto"/>
          </w:tcPr>
          <w:p w14:paraId="299FF737" w14:textId="77777777" w:rsidR="00684568" w:rsidRPr="00080443" w:rsidRDefault="00684568" w:rsidP="00625FEF">
            <w:pPr>
              <w:spacing w:before="80" w:after="0"/>
              <w:rPr>
                <w:rFonts w:cs="Arial"/>
                <w:b/>
              </w:rPr>
            </w:pPr>
          </w:p>
        </w:tc>
        <w:tc>
          <w:tcPr>
            <w:tcW w:w="5924" w:type="dxa"/>
            <w:tcBorders>
              <w:bottom w:val="single" w:sz="4" w:space="0" w:color="auto"/>
            </w:tcBorders>
            <w:shd w:val="clear" w:color="auto" w:fill="404040" w:themeFill="text1" w:themeFillTint="BF"/>
          </w:tcPr>
          <w:p w14:paraId="78DBC58E" w14:textId="77777777" w:rsidR="00684568" w:rsidRPr="00625FEF" w:rsidRDefault="00684568" w:rsidP="00625FEF">
            <w:pPr>
              <w:pStyle w:val="TableHeading"/>
              <w:rPr>
                <w:b w:val="0"/>
                <w:color w:val="FFFFFF" w:themeColor="background1"/>
              </w:rPr>
            </w:pPr>
            <w:r w:rsidRPr="00625FEF">
              <w:rPr>
                <w:color w:val="FFFFFF" w:themeColor="background1"/>
              </w:rPr>
              <w:t>Event</w:t>
            </w:r>
          </w:p>
        </w:tc>
        <w:tc>
          <w:tcPr>
            <w:tcW w:w="2160" w:type="dxa"/>
            <w:tcBorders>
              <w:bottom w:val="single" w:sz="4" w:space="0" w:color="auto"/>
            </w:tcBorders>
            <w:shd w:val="clear" w:color="auto" w:fill="404040" w:themeFill="text1" w:themeFillTint="BF"/>
          </w:tcPr>
          <w:p w14:paraId="2236CADB" w14:textId="77777777" w:rsidR="00684568" w:rsidRPr="00625FEF" w:rsidRDefault="00684568" w:rsidP="00625FEF">
            <w:pPr>
              <w:pStyle w:val="TableHeading"/>
              <w:rPr>
                <w:b w:val="0"/>
                <w:color w:val="FFFFFF" w:themeColor="background1"/>
              </w:rPr>
            </w:pPr>
            <w:r w:rsidRPr="00625FEF">
              <w:rPr>
                <w:color w:val="FFFFFF" w:themeColor="background1"/>
              </w:rPr>
              <w:t>Date</w:t>
            </w:r>
          </w:p>
        </w:tc>
      </w:tr>
      <w:tr w:rsidR="00684568" w:rsidRPr="00080443" w14:paraId="60F73AC8" w14:textId="77777777" w:rsidTr="00625FEF">
        <w:trPr>
          <w:trHeight w:val="467"/>
        </w:trPr>
        <w:tc>
          <w:tcPr>
            <w:tcW w:w="427" w:type="dxa"/>
            <w:shd w:val="clear" w:color="auto" w:fill="E5DFEC" w:themeFill="accent4" w:themeFillTint="33"/>
          </w:tcPr>
          <w:p w14:paraId="4281D5AF" w14:textId="77777777" w:rsidR="00684568" w:rsidRPr="00080443" w:rsidRDefault="007321BC" w:rsidP="00625FEF">
            <w:pPr>
              <w:pStyle w:val="ListNumber"/>
              <w:spacing w:after="0"/>
            </w:pPr>
            <w:r>
              <w:t>1.</w:t>
            </w:r>
          </w:p>
        </w:tc>
        <w:tc>
          <w:tcPr>
            <w:tcW w:w="5924" w:type="dxa"/>
            <w:shd w:val="clear" w:color="auto" w:fill="E5DFEC" w:themeFill="accent4" w:themeFillTint="33"/>
          </w:tcPr>
          <w:p w14:paraId="09EF6BBA" w14:textId="77777777" w:rsidR="00684568" w:rsidRPr="00080443" w:rsidRDefault="00684568" w:rsidP="00625FEF">
            <w:pPr>
              <w:spacing w:after="0"/>
            </w:pPr>
            <w:r>
              <w:t>The ACMA invites comments on the draft allocation instruments</w:t>
            </w:r>
            <w:r w:rsidR="00AC2AAF">
              <w:t>—</w:t>
            </w:r>
            <w:r>
              <w:t>this paper</w:t>
            </w:r>
            <w:r w:rsidR="00AC2AAF">
              <w:t>.</w:t>
            </w:r>
          </w:p>
        </w:tc>
        <w:tc>
          <w:tcPr>
            <w:tcW w:w="2160" w:type="dxa"/>
            <w:shd w:val="clear" w:color="auto" w:fill="E5DFEC" w:themeFill="accent4" w:themeFillTint="33"/>
          </w:tcPr>
          <w:p w14:paraId="4104672F" w14:textId="77777777" w:rsidR="00684568" w:rsidRPr="00080443" w:rsidRDefault="00684568" w:rsidP="00625FEF">
            <w:pPr>
              <w:spacing w:after="0"/>
              <w:rPr>
                <w:rFonts w:cs="Arial"/>
              </w:rPr>
            </w:pPr>
            <w:r>
              <w:rPr>
                <w:rFonts w:cs="Arial"/>
              </w:rPr>
              <w:t xml:space="preserve">21 October 2016 </w:t>
            </w:r>
            <w:r w:rsidR="00AC2AAF">
              <w:rPr>
                <w:rFonts w:cs="Arial"/>
              </w:rPr>
              <w:t>– 17 </w:t>
            </w:r>
            <w:r>
              <w:rPr>
                <w:rFonts w:cs="Arial"/>
              </w:rPr>
              <w:t>November 2016</w:t>
            </w:r>
          </w:p>
        </w:tc>
      </w:tr>
      <w:tr w:rsidR="00684568" w:rsidRPr="00080443" w14:paraId="607674AE" w14:textId="77777777" w:rsidTr="00625FEF">
        <w:tc>
          <w:tcPr>
            <w:tcW w:w="427" w:type="dxa"/>
          </w:tcPr>
          <w:p w14:paraId="0796FA27" w14:textId="77777777" w:rsidR="00684568" w:rsidRPr="00080443" w:rsidRDefault="00684568" w:rsidP="00625FEF">
            <w:pPr>
              <w:pStyle w:val="ListNumber"/>
              <w:spacing w:after="0"/>
            </w:pPr>
          </w:p>
        </w:tc>
        <w:tc>
          <w:tcPr>
            <w:tcW w:w="5924" w:type="dxa"/>
          </w:tcPr>
          <w:p w14:paraId="4607686F" w14:textId="77777777" w:rsidR="00684568" w:rsidRPr="00080443" w:rsidRDefault="00684568" w:rsidP="00625FEF">
            <w:pPr>
              <w:spacing w:after="0"/>
            </w:pPr>
            <w:r>
              <w:t>The ACMA makes allocation instruments and registers them on the Federal Register of Legislation</w:t>
            </w:r>
            <w:r w:rsidR="00AC2AAF">
              <w:t>.</w:t>
            </w:r>
          </w:p>
        </w:tc>
        <w:tc>
          <w:tcPr>
            <w:tcW w:w="2160" w:type="dxa"/>
          </w:tcPr>
          <w:p w14:paraId="253E41FE" w14:textId="77777777" w:rsidR="00684568" w:rsidRPr="00080443" w:rsidRDefault="00684568" w:rsidP="00AC2AAF">
            <w:pPr>
              <w:spacing w:before="80" w:after="120"/>
              <w:rPr>
                <w:rFonts w:cs="Arial"/>
              </w:rPr>
            </w:pPr>
            <w:r>
              <w:rPr>
                <w:rFonts w:cs="Arial"/>
              </w:rPr>
              <w:t>Late December 2016</w:t>
            </w:r>
          </w:p>
        </w:tc>
      </w:tr>
      <w:tr w:rsidR="00684568" w:rsidRPr="00080443" w14:paraId="5D0653C0" w14:textId="77777777" w:rsidTr="00625FEF">
        <w:tc>
          <w:tcPr>
            <w:tcW w:w="427" w:type="dxa"/>
            <w:shd w:val="clear" w:color="auto" w:fill="F2F2F2" w:themeFill="background1" w:themeFillShade="F2"/>
          </w:tcPr>
          <w:p w14:paraId="3B671506" w14:textId="77777777" w:rsidR="00684568" w:rsidRPr="00080443" w:rsidRDefault="00684568" w:rsidP="00625FEF">
            <w:pPr>
              <w:pStyle w:val="ListNumber"/>
              <w:rPr>
                <w:rFonts w:cs="Arial"/>
              </w:rPr>
            </w:pPr>
          </w:p>
        </w:tc>
        <w:tc>
          <w:tcPr>
            <w:tcW w:w="5924" w:type="dxa"/>
            <w:shd w:val="clear" w:color="auto" w:fill="F2F2F2" w:themeFill="background1" w:themeFillShade="F2"/>
          </w:tcPr>
          <w:p w14:paraId="7C9E4A89" w14:textId="77777777" w:rsidR="00684568" w:rsidRPr="00080443" w:rsidRDefault="00684568" w:rsidP="00625FEF">
            <w:pPr>
              <w:spacing w:after="0"/>
            </w:pPr>
            <w:r w:rsidRPr="00080443">
              <w:t xml:space="preserve">The ACMA advertises auction, publishes the </w:t>
            </w:r>
            <w:r w:rsidRPr="00080443">
              <w:rPr>
                <w:i/>
              </w:rPr>
              <w:t>Applicant information pack</w:t>
            </w:r>
            <w:r w:rsidRPr="00080443">
              <w:t xml:space="preserve"> and applications open</w:t>
            </w:r>
            <w:r w:rsidR="00AC2AAF">
              <w:t>.</w:t>
            </w:r>
          </w:p>
        </w:tc>
        <w:tc>
          <w:tcPr>
            <w:tcW w:w="2160" w:type="dxa"/>
            <w:shd w:val="clear" w:color="auto" w:fill="F2F2F2" w:themeFill="background1" w:themeFillShade="F2"/>
          </w:tcPr>
          <w:p w14:paraId="5F9E7549" w14:textId="77777777" w:rsidR="00684568" w:rsidRPr="00080443" w:rsidRDefault="00025A88" w:rsidP="00625FEF">
            <w:r>
              <w:t xml:space="preserve">16 </w:t>
            </w:r>
            <w:r w:rsidR="00684568">
              <w:t>January 2017</w:t>
            </w:r>
          </w:p>
        </w:tc>
      </w:tr>
      <w:tr w:rsidR="00684568" w:rsidRPr="00080443" w14:paraId="4182A2D8" w14:textId="77777777" w:rsidTr="00625FEF">
        <w:tc>
          <w:tcPr>
            <w:tcW w:w="427" w:type="dxa"/>
          </w:tcPr>
          <w:p w14:paraId="56C7CB9C" w14:textId="77777777" w:rsidR="00684568" w:rsidRPr="00080443" w:rsidRDefault="00684568" w:rsidP="00625FEF">
            <w:pPr>
              <w:pStyle w:val="ListNumber"/>
              <w:rPr>
                <w:rFonts w:cs="Arial"/>
              </w:rPr>
            </w:pPr>
          </w:p>
        </w:tc>
        <w:tc>
          <w:tcPr>
            <w:tcW w:w="5924" w:type="dxa"/>
          </w:tcPr>
          <w:p w14:paraId="49DAF7DD" w14:textId="77777777" w:rsidR="00684568" w:rsidRPr="00080443" w:rsidRDefault="00684568" w:rsidP="00625FEF">
            <w:pPr>
              <w:spacing w:after="80"/>
            </w:pPr>
            <w:r w:rsidRPr="00080443">
              <w:t>Application deadline. By this date, applicants will need to:</w:t>
            </w:r>
          </w:p>
          <w:p w14:paraId="7063AB1B" w14:textId="77777777" w:rsidR="00684568" w:rsidRPr="00080443" w:rsidRDefault="00684568" w:rsidP="00625FEF">
            <w:pPr>
              <w:pStyle w:val="ListBullet"/>
            </w:pPr>
            <w:r w:rsidRPr="00080443">
              <w:t>submit a completed application form</w:t>
            </w:r>
          </w:p>
          <w:p w14:paraId="3AA81223" w14:textId="77777777" w:rsidR="00684568" w:rsidRPr="00080443" w:rsidRDefault="00684568" w:rsidP="00625FEF">
            <w:pPr>
              <w:pStyle w:val="ListBullet"/>
            </w:pPr>
            <w:r w:rsidRPr="00080443">
              <w:t>submit a completed deed of acknowledgement form</w:t>
            </w:r>
          </w:p>
          <w:p w14:paraId="5CCC8EC5" w14:textId="77777777" w:rsidR="00684568" w:rsidRPr="00080443" w:rsidRDefault="00684568" w:rsidP="00625FEF">
            <w:pPr>
              <w:pStyle w:val="ListBullet"/>
            </w:pPr>
            <w:r w:rsidRPr="00080443">
              <w:t>submit a completed deed of confidentiality form</w:t>
            </w:r>
          </w:p>
          <w:p w14:paraId="2E8E1567" w14:textId="77777777" w:rsidR="00684568" w:rsidRPr="00080443" w:rsidRDefault="00684568" w:rsidP="00625FEF">
            <w:pPr>
              <w:pStyle w:val="ListBulletLast"/>
              <w:spacing w:after="0"/>
            </w:pPr>
            <w:r w:rsidRPr="00080443">
              <w:t>pay the application fee.</w:t>
            </w:r>
          </w:p>
        </w:tc>
        <w:tc>
          <w:tcPr>
            <w:tcW w:w="2160" w:type="dxa"/>
          </w:tcPr>
          <w:p w14:paraId="1BD7D13C" w14:textId="77777777" w:rsidR="00684568" w:rsidRPr="00080443" w:rsidRDefault="00025A88" w:rsidP="00625FEF">
            <w:r>
              <w:t xml:space="preserve">13 </w:t>
            </w:r>
            <w:r w:rsidR="00684568">
              <w:t>February 2017</w:t>
            </w:r>
          </w:p>
        </w:tc>
      </w:tr>
      <w:tr w:rsidR="00684568" w:rsidRPr="00080443" w14:paraId="39B9016E" w14:textId="77777777" w:rsidTr="00625FEF">
        <w:trPr>
          <w:trHeight w:val="1170"/>
        </w:trPr>
        <w:tc>
          <w:tcPr>
            <w:tcW w:w="427" w:type="dxa"/>
            <w:shd w:val="clear" w:color="auto" w:fill="F2F2F2" w:themeFill="background1" w:themeFillShade="F2"/>
          </w:tcPr>
          <w:p w14:paraId="4BAE0D36" w14:textId="77777777" w:rsidR="00684568" w:rsidRPr="00080443" w:rsidRDefault="00684568" w:rsidP="00625FEF">
            <w:pPr>
              <w:pStyle w:val="ListNumber"/>
              <w:spacing w:after="0"/>
            </w:pPr>
          </w:p>
        </w:tc>
        <w:tc>
          <w:tcPr>
            <w:tcW w:w="5924" w:type="dxa"/>
            <w:shd w:val="clear" w:color="auto" w:fill="F2F2F2" w:themeFill="background1" w:themeFillShade="F2"/>
          </w:tcPr>
          <w:p w14:paraId="6F3DBB2A" w14:textId="77777777" w:rsidR="00684568" w:rsidRPr="00080443" w:rsidRDefault="00684568" w:rsidP="00625FEF">
            <w:pPr>
              <w:spacing w:after="0"/>
            </w:pPr>
            <w:r w:rsidRPr="00080443">
              <w:t>The ACMA gives each applicant details about the identity of all other applicants and their associates, and asks each applicant to make a statutory declaration about whether they are affiliated with another applicant</w:t>
            </w:r>
            <w:r>
              <w:t xml:space="preserve"> or previous successful bidder from the initial 700 MHz auction</w:t>
            </w:r>
            <w:r w:rsidRPr="00080443">
              <w:t>.</w:t>
            </w:r>
          </w:p>
        </w:tc>
        <w:tc>
          <w:tcPr>
            <w:tcW w:w="2160" w:type="dxa"/>
            <w:shd w:val="clear" w:color="auto" w:fill="F2F2F2" w:themeFill="background1" w:themeFillShade="F2"/>
          </w:tcPr>
          <w:p w14:paraId="2E421F56" w14:textId="77777777" w:rsidR="00684568" w:rsidRPr="00080443" w:rsidRDefault="00684568" w:rsidP="00625FEF">
            <w:pPr>
              <w:spacing w:after="0"/>
            </w:pPr>
            <w:r w:rsidRPr="00080443">
              <w:t>After application deadline</w:t>
            </w:r>
          </w:p>
        </w:tc>
      </w:tr>
      <w:tr w:rsidR="00684568" w:rsidRPr="00080443" w14:paraId="69E070DB" w14:textId="77777777" w:rsidTr="00625FEF">
        <w:tc>
          <w:tcPr>
            <w:tcW w:w="427" w:type="dxa"/>
          </w:tcPr>
          <w:p w14:paraId="0978B4FA" w14:textId="77777777" w:rsidR="00684568" w:rsidRPr="00080443" w:rsidRDefault="00684568" w:rsidP="00625FEF">
            <w:pPr>
              <w:pStyle w:val="ListNumber"/>
              <w:rPr>
                <w:rFonts w:cs="Arial"/>
              </w:rPr>
            </w:pPr>
          </w:p>
        </w:tc>
        <w:tc>
          <w:tcPr>
            <w:tcW w:w="5924" w:type="dxa"/>
          </w:tcPr>
          <w:p w14:paraId="76C39064" w14:textId="77777777" w:rsidR="00684568" w:rsidRPr="00080443" w:rsidRDefault="00684568" w:rsidP="00625FEF">
            <w:pPr>
              <w:spacing w:after="80"/>
            </w:pPr>
            <w:r>
              <w:t>Preference</w:t>
            </w:r>
            <w:r w:rsidRPr="00080443">
              <w:t xml:space="preserve"> deadline. By this date, applicants will need to:</w:t>
            </w:r>
          </w:p>
          <w:p w14:paraId="478747A9" w14:textId="77777777" w:rsidR="00684568" w:rsidRPr="00080443" w:rsidRDefault="00684568" w:rsidP="00625FEF">
            <w:pPr>
              <w:pStyle w:val="ListBullet"/>
            </w:pPr>
            <w:r w:rsidRPr="00080443">
              <w:t xml:space="preserve">lodge a completed </w:t>
            </w:r>
            <w:r>
              <w:t>preference</w:t>
            </w:r>
            <w:r w:rsidRPr="00080443">
              <w:t xml:space="preserve"> nomination form</w:t>
            </w:r>
          </w:p>
          <w:p w14:paraId="2BD4F7A3" w14:textId="77777777" w:rsidR="00684568" w:rsidRPr="00080443" w:rsidRDefault="00684568" w:rsidP="00625FEF">
            <w:pPr>
              <w:pStyle w:val="ListBulletLast"/>
              <w:spacing w:after="0"/>
            </w:pPr>
            <w:r>
              <w:t xml:space="preserve">make a preference </w:t>
            </w:r>
            <w:r w:rsidRPr="00080443">
              <w:t>payment, provide a deed of financial security or do both.</w:t>
            </w:r>
          </w:p>
        </w:tc>
        <w:tc>
          <w:tcPr>
            <w:tcW w:w="2160" w:type="dxa"/>
          </w:tcPr>
          <w:p w14:paraId="242CE881" w14:textId="77777777" w:rsidR="00684568" w:rsidRPr="00080443" w:rsidRDefault="00025A88" w:rsidP="00AC2AAF">
            <w:pPr>
              <w:spacing w:before="80" w:after="120"/>
              <w:rPr>
                <w:rFonts w:cs="Arial"/>
              </w:rPr>
            </w:pPr>
            <w:r>
              <w:rPr>
                <w:rFonts w:cs="Arial"/>
              </w:rPr>
              <w:t xml:space="preserve">16 </w:t>
            </w:r>
            <w:r w:rsidR="00684568">
              <w:rPr>
                <w:rFonts w:cs="Arial"/>
              </w:rPr>
              <w:t>March 2017</w:t>
            </w:r>
          </w:p>
        </w:tc>
      </w:tr>
      <w:tr w:rsidR="00684568" w:rsidRPr="00080443" w14:paraId="6BD604DE" w14:textId="77777777" w:rsidTr="00625FEF">
        <w:tc>
          <w:tcPr>
            <w:tcW w:w="427" w:type="dxa"/>
            <w:shd w:val="clear" w:color="auto" w:fill="F2F2F2" w:themeFill="background1" w:themeFillShade="F2"/>
          </w:tcPr>
          <w:p w14:paraId="62567326" w14:textId="77777777" w:rsidR="00684568" w:rsidRPr="00080443" w:rsidRDefault="00684568" w:rsidP="00625FEF">
            <w:pPr>
              <w:pStyle w:val="ListNumber"/>
              <w:rPr>
                <w:rFonts w:cs="Arial"/>
              </w:rPr>
            </w:pPr>
          </w:p>
        </w:tc>
        <w:tc>
          <w:tcPr>
            <w:tcW w:w="5924" w:type="dxa"/>
            <w:shd w:val="clear" w:color="auto" w:fill="F2F2F2" w:themeFill="background1" w:themeFillShade="F2"/>
          </w:tcPr>
          <w:p w14:paraId="298C60BB" w14:textId="77777777" w:rsidR="00684568" w:rsidRPr="00080443" w:rsidRDefault="00684568" w:rsidP="00625FEF">
            <w:pPr>
              <w:spacing w:after="0"/>
            </w:pPr>
            <w:r w:rsidRPr="00080443">
              <w:t>The ACMA tells registered bidders that they have been registered and may participate in the auction, and gives them information to enable their participation (e.g., information about how to access and use the online auction system).</w:t>
            </w:r>
          </w:p>
        </w:tc>
        <w:tc>
          <w:tcPr>
            <w:tcW w:w="2160" w:type="dxa"/>
            <w:shd w:val="clear" w:color="auto" w:fill="F2F2F2" w:themeFill="background1" w:themeFillShade="F2"/>
          </w:tcPr>
          <w:p w14:paraId="0967BD4E" w14:textId="77777777" w:rsidR="00684568" w:rsidRPr="00080443" w:rsidRDefault="00684568" w:rsidP="00625FEF">
            <w:r w:rsidRPr="00080443">
              <w:t xml:space="preserve">After </w:t>
            </w:r>
            <w:r>
              <w:t>preference</w:t>
            </w:r>
            <w:r w:rsidRPr="00080443">
              <w:t xml:space="preserve"> deadline</w:t>
            </w:r>
          </w:p>
        </w:tc>
      </w:tr>
      <w:tr w:rsidR="00684568" w:rsidRPr="00080443" w14:paraId="0CA3478D" w14:textId="77777777" w:rsidTr="00625FEF">
        <w:tc>
          <w:tcPr>
            <w:tcW w:w="427" w:type="dxa"/>
          </w:tcPr>
          <w:p w14:paraId="0C85A6F2" w14:textId="77777777" w:rsidR="00684568" w:rsidRPr="00080443" w:rsidRDefault="00684568" w:rsidP="00625FEF">
            <w:pPr>
              <w:pStyle w:val="ListNumber"/>
              <w:rPr>
                <w:rFonts w:cs="Arial"/>
              </w:rPr>
            </w:pPr>
          </w:p>
        </w:tc>
        <w:tc>
          <w:tcPr>
            <w:tcW w:w="5924" w:type="dxa"/>
          </w:tcPr>
          <w:p w14:paraId="7E6253C6" w14:textId="77777777" w:rsidR="00684568" w:rsidRPr="00080443" w:rsidRDefault="00684568" w:rsidP="00625FEF">
            <w:pPr>
              <w:spacing w:after="0"/>
            </w:pPr>
            <w:r>
              <w:t>M</w:t>
            </w:r>
            <w:r w:rsidRPr="00080443">
              <w:t xml:space="preserve">ock auction held, to </w:t>
            </w:r>
            <w:r>
              <w:t>familiarise</w:t>
            </w:r>
            <w:r w:rsidRPr="00080443">
              <w:t xml:space="preserve"> registered bidders with the auction system.</w:t>
            </w:r>
          </w:p>
        </w:tc>
        <w:tc>
          <w:tcPr>
            <w:tcW w:w="2160" w:type="dxa"/>
          </w:tcPr>
          <w:p w14:paraId="1D34C62C" w14:textId="77777777" w:rsidR="00684568" w:rsidRPr="00080443" w:rsidRDefault="00684568" w:rsidP="00625FEF">
            <w:r w:rsidRPr="00080443">
              <w:t>To be announced</w:t>
            </w:r>
          </w:p>
        </w:tc>
      </w:tr>
      <w:tr w:rsidR="00684568" w:rsidRPr="00080443" w14:paraId="7595BB59" w14:textId="77777777" w:rsidTr="00625FEF">
        <w:tc>
          <w:tcPr>
            <w:tcW w:w="427" w:type="dxa"/>
            <w:shd w:val="clear" w:color="auto" w:fill="F2F2F2" w:themeFill="background1" w:themeFillShade="F2"/>
          </w:tcPr>
          <w:p w14:paraId="6EFC9D39" w14:textId="77777777" w:rsidR="00684568" w:rsidRPr="00080443" w:rsidRDefault="00684568" w:rsidP="00625FEF">
            <w:pPr>
              <w:pStyle w:val="ListNumber"/>
              <w:rPr>
                <w:rFonts w:cs="Arial"/>
              </w:rPr>
            </w:pPr>
          </w:p>
        </w:tc>
        <w:tc>
          <w:tcPr>
            <w:tcW w:w="5924" w:type="dxa"/>
            <w:shd w:val="clear" w:color="auto" w:fill="F2F2F2" w:themeFill="background1" w:themeFillShade="F2"/>
          </w:tcPr>
          <w:p w14:paraId="6C288BF7" w14:textId="77777777" w:rsidR="00684568" w:rsidRPr="00080443" w:rsidRDefault="00684568" w:rsidP="00625FEF">
            <w:pPr>
              <w:spacing w:after="0"/>
            </w:pPr>
            <w:r w:rsidRPr="00080443">
              <w:t>The ACMA notifies registered bidders about the start date and time of the first round in the auction.</w:t>
            </w:r>
          </w:p>
        </w:tc>
        <w:tc>
          <w:tcPr>
            <w:tcW w:w="2160" w:type="dxa"/>
            <w:shd w:val="clear" w:color="auto" w:fill="F2F2F2" w:themeFill="background1" w:themeFillShade="F2"/>
          </w:tcPr>
          <w:p w14:paraId="6A8E7119" w14:textId="77777777" w:rsidR="00684568" w:rsidRPr="00080443" w:rsidRDefault="00684568" w:rsidP="00625FEF">
            <w:r>
              <w:t>To be announced</w:t>
            </w:r>
          </w:p>
        </w:tc>
      </w:tr>
      <w:tr w:rsidR="00684568" w:rsidRPr="00080443" w14:paraId="107353E8" w14:textId="77777777" w:rsidTr="00625FEF">
        <w:tc>
          <w:tcPr>
            <w:tcW w:w="427" w:type="dxa"/>
          </w:tcPr>
          <w:p w14:paraId="0C413B6C" w14:textId="77777777" w:rsidR="00684568" w:rsidRPr="00080443" w:rsidRDefault="00684568" w:rsidP="00625FEF">
            <w:pPr>
              <w:pStyle w:val="ListNumber"/>
              <w:rPr>
                <w:rFonts w:cs="Arial"/>
              </w:rPr>
            </w:pPr>
          </w:p>
        </w:tc>
        <w:tc>
          <w:tcPr>
            <w:tcW w:w="5924" w:type="dxa"/>
          </w:tcPr>
          <w:p w14:paraId="3D915BE7" w14:textId="77777777" w:rsidR="00684568" w:rsidRPr="00080443" w:rsidRDefault="00684568" w:rsidP="00625FEF">
            <w:pPr>
              <w:spacing w:after="0"/>
            </w:pPr>
            <w:r>
              <w:t>Estimated au</w:t>
            </w:r>
            <w:r w:rsidRPr="00080443">
              <w:t xml:space="preserve">ction </w:t>
            </w:r>
            <w:r>
              <w:t xml:space="preserve">commencement </w:t>
            </w:r>
          </w:p>
        </w:tc>
        <w:tc>
          <w:tcPr>
            <w:tcW w:w="2160" w:type="dxa"/>
          </w:tcPr>
          <w:p w14:paraId="0C7F7334" w14:textId="77777777" w:rsidR="00684568" w:rsidRPr="00025A88" w:rsidRDefault="00025A88" w:rsidP="00625FEF">
            <w:pPr>
              <w:spacing w:after="0"/>
            </w:pPr>
            <w:r w:rsidRPr="00D0455B">
              <w:t xml:space="preserve">4 </w:t>
            </w:r>
            <w:r w:rsidR="00684568" w:rsidRPr="00025A88">
              <w:t>April 2017</w:t>
            </w:r>
          </w:p>
        </w:tc>
      </w:tr>
    </w:tbl>
    <w:p w14:paraId="33669FBB" w14:textId="77777777" w:rsidR="00684568" w:rsidRDefault="00684568" w:rsidP="00625FEF">
      <w:pPr>
        <w:spacing w:after="0"/>
        <w:rPr>
          <w:rFonts w:cs="Arial"/>
          <w:i/>
          <w:sz w:val="16"/>
          <w:szCs w:val="16"/>
        </w:rPr>
      </w:pPr>
      <w:r w:rsidRPr="00080443">
        <w:rPr>
          <w:rFonts w:cs="Arial"/>
          <w:i/>
          <w:sz w:val="16"/>
          <w:szCs w:val="16"/>
        </w:rPr>
        <w:t>Note: The above timetable is indicative and for guidance purposes only</w:t>
      </w:r>
      <w:r>
        <w:rPr>
          <w:rFonts w:cs="Arial"/>
          <w:i/>
          <w:sz w:val="16"/>
          <w:szCs w:val="16"/>
        </w:rPr>
        <w:t xml:space="preserve">. It </w:t>
      </w:r>
      <w:r w:rsidRPr="00080443">
        <w:rPr>
          <w:rFonts w:cs="Arial"/>
          <w:i/>
          <w:sz w:val="16"/>
          <w:szCs w:val="16"/>
        </w:rPr>
        <w:t>is subject to change</w:t>
      </w:r>
      <w:r>
        <w:rPr>
          <w:rFonts w:cs="Arial"/>
          <w:i/>
          <w:sz w:val="16"/>
          <w:szCs w:val="16"/>
        </w:rPr>
        <w:t xml:space="preserve"> and should not be relied upon</w:t>
      </w:r>
      <w:r w:rsidRPr="00080443">
        <w:rPr>
          <w:rFonts w:cs="Arial"/>
          <w:i/>
          <w:sz w:val="16"/>
          <w:szCs w:val="16"/>
        </w:rPr>
        <w:t>.</w:t>
      </w:r>
    </w:p>
    <w:p w14:paraId="030AA879" w14:textId="77777777" w:rsidR="007321BC" w:rsidRDefault="007321BC" w:rsidP="00625FEF">
      <w:pPr>
        <w:pStyle w:val="ACMASpaceaftertable"/>
      </w:pPr>
    </w:p>
    <w:p w14:paraId="4AEDCDC6" w14:textId="77777777" w:rsidR="00F5015A" w:rsidRDefault="008D387B" w:rsidP="00625FEF">
      <w:pPr>
        <w:pStyle w:val="Heading2"/>
        <w:keepLines/>
      </w:pPr>
      <w:bookmarkStart w:id="29" w:name="_Toc459210808"/>
      <w:bookmarkStart w:id="30" w:name="_Toc461025808"/>
      <w:bookmarkStart w:id="31" w:name="_Toc463862892"/>
      <w:bookmarkEnd w:id="11"/>
      <w:r>
        <w:t>Current stage</w:t>
      </w:r>
      <w:r w:rsidR="007321BC">
        <w:t>—</w:t>
      </w:r>
      <w:r>
        <w:t>d</w:t>
      </w:r>
      <w:r w:rsidR="00F5015A">
        <w:t>raft allocation instruments</w:t>
      </w:r>
      <w:bookmarkEnd w:id="29"/>
      <w:bookmarkEnd w:id="30"/>
      <w:bookmarkEnd w:id="31"/>
    </w:p>
    <w:p w14:paraId="1FFBF808" w14:textId="77777777" w:rsidR="00F5015A" w:rsidRDefault="00F5015A" w:rsidP="00DA5681">
      <w:pPr>
        <w:keepNext/>
        <w:keepLines/>
      </w:pPr>
      <w:r>
        <w:t xml:space="preserve">In order to conduct an efficient and effective auction of the </w:t>
      </w:r>
      <w:r w:rsidR="00806096">
        <w:t>700 MHz</w:t>
      </w:r>
      <w:r>
        <w:t xml:space="preserve"> band unsold lots, the ACMA is required to make </w:t>
      </w:r>
      <w:r w:rsidR="003966DB">
        <w:t xml:space="preserve">three </w:t>
      </w:r>
      <w:r>
        <w:t>legislative instruments</w:t>
      </w:r>
      <w:r w:rsidR="007321BC">
        <w:t>—</w:t>
      </w:r>
      <w:r>
        <w:t>a marketing plan</w:t>
      </w:r>
      <w:r w:rsidR="003966DB">
        <w:t>, a variation marketing plan instrument</w:t>
      </w:r>
      <w:r>
        <w:t xml:space="preserve"> and</w:t>
      </w:r>
      <w:r w:rsidR="004903F2">
        <w:t xml:space="preserve"> an</w:t>
      </w:r>
      <w:r>
        <w:t xml:space="preserve"> allocation determination. </w:t>
      </w:r>
    </w:p>
    <w:p w14:paraId="2066FFE2" w14:textId="77777777" w:rsidR="00F5015A" w:rsidRDefault="00F5015A" w:rsidP="00625FEF">
      <w:pPr>
        <w:pStyle w:val="Heading3"/>
        <w:keepLines/>
      </w:pPr>
      <w:bookmarkStart w:id="32" w:name="_Toc463862893"/>
      <w:r w:rsidRPr="00B814DB">
        <w:t>Marketing plan</w:t>
      </w:r>
      <w:bookmarkEnd w:id="32"/>
    </w:p>
    <w:p w14:paraId="2A7344B0" w14:textId="77777777" w:rsidR="004F349F" w:rsidRPr="003B2207" w:rsidRDefault="004F349F" w:rsidP="00625FEF">
      <w:pPr>
        <w:keepNext/>
        <w:keepLines/>
        <w:spacing w:after="80"/>
      </w:pPr>
      <w:r w:rsidRPr="003B2207">
        <w:t>A marketing plan essentially sets out the product offering, and may specify matters including:</w:t>
      </w:r>
    </w:p>
    <w:p w14:paraId="231EE7A2" w14:textId="77777777" w:rsidR="004F349F" w:rsidRPr="003D4AA1" w:rsidRDefault="004F349F" w:rsidP="00625FEF">
      <w:pPr>
        <w:pStyle w:val="ListBullet"/>
        <w:keepNext/>
        <w:keepLines/>
      </w:pPr>
      <w:r w:rsidRPr="003D4AA1">
        <w:t xml:space="preserve">the </w:t>
      </w:r>
      <w:r w:rsidRPr="00D572B0">
        <w:t>procedures</w:t>
      </w:r>
      <w:r w:rsidRPr="003D4AA1">
        <w:t xml:space="preserve"> to be followed for issuing spectrum licences</w:t>
      </w:r>
    </w:p>
    <w:p w14:paraId="73A90791" w14:textId="77777777" w:rsidR="004F349F" w:rsidRPr="000D6AE4" w:rsidRDefault="004F349F" w:rsidP="00D572B0">
      <w:pPr>
        <w:pStyle w:val="ListBullet"/>
      </w:pPr>
      <w:r w:rsidRPr="003D4AA1">
        <w:t>how the spectrum is to be apportioned among the spectrum licences to be issued</w:t>
      </w:r>
    </w:p>
    <w:p w14:paraId="36943E16" w14:textId="77777777" w:rsidR="004F349F" w:rsidRPr="003B2207" w:rsidRDefault="004F349F" w:rsidP="00625FEF">
      <w:pPr>
        <w:pStyle w:val="ListBulletLast"/>
      </w:pPr>
      <w:r w:rsidRPr="003D4AA1">
        <w:t>the conditions, or types of conditions, that may be included in spectrum licences to be issued.</w:t>
      </w:r>
      <w:r w:rsidRPr="003B2207">
        <w:rPr>
          <w:vertAlign w:val="superscript"/>
        </w:rPr>
        <w:footnoteReference w:id="6"/>
      </w:r>
      <w:r w:rsidRPr="003B2207">
        <w:t xml:space="preserve"> </w:t>
      </w:r>
    </w:p>
    <w:p w14:paraId="701EA7EF" w14:textId="77777777" w:rsidR="004F349F" w:rsidRPr="003B2207" w:rsidRDefault="004F349F" w:rsidP="00625FEF">
      <w:r w:rsidRPr="003B2207">
        <w:t xml:space="preserve">A marketing plan can also specify other matters. </w:t>
      </w:r>
    </w:p>
    <w:p w14:paraId="631D62C6" w14:textId="77777777" w:rsidR="00F5015A" w:rsidRPr="003B2207" w:rsidRDefault="00F5015A" w:rsidP="00D572B0">
      <w:r>
        <w:t>The marketing plan for the unsold lots will be made under s</w:t>
      </w:r>
      <w:r w:rsidRPr="003B2207">
        <w:t xml:space="preserve">ection </w:t>
      </w:r>
      <w:r>
        <w:t>39A</w:t>
      </w:r>
      <w:r w:rsidRPr="003B2207">
        <w:t xml:space="preserve"> of the </w:t>
      </w:r>
      <w:r w:rsidRPr="00DA5681">
        <w:t>Act</w:t>
      </w:r>
      <w:r>
        <w:t xml:space="preserve">. Section 39A of the Act </w:t>
      </w:r>
      <w:r w:rsidRPr="003B2207">
        <w:t>require</w:t>
      </w:r>
      <w:r>
        <w:t>s</w:t>
      </w:r>
      <w:r w:rsidRPr="003B2207">
        <w:t xml:space="preserve"> the ACMA to prepare a marketing plan for issuing spectrum licences within a particular part of the spectrum where a </w:t>
      </w:r>
      <w:r w:rsidRPr="003966DB">
        <w:t xml:space="preserve">spectrum </w:t>
      </w:r>
      <w:r w:rsidR="003966DB" w:rsidRPr="00FF287E">
        <w:t>re-allocation declaration</w:t>
      </w:r>
      <w:r w:rsidRPr="003966DB">
        <w:t xml:space="preserve"> </w:t>
      </w:r>
      <w:r w:rsidRPr="003B2207">
        <w:t>has been made.</w:t>
      </w:r>
    </w:p>
    <w:p w14:paraId="796335F2" w14:textId="77777777" w:rsidR="00F5015A" w:rsidRDefault="00F5015A" w:rsidP="00F5015A">
      <w:r w:rsidRPr="003B2207">
        <w:t xml:space="preserve">The draft marketing plan at </w:t>
      </w:r>
      <w:r w:rsidRPr="00625FEF">
        <w:t>Attachment A</w:t>
      </w:r>
      <w:r w:rsidRPr="003B2207">
        <w:t xml:space="preserve"> </w:t>
      </w:r>
      <w:r w:rsidR="007321BC">
        <w:t xml:space="preserve">(available on the ACMA website) </w:t>
      </w:r>
      <w:r w:rsidRPr="003B2207">
        <w:t xml:space="preserve">specifies the spectrum product that will be available, the method by which the product will be allocated and the conditions that will </w:t>
      </w:r>
      <w:r w:rsidR="00FB000A">
        <w:t xml:space="preserve">or may </w:t>
      </w:r>
      <w:r w:rsidRPr="003B2207">
        <w:t xml:space="preserve">apply to the spectrum licences issued. Key aspects of the draft marketing plan </w:t>
      </w:r>
      <w:r>
        <w:t>are</w:t>
      </w:r>
      <w:r w:rsidRPr="003B2207">
        <w:t xml:space="preserve"> discussed </w:t>
      </w:r>
      <w:r>
        <w:t xml:space="preserve">in </w:t>
      </w:r>
      <w:r w:rsidR="007321BC">
        <w:t>C</w:t>
      </w:r>
      <w:r>
        <w:t xml:space="preserve">hapter </w:t>
      </w:r>
      <w:r w:rsidR="00874800">
        <w:t>2</w:t>
      </w:r>
      <w:r w:rsidRPr="003B2207">
        <w:t>.</w:t>
      </w:r>
    </w:p>
    <w:p w14:paraId="6E1973F5" w14:textId="77777777" w:rsidR="00F5015A" w:rsidRDefault="00F5015A" w:rsidP="00F5015A">
      <w:r>
        <w:t>In order for the</w:t>
      </w:r>
      <w:r w:rsidRPr="00306585">
        <w:t xml:space="preserve"> marketing plan for the unsold lots to be made, an amending instrument, the </w:t>
      </w:r>
      <w:r w:rsidRPr="00625FEF">
        <w:t>Radiocommunications Spectrum Marketing Plan (</w:t>
      </w:r>
      <w:r w:rsidR="00806096" w:rsidRPr="00625FEF">
        <w:t>700 MHz</w:t>
      </w:r>
      <w:r w:rsidRPr="00625FEF">
        <w:t xml:space="preserve"> Band) Variation 2016 (No. 1)</w:t>
      </w:r>
      <w:r w:rsidRPr="00306585">
        <w:t xml:space="preserve">, will be </w:t>
      </w:r>
      <w:r>
        <w:t>made</w:t>
      </w:r>
      <w:r w:rsidRPr="00306585">
        <w:t xml:space="preserve"> to excise the unsold</w:t>
      </w:r>
      <w:r>
        <w:t xml:space="preserve"> </w:t>
      </w:r>
      <w:r w:rsidR="00806096">
        <w:t>700 MHz</w:t>
      </w:r>
      <w:r w:rsidRPr="00306585">
        <w:t xml:space="preserve"> lots from the marketing plan for </w:t>
      </w:r>
      <w:r w:rsidR="00974771">
        <w:t xml:space="preserve">the </w:t>
      </w:r>
      <w:r w:rsidRPr="00306585">
        <w:t xml:space="preserve">initial </w:t>
      </w:r>
      <w:r w:rsidR="00806096">
        <w:t>700 MHz</w:t>
      </w:r>
      <w:r>
        <w:t xml:space="preserve"> auction. The ACMA</w:t>
      </w:r>
      <w:r w:rsidRPr="00306585">
        <w:t xml:space="preserve"> has drafted the amending instrument</w:t>
      </w:r>
      <w:r w:rsidR="007321BC">
        <w:t>,</w:t>
      </w:r>
      <w:r w:rsidRPr="00306585">
        <w:t xml:space="preserve"> which is included at </w:t>
      </w:r>
      <w:r w:rsidRPr="00625FEF">
        <w:t xml:space="preserve">Attachment </w:t>
      </w:r>
      <w:r w:rsidR="003966DB" w:rsidRPr="00625FEF">
        <w:t>B</w:t>
      </w:r>
      <w:r w:rsidR="00DA5681">
        <w:t xml:space="preserve"> (</w:t>
      </w:r>
      <w:r w:rsidR="007321BC">
        <w:t>available on the ACMA website</w:t>
      </w:r>
      <w:r w:rsidR="00DA5681">
        <w:t>)</w:t>
      </w:r>
      <w:r w:rsidRPr="00306585">
        <w:t xml:space="preserve">. </w:t>
      </w:r>
    </w:p>
    <w:p w14:paraId="61825F56" w14:textId="77777777" w:rsidR="004903F2" w:rsidRPr="00B814DB" w:rsidRDefault="00F5015A" w:rsidP="00625FEF">
      <w:pPr>
        <w:pStyle w:val="Heading3"/>
      </w:pPr>
      <w:bookmarkStart w:id="33" w:name="_Toc463862894"/>
      <w:r w:rsidRPr="00B814DB">
        <w:t>Allocation determination</w:t>
      </w:r>
      <w:bookmarkEnd w:id="33"/>
    </w:p>
    <w:p w14:paraId="61903E48" w14:textId="77777777" w:rsidR="00F5015A" w:rsidRPr="003B2207" w:rsidRDefault="00F5015A" w:rsidP="00625FEF">
      <w:pPr>
        <w:spacing w:after="80"/>
      </w:pPr>
      <w:r w:rsidRPr="003B2207">
        <w:t>An allocation determination made under section 60 essentially sets out the ‘auction rules’ and may deal with matters including:</w:t>
      </w:r>
    </w:p>
    <w:p w14:paraId="75B23A67" w14:textId="77777777" w:rsidR="00F5015A" w:rsidRPr="003D4AA1" w:rsidRDefault="00F5015A" w:rsidP="00D572B0">
      <w:pPr>
        <w:pStyle w:val="ListBullet"/>
      </w:pPr>
      <w:r w:rsidRPr="003D4AA1">
        <w:t xml:space="preserve">the </w:t>
      </w:r>
      <w:r w:rsidRPr="00D572B0">
        <w:t>type</w:t>
      </w:r>
      <w:r w:rsidRPr="003D4AA1">
        <w:t xml:space="preserve"> of auction</w:t>
      </w:r>
    </w:p>
    <w:p w14:paraId="517770FC" w14:textId="77777777" w:rsidR="00F5015A" w:rsidRPr="003D4AA1" w:rsidRDefault="00F5015A" w:rsidP="00D572B0">
      <w:pPr>
        <w:pStyle w:val="ListBullet"/>
      </w:pPr>
      <w:r w:rsidRPr="003D4AA1">
        <w:t xml:space="preserve">how the auction </w:t>
      </w:r>
      <w:r w:rsidRPr="00D572B0">
        <w:t>will</w:t>
      </w:r>
      <w:r w:rsidRPr="003D4AA1">
        <w:t xml:space="preserve"> be advertised</w:t>
      </w:r>
    </w:p>
    <w:p w14:paraId="6E365F37" w14:textId="77777777" w:rsidR="00F5015A" w:rsidRPr="003B2207" w:rsidRDefault="00F5015A" w:rsidP="00625FEF">
      <w:pPr>
        <w:pStyle w:val="ListBulletLast"/>
      </w:pPr>
      <w:r w:rsidRPr="003D4AA1">
        <w:t>methods of payments for licences.</w:t>
      </w:r>
      <w:r w:rsidRPr="003B2207">
        <w:rPr>
          <w:vertAlign w:val="superscript"/>
        </w:rPr>
        <w:footnoteReference w:id="7"/>
      </w:r>
    </w:p>
    <w:p w14:paraId="36EFC1DC" w14:textId="77777777" w:rsidR="00F5015A" w:rsidRDefault="00F5015A" w:rsidP="00625FEF">
      <w:r w:rsidRPr="003B2207">
        <w:t>An allocation determination may also impose competition limits to limit the aggregate amount of spectrum that can be allocated to a bidder.</w:t>
      </w:r>
      <w:r w:rsidRPr="003B2207">
        <w:rPr>
          <w:vertAlign w:val="superscript"/>
        </w:rPr>
        <w:footnoteReference w:id="8"/>
      </w:r>
      <w:r w:rsidRPr="003B2207">
        <w:t xml:space="preserve"> </w:t>
      </w:r>
      <w:r>
        <w:t>Any</w:t>
      </w:r>
      <w:r w:rsidRPr="003B2207">
        <w:t xml:space="preserve"> such competition limits can only be imposed if the minister</w:t>
      </w:r>
      <w:r>
        <w:t xml:space="preserve"> </w:t>
      </w:r>
      <w:r w:rsidRPr="003B2207">
        <w:t>directs the ACMA to do so.</w:t>
      </w:r>
      <w:r w:rsidRPr="003B2207">
        <w:rPr>
          <w:vertAlign w:val="superscript"/>
        </w:rPr>
        <w:footnoteReference w:id="9"/>
      </w:r>
    </w:p>
    <w:p w14:paraId="26ECD895" w14:textId="77777777" w:rsidR="008E0AAB" w:rsidRDefault="008E0AAB" w:rsidP="00D0455B">
      <w:bookmarkStart w:id="34" w:name="_Toc459210809"/>
      <w:r w:rsidRPr="00D0455B">
        <w:t>Competition limits for the initial 700 MHz band auction in 2013 were contained in the Radiocommunications (Spectrum Licence Limits) Direction No.1 of 2012</w:t>
      </w:r>
      <w:r w:rsidRPr="00D0455B">
        <w:rPr>
          <w:i/>
        </w:rPr>
        <w:t xml:space="preserve"> </w:t>
      </w:r>
      <w:r w:rsidRPr="00D0455B">
        <w:t>(the limits direction).</w:t>
      </w:r>
      <w:r w:rsidRPr="00D0455B">
        <w:rPr>
          <w:rStyle w:val="FootnoteReference"/>
          <w:rFonts w:cs="Arial"/>
        </w:rPr>
        <w:footnoteReference w:id="10"/>
      </w:r>
      <w:r w:rsidRPr="00D0455B">
        <w:t xml:space="preserve"> The limits direction limited any auction participant and its associates from acquiring more than 2</w:t>
      </w:r>
      <w:r w:rsidR="007321BC" w:rsidRPr="00D0455B">
        <w:t xml:space="preserve"> </w:t>
      </w:r>
      <w:r w:rsidRPr="00D0455B">
        <w:t>x</w:t>
      </w:r>
      <w:r w:rsidR="007321BC" w:rsidRPr="00D0455B">
        <w:t xml:space="preserve"> </w:t>
      </w:r>
      <w:r w:rsidRPr="00D0455B">
        <w:t xml:space="preserve">25 MHz of spectrum in the 700 MHz band. The limits direction remains in force at this time; however, the </w:t>
      </w:r>
      <w:r w:rsidR="007321BC" w:rsidRPr="00D0455B">
        <w:t>m</w:t>
      </w:r>
      <w:r w:rsidRPr="00D0455B">
        <w:t xml:space="preserve">inister </w:t>
      </w:r>
      <w:r w:rsidR="006F17B6" w:rsidRPr="00D0455B">
        <w:t xml:space="preserve">indicated he is reviewing the competition limits and </w:t>
      </w:r>
      <w:r w:rsidRPr="00D0455B">
        <w:t xml:space="preserve">may vary or revoke the limits direction </w:t>
      </w:r>
      <w:r w:rsidR="006F17B6" w:rsidRPr="00D0455B">
        <w:t>in November</w:t>
      </w:r>
      <w:r w:rsidRPr="00D0455B">
        <w:t>.</w:t>
      </w:r>
      <w:r w:rsidR="0014198F" w:rsidRPr="00D0455B">
        <w:rPr>
          <w:rStyle w:val="FootnoteReference"/>
          <w:rFonts w:cs="Arial"/>
        </w:rPr>
        <w:footnoteReference w:id="11"/>
      </w:r>
      <w:r w:rsidRPr="00D0455B">
        <w:t xml:space="preserve"> </w:t>
      </w:r>
      <w:r w:rsidR="006F7614" w:rsidRPr="00D0455B">
        <w:t>The Department of Communications and the Arts</w:t>
      </w:r>
      <w:r w:rsidR="00D0455B">
        <w:t xml:space="preserve"> has advised the ACMA that the m</w:t>
      </w:r>
      <w:r w:rsidR="006F7614" w:rsidRPr="00D0455B">
        <w:t>inister has asked the ACCC to provide him with advice on possible limits by 11 November 2016.</w:t>
      </w:r>
      <w:r w:rsidR="00332FF9" w:rsidRPr="00D0455B">
        <w:t xml:space="preserve"> If the minister decides to vary or revoke the existing limits direction, he will issue a new ministerial direction to the ACMA.</w:t>
      </w:r>
    </w:p>
    <w:p w14:paraId="673DA6CA" w14:textId="77777777" w:rsidR="008E0AAB" w:rsidRPr="003B2207" w:rsidRDefault="008E0AAB" w:rsidP="008E0AAB">
      <w:r>
        <w:t xml:space="preserve">For the 700 MHz band unsold lots auction, the allocation determination is made under sections 60 and 294 of the Act. </w:t>
      </w:r>
      <w:r w:rsidRPr="003B2207">
        <w:t>Section 294 of the Act requires the ACMA to fix spectrum access charges payable by licensees for issuing spectrum licences, and to specify the times when spectrum access charges are payable.</w:t>
      </w:r>
      <w:r>
        <w:t xml:space="preserve"> </w:t>
      </w:r>
    </w:p>
    <w:p w14:paraId="43348B58" w14:textId="77777777" w:rsidR="008E0AAB" w:rsidRPr="003569B2" w:rsidRDefault="008E0AAB" w:rsidP="008E0AAB">
      <w:pPr>
        <w:spacing w:before="240"/>
      </w:pPr>
      <w:r>
        <w:t>T</w:t>
      </w:r>
      <w:r w:rsidRPr="003B2207">
        <w:t xml:space="preserve">he draft allocation determination at </w:t>
      </w:r>
      <w:r w:rsidRPr="00625FEF">
        <w:t>Attachment C</w:t>
      </w:r>
      <w:r w:rsidRPr="003B2207">
        <w:t xml:space="preserve"> </w:t>
      </w:r>
      <w:r w:rsidR="001B4D7E">
        <w:t xml:space="preserve">(available on the ACMA website) </w:t>
      </w:r>
      <w:r w:rsidRPr="003B2207">
        <w:t>sets out the rules</w:t>
      </w:r>
      <w:r>
        <w:t xml:space="preserve"> that the ACMA</w:t>
      </w:r>
      <w:r w:rsidRPr="003B2207">
        <w:t xml:space="preserve"> intends to apply in the </w:t>
      </w:r>
      <w:r>
        <w:t xml:space="preserve">unsold lots </w:t>
      </w:r>
      <w:r w:rsidRPr="003B2207">
        <w:t xml:space="preserve">auction. This includes draft </w:t>
      </w:r>
      <w:r>
        <w:t>SCA procedures</w:t>
      </w:r>
      <w:r w:rsidRPr="003B2207">
        <w:t xml:space="preserve"> and rules on administrative matters</w:t>
      </w:r>
      <w:r w:rsidR="00332FF9">
        <w:t>,</w:t>
      </w:r>
      <w:r w:rsidRPr="003B2207">
        <w:t xml:space="preserve"> such as the bidder registration process, fees and other amounts to be paid, and ‘prohibited communication’ arrangements to prevent bidder collusion. </w:t>
      </w:r>
      <w:r>
        <w:t>It also includes provisions that impose limits on the aggregate part of the spectrum that may be acquired by any one person and their associates, in accordance with the limits direction</w:t>
      </w:r>
      <w:r w:rsidR="001B4D7E">
        <w:t>.</w:t>
      </w:r>
      <w:r>
        <w:rPr>
          <w:rStyle w:val="FootnoteReference"/>
        </w:rPr>
        <w:footnoteReference w:id="12"/>
      </w:r>
      <w:r>
        <w:t xml:space="preserve"> </w:t>
      </w:r>
      <w:r w:rsidRPr="003B2207">
        <w:t xml:space="preserve">Key aspects </w:t>
      </w:r>
      <w:r>
        <w:t xml:space="preserve">and further information </w:t>
      </w:r>
      <w:r w:rsidRPr="003B2207">
        <w:t>o</w:t>
      </w:r>
      <w:r>
        <w:t>n</w:t>
      </w:r>
      <w:r w:rsidRPr="003B2207">
        <w:t xml:space="preserve"> the draft allocation determination are discussed </w:t>
      </w:r>
      <w:r>
        <w:t xml:space="preserve">in </w:t>
      </w:r>
      <w:r w:rsidR="001B4D7E">
        <w:t>C</w:t>
      </w:r>
      <w:r>
        <w:t>hapter</w:t>
      </w:r>
      <w:r w:rsidR="001B4D7E">
        <w:t> </w:t>
      </w:r>
      <w:r>
        <w:t xml:space="preserve">3 </w:t>
      </w:r>
      <w:r w:rsidRPr="00C5695F">
        <w:t>of</w:t>
      </w:r>
      <w:r w:rsidRPr="003B2207">
        <w:t xml:space="preserve"> this paper.</w:t>
      </w:r>
    </w:p>
    <w:p w14:paraId="51D28164" w14:textId="77777777" w:rsidR="004903F2" w:rsidRPr="00B814DB" w:rsidRDefault="00F5015A" w:rsidP="00625FEF">
      <w:pPr>
        <w:pStyle w:val="Heading3"/>
      </w:pPr>
      <w:bookmarkStart w:id="35" w:name="_Toc463862895"/>
      <w:r w:rsidRPr="00B814DB">
        <w:t>Final allocation instruments</w:t>
      </w:r>
      <w:bookmarkEnd w:id="34"/>
      <w:bookmarkEnd w:id="35"/>
    </w:p>
    <w:p w14:paraId="13BAABAD" w14:textId="5EED0638" w:rsidR="003E0276" w:rsidRDefault="003E0276" w:rsidP="003E0276">
      <w:bookmarkStart w:id="36" w:name="_Toc459210806"/>
      <w:r>
        <w:t xml:space="preserve">After consultation and consideration of submissions, the ACMA will consider whether to make final versions of the allocation instruments. If finalised, these will be registered on the </w:t>
      </w:r>
      <w:hyperlink r:id="rId32" w:history="1">
        <w:r w:rsidRPr="00D35C87">
          <w:rPr>
            <w:rStyle w:val="Hyperlink"/>
          </w:rPr>
          <w:t>Federal Register of Legislation</w:t>
        </w:r>
      </w:hyperlink>
      <w:r w:rsidRPr="00D35C87">
        <w:t>.</w:t>
      </w:r>
    </w:p>
    <w:p w14:paraId="7B58D739" w14:textId="77777777" w:rsidR="006272F5" w:rsidRPr="00F94E49" w:rsidRDefault="00980512" w:rsidP="00625FEF">
      <w:pPr>
        <w:pStyle w:val="Heading3"/>
      </w:pPr>
      <w:bookmarkStart w:id="37" w:name="_Toc463862896"/>
      <w:r w:rsidRPr="00F94E49">
        <w:t>Next steps</w:t>
      </w:r>
      <w:bookmarkEnd w:id="36"/>
      <w:bookmarkEnd w:id="37"/>
    </w:p>
    <w:p w14:paraId="1A459B92" w14:textId="77777777" w:rsidR="00980512" w:rsidRPr="003B2207" w:rsidRDefault="00980512" w:rsidP="00980512">
      <w:r>
        <w:t>Following this consultation process, o</w:t>
      </w:r>
      <w:r w:rsidRPr="003B2207">
        <w:t>nce the final instruments</w:t>
      </w:r>
      <w:r>
        <w:t xml:space="preserve"> for the unsold </w:t>
      </w:r>
      <w:r w:rsidR="00806096">
        <w:t>700 MHz</w:t>
      </w:r>
      <w:r>
        <w:t xml:space="preserve"> lots</w:t>
      </w:r>
      <w:r w:rsidRPr="003B2207">
        <w:t xml:space="preserve"> are made, the ACMA will </w:t>
      </w:r>
      <w:r>
        <w:t>release</w:t>
      </w:r>
      <w:r w:rsidRPr="003B2207">
        <w:t xml:space="preserve"> the </w:t>
      </w:r>
      <w:r w:rsidR="00DA5681" w:rsidRPr="00625FEF">
        <w:rPr>
          <w:i/>
        </w:rPr>
        <w:t>A</w:t>
      </w:r>
      <w:r w:rsidRPr="00625FEF">
        <w:rPr>
          <w:i/>
        </w:rPr>
        <w:t>pplicant information pack</w:t>
      </w:r>
      <w:r w:rsidRPr="003B2207">
        <w:t xml:space="preserve"> (</w:t>
      </w:r>
      <w:r w:rsidRPr="00625FEF">
        <w:t>AIP</w:t>
      </w:r>
      <w:r w:rsidRPr="003B2207">
        <w:t xml:space="preserve">), which will provide comprehensive information about the auction process and the spectrum product on offer. The AIP will give those people interested in participating in the auction </w:t>
      </w:r>
      <w:r w:rsidR="000C73EE">
        <w:t xml:space="preserve">some of </w:t>
      </w:r>
      <w:r w:rsidRPr="003B2207">
        <w:t xml:space="preserve">the information </w:t>
      </w:r>
      <w:r w:rsidR="000C73EE">
        <w:t xml:space="preserve">relevant to the decision </w:t>
      </w:r>
      <w:r w:rsidR="006272F5">
        <w:t xml:space="preserve">whether to participate </w:t>
      </w:r>
      <w:r w:rsidRPr="003B2207">
        <w:t xml:space="preserve">and, if they choose to participate, how to do so.  </w:t>
      </w:r>
    </w:p>
    <w:p w14:paraId="7B6DFF3C" w14:textId="77777777" w:rsidR="00980512" w:rsidRPr="003B2207" w:rsidRDefault="00980512" w:rsidP="00980512">
      <w:r w:rsidRPr="003B2207">
        <w:t>The AIP will comprise a series of documents</w:t>
      </w:r>
      <w:r w:rsidR="001B4D7E">
        <w:t>,</w:t>
      </w:r>
      <w:r w:rsidRPr="003B2207">
        <w:t xml:space="preserve"> including a covering </w:t>
      </w:r>
      <w:r>
        <w:t xml:space="preserve">information </w:t>
      </w:r>
      <w:r w:rsidRPr="003B2207">
        <w:t>paper, application forms</w:t>
      </w:r>
      <w:r>
        <w:t xml:space="preserve"> and </w:t>
      </w:r>
      <w:r w:rsidRPr="003B2207">
        <w:t xml:space="preserve">the </w:t>
      </w:r>
      <w:r>
        <w:t xml:space="preserve">final </w:t>
      </w:r>
      <w:r w:rsidRPr="003B2207">
        <w:t>allocation instruments</w:t>
      </w:r>
      <w:r>
        <w:t>.</w:t>
      </w:r>
      <w:r w:rsidRPr="003B2207">
        <w:t xml:space="preserve"> </w:t>
      </w:r>
    </w:p>
    <w:p w14:paraId="45E5A0C6" w14:textId="77777777" w:rsidR="004F61A0" w:rsidRDefault="00B20732" w:rsidP="00625FEF">
      <w:pPr>
        <w:pStyle w:val="Heading2"/>
      </w:pPr>
      <w:bookmarkStart w:id="38" w:name="_Toc319572493"/>
      <w:bookmarkStart w:id="39" w:name="_Toc459210805"/>
      <w:bookmarkStart w:id="40" w:name="_Toc461025809"/>
      <w:bookmarkStart w:id="41" w:name="_Toc463862897"/>
      <w:r>
        <w:t>Other matters</w:t>
      </w:r>
      <w:r w:rsidR="001B4D7E">
        <w:t>—</w:t>
      </w:r>
      <w:r>
        <w:t>t</w:t>
      </w:r>
      <w:r w:rsidR="002658D0">
        <w:t>echnical</w:t>
      </w:r>
      <w:r w:rsidR="003B2207" w:rsidRPr="003B2207">
        <w:t xml:space="preserve"> </w:t>
      </w:r>
      <w:bookmarkEnd w:id="38"/>
      <w:bookmarkEnd w:id="39"/>
      <w:r w:rsidR="00980512">
        <w:t>framework</w:t>
      </w:r>
      <w:bookmarkEnd w:id="40"/>
      <w:bookmarkEnd w:id="41"/>
    </w:p>
    <w:p w14:paraId="1555AF10" w14:textId="77777777" w:rsidR="004F61A0" w:rsidRDefault="004F61A0" w:rsidP="00625FEF">
      <w:pPr>
        <w:spacing w:after="60"/>
      </w:pPr>
      <w:r>
        <w:t xml:space="preserve">The technical framework for a spectrum licensed band is </w:t>
      </w:r>
      <w:r w:rsidR="00184537">
        <w:t xml:space="preserve">a </w:t>
      </w:r>
      <w:r>
        <w:t>set of technical rules made by t</w:t>
      </w:r>
      <w:r w:rsidR="00980512">
        <w:t>he ACMA for operation within a</w:t>
      </w:r>
      <w:r>
        <w:t xml:space="preserve"> band. Under the Act, the framework consists of three interlocking regulatory elements:</w:t>
      </w:r>
    </w:p>
    <w:p w14:paraId="1329B834" w14:textId="77777777" w:rsidR="004F61A0" w:rsidRPr="00D572B0" w:rsidRDefault="004F61A0" w:rsidP="00D572B0">
      <w:pPr>
        <w:pStyle w:val="ListBullet"/>
      </w:pPr>
      <w:r w:rsidRPr="00D572B0">
        <w:t xml:space="preserve">conditions on the licence (including licence core conditions) </w:t>
      </w:r>
    </w:p>
    <w:p w14:paraId="428C6FFE" w14:textId="77777777" w:rsidR="004F61A0" w:rsidRPr="00F2258B" w:rsidRDefault="004F61A0" w:rsidP="00D572B0">
      <w:pPr>
        <w:pStyle w:val="ListBullet"/>
      </w:pPr>
      <w:r w:rsidRPr="00D572B0">
        <w:t>a determination</w:t>
      </w:r>
      <w:r w:rsidRPr="00F2258B">
        <w:t xml:space="preserve"> of unacceptable interference for the purpose of device registration</w:t>
      </w:r>
    </w:p>
    <w:p w14:paraId="20B13998" w14:textId="77777777" w:rsidR="004F61A0" w:rsidRPr="00D572B0" w:rsidRDefault="004F61A0" w:rsidP="00625FEF">
      <w:pPr>
        <w:pStyle w:val="ListBulletLast"/>
      </w:pPr>
      <w:r w:rsidRPr="00F2258B">
        <w:t>radiocommunications advisory guidelines</w:t>
      </w:r>
      <w:r>
        <w:t>.</w:t>
      </w:r>
      <w:r w:rsidRPr="00F2258B">
        <w:t xml:space="preserve"> </w:t>
      </w:r>
    </w:p>
    <w:p w14:paraId="49FB3949" w14:textId="77777777" w:rsidR="00607CC4" w:rsidRDefault="002E122A" w:rsidP="00625FEF">
      <w:pPr>
        <w:keepNext/>
        <w:spacing w:after="80"/>
      </w:pPr>
      <w:r>
        <w:t>Technical instruments</w:t>
      </w:r>
      <w:r w:rsidR="005D66F0">
        <w:t xml:space="preserve"> </w:t>
      </w:r>
      <w:r w:rsidR="00607CC4">
        <w:t xml:space="preserve">constitute the technical framework of the spectrum licences and are made under sections 145 and 262 of the Act. </w:t>
      </w:r>
      <w:r w:rsidR="00607CC4" w:rsidRPr="003B2207">
        <w:t xml:space="preserve">Section </w:t>
      </w:r>
      <w:r w:rsidR="00607CC4">
        <w:t xml:space="preserve">145 </w:t>
      </w:r>
      <w:r w:rsidR="00607CC4" w:rsidRPr="003B2207">
        <w:t xml:space="preserve">provides that the ACMA may determine what </w:t>
      </w:r>
      <w:r w:rsidR="00607CC4">
        <w:t xml:space="preserve">constitutes </w:t>
      </w:r>
      <w:r w:rsidR="00607CC4" w:rsidRPr="003B2207">
        <w:t xml:space="preserve">an </w:t>
      </w:r>
      <w:r w:rsidR="00607CC4">
        <w:t>‘</w:t>
      </w:r>
      <w:r w:rsidR="00607CC4" w:rsidRPr="003B2207">
        <w:t>unacceptable level of interference</w:t>
      </w:r>
      <w:r w:rsidR="00607CC4">
        <w:t>’</w:t>
      </w:r>
      <w:r w:rsidR="00607CC4" w:rsidRPr="003B2207">
        <w:t xml:space="preserve"> for a spectrum</w:t>
      </w:r>
      <w:r w:rsidR="00607CC4">
        <w:t>-</w:t>
      </w:r>
      <w:r w:rsidR="00607CC4" w:rsidRPr="003B2207">
        <w:t xml:space="preserve">licensed band. </w:t>
      </w:r>
      <w:r w:rsidR="00607CC4">
        <w:t>The ACMA may refuse to include a transmitter on the Register of Radiocommunications Licences if it is satisfied that operation of the transmitter could cause an unacceptable level of interference to the operation of a radiocommunications device. If the transmitter is not included on the Register, the licensee must not operate the transmitter under the licence.</w:t>
      </w:r>
      <w:r w:rsidR="00607CC4">
        <w:rPr>
          <w:rStyle w:val="FootnoteReference"/>
        </w:rPr>
        <w:footnoteReference w:id="13"/>
      </w:r>
      <w:r w:rsidR="00607CC4">
        <w:t xml:space="preserve"> </w:t>
      </w:r>
      <w:r w:rsidR="00607CC4" w:rsidRPr="003B2207">
        <w:t xml:space="preserve">A section 145 determination </w:t>
      </w:r>
      <w:r w:rsidR="00607CC4">
        <w:t xml:space="preserve">effectively, therefore, </w:t>
      </w:r>
      <w:r w:rsidR="00607CC4" w:rsidRPr="003B2207">
        <w:t xml:space="preserve">sets out the circumstances </w:t>
      </w:r>
      <w:r w:rsidR="00607CC4">
        <w:t>where</w:t>
      </w:r>
      <w:r w:rsidR="00607CC4" w:rsidRPr="003B2207">
        <w:t xml:space="preserve"> the ACMA may refuse to register a device under the spectrum licence. Generally, these circumstances include:</w:t>
      </w:r>
      <w:r w:rsidR="00607CC4">
        <w:t xml:space="preserve"> </w:t>
      </w:r>
    </w:p>
    <w:p w14:paraId="45D180C8" w14:textId="77777777" w:rsidR="002E122A" w:rsidRPr="003D4AA1" w:rsidRDefault="002E122A" w:rsidP="00D572B0">
      <w:pPr>
        <w:pStyle w:val="ListBullet"/>
      </w:pPr>
      <w:r w:rsidRPr="003D4AA1">
        <w:t xml:space="preserve">if any part of the </w:t>
      </w:r>
      <w:r w:rsidRPr="00C8624B">
        <w:t xml:space="preserve">device boundary </w:t>
      </w:r>
      <w:r w:rsidRPr="003D4AA1">
        <w:t>falls outside the geographic area of the spectrum licence</w:t>
      </w:r>
    </w:p>
    <w:p w14:paraId="11465BA4" w14:textId="77777777" w:rsidR="002E122A" w:rsidRDefault="002E122A" w:rsidP="00D572B0">
      <w:pPr>
        <w:pStyle w:val="ListBullet"/>
      </w:pPr>
      <w:r w:rsidRPr="003D4AA1">
        <w:t xml:space="preserve">if the </w:t>
      </w:r>
      <w:r w:rsidRPr="00D572B0">
        <w:t>operation</w:t>
      </w:r>
      <w:r w:rsidRPr="003D4AA1">
        <w:t xml:space="preserve"> of the transmitter will breach a core condition of the spectrum licence</w:t>
      </w:r>
    </w:p>
    <w:p w14:paraId="53365408" w14:textId="77777777" w:rsidR="002E122A" w:rsidRDefault="002E122A" w:rsidP="00625FEF">
      <w:pPr>
        <w:pStyle w:val="ListBulletLast"/>
      </w:pPr>
      <w:r>
        <w:t xml:space="preserve">if the device will exceed any </w:t>
      </w:r>
      <w:r w:rsidR="00342195">
        <w:t xml:space="preserve">specified </w:t>
      </w:r>
      <w:r>
        <w:t>deployment constraints.</w:t>
      </w:r>
    </w:p>
    <w:p w14:paraId="66428C3F" w14:textId="77777777" w:rsidR="00372B7E" w:rsidRDefault="002E122A" w:rsidP="00D572B0">
      <w:r w:rsidRPr="003B2207">
        <w:t xml:space="preserve">Section 262 of the Act provides that the ACMA may make advisory guidelines about any aspect of radiocommunications. Generally, the </w:t>
      </w:r>
      <w:r>
        <w:t>r</w:t>
      </w:r>
      <w:r w:rsidRPr="003B2207">
        <w:t xml:space="preserve">adiocommunications </w:t>
      </w:r>
      <w:r>
        <w:t>a</w:t>
      </w:r>
      <w:r w:rsidRPr="003B2207">
        <w:t xml:space="preserve">dvisory </w:t>
      </w:r>
      <w:r>
        <w:t>gu</w:t>
      </w:r>
      <w:r w:rsidRPr="003B2207">
        <w:t>idelines include provisions to assist in the assessment of the risk of interference between spectrum</w:t>
      </w:r>
      <w:r w:rsidR="001B4D7E">
        <w:t>-</w:t>
      </w:r>
      <w:r w:rsidRPr="003B2207">
        <w:t>licensed devices and services operating under apparatus or class licences.</w:t>
      </w:r>
    </w:p>
    <w:p w14:paraId="220B48D2" w14:textId="77777777" w:rsidR="004F61A0" w:rsidRDefault="00372B7E" w:rsidP="00625FEF">
      <w:pPr>
        <w:spacing w:after="80"/>
      </w:pPr>
      <w:r>
        <w:t>In the case of the 700 MHz band, the technical framework was made prior to the initial 700 MHz auction and remain</w:t>
      </w:r>
      <w:r w:rsidR="00D3156E">
        <w:t>s</w:t>
      </w:r>
      <w:r>
        <w:t xml:space="preserve"> unchanged</w:t>
      </w:r>
      <w:r w:rsidR="00D3156E">
        <w:t>. It is made up of the following instruments</w:t>
      </w:r>
      <w:r w:rsidR="004F61A0">
        <w:t>:</w:t>
      </w:r>
    </w:p>
    <w:p w14:paraId="25F56467" w14:textId="77777777" w:rsidR="00E541B8" w:rsidRPr="00E541B8" w:rsidRDefault="00E541B8" w:rsidP="00E541B8">
      <w:pPr>
        <w:pStyle w:val="ListBullet"/>
      </w:pPr>
      <w:r w:rsidRPr="00625FEF">
        <w:t>Radiocommunications (Unacceptable Levels of Interference – 700 MHz Band) Determination 2012</w:t>
      </w:r>
      <w:r w:rsidR="00372B7E">
        <w:rPr>
          <w:rStyle w:val="FootnoteReference"/>
        </w:rPr>
        <w:footnoteReference w:id="14"/>
      </w:r>
    </w:p>
    <w:p w14:paraId="52197B2A" w14:textId="77777777" w:rsidR="00E541B8" w:rsidRPr="00E541B8" w:rsidRDefault="00E541B8" w:rsidP="00E541B8">
      <w:pPr>
        <w:pStyle w:val="ListBullet"/>
      </w:pPr>
      <w:r w:rsidRPr="00625FEF">
        <w:t>Radiocommunications Advisory Guidelines (Managing Interference from Transmitters – 700 MHz Band) 2012</w:t>
      </w:r>
      <w:r w:rsidR="00372B7E">
        <w:rPr>
          <w:rStyle w:val="FootnoteReference"/>
        </w:rPr>
        <w:footnoteReference w:id="15"/>
      </w:r>
      <w:r w:rsidR="00372B7E">
        <w:t xml:space="preserve"> </w:t>
      </w:r>
    </w:p>
    <w:p w14:paraId="3696D97E" w14:textId="77777777" w:rsidR="00822AA6" w:rsidRPr="00372B7E" w:rsidRDefault="00E541B8" w:rsidP="00B20732">
      <w:pPr>
        <w:pStyle w:val="ListBullet"/>
        <w:spacing w:after="240"/>
        <w:rPr>
          <w:rStyle w:val="Hyperlink"/>
          <w:color w:val="auto"/>
          <w:u w:val="none"/>
        </w:rPr>
      </w:pPr>
      <w:r w:rsidRPr="00625FEF">
        <w:t>Radiocommunications Advisory Guidelines (Managing Interference to Receivers – 700 MHz Band) 2012</w:t>
      </w:r>
      <w:r w:rsidR="00372B7E">
        <w:t>.</w:t>
      </w:r>
      <w:r w:rsidR="00372B7E">
        <w:rPr>
          <w:rStyle w:val="FootnoteReference"/>
        </w:rPr>
        <w:footnoteReference w:id="16"/>
      </w:r>
      <w:r w:rsidR="00D3156E">
        <w:t xml:space="preserve"> </w:t>
      </w:r>
    </w:p>
    <w:p w14:paraId="54228B71" w14:textId="77777777" w:rsidR="00936807" w:rsidRDefault="00B20732" w:rsidP="00625FEF">
      <w:pPr>
        <w:pStyle w:val="Heading2"/>
      </w:pPr>
      <w:bookmarkStart w:id="42" w:name="_Toc463862898"/>
      <w:r>
        <w:t>Other matters</w:t>
      </w:r>
      <w:r w:rsidR="001B4D7E">
        <w:t>—</w:t>
      </w:r>
      <w:r>
        <w:t>‘early access’ apparatus licences</w:t>
      </w:r>
      <w:bookmarkEnd w:id="42"/>
    </w:p>
    <w:p w14:paraId="4C4C51A1" w14:textId="77777777" w:rsidR="009320D1" w:rsidRDefault="009320D1" w:rsidP="00B20732">
      <w:pPr>
        <w:rPr>
          <w:rFonts w:cs="Arial"/>
        </w:rPr>
      </w:pPr>
      <w:r>
        <w:t>There are currently no apparatus licences issue</w:t>
      </w:r>
      <w:r w:rsidR="00342195">
        <w:t>d</w:t>
      </w:r>
      <w:r>
        <w:t xml:space="preserve"> in the unsold 700 MHz lots.</w:t>
      </w:r>
      <w:r w:rsidR="00E67A36">
        <w:t xml:space="preserve"> Therefore spectrum licensees awaiting the issue of their spe</w:t>
      </w:r>
      <w:r w:rsidR="0063655D">
        <w:t>ctrum licence may apply for an ‘</w:t>
      </w:r>
      <w:r w:rsidR="00E67A36">
        <w:t>early access</w:t>
      </w:r>
      <w:r w:rsidR="0063655D">
        <w:t>’</w:t>
      </w:r>
      <w:r w:rsidR="00E67A36">
        <w:t xml:space="preserve"> apparatus licence</w:t>
      </w:r>
      <w:r w:rsidR="00332FF9">
        <w:t>s</w:t>
      </w:r>
      <w:r w:rsidR="00E67A36">
        <w:t xml:space="preserve"> </w:t>
      </w:r>
      <w:r w:rsidR="00E67A36">
        <w:rPr>
          <w:rFonts w:cs="Arial"/>
        </w:rPr>
        <w:t xml:space="preserve">in order to access unencumbered spectrum </w:t>
      </w:r>
      <w:r w:rsidR="00E67A36" w:rsidRPr="00080443">
        <w:rPr>
          <w:rFonts w:cs="Arial"/>
        </w:rPr>
        <w:t>for a period until the spectrum licence commences</w:t>
      </w:r>
      <w:r w:rsidR="00332FF9">
        <w:rPr>
          <w:rFonts w:cs="Arial"/>
        </w:rPr>
        <w:t xml:space="preserve"> on 1 April 2018</w:t>
      </w:r>
      <w:r>
        <w:t>.</w:t>
      </w:r>
      <w:r w:rsidR="00163283">
        <w:t xml:space="preserve"> </w:t>
      </w:r>
    </w:p>
    <w:p w14:paraId="26E476B1" w14:textId="77777777" w:rsidR="00B20732" w:rsidRPr="00080443" w:rsidRDefault="00B20732" w:rsidP="00B20732">
      <w:pPr>
        <w:rPr>
          <w:rFonts w:cs="Arial"/>
        </w:rPr>
      </w:pPr>
      <w:r w:rsidRPr="00080443">
        <w:rPr>
          <w:rFonts w:cs="Arial"/>
        </w:rPr>
        <w:t xml:space="preserve">The ACMA will </w:t>
      </w:r>
      <w:r w:rsidRPr="00963431">
        <w:t>consider</w:t>
      </w:r>
      <w:r w:rsidRPr="00080443">
        <w:rPr>
          <w:rFonts w:cs="Arial"/>
        </w:rPr>
        <w:t xml:space="preserve"> applications </w:t>
      </w:r>
      <w:r w:rsidR="0063655D">
        <w:rPr>
          <w:rFonts w:cs="Arial"/>
        </w:rPr>
        <w:t xml:space="preserve">from winning bidders </w:t>
      </w:r>
      <w:r w:rsidR="00E67A36">
        <w:rPr>
          <w:rFonts w:cs="Arial"/>
        </w:rPr>
        <w:t xml:space="preserve">for an early access apparatus licence </w:t>
      </w:r>
      <w:r w:rsidRPr="00080443">
        <w:rPr>
          <w:rFonts w:cs="Arial"/>
        </w:rPr>
        <w:t>on a case-by-case basis. This will include a consideration of the legislative requirement that the ‘special circumstances’ of the case justify issuing an apparatus licence in spectrum that is the subject of a spectrum reallocation declaration.</w:t>
      </w:r>
      <w:r w:rsidRPr="00080443">
        <w:rPr>
          <w:rFonts w:cs="Arial"/>
          <w:vertAlign w:val="superscript"/>
        </w:rPr>
        <w:footnoteReference w:id="17"/>
      </w:r>
      <w:r w:rsidRPr="00080443">
        <w:rPr>
          <w:rFonts w:cs="Arial"/>
        </w:rPr>
        <w:t xml:space="preserve"> </w:t>
      </w:r>
      <w:r>
        <w:rPr>
          <w:rFonts w:cs="Arial"/>
        </w:rPr>
        <w:t xml:space="preserve">In general, the ACMA considers that it is desirable that unencumbered spectrum should be utilised where possible. In the case of the </w:t>
      </w:r>
      <w:r w:rsidR="009320D1">
        <w:rPr>
          <w:rFonts w:cs="Arial"/>
        </w:rPr>
        <w:t xml:space="preserve">spectrum covered by the unsold 700 MHz lots, </w:t>
      </w:r>
      <w:r>
        <w:rPr>
          <w:rFonts w:cs="Arial"/>
        </w:rPr>
        <w:t xml:space="preserve">the ACMA expects to adopt a similar approach to ‘early access’ employed after the </w:t>
      </w:r>
      <w:r w:rsidR="00AA543B">
        <w:rPr>
          <w:rFonts w:cs="Arial"/>
        </w:rPr>
        <w:t>initial 700 MHz</w:t>
      </w:r>
      <w:r>
        <w:rPr>
          <w:rFonts w:cs="Arial"/>
        </w:rPr>
        <w:t xml:space="preserve"> auction. In that case,</w:t>
      </w:r>
      <w:r w:rsidRPr="00903D8F">
        <w:t xml:space="preserve"> </w:t>
      </w:r>
      <w:r>
        <w:t xml:space="preserve">the ACMA found that an application to use vacant spectrum by the future owner of the relevant spectrum licence was generally recognised to satisfy </w:t>
      </w:r>
      <w:r w:rsidR="000C73EE">
        <w:t xml:space="preserve">the </w:t>
      </w:r>
      <w:r>
        <w:t>special circumstances criteria</w:t>
      </w:r>
      <w:r>
        <w:rPr>
          <w:rFonts w:cs="Arial"/>
        </w:rPr>
        <w:t>.</w:t>
      </w:r>
    </w:p>
    <w:p w14:paraId="25AA18AD" w14:textId="77777777" w:rsidR="009320D1" w:rsidRDefault="00B20732" w:rsidP="00B20732">
      <w:pPr>
        <w:rPr>
          <w:rFonts w:cs="Arial"/>
        </w:rPr>
      </w:pPr>
      <w:r w:rsidRPr="00080443">
        <w:rPr>
          <w:rFonts w:cs="Arial"/>
        </w:rPr>
        <w:t xml:space="preserve">Any apparatus licence issued in such cases would be on an interim basis only, and would expire in </w:t>
      </w:r>
      <w:r w:rsidRPr="00963431">
        <w:t>alignment</w:t>
      </w:r>
      <w:r w:rsidRPr="00080443">
        <w:rPr>
          <w:rFonts w:cs="Arial"/>
        </w:rPr>
        <w:t xml:space="preserve"> with the commencement of the winning bidder’s spectrum licence.</w:t>
      </w:r>
      <w:r w:rsidR="009320D1">
        <w:rPr>
          <w:rFonts w:cs="Arial"/>
        </w:rPr>
        <w:t xml:space="preserve"> </w:t>
      </w:r>
    </w:p>
    <w:p w14:paraId="09817D6B" w14:textId="77777777" w:rsidR="00B20732" w:rsidRPr="00D0455B" w:rsidRDefault="009320D1" w:rsidP="00B20732">
      <w:pPr>
        <w:rPr>
          <w:rFonts w:cs="Arial"/>
        </w:rPr>
      </w:pPr>
      <w:r>
        <w:rPr>
          <w:rFonts w:cs="Arial"/>
        </w:rPr>
        <w:t xml:space="preserve">The ACMA </w:t>
      </w:r>
      <w:r w:rsidR="0063655D">
        <w:rPr>
          <w:rFonts w:cs="Arial"/>
        </w:rPr>
        <w:t>intends</w:t>
      </w:r>
      <w:r>
        <w:rPr>
          <w:rFonts w:cs="Arial"/>
        </w:rPr>
        <w:t xml:space="preserve"> to amend </w:t>
      </w:r>
      <w:r w:rsidR="0063655D">
        <w:rPr>
          <w:rFonts w:cs="Arial"/>
        </w:rPr>
        <w:t xml:space="preserve">Part 7A of the </w:t>
      </w:r>
      <w:r w:rsidR="0063655D" w:rsidRPr="00625FEF">
        <w:rPr>
          <w:rFonts w:cs="Arial"/>
        </w:rPr>
        <w:t xml:space="preserve">Radiocommunications (Transmitter Licence Tax) Determination </w:t>
      </w:r>
      <w:r w:rsidR="0063655D" w:rsidRPr="00D0455B">
        <w:rPr>
          <w:rFonts w:cs="Arial"/>
        </w:rPr>
        <w:t xml:space="preserve">2015 (the Tax Determination) in December 2016 to incorporate base rates of tax for </w:t>
      </w:r>
      <w:r w:rsidR="008F0039" w:rsidRPr="00D0455B">
        <w:rPr>
          <w:rFonts w:cs="Arial"/>
        </w:rPr>
        <w:t xml:space="preserve">a PMTS Class B licence authorising the </w:t>
      </w:r>
      <w:r w:rsidR="0063655D" w:rsidRPr="00D0455B">
        <w:rPr>
          <w:rFonts w:cs="Arial"/>
        </w:rPr>
        <w:t>operation of a transmitter in the frequency range 788</w:t>
      </w:r>
      <w:r w:rsidR="00DC141C" w:rsidRPr="00D0455B">
        <w:rPr>
          <w:rFonts w:cs="Arial"/>
        </w:rPr>
        <w:t>–</w:t>
      </w:r>
      <w:r w:rsidR="0063655D" w:rsidRPr="00D0455B">
        <w:rPr>
          <w:rFonts w:cs="Arial"/>
        </w:rPr>
        <w:t xml:space="preserve">803 MHz. The relevant annual licence tax rate </w:t>
      </w:r>
      <w:r w:rsidR="00A20282" w:rsidRPr="00D0455B">
        <w:rPr>
          <w:rFonts w:cs="Arial"/>
        </w:rPr>
        <w:t>is expected to be $0.07/MHz</w:t>
      </w:r>
      <w:r w:rsidR="0063655D" w:rsidRPr="00D0455B">
        <w:rPr>
          <w:rFonts w:cs="Arial"/>
        </w:rPr>
        <w:t xml:space="preserve"> (paired)</w:t>
      </w:r>
      <w:r w:rsidR="00A20282" w:rsidRPr="00D0455B">
        <w:rPr>
          <w:rFonts w:cs="Arial"/>
        </w:rPr>
        <w:t>/pop</w:t>
      </w:r>
      <w:r w:rsidR="0063655D" w:rsidRPr="00D0455B">
        <w:rPr>
          <w:rFonts w:cs="Arial"/>
        </w:rPr>
        <w:t xml:space="preserve"> with population based on the relevant hierarchical cell identification scheme (HCIS) 2 block applying population estimates from the 2011 Census</w:t>
      </w:r>
      <w:r w:rsidR="00A20282" w:rsidRPr="00D0455B">
        <w:rPr>
          <w:rFonts w:cs="Arial"/>
        </w:rPr>
        <w:t>.</w:t>
      </w:r>
      <w:r w:rsidR="0063655D" w:rsidRPr="00D0455B">
        <w:rPr>
          <w:rStyle w:val="FootnoteReference"/>
          <w:rFonts w:cs="Arial"/>
        </w:rPr>
        <w:footnoteReference w:id="18"/>
      </w:r>
      <w:r w:rsidR="00A20282" w:rsidRPr="00D0455B">
        <w:rPr>
          <w:rFonts w:cs="Arial"/>
        </w:rPr>
        <w:t xml:space="preserve"> This is consistent with the tax </w:t>
      </w:r>
      <w:r w:rsidR="0063655D" w:rsidRPr="00D0455B">
        <w:rPr>
          <w:rFonts w:cs="Arial"/>
        </w:rPr>
        <w:t xml:space="preserve">rate </w:t>
      </w:r>
      <w:r w:rsidR="00A20282" w:rsidRPr="00D0455B">
        <w:rPr>
          <w:rFonts w:cs="Arial"/>
        </w:rPr>
        <w:t xml:space="preserve">applied for ‘early access’ apparatus licences after the initial 700 MHz auction. </w:t>
      </w:r>
    </w:p>
    <w:p w14:paraId="47B519CF" w14:textId="77777777" w:rsidR="003048C1" w:rsidRPr="00D0455B" w:rsidRDefault="003048C1" w:rsidP="003048C1">
      <w:pPr>
        <w:pBdr>
          <w:top w:val="single" w:sz="4" w:space="1" w:color="auto"/>
          <w:left w:val="single" w:sz="4" w:space="4" w:color="auto"/>
          <w:bottom w:val="single" w:sz="4" w:space="1" w:color="auto"/>
          <w:right w:val="single" w:sz="4" w:space="4" w:color="auto"/>
        </w:pBdr>
        <w:shd w:val="clear" w:color="auto" w:fill="D9D9D9" w:themeFill="background1" w:themeFillShade="D9"/>
        <w:spacing w:after="0"/>
        <w:rPr>
          <w:b/>
        </w:rPr>
      </w:pPr>
      <w:r w:rsidRPr="00D0455B">
        <w:rPr>
          <w:b/>
          <w:caps/>
        </w:rPr>
        <w:t>Issue for comment</w:t>
      </w:r>
      <w:r w:rsidRPr="00D0455B">
        <w:rPr>
          <w:b/>
        </w:rPr>
        <w:t xml:space="preserve"> </w:t>
      </w:r>
      <w:r w:rsidR="00987071" w:rsidRPr="00D0455B">
        <w:rPr>
          <w:b/>
        </w:rPr>
        <w:t>2</w:t>
      </w:r>
      <w:r w:rsidRPr="00D0455B">
        <w:rPr>
          <w:b/>
        </w:rPr>
        <w:t>—Amendment to the Tax Determination</w:t>
      </w:r>
    </w:p>
    <w:p w14:paraId="09ABECEC" w14:textId="77777777" w:rsidR="003048C1" w:rsidRPr="003B2207" w:rsidRDefault="003048C1" w:rsidP="003048C1">
      <w:pPr>
        <w:pBdr>
          <w:top w:val="single" w:sz="4" w:space="1" w:color="auto"/>
          <w:left w:val="single" w:sz="4" w:space="4" w:color="auto"/>
          <w:bottom w:val="single" w:sz="4" w:space="1" w:color="auto"/>
          <w:right w:val="single" w:sz="4" w:space="4" w:color="auto"/>
        </w:pBdr>
        <w:shd w:val="clear" w:color="auto" w:fill="D9D9D9" w:themeFill="background1" w:themeFillShade="D9"/>
        <w:spacing w:after="0"/>
      </w:pPr>
      <w:r w:rsidRPr="00D0455B">
        <w:t xml:space="preserve">The ACMA seeks stakeholder views on the proposal to amend the Tax Determination  to </w:t>
      </w:r>
      <w:r w:rsidRPr="00D0455B">
        <w:rPr>
          <w:rFonts w:cs="Arial"/>
        </w:rPr>
        <w:t>incorporate an annual licence tax rate of $0.07/MHz (paired)/pop for operation of a transmitter in the frequency range 788–803 MHz.</w:t>
      </w:r>
      <w:r>
        <w:rPr>
          <w:rFonts w:cs="Arial"/>
        </w:rPr>
        <w:t xml:space="preserve"> </w:t>
      </w:r>
    </w:p>
    <w:p w14:paraId="23ACE198" w14:textId="77777777" w:rsidR="003048C1" w:rsidRPr="00080443" w:rsidRDefault="003048C1" w:rsidP="00D35C87">
      <w:pPr>
        <w:pStyle w:val="ACMASpaceaftertable"/>
      </w:pPr>
    </w:p>
    <w:p w14:paraId="3A573F1D" w14:textId="77777777" w:rsidR="003B2207" w:rsidRDefault="00666CAF" w:rsidP="003B2207">
      <w:pPr>
        <w:pStyle w:val="Heading1"/>
      </w:pPr>
      <w:bookmarkStart w:id="43" w:name="_Toc315101915"/>
      <w:bookmarkStart w:id="44" w:name="_Toc319572494"/>
      <w:bookmarkStart w:id="45" w:name="_Toc408494353"/>
      <w:bookmarkStart w:id="46" w:name="_Toc408846592"/>
      <w:bookmarkStart w:id="47" w:name="_Toc409015461"/>
      <w:bookmarkStart w:id="48" w:name="_Toc409528625"/>
      <w:bookmarkStart w:id="49" w:name="_Toc409016954"/>
      <w:bookmarkStart w:id="50" w:name="_Toc410918154"/>
      <w:bookmarkStart w:id="51" w:name="_Toc315101916"/>
      <w:bookmarkStart w:id="52" w:name="_Toc319572497"/>
      <w:bookmarkStart w:id="53" w:name="_Toc459210811"/>
      <w:bookmarkStart w:id="54" w:name="_Toc461025810"/>
      <w:bookmarkStart w:id="55" w:name="_Toc463862899"/>
      <w:bookmarkStart w:id="56" w:name="_Toc348105635"/>
      <w:bookmarkEnd w:id="43"/>
      <w:bookmarkEnd w:id="44"/>
      <w:bookmarkEnd w:id="45"/>
      <w:bookmarkEnd w:id="46"/>
      <w:bookmarkEnd w:id="47"/>
      <w:bookmarkEnd w:id="48"/>
      <w:bookmarkEnd w:id="49"/>
      <w:bookmarkEnd w:id="50"/>
      <w:r>
        <w:t>2</w:t>
      </w:r>
      <w:r w:rsidR="00DD7360">
        <w:t>.</w:t>
      </w:r>
      <w:r w:rsidR="00536ACB">
        <w:t xml:space="preserve"> </w:t>
      </w:r>
      <w:r w:rsidR="003B2207" w:rsidRPr="003B2207">
        <w:t>Draft marketing plan</w:t>
      </w:r>
      <w:bookmarkEnd w:id="51"/>
      <w:bookmarkEnd w:id="52"/>
      <w:bookmarkEnd w:id="53"/>
      <w:bookmarkEnd w:id="54"/>
      <w:bookmarkEnd w:id="55"/>
    </w:p>
    <w:p w14:paraId="401D0C88" w14:textId="77777777" w:rsidR="00493433" w:rsidRDefault="00493433" w:rsidP="00D572B0">
      <w:r>
        <w:t xml:space="preserve">This chapter sets out information that the ACMA proposes to include in the draft marketing plan and invites submissions on that information. </w:t>
      </w:r>
    </w:p>
    <w:p w14:paraId="3576A4CF" w14:textId="77777777" w:rsidR="003B2207" w:rsidRPr="003B2207" w:rsidRDefault="003B2207" w:rsidP="003B2207">
      <w:r w:rsidRPr="003B2207">
        <w:t xml:space="preserve">The </w:t>
      </w:r>
      <w:r w:rsidR="00875097">
        <w:t xml:space="preserve">draft </w:t>
      </w:r>
      <w:r w:rsidRPr="003B2207">
        <w:t xml:space="preserve">marketing plan </w:t>
      </w:r>
      <w:r w:rsidR="00875097">
        <w:t xml:space="preserve">at </w:t>
      </w:r>
      <w:r w:rsidR="00875097" w:rsidRPr="00625FEF">
        <w:t xml:space="preserve">Attachment </w:t>
      </w:r>
      <w:r w:rsidR="006C0B86" w:rsidRPr="00625FEF">
        <w:t>A</w:t>
      </w:r>
      <w:r w:rsidR="00875097">
        <w:t xml:space="preserve"> </w:t>
      </w:r>
      <w:r w:rsidRPr="003B2207">
        <w:t xml:space="preserve">describes the spectrum ‘product’ that will be offered at auction. </w:t>
      </w:r>
    </w:p>
    <w:p w14:paraId="239D6627" w14:textId="77777777" w:rsidR="003B2207" w:rsidRPr="003B2207" w:rsidRDefault="003B2207" w:rsidP="00625FEF">
      <w:pPr>
        <w:spacing w:after="80"/>
      </w:pPr>
      <w:r w:rsidRPr="003B2207">
        <w:t>The draft marketing plan:</w:t>
      </w:r>
      <w:r w:rsidR="00996BDF">
        <w:t xml:space="preserve"> </w:t>
      </w:r>
    </w:p>
    <w:p w14:paraId="6864AE8C" w14:textId="77777777" w:rsidR="006D2BDE" w:rsidRDefault="006D2BDE" w:rsidP="002E1CBD">
      <w:pPr>
        <w:pStyle w:val="ListBullet"/>
        <w:rPr>
          <w:rFonts w:cs="Arial"/>
        </w:rPr>
      </w:pPr>
      <w:r>
        <w:rPr>
          <w:rFonts w:cs="Arial"/>
        </w:rPr>
        <w:t>describes the procedures for issuing spectrum licences</w:t>
      </w:r>
      <w:r w:rsidR="00DD443B">
        <w:rPr>
          <w:rFonts w:cs="Arial"/>
        </w:rPr>
        <w:t xml:space="preserve"> for the unsold lots</w:t>
      </w:r>
      <w:r>
        <w:rPr>
          <w:rFonts w:cs="Arial"/>
        </w:rPr>
        <w:t xml:space="preserve"> in the </w:t>
      </w:r>
      <w:r w:rsidR="00806096">
        <w:rPr>
          <w:rFonts w:cs="Arial"/>
        </w:rPr>
        <w:t>700 MHz</w:t>
      </w:r>
      <w:r>
        <w:rPr>
          <w:rFonts w:cs="Arial"/>
        </w:rPr>
        <w:t xml:space="preserve"> band</w:t>
      </w:r>
    </w:p>
    <w:p w14:paraId="79891C87" w14:textId="77777777" w:rsidR="00D54122" w:rsidRDefault="00D54122" w:rsidP="002E1CBD">
      <w:pPr>
        <w:pStyle w:val="ListBullet"/>
        <w:rPr>
          <w:rFonts w:cs="Arial"/>
        </w:rPr>
      </w:pPr>
      <w:r>
        <w:rPr>
          <w:rFonts w:cs="Arial"/>
        </w:rPr>
        <w:t>specifies the licence commencement date and duration</w:t>
      </w:r>
    </w:p>
    <w:p w14:paraId="1C1867EC" w14:textId="77777777" w:rsidR="003B2207" w:rsidRPr="003D4AA1" w:rsidRDefault="00D54122" w:rsidP="002E1CBD">
      <w:pPr>
        <w:pStyle w:val="ListBullet"/>
        <w:rPr>
          <w:rFonts w:cs="Arial"/>
        </w:rPr>
      </w:pPr>
      <w:r>
        <w:rPr>
          <w:rFonts w:cs="Arial"/>
        </w:rPr>
        <w:t>specifies</w:t>
      </w:r>
      <w:r w:rsidRPr="003D4AA1">
        <w:rPr>
          <w:rFonts w:cs="Arial"/>
        </w:rPr>
        <w:t xml:space="preserve"> </w:t>
      </w:r>
      <w:r w:rsidR="003B2207" w:rsidRPr="003D4AA1">
        <w:rPr>
          <w:rFonts w:cs="Arial"/>
        </w:rPr>
        <w:t xml:space="preserve">the spectrum that will be allocated and sets out how the ACMA proposes to divide it into </w:t>
      </w:r>
      <w:r w:rsidR="001C1DC2">
        <w:rPr>
          <w:rFonts w:cs="Arial"/>
        </w:rPr>
        <w:t>lots</w:t>
      </w:r>
      <w:r w:rsidR="001C1DC2" w:rsidRPr="003D4AA1">
        <w:rPr>
          <w:rFonts w:cs="Arial"/>
        </w:rPr>
        <w:t xml:space="preserve"> </w:t>
      </w:r>
      <w:r w:rsidR="003B2207" w:rsidRPr="003D4AA1">
        <w:rPr>
          <w:rFonts w:cs="Arial"/>
        </w:rPr>
        <w:t>for bidders to acquire in the auction process</w:t>
      </w:r>
    </w:p>
    <w:p w14:paraId="6F578C64" w14:textId="77777777" w:rsidR="008B6813" w:rsidRDefault="008B6813" w:rsidP="00625FEF">
      <w:pPr>
        <w:pStyle w:val="ListBulletLast"/>
      </w:pPr>
      <w:r w:rsidRPr="003D4AA1">
        <w:t xml:space="preserve">sets out the types of </w:t>
      </w:r>
      <w:r w:rsidR="006D2BDE">
        <w:t xml:space="preserve">licence </w:t>
      </w:r>
      <w:r w:rsidRPr="003D4AA1">
        <w:t>conditions the ACMA proposes to apply to the spectrum licences</w:t>
      </w:r>
      <w:r w:rsidR="001C1DC2">
        <w:t>.</w:t>
      </w:r>
      <w:r w:rsidRPr="003D4AA1">
        <w:t xml:space="preserve"> </w:t>
      </w:r>
    </w:p>
    <w:p w14:paraId="0CB1D95C" w14:textId="77777777" w:rsidR="003B2207" w:rsidRPr="003B2207" w:rsidRDefault="001338BE" w:rsidP="00D572B0">
      <w:r>
        <w:t>Following is discussion o</w:t>
      </w:r>
      <w:r w:rsidR="007C2D2A">
        <w:t>f</w:t>
      </w:r>
      <w:r>
        <w:t xml:space="preserve"> a</w:t>
      </w:r>
      <w:r w:rsidR="003B2207" w:rsidRPr="003B2207">
        <w:t xml:space="preserve"> number of key issues dealt with in the marketing plan. </w:t>
      </w:r>
    </w:p>
    <w:p w14:paraId="1DEC49CF" w14:textId="77777777" w:rsidR="00D54122" w:rsidRPr="003B2207" w:rsidRDefault="00D54122" w:rsidP="00D54122">
      <w:pPr>
        <w:pStyle w:val="Heading2"/>
      </w:pPr>
      <w:bookmarkStart w:id="57" w:name="_Toc459210812"/>
      <w:bookmarkStart w:id="58" w:name="_Toc461025811"/>
      <w:bookmarkStart w:id="59" w:name="_Toc463862900"/>
      <w:bookmarkStart w:id="60" w:name="_Toc319572498"/>
      <w:r w:rsidRPr="003B2207">
        <w:t>Licence commencement and duration</w:t>
      </w:r>
      <w:bookmarkEnd w:id="57"/>
      <w:bookmarkEnd w:id="58"/>
      <w:bookmarkEnd w:id="59"/>
    </w:p>
    <w:p w14:paraId="0CD84432" w14:textId="77777777" w:rsidR="00D54122" w:rsidRPr="003B2207" w:rsidRDefault="00060AD6" w:rsidP="00D54122">
      <w:r>
        <w:t>The ACMA is proposing that</w:t>
      </w:r>
      <w:r w:rsidR="00D54122">
        <w:t xml:space="preserve"> </w:t>
      </w:r>
      <w:r w:rsidR="00D54122" w:rsidRPr="003B2207">
        <w:t>spe</w:t>
      </w:r>
      <w:r w:rsidR="00D54122">
        <w:t>ctrum licences</w:t>
      </w:r>
      <w:r w:rsidR="00DD443B">
        <w:t xml:space="preserve"> for </w:t>
      </w:r>
      <w:r w:rsidR="00EA02B5">
        <w:t xml:space="preserve">the </w:t>
      </w:r>
      <w:r w:rsidR="00DD443B">
        <w:t>unsold lots</w:t>
      </w:r>
      <w:r w:rsidR="00D54122">
        <w:t xml:space="preserve"> </w:t>
      </w:r>
      <w:r w:rsidR="00EA02B5">
        <w:t>c</w:t>
      </w:r>
      <w:r w:rsidR="00D54122" w:rsidRPr="003B2207">
        <w:t>ommence on</w:t>
      </w:r>
      <w:r w:rsidR="00E541B8">
        <w:t xml:space="preserve"> </w:t>
      </w:r>
      <w:r w:rsidR="00DC141C">
        <w:t>1 </w:t>
      </w:r>
      <w:r w:rsidR="0003490A">
        <w:t>April 2018</w:t>
      </w:r>
      <w:r w:rsidR="00174B0E">
        <w:t xml:space="preserve"> </w:t>
      </w:r>
      <w:r w:rsidR="00E541B8">
        <w:t xml:space="preserve">and expire on </w:t>
      </w:r>
      <w:r w:rsidR="00D3156E">
        <w:t xml:space="preserve">31 December 2029. This is the same expiry date as </w:t>
      </w:r>
      <w:r w:rsidR="000C73EE">
        <w:t xml:space="preserve">applies to the </w:t>
      </w:r>
      <w:r w:rsidR="00D3156E">
        <w:t xml:space="preserve">currently issued spectrum licences in the 700 MHz band. A common expiry date will </w:t>
      </w:r>
      <w:r w:rsidR="00553A7D">
        <w:t>ensure a smooth administrative process for licensee</w:t>
      </w:r>
      <w:r w:rsidR="007C2D2A">
        <w:t>s</w:t>
      </w:r>
      <w:r w:rsidR="00553A7D">
        <w:t xml:space="preserve"> in the band upon expiry.</w:t>
      </w:r>
    </w:p>
    <w:p w14:paraId="5FBCFC44" w14:textId="77777777" w:rsidR="003B2207" w:rsidRPr="003B2207" w:rsidRDefault="003B2207" w:rsidP="003B2207">
      <w:pPr>
        <w:pStyle w:val="Heading2"/>
      </w:pPr>
      <w:bookmarkStart w:id="61" w:name="_Toc459210813"/>
      <w:bookmarkStart w:id="62" w:name="_Toc461025812"/>
      <w:bookmarkStart w:id="63" w:name="_Toc463862901"/>
      <w:r w:rsidRPr="00B40117">
        <w:t>Lot configuration</w:t>
      </w:r>
      <w:bookmarkEnd w:id="60"/>
      <w:bookmarkEnd w:id="61"/>
      <w:bookmarkEnd w:id="62"/>
      <w:bookmarkEnd w:id="63"/>
      <w:r w:rsidRPr="003B2207">
        <w:t xml:space="preserve"> </w:t>
      </w:r>
    </w:p>
    <w:p w14:paraId="7026AF31" w14:textId="77777777" w:rsidR="00174B0E" w:rsidRDefault="007927C7" w:rsidP="00174B0E">
      <w:r>
        <w:t>To be allocated most efficiently,</w:t>
      </w:r>
      <w:r w:rsidRPr="00C47CBC">
        <w:t xml:space="preserve"> </w:t>
      </w:r>
      <w:r>
        <w:t>s</w:t>
      </w:r>
      <w:r w:rsidR="00174B0E" w:rsidRPr="00C47CBC">
        <w:t>pectrum needs to be divided into lots before it can be offered to the market. There are two dimensions to lot configuration</w:t>
      </w:r>
      <w:r w:rsidR="00174B0E">
        <w:t>—</w:t>
      </w:r>
      <w:r w:rsidR="00174B0E" w:rsidRPr="00C47CBC">
        <w:t>bandwidth and geography.</w:t>
      </w:r>
      <w:r w:rsidR="00174B0E">
        <w:t xml:space="preserve"> </w:t>
      </w:r>
      <w:r w:rsidR="00174B0E" w:rsidRPr="00174B0E">
        <w:t xml:space="preserve">In deciding lot configuration for any allocation, the ACMA considers a range of factors, including the </w:t>
      </w:r>
      <w:r w:rsidR="00E14DF9">
        <w:t>source</w:t>
      </w:r>
      <w:r w:rsidR="00174B0E" w:rsidRPr="00174B0E">
        <w:t xml:space="preserve"> of demand and the technical characteristics of the spectrum.</w:t>
      </w:r>
      <w:r w:rsidR="005611D5">
        <w:t xml:space="preserve"> In the case of the unsold 700 MHz lots, the ACMA </w:t>
      </w:r>
      <w:r w:rsidR="003C1E02">
        <w:t>anticipates</w:t>
      </w:r>
      <w:r w:rsidR="005611D5">
        <w:t xml:space="preserve"> that the spectrum will be used for the deployment of mobile telecommunications services, particularly Long Term Evolution (</w:t>
      </w:r>
      <w:r w:rsidR="005611D5" w:rsidRPr="00625FEF">
        <w:t>LTE</w:t>
      </w:r>
      <w:r w:rsidR="005611D5">
        <w:t xml:space="preserve">) networks. </w:t>
      </w:r>
    </w:p>
    <w:p w14:paraId="171BD99F" w14:textId="77777777" w:rsidR="00CA1676" w:rsidRDefault="00CA1676" w:rsidP="00CA1676">
      <w:pPr>
        <w:pStyle w:val="Heading3"/>
      </w:pPr>
      <w:bookmarkStart w:id="64" w:name="_Toc463862902"/>
      <w:r>
        <w:t>Bandwidth</w:t>
      </w:r>
      <w:bookmarkEnd w:id="64"/>
    </w:p>
    <w:p w14:paraId="2278751E" w14:textId="77777777" w:rsidR="007E7F20" w:rsidRPr="00174B0E" w:rsidRDefault="00501C86" w:rsidP="00174B0E">
      <w:r>
        <w:t xml:space="preserve">In the initial </w:t>
      </w:r>
      <w:r w:rsidR="00806096">
        <w:t>700 MHz</w:t>
      </w:r>
      <w:r>
        <w:t xml:space="preserve"> auction, spectrum was</w:t>
      </w:r>
      <w:r w:rsidRPr="00174B0E">
        <w:t xml:space="preserve"> offered in </w:t>
      </w:r>
      <w:r w:rsidR="00D3156E" w:rsidRPr="00174B0E">
        <w:t xml:space="preserve">nine </w:t>
      </w:r>
      <w:r w:rsidR="00953BDA" w:rsidRPr="00174B0E">
        <w:t xml:space="preserve">separate nationwide lots, </w:t>
      </w:r>
      <w:r w:rsidRPr="00174B0E">
        <w:t>each lot with 5 MHz in the lower part of the band (</w:t>
      </w:r>
      <w:r w:rsidR="00953BDA" w:rsidRPr="00174B0E">
        <w:t>703</w:t>
      </w:r>
      <w:r w:rsidR="00DA5681">
        <w:t>–</w:t>
      </w:r>
      <w:r w:rsidR="00953BDA" w:rsidRPr="00174B0E">
        <w:t>748</w:t>
      </w:r>
      <w:r w:rsidRPr="00174B0E">
        <w:t xml:space="preserve"> MHz) and 5 MHz in the upper part of the band (</w:t>
      </w:r>
      <w:r w:rsidR="00953BDA" w:rsidRPr="00174B0E">
        <w:t>758</w:t>
      </w:r>
      <w:r w:rsidRPr="00174B0E">
        <w:t>–</w:t>
      </w:r>
      <w:r w:rsidR="00953BDA" w:rsidRPr="00174B0E">
        <w:t xml:space="preserve">803 </w:t>
      </w:r>
      <w:r w:rsidRPr="00174B0E">
        <w:t>MHz).</w:t>
      </w:r>
      <w:r w:rsidR="00521E27">
        <w:t xml:space="preserve"> </w:t>
      </w:r>
    </w:p>
    <w:p w14:paraId="0231B6E6" w14:textId="77777777" w:rsidR="00521E27" w:rsidRDefault="00521E27" w:rsidP="00174B0E">
      <w:r>
        <w:t>Given that the unsold 700 MHz lots are expected to be used for LTE</w:t>
      </w:r>
      <w:r w:rsidR="00DC141C">
        <w:t>—</w:t>
      </w:r>
      <w:r>
        <w:t xml:space="preserve">which is optimised when using </w:t>
      </w:r>
      <w:r>
        <w:rPr>
          <w:rFonts w:cs="Arial"/>
        </w:rPr>
        <w:t>multiples of 2</w:t>
      </w:r>
      <w:r w:rsidR="00DC141C">
        <w:rPr>
          <w:rFonts w:cs="Arial"/>
        </w:rPr>
        <w:t xml:space="preserve"> </w:t>
      </w:r>
      <w:r>
        <w:rPr>
          <w:rFonts w:cs="Arial"/>
        </w:rPr>
        <w:t>x</w:t>
      </w:r>
      <w:r w:rsidR="00DC141C">
        <w:rPr>
          <w:rFonts w:cs="Arial"/>
        </w:rPr>
        <w:t xml:space="preserve"> </w:t>
      </w:r>
      <w:r>
        <w:rPr>
          <w:rFonts w:cs="Arial"/>
        </w:rPr>
        <w:t>5 MHz channels</w:t>
      </w:r>
      <w:r w:rsidR="00DC141C">
        <w:t>—</w:t>
      </w:r>
      <w:r>
        <w:t>the ACMA will retain a basic paired configuration. However, we have given consideration to whether the spectrum should be bundled into parcels greater than 2</w:t>
      </w:r>
      <w:r w:rsidR="00DC141C">
        <w:t xml:space="preserve"> </w:t>
      </w:r>
      <w:r>
        <w:t>x</w:t>
      </w:r>
      <w:r w:rsidR="00DC141C">
        <w:t xml:space="preserve"> </w:t>
      </w:r>
      <w:r>
        <w:t>5 MHz; that is 2</w:t>
      </w:r>
      <w:r w:rsidR="00DC141C">
        <w:t xml:space="preserve"> </w:t>
      </w:r>
      <w:r>
        <w:t>x</w:t>
      </w:r>
      <w:r w:rsidR="00DC141C">
        <w:t xml:space="preserve"> </w:t>
      </w:r>
      <w:r>
        <w:t>10 MHz or 2</w:t>
      </w:r>
      <w:r w:rsidR="00DC141C">
        <w:t xml:space="preserve"> </w:t>
      </w:r>
      <w:r>
        <w:t>x</w:t>
      </w:r>
      <w:r w:rsidR="00DC141C">
        <w:t xml:space="preserve"> </w:t>
      </w:r>
      <w:r>
        <w:t xml:space="preserve">15 MHz. </w:t>
      </w:r>
    </w:p>
    <w:p w14:paraId="48425578" w14:textId="77777777" w:rsidR="005244C1" w:rsidRPr="005244C1" w:rsidRDefault="005244C1" w:rsidP="00625FEF">
      <w:pPr>
        <w:pStyle w:val="BodySubHeader"/>
      </w:pPr>
      <w:r w:rsidRPr="005244C1">
        <w:t>Three lots of 2</w:t>
      </w:r>
      <w:r w:rsidR="00DC141C">
        <w:t xml:space="preserve"> </w:t>
      </w:r>
      <w:r w:rsidRPr="005244C1">
        <w:t>x</w:t>
      </w:r>
      <w:r w:rsidR="00DC141C">
        <w:t xml:space="preserve"> </w:t>
      </w:r>
      <w:r w:rsidRPr="005244C1">
        <w:t>5 MHz</w:t>
      </w:r>
    </w:p>
    <w:p w14:paraId="33D5B41D" w14:textId="77777777" w:rsidR="00431ECB" w:rsidRPr="00431ECB" w:rsidRDefault="00431ECB" w:rsidP="00431ECB">
      <w:r>
        <w:t>Offering three lots of 2</w:t>
      </w:r>
      <w:r w:rsidR="00DC141C">
        <w:t xml:space="preserve"> </w:t>
      </w:r>
      <w:r>
        <w:t>x</w:t>
      </w:r>
      <w:r w:rsidR="00DC141C">
        <w:t xml:space="preserve"> </w:t>
      </w:r>
      <w:r>
        <w:t>5 MHz provides bidders with the greatest flexibility in terms of acquiring the precise configuration they are seeking. However, the ACMA is concerned that</w:t>
      </w:r>
      <w:r w:rsidR="003C1E02">
        <w:t xml:space="preserve"> </w:t>
      </w:r>
      <w:r w:rsidR="007927C7">
        <w:t xml:space="preserve">offering such lots through </w:t>
      </w:r>
      <w:r w:rsidR="003C1E02">
        <w:t>an SCA or SMRA auction</w:t>
      </w:r>
      <w:r>
        <w:t xml:space="preserve"> creates a p</w:t>
      </w:r>
      <w:r w:rsidRPr="00431ECB">
        <w:t xml:space="preserve">ossible fragmentation risk </w:t>
      </w:r>
      <w:r w:rsidR="00DC141C">
        <w:t xml:space="preserve">that </w:t>
      </w:r>
      <w:r>
        <w:t>would result</w:t>
      </w:r>
      <w:r w:rsidRPr="00431ECB">
        <w:t xml:space="preserve"> in inefficient spectrum use. </w:t>
      </w:r>
      <w:r>
        <w:t>Moreover, it creates an e</w:t>
      </w:r>
      <w:r w:rsidRPr="00431ECB">
        <w:t xml:space="preserve">xposure risk for a bidder who </w:t>
      </w:r>
      <w:r>
        <w:t xml:space="preserve">is seeking to acquire </w:t>
      </w:r>
      <w:r w:rsidRPr="00431ECB">
        <w:t>2</w:t>
      </w:r>
      <w:r w:rsidR="00DC141C">
        <w:t xml:space="preserve"> </w:t>
      </w:r>
      <w:r w:rsidRPr="00431ECB">
        <w:t>x</w:t>
      </w:r>
      <w:r w:rsidR="00DC141C">
        <w:t xml:space="preserve"> </w:t>
      </w:r>
      <w:r w:rsidRPr="00431ECB">
        <w:t>10 MHz or 2</w:t>
      </w:r>
      <w:r w:rsidR="00DC141C">
        <w:t xml:space="preserve"> </w:t>
      </w:r>
      <w:r w:rsidRPr="00431ECB">
        <w:t>x</w:t>
      </w:r>
      <w:r w:rsidR="00DC141C">
        <w:t xml:space="preserve"> </w:t>
      </w:r>
      <w:r w:rsidRPr="00431ECB">
        <w:t>15 MHz</w:t>
      </w:r>
      <w:r w:rsidR="00DA5681">
        <w:t>,</w:t>
      </w:r>
      <w:r w:rsidRPr="00431ECB">
        <w:t xml:space="preserve"> but </w:t>
      </w:r>
      <w:r>
        <w:t xml:space="preserve">is not interested in </w:t>
      </w:r>
      <w:r w:rsidRPr="00431ECB">
        <w:t>2</w:t>
      </w:r>
      <w:r w:rsidR="00DC141C">
        <w:t xml:space="preserve"> </w:t>
      </w:r>
      <w:r w:rsidRPr="00431ECB">
        <w:t>x</w:t>
      </w:r>
      <w:r w:rsidR="00DC141C">
        <w:t xml:space="preserve"> </w:t>
      </w:r>
      <w:r w:rsidRPr="00431ECB">
        <w:t>5 MHz only. That is, a bidder may seek to acquire two or three lots but be outbid such that they are left holding one lot</w:t>
      </w:r>
      <w:r>
        <w:t xml:space="preserve">. Even with auction methodologies </w:t>
      </w:r>
      <w:r w:rsidR="00DC141C">
        <w:t xml:space="preserve">that </w:t>
      </w:r>
      <w:r>
        <w:t>permit withdrawals</w:t>
      </w:r>
      <w:r w:rsidR="00DC141C">
        <w:t>—</w:t>
      </w:r>
      <w:r>
        <w:t>such as an SMRA auction</w:t>
      </w:r>
      <w:r w:rsidR="00DC141C">
        <w:t>—</w:t>
      </w:r>
      <w:r>
        <w:t xml:space="preserve">the </w:t>
      </w:r>
      <w:r w:rsidR="003C1E02">
        <w:t xml:space="preserve">likely amount of </w:t>
      </w:r>
      <w:r>
        <w:t>withdrawal penalty</w:t>
      </w:r>
      <w:r w:rsidR="003C1E02">
        <w:t xml:space="preserve"> in the unsold lots auction</w:t>
      </w:r>
      <w:r>
        <w:t xml:space="preserve"> may be </w:t>
      </w:r>
      <w:r w:rsidR="003C1E02">
        <w:t xml:space="preserve">so </w:t>
      </w:r>
      <w:r>
        <w:t xml:space="preserve">high </w:t>
      </w:r>
      <w:r w:rsidR="0000425F">
        <w:t xml:space="preserve">as </w:t>
      </w:r>
      <w:r>
        <w:t xml:space="preserve">to </w:t>
      </w:r>
      <w:r w:rsidR="003C1E02">
        <w:t xml:space="preserve">severely </w:t>
      </w:r>
      <w:r>
        <w:t>discourage withdrawal</w:t>
      </w:r>
      <w:r w:rsidR="00D76BCD">
        <w:t>,</w:t>
      </w:r>
      <w:r w:rsidR="00E14DF9">
        <w:t xml:space="preserve"> or severely inhibit truthful bidding</w:t>
      </w:r>
      <w:r w:rsidRPr="00431ECB">
        <w:t>.</w:t>
      </w:r>
      <w:r>
        <w:t xml:space="preserve"> With </w:t>
      </w:r>
      <w:r w:rsidR="003C1E02">
        <w:t xml:space="preserve">SCA, </w:t>
      </w:r>
      <w:r>
        <w:t>which do</w:t>
      </w:r>
      <w:r w:rsidR="007927C7">
        <w:t>es</w:t>
      </w:r>
      <w:r>
        <w:t xml:space="preserve"> not permit </w:t>
      </w:r>
      <w:r w:rsidR="003C1E02">
        <w:t>withdrawals</w:t>
      </w:r>
      <w:r>
        <w:t>, the risk for bidders seeking 2</w:t>
      </w:r>
      <w:r w:rsidR="00DC141C">
        <w:t xml:space="preserve"> </w:t>
      </w:r>
      <w:r>
        <w:t>x</w:t>
      </w:r>
      <w:r w:rsidR="00DC141C">
        <w:t xml:space="preserve"> </w:t>
      </w:r>
      <w:r>
        <w:t>10 MHz or 2</w:t>
      </w:r>
      <w:r w:rsidR="00DC141C">
        <w:t xml:space="preserve"> </w:t>
      </w:r>
      <w:r>
        <w:t>x</w:t>
      </w:r>
      <w:r w:rsidR="00DC141C">
        <w:t xml:space="preserve"> </w:t>
      </w:r>
      <w:r>
        <w:t xml:space="preserve">15 MHz is even greater. Finally, </w:t>
      </w:r>
      <w:r w:rsidR="00E14DF9">
        <w:t>the ACMA considers that given the reduced utility of a single 2</w:t>
      </w:r>
      <w:r w:rsidR="00DC141C">
        <w:t xml:space="preserve"> </w:t>
      </w:r>
      <w:r w:rsidR="00E14DF9">
        <w:t>x</w:t>
      </w:r>
      <w:r w:rsidR="00DC141C">
        <w:t xml:space="preserve"> </w:t>
      </w:r>
      <w:r w:rsidR="00E14DF9">
        <w:t xml:space="preserve">5 MHz lot relative to larger bandwidths, it is unlikely that </w:t>
      </w:r>
      <w:r>
        <w:t xml:space="preserve">three separate </w:t>
      </w:r>
      <w:r w:rsidRPr="00431ECB">
        <w:t xml:space="preserve">bidders each acquiring one lot </w:t>
      </w:r>
      <w:r w:rsidR="00E14DF9">
        <w:t xml:space="preserve">would </w:t>
      </w:r>
      <w:r w:rsidRPr="00431ECB">
        <w:t xml:space="preserve">be the highest value </w:t>
      </w:r>
      <w:r w:rsidR="003C1E02">
        <w:t xml:space="preserve">use </w:t>
      </w:r>
      <w:r>
        <w:t>of this spectrum</w:t>
      </w:r>
      <w:r w:rsidRPr="00431ECB">
        <w:t>.</w:t>
      </w:r>
    </w:p>
    <w:p w14:paraId="286B8D03" w14:textId="77777777" w:rsidR="005244C1" w:rsidRPr="005244C1" w:rsidRDefault="005244C1" w:rsidP="00625FEF">
      <w:pPr>
        <w:pStyle w:val="BodySubHeader"/>
      </w:pPr>
      <w:r w:rsidRPr="005244C1">
        <w:t>One lot of 2</w:t>
      </w:r>
      <w:r w:rsidR="00DC141C">
        <w:t xml:space="preserve"> </w:t>
      </w:r>
      <w:r w:rsidRPr="005244C1">
        <w:t>x</w:t>
      </w:r>
      <w:r w:rsidR="00DC141C">
        <w:t xml:space="preserve"> </w:t>
      </w:r>
      <w:r w:rsidRPr="005244C1">
        <w:t>15 MHz</w:t>
      </w:r>
    </w:p>
    <w:p w14:paraId="410D62B6" w14:textId="77777777" w:rsidR="00431ECB" w:rsidRDefault="00431ECB" w:rsidP="00174B0E">
      <w:r>
        <w:t>Offering a single lot of 2</w:t>
      </w:r>
      <w:r w:rsidR="00DC141C">
        <w:t xml:space="preserve"> </w:t>
      </w:r>
      <w:r>
        <w:t>x</w:t>
      </w:r>
      <w:r w:rsidR="00DC141C">
        <w:t xml:space="preserve"> </w:t>
      </w:r>
      <w:r>
        <w:t xml:space="preserve">15 MHz is very sensitive to expectations about bidders’ demand, which the ACMA </w:t>
      </w:r>
      <w:r w:rsidR="00D81904">
        <w:t>cannot know with any certainty. This configuration would manage the risk of fragmentation, but creates a significant risk that bidders are unable to participate in the auction because they are seeking only 2</w:t>
      </w:r>
      <w:r w:rsidR="00DC141C">
        <w:t xml:space="preserve"> </w:t>
      </w:r>
      <w:r w:rsidR="00D81904">
        <w:t>x</w:t>
      </w:r>
      <w:r w:rsidR="00DC141C">
        <w:t xml:space="preserve"> </w:t>
      </w:r>
      <w:r w:rsidR="00D81904">
        <w:t>10 MHz or 2</w:t>
      </w:r>
      <w:r w:rsidR="00DC141C">
        <w:t xml:space="preserve"> </w:t>
      </w:r>
      <w:r w:rsidR="00D81904">
        <w:t>x</w:t>
      </w:r>
      <w:r w:rsidR="00DC141C">
        <w:t xml:space="preserve"> </w:t>
      </w:r>
      <w:r w:rsidR="00D81904">
        <w:t xml:space="preserve">5 MHz. </w:t>
      </w:r>
    </w:p>
    <w:p w14:paraId="3990C9EB" w14:textId="77777777" w:rsidR="005244C1" w:rsidRPr="005244C1" w:rsidRDefault="005244C1" w:rsidP="00625FEF">
      <w:pPr>
        <w:pStyle w:val="BodySubHeader"/>
      </w:pPr>
      <w:r w:rsidRPr="005244C1">
        <w:t>2</w:t>
      </w:r>
      <w:r w:rsidR="00DC141C">
        <w:t xml:space="preserve"> </w:t>
      </w:r>
      <w:r w:rsidRPr="005244C1">
        <w:t>x</w:t>
      </w:r>
      <w:r w:rsidR="00DC141C">
        <w:t xml:space="preserve"> </w:t>
      </w:r>
      <w:r w:rsidRPr="005244C1">
        <w:t>10 MHz</w:t>
      </w:r>
      <w:r w:rsidR="00942500">
        <w:t xml:space="preserve"> and 2</w:t>
      </w:r>
      <w:r w:rsidR="00DC141C">
        <w:t xml:space="preserve"> </w:t>
      </w:r>
      <w:r w:rsidR="00942500">
        <w:t>x</w:t>
      </w:r>
      <w:r w:rsidR="00DC141C">
        <w:t xml:space="preserve"> </w:t>
      </w:r>
      <w:r w:rsidR="00942500">
        <w:t>5 MHz</w:t>
      </w:r>
    </w:p>
    <w:p w14:paraId="029F0222" w14:textId="77777777" w:rsidR="00D81904" w:rsidRPr="00D81904" w:rsidRDefault="00D81904" w:rsidP="00D81904">
      <w:r>
        <w:t>Offering one lot of 2</w:t>
      </w:r>
      <w:r w:rsidR="00DC141C">
        <w:t xml:space="preserve"> </w:t>
      </w:r>
      <w:r>
        <w:t>x</w:t>
      </w:r>
      <w:r w:rsidR="00DC141C">
        <w:t xml:space="preserve"> </w:t>
      </w:r>
      <w:r>
        <w:t>10 MHz and one lot of 2</w:t>
      </w:r>
      <w:r w:rsidR="00DC141C">
        <w:t xml:space="preserve"> </w:t>
      </w:r>
      <w:r>
        <w:t>x</w:t>
      </w:r>
      <w:r w:rsidR="00DC141C">
        <w:t xml:space="preserve"> </w:t>
      </w:r>
      <w:r>
        <w:t>5 MHz mitigates a number of risks with the previous option</w:t>
      </w:r>
      <w:r w:rsidR="00D20E79">
        <w:t>(s)</w:t>
      </w:r>
      <w:r>
        <w:t>. There is n</w:t>
      </w:r>
      <w:r w:rsidRPr="00D81904">
        <w:t>o exposure risk for a bidder who wants 2</w:t>
      </w:r>
      <w:r w:rsidR="00DC141C">
        <w:t> </w:t>
      </w:r>
      <w:r w:rsidRPr="00D81904">
        <w:t>x</w:t>
      </w:r>
      <w:r w:rsidR="00DC141C">
        <w:t> </w:t>
      </w:r>
      <w:r w:rsidR="00DC141C" w:rsidRPr="00D81904">
        <w:t>10</w:t>
      </w:r>
      <w:r w:rsidR="00DC141C">
        <w:t> </w:t>
      </w:r>
      <w:r w:rsidRPr="00D81904">
        <w:t>MHz but not 2</w:t>
      </w:r>
      <w:r w:rsidR="00DC141C">
        <w:t xml:space="preserve"> </w:t>
      </w:r>
      <w:r w:rsidRPr="00D81904">
        <w:t>x</w:t>
      </w:r>
      <w:r w:rsidR="00DC141C">
        <w:t xml:space="preserve"> </w:t>
      </w:r>
      <w:r w:rsidRPr="00D81904">
        <w:t>5 MHz only</w:t>
      </w:r>
      <w:r w:rsidR="00DC141C">
        <w:t>,</w:t>
      </w:r>
      <w:r w:rsidRPr="00D81904">
        <w:t xml:space="preserve"> because the bidder can choose to bid only on the 2</w:t>
      </w:r>
      <w:r w:rsidR="00DC141C">
        <w:t xml:space="preserve"> </w:t>
      </w:r>
      <w:r w:rsidRPr="00D81904">
        <w:t>x</w:t>
      </w:r>
      <w:r w:rsidR="00DC141C">
        <w:t xml:space="preserve"> </w:t>
      </w:r>
      <w:r w:rsidRPr="00D81904">
        <w:t xml:space="preserve">10 MHz lot. </w:t>
      </w:r>
      <w:r>
        <w:t>There is, however, e</w:t>
      </w:r>
      <w:r w:rsidRPr="00D81904">
        <w:t>xposure risk for a bidder who wants 2</w:t>
      </w:r>
      <w:r w:rsidR="00DC141C">
        <w:t xml:space="preserve"> </w:t>
      </w:r>
      <w:r w:rsidRPr="00D81904">
        <w:t>x</w:t>
      </w:r>
      <w:r w:rsidR="00DC141C">
        <w:t xml:space="preserve"> </w:t>
      </w:r>
      <w:r w:rsidRPr="00D81904">
        <w:t xml:space="preserve">15 MHz </w:t>
      </w:r>
      <w:r>
        <w:t xml:space="preserve">because they may be unsuccessful on </w:t>
      </w:r>
      <w:r w:rsidR="003C1E02">
        <w:t>2</w:t>
      </w:r>
      <w:r w:rsidR="00DC141C">
        <w:t xml:space="preserve"> </w:t>
      </w:r>
      <w:r w:rsidR="003C1E02">
        <w:t>x</w:t>
      </w:r>
      <w:r w:rsidR="00DC141C">
        <w:t xml:space="preserve"> </w:t>
      </w:r>
      <w:r w:rsidR="003C1E02">
        <w:t>10 MHz</w:t>
      </w:r>
      <w:r>
        <w:t xml:space="preserve"> lot</w:t>
      </w:r>
      <w:r w:rsidR="00DC141C">
        <w:t>,</w:t>
      </w:r>
      <w:r>
        <w:t xml:space="preserve"> but left holding the </w:t>
      </w:r>
      <w:r w:rsidR="003C1E02">
        <w:t>2</w:t>
      </w:r>
      <w:r w:rsidR="00DC141C">
        <w:t xml:space="preserve"> </w:t>
      </w:r>
      <w:r w:rsidR="003C1E02">
        <w:t>x</w:t>
      </w:r>
      <w:r w:rsidR="00DC141C">
        <w:t xml:space="preserve"> </w:t>
      </w:r>
      <w:r w:rsidR="003C1E02">
        <w:t>5 MHz lot</w:t>
      </w:r>
      <w:r>
        <w:t xml:space="preserve">. </w:t>
      </w:r>
    </w:p>
    <w:p w14:paraId="292189F3" w14:textId="77777777" w:rsidR="00521E27" w:rsidRDefault="00D81904" w:rsidP="00174B0E">
      <w:r>
        <w:t>On balance, the ACMA considers that it is appropriate to offer one lot of 2</w:t>
      </w:r>
      <w:r w:rsidR="00DC141C">
        <w:t xml:space="preserve"> </w:t>
      </w:r>
      <w:r>
        <w:t>x</w:t>
      </w:r>
      <w:r w:rsidR="00DC141C">
        <w:t xml:space="preserve"> </w:t>
      </w:r>
      <w:r>
        <w:t>10 MHz and one lot of 2</w:t>
      </w:r>
      <w:r w:rsidR="00DC141C">
        <w:t xml:space="preserve"> </w:t>
      </w:r>
      <w:r>
        <w:t>x</w:t>
      </w:r>
      <w:r w:rsidR="00DC141C">
        <w:t xml:space="preserve"> </w:t>
      </w:r>
      <w:r>
        <w:t xml:space="preserve">5 MHz. </w:t>
      </w:r>
      <w:r w:rsidR="00D01045">
        <w:t xml:space="preserve">To further mitigate exposure risk, the ACMA proposes to offer the lots </w:t>
      </w:r>
      <w:r w:rsidR="00D01045" w:rsidRPr="002D6526">
        <w:t>sequentially</w:t>
      </w:r>
      <w:r w:rsidR="00D01045">
        <w:t>, with the 2</w:t>
      </w:r>
      <w:r w:rsidR="00DC141C">
        <w:t xml:space="preserve"> </w:t>
      </w:r>
      <w:r w:rsidR="00D01045">
        <w:t>x</w:t>
      </w:r>
      <w:r w:rsidR="00DC141C">
        <w:t xml:space="preserve"> </w:t>
      </w:r>
      <w:r w:rsidR="00D01045">
        <w:t xml:space="preserve">10 MHz auctioned first. </w:t>
      </w:r>
    </w:p>
    <w:p w14:paraId="06B60095" w14:textId="77777777" w:rsidR="00B04F4E" w:rsidRPr="00B04F4E" w:rsidRDefault="00B04F4E" w:rsidP="00625FEF">
      <w:pPr>
        <w:pStyle w:val="BodySubHeader"/>
      </w:pPr>
      <w:r w:rsidRPr="00B04F4E">
        <w:t>Frequency range of lots</w:t>
      </w:r>
    </w:p>
    <w:p w14:paraId="0F40FB52" w14:textId="77777777" w:rsidR="002D6526" w:rsidRDefault="00B04F4E" w:rsidP="00174B0E">
      <w:r>
        <w:t>The ACMA has also given consideration to which spectrum should be packaged into the 2</w:t>
      </w:r>
      <w:r w:rsidR="00DC141C">
        <w:t xml:space="preserve"> </w:t>
      </w:r>
      <w:r>
        <w:t>x</w:t>
      </w:r>
      <w:r w:rsidR="00DC141C">
        <w:t xml:space="preserve"> </w:t>
      </w:r>
      <w:r>
        <w:t xml:space="preserve">10 MHz lot. </w:t>
      </w:r>
    </w:p>
    <w:p w14:paraId="4AF62C31" w14:textId="77777777" w:rsidR="002D6526" w:rsidRDefault="002D6526" w:rsidP="00174B0E">
      <w:r>
        <w:t>In May 2016</w:t>
      </w:r>
      <w:r w:rsidR="00DC141C">
        <w:t>,</w:t>
      </w:r>
      <w:r>
        <w:t xml:space="preserve"> the government </w:t>
      </w:r>
      <w:r w:rsidR="007927C7">
        <w:t>announced</w:t>
      </w:r>
      <w:r>
        <w:t xml:space="preserve"> that it had received an unsolicited proposal from Vodafone Hutchison Australia (</w:t>
      </w:r>
      <w:r w:rsidRPr="00625FEF">
        <w:t>VHA</w:t>
      </w:r>
      <w:r>
        <w:t>) to acquire 2</w:t>
      </w:r>
      <w:r w:rsidR="00DC141C">
        <w:t xml:space="preserve"> </w:t>
      </w:r>
      <w:r>
        <w:t>x</w:t>
      </w:r>
      <w:r w:rsidR="00DC141C">
        <w:t xml:space="preserve"> </w:t>
      </w:r>
      <w:r>
        <w:t xml:space="preserve">10 MHz of the unsold </w:t>
      </w:r>
      <w:r w:rsidR="00DC141C">
        <w:t>700 </w:t>
      </w:r>
      <w:r>
        <w:t xml:space="preserve">MHz lots. The Department of Communications and the Arts subsequently undertook public consultation on a </w:t>
      </w:r>
      <w:r w:rsidRPr="00D0455B">
        <w:t>proposal to allocate 738</w:t>
      </w:r>
      <w:r w:rsidR="00DC141C" w:rsidRPr="00D0455B">
        <w:t>–</w:t>
      </w:r>
      <w:r w:rsidRPr="00D0455B">
        <w:t>748 MHz and 793</w:t>
      </w:r>
      <w:r w:rsidR="00DC141C" w:rsidRPr="00D0455B">
        <w:t>–</w:t>
      </w:r>
      <w:r w:rsidRPr="00D0455B">
        <w:t>803</w:t>
      </w:r>
      <w:r w:rsidR="00DC141C" w:rsidRPr="00D0455B">
        <w:t> </w:t>
      </w:r>
      <w:r w:rsidRPr="00D0455B">
        <w:t>MHz to VHA.</w:t>
      </w:r>
      <w:r w:rsidRPr="00D0455B">
        <w:rPr>
          <w:rStyle w:val="FootnoteReference"/>
        </w:rPr>
        <w:footnoteReference w:id="19"/>
      </w:r>
      <w:r w:rsidRPr="00D0455B">
        <w:t xml:space="preserve"> </w:t>
      </w:r>
      <w:r w:rsidR="00987071" w:rsidRPr="00D0455B">
        <w:t>Subsequently, t</w:t>
      </w:r>
      <w:r w:rsidRPr="00D0455B">
        <w:t xml:space="preserve">he government has </w:t>
      </w:r>
      <w:r w:rsidR="00425A94" w:rsidRPr="00D0455B">
        <w:t xml:space="preserve">asked the ACMA </w:t>
      </w:r>
      <w:r w:rsidRPr="00D0455B">
        <w:t>to auction of</w:t>
      </w:r>
      <w:r w:rsidR="004A1E61" w:rsidRPr="00D0455B">
        <w:t>f</w:t>
      </w:r>
      <w:r w:rsidRPr="00D0455B">
        <w:t xml:space="preserve"> the unsold 700 MHz lots</w:t>
      </w:r>
      <w:r w:rsidR="00D0455B">
        <w:t>,</w:t>
      </w:r>
      <w:r w:rsidRPr="00D0455B">
        <w:t xml:space="preserve"> rather than proceed with that allocation</w:t>
      </w:r>
      <w:r w:rsidR="00987071" w:rsidRPr="00D0455B">
        <w:t>.</w:t>
      </w:r>
      <w:r w:rsidR="00987071">
        <w:t xml:space="preserve"> T</w:t>
      </w:r>
      <w:r>
        <w:t>he ACMA considers that the known demand for that spectrum indicates that it should be contained with</w:t>
      </w:r>
      <w:r w:rsidR="00987071">
        <w:t>in</w:t>
      </w:r>
      <w:r>
        <w:t xml:space="preserve"> the 2</w:t>
      </w:r>
      <w:r w:rsidR="00DC141C">
        <w:t> </w:t>
      </w:r>
      <w:r>
        <w:t>x</w:t>
      </w:r>
      <w:r w:rsidR="00DC141C">
        <w:t> </w:t>
      </w:r>
      <w:r>
        <w:t>10 MHz lot.</w:t>
      </w:r>
      <w:r w:rsidR="0014198F">
        <w:rPr>
          <w:rStyle w:val="FootnoteReference"/>
        </w:rPr>
        <w:footnoteReference w:id="20"/>
      </w:r>
      <w:r>
        <w:t xml:space="preserve"> </w:t>
      </w:r>
    </w:p>
    <w:p w14:paraId="610A1E81" w14:textId="77777777" w:rsidR="00501C86" w:rsidRDefault="00B04F4E" w:rsidP="00174B0E">
      <w:r>
        <w:t xml:space="preserve">The ACMA </w:t>
      </w:r>
      <w:r w:rsidR="002D6526">
        <w:t xml:space="preserve">therefore </w:t>
      </w:r>
      <w:r>
        <w:t xml:space="preserve">proposes that the </w:t>
      </w:r>
      <w:r w:rsidR="00953BDA" w:rsidRPr="00174B0E">
        <w:t>2</w:t>
      </w:r>
      <w:r w:rsidR="00DC141C">
        <w:t xml:space="preserve"> </w:t>
      </w:r>
      <w:r w:rsidR="00953BDA" w:rsidRPr="00174B0E">
        <w:t>x</w:t>
      </w:r>
      <w:r w:rsidR="00DC141C">
        <w:t xml:space="preserve"> </w:t>
      </w:r>
      <w:r w:rsidR="00953BDA" w:rsidRPr="00174B0E">
        <w:t xml:space="preserve">10 MHz </w:t>
      </w:r>
      <w:r>
        <w:t xml:space="preserve">lot should comprise the frequency ranges </w:t>
      </w:r>
      <w:r w:rsidR="00953BDA" w:rsidRPr="00174B0E">
        <w:t>738</w:t>
      </w:r>
      <w:r w:rsidR="00DC141C">
        <w:t>–</w:t>
      </w:r>
      <w:r w:rsidR="00953BDA" w:rsidRPr="00174B0E">
        <w:t>748 MHz and 793</w:t>
      </w:r>
      <w:r w:rsidR="00DC141C">
        <w:t>–</w:t>
      </w:r>
      <w:r w:rsidR="00953BDA" w:rsidRPr="00174B0E">
        <w:t>803 MHz</w:t>
      </w:r>
      <w:r w:rsidR="00DC141C">
        <w:t>,</w:t>
      </w:r>
      <w:r>
        <w:t xml:space="preserve"> while the </w:t>
      </w:r>
      <w:r w:rsidR="00953BDA" w:rsidRPr="00174B0E">
        <w:t>2</w:t>
      </w:r>
      <w:r w:rsidR="00DC141C">
        <w:t xml:space="preserve"> </w:t>
      </w:r>
      <w:r w:rsidR="00953BDA" w:rsidRPr="00174B0E">
        <w:t>x</w:t>
      </w:r>
      <w:r w:rsidR="00DC141C">
        <w:t xml:space="preserve"> </w:t>
      </w:r>
      <w:r w:rsidR="00953BDA" w:rsidRPr="00174B0E">
        <w:t xml:space="preserve">5 MHz </w:t>
      </w:r>
      <w:r>
        <w:t>comprise</w:t>
      </w:r>
      <w:r w:rsidR="00DC141C">
        <w:t>s</w:t>
      </w:r>
      <w:r>
        <w:t xml:space="preserve"> the range </w:t>
      </w:r>
      <w:r w:rsidR="00953BDA" w:rsidRPr="00174B0E">
        <w:t>733</w:t>
      </w:r>
      <w:r w:rsidR="00DC141C">
        <w:t>–</w:t>
      </w:r>
      <w:r w:rsidR="00953BDA" w:rsidRPr="00174B0E">
        <w:t xml:space="preserve">738 MHz </w:t>
      </w:r>
      <w:r>
        <w:t>and 788</w:t>
      </w:r>
      <w:r w:rsidR="00DC141C">
        <w:t>–</w:t>
      </w:r>
      <w:r>
        <w:t>793 MHz</w:t>
      </w:r>
      <w:r w:rsidR="00953BDA" w:rsidRPr="00174B0E">
        <w:t xml:space="preserve">. </w:t>
      </w:r>
    </w:p>
    <w:p w14:paraId="5C41185F" w14:textId="77777777" w:rsidR="009F13B3" w:rsidRPr="00855B11" w:rsidRDefault="009F13B3" w:rsidP="009F13B3">
      <w:pPr>
        <w:pStyle w:val="Heading3"/>
      </w:pPr>
      <w:bookmarkStart w:id="65" w:name="_Toc463862903"/>
      <w:r w:rsidRPr="00855B11">
        <w:t>ACMA preferred view</w:t>
      </w:r>
      <w:bookmarkEnd w:id="65"/>
    </w:p>
    <w:p w14:paraId="4850E8BA" w14:textId="77777777" w:rsidR="009F13B3" w:rsidRDefault="009F13B3" w:rsidP="00625FEF">
      <w:pPr>
        <w:spacing w:after="80"/>
      </w:pPr>
      <w:r>
        <w:t>On balance, the ACMA considers that the unsold 700 MHz lots should be packaged into two lots and offered sequentially in this auction</w:t>
      </w:r>
      <w:r w:rsidR="001011AB">
        <w:t>:</w:t>
      </w:r>
      <w:r>
        <w:t xml:space="preserve"> </w:t>
      </w:r>
    </w:p>
    <w:p w14:paraId="62FCF6D8" w14:textId="77777777" w:rsidR="009F13B3" w:rsidRPr="009F13B3" w:rsidRDefault="00592127" w:rsidP="009F13B3">
      <w:pPr>
        <w:pStyle w:val="ListBullet"/>
        <w:rPr>
          <w:rFonts w:cs="Arial"/>
        </w:rPr>
      </w:pPr>
      <w:r>
        <w:rPr>
          <w:rFonts w:cs="Arial"/>
        </w:rPr>
        <w:t>t</w:t>
      </w:r>
      <w:r w:rsidR="009F13B3" w:rsidRPr="009F13B3">
        <w:rPr>
          <w:rFonts w:cs="Arial"/>
        </w:rPr>
        <w:t>he first lot offered</w:t>
      </w:r>
      <w:r w:rsidR="001011AB">
        <w:rPr>
          <w:rFonts w:cs="Arial"/>
        </w:rPr>
        <w:t>—</w:t>
      </w:r>
      <w:r w:rsidR="009F13B3" w:rsidRPr="009F13B3">
        <w:rPr>
          <w:rFonts w:cs="Arial"/>
        </w:rPr>
        <w:t>the 2</w:t>
      </w:r>
      <w:r w:rsidR="001011AB">
        <w:rPr>
          <w:rFonts w:cs="Arial"/>
        </w:rPr>
        <w:t xml:space="preserve"> </w:t>
      </w:r>
      <w:r w:rsidR="009F13B3" w:rsidRPr="009F13B3">
        <w:rPr>
          <w:rFonts w:cs="Arial"/>
        </w:rPr>
        <w:t>x</w:t>
      </w:r>
      <w:r w:rsidR="001011AB">
        <w:rPr>
          <w:rFonts w:cs="Arial"/>
        </w:rPr>
        <w:t xml:space="preserve"> </w:t>
      </w:r>
      <w:r w:rsidR="009F13B3" w:rsidRPr="009F13B3">
        <w:rPr>
          <w:rFonts w:cs="Arial"/>
        </w:rPr>
        <w:t>10 MHz lot</w:t>
      </w:r>
      <w:r w:rsidR="001011AB">
        <w:rPr>
          <w:rFonts w:cs="Arial"/>
        </w:rPr>
        <w:t>—</w:t>
      </w:r>
      <w:r w:rsidR="009F13B3" w:rsidRPr="009F13B3">
        <w:rPr>
          <w:rFonts w:cs="Arial"/>
        </w:rPr>
        <w:t>should comprise the frequency ranges 738</w:t>
      </w:r>
      <w:r>
        <w:rPr>
          <w:rFonts w:cs="Arial"/>
        </w:rPr>
        <w:t>–</w:t>
      </w:r>
      <w:r w:rsidR="009F13B3" w:rsidRPr="009F13B3">
        <w:rPr>
          <w:rFonts w:cs="Arial"/>
        </w:rPr>
        <w:t xml:space="preserve">748 MHz </w:t>
      </w:r>
      <w:r w:rsidR="00942500">
        <w:rPr>
          <w:rFonts w:cs="Arial"/>
        </w:rPr>
        <w:t>paired with</w:t>
      </w:r>
      <w:r w:rsidR="009F13B3" w:rsidRPr="009F13B3">
        <w:rPr>
          <w:rFonts w:cs="Arial"/>
        </w:rPr>
        <w:t xml:space="preserve"> 793</w:t>
      </w:r>
      <w:r>
        <w:rPr>
          <w:rFonts w:cs="Arial"/>
        </w:rPr>
        <w:t>–</w:t>
      </w:r>
      <w:r w:rsidR="009F13B3" w:rsidRPr="009F13B3">
        <w:rPr>
          <w:rFonts w:cs="Arial"/>
        </w:rPr>
        <w:t>803 MHz</w:t>
      </w:r>
    </w:p>
    <w:p w14:paraId="1D969D0E" w14:textId="77777777" w:rsidR="009F13B3" w:rsidRPr="009F13B3" w:rsidRDefault="00592127" w:rsidP="009F13B3">
      <w:pPr>
        <w:pStyle w:val="ListBullet"/>
        <w:rPr>
          <w:rFonts w:cs="Arial"/>
        </w:rPr>
      </w:pPr>
      <w:r>
        <w:rPr>
          <w:rFonts w:cs="Arial"/>
        </w:rPr>
        <w:t>t</w:t>
      </w:r>
      <w:r w:rsidR="009F13B3" w:rsidRPr="009F13B3">
        <w:rPr>
          <w:rFonts w:cs="Arial"/>
        </w:rPr>
        <w:t>he second lot offered</w:t>
      </w:r>
      <w:r>
        <w:rPr>
          <w:rFonts w:cs="Arial"/>
        </w:rPr>
        <w:t>—</w:t>
      </w:r>
      <w:r w:rsidR="009F13B3" w:rsidRPr="009F13B3">
        <w:rPr>
          <w:rFonts w:cs="Arial"/>
        </w:rPr>
        <w:t>the 2</w:t>
      </w:r>
      <w:r>
        <w:rPr>
          <w:rFonts w:cs="Arial"/>
        </w:rPr>
        <w:t xml:space="preserve"> </w:t>
      </w:r>
      <w:r w:rsidR="009F13B3" w:rsidRPr="009F13B3">
        <w:rPr>
          <w:rFonts w:cs="Arial"/>
        </w:rPr>
        <w:t>x</w:t>
      </w:r>
      <w:r>
        <w:rPr>
          <w:rFonts w:cs="Arial"/>
        </w:rPr>
        <w:t xml:space="preserve"> </w:t>
      </w:r>
      <w:r w:rsidR="009F13B3" w:rsidRPr="009F13B3">
        <w:rPr>
          <w:rFonts w:cs="Arial"/>
        </w:rPr>
        <w:t>5 MHz lot</w:t>
      </w:r>
      <w:r>
        <w:rPr>
          <w:rFonts w:cs="Arial"/>
        </w:rPr>
        <w:t>—</w:t>
      </w:r>
      <w:r w:rsidR="009F13B3" w:rsidRPr="009F13B3">
        <w:rPr>
          <w:rFonts w:cs="Arial"/>
        </w:rPr>
        <w:t>should comprise the frequency range 733</w:t>
      </w:r>
      <w:r>
        <w:rPr>
          <w:rFonts w:cs="Arial"/>
        </w:rPr>
        <w:t>–</w:t>
      </w:r>
      <w:r w:rsidR="009F13B3" w:rsidRPr="009F13B3">
        <w:rPr>
          <w:rFonts w:cs="Arial"/>
        </w:rPr>
        <w:t xml:space="preserve">738 MHz </w:t>
      </w:r>
      <w:r w:rsidR="00942500">
        <w:rPr>
          <w:rFonts w:cs="Arial"/>
        </w:rPr>
        <w:t xml:space="preserve">paired with </w:t>
      </w:r>
      <w:r w:rsidR="009F13B3" w:rsidRPr="009F13B3">
        <w:rPr>
          <w:rFonts w:cs="Arial"/>
        </w:rPr>
        <w:t>788</w:t>
      </w:r>
      <w:r>
        <w:rPr>
          <w:rFonts w:cs="Arial"/>
        </w:rPr>
        <w:t>–</w:t>
      </w:r>
      <w:r w:rsidR="009F13B3" w:rsidRPr="009F13B3">
        <w:rPr>
          <w:rFonts w:cs="Arial"/>
        </w:rPr>
        <w:t xml:space="preserve">793 MHz. </w:t>
      </w:r>
      <w:r w:rsidR="00A60B05">
        <w:rPr>
          <w:rFonts w:cs="Arial"/>
        </w:rPr>
        <w:t xml:space="preserve">It is proposed that the second lot </w:t>
      </w:r>
      <w:r w:rsidR="009A1E09">
        <w:rPr>
          <w:rFonts w:cs="Arial"/>
        </w:rPr>
        <w:t>will be</w:t>
      </w:r>
      <w:r w:rsidR="00A60B05">
        <w:rPr>
          <w:rFonts w:cs="Arial"/>
        </w:rPr>
        <w:t xml:space="preserve"> auctioned shortly </w:t>
      </w:r>
      <w:r w:rsidR="009009F4">
        <w:rPr>
          <w:rFonts w:cs="Arial"/>
        </w:rPr>
        <w:t xml:space="preserve">(within </w:t>
      </w:r>
      <w:r w:rsidR="000C73EE">
        <w:rPr>
          <w:rFonts w:cs="Arial"/>
        </w:rPr>
        <w:t xml:space="preserve">a few </w:t>
      </w:r>
      <w:r w:rsidR="009009F4">
        <w:rPr>
          <w:rFonts w:cs="Arial"/>
        </w:rPr>
        <w:t xml:space="preserve">days) </w:t>
      </w:r>
      <w:r w:rsidR="00A60B05">
        <w:rPr>
          <w:rFonts w:cs="Arial"/>
        </w:rPr>
        <w:t>after the first one.</w:t>
      </w:r>
    </w:p>
    <w:p w14:paraId="3613DABC" w14:textId="77777777" w:rsidR="005611D5" w:rsidRDefault="005611D5" w:rsidP="005611D5">
      <w:pPr>
        <w:pStyle w:val="Heading3"/>
      </w:pPr>
      <w:bookmarkStart w:id="66" w:name="_Toc463862904"/>
      <w:r>
        <w:t>Geographic areas</w:t>
      </w:r>
      <w:bookmarkEnd w:id="66"/>
    </w:p>
    <w:p w14:paraId="32BB1E10" w14:textId="77777777" w:rsidR="00DE5BFE" w:rsidRDefault="005611D5" w:rsidP="00D572B0">
      <w:r>
        <w:t xml:space="preserve">In the initial 700 MHz auction, spectrum was offered in nationwide lots. The unsold </w:t>
      </w:r>
      <w:r w:rsidR="00592127">
        <w:t>700 </w:t>
      </w:r>
      <w:r w:rsidR="0054740B">
        <w:t xml:space="preserve">MHz lots </w:t>
      </w:r>
      <w:r w:rsidR="00561818">
        <w:t xml:space="preserve">could </w:t>
      </w:r>
      <w:r w:rsidR="0054740B">
        <w:t xml:space="preserve">also </w:t>
      </w:r>
      <w:r w:rsidR="00561818">
        <w:t xml:space="preserve">be made </w:t>
      </w:r>
      <w:r w:rsidR="0054740B">
        <w:t xml:space="preserve">available nationwide, </w:t>
      </w:r>
      <w:r w:rsidR="00561818">
        <w:t xml:space="preserve">or </w:t>
      </w:r>
      <w:r w:rsidR="0054740B">
        <w:t xml:space="preserve">they could be divided into smaller geographic areas for this auction. The ACMA considered whether such division might be appropriate. </w:t>
      </w:r>
    </w:p>
    <w:p w14:paraId="4F7D1564" w14:textId="77777777" w:rsidR="0054740B" w:rsidRDefault="0054740B" w:rsidP="00174B0E">
      <w:r>
        <w:t xml:space="preserve">Nationwide lots suit </w:t>
      </w:r>
      <w:r w:rsidR="00DE5BFE">
        <w:t>prospective licensees seeking to deploy services throughout Australia because they manage the risk of being outbid in a particular geographic area. However, prospective licensees seeking to provide services in a particular geographic area would be forced to acquire a licence that also covered unwanted areas. This may mean that those unwanted areas are denied services. There is also a possibility that nationwide lots may discourage some potential licensees from participating at auction because their commercial interest relates only to discrete geographic areas</w:t>
      </w:r>
    </w:p>
    <w:p w14:paraId="0CAA8568" w14:textId="77777777" w:rsidR="00DE5BFE" w:rsidRDefault="00DE5BFE" w:rsidP="00DE5BFE">
      <w:r>
        <w:t>On the other hand, a</w:t>
      </w:r>
      <w:r w:rsidRPr="000807C5">
        <w:t xml:space="preserve"> </w:t>
      </w:r>
      <w:r>
        <w:t xml:space="preserve">regional </w:t>
      </w:r>
      <w:r w:rsidRPr="000807C5">
        <w:t>lot configuration</w:t>
      </w:r>
      <w:r w:rsidR="00592127">
        <w:t>—</w:t>
      </w:r>
      <w:r>
        <w:t>for example, areas approximating Australian states</w:t>
      </w:r>
      <w:r w:rsidR="00592127">
        <w:t>—</w:t>
      </w:r>
      <w:r w:rsidRPr="000807C5">
        <w:t>would enable</w:t>
      </w:r>
      <w:r>
        <w:t xml:space="preserve"> prospective licensees to bid on only those geographic areas that align with their commercial interest. </w:t>
      </w:r>
      <w:r w:rsidR="00B60056">
        <w:t>It would also enable bidders to vary demand across regions; for example</w:t>
      </w:r>
      <w:r w:rsidR="00592127">
        <w:t>,</w:t>
      </w:r>
      <w:r w:rsidR="00B60056">
        <w:t xml:space="preserve"> in some regions they may only need 2</w:t>
      </w:r>
      <w:r w:rsidR="00592127">
        <w:t xml:space="preserve"> </w:t>
      </w:r>
      <w:r w:rsidR="00B60056">
        <w:t>x</w:t>
      </w:r>
      <w:r w:rsidR="00592127">
        <w:t xml:space="preserve"> </w:t>
      </w:r>
      <w:r w:rsidR="00B60056">
        <w:t>5 MHz but seek 2</w:t>
      </w:r>
      <w:r w:rsidR="00592127">
        <w:t xml:space="preserve"> </w:t>
      </w:r>
      <w:r w:rsidR="00B60056">
        <w:t>x</w:t>
      </w:r>
      <w:r w:rsidR="00592127">
        <w:t xml:space="preserve"> </w:t>
      </w:r>
      <w:r w:rsidR="00B60056">
        <w:t xml:space="preserve">10 MHz in others. </w:t>
      </w:r>
      <w:r>
        <w:t>This would facilitate</w:t>
      </w:r>
      <w:r w:rsidRPr="000807C5">
        <w:t xml:space="preserve"> targeted deployment of services for specific areas</w:t>
      </w:r>
      <w:r>
        <w:t>.</w:t>
      </w:r>
      <w:r w:rsidRPr="008C2C2E" w:rsidDel="00402348">
        <w:t xml:space="preserve"> </w:t>
      </w:r>
      <w:r>
        <w:t>It would not prevent bidders from packaging lots to obtain licences for multiple regions or all of Australia</w:t>
      </w:r>
      <w:r w:rsidRPr="00D01BD4">
        <w:t xml:space="preserve">. </w:t>
      </w:r>
      <w:r>
        <w:t>It would, however, create a risk that a prospective licensee who is seeking to cover the entire geographic area of Australia would be outbid in a single area, thus denying them the ability to deploy an Australia-wide service.</w:t>
      </w:r>
      <w:r w:rsidR="005C335A">
        <w:t xml:space="preserve"> </w:t>
      </w:r>
    </w:p>
    <w:p w14:paraId="04CCA5BA" w14:textId="77777777" w:rsidR="00DE5BFE" w:rsidRPr="00855B11" w:rsidRDefault="00DE5BFE" w:rsidP="00DE5BFE">
      <w:pPr>
        <w:pStyle w:val="Heading3"/>
      </w:pPr>
      <w:bookmarkStart w:id="67" w:name="_Toc463862905"/>
      <w:r w:rsidRPr="00855B11">
        <w:t>ACMA preferred view</w:t>
      </w:r>
      <w:bookmarkEnd w:id="67"/>
    </w:p>
    <w:p w14:paraId="39FE73DD" w14:textId="77777777" w:rsidR="00CA1676" w:rsidRDefault="00DE5BFE" w:rsidP="00CA1676">
      <w:pPr>
        <w:rPr>
          <w:szCs w:val="20"/>
        </w:rPr>
      </w:pPr>
      <w:r>
        <w:t xml:space="preserve">On balance, the ACMA considers that </w:t>
      </w:r>
      <w:r w:rsidR="0054740B">
        <w:t xml:space="preserve">nationwide lots </w:t>
      </w:r>
      <w:r>
        <w:t xml:space="preserve">remain </w:t>
      </w:r>
      <w:r w:rsidR="0054740B">
        <w:t xml:space="preserve">appropriate for the unsold 700 MHz </w:t>
      </w:r>
      <w:r w:rsidR="00CA1676">
        <w:t>spectrum</w:t>
      </w:r>
      <w:r>
        <w:t xml:space="preserve">. </w:t>
      </w:r>
      <w:r w:rsidR="00CA1676">
        <w:t>In coming to this view, t</w:t>
      </w:r>
      <w:r>
        <w:t xml:space="preserve">he ACMA </w:t>
      </w:r>
      <w:r w:rsidR="00592127">
        <w:t>considered</w:t>
      </w:r>
      <w:r>
        <w:t xml:space="preserve"> stakeholder submissions in response to consultation processes before</w:t>
      </w:r>
      <w:r w:rsidR="00CA1676">
        <w:t xml:space="preserve"> the</w:t>
      </w:r>
      <w:r>
        <w:t xml:space="preserve"> initial 700 MHz auction </w:t>
      </w:r>
      <w:r w:rsidR="00CA1676">
        <w:t xml:space="preserve">that this spectrum would best be used as the foundation for a national mobile network. </w:t>
      </w:r>
    </w:p>
    <w:p w14:paraId="71AFADF7" w14:textId="77777777" w:rsidR="00CA1676" w:rsidRPr="00605D02" w:rsidRDefault="009009F4" w:rsidP="00625FEF">
      <w:pPr>
        <w:pBdr>
          <w:top w:val="single" w:sz="4" w:space="1" w:color="auto"/>
          <w:left w:val="single" w:sz="4" w:space="4" w:color="auto"/>
          <w:bottom w:val="single" w:sz="4" w:space="1" w:color="auto"/>
          <w:right w:val="single" w:sz="4" w:space="4" w:color="auto"/>
        </w:pBdr>
        <w:shd w:val="clear" w:color="auto" w:fill="F2F2F2" w:themeFill="background1" w:themeFillShade="F2"/>
        <w:spacing w:after="120"/>
      </w:pPr>
      <w:r>
        <w:rPr>
          <w:b/>
        </w:rPr>
        <w:t>SUMMARY</w:t>
      </w:r>
      <w:r w:rsidR="00DD7360">
        <w:rPr>
          <w:b/>
        </w:rPr>
        <w:t>—</w:t>
      </w:r>
      <w:r w:rsidR="00CA1676" w:rsidRPr="009009F4">
        <w:rPr>
          <w:b/>
        </w:rPr>
        <w:t>700 MHz unsold lot configuration</w:t>
      </w:r>
    </w:p>
    <w:p w14:paraId="7BB1BDE9" w14:textId="77777777" w:rsidR="00CA1676" w:rsidRDefault="009F13B3" w:rsidP="00625FEF">
      <w:pPr>
        <w:pBdr>
          <w:top w:val="single" w:sz="4" w:space="1" w:color="auto"/>
          <w:left w:val="single" w:sz="4" w:space="4" w:color="auto"/>
          <w:bottom w:val="single" w:sz="4" w:space="1" w:color="auto"/>
          <w:right w:val="single" w:sz="4" w:space="4" w:color="auto"/>
        </w:pBdr>
        <w:shd w:val="clear" w:color="auto" w:fill="F2F2F2" w:themeFill="background1" w:themeFillShade="F2"/>
        <w:spacing w:after="120"/>
        <w:rPr>
          <w:rFonts w:cs="Arial"/>
        </w:rPr>
      </w:pPr>
      <w:r>
        <w:rPr>
          <w:rFonts w:cs="Arial"/>
        </w:rPr>
        <w:t>The ACMA proposes to package the spectrum into two lots</w:t>
      </w:r>
      <w:r w:rsidR="00475F61">
        <w:rPr>
          <w:rFonts w:cs="Arial"/>
        </w:rPr>
        <w:t>,</w:t>
      </w:r>
      <w:r>
        <w:rPr>
          <w:rFonts w:cs="Arial"/>
        </w:rPr>
        <w:t xml:space="preserve"> which will be allocated sequentially. The first lot (2</w:t>
      </w:r>
      <w:r w:rsidR="00592127">
        <w:rPr>
          <w:rFonts w:cs="Arial"/>
        </w:rPr>
        <w:t xml:space="preserve"> </w:t>
      </w:r>
      <w:r>
        <w:rPr>
          <w:rFonts w:cs="Arial"/>
        </w:rPr>
        <w:t>x</w:t>
      </w:r>
      <w:r w:rsidR="00592127">
        <w:rPr>
          <w:rFonts w:cs="Arial"/>
        </w:rPr>
        <w:t xml:space="preserve"> </w:t>
      </w:r>
      <w:r>
        <w:rPr>
          <w:rFonts w:cs="Arial"/>
        </w:rPr>
        <w:t xml:space="preserve">10 MHz) will comprise the frequency range </w:t>
      </w:r>
      <w:r w:rsidRPr="009F13B3">
        <w:rPr>
          <w:rFonts w:cs="Arial"/>
        </w:rPr>
        <w:t>738</w:t>
      </w:r>
      <w:r w:rsidR="00592127">
        <w:rPr>
          <w:rFonts w:cs="Arial"/>
        </w:rPr>
        <w:t>–</w:t>
      </w:r>
      <w:r w:rsidRPr="009F13B3">
        <w:rPr>
          <w:rFonts w:cs="Arial"/>
        </w:rPr>
        <w:t>748 MHz and 793</w:t>
      </w:r>
      <w:r w:rsidR="00592127">
        <w:rPr>
          <w:rFonts w:cs="Arial"/>
        </w:rPr>
        <w:t>–</w:t>
      </w:r>
      <w:r w:rsidRPr="009F13B3">
        <w:rPr>
          <w:rFonts w:cs="Arial"/>
        </w:rPr>
        <w:t>803 MHz</w:t>
      </w:r>
      <w:r>
        <w:rPr>
          <w:rFonts w:cs="Arial"/>
        </w:rPr>
        <w:t>.</w:t>
      </w:r>
      <w:r w:rsidR="00942500">
        <w:rPr>
          <w:rFonts w:cs="Arial"/>
        </w:rPr>
        <w:t xml:space="preserve"> </w:t>
      </w:r>
      <w:r>
        <w:rPr>
          <w:rFonts w:cs="Arial"/>
        </w:rPr>
        <w:t>The second lot (2</w:t>
      </w:r>
      <w:r w:rsidR="00592127">
        <w:rPr>
          <w:rFonts w:cs="Arial"/>
        </w:rPr>
        <w:t xml:space="preserve"> </w:t>
      </w:r>
      <w:r>
        <w:rPr>
          <w:rFonts w:cs="Arial"/>
        </w:rPr>
        <w:t>x</w:t>
      </w:r>
      <w:r w:rsidR="00592127">
        <w:rPr>
          <w:rFonts w:cs="Arial"/>
        </w:rPr>
        <w:t xml:space="preserve"> </w:t>
      </w:r>
      <w:r>
        <w:rPr>
          <w:rFonts w:cs="Arial"/>
        </w:rPr>
        <w:t xml:space="preserve">5 MHz) will comprise the frequency range </w:t>
      </w:r>
      <w:r w:rsidRPr="009F13B3">
        <w:rPr>
          <w:rFonts w:cs="Arial"/>
        </w:rPr>
        <w:t>733</w:t>
      </w:r>
      <w:r w:rsidR="00592127">
        <w:rPr>
          <w:rFonts w:cs="Arial"/>
        </w:rPr>
        <w:t>–</w:t>
      </w:r>
      <w:r w:rsidRPr="009F13B3">
        <w:rPr>
          <w:rFonts w:cs="Arial"/>
        </w:rPr>
        <w:t>738 MHz and 788</w:t>
      </w:r>
      <w:r w:rsidR="00592127">
        <w:rPr>
          <w:rFonts w:cs="Arial"/>
        </w:rPr>
        <w:t>–</w:t>
      </w:r>
      <w:r w:rsidRPr="009F13B3">
        <w:rPr>
          <w:rFonts w:cs="Arial"/>
        </w:rPr>
        <w:t>793 MHz</w:t>
      </w:r>
      <w:r>
        <w:rPr>
          <w:rFonts w:cs="Arial"/>
        </w:rPr>
        <w:t>.</w:t>
      </w:r>
    </w:p>
    <w:p w14:paraId="6CCF841C" w14:textId="77777777" w:rsidR="00CA1676" w:rsidRDefault="00CA1676" w:rsidP="00625FEF">
      <w:pPr>
        <w:pBdr>
          <w:top w:val="single" w:sz="4" w:space="1" w:color="auto"/>
          <w:left w:val="single" w:sz="4" w:space="4" w:color="auto"/>
          <w:bottom w:val="single" w:sz="4" w:space="1" w:color="auto"/>
          <w:right w:val="single" w:sz="4" w:space="4" w:color="auto"/>
        </w:pBdr>
        <w:shd w:val="clear" w:color="auto" w:fill="F2F2F2" w:themeFill="background1" w:themeFillShade="F2"/>
        <w:spacing w:after="120"/>
        <w:rPr>
          <w:rFonts w:cs="Arial"/>
        </w:rPr>
      </w:pPr>
      <w:r>
        <w:rPr>
          <w:rFonts w:cs="Arial"/>
        </w:rPr>
        <w:t>The ACMA proposes to allocate the 700 MHz band unsold spectrum in nationwide lots</w:t>
      </w:r>
      <w:r w:rsidR="009A1E09">
        <w:rPr>
          <w:rFonts w:cs="Arial"/>
        </w:rPr>
        <w:t xml:space="preserve"> (excluding the RQZ).</w:t>
      </w:r>
    </w:p>
    <w:p w14:paraId="700C18BC" w14:textId="77777777" w:rsidR="00CA1676" w:rsidRPr="009C5A85" w:rsidRDefault="00CA1676" w:rsidP="00625FEF">
      <w:pPr>
        <w:pBdr>
          <w:top w:val="single" w:sz="4" w:space="1" w:color="auto"/>
          <w:left w:val="single" w:sz="4" w:space="4" w:color="auto"/>
          <w:bottom w:val="single" w:sz="4" w:space="1" w:color="auto"/>
          <w:right w:val="single" w:sz="4" w:space="4" w:color="auto"/>
        </w:pBdr>
        <w:shd w:val="clear" w:color="auto" w:fill="F2F2F2" w:themeFill="background1" w:themeFillShade="F2"/>
        <w:spacing w:after="0"/>
        <w:rPr>
          <w:rFonts w:cs="Arial"/>
        </w:rPr>
      </w:pPr>
      <w:r>
        <w:rPr>
          <w:rFonts w:cs="Arial"/>
        </w:rPr>
        <w:t>The draft marketing plan at Attachment A therefore specifies that the unsold spectrum will be configured as two nationwide lots, one of 2</w:t>
      </w:r>
      <w:r w:rsidR="00592127">
        <w:rPr>
          <w:rFonts w:cs="Arial"/>
        </w:rPr>
        <w:t xml:space="preserve"> </w:t>
      </w:r>
      <w:r>
        <w:rPr>
          <w:rFonts w:cs="Arial"/>
        </w:rPr>
        <w:t>x</w:t>
      </w:r>
      <w:r w:rsidR="00592127">
        <w:rPr>
          <w:rFonts w:cs="Arial"/>
        </w:rPr>
        <w:t xml:space="preserve"> </w:t>
      </w:r>
      <w:r>
        <w:rPr>
          <w:rFonts w:cs="Arial"/>
        </w:rPr>
        <w:t>10 MHz and one of 2</w:t>
      </w:r>
      <w:r w:rsidR="00592127">
        <w:rPr>
          <w:rFonts w:cs="Arial"/>
        </w:rPr>
        <w:t xml:space="preserve"> </w:t>
      </w:r>
      <w:r>
        <w:rPr>
          <w:rFonts w:cs="Arial"/>
        </w:rPr>
        <w:t>x</w:t>
      </w:r>
      <w:r w:rsidR="00592127">
        <w:rPr>
          <w:rFonts w:cs="Arial"/>
        </w:rPr>
        <w:t xml:space="preserve"> </w:t>
      </w:r>
      <w:r>
        <w:rPr>
          <w:rFonts w:cs="Arial"/>
        </w:rPr>
        <w:t>5 MHz.</w:t>
      </w:r>
    </w:p>
    <w:p w14:paraId="1B1DDA29" w14:textId="77777777" w:rsidR="00475F61" w:rsidRDefault="00475F61" w:rsidP="00625FEF">
      <w:pPr>
        <w:pStyle w:val="ACMASpaceaftertable"/>
      </w:pPr>
      <w:bookmarkStart w:id="68" w:name="_Toc459210817"/>
      <w:bookmarkStart w:id="69" w:name="_Toc461025816"/>
    </w:p>
    <w:p w14:paraId="63472618" w14:textId="77777777" w:rsidR="009C7E1A" w:rsidRPr="003B2207" w:rsidRDefault="00DD1CF6" w:rsidP="00D35C87">
      <w:pPr>
        <w:pStyle w:val="Heading2"/>
        <w:spacing w:before="240"/>
      </w:pPr>
      <w:bookmarkStart w:id="70" w:name="_Toc463862906"/>
      <w:r>
        <w:t>Sample spectrum licence and l</w:t>
      </w:r>
      <w:r w:rsidR="009C7E1A" w:rsidRPr="003B2207">
        <w:t>icence conditions</w:t>
      </w:r>
      <w:bookmarkEnd w:id="68"/>
      <w:bookmarkEnd w:id="69"/>
      <w:bookmarkEnd w:id="70"/>
    </w:p>
    <w:p w14:paraId="3B8D4055" w14:textId="77777777" w:rsidR="009C7E1A" w:rsidRPr="003B2207" w:rsidRDefault="009C7E1A" w:rsidP="00625FEF">
      <w:pPr>
        <w:spacing w:after="80"/>
      </w:pPr>
      <w:r w:rsidRPr="003B2207">
        <w:t xml:space="preserve">The </w:t>
      </w:r>
      <w:r w:rsidR="00DD1CF6">
        <w:t>marketing plan incorporates a sample spectrum licence. The sample spectrum licence includes t</w:t>
      </w:r>
      <w:r w:rsidRPr="003B2207">
        <w:t>he proposed licence conditions</w:t>
      </w:r>
      <w:r w:rsidR="00592127">
        <w:t>,</w:t>
      </w:r>
      <w:r w:rsidRPr="003B2207">
        <w:t xml:space="preserve"> </w:t>
      </w:r>
      <w:r w:rsidR="00DD1CF6">
        <w:t xml:space="preserve">which </w:t>
      </w:r>
      <w:r w:rsidRPr="003B2207">
        <w:t>place constraints and regulations on the use of spectrum licences</w:t>
      </w:r>
      <w:r w:rsidR="000F5EEB">
        <w:t>. These are intended</w:t>
      </w:r>
      <w:r w:rsidRPr="003B2207">
        <w:t xml:space="preserve"> to allow all licence-holders to operate services without causing unacceptable interference to other services, including to those operating in other parts of the radiofrequency spectrum. Core conditions (in accordance with section 66 of the Act) will apply to spectrum licences in terms of:</w:t>
      </w:r>
    </w:p>
    <w:p w14:paraId="34E9E003" w14:textId="77777777" w:rsidR="009C7E1A" w:rsidRPr="003D4AA1" w:rsidRDefault="009C7E1A" w:rsidP="00D572B0">
      <w:pPr>
        <w:pStyle w:val="ListBullet"/>
      </w:pPr>
      <w:r w:rsidRPr="003D4AA1">
        <w:t xml:space="preserve">defining their </w:t>
      </w:r>
      <w:r w:rsidRPr="00D572B0">
        <w:t>geographic</w:t>
      </w:r>
      <w:r w:rsidRPr="003D4AA1">
        <w:t xml:space="preserve"> boundaries</w:t>
      </w:r>
    </w:p>
    <w:p w14:paraId="0B43927C" w14:textId="77777777" w:rsidR="009C7E1A" w:rsidRPr="003D4AA1" w:rsidRDefault="009C7E1A" w:rsidP="00D572B0">
      <w:pPr>
        <w:pStyle w:val="ListBullet"/>
      </w:pPr>
      <w:r w:rsidRPr="003D4AA1">
        <w:t>defining their range of frequencies</w:t>
      </w:r>
    </w:p>
    <w:p w14:paraId="3A5745C9" w14:textId="77777777" w:rsidR="009C7E1A" w:rsidRPr="003D4AA1" w:rsidRDefault="009C7E1A" w:rsidP="009C7E1A">
      <w:pPr>
        <w:pStyle w:val="ListBullet"/>
        <w:rPr>
          <w:rFonts w:cs="Arial"/>
        </w:rPr>
      </w:pPr>
      <w:r w:rsidRPr="003D4AA1">
        <w:rPr>
          <w:rFonts w:cs="Arial"/>
        </w:rPr>
        <w:t>setting outside-the-area radio emission limits</w:t>
      </w:r>
    </w:p>
    <w:p w14:paraId="411D0656" w14:textId="77777777" w:rsidR="009C7E1A" w:rsidRPr="00D572B0" w:rsidRDefault="009C7E1A" w:rsidP="00625FEF">
      <w:pPr>
        <w:pStyle w:val="ListBulletLast"/>
      </w:pPr>
      <w:r w:rsidRPr="003D4AA1">
        <w:t>setting outside-the-band radio emission limits.</w:t>
      </w:r>
    </w:p>
    <w:p w14:paraId="1188F4AD" w14:textId="77777777" w:rsidR="009C7E1A" w:rsidRDefault="009C7E1A" w:rsidP="00CC1561">
      <w:r w:rsidRPr="003B2207">
        <w:t>In addition, the marketing plan describe</w:t>
      </w:r>
      <w:r>
        <w:t>s</w:t>
      </w:r>
      <w:r w:rsidRPr="003B2207">
        <w:t xml:space="preserve"> other licence conditions, including spectrum trading rules, use by third parties</w:t>
      </w:r>
      <w:r w:rsidRPr="003B2207">
        <w:rPr>
          <w:vertAlign w:val="superscript"/>
        </w:rPr>
        <w:footnoteReference w:id="21"/>
      </w:r>
      <w:r w:rsidRPr="003B2207">
        <w:t xml:space="preserve"> and registration of transmitters with the ACMA.</w:t>
      </w:r>
      <w:r w:rsidRPr="003B2207">
        <w:rPr>
          <w:vertAlign w:val="superscript"/>
        </w:rPr>
        <w:footnoteReference w:id="22"/>
      </w:r>
    </w:p>
    <w:p w14:paraId="4E1F45BF" w14:textId="77777777" w:rsidR="00485A14" w:rsidRDefault="006F1C76" w:rsidP="00D35C87">
      <w:r w:rsidRPr="00063191">
        <w:t>The</w:t>
      </w:r>
      <w:r>
        <w:t xml:space="preserve"> sample spectrum licences and the proposed licence conditions </w:t>
      </w:r>
      <w:r w:rsidRPr="00063191">
        <w:t>are</w:t>
      </w:r>
      <w:r w:rsidR="00480203">
        <w:t>,</w:t>
      </w:r>
      <w:r w:rsidRPr="00063191">
        <w:t xml:space="preserve"> as </w:t>
      </w:r>
      <w:r w:rsidR="00D04C49">
        <w:t>far</w:t>
      </w:r>
      <w:r w:rsidRPr="00063191">
        <w:t xml:space="preserve"> as practicable</w:t>
      </w:r>
      <w:r w:rsidR="00480203">
        <w:t>,</w:t>
      </w:r>
      <w:r w:rsidRPr="00063191">
        <w:t xml:space="preserve"> </w:t>
      </w:r>
      <w:r w:rsidR="000C73EE">
        <w:t>the same as those applying</w:t>
      </w:r>
      <w:r w:rsidR="000C73EE" w:rsidRPr="00063191">
        <w:t xml:space="preserve"> </w:t>
      </w:r>
      <w:r w:rsidRPr="00063191">
        <w:t>to the existing 700 MHz</w:t>
      </w:r>
      <w:r>
        <w:t xml:space="preserve"> spectrum</w:t>
      </w:r>
      <w:r w:rsidRPr="00063191">
        <w:t xml:space="preserve"> licences, without the now spent provisions relating to restack of television services out of the 700 MHz band.</w:t>
      </w:r>
    </w:p>
    <w:p w14:paraId="20C3935F" w14:textId="77777777" w:rsidR="001437C0" w:rsidRPr="001437C0" w:rsidRDefault="00705847" w:rsidP="00625FEF">
      <w:pPr>
        <w:pBdr>
          <w:top w:val="single" w:sz="4" w:space="1" w:color="auto"/>
          <w:left w:val="single" w:sz="4" w:space="4" w:color="auto"/>
          <w:bottom w:val="single" w:sz="4" w:space="1" w:color="auto"/>
          <w:right w:val="single" w:sz="4" w:space="4" w:color="auto"/>
        </w:pBdr>
        <w:shd w:val="clear" w:color="auto" w:fill="D9D9D9" w:themeFill="background1" w:themeFillShade="D9"/>
        <w:spacing w:after="0"/>
        <w:rPr>
          <w:b/>
        </w:rPr>
      </w:pPr>
      <w:r w:rsidRPr="00625FEF">
        <w:rPr>
          <w:b/>
          <w:caps/>
        </w:rPr>
        <w:t>Issue for comment</w:t>
      </w:r>
      <w:r w:rsidRPr="00DD7360">
        <w:rPr>
          <w:b/>
        </w:rPr>
        <w:t xml:space="preserve"> </w:t>
      </w:r>
      <w:r w:rsidR="00987071">
        <w:rPr>
          <w:b/>
        </w:rPr>
        <w:t>3</w:t>
      </w:r>
      <w:r w:rsidR="00DD7360" w:rsidRPr="00DD7360">
        <w:rPr>
          <w:b/>
        </w:rPr>
        <w:t>—</w:t>
      </w:r>
      <w:r w:rsidR="001437C0" w:rsidRPr="00DD7360">
        <w:rPr>
          <w:b/>
        </w:rPr>
        <w:t>The draft marketing plan</w:t>
      </w:r>
    </w:p>
    <w:p w14:paraId="09F954F8" w14:textId="77777777" w:rsidR="001437C0" w:rsidRPr="003B2207" w:rsidRDefault="007E799F" w:rsidP="00625FEF">
      <w:pPr>
        <w:pBdr>
          <w:top w:val="single" w:sz="4" w:space="1" w:color="auto"/>
          <w:left w:val="single" w:sz="4" w:space="4" w:color="auto"/>
          <w:bottom w:val="single" w:sz="4" w:space="1" w:color="auto"/>
          <w:right w:val="single" w:sz="4" w:space="4" w:color="auto"/>
        </w:pBdr>
        <w:shd w:val="clear" w:color="auto" w:fill="D9D9D9" w:themeFill="background1" w:themeFillShade="D9"/>
        <w:spacing w:after="0"/>
      </w:pPr>
      <w:r>
        <w:t>The ACMA seeks stakeholder views on the draft marketing plan.</w:t>
      </w:r>
    </w:p>
    <w:p w14:paraId="3D3D5D13" w14:textId="77777777" w:rsidR="003B2207" w:rsidRDefault="00666CAF" w:rsidP="00D046C3">
      <w:pPr>
        <w:pStyle w:val="Heading1"/>
      </w:pPr>
      <w:bookmarkStart w:id="71" w:name="_Toc459210819"/>
      <w:bookmarkStart w:id="72" w:name="_Toc461025817"/>
      <w:bookmarkStart w:id="73" w:name="_Toc463862907"/>
      <w:r>
        <w:t>3</w:t>
      </w:r>
      <w:r w:rsidR="00DD7360">
        <w:t>.</w:t>
      </w:r>
      <w:r w:rsidR="00536ACB">
        <w:t xml:space="preserve"> </w:t>
      </w:r>
      <w:r w:rsidR="00670F14" w:rsidRPr="00670F14">
        <w:t>Draft allocation determination</w:t>
      </w:r>
      <w:bookmarkEnd w:id="71"/>
      <w:bookmarkEnd w:id="72"/>
      <w:bookmarkEnd w:id="73"/>
    </w:p>
    <w:p w14:paraId="76287778" w14:textId="77777777" w:rsidR="00493433" w:rsidRDefault="00493433" w:rsidP="00493433">
      <w:r>
        <w:t xml:space="preserve">This chapter sets out information that the ACMA proposes to include in the draft allocation determination and invites submissions on that information. </w:t>
      </w:r>
    </w:p>
    <w:p w14:paraId="097C2112" w14:textId="77777777" w:rsidR="00670F14" w:rsidRPr="00880169" w:rsidRDefault="00670F14" w:rsidP="00670F14">
      <w:pPr>
        <w:rPr>
          <w:rFonts w:cs="Arial"/>
        </w:rPr>
      </w:pPr>
      <w:r w:rsidRPr="00880169">
        <w:rPr>
          <w:rFonts w:cs="Arial"/>
        </w:rPr>
        <w:t xml:space="preserve">The proposed allocation determination sets rules for how the spectrum will be allocated by auction. It includes details of the </w:t>
      </w:r>
      <w:r w:rsidR="002E1CBD">
        <w:rPr>
          <w:rFonts w:cs="Arial"/>
        </w:rPr>
        <w:t xml:space="preserve">type of auction that will be used and the </w:t>
      </w:r>
      <w:r w:rsidRPr="00880169">
        <w:rPr>
          <w:rFonts w:cs="Arial"/>
        </w:rPr>
        <w:t xml:space="preserve">procedures that will apply to the auction, including the responsibilities of applicants and the ACMA throughout all stages of the allocation. </w:t>
      </w:r>
      <w:r w:rsidR="00172758">
        <w:rPr>
          <w:rFonts w:cs="Arial"/>
        </w:rPr>
        <w:t xml:space="preserve">A copy of the draft allocation determination is provided at </w:t>
      </w:r>
      <w:r w:rsidR="00172758" w:rsidRPr="00625FEF">
        <w:rPr>
          <w:rFonts w:cs="Arial"/>
        </w:rPr>
        <w:t xml:space="preserve">Attachment </w:t>
      </w:r>
      <w:r w:rsidR="009A0189" w:rsidRPr="00625FEF">
        <w:rPr>
          <w:rFonts w:cs="Arial"/>
        </w:rPr>
        <w:t>C</w:t>
      </w:r>
      <w:r w:rsidR="00592127" w:rsidRPr="00625FEF">
        <w:rPr>
          <w:rFonts w:cs="Arial"/>
        </w:rPr>
        <w:t>, and is available on the ACMA website</w:t>
      </w:r>
      <w:r w:rsidR="00172758" w:rsidRPr="00625FEF">
        <w:rPr>
          <w:rFonts w:cs="Arial"/>
        </w:rPr>
        <w:t>.</w:t>
      </w:r>
    </w:p>
    <w:p w14:paraId="7A0D675C" w14:textId="77777777" w:rsidR="00304FEA" w:rsidRDefault="00304FEA" w:rsidP="00304FEA">
      <w:pPr>
        <w:pStyle w:val="Heading2"/>
        <w:spacing w:line="276" w:lineRule="auto"/>
      </w:pPr>
      <w:bookmarkStart w:id="74" w:name="_Toc408494367"/>
      <w:bookmarkStart w:id="75" w:name="_Toc409015480"/>
      <w:bookmarkStart w:id="76" w:name="_Toc409528644"/>
      <w:bookmarkStart w:id="77" w:name="_Toc409016973"/>
      <w:bookmarkStart w:id="78" w:name="_Toc410918168"/>
      <w:bookmarkStart w:id="79" w:name="_Toc463862908"/>
      <w:bookmarkStart w:id="80" w:name="_Toc408846610"/>
      <w:r>
        <w:t>Allocation methodology</w:t>
      </w:r>
      <w:bookmarkEnd w:id="74"/>
      <w:bookmarkEnd w:id="75"/>
      <w:bookmarkEnd w:id="76"/>
      <w:bookmarkEnd w:id="77"/>
      <w:bookmarkEnd w:id="78"/>
      <w:bookmarkEnd w:id="79"/>
    </w:p>
    <w:bookmarkEnd w:id="80"/>
    <w:p w14:paraId="6F431A9F" w14:textId="77777777" w:rsidR="00304FEA" w:rsidRDefault="00C276DD" w:rsidP="00304FEA">
      <w:r>
        <w:t>T</w:t>
      </w:r>
      <w:r w:rsidR="00304FEA">
        <w:t xml:space="preserve">he </w:t>
      </w:r>
      <w:r w:rsidR="00304FEA" w:rsidRPr="002301F0">
        <w:t xml:space="preserve">ACMA </w:t>
      </w:r>
      <w:r w:rsidR="00304FEA">
        <w:t xml:space="preserve">must </w:t>
      </w:r>
      <w:r w:rsidR="00304FEA" w:rsidRPr="002301F0">
        <w:t xml:space="preserve">allocate </w:t>
      </w:r>
      <w:r w:rsidR="00304FEA">
        <w:t xml:space="preserve">the </w:t>
      </w:r>
      <w:r w:rsidR="00946B23">
        <w:t xml:space="preserve">unsold 700 MHz lots </w:t>
      </w:r>
      <w:r w:rsidR="00304FEA">
        <w:t xml:space="preserve">in accordance with section 60 of the Act—that is, via </w:t>
      </w:r>
      <w:r w:rsidR="00304FEA" w:rsidRPr="002301F0">
        <w:t xml:space="preserve">auction, </w:t>
      </w:r>
      <w:r w:rsidR="00304FEA">
        <w:t xml:space="preserve">via </w:t>
      </w:r>
      <w:r w:rsidR="00304FEA" w:rsidRPr="002301F0">
        <w:t>tender or for a predetermined or negotiated price.</w:t>
      </w:r>
    </w:p>
    <w:p w14:paraId="7C613CAB" w14:textId="77777777" w:rsidR="00304FEA" w:rsidRPr="001A20BD" w:rsidRDefault="00304FEA" w:rsidP="00304FEA">
      <w:r w:rsidRPr="001A20BD">
        <w:t xml:space="preserve">When demand is </w:t>
      </w:r>
      <w:r>
        <w:t xml:space="preserve">likely to be </w:t>
      </w:r>
      <w:r w:rsidRPr="001A20BD">
        <w:t xml:space="preserve">greater than supply, </w:t>
      </w:r>
      <w:r>
        <w:t xml:space="preserve">market-based </w:t>
      </w:r>
      <w:r w:rsidRPr="001A20BD">
        <w:t xml:space="preserve">allocation </w:t>
      </w:r>
      <w:r>
        <w:t xml:space="preserve">(that is, </w:t>
      </w:r>
      <w:r w:rsidRPr="001A20BD">
        <w:t>by auction or tender</w:t>
      </w:r>
      <w:r>
        <w:t>)</w:t>
      </w:r>
      <w:r w:rsidRPr="001A20BD">
        <w:t xml:space="preserve"> is </w:t>
      </w:r>
      <w:r>
        <w:t>considered more</w:t>
      </w:r>
      <w:r w:rsidRPr="001A20BD">
        <w:t xml:space="preserve"> appropriate</w:t>
      </w:r>
      <w:r>
        <w:t xml:space="preserve"> than an administrative allocation such as </w:t>
      </w:r>
      <w:r w:rsidR="00C276DD">
        <w:t xml:space="preserve">for </w:t>
      </w:r>
      <w:r>
        <w:t>a predetermined or negotiated price</w:t>
      </w:r>
      <w:r w:rsidRPr="001A20BD">
        <w:t>. Of the two</w:t>
      </w:r>
      <w:r>
        <w:t xml:space="preserve"> market-based</w:t>
      </w:r>
      <w:r w:rsidRPr="001A20BD">
        <w:t xml:space="preserve"> options, the ACMA </w:t>
      </w:r>
      <w:r>
        <w:t xml:space="preserve">ordinarily </w:t>
      </w:r>
      <w:r w:rsidRPr="001A20BD">
        <w:t xml:space="preserve">allocates spectrum licences </w:t>
      </w:r>
      <w:r>
        <w:t xml:space="preserve">by </w:t>
      </w:r>
      <w:r w:rsidRPr="001A20BD">
        <w:t xml:space="preserve">auction. </w:t>
      </w:r>
      <w:r>
        <w:t>Compared to a tender,</w:t>
      </w:r>
      <w:r w:rsidRPr="001A20BD">
        <w:t xml:space="preserve"> </w:t>
      </w:r>
      <w:r>
        <w:t>t</w:t>
      </w:r>
      <w:r w:rsidRPr="001A20BD">
        <w:t xml:space="preserve">he </w:t>
      </w:r>
      <w:r>
        <w:t xml:space="preserve">main </w:t>
      </w:r>
      <w:r w:rsidRPr="001A20BD">
        <w:t>benefits of conducting an auction to allocate licences</w:t>
      </w:r>
      <w:r>
        <w:t xml:space="preserve"> </w:t>
      </w:r>
      <w:r w:rsidRPr="001A20BD">
        <w:t xml:space="preserve">are that </w:t>
      </w:r>
      <w:r>
        <w:t>it</w:t>
      </w:r>
      <w:r w:rsidRPr="001A20BD">
        <w:t xml:space="preserve"> is a</w:t>
      </w:r>
      <w:r>
        <w:t xml:space="preserve"> more</w:t>
      </w:r>
      <w:r w:rsidRPr="001A20BD">
        <w:t xml:space="preserve"> transparent process</w:t>
      </w:r>
      <w:r w:rsidR="005C335A">
        <w:t xml:space="preserve"> and allows price discovery. That is, it allows bidders to refine their valuation of the spectrum in light of others’ valuation, as revealed through bids</w:t>
      </w:r>
      <w:r w:rsidRPr="001A20BD">
        <w:t>.</w:t>
      </w:r>
    </w:p>
    <w:p w14:paraId="39617684" w14:textId="77777777" w:rsidR="00304FEA" w:rsidRPr="006F741C" w:rsidRDefault="00304FEA" w:rsidP="00304FEA">
      <w:r>
        <w:t>The</w:t>
      </w:r>
      <w:r w:rsidRPr="002301F0">
        <w:t xml:space="preserve"> auction mechanism </w:t>
      </w:r>
      <w:r>
        <w:t xml:space="preserve">is intended to </w:t>
      </w:r>
      <w:r w:rsidRPr="002301F0">
        <w:t>ensure that the available spectrum is allocated to th</w:t>
      </w:r>
      <w:r w:rsidR="00C276DD">
        <w:t>e</w:t>
      </w:r>
      <w:r w:rsidR="00946B23">
        <w:t xml:space="preserve"> bidder or </w:t>
      </w:r>
      <w:r w:rsidRPr="002301F0">
        <w:t>bidders who value it the most</w:t>
      </w:r>
      <w:r w:rsidR="005C335A">
        <w:t xml:space="preserve">, and therefore provides for an outcome that maximises </w:t>
      </w:r>
      <w:r w:rsidR="007517A5">
        <w:t>the public benefit from the allocation and use of the spectrum</w:t>
      </w:r>
      <w:r w:rsidRPr="002301F0">
        <w:t xml:space="preserve">. </w:t>
      </w:r>
      <w:r>
        <w:t xml:space="preserve">The ACMA considers that </w:t>
      </w:r>
      <w:r w:rsidRPr="002301F0">
        <w:t xml:space="preserve">auctions </w:t>
      </w:r>
      <w:r>
        <w:t xml:space="preserve">provide </w:t>
      </w:r>
      <w:r w:rsidRPr="002301F0">
        <w:t xml:space="preserve">the simplest and most transparent method of allocating </w:t>
      </w:r>
      <w:r>
        <w:t>spectrum</w:t>
      </w:r>
      <w:r w:rsidRPr="002301F0">
        <w:t xml:space="preserve"> where there is competing demand.</w:t>
      </w:r>
    </w:p>
    <w:p w14:paraId="6B0C6C4F" w14:textId="77777777" w:rsidR="00304FEA" w:rsidRPr="00D572B0" w:rsidRDefault="00304FEA" w:rsidP="00304FEA">
      <w:r>
        <w:t xml:space="preserve">In the case of the </w:t>
      </w:r>
      <w:r w:rsidR="00946B23">
        <w:t xml:space="preserve">unsold 700 </w:t>
      </w:r>
      <w:r>
        <w:t xml:space="preserve">MHz </w:t>
      </w:r>
      <w:r w:rsidR="00946B23">
        <w:t>lots</w:t>
      </w:r>
      <w:r w:rsidRPr="002301F0">
        <w:t xml:space="preserve">, </w:t>
      </w:r>
      <w:r>
        <w:t xml:space="preserve">the ACMA expects that demand will exceed </w:t>
      </w:r>
      <w:r w:rsidRPr="00D572B0">
        <w:t>supply</w:t>
      </w:r>
      <w:r w:rsidR="00705847">
        <w:t>,</w:t>
      </w:r>
      <w:r w:rsidRPr="00D572B0">
        <w:t xml:space="preserve"> </w:t>
      </w:r>
      <w:r w:rsidR="00946B23" w:rsidRPr="00D572B0">
        <w:t xml:space="preserve">and </w:t>
      </w:r>
      <w:r w:rsidR="000A5E6C" w:rsidRPr="00D572B0">
        <w:t xml:space="preserve">it </w:t>
      </w:r>
      <w:r w:rsidR="00946B23" w:rsidRPr="00D572B0">
        <w:t>propose</w:t>
      </w:r>
      <w:r w:rsidR="000A5E6C" w:rsidRPr="00D572B0">
        <w:t>s</w:t>
      </w:r>
      <w:r w:rsidRPr="00D572B0">
        <w:t xml:space="preserve"> </w:t>
      </w:r>
      <w:r w:rsidR="00946B23" w:rsidRPr="00D572B0">
        <w:t xml:space="preserve">that allocation occur via </w:t>
      </w:r>
      <w:r w:rsidRPr="00D572B0">
        <w:t>auction.</w:t>
      </w:r>
      <w:r w:rsidRPr="00D572B0" w:rsidDel="00D801AB">
        <w:t xml:space="preserve"> </w:t>
      </w:r>
    </w:p>
    <w:p w14:paraId="56A4020B" w14:textId="77777777" w:rsidR="00304FEA" w:rsidRPr="00D572B0" w:rsidRDefault="00304FEA" w:rsidP="00304FEA">
      <w:pPr>
        <w:pStyle w:val="Heading2"/>
      </w:pPr>
      <w:bookmarkStart w:id="81" w:name="_Toc459210820"/>
      <w:bookmarkStart w:id="82" w:name="_Toc461025818"/>
      <w:bookmarkStart w:id="83" w:name="_Toc463862909"/>
      <w:r w:rsidRPr="00D572B0">
        <w:t>Auction type</w:t>
      </w:r>
      <w:bookmarkEnd w:id="81"/>
      <w:bookmarkEnd w:id="82"/>
      <w:bookmarkEnd w:id="83"/>
    </w:p>
    <w:p w14:paraId="6CEF36D6" w14:textId="77777777" w:rsidR="00304FEA" w:rsidRPr="00D572B0" w:rsidRDefault="00304FEA" w:rsidP="00304FEA">
      <w:r w:rsidRPr="00D572B0">
        <w:t>Auctions may be conducted using a number of formats, including the E</w:t>
      </w:r>
      <w:r w:rsidR="00B70855" w:rsidRPr="00D572B0">
        <w:t xml:space="preserve">OO </w:t>
      </w:r>
      <w:r w:rsidRPr="00D572B0">
        <w:t>format,</w:t>
      </w:r>
      <w:r w:rsidR="00B70855" w:rsidRPr="00D572B0">
        <w:t xml:space="preserve"> the SCA format,</w:t>
      </w:r>
      <w:r w:rsidRPr="00D572B0">
        <w:t xml:space="preserve"> the simultaneous multi-round </w:t>
      </w:r>
      <w:r w:rsidR="00946B23" w:rsidRPr="00D572B0">
        <w:t xml:space="preserve">ascending </w:t>
      </w:r>
      <w:r w:rsidRPr="00D572B0">
        <w:t>(</w:t>
      </w:r>
      <w:r w:rsidRPr="00625FEF">
        <w:t>SMR</w:t>
      </w:r>
      <w:r w:rsidR="00946B23" w:rsidRPr="00625FEF">
        <w:t>A</w:t>
      </w:r>
      <w:r w:rsidRPr="00D572B0">
        <w:t>) format</w:t>
      </w:r>
      <w:r w:rsidR="00705847">
        <w:t>,</w:t>
      </w:r>
      <w:r w:rsidRPr="00D572B0">
        <w:t xml:space="preserve"> and formats that enable package bidding (such as the combinatorial clock auction </w:t>
      </w:r>
      <w:r w:rsidR="00C276DD" w:rsidRPr="00D572B0">
        <w:t>(</w:t>
      </w:r>
      <w:r w:rsidR="00C276DD" w:rsidRPr="00625FEF">
        <w:t>CCA</w:t>
      </w:r>
      <w:r w:rsidR="00C276DD" w:rsidRPr="00D572B0">
        <w:t xml:space="preserve">) </w:t>
      </w:r>
      <w:r w:rsidRPr="00D572B0">
        <w:t xml:space="preserve">format). </w:t>
      </w:r>
    </w:p>
    <w:p w14:paraId="30179D97" w14:textId="77777777" w:rsidR="00304FEA" w:rsidRPr="00D572B0" w:rsidRDefault="00304FEA" w:rsidP="00304FEA">
      <w:pPr>
        <w:pStyle w:val="Heading3"/>
      </w:pPr>
      <w:bookmarkStart w:id="84" w:name="_Toc408494368"/>
      <w:bookmarkStart w:id="85" w:name="_Toc408846611"/>
      <w:bookmarkStart w:id="86" w:name="_Toc409015481"/>
      <w:bookmarkStart w:id="87" w:name="_Toc409528645"/>
      <w:bookmarkStart w:id="88" w:name="_Toc409016974"/>
      <w:bookmarkStart w:id="89" w:name="_Toc410918169"/>
      <w:bookmarkStart w:id="90" w:name="_Toc463862910"/>
      <w:r w:rsidRPr="00D572B0">
        <w:t>Open outcry auction</w:t>
      </w:r>
      <w:bookmarkEnd w:id="84"/>
      <w:bookmarkEnd w:id="85"/>
      <w:bookmarkEnd w:id="86"/>
      <w:bookmarkEnd w:id="87"/>
      <w:bookmarkEnd w:id="88"/>
      <w:bookmarkEnd w:id="89"/>
      <w:bookmarkEnd w:id="90"/>
    </w:p>
    <w:p w14:paraId="1505686C" w14:textId="77777777" w:rsidR="00304FEA" w:rsidRPr="00D572B0" w:rsidRDefault="00304FEA" w:rsidP="00304FEA">
      <w:r w:rsidRPr="00D572B0">
        <w:t xml:space="preserve">The open outcry auction (or English open outcry </w:t>
      </w:r>
      <w:r w:rsidR="00C276DD" w:rsidRPr="00D572B0">
        <w:t>(</w:t>
      </w:r>
      <w:r w:rsidR="00C276DD" w:rsidRPr="00625FEF">
        <w:t>EOO</w:t>
      </w:r>
      <w:r w:rsidR="00C276DD" w:rsidRPr="00D572B0">
        <w:t xml:space="preserve">) </w:t>
      </w:r>
      <w:r w:rsidRPr="00D572B0">
        <w:t>auction) is the most common form of auction used. It is the form of auction typically used, for example, for real estate, fine art and livestock.</w:t>
      </w:r>
    </w:p>
    <w:p w14:paraId="0B83C46A" w14:textId="77777777" w:rsidR="00304FEA" w:rsidRDefault="00304FEA" w:rsidP="00304FEA">
      <w:r w:rsidRPr="00D572B0">
        <w:t>Under this model, lots are</w:t>
      </w:r>
      <w:r w:rsidR="000A5E6C" w:rsidRPr="00D572B0">
        <w:t xml:space="preserve"> </w:t>
      </w:r>
      <w:r w:rsidRPr="00D572B0">
        <w:t>auctioned</w:t>
      </w:r>
      <w:r>
        <w:t xml:space="preserve"> sequentially—that is, lot two is offered for bidding only after lot one is sold or passed in, and so on for as many lots as exist. Participants bid openly against one another for each lot, with each successive bid higher than the previous one, sometimes by a specified increment. When no participant is willing to bid further, the bidder with the highest offer (on or above any reserve price) wins. </w:t>
      </w:r>
    </w:p>
    <w:p w14:paraId="5912CD6E" w14:textId="77777777" w:rsidR="00304FEA" w:rsidRDefault="00304FEA" w:rsidP="00304FEA">
      <w:r>
        <w:t xml:space="preserve">This auction format is most suitable when there are a limited number of lots available and when lots are not interdependent or substitutable. That is, it is most suitable when a bidder’s valuation of lot one, for example, is independent of that bidder’s valuation of lot three. </w:t>
      </w:r>
      <w:r w:rsidR="00B70855">
        <w:t xml:space="preserve">It has been used by the ACMA and its predecessor organisations to auction spectrum in the past when only a small number of lots were on offer, usually lots that remained unsold following a larger auction. </w:t>
      </w:r>
    </w:p>
    <w:p w14:paraId="415FD445" w14:textId="77777777" w:rsidR="00B70855" w:rsidRPr="00C5236D" w:rsidRDefault="00B70855" w:rsidP="00B70855">
      <w:pPr>
        <w:pStyle w:val="Heading3"/>
      </w:pPr>
      <w:bookmarkStart w:id="91" w:name="_Toc463862911"/>
      <w:r w:rsidRPr="00C5236D">
        <w:t>Simple Clock Auction</w:t>
      </w:r>
      <w:bookmarkEnd w:id="91"/>
    </w:p>
    <w:p w14:paraId="145F36B5" w14:textId="77777777" w:rsidR="00B70855" w:rsidRPr="00AA6266" w:rsidRDefault="00B70855" w:rsidP="00B70855">
      <w:r>
        <w:t xml:space="preserve">The SCA </w:t>
      </w:r>
      <w:r w:rsidRPr="00AA6266">
        <w:t xml:space="preserve">design is closely related to </w:t>
      </w:r>
      <w:r>
        <w:t xml:space="preserve">the </w:t>
      </w:r>
      <w:r w:rsidRPr="00AA6266">
        <w:t>more complex clock auction designs adopted in many spectrum auctions, but it is much simpler. For example, it resembles the clock stage of a CCA</w:t>
      </w:r>
      <w:r>
        <w:t xml:space="preserve">. </w:t>
      </w:r>
    </w:p>
    <w:p w14:paraId="23C276DA" w14:textId="77777777" w:rsidR="00B70855" w:rsidRPr="00AA6266" w:rsidRDefault="000862D9" w:rsidP="00B70855">
      <w:r>
        <w:t>The SCA</w:t>
      </w:r>
      <w:r w:rsidR="00B70855" w:rsidRPr="00AA6266">
        <w:t xml:space="preserve"> combines the advantages of the EOO auction with additional capabilities enabled by an electronic implementation</w:t>
      </w:r>
      <w:r w:rsidR="008F66B8">
        <w:t>, particularly reduction in the risk of bidders signalling their intentions during the auction</w:t>
      </w:r>
      <w:r w:rsidR="00B70855" w:rsidRPr="00AA6266">
        <w:t xml:space="preserve">. </w:t>
      </w:r>
      <w:r w:rsidR="00B70855">
        <w:t>T</w:t>
      </w:r>
      <w:r w:rsidR="00B70855" w:rsidRPr="00AA6266">
        <w:t xml:space="preserve">he clock auction is a simple ascending-bid process, much like the EOO. It formalises the process by which prices increase and how much time bidders are given to think about and place their bids. </w:t>
      </w:r>
      <w:r w:rsidR="000C73EE">
        <w:t xml:space="preserve">An </w:t>
      </w:r>
      <w:r w:rsidR="00B70855" w:rsidRPr="00AA6266">
        <w:t xml:space="preserve">SCA auction is </w:t>
      </w:r>
      <w:r w:rsidR="00B70855">
        <w:t xml:space="preserve">somewhat </w:t>
      </w:r>
      <w:r w:rsidR="00B70855" w:rsidRPr="00AA6266">
        <w:t>similar to the SMRA, but generally with shorter rounds and simpler bidding rules. It also allows</w:t>
      </w:r>
      <w:r w:rsidR="00B70855" w:rsidRPr="0066648A">
        <w:t xml:space="preserve"> </w:t>
      </w:r>
      <w:r w:rsidR="00B70855">
        <w:t xml:space="preserve">either </w:t>
      </w:r>
      <w:r w:rsidR="00B70855" w:rsidRPr="0066648A">
        <w:t>the</w:t>
      </w:r>
      <w:r w:rsidR="00B70855">
        <w:t xml:space="preserve"> sequential or</w:t>
      </w:r>
      <w:r w:rsidR="00B70855" w:rsidRPr="0066648A">
        <w:t xml:space="preserve"> </w:t>
      </w:r>
      <w:r w:rsidR="00B70855" w:rsidRPr="00AA6266">
        <w:t xml:space="preserve">simultaneous auction of many </w:t>
      </w:r>
      <w:r w:rsidR="00153FF9">
        <w:t>un</w:t>
      </w:r>
      <w:r w:rsidR="00B70855" w:rsidRPr="00AA6266">
        <w:t xml:space="preserve">related items. </w:t>
      </w:r>
    </w:p>
    <w:p w14:paraId="76564C67" w14:textId="77777777" w:rsidR="00B70855" w:rsidRPr="00AA6266" w:rsidRDefault="00B70855" w:rsidP="00B70855">
      <w:r w:rsidRPr="00AA6266">
        <w:t>Before each round, the auction manager names a price (</w:t>
      </w:r>
      <w:r w:rsidRPr="00625FEF">
        <w:t>the specified price</w:t>
      </w:r>
      <w:r w:rsidRPr="00AA6266">
        <w:t xml:space="preserve">) that the bidder must meet to be eligible to place a bid in </w:t>
      </w:r>
      <w:r>
        <w:t xml:space="preserve">the </w:t>
      </w:r>
      <w:r w:rsidRPr="00AA6266">
        <w:t xml:space="preserve">subsequent round. The bidder can accept the </w:t>
      </w:r>
      <w:r>
        <w:t xml:space="preserve">specified </w:t>
      </w:r>
      <w:r w:rsidRPr="00AA6266">
        <w:t>price</w:t>
      </w:r>
      <w:r>
        <w:t xml:space="preserve"> (</w:t>
      </w:r>
      <w:r w:rsidRPr="00625FEF">
        <w:t>a continue bid</w:t>
      </w:r>
      <w:r>
        <w:t xml:space="preserve">) </w:t>
      </w:r>
      <w:r w:rsidRPr="00AA6266">
        <w:t>or place a lower bid</w:t>
      </w:r>
      <w:r>
        <w:t xml:space="preserve"> (</w:t>
      </w:r>
      <w:r w:rsidRPr="00625FEF">
        <w:t>an exit bid</w:t>
      </w:r>
      <w:r>
        <w:t>)</w:t>
      </w:r>
      <w:r w:rsidRPr="00AA6266">
        <w:t xml:space="preserve">. </w:t>
      </w:r>
      <w:r w:rsidRPr="00440E43">
        <w:t>If</w:t>
      </w:r>
      <w:r w:rsidRPr="000B1372">
        <w:t xml:space="preserve"> a </w:t>
      </w:r>
      <w:r w:rsidRPr="00440E43">
        <w:t>bid is lower than</w:t>
      </w:r>
      <w:r w:rsidRPr="000B1372">
        <w:t xml:space="preserve"> the </w:t>
      </w:r>
      <w:r w:rsidR="00942500">
        <w:t>specified</w:t>
      </w:r>
      <w:r w:rsidRPr="000B1372">
        <w:t xml:space="preserve"> price</w:t>
      </w:r>
      <w:r w:rsidR="00705847">
        <w:t>—</w:t>
      </w:r>
      <w:r>
        <w:t>that is, if it is an exit bid</w:t>
      </w:r>
      <w:r w:rsidR="00705847">
        <w:t>—</w:t>
      </w:r>
      <w:r>
        <w:t xml:space="preserve">then </w:t>
      </w:r>
      <w:r w:rsidRPr="00440E43">
        <w:t>it is</w:t>
      </w:r>
      <w:r>
        <w:t xml:space="preserve"> the bidder’s</w:t>
      </w:r>
      <w:r w:rsidRPr="000B1372">
        <w:t xml:space="preserve"> </w:t>
      </w:r>
      <w:r w:rsidRPr="00440E43">
        <w:t>final bid.</w:t>
      </w:r>
      <w:r>
        <w:t xml:space="preserve"> Once a bidder has made an exit bid, the bidder cannot resume bidding on that lot in future rounds.</w:t>
      </w:r>
    </w:p>
    <w:p w14:paraId="67BE08FF" w14:textId="77777777" w:rsidR="00C84636" w:rsidRPr="00440E43" w:rsidRDefault="00B70855" w:rsidP="00C84636">
      <w:r w:rsidRPr="00440E43">
        <w:t xml:space="preserve">The bidder can also place a bid </w:t>
      </w:r>
      <w:r>
        <w:t xml:space="preserve">above the specified price for the round </w:t>
      </w:r>
      <w:r w:rsidRPr="00440E43">
        <w:t>u</w:t>
      </w:r>
      <w:r>
        <w:t xml:space="preserve">sing the </w:t>
      </w:r>
      <w:r w:rsidR="00705847">
        <w:t>‘</w:t>
      </w:r>
      <w:r>
        <w:t>advance price</w:t>
      </w:r>
      <w:r w:rsidR="00705847">
        <w:t>’</w:t>
      </w:r>
      <w:r w:rsidRPr="00440E43">
        <w:t xml:space="preserve"> feature</w:t>
      </w:r>
      <w:r>
        <w:t>. T</w:t>
      </w:r>
      <w:r w:rsidRPr="00440E43">
        <w:t xml:space="preserve">he system automatically </w:t>
      </w:r>
      <w:r>
        <w:t xml:space="preserve">accepts that </w:t>
      </w:r>
      <w:r w:rsidR="00705847">
        <w:t>‘</w:t>
      </w:r>
      <w:r>
        <w:t>advance price</w:t>
      </w:r>
      <w:r w:rsidR="00705847">
        <w:t>’</w:t>
      </w:r>
      <w:r>
        <w:t xml:space="preserve"> as the bidder’s</w:t>
      </w:r>
      <w:r w:rsidRPr="00440E43">
        <w:t xml:space="preserve"> bid in subsequent rounds</w:t>
      </w:r>
      <w:r>
        <w:t xml:space="preserve"> until either the advance price falls below the specified price for a round (and hence </w:t>
      </w:r>
      <w:r w:rsidR="00C273DA">
        <w:t xml:space="preserve">becomes </w:t>
      </w:r>
      <w:r>
        <w:t>an exit bid)</w:t>
      </w:r>
      <w:r w:rsidR="00705847">
        <w:t>,</w:t>
      </w:r>
      <w:r>
        <w:t xml:space="preserve"> or the bidder </w:t>
      </w:r>
      <w:r w:rsidR="00C84636">
        <w:t>makes a new, replacement bid in a subsequent round (whichever occurs first).</w:t>
      </w:r>
    </w:p>
    <w:p w14:paraId="006C08F7" w14:textId="77777777" w:rsidR="00B70855" w:rsidRDefault="00B70855" w:rsidP="00B70855">
      <w:r>
        <w:t xml:space="preserve">A </w:t>
      </w:r>
      <w:r w:rsidRPr="00C5236D">
        <w:t xml:space="preserve">bidder will only win if no other bidder places a higher bid. </w:t>
      </w:r>
      <w:r>
        <w:t>The auction ends w</w:t>
      </w:r>
      <w:r w:rsidRPr="00C5236D">
        <w:t xml:space="preserve">hen there is </w:t>
      </w:r>
      <w:r>
        <w:t xml:space="preserve">only </w:t>
      </w:r>
      <w:r w:rsidRPr="00C5236D">
        <w:t xml:space="preserve">one bidder who bids at least the </w:t>
      </w:r>
      <w:r w:rsidR="00A8265C">
        <w:t>specified</w:t>
      </w:r>
      <w:r w:rsidRPr="00C5236D">
        <w:t xml:space="preserve"> price</w:t>
      </w:r>
      <w:r w:rsidR="00705847">
        <w:t>,</w:t>
      </w:r>
      <w:r w:rsidR="00942500">
        <w:t xml:space="preserve"> or a bidder places the highest exit bid</w:t>
      </w:r>
      <w:r w:rsidRPr="00C5236D">
        <w:t>. The high</w:t>
      </w:r>
      <w:r>
        <w:t xml:space="preserve"> </w:t>
      </w:r>
      <w:r w:rsidRPr="00C5236D">
        <w:t xml:space="preserve">bidder wins and pays the amount of the second-highest bid. </w:t>
      </w:r>
      <w:r w:rsidR="00A8265C" w:rsidRPr="00C5236D">
        <w:t>This ensures that the winner never pays more than necessary to win</w:t>
      </w:r>
      <w:r w:rsidR="00485B46">
        <w:t>, which encourages ‘true value’ bidding</w:t>
      </w:r>
      <w:r w:rsidR="00732703">
        <w:t>.</w:t>
      </w:r>
    </w:p>
    <w:p w14:paraId="4BA0958A" w14:textId="77777777" w:rsidR="00C273DA" w:rsidRPr="00C624BA" w:rsidRDefault="00C273DA" w:rsidP="00C273DA">
      <w:r w:rsidRPr="00C624BA">
        <w:t xml:space="preserve">In case of tied bids (either due to identical exit bids by two or more bidders, or due to no bidding in the last round by two or more bidders who are tied at the </w:t>
      </w:r>
      <w:r w:rsidR="00732703">
        <w:t>specified</w:t>
      </w:r>
      <w:r w:rsidRPr="00C624BA">
        <w:t xml:space="preserve"> price from the previous round)</w:t>
      </w:r>
      <w:r w:rsidR="00705847">
        <w:t>,</w:t>
      </w:r>
      <w:r w:rsidRPr="00C624BA">
        <w:t xml:space="preserve"> the winning bidder is chosen by pseudorandom selection.</w:t>
      </w:r>
    </w:p>
    <w:p w14:paraId="6A95B69C" w14:textId="77777777" w:rsidR="00C273DA" w:rsidRPr="00C624BA" w:rsidRDefault="00C273DA" w:rsidP="00C273DA">
      <w:r w:rsidRPr="00C624BA">
        <w:t xml:space="preserve">Notwithstanding a very low likelihood of tied bids occurring, a question may be asked </w:t>
      </w:r>
      <w:r w:rsidR="00C624BA">
        <w:t xml:space="preserve">about whether </w:t>
      </w:r>
      <w:r w:rsidRPr="00FF287E">
        <w:t>high</w:t>
      </w:r>
      <w:r w:rsidR="00705847">
        <w:t>-</w:t>
      </w:r>
      <w:r w:rsidRPr="00FF287E">
        <w:t xml:space="preserve">value spectrum </w:t>
      </w:r>
      <w:r w:rsidR="00732703">
        <w:t>ought to</w:t>
      </w:r>
      <w:r w:rsidR="00153FF9">
        <w:t xml:space="preserve"> </w:t>
      </w:r>
      <w:r w:rsidRPr="00FF287E">
        <w:t>be allocated by pseudorandom selection. However, assuming rational bidders who bid truthfully (and they have every incentive to do so in a second price auction)</w:t>
      </w:r>
      <w:r w:rsidR="00705847">
        <w:t>,</w:t>
      </w:r>
      <w:r w:rsidRPr="00FF287E">
        <w:t xml:space="preserve"> it does not make sense to have additional rounds to resolve ties</w:t>
      </w:r>
      <w:r w:rsidR="00732703">
        <w:t>,</w:t>
      </w:r>
      <w:r w:rsidRPr="00FF287E">
        <w:t xml:space="preserve"> </w:t>
      </w:r>
      <w:r w:rsidR="00C624BA">
        <w:t xml:space="preserve">because </w:t>
      </w:r>
      <w:r w:rsidRPr="00FF287E">
        <w:t>bidders would have already placed their maximum bid and would not bid above it</w:t>
      </w:r>
      <w:r w:rsidR="00C624BA">
        <w:t>. Fu</w:t>
      </w:r>
      <w:r w:rsidRPr="00FF287E">
        <w:t>rthermore</w:t>
      </w:r>
      <w:r w:rsidR="00705847">
        <w:t>,</w:t>
      </w:r>
      <w:r w:rsidRPr="00FF287E">
        <w:t xml:space="preserve"> having that option itself may potentially undermine truthful bidding.</w:t>
      </w:r>
    </w:p>
    <w:p w14:paraId="0C8B5E0F" w14:textId="77777777" w:rsidR="00C273DA" w:rsidRPr="002C7CE2" w:rsidRDefault="00C273DA" w:rsidP="00C273DA">
      <w:r w:rsidRPr="002C7CE2">
        <w:t xml:space="preserve">The </w:t>
      </w:r>
      <w:r w:rsidRPr="009A0189">
        <w:t xml:space="preserve">likelihood of tied bids occurring can be further reduced if bidders do not bid round numbers </w:t>
      </w:r>
      <w:r w:rsidRPr="002834F7">
        <w:t>as their exit bids (</w:t>
      </w:r>
      <w:r w:rsidR="00705847">
        <w:t>for example,</w:t>
      </w:r>
      <w:r w:rsidRPr="002834F7">
        <w:t xml:space="preserve"> if a bidder’s maximum</w:t>
      </w:r>
      <w:r w:rsidRPr="002C7CE2">
        <w:t xml:space="preserve"> valuation for a lot is </w:t>
      </w:r>
      <w:r w:rsidR="00516A5A" w:rsidRPr="002C7CE2">
        <w:t xml:space="preserve">around </w:t>
      </w:r>
      <w:r w:rsidRPr="002C7CE2">
        <w:t xml:space="preserve">$500,000,000, it is advisable they make their exit bid </w:t>
      </w:r>
      <w:r w:rsidR="00516A5A" w:rsidRPr="002C7CE2">
        <w:t>$501,385,000).</w:t>
      </w:r>
    </w:p>
    <w:p w14:paraId="59A421B1" w14:textId="77777777" w:rsidR="00304FEA" w:rsidRDefault="00304FEA" w:rsidP="00D35C87">
      <w:pPr>
        <w:pStyle w:val="Heading3"/>
        <w:keepLines/>
      </w:pPr>
      <w:bookmarkStart w:id="92" w:name="_Toc408494369"/>
      <w:bookmarkStart w:id="93" w:name="_Toc408846612"/>
      <w:bookmarkStart w:id="94" w:name="_Toc409015482"/>
      <w:bookmarkStart w:id="95" w:name="_Toc409528646"/>
      <w:bookmarkStart w:id="96" w:name="_Toc409016975"/>
      <w:bookmarkStart w:id="97" w:name="_Toc410918170"/>
      <w:bookmarkStart w:id="98" w:name="_Toc463862912"/>
      <w:r>
        <w:t>SMR auction</w:t>
      </w:r>
      <w:bookmarkEnd w:id="92"/>
      <w:bookmarkEnd w:id="93"/>
      <w:bookmarkEnd w:id="94"/>
      <w:bookmarkEnd w:id="95"/>
      <w:bookmarkEnd w:id="96"/>
      <w:bookmarkEnd w:id="97"/>
      <w:bookmarkEnd w:id="98"/>
    </w:p>
    <w:p w14:paraId="08AD5EA4" w14:textId="77777777" w:rsidR="00304FEA" w:rsidRPr="006F741C" w:rsidRDefault="00304FEA" w:rsidP="00D35C87">
      <w:pPr>
        <w:keepNext/>
        <w:keepLines/>
      </w:pPr>
      <w:r w:rsidRPr="002301F0">
        <w:t xml:space="preserve">The SMR auction is a simple generalisation of the </w:t>
      </w:r>
      <w:r w:rsidR="00732703">
        <w:t>EOO</w:t>
      </w:r>
      <w:r w:rsidRPr="002301F0">
        <w:t xml:space="preserve"> auction</w:t>
      </w:r>
      <w:r w:rsidR="00705847">
        <w:t>,</w:t>
      </w:r>
      <w:r w:rsidRPr="002301F0">
        <w:t xml:space="preserve"> </w:t>
      </w:r>
      <w:r>
        <w:t xml:space="preserve">where </w:t>
      </w:r>
      <w:r w:rsidRPr="002301F0">
        <w:t xml:space="preserve">multiple items are auctioned simultaneously. A number of single </w:t>
      </w:r>
      <w:r>
        <w:t>lots</w:t>
      </w:r>
      <w:r w:rsidRPr="002301F0">
        <w:t xml:space="preserve"> are open for bidding at the same time</w:t>
      </w:r>
      <w:r>
        <w:t xml:space="preserve">. All lots </w:t>
      </w:r>
      <w:r w:rsidRPr="002301F0">
        <w:t xml:space="preserve">remain open as long as there are acceptable bids placed on any </w:t>
      </w:r>
      <w:r>
        <w:t>lot</w:t>
      </w:r>
      <w:r w:rsidRPr="002301F0">
        <w:t xml:space="preserve">. </w:t>
      </w:r>
    </w:p>
    <w:p w14:paraId="7E147D29" w14:textId="77777777" w:rsidR="00304FEA" w:rsidRPr="006F741C" w:rsidRDefault="00304FEA" w:rsidP="00304FEA">
      <w:r w:rsidRPr="002301F0">
        <w:t xml:space="preserve">Bidding occurs in a sequence of rounds, with the results (in particular, the amounts of the highest bids) of each round announced to the bidders before the start of the next round. The highest bid on each </w:t>
      </w:r>
      <w:r>
        <w:t>lot</w:t>
      </w:r>
      <w:r w:rsidRPr="002301F0">
        <w:t xml:space="preserve"> becomes the provisional winning price.</w:t>
      </w:r>
      <w:r w:rsidRPr="0077677D">
        <w:t xml:space="preserve"> </w:t>
      </w:r>
      <w:r w:rsidRPr="002301F0">
        <w:t>The auction continues until there is a round in which there is no bid made for any lot. In this final round, bidders win the lots for which they have the standing high bids and pay the amount of their high bids.</w:t>
      </w:r>
    </w:p>
    <w:p w14:paraId="731287F3" w14:textId="77777777" w:rsidR="00304FEA" w:rsidRPr="006F741C" w:rsidRDefault="00304FEA" w:rsidP="00304FEA">
      <w:r>
        <w:t xml:space="preserve">The SMR auction format is particularly suitable when lots are interdependent or substitutable because bidders may bid on multiple available lots </w:t>
      </w:r>
      <w:r w:rsidRPr="002301F0">
        <w:t xml:space="preserve">and can shift their demand between lots over successive rounds, subject to certain activity rules. </w:t>
      </w:r>
      <w:r w:rsidRPr="003B7D80">
        <w:t>For example, by using multiple rounds a bidder can gather information about the value of individual lots and can change strategy by shifting the bidding to another combination if one becomes too expensive. Ideally, a bidder will have a number of fall-back business cases to facilitate changes or reductions in the geographic area or bandwidth sought. Because of the complexity of bidding in this type of auction, it is usually conducted online using special auction software.</w:t>
      </w:r>
      <w:r>
        <w:t xml:space="preserve"> </w:t>
      </w:r>
    </w:p>
    <w:p w14:paraId="28F6716F" w14:textId="77777777" w:rsidR="00304FEA" w:rsidRDefault="00304FEA" w:rsidP="00304FEA">
      <w:r w:rsidRPr="002301F0">
        <w:t>In SMR auctions</w:t>
      </w:r>
      <w:r>
        <w:t xml:space="preserve"> of spectrum</w:t>
      </w:r>
      <w:r w:rsidRPr="002301F0">
        <w:t>, lots typically correspond to the right to use a specific frequency block (or blocks) in a defined geographic area.</w:t>
      </w:r>
      <w:r>
        <w:rPr>
          <w:rStyle w:val="FootnoteReference"/>
          <w:rFonts w:cs="Arial"/>
        </w:rPr>
        <w:t xml:space="preserve"> </w:t>
      </w:r>
      <w:r w:rsidRPr="002301F0">
        <w:t xml:space="preserve">The SMR format is </w:t>
      </w:r>
      <w:r>
        <w:t xml:space="preserve">relatively </w:t>
      </w:r>
      <w:r w:rsidRPr="002301F0">
        <w:t>simple to understand</w:t>
      </w:r>
      <w:r>
        <w:t xml:space="preserve"> and</w:t>
      </w:r>
      <w:r w:rsidRPr="002301F0">
        <w:t xml:space="preserve"> flexible</w:t>
      </w:r>
      <w:r>
        <w:t>,</w:t>
      </w:r>
      <w:r w:rsidRPr="002301F0">
        <w:t xml:space="preserve"> and has been adapted with reasonable effectiveness to a wide variety of situations. It has been used to allocate spectrum in Australia </w:t>
      </w:r>
      <w:r>
        <w:t>by the ACMA and its predecessors</w:t>
      </w:r>
      <w:r w:rsidRPr="002301F0">
        <w:t xml:space="preserve"> </w:t>
      </w:r>
      <w:r>
        <w:t>on multiple occasions</w:t>
      </w:r>
      <w:r w:rsidRPr="001A20BD">
        <w:t xml:space="preserve"> </w:t>
      </w:r>
      <w:r w:rsidRPr="002301F0">
        <w:t>in the past</w:t>
      </w:r>
      <w:r w:rsidR="00B70855">
        <w:t>, most recently for the regional 1800 MHz band auction in late 2015/early 2016</w:t>
      </w:r>
      <w:r w:rsidRPr="002301F0">
        <w:t xml:space="preserve">. </w:t>
      </w:r>
    </w:p>
    <w:p w14:paraId="116A886B" w14:textId="77777777" w:rsidR="00304FEA" w:rsidRPr="0077677D" w:rsidRDefault="00304FEA" w:rsidP="00304FEA">
      <w:pPr>
        <w:pStyle w:val="Heading3"/>
      </w:pPr>
      <w:bookmarkStart w:id="99" w:name="_Toc410918171"/>
      <w:bookmarkStart w:id="100" w:name="_Toc463862913"/>
      <w:r w:rsidRPr="0077677D">
        <w:t>Combinatorial clock auction</w:t>
      </w:r>
      <w:bookmarkEnd w:id="99"/>
      <w:bookmarkEnd w:id="100"/>
    </w:p>
    <w:p w14:paraId="3F002339" w14:textId="77777777" w:rsidR="00304FEA" w:rsidRPr="006F741C" w:rsidRDefault="00304FEA" w:rsidP="00304FEA">
      <w:r w:rsidRPr="002301F0">
        <w:t>In a CCA</w:t>
      </w:r>
      <w:r>
        <w:t>,</w:t>
      </w:r>
      <w:r w:rsidRPr="002301F0">
        <w:t xml:space="preserve"> bidding occur</w:t>
      </w:r>
      <w:r>
        <w:t>s on</w:t>
      </w:r>
      <w:r w:rsidRPr="002301F0">
        <w:t xml:space="preserve"> packages </w:t>
      </w:r>
      <w:r>
        <w:t>of lots, where a package consists of one or more</w:t>
      </w:r>
      <w:r w:rsidRPr="002301F0">
        <w:t xml:space="preserve"> individual </w:t>
      </w:r>
      <w:r>
        <w:t xml:space="preserve">lots. </w:t>
      </w:r>
      <w:r w:rsidRPr="002301F0">
        <w:t xml:space="preserve">Bidders can determine </w:t>
      </w:r>
      <w:r>
        <w:t>which</w:t>
      </w:r>
      <w:r w:rsidRPr="002301F0">
        <w:t xml:space="preserve"> packages they would like to bid on, and how much they are willing to pay for different packages.</w:t>
      </w:r>
    </w:p>
    <w:p w14:paraId="03541DF3" w14:textId="77777777" w:rsidR="00304FEA" w:rsidRPr="006F741C" w:rsidRDefault="00304FEA" w:rsidP="00304FEA">
      <w:r>
        <w:t xml:space="preserve">Lots are usually grouped into different categories, so that all lots in a given category are substitutable and expected to have similar value. </w:t>
      </w:r>
      <w:r w:rsidRPr="002301F0">
        <w:t xml:space="preserve">In the </w:t>
      </w:r>
      <w:r>
        <w:t xml:space="preserve">spectrum </w:t>
      </w:r>
      <w:r w:rsidRPr="002301F0">
        <w:t>context</w:t>
      </w:r>
      <w:r>
        <w:t>,</w:t>
      </w:r>
      <w:r w:rsidRPr="002301F0">
        <w:t xml:space="preserve"> a given category of lots is likely to correspond to frequencies </w:t>
      </w:r>
      <w:r>
        <w:t xml:space="preserve">in a single band </w:t>
      </w:r>
      <w:r w:rsidRPr="002301F0">
        <w:t>available for a given geographic location</w:t>
      </w:r>
      <w:r>
        <w:t xml:space="preserve">. </w:t>
      </w:r>
      <w:r w:rsidRPr="002301F0">
        <w:t>As such, parties will be bidding for generic lots in the first part of the auction, with a subsequent assignment phase to determine where in the band the bandwidth acquired by each successful bidder is located.</w:t>
      </w:r>
    </w:p>
    <w:p w14:paraId="4D0D9764" w14:textId="77777777" w:rsidR="00304FEA" w:rsidRPr="006F741C" w:rsidRDefault="00304FEA" w:rsidP="00B70855">
      <w:r w:rsidRPr="001A20BD">
        <w:t>The price is</w:t>
      </w:r>
      <w:r>
        <w:t xml:space="preserve"> </w:t>
      </w:r>
      <w:r w:rsidRPr="001A20BD">
        <w:t>determined by an auction ‘clock’. Each category of lots to be sold has its own clock indicating its current price.</w:t>
      </w:r>
      <w:r>
        <w:t xml:space="preserve"> </w:t>
      </w:r>
      <w:r w:rsidRPr="002301F0">
        <w:t>In each round, a bidder is asked to indicate</w:t>
      </w:r>
      <w:r>
        <w:t>,</w:t>
      </w:r>
      <w:r w:rsidRPr="002301F0">
        <w:t xml:space="preserve"> for each category</w:t>
      </w:r>
      <w:r>
        <w:t>,</w:t>
      </w:r>
      <w:r w:rsidRPr="002301F0">
        <w:t xml:space="preserve"> the quantity of lots desired at the current price. At the end of the round, the auctioneer adds up the individual bids and reports the demand for each product. The </w:t>
      </w:r>
      <w:r>
        <w:t xml:space="preserve">clock </w:t>
      </w:r>
      <w:r w:rsidRPr="002301F0">
        <w:t>price is then increased on any category with excess demand</w:t>
      </w:r>
      <w:r>
        <w:t>, before the next round starts</w:t>
      </w:r>
      <w:r w:rsidRPr="002301F0">
        <w:t xml:space="preserve">. </w:t>
      </w:r>
    </w:p>
    <w:p w14:paraId="1D75C64D" w14:textId="77777777" w:rsidR="00304FEA" w:rsidRDefault="00304FEA" w:rsidP="00304FEA">
      <w:r w:rsidRPr="002301F0">
        <w:t xml:space="preserve">This process is repeated until there is no excess demand in any category. </w:t>
      </w:r>
    </w:p>
    <w:p w14:paraId="4A4542D3" w14:textId="77777777" w:rsidR="00304FEA" w:rsidRDefault="00732703" w:rsidP="00304FEA">
      <w:r>
        <w:t xml:space="preserve">The CCA auction used in the initial 700 MHz auction (where the 2.5 GHz band was also auctioned) </w:t>
      </w:r>
      <w:r w:rsidR="00304FEA">
        <w:t xml:space="preserve">also featured a final ‘assignment round’, which was a bidding process to determine the particular lots that corresponded to the numbers of lots acquired during the </w:t>
      </w:r>
      <w:r w:rsidR="008F66B8">
        <w:t>sealed</w:t>
      </w:r>
      <w:r w:rsidR="00D572B0">
        <w:t>-</w:t>
      </w:r>
      <w:r w:rsidR="008F66B8">
        <w:t>bid</w:t>
      </w:r>
      <w:r w:rsidR="00304FEA">
        <w:t xml:space="preserve"> rounds. The assignment round recognised that bidders may place different valuations on spectrum according to its position within the band or bands that are for sale.</w:t>
      </w:r>
    </w:p>
    <w:p w14:paraId="5E218419" w14:textId="77777777" w:rsidR="00304FEA" w:rsidRDefault="00304FEA" w:rsidP="00304FEA">
      <w:r>
        <w:t xml:space="preserve">The CCA format is most suitable </w:t>
      </w:r>
      <w:r w:rsidRPr="003B7D80">
        <w:t>where the value of an individual lot to a bidder depends significantly on what other lots that bidder can acquire</w:t>
      </w:r>
      <w:r w:rsidR="00D572B0">
        <w:t>,</w:t>
      </w:r>
      <w:r w:rsidR="008F66B8">
        <w:t xml:space="preserve"> or the prices of other lots</w:t>
      </w:r>
      <w:r w:rsidRPr="003B7D80">
        <w:t xml:space="preserve">. </w:t>
      </w:r>
      <w:r>
        <w:t>It has been mainly used when two or more different bands are on offer</w:t>
      </w:r>
      <w:r w:rsidR="00D572B0">
        <w:t>,</w:t>
      </w:r>
      <w:r>
        <w:t xml:space="preserve"> and there are ‘complementarities’ between the different bands, so that the value of one band to a bidder is likely to depend critically on their success or failure in obtaining access to another band. </w:t>
      </w:r>
      <w:r w:rsidRPr="003B7D80">
        <w:t>The winning bidders then are those that make the highest value combination of bids.</w:t>
      </w:r>
      <w:r>
        <w:t xml:space="preserve"> </w:t>
      </w:r>
    </w:p>
    <w:p w14:paraId="46D59F0E" w14:textId="77777777" w:rsidR="00304FEA" w:rsidRPr="00855B11" w:rsidRDefault="00D572B0" w:rsidP="00304FEA">
      <w:pPr>
        <w:pStyle w:val="Heading3"/>
      </w:pPr>
      <w:bookmarkStart w:id="101" w:name="_Toc408846613"/>
      <w:bookmarkStart w:id="102" w:name="_Toc409015483"/>
      <w:bookmarkStart w:id="103" w:name="_Toc409528647"/>
      <w:bookmarkStart w:id="104" w:name="_Toc409016976"/>
      <w:bookmarkStart w:id="105" w:name="_Toc410918172"/>
      <w:bookmarkStart w:id="106" w:name="_Toc463862914"/>
      <w:r>
        <w:t xml:space="preserve">The </w:t>
      </w:r>
      <w:r w:rsidR="00304FEA" w:rsidRPr="00855B11">
        <w:t>ACMA</w:t>
      </w:r>
      <w:r>
        <w:t>’s</w:t>
      </w:r>
      <w:r w:rsidR="00304FEA" w:rsidRPr="00855B11">
        <w:t xml:space="preserve"> preferred view</w:t>
      </w:r>
      <w:bookmarkEnd w:id="101"/>
      <w:bookmarkEnd w:id="102"/>
      <w:bookmarkEnd w:id="103"/>
      <w:bookmarkEnd w:id="104"/>
      <w:bookmarkEnd w:id="105"/>
      <w:bookmarkEnd w:id="106"/>
    </w:p>
    <w:p w14:paraId="0C43AC1D" w14:textId="77777777" w:rsidR="00304FEA" w:rsidRPr="001A20BD" w:rsidRDefault="00304FEA" w:rsidP="00304FEA">
      <w:r w:rsidRPr="001A20BD">
        <w:t>The best format for any individual auction will depend on the characteristics of the product</w:t>
      </w:r>
      <w:r>
        <w:t>—</w:t>
      </w:r>
      <w:r w:rsidRPr="001A20BD">
        <w:t>that is</w:t>
      </w:r>
      <w:r>
        <w:t>,</w:t>
      </w:r>
      <w:r w:rsidRPr="001A20BD">
        <w:t xml:space="preserve"> </w:t>
      </w:r>
      <w:r>
        <w:t>the degree of interdependence and substitutability between lots when</w:t>
      </w:r>
      <w:r w:rsidRPr="001A20BD">
        <w:t xml:space="preserve"> the spectrum is packaged for sale</w:t>
      </w:r>
      <w:r>
        <w:t>, the expected total value of the spectrum</w:t>
      </w:r>
      <w:r w:rsidR="00D572B0">
        <w:t>,</w:t>
      </w:r>
      <w:r>
        <w:t xml:space="preserve"> and </w:t>
      </w:r>
      <w:r w:rsidR="00D572B0">
        <w:t>therefore,</w:t>
      </w:r>
      <w:r>
        <w:t xml:space="preserve"> the cost of inefficiencies for each auction format</w:t>
      </w:r>
      <w:r w:rsidRPr="001A20BD">
        <w:t>. The ACMA choose</w:t>
      </w:r>
      <w:r w:rsidR="005365F9">
        <w:t>s</w:t>
      </w:r>
      <w:r w:rsidRPr="001A20BD">
        <w:t xml:space="preserve"> the auction format that most suits a particular spectrum allocation. </w:t>
      </w:r>
    </w:p>
    <w:p w14:paraId="1B2E87B7" w14:textId="77777777" w:rsidR="00304FEA" w:rsidRDefault="00304FEA" w:rsidP="00304FEA">
      <w:pPr>
        <w:rPr>
          <w:szCs w:val="20"/>
        </w:rPr>
      </w:pPr>
      <w:r>
        <w:t xml:space="preserve">In the case of the </w:t>
      </w:r>
      <w:r w:rsidR="005365F9">
        <w:t xml:space="preserve">unsold lots </w:t>
      </w:r>
      <w:r w:rsidR="00732703">
        <w:t>auction</w:t>
      </w:r>
      <w:r w:rsidR="005365F9">
        <w:t xml:space="preserve">, </w:t>
      </w:r>
      <w:r>
        <w:t xml:space="preserve">the </w:t>
      </w:r>
      <w:r w:rsidRPr="006755B1">
        <w:rPr>
          <w:szCs w:val="20"/>
        </w:rPr>
        <w:t xml:space="preserve">ACMA considers the </w:t>
      </w:r>
      <w:r w:rsidR="005365F9">
        <w:rPr>
          <w:szCs w:val="20"/>
        </w:rPr>
        <w:t xml:space="preserve">sequential SCA would be the most suitable allocation methodology. </w:t>
      </w:r>
      <w:r w:rsidR="000862D9" w:rsidRPr="005623E4">
        <w:t xml:space="preserve">The </w:t>
      </w:r>
      <w:r w:rsidR="000862D9">
        <w:t>SCA</w:t>
      </w:r>
      <w:r w:rsidR="000862D9" w:rsidRPr="005623E4">
        <w:t xml:space="preserve"> format is </w:t>
      </w:r>
      <w:r w:rsidR="000862D9">
        <w:t xml:space="preserve">relatively </w:t>
      </w:r>
      <w:r w:rsidR="000862D9" w:rsidRPr="005623E4">
        <w:t xml:space="preserve">simple to understand, flexible, and has been adapted with reasonable effectiveness to a wide variety of situations. </w:t>
      </w:r>
      <w:r>
        <w:rPr>
          <w:szCs w:val="20"/>
        </w:rPr>
        <w:t>The</w:t>
      </w:r>
      <w:r w:rsidR="005365F9">
        <w:rPr>
          <w:szCs w:val="20"/>
        </w:rPr>
        <w:t>re are only two lots on offer, and they are related. Offering these two lots sequentially</w:t>
      </w:r>
      <w:r w:rsidR="008F66B8">
        <w:rPr>
          <w:szCs w:val="20"/>
        </w:rPr>
        <w:t xml:space="preserve"> via an SCA,</w:t>
      </w:r>
      <w:r w:rsidR="005365F9">
        <w:rPr>
          <w:szCs w:val="20"/>
        </w:rPr>
        <w:t xml:space="preserve"> </w:t>
      </w:r>
      <w:r w:rsidR="008F66B8">
        <w:rPr>
          <w:szCs w:val="20"/>
        </w:rPr>
        <w:t>with the 2</w:t>
      </w:r>
      <w:r w:rsidR="00D572B0">
        <w:rPr>
          <w:szCs w:val="20"/>
        </w:rPr>
        <w:t xml:space="preserve"> </w:t>
      </w:r>
      <w:r w:rsidR="008F66B8">
        <w:rPr>
          <w:szCs w:val="20"/>
        </w:rPr>
        <w:t>x</w:t>
      </w:r>
      <w:r w:rsidR="00D572B0">
        <w:rPr>
          <w:szCs w:val="20"/>
        </w:rPr>
        <w:t xml:space="preserve"> </w:t>
      </w:r>
      <w:r w:rsidR="008F66B8">
        <w:rPr>
          <w:szCs w:val="20"/>
        </w:rPr>
        <w:t xml:space="preserve">10 MHz lot being sold first, reduces </w:t>
      </w:r>
      <w:r w:rsidR="005365F9">
        <w:rPr>
          <w:szCs w:val="20"/>
        </w:rPr>
        <w:t>the exposure risk for bidders (where, for example, a bidder wants 2</w:t>
      </w:r>
      <w:r w:rsidR="00D572B0">
        <w:rPr>
          <w:szCs w:val="20"/>
        </w:rPr>
        <w:t xml:space="preserve"> </w:t>
      </w:r>
      <w:r w:rsidR="005365F9">
        <w:rPr>
          <w:szCs w:val="20"/>
        </w:rPr>
        <w:t>x</w:t>
      </w:r>
      <w:r w:rsidR="00D572B0">
        <w:rPr>
          <w:szCs w:val="20"/>
        </w:rPr>
        <w:t xml:space="preserve"> </w:t>
      </w:r>
      <w:r w:rsidR="005365F9">
        <w:rPr>
          <w:szCs w:val="20"/>
        </w:rPr>
        <w:t>10 MHz but not 2</w:t>
      </w:r>
      <w:r w:rsidR="00D572B0">
        <w:rPr>
          <w:szCs w:val="20"/>
        </w:rPr>
        <w:t xml:space="preserve"> </w:t>
      </w:r>
      <w:r w:rsidR="005365F9">
        <w:rPr>
          <w:szCs w:val="20"/>
        </w:rPr>
        <w:t>x</w:t>
      </w:r>
      <w:r w:rsidR="00D572B0">
        <w:rPr>
          <w:szCs w:val="20"/>
        </w:rPr>
        <w:t xml:space="preserve"> </w:t>
      </w:r>
      <w:r w:rsidR="005365F9">
        <w:rPr>
          <w:szCs w:val="20"/>
        </w:rPr>
        <w:t xml:space="preserve">5 MHz). The </w:t>
      </w:r>
      <w:r w:rsidR="008F66B8">
        <w:rPr>
          <w:szCs w:val="20"/>
        </w:rPr>
        <w:t>SMRA auction is not expected to work effectively in the circumstances of this auction</w:t>
      </w:r>
      <w:r w:rsidR="00D572B0">
        <w:rPr>
          <w:szCs w:val="20"/>
        </w:rPr>
        <w:t>,</w:t>
      </w:r>
      <w:r w:rsidR="008F66B8">
        <w:rPr>
          <w:szCs w:val="20"/>
        </w:rPr>
        <w:t xml:space="preserve"> given the small number of lots on offer and the high withdrawal penalties that would apply if standing high bids are withdrawn. Most of the packaging benefits of a CCA can be provided by offering the lots as 2</w:t>
      </w:r>
      <w:r w:rsidR="00D572B0">
        <w:rPr>
          <w:szCs w:val="20"/>
        </w:rPr>
        <w:t xml:space="preserve"> </w:t>
      </w:r>
      <w:r w:rsidR="008F66B8">
        <w:rPr>
          <w:szCs w:val="20"/>
        </w:rPr>
        <w:t>x</w:t>
      </w:r>
      <w:r w:rsidR="00D572B0">
        <w:rPr>
          <w:szCs w:val="20"/>
        </w:rPr>
        <w:t xml:space="preserve"> </w:t>
      </w:r>
      <w:r w:rsidR="008F66B8">
        <w:rPr>
          <w:szCs w:val="20"/>
        </w:rPr>
        <w:t>10 MHz and 2</w:t>
      </w:r>
      <w:r w:rsidR="00D572B0">
        <w:rPr>
          <w:szCs w:val="20"/>
        </w:rPr>
        <w:t> </w:t>
      </w:r>
      <w:r w:rsidR="008F66B8">
        <w:rPr>
          <w:szCs w:val="20"/>
        </w:rPr>
        <w:t>x</w:t>
      </w:r>
      <w:r w:rsidR="00D572B0">
        <w:rPr>
          <w:szCs w:val="20"/>
        </w:rPr>
        <w:t xml:space="preserve"> </w:t>
      </w:r>
      <w:r w:rsidR="008F66B8">
        <w:rPr>
          <w:szCs w:val="20"/>
        </w:rPr>
        <w:t xml:space="preserve">5 MHz auctioned sequentially. </w:t>
      </w:r>
      <w:r w:rsidR="005365F9">
        <w:rPr>
          <w:szCs w:val="20"/>
        </w:rPr>
        <w:t xml:space="preserve">However, the additional functionality offered by the online SCA compared to a traditional EOO auction is desirable. </w:t>
      </w:r>
    </w:p>
    <w:p w14:paraId="63192D47" w14:textId="77777777" w:rsidR="00304FEA" w:rsidRPr="00605D02" w:rsidRDefault="00D572B0" w:rsidP="00625FEF">
      <w:pPr>
        <w:pBdr>
          <w:top w:val="single" w:sz="4" w:space="1" w:color="auto"/>
          <w:left w:val="single" w:sz="4" w:space="4" w:color="auto"/>
          <w:bottom w:val="single" w:sz="4" w:space="1" w:color="auto"/>
          <w:right w:val="single" w:sz="4" w:space="4" w:color="auto"/>
        </w:pBdr>
        <w:shd w:val="clear" w:color="auto" w:fill="F2F2F2" w:themeFill="background1" w:themeFillShade="F2"/>
        <w:spacing w:after="120"/>
      </w:pPr>
      <w:r w:rsidRPr="00625FEF">
        <w:rPr>
          <w:b/>
          <w:caps/>
        </w:rPr>
        <w:t>Summary</w:t>
      </w:r>
      <w:r>
        <w:rPr>
          <w:b/>
        </w:rPr>
        <w:t>—</w:t>
      </w:r>
      <w:r w:rsidR="005365F9">
        <w:rPr>
          <w:b/>
        </w:rPr>
        <w:t xml:space="preserve">700 </w:t>
      </w:r>
      <w:r w:rsidR="00304FEA" w:rsidRPr="008A6B3F">
        <w:rPr>
          <w:b/>
        </w:rPr>
        <w:t xml:space="preserve">MHz </w:t>
      </w:r>
      <w:r w:rsidR="000862D9">
        <w:rPr>
          <w:b/>
        </w:rPr>
        <w:t xml:space="preserve">unsold lots </w:t>
      </w:r>
      <w:r w:rsidR="00304FEA">
        <w:rPr>
          <w:b/>
        </w:rPr>
        <w:t>allocation</w:t>
      </w:r>
      <w:r w:rsidR="00304FEA" w:rsidRPr="002C45DF">
        <w:rPr>
          <w:b/>
        </w:rPr>
        <w:t xml:space="preserve"> methodology</w:t>
      </w:r>
    </w:p>
    <w:p w14:paraId="57EAE6AA" w14:textId="77777777" w:rsidR="000862D9" w:rsidRDefault="00304FEA" w:rsidP="00625FEF">
      <w:pPr>
        <w:pBdr>
          <w:top w:val="single" w:sz="4" w:space="1" w:color="auto"/>
          <w:left w:val="single" w:sz="4" w:space="4" w:color="auto"/>
          <w:bottom w:val="single" w:sz="4" w:space="1" w:color="auto"/>
          <w:right w:val="single" w:sz="4" w:space="4" w:color="auto"/>
        </w:pBdr>
        <w:shd w:val="clear" w:color="auto" w:fill="F2F2F2" w:themeFill="background1" w:themeFillShade="F2"/>
        <w:spacing w:after="120"/>
        <w:rPr>
          <w:rFonts w:cs="Arial"/>
        </w:rPr>
      </w:pPr>
      <w:r>
        <w:rPr>
          <w:rFonts w:cs="Arial"/>
        </w:rPr>
        <w:t xml:space="preserve">The ACMA proposes to use an </w:t>
      </w:r>
      <w:r w:rsidR="000862D9">
        <w:rPr>
          <w:rFonts w:cs="Arial"/>
        </w:rPr>
        <w:t xml:space="preserve">SCA </w:t>
      </w:r>
      <w:r>
        <w:rPr>
          <w:rFonts w:cs="Arial"/>
        </w:rPr>
        <w:t xml:space="preserve">format to allocate </w:t>
      </w:r>
      <w:r w:rsidR="000862D9">
        <w:rPr>
          <w:rFonts w:cs="Arial"/>
        </w:rPr>
        <w:t>the 700 MHz band unsold lots</w:t>
      </w:r>
      <w:r>
        <w:rPr>
          <w:rFonts w:cs="Arial"/>
        </w:rPr>
        <w:t>.</w:t>
      </w:r>
    </w:p>
    <w:p w14:paraId="699FFAD8" w14:textId="77777777" w:rsidR="00304FEA" w:rsidRPr="009C5A85" w:rsidRDefault="000862D9" w:rsidP="00D35C87">
      <w:pPr>
        <w:pBdr>
          <w:top w:val="single" w:sz="4" w:space="1" w:color="auto"/>
          <w:left w:val="single" w:sz="4" w:space="4" w:color="auto"/>
          <w:bottom w:val="single" w:sz="4" w:space="1" w:color="auto"/>
          <w:right w:val="single" w:sz="4" w:space="4" w:color="auto"/>
        </w:pBdr>
        <w:shd w:val="clear" w:color="auto" w:fill="F2F2F2" w:themeFill="background1" w:themeFillShade="F2"/>
        <w:spacing w:after="0"/>
        <w:rPr>
          <w:rFonts w:cs="Arial"/>
        </w:rPr>
      </w:pPr>
      <w:r>
        <w:rPr>
          <w:rFonts w:cs="Arial"/>
        </w:rPr>
        <w:t xml:space="preserve">The draft allocation determination at Attachment </w:t>
      </w:r>
      <w:r w:rsidR="009A0189">
        <w:rPr>
          <w:rFonts w:cs="Arial"/>
        </w:rPr>
        <w:t>C</w:t>
      </w:r>
      <w:r>
        <w:rPr>
          <w:rFonts w:cs="Arial"/>
        </w:rPr>
        <w:t xml:space="preserve"> therefore specifies that the unsold lots auction will be held via a secure online system implementing the SCA methodology.</w:t>
      </w:r>
    </w:p>
    <w:p w14:paraId="2F1AAF1F" w14:textId="77777777" w:rsidR="00D35C87" w:rsidRDefault="00D35C87" w:rsidP="00D35C87">
      <w:pPr>
        <w:pStyle w:val="ACMASpaceaftertable"/>
      </w:pPr>
      <w:bookmarkStart w:id="107" w:name="_Toc459210821"/>
      <w:bookmarkStart w:id="108" w:name="_Toc461025819"/>
      <w:bookmarkStart w:id="109" w:name="_Toc463862915"/>
    </w:p>
    <w:p w14:paraId="396730AC" w14:textId="77777777" w:rsidR="003D4AA1" w:rsidRDefault="003D4AA1" w:rsidP="00D35C87">
      <w:pPr>
        <w:pStyle w:val="Heading2"/>
        <w:spacing w:before="240"/>
      </w:pPr>
      <w:r>
        <w:t>Application and registration process</w:t>
      </w:r>
      <w:bookmarkEnd w:id="107"/>
      <w:bookmarkEnd w:id="108"/>
      <w:bookmarkEnd w:id="109"/>
    </w:p>
    <w:p w14:paraId="46C30828" w14:textId="77777777" w:rsidR="00670F14" w:rsidRDefault="00670F14" w:rsidP="00670F14">
      <w:pPr>
        <w:rPr>
          <w:rFonts w:cs="Arial"/>
        </w:rPr>
      </w:pPr>
      <w:r w:rsidRPr="00880169">
        <w:rPr>
          <w:rFonts w:cs="Arial"/>
        </w:rPr>
        <w:t xml:space="preserve">The draft </w:t>
      </w:r>
      <w:r w:rsidR="0080632B">
        <w:rPr>
          <w:rFonts w:cs="Arial"/>
        </w:rPr>
        <w:t xml:space="preserve">allocation </w:t>
      </w:r>
      <w:r w:rsidRPr="00880169">
        <w:rPr>
          <w:rFonts w:cs="Arial"/>
        </w:rPr>
        <w:t xml:space="preserve">determination proposes the application and registration processes </w:t>
      </w:r>
      <w:r w:rsidR="00D572B0">
        <w:rPr>
          <w:rFonts w:cs="Arial"/>
        </w:rPr>
        <w:t>that</w:t>
      </w:r>
      <w:r w:rsidRPr="00880169">
        <w:rPr>
          <w:rFonts w:cs="Arial"/>
        </w:rPr>
        <w:t xml:space="preserve"> interested parties must comply</w:t>
      </w:r>
      <w:r w:rsidR="00D572B0">
        <w:rPr>
          <w:rFonts w:cs="Arial"/>
        </w:rPr>
        <w:t xml:space="preserve"> with</w:t>
      </w:r>
      <w:r w:rsidRPr="00880169">
        <w:rPr>
          <w:rFonts w:cs="Arial"/>
        </w:rPr>
        <w:t xml:space="preserve"> </w:t>
      </w:r>
      <w:r w:rsidR="007506A9">
        <w:rPr>
          <w:rFonts w:cs="Arial"/>
        </w:rPr>
        <w:t>in order</w:t>
      </w:r>
      <w:r w:rsidRPr="00880169">
        <w:rPr>
          <w:rFonts w:cs="Arial"/>
        </w:rPr>
        <w:t xml:space="preserve"> to be eligible to participate and bid for spectrum at auction. This includes an explanation of all required documentation and when it must be submitted. </w:t>
      </w:r>
    </w:p>
    <w:p w14:paraId="431CBFEC" w14:textId="77777777" w:rsidR="00670F14" w:rsidRPr="00067EE2" w:rsidRDefault="00670F14" w:rsidP="00625FEF">
      <w:pPr>
        <w:spacing w:after="80"/>
        <w:rPr>
          <w:rFonts w:cs="Arial"/>
        </w:rPr>
      </w:pPr>
      <w:r w:rsidRPr="00067EE2">
        <w:rPr>
          <w:rFonts w:cs="Arial"/>
        </w:rPr>
        <w:t xml:space="preserve">The ACMA is proposing a two-stage registration process for </w:t>
      </w:r>
      <w:r w:rsidR="002C7CE2">
        <w:rPr>
          <w:rFonts w:cs="Arial"/>
        </w:rPr>
        <w:t>parties</w:t>
      </w:r>
      <w:r w:rsidR="002C7CE2" w:rsidRPr="00067EE2">
        <w:rPr>
          <w:rFonts w:cs="Arial"/>
        </w:rPr>
        <w:t xml:space="preserve"> </w:t>
      </w:r>
      <w:r w:rsidRPr="00067EE2">
        <w:rPr>
          <w:rFonts w:cs="Arial"/>
        </w:rPr>
        <w:t>who wish to participate in the auction:</w:t>
      </w:r>
    </w:p>
    <w:p w14:paraId="40FB8EF6" w14:textId="77777777" w:rsidR="00670F14" w:rsidRPr="001546D2" w:rsidRDefault="00670F14" w:rsidP="00625FEF">
      <w:pPr>
        <w:pStyle w:val="ListNumber"/>
        <w:numPr>
          <w:ilvl w:val="0"/>
          <w:numId w:val="56"/>
        </w:numPr>
      </w:pPr>
      <w:r w:rsidRPr="00D572B0">
        <w:rPr>
          <w:b/>
        </w:rPr>
        <w:t>Application stage</w:t>
      </w:r>
      <w:r w:rsidRPr="001546D2">
        <w:t xml:space="preserve">: When the auction is advertised, </w:t>
      </w:r>
      <w:r w:rsidR="002C7CE2">
        <w:t>parties</w:t>
      </w:r>
      <w:r w:rsidR="002C7CE2" w:rsidRPr="001546D2">
        <w:t xml:space="preserve"> </w:t>
      </w:r>
      <w:r w:rsidRPr="001546D2">
        <w:t xml:space="preserve">will be invited to apply. At this point they will need to submit a completed application form, accompanying information </w:t>
      </w:r>
      <w:r w:rsidR="00056413">
        <w:t xml:space="preserve">and documents </w:t>
      </w:r>
      <w:r w:rsidRPr="001546D2">
        <w:t>(such as confidentiality deeds), and a non-refundable application fee</w:t>
      </w:r>
      <w:r w:rsidR="00056413">
        <w:t>, proposed to be</w:t>
      </w:r>
      <w:r w:rsidR="000862D9">
        <w:t xml:space="preserve"> $</w:t>
      </w:r>
      <w:r w:rsidR="00A84561" w:rsidRPr="00C624BA">
        <w:t>10,000</w:t>
      </w:r>
      <w:r w:rsidRPr="00C624BA">
        <w:t>.</w:t>
      </w:r>
      <w:r w:rsidRPr="001546D2">
        <w:t xml:space="preserve"> Anyone wishing to apply will need to meet the application requirements, by the application deadline.</w:t>
      </w:r>
    </w:p>
    <w:p w14:paraId="0DA83F20" w14:textId="77777777" w:rsidR="00670F14" w:rsidRDefault="000926D9" w:rsidP="00D35C87">
      <w:pPr>
        <w:pStyle w:val="ListNumber"/>
        <w:numPr>
          <w:ilvl w:val="0"/>
          <w:numId w:val="56"/>
        </w:numPr>
        <w:spacing w:after="240"/>
        <w:rPr>
          <w:rFonts w:cs="Arial"/>
        </w:rPr>
      </w:pPr>
      <w:r>
        <w:rPr>
          <w:rFonts w:cs="Arial"/>
          <w:b/>
        </w:rPr>
        <w:t xml:space="preserve">Preference </w:t>
      </w:r>
      <w:r w:rsidR="00D572B0">
        <w:rPr>
          <w:rFonts w:cs="Arial"/>
          <w:b/>
        </w:rPr>
        <w:t>n</w:t>
      </w:r>
      <w:r>
        <w:rPr>
          <w:rFonts w:cs="Arial"/>
          <w:b/>
        </w:rPr>
        <w:t>omination</w:t>
      </w:r>
      <w:r w:rsidR="00670F14" w:rsidRPr="001546D2">
        <w:rPr>
          <w:rFonts w:cs="Arial"/>
          <w:b/>
        </w:rPr>
        <w:t xml:space="preserve"> stage</w:t>
      </w:r>
      <w:r w:rsidR="00670F14" w:rsidRPr="001546D2">
        <w:rPr>
          <w:rFonts w:cs="Arial"/>
        </w:rPr>
        <w:t xml:space="preserve">: </w:t>
      </w:r>
      <w:r w:rsidR="00670F14">
        <w:rPr>
          <w:rFonts w:cs="Arial"/>
        </w:rPr>
        <w:t>The ACMA intends to release to the public</w:t>
      </w:r>
      <w:r w:rsidR="00FE770D">
        <w:rPr>
          <w:rFonts w:cs="Arial"/>
        </w:rPr>
        <w:t xml:space="preserve"> starting</w:t>
      </w:r>
      <w:r w:rsidR="00670F14" w:rsidRPr="001546D2">
        <w:rPr>
          <w:rFonts w:cs="Arial"/>
        </w:rPr>
        <w:t xml:space="preserve"> </w:t>
      </w:r>
      <w:r w:rsidR="00670F14" w:rsidRPr="00625FEF">
        <w:rPr>
          <w:b/>
        </w:rPr>
        <w:t>prices</w:t>
      </w:r>
      <w:r w:rsidR="00670F14" w:rsidRPr="001546D2">
        <w:rPr>
          <w:rFonts w:cs="Arial"/>
        </w:rPr>
        <w:t xml:space="preserve"> </w:t>
      </w:r>
      <w:r w:rsidR="00056413">
        <w:rPr>
          <w:rFonts w:cs="Arial"/>
        </w:rPr>
        <w:t xml:space="preserve">for the two lots </w:t>
      </w:r>
      <w:r w:rsidR="001F42EA">
        <w:rPr>
          <w:rFonts w:cs="Arial"/>
        </w:rPr>
        <w:t>as part of the AIP</w:t>
      </w:r>
      <w:r w:rsidR="00670F14">
        <w:rPr>
          <w:rFonts w:cs="Arial"/>
        </w:rPr>
        <w:t>. If</w:t>
      </w:r>
      <w:r w:rsidR="00670F14" w:rsidRPr="001546D2">
        <w:rPr>
          <w:rFonts w:cs="Arial"/>
        </w:rPr>
        <w:t xml:space="preserve"> </w:t>
      </w:r>
      <w:r w:rsidR="00670F14">
        <w:rPr>
          <w:rFonts w:cs="Arial"/>
        </w:rPr>
        <w:t xml:space="preserve">an auction applicant </w:t>
      </w:r>
      <w:r w:rsidR="00670F14" w:rsidRPr="001546D2">
        <w:rPr>
          <w:rFonts w:cs="Arial"/>
        </w:rPr>
        <w:t>wish</w:t>
      </w:r>
      <w:r w:rsidR="00670F14">
        <w:rPr>
          <w:rFonts w:cs="Arial"/>
        </w:rPr>
        <w:t>es</w:t>
      </w:r>
      <w:r w:rsidR="00670F14" w:rsidRPr="001546D2">
        <w:rPr>
          <w:rFonts w:cs="Arial"/>
        </w:rPr>
        <w:t xml:space="preserve"> to register as a bidder, they will need to submit a completed </w:t>
      </w:r>
      <w:r w:rsidR="00FE770D">
        <w:rPr>
          <w:rFonts w:cs="Arial"/>
        </w:rPr>
        <w:t xml:space="preserve">preference </w:t>
      </w:r>
      <w:r w:rsidR="00670F14" w:rsidRPr="001546D2">
        <w:rPr>
          <w:rFonts w:cs="Arial"/>
        </w:rPr>
        <w:t>nomination form</w:t>
      </w:r>
      <w:r w:rsidR="000862D9">
        <w:rPr>
          <w:rFonts w:cs="Arial"/>
        </w:rPr>
        <w:t xml:space="preserve"> setting out which lot or lots they intend to bid on</w:t>
      </w:r>
      <w:r w:rsidR="00670F14" w:rsidRPr="001546D2">
        <w:rPr>
          <w:rFonts w:cs="Arial"/>
        </w:rPr>
        <w:t xml:space="preserve">, </w:t>
      </w:r>
      <w:r w:rsidR="00056413" w:rsidRPr="001546D2">
        <w:rPr>
          <w:rFonts w:cs="Arial"/>
        </w:rPr>
        <w:t xml:space="preserve">as well as </w:t>
      </w:r>
      <w:r w:rsidR="00056413">
        <w:rPr>
          <w:rFonts w:cs="Arial"/>
        </w:rPr>
        <w:t xml:space="preserve">pay </w:t>
      </w:r>
      <w:r w:rsidR="00056413" w:rsidRPr="001546D2">
        <w:rPr>
          <w:rFonts w:cs="Arial"/>
        </w:rPr>
        <w:t>a</w:t>
      </w:r>
      <w:r w:rsidR="00056413">
        <w:rPr>
          <w:rFonts w:cs="Arial"/>
        </w:rPr>
        <w:t xml:space="preserve"> deposit </w:t>
      </w:r>
      <w:r w:rsidR="00056413" w:rsidRPr="001546D2">
        <w:rPr>
          <w:rFonts w:cs="Arial"/>
        </w:rPr>
        <w:t xml:space="preserve">or </w:t>
      </w:r>
      <w:r w:rsidR="00056413">
        <w:rPr>
          <w:rFonts w:cs="Arial"/>
        </w:rPr>
        <w:t xml:space="preserve">give </w:t>
      </w:r>
      <w:r w:rsidR="00056413" w:rsidRPr="001546D2">
        <w:rPr>
          <w:rFonts w:cs="Arial"/>
        </w:rPr>
        <w:t>deed of financial security</w:t>
      </w:r>
      <w:r w:rsidR="00056413">
        <w:rPr>
          <w:rFonts w:cs="Arial"/>
        </w:rPr>
        <w:t xml:space="preserve"> for the amount of 10</w:t>
      </w:r>
      <w:r w:rsidR="00D572B0">
        <w:rPr>
          <w:rFonts w:cs="Arial"/>
        </w:rPr>
        <w:t xml:space="preserve"> per cent</w:t>
      </w:r>
      <w:r w:rsidR="00056413">
        <w:rPr>
          <w:rFonts w:cs="Arial"/>
        </w:rPr>
        <w:t xml:space="preserve"> of the starting price for their preferred lots</w:t>
      </w:r>
      <w:r w:rsidR="00056413" w:rsidRPr="001546D2">
        <w:rPr>
          <w:rFonts w:cs="Arial"/>
        </w:rPr>
        <w:t xml:space="preserve">, by the </w:t>
      </w:r>
      <w:r w:rsidR="00056413">
        <w:rPr>
          <w:rFonts w:cs="Arial"/>
        </w:rPr>
        <w:t>preference</w:t>
      </w:r>
      <w:r w:rsidR="00056413" w:rsidRPr="001546D2">
        <w:rPr>
          <w:rFonts w:cs="Arial"/>
        </w:rPr>
        <w:t xml:space="preserve"> deadline. </w:t>
      </w:r>
      <w:r w:rsidR="00056413">
        <w:rPr>
          <w:rFonts w:cs="Arial"/>
        </w:rPr>
        <w:t>During the auction</w:t>
      </w:r>
      <w:r w:rsidR="00D572B0">
        <w:rPr>
          <w:rFonts w:cs="Arial"/>
        </w:rPr>
        <w:t>,</w:t>
      </w:r>
      <w:r w:rsidR="00056413">
        <w:rPr>
          <w:rFonts w:cs="Arial"/>
        </w:rPr>
        <w:t xml:space="preserve"> bidders will only be able to bid on, and access pricing information on, those lots nominated in the </w:t>
      </w:r>
      <w:r w:rsidR="00D572B0">
        <w:rPr>
          <w:rFonts w:cs="Arial"/>
        </w:rPr>
        <w:t>p</w:t>
      </w:r>
      <w:r w:rsidR="00056413">
        <w:rPr>
          <w:rFonts w:cs="Arial"/>
        </w:rPr>
        <w:t xml:space="preserve">reference </w:t>
      </w:r>
      <w:r w:rsidR="00D572B0">
        <w:rPr>
          <w:rFonts w:cs="Arial"/>
        </w:rPr>
        <w:t>n</w:t>
      </w:r>
      <w:r w:rsidR="00056413">
        <w:rPr>
          <w:rFonts w:cs="Arial"/>
        </w:rPr>
        <w:t>omination stage</w:t>
      </w:r>
      <w:r w:rsidR="000862D9">
        <w:rPr>
          <w:rFonts w:cs="Arial"/>
        </w:rPr>
        <w:t>.</w:t>
      </w:r>
    </w:p>
    <w:p w14:paraId="0A8A543E" w14:textId="77777777" w:rsidR="00033FB4" w:rsidRPr="00605D02" w:rsidRDefault="00D572B0" w:rsidP="00625FEF">
      <w:pPr>
        <w:pBdr>
          <w:top w:val="single" w:sz="4" w:space="1" w:color="auto"/>
          <w:left w:val="single" w:sz="4" w:space="4" w:color="auto"/>
          <w:bottom w:val="single" w:sz="4" w:space="1" w:color="auto"/>
          <w:right w:val="single" w:sz="4" w:space="4" w:color="auto"/>
        </w:pBdr>
        <w:shd w:val="clear" w:color="auto" w:fill="F2F2F2" w:themeFill="background1" w:themeFillShade="F2"/>
        <w:spacing w:after="120"/>
      </w:pPr>
      <w:r w:rsidRPr="00625FEF">
        <w:rPr>
          <w:b/>
          <w:caps/>
        </w:rPr>
        <w:t>Summary</w:t>
      </w:r>
      <w:r>
        <w:rPr>
          <w:b/>
        </w:rPr>
        <w:t>—</w:t>
      </w:r>
      <w:r w:rsidR="00033FB4">
        <w:rPr>
          <w:b/>
        </w:rPr>
        <w:t xml:space="preserve">700 </w:t>
      </w:r>
      <w:r w:rsidR="00033FB4" w:rsidRPr="008A6B3F">
        <w:rPr>
          <w:b/>
        </w:rPr>
        <w:t xml:space="preserve">MHz </w:t>
      </w:r>
      <w:r w:rsidR="00033FB4">
        <w:rPr>
          <w:b/>
        </w:rPr>
        <w:t>unsold lots application and registration process</w:t>
      </w:r>
    </w:p>
    <w:p w14:paraId="77CE890A" w14:textId="77777777" w:rsidR="00033FB4" w:rsidRDefault="00033FB4" w:rsidP="00625FEF">
      <w:pPr>
        <w:pBdr>
          <w:top w:val="single" w:sz="4" w:space="1" w:color="auto"/>
          <w:left w:val="single" w:sz="4" w:space="4" w:color="auto"/>
          <w:bottom w:val="single" w:sz="4" w:space="1" w:color="auto"/>
          <w:right w:val="single" w:sz="4" w:space="4" w:color="auto"/>
        </w:pBdr>
        <w:shd w:val="clear" w:color="auto" w:fill="F2F2F2" w:themeFill="background1" w:themeFillShade="F2"/>
        <w:spacing w:after="120"/>
        <w:rPr>
          <w:rFonts w:cs="Arial"/>
        </w:rPr>
      </w:pPr>
      <w:r>
        <w:rPr>
          <w:rFonts w:cs="Arial"/>
        </w:rPr>
        <w:t>The ACMA proposes to set the entry fee for the auction at $10,000.</w:t>
      </w:r>
    </w:p>
    <w:p w14:paraId="496C3F84" w14:textId="77777777" w:rsidR="00033FB4" w:rsidRPr="009C5A85" w:rsidRDefault="00033FB4" w:rsidP="00D35C87">
      <w:pPr>
        <w:pBdr>
          <w:top w:val="single" w:sz="4" w:space="1" w:color="auto"/>
          <w:left w:val="single" w:sz="4" w:space="4" w:color="auto"/>
          <w:bottom w:val="single" w:sz="4" w:space="1" w:color="auto"/>
          <w:right w:val="single" w:sz="4" w:space="4" w:color="auto"/>
        </w:pBdr>
        <w:shd w:val="clear" w:color="auto" w:fill="F2F2F2" w:themeFill="background1" w:themeFillShade="F2"/>
        <w:spacing w:after="0"/>
        <w:rPr>
          <w:rFonts w:cs="Arial"/>
        </w:rPr>
      </w:pPr>
      <w:r>
        <w:rPr>
          <w:rFonts w:cs="Arial"/>
        </w:rPr>
        <w:t>The ACMA proposes to have a two stage registration process, with an application stage and a preference nomination stage.</w:t>
      </w:r>
    </w:p>
    <w:p w14:paraId="2DBCFB66" w14:textId="77777777" w:rsidR="00D35C87" w:rsidRDefault="00D35C87" w:rsidP="00D35C87">
      <w:pPr>
        <w:pStyle w:val="ACMASpaceaftertable"/>
      </w:pPr>
      <w:bookmarkStart w:id="110" w:name="_Toc459210816"/>
      <w:bookmarkStart w:id="111" w:name="_Toc461025815"/>
      <w:bookmarkStart w:id="112" w:name="_Toc463862916"/>
      <w:bookmarkStart w:id="113" w:name="_Toc461025820"/>
      <w:bookmarkStart w:id="114" w:name="_Toc459210822"/>
    </w:p>
    <w:p w14:paraId="58CD8098" w14:textId="77777777" w:rsidR="00882563" w:rsidRPr="00880169" w:rsidRDefault="00882563" w:rsidP="00D35C87">
      <w:pPr>
        <w:pStyle w:val="Heading2"/>
        <w:spacing w:before="120"/>
      </w:pPr>
      <w:r>
        <w:t>Starting prices</w:t>
      </w:r>
      <w:bookmarkEnd w:id="110"/>
      <w:bookmarkEnd w:id="111"/>
      <w:bookmarkEnd w:id="112"/>
    </w:p>
    <w:p w14:paraId="5ECB38A9" w14:textId="77777777" w:rsidR="00882563" w:rsidRPr="00880169" w:rsidRDefault="00B44BD1" w:rsidP="00882563">
      <w:pPr>
        <w:rPr>
          <w:rFonts w:cs="Arial"/>
        </w:rPr>
      </w:pPr>
      <w:r>
        <w:rPr>
          <w:rFonts w:cs="Arial"/>
        </w:rPr>
        <w:t>Under the draft allocation determination, t</w:t>
      </w:r>
      <w:r w:rsidR="00882563" w:rsidRPr="00880169">
        <w:rPr>
          <w:rFonts w:cs="Arial"/>
        </w:rPr>
        <w:t xml:space="preserve">he ACMA </w:t>
      </w:r>
      <w:r w:rsidR="00882563">
        <w:rPr>
          <w:rFonts w:cs="Arial"/>
        </w:rPr>
        <w:t>must</w:t>
      </w:r>
      <w:r w:rsidR="00882563" w:rsidRPr="00880169">
        <w:rPr>
          <w:rFonts w:cs="Arial"/>
        </w:rPr>
        <w:t xml:space="preserve"> specify </w:t>
      </w:r>
      <w:r w:rsidR="00882563">
        <w:rPr>
          <w:rFonts w:cs="Arial"/>
        </w:rPr>
        <w:t>a starting</w:t>
      </w:r>
      <w:r w:rsidR="00882563" w:rsidRPr="00880169">
        <w:rPr>
          <w:rFonts w:cs="Arial"/>
        </w:rPr>
        <w:t xml:space="preserve"> price </w:t>
      </w:r>
      <w:r w:rsidR="00882563">
        <w:rPr>
          <w:rFonts w:cs="Arial"/>
        </w:rPr>
        <w:t xml:space="preserve">or initial price </w:t>
      </w:r>
      <w:r w:rsidR="00882563" w:rsidRPr="00880169">
        <w:rPr>
          <w:rFonts w:cs="Arial"/>
        </w:rPr>
        <w:t xml:space="preserve">for each spectrum lot on offer. </w:t>
      </w:r>
      <w:r w:rsidR="00882563">
        <w:rPr>
          <w:rFonts w:cs="Arial"/>
        </w:rPr>
        <w:t xml:space="preserve">If there is excess demand for a particular lot, then the price for that lot increases as the auction progresses. If only one bidder expresses demand for a particular lot at the beginning of the auction, then this particular lot will be sold at its starting price to that particular bidder. </w:t>
      </w:r>
      <w:r w:rsidR="00787799">
        <w:rPr>
          <w:rFonts w:cs="Arial"/>
        </w:rPr>
        <w:t xml:space="preserve">Payment is discussed below under </w:t>
      </w:r>
      <w:r w:rsidR="00787799" w:rsidRPr="00625FEF">
        <w:rPr>
          <w:rFonts w:cs="Arial"/>
        </w:rPr>
        <w:t>payment terms</w:t>
      </w:r>
      <w:r w:rsidR="00787799">
        <w:rPr>
          <w:rFonts w:cs="Arial"/>
        </w:rPr>
        <w:t>.</w:t>
      </w:r>
    </w:p>
    <w:p w14:paraId="35498562" w14:textId="77777777" w:rsidR="00882563" w:rsidRDefault="00B44BD1" w:rsidP="00882563">
      <w:pPr>
        <w:rPr>
          <w:rFonts w:cs="Arial"/>
        </w:rPr>
      </w:pPr>
      <w:r>
        <w:rPr>
          <w:rFonts w:cs="Arial"/>
        </w:rPr>
        <w:t xml:space="preserve">Under </w:t>
      </w:r>
      <w:r w:rsidRPr="00480203">
        <w:rPr>
          <w:rFonts w:cs="Arial"/>
        </w:rPr>
        <w:t>section 28 of the draft</w:t>
      </w:r>
      <w:r>
        <w:rPr>
          <w:rFonts w:cs="Arial"/>
        </w:rPr>
        <w:t xml:space="preserve"> allocation determination, t</w:t>
      </w:r>
      <w:r w:rsidRPr="00CC1561">
        <w:rPr>
          <w:rFonts w:cs="Arial"/>
        </w:rPr>
        <w:t xml:space="preserve">he </w:t>
      </w:r>
      <w:r w:rsidR="00882563" w:rsidRPr="00CC1561">
        <w:rPr>
          <w:rFonts w:cs="Arial"/>
        </w:rPr>
        <w:t>ACMA</w:t>
      </w:r>
      <w:r w:rsidR="00882563">
        <w:rPr>
          <w:rFonts w:cs="Arial"/>
        </w:rPr>
        <w:t xml:space="preserve"> will publish </w:t>
      </w:r>
      <w:r w:rsidR="00882563" w:rsidRPr="00CC1561">
        <w:rPr>
          <w:rFonts w:cs="Arial"/>
        </w:rPr>
        <w:t xml:space="preserve">the </w:t>
      </w:r>
      <w:r w:rsidR="00882563">
        <w:rPr>
          <w:rFonts w:cs="Arial"/>
        </w:rPr>
        <w:t xml:space="preserve">starting prices for each particular lot before the auction. This is </w:t>
      </w:r>
      <w:r w:rsidR="002C7CE2">
        <w:rPr>
          <w:rFonts w:cs="Arial"/>
        </w:rPr>
        <w:t>intended</w:t>
      </w:r>
      <w:r w:rsidR="00882563">
        <w:rPr>
          <w:rFonts w:cs="Arial"/>
        </w:rPr>
        <w:t xml:space="preserve"> to occur as part of the AIP.</w:t>
      </w:r>
    </w:p>
    <w:p w14:paraId="608EE035" w14:textId="77777777" w:rsidR="003D4AA1" w:rsidRDefault="003D4AA1" w:rsidP="002E1CBD">
      <w:pPr>
        <w:pStyle w:val="Heading2"/>
      </w:pPr>
      <w:bookmarkStart w:id="115" w:name="_Toc463862917"/>
      <w:r>
        <w:t>Competition limits</w:t>
      </w:r>
      <w:bookmarkEnd w:id="113"/>
      <w:bookmarkEnd w:id="114"/>
      <w:bookmarkEnd w:id="115"/>
    </w:p>
    <w:p w14:paraId="643C48C3" w14:textId="77777777" w:rsidR="00670F14" w:rsidRPr="00480203" w:rsidRDefault="00670F14" w:rsidP="002C2FE8">
      <w:r w:rsidRPr="00880169">
        <w:t xml:space="preserve">Competition limits (also referred to as spectrum caps or allocation limits) have the effect of capping the total amount of spectrum that a single bidder can acquire in </w:t>
      </w:r>
      <w:r w:rsidR="0082121D">
        <w:t>an auction</w:t>
      </w:r>
      <w:r w:rsidRPr="00880169">
        <w:t xml:space="preserve">. </w:t>
      </w:r>
      <w:r>
        <w:t>I</w:t>
      </w:r>
      <w:r w:rsidRPr="00512FB3">
        <w:t>f the minister directs the ACMA to impose limits on the amount of spectrum that may be allocated to one bidder and its associates</w:t>
      </w:r>
      <w:r>
        <w:t>, the ACMA must ensure that</w:t>
      </w:r>
      <w:r w:rsidRPr="00CB0100">
        <w:t xml:space="preserve"> </w:t>
      </w:r>
      <w:r>
        <w:t xml:space="preserve">the </w:t>
      </w:r>
      <w:r w:rsidRPr="00480203">
        <w:t>determination specifies the process for ensuring that competition limits are observed.</w:t>
      </w:r>
    </w:p>
    <w:p w14:paraId="77C0562D" w14:textId="77777777" w:rsidR="009433C8" w:rsidRDefault="00B44BD1" w:rsidP="00B44BD1">
      <w:pPr>
        <w:spacing w:before="240"/>
        <w:rPr>
          <w:rFonts w:cs="Arial"/>
        </w:rPr>
      </w:pPr>
      <w:bookmarkStart w:id="116" w:name="_Toc319572503"/>
      <w:bookmarkStart w:id="117" w:name="_Toc459210823"/>
      <w:bookmarkStart w:id="118" w:name="_Toc461025821"/>
      <w:r w:rsidRPr="00480203">
        <w:rPr>
          <w:rFonts w:cs="Arial"/>
        </w:rPr>
        <w:t>The limits direction specifies that no one party (or that party and any of its associates) may acquire more than 2</w:t>
      </w:r>
      <w:r w:rsidR="002C2FE8" w:rsidRPr="00480203">
        <w:rPr>
          <w:rFonts w:cs="Arial"/>
        </w:rPr>
        <w:t xml:space="preserve"> </w:t>
      </w:r>
      <w:r w:rsidRPr="00480203">
        <w:rPr>
          <w:rFonts w:cs="Arial"/>
        </w:rPr>
        <w:t>x</w:t>
      </w:r>
      <w:r w:rsidR="002C2FE8" w:rsidRPr="00480203">
        <w:rPr>
          <w:rFonts w:cs="Arial"/>
        </w:rPr>
        <w:t xml:space="preserve"> </w:t>
      </w:r>
      <w:r w:rsidRPr="00480203">
        <w:rPr>
          <w:rFonts w:cs="Arial"/>
        </w:rPr>
        <w:t>25 MHz of spectrum in the 700 MHz band.</w:t>
      </w:r>
      <w:r w:rsidRPr="00480203">
        <w:rPr>
          <w:rStyle w:val="FootnoteReference"/>
          <w:rFonts w:cs="Arial"/>
        </w:rPr>
        <w:footnoteReference w:id="23"/>
      </w:r>
      <w:r w:rsidRPr="00480203">
        <w:rPr>
          <w:rFonts w:cs="Arial"/>
        </w:rPr>
        <w:t xml:space="preserve"> That instrument remains in force at this time; however, the </w:t>
      </w:r>
      <w:r w:rsidR="00D572B0" w:rsidRPr="00480203">
        <w:rPr>
          <w:rFonts w:cs="Arial"/>
        </w:rPr>
        <w:t>m</w:t>
      </w:r>
      <w:r w:rsidRPr="00480203">
        <w:rPr>
          <w:rFonts w:cs="Arial"/>
        </w:rPr>
        <w:t xml:space="preserve">inister </w:t>
      </w:r>
      <w:r w:rsidR="009779BE" w:rsidRPr="00480203">
        <w:rPr>
          <w:rFonts w:cs="Arial"/>
        </w:rPr>
        <w:t xml:space="preserve">has </w:t>
      </w:r>
      <w:r w:rsidR="009433C8" w:rsidRPr="00480203">
        <w:rPr>
          <w:rFonts w:cs="Arial"/>
        </w:rPr>
        <w:t xml:space="preserve">indicated he is reviewing the competition limits and </w:t>
      </w:r>
      <w:r w:rsidRPr="00480203">
        <w:rPr>
          <w:rFonts w:cs="Arial"/>
        </w:rPr>
        <w:t xml:space="preserve">may vary or revoke the limits direction </w:t>
      </w:r>
      <w:r w:rsidR="009433C8" w:rsidRPr="00480203">
        <w:rPr>
          <w:rFonts w:cs="Arial"/>
        </w:rPr>
        <w:t>in November</w:t>
      </w:r>
      <w:r w:rsidR="006D62BD" w:rsidRPr="00480203">
        <w:rPr>
          <w:rFonts w:cs="Arial"/>
        </w:rPr>
        <w:t>.</w:t>
      </w:r>
      <w:r w:rsidR="006D62BD" w:rsidRPr="00480203">
        <w:rPr>
          <w:rStyle w:val="FootnoteReference"/>
          <w:rFonts w:cs="Arial"/>
        </w:rPr>
        <w:footnoteReference w:id="24"/>
      </w:r>
      <w:r w:rsidR="00926317" w:rsidRPr="00480203">
        <w:rPr>
          <w:rFonts w:cs="Arial"/>
        </w:rPr>
        <w:t xml:space="preserve"> If the minister decides to vary or revoke the existing limits direction, he will issue a new ministerial direction to the ACMA.</w:t>
      </w:r>
    </w:p>
    <w:p w14:paraId="28B6E76C" w14:textId="77777777" w:rsidR="00670F14" w:rsidRPr="00880169" w:rsidRDefault="00670F14" w:rsidP="00670F14">
      <w:pPr>
        <w:pStyle w:val="Heading2"/>
      </w:pPr>
      <w:bookmarkStart w:id="119" w:name="_Toc463862918"/>
      <w:r>
        <w:t>Affiliated</w:t>
      </w:r>
      <w:r w:rsidRPr="00880169">
        <w:t xml:space="preserve"> applicants</w:t>
      </w:r>
      <w:bookmarkEnd w:id="116"/>
      <w:bookmarkEnd w:id="117"/>
      <w:bookmarkEnd w:id="118"/>
      <w:bookmarkEnd w:id="119"/>
      <w:r w:rsidRPr="00880169">
        <w:t xml:space="preserve"> </w:t>
      </w:r>
    </w:p>
    <w:p w14:paraId="0BD8E371" w14:textId="77777777" w:rsidR="00670F14" w:rsidRPr="00880169" w:rsidRDefault="00670F14" w:rsidP="00670F14">
      <w:pPr>
        <w:rPr>
          <w:rFonts w:cs="Arial"/>
        </w:rPr>
      </w:pPr>
      <w:r w:rsidRPr="00880169">
        <w:rPr>
          <w:rFonts w:cs="Arial"/>
        </w:rPr>
        <w:t>To ensure the ACMA can conduct a competitive and fair auction</w:t>
      </w:r>
      <w:r>
        <w:rPr>
          <w:rFonts w:cs="Arial"/>
        </w:rPr>
        <w:t xml:space="preserve">, as well as to ensure compliance with any competition limits that are imposed by the </w:t>
      </w:r>
      <w:r w:rsidR="00EC368D">
        <w:rPr>
          <w:rFonts w:cs="Arial"/>
        </w:rPr>
        <w:t>m</w:t>
      </w:r>
      <w:r>
        <w:rPr>
          <w:rFonts w:cs="Arial"/>
        </w:rPr>
        <w:t>inister</w:t>
      </w:r>
      <w:r w:rsidRPr="00880169">
        <w:rPr>
          <w:rFonts w:cs="Arial"/>
        </w:rPr>
        <w:t xml:space="preserve">, applicants who are </w:t>
      </w:r>
      <w:r>
        <w:rPr>
          <w:rFonts w:cs="Arial"/>
        </w:rPr>
        <w:t>‘affiliated’</w:t>
      </w:r>
      <w:r w:rsidRPr="00880169">
        <w:rPr>
          <w:rFonts w:cs="Arial"/>
        </w:rPr>
        <w:t xml:space="preserve"> will not be permitted to participate in the auction as separate bidding entities. </w:t>
      </w:r>
      <w:r>
        <w:rPr>
          <w:rFonts w:cs="Arial"/>
        </w:rPr>
        <w:t xml:space="preserve">Two bidders will be affiliated if one is an ‘associate’ of the other, within the definition set out in the </w:t>
      </w:r>
      <w:r w:rsidRPr="00880169">
        <w:rPr>
          <w:rFonts w:cs="Arial"/>
        </w:rPr>
        <w:t>draft determination</w:t>
      </w:r>
      <w:r w:rsidR="00FB6A7E">
        <w:rPr>
          <w:rFonts w:cs="Arial"/>
        </w:rPr>
        <w:t xml:space="preserve"> at Attachment </w:t>
      </w:r>
      <w:r w:rsidR="009A0189">
        <w:rPr>
          <w:rFonts w:cs="Arial"/>
        </w:rPr>
        <w:t>C</w:t>
      </w:r>
      <w:r>
        <w:rPr>
          <w:rFonts w:cs="Arial"/>
        </w:rPr>
        <w:t>, or if they have an associate in common (</w:t>
      </w:r>
      <w:r w:rsidR="002C2FE8">
        <w:rPr>
          <w:rFonts w:cs="Arial"/>
        </w:rPr>
        <w:t>for example,</w:t>
      </w:r>
      <w:r>
        <w:rPr>
          <w:rFonts w:cs="Arial"/>
        </w:rPr>
        <w:t xml:space="preserve"> a director in common).</w:t>
      </w:r>
      <w:r w:rsidR="00242424">
        <w:rPr>
          <w:rFonts w:cs="Arial"/>
        </w:rPr>
        <w:t xml:space="preserve"> </w:t>
      </w:r>
    </w:p>
    <w:p w14:paraId="1A9A2B4A" w14:textId="77777777" w:rsidR="00670F14" w:rsidRPr="00880169" w:rsidRDefault="00670F14" w:rsidP="00670F14">
      <w:pPr>
        <w:rPr>
          <w:rFonts w:cs="Arial"/>
        </w:rPr>
      </w:pPr>
      <w:r w:rsidRPr="00880169">
        <w:rPr>
          <w:rFonts w:cs="Arial"/>
        </w:rPr>
        <w:t xml:space="preserve">If an </w:t>
      </w:r>
      <w:r>
        <w:rPr>
          <w:rFonts w:cs="Arial"/>
        </w:rPr>
        <w:t>affiliation</w:t>
      </w:r>
      <w:r w:rsidRPr="00880169">
        <w:rPr>
          <w:rFonts w:cs="Arial"/>
        </w:rPr>
        <w:t xml:space="preserve"> is identified </w:t>
      </w:r>
      <w:r w:rsidRPr="007C1A63">
        <w:rPr>
          <w:rFonts w:cs="Arial"/>
          <w:b/>
        </w:rPr>
        <w:t>prior to the auction</w:t>
      </w:r>
      <w:r w:rsidRPr="00880169">
        <w:rPr>
          <w:rFonts w:cs="Arial"/>
        </w:rPr>
        <w:t xml:space="preserve">, options are proposed </w:t>
      </w:r>
      <w:r w:rsidR="001E67C5">
        <w:rPr>
          <w:rFonts w:cs="Arial"/>
        </w:rPr>
        <w:t xml:space="preserve">in the instrument at Attachment </w:t>
      </w:r>
      <w:r w:rsidR="009A0189">
        <w:rPr>
          <w:rFonts w:cs="Arial"/>
        </w:rPr>
        <w:t>C</w:t>
      </w:r>
      <w:r w:rsidR="001E67C5">
        <w:rPr>
          <w:rFonts w:cs="Arial"/>
        </w:rPr>
        <w:t xml:space="preserve"> </w:t>
      </w:r>
      <w:r w:rsidRPr="00880169">
        <w:rPr>
          <w:rFonts w:cs="Arial"/>
        </w:rPr>
        <w:t xml:space="preserve">that would remedy the </w:t>
      </w:r>
      <w:r>
        <w:rPr>
          <w:rFonts w:cs="Arial"/>
        </w:rPr>
        <w:t>affiliation</w:t>
      </w:r>
      <w:r w:rsidRPr="00880169">
        <w:rPr>
          <w:rFonts w:cs="Arial"/>
        </w:rPr>
        <w:t xml:space="preserve"> and allow participation in the auction. </w:t>
      </w:r>
    </w:p>
    <w:p w14:paraId="277B6311" w14:textId="77777777" w:rsidR="00670F14" w:rsidRPr="00880169" w:rsidRDefault="00670F14" w:rsidP="00670F14">
      <w:pPr>
        <w:rPr>
          <w:rFonts w:cs="Arial"/>
        </w:rPr>
      </w:pPr>
      <w:r w:rsidRPr="00880169">
        <w:rPr>
          <w:rFonts w:cs="Arial"/>
        </w:rPr>
        <w:t xml:space="preserve">However, if an </w:t>
      </w:r>
      <w:r>
        <w:rPr>
          <w:rFonts w:cs="Arial"/>
        </w:rPr>
        <w:t>affiliation</w:t>
      </w:r>
      <w:r w:rsidRPr="00880169">
        <w:rPr>
          <w:rFonts w:cs="Arial"/>
        </w:rPr>
        <w:t xml:space="preserve"> is formed between applicants </w:t>
      </w:r>
      <w:r w:rsidRPr="007C1A63">
        <w:rPr>
          <w:rFonts w:cs="Arial"/>
          <w:b/>
        </w:rPr>
        <w:t>during the auction</w:t>
      </w:r>
      <w:r w:rsidRPr="00880169">
        <w:rPr>
          <w:rFonts w:cs="Arial"/>
        </w:rPr>
        <w:t xml:space="preserve">, </w:t>
      </w:r>
      <w:r w:rsidRPr="00CB0100">
        <w:rPr>
          <w:rFonts w:cs="Arial"/>
        </w:rPr>
        <w:t xml:space="preserve">they would be excluded from obtaining a spectrum licence and any </w:t>
      </w:r>
      <w:r w:rsidR="00B44BD1">
        <w:rPr>
          <w:rFonts w:cs="Arial"/>
        </w:rPr>
        <w:t>deposit</w:t>
      </w:r>
      <w:r w:rsidRPr="00CB0100">
        <w:rPr>
          <w:rFonts w:cs="Arial"/>
        </w:rPr>
        <w:t xml:space="preserve"> paid may be forfeited. In addition, any amounts secured under a deed </w:t>
      </w:r>
      <w:r w:rsidR="00B44BD1">
        <w:rPr>
          <w:rFonts w:cs="Arial"/>
        </w:rPr>
        <w:t xml:space="preserve">of financial security </w:t>
      </w:r>
      <w:r w:rsidRPr="00CB0100">
        <w:rPr>
          <w:rFonts w:cs="Arial"/>
        </w:rPr>
        <w:t>provided by the applicant would be recoverable by the ACMA on behalf of the Commonwealth.</w:t>
      </w:r>
    </w:p>
    <w:p w14:paraId="43944AF5" w14:textId="77777777" w:rsidR="00670F14" w:rsidRDefault="00670F14" w:rsidP="00670F14">
      <w:pPr>
        <w:rPr>
          <w:rFonts w:cs="Arial"/>
        </w:rPr>
      </w:pPr>
      <w:r w:rsidRPr="00880169">
        <w:rPr>
          <w:rFonts w:cs="Arial"/>
        </w:rPr>
        <w:t xml:space="preserve">If an </w:t>
      </w:r>
      <w:r>
        <w:rPr>
          <w:rFonts w:cs="Arial"/>
        </w:rPr>
        <w:t>affiliation</w:t>
      </w:r>
      <w:r w:rsidRPr="00880169">
        <w:rPr>
          <w:rFonts w:cs="Arial"/>
        </w:rPr>
        <w:t xml:space="preserve"> is formed between successful applicants </w:t>
      </w:r>
      <w:r w:rsidRPr="00021FF9">
        <w:rPr>
          <w:rFonts w:cs="Arial"/>
          <w:b/>
        </w:rPr>
        <w:t>after the auction</w:t>
      </w:r>
      <w:r w:rsidRPr="00880169">
        <w:rPr>
          <w:rFonts w:cs="Arial"/>
        </w:rPr>
        <w:t xml:space="preserve">, but before spectrum licences are issued, the competition limits would cap the spectrum that would be issued to those applicants. Regardless of whether successful applicants were consequently issued licences for less spectrum than </w:t>
      </w:r>
      <w:r w:rsidR="002D65A8">
        <w:rPr>
          <w:rFonts w:cs="Arial"/>
        </w:rPr>
        <w:t xml:space="preserve">the amount for which </w:t>
      </w:r>
      <w:r w:rsidRPr="00880169">
        <w:rPr>
          <w:rFonts w:cs="Arial"/>
        </w:rPr>
        <w:t xml:space="preserve">they had successfully bid, </w:t>
      </w:r>
      <w:r w:rsidRPr="00CB0100">
        <w:rPr>
          <w:rFonts w:cs="Arial"/>
        </w:rPr>
        <w:t>each applicant would still be liable to pay for all spectrum individually bid for at auction.</w:t>
      </w:r>
    </w:p>
    <w:p w14:paraId="2B0C734B" w14:textId="77777777" w:rsidR="00FC194B" w:rsidRDefault="00FC194B" w:rsidP="00FC194B">
      <w:pPr>
        <w:rPr>
          <w:rFonts w:cs="Arial"/>
        </w:rPr>
      </w:pPr>
      <w:r>
        <w:rPr>
          <w:rFonts w:cs="Arial"/>
        </w:rPr>
        <w:t xml:space="preserve">Similarly, in order to comply with any competition limits that are imposed by the </w:t>
      </w:r>
      <w:r w:rsidR="002C2FE8">
        <w:rPr>
          <w:rFonts w:cs="Arial"/>
        </w:rPr>
        <w:t>m</w:t>
      </w:r>
      <w:r>
        <w:rPr>
          <w:rFonts w:cs="Arial"/>
        </w:rPr>
        <w:t xml:space="preserve">inister, each applicant will be asked to declare whether any winners at the initial </w:t>
      </w:r>
      <w:r w:rsidR="002C2FE8">
        <w:rPr>
          <w:rFonts w:cs="Arial"/>
        </w:rPr>
        <w:t>700 </w:t>
      </w:r>
      <w:r>
        <w:rPr>
          <w:rFonts w:cs="Arial"/>
        </w:rPr>
        <w:t xml:space="preserve">MHz auction in 2013 are the applicant’s associates (in which case, they are described as ‘affiliated’ with Telstra or Optus). As mentioned above, both Telstra and Optus were issued spectrum licences as a result of the initial 700 MHz auction.  </w:t>
      </w:r>
    </w:p>
    <w:p w14:paraId="17AFD95E" w14:textId="77777777" w:rsidR="00FC194B" w:rsidRDefault="00FC194B" w:rsidP="00FC194B">
      <w:pPr>
        <w:rPr>
          <w:rFonts w:cs="Arial"/>
        </w:rPr>
      </w:pPr>
      <w:r>
        <w:rPr>
          <w:rFonts w:cs="Arial"/>
        </w:rPr>
        <w:t xml:space="preserve">Any applicant in the unsold lots auction who is affiliated with Telstra or Optus </w:t>
      </w:r>
      <w:r>
        <w:rPr>
          <w:rFonts w:cs="Arial"/>
          <w:b/>
        </w:rPr>
        <w:t>before the auction</w:t>
      </w:r>
      <w:r w:rsidRPr="00E325F8">
        <w:rPr>
          <w:rFonts w:cs="Arial"/>
        </w:rPr>
        <w:t xml:space="preserve">, </w:t>
      </w:r>
      <w:r>
        <w:rPr>
          <w:rFonts w:cs="Arial"/>
        </w:rPr>
        <w:t>will have the spectrum licences issued to Telstra or Optus (as appropriate) taken into account when assessing whether the applicant is able to nominate either or both lots as its preferred lots in the auction. Similarly, if Telstra or Optus apply to participate in the unsold lots auction, their existing spectrum licences may affect their ability to nominate either or both lots as their preferred lots in the auction.</w:t>
      </w:r>
    </w:p>
    <w:p w14:paraId="5032ABD0" w14:textId="77777777" w:rsidR="00FC194B" w:rsidRDefault="00FC194B" w:rsidP="00670F14">
      <w:pPr>
        <w:rPr>
          <w:rFonts w:cs="Arial"/>
        </w:rPr>
      </w:pPr>
      <w:r>
        <w:rPr>
          <w:rFonts w:cs="Arial"/>
        </w:rPr>
        <w:t xml:space="preserve">If an affiliation is formed between a successful applicant and Telstra or Optus </w:t>
      </w:r>
      <w:r>
        <w:rPr>
          <w:rFonts w:cs="Arial"/>
          <w:b/>
        </w:rPr>
        <w:t>after the auction</w:t>
      </w:r>
      <w:r>
        <w:rPr>
          <w:rFonts w:cs="Arial"/>
        </w:rPr>
        <w:t>, the spectrum licences issued to Telstra or Optus (as appropriate) may affect the size of the spectrum licence that may be issued to the successful applicant.</w:t>
      </w:r>
      <w:r w:rsidRPr="00D213ED">
        <w:rPr>
          <w:rFonts w:cs="Arial"/>
        </w:rPr>
        <w:t xml:space="preserve"> </w:t>
      </w:r>
      <w:r w:rsidRPr="00880169">
        <w:rPr>
          <w:rFonts w:cs="Arial"/>
        </w:rPr>
        <w:t xml:space="preserve">Regardless of whether successful applicants were consequently issued licences for less spectrum than </w:t>
      </w:r>
      <w:r>
        <w:rPr>
          <w:rFonts w:cs="Arial"/>
        </w:rPr>
        <w:t xml:space="preserve">the amount for which </w:t>
      </w:r>
      <w:r w:rsidRPr="00880169">
        <w:rPr>
          <w:rFonts w:cs="Arial"/>
        </w:rPr>
        <w:t xml:space="preserve">they had successfully bid, </w:t>
      </w:r>
      <w:r w:rsidRPr="00CB0100">
        <w:rPr>
          <w:rFonts w:cs="Arial"/>
        </w:rPr>
        <w:t>each applicant would still be liable to pay for all spectrum individually bid for at auction.</w:t>
      </w:r>
    </w:p>
    <w:p w14:paraId="42F61B09" w14:textId="77777777" w:rsidR="00EE4BCE" w:rsidRDefault="00EE4BCE" w:rsidP="00EE4BCE">
      <w:pPr>
        <w:pStyle w:val="Heading2"/>
      </w:pPr>
      <w:bookmarkStart w:id="120" w:name="_Toc463862919"/>
      <w:r>
        <w:t>Payment terms</w:t>
      </w:r>
      <w:bookmarkEnd w:id="120"/>
    </w:p>
    <w:p w14:paraId="76780541" w14:textId="77777777" w:rsidR="00EE4BCE" w:rsidRPr="00480203" w:rsidRDefault="00EE4BCE" w:rsidP="00EE4BCE">
      <w:pPr>
        <w:rPr>
          <w:rFonts w:cs="Arial"/>
        </w:rPr>
      </w:pPr>
      <w:r w:rsidRPr="00480203">
        <w:rPr>
          <w:rFonts w:cs="Arial"/>
        </w:rPr>
        <w:t xml:space="preserve">The </w:t>
      </w:r>
      <w:r w:rsidR="000C73EE" w:rsidRPr="00480203">
        <w:rPr>
          <w:rFonts w:cs="Arial"/>
        </w:rPr>
        <w:t xml:space="preserve">draft allocation </w:t>
      </w:r>
      <w:r w:rsidRPr="00480203">
        <w:rPr>
          <w:rFonts w:cs="Arial"/>
        </w:rPr>
        <w:t xml:space="preserve">determination also sets out the financial obligations to be met by successful bidders before the ACMA can issue spectrum licences. Also included is the procedure for the ACMA to return </w:t>
      </w:r>
      <w:r w:rsidR="006D302A" w:rsidRPr="00480203">
        <w:rPr>
          <w:rFonts w:cs="Arial"/>
        </w:rPr>
        <w:t>deposits</w:t>
      </w:r>
      <w:r w:rsidRPr="00480203">
        <w:rPr>
          <w:rFonts w:cs="Arial"/>
        </w:rPr>
        <w:t>, which are held by the ACMA during the auction, to unsuccessful bidders.</w:t>
      </w:r>
    </w:p>
    <w:p w14:paraId="756E7869" w14:textId="77777777" w:rsidR="008B1A97" w:rsidRPr="00480203" w:rsidRDefault="008B1A97" w:rsidP="00EE4BCE">
      <w:pPr>
        <w:rPr>
          <w:rFonts w:cs="Arial"/>
        </w:rPr>
      </w:pPr>
      <w:r w:rsidRPr="00480203">
        <w:rPr>
          <w:rFonts w:cs="Arial"/>
        </w:rPr>
        <w:t>The ACMA proposes that a winning bidder may pay the winning bid price in one of two ways</w:t>
      </w:r>
      <w:r w:rsidR="002C2FE8" w:rsidRPr="00480203">
        <w:rPr>
          <w:rFonts w:cs="Arial"/>
        </w:rPr>
        <w:t>—</w:t>
      </w:r>
      <w:r w:rsidRPr="00480203">
        <w:rPr>
          <w:rFonts w:cs="Arial"/>
        </w:rPr>
        <w:t xml:space="preserve">upfront or delayed. The selection of the preferred way would be a matter for the winning bidder. </w:t>
      </w:r>
    </w:p>
    <w:p w14:paraId="2A0E4045" w14:textId="77777777" w:rsidR="006D302A" w:rsidRDefault="006D302A" w:rsidP="006D302A">
      <w:pPr>
        <w:rPr>
          <w:rFonts w:cs="Arial"/>
        </w:rPr>
      </w:pPr>
      <w:r w:rsidRPr="00480203">
        <w:rPr>
          <w:rFonts w:cs="Arial"/>
        </w:rPr>
        <w:t>Following the close of the auction</w:t>
      </w:r>
      <w:r w:rsidR="002C2FE8" w:rsidRPr="00480203">
        <w:rPr>
          <w:rFonts w:cs="Arial"/>
        </w:rPr>
        <w:t>,</w:t>
      </w:r>
      <w:r w:rsidRPr="00480203">
        <w:rPr>
          <w:rFonts w:cs="Arial"/>
        </w:rPr>
        <w:t xml:space="preserve"> the ACMA will advise a winning bidder of the balance of the upfront winning price, the delayed winning price (</w:t>
      </w:r>
      <w:r w:rsidR="002C2FE8" w:rsidRPr="00480203">
        <w:rPr>
          <w:rFonts w:cs="Arial"/>
        </w:rPr>
        <w:t>that is,</w:t>
      </w:r>
      <w:r w:rsidRPr="00480203">
        <w:rPr>
          <w:rFonts w:cs="Arial"/>
        </w:rPr>
        <w:t xml:space="preserve"> the winning price that would be payable if the winning bidder takes the delayed payment option), and the amount and payment date of each instalment of the delayed winning price. The winning bidder must then advise the ACMA, within 10 working days of the ACMA’s advice, of how it elects to pay the price.</w:t>
      </w:r>
      <w:r>
        <w:rPr>
          <w:rFonts w:cs="Arial"/>
        </w:rPr>
        <w:t xml:space="preserve"> </w:t>
      </w:r>
    </w:p>
    <w:p w14:paraId="7FC44EBC" w14:textId="77777777" w:rsidR="008B1A97" w:rsidRDefault="008B1A97" w:rsidP="00F750CF">
      <w:pPr>
        <w:pStyle w:val="Heading3"/>
      </w:pPr>
      <w:bookmarkStart w:id="121" w:name="_Toc463862920"/>
      <w:r>
        <w:t>Upfront payment</w:t>
      </w:r>
      <w:bookmarkEnd w:id="121"/>
    </w:p>
    <w:p w14:paraId="290D80ED" w14:textId="77777777" w:rsidR="008B1A97" w:rsidRDefault="008B1A97" w:rsidP="00EE4BCE">
      <w:pPr>
        <w:rPr>
          <w:rFonts w:cs="Arial"/>
        </w:rPr>
      </w:pPr>
      <w:r>
        <w:rPr>
          <w:rFonts w:cs="Arial"/>
        </w:rPr>
        <w:t xml:space="preserve">Under this payment arrangement, </w:t>
      </w:r>
      <w:r w:rsidR="00F750CF">
        <w:rPr>
          <w:rFonts w:cs="Arial"/>
        </w:rPr>
        <w:t xml:space="preserve">the balance of the upfront winning price must be paid to the ACMA no later than </w:t>
      </w:r>
      <w:r w:rsidR="0049550B">
        <w:rPr>
          <w:rFonts w:cs="Arial"/>
        </w:rPr>
        <w:t>31 January 2018</w:t>
      </w:r>
      <w:r w:rsidR="00F750CF">
        <w:rPr>
          <w:rFonts w:cs="Arial"/>
        </w:rPr>
        <w:t xml:space="preserve">. </w:t>
      </w:r>
      <w:r w:rsidR="00A7225D">
        <w:rPr>
          <w:rFonts w:cs="Arial"/>
        </w:rPr>
        <w:t xml:space="preserve">It is expected that </w:t>
      </w:r>
      <w:r w:rsidR="0049550B">
        <w:rPr>
          <w:rFonts w:cs="Arial"/>
        </w:rPr>
        <w:t>the licence would be issued shortly thereafter</w:t>
      </w:r>
      <w:r w:rsidR="00480203">
        <w:rPr>
          <w:rFonts w:cs="Arial"/>
        </w:rPr>
        <w:t>,</w:t>
      </w:r>
      <w:r w:rsidR="0049550B">
        <w:rPr>
          <w:rFonts w:cs="Arial"/>
        </w:rPr>
        <w:t xml:space="preserve"> </w:t>
      </w:r>
      <w:r w:rsidR="00A7225D">
        <w:rPr>
          <w:rFonts w:cs="Arial"/>
        </w:rPr>
        <w:t>close to the commencement of the spectrum licence on 1</w:t>
      </w:r>
      <w:r w:rsidR="00480203">
        <w:rPr>
          <w:rFonts w:cs="Arial"/>
        </w:rPr>
        <w:t> </w:t>
      </w:r>
      <w:r w:rsidR="00A7225D">
        <w:rPr>
          <w:rFonts w:cs="Arial"/>
        </w:rPr>
        <w:t>April 2018.</w:t>
      </w:r>
    </w:p>
    <w:p w14:paraId="0617DD0B" w14:textId="77777777" w:rsidR="000C43A3" w:rsidRDefault="00F750CF" w:rsidP="00480203">
      <w:pPr>
        <w:pStyle w:val="Heading3"/>
      </w:pPr>
      <w:bookmarkStart w:id="122" w:name="_Toc463862921"/>
      <w:r>
        <w:t>Delayed payment</w:t>
      </w:r>
      <w:bookmarkEnd w:id="122"/>
    </w:p>
    <w:p w14:paraId="5C879369" w14:textId="33907B6C" w:rsidR="00F750CF" w:rsidRPr="00480203" w:rsidRDefault="00044D07" w:rsidP="009E389A">
      <w:pPr>
        <w:keepNext/>
        <w:spacing w:after="80"/>
        <w:rPr>
          <w:rFonts w:cs="Arial"/>
        </w:rPr>
      </w:pPr>
      <w:r>
        <w:rPr>
          <w:rFonts w:cs="Arial"/>
        </w:rPr>
        <w:t>Under this payment arrangement, the ACMA will advi</w:t>
      </w:r>
      <w:r w:rsidR="008A6E2B">
        <w:rPr>
          <w:rFonts w:cs="Arial"/>
        </w:rPr>
        <w:t xml:space="preserve">se the winning bidder that the </w:t>
      </w:r>
      <w:r>
        <w:rPr>
          <w:rFonts w:cs="Arial"/>
        </w:rPr>
        <w:t xml:space="preserve">delayed winning </w:t>
      </w:r>
      <w:r w:rsidRPr="00480203">
        <w:rPr>
          <w:rFonts w:cs="Arial"/>
        </w:rPr>
        <w:t>price must be paid to the ACMA as follows</w:t>
      </w:r>
      <w:r w:rsidR="00DB438D" w:rsidRPr="00480203">
        <w:rPr>
          <w:rFonts w:cs="Arial"/>
        </w:rPr>
        <w:t>:</w:t>
      </w:r>
    </w:p>
    <w:p w14:paraId="582F079F" w14:textId="77777777" w:rsidR="008A6E2B" w:rsidRPr="00480203" w:rsidRDefault="008A6E2B" w:rsidP="00625FEF">
      <w:pPr>
        <w:pStyle w:val="ListBullet"/>
        <w:keepNext/>
        <w:rPr>
          <w:rFonts w:cs="Arial"/>
        </w:rPr>
      </w:pPr>
      <w:r w:rsidRPr="00480203">
        <w:rPr>
          <w:rFonts w:cs="Arial"/>
        </w:rPr>
        <w:t>an instalment of 46.1888</w:t>
      </w:r>
      <w:r w:rsidR="008E795F" w:rsidRPr="00480203">
        <w:rPr>
          <w:rFonts w:cs="Arial"/>
        </w:rPr>
        <w:t xml:space="preserve"> per cent </w:t>
      </w:r>
      <w:r w:rsidRPr="00480203">
        <w:rPr>
          <w:rFonts w:cs="Arial"/>
        </w:rPr>
        <w:t>of the delayed winning</w:t>
      </w:r>
      <w:r w:rsidR="008E795F" w:rsidRPr="00480203">
        <w:rPr>
          <w:rFonts w:cs="Arial"/>
        </w:rPr>
        <w:t>-</w:t>
      </w:r>
      <w:r w:rsidRPr="00480203">
        <w:rPr>
          <w:rFonts w:cs="Arial"/>
        </w:rPr>
        <w:t>bid price, less any deposit paid, must be paid no later than 31 January 2018</w:t>
      </w:r>
    </w:p>
    <w:p w14:paraId="1F444EDB" w14:textId="77777777" w:rsidR="008A6E2B" w:rsidRPr="00480203" w:rsidRDefault="008A6E2B" w:rsidP="00625FEF">
      <w:pPr>
        <w:pStyle w:val="ListBullet"/>
        <w:keepNext/>
        <w:rPr>
          <w:rFonts w:cs="Arial"/>
        </w:rPr>
      </w:pPr>
      <w:r w:rsidRPr="00480203">
        <w:rPr>
          <w:rFonts w:cs="Arial"/>
        </w:rPr>
        <w:t>an instalment of 26.9056</w:t>
      </w:r>
      <w:r w:rsidR="008E795F" w:rsidRPr="00480203">
        <w:rPr>
          <w:rFonts w:cs="Arial"/>
        </w:rPr>
        <w:t xml:space="preserve"> per cent</w:t>
      </w:r>
      <w:r w:rsidRPr="00480203">
        <w:rPr>
          <w:rFonts w:cs="Arial"/>
        </w:rPr>
        <w:t xml:space="preserve"> of the delayed winning</w:t>
      </w:r>
      <w:r w:rsidR="008E795F" w:rsidRPr="00480203">
        <w:rPr>
          <w:rFonts w:cs="Arial"/>
        </w:rPr>
        <w:t>-</w:t>
      </w:r>
      <w:r w:rsidRPr="00480203">
        <w:rPr>
          <w:rFonts w:cs="Arial"/>
        </w:rPr>
        <w:t>bid price</w:t>
      </w:r>
      <w:r w:rsidRPr="00480203">
        <w:rPr>
          <w:rStyle w:val="FootnoteReference"/>
          <w:rFonts w:cs="Arial"/>
        </w:rPr>
        <w:footnoteReference w:id="25"/>
      </w:r>
      <w:r w:rsidRPr="00480203">
        <w:rPr>
          <w:rFonts w:cs="Arial"/>
        </w:rPr>
        <w:t xml:space="preserve"> must be paid no later than 31 January 2019</w:t>
      </w:r>
    </w:p>
    <w:p w14:paraId="1A91F736" w14:textId="77777777" w:rsidR="008A6E2B" w:rsidRPr="00480203" w:rsidRDefault="008A6E2B" w:rsidP="00625FEF">
      <w:pPr>
        <w:pStyle w:val="ListBulletLast"/>
      </w:pPr>
      <w:r w:rsidRPr="00480203">
        <w:t>an instalment of the remainder of the delayed winning</w:t>
      </w:r>
      <w:r w:rsidR="008E795F" w:rsidRPr="00480203">
        <w:t>-</w:t>
      </w:r>
      <w:r w:rsidRPr="00480203">
        <w:t>bid price must be paid no later than 31 January 2020.</w:t>
      </w:r>
    </w:p>
    <w:p w14:paraId="6CC58950" w14:textId="77777777" w:rsidR="00EE4BCE" w:rsidRPr="00480203" w:rsidRDefault="00CC23F1" w:rsidP="00670F14">
      <w:r w:rsidRPr="00480203">
        <w:rPr>
          <w:rFonts w:cs="Arial"/>
        </w:rPr>
        <w:t>The delayed winning bid price is calculated by multiplying the auction winning</w:t>
      </w:r>
      <w:r w:rsidR="008E795F" w:rsidRPr="00480203">
        <w:rPr>
          <w:rFonts w:cs="Arial"/>
        </w:rPr>
        <w:t>-</w:t>
      </w:r>
      <w:r w:rsidRPr="00480203">
        <w:rPr>
          <w:rFonts w:cs="Arial"/>
        </w:rPr>
        <w:t xml:space="preserve">bid price by </w:t>
      </w:r>
      <w:r w:rsidRPr="00480203">
        <w:t>1.0393231580629</w:t>
      </w:r>
      <w:r w:rsidR="00F7299C" w:rsidRPr="00480203">
        <w:t xml:space="preserve"> (the multiple)</w:t>
      </w:r>
      <w:r w:rsidR="00310139" w:rsidRPr="00480203">
        <w:t>.</w:t>
      </w:r>
      <w:r w:rsidR="001C6869" w:rsidRPr="00480203">
        <w:t xml:space="preserve"> </w:t>
      </w:r>
    </w:p>
    <w:p w14:paraId="7131B2D4" w14:textId="77777777" w:rsidR="007041B2" w:rsidRPr="00480203" w:rsidRDefault="007041B2" w:rsidP="00480203">
      <w:pPr>
        <w:rPr>
          <w:vertAlign w:val="superscript"/>
        </w:rPr>
      </w:pPr>
      <w:r w:rsidRPr="00480203">
        <w:t>As noted in the minister’s letter to the ACMA</w:t>
      </w:r>
      <w:r w:rsidR="00480203">
        <w:t>, the m</w:t>
      </w:r>
      <w:r w:rsidRPr="00480203">
        <w:t xml:space="preserve">inister is considering directing the ACMA to allow successful bidders to pay the auction winning-bid price in a manner consistent with the payment arrangement outlined in the draft </w:t>
      </w:r>
      <w:r w:rsidR="00480203">
        <w:t>m</w:t>
      </w:r>
      <w:r w:rsidRPr="00480203">
        <w:t>inisterial direction to the ACMA on VHA's March 2016 proposal.</w:t>
      </w:r>
      <w:r w:rsidR="004F6876" w:rsidRPr="00480203">
        <w:rPr>
          <w:rStyle w:val="FootnoteReference"/>
        </w:rPr>
        <w:footnoteReference w:id="26"/>
      </w:r>
    </w:p>
    <w:p w14:paraId="1AA65718" w14:textId="77777777" w:rsidR="007041B2" w:rsidRPr="00480203" w:rsidRDefault="007041B2" w:rsidP="00480203">
      <w:r w:rsidRPr="00480203">
        <w:t>Under the VHA proposal</w:t>
      </w:r>
      <w:r w:rsidR="00480203">
        <w:t>,</w:t>
      </w:r>
      <w:r w:rsidRPr="00480203">
        <w:t xml:space="preserve"> the minimal value of the 2</w:t>
      </w:r>
      <w:r w:rsidR="00480203">
        <w:t xml:space="preserve"> </w:t>
      </w:r>
      <w:r w:rsidRPr="00480203">
        <w:t>x</w:t>
      </w:r>
      <w:r w:rsidR="00480203">
        <w:t xml:space="preserve"> </w:t>
      </w:r>
      <w:r w:rsidRPr="00480203">
        <w:t xml:space="preserve">10 MHz of spectrum and upfront payment </w:t>
      </w:r>
      <w:r w:rsidR="00480203">
        <w:t xml:space="preserve">was estimated at $571,814,450. </w:t>
      </w:r>
      <w:r w:rsidRPr="00480203">
        <w:t>If payment was to be by instalments</w:t>
      </w:r>
      <w:r w:rsidR="00480203">
        <w:t>,</w:t>
      </w:r>
      <w:r w:rsidRPr="00480203">
        <w:t xml:space="preserve"> then the price for that spectrum </w:t>
      </w:r>
      <w:r w:rsidR="00480203">
        <w:t xml:space="preserve">was $594,300,000. </w:t>
      </w:r>
      <w:r w:rsidRPr="00480203">
        <w:t xml:space="preserve">The multiple </w:t>
      </w:r>
      <w:r w:rsidR="00C62989" w:rsidRPr="00480203">
        <w:t>for</w:t>
      </w:r>
      <w:r w:rsidRPr="00480203">
        <w:t xml:space="preserve"> comparing the payment by instalment price to the upfront payment is 1.0393231580629. The multiple is being applied to the difference between the auction winning-bid price and the delayed winning-bid price.</w:t>
      </w:r>
      <w:r w:rsidR="00C62989" w:rsidRPr="00480203">
        <w:t xml:space="preserve"> The role of the multiple is described below.</w:t>
      </w:r>
    </w:p>
    <w:p w14:paraId="7A67F2BB" w14:textId="77777777" w:rsidR="007041B2" w:rsidRPr="00480203" w:rsidRDefault="007041B2" w:rsidP="00480203">
      <w:pPr>
        <w:pStyle w:val="CommentText"/>
        <w:spacing w:after="80"/>
      </w:pPr>
      <w:r w:rsidRPr="00480203">
        <w:t>The instalment percentages outlined for this allocation are the same as was proposed under the VHA proposal</w:t>
      </w:r>
      <w:r w:rsidR="00480203">
        <w:t>,</w:t>
      </w:r>
      <w:r w:rsidRPr="00480203">
        <w:t xml:space="preserve"> where the three instalments were:</w:t>
      </w:r>
    </w:p>
    <w:p w14:paraId="00D7E6ED" w14:textId="77777777" w:rsidR="007041B2" w:rsidRPr="00480203" w:rsidRDefault="007041B2" w:rsidP="00480203">
      <w:pPr>
        <w:pStyle w:val="ListBullet"/>
      </w:pPr>
      <w:r w:rsidRPr="00480203">
        <w:t>$274,500,000 (or 46.1888 per cent of the total of the instalment payments of $594,3</w:t>
      </w:r>
      <w:r w:rsidR="00480203">
        <w:t>00,000)</w:t>
      </w:r>
    </w:p>
    <w:p w14:paraId="75C2B04A" w14:textId="77777777" w:rsidR="007041B2" w:rsidRPr="00480203" w:rsidRDefault="007041B2" w:rsidP="00480203">
      <w:pPr>
        <w:pStyle w:val="ListBullet"/>
      </w:pPr>
      <w:r w:rsidRPr="00480203">
        <w:t>$159,900,000 (</w:t>
      </w:r>
      <w:r w:rsidRPr="00480203">
        <w:rPr>
          <w:rFonts w:cs="Arial"/>
        </w:rPr>
        <w:t>26.9056 per cent)</w:t>
      </w:r>
    </w:p>
    <w:p w14:paraId="48F20ECE" w14:textId="77777777" w:rsidR="007041B2" w:rsidRPr="00480203" w:rsidRDefault="007041B2" w:rsidP="00480203">
      <w:pPr>
        <w:pStyle w:val="ListBulletLast"/>
      </w:pPr>
      <w:r w:rsidRPr="00480203">
        <w:t>$159,900,000 (26.9056 per cent).</w:t>
      </w:r>
    </w:p>
    <w:p w14:paraId="092EC6E3" w14:textId="77777777" w:rsidR="006737D7" w:rsidRPr="00480203" w:rsidRDefault="00214280" w:rsidP="00214280">
      <w:r w:rsidRPr="00480203">
        <w:t>The payment arrangement means the Commonwealth does not receive the full amount of the upfront payment by 31 January 2018. To account for the value of money over time, the delayed winning bid price is higher than the auction winning-bid price</w:t>
      </w:r>
      <w:r w:rsidR="00F7299C" w:rsidRPr="00480203">
        <w:t>, hence the multiple</w:t>
      </w:r>
      <w:r w:rsidR="00480203">
        <w:t xml:space="preserve">. </w:t>
      </w:r>
      <w:r w:rsidRPr="00480203">
        <w:t>This reflects that after receiving the first instalment by 31</w:t>
      </w:r>
      <w:r w:rsidR="00480203">
        <w:t> </w:t>
      </w:r>
      <w:r w:rsidRPr="00480203">
        <w:t>January 2018, two subsequent instalments are to be paid</w:t>
      </w:r>
      <w:r w:rsidR="000B697D" w:rsidRPr="00480203">
        <w:t>, both</w:t>
      </w:r>
      <w:r w:rsidRPr="00480203">
        <w:t xml:space="preserve"> contribut</w:t>
      </w:r>
      <w:r w:rsidR="00C6148F" w:rsidRPr="00480203">
        <w:t xml:space="preserve">ing to the </w:t>
      </w:r>
      <w:r w:rsidR="00F7299C" w:rsidRPr="00480203">
        <w:t xml:space="preserve">repayment of </w:t>
      </w:r>
      <w:r w:rsidR="00C6148F" w:rsidRPr="00480203">
        <w:t>residual amount owed</w:t>
      </w:r>
      <w:r w:rsidRPr="00480203">
        <w:t xml:space="preserve"> and the time value of money at a rate of five per cent per annum at </w:t>
      </w:r>
      <w:r w:rsidR="000D63BB" w:rsidRPr="00480203">
        <w:t>each</w:t>
      </w:r>
      <w:r w:rsidRPr="00480203">
        <w:t xml:space="preserve"> instalment.</w:t>
      </w:r>
    </w:p>
    <w:p w14:paraId="6290A1F8" w14:textId="77777777" w:rsidR="00214280" w:rsidRPr="00480203" w:rsidRDefault="00214280" w:rsidP="00214280">
      <w:r w:rsidRPr="00480203">
        <w:t xml:space="preserve">Using the rate of five per cent as the basis of comparison, the </w:t>
      </w:r>
      <w:r w:rsidR="002B3D52" w:rsidRPr="00480203">
        <w:t>net present value of</w:t>
      </w:r>
      <w:r w:rsidR="00480203">
        <w:t xml:space="preserve"> the</w:t>
      </w:r>
      <w:r w:rsidR="002B3D52" w:rsidRPr="00480203">
        <w:t xml:space="preserve"> </w:t>
      </w:r>
      <w:r w:rsidRPr="00480203">
        <w:t xml:space="preserve">sum of the three instalments is approximate </w:t>
      </w:r>
      <w:r w:rsidR="000B697D" w:rsidRPr="00480203">
        <w:t xml:space="preserve">to </w:t>
      </w:r>
      <w:r w:rsidRPr="00480203">
        <w:t>the auction winning-bid price</w:t>
      </w:r>
      <w:r w:rsidR="000D63BB" w:rsidRPr="00480203">
        <w:t xml:space="preserve"> paid on 31</w:t>
      </w:r>
      <w:r w:rsidR="00480203">
        <w:t> </w:t>
      </w:r>
      <w:r w:rsidR="000D63BB" w:rsidRPr="00480203">
        <w:t>January 2018</w:t>
      </w:r>
      <w:r w:rsidRPr="00480203">
        <w:t>.</w:t>
      </w:r>
    </w:p>
    <w:p w14:paraId="61A28713" w14:textId="77777777" w:rsidR="007041B2" w:rsidRPr="00C63144" w:rsidRDefault="007041B2" w:rsidP="00C63144">
      <w:r w:rsidRPr="00C63144">
        <w:t>In a typical loan where the instalment payments are the same, the amount of the principal of the loan and the amount of interest paid varies each instalment until the principal is paid off. The same is expected to occur under the proposed payment arrangements for the second and third instalments. The two instalments are expected to be the same (subjected to some minor differences for rounding)</w:t>
      </w:r>
      <w:r w:rsidR="00C63144">
        <w:t>,</w:t>
      </w:r>
      <w:r w:rsidRPr="00C63144">
        <w:t xml:space="preserve"> but the contributions toward the residual amount owed and the time value of money will differ in each instalment.</w:t>
      </w:r>
    </w:p>
    <w:p w14:paraId="3324D7E4" w14:textId="77777777" w:rsidR="007A63F0" w:rsidRDefault="00310139" w:rsidP="00C63144">
      <w:pPr>
        <w:rPr>
          <w:szCs w:val="20"/>
        </w:rPr>
      </w:pPr>
      <w:r w:rsidRPr="00C63144">
        <w:t>The ACMA will issue the winning bidder’s</w:t>
      </w:r>
      <w:r>
        <w:t xml:space="preserve"> spectrum licence on receipt of the first instalment</w:t>
      </w:r>
      <w:r w:rsidR="0005629B">
        <w:t xml:space="preserve"> (but see below in relation </w:t>
      </w:r>
      <w:r w:rsidR="00C609F9">
        <w:t>to</w:t>
      </w:r>
      <w:r w:rsidR="0005629B">
        <w:t xml:space="preserve"> security for delayed payment)</w:t>
      </w:r>
      <w:r>
        <w:t>.</w:t>
      </w:r>
      <w:r w:rsidR="007A63F0">
        <w:rPr>
          <w:szCs w:val="20"/>
        </w:rPr>
        <w:t xml:space="preserve"> </w:t>
      </w:r>
    </w:p>
    <w:p w14:paraId="277B2690" w14:textId="77777777" w:rsidR="002834F7" w:rsidRPr="00FF287E" w:rsidRDefault="002834F7" w:rsidP="00FF287E">
      <w:pPr>
        <w:pStyle w:val="Heading3"/>
      </w:pPr>
      <w:bookmarkStart w:id="123" w:name="_Toc463862922"/>
      <w:r w:rsidRPr="00FF287E">
        <w:t xml:space="preserve">Security for </w:t>
      </w:r>
      <w:r>
        <w:t>delayed payment</w:t>
      </w:r>
      <w:bookmarkEnd w:id="123"/>
    </w:p>
    <w:p w14:paraId="3A8328E5" w14:textId="77777777" w:rsidR="00AF6141" w:rsidRDefault="00AF6141" w:rsidP="00625FEF">
      <w:pPr>
        <w:spacing w:after="80"/>
        <w:rPr>
          <w:rFonts w:cs="Arial"/>
        </w:rPr>
      </w:pPr>
      <w:r>
        <w:rPr>
          <w:rFonts w:cs="Arial"/>
        </w:rPr>
        <w:t>The ACMA considers that it is necessary to protect the interests of the Commonwealth by requiring security from any winning bidder who elects to use the delayed payment option. The ACMA intends to secure</w:t>
      </w:r>
      <w:r w:rsidRPr="00AF6141">
        <w:rPr>
          <w:rFonts w:cs="Arial"/>
        </w:rPr>
        <w:t xml:space="preserve"> the payments of the second and third instalments by making the issue of the </w:t>
      </w:r>
      <w:r>
        <w:rPr>
          <w:rFonts w:cs="Arial"/>
        </w:rPr>
        <w:t xml:space="preserve">spectrum </w:t>
      </w:r>
      <w:r w:rsidRPr="00AF6141">
        <w:rPr>
          <w:rFonts w:cs="Arial"/>
        </w:rPr>
        <w:t>licence conditional on</w:t>
      </w:r>
      <w:r>
        <w:rPr>
          <w:rFonts w:cs="Arial"/>
        </w:rPr>
        <w:t>:</w:t>
      </w:r>
    </w:p>
    <w:p w14:paraId="54C4B713" w14:textId="77777777" w:rsidR="00AF6141" w:rsidRDefault="00AF6141" w:rsidP="00AF6141">
      <w:pPr>
        <w:pStyle w:val="ListBullet"/>
        <w:rPr>
          <w:rFonts w:cs="Arial"/>
        </w:rPr>
      </w:pPr>
      <w:r w:rsidRPr="00AF6141">
        <w:rPr>
          <w:rFonts w:cs="Arial"/>
        </w:rPr>
        <w:t>payment of the first instalment</w:t>
      </w:r>
    </w:p>
    <w:p w14:paraId="19B04499" w14:textId="77777777" w:rsidR="00AF6141" w:rsidRPr="00AF6141" w:rsidRDefault="00AF6141" w:rsidP="00625FEF">
      <w:pPr>
        <w:pStyle w:val="ListBulletLast"/>
      </w:pPr>
      <w:r w:rsidRPr="00AF6141">
        <w:t xml:space="preserve">production of a bank guarantee for the full outstanding amount, with the amount secured to be reduced after each instalment. </w:t>
      </w:r>
    </w:p>
    <w:p w14:paraId="1A445C41" w14:textId="77777777" w:rsidR="007A63F0" w:rsidRPr="00605D02" w:rsidRDefault="008E795F" w:rsidP="00625FEF">
      <w:pPr>
        <w:pBdr>
          <w:top w:val="single" w:sz="4" w:space="1" w:color="auto"/>
          <w:left w:val="single" w:sz="4" w:space="4" w:color="auto"/>
          <w:bottom w:val="single" w:sz="4" w:space="1" w:color="auto"/>
          <w:right w:val="single" w:sz="4" w:space="4" w:color="auto"/>
        </w:pBdr>
        <w:shd w:val="clear" w:color="auto" w:fill="F2F2F2" w:themeFill="background1" w:themeFillShade="F2"/>
        <w:spacing w:after="120"/>
      </w:pPr>
      <w:r w:rsidRPr="00625FEF">
        <w:rPr>
          <w:b/>
          <w:caps/>
        </w:rPr>
        <w:t>Summary</w:t>
      </w:r>
      <w:r>
        <w:rPr>
          <w:b/>
        </w:rPr>
        <w:t>—</w:t>
      </w:r>
      <w:r w:rsidR="007A63F0">
        <w:rPr>
          <w:b/>
        </w:rPr>
        <w:t xml:space="preserve">700 </w:t>
      </w:r>
      <w:r w:rsidR="007A63F0" w:rsidRPr="008A6B3F">
        <w:rPr>
          <w:b/>
        </w:rPr>
        <w:t xml:space="preserve">MHz </w:t>
      </w:r>
      <w:r w:rsidR="007A63F0">
        <w:rPr>
          <w:b/>
        </w:rPr>
        <w:t>unsold lots payment terms</w:t>
      </w:r>
    </w:p>
    <w:p w14:paraId="4B93E5B5" w14:textId="77777777" w:rsidR="007A63F0" w:rsidRPr="009C5A85" w:rsidRDefault="007A63F0" w:rsidP="00625FEF">
      <w:pPr>
        <w:pBdr>
          <w:top w:val="single" w:sz="4" w:space="1" w:color="auto"/>
          <w:left w:val="single" w:sz="4" w:space="4" w:color="auto"/>
          <w:bottom w:val="single" w:sz="4" w:space="1" w:color="auto"/>
          <w:right w:val="single" w:sz="4" w:space="4" w:color="auto"/>
        </w:pBdr>
        <w:shd w:val="clear" w:color="auto" w:fill="F2F2F2" w:themeFill="background1" w:themeFillShade="F2"/>
        <w:spacing w:after="0"/>
        <w:rPr>
          <w:rFonts w:cs="Arial"/>
        </w:rPr>
      </w:pPr>
      <w:r>
        <w:rPr>
          <w:rFonts w:cs="Arial"/>
        </w:rPr>
        <w:t>The ACMA proposes to offer two payment arrangements for winning bidders of the 700 MHz band unsold lots</w:t>
      </w:r>
      <w:r w:rsidR="008E795F">
        <w:rPr>
          <w:rFonts w:cs="Arial"/>
        </w:rPr>
        <w:t>—</w:t>
      </w:r>
      <w:r>
        <w:rPr>
          <w:rFonts w:cs="Arial"/>
        </w:rPr>
        <w:t>either an upfront payment or a deferred payment.</w:t>
      </w:r>
    </w:p>
    <w:p w14:paraId="03E01E29" w14:textId="77777777" w:rsidR="00EE4BCE" w:rsidRPr="00475F61" w:rsidRDefault="00EE4BCE" w:rsidP="00625FEF">
      <w:pPr>
        <w:pStyle w:val="ACMASpaceaftertable"/>
      </w:pPr>
    </w:p>
    <w:p w14:paraId="47F1B05C" w14:textId="77777777" w:rsidR="001437C0" w:rsidRPr="001437C0" w:rsidRDefault="008E795F" w:rsidP="00625FEF">
      <w:pPr>
        <w:pBdr>
          <w:top w:val="single" w:sz="4" w:space="1" w:color="auto"/>
          <w:left w:val="single" w:sz="4" w:space="4" w:color="auto"/>
          <w:bottom w:val="single" w:sz="4" w:space="1" w:color="auto"/>
          <w:right w:val="single" w:sz="4" w:space="4" w:color="auto"/>
        </w:pBdr>
        <w:shd w:val="clear" w:color="auto" w:fill="D9D9D9" w:themeFill="background1" w:themeFillShade="D9"/>
        <w:spacing w:after="0"/>
        <w:rPr>
          <w:b/>
        </w:rPr>
      </w:pPr>
      <w:r w:rsidRPr="00625FEF">
        <w:rPr>
          <w:b/>
          <w:caps/>
        </w:rPr>
        <w:t>Issue for comment</w:t>
      </w:r>
      <w:r>
        <w:rPr>
          <w:b/>
        </w:rPr>
        <w:t xml:space="preserve"> </w:t>
      </w:r>
      <w:r w:rsidR="003A3E44">
        <w:rPr>
          <w:b/>
        </w:rPr>
        <w:t>4</w:t>
      </w:r>
      <w:r w:rsidR="00DD7360">
        <w:rPr>
          <w:b/>
        </w:rPr>
        <w:t>—</w:t>
      </w:r>
      <w:r w:rsidR="001437C0" w:rsidRPr="001437C0">
        <w:rPr>
          <w:b/>
        </w:rPr>
        <w:t>The draft allocation determination</w:t>
      </w:r>
    </w:p>
    <w:p w14:paraId="1E078C5F" w14:textId="77777777" w:rsidR="001437C0" w:rsidRPr="00670F14" w:rsidRDefault="007E799F" w:rsidP="00625FEF">
      <w:pPr>
        <w:pBdr>
          <w:top w:val="single" w:sz="4" w:space="1" w:color="auto"/>
          <w:left w:val="single" w:sz="4" w:space="4" w:color="auto"/>
          <w:bottom w:val="single" w:sz="4" w:space="1" w:color="auto"/>
          <w:right w:val="single" w:sz="4" w:space="4" w:color="auto"/>
        </w:pBdr>
        <w:shd w:val="clear" w:color="auto" w:fill="D9D9D9" w:themeFill="background1" w:themeFillShade="D9"/>
        <w:spacing w:after="0"/>
      </w:pPr>
      <w:r>
        <w:t>The ACMA seeks stakeholder views on the draft allocation determination</w:t>
      </w:r>
      <w:r w:rsidR="00B30265">
        <w:t xml:space="preserve"> </w:t>
      </w:r>
      <w:r w:rsidR="001E67C5">
        <w:t xml:space="preserve">at Attachment </w:t>
      </w:r>
      <w:r w:rsidR="009A0189">
        <w:t>C</w:t>
      </w:r>
      <w:r>
        <w:t>.</w:t>
      </w:r>
    </w:p>
    <w:p w14:paraId="22A0CEE9" w14:textId="77777777" w:rsidR="00FF3C69" w:rsidRPr="006D46E5" w:rsidRDefault="00FF3C69" w:rsidP="00FF3C69">
      <w:pPr>
        <w:pStyle w:val="Heading1"/>
      </w:pPr>
      <w:bookmarkStart w:id="124" w:name="_Toc298924672"/>
      <w:bookmarkStart w:id="125" w:name="_Toc300909555"/>
      <w:bookmarkStart w:id="126" w:name="_Toc348105636"/>
      <w:bookmarkStart w:id="127" w:name="_Toc459210827"/>
      <w:bookmarkStart w:id="128" w:name="_Toc461025822"/>
      <w:bookmarkStart w:id="129" w:name="_Toc463862923"/>
      <w:bookmarkEnd w:id="56"/>
      <w:r w:rsidRPr="006D46E5">
        <w:t>Invitation to comment</w:t>
      </w:r>
      <w:bookmarkEnd w:id="124"/>
      <w:bookmarkEnd w:id="125"/>
      <w:bookmarkEnd w:id="126"/>
      <w:bookmarkEnd w:id="127"/>
      <w:bookmarkEnd w:id="128"/>
      <w:bookmarkEnd w:id="129"/>
    </w:p>
    <w:p w14:paraId="0E2E958B" w14:textId="77777777" w:rsidR="00FF3C69" w:rsidRPr="006D46E5" w:rsidRDefault="00FF3C69" w:rsidP="00FF3C69">
      <w:pPr>
        <w:pStyle w:val="Heading2"/>
      </w:pPr>
      <w:bookmarkStart w:id="130" w:name="Invite"/>
      <w:bookmarkStart w:id="131" w:name="_Toc298924673"/>
      <w:bookmarkStart w:id="132" w:name="_Toc300909556"/>
      <w:bookmarkStart w:id="133" w:name="_Toc348105637"/>
      <w:bookmarkStart w:id="134" w:name="_Toc459210828"/>
      <w:bookmarkStart w:id="135" w:name="_Toc461025823"/>
      <w:bookmarkStart w:id="136" w:name="_Toc463862924"/>
      <w:bookmarkEnd w:id="130"/>
      <w:r w:rsidRPr="006D46E5">
        <w:t>Making a submission</w:t>
      </w:r>
      <w:bookmarkEnd w:id="131"/>
      <w:bookmarkEnd w:id="132"/>
      <w:bookmarkEnd w:id="133"/>
      <w:bookmarkEnd w:id="134"/>
      <w:bookmarkEnd w:id="135"/>
      <w:bookmarkEnd w:id="136"/>
    </w:p>
    <w:p w14:paraId="2C2BA141" w14:textId="77777777" w:rsidR="00FF3C69" w:rsidRPr="005E7226" w:rsidRDefault="005E6687" w:rsidP="00A442EF">
      <w:pPr>
        <w:spacing w:after="80"/>
      </w:pPr>
      <w:r w:rsidRPr="00DC30A3">
        <w:t xml:space="preserve">The ACMA invites comments on the </w:t>
      </w:r>
      <w:r>
        <w:t>draft allocation instruments</w:t>
      </w:r>
      <w:r w:rsidR="00AF6141">
        <w:t>, the proposals associated with early access arrangements</w:t>
      </w:r>
      <w:r>
        <w:t xml:space="preserve"> an</w:t>
      </w:r>
      <w:r w:rsidRPr="00DC30A3">
        <w:t xml:space="preserve">d any other issue raised in this paper. </w:t>
      </w:r>
      <w:r w:rsidR="00FF3C69" w:rsidRPr="005E7226">
        <w:t>Submissions should be made:</w:t>
      </w:r>
    </w:p>
    <w:p w14:paraId="20D61774" w14:textId="77777777" w:rsidR="00A442EF" w:rsidRDefault="00FF3C69" w:rsidP="00A442EF">
      <w:pPr>
        <w:pStyle w:val="ACMANormalTabbed"/>
        <w:spacing w:after="80"/>
      </w:pPr>
      <w:r w:rsidRPr="005E7226">
        <w:t>By email:</w:t>
      </w:r>
      <w:r w:rsidRPr="005E7226">
        <w:tab/>
      </w:r>
      <w:hyperlink r:id="rId33" w:history="1">
        <w:r w:rsidR="005E6687" w:rsidRPr="00DC30A3">
          <w:rPr>
            <w:color w:val="0000FF"/>
            <w:u w:val="single"/>
          </w:rPr>
          <w:t>SpectrumLicensingPolicy@acma.gov.au</w:t>
        </w:r>
      </w:hyperlink>
    </w:p>
    <w:p w14:paraId="504E72A4" w14:textId="77777777" w:rsidR="005E6687" w:rsidRDefault="005E7226" w:rsidP="005E6687">
      <w:pPr>
        <w:pStyle w:val="ACMANormalTabbed"/>
        <w:spacing w:after="0"/>
      </w:pPr>
      <w:r>
        <w:t>By mail:</w:t>
      </w:r>
      <w:r>
        <w:tab/>
      </w:r>
      <w:r w:rsidR="00FF3C69" w:rsidRPr="005E7226">
        <w:t>The Manager</w:t>
      </w:r>
      <w:r w:rsidR="006D576C">
        <w:br/>
      </w:r>
      <w:r w:rsidR="006D576C">
        <w:tab/>
      </w:r>
      <w:r w:rsidR="005E6687">
        <w:t>Spectrum Licensing Policy Section</w:t>
      </w:r>
    </w:p>
    <w:p w14:paraId="6C90CB93" w14:textId="77777777" w:rsidR="00FF3C69" w:rsidRPr="005E7226" w:rsidRDefault="005E6687" w:rsidP="005E6687">
      <w:pPr>
        <w:pStyle w:val="ACMANormalTabbed"/>
      </w:pPr>
      <w:r>
        <w:tab/>
        <w:t>Spectrum Management Policy Branch</w:t>
      </w:r>
      <w:r w:rsidR="006D576C">
        <w:br/>
      </w:r>
      <w:r w:rsidR="006D576C">
        <w:tab/>
      </w:r>
      <w:r w:rsidR="00FF3C69" w:rsidRPr="005E7226">
        <w:t>Australian Communications and Media Authority</w:t>
      </w:r>
      <w:r w:rsidR="006D576C">
        <w:br/>
      </w:r>
      <w:r w:rsidR="006D576C">
        <w:tab/>
      </w:r>
      <w:r w:rsidR="00FF3C69" w:rsidRPr="005E7226">
        <w:t>PO Box 78</w:t>
      </w:r>
      <w:r w:rsidR="006D576C">
        <w:br/>
      </w:r>
      <w:r w:rsidR="006D576C">
        <w:tab/>
      </w:r>
      <w:r w:rsidR="00FF3C69" w:rsidRPr="005E7226">
        <w:t>Belconnen ACT 2616</w:t>
      </w:r>
    </w:p>
    <w:p w14:paraId="09DEC9FB" w14:textId="48DBB0CE" w:rsidR="00FF3C69" w:rsidRPr="006D576C" w:rsidRDefault="00FF3C69" w:rsidP="005E7226">
      <w:pPr>
        <w:rPr>
          <w:rStyle w:val="Strong"/>
        </w:rPr>
      </w:pPr>
      <w:r w:rsidRPr="006D576C">
        <w:rPr>
          <w:rStyle w:val="Strong"/>
        </w:rPr>
        <w:t>The closing date f</w:t>
      </w:r>
      <w:r w:rsidR="008408FF">
        <w:rPr>
          <w:rStyle w:val="Strong"/>
        </w:rPr>
        <w:t xml:space="preserve">or submissions is </w:t>
      </w:r>
      <w:r w:rsidR="008408FF" w:rsidRPr="001D2055">
        <w:rPr>
          <w:rStyle w:val="Strong"/>
        </w:rPr>
        <w:t xml:space="preserve">COB </w:t>
      </w:r>
      <w:r w:rsidR="006C4CEE">
        <w:rPr>
          <w:rStyle w:val="Strong"/>
        </w:rPr>
        <w:t xml:space="preserve">17 </w:t>
      </w:r>
      <w:r w:rsidR="00C63144">
        <w:rPr>
          <w:rStyle w:val="Strong"/>
        </w:rPr>
        <w:t>November 2016.</w:t>
      </w:r>
    </w:p>
    <w:p w14:paraId="42F75429" w14:textId="77777777" w:rsidR="00FF3C69" w:rsidRPr="005E7226" w:rsidRDefault="00FF3C69" w:rsidP="005E7226">
      <w:r w:rsidRPr="005E7226">
        <w:t xml:space="preserve">Electronic submissions in Microsoft Word or Rich Text Format are preferred. </w:t>
      </w:r>
    </w:p>
    <w:p w14:paraId="256488A8" w14:textId="77777777" w:rsidR="00FF3C69" w:rsidRPr="005E7226" w:rsidRDefault="00FF3C69" w:rsidP="005E7226">
      <w:r w:rsidRPr="005E7226">
        <w:t xml:space="preserve">Media enquiries should be directed to Emma Rossi on 02 9334 7719 or by email to </w:t>
      </w:r>
      <w:hyperlink r:id="rId34" w:history="1">
        <w:r w:rsidRPr="00250B07">
          <w:rPr>
            <w:rStyle w:val="Hyperlink"/>
          </w:rPr>
          <w:t>media@acma.gov.au</w:t>
        </w:r>
      </w:hyperlink>
      <w:r w:rsidRPr="005E7226">
        <w:t xml:space="preserve">. Any other enquiries may be directed by email to </w:t>
      </w:r>
      <w:hyperlink r:id="rId35" w:history="1">
        <w:r w:rsidR="005E6687" w:rsidRPr="002D33A0">
          <w:rPr>
            <w:rStyle w:val="Hyperlink"/>
          </w:rPr>
          <w:t>SpectrumLicensingPolicy@acma.gov.au</w:t>
        </w:r>
      </w:hyperlink>
      <w:r w:rsidR="006D576C">
        <w:t>.</w:t>
      </w:r>
    </w:p>
    <w:p w14:paraId="1CDB4DC1" w14:textId="77777777" w:rsidR="00FF3C69" w:rsidRPr="005E7226" w:rsidRDefault="00FF3C69" w:rsidP="006D576C">
      <w:pPr>
        <w:pStyle w:val="BodySubHeader"/>
      </w:pPr>
      <w:bookmarkStart w:id="137" w:name="_Toc300909557"/>
      <w:bookmarkStart w:id="138" w:name="_Toc348105638"/>
      <w:bookmarkStart w:id="139" w:name="_Toc274296357"/>
      <w:bookmarkStart w:id="140" w:name="_Toc298924674"/>
      <w:r w:rsidRPr="005E7226">
        <w:t>Effective consultation</w:t>
      </w:r>
      <w:bookmarkEnd w:id="137"/>
      <w:bookmarkEnd w:id="138"/>
      <w:r w:rsidRPr="005E7226">
        <w:t xml:space="preserve"> </w:t>
      </w:r>
    </w:p>
    <w:p w14:paraId="2442ABD9" w14:textId="77777777" w:rsidR="00FF3C69" w:rsidRPr="005E7226" w:rsidRDefault="00FF3C69" w:rsidP="005E7226">
      <w:r w:rsidRPr="005E7226">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w:t>
      </w:r>
      <w:hyperlink r:id="rId36" w:history="1">
        <w:r w:rsidR="00F60F00" w:rsidRPr="00250B07">
          <w:rPr>
            <w:rStyle w:val="Hyperlink"/>
            <w:i/>
          </w:rPr>
          <w:t>Effective consultation—a guide to making a submission</w:t>
        </w:r>
      </w:hyperlink>
      <w:r w:rsidRPr="005E7226">
        <w:t>. This guide provides information about the ACMA’s formal written public consultation processes and practical guidance on how to make a submission.</w:t>
      </w:r>
    </w:p>
    <w:p w14:paraId="2CC7694B" w14:textId="77777777" w:rsidR="00FF3C69" w:rsidRPr="005E7226" w:rsidRDefault="00FF3C69" w:rsidP="006D576C">
      <w:pPr>
        <w:pStyle w:val="BodySubHeader"/>
      </w:pPr>
      <w:bookmarkStart w:id="141" w:name="_Toc300909558"/>
      <w:bookmarkStart w:id="142" w:name="_Toc348105639"/>
      <w:r w:rsidRPr="005E7226">
        <w:t>Publication of submissions</w:t>
      </w:r>
      <w:bookmarkEnd w:id="139"/>
      <w:bookmarkEnd w:id="140"/>
      <w:bookmarkEnd w:id="141"/>
      <w:bookmarkEnd w:id="142"/>
    </w:p>
    <w:p w14:paraId="791F2454" w14:textId="77777777" w:rsidR="00FF3C69" w:rsidRPr="005E7226" w:rsidRDefault="00FF3C69" w:rsidP="005E7226">
      <w:r w:rsidRPr="005E7226">
        <w:t>In general, the ACMA publishes all submissions it receives. The ACMA prefers to receive submissions that are not claimed to be confidential. However, the ACMA accepts that a submitter may sometimes wish to provide information in confidence. In these circumstances, submitters are asked to identify the material over which confidentiality is claimed and provide a written explanation for the claim.</w:t>
      </w:r>
    </w:p>
    <w:p w14:paraId="3AC1B2A9" w14:textId="77777777" w:rsidR="00FF3C69" w:rsidRPr="005E7226" w:rsidRDefault="00FF3C69" w:rsidP="005E7226">
      <w:r w:rsidRPr="005E7226">
        <w:t xml:space="preserve">The ACMA will consider each confidentiality claim on a case-by-case basis. If the ACMA accepts a claim, it will not publish the confidential information unless authorised or required by law to do so. </w:t>
      </w:r>
    </w:p>
    <w:p w14:paraId="33EFD8E2" w14:textId="77777777" w:rsidR="00FF3C69" w:rsidRPr="005E7226" w:rsidRDefault="00FF3C69" w:rsidP="006D576C">
      <w:pPr>
        <w:pStyle w:val="BodySubHeader"/>
      </w:pPr>
      <w:bookmarkStart w:id="143" w:name="_Toc265246234"/>
      <w:bookmarkStart w:id="144" w:name="_Toc300909559"/>
      <w:bookmarkStart w:id="145" w:name="_Toc348105640"/>
      <w:r w:rsidRPr="005E7226">
        <w:t>Release of submissions where authorised or required by law</w:t>
      </w:r>
      <w:bookmarkEnd w:id="143"/>
      <w:bookmarkEnd w:id="144"/>
      <w:bookmarkEnd w:id="145"/>
    </w:p>
    <w:p w14:paraId="136027A0" w14:textId="77777777" w:rsidR="00FF3C69" w:rsidRPr="005E7226" w:rsidRDefault="00FF3C69" w:rsidP="005E7226">
      <w:r w:rsidRPr="005E7226">
        <w:t xml:space="preserve">Any submissions provided to the ACMA may be released under the </w:t>
      </w:r>
      <w:r w:rsidRPr="006D576C">
        <w:rPr>
          <w:rStyle w:val="Emphasis"/>
        </w:rPr>
        <w:t>Freedom of Information Act 1982</w:t>
      </w:r>
      <w:r w:rsidRPr="005E7226">
        <w:t xml:space="preserve"> (unless an exemption applies) or shared with other Commonwealth Government agencies </w:t>
      </w:r>
      <w:r w:rsidR="0005629B">
        <w:t xml:space="preserve">and certain other parties </w:t>
      </w:r>
      <w:r w:rsidRPr="005E7226">
        <w:t xml:space="preserve">under Part 7A of the </w:t>
      </w:r>
      <w:r w:rsidRPr="006D576C">
        <w:rPr>
          <w:rStyle w:val="Emphasis"/>
        </w:rPr>
        <w:t>Australian Communications and Media Authority Act 2005</w:t>
      </w:r>
      <w:r w:rsidRPr="005E7226">
        <w:t xml:space="preserve">. The ACMA may also be required to release submissions for other reasons including for the purpose of parliamentary processes or where otherwise required by law (for example, under a court subpoena). While the ACMA seeks to consult submitters of confidential information before that information is provided to another party, the ACMA cannot guarantee that confidential information will not be released through these or other legal means. </w:t>
      </w:r>
    </w:p>
    <w:p w14:paraId="6ADCF093" w14:textId="77777777" w:rsidR="00A4193E" w:rsidRPr="0041233F" w:rsidRDefault="00A4193E" w:rsidP="00625FEF">
      <w:pPr>
        <w:pStyle w:val="BodySubHeader"/>
        <w:keepNext/>
      </w:pPr>
      <w:r w:rsidRPr="0041233F">
        <w:t>Privacy</w:t>
      </w:r>
    </w:p>
    <w:p w14:paraId="3906343C" w14:textId="77777777" w:rsidR="00A4193E" w:rsidRDefault="00A4193E" w:rsidP="001A44EC">
      <w:r w:rsidRPr="0041233F">
        <w:t xml:space="preserve">The </w:t>
      </w:r>
      <w:hyperlink r:id="rId37" w:history="1">
        <w:r w:rsidRPr="00E7431C">
          <w:rPr>
            <w:rStyle w:val="Hyperlink"/>
            <w:rFonts w:cs="Arial"/>
            <w:i/>
            <w:szCs w:val="20"/>
          </w:rPr>
          <w:t>Privacy Act 1988</w:t>
        </w:r>
      </w:hyperlink>
      <w:r w:rsidRPr="0041233F">
        <w:t xml:space="preserve"> imposes obligations on the ACMA in relation to the collection, security, quality, access, use and disclosure of personal information. These obligations are detailed in the </w:t>
      </w:r>
      <w:hyperlink r:id="rId38" w:history="1">
        <w:r w:rsidRPr="004B31A4">
          <w:rPr>
            <w:rStyle w:val="Hyperlink"/>
            <w:rFonts w:cs="Arial"/>
            <w:i/>
            <w:szCs w:val="20"/>
          </w:rPr>
          <w:t>Australian Privacy Principles</w:t>
        </w:r>
      </w:hyperlink>
      <w:r w:rsidRPr="0041233F">
        <w:t>.</w:t>
      </w:r>
    </w:p>
    <w:p w14:paraId="3E0EACF3" w14:textId="77777777" w:rsidR="00A4193E" w:rsidRPr="001A44EC" w:rsidRDefault="00A4193E" w:rsidP="001A44EC">
      <w:r w:rsidRPr="001A44EC">
        <w:t xml:space="preserve">The ACMA may only collect personal information if it is reasonably necessary for, or directly related to, one or more of its functions or activities. </w:t>
      </w:r>
    </w:p>
    <w:p w14:paraId="540DC73C" w14:textId="77777777" w:rsidR="00A4193E" w:rsidRPr="001A44EC" w:rsidRDefault="00A4193E" w:rsidP="00E302D0">
      <w:pPr>
        <w:spacing w:after="80"/>
      </w:pPr>
      <w:r w:rsidRPr="001A44EC">
        <w:t>The purposes for which personal information is being collected (such as the names and contact details of submitters) are to:</w:t>
      </w:r>
    </w:p>
    <w:p w14:paraId="2FA12449" w14:textId="77777777" w:rsidR="00A4193E" w:rsidRPr="005808C5" w:rsidRDefault="00A4193E" w:rsidP="00A4193E">
      <w:pPr>
        <w:pStyle w:val="ListBullet"/>
      </w:pPr>
      <w:r w:rsidRPr="005808C5">
        <w:t xml:space="preserve">contribute to the transparency of the consultation process by clarifying, where appropriate, whose views are represented by a submission </w:t>
      </w:r>
    </w:p>
    <w:p w14:paraId="53F9D60A" w14:textId="77777777" w:rsidR="00A4193E" w:rsidRDefault="00A4193E" w:rsidP="001A44EC">
      <w:pPr>
        <w:pStyle w:val="ListBulletLast"/>
      </w:pPr>
      <w:r>
        <w:t>enable</w:t>
      </w:r>
      <w:r w:rsidRPr="0041233F">
        <w:t xml:space="preserve"> the ACMA to contact submitters where follow</w:t>
      </w:r>
      <w:r>
        <w:t>-</w:t>
      </w:r>
      <w:r w:rsidRPr="0041233F">
        <w:t>up is required</w:t>
      </w:r>
      <w:r>
        <w:t xml:space="preserve"> </w:t>
      </w:r>
      <w:r w:rsidRPr="005808C5">
        <w:t>or to notify them of related matters (except where submitters indicate they do not wish to be notified of such matters).</w:t>
      </w:r>
    </w:p>
    <w:p w14:paraId="32952F73" w14:textId="77777777" w:rsidR="00A4193E" w:rsidRDefault="00A4193E" w:rsidP="00A4193E">
      <w:r w:rsidRPr="005808C5">
        <w:t>The ACMA will not use the personal information collected for any other purpose, unless the submitter has provided their consent or the ACMA is otherwise permitted to do so under the Privacy Act.</w:t>
      </w:r>
      <w:r w:rsidRPr="00977564">
        <w:t xml:space="preserve"> </w:t>
      </w:r>
    </w:p>
    <w:p w14:paraId="204A253F" w14:textId="77777777" w:rsidR="00A4193E" w:rsidRPr="005808C5" w:rsidRDefault="00A4193E" w:rsidP="001A44EC">
      <w:r w:rsidRPr="0041233F">
        <w:t xml:space="preserve">Submissions in response to this paper are voluntary. </w:t>
      </w:r>
      <w:r>
        <w:t xml:space="preserve">As mentioned above, </w:t>
      </w:r>
      <w:r w:rsidRPr="0041233F">
        <w:t xml:space="preserve">the ACMA generally publishes </w:t>
      </w:r>
      <w:r>
        <w:t xml:space="preserve">all </w:t>
      </w:r>
      <w:r w:rsidRPr="0041233F">
        <w:t>submissions</w:t>
      </w:r>
      <w:r>
        <w:t xml:space="preserve"> </w:t>
      </w:r>
      <w:r w:rsidRPr="005808C5">
        <w:t>it</w:t>
      </w:r>
      <w:r w:rsidRPr="0041233F">
        <w:t xml:space="preserve"> receive</w:t>
      </w:r>
      <w:r w:rsidRPr="005808C5">
        <w:t>s</w:t>
      </w:r>
      <w:r>
        <w:t xml:space="preserve">, </w:t>
      </w:r>
      <w:r w:rsidRPr="00FB2D58">
        <w:t>including any personal information in the submissions. If a submitter has made a con</w:t>
      </w:r>
      <w:r w:rsidRPr="005808C5">
        <w:t xml:space="preserve">fidentiality claim over personal </w:t>
      </w:r>
      <w:r w:rsidRPr="001A44EC">
        <w:t>information</w:t>
      </w:r>
      <w:r w:rsidRPr="005808C5">
        <w:t xml:space="preserve"> which the ACMA has accepted, the submission will be published without</w:t>
      </w:r>
      <w:r>
        <w:t xml:space="preserve"> that information</w:t>
      </w:r>
      <w:r w:rsidRPr="005808C5">
        <w:t>.</w:t>
      </w:r>
      <w:r>
        <w:t xml:space="preserve"> </w:t>
      </w:r>
      <w:r w:rsidRPr="005808C5">
        <w:t>The ACMA will not release th</w:t>
      </w:r>
      <w:r>
        <w:t>e</w:t>
      </w:r>
      <w:r w:rsidRPr="005808C5">
        <w:t xml:space="preserve"> </w:t>
      </w:r>
      <w:r>
        <w:t xml:space="preserve">personal </w:t>
      </w:r>
      <w:r w:rsidRPr="005808C5">
        <w:t xml:space="preserve">information unless authorised or required by law to do so. </w:t>
      </w:r>
    </w:p>
    <w:p w14:paraId="5783ACE4" w14:textId="77777777" w:rsidR="00A4193E" w:rsidRPr="00F97DD3" w:rsidRDefault="00A4193E" w:rsidP="001A44EC">
      <w:r>
        <w:t>I</w:t>
      </w:r>
      <w:r w:rsidRPr="005808C5">
        <w:t xml:space="preserve">f a submitter wishes to make a submission anonymously or use a pseudonym, they </w:t>
      </w:r>
      <w:r>
        <w:t>are asked</w:t>
      </w:r>
      <w:r w:rsidRPr="005808C5">
        <w:t xml:space="preserve"> to contact the ACMA to see whether it is practicable to do so in light of the subject matter of the </w:t>
      </w:r>
      <w:r w:rsidRPr="001A44EC">
        <w:t>consultation</w:t>
      </w:r>
      <w:r>
        <w:t>. If it is practicable, the ACMA will notify the submitter of any procedures that need to be followed and whether there are any other consequences of making a submission in that way</w:t>
      </w:r>
      <w:r w:rsidRPr="005808C5">
        <w:t>.</w:t>
      </w:r>
      <w:r w:rsidR="00537604" w:rsidRPr="00537604">
        <w:t xml:space="preserve"> </w:t>
      </w:r>
    </w:p>
    <w:p w14:paraId="718C79D9" w14:textId="77777777" w:rsidR="0027384F" w:rsidRPr="0027384F" w:rsidRDefault="00A4193E" w:rsidP="0027384F">
      <w:r w:rsidRPr="005F7354">
        <w:t xml:space="preserve">Further information on the Privacy Act and the ACMA’s privacy policy is available at </w:t>
      </w:r>
      <w:hyperlink r:id="rId39" w:tooltip="ACMA Privacy Policy" w:history="1">
        <w:r w:rsidR="00442299">
          <w:rPr>
            <w:rStyle w:val="Hyperlink"/>
          </w:rPr>
          <w:t>www.acma.gov.au/privacypolicy</w:t>
        </w:r>
      </w:hyperlink>
      <w:r w:rsidRPr="005F7354">
        <w:t xml:space="preserve">. The privacy policy contains details about how an individual may access personal information about them that is held by the ACMA, and seek the correction of such information. It also </w:t>
      </w:r>
      <w:r w:rsidRPr="001A44EC">
        <w:t>explains</w:t>
      </w:r>
      <w:r w:rsidRPr="005F7354">
        <w:t xml:space="preserve"> how an individual may complain about a breach of the Privacy Act and how the ACMA will deal with such a complaint.</w:t>
      </w:r>
      <w:r>
        <w:t xml:space="preserve"> </w:t>
      </w:r>
    </w:p>
    <w:sectPr w:rsidR="0027384F" w:rsidRPr="0027384F" w:rsidSect="003A5F60">
      <w:headerReference w:type="even" r:id="rId40"/>
      <w:headerReference w:type="default" r:id="rId41"/>
      <w:footerReference w:type="even" r:id="rId42"/>
      <w:footerReference w:type="default" r:id="rId43"/>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EB7356" w14:textId="77777777" w:rsidR="00201B0E" w:rsidRDefault="00201B0E">
      <w:r>
        <w:separator/>
      </w:r>
    </w:p>
  </w:endnote>
  <w:endnote w:type="continuationSeparator" w:id="0">
    <w:p w14:paraId="4CB016B3" w14:textId="77777777" w:rsidR="00201B0E" w:rsidRDefault="00201B0E">
      <w:r>
        <w:continuationSeparator/>
      </w:r>
    </w:p>
  </w:endnote>
  <w:endnote w:type="continuationNotice" w:id="1">
    <w:p w14:paraId="7A6891CB" w14:textId="77777777" w:rsidR="00201B0E" w:rsidRDefault="00201B0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altName w:val="Malgun Gothic"/>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rinda">
    <w:panose1 w:val="00000400000000000000"/>
    <w:charset w:val="00"/>
    <w:family w:val="swiss"/>
    <w:pitch w:val="variable"/>
    <w:sig w:usb0="0001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BEE545" w14:textId="77777777" w:rsidR="006C4CEE" w:rsidRPr="00A5474E" w:rsidRDefault="006C4CEE" w:rsidP="00A5474E">
    <w:pPr>
      <w:pStyle w:val="Footer"/>
    </w:pPr>
    <w:r>
      <w:rPr>
        <w:noProof/>
      </w:rPr>
      <w:drawing>
        <wp:inline distT="0" distB="0" distL="0" distR="0" wp14:anchorId="433B81FC" wp14:editId="5CF68BB1">
          <wp:extent cx="3483864" cy="249613"/>
          <wp:effectExtent l="0" t="0" r="0" b="0"/>
          <wp:docPr id="7" name="Picture 7"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EE9878" w14:textId="77777777" w:rsidR="006C4CEE" w:rsidRDefault="006C4CE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D90268" w14:textId="77777777" w:rsidR="006C4CEE" w:rsidRDefault="006C4CE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2972C3" w14:textId="77777777" w:rsidR="006C4CEE" w:rsidRPr="00A5474E" w:rsidRDefault="006C4CEE"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752599" w14:textId="77777777" w:rsidR="006C4CEE" w:rsidRPr="00A5474E" w:rsidRDefault="006C4CEE"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E68281" w14:textId="77777777" w:rsidR="006C4CEE" w:rsidRPr="00622A3B" w:rsidRDefault="006C4CEE"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744B8">
      <w:rPr>
        <w:noProof/>
        <w:color w:val="505050"/>
      </w:rPr>
      <w:t>iii</w:t>
    </w:r>
    <w:r w:rsidRPr="002E4DDC">
      <w:rPr>
        <w:color w:val="505050"/>
      </w:rPr>
      <w:fldChar w:fldCharType="end"/>
    </w:r>
  </w:p>
  <w:p w14:paraId="5F293F44" w14:textId="77777777" w:rsidR="006C4CEE" w:rsidRPr="00A5474E" w:rsidRDefault="006C4CEE"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9B8152" w14:textId="77777777" w:rsidR="006C4CEE" w:rsidRPr="00622A3B" w:rsidRDefault="006C4CEE"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0744B8">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3BCF1F1" w14:textId="77777777" w:rsidR="006C4CEE" w:rsidRPr="00A5474E" w:rsidRDefault="006C4CEE" w:rsidP="00A5474E">
    <w:pPr>
      <w:pStyle w:val="Footer"/>
    </w:pPr>
  </w:p>
  <w:p w14:paraId="629A8B82" w14:textId="77777777" w:rsidR="006C4CEE" w:rsidRDefault="006C4CEE"/>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A19F00" w14:textId="77777777" w:rsidR="006C4CEE" w:rsidRPr="00622A3B" w:rsidRDefault="006C4CEE"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0744B8">
      <w:rPr>
        <w:noProof/>
        <w:color w:val="505050"/>
      </w:rPr>
      <w:t>5</w:t>
    </w:r>
    <w:r w:rsidRPr="00575AC5">
      <w:rPr>
        <w:color w:val="505050"/>
      </w:rPr>
      <w:fldChar w:fldCharType="end"/>
    </w:r>
  </w:p>
  <w:p w14:paraId="025DB4D2" w14:textId="77777777" w:rsidR="006C4CEE" w:rsidRDefault="006C4CE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E112E86" w14:textId="77777777" w:rsidR="00201B0E" w:rsidRDefault="00201B0E">
      <w:r>
        <w:separator/>
      </w:r>
    </w:p>
  </w:footnote>
  <w:footnote w:type="continuationSeparator" w:id="0">
    <w:p w14:paraId="04A50217" w14:textId="77777777" w:rsidR="00201B0E" w:rsidRDefault="00201B0E">
      <w:r>
        <w:continuationSeparator/>
      </w:r>
    </w:p>
  </w:footnote>
  <w:footnote w:type="continuationNotice" w:id="1">
    <w:p w14:paraId="49D33419" w14:textId="77777777" w:rsidR="00201B0E" w:rsidRDefault="00201B0E">
      <w:pPr>
        <w:spacing w:after="0" w:line="240" w:lineRule="auto"/>
      </w:pPr>
    </w:p>
  </w:footnote>
  <w:footnote w:id="2">
    <w:p w14:paraId="7959FBC2" w14:textId="77777777" w:rsidR="006C4CEE" w:rsidRDefault="006C4CEE" w:rsidP="00401F87">
      <w:pPr>
        <w:pStyle w:val="FootnoteText"/>
        <w:spacing w:after="0"/>
      </w:pPr>
      <w:r w:rsidRPr="00D4535F">
        <w:rPr>
          <w:rStyle w:val="FootnoteReference"/>
        </w:rPr>
        <w:footnoteRef/>
      </w:r>
      <w:r w:rsidRPr="00D4535F">
        <w:t xml:space="preserve"> </w:t>
      </w:r>
      <w:r>
        <w:t>Available on the ACMA website</w:t>
      </w:r>
      <w:r w:rsidRPr="00D4535F">
        <w:t xml:space="preserve">. </w:t>
      </w:r>
    </w:p>
  </w:footnote>
  <w:footnote w:id="3">
    <w:p w14:paraId="0C1C485A" w14:textId="51105574" w:rsidR="006C4CEE" w:rsidRDefault="006C4CEE" w:rsidP="006F7B27">
      <w:pPr>
        <w:pStyle w:val="FootnoteText"/>
        <w:spacing w:after="0"/>
      </w:pPr>
      <w:r>
        <w:rPr>
          <w:rStyle w:val="FootnoteReference"/>
        </w:rPr>
        <w:footnoteRef/>
      </w:r>
      <w:r>
        <w:t xml:space="preserve"> Information about </w:t>
      </w:r>
      <w:hyperlink r:id="rId1" w:history="1">
        <w:r w:rsidRPr="00D87A6F">
          <w:rPr>
            <w:rStyle w:val="Hyperlink"/>
          </w:rPr>
          <w:t>early consultation processes on the 700 MHz band</w:t>
        </w:r>
      </w:hyperlink>
      <w:r>
        <w:t xml:space="preserve"> is available on the ACMA website. </w:t>
      </w:r>
    </w:p>
  </w:footnote>
  <w:footnote w:id="4">
    <w:p w14:paraId="34105660" w14:textId="088FA64E" w:rsidR="006C4CEE" w:rsidRDefault="006C4CEE" w:rsidP="006F7B27">
      <w:pPr>
        <w:pStyle w:val="FootnoteText"/>
        <w:spacing w:after="0"/>
      </w:pPr>
      <w:r>
        <w:rPr>
          <w:rStyle w:val="FootnoteReference"/>
        </w:rPr>
        <w:footnoteRef/>
      </w:r>
      <w:r>
        <w:t xml:space="preserve"> View </w:t>
      </w:r>
      <w:hyperlink r:id="rId2" w:history="1">
        <w:r w:rsidRPr="00D87A6F">
          <w:rPr>
            <w:rStyle w:val="Hyperlink"/>
          </w:rPr>
          <w:t>results of the auction</w:t>
        </w:r>
      </w:hyperlink>
      <w:r>
        <w:t>.</w:t>
      </w:r>
    </w:p>
  </w:footnote>
  <w:footnote w:id="5">
    <w:p w14:paraId="71CE64C2" w14:textId="77777777" w:rsidR="006C4CEE" w:rsidRDefault="006C4CEE" w:rsidP="006F7B27">
      <w:pPr>
        <w:pStyle w:val="FootnoteText"/>
        <w:spacing w:after="0"/>
      </w:pPr>
      <w:r>
        <w:rPr>
          <w:rStyle w:val="FootnoteReference"/>
        </w:rPr>
        <w:footnoteRef/>
      </w:r>
      <w:r>
        <w:t xml:space="preserve"> </w:t>
      </w:r>
      <w:hyperlink r:id="rId3" w:history="1">
        <w:r w:rsidRPr="00684568">
          <w:rPr>
            <w:rStyle w:val="Hyperlink"/>
          </w:rPr>
          <w:t>View the instrument</w:t>
        </w:r>
      </w:hyperlink>
      <w:r>
        <w:t xml:space="preserve">. </w:t>
      </w:r>
    </w:p>
  </w:footnote>
  <w:footnote w:id="6">
    <w:p w14:paraId="15FC560C" w14:textId="77777777" w:rsidR="006C4CEE" w:rsidRPr="003A7F87" w:rsidRDefault="006C4CEE" w:rsidP="004F349F">
      <w:pPr>
        <w:pStyle w:val="FootnoteText"/>
        <w:spacing w:after="0"/>
        <w:rPr>
          <w:rFonts w:cs="Arial"/>
        </w:rPr>
      </w:pPr>
      <w:r w:rsidRPr="003A7F87">
        <w:rPr>
          <w:rStyle w:val="FootnoteReference"/>
          <w:rFonts w:cs="Arial"/>
        </w:rPr>
        <w:footnoteRef/>
      </w:r>
      <w:r w:rsidRPr="003A7F87">
        <w:rPr>
          <w:rFonts w:cs="Arial"/>
        </w:rPr>
        <w:t xml:space="preserve"> Subsection 39A</w:t>
      </w:r>
      <w:r>
        <w:rPr>
          <w:rFonts w:cs="Arial"/>
        </w:rPr>
        <w:t xml:space="preserve"> of the Act.</w:t>
      </w:r>
    </w:p>
  </w:footnote>
  <w:footnote w:id="7">
    <w:p w14:paraId="0C7DCFAC" w14:textId="77777777" w:rsidR="006C4CEE" w:rsidRPr="003A7F87" w:rsidRDefault="006C4CEE" w:rsidP="00F5015A">
      <w:pPr>
        <w:pStyle w:val="FootnoteText"/>
        <w:spacing w:after="0"/>
        <w:rPr>
          <w:rFonts w:cs="Arial"/>
        </w:rPr>
      </w:pPr>
      <w:r w:rsidRPr="003A7F87">
        <w:rPr>
          <w:rStyle w:val="FootnoteReference"/>
          <w:rFonts w:cs="Arial"/>
        </w:rPr>
        <w:footnoteRef/>
      </w:r>
      <w:r w:rsidRPr="003A7F87">
        <w:rPr>
          <w:rFonts w:cs="Arial"/>
        </w:rPr>
        <w:t xml:space="preserve"> Subsection 60(2)</w:t>
      </w:r>
      <w:r>
        <w:rPr>
          <w:rFonts w:cs="Arial"/>
        </w:rPr>
        <w:t xml:space="preserve"> of the Act.</w:t>
      </w:r>
    </w:p>
  </w:footnote>
  <w:footnote w:id="8">
    <w:p w14:paraId="5194ADA2" w14:textId="77777777" w:rsidR="006C4CEE" w:rsidRPr="003A7F87" w:rsidRDefault="006C4CEE" w:rsidP="00F5015A">
      <w:pPr>
        <w:pStyle w:val="FootnoteText"/>
        <w:spacing w:after="0"/>
        <w:rPr>
          <w:rFonts w:cs="Arial"/>
        </w:rPr>
      </w:pPr>
      <w:r w:rsidRPr="003A7F87">
        <w:rPr>
          <w:rStyle w:val="FootnoteReference"/>
          <w:rFonts w:cs="Arial"/>
        </w:rPr>
        <w:footnoteRef/>
      </w:r>
      <w:r w:rsidRPr="003A7F87">
        <w:rPr>
          <w:rFonts w:cs="Arial"/>
        </w:rPr>
        <w:t xml:space="preserve"> Subsection 60(5)</w:t>
      </w:r>
      <w:r>
        <w:rPr>
          <w:rFonts w:cs="Arial"/>
        </w:rPr>
        <w:t xml:space="preserve"> of the Act.</w:t>
      </w:r>
    </w:p>
  </w:footnote>
  <w:footnote w:id="9">
    <w:p w14:paraId="4FD609E0" w14:textId="77777777" w:rsidR="006C4CEE" w:rsidRPr="003A7F87" w:rsidRDefault="006C4CEE" w:rsidP="00F5015A">
      <w:pPr>
        <w:pStyle w:val="FootnoteText"/>
        <w:spacing w:after="0"/>
        <w:rPr>
          <w:rFonts w:cs="Arial"/>
        </w:rPr>
      </w:pPr>
      <w:r w:rsidRPr="003A7F87">
        <w:rPr>
          <w:rStyle w:val="FootnoteReference"/>
          <w:rFonts w:cs="Arial"/>
        </w:rPr>
        <w:footnoteRef/>
      </w:r>
      <w:r w:rsidRPr="003A7F87">
        <w:rPr>
          <w:rFonts w:cs="Arial"/>
        </w:rPr>
        <w:t xml:space="preserve"> Subsection 60(9)</w:t>
      </w:r>
      <w:r>
        <w:rPr>
          <w:rFonts w:cs="Arial"/>
        </w:rPr>
        <w:t xml:space="preserve"> of the Act.</w:t>
      </w:r>
    </w:p>
  </w:footnote>
  <w:footnote w:id="10">
    <w:p w14:paraId="6145B109" w14:textId="77777777" w:rsidR="006C4CEE" w:rsidRDefault="006C4CEE" w:rsidP="008E0AAB">
      <w:pPr>
        <w:pStyle w:val="FootnoteText"/>
        <w:spacing w:after="0"/>
      </w:pPr>
      <w:r>
        <w:rPr>
          <w:rStyle w:val="FootnoteReference"/>
        </w:rPr>
        <w:footnoteRef/>
      </w:r>
      <w:r>
        <w:t xml:space="preserve"> View the </w:t>
      </w:r>
      <w:hyperlink r:id="rId4" w:history="1">
        <w:r w:rsidRPr="001B4D7E">
          <w:rPr>
            <w:rStyle w:val="Hyperlink"/>
          </w:rPr>
          <w:t>instrument</w:t>
        </w:r>
      </w:hyperlink>
      <w:r>
        <w:t xml:space="preserve">. </w:t>
      </w:r>
    </w:p>
  </w:footnote>
  <w:footnote w:id="11">
    <w:p w14:paraId="49A59E3B" w14:textId="77777777" w:rsidR="006C4CEE" w:rsidRDefault="006C4CEE" w:rsidP="0014198F">
      <w:pPr>
        <w:pStyle w:val="FootnoteText"/>
        <w:spacing w:after="0"/>
      </w:pPr>
      <w:r>
        <w:rPr>
          <w:rStyle w:val="FootnoteReference"/>
        </w:rPr>
        <w:footnoteRef/>
      </w:r>
      <w:r>
        <w:t xml:space="preserve"> </w:t>
      </w:r>
      <w:r w:rsidRPr="00D0455B">
        <w:t>Refer to the letter from the minister</w:t>
      </w:r>
      <w:r>
        <w:t>, available on the ACMA website</w:t>
      </w:r>
      <w:r w:rsidRPr="00D0455B">
        <w:t>.</w:t>
      </w:r>
      <w:r>
        <w:t xml:space="preserve"> </w:t>
      </w:r>
    </w:p>
  </w:footnote>
  <w:footnote w:id="12">
    <w:p w14:paraId="71B40FDA" w14:textId="77777777" w:rsidR="006C4CEE" w:rsidRDefault="006C4CEE" w:rsidP="0014198F">
      <w:pPr>
        <w:pStyle w:val="FootnoteText"/>
        <w:spacing w:after="0"/>
      </w:pPr>
      <w:r>
        <w:rPr>
          <w:rStyle w:val="FootnoteReference"/>
        </w:rPr>
        <w:footnoteRef/>
      </w:r>
      <w:r>
        <w:t xml:space="preserve"> If the limits direction is varied or revoked, the ACMA may have to vary the draft allocation determination or make consequential amendments to the allocation determination.</w:t>
      </w:r>
    </w:p>
  </w:footnote>
  <w:footnote w:id="13">
    <w:p w14:paraId="23D116E8" w14:textId="77777777" w:rsidR="006C4CEE" w:rsidRDefault="006C4CEE" w:rsidP="00607CC4">
      <w:pPr>
        <w:pStyle w:val="FootnoteText"/>
        <w:spacing w:after="0"/>
      </w:pPr>
      <w:r>
        <w:rPr>
          <w:rStyle w:val="FootnoteReference"/>
        </w:rPr>
        <w:footnoteRef/>
      </w:r>
      <w:r>
        <w:t xml:space="preserve"> Section 69</w:t>
      </w:r>
      <w:r w:rsidR="00823B0A">
        <w:t xml:space="preserve"> of the Act</w:t>
      </w:r>
      <w:r>
        <w:t>.</w:t>
      </w:r>
    </w:p>
  </w:footnote>
  <w:footnote w:id="14">
    <w:p w14:paraId="27688DBC" w14:textId="77777777" w:rsidR="006C4CEE" w:rsidRDefault="006C4CEE" w:rsidP="001F37E1">
      <w:pPr>
        <w:pStyle w:val="FootnoteText"/>
        <w:spacing w:after="0"/>
      </w:pPr>
      <w:r>
        <w:rPr>
          <w:rStyle w:val="FootnoteReference"/>
        </w:rPr>
        <w:footnoteRef/>
      </w:r>
      <w:r>
        <w:t xml:space="preserve"> View the </w:t>
      </w:r>
      <w:hyperlink r:id="rId5" w:history="1">
        <w:r w:rsidRPr="00DC141C">
          <w:rPr>
            <w:rStyle w:val="Hyperlink"/>
          </w:rPr>
          <w:t>determination</w:t>
        </w:r>
      </w:hyperlink>
      <w:r>
        <w:t xml:space="preserve">. </w:t>
      </w:r>
    </w:p>
  </w:footnote>
  <w:footnote w:id="15">
    <w:p w14:paraId="71123BC3" w14:textId="77777777" w:rsidR="006C4CEE" w:rsidRDefault="006C4CEE" w:rsidP="001F37E1">
      <w:pPr>
        <w:pStyle w:val="FootnoteText"/>
        <w:spacing w:after="0"/>
      </w:pPr>
      <w:r>
        <w:rPr>
          <w:rStyle w:val="FootnoteReference"/>
        </w:rPr>
        <w:footnoteRef/>
      </w:r>
      <w:r>
        <w:t xml:space="preserve"> View the </w:t>
      </w:r>
      <w:hyperlink r:id="rId6" w:history="1">
        <w:r w:rsidRPr="00DC141C">
          <w:rPr>
            <w:rStyle w:val="Hyperlink"/>
          </w:rPr>
          <w:t>advisory guideline</w:t>
        </w:r>
      </w:hyperlink>
      <w:r>
        <w:rPr>
          <w:rStyle w:val="Hyperlink"/>
        </w:rPr>
        <w:t>s</w:t>
      </w:r>
      <w:r>
        <w:t xml:space="preserve">. </w:t>
      </w:r>
    </w:p>
  </w:footnote>
  <w:footnote w:id="16">
    <w:p w14:paraId="638B9934" w14:textId="77777777" w:rsidR="006C4CEE" w:rsidRDefault="006C4CEE" w:rsidP="001F37E1">
      <w:pPr>
        <w:pStyle w:val="FootnoteText"/>
        <w:spacing w:after="0"/>
      </w:pPr>
      <w:r>
        <w:rPr>
          <w:rStyle w:val="FootnoteReference"/>
        </w:rPr>
        <w:footnoteRef/>
      </w:r>
      <w:r>
        <w:t xml:space="preserve"> View the </w:t>
      </w:r>
      <w:hyperlink r:id="rId7" w:history="1">
        <w:r w:rsidRPr="00DC141C">
          <w:rPr>
            <w:rStyle w:val="Hyperlink"/>
          </w:rPr>
          <w:t>advisory guideline</w:t>
        </w:r>
      </w:hyperlink>
      <w:r>
        <w:rPr>
          <w:rStyle w:val="Hyperlink"/>
        </w:rPr>
        <w:t>s</w:t>
      </w:r>
      <w:r>
        <w:t xml:space="preserve">. </w:t>
      </w:r>
    </w:p>
  </w:footnote>
  <w:footnote w:id="17">
    <w:p w14:paraId="7D815959" w14:textId="77777777" w:rsidR="006C4CEE" w:rsidRPr="00FE5177" w:rsidRDefault="006C4CEE" w:rsidP="00B20732">
      <w:pPr>
        <w:pStyle w:val="FootnoteText"/>
        <w:spacing w:after="0"/>
        <w:rPr>
          <w:rFonts w:cs="Arial"/>
        </w:rPr>
      </w:pPr>
      <w:r w:rsidRPr="00FE5177">
        <w:rPr>
          <w:rStyle w:val="FootnoteReference"/>
          <w:rFonts w:cs="Arial"/>
        </w:rPr>
        <w:footnoteRef/>
      </w:r>
      <w:r w:rsidRPr="00FE5177">
        <w:rPr>
          <w:rFonts w:cs="Arial"/>
        </w:rPr>
        <w:t xml:space="preserve"> See section 153P of the Act.</w:t>
      </w:r>
      <w:r>
        <w:rPr>
          <w:rFonts w:cs="Arial"/>
        </w:rPr>
        <w:t xml:space="preserve"> Paragraph 153P(3)(d) allows the ACMA to consider, on a case-by-case basis, whether there are special circumstances that justify the issuing of an apparatus licence notwithstanding the general prohibition under subsection 153P(2).</w:t>
      </w:r>
    </w:p>
  </w:footnote>
  <w:footnote w:id="18">
    <w:p w14:paraId="664D9607" w14:textId="77777777" w:rsidR="006C4CEE" w:rsidRPr="0063655D" w:rsidRDefault="006C4CEE" w:rsidP="00625FEF">
      <w:pPr>
        <w:pStyle w:val="FootnoteText"/>
        <w:spacing w:after="0"/>
        <w:rPr>
          <w:rFonts w:cs="Arial"/>
        </w:rPr>
      </w:pPr>
      <w:r>
        <w:rPr>
          <w:rStyle w:val="FootnoteReference"/>
        </w:rPr>
        <w:footnoteRef/>
      </w:r>
      <w:r>
        <w:t xml:space="preserve"> </w:t>
      </w:r>
      <w:r w:rsidRPr="0063655D">
        <w:rPr>
          <w:rFonts w:cs="Arial"/>
        </w:rPr>
        <w:t xml:space="preserve">The proposed amendment to Part 7A of Schedule 2 to </w:t>
      </w:r>
      <w:r w:rsidRPr="00D0455B">
        <w:rPr>
          <w:rFonts w:cs="Arial"/>
        </w:rPr>
        <w:t>the Tax Determination will incorporate references to, and the definition of, the 700 MHz band (i.e. the frequency range 788–803 MHz) in</w:t>
      </w:r>
      <w:r w:rsidRPr="0063655D">
        <w:rPr>
          <w:rFonts w:cs="Arial"/>
        </w:rPr>
        <w:t xml:space="preserve"> items 701A, 702A and 703A and in item 704A insert the base rate at $0.07 for each paired MHz of spectrum in which the licence authorises operation, multiplied by the total population of the </w:t>
      </w:r>
      <w:r w:rsidRPr="0063655D">
        <w:rPr>
          <w:rFonts w:cs="Arial"/>
          <w:bCs/>
        </w:rPr>
        <w:t>HCIS</w:t>
      </w:r>
      <w:r w:rsidRPr="0063655D">
        <w:rPr>
          <w:rFonts w:cs="Arial"/>
        </w:rPr>
        <w:t xml:space="preserve"> area, which is defined as the sum of the population of each Australian Spectrum Map Grid (</w:t>
      </w:r>
      <w:r w:rsidRPr="00625FEF">
        <w:rPr>
          <w:rFonts w:cs="Arial"/>
          <w:bCs/>
        </w:rPr>
        <w:t>ASMG</w:t>
      </w:r>
      <w:r w:rsidRPr="0063655D">
        <w:rPr>
          <w:rFonts w:cs="Arial"/>
        </w:rPr>
        <w:t>) cell and ASMG block specified in the licence.</w:t>
      </w:r>
    </w:p>
  </w:footnote>
  <w:footnote w:id="19">
    <w:p w14:paraId="49817D8F" w14:textId="77777777" w:rsidR="006C4CEE" w:rsidRDefault="006C4CEE" w:rsidP="002D6526">
      <w:pPr>
        <w:pStyle w:val="FootnoteText"/>
        <w:spacing w:after="0"/>
      </w:pPr>
      <w:r>
        <w:rPr>
          <w:rStyle w:val="FootnoteReference"/>
        </w:rPr>
        <w:footnoteRef/>
      </w:r>
      <w:r>
        <w:t xml:space="preserve"> View information on the </w:t>
      </w:r>
      <w:hyperlink r:id="rId8" w:history="1">
        <w:r w:rsidRPr="00592127">
          <w:rPr>
            <w:rStyle w:val="Hyperlink"/>
          </w:rPr>
          <w:t>consultation process</w:t>
        </w:r>
      </w:hyperlink>
      <w:r>
        <w:t xml:space="preserve">. </w:t>
      </w:r>
    </w:p>
  </w:footnote>
  <w:footnote w:id="20">
    <w:p w14:paraId="07BAA9D3" w14:textId="77777777" w:rsidR="006C4CEE" w:rsidRDefault="006C4CEE" w:rsidP="0014198F">
      <w:pPr>
        <w:pStyle w:val="FootnoteText"/>
        <w:spacing w:after="0"/>
      </w:pPr>
      <w:r>
        <w:rPr>
          <w:rStyle w:val="FootnoteReference"/>
        </w:rPr>
        <w:footnoteRef/>
      </w:r>
      <w:r>
        <w:t xml:space="preserve"> Refer to the letter from the minister, available on the ACMA website</w:t>
      </w:r>
      <w:r w:rsidRPr="00D4535F">
        <w:t>.</w:t>
      </w:r>
    </w:p>
  </w:footnote>
  <w:footnote w:id="21">
    <w:p w14:paraId="1F11B316" w14:textId="77777777" w:rsidR="006C4CEE" w:rsidRPr="003A7F87" w:rsidRDefault="006C4CEE" w:rsidP="009C7E1A">
      <w:pPr>
        <w:pStyle w:val="FootnoteText"/>
        <w:spacing w:after="0"/>
        <w:rPr>
          <w:rFonts w:cs="Arial"/>
        </w:rPr>
      </w:pPr>
      <w:r w:rsidRPr="003A7F87">
        <w:rPr>
          <w:rStyle w:val="FootnoteReference"/>
          <w:rFonts w:cs="Arial"/>
        </w:rPr>
        <w:footnoteRef/>
      </w:r>
      <w:r w:rsidRPr="003A7F87">
        <w:rPr>
          <w:rFonts w:cs="Arial"/>
        </w:rPr>
        <w:t xml:space="preserve"> The ACMA may make rules about third</w:t>
      </w:r>
      <w:r>
        <w:rPr>
          <w:rFonts w:cs="Arial"/>
        </w:rPr>
        <w:t>-</w:t>
      </w:r>
      <w:r w:rsidRPr="003A7F87">
        <w:rPr>
          <w:rFonts w:cs="Arial"/>
        </w:rPr>
        <w:t>party use of spectrum licences under section 68 of the Act.</w:t>
      </w:r>
    </w:p>
  </w:footnote>
  <w:footnote w:id="22">
    <w:p w14:paraId="051005A6" w14:textId="77777777" w:rsidR="006C4CEE" w:rsidRPr="003A7F87" w:rsidRDefault="006C4CEE" w:rsidP="00485A14">
      <w:pPr>
        <w:pStyle w:val="FootnoteText"/>
        <w:spacing w:after="0"/>
        <w:rPr>
          <w:rFonts w:cs="Arial"/>
        </w:rPr>
      </w:pPr>
      <w:r w:rsidRPr="003A7F87">
        <w:rPr>
          <w:rStyle w:val="FootnoteReference"/>
          <w:rFonts w:cs="Arial"/>
        </w:rPr>
        <w:footnoteRef/>
      </w:r>
      <w:r w:rsidRPr="003A7F87">
        <w:rPr>
          <w:rFonts w:cs="Arial"/>
        </w:rPr>
        <w:t xml:space="preserve"> Section 69 of the Act provides that a spectrum licence must include a condition that transmitters not be operated under the licence unless the requirements of Part 3.5 of the Act</w:t>
      </w:r>
      <w:r>
        <w:rPr>
          <w:rFonts w:cs="Arial"/>
        </w:rPr>
        <w:t xml:space="preserve"> (relating to registration of devices)</w:t>
      </w:r>
      <w:r w:rsidRPr="003A7F87">
        <w:rPr>
          <w:rFonts w:cs="Arial"/>
        </w:rPr>
        <w:t xml:space="preserve"> have been met. </w:t>
      </w:r>
    </w:p>
  </w:footnote>
  <w:footnote w:id="23">
    <w:p w14:paraId="52B55CB0" w14:textId="77777777" w:rsidR="006C4CEE" w:rsidRDefault="006C4CEE" w:rsidP="00625FEF">
      <w:pPr>
        <w:pStyle w:val="FootnoteText"/>
        <w:spacing w:after="0"/>
      </w:pPr>
      <w:r>
        <w:rPr>
          <w:rStyle w:val="FootnoteReference"/>
        </w:rPr>
        <w:footnoteRef/>
      </w:r>
      <w:r>
        <w:t xml:space="preserve"> The instrument is available </w:t>
      </w:r>
      <w:hyperlink r:id="rId9" w:history="1">
        <w:r w:rsidRPr="004F349F">
          <w:rPr>
            <w:rStyle w:val="Hyperlink"/>
          </w:rPr>
          <w:t>here</w:t>
        </w:r>
      </w:hyperlink>
      <w:r>
        <w:t xml:space="preserve">. </w:t>
      </w:r>
    </w:p>
  </w:footnote>
  <w:footnote w:id="24">
    <w:p w14:paraId="12B1AC4C" w14:textId="77777777" w:rsidR="006C4CEE" w:rsidRDefault="006C4CEE" w:rsidP="00480203">
      <w:pPr>
        <w:pStyle w:val="FootnoteText"/>
        <w:spacing w:after="0"/>
      </w:pPr>
      <w:r>
        <w:rPr>
          <w:rStyle w:val="FootnoteReference"/>
        </w:rPr>
        <w:footnoteRef/>
      </w:r>
      <w:r>
        <w:t xml:space="preserve"> </w:t>
      </w:r>
      <w:r w:rsidRPr="00480203">
        <w:t>Refer to the letter from the minister</w:t>
      </w:r>
      <w:r>
        <w:t>, available on the ACMA website</w:t>
      </w:r>
      <w:r w:rsidRPr="00480203">
        <w:t>.</w:t>
      </w:r>
    </w:p>
  </w:footnote>
  <w:footnote w:id="25">
    <w:p w14:paraId="371A9D9C" w14:textId="77777777" w:rsidR="006C4CEE" w:rsidRDefault="006C4CEE" w:rsidP="00625FEF">
      <w:pPr>
        <w:pStyle w:val="FootnoteText"/>
        <w:spacing w:after="0"/>
      </w:pPr>
      <w:r>
        <w:rPr>
          <w:rStyle w:val="FootnoteReference"/>
        </w:rPr>
        <w:footnoteRef/>
      </w:r>
      <w:r>
        <w:t xml:space="preserve"> If any part of the deposit paid exceeds the first instalment, that excess will be used to lower the amount of the second instalment.</w:t>
      </w:r>
    </w:p>
  </w:footnote>
  <w:footnote w:id="26">
    <w:p w14:paraId="131D3221" w14:textId="77777777" w:rsidR="006C4CEE" w:rsidRDefault="006C4CEE" w:rsidP="00480203">
      <w:pPr>
        <w:pStyle w:val="FootnoteText"/>
        <w:spacing w:after="0"/>
      </w:pPr>
      <w:r>
        <w:rPr>
          <w:rStyle w:val="FootnoteReference"/>
        </w:rPr>
        <w:footnoteRef/>
      </w:r>
      <w:r>
        <w:t xml:space="preserve"> </w:t>
      </w:r>
      <w:r w:rsidRPr="00480203">
        <w:t>Refer to the letter from the minister</w:t>
      </w:r>
      <w:r>
        <w:t>, available on the ACMA webs</w:t>
      </w:r>
      <w:r w:rsidRPr="00480203">
        <w:t xml:space="preserve">ite, and the </w:t>
      </w:r>
      <w:hyperlink r:id="rId10" w:history="1">
        <w:r w:rsidRPr="00480203">
          <w:rPr>
            <w:rStyle w:val="Hyperlink"/>
          </w:rPr>
          <w:t>draft ministerial direction to the ACMA on VHA’s March 2016 proposal</w:t>
        </w:r>
      </w:hyperlink>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4F7B12" w14:textId="77777777" w:rsidR="006C4CEE" w:rsidRPr="00A5474E" w:rsidRDefault="006C4CEE" w:rsidP="00A5474E">
    <w:pPr>
      <w:pStyle w:val="Header"/>
    </w:pPr>
    <w:r>
      <w:rPr>
        <w:noProof/>
      </w:rPr>
      <w:drawing>
        <wp:inline distT="0" distB="0" distL="0" distR="0" wp14:anchorId="6B690593" wp14:editId="3707D9CE">
          <wp:extent cx="6388100" cy="520700"/>
          <wp:effectExtent l="0" t="0" r="0" b="12700"/>
          <wp:docPr id="5" name="Picture 5"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5E2B11" w14:textId="77777777" w:rsidR="006C4CEE" w:rsidRPr="00A5474E" w:rsidRDefault="006C4CEE"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80EA15" w14:textId="77777777" w:rsidR="006C4CEE" w:rsidRDefault="006C4CE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F118BF" w14:textId="77777777" w:rsidR="006C4CEE" w:rsidRDefault="006C4CE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6C4CEE" w14:paraId="47C77BEC" w14:textId="77777777" w:rsidTr="006C4CEE">
      <w:trPr>
        <w:trHeight w:hRule="exact" w:val="988"/>
      </w:trPr>
      <w:tc>
        <w:tcPr>
          <w:tcW w:w="7678" w:type="dxa"/>
          <w:shd w:val="clear" w:color="auto" w:fill="auto"/>
        </w:tcPr>
        <w:p w14:paraId="59D7D306" w14:textId="77777777" w:rsidR="006C4CEE" w:rsidRDefault="006C4CEE" w:rsidP="00442299">
          <w:pPr>
            <w:pStyle w:val="Header"/>
          </w:pPr>
        </w:p>
      </w:tc>
    </w:tr>
    <w:tr w:rsidR="006C4CEE" w14:paraId="0CEB884C" w14:textId="77777777" w:rsidTr="006C4CEE">
      <w:tc>
        <w:tcPr>
          <w:tcW w:w="7678" w:type="dxa"/>
          <w:shd w:val="clear" w:color="auto" w:fill="auto"/>
        </w:tcPr>
        <w:p w14:paraId="4AE9F868" w14:textId="77777777" w:rsidR="006C4CEE" w:rsidRDefault="006C4CEE" w:rsidP="00442299">
          <w:pPr>
            <w:pStyle w:val="GridTable31"/>
          </w:pPr>
          <w:r>
            <w:t xml:space="preserve">Contents </w:t>
          </w:r>
          <w:r w:rsidRPr="00915B1C">
            <w:rPr>
              <w:b w:val="0"/>
              <w:spacing w:val="0"/>
              <w:sz w:val="28"/>
              <w:szCs w:val="28"/>
            </w:rPr>
            <w:t>(Continued)</w:t>
          </w:r>
        </w:p>
      </w:tc>
    </w:tr>
    <w:tr w:rsidR="006C4CEE" w14:paraId="08FD24BC" w14:textId="77777777" w:rsidTr="006C4CEE">
      <w:trPr>
        <w:trHeight w:val="1220"/>
      </w:trPr>
      <w:tc>
        <w:tcPr>
          <w:tcW w:w="7678" w:type="dxa"/>
          <w:shd w:val="clear" w:color="auto" w:fill="auto"/>
        </w:tcPr>
        <w:p w14:paraId="42D88F45" w14:textId="77777777" w:rsidR="006C4CEE" w:rsidRDefault="006C4CEE" w:rsidP="00442299"/>
      </w:tc>
    </w:tr>
  </w:tbl>
  <w:p w14:paraId="7276EB87" w14:textId="77777777" w:rsidR="006C4CEE" w:rsidRPr="00A5474E" w:rsidRDefault="006C4CEE" w:rsidP="00A5474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ABA15C" w14:textId="77777777" w:rsidR="006C4CEE" w:rsidRPr="00A5474E" w:rsidRDefault="006C4CEE"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D5E8AB" w14:textId="77777777" w:rsidR="006C4CEE" w:rsidRDefault="006C4CEE">
    <w:pPr>
      <w:pStyle w:val="Header"/>
    </w:pPr>
  </w:p>
  <w:p w14:paraId="284BA6FD" w14:textId="77777777" w:rsidR="006C4CEE" w:rsidRDefault="006C4CEE"/>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078C62" w14:textId="77777777" w:rsidR="006C4CEE" w:rsidRDefault="006C4CEE">
    <w:pPr>
      <w:pStyle w:val="Header"/>
    </w:pPr>
  </w:p>
  <w:p w14:paraId="11A16C7D" w14:textId="77777777" w:rsidR="006C4CEE" w:rsidRDefault="006C4CE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AC6AE34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08EEB7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8D4ABE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4" w15:restartNumberingAfterBreak="0">
    <w:nsid w:val="FFFFFF80"/>
    <w:multiLevelType w:val="singleLevel"/>
    <w:tmpl w:val="11BA85B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FCAA33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B685AD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8" w15:restartNumberingAfterBreak="0">
    <w:nsid w:val="FFFFFF88"/>
    <w:multiLevelType w:val="singleLevel"/>
    <w:tmpl w:val="B50C38B0"/>
    <w:lvl w:ilvl="0">
      <w:start w:val="1"/>
      <w:numFmt w:val="decimal"/>
      <w:pStyle w:val="ListNumber"/>
      <w:lvlText w:val="%1."/>
      <w:lvlJc w:val="left"/>
      <w:pPr>
        <w:ind w:left="360" w:hanging="360"/>
      </w:pPr>
      <w:rPr>
        <w:rFonts w:hint="default"/>
        <w:caps/>
        <w:sz w:val="20"/>
      </w:rPr>
    </w:lvl>
  </w:abstractNum>
  <w:abstractNum w:abstractNumId="9" w15:restartNumberingAfterBreak="0">
    <w:nsid w:val="FFFFFF89"/>
    <w:multiLevelType w:val="singleLevel"/>
    <w:tmpl w:val="E2AEAE42"/>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0" w15:restartNumberingAfterBreak="0">
    <w:nsid w:val="104E3986"/>
    <w:multiLevelType w:val="hybridMultilevel"/>
    <w:tmpl w:val="A788986C"/>
    <w:lvl w:ilvl="0" w:tplc="0C090001">
      <w:start w:val="1"/>
      <w:numFmt w:val="bullet"/>
      <w:lvlText w:val=""/>
      <w:lvlJc w:val="left"/>
      <w:pPr>
        <w:tabs>
          <w:tab w:val="num" w:pos="644"/>
        </w:tabs>
        <w:ind w:left="644" w:hanging="360"/>
      </w:pPr>
      <w:rPr>
        <w:rFonts w:ascii="Symbol" w:hAnsi="Symbol" w:hint="default"/>
      </w:rPr>
    </w:lvl>
    <w:lvl w:ilvl="1" w:tplc="0C090003">
      <w:start w:val="1"/>
      <w:numFmt w:val="bullet"/>
      <w:lvlText w:val="o"/>
      <w:lvlJc w:val="left"/>
      <w:pPr>
        <w:tabs>
          <w:tab w:val="num" w:pos="1364"/>
        </w:tabs>
        <w:ind w:left="1364" w:hanging="360"/>
      </w:pPr>
      <w:rPr>
        <w:rFonts w:ascii="Courier New" w:hAnsi="Courier New" w:cs="Courier New" w:hint="default"/>
      </w:rPr>
    </w:lvl>
    <w:lvl w:ilvl="2" w:tplc="0C090005" w:tentative="1">
      <w:start w:val="1"/>
      <w:numFmt w:val="bullet"/>
      <w:lvlText w:val=""/>
      <w:lvlJc w:val="left"/>
      <w:pPr>
        <w:tabs>
          <w:tab w:val="num" w:pos="2084"/>
        </w:tabs>
        <w:ind w:left="2084" w:hanging="360"/>
      </w:pPr>
      <w:rPr>
        <w:rFonts w:ascii="Wingdings" w:hAnsi="Wingdings" w:hint="default"/>
      </w:rPr>
    </w:lvl>
    <w:lvl w:ilvl="3" w:tplc="0C090001" w:tentative="1">
      <w:start w:val="1"/>
      <w:numFmt w:val="bullet"/>
      <w:lvlText w:val=""/>
      <w:lvlJc w:val="left"/>
      <w:pPr>
        <w:tabs>
          <w:tab w:val="num" w:pos="2804"/>
        </w:tabs>
        <w:ind w:left="2804" w:hanging="360"/>
      </w:pPr>
      <w:rPr>
        <w:rFonts w:ascii="Symbol" w:hAnsi="Symbol" w:hint="default"/>
      </w:rPr>
    </w:lvl>
    <w:lvl w:ilvl="4" w:tplc="0C090003" w:tentative="1">
      <w:start w:val="1"/>
      <w:numFmt w:val="bullet"/>
      <w:lvlText w:val="o"/>
      <w:lvlJc w:val="left"/>
      <w:pPr>
        <w:tabs>
          <w:tab w:val="num" w:pos="3524"/>
        </w:tabs>
        <w:ind w:left="3524" w:hanging="360"/>
      </w:pPr>
      <w:rPr>
        <w:rFonts w:ascii="Courier New" w:hAnsi="Courier New" w:cs="Courier New" w:hint="default"/>
      </w:rPr>
    </w:lvl>
    <w:lvl w:ilvl="5" w:tplc="0C090005" w:tentative="1">
      <w:start w:val="1"/>
      <w:numFmt w:val="bullet"/>
      <w:lvlText w:val=""/>
      <w:lvlJc w:val="left"/>
      <w:pPr>
        <w:tabs>
          <w:tab w:val="num" w:pos="4244"/>
        </w:tabs>
        <w:ind w:left="4244" w:hanging="360"/>
      </w:pPr>
      <w:rPr>
        <w:rFonts w:ascii="Wingdings" w:hAnsi="Wingdings" w:hint="default"/>
      </w:rPr>
    </w:lvl>
    <w:lvl w:ilvl="6" w:tplc="0C090001" w:tentative="1">
      <w:start w:val="1"/>
      <w:numFmt w:val="bullet"/>
      <w:lvlText w:val=""/>
      <w:lvlJc w:val="left"/>
      <w:pPr>
        <w:tabs>
          <w:tab w:val="num" w:pos="4964"/>
        </w:tabs>
        <w:ind w:left="4964" w:hanging="360"/>
      </w:pPr>
      <w:rPr>
        <w:rFonts w:ascii="Symbol" w:hAnsi="Symbol" w:hint="default"/>
      </w:rPr>
    </w:lvl>
    <w:lvl w:ilvl="7" w:tplc="0C090003" w:tentative="1">
      <w:start w:val="1"/>
      <w:numFmt w:val="bullet"/>
      <w:lvlText w:val="o"/>
      <w:lvlJc w:val="left"/>
      <w:pPr>
        <w:tabs>
          <w:tab w:val="num" w:pos="5684"/>
        </w:tabs>
        <w:ind w:left="5684" w:hanging="360"/>
      </w:pPr>
      <w:rPr>
        <w:rFonts w:ascii="Courier New" w:hAnsi="Courier New" w:cs="Courier New" w:hint="default"/>
      </w:rPr>
    </w:lvl>
    <w:lvl w:ilvl="8" w:tplc="0C090005" w:tentative="1">
      <w:start w:val="1"/>
      <w:numFmt w:val="bullet"/>
      <w:lvlText w:val=""/>
      <w:lvlJc w:val="left"/>
      <w:pPr>
        <w:tabs>
          <w:tab w:val="num" w:pos="6404"/>
        </w:tabs>
        <w:ind w:left="6404" w:hanging="360"/>
      </w:pPr>
      <w:rPr>
        <w:rFonts w:ascii="Wingdings" w:hAnsi="Wingdings" w:hint="default"/>
      </w:rPr>
    </w:lvl>
  </w:abstractNum>
  <w:abstractNum w:abstractNumId="11" w15:restartNumberingAfterBreak="0">
    <w:nsid w:val="121C7D47"/>
    <w:multiLevelType w:val="hybridMultilevel"/>
    <w:tmpl w:val="AB4881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5882FCC"/>
    <w:multiLevelType w:val="hybridMultilevel"/>
    <w:tmpl w:val="334EAB7C"/>
    <w:lvl w:ilvl="0" w:tplc="17461A80">
      <w:start w:val="1"/>
      <w:numFmt w:val="bullet"/>
      <w:lvlText w:val="˃"/>
      <w:lvlJc w:val="left"/>
      <w:pPr>
        <w:ind w:left="720" w:hanging="360"/>
      </w:pPr>
      <w:rPr>
        <w:rFonts w:ascii="Courier New" w:hAnsi="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D9B0669"/>
    <w:multiLevelType w:val="hybridMultilevel"/>
    <w:tmpl w:val="1A7413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16D7BE6"/>
    <w:multiLevelType w:val="hybridMultilevel"/>
    <w:tmpl w:val="174290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22F2D20"/>
    <w:multiLevelType w:val="hybridMultilevel"/>
    <w:tmpl w:val="CA689DC2"/>
    <w:lvl w:ilvl="0" w:tplc="C286136A">
      <w:start w:val="1"/>
      <w:numFmt w:val="bullet"/>
      <w:pStyle w:val="Bulletlevel1"/>
      <w:lvlText w:val=""/>
      <w:lvlJc w:val="left"/>
      <w:pPr>
        <w:ind w:left="720" w:hanging="360"/>
      </w:pPr>
      <w:rPr>
        <w:rFonts w:ascii="Symbol" w:hAnsi="Symbol" w:hint="default"/>
        <w:caps w:val="0"/>
        <w:strike w:val="0"/>
        <w:dstrike w:val="0"/>
        <w:vanish w:val="0"/>
        <w:color w:val="005391"/>
        <w:sz w:val="22"/>
        <w:vertAlign w:val="baseline"/>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29DA3D28"/>
    <w:multiLevelType w:val="hybridMultilevel"/>
    <w:tmpl w:val="B56A49E8"/>
    <w:lvl w:ilvl="0" w:tplc="FE9EAA6A">
      <w:start w:val="1"/>
      <w:numFmt w:val="bullet"/>
      <w:lvlText w:val="&gt;"/>
      <w:lvlJc w:val="left"/>
      <w:pPr>
        <w:ind w:left="720" w:hanging="360"/>
      </w:pPr>
      <w:rPr>
        <w:rFonts w:ascii="Vrinda" w:hAnsi="Vrinda" w:hint="default"/>
        <w:b w:val="0"/>
        <w:sz w:val="20"/>
        <w:szCs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CB42D46"/>
    <w:multiLevelType w:val="hybridMultilevel"/>
    <w:tmpl w:val="CF30D952"/>
    <w:lvl w:ilvl="0" w:tplc="12C0B29A">
      <w:start w:val="1"/>
      <w:numFmt w:val="bullet"/>
      <w:lvlText w:val=""/>
      <w:lvlJc w:val="left"/>
      <w:pPr>
        <w:ind w:left="644" w:hanging="360"/>
      </w:pPr>
      <w:rPr>
        <w:rFonts w:ascii="Symbol" w:hAnsi="Symbol" w:hint="default"/>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19"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20" w15:restartNumberingAfterBreak="0">
    <w:nsid w:val="2F871660"/>
    <w:multiLevelType w:val="hybridMultilevel"/>
    <w:tmpl w:val="698E03D4"/>
    <w:lvl w:ilvl="0" w:tplc="4E405BB0">
      <w:start w:val="1"/>
      <w:numFmt w:val="bullet"/>
      <w:lvlText w:val=""/>
      <w:lvlJc w:val="left"/>
      <w:pPr>
        <w:ind w:left="720" w:hanging="360"/>
      </w:pPr>
      <w:rPr>
        <w:rFonts w:ascii="Symbol" w:hAnsi="Symbol" w:hint="default"/>
        <w:sz w:val="20"/>
        <w:szCs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4624240"/>
    <w:multiLevelType w:val="hybridMultilevel"/>
    <w:tmpl w:val="750242C8"/>
    <w:lvl w:ilvl="0" w:tplc="8FC88150">
      <w:start w:val="3"/>
      <w:numFmt w:val="bullet"/>
      <w:lvlText w:val="-"/>
      <w:lvlJc w:val="left"/>
      <w:pPr>
        <w:ind w:left="2070" w:hanging="360"/>
      </w:pPr>
      <w:rPr>
        <w:rFonts w:ascii="Times New Roman" w:eastAsia="Times New Roman" w:hAnsi="Times New Roman" w:cs="Times New Roman" w:hint="default"/>
      </w:rPr>
    </w:lvl>
    <w:lvl w:ilvl="1" w:tplc="0C090003" w:tentative="1">
      <w:start w:val="1"/>
      <w:numFmt w:val="bullet"/>
      <w:lvlText w:val="o"/>
      <w:lvlJc w:val="left"/>
      <w:pPr>
        <w:ind w:left="2790" w:hanging="360"/>
      </w:pPr>
      <w:rPr>
        <w:rFonts w:ascii="Courier New" w:hAnsi="Courier New" w:cs="Courier New" w:hint="default"/>
      </w:rPr>
    </w:lvl>
    <w:lvl w:ilvl="2" w:tplc="0C090005" w:tentative="1">
      <w:start w:val="1"/>
      <w:numFmt w:val="bullet"/>
      <w:lvlText w:val=""/>
      <w:lvlJc w:val="left"/>
      <w:pPr>
        <w:ind w:left="3510" w:hanging="360"/>
      </w:pPr>
      <w:rPr>
        <w:rFonts w:ascii="Wingdings" w:hAnsi="Wingdings" w:hint="default"/>
      </w:rPr>
    </w:lvl>
    <w:lvl w:ilvl="3" w:tplc="0C090001" w:tentative="1">
      <w:start w:val="1"/>
      <w:numFmt w:val="bullet"/>
      <w:lvlText w:val=""/>
      <w:lvlJc w:val="left"/>
      <w:pPr>
        <w:ind w:left="4230" w:hanging="360"/>
      </w:pPr>
      <w:rPr>
        <w:rFonts w:ascii="Symbol" w:hAnsi="Symbol" w:hint="default"/>
      </w:rPr>
    </w:lvl>
    <w:lvl w:ilvl="4" w:tplc="0C090003" w:tentative="1">
      <w:start w:val="1"/>
      <w:numFmt w:val="bullet"/>
      <w:lvlText w:val="o"/>
      <w:lvlJc w:val="left"/>
      <w:pPr>
        <w:ind w:left="4950" w:hanging="360"/>
      </w:pPr>
      <w:rPr>
        <w:rFonts w:ascii="Courier New" w:hAnsi="Courier New" w:cs="Courier New" w:hint="default"/>
      </w:rPr>
    </w:lvl>
    <w:lvl w:ilvl="5" w:tplc="0C090005" w:tentative="1">
      <w:start w:val="1"/>
      <w:numFmt w:val="bullet"/>
      <w:lvlText w:val=""/>
      <w:lvlJc w:val="left"/>
      <w:pPr>
        <w:ind w:left="5670" w:hanging="360"/>
      </w:pPr>
      <w:rPr>
        <w:rFonts w:ascii="Wingdings" w:hAnsi="Wingdings" w:hint="default"/>
      </w:rPr>
    </w:lvl>
    <w:lvl w:ilvl="6" w:tplc="0C090001" w:tentative="1">
      <w:start w:val="1"/>
      <w:numFmt w:val="bullet"/>
      <w:lvlText w:val=""/>
      <w:lvlJc w:val="left"/>
      <w:pPr>
        <w:ind w:left="6390" w:hanging="360"/>
      </w:pPr>
      <w:rPr>
        <w:rFonts w:ascii="Symbol" w:hAnsi="Symbol" w:hint="default"/>
      </w:rPr>
    </w:lvl>
    <w:lvl w:ilvl="7" w:tplc="0C090003" w:tentative="1">
      <w:start w:val="1"/>
      <w:numFmt w:val="bullet"/>
      <w:lvlText w:val="o"/>
      <w:lvlJc w:val="left"/>
      <w:pPr>
        <w:ind w:left="7110" w:hanging="360"/>
      </w:pPr>
      <w:rPr>
        <w:rFonts w:ascii="Courier New" w:hAnsi="Courier New" w:cs="Courier New" w:hint="default"/>
      </w:rPr>
    </w:lvl>
    <w:lvl w:ilvl="8" w:tplc="0C090005" w:tentative="1">
      <w:start w:val="1"/>
      <w:numFmt w:val="bullet"/>
      <w:lvlText w:val=""/>
      <w:lvlJc w:val="left"/>
      <w:pPr>
        <w:ind w:left="7830" w:hanging="360"/>
      </w:pPr>
      <w:rPr>
        <w:rFonts w:ascii="Wingdings" w:hAnsi="Wingdings" w:hint="default"/>
      </w:rPr>
    </w:lvl>
  </w:abstractNum>
  <w:abstractNum w:abstractNumId="22" w15:restartNumberingAfterBreak="0">
    <w:nsid w:val="3DBE5505"/>
    <w:multiLevelType w:val="hybridMultilevel"/>
    <w:tmpl w:val="618CB85A"/>
    <w:lvl w:ilvl="0" w:tplc="0256EFD4">
      <w:start w:val="1"/>
      <w:numFmt w:val="decimal"/>
      <w:lvlText w:val="%1."/>
      <w:lvlJc w:val="left"/>
      <w:pPr>
        <w:ind w:left="360" w:hanging="360"/>
      </w:pPr>
      <w:rPr>
        <w:rFonts w:ascii="Arial" w:hAnsi="Arial" w:cs="Arial" w:hint="default"/>
        <w:sz w:val="20"/>
        <w:szCs w:val="2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40262171"/>
    <w:multiLevelType w:val="hybridMultilevel"/>
    <w:tmpl w:val="29CCC392"/>
    <w:lvl w:ilvl="0" w:tplc="FE9EAA6A">
      <w:start w:val="1"/>
      <w:numFmt w:val="bullet"/>
      <w:lvlText w:val="&gt;"/>
      <w:lvlJc w:val="left"/>
      <w:pPr>
        <w:ind w:left="720" w:hanging="360"/>
      </w:pPr>
      <w:rPr>
        <w:rFonts w:ascii="Vrinda" w:hAnsi="Vrinda" w:hint="default"/>
        <w:b w:val="0"/>
        <w:sz w:val="20"/>
        <w:szCs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36D744F"/>
    <w:multiLevelType w:val="hybridMultilevel"/>
    <w:tmpl w:val="4FA0447A"/>
    <w:lvl w:ilvl="0" w:tplc="FD74EEBA">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4DE3499B"/>
    <w:multiLevelType w:val="hybridMultilevel"/>
    <w:tmpl w:val="0FD4762E"/>
    <w:lvl w:ilvl="0" w:tplc="12C0B29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3C30333"/>
    <w:multiLevelType w:val="hybridMultilevel"/>
    <w:tmpl w:val="6DD628F4"/>
    <w:lvl w:ilvl="0" w:tplc="89F269E8">
      <w:start w:val="1"/>
      <w:numFmt w:val="decimal"/>
      <w:pStyle w:val="Captionfigure"/>
      <w:lvlText w:val="Figure %1:"/>
      <w:lvlJc w:val="left"/>
      <w:pPr>
        <w:tabs>
          <w:tab w:val="num" w:pos="1021"/>
        </w:tabs>
        <w:ind w:left="1021" w:hanging="1021"/>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5071478"/>
    <w:multiLevelType w:val="hybridMultilevel"/>
    <w:tmpl w:val="923C7594"/>
    <w:lvl w:ilvl="0" w:tplc="348AFA3E">
      <w:start w:val="1"/>
      <w:numFmt w:val="decimal"/>
      <w:pStyle w:val="ACMAFigureHeader"/>
      <w:lvlText w:val="Figure %1: "/>
      <w:lvlJc w:val="left"/>
      <w:pPr>
        <w:tabs>
          <w:tab w:val="num" w:pos="3574"/>
        </w:tabs>
        <w:ind w:left="3574" w:hanging="1021"/>
      </w:pPr>
      <w:rPr>
        <w:rFonts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D3B526B"/>
    <w:multiLevelType w:val="hybridMultilevel"/>
    <w:tmpl w:val="768AFEF0"/>
    <w:lvl w:ilvl="0" w:tplc="7F9CF1C8">
      <w:start w:val="1"/>
      <w:numFmt w:val="decimal"/>
      <w:lvlText w:val="%1."/>
      <w:lvlJc w:val="left"/>
      <w:pPr>
        <w:tabs>
          <w:tab w:val="num" w:pos="540"/>
        </w:tabs>
        <w:ind w:left="540" w:hanging="360"/>
      </w:pPr>
      <w:rPr>
        <w:rFonts w:ascii="Arial" w:hAnsi="Arial" w:cs="Arial" w:hint="default"/>
      </w:rPr>
    </w:lvl>
    <w:lvl w:ilvl="1" w:tplc="8B54880C">
      <w:start w:val="6"/>
      <w:numFmt w:val="decimal"/>
      <w:lvlText w:val="%2"/>
      <w:lvlJc w:val="left"/>
      <w:pPr>
        <w:tabs>
          <w:tab w:val="num" w:pos="1080"/>
        </w:tabs>
        <w:ind w:left="1080" w:hanging="360"/>
      </w:pPr>
      <w:rPr>
        <w:rFonts w:hint="default"/>
      </w:r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30" w15:restartNumberingAfterBreak="0">
    <w:nsid w:val="6D714EE8"/>
    <w:multiLevelType w:val="hybridMultilevel"/>
    <w:tmpl w:val="4D1EFAB4"/>
    <w:lvl w:ilvl="0" w:tplc="816EF1DA">
      <w:start w:val="1"/>
      <w:numFmt w:val="lowerLetter"/>
      <w:lvlText w:val="%1."/>
      <w:lvlJc w:val="left"/>
      <w:pPr>
        <w:ind w:left="360" w:hanging="360"/>
      </w:pPr>
      <w:rPr>
        <w:rFonts w:ascii="Arial" w:hAnsi="Arial" w:cs="Arial" w:hint="default"/>
        <w:caps/>
        <w:sz w:val="2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1"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EB61D5F"/>
    <w:multiLevelType w:val="hybridMultilevel"/>
    <w:tmpl w:val="7F5091F8"/>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7048588F"/>
    <w:multiLevelType w:val="hybridMultilevel"/>
    <w:tmpl w:val="7B34FEA6"/>
    <w:lvl w:ilvl="0" w:tplc="0C090011">
      <w:start w:val="1"/>
      <w:numFmt w:val="decimal"/>
      <w:lvlText w:val="%1)"/>
      <w:lvlJc w:val="left"/>
      <w:pPr>
        <w:ind w:left="1004" w:hanging="360"/>
      </w:pPr>
    </w:lvl>
    <w:lvl w:ilvl="1" w:tplc="0C090019" w:tentative="1">
      <w:start w:val="1"/>
      <w:numFmt w:val="lowerLetter"/>
      <w:lvlText w:val="%2."/>
      <w:lvlJc w:val="left"/>
      <w:pPr>
        <w:ind w:left="1724" w:hanging="360"/>
      </w:p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abstractNum w:abstractNumId="34" w15:restartNumberingAfterBreak="0">
    <w:nsid w:val="7B442B8F"/>
    <w:multiLevelType w:val="hybridMultilevel"/>
    <w:tmpl w:val="8228D9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8"/>
  </w:num>
  <w:num w:numId="4">
    <w:abstractNumId w:val="3"/>
  </w:num>
  <w:num w:numId="5">
    <w:abstractNumId w:val="19"/>
  </w:num>
  <w:num w:numId="6">
    <w:abstractNumId w:val="28"/>
  </w:num>
  <w:num w:numId="7">
    <w:abstractNumId w:val="26"/>
  </w:num>
  <w:num w:numId="8">
    <w:abstractNumId w:val="27"/>
  </w:num>
  <w:num w:numId="9">
    <w:abstractNumId w:val="31"/>
  </w:num>
  <w:num w:numId="10">
    <w:abstractNumId w:val="30"/>
  </w:num>
  <w:num w:numId="11">
    <w:abstractNumId w:val="12"/>
  </w:num>
  <w:num w:numId="12">
    <w:abstractNumId w:val="17"/>
  </w:num>
  <w:num w:numId="13">
    <w:abstractNumId w:val="9"/>
  </w:num>
  <w:num w:numId="14">
    <w:abstractNumId w:val="9"/>
  </w:num>
  <w:num w:numId="15">
    <w:abstractNumId w:val="23"/>
  </w:num>
  <w:num w:numId="16">
    <w:abstractNumId w:val="9"/>
  </w:num>
  <w:num w:numId="17">
    <w:abstractNumId w:val="9"/>
  </w:num>
  <w:num w:numId="18">
    <w:abstractNumId w:val="9"/>
  </w:num>
  <w:num w:numId="19">
    <w:abstractNumId w:val="18"/>
  </w:num>
  <w:num w:numId="20">
    <w:abstractNumId w:val="9"/>
  </w:num>
  <w:num w:numId="21">
    <w:abstractNumId w:val="11"/>
  </w:num>
  <w:num w:numId="22">
    <w:abstractNumId w:val="14"/>
  </w:num>
  <w:num w:numId="23">
    <w:abstractNumId w:val="20"/>
  </w:num>
  <w:num w:numId="24">
    <w:abstractNumId w:val="34"/>
  </w:num>
  <w:num w:numId="25">
    <w:abstractNumId w:val="9"/>
  </w:num>
  <w:num w:numId="26">
    <w:abstractNumId w:val="9"/>
  </w:num>
  <w:num w:numId="27">
    <w:abstractNumId w:val="9"/>
  </w:num>
  <w:num w:numId="28">
    <w:abstractNumId w:val="9"/>
  </w:num>
  <w:num w:numId="29">
    <w:abstractNumId w:val="9"/>
  </w:num>
  <w:num w:numId="30">
    <w:abstractNumId w:val="9"/>
  </w:num>
  <w:num w:numId="31">
    <w:abstractNumId w:val="25"/>
  </w:num>
  <w:num w:numId="32">
    <w:abstractNumId w:val="9"/>
  </w:num>
  <w:num w:numId="33">
    <w:abstractNumId w:val="10"/>
  </w:num>
  <w:num w:numId="34">
    <w:abstractNumId w:val="9"/>
  </w:num>
  <w:num w:numId="35">
    <w:abstractNumId w:val="27"/>
  </w:num>
  <w:num w:numId="36">
    <w:abstractNumId w:val="9"/>
  </w:num>
  <w:num w:numId="37">
    <w:abstractNumId w:val="8"/>
  </w:num>
  <w:num w:numId="38">
    <w:abstractNumId w:val="22"/>
  </w:num>
  <w:num w:numId="39">
    <w:abstractNumId w:val="24"/>
  </w:num>
  <w:num w:numId="40">
    <w:abstractNumId w:val="33"/>
  </w:num>
  <w:num w:numId="41">
    <w:abstractNumId w:val="21"/>
  </w:num>
  <w:num w:numId="42">
    <w:abstractNumId w:val="9"/>
  </w:num>
  <w:num w:numId="43">
    <w:abstractNumId w:val="9"/>
  </w:num>
  <w:num w:numId="44">
    <w:abstractNumId w:val="16"/>
  </w:num>
  <w:num w:numId="45">
    <w:abstractNumId w:val="29"/>
  </w:num>
  <w:num w:numId="46">
    <w:abstractNumId w:val="9"/>
  </w:num>
  <w:num w:numId="47">
    <w:abstractNumId w:val="9"/>
  </w:num>
  <w:num w:numId="48">
    <w:abstractNumId w:val="28"/>
  </w:num>
  <w:num w:numId="49">
    <w:abstractNumId w:val="26"/>
  </w:num>
  <w:num w:numId="50">
    <w:abstractNumId w:val="6"/>
  </w:num>
  <w:num w:numId="51">
    <w:abstractNumId w:val="5"/>
  </w:num>
  <w:num w:numId="52">
    <w:abstractNumId w:val="4"/>
  </w:num>
  <w:num w:numId="53">
    <w:abstractNumId w:val="2"/>
  </w:num>
  <w:num w:numId="54">
    <w:abstractNumId w:val="1"/>
  </w:num>
  <w:num w:numId="55">
    <w:abstractNumId w:val="0"/>
  </w:num>
  <w:num w:numId="56">
    <w:abstractNumId w:val="8"/>
    <w:lvlOverride w:ilvl="0">
      <w:startOverride w:val="1"/>
    </w:lvlOverride>
  </w:num>
  <w:num w:numId="57">
    <w:abstractNumId w:val="8"/>
  </w:num>
  <w:num w:numId="58">
    <w:abstractNumId w:val="32"/>
  </w:num>
  <w:num w:numId="59">
    <w:abstractNumId w:val="15"/>
  </w:num>
  <w:num w:numId="60">
    <w:abstractNumId w:val="13"/>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hideGrammaticalErrors/>
  <w:stylePaneFormatFilter w:val="1008" w:allStyles="0" w:customStyles="0" w:latentStyles="0" w:stylesInUse="1" w:headingStyles="0" w:numberingStyles="0" w:tableStyles="0" w:directFormattingOnRuns="0" w:directFormattingOnParagraphs="0" w:directFormattingOnNumbering="0" w:directFormattingOnTables="0" w:clearFormatting="1" w:top3HeadingStyles="0" w:visibleStyles="0" w:alternateStyleNames="0"/>
  <w:defaultTabStop w:val="284"/>
  <w:evenAndOddHeaders/>
  <w:drawingGridHorizontalSpacing w:val="100"/>
  <w:displayHorizontalDrawingGridEvery w:val="2"/>
  <w:characterSpacingControl w:val="doNotCompress"/>
  <w:hdrShapeDefaults>
    <o:shapedefaults v:ext="edit" spidmax="4097">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29A5"/>
    <w:rsid w:val="00001FA5"/>
    <w:rsid w:val="000028AF"/>
    <w:rsid w:val="00003D36"/>
    <w:rsid w:val="0000425F"/>
    <w:rsid w:val="000072DE"/>
    <w:rsid w:val="00010244"/>
    <w:rsid w:val="00010667"/>
    <w:rsid w:val="0001073A"/>
    <w:rsid w:val="000129D5"/>
    <w:rsid w:val="00014511"/>
    <w:rsid w:val="00014C96"/>
    <w:rsid w:val="00015936"/>
    <w:rsid w:val="00015AE7"/>
    <w:rsid w:val="00016B19"/>
    <w:rsid w:val="00016E21"/>
    <w:rsid w:val="0001719C"/>
    <w:rsid w:val="000175BE"/>
    <w:rsid w:val="00022FF2"/>
    <w:rsid w:val="000251D8"/>
    <w:rsid w:val="00025A88"/>
    <w:rsid w:val="0002616A"/>
    <w:rsid w:val="00026F91"/>
    <w:rsid w:val="0002728A"/>
    <w:rsid w:val="00030ED8"/>
    <w:rsid w:val="000314FE"/>
    <w:rsid w:val="00032E83"/>
    <w:rsid w:val="00033FB4"/>
    <w:rsid w:val="0003490A"/>
    <w:rsid w:val="000403D8"/>
    <w:rsid w:val="00040851"/>
    <w:rsid w:val="00044D07"/>
    <w:rsid w:val="0005011A"/>
    <w:rsid w:val="0005045A"/>
    <w:rsid w:val="00050CA8"/>
    <w:rsid w:val="00051C1E"/>
    <w:rsid w:val="000536A5"/>
    <w:rsid w:val="000539F9"/>
    <w:rsid w:val="00054C27"/>
    <w:rsid w:val="00055EC3"/>
    <w:rsid w:val="0005629B"/>
    <w:rsid w:val="000563CE"/>
    <w:rsid w:val="00056413"/>
    <w:rsid w:val="00057444"/>
    <w:rsid w:val="00057E7D"/>
    <w:rsid w:val="00060AD6"/>
    <w:rsid w:val="00062D65"/>
    <w:rsid w:val="00063191"/>
    <w:rsid w:val="000659B6"/>
    <w:rsid w:val="0006722A"/>
    <w:rsid w:val="00067E33"/>
    <w:rsid w:val="00070D8F"/>
    <w:rsid w:val="00071065"/>
    <w:rsid w:val="00072822"/>
    <w:rsid w:val="000732CF"/>
    <w:rsid w:val="000744B8"/>
    <w:rsid w:val="000749BD"/>
    <w:rsid w:val="00075B96"/>
    <w:rsid w:val="00077AD9"/>
    <w:rsid w:val="0008196A"/>
    <w:rsid w:val="00081C8C"/>
    <w:rsid w:val="00082850"/>
    <w:rsid w:val="00084846"/>
    <w:rsid w:val="000855E1"/>
    <w:rsid w:val="000862D9"/>
    <w:rsid w:val="00087C5A"/>
    <w:rsid w:val="000915ED"/>
    <w:rsid w:val="00092070"/>
    <w:rsid w:val="0009209D"/>
    <w:rsid w:val="000926D9"/>
    <w:rsid w:val="00093250"/>
    <w:rsid w:val="00093E0B"/>
    <w:rsid w:val="00095053"/>
    <w:rsid w:val="000969BD"/>
    <w:rsid w:val="000969BF"/>
    <w:rsid w:val="000A0B5B"/>
    <w:rsid w:val="000A0C22"/>
    <w:rsid w:val="000A2169"/>
    <w:rsid w:val="000A3197"/>
    <w:rsid w:val="000A3C43"/>
    <w:rsid w:val="000A3D32"/>
    <w:rsid w:val="000A4A51"/>
    <w:rsid w:val="000A5D2B"/>
    <w:rsid w:val="000A5E6C"/>
    <w:rsid w:val="000A7D9D"/>
    <w:rsid w:val="000B0CF7"/>
    <w:rsid w:val="000B1372"/>
    <w:rsid w:val="000B285F"/>
    <w:rsid w:val="000B4289"/>
    <w:rsid w:val="000B4C7D"/>
    <w:rsid w:val="000B56B3"/>
    <w:rsid w:val="000B5DE3"/>
    <w:rsid w:val="000B697D"/>
    <w:rsid w:val="000C0A57"/>
    <w:rsid w:val="000C230C"/>
    <w:rsid w:val="000C43A3"/>
    <w:rsid w:val="000C458E"/>
    <w:rsid w:val="000C560A"/>
    <w:rsid w:val="000C73EE"/>
    <w:rsid w:val="000C7C1D"/>
    <w:rsid w:val="000D01FF"/>
    <w:rsid w:val="000D63BB"/>
    <w:rsid w:val="000D6AE4"/>
    <w:rsid w:val="000D71D9"/>
    <w:rsid w:val="000D76E0"/>
    <w:rsid w:val="000D7E8B"/>
    <w:rsid w:val="000E0DEC"/>
    <w:rsid w:val="000E2FA5"/>
    <w:rsid w:val="000E3B48"/>
    <w:rsid w:val="000E4449"/>
    <w:rsid w:val="000E6097"/>
    <w:rsid w:val="000E7392"/>
    <w:rsid w:val="000F013E"/>
    <w:rsid w:val="000F45CA"/>
    <w:rsid w:val="000F48BC"/>
    <w:rsid w:val="000F5EEB"/>
    <w:rsid w:val="0010105A"/>
    <w:rsid w:val="001011AB"/>
    <w:rsid w:val="00101869"/>
    <w:rsid w:val="00101979"/>
    <w:rsid w:val="00103829"/>
    <w:rsid w:val="001058FD"/>
    <w:rsid w:val="001079F3"/>
    <w:rsid w:val="00107D0D"/>
    <w:rsid w:val="00110427"/>
    <w:rsid w:val="00110B23"/>
    <w:rsid w:val="00111FCE"/>
    <w:rsid w:val="00112851"/>
    <w:rsid w:val="001142C4"/>
    <w:rsid w:val="00114C9E"/>
    <w:rsid w:val="00117314"/>
    <w:rsid w:val="00117D9F"/>
    <w:rsid w:val="00121CC2"/>
    <w:rsid w:val="001229A5"/>
    <w:rsid w:val="0012489B"/>
    <w:rsid w:val="00130017"/>
    <w:rsid w:val="00130F91"/>
    <w:rsid w:val="00132F20"/>
    <w:rsid w:val="001338BE"/>
    <w:rsid w:val="00137424"/>
    <w:rsid w:val="00140318"/>
    <w:rsid w:val="0014198F"/>
    <w:rsid w:val="00141AD9"/>
    <w:rsid w:val="001437C0"/>
    <w:rsid w:val="00146CE6"/>
    <w:rsid w:val="0014739F"/>
    <w:rsid w:val="00152903"/>
    <w:rsid w:val="00152D7B"/>
    <w:rsid w:val="00153FF9"/>
    <w:rsid w:val="00155737"/>
    <w:rsid w:val="0015614F"/>
    <w:rsid w:val="00156668"/>
    <w:rsid w:val="001577C2"/>
    <w:rsid w:val="00160667"/>
    <w:rsid w:val="00160935"/>
    <w:rsid w:val="00163283"/>
    <w:rsid w:val="001633C4"/>
    <w:rsid w:val="001679D0"/>
    <w:rsid w:val="00171591"/>
    <w:rsid w:val="001724FD"/>
    <w:rsid w:val="00172758"/>
    <w:rsid w:val="0017346A"/>
    <w:rsid w:val="00173981"/>
    <w:rsid w:val="00173A3C"/>
    <w:rsid w:val="00174B0E"/>
    <w:rsid w:val="0017719D"/>
    <w:rsid w:val="00177680"/>
    <w:rsid w:val="00177B5A"/>
    <w:rsid w:val="00181956"/>
    <w:rsid w:val="00184537"/>
    <w:rsid w:val="0018455D"/>
    <w:rsid w:val="001854B3"/>
    <w:rsid w:val="00185CAB"/>
    <w:rsid w:val="001875B7"/>
    <w:rsid w:val="00187CB3"/>
    <w:rsid w:val="0019050A"/>
    <w:rsid w:val="0019106A"/>
    <w:rsid w:val="001910D4"/>
    <w:rsid w:val="0019139E"/>
    <w:rsid w:val="00191699"/>
    <w:rsid w:val="001928A0"/>
    <w:rsid w:val="00193064"/>
    <w:rsid w:val="001936F9"/>
    <w:rsid w:val="00193887"/>
    <w:rsid w:val="00196642"/>
    <w:rsid w:val="00196D49"/>
    <w:rsid w:val="001976E3"/>
    <w:rsid w:val="001A2D34"/>
    <w:rsid w:val="001A2E61"/>
    <w:rsid w:val="001A442E"/>
    <w:rsid w:val="001A44EC"/>
    <w:rsid w:val="001B2B97"/>
    <w:rsid w:val="001B3AA2"/>
    <w:rsid w:val="001B4D7E"/>
    <w:rsid w:val="001B58AA"/>
    <w:rsid w:val="001B7E48"/>
    <w:rsid w:val="001C17CE"/>
    <w:rsid w:val="001C1DC2"/>
    <w:rsid w:val="001C1E9A"/>
    <w:rsid w:val="001C36CA"/>
    <w:rsid w:val="001C44D1"/>
    <w:rsid w:val="001C6869"/>
    <w:rsid w:val="001C69C1"/>
    <w:rsid w:val="001C6AEE"/>
    <w:rsid w:val="001C7630"/>
    <w:rsid w:val="001C7827"/>
    <w:rsid w:val="001D1661"/>
    <w:rsid w:val="001D2055"/>
    <w:rsid w:val="001D38AA"/>
    <w:rsid w:val="001D4A7F"/>
    <w:rsid w:val="001D6D15"/>
    <w:rsid w:val="001E0402"/>
    <w:rsid w:val="001E25BE"/>
    <w:rsid w:val="001E37A7"/>
    <w:rsid w:val="001E3A02"/>
    <w:rsid w:val="001E67C5"/>
    <w:rsid w:val="001F1A3A"/>
    <w:rsid w:val="001F2A54"/>
    <w:rsid w:val="001F37E1"/>
    <w:rsid w:val="001F42EA"/>
    <w:rsid w:val="001F52E4"/>
    <w:rsid w:val="001F5485"/>
    <w:rsid w:val="001F5599"/>
    <w:rsid w:val="001F5E70"/>
    <w:rsid w:val="001F7558"/>
    <w:rsid w:val="00201B0E"/>
    <w:rsid w:val="00203FB3"/>
    <w:rsid w:val="0020576F"/>
    <w:rsid w:val="00205B57"/>
    <w:rsid w:val="0021238D"/>
    <w:rsid w:val="00214280"/>
    <w:rsid w:val="00214456"/>
    <w:rsid w:val="002157E0"/>
    <w:rsid w:val="00215841"/>
    <w:rsid w:val="002160FD"/>
    <w:rsid w:val="00216A57"/>
    <w:rsid w:val="0022334F"/>
    <w:rsid w:val="00226819"/>
    <w:rsid w:val="00233101"/>
    <w:rsid w:val="00233817"/>
    <w:rsid w:val="002345D2"/>
    <w:rsid w:val="00235BF8"/>
    <w:rsid w:val="002367FF"/>
    <w:rsid w:val="00240CE9"/>
    <w:rsid w:val="00241611"/>
    <w:rsid w:val="00242424"/>
    <w:rsid w:val="002434BA"/>
    <w:rsid w:val="002447E8"/>
    <w:rsid w:val="00245BB4"/>
    <w:rsid w:val="00246089"/>
    <w:rsid w:val="00246093"/>
    <w:rsid w:val="00246702"/>
    <w:rsid w:val="002471B5"/>
    <w:rsid w:val="00247C59"/>
    <w:rsid w:val="00247F2E"/>
    <w:rsid w:val="00250ADC"/>
    <w:rsid w:val="00250B07"/>
    <w:rsid w:val="002520B9"/>
    <w:rsid w:val="002524D6"/>
    <w:rsid w:val="002554F6"/>
    <w:rsid w:val="00257553"/>
    <w:rsid w:val="00257B02"/>
    <w:rsid w:val="00260C2C"/>
    <w:rsid w:val="00260FB2"/>
    <w:rsid w:val="002615AE"/>
    <w:rsid w:val="00262029"/>
    <w:rsid w:val="00262128"/>
    <w:rsid w:val="002649AF"/>
    <w:rsid w:val="00265147"/>
    <w:rsid w:val="002658D0"/>
    <w:rsid w:val="00265AC6"/>
    <w:rsid w:val="0027165D"/>
    <w:rsid w:val="0027384F"/>
    <w:rsid w:val="00273CEB"/>
    <w:rsid w:val="00274231"/>
    <w:rsid w:val="00281C89"/>
    <w:rsid w:val="0028282F"/>
    <w:rsid w:val="002834F7"/>
    <w:rsid w:val="002865A2"/>
    <w:rsid w:val="00293D7C"/>
    <w:rsid w:val="0029593B"/>
    <w:rsid w:val="00297FC5"/>
    <w:rsid w:val="002A0386"/>
    <w:rsid w:val="002A0417"/>
    <w:rsid w:val="002A16D8"/>
    <w:rsid w:val="002A1BC8"/>
    <w:rsid w:val="002A1DD2"/>
    <w:rsid w:val="002A3EF2"/>
    <w:rsid w:val="002A4957"/>
    <w:rsid w:val="002A6893"/>
    <w:rsid w:val="002A7E29"/>
    <w:rsid w:val="002B0DED"/>
    <w:rsid w:val="002B19A2"/>
    <w:rsid w:val="002B301F"/>
    <w:rsid w:val="002B381A"/>
    <w:rsid w:val="002B3D52"/>
    <w:rsid w:val="002B4936"/>
    <w:rsid w:val="002B4FCC"/>
    <w:rsid w:val="002B7408"/>
    <w:rsid w:val="002B7CFD"/>
    <w:rsid w:val="002B7F0F"/>
    <w:rsid w:val="002C0418"/>
    <w:rsid w:val="002C090F"/>
    <w:rsid w:val="002C210F"/>
    <w:rsid w:val="002C23EF"/>
    <w:rsid w:val="002C2816"/>
    <w:rsid w:val="002C2FE8"/>
    <w:rsid w:val="002C6A77"/>
    <w:rsid w:val="002C6B48"/>
    <w:rsid w:val="002C7CE2"/>
    <w:rsid w:val="002D0E9D"/>
    <w:rsid w:val="002D1452"/>
    <w:rsid w:val="002D3600"/>
    <w:rsid w:val="002D5A8C"/>
    <w:rsid w:val="002D5B65"/>
    <w:rsid w:val="002D6526"/>
    <w:rsid w:val="002D65A8"/>
    <w:rsid w:val="002D6E0F"/>
    <w:rsid w:val="002E10F5"/>
    <w:rsid w:val="002E122A"/>
    <w:rsid w:val="002E12BE"/>
    <w:rsid w:val="002E1CBD"/>
    <w:rsid w:val="002E1DEE"/>
    <w:rsid w:val="002E3E82"/>
    <w:rsid w:val="002E4DDC"/>
    <w:rsid w:val="002F02C5"/>
    <w:rsid w:val="002F3475"/>
    <w:rsid w:val="002F65A0"/>
    <w:rsid w:val="002F6CBF"/>
    <w:rsid w:val="0030198D"/>
    <w:rsid w:val="00301BC2"/>
    <w:rsid w:val="00302480"/>
    <w:rsid w:val="00302A70"/>
    <w:rsid w:val="0030488C"/>
    <w:rsid w:val="003048C1"/>
    <w:rsid w:val="00304FEA"/>
    <w:rsid w:val="00306585"/>
    <w:rsid w:val="00310139"/>
    <w:rsid w:val="003127A7"/>
    <w:rsid w:val="00315203"/>
    <w:rsid w:val="003165E6"/>
    <w:rsid w:val="00321AF9"/>
    <w:rsid w:val="003221CF"/>
    <w:rsid w:val="003233ED"/>
    <w:rsid w:val="00323804"/>
    <w:rsid w:val="00324D9F"/>
    <w:rsid w:val="00326B06"/>
    <w:rsid w:val="00327810"/>
    <w:rsid w:val="00327948"/>
    <w:rsid w:val="0033000F"/>
    <w:rsid w:val="00332011"/>
    <w:rsid w:val="00332518"/>
    <w:rsid w:val="00332925"/>
    <w:rsid w:val="00332FF9"/>
    <w:rsid w:val="003332ED"/>
    <w:rsid w:val="00333CB2"/>
    <w:rsid w:val="003368DC"/>
    <w:rsid w:val="0034073A"/>
    <w:rsid w:val="00340D90"/>
    <w:rsid w:val="00342195"/>
    <w:rsid w:val="00343390"/>
    <w:rsid w:val="00343401"/>
    <w:rsid w:val="00345927"/>
    <w:rsid w:val="0034593D"/>
    <w:rsid w:val="00345B02"/>
    <w:rsid w:val="00346D73"/>
    <w:rsid w:val="003501D0"/>
    <w:rsid w:val="00350584"/>
    <w:rsid w:val="00351857"/>
    <w:rsid w:val="003526D8"/>
    <w:rsid w:val="003527B2"/>
    <w:rsid w:val="00354AA3"/>
    <w:rsid w:val="003569B2"/>
    <w:rsid w:val="003610E1"/>
    <w:rsid w:val="00361A0C"/>
    <w:rsid w:val="003626DE"/>
    <w:rsid w:val="00363A46"/>
    <w:rsid w:val="003642CA"/>
    <w:rsid w:val="003644DF"/>
    <w:rsid w:val="003645E0"/>
    <w:rsid w:val="003671BE"/>
    <w:rsid w:val="00367547"/>
    <w:rsid w:val="00370C54"/>
    <w:rsid w:val="00372485"/>
    <w:rsid w:val="0037270E"/>
    <w:rsid w:val="00372B7E"/>
    <w:rsid w:val="00373200"/>
    <w:rsid w:val="003740ED"/>
    <w:rsid w:val="00375893"/>
    <w:rsid w:val="00375EF5"/>
    <w:rsid w:val="003767A5"/>
    <w:rsid w:val="00384C1B"/>
    <w:rsid w:val="00385254"/>
    <w:rsid w:val="00385FEE"/>
    <w:rsid w:val="00391A28"/>
    <w:rsid w:val="003966DB"/>
    <w:rsid w:val="00397F3F"/>
    <w:rsid w:val="003A0ABE"/>
    <w:rsid w:val="003A1C79"/>
    <w:rsid w:val="003A3E44"/>
    <w:rsid w:val="003A5F5B"/>
    <w:rsid w:val="003A5F60"/>
    <w:rsid w:val="003A789A"/>
    <w:rsid w:val="003B12EC"/>
    <w:rsid w:val="003B2207"/>
    <w:rsid w:val="003B308F"/>
    <w:rsid w:val="003B33B8"/>
    <w:rsid w:val="003B4B3E"/>
    <w:rsid w:val="003B4C34"/>
    <w:rsid w:val="003B4CD0"/>
    <w:rsid w:val="003B74AB"/>
    <w:rsid w:val="003C1E02"/>
    <w:rsid w:val="003C5A35"/>
    <w:rsid w:val="003C6218"/>
    <w:rsid w:val="003C77E0"/>
    <w:rsid w:val="003D0780"/>
    <w:rsid w:val="003D14BF"/>
    <w:rsid w:val="003D17D7"/>
    <w:rsid w:val="003D1B4C"/>
    <w:rsid w:val="003D1DF2"/>
    <w:rsid w:val="003D2678"/>
    <w:rsid w:val="003D4AA1"/>
    <w:rsid w:val="003D67FD"/>
    <w:rsid w:val="003D6CFA"/>
    <w:rsid w:val="003D7168"/>
    <w:rsid w:val="003D71A3"/>
    <w:rsid w:val="003E0276"/>
    <w:rsid w:val="003E04AD"/>
    <w:rsid w:val="003E14D1"/>
    <w:rsid w:val="003E2A90"/>
    <w:rsid w:val="003E2B8A"/>
    <w:rsid w:val="003F0222"/>
    <w:rsid w:val="003F10EE"/>
    <w:rsid w:val="003F16F6"/>
    <w:rsid w:val="003F2AAE"/>
    <w:rsid w:val="003F4DC7"/>
    <w:rsid w:val="003F5235"/>
    <w:rsid w:val="003F595A"/>
    <w:rsid w:val="003F5A93"/>
    <w:rsid w:val="003F62AB"/>
    <w:rsid w:val="003F77FB"/>
    <w:rsid w:val="00401F87"/>
    <w:rsid w:val="004027E4"/>
    <w:rsid w:val="00406B00"/>
    <w:rsid w:val="00406D07"/>
    <w:rsid w:val="0041029C"/>
    <w:rsid w:val="0041071D"/>
    <w:rsid w:val="00411447"/>
    <w:rsid w:val="0041246C"/>
    <w:rsid w:val="00414AFC"/>
    <w:rsid w:val="00414B8D"/>
    <w:rsid w:val="004151A7"/>
    <w:rsid w:val="00415310"/>
    <w:rsid w:val="00416FEB"/>
    <w:rsid w:val="0041780C"/>
    <w:rsid w:val="00421709"/>
    <w:rsid w:val="004225BE"/>
    <w:rsid w:val="00423763"/>
    <w:rsid w:val="004257B0"/>
    <w:rsid w:val="00425A94"/>
    <w:rsid w:val="0042762F"/>
    <w:rsid w:val="00427DC7"/>
    <w:rsid w:val="00430E9F"/>
    <w:rsid w:val="00431613"/>
    <w:rsid w:val="00431792"/>
    <w:rsid w:val="00431D4A"/>
    <w:rsid w:val="00431ECB"/>
    <w:rsid w:val="004325D8"/>
    <w:rsid w:val="0043297A"/>
    <w:rsid w:val="00432EB2"/>
    <w:rsid w:val="00432EEF"/>
    <w:rsid w:val="004359C5"/>
    <w:rsid w:val="0043714F"/>
    <w:rsid w:val="0043774D"/>
    <w:rsid w:val="00442299"/>
    <w:rsid w:val="00442853"/>
    <w:rsid w:val="00442938"/>
    <w:rsid w:val="004438B5"/>
    <w:rsid w:val="0044445E"/>
    <w:rsid w:val="004457EF"/>
    <w:rsid w:val="00447037"/>
    <w:rsid w:val="00447705"/>
    <w:rsid w:val="00450189"/>
    <w:rsid w:val="0045124D"/>
    <w:rsid w:val="00452590"/>
    <w:rsid w:val="00454362"/>
    <w:rsid w:val="00454596"/>
    <w:rsid w:val="0045605D"/>
    <w:rsid w:val="004565F8"/>
    <w:rsid w:val="0046135B"/>
    <w:rsid w:val="0046224E"/>
    <w:rsid w:val="004718CC"/>
    <w:rsid w:val="0047438A"/>
    <w:rsid w:val="00475F61"/>
    <w:rsid w:val="00476B06"/>
    <w:rsid w:val="00480203"/>
    <w:rsid w:val="004804DE"/>
    <w:rsid w:val="00480E29"/>
    <w:rsid w:val="00481695"/>
    <w:rsid w:val="00483BA8"/>
    <w:rsid w:val="00484E6B"/>
    <w:rsid w:val="00485A14"/>
    <w:rsid w:val="00485B46"/>
    <w:rsid w:val="004903F2"/>
    <w:rsid w:val="00492FE2"/>
    <w:rsid w:val="00493433"/>
    <w:rsid w:val="004938D5"/>
    <w:rsid w:val="0049550B"/>
    <w:rsid w:val="00495A96"/>
    <w:rsid w:val="00495BB3"/>
    <w:rsid w:val="00496147"/>
    <w:rsid w:val="004A12CB"/>
    <w:rsid w:val="004A1974"/>
    <w:rsid w:val="004A1E61"/>
    <w:rsid w:val="004A35BE"/>
    <w:rsid w:val="004A56BB"/>
    <w:rsid w:val="004A72A9"/>
    <w:rsid w:val="004B1751"/>
    <w:rsid w:val="004B1AA7"/>
    <w:rsid w:val="004B4542"/>
    <w:rsid w:val="004C0253"/>
    <w:rsid w:val="004C13FE"/>
    <w:rsid w:val="004C23CD"/>
    <w:rsid w:val="004C6C64"/>
    <w:rsid w:val="004D076A"/>
    <w:rsid w:val="004D2A02"/>
    <w:rsid w:val="004D348E"/>
    <w:rsid w:val="004D56FF"/>
    <w:rsid w:val="004D6B04"/>
    <w:rsid w:val="004D721F"/>
    <w:rsid w:val="004D79C4"/>
    <w:rsid w:val="004E054A"/>
    <w:rsid w:val="004E15E2"/>
    <w:rsid w:val="004E199D"/>
    <w:rsid w:val="004E20BC"/>
    <w:rsid w:val="004E39D3"/>
    <w:rsid w:val="004E508A"/>
    <w:rsid w:val="004E5E1B"/>
    <w:rsid w:val="004E616D"/>
    <w:rsid w:val="004E750C"/>
    <w:rsid w:val="004F1BDE"/>
    <w:rsid w:val="004F1E6B"/>
    <w:rsid w:val="004F1EC6"/>
    <w:rsid w:val="004F23E1"/>
    <w:rsid w:val="004F2CEE"/>
    <w:rsid w:val="004F349F"/>
    <w:rsid w:val="004F556E"/>
    <w:rsid w:val="004F61A0"/>
    <w:rsid w:val="004F66DB"/>
    <w:rsid w:val="004F6876"/>
    <w:rsid w:val="004F7F44"/>
    <w:rsid w:val="0050158E"/>
    <w:rsid w:val="00501C86"/>
    <w:rsid w:val="005037B4"/>
    <w:rsid w:val="0050404B"/>
    <w:rsid w:val="005079BF"/>
    <w:rsid w:val="00507C2B"/>
    <w:rsid w:val="005106A5"/>
    <w:rsid w:val="0051264F"/>
    <w:rsid w:val="00513091"/>
    <w:rsid w:val="00516A5A"/>
    <w:rsid w:val="005219E7"/>
    <w:rsid w:val="00521B31"/>
    <w:rsid w:val="00521E27"/>
    <w:rsid w:val="005244C1"/>
    <w:rsid w:val="00524A4D"/>
    <w:rsid w:val="00527CA8"/>
    <w:rsid w:val="0053010C"/>
    <w:rsid w:val="005311C9"/>
    <w:rsid w:val="00531B9A"/>
    <w:rsid w:val="00531D15"/>
    <w:rsid w:val="005333D5"/>
    <w:rsid w:val="00534CF2"/>
    <w:rsid w:val="00534F0E"/>
    <w:rsid w:val="00535684"/>
    <w:rsid w:val="005365F9"/>
    <w:rsid w:val="00536890"/>
    <w:rsid w:val="00536ACB"/>
    <w:rsid w:val="00537604"/>
    <w:rsid w:val="005400FC"/>
    <w:rsid w:val="00540B9A"/>
    <w:rsid w:val="00542377"/>
    <w:rsid w:val="00543713"/>
    <w:rsid w:val="00546E95"/>
    <w:rsid w:val="0054740B"/>
    <w:rsid w:val="005476EB"/>
    <w:rsid w:val="00550FBE"/>
    <w:rsid w:val="00551782"/>
    <w:rsid w:val="00551E84"/>
    <w:rsid w:val="00553A7D"/>
    <w:rsid w:val="00557684"/>
    <w:rsid w:val="005611D5"/>
    <w:rsid w:val="00561818"/>
    <w:rsid w:val="005623E4"/>
    <w:rsid w:val="005624B7"/>
    <w:rsid w:val="00563EF1"/>
    <w:rsid w:val="00566AB4"/>
    <w:rsid w:val="00573478"/>
    <w:rsid w:val="005734FD"/>
    <w:rsid w:val="00575AC5"/>
    <w:rsid w:val="0057605D"/>
    <w:rsid w:val="00576F3A"/>
    <w:rsid w:val="00581347"/>
    <w:rsid w:val="00581AC9"/>
    <w:rsid w:val="005821D3"/>
    <w:rsid w:val="00582624"/>
    <w:rsid w:val="005849F8"/>
    <w:rsid w:val="00586FBF"/>
    <w:rsid w:val="005910BE"/>
    <w:rsid w:val="00592127"/>
    <w:rsid w:val="0059254C"/>
    <w:rsid w:val="005938DF"/>
    <w:rsid w:val="0059488D"/>
    <w:rsid w:val="00594E9C"/>
    <w:rsid w:val="005956D3"/>
    <w:rsid w:val="005A099B"/>
    <w:rsid w:val="005A1AC3"/>
    <w:rsid w:val="005A2D9C"/>
    <w:rsid w:val="005A55FE"/>
    <w:rsid w:val="005A628B"/>
    <w:rsid w:val="005A6A11"/>
    <w:rsid w:val="005B0688"/>
    <w:rsid w:val="005B22E4"/>
    <w:rsid w:val="005B2E78"/>
    <w:rsid w:val="005C2FB1"/>
    <w:rsid w:val="005C335A"/>
    <w:rsid w:val="005C36F9"/>
    <w:rsid w:val="005C48C2"/>
    <w:rsid w:val="005D02EE"/>
    <w:rsid w:val="005D2502"/>
    <w:rsid w:val="005D3821"/>
    <w:rsid w:val="005D42F8"/>
    <w:rsid w:val="005D47F3"/>
    <w:rsid w:val="005D49BF"/>
    <w:rsid w:val="005D630B"/>
    <w:rsid w:val="005D66F0"/>
    <w:rsid w:val="005D6895"/>
    <w:rsid w:val="005D6F4E"/>
    <w:rsid w:val="005E3ACD"/>
    <w:rsid w:val="005E4D2F"/>
    <w:rsid w:val="005E6687"/>
    <w:rsid w:val="005E7226"/>
    <w:rsid w:val="005E7A57"/>
    <w:rsid w:val="005F05AF"/>
    <w:rsid w:val="005F18F2"/>
    <w:rsid w:val="005F24B0"/>
    <w:rsid w:val="006022BE"/>
    <w:rsid w:val="00604315"/>
    <w:rsid w:val="00604E26"/>
    <w:rsid w:val="006052CF"/>
    <w:rsid w:val="00607B8D"/>
    <w:rsid w:val="00607CBA"/>
    <w:rsid w:val="00607CC4"/>
    <w:rsid w:val="00611F5C"/>
    <w:rsid w:val="00615321"/>
    <w:rsid w:val="00616E09"/>
    <w:rsid w:val="00617290"/>
    <w:rsid w:val="00620180"/>
    <w:rsid w:val="006212E4"/>
    <w:rsid w:val="0062295C"/>
    <w:rsid w:val="00622A3B"/>
    <w:rsid w:val="0062396C"/>
    <w:rsid w:val="00623FF9"/>
    <w:rsid w:val="00625FEF"/>
    <w:rsid w:val="0062685A"/>
    <w:rsid w:val="006272F5"/>
    <w:rsid w:val="00627D4E"/>
    <w:rsid w:val="00630D12"/>
    <w:rsid w:val="006317BD"/>
    <w:rsid w:val="00634478"/>
    <w:rsid w:val="0063655D"/>
    <w:rsid w:val="006406BD"/>
    <w:rsid w:val="00643F27"/>
    <w:rsid w:val="00644373"/>
    <w:rsid w:val="00645915"/>
    <w:rsid w:val="006461F7"/>
    <w:rsid w:val="00646D81"/>
    <w:rsid w:val="00650FDC"/>
    <w:rsid w:val="006519C3"/>
    <w:rsid w:val="00652B30"/>
    <w:rsid w:val="00655660"/>
    <w:rsid w:val="00656345"/>
    <w:rsid w:val="006567EC"/>
    <w:rsid w:val="00656DC6"/>
    <w:rsid w:val="00660566"/>
    <w:rsid w:val="00661AE0"/>
    <w:rsid w:val="00664110"/>
    <w:rsid w:val="00664D17"/>
    <w:rsid w:val="00665EEE"/>
    <w:rsid w:val="0066648A"/>
    <w:rsid w:val="00666520"/>
    <w:rsid w:val="00666CAF"/>
    <w:rsid w:val="00666D9B"/>
    <w:rsid w:val="00667429"/>
    <w:rsid w:val="00667C5B"/>
    <w:rsid w:val="00670F14"/>
    <w:rsid w:val="006737D7"/>
    <w:rsid w:val="00673F63"/>
    <w:rsid w:val="006751F8"/>
    <w:rsid w:val="00675F21"/>
    <w:rsid w:val="00681EDB"/>
    <w:rsid w:val="00683AD6"/>
    <w:rsid w:val="00684568"/>
    <w:rsid w:val="00686F67"/>
    <w:rsid w:val="00690F2C"/>
    <w:rsid w:val="00691AAE"/>
    <w:rsid w:val="00692CDE"/>
    <w:rsid w:val="00693073"/>
    <w:rsid w:val="00697795"/>
    <w:rsid w:val="006977FF"/>
    <w:rsid w:val="006A01FA"/>
    <w:rsid w:val="006A0E9E"/>
    <w:rsid w:val="006A25C7"/>
    <w:rsid w:val="006A4097"/>
    <w:rsid w:val="006A4AAD"/>
    <w:rsid w:val="006A6DA2"/>
    <w:rsid w:val="006A71A1"/>
    <w:rsid w:val="006A7AB2"/>
    <w:rsid w:val="006B1BB9"/>
    <w:rsid w:val="006B4D43"/>
    <w:rsid w:val="006B5717"/>
    <w:rsid w:val="006B582F"/>
    <w:rsid w:val="006B69BF"/>
    <w:rsid w:val="006B7184"/>
    <w:rsid w:val="006B7C89"/>
    <w:rsid w:val="006C0B86"/>
    <w:rsid w:val="006C0CEB"/>
    <w:rsid w:val="006C1145"/>
    <w:rsid w:val="006C247F"/>
    <w:rsid w:val="006C3B1E"/>
    <w:rsid w:val="006C47FD"/>
    <w:rsid w:val="006C4CEE"/>
    <w:rsid w:val="006C70A0"/>
    <w:rsid w:val="006D27CB"/>
    <w:rsid w:val="006D2BDE"/>
    <w:rsid w:val="006D2F08"/>
    <w:rsid w:val="006D302A"/>
    <w:rsid w:val="006D576C"/>
    <w:rsid w:val="006D5865"/>
    <w:rsid w:val="006D5CC1"/>
    <w:rsid w:val="006D62BD"/>
    <w:rsid w:val="006D6692"/>
    <w:rsid w:val="006E0A01"/>
    <w:rsid w:val="006E0A40"/>
    <w:rsid w:val="006E2780"/>
    <w:rsid w:val="006E3EAB"/>
    <w:rsid w:val="006E4876"/>
    <w:rsid w:val="006E4B1B"/>
    <w:rsid w:val="006E5445"/>
    <w:rsid w:val="006E60EC"/>
    <w:rsid w:val="006E623F"/>
    <w:rsid w:val="006E74BA"/>
    <w:rsid w:val="006E7D31"/>
    <w:rsid w:val="006E7D93"/>
    <w:rsid w:val="006F17B6"/>
    <w:rsid w:val="006F1C76"/>
    <w:rsid w:val="006F3562"/>
    <w:rsid w:val="006F7614"/>
    <w:rsid w:val="006F77DC"/>
    <w:rsid w:val="006F7B27"/>
    <w:rsid w:val="0070006D"/>
    <w:rsid w:val="00701B9E"/>
    <w:rsid w:val="00702336"/>
    <w:rsid w:val="007029A3"/>
    <w:rsid w:val="00703C2A"/>
    <w:rsid w:val="007041B2"/>
    <w:rsid w:val="00704FF9"/>
    <w:rsid w:val="00705847"/>
    <w:rsid w:val="00706CAE"/>
    <w:rsid w:val="00706E4E"/>
    <w:rsid w:val="0070791C"/>
    <w:rsid w:val="00710F16"/>
    <w:rsid w:val="007117CB"/>
    <w:rsid w:val="00711C99"/>
    <w:rsid w:val="00713836"/>
    <w:rsid w:val="0071383C"/>
    <w:rsid w:val="007141A7"/>
    <w:rsid w:val="00720C74"/>
    <w:rsid w:val="00721032"/>
    <w:rsid w:val="0072103E"/>
    <w:rsid w:val="00721447"/>
    <w:rsid w:val="00721B55"/>
    <w:rsid w:val="0072390E"/>
    <w:rsid w:val="00723E58"/>
    <w:rsid w:val="00726CE4"/>
    <w:rsid w:val="007321BC"/>
    <w:rsid w:val="00732703"/>
    <w:rsid w:val="00734143"/>
    <w:rsid w:val="007349C8"/>
    <w:rsid w:val="00734EB6"/>
    <w:rsid w:val="00735515"/>
    <w:rsid w:val="00737E47"/>
    <w:rsid w:val="00740EAC"/>
    <w:rsid w:val="00742C7B"/>
    <w:rsid w:val="007439CF"/>
    <w:rsid w:val="00744956"/>
    <w:rsid w:val="00744B2D"/>
    <w:rsid w:val="00745A5C"/>
    <w:rsid w:val="00745BF9"/>
    <w:rsid w:val="0074605F"/>
    <w:rsid w:val="0074670C"/>
    <w:rsid w:val="00747E94"/>
    <w:rsid w:val="007506A9"/>
    <w:rsid w:val="007517A5"/>
    <w:rsid w:val="00751E12"/>
    <w:rsid w:val="0076450D"/>
    <w:rsid w:val="00764868"/>
    <w:rsid w:val="00766749"/>
    <w:rsid w:val="00767C1B"/>
    <w:rsid w:val="00770375"/>
    <w:rsid w:val="007714A9"/>
    <w:rsid w:val="00772F59"/>
    <w:rsid w:val="00774F88"/>
    <w:rsid w:val="00774FDB"/>
    <w:rsid w:val="00776793"/>
    <w:rsid w:val="00777474"/>
    <w:rsid w:val="00777BA2"/>
    <w:rsid w:val="00777F90"/>
    <w:rsid w:val="00781408"/>
    <w:rsid w:val="007819E5"/>
    <w:rsid w:val="00783724"/>
    <w:rsid w:val="00784343"/>
    <w:rsid w:val="00784345"/>
    <w:rsid w:val="00784F7F"/>
    <w:rsid w:val="00785B6F"/>
    <w:rsid w:val="00787799"/>
    <w:rsid w:val="007927C7"/>
    <w:rsid w:val="00796F25"/>
    <w:rsid w:val="007A1363"/>
    <w:rsid w:val="007A1EB5"/>
    <w:rsid w:val="007A2E98"/>
    <w:rsid w:val="007A3BA3"/>
    <w:rsid w:val="007A5E1E"/>
    <w:rsid w:val="007A637D"/>
    <w:rsid w:val="007A63F0"/>
    <w:rsid w:val="007A6C24"/>
    <w:rsid w:val="007A6CC0"/>
    <w:rsid w:val="007A7FEC"/>
    <w:rsid w:val="007B0798"/>
    <w:rsid w:val="007B1499"/>
    <w:rsid w:val="007B1BBF"/>
    <w:rsid w:val="007B2960"/>
    <w:rsid w:val="007B355D"/>
    <w:rsid w:val="007B752E"/>
    <w:rsid w:val="007B7980"/>
    <w:rsid w:val="007C2C7C"/>
    <w:rsid w:val="007C2D2A"/>
    <w:rsid w:val="007C4E97"/>
    <w:rsid w:val="007C5B4A"/>
    <w:rsid w:val="007C5D5A"/>
    <w:rsid w:val="007C607F"/>
    <w:rsid w:val="007C79DD"/>
    <w:rsid w:val="007D1A97"/>
    <w:rsid w:val="007D2B46"/>
    <w:rsid w:val="007D2CD6"/>
    <w:rsid w:val="007D3063"/>
    <w:rsid w:val="007D3CEB"/>
    <w:rsid w:val="007D3D34"/>
    <w:rsid w:val="007D4A7C"/>
    <w:rsid w:val="007D5593"/>
    <w:rsid w:val="007D5760"/>
    <w:rsid w:val="007E1226"/>
    <w:rsid w:val="007E1889"/>
    <w:rsid w:val="007E2CBC"/>
    <w:rsid w:val="007E3AD3"/>
    <w:rsid w:val="007E7683"/>
    <w:rsid w:val="007E799F"/>
    <w:rsid w:val="007E7F20"/>
    <w:rsid w:val="007F101E"/>
    <w:rsid w:val="007F49FA"/>
    <w:rsid w:val="007F54C4"/>
    <w:rsid w:val="007F64D0"/>
    <w:rsid w:val="007F6E9A"/>
    <w:rsid w:val="00800B1B"/>
    <w:rsid w:val="008044D4"/>
    <w:rsid w:val="00804782"/>
    <w:rsid w:val="00805A90"/>
    <w:rsid w:val="00806096"/>
    <w:rsid w:val="0080632B"/>
    <w:rsid w:val="00806B01"/>
    <w:rsid w:val="00810AB4"/>
    <w:rsid w:val="00810E86"/>
    <w:rsid w:val="00813F3D"/>
    <w:rsid w:val="00815A03"/>
    <w:rsid w:val="00816806"/>
    <w:rsid w:val="00817B56"/>
    <w:rsid w:val="00820706"/>
    <w:rsid w:val="0082121D"/>
    <w:rsid w:val="00821865"/>
    <w:rsid w:val="0082192F"/>
    <w:rsid w:val="00821A88"/>
    <w:rsid w:val="008220AF"/>
    <w:rsid w:val="00822AA6"/>
    <w:rsid w:val="00822D18"/>
    <w:rsid w:val="00823B0A"/>
    <w:rsid w:val="0082495D"/>
    <w:rsid w:val="00824ED7"/>
    <w:rsid w:val="00825F7F"/>
    <w:rsid w:val="00831AC3"/>
    <w:rsid w:val="0083231B"/>
    <w:rsid w:val="008334F5"/>
    <w:rsid w:val="00834D42"/>
    <w:rsid w:val="0083557C"/>
    <w:rsid w:val="00837988"/>
    <w:rsid w:val="008408FF"/>
    <w:rsid w:val="008415B3"/>
    <w:rsid w:val="00845661"/>
    <w:rsid w:val="00846E3E"/>
    <w:rsid w:val="00851F3F"/>
    <w:rsid w:val="00853887"/>
    <w:rsid w:val="00856EDC"/>
    <w:rsid w:val="008623B5"/>
    <w:rsid w:val="00863A6B"/>
    <w:rsid w:val="008654B2"/>
    <w:rsid w:val="00870ABA"/>
    <w:rsid w:val="008710E1"/>
    <w:rsid w:val="008713CA"/>
    <w:rsid w:val="008716E5"/>
    <w:rsid w:val="00874800"/>
    <w:rsid w:val="00875097"/>
    <w:rsid w:val="0087540C"/>
    <w:rsid w:val="00877B7B"/>
    <w:rsid w:val="00881CA9"/>
    <w:rsid w:val="00882563"/>
    <w:rsid w:val="00883628"/>
    <w:rsid w:val="00883977"/>
    <w:rsid w:val="00885544"/>
    <w:rsid w:val="0088634E"/>
    <w:rsid w:val="00887E0C"/>
    <w:rsid w:val="00890EB1"/>
    <w:rsid w:val="008913F6"/>
    <w:rsid w:val="00893AB8"/>
    <w:rsid w:val="00893FA4"/>
    <w:rsid w:val="0089434B"/>
    <w:rsid w:val="008A04C8"/>
    <w:rsid w:val="008A1A30"/>
    <w:rsid w:val="008A2EB4"/>
    <w:rsid w:val="008A6913"/>
    <w:rsid w:val="008A6E2B"/>
    <w:rsid w:val="008A7615"/>
    <w:rsid w:val="008A7C91"/>
    <w:rsid w:val="008B1A0B"/>
    <w:rsid w:val="008B1A97"/>
    <w:rsid w:val="008B3C82"/>
    <w:rsid w:val="008B6813"/>
    <w:rsid w:val="008B70F3"/>
    <w:rsid w:val="008B76DF"/>
    <w:rsid w:val="008C0D0F"/>
    <w:rsid w:val="008C10F4"/>
    <w:rsid w:val="008C1FC6"/>
    <w:rsid w:val="008C4C90"/>
    <w:rsid w:val="008C67AA"/>
    <w:rsid w:val="008D1C46"/>
    <w:rsid w:val="008D33A6"/>
    <w:rsid w:val="008D387B"/>
    <w:rsid w:val="008D3B38"/>
    <w:rsid w:val="008D3CA3"/>
    <w:rsid w:val="008D48F4"/>
    <w:rsid w:val="008E0AAB"/>
    <w:rsid w:val="008E1169"/>
    <w:rsid w:val="008E2C56"/>
    <w:rsid w:val="008E37BE"/>
    <w:rsid w:val="008E4767"/>
    <w:rsid w:val="008E5ED6"/>
    <w:rsid w:val="008E73D9"/>
    <w:rsid w:val="008E7811"/>
    <w:rsid w:val="008E795F"/>
    <w:rsid w:val="008E79A1"/>
    <w:rsid w:val="008E7A8C"/>
    <w:rsid w:val="008F0039"/>
    <w:rsid w:val="008F1D8D"/>
    <w:rsid w:val="008F21FD"/>
    <w:rsid w:val="008F2822"/>
    <w:rsid w:val="008F66B8"/>
    <w:rsid w:val="009009F4"/>
    <w:rsid w:val="00901C88"/>
    <w:rsid w:val="00901D7E"/>
    <w:rsid w:val="00901F0B"/>
    <w:rsid w:val="00902074"/>
    <w:rsid w:val="00903285"/>
    <w:rsid w:val="0090667F"/>
    <w:rsid w:val="00906F40"/>
    <w:rsid w:val="0090731E"/>
    <w:rsid w:val="00915419"/>
    <w:rsid w:val="00915B1C"/>
    <w:rsid w:val="00915BDD"/>
    <w:rsid w:val="009174F3"/>
    <w:rsid w:val="0091797D"/>
    <w:rsid w:val="00921B68"/>
    <w:rsid w:val="00922F3E"/>
    <w:rsid w:val="00923CBA"/>
    <w:rsid w:val="009258B9"/>
    <w:rsid w:val="00926317"/>
    <w:rsid w:val="00926703"/>
    <w:rsid w:val="00927681"/>
    <w:rsid w:val="00927691"/>
    <w:rsid w:val="00927A5F"/>
    <w:rsid w:val="0093071D"/>
    <w:rsid w:val="009320D1"/>
    <w:rsid w:val="00932617"/>
    <w:rsid w:val="009333A8"/>
    <w:rsid w:val="00933F37"/>
    <w:rsid w:val="00935B63"/>
    <w:rsid w:val="00936807"/>
    <w:rsid w:val="00937DE1"/>
    <w:rsid w:val="0094078F"/>
    <w:rsid w:val="00940E64"/>
    <w:rsid w:val="00940FA3"/>
    <w:rsid w:val="00941FB0"/>
    <w:rsid w:val="00942500"/>
    <w:rsid w:val="009426D4"/>
    <w:rsid w:val="009432F3"/>
    <w:rsid w:val="009433C8"/>
    <w:rsid w:val="00943776"/>
    <w:rsid w:val="009467FD"/>
    <w:rsid w:val="00946B23"/>
    <w:rsid w:val="00947F25"/>
    <w:rsid w:val="00950159"/>
    <w:rsid w:val="00951887"/>
    <w:rsid w:val="009526C8"/>
    <w:rsid w:val="00953BDA"/>
    <w:rsid w:val="00954659"/>
    <w:rsid w:val="0095490B"/>
    <w:rsid w:val="00955405"/>
    <w:rsid w:val="009574A2"/>
    <w:rsid w:val="00960CAE"/>
    <w:rsid w:val="00966DDB"/>
    <w:rsid w:val="00967A53"/>
    <w:rsid w:val="00970927"/>
    <w:rsid w:val="00973613"/>
    <w:rsid w:val="00974363"/>
    <w:rsid w:val="00974771"/>
    <w:rsid w:val="00976654"/>
    <w:rsid w:val="00977804"/>
    <w:rsid w:val="009779BE"/>
    <w:rsid w:val="00980512"/>
    <w:rsid w:val="00981898"/>
    <w:rsid w:val="00984E2A"/>
    <w:rsid w:val="00986AB8"/>
    <w:rsid w:val="00986CE6"/>
    <w:rsid w:val="00987071"/>
    <w:rsid w:val="00992800"/>
    <w:rsid w:val="0099577C"/>
    <w:rsid w:val="00996BDF"/>
    <w:rsid w:val="009A0189"/>
    <w:rsid w:val="009A10E5"/>
    <w:rsid w:val="009A1E09"/>
    <w:rsid w:val="009A222C"/>
    <w:rsid w:val="009B1233"/>
    <w:rsid w:val="009B1EF2"/>
    <w:rsid w:val="009B4E9E"/>
    <w:rsid w:val="009B7203"/>
    <w:rsid w:val="009B7569"/>
    <w:rsid w:val="009C1690"/>
    <w:rsid w:val="009C2E9F"/>
    <w:rsid w:val="009C362A"/>
    <w:rsid w:val="009C434C"/>
    <w:rsid w:val="009C6881"/>
    <w:rsid w:val="009C7759"/>
    <w:rsid w:val="009C7E1A"/>
    <w:rsid w:val="009D043D"/>
    <w:rsid w:val="009D172E"/>
    <w:rsid w:val="009D1940"/>
    <w:rsid w:val="009D3491"/>
    <w:rsid w:val="009D4F2C"/>
    <w:rsid w:val="009D6C71"/>
    <w:rsid w:val="009D7782"/>
    <w:rsid w:val="009D7C23"/>
    <w:rsid w:val="009E0631"/>
    <w:rsid w:val="009E16D0"/>
    <w:rsid w:val="009E193F"/>
    <w:rsid w:val="009E389A"/>
    <w:rsid w:val="009E38FD"/>
    <w:rsid w:val="009E7634"/>
    <w:rsid w:val="009F08B6"/>
    <w:rsid w:val="009F0962"/>
    <w:rsid w:val="009F13B3"/>
    <w:rsid w:val="009F13D6"/>
    <w:rsid w:val="009F2302"/>
    <w:rsid w:val="009F4C6B"/>
    <w:rsid w:val="009F78A8"/>
    <w:rsid w:val="00A00C2F"/>
    <w:rsid w:val="00A01203"/>
    <w:rsid w:val="00A01F39"/>
    <w:rsid w:val="00A02672"/>
    <w:rsid w:val="00A02AD6"/>
    <w:rsid w:val="00A02C5B"/>
    <w:rsid w:val="00A05C91"/>
    <w:rsid w:val="00A07096"/>
    <w:rsid w:val="00A07318"/>
    <w:rsid w:val="00A074A1"/>
    <w:rsid w:val="00A10516"/>
    <w:rsid w:val="00A11370"/>
    <w:rsid w:val="00A122C1"/>
    <w:rsid w:val="00A14830"/>
    <w:rsid w:val="00A15B2C"/>
    <w:rsid w:val="00A16DEF"/>
    <w:rsid w:val="00A17724"/>
    <w:rsid w:val="00A20282"/>
    <w:rsid w:val="00A20380"/>
    <w:rsid w:val="00A224CE"/>
    <w:rsid w:val="00A22522"/>
    <w:rsid w:val="00A2389B"/>
    <w:rsid w:val="00A24AFD"/>
    <w:rsid w:val="00A24F5C"/>
    <w:rsid w:val="00A25705"/>
    <w:rsid w:val="00A30DA1"/>
    <w:rsid w:val="00A32285"/>
    <w:rsid w:val="00A32F96"/>
    <w:rsid w:val="00A3716F"/>
    <w:rsid w:val="00A372AE"/>
    <w:rsid w:val="00A40871"/>
    <w:rsid w:val="00A412AB"/>
    <w:rsid w:val="00A4193E"/>
    <w:rsid w:val="00A4252D"/>
    <w:rsid w:val="00A42871"/>
    <w:rsid w:val="00A440E0"/>
    <w:rsid w:val="00A442EF"/>
    <w:rsid w:val="00A5184D"/>
    <w:rsid w:val="00A51D1A"/>
    <w:rsid w:val="00A53E1C"/>
    <w:rsid w:val="00A5418D"/>
    <w:rsid w:val="00A5474E"/>
    <w:rsid w:val="00A5643C"/>
    <w:rsid w:val="00A60B05"/>
    <w:rsid w:val="00A661FB"/>
    <w:rsid w:val="00A70ADF"/>
    <w:rsid w:val="00A71466"/>
    <w:rsid w:val="00A7225D"/>
    <w:rsid w:val="00A74B5E"/>
    <w:rsid w:val="00A750B3"/>
    <w:rsid w:val="00A81BED"/>
    <w:rsid w:val="00A81EC4"/>
    <w:rsid w:val="00A8265C"/>
    <w:rsid w:val="00A8355E"/>
    <w:rsid w:val="00A84561"/>
    <w:rsid w:val="00A9045E"/>
    <w:rsid w:val="00A9082B"/>
    <w:rsid w:val="00A93CD4"/>
    <w:rsid w:val="00A95427"/>
    <w:rsid w:val="00A96523"/>
    <w:rsid w:val="00A967FD"/>
    <w:rsid w:val="00A97F0D"/>
    <w:rsid w:val="00AA07A4"/>
    <w:rsid w:val="00AA42CA"/>
    <w:rsid w:val="00AA543B"/>
    <w:rsid w:val="00AA57DF"/>
    <w:rsid w:val="00AA5810"/>
    <w:rsid w:val="00AA6266"/>
    <w:rsid w:val="00AB156C"/>
    <w:rsid w:val="00AB4C4B"/>
    <w:rsid w:val="00AB5A0E"/>
    <w:rsid w:val="00AB6814"/>
    <w:rsid w:val="00AC04BA"/>
    <w:rsid w:val="00AC0E39"/>
    <w:rsid w:val="00AC28E9"/>
    <w:rsid w:val="00AC2AAF"/>
    <w:rsid w:val="00AC3135"/>
    <w:rsid w:val="00AC45E7"/>
    <w:rsid w:val="00AC5210"/>
    <w:rsid w:val="00AC62A4"/>
    <w:rsid w:val="00AC6791"/>
    <w:rsid w:val="00AC747E"/>
    <w:rsid w:val="00AD0E5C"/>
    <w:rsid w:val="00AD2035"/>
    <w:rsid w:val="00AD3082"/>
    <w:rsid w:val="00AD4878"/>
    <w:rsid w:val="00AD4AD0"/>
    <w:rsid w:val="00AD5436"/>
    <w:rsid w:val="00AD60CD"/>
    <w:rsid w:val="00AD69D3"/>
    <w:rsid w:val="00AD6C8C"/>
    <w:rsid w:val="00AD6F55"/>
    <w:rsid w:val="00AD745F"/>
    <w:rsid w:val="00AE091D"/>
    <w:rsid w:val="00AE16B8"/>
    <w:rsid w:val="00AE1870"/>
    <w:rsid w:val="00AE3B60"/>
    <w:rsid w:val="00AE4A3D"/>
    <w:rsid w:val="00AE53A1"/>
    <w:rsid w:val="00AE7E2E"/>
    <w:rsid w:val="00AF2484"/>
    <w:rsid w:val="00AF574C"/>
    <w:rsid w:val="00AF6141"/>
    <w:rsid w:val="00AF63E7"/>
    <w:rsid w:val="00AF687A"/>
    <w:rsid w:val="00B00F90"/>
    <w:rsid w:val="00B0165D"/>
    <w:rsid w:val="00B019C9"/>
    <w:rsid w:val="00B02F4D"/>
    <w:rsid w:val="00B031F3"/>
    <w:rsid w:val="00B0352C"/>
    <w:rsid w:val="00B04F4E"/>
    <w:rsid w:val="00B052A4"/>
    <w:rsid w:val="00B073A9"/>
    <w:rsid w:val="00B078FD"/>
    <w:rsid w:val="00B125DE"/>
    <w:rsid w:val="00B13418"/>
    <w:rsid w:val="00B13FDD"/>
    <w:rsid w:val="00B16F6B"/>
    <w:rsid w:val="00B17730"/>
    <w:rsid w:val="00B20732"/>
    <w:rsid w:val="00B21968"/>
    <w:rsid w:val="00B22A39"/>
    <w:rsid w:val="00B22EB2"/>
    <w:rsid w:val="00B239F4"/>
    <w:rsid w:val="00B2416E"/>
    <w:rsid w:val="00B2574F"/>
    <w:rsid w:val="00B27442"/>
    <w:rsid w:val="00B279F2"/>
    <w:rsid w:val="00B27BA3"/>
    <w:rsid w:val="00B30265"/>
    <w:rsid w:val="00B31167"/>
    <w:rsid w:val="00B323DE"/>
    <w:rsid w:val="00B32517"/>
    <w:rsid w:val="00B329D8"/>
    <w:rsid w:val="00B32BB9"/>
    <w:rsid w:val="00B33289"/>
    <w:rsid w:val="00B33AE1"/>
    <w:rsid w:val="00B35171"/>
    <w:rsid w:val="00B36D62"/>
    <w:rsid w:val="00B37C38"/>
    <w:rsid w:val="00B40117"/>
    <w:rsid w:val="00B4288C"/>
    <w:rsid w:val="00B43262"/>
    <w:rsid w:val="00B44100"/>
    <w:rsid w:val="00B44BBA"/>
    <w:rsid w:val="00B44BD1"/>
    <w:rsid w:val="00B45089"/>
    <w:rsid w:val="00B45E77"/>
    <w:rsid w:val="00B46CBA"/>
    <w:rsid w:val="00B46DC1"/>
    <w:rsid w:val="00B46F94"/>
    <w:rsid w:val="00B50564"/>
    <w:rsid w:val="00B5276B"/>
    <w:rsid w:val="00B52F3C"/>
    <w:rsid w:val="00B55402"/>
    <w:rsid w:val="00B60056"/>
    <w:rsid w:val="00B6061D"/>
    <w:rsid w:val="00B61296"/>
    <w:rsid w:val="00B61F03"/>
    <w:rsid w:val="00B626E4"/>
    <w:rsid w:val="00B64C2A"/>
    <w:rsid w:val="00B65693"/>
    <w:rsid w:val="00B662F0"/>
    <w:rsid w:val="00B67936"/>
    <w:rsid w:val="00B70855"/>
    <w:rsid w:val="00B70DC1"/>
    <w:rsid w:val="00B72F4A"/>
    <w:rsid w:val="00B73564"/>
    <w:rsid w:val="00B75FE6"/>
    <w:rsid w:val="00B7610F"/>
    <w:rsid w:val="00B774CC"/>
    <w:rsid w:val="00B8126C"/>
    <w:rsid w:val="00B814DB"/>
    <w:rsid w:val="00B81F15"/>
    <w:rsid w:val="00B83C27"/>
    <w:rsid w:val="00B84BC3"/>
    <w:rsid w:val="00B84BDD"/>
    <w:rsid w:val="00B87A34"/>
    <w:rsid w:val="00B900A5"/>
    <w:rsid w:val="00B92069"/>
    <w:rsid w:val="00B92134"/>
    <w:rsid w:val="00B92812"/>
    <w:rsid w:val="00B92947"/>
    <w:rsid w:val="00B9419C"/>
    <w:rsid w:val="00B95D17"/>
    <w:rsid w:val="00BA15C5"/>
    <w:rsid w:val="00BA7236"/>
    <w:rsid w:val="00BA78E3"/>
    <w:rsid w:val="00BB171A"/>
    <w:rsid w:val="00BB45A1"/>
    <w:rsid w:val="00BB5EFE"/>
    <w:rsid w:val="00BB7686"/>
    <w:rsid w:val="00BC185F"/>
    <w:rsid w:val="00BC23F9"/>
    <w:rsid w:val="00BC2BAC"/>
    <w:rsid w:val="00BC3360"/>
    <w:rsid w:val="00BC3421"/>
    <w:rsid w:val="00BC379D"/>
    <w:rsid w:val="00BC4ABD"/>
    <w:rsid w:val="00BC4FD0"/>
    <w:rsid w:val="00BC732C"/>
    <w:rsid w:val="00BD4C81"/>
    <w:rsid w:val="00BD6301"/>
    <w:rsid w:val="00BE2580"/>
    <w:rsid w:val="00BE266D"/>
    <w:rsid w:val="00BE3938"/>
    <w:rsid w:val="00BE39AE"/>
    <w:rsid w:val="00BE4AFC"/>
    <w:rsid w:val="00BE4C11"/>
    <w:rsid w:val="00BE54DE"/>
    <w:rsid w:val="00BE628A"/>
    <w:rsid w:val="00BE6722"/>
    <w:rsid w:val="00BE71C0"/>
    <w:rsid w:val="00BF2BAD"/>
    <w:rsid w:val="00BF334D"/>
    <w:rsid w:val="00BF405B"/>
    <w:rsid w:val="00BF610C"/>
    <w:rsid w:val="00BF6266"/>
    <w:rsid w:val="00C0060B"/>
    <w:rsid w:val="00C01D5B"/>
    <w:rsid w:val="00C01E45"/>
    <w:rsid w:val="00C02076"/>
    <w:rsid w:val="00C0277D"/>
    <w:rsid w:val="00C04B81"/>
    <w:rsid w:val="00C053A1"/>
    <w:rsid w:val="00C1028A"/>
    <w:rsid w:val="00C1120D"/>
    <w:rsid w:val="00C16198"/>
    <w:rsid w:val="00C2083D"/>
    <w:rsid w:val="00C24A53"/>
    <w:rsid w:val="00C273DA"/>
    <w:rsid w:val="00C276DD"/>
    <w:rsid w:val="00C27AC4"/>
    <w:rsid w:val="00C300EF"/>
    <w:rsid w:val="00C31738"/>
    <w:rsid w:val="00C32E9E"/>
    <w:rsid w:val="00C353CF"/>
    <w:rsid w:val="00C4032F"/>
    <w:rsid w:val="00C40921"/>
    <w:rsid w:val="00C40BCD"/>
    <w:rsid w:val="00C42312"/>
    <w:rsid w:val="00C44047"/>
    <w:rsid w:val="00C445A2"/>
    <w:rsid w:val="00C44FF6"/>
    <w:rsid w:val="00C45155"/>
    <w:rsid w:val="00C46847"/>
    <w:rsid w:val="00C50517"/>
    <w:rsid w:val="00C5236D"/>
    <w:rsid w:val="00C53D89"/>
    <w:rsid w:val="00C5498F"/>
    <w:rsid w:val="00C54A1C"/>
    <w:rsid w:val="00C55235"/>
    <w:rsid w:val="00C5695F"/>
    <w:rsid w:val="00C609F9"/>
    <w:rsid w:val="00C6148F"/>
    <w:rsid w:val="00C624BA"/>
    <w:rsid w:val="00C62989"/>
    <w:rsid w:val="00C62BFD"/>
    <w:rsid w:val="00C63144"/>
    <w:rsid w:val="00C63738"/>
    <w:rsid w:val="00C64CD0"/>
    <w:rsid w:val="00C64DEB"/>
    <w:rsid w:val="00C6684F"/>
    <w:rsid w:val="00C70E70"/>
    <w:rsid w:val="00C71560"/>
    <w:rsid w:val="00C74A96"/>
    <w:rsid w:val="00C75492"/>
    <w:rsid w:val="00C75F8D"/>
    <w:rsid w:val="00C77380"/>
    <w:rsid w:val="00C800B8"/>
    <w:rsid w:val="00C826E2"/>
    <w:rsid w:val="00C8279A"/>
    <w:rsid w:val="00C83EF6"/>
    <w:rsid w:val="00C84636"/>
    <w:rsid w:val="00C8624B"/>
    <w:rsid w:val="00C9016A"/>
    <w:rsid w:val="00C90334"/>
    <w:rsid w:val="00C90DD5"/>
    <w:rsid w:val="00C928B1"/>
    <w:rsid w:val="00C92A91"/>
    <w:rsid w:val="00C93888"/>
    <w:rsid w:val="00C93C79"/>
    <w:rsid w:val="00C967C9"/>
    <w:rsid w:val="00C97736"/>
    <w:rsid w:val="00C978F2"/>
    <w:rsid w:val="00CA0F1A"/>
    <w:rsid w:val="00CA1676"/>
    <w:rsid w:val="00CA2CE6"/>
    <w:rsid w:val="00CA345A"/>
    <w:rsid w:val="00CB152A"/>
    <w:rsid w:val="00CB1E82"/>
    <w:rsid w:val="00CB2CF9"/>
    <w:rsid w:val="00CB30C1"/>
    <w:rsid w:val="00CB353E"/>
    <w:rsid w:val="00CB4BA8"/>
    <w:rsid w:val="00CB52D7"/>
    <w:rsid w:val="00CB5A6E"/>
    <w:rsid w:val="00CB6362"/>
    <w:rsid w:val="00CC0BD9"/>
    <w:rsid w:val="00CC14C9"/>
    <w:rsid w:val="00CC1561"/>
    <w:rsid w:val="00CC1D69"/>
    <w:rsid w:val="00CC23F1"/>
    <w:rsid w:val="00CC6732"/>
    <w:rsid w:val="00CD1A0E"/>
    <w:rsid w:val="00CD2AC6"/>
    <w:rsid w:val="00CD33A7"/>
    <w:rsid w:val="00CD48E6"/>
    <w:rsid w:val="00CD4F64"/>
    <w:rsid w:val="00CE1946"/>
    <w:rsid w:val="00CE3C96"/>
    <w:rsid w:val="00CE51A8"/>
    <w:rsid w:val="00CF3617"/>
    <w:rsid w:val="00CF369B"/>
    <w:rsid w:val="00CF5C66"/>
    <w:rsid w:val="00D00E28"/>
    <w:rsid w:val="00D01045"/>
    <w:rsid w:val="00D01B46"/>
    <w:rsid w:val="00D0269E"/>
    <w:rsid w:val="00D02A31"/>
    <w:rsid w:val="00D04235"/>
    <w:rsid w:val="00D0455B"/>
    <w:rsid w:val="00D046C3"/>
    <w:rsid w:val="00D04C49"/>
    <w:rsid w:val="00D05C1B"/>
    <w:rsid w:val="00D06746"/>
    <w:rsid w:val="00D157E7"/>
    <w:rsid w:val="00D15810"/>
    <w:rsid w:val="00D16D4E"/>
    <w:rsid w:val="00D16FE3"/>
    <w:rsid w:val="00D20E79"/>
    <w:rsid w:val="00D22A91"/>
    <w:rsid w:val="00D23C03"/>
    <w:rsid w:val="00D2531F"/>
    <w:rsid w:val="00D273D2"/>
    <w:rsid w:val="00D27F41"/>
    <w:rsid w:val="00D3156E"/>
    <w:rsid w:val="00D33437"/>
    <w:rsid w:val="00D35C87"/>
    <w:rsid w:val="00D36441"/>
    <w:rsid w:val="00D36614"/>
    <w:rsid w:val="00D4064E"/>
    <w:rsid w:val="00D41D67"/>
    <w:rsid w:val="00D42E59"/>
    <w:rsid w:val="00D43EAF"/>
    <w:rsid w:val="00D44E9B"/>
    <w:rsid w:val="00D4535F"/>
    <w:rsid w:val="00D47AEB"/>
    <w:rsid w:val="00D50DB9"/>
    <w:rsid w:val="00D52C43"/>
    <w:rsid w:val="00D52D02"/>
    <w:rsid w:val="00D54122"/>
    <w:rsid w:val="00D564F6"/>
    <w:rsid w:val="00D572B0"/>
    <w:rsid w:val="00D63D56"/>
    <w:rsid w:val="00D6507F"/>
    <w:rsid w:val="00D65BB8"/>
    <w:rsid w:val="00D66593"/>
    <w:rsid w:val="00D70032"/>
    <w:rsid w:val="00D715C2"/>
    <w:rsid w:val="00D71732"/>
    <w:rsid w:val="00D72C0E"/>
    <w:rsid w:val="00D730BC"/>
    <w:rsid w:val="00D73912"/>
    <w:rsid w:val="00D76BCD"/>
    <w:rsid w:val="00D80A6F"/>
    <w:rsid w:val="00D81904"/>
    <w:rsid w:val="00D83789"/>
    <w:rsid w:val="00D8455D"/>
    <w:rsid w:val="00D84676"/>
    <w:rsid w:val="00D85226"/>
    <w:rsid w:val="00D87A6F"/>
    <w:rsid w:val="00D87B94"/>
    <w:rsid w:val="00D92965"/>
    <w:rsid w:val="00D92D49"/>
    <w:rsid w:val="00D92EC1"/>
    <w:rsid w:val="00D949C7"/>
    <w:rsid w:val="00D9609B"/>
    <w:rsid w:val="00D96DEA"/>
    <w:rsid w:val="00D97151"/>
    <w:rsid w:val="00DA027F"/>
    <w:rsid w:val="00DA0569"/>
    <w:rsid w:val="00DA4E41"/>
    <w:rsid w:val="00DA5681"/>
    <w:rsid w:val="00DA5763"/>
    <w:rsid w:val="00DA60E3"/>
    <w:rsid w:val="00DA6508"/>
    <w:rsid w:val="00DA6A22"/>
    <w:rsid w:val="00DA6BAE"/>
    <w:rsid w:val="00DB0A87"/>
    <w:rsid w:val="00DB0BB2"/>
    <w:rsid w:val="00DB0CE3"/>
    <w:rsid w:val="00DB117A"/>
    <w:rsid w:val="00DB4016"/>
    <w:rsid w:val="00DB4383"/>
    <w:rsid w:val="00DB438D"/>
    <w:rsid w:val="00DB5173"/>
    <w:rsid w:val="00DB7873"/>
    <w:rsid w:val="00DC0A5A"/>
    <w:rsid w:val="00DC141C"/>
    <w:rsid w:val="00DC187B"/>
    <w:rsid w:val="00DD1CF6"/>
    <w:rsid w:val="00DD2990"/>
    <w:rsid w:val="00DD443B"/>
    <w:rsid w:val="00DD7360"/>
    <w:rsid w:val="00DD73C2"/>
    <w:rsid w:val="00DE138A"/>
    <w:rsid w:val="00DE319B"/>
    <w:rsid w:val="00DE5BFE"/>
    <w:rsid w:val="00DF34FE"/>
    <w:rsid w:val="00DF56AA"/>
    <w:rsid w:val="00DF7250"/>
    <w:rsid w:val="00DF7445"/>
    <w:rsid w:val="00DF78E7"/>
    <w:rsid w:val="00E03066"/>
    <w:rsid w:val="00E042AC"/>
    <w:rsid w:val="00E06B5A"/>
    <w:rsid w:val="00E110E0"/>
    <w:rsid w:val="00E115E4"/>
    <w:rsid w:val="00E12180"/>
    <w:rsid w:val="00E13611"/>
    <w:rsid w:val="00E139C0"/>
    <w:rsid w:val="00E13D3A"/>
    <w:rsid w:val="00E14A8C"/>
    <w:rsid w:val="00E14DF9"/>
    <w:rsid w:val="00E15371"/>
    <w:rsid w:val="00E21D8F"/>
    <w:rsid w:val="00E24104"/>
    <w:rsid w:val="00E24E7A"/>
    <w:rsid w:val="00E26CBE"/>
    <w:rsid w:val="00E302D0"/>
    <w:rsid w:val="00E3488F"/>
    <w:rsid w:val="00E34895"/>
    <w:rsid w:val="00E35707"/>
    <w:rsid w:val="00E363FF"/>
    <w:rsid w:val="00E36AA1"/>
    <w:rsid w:val="00E36FFC"/>
    <w:rsid w:val="00E41ECB"/>
    <w:rsid w:val="00E45758"/>
    <w:rsid w:val="00E52A22"/>
    <w:rsid w:val="00E52DF5"/>
    <w:rsid w:val="00E541B8"/>
    <w:rsid w:val="00E54FDB"/>
    <w:rsid w:val="00E55633"/>
    <w:rsid w:val="00E5617D"/>
    <w:rsid w:val="00E563D7"/>
    <w:rsid w:val="00E578A1"/>
    <w:rsid w:val="00E61282"/>
    <w:rsid w:val="00E61C50"/>
    <w:rsid w:val="00E628B8"/>
    <w:rsid w:val="00E648CA"/>
    <w:rsid w:val="00E663F4"/>
    <w:rsid w:val="00E666F2"/>
    <w:rsid w:val="00E66DD4"/>
    <w:rsid w:val="00E67A36"/>
    <w:rsid w:val="00E73ACC"/>
    <w:rsid w:val="00E748CC"/>
    <w:rsid w:val="00E75415"/>
    <w:rsid w:val="00E77297"/>
    <w:rsid w:val="00E775B1"/>
    <w:rsid w:val="00E8152A"/>
    <w:rsid w:val="00E85940"/>
    <w:rsid w:val="00E86BB3"/>
    <w:rsid w:val="00E93629"/>
    <w:rsid w:val="00E93B5C"/>
    <w:rsid w:val="00E94CEC"/>
    <w:rsid w:val="00E95573"/>
    <w:rsid w:val="00E95ACD"/>
    <w:rsid w:val="00E96F27"/>
    <w:rsid w:val="00EA0095"/>
    <w:rsid w:val="00EA02B5"/>
    <w:rsid w:val="00EA04EF"/>
    <w:rsid w:val="00EA0F9F"/>
    <w:rsid w:val="00EA1036"/>
    <w:rsid w:val="00EA1A84"/>
    <w:rsid w:val="00EA1B5D"/>
    <w:rsid w:val="00EA496F"/>
    <w:rsid w:val="00EA6F19"/>
    <w:rsid w:val="00EB447F"/>
    <w:rsid w:val="00EB66D0"/>
    <w:rsid w:val="00EB6EC1"/>
    <w:rsid w:val="00EB7090"/>
    <w:rsid w:val="00EC1BBE"/>
    <w:rsid w:val="00EC2383"/>
    <w:rsid w:val="00EC31D0"/>
    <w:rsid w:val="00EC368D"/>
    <w:rsid w:val="00EC5CD7"/>
    <w:rsid w:val="00EC63DE"/>
    <w:rsid w:val="00EC66F8"/>
    <w:rsid w:val="00ED11CD"/>
    <w:rsid w:val="00ED5827"/>
    <w:rsid w:val="00ED6700"/>
    <w:rsid w:val="00ED6D03"/>
    <w:rsid w:val="00ED7494"/>
    <w:rsid w:val="00EE4752"/>
    <w:rsid w:val="00EE4BCE"/>
    <w:rsid w:val="00EE5FB3"/>
    <w:rsid w:val="00EE6BFE"/>
    <w:rsid w:val="00EE6C6D"/>
    <w:rsid w:val="00EE71B5"/>
    <w:rsid w:val="00EE7F79"/>
    <w:rsid w:val="00EF2A35"/>
    <w:rsid w:val="00EF67FC"/>
    <w:rsid w:val="00EF68E3"/>
    <w:rsid w:val="00EF6E03"/>
    <w:rsid w:val="00EF715A"/>
    <w:rsid w:val="00EF7541"/>
    <w:rsid w:val="00F006DE"/>
    <w:rsid w:val="00F01E48"/>
    <w:rsid w:val="00F03357"/>
    <w:rsid w:val="00F0551C"/>
    <w:rsid w:val="00F06E14"/>
    <w:rsid w:val="00F10D03"/>
    <w:rsid w:val="00F11080"/>
    <w:rsid w:val="00F11243"/>
    <w:rsid w:val="00F11BAC"/>
    <w:rsid w:val="00F12000"/>
    <w:rsid w:val="00F121E5"/>
    <w:rsid w:val="00F147BA"/>
    <w:rsid w:val="00F179D4"/>
    <w:rsid w:val="00F22412"/>
    <w:rsid w:val="00F224C0"/>
    <w:rsid w:val="00F2258B"/>
    <w:rsid w:val="00F2392B"/>
    <w:rsid w:val="00F24976"/>
    <w:rsid w:val="00F2579D"/>
    <w:rsid w:val="00F32578"/>
    <w:rsid w:val="00F327D8"/>
    <w:rsid w:val="00F3282F"/>
    <w:rsid w:val="00F33C56"/>
    <w:rsid w:val="00F347C7"/>
    <w:rsid w:val="00F34848"/>
    <w:rsid w:val="00F34F9E"/>
    <w:rsid w:val="00F376FE"/>
    <w:rsid w:val="00F4267D"/>
    <w:rsid w:val="00F428D0"/>
    <w:rsid w:val="00F42D46"/>
    <w:rsid w:val="00F43431"/>
    <w:rsid w:val="00F4496C"/>
    <w:rsid w:val="00F44F3A"/>
    <w:rsid w:val="00F470DA"/>
    <w:rsid w:val="00F47F0F"/>
    <w:rsid w:val="00F5015A"/>
    <w:rsid w:val="00F51454"/>
    <w:rsid w:val="00F51D1C"/>
    <w:rsid w:val="00F51F10"/>
    <w:rsid w:val="00F529A5"/>
    <w:rsid w:val="00F570A9"/>
    <w:rsid w:val="00F57C80"/>
    <w:rsid w:val="00F60280"/>
    <w:rsid w:val="00F60F00"/>
    <w:rsid w:val="00F60F4D"/>
    <w:rsid w:val="00F614C0"/>
    <w:rsid w:val="00F63FCF"/>
    <w:rsid w:val="00F642FB"/>
    <w:rsid w:val="00F706C2"/>
    <w:rsid w:val="00F70DE3"/>
    <w:rsid w:val="00F7299C"/>
    <w:rsid w:val="00F7482B"/>
    <w:rsid w:val="00F750CF"/>
    <w:rsid w:val="00F76A4D"/>
    <w:rsid w:val="00F772A4"/>
    <w:rsid w:val="00F77B42"/>
    <w:rsid w:val="00F8152B"/>
    <w:rsid w:val="00F8268A"/>
    <w:rsid w:val="00F83848"/>
    <w:rsid w:val="00F846DE"/>
    <w:rsid w:val="00F868EA"/>
    <w:rsid w:val="00F91CC9"/>
    <w:rsid w:val="00F92CD2"/>
    <w:rsid w:val="00F948C4"/>
    <w:rsid w:val="00F94E49"/>
    <w:rsid w:val="00F956C9"/>
    <w:rsid w:val="00F963C0"/>
    <w:rsid w:val="00F96931"/>
    <w:rsid w:val="00F975E9"/>
    <w:rsid w:val="00F97ADD"/>
    <w:rsid w:val="00FA0225"/>
    <w:rsid w:val="00FA1B7D"/>
    <w:rsid w:val="00FA1EC7"/>
    <w:rsid w:val="00FA3203"/>
    <w:rsid w:val="00FA47D3"/>
    <w:rsid w:val="00FB000A"/>
    <w:rsid w:val="00FB0849"/>
    <w:rsid w:val="00FB379E"/>
    <w:rsid w:val="00FB3F69"/>
    <w:rsid w:val="00FB6A7E"/>
    <w:rsid w:val="00FB75E3"/>
    <w:rsid w:val="00FC07B9"/>
    <w:rsid w:val="00FC194B"/>
    <w:rsid w:val="00FC1D6F"/>
    <w:rsid w:val="00FC2674"/>
    <w:rsid w:val="00FC4E21"/>
    <w:rsid w:val="00FC5F6D"/>
    <w:rsid w:val="00FD2C2F"/>
    <w:rsid w:val="00FD3B31"/>
    <w:rsid w:val="00FD5D78"/>
    <w:rsid w:val="00FD78E3"/>
    <w:rsid w:val="00FE027F"/>
    <w:rsid w:val="00FE0ECF"/>
    <w:rsid w:val="00FE1823"/>
    <w:rsid w:val="00FE21A3"/>
    <w:rsid w:val="00FE36D7"/>
    <w:rsid w:val="00FE487A"/>
    <w:rsid w:val="00FE770D"/>
    <w:rsid w:val="00FE783C"/>
    <w:rsid w:val="00FF0569"/>
    <w:rsid w:val="00FF206E"/>
    <w:rsid w:val="00FF287E"/>
    <w:rsid w:val="00FF3C69"/>
    <w:rsid w:val="00FF3D40"/>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colormru v:ext="edit" colors="red,#4d4d4f"/>
    </o:shapedefaults>
    <o:shapelayout v:ext="edit">
      <o:idmap v:ext="edit" data="1"/>
    </o:shapelayout>
  </w:shapeDefaults>
  <w:decimalSymbol w:val="."/>
  <w:listSeparator w:val=","/>
  <w14:docId w14:val="5E4E36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Subtle Reference" w:uiPriority="31" w:qFormat="1"/>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AC2AAF"/>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qFormat/>
    <w:rsid w:val="00C55235"/>
    <w:pPr>
      <w:keepNext/>
      <w:spacing w:before="320" w:after="60"/>
      <w:outlineLvl w:val="1"/>
    </w:pPr>
    <w:rPr>
      <w:rFonts w:cs="Arial"/>
      <w:b/>
      <w:bCs/>
      <w:iCs/>
      <w:sz w:val="28"/>
      <w:szCs w:val="28"/>
    </w:rPr>
  </w:style>
  <w:style w:type="paragraph" w:styleId="Heading3">
    <w:name w:val="heading 3"/>
    <w:basedOn w:val="Normal"/>
    <w:next w:val="Normal"/>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Footnote,Appel note de bas de p1,Appel note de bas de p2,Appel note de bas de p3,Footnote Reference/,Style 12,(NECG) Footnote Reference,Style 124,o,fr,Style 3"/>
    <w:basedOn w:val="DefaultParagraphFont"/>
    <w:uiPriority w:val="99"/>
    <w:rsid w:val="00566AB4"/>
    <w:rPr>
      <w:rFonts w:ascii="Arial" w:hAnsi="Arial"/>
      <w:vertAlign w:val="superscript"/>
    </w:rPr>
  </w:style>
  <w:style w:type="paragraph" w:styleId="FootnoteText">
    <w:name w:val="footnote text"/>
    <w:aliases w:val="ACMA Footnote Text,footnote text,Footnote Text Char1,Footnote Text Char Char,Footnote Text Char1 Char Char,Footnote Text Char Char Char Char,Footnote Text Char1 Char Char Char Char,Footnote Text Char Char Char Char Char Char,f"/>
    <w:basedOn w:val="Normal"/>
    <w:link w:val="FootnoteTextChar"/>
    <w:uiPriority w:val="99"/>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uiPriority w:val="22"/>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D87A6F"/>
    <w:pPr>
      <w:numPr>
        <w:numId w:val="49"/>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D87A6F"/>
    <w:pPr>
      <w:numPr>
        <w:numId w:val="48"/>
      </w:numPr>
      <w:tabs>
        <w:tab w:val="clear" w:pos="3574"/>
        <w:tab w:val="left" w:pos="993"/>
      </w:tabs>
      <w:spacing w:after="160"/>
      <w:ind w:left="993" w:hanging="993"/>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styleId="ListParagraph">
    <w:name w:val="List Paragraph"/>
    <w:basedOn w:val="Normal"/>
    <w:uiPriority w:val="34"/>
    <w:qFormat/>
    <w:rsid w:val="00BF6266"/>
    <w:pPr>
      <w:ind w:left="720"/>
      <w:contextualSpacing/>
    </w:pPr>
  </w:style>
  <w:style w:type="character" w:customStyle="1" w:styleId="FootnoteTextChar">
    <w:name w:val="Footnote Text Char"/>
    <w:aliases w:val="ACMA Footnote Text Char,footnote text Char,Footnote Text Char1 Char,Footnote Text Char Char Char,Footnote Text Char1 Char Char Char,Footnote Text Char Char Char Char Char,Footnote Text Char1 Char Char Char Char Char,f Char"/>
    <w:basedOn w:val="DefaultParagraphFont"/>
    <w:link w:val="FootnoteText"/>
    <w:uiPriority w:val="99"/>
    <w:rsid w:val="00670F14"/>
    <w:rPr>
      <w:rFonts w:ascii="Arial" w:hAnsi="Arial"/>
      <w:sz w:val="16"/>
      <w:szCs w:val="16"/>
    </w:rPr>
  </w:style>
  <w:style w:type="paragraph" w:customStyle="1" w:styleId="ChapterHeading">
    <w:name w:val="Chapter Heading"/>
    <w:basedOn w:val="Normal"/>
    <w:rsid w:val="00536ACB"/>
    <w:pPr>
      <w:spacing w:after="0" w:line="560" w:lineRule="exact"/>
    </w:pPr>
    <w:rPr>
      <w:color w:val="808285"/>
      <w:spacing w:val="-28"/>
      <w:sz w:val="53"/>
    </w:rPr>
  </w:style>
  <w:style w:type="paragraph" w:customStyle="1" w:styleId="TableTextform">
    <w:name w:val="TableText form"/>
    <w:basedOn w:val="Normal"/>
    <w:qFormat/>
    <w:rsid w:val="00921B68"/>
    <w:pPr>
      <w:spacing w:before="40" w:line="240" w:lineRule="auto"/>
    </w:pPr>
    <w:rPr>
      <w:rFonts w:eastAsiaTheme="majorEastAsia" w:cs="Arial"/>
      <w:bCs/>
      <w:szCs w:val="20"/>
      <w:lang w:eastAsia="en-US"/>
    </w:rPr>
  </w:style>
  <w:style w:type="paragraph" w:customStyle="1" w:styleId="Formula">
    <w:name w:val="Formula"/>
    <w:basedOn w:val="Normal"/>
    <w:qFormat/>
    <w:rsid w:val="0041029C"/>
    <w:pPr>
      <w:tabs>
        <w:tab w:val="left" w:pos="1418"/>
        <w:tab w:val="left" w:pos="1843"/>
      </w:tabs>
      <w:spacing w:after="200" w:line="240" w:lineRule="auto"/>
      <w:ind w:left="1843" w:hanging="1843"/>
    </w:pPr>
    <w:rPr>
      <w:rFonts w:ascii="Times New Roman" w:eastAsiaTheme="minorEastAsia" w:hAnsi="Times New Roman" w:cstheme="minorBidi"/>
      <w:sz w:val="24"/>
      <w:lang w:eastAsia="en-US"/>
    </w:rPr>
  </w:style>
  <w:style w:type="paragraph" w:customStyle="1" w:styleId="ACMABodyText">
    <w:name w:val="ACMA Body Text"/>
    <w:link w:val="ACMABodyTextChar"/>
    <w:qFormat/>
    <w:rsid w:val="00E73ACC"/>
    <w:pPr>
      <w:suppressAutoHyphens/>
      <w:spacing w:before="80" w:after="120" w:line="280" w:lineRule="atLeast"/>
    </w:pPr>
    <w:rPr>
      <w:snapToGrid w:val="0"/>
      <w:szCs w:val="20"/>
      <w:lang w:eastAsia="en-US"/>
    </w:rPr>
  </w:style>
  <w:style w:type="paragraph" w:styleId="Title">
    <w:name w:val="Title"/>
    <w:basedOn w:val="Normal"/>
    <w:next w:val="Normal"/>
    <w:link w:val="TitleChar"/>
    <w:qFormat/>
    <w:rsid w:val="00D43EAF"/>
    <w:pPr>
      <w:spacing w:before="480" w:after="0" w:line="240" w:lineRule="auto"/>
    </w:pPr>
    <w:rPr>
      <w:rFonts w:cs="Arial"/>
      <w:b/>
      <w:bCs/>
      <w:sz w:val="40"/>
      <w:szCs w:val="40"/>
    </w:rPr>
  </w:style>
  <w:style w:type="character" w:customStyle="1" w:styleId="TitleChar">
    <w:name w:val="Title Char"/>
    <w:basedOn w:val="DefaultParagraphFont"/>
    <w:link w:val="Title"/>
    <w:uiPriority w:val="99"/>
    <w:rsid w:val="00D43EAF"/>
    <w:rPr>
      <w:rFonts w:ascii="Arial" w:hAnsi="Arial" w:cs="Arial"/>
      <w:b/>
      <w:bCs/>
      <w:sz w:val="40"/>
      <w:szCs w:val="40"/>
    </w:rPr>
  </w:style>
  <w:style w:type="paragraph" w:styleId="Revision">
    <w:name w:val="Revision"/>
    <w:hidden/>
    <w:semiHidden/>
    <w:rsid w:val="00734EB6"/>
    <w:rPr>
      <w:rFonts w:ascii="Arial" w:hAnsi="Arial"/>
      <w:sz w:val="20"/>
    </w:rPr>
  </w:style>
  <w:style w:type="character" w:customStyle="1" w:styleId="CharSectno">
    <w:name w:val="CharSectno"/>
    <w:basedOn w:val="DefaultParagraphFont"/>
    <w:rsid w:val="006F3562"/>
  </w:style>
  <w:style w:type="paragraph" w:customStyle="1" w:styleId="HR">
    <w:name w:val="HR"/>
    <w:aliases w:val="Regulation Heading"/>
    <w:basedOn w:val="Normal"/>
    <w:next w:val="R1"/>
    <w:rsid w:val="006F3562"/>
    <w:pPr>
      <w:keepNext/>
      <w:spacing w:before="360" w:after="0" w:line="240" w:lineRule="auto"/>
      <w:ind w:left="964" w:hanging="964"/>
    </w:pPr>
    <w:rPr>
      <w:b/>
      <w:sz w:val="24"/>
    </w:rPr>
  </w:style>
  <w:style w:type="paragraph" w:customStyle="1" w:styleId="R1">
    <w:name w:val="R1"/>
    <w:aliases w:val="1. or 1.(1)"/>
    <w:basedOn w:val="Normal"/>
    <w:next w:val="Normal"/>
    <w:rsid w:val="006F3562"/>
    <w:pPr>
      <w:keepLines/>
      <w:tabs>
        <w:tab w:val="right" w:pos="794"/>
      </w:tabs>
      <w:spacing w:before="120" w:after="0" w:line="260" w:lineRule="exact"/>
      <w:ind w:left="964" w:hanging="964"/>
      <w:jc w:val="both"/>
    </w:pPr>
    <w:rPr>
      <w:rFonts w:ascii="Times New Roman" w:hAnsi="Times New Roman"/>
      <w:sz w:val="24"/>
    </w:rPr>
  </w:style>
  <w:style w:type="character" w:customStyle="1" w:styleId="ACMABodyTextChar">
    <w:name w:val="ACMA Body Text Char"/>
    <w:basedOn w:val="DefaultParagraphFont"/>
    <w:link w:val="ACMABodyText"/>
    <w:rsid w:val="00155737"/>
    <w:rPr>
      <w:snapToGrid w:val="0"/>
      <w:szCs w:val="20"/>
      <w:lang w:eastAsia="en-US"/>
    </w:rPr>
  </w:style>
  <w:style w:type="paragraph" w:customStyle="1" w:styleId="ActHead5">
    <w:name w:val="ActHead 5"/>
    <w:aliases w:val="s"/>
    <w:basedOn w:val="Normal"/>
    <w:next w:val="subsection"/>
    <w:qFormat/>
    <w:rsid w:val="008B1A97"/>
    <w:pPr>
      <w:keepNext/>
      <w:keepLines/>
      <w:spacing w:before="280" w:after="0" w:line="240" w:lineRule="auto"/>
      <w:ind w:left="1134" w:hanging="1134"/>
      <w:outlineLvl w:val="4"/>
    </w:pPr>
    <w:rPr>
      <w:rFonts w:ascii="Times New Roman" w:hAnsi="Times New Roman"/>
      <w:b/>
      <w:kern w:val="28"/>
      <w:sz w:val="24"/>
      <w:szCs w:val="20"/>
    </w:rPr>
  </w:style>
  <w:style w:type="paragraph" w:customStyle="1" w:styleId="subsection">
    <w:name w:val="subsection"/>
    <w:aliases w:val="ss"/>
    <w:basedOn w:val="Normal"/>
    <w:link w:val="subsectionChar"/>
    <w:rsid w:val="008B1A97"/>
    <w:pPr>
      <w:tabs>
        <w:tab w:val="right" w:pos="1021"/>
      </w:tabs>
      <w:spacing w:before="180" w:after="0" w:line="240" w:lineRule="auto"/>
      <w:ind w:left="1134" w:hanging="1134"/>
    </w:pPr>
    <w:rPr>
      <w:rFonts w:ascii="Times New Roman" w:hAnsi="Times New Roman"/>
      <w:sz w:val="22"/>
      <w:szCs w:val="20"/>
    </w:rPr>
  </w:style>
  <w:style w:type="character" w:customStyle="1" w:styleId="subsectionChar">
    <w:name w:val="subsection Char"/>
    <w:aliases w:val="ss Char"/>
    <w:basedOn w:val="DefaultParagraphFont"/>
    <w:link w:val="subsection"/>
    <w:locked/>
    <w:rsid w:val="008B1A97"/>
    <w:rPr>
      <w:sz w:val="22"/>
      <w:szCs w:val="20"/>
    </w:rPr>
  </w:style>
  <w:style w:type="paragraph" w:customStyle="1" w:styleId="notetext">
    <w:name w:val="note(text)"/>
    <w:aliases w:val="n"/>
    <w:basedOn w:val="Normal"/>
    <w:link w:val="notetextChar"/>
    <w:rsid w:val="008B1A97"/>
    <w:pPr>
      <w:spacing w:before="122" w:after="0" w:line="240" w:lineRule="auto"/>
      <w:ind w:left="1985" w:hanging="851"/>
    </w:pPr>
    <w:rPr>
      <w:rFonts w:ascii="Times New Roman" w:hAnsi="Times New Roman"/>
      <w:sz w:val="18"/>
      <w:szCs w:val="20"/>
    </w:rPr>
  </w:style>
  <w:style w:type="character" w:customStyle="1" w:styleId="notetextChar">
    <w:name w:val="note(text) Char"/>
    <w:aliases w:val="n Char"/>
    <w:basedOn w:val="DefaultParagraphFont"/>
    <w:link w:val="notetext"/>
    <w:rsid w:val="008B1A97"/>
    <w:rPr>
      <w:sz w:val="18"/>
      <w:szCs w:val="20"/>
    </w:rPr>
  </w:style>
  <w:style w:type="paragraph" w:customStyle="1" w:styleId="paragraph">
    <w:name w:val="paragraph"/>
    <w:aliases w:val="a"/>
    <w:basedOn w:val="Normal"/>
    <w:rsid w:val="008B1A97"/>
    <w:pPr>
      <w:tabs>
        <w:tab w:val="right" w:pos="1531"/>
      </w:tabs>
      <w:spacing w:before="40" w:after="0" w:line="240" w:lineRule="auto"/>
      <w:ind w:left="1644" w:hanging="1644"/>
    </w:pPr>
    <w:rPr>
      <w:rFonts w:ascii="Times New Roman" w:hAnsi="Times New Roman"/>
      <w:sz w:val="22"/>
      <w:szCs w:val="20"/>
    </w:rPr>
  </w:style>
  <w:style w:type="paragraph" w:customStyle="1" w:styleId="ACMANumberedList">
    <w:name w:val="ACMA Numbered List"/>
    <w:rsid w:val="006F1C76"/>
    <w:pPr>
      <w:numPr>
        <w:numId w:val="44"/>
      </w:numPr>
      <w:spacing w:before="20" w:after="20"/>
    </w:pPr>
    <w:rPr>
      <w:szCs w:val="20"/>
      <w:lang w:eastAsia="en-US"/>
    </w:rPr>
  </w:style>
  <w:style w:type="character" w:customStyle="1" w:styleId="Heading1Char">
    <w:name w:val="Heading 1 Char"/>
    <w:basedOn w:val="DefaultParagraphFont"/>
    <w:link w:val="Heading1"/>
    <w:rsid w:val="00DD7360"/>
    <w:rPr>
      <w:rFonts w:ascii="Arial" w:hAnsi="Arial" w:cs="Arial"/>
      <w:bCs/>
      <w:color w:val="323232"/>
      <w:kern w:val="32"/>
      <w:sz w:val="53"/>
      <w:szCs w:val="32"/>
    </w:rPr>
  </w:style>
  <w:style w:type="paragraph" w:customStyle="1" w:styleId="Bulletlevel1">
    <w:name w:val="Bullet level 1"/>
    <w:basedOn w:val="Normal"/>
    <w:qFormat/>
    <w:rsid w:val="00B00F90"/>
    <w:pPr>
      <w:numPr>
        <w:numId w:val="59"/>
      </w:numPr>
      <w:spacing w:line="240" w:lineRule="auto"/>
      <w:ind w:left="567" w:hanging="567"/>
      <w:contextualSpacing/>
    </w:pPr>
    <w:rPr>
      <w:rFonts w:asciiTheme="minorHAnsi" w:eastAsiaTheme="minorHAnsi" w:hAnsiTheme="minorHAnsi" w:cstheme="minorBidi"/>
      <w:sz w:val="22"/>
      <w:szCs w:val="22"/>
      <w:lang w:eastAsia="en-US"/>
    </w:rPr>
  </w:style>
  <w:style w:type="character" w:styleId="SubtleReference">
    <w:name w:val="Subtle Reference"/>
    <w:basedOn w:val="DefaultParagraphFont"/>
    <w:uiPriority w:val="31"/>
    <w:qFormat/>
    <w:rsid w:val="00B00F90"/>
    <w:rPr>
      <w:rFonts w:asciiTheme="minorHAnsi" w:hAnsiTheme="minorHAnsi"/>
      <w:smallCaps/>
      <w:color w:val="5A5A5A" w:themeColor="text1" w:themeTint="A5"/>
      <w:sz w:val="22"/>
    </w:rPr>
  </w:style>
  <w:style w:type="paragraph" w:customStyle="1" w:styleId="GridTable31">
    <w:name w:val="Grid Table 31"/>
    <w:basedOn w:val="Normal"/>
    <w:qFormat/>
    <w:rsid w:val="00442299"/>
    <w:pPr>
      <w:spacing w:after="0" w:line="240" w:lineRule="auto"/>
    </w:pPr>
    <w:rPr>
      <w:b/>
      <w:color w:val="4D4D4F"/>
      <w:spacing w:val="-28"/>
      <w:sz w:val="53"/>
    </w:rPr>
  </w:style>
  <w:style w:type="character" w:customStyle="1" w:styleId="HeaderChar">
    <w:name w:val="Header Char"/>
    <w:link w:val="Header"/>
    <w:semiHidden/>
    <w:rsid w:val="00442299"/>
    <w:rPr>
      <w:rFonts w:ascii="Arial" w:hAnsi="Arial"/>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6040027">
      <w:bodyDiv w:val="1"/>
      <w:marLeft w:val="0"/>
      <w:marRight w:val="0"/>
      <w:marTop w:val="0"/>
      <w:marBottom w:val="0"/>
      <w:divBdr>
        <w:top w:val="none" w:sz="0" w:space="0" w:color="auto"/>
        <w:left w:val="none" w:sz="0" w:space="0" w:color="auto"/>
        <w:bottom w:val="none" w:sz="0" w:space="0" w:color="auto"/>
        <w:right w:val="none" w:sz="0" w:space="0" w:color="auto"/>
      </w:divBdr>
    </w:div>
    <w:div w:id="396561441">
      <w:bodyDiv w:val="1"/>
      <w:marLeft w:val="0"/>
      <w:marRight w:val="0"/>
      <w:marTop w:val="0"/>
      <w:marBottom w:val="0"/>
      <w:divBdr>
        <w:top w:val="none" w:sz="0" w:space="0" w:color="auto"/>
        <w:left w:val="none" w:sz="0" w:space="0" w:color="auto"/>
        <w:bottom w:val="none" w:sz="0" w:space="0" w:color="auto"/>
        <w:right w:val="none" w:sz="0" w:space="0" w:color="auto"/>
      </w:divBdr>
    </w:div>
    <w:div w:id="546919651">
      <w:bodyDiv w:val="1"/>
      <w:marLeft w:val="0"/>
      <w:marRight w:val="0"/>
      <w:marTop w:val="0"/>
      <w:marBottom w:val="0"/>
      <w:divBdr>
        <w:top w:val="none" w:sz="0" w:space="0" w:color="auto"/>
        <w:left w:val="none" w:sz="0" w:space="0" w:color="auto"/>
        <w:bottom w:val="none" w:sz="0" w:space="0" w:color="auto"/>
        <w:right w:val="none" w:sz="0" w:space="0" w:color="auto"/>
      </w:divBdr>
      <w:divsChild>
        <w:div w:id="1596330309">
          <w:marLeft w:val="547"/>
          <w:marRight w:val="0"/>
          <w:marTop w:val="0"/>
          <w:marBottom w:val="0"/>
          <w:divBdr>
            <w:top w:val="none" w:sz="0" w:space="0" w:color="auto"/>
            <w:left w:val="none" w:sz="0" w:space="0" w:color="auto"/>
            <w:bottom w:val="none" w:sz="0" w:space="0" w:color="auto"/>
            <w:right w:val="none" w:sz="0" w:space="0" w:color="auto"/>
          </w:divBdr>
        </w:div>
      </w:divsChild>
    </w:div>
    <w:div w:id="868101131">
      <w:bodyDiv w:val="1"/>
      <w:marLeft w:val="0"/>
      <w:marRight w:val="0"/>
      <w:marTop w:val="0"/>
      <w:marBottom w:val="0"/>
      <w:divBdr>
        <w:top w:val="none" w:sz="0" w:space="0" w:color="auto"/>
        <w:left w:val="none" w:sz="0" w:space="0" w:color="auto"/>
        <w:bottom w:val="none" w:sz="0" w:space="0" w:color="auto"/>
        <w:right w:val="none" w:sz="0" w:space="0" w:color="auto"/>
      </w:divBdr>
    </w:div>
    <w:div w:id="979112106">
      <w:bodyDiv w:val="1"/>
      <w:marLeft w:val="0"/>
      <w:marRight w:val="0"/>
      <w:marTop w:val="0"/>
      <w:marBottom w:val="0"/>
      <w:divBdr>
        <w:top w:val="none" w:sz="0" w:space="0" w:color="auto"/>
        <w:left w:val="none" w:sz="0" w:space="0" w:color="auto"/>
        <w:bottom w:val="none" w:sz="0" w:space="0" w:color="auto"/>
        <w:right w:val="none" w:sz="0" w:space="0" w:color="auto"/>
      </w:divBdr>
    </w:div>
    <w:div w:id="1047756755">
      <w:bodyDiv w:val="1"/>
      <w:marLeft w:val="0"/>
      <w:marRight w:val="0"/>
      <w:marTop w:val="0"/>
      <w:marBottom w:val="0"/>
      <w:divBdr>
        <w:top w:val="none" w:sz="0" w:space="0" w:color="auto"/>
        <w:left w:val="none" w:sz="0" w:space="0" w:color="auto"/>
        <w:bottom w:val="none" w:sz="0" w:space="0" w:color="auto"/>
        <w:right w:val="none" w:sz="0" w:space="0" w:color="auto"/>
      </w:divBdr>
      <w:divsChild>
        <w:div w:id="941960413">
          <w:marLeft w:val="547"/>
          <w:marRight w:val="0"/>
          <w:marTop w:val="0"/>
          <w:marBottom w:val="0"/>
          <w:divBdr>
            <w:top w:val="none" w:sz="0" w:space="0" w:color="auto"/>
            <w:left w:val="none" w:sz="0" w:space="0" w:color="auto"/>
            <w:bottom w:val="none" w:sz="0" w:space="0" w:color="auto"/>
            <w:right w:val="none" w:sz="0" w:space="0" w:color="auto"/>
          </w:divBdr>
        </w:div>
      </w:divsChild>
    </w:div>
    <w:div w:id="1292517156">
      <w:bodyDiv w:val="1"/>
      <w:marLeft w:val="0"/>
      <w:marRight w:val="0"/>
      <w:marTop w:val="0"/>
      <w:marBottom w:val="0"/>
      <w:divBdr>
        <w:top w:val="none" w:sz="0" w:space="0" w:color="auto"/>
        <w:left w:val="none" w:sz="0" w:space="0" w:color="auto"/>
        <w:bottom w:val="none" w:sz="0" w:space="0" w:color="auto"/>
        <w:right w:val="none" w:sz="0" w:space="0" w:color="auto"/>
      </w:divBdr>
      <w:divsChild>
        <w:div w:id="460660336">
          <w:marLeft w:val="547"/>
          <w:marRight w:val="0"/>
          <w:marTop w:val="0"/>
          <w:marBottom w:val="0"/>
          <w:divBdr>
            <w:top w:val="none" w:sz="0" w:space="0" w:color="auto"/>
            <w:left w:val="none" w:sz="0" w:space="0" w:color="auto"/>
            <w:bottom w:val="none" w:sz="0" w:space="0" w:color="auto"/>
            <w:right w:val="none" w:sz="0" w:space="0" w:color="auto"/>
          </w:divBdr>
        </w:div>
      </w:divsChild>
    </w:div>
    <w:div w:id="1685092941">
      <w:bodyDiv w:val="1"/>
      <w:marLeft w:val="0"/>
      <w:marRight w:val="0"/>
      <w:marTop w:val="0"/>
      <w:marBottom w:val="0"/>
      <w:divBdr>
        <w:top w:val="none" w:sz="0" w:space="0" w:color="auto"/>
        <w:left w:val="none" w:sz="0" w:space="0" w:color="auto"/>
        <w:bottom w:val="none" w:sz="0" w:space="0" w:color="auto"/>
        <w:right w:val="none" w:sz="0" w:space="0" w:color="auto"/>
      </w:divBdr>
      <w:divsChild>
        <w:div w:id="1059593501">
          <w:marLeft w:val="547"/>
          <w:marRight w:val="0"/>
          <w:marTop w:val="0"/>
          <w:marBottom w:val="0"/>
          <w:divBdr>
            <w:top w:val="none" w:sz="0" w:space="0" w:color="auto"/>
            <w:left w:val="none" w:sz="0" w:space="0" w:color="auto"/>
            <w:bottom w:val="none" w:sz="0" w:space="0" w:color="auto"/>
            <w:right w:val="none" w:sz="0" w:space="0" w:color="auto"/>
          </w:divBdr>
        </w:div>
      </w:divsChild>
    </w:div>
    <w:div w:id="1805468840">
      <w:bodyDiv w:val="1"/>
      <w:marLeft w:val="0"/>
      <w:marRight w:val="0"/>
      <w:marTop w:val="0"/>
      <w:marBottom w:val="0"/>
      <w:divBdr>
        <w:top w:val="none" w:sz="0" w:space="0" w:color="auto"/>
        <w:left w:val="none" w:sz="0" w:space="0" w:color="auto"/>
        <w:bottom w:val="none" w:sz="0" w:space="0" w:color="auto"/>
        <w:right w:val="none" w:sz="0" w:space="0" w:color="auto"/>
      </w:divBdr>
      <w:divsChild>
        <w:div w:id="1232496867">
          <w:marLeft w:val="0"/>
          <w:marRight w:val="0"/>
          <w:marTop w:val="0"/>
          <w:marBottom w:val="0"/>
          <w:divBdr>
            <w:top w:val="none" w:sz="0" w:space="0" w:color="auto"/>
            <w:left w:val="none" w:sz="0" w:space="0" w:color="auto"/>
            <w:bottom w:val="none" w:sz="0" w:space="0" w:color="auto"/>
            <w:right w:val="none" w:sz="0" w:space="0" w:color="auto"/>
          </w:divBdr>
          <w:divsChild>
            <w:div w:id="1785534804">
              <w:marLeft w:val="0"/>
              <w:marRight w:val="0"/>
              <w:marTop w:val="0"/>
              <w:marBottom w:val="0"/>
              <w:divBdr>
                <w:top w:val="none" w:sz="0" w:space="0" w:color="auto"/>
                <w:left w:val="none" w:sz="0" w:space="0" w:color="auto"/>
                <w:bottom w:val="none" w:sz="0" w:space="0" w:color="auto"/>
                <w:right w:val="none" w:sz="0" w:space="0" w:color="auto"/>
              </w:divBdr>
              <w:divsChild>
                <w:div w:id="1447777619">
                  <w:marLeft w:val="0"/>
                  <w:marRight w:val="0"/>
                  <w:marTop w:val="0"/>
                  <w:marBottom w:val="0"/>
                  <w:divBdr>
                    <w:top w:val="none" w:sz="0" w:space="0" w:color="auto"/>
                    <w:left w:val="none" w:sz="0" w:space="0" w:color="auto"/>
                    <w:bottom w:val="none" w:sz="0" w:space="0" w:color="auto"/>
                    <w:right w:val="none" w:sz="0" w:space="0" w:color="auto"/>
                  </w:divBdr>
                  <w:divsChild>
                    <w:div w:id="584192434">
                      <w:marLeft w:val="0"/>
                      <w:marRight w:val="0"/>
                      <w:marTop w:val="0"/>
                      <w:marBottom w:val="0"/>
                      <w:divBdr>
                        <w:top w:val="none" w:sz="0" w:space="0" w:color="auto"/>
                        <w:left w:val="none" w:sz="0" w:space="0" w:color="auto"/>
                        <w:bottom w:val="none" w:sz="0" w:space="0" w:color="auto"/>
                        <w:right w:val="none" w:sz="0" w:space="0" w:color="auto"/>
                      </w:divBdr>
                      <w:divsChild>
                        <w:div w:id="747311453">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17016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hyperlink" Target="mailto:candinfo@acma.gov.au" TargetMode="External"/><Relationship Id="rId26" Type="http://schemas.openxmlformats.org/officeDocument/2006/relationships/footer" Target="footer5.xml"/><Relationship Id="rId39" Type="http://schemas.openxmlformats.org/officeDocument/2006/relationships/hyperlink" Target="http://www.acma.gov.au/privacypolicy" TargetMode="External"/><Relationship Id="rId3" Type="http://schemas.openxmlformats.org/officeDocument/2006/relationships/customXml" Target="../customXml/item3.xml"/><Relationship Id="rId21" Type="http://schemas.openxmlformats.org/officeDocument/2006/relationships/footer" Target="footer2.xml"/><Relationship Id="rId34" Type="http://schemas.openxmlformats.org/officeDocument/2006/relationships/hyperlink" Target="mailto:media@acma.gov.au" TargetMode="External"/><Relationship Id="rId42" Type="http://schemas.openxmlformats.org/officeDocument/2006/relationships/footer" Target="footer7.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hyperlink" Target="http://creativecommons.org/licenses/by/3.0/au/" TargetMode="External"/><Relationship Id="rId25" Type="http://schemas.openxmlformats.org/officeDocument/2006/relationships/footer" Target="footer4.xml"/><Relationship Id="rId33" Type="http://schemas.openxmlformats.org/officeDocument/2006/relationships/hyperlink" Target="mailto:%20SpectrumLicensingPolicy@acma.gov.au" TargetMode="External"/><Relationship Id="rId38" Type="http://schemas.openxmlformats.org/officeDocument/2006/relationships/hyperlink" Target="http://www.oaic.gov.au/privacy/privacy-resources/privacy-fact-sheets/other/privacy-fact-sheet-17-australian-privacy-principles" TargetMode="External"/><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header" Target="header4.xml"/><Relationship Id="rId29" Type="http://schemas.openxmlformats.org/officeDocument/2006/relationships/hyperlink" Target="http://acma.gov.au/Industry/Spectrum/Spectrum-planning/About-spectrum-planning/principles-for-spectrum-management" TargetMode="External"/><Relationship Id="rId41"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eader" Target="header6.xml"/><Relationship Id="rId32" Type="http://schemas.openxmlformats.org/officeDocument/2006/relationships/hyperlink" Target="https://www.legislation.gov.au/" TargetMode="External"/><Relationship Id="rId37" Type="http://schemas.openxmlformats.org/officeDocument/2006/relationships/hyperlink" Target="http://www.comlaw.gov.au/Series/C2004A03712" TargetMode="External"/><Relationship Id="rId40" Type="http://schemas.openxmlformats.org/officeDocument/2006/relationships/header" Target="header7.xml"/><Relationship Id="rId45"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http://i.creativecommons.org/l/by/3.0/88x31.png" TargetMode="External"/><Relationship Id="rId23" Type="http://schemas.openxmlformats.org/officeDocument/2006/relationships/header" Target="header5.xml"/><Relationship Id="rId28" Type="http://schemas.openxmlformats.org/officeDocument/2006/relationships/hyperlink" Target="http://www.minister.communications.gov.au/mitch_fifield/news/700_mhz_spectrum_to_be_sold_by_competitive_auction" TargetMode="External"/><Relationship Id="rId36" Type="http://schemas.openxmlformats.org/officeDocument/2006/relationships/hyperlink" Target="http://www.acma.gov.au/theACMA/About/Corporate/Responsibilities/acma-evidenceinformed-regulation-and-effective-consultation" TargetMode="External"/><Relationship Id="rId10" Type="http://schemas.openxmlformats.org/officeDocument/2006/relationships/footnotes" Target="footnotes.xml"/><Relationship Id="rId19" Type="http://schemas.openxmlformats.org/officeDocument/2006/relationships/header" Target="header3.xml"/><Relationship Id="rId31" Type="http://schemas.openxmlformats.org/officeDocument/2006/relationships/image" Target="media/image5.png"/><Relationship Id="rId44"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image" Target="media/image4.png"/><Relationship Id="rId35" Type="http://schemas.openxmlformats.org/officeDocument/2006/relationships/hyperlink" Target="mailto:SpectrumLicensingPolicy@acma.gov.au" TargetMode="External"/><Relationship Id="rId43" Type="http://schemas.openxmlformats.org/officeDocument/2006/relationships/footer" Target="footer8.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8" Type="http://schemas.openxmlformats.org/officeDocument/2006/relationships/hyperlink" Target="https://www.communications.gov.au/have-your-say/draft-ministerial-direction-unsold-700-mhz-spectrum" TargetMode="External"/><Relationship Id="rId3" Type="http://schemas.openxmlformats.org/officeDocument/2006/relationships/hyperlink" Target="https://www.legislation.gov.au/Details/F2011L02180" TargetMode="External"/><Relationship Id="rId7" Type="http://schemas.openxmlformats.org/officeDocument/2006/relationships/hyperlink" Target="https://www.legislation.gov.au/Details/F2012L02544" TargetMode="External"/><Relationship Id="rId2" Type="http://schemas.openxmlformats.org/officeDocument/2006/relationships/hyperlink" Target="http://acma.gov.au/theacma/digital-dividend-auction-results" TargetMode="External"/><Relationship Id="rId1" Type="http://schemas.openxmlformats.org/officeDocument/2006/relationships/hyperlink" Target="http://acma.gov.au/theacma/acma-issues-for-comment-342010-consultation-on-the-configuration-and-allocation-of-digital-dividend-spectrum" TargetMode="External"/><Relationship Id="rId6" Type="http://schemas.openxmlformats.org/officeDocument/2006/relationships/hyperlink" Target="https://www.legislation.gov.au/Details/F2012L02546" TargetMode="External"/><Relationship Id="rId5" Type="http://schemas.openxmlformats.org/officeDocument/2006/relationships/hyperlink" Target="https://www.legislation.gov.au/Details/F2013C00200" TargetMode="External"/><Relationship Id="rId10" Type="http://schemas.openxmlformats.org/officeDocument/2006/relationships/hyperlink" Target="https://www.communications.gov.au/have-your-say/draft-ministerial-direction-unsold-700-mhz-spectrum" TargetMode="External"/><Relationship Id="rId4" Type="http://schemas.openxmlformats.org/officeDocument/2006/relationships/hyperlink" Target="https://www.legislation.gov.au/Details/F2012C00890" TargetMode="External"/><Relationship Id="rId9" Type="http://schemas.openxmlformats.org/officeDocument/2006/relationships/hyperlink" Target="https://www.legislation.gov.au/Details/F2012C00890"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18A63002736B14082B457D98FE55C4A" ma:contentTypeVersion="0" ma:contentTypeDescription="Create a new document." ma:contentTypeScope="" ma:versionID="346390b6a66072f6814040d34a8a1fb6">
  <xsd:schema xmlns:xsd="http://www.w3.org/2001/XMLSchema" xmlns:xs="http://www.w3.org/2001/XMLSchema" xmlns:p="http://schemas.microsoft.com/office/2006/metadata/properties" xmlns:ns2="1d983eb4-33f7-44b0-aea1-cbdcf0c55136" targetNamespace="http://schemas.microsoft.com/office/2006/metadata/properties" ma:root="true" ma:fieldsID="85ca1f7d1e1b38634bae0caaff15e10b" ns2:_="">
    <xsd:import namespace="1d983eb4-33f7-44b0-aea1-cbdcf0c55136"/>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983eb4-33f7-44b0-aea1-cbdcf0c55136"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1d983eb4-33f7-44b0-aea1-cbdcf0c55136">3NE2HDV7HD6D-1176107878-75</_dlc_DocId>
    <_dlc_DocIdUrl xmlns="1d983eb4-33f7-44b0-aea1-cbdcf0c55136">
      <Url>http://collaboration/organisation/cid/RPB/MSAS/lib/_layouts/15/DocIdRedir.aspx?ID=3NE2HDV7HD6D-1176107878-75</Url>
      <Description>3NE2HDV7HD6D-1176107878-75</Description>
    </_dlc_DocIdUrl>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1FB5FE-4F47-4AA2-8EA9-BDCF185C65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d983eb4-33f7-44b0-aea1-cbdcf0c5513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EA950D9-C321-405C-89E9-EA13F08A72C2}">
  <ds:schemaRefs>
    <ds:schemaRef ds:uri="http://schemas.microsoft.com/sharepoint/events"/>
  </ds:schemaRefs>
</ds:datastoreItem>
</file>

<file path=customXml/itemProps3.xml><?xml version="1.0" encoding="utf-8"?>
<ds:datastoreItem xmlns:ds="http://schemas.openxmlformats.org/officeDocument/2006/customXml" ds:itemID="{3CDB37F9-6266-4DDE-B58D-01CC2DC9CF17}">
  <ds:schemaRefs>
    <ds:schemaRef ds:uri="http://schemas.microsoft.com/sharepoint/v3/contenttype/forms"/>
  </ds:schemaRefs>
</ds:datastoreItem>
</file>

<file path=customXml/itemProps4.xml><?xml version="1.0" encoding="utf-8"?>
<ds:datastoreItem xmlns:ds="http://schemas.openxmlformats.org/officeDocument/2006/customXml" ds:itemID="{A9964477-4959-4490-8A60-9F8706D6F4B2}">
  <ds:schemaRefs>
    <ds:schemaRef ds:uri="http://purl.org/dc/terms/"/>
    <ds:schemaRef ds:uri="http://schemas.openxmlformats.org/package/2006/metadata/core-properties"/>
    <ds:schemaRef ds:uri="1d983eb4-33f7-44b0-aea1-cbdcf0c55136"/>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s>
</ds:datastoreItem>
</file>

<file path=customXml/itemProps5.xml><?xml version="1.0" encoding="utf-8"?>
<ds:datastoreItem xmlns:ds="http://schemas.openxmlformats.org/officeDocument/2006/customXml" ds:itemID="{1F6337CB-92EC-4976-BA3F-C23DA138C1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9993</Words>
  <Characters>56964</Characters>
  <Application>Microsoft Office Word</Application>
  <DocSecurity>4</DocSecurity>
  <Lines>474</Lines>
  <Paragraphs>133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66824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2019-10-16T23:04:00Z</dcterms:created>
  <dcterms:modified xsi:type="dcterms:W3CDTF">2019-10-16T23:04:00Z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0x010100918A63002736B14082B457D98FE55C4A</vt:lpwstr>
  </property>
  <property fmtid="{D5CDD505-2E9C-101B-9397-08002B2CF9AE}" pid="3" name="_dlc_DocIdItemGuid">
    <vt:lpwstr>6c6f9468-cd45-4fe9-8f9b-385f725058db</vt:lpwstr>
  </property>
</Properties>
</file>