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B42A51" w14:textId="77777777" w:rsidR="00F06E14" w:rsidRPr="00A51D1A" w:rsidRDefault="001E6DA6" w:rsidP="00A51D1A">
      <w:pPr>
        <w:pStyle w:val="ACMAReportTitle"/>
      </w:pPr>
      <w:r w:rsidRPr="001A4F91">
        <w:t>Summary of and response to submissions</w:t>
      </w:r>
      <w:r w:rsidRPr="009F4432">
        <w:t xml:space="preserve"> </w:t>
      </w:r>
    </w:p>
    <w:p w14:paraId="14C83A53" w14:textId="77777777" w:rsidR="00F06E14" w:rsidRDefault="001E6DA6" w:rsidP="00F06E14">
      <w:pPr>
        <w:pStyle w:val="ACMAReportSubTitle"/>
      </w:pPr>
      <w:r w:rsidRPr="001E6DA6">
        <w:t xml:space="preserve">Regulatory arrangements for GSO and NGSO ESIMs—Proposed decision under </w:t>
      </w:r>
      <w:r w:rsidR="00AA5E5E" w:rsidRPr="001E6DA6">
        <w:t>subsection</w:t>
      </w:r>
      <w:r w:rsidR="00AA5E5E">
        <w:t> </w:t>
      </w:r>
      <w:r w:rsidRPr="001E6DA6">
        <w:t xml:space="preserve">10(10) of the </w:t>
      </w:r>
      <w:r w:rsidRPr="00A25676">
        <w:rPr>
          <w:i/>
        </w:rPr>
        <w:t>Australian Radiofrequency Spectrum Plan 2017</w:t>
      </w:r>
      <w:r w:rsidRPr="001E6DA6">
        <w:t xml:space="preserve"> and licensing procedures</w:t>
      </w:r>
      <w:r>
        <w:t xml:space="preserve"> (</w:t>
      </w:r>
      <w:hyperlink r:id="rId8" w:history="1">
        <w:r w:rsidRPr="001E6DA6">
          <w:rPr>
            <w:rStyle w:val="Hyperlink"/>
          </w:rPr>
          <w:t>IFC 11/2017</w:t>
        </w:r>
      </w:hyperlink>
      <w:r>
        <w:t>)</w:t>
      </w:r>
    </w:p>
    <w:p w14:paraId="60722DE9" w14:textId="77777777" w:rsidR="00F06E14" w:rsidRDefault="001E6DA6" w:rsidP="00D47AEB">
      <w:pPr>
        <w:pStyle w:val="ACMAReportDate"/>
        <w:spacing w:after="720"/>
      </w:pPr>
      <w:r>
        <w:t>October 2017</w:t>
      </w:r>
    </w:p>
    <w:p w14:paraId="1758207C" w14:textId="77777777" w:rsidR="00C97736" w:rsidRPr="000D76E0" w:rsidRDefault="00C97736" w:rsidP="0041071D">
      <w:pPr>
        <w:rPr>
          <w:rFonts w:cs="Arial"/>
        </w:rPr>
      </w:pPr>
    </w:p>
    <w:p w14:paraId="2AE2EA8C" w14:textId="77777777" w:rsidR="00C97736" w:rsidRPr="000D76E0" w:rsidRDefault="00C97736" w:rsidP="0041071D">
      <w:pPr>
        <w:rPr>
          <w:rFonts w:cs="Arial"/>
        </w:rPr>
        <w:sectPr w:rsidR="00C97736" w:rsidRPr="000D76E0" w:rsidSect="004F556E">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14:paraId="5E4CCADC" w14:textId="77777777" w:rsidR="0005011A" w:rsidRPr="00F44F3A" w:rsidRDefault="0005011A" w:rsidP="00FC07B9">
      <w:pPr>
        <w:pStyle w:val="ACMACorporateAddressHeader"/>
      </w:pPr>
      <w:r w:rsidRPr="00F44F3A">
        <w:lastRenderedPageBreak/>
        <w:t>Canberra</w:t>
      </w:r>
    </w:p>
    <w:p w14:paraId="430F372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9C2EBB1" w14:textId="77777777" w:rsidR="0005011A" w:rsidRPr="00FC07B9" w:rsidRDefault="0005011A" w:rsidP="00FC07B9">
      <w:pPr>
        <w:pStyle w:val="ACMACorporateAddresses"/>
      </w:pPr>
      <w:r w:rsidRPr="00FC07B9">
        <w:t>PO Box 78</w:t>
      </w:r>
      <w:r w:rsidRPr="00FC07B9">
        <w:br/>
        <w:t>Belconnen ACT 2616</w:t>
      </w:r>
    </w:p>
    <w:p w14:paraId="05D8C51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80CAF88" w14:textId="77777777" w:rsidR="0005011A" w:rsidRPr="00F44F3A" w:rsidRDefault="0005011A" w:rsidP="00FC07B9">
      <w:pPr>
        <w:pStyle w:val="ACMACorporateAddressHeader"/>
      </w:pPr>
      <w:r w:rsidRPr="00F44F3A">
        <w:t>Melbourne</w:t>
      </w:r>
    </w:p>
    <w:p w14:paraId="49B6E180"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7F5D753"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D524D3C"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969FEF1" w14:textId="77777777" w:rsidR="0005011A" w:rsidRPr="00F44F3A" w:rsidRDefault="0005011A" w:rsidP="00FC07B9">
      <w:pPr>
        <w:pStyle w:val="ACMACorporateAddressHeader"/>
      </w:pPr>
      <w:r w:rsidRPr="00F44F3A">
        <w:t>Sydney</w:t>
      </w:r>
    </w:p>
    <w:p w14:paraId="52663F0A" w14:textId="77777777" w:rsidR="0005011A" w:rsidRPr="00F44F3A" w:rsidRDefault="0005011A" w:rsidP="00FC07B9">
      <w:pPr>
        <w:pStyle w:val="ACMACorporateAddresses"/>
      </w:pPr>
      <w:r w:rsidRPr="00F44F3A">
        <w:t xml:space="preserve">Level 5 </w:t>
      </w:r>
      <w:r w:rsidRPr="00F44F3A">
        <w:br/>
      </w:r>
      <w:proofErr w:type="gramStart"/>
      <w:r w:rsidRPr="00F44F3A">
        <w:t>The</w:t>
      </w:r>
      <w:proofErr w:type="gramEnd"/>
      <w:r w:rsidRPr="00F44F3A">
        <w:t xml:space="preserve"> Bay Centre</w:t>
      </w:r>
      <w:r w:rsidRPr="00F44F3A">
        <w:br/>
        <w:t xml:space="preserve">65 </w:t>
      </w:r>
      <w:proofErr w:type="spellStart"/>
      <w:r w:rsidRPr="00F44F3A">
        <w:t>Pirrama</w:t>
      </w:r>
      <w:proofErr w:type="spellEnd"/>
      <w:r w:rsidRPr="00F44F3A">
        <w:t xml:space="preserve"> Road </w:t>
      </w:r>
      <w:r w:rsidRPr="00F44F3A">
        <w:br/>
        <w:t>Pyrmont NSW</w:t>
      </w:r>
    </w:p>
    <w:p w14:paraId="378D342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F16ADFC"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41D7303" w14:textId="77777777" w:rsidR="00140318" w:rsidRPr="006D46E5" w:rsidRDefault="00140318" w:rsidP="00FC07B9">
      <w:pPr>
        <w:pStyle w:val="ACMACopyrightHeader"/>
      </w:pPr>
      <w:r w:rsidRPr="00140318">
        <w:t>Copyright notice</w:t>
      </w:r>
    </w:p>
    <w:p w14:paraId="58D22B75" w14:textId="77777777" w:rsidR="00140318" w:rsidRPr="006D46E5" w:rsidRDefault="00623FF9" w:rsidP="00623FF9">
      <w:pPr>
        <w:pStyle w:val="ACMACClogo"/>
      </w:pPr>
      <w:r w:rsidRPr="00623FF9">
        <w:rPr>
          <w:noProof/>
        </w:rPr>
        <w:drawing>
          <wp:inline distT="0" distB="0" distL="0" distR="0" wp14:anchorId="75D6AE31" wp14:editId="47E575E1">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11D9FA87" w14:textId="77777777" w:rsidR="00140318" w:rsidRPr="00431792" w:rsidRDefault="00623682"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726CCA68"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529DEEEB"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3215B5">
        <w:t>ations and Media Authority) 2017</w:t>
      </w:r>
      <w:r w:rsidR="00140318" w:rsidRPr="006D46E5">
        <w:t>.</w:t>
      </w:r>
    </w:p>
    <w:p w14:paraId="0FE38005" w14:textId="77777777" w:rsidR="00140318" w:rsidRPr="006D46E5" w:rsidRDefault="00140318" w:rsidP="00FC07B9">
      <w:pPr>
        <w:pStyle w:val="ACMACorporateAddresses"/>
      </w:pPr>
      <w:r>
        <w:t>All other rights are reserved.</w:t>
      </w:r>
    </w:p>
    <w:p w14:paraId="25B300B5"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F2EDEC4" w14:textId="77777777" w:rsidR="00140318" w:rsidRPr="006D46E5" w:rsidRDefault="00140318" w:rsidP="00FC07B9">
      <w:pPr>
        <w:pStyle w:val="ACMACorporateAddresses"/>
      </w:pPr>
      <w:r w:rsidRPr="006D46E5">
        <w:t>Written enquiries may be sent to:</w:t>
      </w:r>
    </w:p>
    <w:p w14:paraId="2424FC31"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8" w:history="1">
        <w:r w:rsidR="000A1400" w:rsidRPr="00826BEB">
          <w:rPr>
            <w:rStyle w:val="Hyperlink"/>
          </w:rPr>
          <w:t>info@acma.gov.au</w:t>
        </w:r>
      </w:hyperlink>
    </w:p>
    <w:p w14:paraId="39EBA85C" w14:textId="77777777" w:rsidR="00D16FE3" w:rsidRDefault="00D16FE3" w:rsidP="00D16FE3">
      <w:pPr>
        <w:pStyle w:val="ACMACorporateAddresses"/>
        <w:rPr>
          <w:rStyle w:val="Hyperlink"/>
        </w:rPr>
      </w:pPr>
    </w:p>
    <w:p w14:paraId="20A6B2FB"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362D0DB1" w14:textId="77777777" w:rsidR="006D5895" w:rsidRDefault="007A6CC0">
      <w:pPr>
        <w:pStyle w:val="TOC1"/>
        <w:tabs>
          <w:tab w:val="left" w:pos="885"/>
        </w:tabs>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6D5895">
        <w:t>1</w:t>
      </w:r>
      <w:r w:rsidR="006D5895">
        <w:rPr>
          <w:rFonts w:asciiTheme="minorHAnsi" w:eastAsiaTheme="minorEastAsia" w:hAnsiTheme="minorHAnsi" w:cstheme="minorBidi"/>
          <w:b w:val="0"/>
          <w:spacing w:val="0"/>
          <w:sz w:val="22"/>
          <w:szCs w:val="22"/>
        </w:rPr>
        <w:tab/>
      </w:r>
      <w:r w:rsidR="006D5895">
        <w:t>Background</w:t>
      </w:r>
      <w:r w:rsidR="006D5895">
        <w:tab/>
      </w:r>
      <w:r w:rsidR="006D5895">
        <w:fldChar w:fldCharType="begin"/>
      </w:r>
      <w:r w:rsidR="006D5895">
        <w:instrText xml:space="preserve"> PAGEREF _Toc495590039 \h </w:instrText>
      </w:r>
      <w:r w:rsidR="006D5895">
        <w:fldChar w:fldCharType="separate"/>
      </w:r>
      <w:r w:rsidR="00FD5127">
        <w:t>1</w:t>
      </w:r>
      <w:r w:rsidR="006D5895">
        <w:fldChar w:fldCharType="end"/>
      </w:r>
    </w:p>
    <w:p w14:paraId="79731637" w14:textId="77777777" w:rsidR="006D5895" w:rsidRDefault="006D5895">
      <w:pPr>
        <w:pStyle w:val="TOC1"/>
        <w:tabs>
          <w:tab w:val="left" w:pos="885"/>
        </w:tabs>
        <w:rPr>
          <w:rFonts w:asciiTheme="minorHAnsi" w:eastAsiaTheme="minorEastAsia" w:hAnsiTheme="minorHAnsi" w:cstheme="minorBidi"/>
          <w:b w:val="0"/>
          <w:spacing w:val="0"/>
          <w:sz w:val="22"/>
          <w:szCs w:val="22"/>
        </w:rPr>
      </w:pPr>
      <w:r>
        <w:t>2</w:t>
      </w:r>
      <w:r>
        <w:rPr>
          <w:rFonts w:asciiTheme="minorHAnsi" w:eastAsiaTheme="minorEastAsia" w:hAnsiTheme="minorHAnsi" w:cstheme="minorBidi"/>
          <w:b w:val="0"/>
          <w:spacing w:val="0"/>
          <w:sz w:val="22"/>
          <w:szCs w:val="22"/>
        </w:rPr>
        <w:tab/>
      </w:r>
      <w:r>
        <w:t>Response to submissions</w:t>
      </w:r>
      <w:r>
        <w:tab/>
      </w:r>
      <w:r>
        <w:fldChar w:fldCharType="begin"/>
      </w:r>
      <w:r>
        <w:instrText xml:space="preserve"> PAGEREF _Toc495590040 \h </w:instrText>
      </w:r>
      <w:r>
        <w:fldChar w:fldCharType="separate"/>
      </w:r>
      <w:r w:rsidR="00FD5127">
        <w:t>2</w:t>
      </w:r>
      <w:r>
        <w:fldChar w:fldCharType="end"/>
      </w:r>
    </w:p>
    <w:p w14:paraId="4F2830CB" w14:textId="77777777" w:rsidR="006D5895" w:rsidRDefault="006D5895">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Approach to developing ESIMs procedures</w:t>
      </w:r>
      <w:r>
        <w:tab/>
      </w:r>
      <w:r>
        <w:fldChar w:fldCharType="begin"/>
      </w:r>
      <w:r>
        <w:instrText xml:space="preserve"> PAGEREF _Toc495590041 \h </w:instrText>
      </w:r>
      <w:r>
        <w:fldChar w:fldCharType="separate"/>
      </w:r>
      <w:r w:rsidR="00FD5127">
        <w:t>2</w:t>
      </w:r>
      <w:r>
        <w:fldChar w:fldCharType="end"/>
      </w:r>
    </w:p>
    <w:p w14:paraId="53E4BC7A" w14:textId="77777777" w:rsidR="006D5895" w:rsidRDefault="006D5895">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Coordination and interference</w:t>
      </w:r>
      <w:r>
        <w:tab/>
      </w:r>
      <w:r>
        <w:fldChar w:fldCharType="begin"/>
      </w:r>
      <w:r>
        <w:instrText xml:space="preserve"> PAGEREF _Toc495590042 \h </w:instrText>
      </w:r>
      <w:r>
        <w:fldChar w:fldCharType="separate"/>
      </w:r>
      <w:r w:rsidR="00FD5127">
        <w:t>4</w:t>
      </w:r>
      <w:r>
        <w:fldChar w:fldCharType="end"/>
      </w:r>
    </w:p>
    <w:p w14:paraId="091F8145" w14:textId="34E83CCF" w:rsidR="006D5895" w:rsidRDefault="006D5895">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Coordination with Australian filed satellite networks</w:t>
      </w:r>
      <w:r>
        <w:tab/>
      </w:r>
      <w:r>
        <w:fldChar w:fldCharType="begin"/>
      </w:r>
      <w:r>
        <w:instrText xml:space="preserve"> PAGEREF _Toc495590043 \h </w:instrText>
      </w:r>
      <w:r>
        <w:fldChar w:fldCharType="separate"/>
      </w:r>
      <w:r w:rsidR="00FD5127">
        <w:t>4</w:t>
      </w:r>
      <w:r>
        <w:fldChar w:fldCharType="end"/>
      </w:r>
    </w:p>
    <w:p w14:paraId="18AEEB97" w14:textId="77777777" w:rsidR="006D5895" w:rsidRDefault="006D5895">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Subsection 10(10) of the Spectrum Plan</w:t>
      </w:r>
      <w:r>
        <w:tab/>
      </w:r>
      <w:r>
        <w:fldChar w:fldCharType="begin"/>
      </w:r>
      <w:r>
        <w:instrText xml:space="preserve"> PAGEREF _Toc495590044 \h </w:instrText>
      </w:r>
      <w:r>
        <w:fldChar w:fldCharType="separate"/>
      </w:r>
      <w:r w:rsidR="00FD5127">
        <w:t>5</w:t>
      </w:r>
      <w:r>
        <w:fldChar w:fldCharType="end"/>
      </w:r>
    </w:p>
    <w:p w14:paraId="0990CA30" w14:textId="77777777" w:rsidR="006D5895" w:rsidRDefault="006D5895">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Seeking views of affected licensees</w:t>
      </w:r>
      <w:r>
        <w:tab/>
      </w:r>
      <w:r>
        <w:fldChar w:fldCharType="begin"/>
      </w:r>
      <w:r>
        <w:instrText xml:space="preserve"> PAGEREF _Toc495590045 \h </w:instrText>
      </w:r>
      <w:r>
        <w:fldChar w:fldCharType="separate"/>
      </w:r>
      <w:r w:rsidR="00FD5127">
        <w:t>6</w:t>
      </w:r>
      <w:r>
        <w:fldChar w:fldCharType="end"/>
      </w:r>
    </w:p>
    <w:p w14:paraId="12A94E1C" w14:textId="77777777" w:rsidR="006D5895" w:rsidRDefault="006D5895">
      <w:pPr>
        <w:pStyle w:val="TOC2"/>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Letter of assurance</w:t>
      </w:r>
      <w:r>
        <w:tab/>
      </w:r>
      <w:r>
        <w:fldChar w:fldCharType="begin"/>
      </w:r>
      <w:r>
        <w:instrText xml:space="preserve"> PAGEREF _Toc495590046 \h </w:instrText>
      </w:r>
      <w:r>
        <w:fldChar w:fldCharType="separate"/>
      </w:r>
      <w:r w:rsidR="00FD5127">
        <w:t>6</w:t>
      </w:r>
      <w:r>
        <w:fldChar w:fldCharType="end"/>
      </w:r>
    </w:p>
    <w:p w14:paraId="04264445" w14:textId="77777777" w:rsidR="006D5895" w:rsidRDefault="006D5895">
      <w:pPr>
        <w:pStyle w:val="TOC2"/>
        <w:rPr>
          <w:rFonts w:asciiTheme="minorHAnsi" w:eastAsiaTheme="minorEastAsia" w:hAnsiTheme="minorHAnsi" w:cstheme="minorBidi"/>
          <w:spacing w:val="0"/>
          <w:sz w:val="22"/>
          <w:szCs w:val="22"/>
        </w:rPr>
      </w:pPr>
      <w:r>
        <w:t>3.5</w:t>
      </w:r>
      <w:r>
        <w:rPr>
          <w:rFonts w:asciiTheme="minorHAnsi" w:eastAsiaTheme="minorEastAsia" w:hAnsiTheme="minorHAnsi" w:cstheme="minorBidi"/>
          <w:spacing w:val="0"/>
          <w:sz w:val="22"/>
          <w:szCs w:val="22"/>
        </w:rPr>
        <w:tab/>
      </w:r>
      <w:r>
        <w:t>Aviation radiofrequency immunity requirements</w:t>
      </w:r>
      <w:r>
        <w:tab/>
      </w:r>
      <w:r>
        <w:fldChar w:fldCharType="begin"/>
      </w:r>
      <w:r>
        <w:instrText xml:space="preserve"> PAGEREF _Toc495590047 \h </w:instrText>
      </w:r>
      <w:r>
        <w:fldChar w:fldCharType="separate"/>
      </w:r>
      <w:r w:rsidR="00FD5127">
        <w:t>7</w:t>
      </w:r>
      <w:r>
        <w:fldChar w:fldCharType="end"/>
      </w:r>
    </w:p>
    <w:p w14:paraId="4B15B21B" w14:textId="77777777" w:rsidR="006D5895" w:rsidRDefault="006D5895">
      <w:pPr>
        <w:pStyle w:val="TOC1"/>
        <w:tabs>
          <w:tab w:val="left" w:pos="885"/>
        </w:tabs>
        <w:rPr>
          <w:rFonts w:asciiTheme="minorHAnsi" w:eastAsiaTheme="minorEastAsia" w:hAnsiTheme="minorHAnsi" w:cstheme="minorBidi"/>
          <w:b w:val="0"/>
          <w:spacing w:val="0"/>
          <w:sz w:val="22"/>
          <w:szCs w:val="22"/>
        </w:rPr>
      </w:pPr>
      <w:r>
        <w:t>4</w:t>
      </w:r>
      <w:r>
        <w:rPr>
          <w:rFonts w:asciiTheme="minorHAnsi" w:eastAsiaTheme="minorEastAsia" w:hAnsiTheme="minorHAnsi" w:cstheme="minorBidi"/>
          <w:b w:val="0"/>
          <w:spacing w:val="0"/>
          <w:sz w:val="22"/>
          <w:szCs w:val="22"/>
        </w:rPr>
        <w:tab/>
      </w:r>
      <w:r>
        <w:t>Procedural and regulatory matters</w:t>
      </w:r>
      <w:r>
        <w:tab/>
      </w:r>
      <w:r>
        <w:fldChar w:fldCharType="begin"/>
      </w:r>
      <w:r>
        <w:instrText xml:space="preserve"> PAGEREF _Toc495590048 \h </w:instrText>
      </w:r>
      <w:r>
        <w:fldChar w:fldCharType="separate"/>
      </w:r>
      <w:r w:rsidR="00FD5127">
        <w:t>8</w:t>
      </w:r>
      <w:r>
        <w:fldChar w:fldCharType="end"/>
      </w:r>
    </w:p>
    <w:p w14:paraId="1A5E81A3" w14:textId="77777777" w:rsidR="006D5895" w:rsidRDefault="006D5895">
      <w:pPr>
        <w:pStyle w:val="TOC2"/>
        <w:rPr>
          <w:rFonts w:asciiTheme="minorHAnsi" w:eastAsiaTheme="minorEastAsia" w:hAnsiTheme="minorHAnsi" w:cstheme="minorBidi"/>
          <w:spacing w:val="0"/>
          <w:sz w:val="22"/>
          <w:szCs w:val="22"/>
        </w:rPr>
      </w:pPr>
      <w:r>
        <w:t>4.1</w:t>
      </w:r>
      <w:r>
        <w:rPr>
          <w:rFonts w:asciiTheme="minorHAnsi" w:eastAsiaTheme="minorEastAsia" w:hAnsiTheme="minorHAnsi" w:cstheme="minorBidi"/>
          <w:spacing w:val="0"/>
          <w:sz w:val="22"/>
          <w:szCs w:val="22"/>
        </w:rPr>
        <w:tab/>
      </w:r>
      <w:r>
        <w:t>Distinction between arrangements for NGSO and GSO</w:t>
      </w:r>
      <w:r>
        <w:tab/>
      </w:r>
      <w:r>
        <w:fldChar w:fldCharType="begin"/>
      </w:r>
      <w:r>
        <w:instrText xml:space="preserve"> PAGEREF _Toc495590049 \h </w:instrText>
      </w:r>
      <w:r>
        <w:fldChar w:fldCharType="separate"/>
      </w:r>
      <w:r w:rsidR="00FD5127">
        <w:t>8</w:t>
      </w:r>
      <w:r>
        <w:fldChar w:fldCharType="end"/>
      </w:r>
    </w:p>
    <w:p w14:paraId="36A01D29" w14:textId="77777777" w:rsidR="006D5895" w:rsidRDefault="006D5895">
      <w:pPr>
        <w:pStyle w:val="TOC2"/>
        <w:rPr>
          <w:rFonts w:asciiTheme="minorHAnsi" w:eastAsiaTheme="minorEastAsia" w:hAnsiTheme="minorHAnsi" w:cstheme="minorBidi"/>
          <w:spacing w:val="0"/>
          <w:sz w:val="22"/>
          <w:szCs w:val="22"/>
        </w:rPr>
      </w:pPr>
      <w:r>
        <w:t>4.2</w:t>
      </w:r>
      <w:r>
        <w:rPr>
          <w:rFonts w:asciiTheme="minorHAnsi" w:eastAsiaTheme="minorEastAsia" w:hAnsiTheme="minorHAnsi" w:cstheme="minorBidi"/>
          <w:spacing w:val="0"/>
          <w:sz w:val="22"/>
          <w:szCs w:val="22"/>
        </w:rPr>
        <w:tab/>
      </w:r>
      <w:r>
        <w:t>ESIMs and ACMA forward work program</w:t>
      </w:r>
      <w:r>
        <w:tab/>
      </w:r>
      <w:r>
        <w:fldChar w:fldCharType="begin"/>
      </w:r>
      <w:r>
        <w:instrText xml:space="preserve"> PAGEREF _Toc495590050 \h </w:instrText>
      </w:r>
      <w:r>
        <w:fldChar w:fldCharType="separate"/>
      </w:r>
      <w:r w:rsidR="00FD5127">
        <w:t>8</w:t>
      </w:r>
      <w:r>
        <w:fldChar w:fldCharType="end"/>
      </w:r>
    </w:p>
    <w:p w14:paraId="378B8AA8" w14:textId="77777777" w:rsidR="006D5895" w:rsidRDefault="006D5895">
      <w:pPr>
        <w:pStyle w:val="TOC2"/>
        <w:rPr>
          <w:rFonts w:asciiTheme="minorHAnsi" w:eastAsiaTheme="minorEastAsia" w:hAnsiTheme="minorHAnsi" w:cstheme="minorBidi"/>
          <w:spacing w:val="0"/>
          <w:sz w:val="22"/>
          <w:szCs w:val="22"/>
        </w:rPr>
      </w:pPr>
      <w:r>
        <w:t>4.3</w:t>
      </w:r>
      <w:r>
        <w:rPr>
          <w:rFonts w:asciiTheme="minorHAnsi" w:eastAsiaTheme="minorEastAsia" w:hAnsiTheme="minorHAnsi" w:cstheme="minorBidi"/>
          <w:spacing w:val="0"/>
          <w:sz w:val="22"/>
          <w:szCs w:val="22"/>
        </w:rPr>
        <w:tab/>
      </w:r>
      <w:r>
        <w:t>Applicability of Annex 2</w:t>
      </w:r>
      <w:r>
        <w:tab/>
      </w:r>
      <w:r>
        <w:fldChar w:fldCharType="begin"/>
      </w:r>
      <w:r>
        <w:instrText xml:space="preserve"> PAGEREF _Toc495590051 \h </w:instrText>
      </w:r>
      <w:r>
        <w:fldChar w:fldCharType="separate"/>
      </w:r>
      <w:r w:rsidR="00FD5127">
        <w:t>8</w:t>
      </w:r>
      <w:r>
        <w:fldChar w:fldCharType="end"/>
      </w:r>
    </w:p>
    <w:p w14:paraId="7F5323EC" w14:textId="77777777" w:rsidR="006D5895" w:rsidRDefault="006D5895">
      <w:pPr>
        <w:pStyle w:val="TOC2"/>
        <w:rPr>
          <w:rFonts w:asciiTheme="minorHAnsi" w:eastAsiaTheme="minorEastAsia" w:hAnsiTheme="minorHAnsi" w:cstheme="minorBidi"/>
          <w:spacing w:val="0"/>
          <w:sz w:val="22"/>
          <w:szCs w:val="22"/>
        </w:rPr>
      </w:pPr>
      <w:r>
        <w:t>4.4</w:t>
      </w:r>
      <w:r>
        <w:rPr>
          <w:rFonts w:asciiTheme="minorHAnsi" w:eastAsiaTheme="minorEastAsia" w:hAnsiTheme="minorHAnsi" w:cstheme="minorBidi"/>
          <w:spacing w:val="0"/>
          <w:sz w:val="22"/>
          <w:szCs w:val="22"/>
        </w:rPr>
        <w:tab/>
      </w:r>
      <w:r>
        <w:t>Nomenclature and naming conventions</w:t>
      </w:r>
      <w:r>
        <w:tab/>
      </w:r>
      <w:r>
        <w:fldChar w:fldCharType="begin"/>
      </w:r>
      <w:r>
        <w:instrText xml:space="preserve"> PAGEREF _Toc495590052 \h </w:instrText>
      </w:r>
      <w:r>
        <w:fldChar w:fldCharType="separate"/>
      </w:r>
      <w:r w:rsidR="00FD5127">
        <w:t>9</w:t>
      </w:r>
      <w:r>
        <w:fldChar w:fldCharType="end"/>
      </w:r>
    </w:p>
    <w:p w14:paraId="33960D38" w14:textId="77777777" w:rsidR="006D5895" w:rsidRDefault="006D5895">
      <w:pPr>
        <w:pStyle w:val="TOC2"/>
        <w:rPr>
          <w:rFonts w:asciiTheme="minorHAnsi" w:eastAsiaTheme="minorEastAsia" w:hAnsiTheme="minorHAnsi" w:cstheme="minorBidi"/>
          <w:spacing w:val="0"/>
          <w:sz w:val="22"/>
          <w:szCs w:val="22"/>
        </w:rPr>
      </w:pPr>
      <w:r>
        <w:t>4.5</w:t>
      </w:r>
      <w:r>
        <w:rPr>
          <w:rFonts w:asciiTheme="minorHAnsi" w:eastAsiaTheme="minorEastAsia" w:hAnsiTheme="minorHAnsi" w:cstheme="minorBidi"/>
          <w:spacing w:val="0"/>
          <w:sz w:val="22"/>
          <w:szCs w:val="22"/>
        </w:rPr>
        <w:tab/>
      </w:r>
      <w:r>
        <w:t>Review of arrangements after WRC-19</w:t>
      </w:r>
      <w:r>
        <w:tab/>
      </w:r>
      <w:r>
        <w:fldChar w:fldCharType="begin"/>
      </w:r>
      <w:r>
        <w:instrText xml:space="preserve"> PAGEREF _Toc495590053 \h </w:instrText>
      </w:r>
      <w:r>
        <w:fldChar w:fldCharType="separate"/>
      </w:r>
      <w:r w:rsidR="00FD5127">
        <w:t>9</w:t>
      </w:r>
      <w:r>
        <w:fldChar w:fldCharType="end"/>
      </w:r>
    </w:p>
    <w:p w14:paraId="1E85FA2F" w14:textId="77777777" w:rsidR="000A4A51" w:rsidRPr="000D76E0" w:rsidRDefault="007A6CC0">
      <w:pPr>
        <w:rPr>
          <w:rFonts w:cs="Arial"/>
        </w:rPr>
      </w:pPr>
      <w:r>
        <w:rPr>
          <w:rFonts w:cs="Arial"/>
          <w:b/>
          <w:noProof/>
          <w:spacing w:val="-14"/>
          <w:sz w:val="28"/>
        </w:rPr>
        <w:fldChar w:fldCharType="end"/>
      </w:r>
    </w:p>
    <w:p w14:paraId="14DB9293"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4692DF67" w14:textId="77777777" w:rsidR="009D6C71" w:rsidRPr="009174F3" w:rsidRDefault="00154512" w:rsidP="003C0BC3">
      <w:pPr>
        <w:pStyle w:val="Heading1"/>
      </w:pPr>
      <w:bookmarkStart w:id="0" w:name="_Toc495590039"/>
      <w:r>
        <w:t>Background</w:t>
      </w:r>
      <w:bookmarkEnd w:id="0"/>
    </w:p>
    <w:p w14:paraId="0B914FA2" w14:textId="77777777" w:rsidR="008E47C3" w:rsidRPr="007632CB" w:rsidRDefault="008E47C3" w:rsidP="008E47C3">
      <w:pPr>
        <w:spacing w:line="20" w:lineRule="atLeast"/>
      </w:pPr>
      <w:r>
        <w:rPr>
          <w:lang w:val="en"/>
        </w:rPr>
        <w:t xml:space="preserve">Earth stations in the fixed satellite service (as the name suggests) are intended to be at fixed locations. </w:t>
      </w:r>
      <w:r w:rsidRPr="007632CB">
        <w:t xml:space="preserve">Spectrum planning, coordination and regulatory arrangements for the fixed satellite </w:t>
      </w:r>
      <w:r>
        <w:t xml:space="preserve">service </w:t>
      </w:r>
      <w:r w:rsidRPr="007632CB">
        <w:t>are designed on th</w:t>
      </w:r>
      <w:r>
        <w:t>e</w:t>
      </w:r>
      <w:r w:rsidRPr="007632CB">
        <w:t xml:space="preserve"> principle </w:t>
      </w:r>
      <w:r>
        <w:t xml:space="preserve">that </w:t>
      </w:r>
      <w:r w:rsidRPr="007632CB">
        <w:t>earth stations are at a fixed location</w:t>
      </w:r>
      <w:r>
        <w:t xml:space="preserve">. </w:t>
      </w:r>
    </w:p>
    <w:p w14:paraId="60A8ABD4" w14:textId="77777777" w:rsidR="008E47C3" w:rsidRDefault="008A5995" w:rsidP="008E47C3">
      <w:pPr>
        <w:spacing w:line="20" w:lineRule="atLeast"/>
      </w:pPr>
      <w:r>
        <w:t>T</w:t>
      </w:r>
      <w:r w:rsidR="008E47C3" w:rsidRPr="007632CB">
        <w:t xml:space="preserve">here is a </w:t>
      </w:r>
      <w:r w:rsidR="008E47C3">
        <w:t xml:space="preserve">growing </w:t>
      </w:r>
      <w:r w:rsidR="008E47C3" w:rsidRPr="007632CB">
        <w:t>trend for fixed satellite system</w:t>
      </w:r>
      <w:r w:rsidR="008E47C3">
        <w:t>s</w:t>
      </w:r>
      <w:r w:rsidR="008E47C3" w:rsidRPr="007632CB">
        <w:t xml:space="preserve"> to </w:t>
      </w:r>
      <w:r w:rsidR="008E47C3">
        <w:t>use</w:t>
      </w:r>
      <w:r w:rsidR="008E47C3" w:rsidRPr="007632CB">
        <w:t xml:space="preserve"> what </w:t>
      </w:r>
      <w:r w:rsidR="008E47C3">
        <w:t>are</w:t>
      </w:r>
      <w:r w:rsidR="008E47C3" w:rsidRPr="007632CB">
        <w:t xml:space="preserve"> known as earth stations </w:t>
      </w:r>
      <w:r w:rsidR="008E47C3">
        <w:t xml:space="preserve">in motion (ESIMs) for ubiquitous user terminals. ESIMs are </w:t>
      </w:r>
      <w:r w:rsidR="008E47C3" w:rsidRPr="007632CB">
        <w:t>earth stations that are in motion on land, on water or in the air.</w:t>
      </w:r>
      <w:r w:rsidR="008E47C3">
        <w:t xml:space="preserve"> Typically, such systems employ techniques to ensure the earth station antenna is always pointed at the associated satellite, with a high degree of accuracy and reliability, even though the earth station is moving. Thus, ESIMs have a similar level of performance to that of an earth station at a fixed point.</w:t>
      </w:r>
    </w:p>
    <w:p w14:paraId="41D4C3C6" w14:textId="77777777" w:rsidR="008E47C3" w:rsidRPr="00E8005E" w:rsidRDefault="008E47C3" w:rsidP="008E47C3">
      <w:pPr>
        <w:spacing w:after="80"/>
        <w:rPr>
          <w:rFonts w:cs="Arial"/>
        </w:rPr>
      </w:pPr>
      <w:r w:rsidRPr="00E8005E">
        <w:t xml:space="preserve">Based on requests from industry, </w:t>
      </w:r>
      <w:r>
        <w:t xml:space="preserve">the </w:t>
      </w:r>
      <w:r w:rsidR="00CD6544">
        <w:t>Australian Communications and Media Authority (</w:t>
      </w:r>
      <w:r>
        <w:t>ACMA</w:t>
      </w:r>
      <w:r w:rsidR="00CD6544">
        <w:t>)</w:t>
      </w:r>
      <w:r>
        <w:t xml:space="preserve"> </w:t>
      </w:r>
      <w:r w:rsidR="00BC5B0A" w:rsidRPr="00632EAE">
        <w:t>consultation</w:t>
      </w:r>
      <w:r w:rsidR="00F10BA3">
        <w:t>,</w:t>
      </w:r>
      <w:r w:rsidR="00BC5B0A" w:rsidRPr="00632EAE">
        <w:t xml:space="preserve"> </w:t>
      </w:r>
      <w:hyperlink r:id="rId28" w:history="1">
        <w:r w:rsidR="00BC5B0A">
          <w:rPr>
            <w:rStyle w:val="Hyperlink"/>
          </w:rPr>
          <w:t>IFC 11/2017</w:t>
        </w:r>
      </w:hyperlink>
      <w:r w:rsidR="00F10BA3">
        <w:t xml:space="preserve">, </w:t>
      </w:r>
      <w:r w:rsidR="00BC5B0A" w:rsidRPr="00632EAE">
        <w:t xml:space="preserve">considered </w:t>
      </w:r>
      <w:r w:rsidR="00BC5B0A">
        <w:t xml:space="preserve">proposals for </w:t>
      </w:r>
      <w:r w:rsidRPr="00E8005E">
        <w:t xml:space="preserve">arrangements to support ubiquitous </w:t>
      </w:r>
      <w:r w:rsidRPr="00E8005E">
        <w:rPr>
          <w:rFonts w:cs="Arial"/>
        </w:rPr>
        <w:t>ESIMs communicating with:</w:t>
      </w:r>
    </w:p>
    <w:p w14:paraId="1A676204" w14:textId="46D2DAF7" w:rsidR="008E47C3" w:rsidRPr="00A114D1" w:rsidRDefault="008E47C3" w:rsidP="008E47C3">
      <w:pPr>
        <w:pStyle w:val="ListBullet"/>
      </w:pPr>
      <w:r w:rsidRPr="00A114D1">
        <w:t>geostationary (G</w:t>
      </w:r>
      <w:r w:rsidR="005F3A85">
        <w:t xml:space="preserve">SO) space stations in the fixed </w:t>
      </w:r>
      <w:r w:rsidRPr="00A114D1">
        <w:t>satellite service with earth stations in motion on land, on water or in the air in the frequency ranges 17.7</w:t>
      </w:r>
      <w:r>
        <w:t>–</w:t>
      </w:r>
      <w:r w:rsidRPr="00A114D1">
        <w:t>18.2 GHz (space-to-Earth), 18.8</w:t>
      </w:r>
      <w:r>
        <w:t>–</w:t>
      </w:r>
      <w:r w:rsidRPr="00A114D1">
        <w:t>19.3 GHz (space-to-Earth) and 28.5</w:t>
      </w:r>
      <w:r>
        <w:t>–</w:t>
      </w:r>
      <w:r w:rsidRPr="00A114D1">
        <w:t>29.1 GHz (Earth-to-space)</w:t>
      </w:r>
    </w:p>
    <w:p w14:paraId="0B27FA30" w14:textId="510E5461" w:rsidR="008E47C3" w:rsidRPr="00A114D1" w:rsidRDefault="008E47C3" w:rsidP="008E47C3">
      <w:pPr>
        <w:pStyle w:val="ListBulletLast"/>
      </w:pPr>
      <w:r w:rsidRPr="00A114D1">
        <w:t>non-geostationary (</w:t>
      </w:r>
      <w:r w:rsidRPr="00114822">
        <w:t>NGSO</w:t>
      </w:r>
      <w:r w:rsidRPr="00A114D1">
        <w:t>) space stations in the fixed</w:t>
      </w:r>
      <w:r w:rsidR="005F3A85">
        <w:t xml:space="preserve"> </w:t>
      </w:r>
      <w:r w:rsidRPr="00A114D1">
        <w:t>satellite service with earth stations in motion on land or on water in the frequency ranges 17.7</w:t>
      </w:r>
      <w:r>
        <w:t>–</w:t>
      </w:r>
      <w:r w:rsidRPr="00A114D1">
        <w:t>18.2 GHz (space-to-Earth), 18.8</w:t>
      </w:r>
      <w:r>
        <w:t>–</w:t>
      </w:r>
      <w:r w:rsidRPr="00A114D1">
        <w:t>19.3 GHz (space-to-Earth), 19.7</w:t>
      </w:r>
      <w:r>
        <w:t>–</w:t>
      </w:r>
      <w:r w:rsidRPr="00A114D1">
        <w:t xml:space="preserve">20.2 GHz (space-to-Earth), </w:t>
      </w:r>
      <w:r w:rsidRPr="00A114D1">
        <w:rPr>
          <w:lang w:val="en"/>
        </w:rPr>
        <w:t>28.5</w:t>
      </w:r>
      <w:r>
        <w:rPr>
          <w:lang w:val="en"/>
        </w:rPr>
        <w:t>–</w:t>
      </w:r>
      <w:r w:rsidRPr="00A114D1">
        <w:rPr>
          <w:lang w:val="en"/>
        </w:rPr>
        <w:t xml:space="preserve">29.1 GHz </w:t>
      </w:r>
      <w:r w:rsidRPr="00A114D1">
        <w:t xml:space="preserve">(Earth-to-space) </w:t>
      </w:r>
      <w:r w:rsidRPr="00A114D1">
        <w:rPr>
          <w:lang w:val="en"/>
        </w:rPr>
        <w:t>and 29.5</w:t>
      </w:r>
      <w:r>
        <w:rPr>
          <w:lang w:val="en"/>
        </w:rPr>
        <w:t>–</w:t>
      </w:r>
      <w:r w:rsidRPr="00A114D1">
        <w:rPr>
          <w:lang w:val="en"/>
        </w:rPr>
        <w:t xml:space="preserve">30 GHz </w:t>
      </w:r>
      <w:r w:rsidRPr="00A114D1">
        <w:t>(Earth-to-space)</w:t>
      </w:r>
      <w:r>
        <w:t>.</w:t>
      </w:r>
    </w:p>
    <w:p w14:paraId="17B5C8E6" w14:textId="77777777" w:rsidR="008E47C3" w:rsidRDefault="00BC5B0A" w:rsidP="008E47C3">
      <w:pPr>
        <w:spacing w:after="80"/>
      </w:pPr>
      <w:r>
        <w:t>Among other matters t</w:t>
      </w:r>
      <w:r w:rsidR="008E47C3">
        <w:t xml:space="preserve">he ACMA </w:t>
      </w:r>
      <w:r>
        <w:t>sought comment on</w:t>
      </w:r>
      <w:r w:rsidR="008E47C3">
        <w:t xml:space="preserve"> the:</w:t>
      </w:r>
    </w:p>
    <w:p w14:paraId="33E8E1A4" w14:textId="77777777" w:rsidR="008E47C3" w:rsidRPr="00E8005E" w:rsidRDefault="008E47C3" w:rsidP="008E47C3">
      <w:pPr>
        <w:pStyle w:val="ListBullet"/>
      </w:pPr>
      <w:r>
        <w:t>necessary r</w:t>
      </w:r>
      <w:r w:rsidRPr="00E8005E">
        <w:t>egulatory arrangements</w:t>
      </w:r>
      <w:r>
        <w:t xml:space="preserve"> to implement the proposal</w:t>
      </w:r>
      <w:r w:rsidRPr="00E8005E">
        <w:t xml:space="preserve"> </w:t>
      </w:r>
      <w:r>
        <w:t xml:space="preserve">(which involves the making of a decision under </w:t>
      </w:r>
      <w:r w:rsidRPr="00E8005E">
        <w:t xml:space="preserve">subsection 10(10) of the </w:t>
      </w:r>
      <w:r w:rsidRPr="00E809F6">
        <w:rPr>
          <w:i/>
        </w:rPr>
        <w:t xml:space="preserve">Australian Radiofrequency Spectrum Plan </w:t>
      </w:r>
      <w:r w:rsidRPr="00570D14">
        <w:rPr>
          <w:i/>
        </w:rPr>
        <w:t>2017</w:t>
      </w:r>
      <w:r>
        <w:t xml:space="preserve"> (</w:t>
      </w:r>
      <w:r w:rsidRPr="00E60FE2">
        <w:t>Spectrum</w:t>
      </w:r>
      <w:r w:rsidRPr="00E8005E">
        <w:t xml:space="preserve"> Plan</w:t>
      </w:r>
      <w:r>
        <w:t>)</w:t>
      </w:r>
    </w:p>
    <w:p w14:paraId="0825325D" w14:textId="77777777" w:rsidR="008E47C3" w:rsidRPr="00A114D1" w:rsidRDefault="008E47C3" w:rsidP="008E47C3">
      <w:pPr>
        <w:pStyle w:val="ListBulletLast"/>
      </w:pPr>
      <w:proofErr w:type="gramStart"/>
      <w:r>
        <w:t>development</w:t>
      </w:r>
      <w:proofErr w:type="gramEnd"/>
      <w:r>
        <w:t xml:space="preserve"> of associated l</w:t>
      </w:r>
      <w:r w:rsidRPr="00E8005E">
        <w:t xml:space="preserve">icensing procedures, assessment criteria and </w:t>
      </w:r>
      <w:r>
        <w:t>any necessary licence</w:t>
      </w:r>
      <w:r w:rsidRPr="00E8005E">
        <w:t xml:space="preserve"> conditions</w:t>
      </w:r>
      <w:r>
        <w:t>.</w:t>
      </w:r>
    </w:p>
    <w:p w14:paraId="1609CED6" w14:textId="77777777" w:rsidR="00BC5B0A" w:rsidRPr="00632EAE" w:rsidRDefault="008A5995" w:rsidP="00BC5B0A">
      <w:pPr>
        <w:spacing w:after="80"/>
        <w:rPr>
          <w:rFonts w:cs="Arial"/>
        </w:rPr>
      </w:pPr>
      <w:r>
        <w:rPr>
          <w:rFonts w:cs="Arial"/>
        </w:rPr>
        <w:t>Seven</w:t>
      </w:r>
      <w:r w:rsidR="00BC5B0A" w:rsidRPr="00632EAE">
        <w:rPr>
          <w:rFonts w:cs="Arial"/>
        </w:rPr>
        <w:t xml:space="preserve"> responses were received from:</w:t>
      </w:r>
    </w:p>
    <w:p w14:paraId="1150B24D" w14:textId="4C719589" w:rsidR="008A5995" w:rsidRPr="00632EAE" w:rsidRDefault="000D12B5" w:rsidP="00BC5B0A">
      <w:pPr>
        <w:pStyle w:val="ListBullet"/>
      </w:pPr>
      <w:r w:rsidRPr="00A25676">
        <w:t>Communications Alliance Satellite Service Work Group</w:t>
      </w:r>
      <w:r w:rsidR="008A5995">
        <w:t xml:space="preserve"> (SSWG)</w:t>
      </w:r>
    </w:p>
    <w:p w14:paraId="5FD4DD2E" w14:textId="3C82756C" w:rsidR="00BC5B0A" w:rsidRPr="00632EAE" w:rsidRDefault="000D12B5" w:rsidP="00BC5B0A">
      <w:pPr>
        <w:pStyle w:val="ListBullet"/>
      </w:pPr>
      <w:r w:rsidRPr="00A25676">
        <w:t>Department of Defence</w:t>
      </w:r>
      <w:r w:rsidR="00BC5B0A">
        <w:t xml:space="preserve"> (Defence)</w:t>
      </w:r>
    </w:p>
    <w:p w14:paraId="04362A2C" w14:textId="73DF831A" w:rsidR="008A5995" w:rsidRDefault="000D12B5" w:rsidP="008A5995">
      <w:pPr>
        <w:pStyle w:val="ListBullet"/>
      </w:pPr>
      <w:r w:rsidRPr="00A25676">
        <w:t>Inmarsat</w:t>
      </w:r>
    </w:p>
    <w:p w14:paraId="2CFC8226" w14:textId="60B5789A" w:rsidR="00BC5B0A" w:rsidRPr="008A5995" w:rsidRDefault="000D12B5" w:rsidP="00BC5B0A">
      <w:pPr>
        <w:pStyle w:val="ListBullet"/>
        <w:rPr>
          <w:rFonts w:cs="Arial"/>
        </w:rPr>
      </w:pPr>
      <w:proofErr w:type="spellStart"/>
      <w:r w:rsidRPr="00A25676">
        <w:t>nbn</w:t>
      </w:r>
      <w:proofErr w:type="spellEnd"/>
      <w:r w:rsidRPr="00A25676">
        <w:t xml:space="preserve"> Co Limited</w:t>
      </w:r>
      <w:r w:rsidR="00BC5B0A">
        <w:t xml:space="preserve"> (</w:t>
      </w:r>
      <w:proofErr w:type="spellStart"/>
      <w:r w:rsidR="7D3A6AEB" w:rsidRPr="00A25676">
        <w:rPr>
          <w:bCs/>
        </w:rPr>
        <w:t>nbn</w:t>
      </w:r>
      <w:proofErr w:type="spellEnd"/>
      <w:r w:rsidR="00BC5B0A">
        <w:t>)</w:t>
      </w:r>
    </w:p>
    <w:p w14:paraId="6E19AD11" w14:textId="2CE08509" w:rsidR="008A5995" w:rsidRPr="008A5995" w:rsidRDefault="000D12B5" w:rsidP="00BC5B0A">
      <w:pPr>
        <w:pStyle w:val="ListBullet"/>
        <w:rPr>
          <w:rFonts w:cs="Arial"/>
        </w:rPr>
      </w:pPr>
      <w:r w:rsidRPr="00A25676">
        <w:t>Qantas</w:t>
      </w:r>
    </w:p>
    <w:p w14:paraId="6A114708" w14:textId="3C5C82FC" w:rsidR="008A5995" w:rsidRPr="00632EAE" w:rsidRDefault="000D12B5" w:rsidP="00BC5B0A">
      <w:pPr>
        <w:pStyle w:val="ListBullet"/>
        <w:rPr>
          <w:rFonts w:cs="Arial"/>
        </w:rPr>
      </w:pPr>
      <w:r w:rsidRPr="00A25676">
        <w:t>Telstra</w:t>
      </w:r>
    </w:p>
    <w:p w14:paraId="33DEE070" w14:textId="4419D9C9" w:rsidR="00BC5B0A" w:rsidRPr="00632EAE" w:rsidRDefault="000D12B5" w:rsidP="00BC5B0A">
      <w:pPr>
        <w:pStyle w:val="ListBulletLast"/>
        <w:rPr>
          <w:b/>
        </w:rPr>
      </w:pPr>
      <w:proofErr w:type="spellStart"/>
      <w:r w:rsidRPr="00A25676">
        <w:t>ViaSat</w:t>
      </w:r>
      <w:proofErr w:type="spellEnd"/>
    </w:p>
    <w:p w14:paraId="7858DF14" w14:textId="7CC7DFD2" w:rsidR="000D12B5" w:rsidRDefault="000D12B5" w:rsidP="00154512">
      <w:pPr>
        <w:spacing w:after="80"/>
        <w:rPr>
          <w:rFonts w:cs="Arial"/>
        </w:rPr>
      </w:pPr>
      <w:r>
        <w:rPr>
          <w:rFonts w:cs="Arial"/>
        </w:rPr>
        <w:t xml:space="preserve">Individual responses can be downloaded from the ‘Other submissions received’ section of </w:t>
      </w:r>
      <w:hyperlink r:id="rId29" w:history="1">
        <w:r w:rsidRPr="000D12B5">
          <w:rPr>
            <w:rStyle w:val="Hyperlink"/>
            <w:rFonts w:cs="Arial"/>
          </w:rPr>
          <w:t>IFC 11/2017</w:t>
        </w:r>
      </w:hyperlink>
      <w:r>
        <w:rPr>
          <w:rFonts w:cs="Arial"/>
        </w:rPr>
        <w:t>.</w:t>
      </w:r>
    </w:p>
    <w:p w14:paraId="0854FD0F" w14:textId="78876CBC" w:rsidR="00BC5B0A" w:rsidRDefault="00BC5B0A" w:rsidP="00154512">
      <w:pPr>
        <w:spacing w:after="80"/>
        <w:rPr>
          <w:rFonts w:cs="Arial"/>
        </w:rPr>
      </w:pPr>
      <w:r w:rsidRPr="00D5121F">
        <w:rPr>
          <w:rFonts w:cs="Arial"/>
        </w:rPr>
        <w:t xml:space="preserve">This document gives a brief summary of the issues raised by the respondents </w:t>
      </w:r>
      <w:r>
        <w:rPr>
          <w:rFonts w:cs="Arial"/>
        </w:rPr>
        <w:t xml:space="preserve">on the proposed procedures, </w:t>
      </w:r>
      <w:r w:rsidRPr="00D5121F">
        <w:rPr>
          <w:rFonts w:cs="Arial"/>
        </w:rPr>
        <w:t>and feedback from the ACMA on the issues.</w:t>
      </w:r>
    </w:p>
    <w:p w14:paraId="6251E16F" w14:textId="77777777" w:rsidR="00BE4C11" w:rsidRPr="000D76E0" w:rsidRDefault="008A5995" w:rsidP="00777BA2">
      <w:pPr>
        <w:pStyle w:val="Heading1"/>
      </w:pPr>
      <w:bookmarkStart w:id="1" w:name="_Toc495590040"/>
      <w:r>
        <w:t>Response to submissions</w:t>
      </w:r>
      <w:bookmarkEnd w:id="1"/>
      <w:r w:rsidR="0042762F" w:rsidRPr="00FF3C69">
        <w:t xml:space="preserve"> </w:t>
      </w:r>
    </w:p>
    <w:p w14:paraId="7A4245F9" w14:textId="46426D1B" w:rsidR="009836D0" w:rsidRDefault="008A5995" w:rsidP="009A7F11">
      <w:pPr>
        <w:spacing w:after="80"/>
        <w:rPr>
          <w:rFonts w:cs="Arial"/>
        </w:rPr>
      </w:pPr>
      <w:r w:rsidRPr="7D3A6AEB">
        <w:rPr>
          <w:rFonts w:eastAsia="Arial" w:cs="Arial"/>
        </w:rPr>
        <w:t>Overall</w:t>
      </w:r>
      <w:r w:rsidR="7D3A6AEB" w:rsidRPr="7D3A6AEB">
        <w:rPr>
          <w:rFonts w:eastAsia="Arial" w:cs="Arial"/>
        </w:rPr>
        <w:t xml:space="preserve">, the </w:t>
      </w:r>
      <w:r w:rsidR="00232611">
        <w:rPr>
          <w:rFonts w:cs="Arial"/>
        </w:rPr>
        <w:t xml:space="preserve">respondents </w:t>
      </w:r>
      <w:r w:rsidRPr="7D3A6AEB">
        <w:rPr>
          <w:rFonts w:eastAsia="Arial" w:cs="Arial"/>
        </w:rPr>
        <w:t>were supportive of the ACMA</w:t>
      </w:r>
      <w:r w:rsidR="00CD6544">
        <w:rPr>
          <w:rFonts w:eastAsia="Arial" w:cs="Arial"/>
        </w:rPr>
        <w:t>’</w:t>
      </w:r>
      <w:r w:rsidR="7D3A6AEB" w:rsidRPr="7D3A6AEB">
        <w:rPr>
          <w:rFonts w:eastAsia="Arial" w:cs="Arial"/>
        </w:rPr>
        <w:t>s</w:t>
      </w:r>
      <w:r w:rsidRPr="7D3A6AEB">
        <w:rPr>
          <w:rFonts w:eastAsia="Arial" w:cs="Arial"/>
        </w:rPr>
        <w:t xml:space="preserve"> </w:t>
      </w:r>
      <w:r w:rsidR="00154512">
        <w:rPr>
          <w:rFonts w:cs="Arial"/>
        </w:rPr>
        <w:t xml:space="preserve">work in developing </w:t>
      </w:r>
      <w:r w:rsidR="00154512">
        <w:t>r</w:t>
      </w:r>
      <w:r w:rsidR="00154512" w:rsidRPr="001E6DA6">
        <w:t>egulatory arrangements for GSO and NGSO ESIMs</w:t>
      </w:r>
      <w:r w:rsidR="00154512">
        <w:t xml:space="preserve">. </w:t>
      </w:r>
      <w:r w:rsidR="004205BC">
        <w:t>In addition</w:t>
      </w:r>
      <w:r w:rsidR="7D3A6AEB">
        <w:t>,</w:t>
      </w:r>
      <w:r w:rsidR="004205BC">
        <w:t xml:space="preserve"> respondents identified matters of possible clarification and provided suggestions for improvement of the proposed arrangements.</w:t>
      </w:r>
      <w:r w:rsidR="009836D0">
        <w:rPr>
          <w:rFonts w:cs="Arial"/>
        </w:rPr>
        <w:t xml:space="preserve"> These issues are considered in the</w:t>
      </w:r>
      <w:r w:rsidR="00CD6544">
        <w:rPr>
          <w:rFonts w:cs="Arial"/>
        </w:rPr>
        <w:t xml:space="preserve"> following</w:t>
      </w:r>
      <w:r w:rsidR="009836D0">
        <w:rPr>
          <w:rFonts w:cs="Arial"/>
        </w:rPr>
        <w:t xml:space="preserve"> sections and address:</w:t>
      </w:r>
    </w:p>
    <w:p w14:paraId="5B835BD0" w14:textId="77777777" w:rsidR="009836D0" w:rsidRDefault="009836D0" w:rsidP="009836D0">
      <w:pPr>
        <w:pStyle w:val="ListBullet"/>
      </w:pPr>
      <w:r>
        <w:t>Interference and coordination</w:t>
      </w:r>
      <w:r w:rsidR="00CD6544">
        <w:t>:</w:t>
      </w:r>
      <w:r>
        <w:t xml:space="preserve"> </w:t>
      </w:r>
    </w:p>
    <w:p w14:paraId="59662C3A" w14:textId="7D608B3B" w:rsidR="009836D0" w:rsidRDefault="00CD6544" w:rsidP="009836D0">
      <w:pPr>
        <w:pStyle w:val="ListBullet2"/>
      </w:pPr>
      <w:r>
        <w:t>r</w:t>
      </w:r>
      <w:r w:rsidR="009836D0">
        <w:t>equirements for coordination with Australian satellite networks</w:t>
      </w:r>
    </w:p>
    <w:p w14:paraId="3FBB9BF7" w14:textId="7BCA623F" w:rsidR="009836D0" w:rsidRPr="00755DAC" w:rsidRDefault="00CD6544" w:rsidP="009836D0">
      <w:pPr>
        <w:pStyle w:val="ListBullet2"/>
      </w:pPr>
      <w:r>
        <w:t>d</w:t>
      </w:r>
      <w:r w:rsidR="009836D0" w:rsidRPr="00350F63">
        <w:t>ecision</w:t>
      </w:r>
      <w:r>
        <w:t>s</w:t>
      </w:r>
      <w:r w:rsidR="009836D0">
        <w:t xml:space="preserve"> under </w:t>
      </w:r>
      <w:r w:rsidR="009836D0" w:rsidRPr="00E8005E">
        <w:t>subsection 10(10)</w:t>
      </w:r>
      <w:r w:rsidR="009836D0">
        <w:t xml:space="preserve"> of the </w:t>
      </w:r>
      <w:r w:rsidR="009836D0" w:rsidRPr="00E60FE2">
        <w:t>Spectrum</w:t>
      </w:r>
      <w:r w:rsidR="009836D0" w:rsidRPr="00E8005E">
        <w:t xml:space="preserve"> Plan</w:t>
      </w:r>
      <w:r w:rsidR="009836D0" w:rsidRPr="00073614">
        <w:t xml:space="preserve"> </w:t>
      </w:r>
      <w:r w:rsidR="009836D0">
        <w:t>and interference considerations</w:t>
      </w:r>
    </w:p>
    <w:p w14:paraId="1B5B25FA" w14:textId="1E2808FE" w:rsidR="009836D0" w:rsidRPr="00842C6B" w:rsidRDefault="00CD6544" w:rsidP="009836D0">
      <w:pPr>
        <w:pStyle w:val="ListBullet2"/>
        <w:rPr>
          <w:rFonts w:cs="Arial"/>
        </w:rPr>
      </w:pPr>
      <w:r>
        <w:t>s</w:t>
      </w:r>
      <w:r w:rsidR="009836D0">
        <w:t>eeking views of affected licensees</w:t>
      </w:r>
    </w:p>
    <w:p w14:paraId="12CCBA18" w14:textId="00EDC6BA" w:rsidR="009836D0" w:rsidRPr="00166A3B" w:rsidRDefault="00CD6544" w:rsidP="009836D0">
      <w:pPr>
        <w:pStyle w:val="ListBullet2"/>
        <w:rPr>
          <w:rFonts w:cs="Arial"/>
        </w:rPr>
      </w:pPr>
      <w:r>
        <w:t>s</w:t>
      </w:r>
      <w:r w:rsidR="009836D0">
        <w:t>cope and use of the ‘letter of assurance’</w:t>
      </w:r>
    </w:p>
    <w:p w14:paraId="530BEF21" w14:textId="3CED87DD" w:rsidR="009836D0" w:rsidRPr="005D6CDE" w:rsidRDefault="00CD6544" w:rsidP="009836D0">
      <w:pPr>
        <w:pStyle w:val="ListBullet2"/>
        <w:rPr>
          <w:rFonts w:cs="Arial"/>
        </w:rPr>
      </w:pPr>
      <w:proofErr w:type="gramStart"/>
      <w:r>
        <w:t>a</w:t>
      </w:r>
      <w:r w:rsidR="009836D0">
        <w:t>viation</w:t>
      </w:r>
      <w:proofErr w:type="gramEnd"/>
      <w:r w:rsidR="009836D0">
        <w:t xml:space="preserve"> radiofrequency immunity requirements</w:t>
      </w:r>
      <w:r>
        <w:t>.</w:t>
      </w:r>
    </w:p>
    <w:p w14:paraId="0BE1989D" w14:textId="77777777" w:rsidR="009836D0" w:rsidRPr="00350F63" w:rsidRDefault="009836D0" w:rsidP="009836D0">
      <w:pPr>
        <w:pStyle w:val="ListBullet"/>
        <w:rPr>
          <w:rFonts w:cs="Arial"/>
        </w:rPr>
      </w:pPr>
      <w:r>
        <w:rPr>
          <w:rFonts w:cs="Arial"/>
        </w:rPr>
        <w:t>Procedural and regulatory matters</w:t>
      </w:r>
      <w:r w:rsidR="00CD6544">
        <w:rPr>
          <w:rFonts w:cs="Arial"/>
        </w:rPr>
        <w:t>:</w:t>
      </w:r>
      <w:r>
        <w:rPr>
          <w:rFonts w:cs="Arial"/>
        </w:rPr>
        <w:t xml:space="preserve"> </w:t>
      </w:r>
    </w:p>
    <w:p w14:paraId="68A8676B" w14:textId="7F820F43" w:rsidR="009836D0" w:rsidRPr="00755DAC" w:rsidRDefault="00CD6544" w:rsidP="009836D0">
      <w:pPr>
        <w:pStyle w:val="ListBullet2"/>
        <w:rPr>
          <w:rFonts w:cs="Arial"/>
        </w:rPr>
      </w:pPr>
      <w:r>
        <w:t>c</w:t>
      </w:r>
      <w:r w:rsidR="009836D0">
        <w:t xml:space="preserve">larification about distinction between arrangements for NGSO and NGSO ESIMs </w:t>
      </w:r>
    </w:p>
    <w:p w14:paraId="1F947067" w14:textId="2E5E6F93" w:rsidR="009836D0" w:rsidRDefault="00CD6544" w:rsidP="009836D0">
      <w:pPr>
        <w:pStyle w:val="ListBullet2"/>
        <w:rPr>
          <w:rFonts w:cs="Arial"/>
        </w:rPr>
      </w:pPr>
      <w:r>
        <w:t>r</w:t>
      </w:r>
      <w:r w:rsidR="009836D0">
        <w:t xml:space="preserve">elationship to </w:t>
      </w:r>
      <w:r>
        <w:t xml:space="preserve">the </w:t>
      </w:r>
      <w:r w:rsidR="009836D0">
        <w:t xml:space="preserve">ACMA broader work plan for </w:t>
      </w:r>
      <w:r>
        <w:t>space-</w:t>
      </w:r>
      <w:r w:rsidR="009836D0">
        <w:t>based communications</w:t>
      </w:r>
      <w:r w:rsidR="009836D0" w:rsidRPr="00755DAC">
        <w:rPr>
          <w:rFonts w:cs="Arial"/>
        </w:rPr>
        <w:t xml:space="preserve"> </w:t>
      </w:r>
      <w:r w:rsidR="009836D0">
        <w:rPr>
          <w:rFonts w:cs="Arial"/>
        </w:rPr>
        <w:t>systems</w:t>
      </w:r>
    </w:p>
    <w:p w14:paraId="1CA8F4EA" w14:textId="77EB3536" w:rsidR="009836D0" w:rsidRPr="00986BC5" w:rsidRDefault="00CD6544" w:rsidP="009836D0">
      <w:pPr>
        <w:pStyle w:val="ListBullet2"/>
        <w:rPr>
          <w:rFonts w:cs="Arial"/>
        </w:rPr>
      </w:pPr>
      <w:r>
        <w:t>a</w:t>
      </w:r>
      <w:r w:rsidR="009836D0">
        <w:t>pplicability of proposed special conditions</w:t>
      </w:r>
    </w:p>
    <w:p w14:paraId="18C87227" w14:textId="15655E84" w:rsidR="003B0FF3" w:rsidRPr="003B0FF3" w:rsidRDefault="00CD6544" w:rsidP="003B0FF3">
      <w:pPr>
        <w:pStyle w:val="ListBullet2"/>
        <w:rPr>
          <w:rFonts w:cs="Arial"/>
        </w:rPr>
      </w:pPr>
      <w:r>
        <w:t>n</w:t>
      </w:r>
      <w:r w:rsidR="009836D0" w:rsidRPr="005D6CDE">
        <w:t xml:space="preserve">omenclature </w:t>
      </w:r>
      <w:r w:rsidR="009836D0">
        <w:t>and naming conventions</w:t>
      </w:r>
    </w:p>
    <w:p w14:paraId="5CCFFE09" w14:textId="6CE7B834" w:rsidR="003B0FF3" w:rsidRPr="008A7337" w:rsidRDefault="00CD6544" w:rsidP="003B0FF3">
      <w:pPr>
        <w:pStyle w:val="ListBullet2"/>
        <w:rPr>
          <w:rFonts w:cs="Arial"/>
        </w:rPr>
      </w:pPr>
      <w:proofErr w:type="gramStart"/>
      <w:r>
        <w:t>r</w:t>
      </w:r>
      <w:r w:rsidR="003B0FF3">
        <w:t>eview</w:t>
      </w:r>
      <w:proofErr w:type="gramEnd"/>
      <w:r w:rsidR="003B0FF3">
        <w:t xml:space="preserve"> of arrangements after WRC-19</w:t>
      </w:r>
      <w:r>
        <w:t>.</w:t>
      </w:r>
    </w:p>
    <w:p w14:paraId="7B60902D" w14:textId="77777777" w:rsidR="00954BC5" w:rsidRDefault="00954BC5" w:rsidP="00954BC5">
      <w:pPr>
        <w:pStyle w:val="Heading2"/>
      </w:pPr>
      <w:bookmarkStart w:id="2" w:name="_Toc495590041"/>
      <w:r>
        <w:t>Approach to developing ESIMs procedures</w:t>
      </w:r>
      <w:bookmarkEnd w:id="2"/>
      <w:r>
        <w:t xml:space="preserve"> </w:t>
      </w:r>
    </w:p>
    <w:p w14:paraId="42880688" w14:textId="64904127" w:rsidR="004205BC" w:rsidRDefault="004205BC" w:rsidP="004205BC">
      <w:r>
        <w:t xml:space="preserve">The ACMA acknowledges that some of the issues raised by respondents had been considered by the ACMA in a previous ESIMs consultation process (see </w:t>
      </w:r>
      <w:hyperlink r:id="rId30">
        <w:r w:rsidR="7D3A6AEB" w:rsidRPr="7D3A6AEB">
          <w:rPr>
            <w:rStyle w:val="Hyperlink"/>
          </w:rPr>
          <w:t>IFC 12/2016</w:t>
        </w:r>
      </w:hyperlink>
      <w:r>
        <w:t xml:space="preserve">), particularly the matter about coordination with Australian filed satellite networks. </w:t>
      </w:r>
      <w:r w:rsidR="009836D0">
        <w:t xml:space="preserve">The ACMA was aware that </w:t>
      </w:r>
      <w:r w:rsidR="00D17B1C">
        <w:t xml:space="preserve">stakeholders </w:t>
      </w:r>
      <w:r w:rsidR="009836D0">
        <w:t>might raise similar concerns in this consultation and l</w:t>
      </w:r>
      <w:r>
        <w:t>earning</w:t>
      </w:r>
      <w:r w:rsidR="009836D0">
        <w:t xml:space="preserve">s </w:t>
      </w:r>
      <w:r>
        <w:t xml:space="preserve">from previous </w:t>
      </w:r>
      <w:r w:rsidR="009836D0">
        <w:t xml:space="preserve">consideration had </w:t>
      </w:r>
      <w:r>
        <w:t xml:space="preserve">informed the development of </w:t>
      </w:r>
      <w:r w:rsidR="7D3A6AEB">
        <w:t xml:space="preserve">these </w:t>
      </w:r>
      <w:r>
        <w:t>proposals.</w:t>
      </w:r>
    </w:p>
    <w:p w14:paraId="776F76BB" w14:textId="7CB40BA5" w:rsidR="004205BC" w:rsidRDefault="009836D0" w:rsidP="004205BC">
      <w:r>
        <w:t>While</w:t>
      </w:r>
      <w:r w:rsidR="7D3A6AEB">
        <w:t xml:space="preserve"> we are</w:t>
      </w:r>
      <w:r>
        <w:t xml:space="preserve"> aware of potential concerns, k</w:t>
      </w:r>
      <w:r w:rsidR="004205BC">
        <w:t xml:space="preserve">ey considerations for the ACMA in developing the proposals were </w:t>
      </w:r>
      <w:r w:rsidR="004205BC" w:rsidRPr="0024035D">
        <w:t>ensuring that Australia’s obligations as a member of the ITU are met, and minimis</w:t>
      </w:r>
      <w:r w:rsidR="004205BC">
        <w:t>ing</w:t>
      </w:r>
      <w:r w:rsidR="004205BC" w:rsidRPr="0024035D">
        <w:t xml:space="preserve"> the regulatory burden placed on industry (consistent with the government regulatory reform agenda on cutting red tape and requirements of the </w:t>
      </w:r>
      <w:r w:rsidR="00CD6544">
        <w:t>R</w:t>
      </w:r>
      <w:r w:rsidR="00CD6544" w:rsidRPr="0024035D">
        <w:t>e</w:t>
      </w:r>
      <w:r w:rsidR="00CD6544">
        <w:t>gulator P</w:t>
      </w:r>
      <w:r w:rsidR="004205BC">
        <w:t xml:space="preserve">erformance </w:t>
      </w:r>
      <w:r w:rsidR="00CD6544">
        <w:t>F</w:t>
      </w:r>
      <w:r w:rsidR="004205BC">
        <w:t>ramework)</w:t>
      </w:r>
      <w:r w:rsidR="7D3A6AEB">
        <w:t xml:space="preserve">. This also </w:t>
      </w:r>
      <w:r w:rsidR="00CD6544">
        <w:t xml:space="preserve">ensures </w:t>
      </w:r>
      <w:r w:rsidR="004205BC">
        <w:t>that the</w:t>
      </w:r>
      <w:r w:rsidR="004205BC" w:rsidRPr="00156C1D">
        <w:t xml:space="preserve"> </w:t>
      </w:r>
      <w:r w:rsidR="004205BC">
        <w:t xml:space="preserve">licensing procedures are appropriate and commensurate with the risk of interference. In doing so, </w:t>
      </w:r>
      <w:r w:rsidR="004205BC">
        <w:rPr>
          <w:rFonts w:cs="Arial"/>
          <w:szCs w:val="19"/>
        </w:rPr>
        <w:t>t</w:t>
      </w:r>
      <w:r w:rsidR="004205BC" w:rsidRPr="0024035D">
        <w:rPr>
          <w:rFonts w:cs="Arial"/>
          <w:szCs w:val="19"/>
        </w:rPr>
        <w:t xml:space="preserve">he </w:t>
      </w:r>
      <w:r w:rsidR="004205BC">
        <w:rPr>
          <w:rFonts w:cs="Arial"/>
          <w:szCs w:val="19"/>
        </w:rPr>
        <w:t xml:space="preserve">proposed </w:t>
      </w:r>
      <w:r w:rsidR="004205BC" w:rsidRPr="0024035D">
        <w:rPr>
          <w:rFonts w:cs="Arial"/>
          <w:szCs w:val="19"/>
        </w:rPr>
        <w:t xml:space="preserve">arrangements </w:t>
      </w:r>
      <w:r w:rsidR="004205BC">
        <w:rPr>
          <w:rFonts w:cs="Arial"/>
          <w:szCs w:val="19"/>
        </w:rPr>
        <w:t xml:space="preserve">would also be considered in the light of </w:t>
      </w:r>
      <w:r w:rsidR="004205BC" w:rsidRPr="0024035D">
        <w:rPr>
          <w:rFonts w:cs="Arial"/>
          <w:szCs w:val="19"/>
        </w:rPr>
        <w:t xml:space="preserve">the </w:t>
      </w:r>
      <w:r w:rsidR="004205BC">
        <w:rPr>
          <w:rFonts w:cs="Arial"/>
          <w:szCs w:val="19"/>
        </w:rPr>
        <w:t>g</w:t>
      </w:r>
      <w:r w:rsidR="004205BC" w:rsidRPr="0024035D">
        <w:rPr>
          <w:rFonts w:cs="Arial"/>
          <w:szCs w:val="19"/>
        </w:rPr>
        <w:t>overnment principle</w:t>
      </w:r>
      <w:r w:rsidR="004205BC" w:rsidRPr="0024035D">
        <w:rPr>
          <w:rStyle w:val="FootnoteReference"/>
          <w:rFonts w:cs="Arial"/>
          <w:szCs w:val="19"/>
        </w:rPr>
        <w:footnoteReference w:id="2"/>
      </w:r>
      <w:r w:rsidR="004205BC" w:rsidRPr="0024035D">
        <w:rPr>
          <w:rFonts w:cs="Arial"/>
          <w:szCs w:val="19"/>
        </w:rPr>
        <w:t xml:space="preserve"> that if a system, service or product has been approved under a trusted international standard or risk assessment, then Australian regulators should not impose any additional requirements</w:t>
      </w:r>
      <w:r w:rsidR="004205BC">
        <w:rPr>
          <w:rFonts w:cs="Arial"/>
          <w:szCs w:val="19"/>
        </w:rPr>
        <w:t xml:space="preserve"> </w:t>
      </w:r>
      <w:r w:rsidR="004205BC" w:rsidRPr="0024035D">
        <w:t>unless there is a good and demonstrable reason to do so.</w:t>
      </w:r>
    </w:p>
    <w:p w14:paraId="0A2AD049" w14:textId="222FB89F" w:rsidR="004205BC" w:rsidRDefault="004205BC" w:rsidP="004205BC">
      <w:r>
        <w:t>Under those principles, given that the coordination of satellite networks with other satellite networks is undertaken through the ITU process, the ACMA’s processes should not attempt to duplicate the international satellite network coordination process by developing additional criteria outside that process (beyond the existing safeguards for when that process is yet to be completed). This principle is reflected in the ACMA’s long-standing approach to management and licensing of space-based communication systems and was applied in the development of the consultation proposals.</w:t>
      </w:r>
    </w:p>
    <w:p w14:paraId="278526CF" w14:textId="2C63FFAC" w:rsidR="004205BC" w:rsidRDefault="004205BC" w:rsidP="004205BC">
      <w:pPr>
        <w:rPr>
          <w:rFonts w:cs="Arial"/>
          <w:szCs w:val="19"/>
        </w:rPr>
      </w:pPr>
      <w:r>
        <w:t>In this regard, as noted in the discussion paper</w:t>
      </w:r>
      <w:r w:rsidR="00CD6544">
        <w:t>,</w:t>
      </w:r>
      <w:r>
        <w:t xml:space="preserve"> </w:t>
      </w:r>
      <w:r w:rsidR="003C1E2B">
        <w:t xml:space="preserve">there are </w:t>
      </w:r>
      <w:r>
        <w:t>currently no international arrangements (that is, they are not provided for by the ITU Radio Regulations) and as such any</w:t>
      </w:r>
      <w:r w:rsidR="0058414E">
        <w:t xml:space="preserve"> of</w:t>
      </w:r>
      <w:r>
        <w:t xml:space="preserve"> the proposed arrangements </w:t>
      </w:r>
      <w:r w:rsidR="0058414E">
        <w:t xml:space="preserve">are subject </w:t>
      </w:r>
      <w:r>
        <w:t>to ITU Radio Regulation No. 4.4</w:t>
      </w:r>
      <w:r>
        <w:rPr>
          <w:rStyle w:val="FootnoteReference"/>
        </w:rPr>
        <w:footnoteReference w:id="3"/>
      </w:r>
      <w:r>
        <w:t xml:space="preserve">. However, while there are no supporting ITU arrangements, ESIMs are supported in Europe through decisions of the </w:t>
      </w:r>
      <w:hyperlink r:id="rId31" w:history="1">
        <w:r w:rsidRPr="00E809F6">
          <w:rPr>
            <w:rStyle w:val="Hyperlink"/>
          </w:rPr>
          <w:t>European Communication Committee</w:t>
        </w:r>
      </w:hyperlink>
      <w:r>
        <w:t xml:space="preserve"> (ECC</w:t>
      </w:r>
      <w:r w:rsidR="00E969A0">
        <w:t>)</w:t>
      </w:r>
      <w:r w:rsidR="00F96F84">
        <w:rPr>
          <w:rFonts w:cs="Arial"/>
        </w:rPr>
        <w:t>—</w:t>
      </w:r>
      <w:r w:rsidR="007E5903">
        <w:t xml:space="preserve">relevant decisions </w:t>
      </w:r>
      <w:r w:rsidR="679F3CDB">
        <w:t xml:space="preserve">are </w:t>
      </w:r>
      <w:r w:rsidR="007E5903">
        <w:t>listed below</w:t>
      </w:r>
      <w:r>
        <w:t>. The ACMA</w:t>
      </w:r>
      <w:r w:rsidR="00E969A0">
        <w:t>’s</w:t>
      </w:r>
      <w:r>
        <w:t xml:space="preserve"> view </w:t>
      </w:r>
      <w:r w:rsidR="00E969A0">
        <w:t xml:space="preserve">is </w:t>
      </w:r>
      <w:r>
        <w:t>that Europe</w:t>
      </w:r>
      <w:r w:rsidR="00E969A0">
        <w:t>an</w:t>
      </w:r>
      <w:r>
        <w:t xml:space="preserve"> arrangements in the main could be adopted in Australia under the </w:t>
      </w:r>
      <w:r w:rsidRPr="0024035D">
        <w:rPr>
          <w:rFonts w:cs="Arial"/>
          <w:szCs w:val="19"/>
        </w:rPr>
        <w:t>trusted international standard</w:t>
      </w:r>
      <w:r>
        <w:rPr>
          <w:rFonts w:cs="Arial"/>
          <w:szCs w:val="19"/>
        </w:rPr>
        <w:t xml:space="preserve"> principle</w:t>
      </w:r>
      <w:r w:rsidR="00F96F84">
        <w:rPr>
          <w:rFonts w:cs="Arial"/>
          <w:szCs w:val="19"/>
        </w:rPr>
        <w:t>,</w:t>
      </w:r>
      <w:r>
        <w:rPr>
          <w:rFonts w:cs="Arial"/>
          <w:szCs w:val="19"/>
        </w:rPr>
        <w:t xml:space="preserve"> as there </w:t>
      </w:r>
      <w:r w:rsidR="00F96F84">
        <w:rPr>
          <w:rFonts w:cs="Arial"/>
          <w:szCs w:val="19"/>
        </w:rPr>
        <w:t xml:space="preserve">is </w:t>
      </w:r>
      <w:r>
        <w:rPr>
          <w:rFonts w:cs="Arial"/>
          <w:szCs w:val="19"/>
        </w:rPr>
        <w:t>no good and demonstrable risk for having substantial additional requirements.</w:t>
      </w:r>
    </w:p>
    <w:p w14:paraId="3A2EA612" w14:textId="3D827553" w:rsidR="004205BC" w:rsidRDefault="009836D0" w:rsidP="00FF3C69">
      <w:pPr>
        <w:rPr>
          <w:rFonts w:cs="Arial"/>
          <w:szCs w:val="19"/>
        </w:rPr>
      </w:pPr>
      <w:r>
        <w:rPr>
          <w:rFonts w:cs="Arial"/>
          <w:szCs w:val="19"/>
        </w:rPr>
        <w:t xml:space="preserve">It was with these principles in mind that the </w:t>
      </w:r>
      <w:r w:rsidR="004205BC">
        <w:rPr>
          <w:rFonts w:cs="Arial"/>
          <w:szCs w:val="19"/>
        </w:rPr>
        <w:t xml:space="preserve">ACMA </w:t>
      </w:r>
      <w:r>
        <w:rPr>
          <w:rFonts w:cs="Arial"/>
          <w:szCs w:val="19"/>
        </w:rPr>
        <w:t>developed the consultation propos</w:t>
      </w:r>
      <w:r w:rsidR="00D213B6">
        <w:rPr>
          <w:rFonts w:cs="Arial"/>
          <w:szCs w:val="19"/>
        </w:rPr>
        <w:t>als</w:t>
      </w:r>
      <w:r>
        <w:rPr>
          <w:rFonts w:cs="Arial"/>
          <w:szCs w:val="19"/>
        </w:rPr>
        <w:t xml:space="preserve">. </w:t>
      </w:r>
      <w:r w:rsidR="00D213B6">
        <w:rPr>
          <w:rFonts w:cs="Arial"/>
          <w:szCs w:val="19"/>
        </w:rPr>
        <w:t xml:space="preserve">While issues raised by respondents have identified areas where application of the European requirements to an Australian environment requires clarification, no evidence </w:t>
      </w:r>
      <w:r w:rsidR="00F96F84">
        <w:rPr>
          <w:rFonts w:cs="Arial"/>
          <w:szCs w:val="19"/>
        </w:rPr>
        <w:t xml:space="preserve">has been </w:t>
      </w:r>
      <w:r w:rsidR="00D213B6">
        <w:rPr>
          <w:rFonts w:cs="Arial"/>
          <w:szCs w:val="19"/>
        </w:rPr>
        <w:t>presented that warrant</w:t>
      </w:r>
      <w:r w:rsidR="00F96F84">
        <w:rPr>
          <w:rFonts w:cs="Arial"/>
          <w:szCs w:val="19"/>
        </w:rPr>
        <w:t>s</w:t>
      </w:r>
      <w:r w:rsidR="00D213B6">
        <w:rPr>
          <w:rFonts w:cs="Arial"/>
          <w:szCs w:val="19"/>
        </w:rPr>
        <w:t xml:space="preserve"> a significant change from the approach of adopting the European arrangements. </w:t>
      </w:r>
    </w:p>
    <w:p w14:paraId="2AA5D655" w14:textId="77777777" w:rsidR="007E5903" w:rsidRDefault="007E5903" w:rsidP="007E5903">
      <w:pPr>
        <w:spacing w:after="80" w:line="20" w:lineRule="atLeast"/>
      </w:pPr>
      <w:r>
        <w:t>The relevant ECC decisions are:</w:t>
      </w:r>
    </w:p>
    <w:p w14:paraId="371C53E5" w14:textId="6F370B7A" w:rsidR="007E5903" w:rsidRPr="00A114D1" w:rsidRDefault="007E5903" w:rsidP="007E5903">
      <w:pPr>
        <w:pStyle w:val="ListBullet"/>
      </w:pPr>
      <w:r w:rsidRPr="00A114D1">
        <w:t xml:space="preserve">ECC Decision of 3 July 2015 on the harmonised use, free circulation and exemption from individual licensing of </w:t>
      </w:r>
      <w:r w:rsidR="00781516">
        <w:t>l</w:t>
      </w:r>
      <w:r w:rsidRPr="00A114D1">
        <w:t xml:space="preserve">and and </w:t>
      </w:r>
      <w:r w:rsidR="00781516">
        <w:t>m</w:t>
      </w:r>
      <w:r w:rsidRPr="00A114D1">
        <w:t xml:space="preserve">aritime </w:t>
      </w:r>
      <w:r w:rsidR="00781516">
        <w:t>e</w:t>
      </w:r>
      <w:r w:rsidRPr="00A114D1">
        <w:t xml:space="preserve">arth </w:t>
      </w:r>
      <w:r w:rsidR="00781516">
        <w:t>s</w:t>
      </w:r>
      <w:r w:rsidRPr="00A114D1">
        <w:t xml:space="preserve">tations </w:t>
      </w:r>
      <w:r w:rsidR="00781516">
        <w:t>o</w:t>
      </w:r>
      <w:r w:rsidRPr="00A114D1">
        <w:t xml:space="preserve">n </w:t>
      </w:r>
      <w:r w:rsidR="00781516">
        <w:t>m</w:t>
      </w:r>
      <w:r w:rsidRPr="00A114D1">
        <w:t xml:space="preserve">obile </w:t>
      </w:r>
      <w:r w:rsidR="00781516">
        <w:t>p</w:t>
      </w:r>
      <w:r w:rsidRPr="00A114D1">
        <w:t>latforms (ESOMPs) operating with NGSO FSS satellite systems in the frequency ranges 17.3</w:t>
      </w:r>
      <w:r>
        <w:t>–</w:t>
      </w:r>
      <w:r w:rsidRPr="00A114D1">
        <w:t>20.2 GHz, 27.5</w:t>
      </w:r>
      <w:r>
        <w:t>–</w:t>
      </w:r>
      <w:r w:rsidRPr="00A114D1">
        <w:t>29.1 GHz and 29.5</w:t>
      </w:r>
      <w:r>
        <w:t>–</w:t>
      </w:r>
      <w:r w:rsidRPr="00A114D1">
        <w:t>30.0 GHz (</w:t>
      </w:r>
      <w:r w:rsidRPr="00F70254">
        <w:rPr>
          <w:szCs w:val="20"/>
        </w:rPr>
        <w:t>ECC/DEC/(15)04</w:t>
      </w:r>
      <w:r w:rsidRPr="00A114D1">
        <w:t>)</w:t>
      </w:r>
    </w:p>
    <w:p w14:paraId="54CB49F0" w14:textId="6A9675FD" w:rsidR="007E5903" w:rsidRDefault="007E5903" w:rsidP="007E5903">
      <w:pPr>
        <w:pStyle w:val="ListBulletLast"/>
      </w:pPr>
      <w:r w:rsidRPr="00A114D1">
        <w:t xml:space="preserve">ECC Decision of 8 March 2013 on the use, free circulation and exemption from individual licensing of </w:t>
      </w:r>
      <w:r w:rsidR="00781516">
        <w:t>e</w:t>
      </w:r>
      <w:r w:rsidRPr="00A114D1">
        <w:t xml:space="preserve">arth </w:t>
      </w:r>
      <w:r w:rsidR="00781516">
        <w:t>s</w:t>
      </w:r>
      <w:r w:rsidRPr="00A114D1">
        <w:t xml:space="preserve">tations on </w:t>
      </w:r>
      <w:r w:rsidR="00781516">
        <w:t>m</w:t>
      </w:r>
      <w:r w:rsidRPr="00A114D1">
        <w:t xml:space="preserve">obile </w:t>
      </w:r>
      <w:r w:rsidR="00781516">
        <w:t>p</w:t>
      </w:r>
      <w:r w:rsidRPr="00A114D1">
        <w:t xml:space="preserve">latforms (ESOMPs) in the frequency bands available for use by uncoordinated FSS </w:t>
      </w:r>
      <w:r w:rsidR="00781516">
        <w:t>e</w:t>
      </w:r>
      <w:r w:rsidR="00781516" w:rsidRPr="00A114D1">
        <w:t xml:space="preserve">arth </w:t>
      </w:r>
      <w:r w:rsidRPr="00A114D1">
        <w:t>stations within the ranges 17.3</w:t>
      </w:r>
      <w:r>
        <w:t>–</w:t>
      </w:r>
      <w:r w:rsidRPr="00A114D1">
        <w:t>20.2 GHz and 27.5</w:t>
      </w:r>
      <w:r>
        <w:t>–</w:t>
      </w:r>
      <w:r w:rsidRPr="00A114D1">
        <w:t>30.0 GHz (</w:t>
      </w:r>
      <w:r w:rsidRPr="00F70254">
        <w:rPr>
          <w:szCs w:val="20"/>
        </w:rPr>
        <w:t>ECC/DEC/(13)01</w:t>
      </w:r>
      <w:r w:rsidRPr="00A114D1">
        <w:t>)</w:t>
      </w:r>
      <w:r>
        <w:t>.</w:t>
      </w:r>
    </w:p>
    <w:p w14:paraId="757242B9" w14:textId="77777777" w:rsidR="004160B9" w:rsidRDefault="004160B9" w:rsidP="004E5022">
      <w:pPr>
        <w:pStyle w:val="BodySubHeader"/>
      </w:pPr>
      <w:r>
        <w:t xml:space="preserve">Requirement for decision under subsection 10(10) of the Spectrum Plan </w:t>
      </w:r>
    </w:p>
    <w:p w14:paraId="55523934" w14:textId="11636519" w:rsidR="004160B9" w:rsidRDefault="004160B9" w:rsidP="004E5022">
      <w:pPr>
        <w:pStyle w:val="ListBullet"/>
        <w:numPr>
          <w:ilvl w:val="0"/>
          <w:numId w:val="0"/>
        </w:numPr>
      </w:pPr>
      <w:r>
        <w:t xml:space="preserve">The requirement for a decision under subsection 10(10) of the Spectrum Plan is because under current definitions the operation of earth station transmitters in motion is not </w:t>
      </w:r>
      <w:r w:rsidR="00324061">
        <w:t xml:space="preserve">always </w:t>
      </w:r>
      <w:r>
        <w:t>supported under the fixed satellite service</w:t>
      </w:r>
      <w:r w:rsidR="00324061">
        <w:t xml:space="preserve"> (an example </w:t>
      </w:r>
      <w:r w:rsidR="009735A8">
        <w:t xml:space="preserve">of </w:t>
      </w:r>
      <w:r w:rsidR="00324061">
        <w:t>where</w:t>
      </w:r>
      <w:r w:rsidR="009735A8">
        <w:t xml:space="preserve"> it</w:t>
      </w:r>
      <w:r w:rsidR="00324061">
        <w:t xml:space="preserve"> is supported is</w:t>
      </w:r>
      <w:r w:rsidR="009735A8">
        <w:t xml:space="preserve"> under</w:t>
      </w:r>
      <w:r w:rsidR="00324061">
        <w:t xml:space="preserve"> </w:t>
      </w:r>
      <w:r w:rsidR="00324061" w:rsidRPr="00572919">
        <w:t>ITU Resolution 156 (WRC-15)</w:t>
      </w:r>
      <w:r w:rsidR="00EC37B7">
        <w:t>—</w:t>
      </w:r>
      <w:r w:rsidR="00324061">
        <w:t xml:space="preserve">refer </w:t>
      </w:r>
      <w:r w:rsidR="00FD5127">
        <w:t>to IFC</w:t>
      </w:r>
      <w:r w:rsidR="00324061">
        <w:t xml:space="preserve"> </w:t>
      </w:r>
      <w:hyperlink r:id="rId32" w:history="1">
        <w:r w:rsidR="00324061" w:rsidRPr="00324061">
          <w:rPr>
            <w:rStyle w:val="Hyperlink"/>
            <w:lang w:val="en"/>
          </w:rPr>
          <w:t>11/2017</w:t>
        </w:r>
      </w:hyperlink>
      <w:r w:rsidR="00324061">
        <w:rPr>
          <w:lang w:val="en"/>
        </w:rPr>
        <w:t>)</w:t>
      </w:r>
      <w:r w:rsidR="00324061">
        <w:t>.</w:t>
      </w:r>
    </w:p>
    <w:p w14:paraId="251FD542" w14:textId="559591F4" w:rsidR="004160B9" w:rsidRPr="00A114D1" w:rsidRDefault="004160B9" w:rsidP="004E5022">
      <w:pPr>
        <w:pStyle w:val="ListBullet"/>
        <w:numPr>
          <w:ilvl w:val="0"/>
          <w:numId w:val="0"/>
        </w:numPr>
      </w:pPr>
      <w:r>
        <w:t>On review</w:t>
      </w:r>
      <w:r w:rsidRPr="004679EE">
        <w:t xml:space="preserve"> it was consider</w:t>
      </w:r>
      <w:r>
        <w:t>ed</w:t>
      </w:r>
      <w:r w:rsidRPr="004679EE">
        <w:t xml:space="preserve"> that </w:t>
      </w:r>
      <w:r w:rsidRPr="00E9429D">
        <w:t>in the frequency range 29.5</w:t>
      </w:r>
      <w:r w:rsidR="00FD5127">
        <w:t>–</w:t>
      </w:r>
      <w:r w:rsidRPr="00E9429D">
        <w:t>30 GHz</w:t>
      </w:r>
      <w:r w:rsidR="00FD5127">
        <w:t>,</w:t>
      </w:r>
      <w:r w:rsidRPr="00E9429D">
        <w:t xml:space="preserve"> there are allocations for the mobile satellite service (secondary 29.5</w:t>
      </w:r>
      <w:r w:rsidR="00FD5127">
        <w:t>–</w:t>
      </w:r>
      <w:r w:rsidRPr="00E9429D">
        <w:t xml:space="preserve">29.9 GHz, primary </w:t>
      </w:r>
      <w:r w:rsidR="00EC37B7">
        <w:br/>
      </w:r>
      <w:r w:rsidRPr="00E9429D">
        <w:t>29.9</w:t>
      </w:r>
      <w:r w:rsidR="00EC37B7">
        <w:rPr>
          <w:rFonts w:cs="Arial"/>
        </w:rPr>
        <w:t>–</w:t>
      </w:r>
      <w:r w:rsidR="00FD5127" w:rsidRPr="00E9429D">
        <w:t>30</w:t>
      </w:r>
      <w:r w:rsidR="00FD5127">
        <w:t> </w:t>
      </w:r>
      <w:r w:rsidRPr="00E9429D">
        <w:t xml:space="preserve">GHz) </w:t>
      </w:r>
      <w:r w:rsidR="009735A8">
        <w:t xml:space="preserve">and </w:t>
      </w:r>
      <w:r w:rsidRPr="00E9429D">
        <w:t>a decision under subsection 10(10) is not required for that frequency range.</w:t>
      </w:r>
      <w:r w:rsidR="00FD5127">
        <w:t xml:space="preserve"> </w:t>
      </w:r>
      <w:r w:rsidRPr="00E9429D">
        <w:t>That is, the operation of earth stations in motion communicating with space stations in the fixed</w:t>
      </w:r>
      <w:r w:rsidR="00FD5127">
        <w:t xml:space="preserve"> </w:t>
      </w:r>
      <w:r w:rsidRPr="00E9429D">
        <w:t>satellite service (Earth-to-space) in the frequency range 29.5</w:t>
      </w:r>
      <w:r w:rsidR="00FD5127">
        <w:t>–</w:t>
      </w:r>
      <w:bookmarkStart w:id="3" w:name="_GoBack"/>
      <w:r w:rsidR="00FD5127" w:rsidRPr="00E9429D">
        <w:t>30</w:t>
      </w:r>
      <w:r w:rsidR="00FD5127">
        <w:t> </w:t>
      </w:r>
      <w:bookmarkEnd w:id="3"/>
      <w:r w:rsidRPr="00E9429D">
        <w:t>GHz would be consistent with the Spectrum Plan.</w:t>
      </w:r>
    </w:p>
    <w:p w14:paraId="5B4B30F6" w14:textId="77777777" w:rsidR="00350F63" w:rsidRDefault="008E5775" w:rsidP="00350F63">
      <w:pPr>
        <w:pStyle w:val="Heading1"/>
      </w:pPr>
      <w:bookmarkStart w:id="4" w:name="_Toc495590042"/>
      <w:r>
        <w:t>C</w:t>
      </w:r>
      <w:r w:rsidR="00350F63">
        <w:t xml:space="preserve">oordination </w:t>
      </w:r>
      <w:r>
        <w:t>and interference</w:t>
      </w:r>
      <w:bookmarkEnd w:id="4"/>
      <w:r>
        <w:t xml:space="preserve"> </w:t>
      </w:r>
    </w:p>
    <w:p w14:paraId="6EA23FDB" w14:textId="2FDE6302" w:rsidR="00FF3C69" w:rsidRPr="006D46E5" w:rsidRDefault="008A1F88" w:rsidP="00FF3C69">
      <w:pPr>
        <w:pStyle w:val="Heading2"/>
      </w:pPr>
      <w:bookmarkStart w:id="5" w:name="_Ref495582622"/>
      <w:bookmarkStart w:id="6" w:name="_Ref495582636"/>
      <w:bookmarkStart w:id="7" w:name="_Toc495590043"/>
      <w:r>
        <w:t xml:space="preserve">Coordination with Australian </w:t>
      </w:r>
      <w:r w:rsidR="006D5895">
        <w:t>fil</w:t>
      </w:r>
      <w:r w:rsidR="003579AD">
        <w:t xml:space="preserve">ed satellite </w:t>
      </w:r>
      <w:r>
        <w:t>networks</w:t>
      </w:r>
      <w:bookmarkEnd w:id="5"/>
      <w:bookmarkEnd w:id="6"/>
      <w:bookmarkEnd w:id="7"/>
      <w:r w:rsidR="00FF3C69" w:rsidRPr="006D46E5">
        <w:t xml:space="preserve"> </w:t>
      </w:r>
    </w:p>
    <w:p w14:paraId="6178A360" w14:textId="77777777" w:rsidR="006B2E5C" w:rsidRDefault="006B2E5C" w:rsidP="00FF3C69">
      <w:pPr>
        <w:rPr>
          <w:i/>
        </w:rPr>
      </w:pPr>
      <w:r w:rsidRPr="00D201C8">
        <w:rPr>
          <w:i/>
        </w:rPr>
        <w:t xml:space="preserve">Concern was raised </w:t>
      </w:r>
      <w:r>
        <w:rPr>
          <w:i/>
        </w:rPr>
        <w:t>by</w:t>
      </w:r>
      <w:r w:rsidRPr="00D201C8">
        <w:rPr>
          <w:i/>
        </w:rPr>
        <w:t xml:space="preserve"> Defence about the operation of satellite networks </w:t>
      </w:r>
      <w:r>
        <w:rPr>
          <w:i/>
        </w:rPr>
        <w:t xml:space="preserve">that </w:t>
      </w:r>
      <w:r w:rsidRPr="00D201C8">
        <w:rPr>
          <w:i/>
        </w:rPr>
        <w:t>includ</w:t>
      </w:r>
      <w:r>
        <w:rPr>
          <w:i/>
        </w:rPr>
        <w:t>e</w:t>
      </w:r>
      <w:r w:rsidRPr="00D201C8">
        <w:rPr>
          <w:i/>
        </w:rPr>
        <w:t xml:space="preserve"> ESIMs potentially causing interference to </w:t>
      </w:r>
      <w:r>
        <w:rPr>
          <w:i/>
        </w:rPr>
        <w:t>Australian-filed</w:t>
      </w:r>
      <w:r w:rsidRPr="00D201C8">
        <w:rPr>
          <w:i/>
        </w:rPr>
        <w:t xml:space="preserve"> satellite networks where coordination agreements are not complete. </w:t>
      </w:r>
      <w:r>
        <w:rPr>
          <w:i/>
        </w:rPr>
        <w:t>Defence suggested that the assessment procedures should require evidence that coordination agreements with existing Australian satellite operators are in place prior to licensing of ESIMs in Australia.</w:t>
      </w:r>
    </w:p>
    <w:p w14:paraId="6C208C96" w14:textId="4B0C18E1" w:rsidR="00F448F4" w:rsidRDefault="00F448F4" w:rsidP="00F448F4">
      <w:r>
        <w:t>The ACMA consider</w:t>
      </w:r>
      <w:r w:rsidR="00850D09">
        <w:t>ed</w:t>
      </w:r>
      <w:r>
        <w:t xml:space="preserve"> this issue in an earlier consultation on ESIMs (</w:t>
      </w:r>
      <w:r w:rsidR="00850D09">
        <w:t xml:space="preserve">see </w:t>
      </w:r>
      <w:hyperlink r:id="rId33">
        <w:r w:rsidR="0017511B" w:rsidRPr="7D3A6AEB">
          <w:rPr>
            <w:rStyle w:val="Hyperlink"/>
          </w:rPr>
          <w:t>IFC</w:t>
        </w:r>
        <w:r w:rsidR="0017511B">
          <w:rPr>
            <w:rStyle w:val="Hyperlink"/>
          </w:rPr>
          <w:t> </w:t>
        </w:r>
        <w:r w:rsidR="0017511B" w:rsidRPr="7D3A6AEB">
          <w:rPr>
            <w:rStyle w:val="Hyperlink"/>
          </w:rPr>
          <w:t>12/2016</w:t>
        </w:r>
      </w:hyperlink>
      <w:r w:rsidR="00E96BF5">
        <w:t xml:space="preserve">) and </w:t>
      </w:r>
      <w:r>
        <w:t>notes that this</w:t>
      </w:r>
      <w:r w:rsidR="00E920C0">
        <w:t xml:space="preserve"> potential</w:t>
      </w:r>
      <w:r>
        <w:t xml:space="preserve"> issue is not limited to ESIMs operation</w:t>
      </w:r>
      <w:r w:rsidR="00850D09">
        <w:t>. If the ITU satellite coordination process is not completed (including cases where the network has been recorded in the</w:t>
      </w:r>
      <w:r w:rsidR="00781516">
        <w:t xml:space="preserve"> </w:t>
      </w:r>
      <w:r w:rsidR="00781516" w:rsidRPr="00B3096A">
        <w:rPr>
          <w:bCs/>
        </w:rPr>
        <w:t>Master International Frequency Register</w:t>
      </w:r>
      <w:r w:rsidR="00850D09">
        <w:t xml:space="preserve"> </w:t>
      </w:r>
      <w:r w:rsidR="00781516">
        <w:t>(</w:t>
      </w:r>
      <w:r w:rsidR="00850D09">
        <w:t>MIFR</w:t>
      </w:r>
      <w:r w:rsidR="00781516">
        <w:t>)</w:t>
      </w:r>
      <w:r w:rsidR="00850D09">
        <w:t xml:space="preserve"> in accordance with ITU Radio Regulation No. </w:t>
      </w:r>
      <w:r w:rsidR="00850D09" w:rsidRPr="00A25676">
        <w:t>11.41</w:t>
      </w:r>
      <w:r w:rsidR="00850D09">
        <w:t>)</w:t>
      </w:r>
      <w:r>
        <w:t>, there exists the theoretical possibility of this occurring</w:t>
      </w:r>
      <w:r w:rsidR="00850D09">
        <w:t xml:space="preserve"> for a </w:t>
      </w:r>
      <w:r w:rsidR="00850D09" w:rsidRPr="0017511B">
        <w:t>satellite</w:t>
      </w:r>
      <w:r w:rsidR="00850D09">
        <w:t xml:space="preserve"> network that is co-frequency with an Australian satellite network</w:t>
      </w:r>
      <w:r>
        <w:t>.</w:t>
      </w:r>
    </w:p>
    <w:p w14:paraId="37BE5A38" w14:textId="235F2F8E" w:rsidR="00E96BF5" w:rsidRDefault="00F448F4" w:rsidP="00F448F4">
      <w:r>
        <w:t>The ACMA is not aware of interference to Australian satellite operators due</w:t>
      </w:r>
      <w:r w:rsidR="0017511B">
        <w:t xml:space="preserve"> to</w:t>
      </w:r>
      <w:r>
        <w:t xml:space="preserve"> this scenario, or for that matter an Australian licensed satellite service, under the existing satellite licensing regime. While the risks associated with this scenario are considered low, they are recognised by the ACMA and were considered when developing the proposed arrangements for ESIMs. </w:t>
      </w:r>
    </w:p>
    <w:p w14:paraId="1C97D669" w14:textId="24A3DF3D" w:rsidR="00B3096A" w:rsidRDefault="00B3096A" w:rsidP="006D2936">
      <w:pPr>
        <w:rPr>
          <w:rFonts w:cs="Arial"/>
        </w:rPr>
      </w:pPr>
      <w:r>
        <w:rPr>
          <w:rFonts w:cs="Arial"/>
        </w:rPr>
        <w:t xml:space="preserve">Under the proposed </w:t>
      </w:r>
      <w:r w:rsidR="00E920C0">
        <w:rPr>
          <w:rFonts w:cs="Arial"/>
        </w:rPr>
        <w:t xml:space="preserve">interim ESIMs </w:t>
      </w:r>
      <w:r>
        <w:rPr>
          <w:rFonts w:cs="Arial"/>
        </w:rPr>
        <w:t>arrangements</w:t>
      </w:r>
      <w:r w:rsidR="00781516">
        <w:rPr>
          <w:rFonts w:cs="Arial"/>
        </w:rPr>
        <w:t>,</w:t>
      </w:r>
      <w:r>
        <w:rPr>
          <w:rFonts w:cs="Arial"/>
        </w:rPr>
        <w:t xml:space="preserve"> </w:t>
      </w:r>
      <w:r w:rsidR="00E920C0">
        <w:rPr>
          <w:rFonts w:cs="Arial"/>
        </w:rPr>
        <w:t xml:space="preserve">consideration </w:t>
      </w:r>
      <w:r w:rsidR="00D17A8C">
        <w:rPr>
          <w:rFonts w:cs="Arial"/>
        </w:rPr>
        <w:t xml:space="preserve">with existing services </w:t>
      </w:r>
      <w:r>
        <w:rPr>
          <w:rFonts w:cs="Arial"/>
        </w:rPr>
        <w:t xml:space="preserve">is </w:t>
      </w:r>
      <w:r w:rsidR="00F60110">
        <w:rPr>
          <w:rFonts w:cs="Arial"/>
        </w:rPr>
        <w:t xml:space="preserve">undertaken as part of the </w:t>
      </w:r>
      <w:r w:rsidR="006D2936">
        <w:rPr>
          <w:rFonts w:cs="Arial"/>
        </w:rPr>
        <w:t xml:space="preserve">licensing process </w:t>
      </w:r>
      <w:r>
        <w:rPr>
          <w:rFonts w:cs="Arial"/>
        </w:rPr>
        <w:t xml:space="preserve">through </w:t>
      </w:r>
      <w:r w:rsidR="00D17B1C">
        <w:rPr>
          <w:rFonts w:cs="Arial"/>
        </w:rPr>
        <w:t xml:space="preserve">the requirement to seek the views of affected licensees. </w:t>
      </w:r>
      <w:r w:rsidR="00F60110">
        <w:rPr>
          <w:rFonts w:cs="Arial"/>
        </w:rPr>
        <w:t xml:space="preserve">It is through this process that </w:t>
      </w:r>
      <w:r w:rsidR="00D17A8C">
        <w:rPr>
          <w:rFonts w:cs="Arial"/>
        </w:rPr>
        <w:t xml:space="preserve">operators of </w:t>
      </w:r>
      <w:r w:rsidR="00F60110">
        <w:rPr>
          <w:rFonts w:cs="Arial"/>
        </w:rPr>
        <w:t>Australian satellite networks (if there is a radiocommunications l</w:t>
      </w:r>
      <w:r w:rsidR="008A4D9D">
        <w:rPr>
          <w:rFonts w:cs="Arial"/>
        </w:rPr>
        <w:t>icence authorising the operation</w:t>
      </w:r>
      <w:r w:rsidR="00F60110">
        <w:rPr>
          <w:rFonts w:cs="Arial"/>
        </w:rPr>
        <w:t xml:space="preserve"> of the satellite network in Australia) </w:t>
      </w:r>
      <w:r w:rsidR="00D17A8C">
        <w:rPr>
          <w:rFonts w:cs="Arial"/>
        </w:rPr>
        <w:t>have an opportunity to express views on whether</w:t>
      </w:r>
      <w:r w:rsidR="00653F21">
        <w:rPr>
          <w:rFonts w:cs="Arial"/>
        </w:rPr>
        <w:t xml:space="preserve"> </w:t>
      </w:r>
      <w:r w:rsidR="008A4D9D">
        <w:rPr>
          <w:rFonts w:cs="Arial"/>
        </w:rPr>
        <w:t xml:space="preserve">there </w:t>
      </w:r>
      <w:r w:rsidR="00653F21">
        <w:rPr>
          <w:rFonts w:cs="Arial"/>
        </w:rPr>
        <w:t xml:space="preserve">are </w:t>
      </w:r>
      <w:r w:rsidR="00D17A8C">
        <w:rPr>
          <w:rFonts w:cs="Arial"/>
        </w:rPr>
        <w:t xml:space="preserve">potential technical </w:t>
      </w:r>
      <w:r w:rsidR="00653F21">
        <w:rPr>
          <w:rFonts w:cs="Arial"/>
        </w:rPr>
        <w:t>concerns with the use of ESIMs.</w:t>
      </w:r>
      <w:r w:rsidR="008A4D9D">
        <w:rPr>
          <w:rFonts w:cs="Arial"/>
        </w:rPr>
        <w:t xml:space="preserve"> </w:t>
      </w:r>
      <w:r w:rsidR="00653F21">
        <w:rPr>
          <w:rFonts w:cs="Arial"/>
        </w:rPr>
        <w:t xml:space="preserve">The </w:t>
      </w:r>
      <w:r w:rsidR="00AF734D">
        <w:rPr>
          <w:rFonts w:cs="Arial"/>
        </w:rPr>
        <w:t xml:space="preserve">ACMA considers </w:t>
      </w:r>
      <w:r w:rsidR="008A4D9D">
        <w:rPr>
          <w:rFonts w:cs="Arial"/>
        </w:rPr>
        <w:t xml:space="preserve">the </w:t>
      </w:r>
      <w:r w:rsidR="00653F21">
        <w:rPr>
          <w:rFonts w:cs="Arial"/>
        </w:rPr>
        <w:t xml:space="preserve">requirement to seek the views of </w:t>
      </w:r>
      <w:r w:rsidR="001B2EAC">
        <w:rPr>
          <w:rFonts w:cs="Arial"/>
        </w:rPr>
        <w:t xml:space="preserve">potentially </w:t>
      </w:r>
      <w:r w:rsidR="00653F21">
        <w:rPr>
          <w:rFonts w:cs="Arial"/>
        </w:rPr>
        <w:t xml:space="preserve">affected licensees, combined with the </w:t>
      </w:r>
      <w:r w:rsidR="00AF734D">
        <w:rPr>
          <w:rFonts w:cs="Arial"/>
        </w:rPr>
        <w:t>interference management mechanisms</w:t>
      </w:r>
      <w:r w:rsidR="007D1B5C">
        <w:rPr>
          <w:rFonts w:cs="Arial"/>
        </w:rPr>
        <w:t xml:space="preserve"> (which are based on </w:t>
      </w:r>
      <w:r w:rsidR="000F1D34">
        <w:rPr>
          <w:rFonts w:cs="Arial"/>
        </w:rPr>
        <w:t>European</w:t>
      </w:r>
      <w:r w:rsidR="007D1B5C">
        <w:rPr>
          <w:rFonts w:cs="Arial"/>
        </w:rPr>
        <w:t xml:space="preserve"> arrangements)</w:t>
      </w:r>
      <w:r w:rsidR="00AF734D">
        <w:rPr>
          <w:rFonts w:cs="Arial"/>
        </w:rPr>
        <w:t xml:space="preserve"> included in the proposed procedures</w:t>
      </w:r>
      <w:r w:rsidR="00781516">
        <w:rPr>
          <w:rFonts w:cs="Arial"/>
        </w:rPr>
        <w:t>,</w:t>
      </w:r>
      <w:r w:rsidR="00AF734D">
        <w:rPr>
          <w:rFonts w:cs="Arial"/>
        </w:rPr>
        <w:t xml:space="preserve"> are more than sufficient given the interference risk.</w:t>
      </w:r>
    </w:p>
    <w:p w14:paraId="0809393D" w14:textId="3DB7DF5B" w:rsidR="00B3096A" w:rsidRDefault="00AF734D" w:rsidP="009A7F11">
      <w:pPr>
        <w:spacing w:after="80"/>
        <w:rPr>
          <w:rFonts w:cs="Arial"/>
        </w:rPr>
      </w:pPr>
      <w:r>
        <w:rPr>
          <w:rFonts w:cs="Arial"/>
        </w:rPr>
        <w:t>In summary the interference management mechanisms in the ESIMs procedures</w:t>
      </w:r>
      <w:r w:rsidR="00B3096A">
        <w:rPr>
          <w:rFonts w:cs="Arial"/>
        </w:rPr>
        <w:t xml:space="preserve"> include:</w:t>
      </w:r>
    </w:p>
    <w:p w14:paraId="64E58A63" w14:textId="77777777" w:rsidR="00B3096A" w:rsidRPr="00B3096A" w:rsidRDefault="00B3096A" w:rsidP="00B3096A">
      <w:pPr>
        <w:pStyle w:val="ListBullet"/>
        <w:rPr>
          <w:rFonts w:cs="Arial"/>
        </w:rPr>
      </w:pPr>
      <w:r>
        <w:t>The applicant seeking the views of affected licensees</w:t>
      </w:r>
    </w:p>
    <w:p w14:paraId="54FADEC4" w14:textId="77777777" w:rsidR="00B3096A" w:rsidRPr="00B3096A" w:rsidRDefault="00B3096A" w:rsidP="00B3096A">
      <w:pPr>
        <w:pStyle w:val="ListBullet"/>
        <w:rPr>
          <w:rFonts w:cs="Arial"/>
        </w:rPr>
      </w:pPr>
      <w:r>
        <w:t>The applicant providing confirmation:</w:t>
      </w:r>
    </w:p>
    <w:p w14:paraId="3740E723" w14:textId="77777777" w:rsidR="00B3096A" w:rsidRPr="00707EC1" w:rsidRDefault="00B3096A" w:rsidP="00B3096A">
      <w:pPr>
        <w:pStyle w:val="ListBullet"/>
        <w:tabs>
          <w:tab w:val="clear" w:pos="295"/>
          <w:tab w:val="num" w:pos="579"/>
        </w:tabs>
        <w:ind w:left="579"/>
      </w:pPr>
      <w:r>
        <w:t>T</w:t>
      </w:r>
      <w:r w:rsidRPr="00707EC1">
        <w:t>hat on receipt of a report of harmful interference with respect to any terrestrial systems, the licensee and satellite operator shall immediately cease or reduce the interference to the acceptable level</w:t>
      </w:r>
      <w:r>
        <w:t>.</w:t>
      </w:r>
    </w:p>
    <w:p w14:paraId="4FEFECB3" w14:textId="77777777" w:rsidR="00B3096A" w:rsidRPr="00707EC1" w:rsidRDefault="00B3096A" w:rsidP="00B3096A">
      <w:pPr>
        <w:pStyle w:val="ListBullet"/>
        <w:tabs>
          <w:tab w:val="clear" w:pos="295"/>
          <w:tab w:val="num" w:pos="579"/>
        </w:tabs>
        <w:ind w:left="579"/>
      </w:pPr>
      <w:r>
        <w:t>T</w:t>
      </w:r>
      <w:r w:rsidRPr="00707EC1">
        <w:t>hat the ESIMs employ techniques to track the associated GSO or NGSO FSS satellite and they are resistant to capturing and tracking adjacent GSO satellites</w:t>
      </w:r>
      <w:r>
        <w:t>.</w:t>
      </w:r>
    </w:p>
    <w:p w14:paraId="425877B4" w14:textId="540FB5A7" w:rsidR="00B3096A" w:rsidRPr="00707EC1" w:rsidRDefault="00B3096A" w:rsidP="00B3096A">
      <w:pPr>
        <w:pStyle w:val="ListBullet"/>
        <w:tabs>
          <w:tab w:val="clear" w:pos="295"/>
          <w:tab w:val="num" w:pos="579"/>
        </w:tabs>
        <w:ind w:left="579"/>
      </w:pPr>
      <w:r>
        <w:t>T</w:t>
      </w:r>
      <w:r w:rsidRPr="00707EC1">
        <w:t>hat the licensee and satellite operator has ensured they have the capability to limit operations of such earth stations to the territory or territories of administrations having authori</w:t>
      </w:r>
      <w:r>
        <w:t>s</w:t>
      </w:r>
      <w:r w:rsidRPr="00707EC1">
        <w:t xml:space="preserve">ed those earth stations and to comply with Article </w:t>
      </w:r>
      <w:r w:rsidRPr="00A25676">
        <w:t>18</w:t>
      </w:r>
      <w:r w:rsidR="0058414E">
        <w:t xml:space="preserve"> of the ITU Radio Regulations</w:t>
      </w:r>
      <w:r>
        <w:rPr>
          <w:b/>
        </w:rPr>
        <w:t>.</w:t>
      </w:r>
    </w:p>
    <w:p w14:paraId="56F504B6" w14:textId="77777777" w:rsidR="00B3096A" w:rsidRPr="00707EC1" w:rsidRDefault="00B3096A" w:rsidP="00B3096A">
      <w:pPr>
        <w:pStyle w:val="ListBullet"/>
        <w:tabs>
          <w:tab w:val="clear" w:pos="295"/>
          <w:tab w:val="num" w:pos="579"/>
        </w:tabs>
        <w:ind w:left="579"/>
      </w:pPr>
      <w:r>
        <w:t>T</w:t>
      </w:r>
      <w:r w:rsidRPr="00707EC1">
        <w:t>hat these earth stations are subject to permanent monitoring and control by a Network Control Facility (NCF) or equivalent facility, and are capable of receiving and acting on at least ‘enable transmission’ and ‘disable transmission’ commands from the NCF</w:t>
      </w:r>
      <w:r>
        <w:t>.</w:t>
      </w:r>
    </w:p>
    <w:p w14:paraId="10C2AF88" w14:textId="77777777" w:rsidR="00B3096A" w:rsidRPr="00707EC1" w:rsidRDefault="00B3096A" w:rsidP="00B3096A">
      <w:pPr>
        <w:pStyle w:val="ListBullet"/>
        <w:tabs>
          <w:tab w:val="clear" w:pos="295"/>
          <w:tab w:val="num" w:pos="579"/>
        </w:tabs>
        <w:ind w:left="579"/>
      </w:pPr>
      <w:r w:rsidRPr="00707EC1">
        <w:t>The licensee and satellite operator shall ensure compliance with Annex 1 in both ECC Decision (13)01 and (15)04</w:t>
      </w:r>
      <w:r>
        <w:t>.</w:t>
      </w:r>
    </w:p>
    <w:p w14:paraId="17D4C016" w14:textId="77777777" w:rsidR="00B3096A" w:rsidRPr="00707EC1" w:rsidRDefault="00B3096A" w:rsidP="00B3096A">
      <w:pPr>
        <w:pStyle w:val="ListBullet"/>
        <w:tabs>
          <w:tab w:val="clear" w:pos="295"/>
          <w:tab w:val="num" w:pos="579"/>
        </w:tabs>
        <w:ind w:left="579"/>
      </w:pPr>
      <w:r>
        <w:rPr>
          <w:bCs/>
        </w:rPr>
        <w:t>T</w:t>
      </w:r>
      <w:r w:rsidRPr="00707EC1">
        <w:rPr>
          <w:bCs/>
        </w:rPr>
        <w:t>hat</w:t>
      </w:r>
      <w:r w:rsidRPr="00707EC1">
        <w:rPr>
          <w:b/>
          <w:bCs/>
        </w:rPr>
        <w:t xml:space="preserve"> </w:t>
      </w:r>
      <w:r w:rsidRPr="00707EC1">
        <w:t>the earth stations shall remain within the envelope of the coordination agreements of the satellite networks with which this earth station is associated</w:t>
      </w:r>
      <w:r>
        <w:t>.</w:t>
      </w:r>
    </w:p>
    <w:p w14:paraId="57D9D100" w14:textId="77777777" w:rsidR="00B3096A" w:rsidRPr="00B3096A" w:rsidRDefault="00B3096A" w:rsidP="00B3096A">
      <w:pPr>
        <w:pStyle w:val="ListBullet"/>
        <w:tabs>
          <w:tab w:val="clear" w:pos="295"/>
          <w:tab w:val="num" w:pos="579"/>
        </w:tabs>
        <w:ind w:left="579"/>
        <w:rPr>
          <w:b/>
          <w:bCs/>
        </w:rPr>
      </w:pPr>
      <w:r>
        <w:t>D</w:t>
      </w:r>
      <w:r w:rsidRPr="00707EC1">
        <w:t>etails of a point of contact for the purpose of tracing any suspected cases of interference from earth stations in motion.</w:t>
      </w:r>
    </w:p>
    <w:p w14:paraId="5A33D201" w14:textId="244D3192" w:rsidR="00B3096A" w:rsidRDefault="00B3096A" w:rsidP="00B3096A">
      <w:pPr>
        <w:pStyle w:val="ListBullet"/>
        <w:numPr>
          <w:ilvl w:val="0"/>
          <w:numId w:val="0"/>
        </w:numPr>
        <w:rPr>
          <w:bCs/>
        </w:rPr>
      </w:pPr>
      <w:r>
        <w:rPr>
          <w:bCs/>
        </w:rPr>
        <w:t xml:space="preserve">These requirements are reinforced through licence conditions to be applied to any issued licence and the requirement to provide a letter of assurance when </w:t>
      </w:r>
      <w:r w:rsidRPr="00B3096A">
        <w:rPr>
          <w:bCs/>
        </w:rPr>
        <w:t>a satellite filing has not been successfully recorded in the MIFR</w:t>
      </w:r>
      <w:r>
        <w:rPr>
          <w:bCs/>
        </w:rPr>
        <w:t>.</w:t>
      </w:r>
      <w:r w:rsidR="00D213B6">
        <w:rPr>
          <w:bCs/>
        </w:rPr>
        <w:t xml:space="preserve"> Besides the clarifications and changes </w:t>
      </w:r>
      <w:r w:rsidR="00954BC5">
        <w:rPr>
          <w:bCs/>
        </w:rPr>
        <w:t>identified</w:t>
      </w:r>
      <w:r w:rsidR="00D213B6">
        <w:rPr>
          <w:bCs/>
        </w:rPr>
        <w:t xml:space="preserve"> in this paper, t</w:t>
      </w:r>
      <w:r w:rsidR="00AE1B0D">
        <w:rPr>
          <w:bCs/>
        </w:rPr>
        <w:t>he</w:t>
      </w:r>
      <w:r w:rsidR="00D213B6">
        <w:rPr>
          <w:bCs/>
        </w:rPr>
        <w:t xml:space="preserve"> ACMA consider</w:t>
      </w:r>
      <w:r w:rsidR="008D73C7">
        <w:rPr>
          <w:bCs/>
        </w:rPr>
        <w:t>s</w:t>
      </w:r>
      <w:r w:rsidR="00D213B6">
        <w:rPr>
          <w:bCs/>
        </w:rPr>
        <w:t xml:space="preserve"> that no further change</w:t>
      </w:r>
      <w:r w:rsidR="008D73C7">
        <w:rPr>
          <w:bCs/>
        </w:rPr>
        <w:t>s</w:t>
      </w:r>
      <w:r w:rsidR="00D213B6">
        <w:rPr>
          <w:bCs/>
        </w:rPr>
        <w:t xml:space="preserve"> </w:t>
      </w:r>
      <w:r w:rsidR="00954BC5">
        <w:rPr>
          <w:bCs/>
        </w:rPr>
        <w:t xml:space="preserve">are required at this stage </w:t>
      </w:r>
      <w:r w:rsidR="00954BC5">
        <w:rPr>
          <w:rFonts w:cs="Arial"/>
        </w:rPr>
        <w:t>and the procedures are more than sufficient given the interference risk</w:t>
      </w:r>
      <w:r w:rsidR="00D213B6">
        <w:rPr>
          <w:bCs/>
        </w:rPr>
        <w:t xml:space="preserve"> </w:t>
      </w:r>
    </w:p>
    <w:p w14:paraId="110C4483" w14:textId="1DA812C6" w:rsidR="00EC37CB" w:rsidRDefault="00EC37CB" w:rsidP="00EC37CB">
      <w:pPr>
        <w:pStyle w:val="BodySubHeader"/>
      </w:pPr>
      <w:r>
        <w:t>Future reviews of licensing procedures and ITU coordination process</w:t>
      </w:r>
      <w:r w:rsidR="008D73C7">
        <w:t>es</w:t>
      </w:r>
    </w:p>
    <w:p w14:paraId="1EAD0865" w14:textId="77777777" w:rsidR="00554883" w:rsidRDefault="00554883" w:rsidP="00554883">
      <w:r>
        <w:t>While the ACMA does not necessarily agree with the observations regarding satellite networks that have not completed the ITU coordination process, we do acknowledge the concern. The ACMA is alert that the process proposed to address the issue may place undue regulatory burden on prospective licenses beyond the established international satellite coordination process</w:t>
      </w:r>
      <w:r w:rsidR="00954BC5">
        <w:t>.</w:t>
      </w:r>
    </w:p>
    <w:p w14:paraId="6F27C402" w14:textId="2814583C" w:rsidR="00AE1B0D" w:rsidRDefault="00554883" w:rsidP="00554883">
      <w:r>
        <w:t xml:space="preserve">Noting that this issue is not limited to ESIMs operation, the ACMA has committed </w:t>
      </w:r>
      <w:r w:rsidRPr="00156C1D">
        <w:t xml:space="preserve">to </w:t>
      </w:r>
      <w:r>
        <w:t xml:space="preserve">reviewing </w:t>
      </w:r>
      <w:r w:rsidRPr="00156C1D">
        <w:t xml:space="preserve">existing </w:t>
      </w:r>
      <w:r>
        <w:t xml:space="preserve">satellite </w:t>
      </w:r>
      <w:r w:rsidRPr="00156C1D">
        <w:t xml:space="preserve">licensing procedures </w:t>
      </w:r>
      <w:r>
        <w:t xml:space="preserve">to ensure that </w:t>
      </w:r>
      <w:r w:rsidR="008D73C7">
        <w:t>they</w:t>
      </w:r>
      <w:r>
        <w:t xml:space="preserve"> are appropriate and commensurate with the risk of interference.</w:t>
      </w:r>
      <w:r w:rsidR="00AD0701">
        <w:t xml:space="preserve"> Among other matters</w:t>
      </w:r>
      <w:r w:rsidR="008D73C7">
        <w:t>,</w:t>
      </w:r>
      <w:r w:rsidR="00AD0701">
        <w:t xml:space="preserve"> the review will include cases where the network has been recorded in the MIFR in accordance with ITU Radio Regulation No.</w:t>
      </w:r>
      <w:r w:rsidR="00AD0701" w:rsidRPr="008D73C7">
        <w:t xml:space="preserve"> 11.41</w:t>
      </w:r>
      <w:r w:rsidR="00AD0701">
        <w:t>.</w:t>
      </w:r>
    </w:p>
    <w:p w14:paraId="63977F34" w14:textId="216C7BEA" w:rsidR="00554883" w:rsidRDefault="00554883" w:rsidP="00554883">
      <w:r>
        <w:t xml:space="preserve">For consistency of approach, this review </w:t>
      </w:r>
      <w:r w:rsidRPr="00156C1D">
        <w:t>will be done</w:t>
      </w:r>
      <w:r>
        <w:t xml:space="preserve"> broadly</w:t>
      </w:r>
      <w:r w:rsidRPr="00156C1D">
        <w:t xml:space="preserve"> across all satellite </w:t>
      </w:r>
      <w:r>
        <w:t>arrangements</w:t>
      </w:r>
      <w:r w:rsidRPr="00156C1D">
        <w:t xml:space="preserve">, rather than for just the frequency bands </w:t>
      </w:r>
      <w:r>
        <w:t xml:space="preserve">and applications </w:t>
      </w:r>
      <w:r w:rsidR="008D73C7">
        <w:t xml:space="preserve">which are </w:t>
      </w:r>
      <w:r>
        <w:t xml:space="preserve">the subject </w:t>
      </w:r>
      <w:r w:rsidRPr="00156C1D">
        <w:t>of this consultation.</w:t>
      </w:r>
      <w:r w:rsidR="00EC37CB">
        <w:t xml:space="preserve"> </w:t>
      </w:r>
      <w:r>
        <w:t xml:space="preserve">However, it is our view that that this work should not delay the finalisation of this consultation, </w:t>
      </w:r>
      <w:r w:rsidR="008D73C7">
        <w:t>al</w:t>
      </w:r>
      <w:r>
        <w:t xml:space="preserve">though any relevant outcomes from a broader licensing procedures review </w:t>
      </w:r>
      <w:r w:rsidR="008D73C7">
        <w:t xml:space="preserve">will </w:t>
      </w:r>
      <w:r>
        <w:t>be incorporated into finalised procedures (if necessary</w:t>
      </w:r>
      <w:r w:rsidR="00CB24FD">
        <w:t>, the likelihood of which is consider</w:t>
      </w:r>
      <w:r w:rsidR="008D73C7">
        <w:t>ed</w:t>
      </w:r>
      <w:r w:rsidR="00CB24FD">
        <w:t xml:space="preserve"> limited)</w:t>
      </w:r>
      <w:r w:rsidR="00EC37CB">
        <w:rPr>
          <w:rFonts w:cs="Arial"/>
        </w:rPr>
        <w:t>.</w:t>
      </w:r>
    </w:p>
    <w:p w14:paraId="45F7DF1B" w14:textId="77777777" w:rsidR="0096761D" w:rsidRDefault="0096761D" w:rsidP="0096761D">
      <w:pPr>
        <w:pStyle w:val="Heading2"/>
      </w:pPr>
      <w:bookmarkStart w:id="8" w:name="_Toc495590044"/>
      <w:r>
        <w:t>S</w:t>
      </w:r>
      <w:r w:rsidR="00A80BE8">
        <w:t>ubs</w:t>
      </w:r>
      <w:r>
        <w:t>ection 10(10) of the Spectrum Plan</w:t>
      </w:r>
      <w:bookmarkEnd w:id="8"/>
    </w:p>
    <w:p w14:paraId="5136FA41" w14:textId="52B760AC" w:rsidR="0096761D" w:rsidRDefault="0096761D" w:rsidP="00554883">
      <w:pPr>
        <w:rPr>
          <w:i/>
        </w:rPr>
      </w:pPr>
      <w:r>
        <w:rPr>
          <w:i/>
        </w:rPr>
        <w:t xml:space="preserve">Defence expressed the view that </w:t>
      </w:r>
      <w:r w:rsidR="008D73C7">
        <w:rPr>
          <w:i/>
        </w:rPr>
        <w:t>‘</w:t>
      </w:r>
      <w:r>
        <w:rPr>
          <w:i/>
        </w:rPr>
        <w:t>accept</w:t>
      </w:r>
      <w:r w:rsidR="00125C1E">
        <w:rPr>
          <w:i/>
        </w:rPr>
        <w:t>ed</w:t>
      </w:r>
      <w:r>
        <w:rPr>
          <w:i/>
        </w:rPr>
        <w:t xml:space="preserve"> interference</w:t>
      </w:r>
      <w:r w:rsidR="008D73C7">
        <w:rPr>
          <w:i/>
        </w:rPr>
        <w:t>’</w:t>
      </w:r>
      <w:r>
        <w:rPr>
          <w:i/>
        </w:rPr>
        <w:t xml:space="preserve"> or </w:t>
      </w:r>
      <w:r w:rsidR="008D73C7">
        <w:rPr>
          <w:i/>
        </w:rPr>
        <w:t>‘</w:t>
      </w:r>
      <w:r>
        <w:rPr>
          <w:i/>
        </w:rPr>
        <w:t>permissible interference</w:t>
      </w:r>
      <w:r w:rsidR="00C40ACA">
        <w:rPr>
          <w:rStyle w:val="FootnoteReference"/>
          <w:i/>
        </w:rPr>
        <w:footnoteReference w:id="4"/>
      </w:r>
      <w:r w:rsidR="008D73C7">
        <w:rPr>
          <w:i/>
        </w:rPr>
        <w:t>’,</w:t>
      </w:r>
      <w:r>
        <w:rPr>
          <w:i/>
        </w:rPr>
        <w:t xml:space="preserve"> as defined in </w:t>
      </w:r>
      <w:r w:rsidR="00A80BE8">
        <w:rPr>
          <w:i/>
        </w:rPr>
        <w:t xml:space="preserve">ITU </w:t>
      </w:r>
      <w:r w:rsidRPr="0096761D">
        <w:rPr>
          <w:i/>
        </w:rPr>
        <w:t>Radio Regulation</w:t>
      </w:r>
      <w:r w:rsidR="008D73C7">
        <w:rPr>
          <w:i/>
        </w:rPr>
        <w:t>s</w:t>
      </w:r>
      <w:r>
        <w:rPr>
          <w:i/>
        </w:rPr>
        <w:t xml:space="preserve"> 1.168 and 1.1</w:t>
      </w:r>
      <w:r w:rsidR="00125C1E">
        <w:rPr>
          <w:i/>
        </w:rPr>
        <w:t>67 respectively</w:t>
      </w:r>
      <w:r w:rsidR="008D73C7">
        <w:rPr>
          <w:i/>
        </w:rPr>
        <w:t>,</w:t>
      </w:r>
      <w:r w:rsidR="00125C1E">
        <w:rPr>
          <w:i/>
        </w:rPr>
        <w:t xml:space="preserve"> rather than harmful interference</w:t>
      </w:r>
      <w:r w:rsidR="008D73C7">
        <w:rPr>
          <w:i/>
        </w:rPr>
        <w:t>,</w:t>
      </w:r>
      <w:r w:rsidR="00125C1E">
        <w:rPr>
          <w:i/>
        </w:rPr>
        <w:t xml:space="preserve"> should be used as the </w:t>
      </w:r>
      <w:r w:rsidR="00A80BE8">
        <w:rPr>
          <w:i/>
        </w:rPr>
        <w:t>criteria</w:t>
      </w:r>
      <w:r w:rsidR="00125C1E">
        <w:rPr>
          <w:i/>
        </w:rPr>
        <w:t xml:space="preserve"> for a decision under </w:t>
      </w:r>
      <w:r w:rsidR="00A80BE8">
        <w:rPr>
          <w:i/>
        </w:rPr>
        <w:t>subsection 10(10) of the Spectrum Plan</w:t>
      </w:r>
      <w:r w:rsidR="00125C1E">
        <w:rPr>
          <w:i/>
        </w:rPr>
        <w:t>.</w:t>
      </w:r>
    </w:p>
    <w:p w14:paraId="25859592" w14:textId="4CE2B785" w:rsidR="009A7F11" w:rsidRDefault="00A80BE8" w:rsidP="005819FD">
      <w:pPr>
        <w:autoSpaceDE w:val="0"/>
        <w:autoSpaceDN w:val="0"/>
        <w:adjustRightInd w:val="0"/>
        <w:spacing w:after="80" w:line="240" w:lineRule="auto"/>
        <w:rPr>
          <w:szCs w:val="20"/>
        </w:rPr>
      </w:pPr>
      <w:r w:rsidRPr="003D51E1">
        <w:rPr>
          <w:rFonts w:cs="Arial"/>
          <w:szCs w:val="20"/>
        </w:rPr>
        <w:t>Su</w:t>
      </w:r>
      <w:r w:rsidR="00125C1E" w:rsidRPr="003D51E1">
        <w:rPr>
          <w:szCs w:val="20"/>
        </w:rPr>
        <w:t>bsection 10(10) of</w:t>
      </w:r>
      <w:r w:rsidR="003D51E1" w:rsidRPr="003D51E1">
        <w:rPr>
          <w:szCs w:val="20"/>
        </w:rPr>
        <w:t xml:space="preserve"> the Spectrum Plan states</w:t>
      </w:r>
      <w:r w:rsidR="008D73C7">
        <w:rPr>
          <w:szCs w:val="20"/>
        </w:rPr>
        <w:t>:</w:t>
      </w:r>
    </w:p>
    <w:p w14:paraId="452B7B96" w14:textId="30A74FD2" w:rsidR="00125C1E" w:rsidRPr="005819FD" w:rsidRDefault="00125C1E" w:rsidP="005819FD">
      <w:pPr>
        <w:autoSpaceDE w:val="0"/>
        <w:autoSpaceDN w:val="0"/>
        <w:adjustRightInd w:val="0"/>
        <w:spacing w:line="240" w:lineRule="auto"/>
        <w:ind w:left="284"/>
        <w:rPr>
          <w:i/>
          <w:sz w:val="19"/>
          <w:szCs w:val="19"/>
        </w:rPr>
      </w:pPr>
      <w:r w:rsidRPr="005819FD">
        <w:rPr>
          <w:i/>
          <w:sz w:val="19"/>
          <w:szCs w:val="19"/>
        </w:rPr>
        <w:t>A frequency band may be used for an unspecified service if, prior to that use, the ACMA, being satisfied that the unspecified service is unlikely to cause harmful interference to another service, has approved the unspecified service in writing and given notice of that approval on its website.</w:t>
      </w:r>
    </w:p>
    <w:p w14:paraId="1B0A38B0" w14:textId="0A060CA5" w:rsidR="004160B9" w:rsidRPr="004160B9" w:rsidRDefault="00C40ACA" w:rsidP="004160B9">
      <w:pPr>
        <w:autoSpaceDE w:val="0"/>
        <w:autoSpaceDN w:val="0"/>
        <w:adjustRightInd w:val="0"/>
        <w:spacing w:after="0" w:line="240" w:lineRule="auto"/>
      </w:pPr>
      <w:r w:rsidRPr="003D51E1">
        <w:rPr>
          <w:rFonts w:cs="Arial"/>
          <w:szCs w:val="20"/>
        </w:rPr>
        <w:t>As such</w:t>
      </w:r>
      <w:r w:rsidR="008D73C7">
        <w:rPr>
          <w:rFonts w:cs="Arial"/>
          <w:szCs w:val="20"/>
        </w:rPr>
        <w:t>,</w:t>
      </w:r>
      <w:r w:rsidRPr="003D51E1">
        <w:rPr>
          <w:rFonts w:cs="Arial"/>
          <w:szCs w:val="20"/>
        </w:rPr>
        <w:t xml:space="preserve"> the criteria by which the ACMA makes </w:t>
      </w:r>
      <w:r w:rsidR="00F95E1A" w:rsidRPr="003D51E1">
        <w:rPr>
          <w:rFonts w:cs="Arial"/>
          <w:szCs w:val="20"/>
        </w:rPr>
        <w:t xml:space="preserve">a decision is </w:t>
      </w:r>
      <w:r w:rsidR="008D73C7">
        <w:rPr>
          <w:rFonts w:cs="Arial"/>
          <w:szCs w:val="20"/>
        </w:rPr>
        <w:t xml:space="preserve">based on </w:t>
      </w:r>
      <w:r w:rsidR="00F95E1A" w:rsidRPr="003D51E1">
        <w:rPr>
          <w:rFonts w:cs="Arial"/>
          <w:szCs w:val="20"/>
        </w:rPr>
        <w:t xml:space="preserve">whether </w:t>
      </w:r>
      <w:r w:rsidR="00F95E1A" w:rsidRPr="003D51E1">
        <w:rPr>
          <w:szCs w:val="20"/>
        </w:rPr>
        <w:t>unspecified service is unlikely to cause harmful interference</w:t>
      </w:r>
      <w:r w:rsidR="003D51E1">
        <w:rPr>
          <w:szCs w:val="20"/>
        </w:rPr>
        <w:t xml:space="preserve"> as per the Spectrum Plan</w:t>
      </w:r>
      <w:r w:rsidR="000F1D34">
        <w:rPr>
          <w:szCs w:val="20"/>
        </w:rPr>
        <w:t xml:space="preserve"> definition</w:t>
      </w:r>
      <w:r w:rsidR="004E2AC4">
        <w:rPr>
          <w:szCs w:val="20"/>
        </w:rPr>
        <w:t xml:space="preserve"> (see below)</w:t>
      </w:r>
      <w:r w:rsidR="003D51E1" w:rsidRPr="003D51E1">
        <w:rPr>
          <w:szCs w:val="20"/>
        </w:rPr>
        <w:t>.</w:t>
      </w:r>
      <w:r w:rsidR="003D51E1">
        <w:rPr>
          <w:szCs w:val="20"/>
        </w:rPr>
        <w:t xml:space="preserve"> </w:t>
      </w:r>
      <w:r w:rsidR="000F1D34">
        <w:rPr>
          <w:szCs w:val="20"/>
        </w:rPr>
        <w:t>While noting</w:t>
      </w:r>
      <w:r w:rsidR="008D73C7">
        <w:rPr>
          <w:szCs w:val="20"/>
        </w:rPr>
        <w:t xml:space="preserve"> the</w:t>
      </w:r>
      <w:r w:rsidR="000F1D34">
        <w:rPr>
          <w:szCs w:val="20"/>
        </w:rPr>
        <w:t xml:space="preserve"> Defence view for use of </w:t>
      </w:r>
      <w:r w:rsidR="003D51E1">
        <w:rPr>
          <w:szCs w:val="20"/>
        </w:rPr>
        <w:t>accepted/permissible interference,</w:t>
      </w:r>
      <w:r w:rsidR="000F1D34">
        <w:rPr>
          <w:szCs w:val="20"/>
        </w:rPr>
        <w:t xml:space="preserve"> which</w:t>
      </w:r>
      <w:r w:rsidR="008D73C7">
        <w:rPr>
          <w:szCs w:val="20"/>
        </w:rPr>
        <w:t>,</w:t>
      </w:r>
      <w:r w:rsidR="000F1D34">
        <w:rPr>
          <w:szCs w:val="20"/>
        </w:rPr>
        <w:t xml:space="preserve"> with reference to the definitions below, i</w:t>
      </w:r>
      <w:r w:rsidR="000F1D34" w:rsidRPr="003D51E1">
        <w:rPr>
          <w:szCs w:val="20"/>
        </w:rPr>
        <w:t>n comparison</w:t>
      </w:r>
      <w:r w:rsidR="000F1D34">
        <w:rPr>
          <w:szCs w:val="20"/>
        </w:rPr>
        <w:t xml:space="preserve"> to harmful interference, </w:t>
      </w:r>
      <w:r w:rsidR="004E2AC4">
        <w:rPr>
          <w:szCs w:val="20"/>
        </w:rPr>
        <w:t xml:space="preserve">is </w:t>
      </w:r>
      <w:r w:rsidR="000F1D34">
        <w:rPr>
          <w:szCs w:val="20"/>
        </w:rPr>
        <w:t>a more demanding criteria. The ACMA consider</w:t>
      </w:r>
      <w:r w:rsidR="008102C2">
        <w:rPr>
          <w:szCs w:val="20"/>
        </w:rPr>
        <w:t>s</w:t>
      </w:r>
      <w:r w:rsidR="000F1D34">
        <w:rPr>
          <w:szCs w:val="20"/>
        </w:rPr>
        <w:t xml:space="preserve"> that the interference management mechanisms include</w:t>
      </w:r>
      <w:r w:rsidR="004E2AC4">
        <w:rPr>
          <w:szCs w:val="20"/>
        </w:rPr>
        <w:t>d</w:t>
      </w:r>
      <w:r w:rsidR="000F1D34">
        <w:rPr>
          <w:szCs w:val="20"/>
        </w:rPr>
        <w:t xml:space="preserve"> in the ESIMs procedures (as summarised in the previous section)</w:t>
      </w:r>
      <w:r w:rsidR="002C52DB">
        <w:rPr>
          <w:szCs w:val="20"/>
        </w:rPr>
        <w:t xml:space="preserve"> </w:t>
      </w:r>
      <w:r w:rsidR="002C52DB">
        <w:rPr>
          <w:rFonts w:cs="Arial"/>
        </w:rPr>
        <w:t>are more than sufficient given the interference risk</w:t>
      </w:r>
      <w:r w:rsidR="00D658CF">
        <w:rPr>
          <w:rFonts w:cs="Arial"/>
        </w:rPr>
        <w:t xml:space="preserve"> and go beyond what is required to meet the harmful interference criteria.</w:t>
      </w:r>
    </w:p>
    <w:p w14:paraId="1CBEA9B3" w14:textId="77777777" w:rsidR="0093661C" w:rsidRDefault="0093661C" w:rsidP="0093661C">
      <w:pPr>
        <w:pStyle w:val="BodySubHeader"/>
      </w:pPr>
      <w:r>
        <w:t xml:space="preserve">Interference definitions </w:t>
      </w:r>
    </w:p>
    <w:p w14:paraId="598104C1" w14:textId="6D88CE9E" w:rsidR="003D51E1" w:rsidRDefault="003D51E1" w:rsidP="005C529A">
      <w:pPr>
        <w:autoSpaceDE w:val="0"/>
        <w:autoSpaceDN w:val="0"/>
        <w:adjustRightInd w:val="0"/>
        <w:spacing w:line="240" w:lineRule="auto"/>
        <w:rPr>
          <w:rFonts w:cs="Arial"/>
          <w:szCs w:val="20"/>
        </w:rPr>
      </w:pPr>
      <w:r>
        <w:rPr>
          <w:rFonts w:cs="Arial"/>
        </w:rPr>
        <w:t>P</w:t>
      </w:r>
      <w:r w:rsidRPr="00C40ACA">
        <w:rPr>
          <w:rFonts w:cs="Arial"/>
          <w:iCs/>
          <w:szCs w:val="20"/>
        </w:rPr>
        <w:t xml:space="preserve">ermissible interference </w:t>
      </w:r>
      <w:r>
        <w:rPr>
          <w:rFonts w:cs="Arial"/>
          <w:iCs/>
          <w:szCs w:val="20"/>
        </w:rPr>
        <w:t xml:space="preserve">is defined in </w:t>
      </w:r>
      <w:r w:rsidRPr="00F95E1A">
        <w:rPr>
          <w:rFonts w:cs="Arial"/>
          <w:iCs/>
          <w:szCs w:val="20"/>
        </w:rPr>
        <w:t xml:space="preserve">the ITU </w:t>
      </w:r>
      <w:r w:rsidRPr="00F95E1A">
        <w:t>Radio Regulations</w:t>
      </w:r>
      <w:r>
        <w:t xml:space="preserve"> as</w:t>
      </w:r>
      <w:r w:rsidR="004E2AC4">
        <w:t>:</w:t>
      </w:r>
      <w:r>
        <w:t xml:space="preserve"> </w:t>
      </w:r>
      <w:r w:rsidR="004E2AC4">
        <w:t>‘</w:t>
      </w:r>
      <w:r w:rsidRPr="005C529A">
        <w:rPr>
          <w:rFonts w:cs="Arial"/>
          <w:szCs w:val="20"/>
        </w:rPr>
        <w:t xml:space="preserve">Observed or predicted </w:t>
      </w:r>
      <w:r w:rsidRPr="005C529A">
        <w:rPr>
          <w:rFonts w:cs="Arial"/>
          <w:iCs/>
          <w:szCs w:val="20"/>
        </w:rPr>
        <w:t xml:space="preserve">interference </w:t>
      </w:r>
      <w:r w:rsidRPr="005C529A">
        <w:rPr>
          <w:rFonts w:cs="Arial"/>
          <w:szCs w:val="20"/>
        </w:rPr>
        <w:t xml:space="preserve">which complies with quantitative </w:t>
      </w:r>
      <w:r w:rsidRPr="005C529A">
        <w:rPr>
          <w:rFonts w:cs="Arial"/>
          <w:iCs/>
          <w:szCs w:val="20"/>
        </w:rPr>
        <w:t xml:space="preserve">interference </w:t>
      </w:r>
      <w:r w:rsidRPr="005C529A">
        <w:rPr>
          <w:rFonts w:cs="Arial"/>
          <w:szCs w:val="20"/>
        </w:rPr>
        <w:t>and sharing criteria contained in these Regulations or in ITU-R Recommendations or in special agreements as provided for in these Regulations</w:t>
      </w:r>
      <w:r w:rsidR="004E2AC4">
        <w:rPr>
          <w:rFonts w:cs="Arial"/>
          <w:szCs w:val="20"/>
        </w:rPr>
        <w:t>’</w:t>
      </w:r>
      <w:r w:rsidRPr="00125C1E">
        <w:rPr>
          <w:rFonts w:cs="Arial"/>
          <w:szCs w:val="20"/>
        </w:rPr>
        <w:t>.</w:t>
      </w:r>
    </w:p>
    <w:p w14:paraId="2EDC1750" w14:textId="1B767EC4" w:rsidR="003D51E1" w:rsidRPr="00125C1E" w:rsidRDefault="003D51E1" w:rsidP="005C529A">
      <w:pPr>
        <w:autoSpaceDE w:val="0"/>
        <w:autoSpaceDN w:val="0"/>
        <w:adjustRightInd w:val="0"/>
        <w:spacing w:line="240" w:lineRule="auto"/>
        <w:rPr>
          <w:rFonts w:cs="Arial"/>
          <w:szCs w:val="20"/>
        </w:rPr>
      </w:pPr>
      <w:r>
        <w:rPr>
          <w:rFonts w:cs="Arial"/>
          <w:szCs w:val="20"/>
        </w:rPr>
        <w:t xml:space="preserve">Accepted interference </w:t>
      </w:r>
      <w:r>
        <w:rPr>
          <w:rFonts w:cs="Arial"/>
          <w:iCs/>
          <w:szCs w:val="20"/>
        </w:rPr>
        <w:t xml:space="preserve">is defined in </w:t>
      </w:r>
      <w:r w:rsidRPr="00F95E1A">
        <w:rPr>
          <w:rFonts w:cs="Arial"/>
          <w:iCs/>
          <w:szCs w:val="20"/>
        </w:rPr>
        <w:t xml:space="preserve">the ITU </w:t>
      </w:r>
      <w:r w:rsidRPr="00F95E1A">
        <w:t>Radio Regulations</w:t>
      </w:r>
      <w:r>
        <w:t xml:space="preserve"> as</w:t>
      </w:r>
      <w:r w:rsidR="004E2AC4">
        <w:t>:</w:t>
      </w:r>
      <w:r>
        <w:t xml:space="preserve"> </w:t>
      </w:r>
      <w:r w:rsidR="004E2AC4">
        <w:t>‘</w:t>
      </w:r>
      <w:r w:rsidRPr="005C529A">
        <w:rPr>
          <w:rFonts w:cs="Arial"/>
          <w:iCs/>
          <w:szCs w:val="20"/>
        </w:rPr>
        <w:t xml:space="preserve">Interference </w:t>
      </w:r>
      <w:r w:rsidRPr="005C529A">
        <w:rPr>
          <w:rFonts w:cs="Arial"/>
          <w:szCs w:val="20"/>
        </w:rPr>
        <w:t xml:space="preserve">at a higher level than that defined as </w:t>
      </w:r>
      <w:r w:rsidRPr="005C529A">
        <w:rPr>
          <w:rFonts w:cs="Arial"/>
          <w:iCs/>
          <w:szCs w:val="20"/>
        </w:rPr>
        <w:t xml:space="preserve">permissible interference </w:t>
      </w:r>
      <w:r w:rsidRPr="005C529A">
        <w:rPr>
          <w:rFonts w:cs="Arial"/>
          <w:szCs w:val="20"/>
        </w:rPr>
        <w:t xml:space="preserve">and which has been agreed upon between two or more </w:t>
      </w:r>
      <w:r w:rsidRPr="005C529A">
        <w:rPr>
          <w:rFonts w:cs="Arial"/>
          <w:iCs/>
          <w:szCs w:val="20"/>
        </w:rPr>
        <w:t xml:space="preserve">administrations </w:t>
      </w:r>
      <w:r w:rsidRPr="005C529A">
        <w:rPr>
          <w:rFonts w:cs="Arial"/>
          <w:szCs w:val="20"/>
        </w:rPr>
        <w:t xml:space="preserve">without prejudice to other </w:t>
      </w:r>
      <w:r w:rsidRPr="005C529A">
        <w:rPr>
          <w:rFonts w:cs="Arial"/>
          <w:iCs/>
          <w:szCs w:val="20"/>
        </w:rPr>
        <w:t>administrations</w:t>
      </w:r>
      <w:r w:rsidR="004E2AC4">
        <w:rPr>
          <w:rFonts w:cs="Arial"/>
          <w:szCs w:val="20"/>
        </w:rPr>
        <w:t>’.</w:t>
      </w:r>
    </w:p>
    <w:p w14:paraId="13B0FD5E" w14:textId="2BE9D469" w:rsidR="00F95E1A" w:rsidRPr="003D51E1" w:rsidRDefault="00F95E1A" w:rsidP="005C529A">
      <w:pPr>
        <w:autoSpaceDE w:val="0"/>
        <w:autoSpaceDN w:val="0"/>
        <w:adjustRightInd w:val="0"/>
        <w:spacing w:after="80" w:line="240" w:lineRule="auto"/>
        <w:rPr>
          <w:rFonts w:cs="Arial"/>
        </w:rPr>
      </w:pPr>
      <w:r w:rsidRPr="003D51E1">
        <w:rPr>
          <w:rFonts w:cs="Arial"/>
          <w:szCs w:val="20"/>
        </w:rPr>
        <w:t>Harmful interference is define</w:t>
      </w:r>
      <w:r w:rsidR="003D51E1" w:rsidRPr="003D51E1">
        <w:rPr>
          <w:rFonts w:cs="Arial"/>
          <w:szCs w:val="20"/>
        </w:rPr>
        <w:t>d</w:t>
      </w:r>
      <w:r w:rsidRPr="003D51E1">
        <w:rPr>
          <w:rFonts w:cs="Arial"/>
          <w:szCs w:val="20"/>
        </w:rPr>
        <w:t xml:space="preserve"> in the Spectrum Plan </w:t>
      </w:r>
      <w:r w:rsidR="003D51E1" w:rsidRPr="003D51E1">
        <w:rPr>
          <w:rFonts w:cs="Arial"/>
          <w:szCs w:val="20"/>
        </w:rPr>
        <w:t xml:space="preserve">and </w:t>
      </w:r>
      <w:r w:rsidR="003D51E1" w:rsidRPr="003D51E1">
        <w:rPr>
          <w:rFonts w:cs="Arial"/>
        </w:rPr>
        <w:t xml:space="preserve">to all intents and purposes is the same as the definition in the ITU </w:t>
      </w:r>
      <w:r w:rsidR="003D51E1" w:rsidRPr="003D51E1">
        <w:t>Radio Regulations. As defined in the Spectrum Plan</w:t>
      </w:r>
      <w:r w:rsidR="0093661C">
        <w:t>,</w:t>
      </w:r>
      <w:r w:rsidR="003D51E1" w:rsidRPr="003D51E1">
        <w:t xml:space="preserve"> harm</w:t>
      </w:r>
      <w:r w:rsidR="003D51E1">
        <w:t>ful interference is</w:t>
      </w:r>
      <w:r w:rsidR="003D51E1" w:rsidRPr="003D51E1">
        <w:t xml:space="preserve"> </w:t>
      </w:r>
      <w:r w:rsidRPr="003D51E1">
        <w:rPr>
          <w:rFonts w:cs="Arial"/>
        </w:rPr>
        <w:t>interference that:</w:t>
      </w:r>
    </w:p>
    <w:p w14:paraId="07F4CAE8" w14:textId="77777777" w:rsidR="00F95E1A" w:rsidRPr="009A7F11" w:rsidRDefault="00F95E1A">
      <w:pPr>
        <w:autoSpaceDE w:val="0"/>
        <w:autoSpaceDN w:val="0"/>
        <w:adjustRightInd w:val="0"/>
        <w:spacing w:after="0" w:line="240" w:lineRule="auto"/>
        <w:ind w:left="993" w:hanging="426"/>
        <w:rPr>
          <w:rFonts w:cs="Arial"/>
          <w:i/>
        </w:rPr>
      </w:pPr>
      <w:r w:rsidRPr="009A7F11">
        <w:rPr>
          <w:rFonts w:cs="Arial"/>
          <w:i/>
        </w:rPr>
        <w:t>(a)</w:t>
      </w:r>
      <w:r w:rsidRPr="009A7F11">
        <w:rPr>
          <w:rFonts w:cs="Arial"/>
          <w:i/>
        </w:rPr>
        <w:tab/>
      </w:r>
      <w:proofErr w:type="gramStart"/>
      <w:r w:rsidRPr="009A7F11">
        <w:rPr>
          <w:rFonts w:cs="Arial"/>
          <w:i/>
        </w:rPr>
        <w:t>endangers</w:t>
      </w:r>
      <w:proofErr w:type="gramEnd"/>
      <w:r w:rsidRPr="009A7F11">
        <w:rPr>
          <w:rFonts w:cs="Arial"/>
          <w:i/>
        </w:rPr>
        <w:t xml:space="preserve"> the functioning of a radionavigation service or other safety services that are operating in accordance with:</w:t>
      </w:r>
    </w:p>
    <w:p w14:paraId="5518CBE5" w14:textId="77777777" w:rsidR="00F95E1A" w:rsidRPr="009A7F11" w:rsidRDefault="00F95E1A" w:rsidP="008102C2">
      <w:pPr>
        <w:autoSpaceDE w:val="0"/>
        <w:autoSpaceDN w:val="0"/>
        <w:adjustRightInd w:val="0"/>
        <w:spacing w:after="0" w:line="240" w:lineRule="auto"/>
        <w:ind w:left="1418" w:hanging="426"/>
        <w:rPr>
          <w:rFonts w:cs="Arial"/>
          <w:i/>
        </w:rPr>
      </w:pPr>
      <w:r w:rsidRPr="009A7F11">
        <w:rPr>
          <w:rFonts w:cs="Arial"/>
          <w:i/>
        </w:rPr>
        <w:t>(i)</w:t>
      </w:r>
      <w:r w:rsidRPr="009A7F11">
        <w:rPr>
          <w:rFonts w:cs="Arial"/>
          <w:i/>
        </w:rPr>
        <w:tab/>
      </w:r>
      <w:proofErr w:type="gramStart"/>
      <w:r w:rsidRPr="009A7F11">
        <w:rPr>
          <w:rFonts w:cs="Arial"/>
          <w:i/>
        </w:rPr>
        <w:t>the</w:t>
      </w:r>
      <w:proofErr w:type="gramEnd"/>
      <w:r w:rsidRPr="009A7F11">
        <w:rPr>
          <w:rFonts w:cs="Arial"/>
          <w:i/>
        </w:rPr>
        <w:t xml:space="preserve"> Radio Regulations; or</w:t>
      </w:r>
    </w:p>
    <w:p w14:paraId="3352F113" w14:textId="77777777" w:rsidR="00F95E1A" w:rsidRPr="009A7F11" w:rsidRDefault="00F95E1A" w:rsidP="005C529A">
      <w:pPr>
        <w:autoSpaceDE w:val="0"/>
        <w:autoSpaceDN w:val="0"/>
        <w:adjustRightInd w:val="0"/>
        <w:spacing w:after="80" w:line="240" w:lineRule="auto"/>
        <w:ind w:left="1418" w:hanging="426"/>
        <w:rPr>
          <w:rFonts w:cs="Arial"/>
          <w:i/>
        </w:rPr>
      </w:pPr>
      <w:r w:rsidRPr="009A7F11">
        <w:rPr>
          <w:rFonts w:cs="Arial"/>
          <w:i/>
        </w:rPr>
        <w:t>(ii)</w:t>
      </w:r>
      <w:r w:rsidRPr="009A7F11">
        <w:rPr>
          <w:rFonts w:cs="Arial"/>
          <w:i/>
        </w:rPr>
        <w:tab/>
      </w:r>
      <w:proofErr w:type="gramStart"/>
      <w:r w:rsidRPr="009A7F11">
        <w:rPr>
          <w:rFonts w:cs="Arial"/>
          <w:i/>
        </w:rPr>
        <w:t>this</w:t>
      </w:r>
      <w:proofErr w:type="gramEnd"/>
      <w:r w:rsidRPr="009A7F11">
        <w:rPr>
          <w:rFonts w:cs="Arial"/>
          <w:i/>
        </w:rPr>
        <w:t xml:space="preserve"> Spectrum Plan; or</w:t>
      </w:r>
    </w:p>
    <w:p w14:paraId="0FF73A6D" w14:textId="77777777" w:rsidR="00F95E1A" w:rsidRPr="009A7F11" w:rsidRDefault="00F95E1A">
      <w:pPr>
        <w:autoSpaceDE w:val="0"/>
        <w:autoSpaceDN w:val="0"/>
        <w:adjustRightInd w:val="0"/>
        <w:spacing w:after="0" w:line="240" w:lineRule="auto"/>
        <w:ind w:left="993" w:hanging="426"/>
        <w:rPr>
          <w:rFonts w:cs="Arial"/>
          <w:i/>
        </w:rPr>
      </w:pPr>
      <w:r w:rsidRPr="009A7F11">
        <w:rPr>
          <w:rFonts w:cs="Arial"/>
          <w:i/>
        </w:rPr>
        <w:t>(b)</w:t>
      </w:r>
      <w:r w:rsidRPr="009A7F11">
        <w:rPr>
          <w:rFonts w:cs="Arial"/>
          <w:i/>
        </w:rPr>
        <w:tab/>
      </w:r>
      <w:proofErr w:type="gramStart"/>
      <w:r w:rsidRPr="009A7F11">
        <w:rPr>
          <w:rFonts w:cs="Arial"/>
          <w:i/>
        </w:rPr>
        <w:t>obstructs</w:t>
      </w:r>
      <w:proofErr w:type="gramEnd"/>
      <w:r w:rsidRPr="009A7F11">
        <w:rPr>
          <w:rFonts w:cs="Arial"/>
          <w:i/>
        </w:rPr>
        <w:t>, repeatedly interrupts or seriously degrades a radiocommunication service that is operating in accordance with:</w:t>
      </w:r>
    </w:p>
    <w:p w14:paraId="1A8916E1" w14:textId="77777777" w:rsidR="00F95E1A" w:rsidRPr="009A7F11" w:rsidRDefault="00F95E1A" w:rsidP="008102C2">
      <w:pPr>
        <w:autoSpaceDE w:val="0"/>
        <w:autoSpaceDN w:val="0"/>
        <w:adjustRightInd w:val="0"/>
        <w:spacing w:after="0" w:line="240" w:lineRule="auto"/>
        <w:ind w:left="1418" w:hanging="426"/>
        <w:rPr>
          <w:rFonts w:cs="Arial"/>
          <w:i/>
        </w:rPr>
      </w:pPr>
      <w:r w:rsidRPr="009A7F11">
        <w:rPr>
          <w:rFonts w:cs="Arial"/>
          <w:i/>
        </w:rPr>
        <w:t>(i)</w:t>
      </w:r>
      <w:r w:rsidRPr="009A7F11">
        <w:rPr>
          <w:rFonts w:cs="Arial"/>
          <w:i/>
        </w:rPr>
        <w:tab/>
      </w:r>
      <w:proofErr w:type="gramStart"/>
      <w:r w:rsidRPr="009A7F11">
        <w:rPr>
          <w:rFonts w:cs="Arial"/>
          <w:i/>
        </w:rPr>
        <w:t>the</w:t>
      </w:r>
      <w:proofErr w:type="gramEnd"/>
      <w:r w:rsidRPr="009A7F11">
        <w:rPr>
          <w:rFonts w:cs="Arial"/>
          <w:i/>
        </w:rPr>
        <w:t xml:space="preserve"> Radio Regulations; or</w:t>
      </w:r>
    </w:p>
    <w:p w14:paraId="183F80D2" w14:textId="77777777" w:rsidR="00F95E1A" w:rsidRPr="005C529A" w:rsidRDefault="00F95E1A" w:rsidP="008102C2">
      <w:pPr>
        <w:autoSpaceDE w:val="0"/>
        <w:autoSpaceDN w:val="0"/>
        <w:adjustRightInd w:val="0"/>
        <w:spacing w:after="0" w:line="240" w:lineRule="auto"/>
        <w:ind w:left="1418" w:hanging="426"/>
        <w:rPr>
          <w:rFonts w:cs="Arial"/>
        </w:rPr>
      </w:pPr>
      <w:r w:rsidRPr="009A7F11">
        <w:rPr>
          <w:rFonts w:cs="Arial"/>
          <w:i/>
        </w:rPr>
        <w:t>(ii)</w:t>
      </w:r>
      <w:r w:rsidRPr="009A7F11">
        <w:rPr>
          <w:rFonts w:cs="Arial"/>
          <w:i/>
        </w:rPr>
        <w:tab/>
      </w:r>
      <w:proofErr w:type="gramStart"/>
      <w:r w:rsidRPr="009A7F11">
        <w:rPr>
          <w:rFonts w:cs="Arial"/>
          <w:i/>
        </w:rPr>
        <w:t>this</w:t>
      </w:r>
      <w:proofErr w:type="gramEnd"/>
      <w:r w:rsidRPr="009A7F11">
        <w:rPr>
          <w:rFonts w:cs="Arial"/>
          <w:i/>
        </w:rPr>
        <w:t xml:space="preserve"> Spectrum Plan</w:t>
      </w:r>
      <w:r w:rsidRPr="005C529A">
        <w:rPr>
          <w:rFonts w:cs="Arial"/>
        </w:rPr>
        <w:t>.</w:t>
      </w:r>
    </w:p>
    <w:p w14:paraId="34D8F18C" w14:textId="77777777" w:rsidR="002C52DB" w:rsidRDefault="002C52DB" w:rsidP="002C52DB">
      <w:pPr>
        <w:pStyle w:val="Heading2"/>
      </w:pPr>
      <w:bookmarkStart w:id="9" w:name="_Toc495590045"/>
      <w:bookmarkStart w:id="10" w:name="_Ref495919100"/>
      <w:bookmarkStart w:id="11" w:name="_Ref495919106"/>
      <w:bookmarkStart w:id="12" w:name="_Toc348105634"/>
      <w:r>
        <w:t>Seeking views of affected licensees</w:t>
      </w:r>
      <w:bookmarkEnd w:id="9"/>
      <w:bookmarkEnd w:id="10"/>
      <w:bookmarkEnd w:id="11"/>
    </w:p>
    <w:p w14:paraId="01B756EA" w14:textId="778C8FB8" w:rsidR="002C52DB" w:rsidRPr="0019209B" w:rsidRDefault="002C52DB" w:rsidP="0019209B">
      <w:pPr>
        <w:rPr>
          <w:b/>
          <w:i/>
        </w:rPr>
      </w:pPr>
      <w:r w:rsidRPr="0019209B">
        <w:rPr>
          <w:i/>
        </w:rPr>
        <w:t xml:space="preserve">NBN Co supported the seeking of the views of affected co-frequency licensees and suggested that the proponent provide details, via </w:t>
      </w:r>
      <w:r w:rsidR="004E2AC4">
        <w:rPr>
          <w:i/>
        </w:rPr>
        <w:t xml:space="preserve">a </w:t>
      </w:r>
      <w:r w:rsidRPr="0019209B">
        <w:rPr>
          <w:i/>
        </w:rPr>
        <w:t xml:space="preserve">letter of assurance, of efforts to ensure that proposed ESIMs operation does not adversely </w:t>
      </w:r>
      <w:r w:rsidR="0093661C" w:rsidRPr="0019209B">
        <w:rPr>
          <w:i/>
        </w:rPr>
        <w:t>impact existing authorised services.</w:t>
      </w:r>
      <w:r w:rsidRPr="0019209B">
        <w:rPr>
          <w:i/>
        </w:rPr>
        <w:t xml:space="preserve"> </w:t>
      </w:r>
    </w:p>
    <w:p w14:paraId="718DF452" w14:textId="66728B70" w:rsidR="0093661C" w:rsidRPr="0093661C" w:rsidRDefault="0093661C" w:rsidP="0093661C">
      <w:r>
        <w:t>The ACMA considers that if consultation with affected licensees identifies issue</w:t>
      </w:r>
      <w:r w:rsidR="0019209B">
        <w:t>s</w:t>
      </w:r>
      <w:r>
        <w:t xml:space="preserve"> of concern, then it would be prudent for the licence applicant to provide advice on what efforts will be taken to a</w:t>
      </w:r>
      <w:r w:rsidR="003A332B">
        <w:t xml:space="preserve">ddress those concerns. Neither the </w:t>
      </w:r>
      <w:r>
        <w:t xml:space="preserve">letter of assurance </w:t>
      </w:r>
      <w:r w:rsidR="003A332B">
        <w:t xml:space="preserve">nor information about consultation with affected licensees are </w:t>
      </w:r>
      <w:r>
        <w:t>document</w:t>
      </w:r>
      <w:r w:rsidR="003A332B">
        <w:t>s</w:t>
      </w:r>
      <w:r>
        <w:t xml:space="preserve"> that </w:t>
      </w:r>
      <w:r w:rsidR="003A332B">
        <w:t>are released publicly.</w:t>
      </w:r>
      <w:r w:rsidR="003A332B" w:rsidRPr="003A332B">
        <w:t xml:space="preserve"> </w:t>
      </w:r>
      <w:r w:rsidR="003A332B">
        <w:t xml:space="preserve">As such, as long as the information provided is appropriately certified by a representative of the licence applicant, the ACMA does </w:t>
      </w:r>
      <w:r w:rsidR="003C1E2B">
        <w:t xml:space="preserve">not </w:t>
      </w:r>
      <w:r w:rsidR="003A332B">
        <w:t>see the need to mandate the format of how information is to be provided.</w:t>
      </w:r>
    </w:p>
    <w:p w14:paraId="6DE2D929" w14:textId="77777777" w:rsidR="0093661C" w:rsidRDefault="003A332B" w:rsidP="003A332B">
      <w:pPr>
        <w:pStyle w:val="BodySubHeader"/>
      </w:pPr>
      <w:r>
        <w:t xml:space="preserve">Aviation body scanners </w:t>
      </w:r>
    </w:p>
    <w:p w14:paraId="32B1F5E7" w14:textId="77777777" w:rsidR="001D526D" w:rsidRDefault="003A332B" w:rsidP="001D526D">
      <w:r>
        <w:t xml:space="preserve">Based on discussion with the aviation safety industry, no consultation will be required with licensees </w:t>
      </w:r>
      <w:r w:rsidR="001D526D">
        <w:t xml:space="preserve">of </w:t>
      </w:r>
      <w:r w:rsidR="001D526D" w:rsidRPr="001D526D">
        <w:t xml:space="preserve">body scanners </w:t>
      </w:r>
      <w:r w:rsidR="0019209B">
        <w:t>used</w:t>
      </w:r>
      <w:r w:rsidR="001D526D" w:rsidRPr="001D526D">
        <w:t xml:space="preserve"> for the purpose of aviation security screening</w:t>
      </w:r>
      <w:r w:rsidR="00975ABA">
        <w:t>.</w:t>
      </w:r>
    </w:p>
    <w:p w14:paraId="70336A12" w14:textId="77777777" w:rsidR="0019209B" w:rsidRDefault="0019209B" w:rsidP="0019209B">
      <w:pPr>
        <w:pStyle w:val="Heading2"/>
      </w:pPr>
      <w:bookmarkStart w:id="13" w:name="_Toc495590046"/>
      <w:r>
        <w:t>Letter of assurance</w:t>
      </w:r>
      <w:bookmarkEnd w:id="13"/>
    </w:p>
    <w:p w14:paraId="7F79157E" w14:textId="54642D72" w:rsidR="0019209B" w:rsidRPr="0019209B" w:rsidRDefault="0019209B" w:rsidP="0019209B">
      <w:pPr>
        <w:rPr>
          <w:b/>
          <w:i/>
        </w:rPr>
      </w:pPr>
      <w:r w:rsidRPr="0019209B">
        <w:rPr>
          <w:i/>
        </w:rPr>
        <w:t xml:space="preserve">NBN Co </w:t>
      </w:r>
      <w:r>
        <w:rPr>
          <w:i/>
        </w:rPr>
        <w:t xml:space="preserve">suggested that the letter of assurance include an acknowledgement that operation is under </w:t>
      </w:r>
      <w:r w:rsidRPr="0019209B">
        <w:rPr>
          <w:i/>
        </w:rPr>
        <w:t>ITU Radio Regulation No. 4.4</w:t>
      </w:r>
      <w:r>
        <w:rPr>
          <w:i/>
        </w:rPr>
        <w:t xml:space="preserve"> and that the letter contain details of discussion with affected licences. </w:t>
      </w:r>
      <w:r w:rsidR="001D7AC2" w:rsidRPr="00B65711">
        <w:rPr>
          <w:i/>
        </w:rPr>
        <w:t xml:space="preserve">Defence asked </w:t>
      </w:r>
      <w:r w:rsidR="00B65711" w:rsidRPr="00B65711">
        <w:rPr>
          <w:i/>
        </w:rPr>
        <w:t xml:space="preserve">for clarification as to whether </w:t>
      </w:r>
      <w:r w:rsidR="007D55FD">
        <w:rPr>
          <w:i/>
        </w:rPr>
        <w:t>‘</w:t>
      </w:r>
      <w:r w:rsidR="00B65711" w:rsidRPr="00B65711">
        <w:rPr>
          <w:i/>
        </w:rPr>
        <w:t>recorded</w:t>
      </w:r>
      <w:r w:rsidR="001D7AC2" w:rsidRPr="00B65711">
        <w:rPr>
          <w:i/>
        </w:rPr>
        <w:t xml:space="preserve"> in the MFIR</w:t>
      </w:r>
      <w:r w:rsidR="007D55FD">
        <w:rPr>
          <w:i/>
        </w:rPr>
        <w:t>’</w:t>
      </w:r>
      <w:r w:rsidR="001D7AC2" w:rsidRPr="00B65711">
        <w:rPr>
          <w:i/>
        </w:rPr>
        <w:t xml:space="preserve"> </w:t>
      </w:r>
      <w:r w:rsidR="00B65711" w:rsidRPr="00B65711">
        <w:rPr>
          <w:i/>
        </w:rPr>
        <w:t xml:space="preserve">included </w:t>
      </w:r>
      <w:r w:rsidR="000D12B5">
        <w:rPr>
          <w:i/>
        </w:rPr>
        <w:t>‘</w:t>
      </w:r>
      <w:r w:rsidR="00B65711" w:rsidRPr="00B65711">
        <w:rPr>
          <w:i/>
        </w:rPr>
        <w:t xml:space="preserve">recorded in the MFIR under ITU RR Radio Regulation </w:t>
      </w:r>
      <w:r w:rsidR="00B65711">
        <w:rPr>
          <w:i/>
        </w:rPr>
        <w:t xml:space="preserve">No. </w:t>
      </w:r>
      <w:r w:rsidR="00B65711" w:rsidRPr="00B65711">
        <w:rPr>
          <w:i/>
        </w:rPr>
        <w:t>11.41</w:t>
      </w:r>
      <w:r w:rsidR="000D12B5">
        <w:rPr>
          <w:i/>
        </w:rPr>
        <w:t>’</w:t>
      </w:r>
      <w:r w:rsidR="0007359D">
        <w:rPr>
          <w:i/>
        </w:rPr>
        <w:t xml:space="preserve"> and proposed that such scenarios should require a letter of assurance.</w:t>
      </w:r>
    </w:p>
    <w:p w14:paraId="633A84C6" w14:textId="77777777" w:rsidR="00B65711" w:rsidRPr="00B65711" w:rsidRDefault="00B65711" w:rsidP="00B65711">
      <w:pPr>
        <w:pStyle w:val="BodySubHeader"/>
        <w:keepNext/>
      </w:pPr>
      <w:r w:rsidRPr="00B65711">
        <w:t>ITU Radio Regulation No. 4.4</w:t>
      </w:r>
    </w:p>
    <w:p w14:paraId="57047F76" w14:textId="67768EEF" w:rsidR="0093661C" w:rsidRDefault="0019209B" w:rsidP="0093661C">
      <w:r>
        <w:t xml:space="preserve">The ACMA considers that </w:t>
      </w:r>
      <w:r w:rsidR="00615AB4">
        <w:t xml:space="preserve">an acknowledgment </w:t>
      </w:r>
      <w:r w:rsidR="00615AB4" w:rsidRPr="00615AB4">
        <w:t xml:space="preserve">that operation is under ITU Radio Regulation No. 4.4 </w:t>
      </w:r>
      <w:r w:rsidR="00CD5EB3">
        <w:t xml:space="preserve">and information on consultation with affected licensees (refer </w:t>
      </w:r>
      <w:r w:rsidR="007D55FD">
        <w:t xml:space="preserve">to </w:t>
      </w:r>
      <w:r w:rsidR="00CD5EB3">
        <w:t xml:space="preserve">section </w:t>
      </w:r>
      <w:r w:rsidR="007D55FD">
        <w:fldChar w:fldCharType="begin"/>
      </w:r>
      <w:r w:rsidR="007D55FD">
        <w:instrText xml:space="preserve"> REF _Ref495919100 \n \h </w:instrText>
      </w:r>
      <w:r w:rsidR="007D55FD">
        <w:fldChar w:fldCharType="separate"/>
      </w:r>
      <w:r w:rsidR="007D55FD">
        <w:t>3.3</w:t>
      </w:r>
      <w:r w:rsidR="007D55FD">
        <w:fldChar w:fldCharType="end"/>
      </w:r>
      <w:r w:rsidR="007D55FD">
        <w:t xml:space="preserve"> above</w:t>
      </w:r>
      <w:r w:rsidR="00CD5EB3">
        <w:t>)</w:t>
      </w:r>
      <w:r w:rsidR="00615AB4">
        <w:t xml:space="preserve"> </w:t>
      </w:r>
      <w:r>
        <w:t xml:space="preserve">should be included in the information provided to the ACMA. </w:t>
      </w:r>
      <w:r w:rsidR="008E46E0">
        <w:t>The AC</w:t>
      </w:r>
      <w:r w:rsidR="002829C8">
        <w:t>MA</w:t>
      </w:r>
      <w:r w:rsidR="007D55FD">
        <w:t>’s</w:t>
      </w:r>
      <w:r w:rsidR="008E46E0">
        <w:t xml:space="preserve"> view is that as </w:t>
      </w:r>
      <w:r>
        <w:t>long as the information provided is appropriately certified by a representative of the licence applicant, the ACMA does</w:t>
      </w:r>
      <w:r w:rsidR="00B1651A">
        <w:t xml:space="preserve"> not</w:t>
      </w:r>
      <w:r>
        <w:t xml:space="preserve"> see the need to mandate the format of how information is to be provided</w:t>
      </w:r>
      <w:r w:rsidR="008E46E0">
        <w:t xml:space="preserve"> (doing so would be overly prescriptive)</w:t>
      </w:r>
      <w:r w:rsidR="00CD5EB3">
        <w:t xml:space="preserve">. </w:t>
      </w:r>
      <w:r w:rsidR="00B53756">
        <w:t xml:space="preserve">That is, if </w:t>
      </w:r>
      <w:r w:rsidR="00CD5EB3">
        <w:t>desired by the applicant</w:t>
      </w:r>
      <w:r w:rsidR="007D55FD">
        <w:t>,</w:t>
      </w:r>
      <w:r w:rsidR="00CD5EB3">
        <w:t xml:space="preserve"> such information can be included in the letter of assurance (if a letter of reassurance is required)</w:t>
      </w:r>
      <w:r>
        <w:t xml:space="preserve">. </w:t>
      </w:r>
    </w:p>
    <w:p w14:paraId="629AC268" w14:textId="77777777" w:rsidR="00B65711" w:rsidRPr="00B65711" w:rsidRDefault="00B65711" w:rsidP="00B65711">
      <w:pPr>
        <w:pStyle w:val="BodySubHeader"/>
        <w:keepNext/>
      </w:pPr>
      <w:r>
        <w:t>ITU Radio Regulation No. 11.41</w:t>
      </w:r>
    </w:p>
    <w:p w14:paraId="6621093D" w14:textId="4A5649CE" w:rsidR="00B65711" w:rsidRDefault="00B65711" w:rsidP="0093661C">
      <w:r>
        <w:t>Under current ACMA licensing procedures</w:t>
      </w:r>
      <w:r w:rsidR="007D55FD">
        <w:t>,</w:t>
      </w:r>
      <w:r w:rsidR="00B53756">
        <w:t xml:space="preserve"> </w:t>
      </w:r>
      <w:r w:rsidR="007D55FD">
        <w:t>‘</w:t>
      </w:r>
      <w:r w:rsidR="00B53756">
        <w:t>recorded in the MIFR</w:t>
      </w:r>
      <w:r w:rsidR="007D55FD">
        <w:t>’</w:t>
      </w:r>
      <w:r>
        <w:t xml:space="preserve"> includes all assignment in the MIFR. That is</w:t>
      </w:r>
      <w:r w:rsidR="00607DFE">
        <w:t xml:space="preserve">, </w:t>
      </w:r>
      <w:r>
        <w:t xml:space="preserve">it includes assignments </w:t>
      </w:r>
      <w:r w:rsidRPr="00B65711">
        <w:t>recorded in the MFIR under ITU RR Radio Regulation No</w:t>
      </w:r>
      <w:r w:rsidRPr="007D55FD">
        <w:t>. 11.41</w:t>
      </w:r>
      <w:r>
        <w:t>.</w:t>
      </w:r>
    </w:p>
    <w:p w14:paraId="1C6C53DC" w14:textId="02DD87BD" w:rsidR="00B65711" w:rsidRDefault="00AD0701" w:rsidP="0093661C">
      <w:r>
        <w:t>As outlined in section</w:t>
      </w:r>
      <w:r w:rsidR="00607DFE">
        <w:t xml:space="preserve"> </w:t>
      </w:r>
      <w:r w:rsidR="00607DFE">
        <w:fldChar w:fldCharType="begin"/>
      </w:r>
      <w:r w:rsidR="00607DFE">
        <w:instrText xml:space="preserve"> REF _Ref495582622 \n \h </w:instrText>
      </w:r>
      <w:r w:rsidR="00607DFE">
        <w:fldChar w:fldCharType="separate"/>
      </w:r>
      <w:r w:rsidR="00E3427F">
        <w:t>3.1</w:t>
      </w:r>
      <w:r w:rsidR="00607DFE">
        <w:fldChar w:fldCharType="end"/>
      </w:r>
      <w:r w:rsidR="007D55FD">
        <w:t xml:space="preserve"> above</w:t>
      </w:r>
      <w:r w:rsidR="00607DFE">
        <w:t>,</w:t>
      </w:r>
      <w:r>
        <w:t xml:space="preserve"> the ACMA has committed </w:t>
      </w:r>
      <w:r w:rsidRPr="00156C1D">
        <w:t xml:space="preserve">to </w:t>
      </w:r>
      <w:r>
        <w:t xml:space="preserve">reviewing </w:t>
      </w:r>
      <w:r w:rsidRPr="00156C1D">
        <w:t xml:space="preserve">existing </w:t>
      </w:r>
      <w:r>
        <w:t xml:space="preserve">satellite </w:t>
      </w:r>
      <w:r w:rsidRPr="00156C1D">
        <w:t xml:space="preserve">licensing procedures </w:t>
      </w:r>
      <w:r>
        <w:t xml:space="preserve">to ensure that licensing procedures are appropriate and </w:t>
      </w:r>
      <w:r w:rsidR="001971D7">
        <w:t xml:space="preserve">are more than </w:t>
      </w:r>
      <w:r>
        <w:t>commensurate with the risk of interference. Among other matters</w:t>
      </w:r>
      <w:r w:rsidR="007D55FD">
        <w:t>,</w:t>
      </w:r>
      <w:r>
        <w:t xml:space="preserve"> the review will include cases where the network has been recorded in the MIFR in accordance with ITU Radio Regulation No</w:t>
      </w:r>
      <w:r w:rsidRPr="007D55FD">
        <w:t>. 11.41</w:t>
      </w:r>
      <w:r>
        <w:t>.</w:t>
      </w:r>
    </w:p>
    <w:p w14:paraId="02D9EB94" w14:textId="2C91DCC8" w:rsidR="00FD5A77" w:rsidRDefault="00FD5A77" w:rsidP="0093661C">
      <w:r>
        <w:t>The ACMA</w:t>
      </w:r>
      <w:r w:rsidR="007D55FD">
        <w:t>’s</w:t>
      </w:r>
      <w:r>
        <w:t xml:space="preserve"> general view is that </w:t>
      </w:r>
      <w:r w:rsidR="0007359D">
        <w:rPr>
          <w:rFonts w:cs="Arial"/>
        </w:rPr>
        <w:t xml:space="preserve">interference management mechanisms in the ESIMs procedures </w:t>
      </w:r>
      <w:r w:rsidR="0007359D">
        <w:t>(</w:t>
      </w:r>
      <w:r w:rsidR="005218D5">
        <w:t xml:space="preserve">see discussion in section </w:t>
      </w:r>
      <w:r w:rsidR="005218D5">
        <w:fldChar w:fldCharType="begin"/>
      </w:r>
      <w:r w:rsidR="005218D5">
        <w:instrText xml:space="preserve"> REF _Ref495582622 \n \h </w:instrText>
      </w:r>
      <w:r w:rsidR="005218D5">
        <w:fldChar w:fldCharType="separate"/>
      </w:r>
      <w:r w:rsidR="00E3427F">
        <w:t>3.1</w:t>
      </w:r>
      <w:r w:rsidR="005218D5">
        <w:fldChar w:fldCharType="end"/>
      </w:r>
      <w:r w:rsidR="0007359D">
        <w:rPr>
          <w:rFonts w:cs="Arial"/>
        </w:rPr>
        <w:t>)</w:t>
      </w:r>
      <w:r>
        <w:t xml:space="preserve"> are more than sufficient given the interference risk. </w:t>
      </w:r>
      <w:r w:rsidR="0007359D">
        <w:t>Consequently</w:t>
      </w:r>
      <w:r w:rsidR="000D12B5">
        <w:t>,</w:t>
      </w:r>
      <w:r w:rsidR="0007359D">
        <w:t xml:space="preserve"> the </w:t>
      </w:r>
      <w:r w:rsidR="0007359D" w:rsidRPr="0007359D">
        <w:t>ACMA</w:t>
      </w:r>
      <w:r w:rsidR="007D55FD">
        <w:t>’s</w:t>
      </w:r>
      <w:r w:rsidR="0007359D" w:rsidRPr="0007359D">
        <w:t xml:space="preserve"> view </w:t>
      </w:r>
      <w:r w:rsidR="0007359D">
        <w:t xml:space="preserve">is that </w:t>
      </w:r>
      <w:r w:rsidR="007D55FD">
        <w:t>‘</w:t>
      </w:r>
      <w:r w:rsidR="0007359D">
        <w:t xml:space="preserve">recorded in the </w:t>
      </w:r>
      <w:r w:rsidR="0007359D" w:rsidRPr="0007359D">
        <w:t>MFIR</w:t>
      </w:r>
      <w:r w:rsidR="007D55FD">
        <w:t>’</w:t>
      </w:r>
      <w:r w:rsidR="0007359D" w:rsidRPr="0007359D">
        <w:t xml:space="preserve"> under ITU RR Radio Regulation No.</w:t>
      </w:r>
      <w:r w:rsidR="001971D7">
        <w:t xml:space="preserve"> </w:t>
      </w:r>
      <w:r w:rsidR="0007359D" w:rsidRPr="0007359D">
        <w:t xml:space="preserve">11.41 </w:t>
      </w:r>
      <w:r w:rsidR="0007359D">
        <w:t xml:space="preserve">does not require a letter of </w:t>
      </w:r>
      <w:r w:rsidR="0007359D" w:rsidRPr="0007359D">
        <w:t>assurance</w:t>
      </w:r>
      <w:r w:rsidR="0007359D">
        <w:t xml:space="preserve"> in this case.</w:t>
      </w:r>
    </w:p>
    <w:p w14:paraId="7D2F3945" w14:textId="77777777" w:rsidR="008E46E0" w:rsidRPr="005D6CDE" w:rsidRDefault="008E46E0" w:rsidP="008E46E0">
      <w:pPr>
        <w:pStyle w:val="Heading2"/>
      </w:pPr>
      <w:bookmarkStart w:id="14" w:name="_Toc495590047"/>
      <w:r>
        <w:t>Aviation radiofrequency immunity requirements</w:t>
      </w:r>
      <w:bookmarkEnd w:id="14"/>
    </w:p>
    <w:p w14:paraId="17B5083A" w14:textId="5815BCBD" w:rsidR="008E46E0" w:rsidRDefault="008E46E0" w:rsidP="0093661C">
      <w:pPr>
        <w:rPr>
          <w:i/>
        </w:rPr>
      </w:pPr>
      <w:proofErr w:type="spellStart"/>
      <w:r w:rsidRPr="008E46E0">
        <w:rPr>
          <w:i/>
        </w:rPr>
        <w:t>ViaSat</w:t>
      </w:r>
      <w:proofErr w:type="spellEnd"/>
      <w:r w:rsidRPr="008E46E0">
        <w:rPr>
          <w:i/>
        </w:rPr>
        <w:t xml:space="preserve"> and Inmarsat</w:t>
      </w:r>
      <w:r>
        <w:rPr>
          <w:i/>
        </w:rPr>
        <w:t xml:space="preserve"> expressed the view that adoption of the European aviation radiofrequency immunity requirement</w:t>
      </w:r>
      <w:r w:rsidR="000B2F8C">
        <w:rPr>
          <w:i/>
        </w:rPr>
        <w:t>s</w:t>
      </w:r>
      <w:r>
        <w:rPr>
          <w:i/>
        </w:rPr>
        <w:t xml:space="preserve"> </w:t>
      </w:r>
      <w:r w:rsidR="005C3B05">
        <w:rPr>
          <w:i/>
        </w:rPr>
        <w:t xml:space="preserve">should not be introduced </w:t>
      </w:r>
      <w:r>
        <w:rPr>
          <w:i/>
        </w:rPr>
        <w:t>as they are currently under review in Europe</w:t>
      </w:r>
      <w:r w:rsidR="007D55FD">
        <w:rPr>
          <w:i/>
        </w:rPr>
        <w:t xml:space="preserve"> and</w:t>
      </w:r>
      <w:r w:rsidR="005C3B05">
        <w:rPr>
          <w:i/>
        </w:rPr>
        <w:t xml:space="preserve"> they were based on 1986 criteria.</w:t>
      </w:r>
    </w:p>
    <w:p w14:paraId="170962BA" w14:textId="5D8CBE51" w:rsidR="00185FB5" w:rsidRDefault="007E5903" w:rsidP="0093661C">
      <w:pPr>
        <w:rPr>
          <w:szCs w:val="20"/>
        </w:rPr>
      </w:pPr>
      <w:r>
        <w:t>The aviation immunity requirements</w:t>
      </w:r>
      <w:r w:rsidR="000B2F8C">
        <w:t>,</w:t>
      </w:r>
      <w:r>
        <w:t xml:space="preserve"> as specified in </w:t>
      </w:r>
      <w:r w:rsidRPr="00F70254">
        <w:rPr>
          <w:szCs w:val="20"/>
        </w:rPr>
        <w:t>ECC/DEC</w:t>
      </w:r>
      <w:proofErr w:type="gramStart"/>
      <w:r w:rsidRPr="00F70254">
        <w:rPr>
          <w:szCs w:val="20"/>
        </w:rPr>
        <w:t>/(</w:t>
      </w:r>
      <w:proofErr w:type="gramEnd"/>
      <w:r w:rsidRPr="00F70254">
        <w:rPr>
          <w:szCs w:val="20"/>
        </w:rPr>
        <w:t>15)0</w:t>
      </w:r>
      <w:r>
        <w:rPr>
          <w:szCs w:val="20"/>
        </w:rPr>
        <w:t xml:space="preserve">4 and </w:t>
      </w:r>
      <w:r w:rsidRPr="00F70254">
        <w:rPr>
          <w:szCs w:val="20"/>
        </w:rPr>
        <w:t>ECC/DEC/(13)0</w:t>
      </w:r>
      <w:r>
        <w:rPr>
          <w:szCs w:val="20"/>
        </w:rPr>
        <w:t>1</w:t>
      </w:r>
      <w:r w:rsidR="000B2F8C">
        <w:rPr>
          <w:szCs w:val="20"/>
        </w:rPr>
        <w:t>,</w:t>
      </w:r>
      <w:r>
        <w:rPr>
          <w:szCs w:val="20"/>
        </w:rPr>
        <w:t xml:space="preserve"> are optional and provide distances from airfields within which ESIMs must not be operated. Currently the ACMA has no such requirements for any radiocommunications equipment, including for frequency bands where satellite communication equipment is currently used by aircraft or in the vicinity of airfields.</w:t>
      </w:r>
    </w:p>
    <w:p w14:paraId="5E1D4240" w14:textId="60F92110" w:rsidR="005C3B05" w:rsidRDefault="005C3B05" w:rsidP="0093661C">
      <w:pPr>
        <w:rPr>
          <w:szCs w:val="20"/>
        </w:rPr>
      </w:pPr>
      <w:r>
        <w:rPr>
          <w:szCs w:val="20"/>
        </w:rPr>
        <w:t xml:space="preserve">The </w:t>
      </w:r>
      <w:r w:rsidR="00CB3B11">
        <w:rPr>
          <w:szCs w:val="20"/>
        </w:rPr>
        <w:t>ACMA considers it inappropriate to include arrangements for one isolated case</w:t>
      </w:r>
      <w:r w:rsidR="00540B76">
        <w:rPr>
          <w:szCs w:val="20"/>
        </w:rPr>
        <w:t xml:space="preserve">. </w:t>
      </w:r>
      <w:r>
        <w:rPr>
          <w:szCs w:val="20"/>
        </w:rPr>
        <w:t xml:space="preserve">If there </w:t>
      </w:r>
      <w:r w:rsidR="00540B76">
        <w:rPr>
          <w:szCs w:val="20"/>
        </w:rPr>
        <w:t>is a</w:t>
      </w:r>
      <w:r>
        <w:rPr>
          <w:szCs w:val="20"/>
        </w:rPr>
        <w:t xml:space="preserve"> requirement for ACMA</w:t>
      </w:r>
      <w:r w:rsidR="000B2F8C">
        <w:rPr>
          <w:szCs w:val="20"/>
        </w:rPr>
        <w:t>-</w:t>
      </w:r>
      <w:r>
        <w:rPr>
          <w:szCs w:val="20"/>
        </w:rPr>
        <w:t>specified</w:t>
      </w:r>
      <w:r w:rsidR="00540B76">
        <w:rPr>
          <w:szCs w:val="20"/>
        </w:rPr>
        <w:t xml:space="preserve"> </w:t>
      </w:r>
      <w:r>
        <w:rPr>
          <w:szCs w:val="20"/>
        </w:rPr>
        <w:t>separation distances</w:t>
      </w:r>
      <w:r w:rsidR="000B2F8C">
        <w:rPr>
          <w:szCs w:val="20"/>
        </w:rPr>
        <w:t>,</w:t>
      </w:r>
      <w:r>
        <w:rPr>
          <w:szCs w:val="20"/>
        </w:rPr>
        <w:t xml:space="preserve"> they</w:t>
      </w:r>
      <w:r w:rsidR="00540B76">
        <w:rPr>
          <w:szCs w:val="20"/>
        </w:rPr>
        <w:t xml:space="preserve"> should be considered in a holistic manner.</w:t>
      </w:r>
      <w:r>
        <w:rPr>
          <w:szCs w:val="20"/>
        </w:rPr>
        <w:t xml:space="preserve"> While not intending to specify such requirements in this case, the ACMA will discuss </w:t>
      </w:r>
      <w:r w:rsidR="000B2F8C">
        <w:rPr>
          <w:szCs w:val="20"/>
        </w:rPr>
        <w:t xml:space="preserve">the need for such requirements </w:t>
      </w:r>
      <w:r>
        <w:rPr>
          <w:szCs w:val="20"/>
        </w:rPr>
        <w:t xml:space="preserve">with aviation safety authorities </w:t>
      </w:r>
      <w:r w:rsidR="000B2F8C">
        <w:rPr>
          <w:szCs w:val="20"/>
        </w:rPr>
        <w:t>as required</w:t>
      </w:r>
      <w:r>
        <w:rPr>
          <w:szCs w:val="20"/>
        </w:rPr>
        <w:t>.</w:t>
      </w:r>
    </w:p>
    <w:p w14:paraId="04C9D65B" w14:textId="77777777" w:rsidR="008C6761" w:rsidRPr="00350F63" w:rsidRDefault="008C6761" w:rsidP="008C6761">
      <w:pPr>
        <w:pStyle w:val="Heading1"/>
      </w:pPr>
      <w:bookmarkStart w:id="15" w:name="_Toc495590048"/>
      <w:r>
        <w:t>Procedural and regulatory matters</w:t>
      </w:r>
      <w:bookmarkEnd w:id="15"/>
      <w:r>
        <w:t xml:space="preserve"> </w:t>
      </w:r>
    </w:p>
    <w:p w14:paraId="4E312638" w14:textId="77777777" w:rsidR="008C6761" w:rsidRDefault="00253997" w:rsidP="00253997">
      <w:pPr>
        <w:pStyle w:val="Heading2"/>
      </w:pPr>
      <w:bookmarkStart w:id="16" w:name="_Toc495590049"/>
      <w:r>
        <w:t>Distinction between arrangements for NGSO and GSO</w:t>
      </w:r>
      <w:bookmarkEnd w:id="16"/>
      <w:r>
        <w:t xml:space="preserve"> </w:t>
      </w:r>
    </w:p>
    <w:p w14:paraId="4E93FEEB" w14:textId="3311DF2D" w:rsidR="00253997" w:rsidRPr="000724B9" w:rsidRDefault="00253997" w:rsidP="000724B9">
      <w:pPr>
        <w:rPr>
          <w:b/>
          <w:i/>
        </w:rPr>
      </w:pPr>
      <w:r w:rsidRPr="000724B9">
        <w:rPr>
          <w:i/>
        </w:rPr>
        <w:t xml:space="preserve">Defence sought clarification on </w:t>
      </w:r>
      <w:r w:rsidR="004433D0" w:rsidRPr="000724B9">
        <w:rPr>
          <w:i/>
        </w:rPr>
        <w:t xml:space="preserve">why there was a </w:t>
      </w:r>
      <w:r w:rsidRPr="000724B9">
        <w:rPr>
          <w:i/>
        </w:rPr>
        <w:t xml:space="preserve">distinction between </w:t>
      </w:r>
      <w:r w:rsidR="004433D0" w:rsidRPr="000724B9">
        <w:rPr>
          <w:i/>
        </w:rPr>
        <w:t>arrangements for</w:t>
      </w:r>
      <w:r w:rsidR="002425A4" w:rsidRPr="000724B9">
        <w:rPr>
          <w:i/>
        </w:rPr>
        <w:t xml:space="preserve"> ESIMs on </w:t>
      </w:r>
      <w:r w:rsidR="000B2F8C">
        <w:rPr>
          <w:b/>
          <w:i/>
        </w:rPr>
        <w:t>‘</w:t>
      </w:r>
      <w:r w:rsidR="002425A4" w:rsidRPr="000724B9">
        <w:rPr>
          <w:i/>
        </w:rPr>
        <w:t>land or on water</w:t>
      </w:r>
      <w:r w:rsidR="000B2F8C">
        <w:rPr>
          <w:b/>
          <w:i/>
        </w:rPr>
        <w:t>’</w:t>
      </w:r>
      <w:r w:rsidR="002425A4" w:rsidRPr="000724B9">
        <w:rPr>
          <w:i/>
        </w:rPr>
        <w:t xml:space="preserve"> or </w:t>
      </w:r>
      <w:r w:rsidR="000B2F8C">
        <w:rPr>
          <w:b/>
          <w:i/>
        </w:rPr>
        <w:t>‘</w:t>
      </w:r>
      <w:r w:rsidR="002425A4" w:rsidRPr="000724B9">
        <w:rPr>
          <w:i/>
        </w:rPr>
        <w:t>on land, water or in the air</w:t>
      </w:r>
      <w:r w:rsidR="000B2F8C">
        <w:rPr>
          <w:b/>
          <w:i/>
        </w:rPr>
        <w:t>’</w:t>
      </w:r>
      <w:r w:rsidR="002425A4" w:rsidRPr="000724B9">
        <w:rPr>
          <w:i/>
        </w:rPr>
        <w:t>.</w:t>
      </w:r>
    </w:p>
    <w:p w14:paraId="1EA76FA4" w14:textId="2ABEE38F" w:rsidR="00253997" w:rsidRDefault="0008230E" w:rsidP="00260086">
      <w:r>
        <w:t>ACMA a</w:t>
      </w:r>
      <w:r w:rsidR="00C841D0">
        <w:t xml:space="preserve">rrangements </w:t>
      </w:r>
      <w:r>
        <w:t xml:space="preserve">for ESIMs </w:t>
      </w:r>
      <w:r w:rsidR="00C841D0">
        <w:t xml:space="preserve">are based on European arrangements as per ECC </w:t>
      </w:r>
      <w:r w:rsidR="00C841D0" w:rsidRPr="00BB63B2">
        <w:t>Decision</w:t>
      </w:r>
      <w:r w:rsidR="00C841D0">
        <w:t>s</w:t>
      </w:r>
      <w:r w:rsidR="00C841D0" w:rsidRPr="00BB63B2">
        <w:t xml:space="preserve"> </w:t>
      </w:r>
      <w:hyperlink r:id="rId34" w:history="1">
        <w:r w:rsidR="00C841D0" w:rsidRPr="00694F75">
          <w:rPr>
            <w:rStyle w:val="Hyperlink"/>
          </w:rPr>
          <w:t>(13)01</w:t>
        </w:r>
      </w:hyperlink>
      <w:r w:rsidR="00C841D0" w:rsidRPr="00BB63B2">
        <w:t xml:space="preserve"> </w:t>
      </w:r>
      <w:r w:rsidR="00C841D0" w:rsidRPr="00707EC1">
        <w:t xml:space="preserve">and </w:t>
      </w:r>
      <w:hyperlink r:id="rId35" w:history="1">
        <w:r w:rsidR="00C841D0" w:rsidRPr="00C841D0">
          <w:rPr>
            <w:rStyle w:val="Hyperlink"/>
          </w:rPr>
          <w:t>(15)04</w:t>
        </w:r>
      </w:hyperlink>
      <w:r w:rsidR="00C841D0">
        <w:t>.</w:t>
      </w:r>
      <w:r w:rsidR="00C841D0" w:rsidRPr="00615474">
        <w:t xml:space="preserve"> </w:t>
      </w:r>
      <w:r w:rsidR="00C841D0">
        <w:rPr>
          <w:szCs w:val="20"/>
        </w:rPr>
        <w:t>ECC Decision (</w:t>
      </w:r>
      <w:r w:rsidR="00C841D0" w:rsidRPr="00F70254">
        <w:rPr>
          <w:szCs w:val="20"/>
        </w:rPr>
        <w:t>13)01</w:t>
      </w:r>
      <w:r w:rsidR="00C841D0">
        <w:t xml:space="preserve"> specifies </w:t>
      </w:r>
      <w:r>
        <w:t>arrangements</w:t>
      </w:r>
      <w:r w:rsidR="00C841D0">
        <w:t xml:space="preserve"> for GSO systems used</w:t>
      </w:r>
      <w:r>
        <w:t xml:space="preserve"> on </w:t>
      </w:r>
      <w:r w:rsidRPr="005C529A">
        <w:t>aircraft, ships or land vehicles</w:t>
      </w:r>
      <w:r>
        <w:t>.</w:t>
      </w:r>
      <w:r w:rsidR="00C841D0" w:rsidRPr="00C841D0">
        <w:rPr>
          <w:szCs w:val="20"/>
        </w:rPr>
        <w:t xml:space="preserve"> </w:t>
      </w:r>
      <w:r w:rsidR="00C841D0">
        <w:rPr>
          <w:szCs w:val="20"/>
        </w:rPr>
        <w:t>ECC Decision (15</w:t>
      </w:r>
      <w:r w:rsidR="00C841D0" w:rsidRPr="00F70254">
        <w:rPr>
          <w:szCs w:val="20"/>
        </w:rPr>
        <w:t>)0</w:t>
      </w:r>
      <w:r w:rsidR="00C841D0">
        <w:rPr>
          <w:szCs w:val="20"/>
        </w:rPr>
        <w:t>4</w:t>
      </w:r>
      <w:r w:rsidR="00C841D0">
        <w:t xml:space="preserve"> specifies arrangements for NGSO systems used on </w:t>
      </w:r>
      <w:r w:rsidR="00C841D0" w:rsidRPr="005C529A">
        <w:t>ships or land vehicles</w:t>
      </w:r>
      <w:r w:rsidR="00C841D0">
        <w:t>.</w:t>
      </w:r>
      <w:r>
        <w:t xml:space="preserve"> That is</w:t>
      </w:r>
      <w:r w:rsidR="000B2F8C">
        <w:t>,</w:t>
      </w:r>
      <w:r>
        <w:t xml:space="preserve"> different arrangements apply depending on whether the space station is part of </w:t>
      </w:r>
      <w:r w:rsidR="000B2F8C">
        <w:t xml:space="preserve">a </w:t>
      </w:r>
      <w:r>
        <w:t>NGSO or GSO sys</w:t>
      </w:r>
      <w:r w:rsidR="00260086">
        <w:t>tem</w:t>
      </w:r>
      <w:r>
        <w:t>.</w:t>
      </w:r>
    </w:p>
    <w:p w14:paraId="18729A22" w14:textId="77777777" w:rsidR="0008230E" w:rsidRDefault="0008230E" w:rsidP="0008230E">
      <w:pPr>
        <w:pStyle w:val="Heading2"/>
      </w:pPr>
      <w:bookmarkStart w:id="17" w:name="_Toc495590050"/>
      <w:r>
        <w:t>ESIMs and ACMA forward work program</w:t>
      </w:r>
      <w:bookmarkEnd w:id="17"/>
      <w:r>
        <w:t xml:space="preserve"> </w:t>
      </w:r>
    </w:p>
    <w:p w14:paraId="7F8FBCA0" w14:textId="77777777" w:rsidR="0008230E" w:rsidRDefault="00260086" w:rsidP="0008230E">
      <w:r>
        <w:rPr>
          <w:i/>
        </w:rPr>
        <w:t xml:space="preserve">Defence sought clarification on ESIMs </w:t>
      </w:r>
      <w:r w:rsidR="00275F6A">
        <w:rPr>
          <w:i/>
        </w:rPr>
        <w:t xml:space="preserve">work </w:t>
      </w:r>
      <w:r>
        <w:rPr>
          <w:i/>
        </w:rPr>
        <w:t xml:space="preserve">in the ACMA forward work program. </w:t>
      </w:r>
    </w:p>
    <w:p w14:paraId="484441C2" w14:textId="782CA995" w:rsidR="00497F55" w:rsidRDefault="008F5D7F" w:rsidP="0008230E">
      <w:pPr>
        <w:rPr>
          <w:lang w:val="en"/>
        </w:rPr>
      </w:pPr>
      <w:r>
        <w:t>In October 2016 the A</w:t>
      </w:r>
      <w:r w:rsidR="00E3427F">
        <w:t>CMA identified the need for further work</w:t>
      </w:r>
      <w:r>
        <w:t xml:space="preserve"> on ESIMs </w:t>
      </w:r>
      <w:r w:rsidR="00260086">
        <w:t xml:space="preserve">in </w:t>
      </w:r>
      <w:r>
        <w:t xml:space="preserve">its </w:t>
      </w:r>
      <w:hyperlink r:id="rId36" w:history="1">
        <w:r w:rsidR="00FA2DE7" w:rsidRPr="009A7F11">
          <w:rPr>
            <w:rStyle w:val="Hyperlink"/>
            <w:i/>
            <w:lang w:val="en"/>
          </w:rPr>
          <w:t>Five-year spectrum outlook 2016–20</w:t>
        </w:r>
      </w:hyperlink>
      <w:r>
        <w:rPr>
          <w:lang w:val="en"/>
        </w:rPr>
        <w:t xml:space="preserve">. As outlined at that time, beyond </w:t>
      </w:r>
      <w:r w:rsidRPr="00E3427F">
        <w:t>implement</w:t>
      </w:r>
      <w:r>
        <w:t>ing arrangements supporting</w:t>
      </w:r>
      <w:r w:rsidRPr="00E3427F">
        <w:t xml:space="preserve"> ITU Resolution </w:t>
      </w:r>
      <w:r w:rsidRPr="005C529A">
        <w:t>156 (WRC-15)</w:t>
      </w:r>
      <w:r>
        <w:rPr>
          <w:lang w:val="en"/>
        </w:rPr>
        <w:t xml:space="preserve"> (refer </w:t>
      </w:r>
      <w:r w:rsidR="000B2F8C">
        <w:rPr>
          <w:lang w:val="en"/>
        </w:rPr>
        <w:t xml:space="preserve">to </w:t>
      </w:r>
      <w:hyperlink r:id="rId37" w:history="1">
        <w:r w:rsidR="00497F55" w:rsidRPr="00497F55">
          <w:rPr>
            <w:rStyle w:val="Hyperlink"/>
            <w:lang w:val="en"/>
          </w:rPr>
          <w:t>IFC 12/2016</w:t>
        </w:r>
      </w:hyperlink>
      <w:r w:rsidR="00497F55">
        <w:rPr>
          <w:lang w:val="en"/>
        </w:rPr>
        <w:t>)</w:t>
      </w:r>
      <w:r w:rsidR="000B2F8C">
        <w:rPr>
          <w:lang w:val="en"/>
        </w:rPr>
        <w:t>,</w:t>
      </w:r>
      <w:r w:rsidR="00497F55">
        <w:rPr>
          <w:lang w:val="en"/>
        </w:rPr>
        <w:t xml:space="preserve"> </w:t>
      </w:r>
      <w:r>
        <w:rPr>
          <w:lang w:val="en"/>
        </w:rPr>
        <w:t xml:space="preserve">the ACMA was mindful of </w:t>
      </w:r>
      <w:r w:rsidR="000B2F8C">
        <w:rPr>
          <w:lang w:val="en"/>
        </w:rPr>
        <w:t xml:space="preserve">the </w:t>
      </w:r>
      <w:r w:rsidR="00497F55">
        <w:rPr>
          <w:lang w:val="en"/>
        </w:rPr>
        <w:t xml:space="preserve">possible </w:t>
      </w:r>
      <w:r>
        <w:rPr>
          <w:lang w:val="en"/>
        </w:rPr>
        <w:t xml:space="preserve">need for further reviews and </w:t>
      </w:r>
      <w:r w:rsidR="00497F55">
        <w:rPr>
          <w:lang w:val="en"/>
        </w:rPr>
        <w:t xml:space="preserve">development </w:t>
      </w:r>
      <w:r w:rsidR="000B2F8C">
        <w:rPr>
          <w:lang w:val="en"/>
        </w:rPr>
        <w:t xml:space="preserve">of </w:t>
      </w:r>
      <w:r w:rsidR="00497F55" w:rsidRPr="00552992">
        <w:t>future regulatory arrangements</w:t>
      </w:r>
      <w:r w:rsidR="00497F55">
        <w:rPr>
          <w:lang w:val="en"/>
        </w:rPr>
        <w:t xml:space="preserve"> supporting ESIMs. The need for further work on ESIMs was also acknowledged in the IFC 12/2016 response to submissions paper.</w:t>
      </w:r>
    </w:p>
    <w:p w14:paraId="7D9B7E39" w14:textId="77777777" w:rsidR="000724B9" w:rsidRDefault="000724B9" w:rsidP="000724B9">
      <w:pPr>
        <w:pStyle w:val="Heading2"/>
      </w:pPr>
      <w:bookmarkStart w:id="18" w:name="_Toc495590051"/>
      <w:r>
        <w:t xml:space="preserve">Applicability of </w:t>
      </w:r>
      <w:r w:rsidR="00590498">
        <w:t>Annex 2</w:t>
      </w:r>
      <w:bookmarkEnd w:id="18"/>
    </w:p>
    <w:p w14:paraId="51464D3D" w14:textId="1CB06C7F" w:rsidR="00FA2DE7" w:rsidRDefault="003801AA" w:rsidP="003801AA">
      <w:proofErr w:type="spellStart"/>
      <w:r w:rsidRPr="003801AA">
        <w:rPr>
          <w:i/>
        </w:rPr>
        <w:t>NBN</w:t>
      </w:r>
      <w:proofErr w:type="spellEnd"/>
      <w:r w:rsidRPr="003801AA">
        <w:rPr>
          <w:i/>
        </w:rPr>
        <w:t xml:space="preserve"> Co and </w:t>
      </w:r>
      <w:proofErr w:type="spellStart"/>
      <w:r w:rsidRPr="003801AA">
        <w:rPr>
          <w:i/>
        </w:rPr>
        <w:t>ViaSat</w:t>
      </w:r>
      <w:proofErr w:type="spellEnd"/>
      <w:r w:rsidRPr="003801AA">
        <w:rPr>
          <w:i/>
        </w:rPr>
        <w:t xml:space="preserve"> questioned the relevance of including compliance with Annex 2 of ECC Decision (13)01. Defence asked for clarification about the relationship between </w:t>
      </w:r>
      <w:r w:rsidR="00F25BD8">
        <w:rPr>
          <w:i/>
        </w:rPr>
        <w:t xml:space="preserve">ACMA </w:t>
      </w:r>
      <w:r w:rsidRPr="003801AA">
        <w:rPr>
          <w:i/>
        </w:rPr>
        <w:t>special condition</w:t>
      </w:r>
      <w:r w:rsidR="00ED2363">
        <w:rPr>
          <w:i/>
        </w:rPr>
        <w:t>s</w:t>
      </w:r>
      <w:r w:rsidRPr="003801AA">
        <w:rPr>
          <w:i/>
        </w:rPr>
        <w:t xml:space="preserve"> and ITU </w:t>
      </w:r>
      <w:r w:rsidR="003B0FF3">
        <w:rPr>
          <w:i/>
        </w:rPr>
        <w:t xml:space="preserve">definition of </w:t>
      </w:r>
      <w:r w:rsidRPr="003801AA">
        <w:rPr>
          <w:i/>
        </w:rPr>
        <w:t>station class</w:t>
      </w:r>
      <w:r>
        <w:t>.</w:t>
      </w:r>
    </w:p>
    <w:p w14:paraId="110DF2CE" w14:textId="77777777" w:rsidR="008A56C3" w:rsidRDefault="008A56C3" w:rsidP="008A56C3">
      <w:pPr>
        <w:pStyle w:val="BodySubHeader"/>
      </w:pPr>
      <w:r>
        <w:t>Compliance with Annex 2</w:t>
      </w:r>
    </w:p>
    <w:p w14:paraId="5F2893EA" w14:textId="373EFC09" w:rsidR="0078039E" w:rsidRDefault="0078039E" w:rsidP="004231F5">
      <w:r>
        <w:t>Interference management requirements of the</w:t>
      </w:r>
      <w:r w:rsidR="00ED2363">
        <w:t xml:space="preserve"> </w:t>
      </w:r>
      <w:hyperlink r:id="rId38" w:history="1">
        <w:r w:rsidR="00ED2363" w:rsidRPr="009D7366">
          <w:rPr>
            <w:rStyle w:val="Hyperlink"/>
          </w:rPr>
          <w:t>Business operating procedure</w:t>
        </w:r>
      </w:hyperlink>
      <w:r>
        <w:t xml:space="preserve"> </w:t>
      </w:r>
      <w:r w:rsidR="00ED2363">
        <w:t>(</w:t>
      </w:r>
      <w:r>
        <w:t>BOP</w:t>
      </w:r>
      <w:r w:rsidR="00ED2363">
        <w:t>)</w:t>
      </w:r>
      <w:r>
        <w:t xml:space="preserve"> </w:t>
      </w:r>
      <w:r w:rsidR="00ED2363">
        <w:t xml:space="preserve">requires </w:t>
      </w:r>
      <w:r>
        <w:t>applicant</w:t>
      </w:r>
      <w:r w:rsidR="00ED2363">
        <w:t>s</w:t>
      </w:r>
      <w:r>
        <w:t xml:space="preserve"> to provide </w:t>
      </w:r>
      <w:r w:rsidRPr="00356AD6">
        <w:rPr>
          <w:szCs w:val="20"/>
        </w:rPr>
        <w:t>evidence and confirmation that the</w:t>
      </w:r>
      <w:r>
        <w:rPr>
          <w:szCs w:val="20"/>
        </w:rPr>
        <w:t xml:space="preserve"> </w:t>
      </w:r>
      <w:r w:rsidRPr="00356AD6">
        <w:rPr>
          <w:szCs w:val="20"/>
        </w:rPr>
        <w:t>satellite network(s) conforms to the requirements of</w:t>
      </w:r>
      <w:r>
        <w:rPr>
          <w:szCs w:val="20"/>
        </w:rPr>
        <w:t xml:space="preserve"> Annex 2 of</w:t>
      </w:r>
      <w:r w:rsidRPr="00356AD6">
        <w:rPr>
          <w:szCs w:val="20"/>
        </w:rPr>
        <w:t xml:space="preserve"> </w:t>
      </w:r>
      <w:r>
        <w:t>Decision (13)01 or (15)04 (as appropriate).</w:t>
      </w:r>
    </w:p>
    <w:p w14:paraId="32BF51FF" w14:textId="13ED1AF4" w:rsidR="008A56C3" w:rsidRDefault="003D3E8B" w:rsidP="004231F5">
      <w:r w:rsidRPr="003D3E8B">
        <w:t>A</w:t>
      </w:r>
      <w:r>
        <w:t>nnex 2 of ECC Decision (13)01</w:t>
      </w:r>
      <w:r w:rsidR="0078039E">
        <w:t>,</w:t>
      </w:r>
      <w:r>
        <w:t xml:space="preserve"> and similarly Annex 2 of ECC </w:t>
      </w:r>
      <w:r w:rsidR="006638DF">
        <w:t>Decision (15)04</w:t>
      </w:r>
      <w:r w:rsidR="0078039E">
        <w:t>,</w:t>
      </w:r>
      <w:r w:rsidR="006638DF">
        <w:t xml:space="preserve"> are </w:t>
      </w:r>
      <w:r>
        <w:t>about sharing requireme</w:t>
      </w:r>
      <w:r w:rsidR="006638DF">
        <w:t xml:space="preserve">nts with terrestrial services, including those of neighbouring countries. </w:t>
      </w:r>
      <w:r w:rsidR="008A56C3">
        <w:t xml:space="preserve">From the </w:t>
      </w:r>
      <w:r w:rsidR="0059218C">
        <w:t>supporting ECC reports (</w:t>
      </w:r>
      <w:hyperlink r:id="rId39" w:history="1">
        <w:r w:rsidR="0059218C" w:rsidRPr="003D3E8B">
          <w:rPr>
            <w:rStyle w:val="Hyperlink"/>
          </w:rPr>
          <w:t>ECC Report 184</w:t>
        </w:r>
      </w:hyperlink>
      <w:r w:rsidR="0059218C">
        <w:t xml:space="preserve"> and </w:t>
      </w:r>
      <w:hyperlink r:id="rId40" w:history="1">
        <w:r w:rsidR="0059218C" w:rsidRPr="003D3E8B">
          <w:rPr>
            <w:rStyle w:val="Hyperlink"/>
          </w:rPr>
          <w:t>ECC Report 217</w:t>
        </w:r>
      </w:hyperlink>
      <w:r w:rsidR="0059218C">
        <w:t xml:space="preserve">) </w:t>
      </w:r>
      <w:r w:rsidR="008A56C3">
        <w:t>it can be seen that the requirements have been determined by considering the potential for interference</w:t>
      </w:r>
      <w:r w:rsidR="00E24E17">
        <w:t xml:space="preserve"> into</w:t>
      </w:r>
      <w:r w:rsidR="008A56C3">
        <w:t xml:space="preserve"> a fixed service receiver.</w:t>
      </w:r>
      <w:r w:rsidR="001D7AC2">
        <w:t xml:space="preserve"> </w:t>
      </w:r>
      <w:r w:rsidR="001D7AC2">
        <w:rPr>
          <w:lang w:val="en"/>
        </w:rPr>
        <w:t xml:space="preserve">The ACMA notes that both Inmarsat and </w:t>
      </w:r>
      <w:proofErr w:type="spellStart"/>
      <w:r w:rsidR="001D7AC2">
        <w:rPr>
          <w:lang w:val="en"/>
        </w:rPr>
        <w:t>ViaSat</w:t>
      </w:r>
      <w:proofErr w:type="spellEnd"/>
      <w:r w:rsidR="001D7AC2">
        <w:rPr>
          <w:lang w:val="en"/>
        </w:rPr>
        <w:t xml:space="preserve"> have provided declaration</w:t>
      </w:r>
      <w:r w:rsidR="00E24E17">
        <w:rPr>
          <w:lang w:val="en"/>
        </w:rPr>
        <w:t>s</w:t>
      </w:r>
      <w:r w:rsidR="001D7AC2">
        <w:rPr>
          <w:lang w:val="en"/>
        </w:rPr>
        <w:t xml:space="preserve"> of compliance to the European Communication Office</w:t>
      </w:r>
      <w:r w:rsidR="001D7AC2">
        <w:rPr>
          <w:rStyle w:val="FootnoteReference"/>
          <w:lang w:val="en"/>
        </w:rPr>
        <w:footnoteReference w:id="5"/>
      </w:r>
      <w:r w:rsidR="00E24E17">
        <w:rPr>
          <w:lang w:val="en"/>
        </w:rPr>
        <w:t xml:space="preserve"> that they can meet th</w:t>
      </w:r>
      <w:r w:rsidR="00ED2363">
        <w:rPr>
          <w:lang w:val="en"/>
        </w:rPr>
        <w:t>e</w:t>
      </w:r>
      <w:r w:rsidR="00E24E17">
        <w:rPr>
          <w:lang w:val="en"/>
        </w:rPr>
        <w:t>s</w:t>
      </w:r>
      <w:r w:rsidR="00ED2363">
        <w:rPr>
          <w:lang w:val="en"/>
        </w:rPr>
        <w:t>e</w:t>
      </w:r>
      <w:r w:rsidR="001D7AC2">
        <w:rPr>
          <w:lang w:val="en"/>
        </w:rPr>
        <w:t xml:space="preserve"> requirements, indicat</w:t>
      </w:r>
      <w:r w:rsidR="007775D4">
        <w:rPr>
          <w:lang w:val="en"/>
        </w:rPr>
        <w:t>ing</w:t>
      </w:r>
      <w:r w:rsidR="001D7AC2">
        <w:rPr>
          <w:lang w:val="en"/>
        </w:rPr>
        <w:t xml:space="preserve"> that </w:t>
      </w:r>
      <w:r w:rsidR="00ED2363">
        <w:rPr>
          <w:lang w:val="en"/>
        </w:rPr>
        <w:t xml:space="preserve">the </w:t>
      </w:r>
      <w:r w:rsidR="001D7AC2">
        <w:rPr>
          <w:lang w:val="en"/>
        </w:rPr>
        <w:t xml:space="preserve">requirements </w:t>
      </w:r>
      <w:r w:rsidR="00ED2363">
        <w:rPr>
          <w:lang w:val="en"/>
        </w:rPr>
        <w:t>are</w:t>
      </w:r>
      <w:r w:rsidR="001D7AC2">
        <w:rPr>
          <w:lang w:val="en"/>
        </w:rPr>
        <w:t xml:space="preserve"> </w:t>
      </w:r>
      <w:r w:rsidR="00AE7A63">
        <w:rPr>
          <w:lang w:val="en"/>
        </w:rPr>
        <w:t>achievable and</w:t>
      </w:r>
      <w:r w:rsidR="001D7AC2">
        <w:rPr>
          <w:lang w:val="en"/>
        </w:rPr>
        <w:t xml:space="preserve"> reasonable.</w:t>
      </w:r>
    </w:p>
    <w:p w14:paraId="70B9833E" w14:textId="28C1C00E" w:rsidR="008A56C3" w:rsidRDefault="004B2794" w:rsidP="004231F5">
      <w:pPr>
        <w:rPr>
          <w:lang w:val="en"/>
        </w:rPr>
      </w:pPr>
      <w:r>
        <w:t>As noted b</w:t>
      </w:r>
      <w:r w:rsidR="006638DF">
        <w:t>y</w:t>
      </w:r>
      <w:r w:rsidR="006D6B0B">
        <w:t xml:space="preserve"> respondents, the</w:t>
      </w:r>
      <w:r>
        <w:t xml:space="preserve"> frequency ranges </w:t>
      </w:r>
      <w:r w:rsidR="006D6B0B">
        <w:t xml:space="preserve">covered by the ESIMs procedures are those </w:t>
      </w:r>
      <w:r w:rsidR="006638DF">
        <w:t xml:space="preserve">in which </w:t>
      </w:r>
      <w:r w:rsidR="004231F5">
        <w:rPr>
          <w:lang w:val="en"/>
        </w:rPr>
        <w:t>the ACMA support</w:t>
      </w:r>
      <w:r w:rsidR="00ED2363">
        <w:rPr>
          <w:lang w:val="en"/>
        </w:rPr>
        <w:t>s</w:t>
      </w:r>
      <w:r w:rsidR="004231F5">
        <w:rPr>
          <w:lang w:val="en"/>
        </w:rPr>
        <w:t xml:space="preserve"> ubiquitous earth stations</w:t>
      </w:r>
      <w:r w:rsidR="00ED2363">
        <w:rPr>
          <w:lang w:val="en"/>
        </w:rPr>
        <w:t>.</w:t>
      </w:r>
      <w:r w:rsidR="004231F5">
        <w:rPr>
          <w:lang w:val="en"/>
        </w:rPr>
        <w:t xml:space="preserve"> </w:t>
      </w:r>
      <w:r w:rsidR="00ED2363">
        <w:rPr>
          <w:lang w:val="en"/>
        </w:rPr>
        <w:t>T</w:t>
      </w:r>
      <w:r w:rsidR="006D6B0B">
        <w:rPr>
          <w:lang w:val="en"/>
        </w:rPr>
        <w:t>he AC</w:t>
      </w:r>
      <w:r w:rsidR="0059218C">
        <w:rPr>
          <w:lang w:val="en"/>
        </w:rPr>
        <w:t>MA</w:t>
      </w:r>
      <w:r w:rsidR="006D6B0B">
        <w:rPr>
          <w:lang w:val="en"/>
        </w:rPr>
        <w:t xml:space="preserve"> </w:t>
      </w:r>
      <w:r w:rsidR="00ED2363">
        <w:rPr>
          <w:lang w:val="en"/>
        </w:rPr>
        <w:t xml:space="preserve">currently </w:t>
      </w:r>
      <w:r w:rsidR="006D6B0B">
        <w:rPr>
          <w:lang w:val="en"/>
        </w:rPr>
        <w:t xml:space="preserve">has no planning arrangements that </w:t>
      </w:r>
      <w:r w:rsidR="0059218C">
        <w:rPr>
          <w:lang w:val="en"/>
        </w:rPr>
        <w:t xml:space="preserve">support </w:t>
      </w:r>
      <w:r w:rsidR="008A56C3">
        <w:rPr>
          <w:lang w:val="en"/>
        </w:rPr>
        <w:t xml:space="preserve">fixed services in those bands, beyond allocations in the Spectrum Plan. </w:t>
      </w:r>
      <w:r w:rsidR="001D7AC2">
        <w:rPr>
          <w:lang w:val="en"/>
        </w:rPr>
        <w:t>With no services in Australia to protect</w:t>
      </w:r>
      <w:r w:rsidR="00E24E17">
        <w:rPr>
          <w:lang w:val="en"/>
        </w:rPr>
        <w:t>,</w:t>
      </w:r>
      <w:r w:rsidR="001D7AC2">
        <w:rPr>
          <w:lang w:val="en"/>
        </w:rPr>
        <w:t xml:space="preserve"> the issue is limited to operations in northern Australia in the proximity of </w:t>
      </w:r>
      <w:proofErr w:type="spellStart"/>
      <w:r w:rsidR="001D7AC2">
        <w:rPr>
          <w:lang w:val="en"/>
        </w:rPr>
        <w:t>neighbo</w:t>
      </w:r>
      <w:r w:rsidR="00ED2363">
        <w:rPr>
          <w:lang w:val="en"/>
        </w:rPr>
        <w:t>u</w:t>
      </w:r>
      <w:r w:rsidR="001D7AC2">
        <w:rPr>
          <w:lang w:val="en"/>
        </w:rPr>
        <w:t>ring</w:t>
      </w:r>
      <w:proofErr w:type="spellEnd"/>
      <w:r w:rsidR="001D7AC2">
        <w:rPr>
          <w:lang w:val="en"/>
        </w:rPr>
        <w:t xml:space="preserve"> countries</w:t>
      </w:r>
      <w:r w:rsidR="00ED2363">
        <w:rPr>
          <w:lang w:val="en"/>
        </w:rPr>
        <w:t>,</w:t>
      </w:r>
      <w:r w:rsidR="001D7AC2">
        <w:rPr>
          <w:lang w:val="en"/>
        </w:rPr>
        <w:t xml:space="preserve"> for example</w:t>
      </w:r>
      <w:r w:rsidR="00ED2363">
        <w:rPr>
          <w:lang w:val="en"/>
        </w:rPr>
        <w:t>,</w:t>
      </w:r>
      <w:r w:rsidR="001D7AC2">
        <w:rPr>
          <w:lang w:val="en"/>
        </w:rPr>
        <w:t xml:space="preserve"> East Timor, Indonesia, </w:t>
      </w:r>
      <w:r w:rsidR="001D7AC2" w:rsidRPr="00C10DED">
        <w:rPr>
          <w:lang w:val="en"/>
        </w:rPr>
        <w:t>Papua New Guinea</w:t>
      </w:r>
      <w:r w:rsidR="001D7AC2">
        <w:rPr>
          <w:lang w:val="en"/>
        </w:rPr>
        <w:t>.</w:t>
      </w:r>
    </w:p>
    <w:p w14:paraId="17ECD909" w14:textId="11C9494B" w:rsidR="0078039E" w:rsidRDefault="001D7AC2" w:rsidP="003801AA">
      <w:r>
        <w:rPr>
          <w:lang w:val="en"/>
        </w:rPr>
        <w:t xml:space="preserve">Interference to services </w:t>
      </w:r>
      <w:r w:rsidR="007775D4">
        <w:rPr>
          <w:lang w:val="en"/>
        </w:rPr>
        <w:t>operating</w:t>
      </w:r>
      <w:r>
        <w:rPr>
          <w:lang w:val="en"/>
        </w:rPr>
        <w:t xml:space="preserve"> outside of Australia is address</w:t>
      </w:r>
      <w:r w:rsidR="00BB3C20">
        <w:rPr>
          <w:lang w:val="en"/>
        </w:rPr>
        <w:t>ed</w:t>
      </w:r>
      <w:r>
        <w:rPr>
          <w:lang w:val="en"/>
        </w:rPr>
        <w:t xml:space="preserve"> by </w:t>
      </w:r>
      <w:r w:rsidR="007775D4">
        <w:rPr>
          <w:lang w:val="en"/>
        </w:rPr>
        <w:t>special</w:t>
      </w:r>
      <w:r>
        <w:rPr>
          <w:lang w:val="en"/>
        </w:rPr>
        <w:t xml:space="preserve"> condition </w:t>
      </w:r>
      <w:r w:rsidR="007775D4">
        <w:rPr>
          <w:lang w:val="en"/>
        </w:rPr>
        <w:t>EH</w:t>
      </w:r>
      <w:r w:rsidR="007775D4">
        <w:rPr>
          <w:rStyle w:val="FootnoteReference"/>
          <w:lang w:val="en"/>
        </w:rPr>
        <w:footnoteReference w:id="6"/>
      </w:r>
      <w:r w:rsidR="00ED2363">
        <w:rPr>
          <w:lang w:val="en"/>
        </w:rPr>
        <w:t>,</w:t>
      </w:r>
      <w:r w:rsidR="007775D4">
        <w:rPr>
          <w:lang w:val="en"/>
        </w:rPr>
        <w:t xml:space="preserve"> which specifies that </w:t>
      </w:r>
      <w:r w:rsidR="00ED2363">
        <w:rPr>
          <w:lang w:val="en"/>
        </w:rPr>
        <w:t>‘</w:t>
      </w:r>
      <w:r w:rsidR="007775D4" w:rsidRPr="008C7EE4">
        <w:t>Transmissions must not occur in circumstances that result in harmful interference to stations outside of Australia</w:t>
      </w:r>
      <w:r w:rsidR="007935FC" w:rsidRPr="00ED2363">
        <w:t xml:space="preserve"> …</w:t>
      </w:r>
      <w:r w:rsidR="00ED2363">
        <w:t xml:space="preserve"> </w:t>
      </w:r>
      <w:proofErr w:type="gramStart"/>
      <w:r w:rsidR="00ED2363">
        <w:t>’</w:t>
      </w:r>
      <w:r w:rsidR="00BB3C20">
        <w:t>.</w:t>
      </w:r>
      <w:proofErr w:type="gramEnd"/>
      <w:r w:rsidR="007935FC">
        <w:t xml:space="preserve">  To provide operators with additional flexibility, noting that </w:t>
      </w:r>
      <w:r w:rsidR="00E22082">
        <w:t xml:space="preserve">the </w:t>
      </w:r>
      <w:r w:rsidR="007935FC">
        <w:t>procedures are to be reviewed after WRC-19</w:t>
      </w:r>
      <w:r w:rsidR="00E22082">
        <w:t xml:space="preserve">, the ACMA will not require compliance with Annex 2 to be a licence condition for now. </w:t>
      </w:r>
    </w:p>
    <w:p w14:paraId="744EFD51" w14:textId="720D7917" w:rsidR="00F0768A" w:rsidRDefault="00E22082" w:rsidP="003801AA">
      <w:r>
        <w:t xml:space="preserve">However, if </w:t>
      </w:r>
      <w:r w:rsidR="00E24E17">
        <w:t xml:space="preserve">Australia </w:t>
      </w:r>
      <w:r w:rsidR="00ED2363">
        <w:t xml:space="preserve">is </w:t>
      </w:r>
      <w:r>
        <w:t>require</w:t>
      </w:r>
      <w:r w:rsidR="00E24E17">
        <w:t>d</w:t>
      </w:r>
      <w:r>
        <w:t xml:space="preserve"> to consider interference reports from neighbouring countries, the ACMA will consider compliance with Annex 2 </w:t>
      </w:r>
      <w:r w:rsidR="001E6BF9">
        <w:t>as part of any</w:t>
      </w:r>
      <w:r w:rsidR="00E24E17">
        <w:t xml:space="preserve"> </w:t>
      </w:r>
      <w:r w:rsidR="001E6BF9">
        <w:t xml:space="preserve">interference resolution approach. </w:t>
      </w:r>
    </w:p>
    <w:p w14:paraId="1558FE78" w14:textId="77777777" w:rsidR="00D83C4E" w:rsidRDefault="00D83C4E" w:rsidP="00D83C4E">
      <w:pPr>
        <w:pStyle w:val="Heading2"/>
      </w:pPr>
      <w:bookmarkStart w:id="19" w:name="_Toc495590052"/>
      <w:r>
        <w:t>N</w:t>
      </w:r>
      <w:r w:rsidRPr="005D6CDE">
        <w:t xml:space="preserve">omenclature </w:t>
      </w:r>
      <w:r>
        <w:t>and naming conventions</w:t>
      </w:r>
      <w:bookmarkEnd w:id="19"/>
    </w:p>
    <w:p w14:paraId="122706C1" w14:textId="09EB6610" w:rsidR="00D83C4E" w:rsidRPr="00627B11" w:rsidRDefault="00627B11" w:rsidP="00D83C4E">
      <w:pPr>
        <w:rPr>
          <w:i/>
        </w:rPr>
      </w:pPr>
      <w:r w:rsidRPr="00627B11">
        <w:rPr>
          <w:i/>
        </w:rPr>
        <w:t>Defence suggest</w:t>
      </w:r>
      <w:r w:rsidR="00BB3C20">
        <w:rPr>
          <w:i/>
        </w:rPr>
        <w:t>ed</w:t>
      </w:r>
      <w:r w:rsidRPr="00627B11">
        <w:rPr>
          <w:i/>
        </w:rPr>
        <w:t xml:space="preserve"> that the title of the BOP </w:t>
      </w:r>
      <w:r w:rsidR="00BB3C20">
        <w:rPr>
          <w:i/>
        </w:rPr>
        <w:t>is</w:t>
      </w:r>
      <w:r w:rsidR="00BB3C20" w:rsidRPr="00627B11">
        <w:rPr>
          <w:i/>
        </w:rPr>
        <w:t xml:space="preserve"> </w:t>
      </w:r>
      <w:r w:rsidRPr="00627B11">
        <w:rPr>
          <w:i/>
        </w:rPr>
        <w:t>overly complicated, similar to the BOP from the previous ESIMs consultation process (</w:t>
      </w:r>
      <w:hyperlink r:id="rId41">
        <w:r w:rsidRPr="00627B11">
          <w:rPr>
            <w:rStyle w:val="Hyperlink"/>
            <w:i/>
          </w:rPr>
          <w:t>IFC 12/2016</w:t>
        </w:r>
      </w:hyperlink>
      <w:r w:rsidRPr="00627B11">
        <w:rPr>
          <w:rStyle w:val="Hyperlink"/>
          <w:i/>
        </w:rPr>
        <w:t>)</w:t>
      </w:r>
      <w:r w:rsidRPr="00627B11">
        <w:rPr>
          <w:i/>
        </w:rPr>
        <w:t xml:space="preserve"> </w:t>
      </w:r>
    </w:p>
    <w:p w14:paraId="7E3AE6B0" w14:textId="2BDB1F3B" w:rsidR="00EC5B88" w:rsidRDefault="00627B11" w:rsidP="00D83C4E">
      <w:r>
        <w:t>By their nature</w:t>
      </w:r>
      <w:r w:rsidR="00BB3C20">
        <w:t>,</w:t>
      </w:r>
      <w:r>
        <w:t xml:space="preserve"> </w:t>
      </w:r>
      <w:r w:rsidR="00E24E17">
        <w:t>each</w:t>
      </w:r>
      <w:r>
        <w:t xml:space="preserve"> BOP address</w:t>
      </w:r>
      <w:r w:rsidR="00BB3C20">
        <w:t>es</w:t>
      </w:r>
      <w:r>
        <w:t xml:space="preserve"> complex, but similar regulatory matters which necessitate specificity</w:t>
      </w:r>
      <w:r w:rsidR="00E24E17">
        <w:t xml:space="preserve"> in their titles</w:t>
      </w:r>
      <w:r>
        <w:t xml:space="preserve"> </w:t>
      </w:r>
      <w:r w:rsidR="00E24E17">
        <w:t>to ascertain their differences</w:t>
      </w:r>
      <w:r w:rsidR="00EC5B88">
        <w:t>. The ACMA recognises the resulting laborious names, however</w:t>
      </w:r>
      <w:r w:rsidR="00BB3C20">
        <w:t>,</w:t>
      </w:r>
      <w:r w:rsidR="00EC5B88">
        <w:t xml:space="preserve"> considers that they are required and notes that n</w:t>
      </w:r>
      <w:r w:rsidR="00697472">
        <w:t>aming follows ITU conventions</w:t>
      </w:r>
      <w:r w:rsidR="0028638E">
        <w:t>.</w:t>
      </w:r>
    </w:p>
    <w:p w14:paraId="34B0E034" w14:textId="77777777" w:rsidR="00590498" w:rsidRPr="00F0768A" w:rsidRDefault="00590498" w:rsidP="00590498">
      <w:pPr>
        <w:pStyle w:val="BodySubHeader"/>
        <w:rPr>
          <w:i w:val="0"/>
        </w:rPr>
      </w:pPr>
      <w:r w:rsidRPr="00F0768A">
        <w:rPr>
          <w:i w:val="0"/>
        </w:rPr>
        <w:t>Special condition</w:t>
      </w:r>
      <w:r>
        <w:rPr>
          <w:i w:val="0"/>
        </w:rPr>
        <w:t>s</w:t>
      </w:r>
      <w:r w:rsidRPr="00F0768A">
        <w:rPr>
          <w:i w:val="0"/>
        </w:rPr>
        <w:t xml:space="preserve"> and ITU </w:t>
      </w:r>
      <w:r>
        <w:rPr>
          <w:i w:val="0"/>
        </w:rPr>
        <w:t xml:space="preserve">definition of </w:t>
      </w:r>
      <w:r w:rsidRPr="00F0768A">
        <w:rPr>
          <w:i w:val="0"/>
        </w:rPr>
        <w:t xml:space="preserve">station class </w:t>
      </w:r>
    </w:p>
    <w:p w14:paraId="009604E2" w14:textId="12C09A68" w:rsidR="00590498" w:rsidRPr="003B0FF3" w:rsidRDefault="00590498" w:rsidP="00590498">
      <w:pPr>
        <w:rPr>
          <w:i/>
        </w:rPr>
      </w:pPr>
      <w:r w:rsidRPr="003B0FF3">
        <w:rPr>
          <w:i/>
        </w:rPr>
        <w:t>Defence ask</w:t>
      </w:r>
      <w:r w:rsidR="00BB3C20">
        <w:rPr>
          <w:i/>
        </w:rPr>
        <w:t>ed</w:t>
      </w:r>
      <w:r w:rsidRPr="003B0FF3">
        <w:rPr>
          <w:i/>
        </w:rPr>
        <w:t xml:space="preserve"> for clarification about the relationship between ACMA special conditions and </w:t>
      </w:r>
      <w:r w:rsidR="00BB3C20">
        <w:rPr>
          <w:i/>
        </w:rPr>
        <w:t xml:space="preserve">the </w:t>
      </w:r>
      <w:r w:rsidRPr="003B0FF3">
        <w:rPr>
          <w:i/>
        </w:rPr>
        <w:t xml:space="preserve">ITU definition of station class </w:t>
      </w:r>
    </w:p>
    <w:p w14:paraId="16460B5A" w14:textId="1049E045" w:rsidR="00590498" w:rsidRDefault="00590498" w:rsidP="00590498">
      <w:r>
        <w:t>Conditions specified on apparatus licence</w:t>
      </w:r>
      <w:r w:rsidR="00BB3C20">
        <w:t>s</w:t>
      </w:r>
      <w:r>
        <w:t xml:space="preserve"> are independent from</w:t>
      </w:r>
      <w:r w:rsidR="00BB3C20">
        <w:t xml:space="preserve"> the</w:t>
      </w:r>
      <w:r>
        <w:t xml:space="preserve"> ITU definition of station class. Any similarities in codes is purely coincidental. An overview of the principles of conditions of apparatus licences can be found at </w:t>
      </w:r>
      <w:hyperlink r:id="rId42" w:anchor="fea" w:history="1">
        <w:r w:rsidRPr="003B0FF3">
          <w:rPr>
            <w:rStyle w:val="Hyperlink"/>
            <w:lang w:val="en"/>
          </w:rPr>
          <w:t>Apparatus licensing system</w:t>
        </w:r>
      </w:hyperlink>
      <w:r>
        <w:t xml:space="preserve"> on the ACMA website.</w:t>
      </w:r>
    </w:p>
    <w:p w14:paraId="182E267C" w14:textId="77777777" w:rsidR="00D83C4E" w:rsidRPr="008A7337" w:rsidRDefault="00D83C4E" w:rsidP="00D83C4E">
      <w:pPr>
        <w:pStyle w:val="Heading2"/>
      </w:pPr>
      <w:bookmarkStart w:id="20" w:name="_Toc495590053"/>
      <w:r>
        <w:t>Review of arrangements after WRC-19</w:t>
      </w:r>
      <w:bookmarkEnd w:id="20"/>
    </w:p>
    <w:p w14:paraId="3D871729" w14:textId="7D2D75A1" w:rsidR="00D83C4E" w:rsidRDefault="00D83C4E" w:rsidP="003801AA">
      <w:r>
        <w:t xml:space="preserve">Respondents agreed with the ACMA view that the ESIMs procedures should be interim and reviewed after WRC-19. </w:t>
      </w:r>
      <w:r w:rsidR="00EC642F">
        <w:t>As proposed</w:t>
      </w:r>
      <w:r w:rsidR="0028638E">
        <w:t>,</w:t>
      </w:r>
      <w:r w:rsidR="00EC642F">
        <w:t xml:space="preserve"> the authorisation of ESIMs is limited to 1 January 2021, with conditions to that affect to be included on issue licences.</w:t>
      </w:r>
    </w:p>
    <w:p w14:paraId="02905342" w14:textId="5080370B" w:rsidR="00FF3C69" w:rsidRDefault="00EC642F" w:rsidP="00851F3F">
      <w:r>
        <w:t>For clarity, specific advice on licence period</w:t>
      </w:r>
      <w:r w:rsidR="00BB3C20">
        <w:t>s</w:t>
      </w:r>
      <w:r>
        <w:t xml:space="preserve"> </w:t>
      </w:r>
      <w:r w:rsidR="00627B11">
        <w:t>i</w:t>
      </w:r>
      <w:r w:rsidR="00EC5B88">
        <w:t>s</w:t>
      </w:r>
      <w:r>
        <w:t xml:space="preserve"> included in the BOP.</w:t>
      </w:r>
      <w:bookmarkEnd w:id="12"/>
    </w:p>
    <w:sectPr w:rsidR="00FF3C69" w:rsidSect="00C77380">
      <w:headerReference w:type="even" r:id="rId43"/>
      <w:headerReference w:type="default" r:id="rId44"/>
      <w:footerReference w:type="even" r:id="rId45"/>
      <w:footerReference w:type="default" r:id="rId4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83B88C" w14:textId="77777777" w:rsidR="005C529A" w:rsidRDefault="005C529A">
      <w:r>
        <w:separator/>
      </w:r>
    </w:p>
  </w:endnote>
  <w:endnote w:type="continuationSeparator" w:id="0">
    <w:p w14:paraId="3D9F6D7D" w14:textId="77777777" w:rsidR="005C529A" w:rsidRDefault="005C529A">
      <w:r>
        <w:continuationSeparator/>
      </w:r>
    </w:p>
  </w:endnote>
  <w:endnote w:type="continuationNotice" w:id="1">
    <w:p w14:paraId="0B2E4323" w14:textId="77777777" w:rsidR="005C529A" w:rsidRDefault="005C529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HelveticaNeueLT Std Med">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6F62E6" w14:textId="77777777" w:rsidR="003A2BEE" w:rsidRDefault="003A2B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FC9873" w14:textId="77777777" w:rsidR="005C529A" w:rsidRPr="00A5474E" w:rsidRDefault="005C529A" w:rsidP="00A5474E">
    <w:pPr>
      <w:pStyle w:val="Footer"/>
    </w:pPr>
    <w:r>
      <w:rPr>
        <w:noProof/>
      </w:rPr>
      <w:drawing>
        <wp:inline distT="0" distB="0" distL="0" distR="0" wp14:anchorId="26EBCD59" wp14:editId="3F318668">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4328D4" w14:textId="77777777" w:rsidR="003A2BEE" w:rsidRDefault="003A2BEE">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3A4737" w14:textId="77777777" w:rsidR="005C529A" w:rsidRDefault="005C529A">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C44F75" w14:textId="77777777" w:rsidR="005C529A" w:rsidRDefault="005C529A">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210595" w14:textId="77777777" w:rsidR="005C529A" w:rsidRPr="00622A3B" w:rsidRDefault="005C529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5EDFEAA9" w14:textId="77777777" w:rsidR="005C529A" w:rsidRPr="00A5474E" w:rsidRDefault="005C529A"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6EBD3A" w14:textId="77777777" w:rsidR="005C529A" w:rsidRPr="00622A3B" w:rsidRDefault="005C529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85E0F7E" w14:textId="77777777" w:rsidR="005C529A" w:rsidRPr="00A5474E" w:rsidRDefault="005C529A"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484CF4" w14:textId="77777777" w:rsidR="005C529A" w:rsidRPr="00622A3B" w:rsidRDefault="005C529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623682">
      <w:rPr>
        <w:noProof/>
        <w:color w:val="505050"/>
      </w:rPr>
      <w:t>iii</w:t>
    </w:r>
    <w:r w:rsidRPr="002E4DDC">
      <w:rPr>
        <w:color w:val="505050"/>
      </w:rPr>
      <w:fldChar w:fldCharType="end"/>
    </w:r>
  </w:p>
  <w:p w14:paraId="3ABD049B" w14:textId="77777777" w:rsidR="005C529A" w:rsidRPr="00A5474E" w:rsidRDefault="005C529A"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858B29" w14:textId="77777777" w:rsidR="005C529A" w:rsidRPr="00622A3B" w:rsidRDefault="005C529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623682">
      <w:rPr>
        <w:noProof/>
      </w:rP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738A872" w14:textId="77777777" w:rsidR="005C529A" w:rsidRPr="00A5474E" w:rsidRDefault="005C529A"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11B708" w14:textId="77777777" w:rsidR="005C529A" w:rsidRPr="00622A3B" w:rsidRDefault="005C529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623682">
      <w:rPr>
        <w:noProof/>
        <w:color w:val="505050"/>
      </w:rPr>
      <w:t>3</w:t>
    </w:r>
    <w:r w:rsidRPr="00575AC5">
      <w:rPr>
        <w:color w:val="505050"/>
      </w:rPr>
      <w:fldChar w:fldCharType="end"/>
    </w:r>
  </w:p>
  <w:p w14:paraId="54A78DBD" w14:textId="77777777" w:rsidR="005C529A" w:rsidRPr="00A5474E" w:rsidRDefault="005C529A"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5B9623" w14:textId="77777777" w:rsidR="005C529A" w:rsidRDefault="005C529A">
      <w:r>
        <w:separator/>
      </w:r>
    </w:p>
  </w:footnote>
  <w:footnote w:type="continuationSeparator" w:id="0">
    <w:p w14:paraId="6230BFAA" w14:textId="77777777" w:rsidR="005C529A" w:rsidRDefault="005C529A">
      <w:r>
        <w:continuationSeparator/>
      </w:r>
    </w:p>
  </w:footnote>
  <w:footnote w:type="continuationNotice" w:id="1">
    <w:p w14:paraId="3E7FBF32" w14:textId="77777777" w:rsidR="005C529A" w:rsidRDefault="005C529A">
      <w:pPr>
        <w:spacing w:after="0" w:line="240" w:lineRule="auto"/>
      </w:pPr>
    </w:p>
  </w:footnote>
  <w:footnote w:id="2">
    <w:p w14:paraId="69FE0AA9" w14:textId="77777777" w:rsidR="005C529A" w:rsidRPr="00301715" w:rsidRDefault="005C529A" w:rsidP="004205BC">
      <w:pPr>
        <w:pStyle w:val="FootnoteText"/>
        <w:spacing w:after="0" w:line="240" w:lineRule="auto"/>
        <w:rPr>
          <w:rFonts w:cs="Arial"/>
          <w:color w:val="4D4D4F"/>
        </w:rPr>
      </w:pPr>
      <w:r w:rsidRPr="00301715">
        <w:rPr>
          <w:rStyle w:val="FootnoteReference"/>
          <w:rFonts w:cs="Arial"/>
          <w:color w:val="4D4D4F"/>
        </w:rPr>
        <w:footnoteRef/>
      </w:r>
      <w:r w:rsidRPr="00301715">
        <w:rPr>
          <w:rFonts w:cs="Arial"/>
          <w:color w:val="4D4D4F"/>
        </w:rPr>
        <w:t xml:space="preserve"> </w:t>
      </w:r>
      <w:r w:rsidRPr="00301715">
        <w:rPr>
          <w:rFonts w:cs="Arial"/>
        </w:rPr>
        <w:t xml:space="preserve">Refer to </w:t>
      </w:r>
      <w:hyperlink r:id="rId1" w:history="1">
        <w:r w:rsidRPr="00301715">
          <w:rPr>
            <w:rStyle w:val="Hyperlink"/>
            <w:rFonts w:cs="Arial"/>
            <w:lang w:val="en"/>
          </w:rPr>
          <w:t>Acceptance of international standards and risk assessments for product approvals</w:t>
        </w:r>
      </w:hyperlink>
      <w:r w:rsidRPr="00301715">
        <w:rPr>
          <w:rFonts w:cs="Arial"/>
          <w:lang w:val="en"/>
        </w:rPr>
        <w:t xml:space="preserve"> on the Department of Prime Minister and Cabinet website, with additional information on the government’s cutting red tape website</w:t>
      </w:r>
      <w:r w:rsidRPr="00301715">
        <w:rPr>
          <w:rFonts w:cs="Arial"/>
          <w:color w:val="4D4D4F"/>
          <w:lang w:val="en"/>
        </w:rPr>
        <w:t>.</w:t>
      </w:r>
    </w:p>
  </w:footnote>
  <w:footnote w:id="3">
    <w:p w14:paraId="6535DFA5" w14:textId="77777777" w:rsidR="005C529A" w:rsidRDefault="005C529A" w:rsidP="008C7EE4">
      <w:pPr>
        <w:pStyle w:val="FootnoteText"/>
        <w:spacing w:after="0"/>
      </w:pPr>
      <w:r w:rsidRPr="00301715">
        <w:rPr>
          <w:rStyle w:val="FootnoteReference"/>
        </w:rPr>
        <w:footnoteRef/>
      </w:r>
      <w:r w:rsidRPr="00301715">
        <w:t xml:space="preserve"> </w:t>
      </w:r>
      <w:r>
        <w:t xml:space="preserve">ITU Radio Regulation No. </w:t>
      </w:r>
      <w:r w:rsidRPr="008C7EE4">
        <w:rPr>
          <w:bCs/>
        </w:rPr>
        <w:t>4.4</w:t>
      </w:r>
      <w:r>
        <w:rPr>
          <w:bCs/>
        </w:rPr>
        <w:t xml:space="preserve"> states:</w:t>
      </w:r>
      <w:r>
        <w:t xml:space="preserve"> </w:t>
      </w:r>
    </w:p>
    <w:p w14:paraId="51EBEF27" w14:textId="00020612" w:rsidR="005C529A" w:rsidRPr="00301715" w:rsidRDefault="005C529A" w:rsidP="008C7EE4">
      <w:pPr>
        <w:pStyle w:val="FootnoteText"/>
        <w:ind w:left="284"/>
      </w:pPr>
      <w:r w:rsidRPr="008C7EE4">
        <w:rPr>
          <w:i/>
        </w:rPr>
        <w:t>Administrations of the Member States shall not assign to a station any frequency in derogation of either the Table of Frequency Allocations in this Chapter or the other provisions of these Regulations, except on the express condition that such a station, when using such a frequency assignment, shall not cause harmful interference to, and shall not claim protection from harmful interference caused by, a station operating in accordance with the provisions of the Constitution, the Convention and these Regulations</w:t>
      </w:r>
      <w:r w:rsidRPr="00301715">
        <w:t>.</w:t>
      </w:r>
    </w:p>
  </w:footnote>
  <w:footnote w:id="4">
    <w:p w14:paraId="63428B60" w14:textId="77777777" w:rsidR="005C529A" w:rsidRPr="00C40ACA" w:rsidRDefault="005C529A">
      <w:pPr>
        <w:pStyle w:val="FootnoteText"/>
      </w:pPr>
      <w:r w:rsidRPr="00C40ACA">
        <w:rPr>
          <w:rStyle w:val="FootnoteReference"/>
        </w:rPr>
        <w:footnoteRef/>
      </w:r>
      <w:r w:rsidRPr="00C40ACA">
        <w:t xml:space="preserve"> </w:t>
      </w:r>
      <w:r w:rsidRPr="00C40ACA">
        <w:rPr>
          <w:rFonts w:cs="Arial"/>
          <w:iCs/>
        </w:rPr>
        <w:t xml:space="preserve">Permissible interference: </w:t>
      </w:r>
      <w:r w:rsidRPr="00C40ACA">
        <w:rPr>
          <w:rFonts w:cs="Arial"/>
        </w:rPr>
        <w:t xml:space="preserve">Observed or predicted </w:t>
      </w:r>
      <w:r w:rsidRPr="00C40ACA">
        <w:rPr>
          <w:rFonts w:cs="Arial"/>
          <w:i/>
          <w:iCs/>
        </w:rPr>
        <w:t xml:space="preserve">interference </w:t>
      </w:r>
      <w:r w:rsidRPr="00C40ACA">
        <w:rPr>
          <w:rFonts w:cs="Arial"/>
        </w:rPr>
        <w:t xml:space="preserve">which complies with quantitative </w:t>
      </w:r>
      <w:r w:rsidRPr="00C40ACA">
        <w:rPr>
          <w:rFonts w:cs="Arial"/>
          <w:i/>
          <w:iCs/>
        </w:rPr>
        <w:t xml:space="preserve">interference </w:t>
      </w:r>
      <w:r w:rsidRPr="00C40ACA">
        <w:rPr>
          <w:rFonts w:cs="Arial"/>
        </w:rPr>
        <w:t>and sharing criteria contained in these Regulations or in ITU-R Recommendations or in special agreements as provided for in these Regulations</w:t>
      </w:r>
    </w:p>
  </w:footnote>
  <w:footnote w:id="5">
    <w:p w14:paraId="0AE9C469" w14:textId="77777777" w:rsidR="005C529A" w:rsidRDefault="005C529A" w:rsidP="007775D4">
      <w:pPr>
        <w:pStyle w:val="FootnoteText"/>
        <w:spacing w:after="0"/>
      </w:pPr>
      <w:r>
        <w:rPr>
          <w:rStyle w:val="FootnoteReference"/>
        </w:rPr>
        <w:footnoteRef/>
      </w:r>
      <w:r>
        <w:t xml:space="preserve"> Copy available as a </w:t>
      </w:r>
      <w:hyperlink r:id="rId2" w:history="1">
        <w:r w:rsidRPr="00C10DED">
          <w:rPr>
            <w:rStyle w:val="Hyperlink"/>
          </w:rPr>
          <w:t>zip file</w:t>
        </w:r>
      </w:hyperlink>
      <w:r>
        <w:t xml:space="preserve"> from European Communications Office website.</w:t>
      </w:r>
    </w:p>
  </w:footnote>
  <w:footnote w:id="6">
    <w:p w14:paraId="45209E27" w14:textId="05264A81" w:rsidR="005C529A" w:rsidRDefault="005C529A">
      <w:pPr>
        <w:pStyle w:val="FootnoteText"/>
      </w:pPr>
      <w:r>
        <w:rPr>
          <w:rStyle w:val="FootnoteReference"/>
        </w:rPr>
        <w:footnoteRef/>
      </w:r>
      <w:r>
        <w:t xml:space="preserve"> Text of EH is: ‘</w:t>
      </w:r>
      <w:r w:rsidRPr="00F41BB6">
        <w:t>Transmissions must not occur in circumstances that result in harmful interference to stations outside of Australia</w:t>
      </w:r>
      <w:r>
        <w:t>,</w:t>
      </w:r>
      <w:r w:rsidRPr="00F41BB6">
        <w:t xml:space="preserve"> where these stations are operating in accordance with the Radio Regulations of the ITU</w:t>
      </w:r>
      <w:r>
        <w:t>,</w:t>
      </w:r>
      <w:r w:rsidRPr="00F41BB6">
        <w:t xml:space="preserve"> except where the transmissions are in accordance with any agreements reached as a result of an ITU international frequency coordination process</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D19CC2" w14:textId="77777777" w:rsidR="003A2BEE" w:rsidRDefault="003A2BE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B06A14" w14:textId="77777777" w:rsidR="005C529A" w:rsidRPr="00A5474E" w:rsidRDefault="005C529A" w:rsidP="00A5474E">
    <w:pPr>
      <w:pStyle w:val="Header"/>
    </w:pPr>
    <w:r>
      <w:rPr>
        <w:noProof/>
      </w:rPr>
      <w:drawing>
        <wp:inline distT="0" distB="0" distL="0" distR="0" wp14:anchorId="3DC62A8D" wp14:editId="765B4826">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AC9630" w14:textId="77777777" w:rsidR="005C529A" w:rsidRPr="00A5474E" w:rsidRDefault="005C529A"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5B44CF" w14:textId="77777777" w:rsidR="005C529A" w:rsidRDefault="005C529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4D51C5" w14:textId="77777777" w:rsidR="005C529A" w:rsidRDefault="005C529A">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5C529A" w14:paraId="4EAC7DAB" w14:textId="77777777" w:rsidTr="001E6BF9">
      <w:trPr>
        <w:trHeight w:hRule="exact" w:val="988"/>
      </w:trPr>
      <w:tc>
        <w:tcPr>
          <w:tcW w:w="7678" w:type="dxa"/>
          <w:shd w:val="clear" w:color="auto" w:fill="auto"/>
        </w:tcPr>
        <w:p w14:paraId="6BA90833" w14:textId="77777777" w:rsidR="005C529A" w:rsidRDefault="005C529A" w:rsidP="00971914">
          <w:pPr>
            <w:pStyle w:val="Header"/>
          </w:pPr>
        </w:p>
      </w:tc>
    </w:tr>
    <w:tr w:rsidR="005C529A" w14:paraId="1076B66B" w14:textId="77777777" w:rsidTr="001E6BF9">
      <w:tc>
        <w:tcPr>
          <w:tcW w:w="7678" w:type="dxa"/>
          <w:shd w:val="clear" w:color="auto" w:fill="auto"/>
        </w:tcPr>
        <w:p w14:paraId="4A5DEDC0" w14:textId="77777777" w:rsidR="005C529A" w:rsidRDefault="005C529A" w:rsidP="00971914">
          <w:pPr>
            <w:pStyle w:val="GridTable31"/>
          </w:pPr>
          <w:r>
            <w:t xml:space="preserve">Contents </w:t>
          </w:r>
          <w:r w:rsidRPr="00915B1C">
            <w:rPr>
              <w:b w:val="0"/>
              <w:spacing w:val="0"/>
              <w:sz w:val="28"/>
              <w:szCs w:val="28"/>
            </w:rPr>
            <w:t>(Continued)</w:t>
          </w:r>
        </w:p>
      </w:tc>
    </w:tr>
    <w:tr w:rsidR="005C529A" w14:paraId="1701F79B" w14:textId="77777777" w:rsidTr="001E6BF9">
      <w:trPr>
        <w:trHeight w:val="1220"/>
      </w:trPr>
      <w:tc>
        <w:tcPr>
          <w:tcW w:w="7678" w:type="dxa"/>
          <w:shd w:val="clear" w:color="auto" w:fill="auto"/>
        </w:tcPr>
        <w:p w14:paraId="3540EE47" w14:textId="77777777" w:rsidR="005C529A" w:rsidRDefault="005C529A" w:rsidP="00971914"/>
      </w:tc>
    </w:tr>
  </w:tbl>
  <w:p w14:paraId="4184B8AB" w14:textId="77777777" w:rsidR="005C529A" w:rsidRDefault="005C529A" w:rsidP="0097191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5C529A" w14:paraId="067EFA84" w14:textId="77777777" w:rsidTr="001E6BF9">
      <w:trPr>
        <w:trHeight w:hRule="exact" w:val="988"/>
      </w:trPr>
      <w:tc>
        <w:tcPr>
          <w:tcW w:w="7678" w:type="dxa"/>
          <w:shd w:val="clear" w:color="auto" w:fill="auto"/>
        </w:tcPr>
        <w:p w14:paraId="64E02882" w14:textId="77777777" w:rsidR="005C529A" w:rsidRDefault="005C529A" w:rsidP="00971914">
          <w:pPr>
            <w:pStyle w:val="Header"/>
          </w:pPr>
        </w:p>
      </w:tc>
    </w:tr>
    <w:tr w:rsidR="005C529A" w14:paraId="276D3B41" w14:textId="77777777" w:rsidTr="001E6BF9">
      <w:tc>
        <w:tcPr>
          <w:tcW w:w="7678" w:type="dxa"/>
          <w:shd w:val="clear" w:color="auto" w:fill="auto"/>
        </w:tcPr>
        <w:p w14:paraId="505D5406" w14:textId="77777777" w:rsidR="005C529A" w:rsidRDefault="005C529A" w:rsidP="00971914">
          <w:pPr>
            <w:pStyle w:val="GridTable31"/>
          </w:pPr>
          <w:r>
            <w:t xml:space="preserve">Contents </w:t>
          </w:r>
          <w:r w:rsidRPr="00915B1C">
            <w:rPr>
              <w:b w:val="0"/>
              <w:spacing w:val="0"/>
              <w:sz w:val="28"/>
              <w:szCs w:val="28"/>
            </w:rPr>
            <w:t>(Continued)</w:t>
          </w:r>
        </w:p>
      </w:tc>
    </w:tr>
    <w:tr w:rsidR="005C529A" w14:paraId="68634097" w14:textId="77777777" w:rsidTr="001E6BF9">
      <w:trPr>
        <w:trHeight w:val="1220"/>
      </w:trPr>
      <w:tc>
        <w:tcPr>
          <w:tcW w:w="7678" w:type="dxa"/>
          <w:shd w:val="clear" w:color="auto" w:fill="auto"/>
        </w:tcPr>
        <w:p w14:paraId="2486F49F" w14:textId="77777777" w:rsidR="005C529A" w:rsidRDefault="005C529A" w:rsidP="00971914"/>
      </w:tc>
    </w:tr>
  </w:tbl>
  <w:p w14:paraId="42B1CFF9" w14:textId="77777777" w:rsidR="005C529A" w:rsidRPr="00A5474E" w:rsidRDefault="005C529A"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EC1B2E" w14:textId="77777777" w:rsidR="005C529A" w:rsidRDefault="005C529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6D1C5B" w14:textId="77777777" w:rsidR="005C529A" w:rsidRDefault="005C529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AF6AF2BE"/>
    <w:lvl w:ilvl="0">
      <w:start w:val="1"/>
      <w:numFmt w:val="decimal"/>
      <w:lvlText w:val="%1."/>
      <w:lvlJc w:val="left"/>
      <w:pPr>
        <w:tabs>
          <w:tab w:val="num" w:pos="1492"/>
        </w:tabs>
        <w:ind w:left="1492" w:hanging="360"/>
      </w:pPr>
    </w:lvl>
  </w:abstractNum>
  <w:abstractNum w:abstractNumId="2">
    <w:nsid w:val="FFFFFF7D"/>
    <w:multiLevelType w:val="singleLevel"/>
    <w:tmpl w:val="914A43AE"/>
    <w:lvl w:ilvl="0">
      <w:start w:val="1"/>
      <w:numFmt w:val="decimal"/>
      <w:lvlText w:val="%1."/>
      <w:lvlJc w:val="left"/>
      <w:pPr>
        <w:tabs>
          <w:tab w:val="num" w:pos="1209"/>
        </w:tabs>
        <w:ind w:left="1209" w:hanging="360"/>
      </w:pPr>
    </w:lvl>
  </w:abstractNum>
  <w:abstractNum w:abstractNumId="3">
    <w:nsid w:val="FFFFFF7E"/>
    <w:multiLevelType w:val="singleLevel"/>
    <w:tmpl w:val="E8129480"/>
    <w:lvl w:ilvl="0">
      <w:start w:val="1"/>
      <w:numFmt w:val="decimal"/>
      <w:lvlText w:val="%1."/>
      <w:lvlJc w:val="left"/>
      <w:pPr>
        <w:tabs>
          <w:tab w:val="num" w:pos="926"/>
        </w:tabs>
        <w:ind w:left="926" w:hanging="360"/>
      </w:pPr>
    </w:lvl>
  </w:abstractNum>
  <w:abstractNum w:abstractNumId="4">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nsid w:val="FFFFFF89"/>
    <w:multiLevelType w:val="singleLevel"/>
    <w:tmpl w:val="43A0ADF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nsid w:val="261B02A0"/>
    <w:multiLevelType w:val="hybridMultilevel"/>
    <w:tmpl w:val="CAB87DF8"/>
    <w:lvl w:ilvl="0" w:tplc="D1C86270">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2E301DD4"/>
    <w:multiLevelType w:val="multilevel"/>
    <w:tmpl w:val="C276BFC6"/>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nsid w:val="2F8E14EB"/>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2">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4">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nsid w:val="77FD7F37"/>
    <w:multiLevelType w:val="hybridMultilevel"/>
    <w:tmpl w:val="560686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1"/>
  </w:num>
  <w:num w:numId="12">
    <w:abstractNumId w:val="23"/>
  </w:num>
  <w:num w:numId="13">
    <w:abstractNumId w:val="30"/>
  </w:num>
  <w:num w:numId="14">
    <w:abstractNumId w:val="19"/>
  </w:num>
  <w:num w:numId="15">
    <w:abstractNumId w:val="21"/>
  </w:num>
  <w:num w:numId="16">
    <w:abstractNumId w:val="48"/>
  </w:num>
  <w:num w:numId="17">
    <w:abstractNumId w:val="43"/>
  </w:num>
  <w:num w:numId="18">
    <w:abstractNumId w:val="33"/>
  </w:num>
  <w:num w:numId="19">
    <w:abstractNumId w:val="13"/>
  </w:num>
  <w:num w:numId="20">
    <w:abstractNumId w:val="0"/>
  </w:num>
  <w:num w:numId="21">
    <w:abstractNumId w:val="15"/>
  </w:num>
  <w:num w:numId="22">
    <w:abstractNumId w:val="26"/>
  </w:num>
  <w:num w:numId="23">
    <w:abstractNumId w:val="22"/>
  </w:num>
  <w:num w:numId="24">
    <w:abstractNumId w:val="37"/>
  </w:num>
  <w:num w:numId="25">
    <w:abstractNumId w:val="46"/>
  </w:num>
  <w:num w:numId="26">
    <w:abstractNumId w:val="32"/>
  </w:num>
  <w:num w:numId="27">
    <w:abstractNumId w:val="34"/>
  </w:num>
  <w:num w:numId="28">
    <w:abstractNumId w:val="31"/>
  </w:num>
  <w:num w:numId="29">
    <w:abstractNumId w:val="20"/>
  </w:num>
  <w:num w:numId="30">
    <w:abstractNumId w:val="25"/>
  </w:num>
  <w:num w:numId="31">
    <w:abstractNumId w:val="35"/>
  </w:num>
  <w:num w:numId="32">
    <w:abstractNumId w:val="47"/>
  </w:num>
  <w:num w:numId="33">
    <w:abstractNumId w:val="28"/>
  </w:num>
  <w:num w:numId="34">
    <w:abstractNumId w:val="39"/>
  </w:num>
  <w:num w:numId="35">
    <w:abstractNumId w:val="18"/>
  </w:num>
  <w:num w:numId="36">
    <w:abstractNumId w:val="14"/>
  </w:num>
  <w:num w:numId="37">
    <w:abstractNumId w:val="16"/>
  </w:num>
  <w:num w:numId="38">
    <w:abstractNumId w:val="40"/>
  </w:num>
  <w:num w:numId="39">
    <w:abstractNumId w:val="29"/>
  </w:num>
  <w:num w:numId="40">
    <w:abstractNumId w:val="36"/>
  </w:num>
  <w:num w:numId="41">
    <w:abstractNumId w:val="42"/>
  </w:num>
  <w:num w:numId="42">
    <w:abstractNumId w:val="44"/>
  </w:num>
  <w:num w:numId="43">
    <w:abstractNumId w:val="38"/>
  </w:num>
  <w:num w:numId="44">
    <w:abstractNumId w:val="17"/>
  </w:num>
  <w:num w:numId="45">
    <w:abstractNumId w:val="12"/>
  </w:num>
  <w:num w:numId="46">
    <w:abstractNumId w:val="11"/>
  </w:num>
  <w:num w:numId="47">
    <w:abstractNumId w:val="10"/>
  </w:num>
  <w:num w:numId="48">
    <w:abstractNumId w:val="24"/>
  </w:num>
  <w:num w:numId="49">
    <w:abstractNumId w:val="45"/>
  </w:num>
  <w:num w:numId="5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isplayBackgroundShape/>
  <w:hideSpellingErrors/>
  <w:hideGrammaticalErrors/>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DA6"/>
    <w:rsid w:val="0000557E"/>
    <w:rsid w:val="00010667"/>
    <w:rsid w:val="000129D5"/>
    <w:rsid w:val="00015AE7"/>
    <w:rsid w:val="00016E21"/>
    <w:rsid w:val="0001719C"/>
    <w:rsid w:val="0002224E"/>
    <w:rsid w:val="00026F91"/>
    <w:rsid w:val="000318B3"/>
    <w:rsid w:val="00042152"/>
    <w:rsid w:val="00046CB7"/>
    <w:rsid w:val="0004764C"/>
    <w:rsid w:val="0005011A"/>
    <w:rsid w:val="0005045A"/>
    <w:rsid w:val="00051C1E"/>
    <w:rsid w:val="000539F9"/>
    <w:rsid w:val="00054C27"/>
    <w:rsid w:val="00055EC3"/>
    <w:rsid w:val="000563CE"/>
    <w:rsid w:val="00057195"/>
    <w:rsid w:val="000659B6"/>
    <w:rsid w:val="0006686F"/>
    <w:rsid w:val="0006722A"/>
    <w:rsid w:val="000724B9"/>
    <w:rsid w:val="000732CF"/>
    <w:rsid w:val="0007359D"/>
    <w:rsid w:val="00073614"/>
    <w:rsid w:val="00075B96"/>
    <w:rsid w:val="0008196A"/>
    <w:rsid w:val="00081DAA"/>
    <w:rsid w:val="0008230E"/>
    <w:rsid w:val="000915ED"/>
    <w:rsid w:val="0009209D"/>
    <w:rsid w:val="000966A9"/>
    <w:rsid w:val="000969BD"/>
    <w:rsid w:val="000969BF"/>
    <w:rsid w:val="000A0C22"/>
    <w:rsid w:val="000A1400"/>
    <w:rsid w:val="000A3C43"/>
    <w:rsid w:val="000A4A51"/>
    <w:rsid w:val="000A5D2B"/>
    <w:rsid w:val="000B1A56"/>
    <w:rsid w:val="000B2F8C"/>
    <w:rsid w:val="000B5DE3"/>
    <w:rsid w:val="000C0A57"/>
    <w:rsid w:val="000C230C"/>
    <w:rsid w:val="000C6AB4"/>
    <w:rsid w:val="000D12B5"/>
    <w:rsid w:val="000D59BA"/>
    <w:rsid w:val="000D71D9"/>
    <w:rsid w:val="000D76E0"/>
    <w:rsid w:val="000D7E8B"/>
    <w:rsid w:val="000E4449"/>
    <w:rsid w:val="000E6097"/>
    <w:rsid w:val="000F1D34"/>
    <w:rsid w:val="000F62F0"/>
    <w:rsid w:val="00103829"/>
    <w:rsid w:val="001070F9"/>
    <w:rsid w:val="00111FCE"/>
    <w:rsid w:val="00112285"/>
    <w:rsid w:val="001229A5"/>
    <w:rsid w:val="0012489B"/>
    <w:rsid w:val="00125C1E"/>
    <w:rsid w:val="00130017"/>
    <w:rsid w:val="00130F91"/>
    <w:rsid w:val="001349ED"/>
    <w:rsid w:val="00137424"/>
    <w:rsid w:val="00140318"/>
    <w:rsid w:val="00141AD9"/>
    <w:rsid w:val="00146CE6"/>
    <w:rsid w:val="00152903"/>
    <w:rsid w:val="00153FD5"/>
    <w:rsid w:val="00154512"/>
    <w:rsid w:val="0015614F"/>
    <w:rsid w:val="001577C2"/>
    <w:rsid w:val="001633C4"/>
    <w:rsid w:val="00166A3B"/>
    <w:rsid w:val="00171591"/>
    <w:rsid w:val="00173981"/>
    <w:rsid w:val="0017511B"/>
    <w:rsid w:val="0017719D"/>
    <w:rsid w:val="00183FD7"/>
    <w:rsid w:val="00185CAB"/>
    <w:rsid w:val="00185FB5"/>
    <w:rsid w:val="001875B7"/>
    <w:rsid w:val="00187CB3"/>
    <w:rsid w:val="0019050A"/>
    <w:rsid w:val="001910D4"/>
    <w:rsid w:val="0019209B"/>
    <w:rsid w:val="001971D7"/>
    <w:rsid w:val="001976E3"/>
    <w:rsid w:val="001A44EC"/>
    <w:rsid w:val="001A75AE"/>
    <w:rsid w:val="001B2EAC"/>
    <w:rsid w:val="001B58AA"/>
    <w:rsid w:val="001B7E48"/>
    <w:rsid w:val="001C17CE"/>
    <w:rsid w:val="001C36CA"/>
    <w:rsid w:val="001C44D1"/>
    <w:rsid w:val="001C6AEE"/>
    <w:rsid w:val="001C7630"/>
    <w:rsid w:val="001D526D"/>
    <w:rsid w:val="001D6D15"/>
    <w:rsid w:val="001D7AC2"/>
    <w:rsid w:val="001E3A26"/>
    <w:rsid w:val="001E6BF9"/>
    <w:rsid w:val="001E6DA6"/>
    <w:rsid w:val="001F7558"/>
    <w:rsid w:val="00205B57"/>
    <w:rsid w:val="002157E0"/>
    <w:rsid w:val="00216A57"/>
    <w:rsid w:val="0022334F"/>
    <w:rsid w:val="00226819"/>
    <w:rsid w:val="00232611"/>
    <w:rsid w:val="00233101"/>
    <w:rsid w:val="00233817"/>
    <w:rsid w:val="002367FF"/>
    <w:rsid w:val="00240CE9"/>
    <w:rsid w:val="002425A4"/>
    <w:rsid w:val="002434BA"/>
    <w:rsid w:val="00246089"/>
    <w:rsid w:val="00246093"/>
    <w:rsid w:val="00246702"/>
    <w:rsid w:val="00247C59"/>
    <w:rsid w:val="00247F2E"/>
    <w:rsid w:val="00250ADC"/>
    <w:rsid w:val="00250B07"/>
    <w:rsid w:val="00253997"/>
    <w:rsid w:val="00257553"/>
    <w:rsid w:val="00260086"/>
    <w:rsid w:val="00260FB2"/>
    <w:rsid w:val="00262128"/>
    <w:rsid w:val="0027165D"/>
    <w:rsid w:val="00273CEB"/>
    <w:rsid w:val="00275F6A"/>
    <w:rsid w:val="002802BA"/>
    <w:rsid w:val="00281C89"/>
    <w:rsid w:val="0028282F"/>
    <w:rsid w:val="002829C8"/>
    <w:rsid w:val="0028638E"/>
    <w:rsid w:val="0029593B"/>
    <w:rsid w:val="00297FC5"/>
    <w:rsid w:val="002A0417"/>
    <w:rsid w:val="002A16D8"/>
    <w:rsid w:val="002A1BC8"/>
    <w:rsid w:val="002A2F4E"/>
    <w:rsid w:val="002A3EF2"/>
    <w:rsid w:val="002B0DED"/>
    <w:rsid w:val="002B19A2"/>
    <w:rsid w:val="002B381A"/>
    <w:rsid w:val="002B4FCC"/>
    <w:rsid w:val="002B7408"/>
    <w:rsid w:val="002B7CFD"/>
    <w:rsid w:val="002C210F"/>
    <w:rsid w:val="002C52DB"/>
    <w:rsid w:val="002D3600"/>
    <w:rsid w:val="002E4DDC"/>
    <w:rsid w:val="00301715"/>
    <w:rsid w:val="00302480"/>
    <w:rsid w:val="003165E6"/>
    <w:rsid w:val="003215B5"/>
    <w:rsid w:val="003221CF"/>
    <w:rsid w:val="003233ED"/>
    <w:rsid w:val="00324061"/>
    <w:rsid w:val="00324D9F"/>
    <w:rsid w:val="00327948"/>
    <w:rsid w:val="0033000F"/>
    <w:rsid w:val="00332011"/>
    <w:rsid w:val="00332518"/>
    <w:rsid w:val="00332925"/>
    <w:rsid w:val="003332ED"/>
    <w:rsid w:val="0033542F"/>
    <w:rsid w:val="003368DC"/>
    <w:rsid w:val="00345927"/>
    <w:rsid w:val="003465D4"/>
    <w:rsid w:val="0034695C"/>
    <w:rsid w:val="00350584"/>
    <w:rsid w:val="00350F63"/>
    <w:rsid w:val="00351857"/>
    <w:rsid w:val="003545E8"/>
    <w:rsid w:val="003579AD"/>
    <w:rsid w:val="003610E1"/>
    <w:rsid w:val="003671BE"/>
    <w:rsid w:val="003709B7"/>
    <w:rsid w:val="00372485"/>
    <w:rsid w:val="00373200"/>
    <w:rsid w:val="00375EF5"/>
    <w:rsid w:val="003767A5"/>
    <w:rsid w:val="003801AA"/>
    <w:rsid w:val="00381D15"/>
    <w:rsid w:val="00384A02"/>
    <w:rsid w:val="00385254"/>
    <w:rsid w:val="003A04DB"/>
    <w:rsid w:val="003A2BEE"/>
    <w:rsid w:val="003A332B"/>
    <w:rsid w:val="003A5F5B"/>
    <w:rsid w:val="003A789A"/>
    <w:rsid w:val="003B0FF3"/>
    <w:rsid w:val="003B12EC"/>
    <w:rsid w:val="003C0BC3"/>
    <w:rsid w:val="003C1E2B"/>
    <w:rsid w:val="003C77E0"/>
    <w:rsid w:val="003D17D7"/>
    <w:rsid w:val="003D2678"/>
    <w:rsid w:val="003D3E8B"/>
    <w:rsid w:val="003D51E1"/>
    <w:rsid w:val="003D71A3"/>
    <w:rsid w:val="003E2B8A"/>
    <w:rsid w:val="003F10EE"/>
    <w:rsid w:val="003F16F6"/>
    <w:rsid w:val="003F4DC7"/>
    <w:rsid w:val="003F5235"/>
    <w:rsid w:val="004027E4"/>
    <w:rsid w:val="00406211"/>
    <w:rsid w:val="0041071D"/>
    <w:rsid w:val="00414AFC"/>
    <w:rsid w:val="004151A7"/>
    <w:rsid w:val="00415310"/>
    <w:rsid w:val="004160B9"/>
    <w:rsid w:val="004205BC"/>
    <w:rsid w:val="00421709"/>
    <w:rsid w:val="004231F5"/>
    <w:rsid w:val="00423763"/>
    <w:rsid w:val="0042762F"/>
    <w:rsid w:val="00427DC7"/>
    <w:rsid w:val="00431613"/>
    <w:rsid w:val="00431792"/>
    <w:rsid w:val="0043297A"/>
    <w:rsid w:val="00432EB2"/>
    <w:rsid w:val="0043714F"/>
    <w:rsid w:val="00441FB6"/>
    <w:rsid w:val="004433D0"/>
    <w:rsid w:val="004438B5"/>
    <w:rsid w:val="00447037"/>
    <w:rsid w:val="0045124D"/>
    <w:rsid w:val="00454596"/>
    <w:rsid w:val="0045605D"/>
    <w:rsid w:val="0046135B"/>
    <w:rsid w:val="00461D47"/>
    <w:rsid w:val="004718CC"/>
    <w:rsid w:val="0047316C"/>
    <w:rsid w:val="0047674C"/>
    <w:rsid w:val="00481695"/>
    <w:rsid w:val="00491D8D"/>
    <w:rsid w:val="00495A96"/>
    <w:rsid w:val="00495BB3"/>
    <w:rsid w:val="00497F55"/>
    <w:rsid w:val="004A56BB"/>
    <w:rsid w:val="004A6E52"/>
    <w:rsid w:val="004B1751"/>
    <w:rsid w:val="004B2794"/>
    <w:rsid w:val="004B6360"/>
    <w:rsid w:val="004B7528"/>
    <w:rsid w:val="004C0253"/>
    <w:rsid w:val="004C334E"/>
    <w:rsid w:val="004D56FF"/>
    <w:rsid w:val="004E2AC4"/>
    <w:rsid w:val="004E39D3"/>
    <w:rsid w:val="004E5022"/>
    <w:rsid w:val="004E508A"/>
    <w:rsid w:val="004E616D"/>
    <w:rsid w:val="004F1BDE"/>
    <w:rsid w:val="004F2CEE"/>
    <w:rsid w:val="004F556E"/>
    <w:rsid w:val="004F591C"/>
    <w:rsid w:val="004F7F44"/>
    <w:rsid w:val="005037B4"/>
    <w:rsid w:val="00505084"/>
    <w:rsid w:val="005079BF"/>
    <w:rsid w:val="0051269A"/>
    <w:rsid w:val="005218D5"/>
    <w:rsid w:val="005219E7"/>
    <w:rsid w:val="00531B9A"/>
    <w:rsid w:val="00531D15"/>
    <w:rsid w:val="00537604"/>
    <w:rsid w:val="00540B76"/>
    <w:rsid w:val="00542377"/>
    <w:rsid w:val="005476EB"/>
    <w:rsid w:val="00551782"/>
    <w:rsid w:val="00554883"/>
    <w:rsid w:val="00563EF1"/>
    <w:rsid w:val="00566AB4"/>
    <w:rsid w:val="00575AC5"/>
    <w:rsid w:val="0057605D"/>
    <w:rsid w:val="00581347"/>
    <w:rsid w:val="005819FD"/>
    <w:rsid w:val="00581AC9"/>
    <w:rsid w:val="0058414E"/>
    <w:rsid w:val="005849F8"/>
    <w:rsid w:val="00590498"/>
    <w:rsid w:val="0059218C"/>
    <w:rsid w:val="005938DF"/>
    <w:rsid w:val="00594E9C"/>
    <w:rsid w:val="005A099B"/>
    <w:rsid w:val="005A2D9C"/>
    <w:rsid w:val="005A55FE"/>
    <w:rsid w:val="005A6A11"/>
    <w:rsid w:val="005C3B05"/>
    <w:rsid w:val="005C529A"/>
    <w:rsid w:val="005D2502"/>
    <w:rsid w:val="005D40BB"/>
    <w:rsid w:val="005D47F3"/>
    <w:rsid w:val="005D49BF"/>
    <w:rsid w:val="005D4AA5"/>
    <w:rsid w:val="005D6CDE"/>
    <w:rsid w:val="005D6F4E"/>
    <w:rsid w:val="005D7C73"/>
    <w:rsid w:val="005E3ACD"/>
    <w:rsid w:val="005E7226"/>
    <w:rsid w:val="005E7543"/>
    <w:rsid w:val="005E7A57"/>
    <w:rsid w:val="005F24B0"/>
    <w:rsid w:val="005F3A85"/>
    <w:rsid w:val="00604315"/>
    <w:rsid w:val="00604E26"/>
    <w:rsid w:val="006052CF"/>
    <w:rsid w:val="00607B8D"/>
    <w:rsid w:val="00607DFE"/>
    <w:rsid w:val="00611F5C"/>
    <w:rsid w:val="00615AB4"/>
    <w:rsid w:val="00616E09"/>
    <w:rsid w:val="00622A3B"/>
    <w:rsid w:val="00622EEA"/>
    <w:rsid w:val="00623682"/>
    <w:rsid w:val="0062396C"/>
    <w:rsid w:val="00623FF9"/>
    <w:rsid w:val="00627B11"/>
    <w:rsid w:val="00627D4E"/>
    <w:rsid w:val="00632B89"/>
    <w:rsid w:val="00634478"/>
    <w:rsid w:val="00644373"/>
    <w:rsid w:val="00645915"/>
    <w:rsid w:val="006519C3"/>
    <w:rsid w:val="00652B30"/>
    <w:rsid w:val="00653F21"/>
    <w:rsid w:val="00656345"/>
    <w:rsid w:val="00656DC6"/>
    <w:rsid w:val="00660EC6"/>
    <w:rsid w:val="006638DF"/>
    <w:rsid w:val="00664110"/>
    <w:rsid w:val="00664D17"/>
    <w:rsid w:val="00666520"/>
    <w:rsid w:val="00667C5B"/>
    <w:rsid w:val="00691EB8"/>
    <w:rsid w:val="00692750"/>
    <w:rsid w:val="00692CDE"/>
    <w:rsid w:val="00693073"/>
    <w:rsid w:val="00697472"/>
    <w:rsid w:val="006977FF"/>
    <w:rsid w:val="006A01FA"/>
    <w:rsid w:val="006A0E9E"/>
    <w:rsid w:val="006A25C7"/>
    <w:rsid w:val="006A4AAD"/>
    <w:rsid w:val="006A6DA2"/>
    <w:rsid w:val="006A7AB2"/>
    <w:rsid w:val="006B2E5C"/>
    <w:rsid w:val="006B5717"/>
    <w:rsid w:val="006B582F"/>
    <w:rsid w:val="006C0CEB"/>
    <w:rsid w:val="006C3B1E"/>
    <w:rsid w:val="006C47FD"/>
    <w:rsid w:val="006C5C19"/>
    <w:rsid w:val="006C6A8E"/>
    <w:rsid w:val="006C70A0"/>
    <w:rsid w:val="006D27CB"/>
    <w:rsid w:val="006D2936"/>
    <w:rsid w:val="006D2F08"/>
    <w:rsid w:val="006D576C"/>
    <w:rsid w:val="006D5865"/>
    <w:rsid w:val="006D5895"/>
    <w:rsid w:val="006D6B0B"/>
    <w:rsid w:val="006E3A25"/>
    <w:rsid w:val="006E4B1B"/>
    <w:rsid w:val="006E5445"/>
    <w:rsid w:val="006E7D93"/>
    <w:rsid w:val="007029A3"/>
    <w:rsid w:val="00706E4E"/>
    <w:rsid w:val="0070791C"/>
    <w:rsid w:val="0071383C"/>
    <w:rsid w:val="007141A7"/>
    <w:rsid w:val="00715722"/>
    <w:rsid w:val="00721032"/>
    <w:rsid w:val="00721B55"/>
    <w:rsid w:val="00726CC4"/>
    <w:rsid w:val="00726CE4"/>
    <w:rsid w:val="00734143"/>
    <w:rsid w:val="00737E47"/>
    <w:rsid w:val="00740EAC"/>
    <w:rsid w:val="00744956"/>
    <w:rsid w:val="00745A5C"/>
    <w:rsid w:val="0074605F"/>
    <w:rsid w:val="00747E94"/>
    <w:rsid w:val="00754C83"/>
    <w:rsid w:val="00755DAC"/>
    <w:rsid w:val="00765DF8"/>
    <w:rsid w:val="00766749"/>
    <w:rsid w:val="00767C1B"/>
    <w:rsid w:val="007714A9"/>
    <w:rsid w:val="00774F88"/>
    <w:rsid w:val="00774FDB"/>
    <w:rsid w:val="007775D4"/>
    <w:rsid w:val="00777BA2"/>
    <w:rsid w:val="0078039E"/>
    <w:rsid w:val="00781408"/>
    <w:rsid w:val="00781516"/>
    <w:rsid w:val="00784F7F"/>
    <w:rsid w:val="007878BD"/>
    <w:rsid w:val="0079100D"/>
    <w:rsid w:val="007935FC"/>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01B7"/>
    <w:rsid w:val="007D1A97"/>
    <w:rsid w:val="007D1B5C"/>
    <w:rsid w:val="007D2CD6"/>
    <w:rsid w:val="007D3063"/>
    <w:rsid w:val="007D3CEB"/>
    <w:rsid w:val="007D55FD"/>
    <w:rsid w:val="007E5903"/>
    <w:rsid w:val="007E7683"/>
    <w:rsid w:val="007F49FA"/>
    <w:rsid w:val="007F54C4"/>
    <w:rsid w:val="007F6E9A"/>
    <w:rsid w:val="008044D4"/>
    <w:rsid w:val="0080526A"/>
    <w:rsid w:val="008102C2"/>
    <w:rsid w:val="00810AB4"/>
    <w:rsid w:val="00817B56"/>
    <w:rsid w:val="00821A88"/>
    <w:rsid w:val="0082495D"/>
    <w:rsid w:val="00831AC3"/>
    <w:rsid w:val="008408FF"/>
    <w:rsid w:val="00842C6B"/>
    <w:rsid w:val="00850D09"/>
    <w:rsid w:val="00851F3F"/>
    <w:rsid w:val="00856EDC"/>
    <w:rsid w:val="00860396"/>
    <w:rsid w:val="008623B5"/>
    <w:rsid w:val="00870ABA"/>
    <w:rsid w:val="008710E1"/>
    <w:rsid w:val="008716E5"/>
    <w:rsid w:val="00881CA9"/>
    <w:rsid w:val="00883628"/>
    <w:rsid w:val="00885544"/>
    <w:rsid w:val="0088634E"/>
    <w:rsid w:val="00893AB8"/>
    <w:rsid w:val="008A04C8"/>
    <w:rsid w:val="008A1F88"/>
    <w:rsid w:val="008A4D9D"/>
    <w:rsid w:val="008A56C3"/>
    <w:rsid w:val="008A5995"/>
    <w:rsid w:val="008A6913"/>
    <w:rsid w:val="008A7337"/>
    <w:rsid w:val="008B70F3"/>
    <w:rsid w:val="008B71C4"/>
    <w:rsid w:val="008B76DF"/>
    <w:rsid w:val="008C10F4"/>
    <w:rsid w:val="008C65F7"/>
    <w:rsid w:val="008C6761"/>
    <w:rsid w:val="008C7EE4"/>
    <w:rsid w:val="008D73C7"/>
    <w:rsid w:val="008E46E0"/>
    <w:rsid w:val="008E4767"/>
    <w:rsid w:val="008E47C3"/>
    <w:rsid w:val="008E5775"/>
    <w:rsid w:val="008E7A8C"/>
    <w:rsid w:val="008F5D7F"/>
    <w:rsid w:val="00900523"/>
    <w:rsid w:val="00903285"/>
    <w:rsid w:val="009048AE"/>
    <w:rsid w:val="00906F40"/>
    <w:rsid w:val="0090731E"/>
    <w:rsid w:val="00915B1C"/>
    <w:rsid w:val="009174F3"/>
    <w:rsid w:val="0091797D"/>
    <w:rsid w:val="00923CBA"/>
    <w:rsid w:val="00926703"/>
    <w:rsid w:val="00927691"/>
    <w:rsid w:val="00927A5F"/>
    <w:rsid w:val="00935B63"/>
    <w:rsid w:val="0093661C"/>
    <w:rsid w:val="0094078F"/>
    <w:rsid w:val="00940FA3"/>
    <w:rsid w:val="00941FB0"/>
    <w:rsid w:val="009426D4"/>
    <w:rsid w:val="00947F25"/>
    <w:rsid w:val="00950159"/>
    <w:rsid w:val="0095490B"/>
    <w:rsid w:val="00954BC5"/>
    <w:rsid w:val="00960A33"/>
    <w:rsid w:val="0096761D"/>
    <w:rsid w:val="00971914"/>
    <w:rsid w:val="009735A8"/>
    <w:rsid w:val="00974363"/>
    <w:rsid w:val="00975ABA"/>
    <w:rsid w:val="00981898"/>
    <w:rsid w:val="009836D0"/>
    <w:rsid w:val="00986BC5"/>
    <w:rsid w:val="0099355D"/>
    <w:rsid w:val="0099577C"/>
    <w:rsid w:val="009A7F11"/>
    <w:rsid w:val="009B2601"/>
    <w:rsid w:val="009B4E9E"/>
    <w:rsid w:val="009C1690"/>
    <w:rsid w:val="009C6881"/>
    <w:rsid w:val="009C7759"/>
    <w:rsid w:val="009D043D"/>
    <w:rsid w:val="009D07C8"/>
    <w:rsid w:val="009D62A0"/>
    <w:rsid w:val="009D6C71"/>
    <w:rsid w:val="009D7366"/>
    <w:rsid w:val="009E0631"/>
    <w:rsid w:val="009E16D0"/>
    <w:rsid w:val="009E38FD"/>
    <w:rsid w:val="009F13D6"/>
    <w:rsid w:val="009F4C6B"/>
    <w:rsid w:val="009F53F5"/>
    <w:rsid w:val="009F78A8"/>
    <w:rsid w:val="00A02AD6"/>
    <w:rsid w:val="00A07096"/>
    <w:rsid w:val="00A07318"/>
    <w:rsid w:val="00A11370"/>
    <w:rsid w:val="00A224CE"/>
    <w:rsid w:val="00A22522"/>
    <w:rsid w:val="00A24AFD"/>
    <w:rsid w:val="00A24F5C"/>
    <w:rsid w:val="00A25676"/>
    <w:rsid w:val="00A32F96"/>
    <w:rsid w:val="00A40871"/>
    <w:rsid w:val="00A412AB"/>
    <w:rsid w:val="00A4193E"/>
    <w:rsid w:val="00A440E0"/>
    <w:rsid w:val="00A442EF"/>
    <w:rsid w:val="00A51D1A"/>
    <w:rsid w:val="00A5418D"/>
    <w:rsid w:val="00A5474E"/>
    <w:rsid w:val="00A64234"/>
    <w:rsid w:val="00A70ADF"/>
    <w:rsid w:val="00A71466"/>
    <w:rsid w:val="00A74B5E"/>
    <w:rsid w:val="00A80BE8"/>
    <w:rsid w:val="00A81BED"/>
    <w:rsid w:val="00A81EC4"/>
    <w:rsid w:val="00A967FD"/>
    <w:rsid w:val="00AA5E5E"/>
    <w:rsid w:val="00AB156C"/>
    <w:rsid w:val="00AB6814"/>
    <w:rsid w:val="00AC04BA"/>
    <w:rsid w:val="00AC0E39"/>
    <w:rsid w:val="00AD0701"/>
    <w:rsid w:val="00AD0B14"/>
    <w:rsid w:val="00AD3082"/>
    <w:rsid w:val="00AD32B4"/>
    <w:rsid w:val="00AD4AD0"/>
    <w:rsid w:val="00AD5436"/>
    <w:rsid w:val="00AD60CD"/>
    <w:rsid w:val="00AD6C8C"/>
    <w:rsid w:val="00AE091D"/>
    <w:rsid w:val="00AE1B0D"/>
    <w:rsid w:val="00AE3B60"/>
    <w:rsid w:val="00AE53A1"/>
    <w:rsid w:val="00AE7A63"/>
    <w:rsid w:val="00AF2484"/>
    <w:rsid w:val="00AF63E7"/>
    <w:rsid w:val="00AF6E17"/>
    <w:rsid w:val="00AF734D"/>
    <w:rsid w:val="00B0165D"/>
    <w:rsid w:val="00B01B60"/>
    <w:rsid w:val="00B031F3"/>
    <w:rsid w:val="00B052A4"/>
    <w:rsid w:val="00B125DE"/>
    <w:rsid w:val="00B13FDD"/>
    <w:rsid w:val="00B15464"/>
    <w:rsid w:val="00B1651A"/>
    <w:rsid w:val="00B22EB2"/>
    <w:rsid w:val="00B27442"/>
    <w:rsid w:val="00B3096A"/>
    <w:rsid w:val="00B31167"/>
    <w:rsid w:val="00B329D8"/>
    <w:rsid w:val="00B32BB9"/>
    <w:rsid w:val="00B33063"/>
    <w:rsid w:val="00B33AE1"/>
    <w:rsid w:val="00B37C38"/>
    <w:rsid w:val="00B4288C"/>
    <w:rsid w:val="00B43262"/>
    <w:rsid w:val="00B44100"/>
    <w:rsid w:val="00B46CBA"/>
    <w:rsid w:val="00B46F94"/>
    <w:rsid w:val="00B53756"/>
    <w:rsid w:val="00B6003C"/>
    <w:rsid w:val="00B61F03"/>
    <w:rsid w:val="00B626E4"/>
    <w:rsid w:val="00B65711"/>
    <w:rsid w:val="00B72F4A"/>
    <w:rsid w:val="00B83C27"/>
    <w:rsid w:val="00B84BC3"/>
    <w:rsid w:val="00B84BDD"/>
    <w:rsid w:val="00B92812"/>
    <w:rsid w:val="00BB3C20"/>
    <w:rsid w:val="00BB45A1"/>
    <w:rsid w:val="00BB73B9"/>
    <w:rsid w:val="00BB7686"/>
    <w:rsid w:val="00BC23F9"/>
    <w:rsid w:val="00BC3421"/>
    <w:rsid w:val="00BC5B0A"/>
    <w:rsid w:val="00BC732C"/>
    <w:rsid w:val="00BE1E4C"/>
    <w:rsid w:val="00BE2580"/>
    <w:rsid w:val="00BE266D"/>
    <w:rsid w:val="00BE3938"/>
    <w:rsid w:val="00BE4C11"/>
    <w:rsid w:val="00BE71C0"/>
    <w:rsid w:val="00BE76AF"/>
    <w:rsid w:val="00BF610C"/>
    <w:rsid w:val="00C0060B"/>
    <w:rsid w:val="00C02120"/>
    <w:rsid w:val="00C0277D"/>
    <w:rsid w:val="00C053A1"/>
    <w:rsid w:val="00C10DED"/>
    <w:rsid w:val="00C16198"/>
    <w:rsid w:val="00C2083D"/>
    <w:rsid w:val="00C24A53"/>
    <w:rsid w:val="00C34A05"/>
    <w:rsid w:val="00C4032F"/>
    <w:rsid w:val="00C40ACA"/>
    <w:rsid w:val="00C44047"/>
    <w:rsid w:val="00C45155"/>
    <w:rsid w:val="00C5498F"/>
    <w:rsid w:val="00C55235"/>
    <w:rsid w:val="00C64CD0"/>
    <w:rsid w:val="00C6684F"/>
    <w:rsid w:val="00C70E70"/>
    <w:rsid w:val="00C75F8D"/>
    <w:rsid w:val="00C77380"/>
    <w:rsid w:val="00C841D0"/>
    <w:rsid w:val="00C97736"/>
    <w:rsid w:val="00CA345A"/>
    <w:rsid w:val="00CB1E82"/>
    <w:rsid w:val="00CB24FD"/>
    <w:rsid w:val="00CB3B11"/>
    <w:rsid w:val="00CB4BA8"/>
    <w:rsid w:val="00CB52D7"/>
    <w:rsid w:val="00CC09F0"/>
    <w:rsid w:val="00CC6732"/>
    <w:rsid w:val="00CD5EB3"/>
    <w:rsid w:val="00CD6544"/>
    <w:rsid w:val="00CE1964"/>
    <w:rsid w:val="00CE3C96"/>
    <w:rsid w:val="00CE51A8"/>
    <w:rsid w:val="00CF369B"/>
    <w:rsid w:val="00D00E28"/>
    <w:rsid w:val="00D0269E"/>
    <w:rsid w:val="00D05D6C"/>
    <w:rsid w:val="00D14967"/>
    <w:rsid w:val="00D15810"/>
    <w:rsid w:val="00D16D4E"/>
    <w:rsid w:val="00D16FE3"/>
    <w:rsid w:val="00D17A8C"/>
    <w:rsid w:val="00D17B1C"/>
    <w:rsid w:val="00D213B6"/>
    <w:rsid w:val="00D27F41"/>
    <w:rsid w:val="00D36441"/>
    <w:rsid w:val="00D4064E"/>
    <w:rsid w:val="00D44E9B"/>
    <w:rsid w:val="00D47AEB"/>
    <w:rsid w:val="00D50DB9"/>
    <w:rsid w:val="00D51302"/>
    <w:rsid w:val="00D52C43"/>
    <w:rsid w:val="00D6507F"/>
    <w:rsid w:val="00D658CF"/>
    <w:rsid w:val="00D730BC"/>
    <w:rsid w:val="00D73912"/>
    <w:rsid w:val="00D83C4E"/>
    <w:rsid w:val="00D85226"/>
    <w:rsid w:val="00D87B94"/>
    <w:rsid w:val="00D92D49"/>
    <w:rsid w:val="00D92EC1"/>
    <w:rsid w:val="00D96DEA"/>
    <w:rsid w:val="00DA2FBD"/>
    <w:rsid w:val="00DA4E41"/>
    <w:rsid w:val="00DB117A"/>
    <w:rsid w:val="00DB5173"/>
    <w:rsid w:val="00DB7873"/>
    <w:rsid w:val="00DC0D50"/>
    <w:rsid w:val="00DC187B"/>
    <w:rsid w:val="00DD73C2"/>
    <w:rsid w:val="00DE319B"/>
    <w:rsid w:val="00DF34FE"/>
    <w:rsid w:val="00DF56AA"/>
    <w:rsid w:val="00DF56AF"/>
    <w:rsid w:val="00DF78E7"/>
    <w:rsid w:val="00E06F9F"/>
    <w:rsid w:val="00E110E0"/>
    <w:rsid w:val="00E15371"/>
    <w:rsid w:val="00E22082"/>
    <w:rsid w:val="00E24104"/>
    <w:rsid w:val="00E24E17"/>
    <w:rsid w:val="00E302D0"/>
    <w:rsid w:val="00E331F5"/>
    <w:rsid w:val="00E3427F"/>
    <w:rsid w:val="00E35707"/>
    <w:rsid w:val="00E36AA1"/>
    <w:rsid w:val="00E37BA4"/>
    <w:rsid w:val="00E41ECB"/>
    <w:rsid w:val="00E54FDB"/>
    <w:rsid w:val="00E5617D"/>
    <w:rsid w:val="00E563D7"/>
    <w:rsid w:val="00E663F4"/>
    <w:rsid w:val="00E666F2"/>
    <w:rsid w:val="00E66DD4"/>
    <w:rsid w:val="00E748CC"/>
    <w:rsid w:val="00E75415"/>
    <w:rsid w:val="00E76260"/>
    <w:rsid w:val="00E775B1"/>
    <w:rsid w:val="00E8152A"/>
    <w:rsid w:val="00E920C0"/>
    <w:rsid w:val="00E93629"/>
    <w:rsid w:val="00E93B5C"/>
    <w:rsid w:val="00E94CEC"/>
    <w:rsid w:val="00E969A0"/>
    <w:rsid w:val="00E96BF5"/>
    <w:rsid w:val="00EA04EF"/>
    <w:rsid w:val="00EA5E63"/>
    <w:rsid w:val="00EA6F19"/>
    <w:rsid w:val="00EB7090"/>
    <w:rsid w:val="00EC1BBE"/>
    <w:rsid w:val="00EC37B7"/>
    <w:rsid w:val="00EC37CB"/>
    <w:rsid w:val="00EC5B88"/>
    <w:rsid w:val="00EC5CD7"/>
    <w:rsid w:val="00EC642F"/>
    <w:rsid w:val="00ED1702"/>
    <w:rsid w:val="00ED2363"/>
    <w:rsid w:val="00EE5FB3"/>
    <w:rsid w:val="00EE7F79"/>
    <w:rsid w:val="00EF715A"/>
    <w:rsid w:val="00F06E14"/>
    <w:rsid w:val="00F0768A"/>
    <w:rsid w:val="00F10BA3"/>
    <w:rsid w:val="00F179D4"/>
    <w:rsid w:val="00F22AAB"/>
    <w:rsid w:val="00F25BD8"/>
    <w:rsid w:val="00F33C56"/>
    <w:rsid w:val="00F347C7"/>
    <w:rsid w:val="00F34848"/>
    <w:rsid w:val="00F42D46"/>
    <w:rsid w:val="00F448F4"/>
    <w:rsid w:val="00F4496C"/>
    <w:rsid w:val="00F44F3A"/>
    <w:rsid w:val="00F4561A"/>
    <w:rsid w:val="00F51512"/>
    <w:rsid w:val="00F51F10"/>
    <w:rsid w:val="00F529A5"/>
    <w:rsid w:val="00F60110"/>
    <w:rsid w:val="00F60F00"/>
    <w:rsid w:val="00F614C0"/>
    <w:rsid w:val="00F83848"/>
    <w:rsid w:val="00F95E1A"/>
    <w:rsid w:val="00F96F84"/>
    <w:rsid w:val="00F975E9"/>
    <w:rsid w:val="00FA1B7D"/>
    <w:rsid w:val="00FA2DE7"/>
    <w:rsid w:val="00FA352A"/>
    <w:rsid w:val="00FC07B9"/>
    <w:rsid w:val="00FC4E21"/>
    <w:rsid w:val="00FC5F6D"/>
    <w:rsid w:val="00FD0107"/>
    <w:rsid w:val="00FD2C2F"/>
    <w:rsid w:val="00FD3B31"/>
    <w:rsid w:val="00FD5127"/>
    <w:rsid w:val="00FD5A77"/>
    <w:rsid w:val="00FE1823"/>
    <w:rsid w:val="00FE4260"/>
    <w:rsid w:val="00FE487A"/>
    <w:rsid w:val="00FF0569"/>
    <w:rsid w:val="00FF206E"/>
    <w:rsid w:val="00FF3C69"/>
    <w:rsid w:val="00FF6E0A"/>
    <w:rsid w:val="466BF4A7"/>
    <w:rsid w:val="679F3CDB"/>
    <w:rsid w:val="7D3A6AEB"/>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41968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numPr>
        <w:numId w:val="50"/>
      </w:numPr>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numPr>
        <w:ilvl w:val="1"/>
        <w:numId w:val="50"/>
      </w:numPr>
      <w:spacing w:before="320" w:after="60"/>
      <w:outlineLvl w:val="1"/>
    </w:pPr>
    <w:rPr>
      <w:rFonts w:cs="Arial"/>
      <w:b/>
      <w:bCs/>
      <w:iCs/>
      <w:sz w:val="28"/>
      <w:szCs w:val="28"/>
    </w:rPr>
  </w:style>
  <w:style w:type="paragraph" w:styleId="Heading3">
    <w:name w:val="heading 3"/>
    <w:basedOn w:val="Normal"/>
    <w:next w:val="Normal"/>
    <w:qFormat/>
    <w:rsid w:val="00C55235"/>
    <w:pPr>
      <w:keepNext/>
      <w:numPr>
        <w:ilvl w:val="2"/>
        <w:numId w:val="50"/>
      </w:numPr>
      <w:spacing w:before="60" w:after="60"/>
      <w:outlineLvl w:val="2"/>
    </w:pPr>
    <w:rPr>
      <w:rFonts w:cs="Arial"/>
      <w:b/>
      <w:bCs/>
      <w:szCs w:val="26"/>
    </w:rPr>
  </w:style>
  <w:style w:type="paragraph" w:styleId="Heading4">
    <w:name w:val="heading 4"/>
    <w:basedOn w:val="Normal"/>
    <w:next w:val="Normal"/>
    <w:semiHidden/>
    <w:qFormat/>
    <w:rsid w:val="00AD5436"/>
    <w:pPr>
      <w:keepNext/>
      <w:spacing w:before="240" w:after="60"/>
      <w:ind w:left="864" w:hanging="864"/>
      <w:outlineLvl w:val="3"/>
    </w:pPr>
    <w:rPr>
      <w:rFonts w:ascii="Times New Roman" w:hAnsi="Times New Roman"/>
      <w:b/>
      <w:bCs/>
      <w:sz w:val="28"/>
      <w:szCs w:val="28"/>
    </w:rPr>
  </w:style>
  <w:style w:type="paragraph" w:styleId="Heading5">
    <w:name w:val="heading 5"/>
    <w:basedOn w:val="Normal"/>
    <w:next w:val="Normal"/>
    <w:semiHidden/>
    <w:qFormat/>
    <w:rsid w:val="00AD5436"/>
    <w:pPr>
      <w:spacing w:before="240" w:after="60"/>
      <w:ind w:left="1008" w:hanging="1008"/>
      <w:outlineLvl w:val="4"/>
    </w:pPr>
    <w:rPr>
      <w:b/>
      <w:bCs/>
      <w:i/>
      <w:iCs/>
      <w:sz w:val="26"/>
      <w:szCs w:val="26"/>
    </w:rPr>
  </w:style>
  <w:style w:type="paragraph" w:styleId="Heading6">
    <w:name w:val="heading 6"/>
    <w:basedOn w:val="Normal"/>
    <w:next w:val="Normal"/>
    <w:semiHidden/>
    <w:qFormat/>
    <w:rsid w:val="00AD5436"/>
    <w:pPr>
      <w:spacing w:before="240" w:after="60"/>
      <w:ind w:left="1152" w:hanging="1152"/>
      <w:outlineLvl w:val="5"/>
    </w:pPr>
    <w:rPr>
      <w:rFonts w:ascii="Times New Roman" w:hAnsi="Times New Roman"/>
      <w:b/>
      <w:bCs/>
      <w:sz w:val="22"/>
      <w:szCs w:val="22"/>
    </w:rPr>
  </w:style>
  <w:style w:type="paragraph" w:styleId="Heading7">
    <w:name w:val="heading 7"/>
    <w:basedOn w:val="Normal"/>
    <w:next w:val="Normal"/>
    <w:semiHidden/>
    <w:qFormat/>
    <w:rsid w:val="00AD5436"/>
    <w:pPr>
      <w:spacing w:before="240" w:after="60"/>
      <w:ind w:left="1296" w:hanging="1296"/>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1440"/>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58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rsid w:val="00232611"/>
    <w:pPr>
      <w:ind w:left="720"/>
      <w:contextualSpacing/>
    </w:pPr>
  </w:style>
  <w:style w:type="character" w:customStyle="1" w:styleId="FootnoteTextChar">
    <w:name w:val="Footnote Text Char"/>
    <w:aliases w:val="ACMA Footnote Text Char"/>
    <w:basedOn w:val="DefaultParagraphFont"/>
    <w:link w:val="FootnoteText"/>
    <w:rsid w:val="00E96BF5"/>
    <w:rPr>
      <w:rFonts w:ascii="Arial" w:hAnsi="Arial"/>
      <w:sz w:val="16"/>
      <w:szCs w:val="16"/>
    </w:rPr>
  </w:style>
  <w:style w:type="table" w:customStyle="1" w:styleId="TableGrid2">
    <w:name w:val="Table Grid2"/>
    <w:basedOn w:val="TableNormal"/>
    <w:next w:val="TableGrid"/>
    <w:uiPriority w:val="59"/>
    <w:rsid w:val="00FA2DE7"/>
    <w:pPr>
      <w:spacing w:line="240" w:lineRule="atLeast"/>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semiHidden/>
    <w:rsid w:val="00497F55"/>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cma.gov.au/theACMA/regulatory-arrangements-for-gso-and-ngso-esims" TargetMode="External"/><Relationship Id="rId13" Type="http://schemas.openxmlformats.org/officeDocument/2006/relationships/header" Target="header3.xml"/><Relationship Id="rId18" Type="http://schemas.openxmlformats.org/officeDocument/2006/relationships/hyperlink" Target="mailto:info@acma.gov.au" TargetMode="External"/><Relationship Id="rId26" Type="http://schemas.openxmlformats.org/officeDocument/2006/relationships/footer" Target="footer7.xml"/><Relationship Id="rId39" Type="http://schemas.openxmlformats.org/officeDocument/2006/relationships/hyperlink" Target="http://www.erodocdb.dk/doks/filedownload.aspx?fileid=3955&amp;fileurl=http://www.erodocdb.dk/Docs/doc98/official/Word/ECCREP184.DOCX"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www.erodocdb.dk/doks/filedownload.aspx?fileid=3961&amp;fileurl=http://www.erodocdb.dk/Docs/doc98/official/Word/ECCDEC1301.DOCX" TargetMode="External"/><Relationship Id="rId42" Type="http://schemas.openxmlformats.org/officeDocument/2006/relationships/hyperlink" Target="https://www.acma.gov.au/Industry/Spectrum/Radiocomms-licensing/Apparatus-licences/apparatus-licensing-system-acquire-a-licence-acma"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hyperlink" Target="https://www.acma.gov.au/theACMA/regulatory-arrangements-for-stations-in-motion" TargetMode="External"/><Relationship Id="rId38" Type="http://schemas.openxmlformats.org/officeDocument/2006/relationships/hyperlink" Target="https://www.acma.gov.au/theACMA/regulatory-arrangements-for-gso-and-ngso-esims" TargetMode="External"/><Relationship Id="rId46"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5.xml"/><Relationship Id="rId29" Type="http://schemas.openxmlformats.org/officeDocument/2006/relationships/hyperlink" Target="https://www.acma.gov.au/theACMA/regulatory-arrangements-for-gso-and-ngso-esims" TargetMode="External"/><Relationship Id="rId41" Type="http://schemas.openxmlformats.org/officeDocument/2006/relationships/hyperlink" Target="https://www.acma.gov.au/theACMA/regulatory-arrangements-for-stations-in-moti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hyperlink" Target="http://www.acma.gov.au/theACMA/regulatory-arrangements-for-gso-and-ngso-esims" TargetMode="External"/><Relationship Id="rId37" Type="http://schemas.openxmlformats.org/officeDocument/2006/relationships/hyperlink" Target="https://www.acma.gov.au/theACMA/regulatory-arrangements-for-stations-in-motion" TargetMode="External"/><Relationship Id="rId40" Type="http://schemas.openxmlformats.org/officeDocument/2006/relationships/hyperlink" Target="http://www.erodocdb.dk/doks/filedownload.aspx?fileid=4126&amp;fileurl=http://www.erodocdb.dk/Docs/doc98/official/Word/ECCREP217.DOCX" TargetMode="External"/><Relationship Id="rId45"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hyperlink" Target="https://www.acma.gov.au/theACMA/regulatory-arrangements-for-gso-and-ngso-esims" TargetMode="External"/><Relationship Id="rId36" Type="http://schemas.openxmlformats.org/officeDocument/2006/relationships/hyperlink" Target="https://www.acma.gov.au/Industry/Spectrum/Spectrum-projects/Mobile-broadband/five-year-spectrum-outlook-2016-20" TargetMode="External"/><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hyperlink" Target="http://www.erodocdb.dk/doks/doccategoryECC.aspx?doccatid=1" TargetMode="External"/><Relationship Id="rId44"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hyperlink" Target="https://www.acma.gov.au/theACMA/regulatory-arrangements-for-stations-in-motion" TargetMode="External"/><Relationship Id="rId35" Type="http://schemas.openxmlformats.org/officeDocument/2006/relationships/hyperlink" Target="http://www.erodocdb.dk/doks/filedownload.aspx?fileid=4195&amp;fileurl=http://www.erodocdb.dk/Docs/doc98/official/Word/ECCDEC1504.DOCX" TargetMode="External"/><Relationship Id="rId43" Type="http://schemas.openxmlformats.org/officeDocument/2006/relationships/header" Target="header8.xml"/><Relationship Id="rId48"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2" Type="http://schemas.openxmlformats.org/officeDocument/2006/relationships/hyperlink" Target="http://www.erodocdb.dk/doks/filedownload.aspx?fileid=4002&amp;fileurl=http://www.erodocdb.dk/Docs/doc98/official/zip/ECCDEC1301.ZIP" TargetMode="External"/><Relationship Id="rId1" Type="http://schemas.openxmlformats.org/officeDocument/2006/relationships/hyperlink" Target="https://www.dpmc.gov.au/domestic-policy/taskforces-past-domestic-policy-initiatives/industry-innovation-and-competitiveness-agenda/acceptance-international-standards-and-risk-assessments-product-approval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7B361-E924-48EE-8064-2E9C62006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4332</Words>
  <Characters>24696</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28971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2017-10-19T03:22:00Z</dcterms:created>
  <dcterms:modified xsi:type="dcterms:W3CDTF">2017-11-23T01:58:00Z</dcterms:modified>
  <cp:category/>
</cp:coreProperties>
</file>