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E0369" w:rsidRPr="00EA0CB5" w:rsidRDefault="00A6695F" w:rsidP="00A6695F">
      <w:pPr>
        <w:jc w:val="center"/>
        <w:rPr>
          <w:b/>
          <w:sz w:val="28"/>
          <w:szCs w:val="28"/>
        </w:rPr>
      </w:pPr>
      <w:r w:rsidRPr="00EA0CB5">
        <w:rPr>
          <w:b/>
          <w:sz w:val="28"/>
          <w:szCs w:val="28"/>
        </w:rPr>
        <w:t xml:space="preserve">Inmarsat response to the ACMA </w:t>
      </w:r>
      <w:r w:rsidR="00434FFC">
        <w:rPr>
          <w:b/>
          <w:sz w:val="28"/>
          <w:szCs w:val="28"/>
        </w:rPr>
        <w:t>options</w:t>
      </w:r>
      <w:r w:rsidRPr="00EA0CB5">
        <w:rPr>
          <w:b/>
          <w:sz w:val="28"/>
          <w:szCs w:val="28"/>
        </w:rPr>
        <w:t xml:space="preserve"> paper:</w:t>
      </w:r>
    </w:p>
    <w:p w:rsidR="00434FFC" w:rsidRPr="00434FFC" w:rsidRDefault="00434FFC" w:rsidP="00A6695F">
      <w:pPr>
        <w:jc w:val="center"/>
        <w:rPr>
          <w:b/>
          <w:sz w:val="28"/>
          <w:szCs w:val="28"/>
        </w:rPr>
      </w:pPr>
      <w:r w:rsidRPr="00434FFC">
        <w:rPr>
          <w:b/>
          <w:sz w:val="28"/>
          <w:szCs w:val="28"/>
        </w:rPr>
        <w:t xml:space="preserve"> Future use of the 3.6 GHz band</w:t>
      </w:r>
    </w:p>
    <w:p w:rsidR="00A6695F" w:rsidRDefault="00A6695F" w:rsidP="00A6695F">
      <w:pPr>
        <w:jc w:val="center"/>
        <w:rPr>
          <w:b/>
        </w:rPr>
      </w:pPr>
      <w:r w:rsidRPr="00E809F6">
        <w:rPr>
          <w:rStyle w:val="Strong"/>
        </w:rPr>
        <w:t>11 August 2017</w:t>
      </w:r>
    </w:p>
    <w:p w:rsidR="00A6695F" w:rsidRDefault="00A6695F" w:rsidP="00A6695F">
      <w:pPr>
        <w:jc w:val="center"/>
        <w:rPr>
          <w:b/>
        </w:rPr>
      </w:pPr>
    </w:p>
    <w:p w:rsidR="00C85B73" w:rsidRDefault="00C85B73" w:rsidP="00A6695F">
      <w:pPr>
        <w:rPr>
          <w:b/>
        </w:rPr>
      </w:pPr>
    </w:p>
    <w:p w:rsidR="00434FFC" w:rsidRPr="00434FFC" w:rsidRDefault="00434FFC" w:rsidP="00434FFC">
      <w:r w:rsidRPr="00434FFC">
        <w:t xml:space="preserve">In this </w:t>
      </w:r>
      <w:r w:rsidR="00414036">
        <w:t>document</w:t>
      </w:r>
      <w:r w:rsidRPr="00434FFC">
        <w:t>, Inmarsat</w:t>
      </w:r>
      <w:r>
        <w:t xml:space="preserve"> provides comments on the Options Paper: “Future Use of the 3.6 GHz band” and the associated document: “Future use of the 3.6 GHz band: Highest value use assessment—Quantitative analysis”.  Although the Options paper also discusses the 5.6 GHz band, our comments are limited to the discussion concerning the 3.6 GHz band (3575-3700 MHz)</w:t>
      </w:r>
      <w:r w:rsidR="00414036">
        <w:t>.</w:t>
      </w:r>
    </w:p>
    <w:p w:rsidR="00434FFC" w:rsidRDefault="00434FFC" w:rsidP="00A6695F">
      <w:pPr>
        <w:rPr>
          <w:b/>
        </w:rPr>
      </w:pPr>
    </w:p>
    <w:p w:rsidR="000B5745" w:rsidRDefault="00AB5281" w:rsidP="00A6695F">
      <w:pPr>
        <w:rPr>
          <w:b/>
        </w:rPr>
      </w:pPr>
      <w:r>
        <w:rPr>
          <w:b/>
        </w:rPr>
        <w:t>Comments on High Value Use Assessment</w:t>
      </w:r>
    </w:p>
    <w:p w:rsidR="00380EDE" w:rsidRDefault="00AB5281" w:rsidP="00AB5281">
      <w:r>
        <w:t>In the co</w:t>
      </w:r>
      <w:r w:rsidR="00380EDE">
        <w:t xml:space="preserve">ntext of valuations of the 3.6 GHz band for mobile broadband, it is worth highlighting </w:t>
      </w:r>
      <w:r w:rsidR="00DE6FDF">
        <w:t xml:space="preserve">at the outset </w:t>
      </w:r>
      <w:r w:rsidR="00380EDE">
        <w:t xml:space="preserve">the great uncertainty that inevitably exists in making such </w:t>
      </w:r>
      <w:r w:rsidR="00753329">
        <w:t>economically based assessments</w:t>
      </w:r>
      <w:r w:rsidR="00380EDE">
        <w:t>.  There have been a few auctions of spectrum in the 3.6 GHz band around the world, generally fetching much lower prices tha</w:t>
      </w:r>
      <w:r w:rsidR="00D2075A">
        <w:t>n</w:t>
      </w:r>
      <w:r w:rsidR="00380EDE">
        <w:t xml:space="preserve"> the lower frequency bands</w:t>
      </w:r>
      <w:r w:rsidR="00414036">
        <w:t>,</w:t>
      </w:r>
      <w:r w:rsidR="00380EDE">
        <w:t xml:space="preserve"> which clearly remain more valuable </w:t>
      </w:r>
      <w:r w:rsidR="00DE6FDF">
        <w:t>to</w:t>
      </w:r>
      <w:r w:rsidR="00380EDE">
        <w:t xml:space="preserve"> mobile operators.  This seems inevitable considering the higher costs of network deployment at higher frequencies and the difficulty mobile operators are finding in increasing ARPU.</w:t>
      </w:r>
    </w:p>
    <w:p w:rsidR="00AB5281" w:rsidRPr="00AB5281" w:rsidRDefault="00380EDE" w:rsidP="00A73930">
      <w:r>
        <w:t>We are not aware of any success cases in the use of the 3.6 GHz band for mobile broadband</w:t>
      </w:r>
      <w:r w:rsidR="00D53FBD">
        <w:t>,</w:t>
      </w:r>
      <w:r>
        <w:t xml:space="preserve"> while there are many </w:t>
      </w:r>
      <w:r w:rsidR="00DE6FDF">
        <w:t>examples</w:t>
      </w:r>
      <w:r>
        <w:t xml:space="preserve"> of a lack of success, particularly following the </w:t>
      </w:r>
      <w:r w:rsidR="00DE6FDF">
        <w:t xml:space="preserve">short-lived </w:t>
      </w:r>
      <w:r>
        <w:t xml:space="preserve">rise and fall of WiMAX about a decade ago.  It is possible that the market for mobile broadband is now ready for the 3.6 GHz band, but it is equally possible that mobile operators will </w:t>
      </w:r>
      <w:r w:rsidR="00962F62">
        <w:t xml:space="preserve">remain </w:t>
      </w:r>
      <w:r>
        <w:t xml:space="preserve">unable to make a successful business case from the use of these bands.  </w:t>
      </w:r>
    </w:p>
    <w:p w:rsidR="000B5745" w:rsidRPr="00962F62" w:rsidRDefault="00962F62" w:rsidP="00A6695F">
      <w:r w:rsidRPr="00962F62">
        <w:t>It is</w:t>
      </w:r>
      <w:r>
        <w:t xml:space="preserve"> therefore important that the ACMA and</w:t>
      </w:r>
      <w:r w:rsidR="00043E27">
        <w:t xml:space="preserve"> </w:t>
      </w:r>
      <w:r>
        <w:t xml:space="preserve">other regulators take </w:t>
      </w:r>
      <w:r w:rsidR="00753329">
        <w:t xml:space="preserve">a </w:t>
      </w:r>
      <w:bookmarkStart w:id="0" w:name="_GoBack"/>
      <w:bookmarkEnd w:id="0"/>
      <w:r>
        <w:t xml:space="preserve">pragmatic approach to sharing of the spectrum.  </w:t>
      </w:r>
      <w:r w:rsidR="00043E27">
        <w:t>Removal</w:t>
      </w:r>
      <w:r>
        <w:t xml:space="preserve"> of incumbent uses </w:t>
      </w:r>
      <w:r w:rsidR="00DE6FDF">
        <w:t xml:space="preserve">at this time </w:t>
      </w:r>
      <w:r>
        <w:t>has a high risk of leading to unused spectrum.</w:t>
      </w:r>
      <w:r w:rsidRPr="00962F62">
        <w:t xml:space="preserve"> </w:t>
      </w:r>
    </w:p>
    <w:p w:rsidR="00657ECB" w:rsidRDefault="00D53FBD" w:rsidP="00A6695F">
      <w:r>
        <w:t xml:space="preserve">Inmarsat does not provide answers to each of the questions in the High Value Use Assessment.  However </w:t>
      </w:r>
      <w:r w:rsidR="004E117A">
        <w:t xml:space="preserve">we comment on </w:t>
      </w:r>
      <w:r w:rsidR="00043E27">
        <w:t xml:space="preserve">question 10, </w:t>
      </w:r>
      <w:r w:rsidR="004E117A">
        <w:t xml:space="preserve">in which </w:t>
      </w:r>
      <w:r w:rsidR="00043E27">
        <w:t>the ACMA asks: “</w:t>
      </w:r>
      <w:r w:rsidR="00043E27" w:rsidRPr="00043E27">
        <w:rPr>
          <w:i/>
        </w:rPr>
        <w:t>Is the cost range for the relocation of all C-band licences from an FSS earth station facility suitable for this analysis?</w:t>
      </w:r>
      <w:r w:rsidR="00043E27">
        <w:t xml:space="preserve">”.  As noted by the ACMA in the document, Inmarsat has already provided to ACMA an estimated cost of relocating the </w:t>
      </w:r>
      <w:proofErr w:type="spellStart"/>
      <w:r w:rsidR="00043E27">
        <w:t>Landsdale</w:t>
      </w:r>
      <w:proofErr w:type="spellEnd"/>
      <w:r w:rsidR="00043E27">
        <w:t xml:space="preserve"> facility at $25-30m.  We therefore believe that the cost of relocating the entire </w:t>
      </w:r>
      <w:proofErr w:type="spellStart"/>
      <w:r w:rsidR="00043E27">
        <w:t>Landsdale</w:t>
      </w:r>
      <w:proofErr w:type="spellEnd"/>
      <w:r w:rsidR="00043E27">
        <w:t xml:space="preserve"> earth station facility, which includes antenna</w:t>
      </w:r>
      <w:r w:rsidR="00A73930">
        <w:t>s</w:t>
      </w:r>
      <w:r w:rsidR="00043E27">
        <w:t xml:space="preserve"> used by other C-band operators, </w:t>
      </w:r>
      <w:r w:rsidR="00DE6FDF">
        <w:t xml:space="preserve">is well in excess of $30m and may exceed the </w:t>
      </w:r>
      <w:r w:rsidR="00043E27">
        <w:t>top end o</w:t>
      </w:r>
      <w:r w:rsidR="00D2075A">
        <w:t>f</w:t>
      </w:r>
      <w:r w:rsidR="00043E27">
        <w:t xml:space="preserve"> the range suggested </w:t>
      </w:r>
      <w:r w:rsidR="00FD5BCC">
        <w:t xml:space="preserve">by the ACMA, i.e. </w:t>
      </w:r>
      <w:r w:rsidR="00DE6FDF">
        <w:t xml:space="preserve">more than </w:t>
      </w:r>
      <w:r w:rsidR="00FD5BCC">
        <w:t>$50m.</w:t>
      </w:r>
    </w:p>
    <w:p w:rsidR="00FD5BCC" w:rsidRDefault="00FD5BCC" w:rsidP="00A6695F">
      <w:r>
        <w:t>As show</w:t>
      </w:r>
      <w:r w:rsidR="00D53FBD">
        <w:t>n</w:t>
      </w:r>
      <w:r>
        <w:t xml:space="preserve"> in </w:t>
      </w:r>
      <w:r w:rsidR="004E117A">
        <w:t>T</w:t>
      </w:r>
      <w:r>
        <w:t xml:space="preserve">able 28 of the analysis, the economic analysis favours retaining C-band earth station operations at Perth assuming MBB is limited to small cell deployment and assuming the economic benefit forgone </w:t>
      </w:r>
      <w:r w:rsidR="00D53FBD">
        <w:t>is valued</w:t>
      </w:r>
      <w:r>
        <w:t xml:space="preserve"> between $0.03 and $0.25 ($/MHz/pop).  Even with the higher assumed values of $0.5 and $0.625</w:t>
      </w:r>
      <w:r w:rsidR="00D53FBD">
        <w:t xml:space="preserve"> ($/MHz/pop)</w:t>
      </w:r>
      <w:r>
        <w:t>, the estimated forgone economic benefit for Perth is $54m and $67m</w:t>
      </w:r>
      <w:r w:rsidR="004E117A">
        <w:t xml:space="preserve"> respectively</w:t>
      </w:r>
      <w:r>
        <w:t xml:space="preserve"> - only just exceeding </w:t>
      </w:r>
      <w:r w:rsidR="00C54F59">
        <w:t>the ACMA’s</w:t>
      </w:r>
      <w:r>
        <w:t xml:space="preserve"> estimated relocation costs. </w:t>
      </w:r>
      <w:r w:rsidR="00DE6FDF">
        <w:t xml:space="preserve"> Hence, for the small-cell case, the economic case is marginal with respect to the relative merits of relocating the </w:t>
      </w:r>
      <w:proofErr w:type="spellStart"/>
      <w:r w:rsidR="009C5848">
        <w:t>Landsdale</w:t>
      </w:r>
      <w:proofErr w:type="spellEnd"/>
      <w:r w:rsidR="00DE6FDF">
        <w:t xml:space="preserve"> </w:t>
      </w:r>
      <w:r w:rsidR="00DE6FDF">
        <w:lastRenderedPageBreak/>
        <w:t>earth station.  Given the general uncertainty in this analysis, and also the uncertainty regarding the benefits of MBB, it seems wise to err on the side of caution and allow for continued FSS operations at Perth.</w:t>
      </w:r>
    </w:p>
    <w:p w:rsidR="00FD5BCC" w:rsidRDefault="00DE6FDF" w:rsidP="00A6695F">
      <w:r>
        <w:t xml:space="preserve">Furthermore, </w:t>
      </w:r>
      <w:r w:rsidR="008A52BD">
        <w:t xml:space="preserve">Inmarsat believes that </w:t>
      </w:r>
      <w:r w:rsidR="005E78FC">
        <w:t xml:space="preserve">in fact the reduction in benefits to MBB </w:t>
      </w:r>
      <w:r>
        <w:t xml:space="preserve">could </w:t>
      </w:r>
      <w:r w:rsidR="005E78FC">
        <w:t xml:space="preserve">be </w:t>
      </w:r>
      <w:r w:rsidR="004E117A">
        <w:t xml:space="preserve">significantly </w:t>
      </w:r>
      <w:r w:rsidR="005E78FC">
        <w:t xml:space="preserve">lower than </w:t>
      </w:r>
      <w:r>
        <w:t>the values estimated by the ACMA</w:t>
      </w:r>
      <w:r w:rsidR="005E78FC">
        <w:t xml:space="preserve">, since Inmarsat suggests that </w:t>
      </w:r>
      <w:r>
        <w:t xml:space="preserve">MBB operations are restricted to small-cell use only in </w:t>
      </w:r>
      <w:r w:rsidR="004E117A">
        <w:t xml:space="preserve">a </w:t>
      </w:r>
      <w:r>
        <w:t xml:space="preserve">part of the 3.6 GHz band.  In the remaining part of the band, not currently used at </w:t>
      </w:r>
      <w:proofErr w:type="spellStart"/>
      <w:r w:rsidR="009C5848">
        <w:t>Landsdale</w:t>
      </w:r>
      <w:proofErr w:type="spellEnd"/>
      <w:r>
        <w:t xml:space="preserve">, there would be minimal constraints on MBB deployment needed (to address only potential adjacent band </w:t>
      </w:r>
      <w:r w:rsidR="00D53FBD">
        <w:t>interference</w:t>
      </w:r>
      <w:r>
        <w:t xml:space="preserve">).  In this case, the </w:t>
      </w:r>
      <w:r w:rsidR="00AD0CA0" w:rsidRPr="009B7933">
        <w:t>“</w:t>
      </w:r>
      <w:r w:rsidRPr="009B7933">
        <w:t>reduction</w:t>
      </w:r>
      <w:r w:rsidR="00D2075A">
        <w:t xml:space="preserve"> </w:t>
      </w:r>
      <w:r>
        <w:t>in re-farming benefits</w:t>
      </w:r>
      <w:r w:rsidR="00AD0CA0">
        <w:t>”</w:t>
      </w:r>
      <w:r w:rsidR="004E117A">
        <w:t xml:space="preserve"> as presented Table 29</w:t>
      </w:r>
      <w:r>
        <w:t xml:space="preserve"> would </w:t>
      </w:r>
      <w:r w:rsidR="00AD0CA0">
        <w:t xml:space="preserve">be </w:t>
      </w:r>
      <w:r w:rsidR="002974E8">
        <w:t>dimin</w:t>
      </w:r>
      <w:r w:rsidR="004E117A">
        <w:t>i</w:t>
      </w:r>
      <w:r w:rsidR="002974E8">
        <w:t>shed</w:t>
      </w:r>
      <w:r w:rsidR="00AD0CA0">
        <w:t xml:space="preserve">, thereby </w:t>
      </w:r>
      <w:r>
        <w:t>increas</w:t>
      </w:r>
      <w:r w:rsidR="00AD0CA0">
        <w:t>ing</w:t>
      </w:r>
      <w:r>
        <w:t xml:space="preserve"> the balance </w:t>
      </w:r>
      <w:r w:rsidR="00D53FBD">
        <w:t xml:space="preserve">of the analysis </w:t>
      </w:r>
      <w:r>
        <w:t>still further in favour of retaining FSS earth station operations.</w:t>
      </w:r>
      <w:r w:rsidR="008A52BD">
        <w:t xml:space="preserve">  </w:t>
      </w:r>
    </w:p>
    <w:p w:rsidR="00FD5BCC" w:rsidRPr="00EA2CDE" w:rsidRDefault="00EA2CDE" w:rsidP="00A6695F">
      <w:pPr>
        <w:rPr>
          <w:b/>
        </w:rPr>
      </w:pPr>
      <w:r w:rsidRPr="00EA2CDE">
        <w:rPr>
          <w:b/>
        </w:rPr>
        <w:t>Comments on the Options Paper</w:t>
      </w:r>
    </w:p>
    <w:p w:rsidR="001E6F01" w:rsidRDefault="00EA2CDE" w:rsidP="00A6695F">
      <w:r>
        <w:t xml:space="preserve">Inmarsat </w:t>
      </w:r>
      <w:r w:rsidR="001E6F01">
        <w:t xml:space="preserve">has a number of earth stations around the world which provide the feeder links for our L-band GSO satellite constellation.  It is vital that our earth stations are able to continue to operate without significant inference in the 3.6 GHz band to support our global MSS operations.  Inmarsat’s next generation of L-band satellite will continue to use C-band feeder links </w:t>
      </w:r>
      <w:r w:rsidR="00D2075A">
        <w:t xml:space="preserve">in </w:t>
      </w:r>
      <w:r w:rsidR="001E6F01">
        <w:t>the 3.6 GHz band.  It is not practicable for Inmarsat to transition to alternative parts of C-band due to the existing use of those frequencies by other satellite networks.</w:t>
      </w:r>
    </w:p>
    <w:p w:rsidR="007812A2" w:rsidRDefault="009C5848" w:rsidP="00A6695F">
      <w:r>
        <w:t>Inmarsat generally agrees with the assumptions used for the FSS parameters in the technical analysis provided in Appendix 4.  Our own analysis</w:t>
      </w:r>
      <w:r w:rsidR="00E20D83">
        <w:t xml:space="preserve"> </w:t>
      </w:r>
      <w:r w:rsidR="00F1203C">
        <w:t>contained in the Annex to this response</w:t>
      </w:r>
      <w:r>
        <w:t xml:space="preserve">, </w:t>
      </w:r>
      <w:r w:rsidR="00E20D83">
        <w:t xml:space="preserve">has used </w:t>
      </w:r>
      <w:r>
        <w:t xml:space="preserve">the same assumptions </w:t>
      </w:r>
      <w:r w:rsidR="00E20D83">
        <w:t xml:space="preserve">as the ACMA </w:t>
      </w:r>
      <w:r>
        <w:t>for MBB system characteristics</w:t>
      </w:r>
      <w:r w:rsidR="00E20D83">
        <w:t>.</w:t>
      </w:r>
      <w:r w:rsidR="00D4774A">
        <w:t xml:space="preserve">  Our analysis has used the actual ES pointing directions for the three earth station antennas used to communicate with Inmarsat satellites</w:t>
      </w:r>
      <w:r w:rsidR="00D53FBD">
        <w:t xml:space="preserve"> but otherwise the earth station parameters are the same as those used by the ACMA</w:t>
      </w:r>
      <w:r w:rsidR="00D4774A">
        <w:t>.</w:t>
      </w:r>
      <w:r w:rsidR="00E20D83">
        <w:t xml:space="preserve">  </w:t>
      </w:r>
      <w:r w:rsidR="00D4774A">
        <w:t xml:space="preserve">The results </w:t>
      </w:r>
      <w:r>
        <w:t xml:space="preserve">show that </w:t>
      </w:r>
      <w:r w:rsidR="00E20D83">
        <w:t>deployment of MBB macro-cells in Perth on the same frequencies as FSS earth stations seems impracticable</w:t>
      </w:r>
      <w:r w:rsidR="00D53FBD">
        <w:t>, which is consistent with the results obtained by the ACMA</w:t>
      </w:r>
      <w:r w:rsidR="00E20D83">
        <w:t>.  However</w:t>
      </w:r>
      <w:r w:rsidR="007812A2">
        <w:t>, as shown in the figure below</w:t>
      </w:r>
      <w:r w:rsidR="00E20D83">
        <w:t xml:space="preserve">, operation of MBB small cells in Perth does appear to be feasible, with some constraints on small cells at locations near the earth station </w:t>
      </w:r>
      <w:r w:rsidR="00A73930">
        <w:t>and</w:t>
      </w:r>
      <w:r w:rsidR="00E20D83">
        <w:t xml:space="preserve"> on </w:t>
      </w:r>
      <w:r w:rsidR="00A73930">
        <w:t>the hills to the East of Perth</w:t>
      </w:r>
      <w:r w:rsidR="00D53FBD">
        <w:t>.</w:t>
      </w:r>
    </w:p>
    <w:p w:rsidR="007812A2" w:rsidRDefault="007812A2" w:rsidP="009B7933">
      <w:pPr>
        <w:jc w:val="center"/>
      </w:pPr>
    </w:p>
    <w:p w:rsidR="00F1203C" w:rsidRDefault="00F1203C">
      <w:r>
        <w:br w:type="page"/>
      </w:r>
    </w:p>
    <w:p w:rsidR="007812A2" w:rsidRDefault="00F1203C" w:rsidP="009B7933">
      <w:pPr>
        <w:jc w:val="center"/>
      </w:pPr>
      <w:r>
        <w:lastRenderedPageBreak/>
        <w:t xml:space="preserve">Figure 1  </w:t>
      </w:r>
      <w:r w:rsidR="007812A2">
        <w:t>Interference from small cell base stations -10 dB (</w:t>
      </w:r>
      <w:r w:rsidR="007812A2">
        <w:t xml:space="preserve">red shaded area indicates where either the </w:t>
      </w:r>
      <w:r w:rsidR="007812A2">
        <w:t xml:space="preserve">short-term </w:t>
      </w:r>
      <w:r w:rsidR="007812A2">
        <w:t xml:space="preserve">or </w:t>
      </w:r>
      <w:r w:rsidR="007812A2">
        <w:t xml:space="preserve">long-term interference </w:t>
      </w:r>
      <w:r w:rsidR="007812A2">
        <w:t>criteria are exceeded</w:t>
      </w:r>
      <w:r w:rsidR="007812A2">
        <w:t>)</w:t>
      </w:r>
    </w:p>
    <w:p w:rsidR="007812A2" w:rsidRDefault="007812A2" w:rsidP="009B7933">
      <w:pPr>
        <w:jc w:val="center"/>
      </w:pPr>
      <w:r>
        <w:rPr>
          <w:noProof/>
          <w:lang w:eastAsia="en-GB"/>
        </w:rPr>
        <w:drawing>
          <wp:inline distT="0" distB="0" distL="0" distR="0" wp14:anchorId="5FA90AEC" wp14:editId="7314EACE">
            <wp:extent cx="4255113" cy="5001371"/>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86831" cy="5038651"/>
                    </a:xfrm>
                    <a:prstGeom prst="rect">
                      <a:avLst/>
                    </a:prstGeom>
                  </pic:spPr>
                </pic:pic>
              </a:graphicData>
            </a:graphic>
          </wp:inline>
        </w:drawing>
      </w:r>
    </w:p>
    <w:p w:rsidR="00D53FBD" w:rsidRDefault="00D53FBD" w:rsidP="00A6695F">
      <w:r>
        <w:t>T</w:t>
      </w:r>
      <w:r w:rsidR="00E20D83">
        <w:t xml:space="preserve">he majority of Perth </w:t>
      </w:r>
      <w:r>
        <w:t xml:space="preserve">would be </w:t>
      </w:r>
      <w:r w:rsidR="00E20D83">
        <w:t>unrestricted for deployment</w:t>
      </w:r>
      <w:r>
        <w:t xml:space="preserve"> of small-cells</w:t>
      </w:r>
      <w:r w:rsidR="00E20D83">
        <w:t xml:space="preserve">.  These results are based on the assumption that typically at least 10 dB </w:t>
      </w:r>
      <w:r w:rsidR="001341D5">
        <w:t>additional</w:t>
      </w:r>
      <w:r w:rsidR="001341D5">
        <w:t xml:space="preserve"> </w:t>
      </w:r>
      <w:r w:rsidR="00E20D83">
        <w:t>loss exists, which is a reasonable assumption considering that small cell base stations are position</w:t>
      </w:r>
      <w:r>
        <w:t>ed</w:t>
      </w:r>
      <w:r w:rsidR="00E20D83">
        <w:t xml:space="preserve"> </w:t>
      </w:r>
      <w:r>
        <w:t xml:space="preserve">indoors or </w:t>
      </w:r>
      <w:r w:rsidR="00E20D83">
        <w:t>below roof-top level</w:t>
      </w:r>
      <w:r w:rsidR="001341D5">
        <w:t xml:space="preserve"> which would result in additional clutter loss</w:t>
      </w:r>
      <w:r w:rsidR="00E20D83">
        <w:t>.</w:t>
      </w:r>
      <w:r w:rsidR="00D4774A">
        <w:t xml:space="preserve">  </w:t>
      </w:r>
      <w:r w:rsidR="00F1203C">
        <w:t xml:space="preserve">Furthermore, interference is generally received on the far-side lobes of the earth station antenna, for which the antenna gain could be lower than the -10 dBi figure assumed.  </w:t>
      </w:r>
      <w:r w:rsidR="00D4774A">
        <w:t xml:space="preserve">A coordination area could be defined around the earth station location, outside of which small-cell base stations could be deployed without any extra coordination requirement with respect to earth station protection.  Inside the coordination area, additional assessment would be needed to ensure that harmful interference is not received.  </w:t>
      </w:r>
    </w:p>
    <w:p w:rsidR="001E6F01" w:rsidRDefault="001E6F01" w:rsidP="00A6695F">
      <w:r>
        <w:t xml:space="preserve">Inmarsat’s earth station at </w:t>
      </w:r>
      <w:proofErr w:type="spellStart"/>
      <w:r w:rsidR="009C5848">
        <w:t>Landsdale</w:t>
      </w:r>
      <w:proofErr w:type="spellEnd"/>
      <w:r>
        <w:t xml:space="preserve">, Perth has been in operation since </w:t>
      </w:r>
      <w:r w:rsidR="00F1203C">
        <w:t>1990</w:t>
      </w:r>
      <w:r>
        <w:t xml:space="preserve"> and will continue to be required for many years to come.  Inmarsat believes that the Perth earth station facility should continue to be protected from interference from MBB systems.  In order to minimise the constraints</w:t>
      </w:r>
      <w:r w:rsidR="001341D5">
        <w:t xml:space="preserve"> to MBB</w:t>
      </w:r>
      <w:r w:rsidR="00D53FBD">
        <w:t>,</w:t>
      </w:r>
      <w:r>
        <w:t xml:space="preserve"> </w:t>
      </w:r>
      <w:r w:rsidR="00371695">
        <w:t>Inmarsat proposes the sharing be based on the following elements.</w:t>
      </w:r>
    </w:p>
    <w:p w:rsidR="00CF72D1" w:rsidRDefault="00371695" w:rsidP="00434FFC">
      <w:pPr>
        <w:pStyle w:val="PlainText"/>
        <w:numPr>
          <w:ilvl w:val="0"/>
          <w:numId w:val="5"/>
        </w:numPr>
        <w:rPr>
          <w:color w:val="000000" w:themeColor="text1"/>
          <w:lang w:val="en-US"/>
        </w:rPr>
      </w:pPr>
      <w:r w:rsidRPr="00371695">
        <w:rPr>
          <w:color w:val="000000" w:themeColor="text1"/>
          <w:lang w:val="en-US"/>
        </w:rPr>
        <w:lastRenderedPageBreak/>
        <w:t xml:space="preserve">A part of the 3.6 GHz band would be protected for continued FSS operations.  </w:t>
      </w:r>
      <w:r w:rsidR="00434FFC">
        <w:rPr>
          <w:color w:val="000000" w:themeColor="text1"/>
          <w:lang w:val="en-US"/>
        </w:rPr>
        <w:t>A</w:t>
      </w:r>
      <w:r w:rsidRPr="00371695">
        <w:rPr>
          <w:color w:val="000000" w:themeColor="text1"/>
          <w:lang w:val="en-US"/>
        </w:rPr>
        <w:t>ccount</w:t>
      </w:r>
      <w:r w:rsidR="00434FFC">
        <w:rPr>
          <w:color w:val="000000" w:themeColor="text1"/>
          <w:lang w:val="en-US"/>
        </w:rPr>
        <w:t>ing</w:t>
      </w:r>
      <w:r w:rsidRPr="00371695">
        <w:rPr>
          <w:color w:val="000000" w:themeColor="text1"/>
          <w:lang w:val="en-US"/>
        </w:rPr>
        <w:t xml:space="preserve"> for future requirements, the protected band </w:t>
      </w:r>
      <w:r w:rsidR="0008769A">
        <w:rPr>
          <w:color w:val="000000" w:themeColor="text1"/>
          <w:lang w:val="en-US"/>
        </w:rPr>
        <w:t>c</w:t>
      </w:r>
      <w:r w:rsidRPr="00371695">
        <w:rPr>
          <w:color w:val="000000" w:themeColor="text1"/>
          <w:lang w:val="en-US"/>
        </w:rPr>
        <w:t xml:space="preserve">ould be </w:t>
      </w:r>
      <w:r w:rsidRPr="009B7933">
        <w:rPr>
          <w:color w:val="000000" w:themeColor="text1"/>
          <w:lang w:val="en-US"/>
        </w:rPr>
        <w:t>3599-3650 MHz</w:t>
      </w:r>
      <w:r w:rsidRPr="00371695">
        <w:rPr>
          <w:color w:val="000000" w:themeColor="text1"/>
          <w:lang w:val="en-US"/>
        </w:rPr>
        <w:t>.</w:t>
      </w:r>
      <w:r w:rsidR="00CF72D1">
        <w:rPr>
          <w:color w:val="000000" w:themeColor="text1"/>
          <w:lang w:val="en-US"/>
        </w:rPr>
        <w:t xml:space="preserve">  In this band, MBB operations in Perth would be limited to small-cell systems only (</w:t>
      </w:r>
      <w:r w:rsidR="00D4774A">
        <w:rPr>
          <w:color w:val="000000" w:themeColor="text1"/>
          <w:lang w:val="en-US"/>
        </w:rPr>
        <w:t xml:space="preserve">i.e. </w:t>
      </w:r>
      <w:r w:rsidR="00CF72D1">
        <w:rPr>
          <w:color w:val="000000" w:themeColor="text1"/>
          <w:lang w:val="en-US"/>
        </w:rPr>
        <w:t>no macro-cell deployment)</w:t>
      </w:r>
      <w:r w:rsidR="00D2075A">
        <w:rPr>
          <w:color w:val="000000" w:themeColor="text1"/>
          <w:lang w:val="en-US"/>
        </w:rPr>
        <w:t xml:space="preserve">, which would be subject to relatively minor coordination constraints to protect operations at </w:t>
      </w:r>
      <w:proofErr w:type="spellStart"/>
      <w:r w:rsidR="00D2075A">
        <w:rPr>
          <w:color w:val="000000" w:themeColor="text1"/>
          <w:lang w:val="en-US"/>
        </w:rPr>
        <w:t>Landsdale</w:t>
      </w:r>
      <w:proofErr w:type="spellEnd"/>
      <w:r w:rsidR="00CF72D1">
        <w:rPr>
          <w:color w:val="000000" w:themeColor="text1"/>
          <w:lang w:val="en-US"/>
        </w:rPr>
        <w:t>.</w:t>
      </w:r>
    </w:p>
    <w:p w:rsidR="00CF72D1" w:rsidRDefault="00371695" w:rsidP="00434FFC">
      <w:pPr>
        <w:pStyle w:val="PlainText"/>
        <w:numPr>
          <w:ilvl w:val="0"/>
          <w:numId w:val="5"/>
        </w:numPr>
        <w:rPr>
          <w:color w:val="000000" w:themeColor="text1"/>
          <w:lang w:val="en-US"/>
        </w:rPr>
      </w:pPr>
      <w:r w:rsidRPr="00371695">
        <w:rPr>
          <w:color w:val="000000" w:themeColor="text1"/>
          <w:lang w:val="en-US"/>
        </w:rPr>
        <w:t xml:space="preserve">In the remaining </w:t>
      </w:r>
      <w:r>
        <w:rPr>
          <w:color w:val="000000" w:themeColor="text1"/>
          <w:lang w:val="en-US"/>
        </w:rPr>
        <w:t>74</w:t>
      </w:r>
      <w:r w:rsidRPr="00371695">
        <w:rPr>
          <w:color w:val="000000" w:themeColor="text1"/>
          <w:lang w:val="en-US"/>
        </w:rPr>
        <w:t xml:space="preserve"> MHz (</w:t>
      </w:r>
      <w:r>
        <w:rPr>
          <w:color w:val="000000" w:themeColor="text1"/>
          <w:lang w:val="en-US"/>
        </w:rPr>
        <w:t>3575-3599</w:t>
      </w:r>
      <w:r w:rsidR="00CF72D1">
        <w:rPr>
          <w:color w:val="000000" w:themeColor="text1"/>
          <w:lang w:val="en-US"/>
        </w:rPr>
        <w:t xml:space="preserve"> MHz</w:t>
      </w:r>
      <w:r>
        <w:rPr>
          <w:color w:val="000000" w:themeColor="text1"/>
          <w:lang w:val="en-US"/>
        </w:rPr>
        <w:t xml:space="preserve"> and </w:t>
      </w:r>
      <w:r w:rsidRPr="00371695">
        <w:rPr>
          <w:color w:val="000000" w:themeColor="text1"/>
          <w:lang w:val="en-US"/>
        </w:rPr>
        <w:t xml:space="preserve">3650-3700 MHz), </w:t>
      </w:r>
      <w:r w:rsidR="00CF72D1">
        <w:rPr>
          <w:color w:val="000000" w:themeColor="text1"/>
          <w:lang w:val="en-US"/>
        </w:rPr>
        <w:t xml:space="preserve">all types of MBB system could be deployed </w:t>
      </w:r>
      <w:r w:rsidR="00F1203C">
        <w:rPr>
          <w:color w:val="000000" w:themeColor="text1"/>
          <w:lang w:val="en-US"/>
        </w:rPr>
        <w:t xml:space="preserve">- including macro-cells - </w:t>
      </w:r>
      <w:r w:rsidR="00CF72D1">
        <w:rPr>
          <w:color w:val="000000" w:themeColor="text1"/>
          <w:lang w:val="en-US"/>
        </w:rPr>
        <w:t xml:space="preserve">and </w:t>
      </w:r>
      <w:r w:rsidRPr="00371695">
        <w:rPr>
          <w:color w:val="000000" w:themeColor="text1"/>
          <w:lang w:val="en-US"/>
        </w:rPr>
        <w:t>Inmarsat would not seek protection of our earth station operations</w:t>
      </w:r>
      <w:r w:rsidR="00CF72D1">
        <w:rPr>
          <w:color w:val="000000" w:themeColor="text1"/>
          <w:lang w:val="en-US"/>
        </w:rPr>
        <w:t xml:space="preserve"> except regarding potential adjacent band interference issues</w:t>
      </w:r>
      <w:r w:rsidRPr="00371695">
        <w:rPr>
          <w:color w:val="000000" w:themeColor="text1"/>
          <w:lang w:val="en-US"/>
        </w:rPr>
        <w:t>.</w:t>
      </w:r>
    </w:p>
    <w:p w:rsidR="00F1203C" w:rsidRDefault="004E117A" w:rsidP="004E117A">
      <w:pPr>
        <w:pStyle w:val="PlainText"/>
        <w:numPr>
          <w:ilvl w:val="0"/>
          <w:numId w:val="5"/>
        </w:numPr>
        <w:rPr>
          <w:color w:val="000000" w:themeColor="text1"/>
          <w:lang w:val="en-US"/>
        </w:rPr>
      </w:pPr>
      <w:r>
        <w:rPr>
          <w:color w:val="000000" w:themeColor="text1"/>
          <w:lang w:val="en-US"/>
        </w:rPr>
        <w:t xml:space="preserve">We </w:t>
      </w:r>
      <w:r w:rsidR="00CF72D1" w:rsidRPr="00414036">
        <w:rPr>
          <w:color w:val="000000" w:themeColor="text1"/>
          <w:lang w:val="en-US"/>
        </w:rPr>
        <w:t>recognize that there are other FSS operators at Perth which might require ongoing protection on other frequencies</w:t>
      </w:r>
      <w:r w:rsidR="00D4774A" w:rsidRPr="00414036">
        <w:rPr>
          <w:color w:val="000000" w:themeColor="text1"/>
          <w:lang w:val="en-US"/>
        </w:rPr>
        <w:t xml:space="preserve"> within the 3.6 GHz band</w:t>
      </w:r>
      <w:r w:rsidR="00CF72D1" w:rsidRPr="00414036">
        <w:rPr>
          <w:color w:val="000000" w:themeColor="text1"/>
          <w:lang w:val="en-US"/>
        </w:rPr>
        <w:t>, but we believe that significant spectrum can be found that could be made available for MBB with only minimal restrictions.</w:t>
      </w:r>
    </w:p>
    <w:p w:rsidR="001341D5" w:rsidRDefault="001341D5" w:rsidP="009B7933">
      <w:pPr>
        <w:pStyle w:val="PlainText"/>
        <w:ind w:left="360"/>
        <w:rPr>
          <w:color w:val="000000" w:themeColor="text1"/>
          <w:lang w:val="en-US"/>
        </w:rPr>
      </w:pPr>
    </w:p>
    <w:p w:rsidR="00371695" w:rsidRPr="009B7933" w:rsidRDefault="00CF72D1" w:rsidP="009B7933">
      <w:pPr>
        <w:pStyle w:val="PlainText"/>
        <w:ind w:left="360"/>
        <w:rPr>
          <w:color w:val="000000" w:themeColor="text1"/>
          <w:lang w:val="en-US"/>
        </w:rPr>
      </w:pPr>
      <w:r w:rsidRPr="00F1203C">
        <w:rPr>
          <w:color w:val="000000" w:themeColor="text1"/>
          <w:lang w:val="en-US"/>
        </w:rPr>
        <w:t xml:space="preserve">However, in the case that ACMA does not ensure the </w:t>
      </w:r>
      <w:r w:rsidR="00D4774A" w:rsidRPr="009B7933">
        <w:rPr>
          <w:color w:val="000000" w:themeColor="text1"/>
          <w:lang w:val="en-US"/>
        </w:rPr>
        <w:t xml:space="preserve">ongoing </w:t>
      </w:r>
      <w:r w:rsidRPr="009B7933">
        <w:rPr>
          <w:color w:val="000000" w:themeColor="text1"/>
          <w:lang w:val="en-US"/>
        </w:rPr>
        <w:t>protection</w:t>
      </w:r>
      <w:r w:rsidR="00434FFC" w:rsidRPr="009B7933">
        <w:rPr>
          <w:color w:val="000000" w:themeColor="text1"/>
          <w:lang w:val="en-US"/>
        </w:rPr>
        <w:t xml:space="preserve"> of the </w:t>
      </w:r>
      <w:proofErr w:type="spellStart"/>
      <w:r w:rsidR="009C5848" w:rsidRPr="009B7933">
        <w:rPr>
          <w:color w:val="000000" w:themeColor="text1"/>
          <w:lang w:val="en-US"/>
        </w:rPr>
        <w:t>Landsdale</w:t>
      </w:r>
      <w:proofErr w:type="spellEnd"/>
      <w:r w:rsidR="00434FFC" w:rsidRPr="009B7933">
        <w:rPr>
          <w:color w:val="000000" w:themeColor="text1"/>
          <w:lang w:val="en-US"/>
        </w:rPr>
        <w:t xml:space="preserve"> earth </w:t>
      </w:r>
      <w:r w:rsidR="00434FFC" w:rsidRPr="001341D5">
        <w:rPr>
          <w:color w:val="000000" w:themeColor="text1"/>
          <w:lang w:val="en-US"/>
        </w:rPr>
        <w:t>station</w:t>
      </w:r>
      <w:r w:rsidR="00D4774A" w:rsidRPr="009B7933">
        <w:rPr>
          <w:color w:val="000000" w:themeColor="text1"/>
          <w:lang w:val="en-US"/>
        </w:rPr>
        <w:t xml:space="preserve"> on the frequencies described above</w:t>
      </w:r>
      <w:r w:rsidR="00434FFC" w:rsidRPr="009B7933">
        <w:rPr>
          <w:color w:val="000000" w:themeColor="text1"/>
          <w:lang w:val="en-US"/>
        </w:rPr>
        <w:t xml:space="preserve">, </w:t>
      </w:r>
      <w:r w:rsidR="00434FFC" w:rsidRPr="004E117A">
        <w:rPr>
          <w:color w:val="000000" w:themeColor="text1"/>
          <w:lang w:val="en-US"/>
        </w:rPr>
        <w:t xml:space="preserve">we request that </w:t>
      </w:r>
      <w:r w:rsidR="00434FFC" w:rsidRPr="009B7933">
        <w:rPr>
          <w:color w:val="000000" w:themeColor="text1"/>
          <w:lang w:val="en-US"/>
        </w:rPr>
        <w:t xml:space="preserve">the earth station is grandfathered </w:t>
      </w:r>
      <w:r w:rsidR="00434FFC" w:rsidRPr="001341D5">
        <w:rPr>
          <w:color w:val="000000" w:themeColor="text1"/>
          <w:lang w:val="en-US"/>
        </w:rPr>
        <w:t>for 20 years (commensurate with typical sat</w:t>
      </w:r>
      <w:r w:rsidR="00434FFC" w:rsidRPr="004E117A">
        <w:rPr>
          <w:color w:val="000000" w:themeColor="text1"/>
          <w:lang w:val="en-US"/>
        </w:rPr>
        <w:t>ellite lifetime) and that any requirement to re-locate in a shorter timeframe should receive financial compensation to cover the costs of re-locating.</w:t>
      </w:r>
    </w:p>
    <w:p w:rsidR="00371695" w:rsidRDefault="00371695" w:rsidP="00A6695F"/>
    <w:p w:rsidR="00D4774A" w:rsidRDefault="00D4774A" w:rsidP="00A6695F">
      <w:r>
        <w:t xml:space="preserve">Answers to </w:t>
      </w:r>
      <w:r w:rsidR="001341D5">
        <w:t xml:space="preserve">the </w:t>
      </w:r>
      <w:r>
        <w:t>specific questions are below</w:t>
      </w:r>
      <w:r w:rsidR="0008769A">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Should the 3.6 GHz band be progressed from the preliminary replanning stage to the re-farming stage in the ACMA’s process for considering additional spectrum for MBB services? Why/Why not?</w:t>
      </w:r>
    </w:p>
    <w:p w:rsidR="00F025E1" w:rsidRPr="009B7933" w:rsidRDefault="00D4774A"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Inmarsat is content for the 3.6 GHz band to progress to the re-farming stage.  However, as described above, we do not believe that the case </w:t>
      </w:r>
      <w:r w:rsidR="0008769A" w:rsidRPr="009B7933">
        <w:rPr>
          <w:rFonts w:asciiTheme="minorHAnsi" w:hAnsiTheme="minorHAnsi"/>
          <w:sz w:val="22"/>
          <w:szCs w:val="22"/>
        </w:rPr>
        <w:t>for</w:t>
      </w:r>
      <w:r w:rsidR="0008769A" w:rsidRPr="009B7933">
        <w:rPr>
          <w:rFonts w:asciiTheme="minorHAnsi" w:hAnsiTheme="minorHAnsi"/>
          <w:sz w:val="22"/>
          <w:szCs w:val="22"/>
        </w:rPr>
        <w:t xml:space="preserve"> </w:t>
      </w:r>
      <w:r w:rsidRPr="009B7933">
        <w:rPr>
          <w:rFonts w:asciiTheme="minorHAnsi" w:hAnsiTheme="minorHAnsi"/>
          <w:sz w:val="22"/>
          <w:szCs w:val="22"/>
        </w:rPr>
        <w:t>re-</w:t>
      </w:r>
      <w:r w:rsidR="009C1907" w:rsidRPr="009B7933">
        <w:rPr>
          <w:rFonts w:asciiTheme="minorHAnsi" w:hAnsiTheme="minorHAnsi"/>
          <w:sz w:val="22"/>
          <w:szCs w:val="22"/>
        </w:rPr>
        <w:t>locating</w:t>
      </w:r>
      <w:r w:rsidRPr="009B7933">
        <w:rPr>
          <w:rFonts w:asciiTheme="minorHAnsi" w:hAnsiTheme="minorHAnsi"/>
          <w:sz w:val="22"/>
          <w:szCs w:val="22"/>
        </w:rPr>
        <w:t xml:space="preserve"> the Perth earth station has been made.  </w:t>
      </w:r>
      <w:r w:rsidR="009C1907" w:rsidRPr="009B7933">
        <w:rPr>
          <w:rFonts w:asciiTheme="minorHAnsi" w:hAnsiTheme="minorHAnsi"/>
          <w:sz w:val="22"/>
          <w:szCs w:val="22"/>
        </w:rPr>
        <w:t xml:space="preserve">On the contrary, the analysis supports the continued protection of the Perth earth station and hence </w:t>
      </w:r>
      <w:r w:rsidR="00F025E1" w:rsidRPr="009B7933">
        <w:rPr>
          <w:rFonts w:asciiTheme="minorHAnsi" w:hAnsiTheme="minorHAnsi"/>
          <w:sz w:val="22"/>
          <w:szCs w:val="22"/>
        </w:rPr>
        <w:t xml:space="preserve">FSS protection issues </w:t>
      </w:r>
      <w:r w:rsidR="009C1907" w:rsidRPr="009B7933">
        <w:rPr>
          <w:rFonts w:asciiTheme="minorHAnsi" w:hAnsiTheme="minorHAnsi"/>
          <w:sz w:val="22"/>
          <w:szCs w:val="22"/>
        </w:rPr>
        <w:t xml:space="preserve">should be </w:t>
      </w:r>
      <w:r w:rsidR="00F025E1" w:rsidRPr="009B7933">
        <w:rPr>
          <w:rFonts w:asciiTheme="minorHAnsi" w:hAnsiTheme="minorHAnsi"/>
          <w:sz w:val="22"/>
          <w:szCs w:val="22"/>
        </w:rPr>
        <w:t>appropriately addressed</w:t>
      </w:r>
      <w:r w:rsidR="009C1907"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Do the areas identified in this analysis cover the likely areas of high demand for access to the 3.6 GHz band? Would smaller or larger areas be more appropriate? Why?</w:t>
      </w:r>
    </w:p>
    <w:p w:rsidR="00F025E1" w:rsidRPr="009B7933" w:rsidRDefault="009C1907"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Inmarsat does not </w:t>
      </w:r>
      <w:r w:rsidR="00F025E1" w:rsidRPr="009B7933">
        <w:rPr>
          <w:rFonts w:asciiTheme="minorHAnsi" w:hAnsiTheme="minorHAnsi"/>
          <w:sz w:val="22"/>
          <w:szCs w:val="22"/>
        </w:rPr>
        <w:t xml:space="preserve">comment </w:t>
      </w:r>
      <w:r w:rsidRPr="009B7933">
        <w:rPr>
          <w:rFonts w:asciiTheme="minorHAnsi" w:hAnsiTheme="minorHAnsi"/>
          <w:sz w:val="22"/>
          <w:szCs w:val="22"/>
        </w:rPr>
        <w:t xml:space="preserve">further here </w:t>
      </w:r>
      <w:r w:rsidR="00F025E1" w:rsidRPr="009B7933">
        <w:rPr>
          <w:rFonts w:asciiTheme="minorHAnsi" w:hAnsiTheme="minorHAnsi"/>
          <w:sz w:val="22"/>
          <w:szCs w:val="22"/>
        </w:rPr>
        <w:t xml:space="preserve">on the demand for terrestrial services. In some cases, breaking up areas may be appropriate to </w:t>
      </w:r>
      <w:r w:rsidRPr="009B7933">
        <w:rPr>
          <w:rFonts w:asciiTheme="minorHAnsi" w:hAnsiTheme="minorHAnsi"/>
          <w:sz w:val="22"/>
          <w:szCs w:val="22"/>
        </w:rPr>
        <w:t xml:space="preserve">define areas where </w:t>
      </w:r>
      <w:r w:rsidR="00F025E1" w:rsidRPr="009B7933">
        <w:rPr>
          <w:rFonts w:asciiTheme="minorHAnsi" w:hAnsiTheme="minorHAnsi"/>
          <w:sz w:val="22"/>
          <w:szCs w:val="22"/>
        </w:rPr>
        <w:t>protection of other services</w:t>
      </w:r>
      <w:r w:rsidRPr="009B7933">
        <w:rPr>
          <w:rFonts w:asciiTheme="minorHAnsi" w:hAnsiTheme="minorHAnsi"/>
          <w:sz w:val="22"/>
          <w:szCs w:val="22"/>
        </w:rPr>
        <w:t xml:space="preserve"> is required</w:t>
      </w:r>
      <w:r w:rsidR="00F025E1" w:rsidRPr="009B7933">
        <w:rPr>
          <w:rFonts w:asciiTheme="minorHAnsi" w:hAnsiTheme="minorHAnsi"/>
          <w:sz w:val="22"/>
          <w:szCs w:val="22"/>
        </w:rPr>
        <w:t xml:space="preserve">. </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If any part of the 3.6 GHz band is re-allocated for the issue of spectrum licences is seven years a suitable re-allocation period? If not, what period of time would be appropriate?</w:t>
      </w:r>
    </w:p>
    <w:p w:rsidR="009C1907" w:rsidRPr="009B7933" w:rsidRDefault="009C1907"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As </w:t>
      </w:r>
      <w:r w:rsidR="0008769A" w:rsidRPr="009B7933">
        <w:rPr>
          <w:rFonts w:asciiTheme="minorHAnsi" w:hAnsiTheme="minorHAnsi"/>
          <w:sz w:val="22"/>
          <w:szCs w:val="22"/>
        </w:rPr>
        <w:t>explained</w:t>
      </w:r>
      <w:r w:rsidR="0008769A" w:rsidRPr="009B7933">
        <w:rPr>
          <w:rFonts w:asciiTheme="minorHAnsi" w:hAnsiTheme="minorHAnsi"/>
          <w:sz w:val="22"/>
          <w:szCs w:val="22"/>
        </w:rPr>
        <w:t xml:space="preserve"> </w:t>
      </w:r>
      <w:r w:rsidRPr="009B7933">
        <w:rPr>
          <w:rFonts w:asciiTheme="minorHAnsi" w:hAnsiTheme="minorHAnsi"/>
          <w:sz w:val="22"/>
          <w:szCs w:val="22"/>
        </w:rPr>
        <w:t>above</w:t>
      </w:r>
      <w:r w:rsidR="00C9459A" w:rsidRPr="009B7933">
        <w:rPr>
          <w:rFonts w:asciiTheme="minorHAnsi" w:hAnsiTheme="minorHAnsi"/>
          <w:sz w:val="22"/>
          <w:szCs w:val="22"/>
        </w:rPr>
        <w:t xml:space="preserve">, Inmarsat does not believe that re-allocation for exclusive spectrum licences is justified or necessary.  Spectrum licences </w:t>
      </w:r>
      <w:r w:rsidR="002E31DD" w:rsidRPr="009B7933">
        <w:rPr>
          <w:rFonts w:asciiTheme="minorHAnsi" w:hAnsiTheme="minorHAnsi"/>
          <w:sz w:val="22"/>
          <w:szCs w:val="22"/>
        </w:rPr>
        <w:t xml:space="preserve">or wide area apparatus licences </w:t>
      </w:r>
      <w:r w:rsidR="00C9459A" w:rsidRPr="009B7933">
        <w:rPr>
          <w:rFonts w:asciiTheme="minorHAnsi" w:hAnsiTheme="minorHAnsi"/>
          <w:sz w:val="22"/>
          <w:szCs w:val="22"/>
        </w:rPr>
        <w:t xml:space="preserve">could be designed for MBB operations in Perth that would continue to protect the Landsdale earth station.  If the AMCA is </w:t>
      </w:r>
      <w:r w:rsidR="001341D5" w:rsidRPr="009B7933">
        <w:rPr>
          <w:rFonts w:asciiTheme="minorHAnsi" w:hAnsiTheme="minorHAnsi"/>
          <w:sz w:val="22"/>
          <w:szCs w:val="22"/>
        </w:rPr>
        <w:t xml:space="preserve">considering </w:t>
      </w:r>
      <w:r w:rsidR="00C9459A" w:rsidRPr="009B7933">
        <w:rPr>
          <w:rFonts w:asciiTheme="minorHAnsi" w:hAnsiTheme="minorHAnsi"/>
          <w:sz w:val="22"/>
          <w:szCs w:val="22"/>
        </w:rPr>
        <w:t xml:space="preserve">eventually ceasing protection of the Landsdale earth station, we believe that ongoing protection for 20 years is justifiable, considering that 20 years is a typical lifetime of a satellite and future Inmarsat satellites will have C-band feeder links.  If the ACMA wishes to shorten the protection period, it would seem justified that compensation is provided to cover the cost of re-locating.  If the economic case did support such action, then clearly the benefits from the reduced restrictions on MBB would outweigh the </w:t>
      </w:r>
      <w:r w:rsidR="002E31DD" w:rsidRPr="009B7933">
        <w:rPr>
          <w:rFonts w:asciiTheme="minorHAnsi" w:hAnsiTheme="minorHAnsi"/>
          <w:sz w:val="22"/>
          <w:szCs w:val="22"/>
        </w:rPr>
        <w:t xml:space="preserve">sums paid to earth station operators for </w:t>
      </w:r>
      <w:r w:rsidR="003644AE" w:rsidRPr="009B7933">
        <w:rPr>
          <w:rFonts w:asciiTheme="minorHAnsi" w:hAnsiTheme="minorHAnsi"/>
          <w:sz w:val="22"/>
          <w:szCs w:val="22"/>
        </w:rPr>
        <w:t>re-location costs.</w:t>
      </w:r>
      <w:r w:rsidR="00C9459A" w:rsidRPr="009B7933">
        <w:rPr>
          <w:rFonts w:asciiTheme="minorHAnsi" w:hAnsiTheme="minorHAnsi"/>
          <w:sz w:val="22"/>
          <w:szCs w:val="22"/>
        </w:rPr>
        <w:t xml:space="preserve"> </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Should different re-allocation periods be considered for different areas? For example, should a longer period be considered for services outside Area 1?</w:t>
      </w:r>
    </w:p>
    <w:p w:rsidR="00F025E1" w:rsidRPr="009B7933" w:rsidRDefault="002E31DD"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Are these guidelines appropriate? Why?</w:t>
      </w:r>
    </w:p>
    <w:p w:rsidR="00F025E1" w:rsidRPr="009B7933" w:rsidRDefault="002E31DD"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lastRenderedPageBreak/>
        <w:t xml:space="preserve">With regard to protection of the Landsdale earth station, the geographic areas to be defined are (1) the area within which MBB </w:t>
      </w:r>
      <w:r w:rsidR="006D299C" w:rsidRPr="009B7933">
        <w:rPr>
          <w:rFonts w:asciiTheme="minorHAnsi" w:hAnsiTheme="minorHAnsi"/>
          <w:sz w:val="22"/>
          <w:szCs w:val="22"/>
        </w:rPr>
        <w:t xml:space="preserve">in certain frequency bands </w:t>
      </w:r>
      <w:r w:rsidRPr="009B7933">
        <w:rPr>
          <w:rFonts w:asciiTheme="minorHAnsi" w:hAnsiTheme="minorHAnsi"/>
          <w:sz w:val="22"/>
          <w:szCs w:val="22"/>
        </w:rPr>
        <w:t xml:space="preserve">is limited to small-cell base stations and </w:t>
      </w:r>
      <w:r w:rsidR="004B743F" w:rsidRPr="009B7933">
        <w:rPr>
          <w:rFonts w:asciiTheme="minorHAnsi" w:hAnsiTheme="minorHAnsi"/>
          <w:sz w:val="22"/>
          <w:szCs w:val="22"/>
        </w:rPr>
        <w:t xml:space="preserve">(2) </w:t>
      </w:r>
      <w:r w:rsidRPr="009B7933">
        <w:rPr>
          <w:rFonts w:asciiTheme="minorHAnsi" w:hAnsiTheme="minorHAnsi"/>
          <w:sz w:val="22"/>
          <w:szCs w:val="22"/>
        </w:rPr>
        <w:t xml:space="preserve">the area close to the Landsdale where small-cell base stations require additional coordination.  </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Are there any other issues that affect the usability of an area-wide licence that should be taken into account when defining the licence area?</w:t>
      </w:r>
    </w:p>
    <w:p w:rsidR="00F025E1" w:rsidRPr="009B7933" w:rsidRDefault="006D299C"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If point-to-point licences are affected by replanning activities in the 3.6 GHz band, are the options identified for point-to-point licences suitable? Are there any alternative options that should be considered?</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r w:rsidR="0008769A"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Is the 5.6 GHz band a viable option for wireless broadband systems?</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r w:rsidR="0008769A"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Under what circumstances should apparatus- and class-licensed arrangements be considered for the 5.6 GHz band?</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r w:rsidR="0008769A"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If apparatus licensing arrangements are developed for wireless broadband systems in the 5.6 GHz band, are the notional arrangements proposed in Appendix 3 suitable?</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r w:rsidR="0008769A"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If point-to-multipoint licences are affected by replanning activities in the 3.6 GHz band, are the alternative options identified suitable? Are there any alternative options that should be considered?</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r w:rsidR="0008769A"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The ACMA seeks comment on the suitability of the current west coast earth station protection zone located near Mingenew, WA, for long-term satellite service use. Are the current regulatory arrangements effective?</w:t>
      </w:r>
    </w:p>
    <w:p w:rsidR="00F025E1" w:rsidRPr="009B7933" w:rsidRDefault="006D299C"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r w:rsidR="0008769A" w:rsidRPr="009B7933">
        <w:rPr>
          <w:rFonts w:asciiTheme="minorHAnsi" w:hAnsiTheme="minorHAnsi"/>
          <w:sz w:val="22"/>
          <w:szCs w:val="22"/>
        </w:rPr>
        <w: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 xml:space="preserve">In the event FSS earth stations are affected by replanning activities in the 3.6 GHz band, the ACMA seeks comment on: </w:t>
      </w:r>
    </w:p>
    <w:p w:rsidR="00F025E1" w:rsidRPr="009B7933" w:rsidRDefault="00F025E1" w:rsidP="00F025E1">
      <w:pPr>
        <w:pStyle w:val="ListNumber2"/>
        <w:ind w:hanging="419"/>
        <w:rPr>
          <w:rFonts w:asciiTheme="minorHAnsi" w:hAnsiTheme="minorHAnsi"/>
          <w:i/>
          <w:sz w:val="22"/>
          <w:szCs w:val="22"/>
        </w:rPr>
      </w:pPr>
      <w:r w:rsidRPr="009B7933">
        <w:rPr>
          <w:rFonts w:asciiTheme="minorHAnsi" w:hAnsiTheme="minorHAnsi"/>
          <w:i/>
          <w:sz w:val="22"/>
          <w:szCs w:val="22"/>
        </w:rPr>
        <w:t>Any issues surrounding the development and establishment of an east coast earth station protection zone; particularly on what factors would be necessary to make it an attractive option for earth station operations.</w:t>
      </w:r>
    </w:p>
    <w:p w:rsidR="00F025E1" w:rsidRPr="009B7933" w:rsidRDefault="00F025E1" w:rsidP="00F025E1">
      <w:pPr>
        <w:pStyle w:val="ListNumber2"/>
        <w:numPr>
          <w:ilvl w:val="0"/>
          <w:numId w:val="0"/>
        </w:numPr>
        <w:ind w:left="845"/>
        <w:rPr>
          <w:rFonts w:asciiTheme="minorHAnsi" w:hAnsiTheme="minorHAnsi"/>
          <w:sz w:val="22"/>
          <w:szCs w:val="22"/>
        </w:rPr>
      </w:pPr>
      <w:r w:rsidRPr="009B7933">
        <w:rPr>
          <w:rFonts w:asciiTheme="minorHAnsi" w:hAnsiTheme="minorHAnsi"/>
          <w:sz w:val="22"/>
          <w:szCs w:val="22"/>
        </w:rPr>
        <w:t>No comment</w:t>
      </w:r>
      <w:r w:rsidR="00A96D12" w:rsidRPr="009B7933">
        <w:rPr>
          <w:rFonts w:asciiTheme="minorHAnsi" w:hAnsiTheme="minorHAnsi"/>
          <w:sz w:val="22"/>
          <w:szCs w:val="22"/>
        </w:rPr>
        <w:t>.</w:t>
      </w:r>
    </w:p>
    <w:p w:rsidR="00F025E1" w:rsidRPr="009B7933" w:rsidRDefault="00F025E1" w:rsidP="00F025E1">
      <w:pPr>
        <w:pStyle w:val="ListNumber2"/>
        <w:ind w:hanging="419"/>
        <w:rPr>
          <w:rFonts w:asciiTheme="minorHAnsi" w:hAnsiTheme="minorHAnsi"/>
          <w:i/>
          <w:sz w:val="22"/>
          <w:szCs w:val="22"/>
        </w:rPr>
      </w:pPr>
      <w:r w:rsidRPr="009B7933">
        <w:rPr>
          <w:rFonts w:asciiTheme="minorHAnsi" w:hAnsiTheme="minorHAnsi" w:cstheme="minorBidi"/>
          <w:i/>
          <w:sz w:val="22"/>
          <w:szCs w:val="22"/>
        </w:rPr>
        <w:t>Whether</w:t>
      </w:r>
      <w:r w:rsidRPr="009B7933">
        <w:rPr>
          <w:rFonts w:asciiTheme="minorHAnsi" w:hAnsiTheme="minorHAnsi"/>
          <w:i/>
          <w:sz w:val="22"/>
          <w:szCs w:val="22"/>
        </w:rPr>
        <w:t xml:space="preserve"> there are any views on potential candidate locations to consider.</w:t>
      </w:r>
    </w:p>
    <w:p w:rsidR="00F025E1" w:rsidRPr="009B7933" w:rsidRDefault="00F025E1" w:rsidP="00F025E1">
      <w:pPr>
        <w:pStyle w:val="ListNumber2"/>
        <w:numPr>
          <w:ilvl w:val="0"/>
          <w:numId w:val="0"/>
        </w:numPr>
        <w:ind w:left="845"/>
        <w:rPr>
          <w:rFonts w:asciiTheme="minorHAnsi" w:hAnsiTheme="minorHAnsi"/>
          <w:sz w:val="22"/>
          <w:szCs w:val="22"/>
        </w:rPr>
      </w:pPr>
      <w:r w:rsidRPr="009B7933">
        <w:rPr>
          <w:rFonts w:asciiTheme="minorHAnsi" w:hAnsiTheme="minorHAnsi"/>
          <w:sz w:val="22"/>
          <w:szCs w:val="22"/>
        </w:rPr>
        <w:t>No comment</w:t>
      </w:r>
      <w:r w:rsidR="00A96D12" w:rsidRPr="009B7933">
        <w:rPr>
          <w:rFonts w:asciiTheme="minorHAnsi" w:hAnsiTheme="minorHAnsi"/>
          <w:sz w:val="22"/>
          <w:szCs w:val="22"/>
        </w:rPr>
        <w:t>.</w:t>
      </w:r>
    </w:p>
    <w:p w:rsidR="00F025E1" w:rsidRPr="009B7933" w:rsidRDefault="00F025E1" w:rsidP="00F025E1">
      <w:pPr>
        <w:pStyle w:val="ListNumber2"/>
        <w:ind w:hanging="419"/>
        <w:rPr>
          <w:rFonts w:asciiTheme="minorHAnsi" w:hAnsiTheme="minorHAnsi"/>
          <w:i/>
          <w:sz w:val="22"/>
          <w:szCs w:val="22"/>
        </w:rPr>
      </w:pPr>
      <w:r w:rsidRPr="009B7933">
        <w:rPr>
          <w:rFonts w:asciiTheme="minorHAnsi" w:hAnsiTheme="minorHAnsi" w:cstheme="minorBidi"/>
          <w:i/>
          <w:sz w:val="22"/>
          <w:szCs w:val="22"/>
        </w:rPr>
        <w:t>Whether there should there be more than one earth station protection zone on the east an</w:t>
      </w:r>
      <w:r w:rsidRPr="009B7933">
        <w:rPr>
          <w:rFonts w:asciiTheme="minorHAnsi" w:hAnsiTheme="minorHAnsi"/>
          <w:i/>
          <w:sz w:val="22"/>
          <w:szCs w:val="22"/>
        </w:rPr>
        <w:t>d west coasts of Australia.</w:t>
      </w:r>
    </w:p>
    <w:p w:rsidR="00F025E1" w:rsidRPr="009B7933" w:rsidRDefault="00A96D12" w:rsidP="00F025E1">
      <w:pPr>
        <w:pStyle w:val="ListNumber2"/>
        <w:numPr>
          <w:ilvl w:val="0"/>
          <w:numId w:val="0"/>
        </w:numPr>
        <w:ind w:left="845"/>
        <w:rPr>
          <w:rFonts w:asciiTheme="minorHAnsi" w:hAnsiTheme="minorHAnsi"/>
          <w:sz w:val="22"/>
          <w:szCs w:val="22"/>
        </w:rPr>
      </w:pPr>
      <w:r w:rsidRPr="009B7933">
        <w:rPr>
          <w:rFonts w:asciiTheme="minorHAnsi" w:hAnsiTheme="minorHAnsi"/>
          <w:sz w:val="22"/>
          <w:szCs w:val="22"/>
        </w:rPr>
        <w:t>Inmarsat would support the provision of additional zones on the east and west coasts.  However, as stated previously regarding the ACMA consultation on earth station siting, Inmarsat is not in favour of any forced migration of current earth station</w:t>
      </w:r>
      <w:r w:rsidR="001341D5" w:rsidRPr="009B7933">
        <w:rPr>
          <w:rFonts w:asciiTheme="minorHAnsi" w:hAnsiTheme="minorHAnsi"/>
          <w:sz w:val="22"/>
          <w:szCs w:val="22"/>
        </w:rPr>
        <w:t>s</w:t>
      </w:r>
      <w:r w:rsidRPr="009B7933">
        <w:rPr>
          <w:rFonts w:asciiTheme="minorHAnsi" w:hAnsiTheme="minorHAnsi"/>
          <w:sz w:val="22"/>
          <w:szCs w:val="22"/>
        </w:rPr>
        <w:t xml:space="preserve"> to </w:t>
      </w:r>
      <w:r w:rsidR="0008769A" w:rsidRPr="009B7933">
        <w:rPr>
          <w:rFonts w:asciiTheme="minorHAnsi" w:hAnsiTheme="minorHAnsi"/>
          <w:sz w:val="22"/>
          <w:szCs w:val="22"/>
        </w:rPr>
        <w:t xml:space="preserve">the </w:t>
      </w:r>
      <w:r w:rsidRPr="009B7933">
        <w:rPr>
          <w:rFonts w:asciiTheme="minorHAnsi" w:hAnsiTheme="minorHAnsi"/>
          <w:sz w:val="22"/>
          <w:szCs w:val="22"/>
        </w:rPr>
        <w:t>protection zones.</w:t>
      </w:r>
    </w:p>
    <w:p w:rsidR="00F025E1" w:rsidRPr="009B7933" w:rsidRDefault="00F025E1" w:rsidP="00F025E1">
      <w:pPr>
        <w:pStyle w:val="ListNumber2"/>
        <w:ind w:hanging="419"/>
        <w:rPr>
          <w:rFonts w:asciiTheme="minorHAnsi" w:hAnsiTheme="minorHAnsi"/>
          <w:i/>
          <w:sz w:val="22"/>
          <w:szCs w:val="22"/>
        </w:rPr>
      </w:pPr>
      <w:r w:rsidRPr="009B7933">
        <w:rPr>
          <w:rFonts w:asciiTheme="minorHAnsi" w:hAnsiTheme="minorHAnsi"/>
          <w:i/>
          <w:sz w:val="22"/>
          <w:szCs w:val="22"/>
        </w:rPr>
        <w:t>If the identification of a central Australia earth station zone should be considered.</w:t>
      </w:r>
    </w:p>
    <w:p w:rsidR="00F025E1" w:rsidRPr="009B7933" w:rsidRDefault="00A96D12" w:rsidP="00F025E1">
      <w:pPr>
        <w:pStyle w:val="ListNumber2"/>
        <w:numPr>
          <w:ilvl w:val="0"/>
          <w:numId w:val="0"/>
        </w:numPr>
        <w:ind w:left="845"/>
        <w:rPr>
          <w:rFonts w:asciiTheme="minorHAnsi" w:hAnsiTheme="minorHAnsi"/>
          <w:sz w:val="22"/>
          <w:szCs w:val="22"/>
        </w:rPr>
      </w:pPr>
      <w:r w:rsidRPr="009B7933">
        <w:rPr>
          <w:rFonts w:asciiTheme="minorHAnsi" w:hAnsiTheme="minorHAnsi"/>
          <w:sz w:val="22"/>
          <w:szCs w:val="22"/>
        </w:rPr>
        <w:t>No comment.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Are the approaches for amateurs, radiolocation services, class licensed devices and TVRO systems suitable?</w:t>
      </w:r>
    </w:p>
    <w:p w:rsidR="00F025E1" w:rsidRPr="009B7933" w:rsidRDefault="00A96D12"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 xml:space="preserve">Are there any other options for incumbent services, not identified in this paper, which should be considered? </w:t>
      </w:r>
    </w:p>
    <w:p w:rsidR="00F025E1" w:rsidRPr="009B7933" w:rsidRDefault="00515306"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Should any of the sharing arrangements discussed in this section be considered for implementation in the 3.6 GHz band? Why or why not?</w:t>
      </w:r>
    </w:p>
    <w:p w:rsidR="00515306" w:rsidRPr="009B7933" w:rsidRDefault="00515306"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lastRenderedPageBreak/>
        <w:t xml:space="preserve">The FCC arrangements place existing FSS earth stations in “Tier 1”, which gives them grandfathered protection </w:t>
      </w:r>
      <w:r w:rsidR="00EA05C7" w:rsidRPr="009B7933">
        <w:rPr>
          <w:rFonts w:asciiTheme="minorHAnsi" w:hAnsiTheme="minorHAnsi"/>
          <w:sz w:val="22"/>
          <w:szCs w:val="22"/>
        </w:rPr>
        <w:t>from</w:t>
      </w:r>
      <w:r w:rsidR="00EA05C7" w:rsidRPr="009B7933">
        <w:rPr>
          <w:rFonts w:asciiTheme="minorHAnsi" w:hAnsiTheme="minorHAnsi"/>
          <w:sz w:val="22"/>
          <w:szCs w:val="22"/>
        </w:rPr>
        <w:t xml:space="preserve"> </w:t>
      </w:r>
      <w:r w:rsidRPr="009B7933">
        <w:rPr>
          <w:rFonts w:asciiTheme="minorHAnsi" w:hAnsiTheme="minorHAnsi"/>
          <w:sz w:val="22"/>
          <w:szCs w:val="22"/>
        </w:rPr>
        <w:t>new MBB applications.  Inmarsat is proposing a similar approach in Australia for Landsdale.</w:t>
      </w:r>
    </w:p>
    <w:p w:rsidR="00515306" w:rsidRPr="009B7933" w:rsidRDefault="00515306"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The ECC “licensed shared access” approach is also based on defining protection for incumbent services, while allowing a newcomer to operate in the same frequency band.  A more prescriptive implementation of this approach</w:t>
      </w:r>
      <w:r w:rsidR="0008769A" w:rsidRPr="009B7933">
        <w:rPr>
          <w:rFonts w:asciiTheme="minorHAnsi" w:hAnsiTheme="minorHAnsi"/>
          <w:sz w:val="22"/>
          <w:szCs w:val="22"/>
        </w:rPr>
        <w:t>, specifically for the band 3600-3800 MHz</w:t>
      </w:r>
      <w:r w:rsidRPr="009B7933">
        <w:rPr>
          <w:rFonts w:asciiTheme="minorHAnsi" w:hAnsiTheme="minorHAnsi"/>
          <w:sz w:val="22"/>
          <w:szCs w:val="22"/>
        </w:rPr>
        <w:t xml:space="preserve"> is described in ECC Report 254 could also be considered as a methodology to define FSS earth station protection requirements.</w:t>
      </w:r>
    </w:p>
    <w:p w:rsidR="00515306" w:rsidRPr="009B7933" w:rsidRDefault="00515306"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Both the CEPT and FCC framework are based on authorising the C-band spectrum for MBB while protecting incumbent operations, including FSS earth stations.  This should be the general approach adopted by the ACMA.  </w:t>
      </w:r>
      <w:r w:rsidR="00020C2B" w:rsidRPr="009B7933">
        <w:rPr>
          <w:rFonts w:asciiTheme="minorHAnsi" w:hAnsiTheme="minorHAnsi"/>
          <w:sz w:val="22"/>
          <w:szCs w:val="22"/>
        </w:rPr>
        <w:t>Regarding the more detailed aspect of how the protection measures are defined and implemented, Inmarsat considers that the definition of the restricted deployment areas outlined above, provides the right balance of simplicity versus flexibility</w:t>
      </w:r>
      <w:r w:rsidR="0008769A" w:rsidRPr="009B7933">
        <w:rPr>
          <w:rFonts w:asciiTheme="minorHAnsi" w:hAnsiTheme="minorHAnsi"/>
          <w:sz w:val="22"/>
          <w:szCs w:val="22"/>
        </w:rPr>
        <w:t>, b</w:t>
      </w:r>
      <w:r w:rsidR="00020C2B" w:rsidRPr="009B7933">
        <w:rPr>
          <w:rFonts w:asciiTheme="minorHAnsi" w:hAnsiTheme="minorHAnsi"/>
          <w:sz w:val="22"/>
          <w:szCs w:val="22"/>
        </w:rPr>
        <w:t>ut Inmarsat would be happy to develop licence conditions based on the ECC Report 254 approach.</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 xml:space="preserve">Are there any other sharing arrangements that should be considered? </w:t>
      </w:r>
    </w:p>
    <w:p w:rsidR="00F025E1" w:rsidRPr="009B7933" w:rsidRDefault="00020C2B"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No comment.</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Are there any other replanning options that should be considered?</w:t>
      </w:r>
    </w:p>
    <w:p w:rsidR="00F025E1" w:rsidRPr="009B7933" w:rsidRDefault="00515306"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The approach put forward by Inmarsat is similar to Option 4b, except that for the protected frequency sub-bands at Landsdale, those frequencies could be available for spectrum licences, but subject to the described protection requirements for the Landsdale earth station.</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Which replanning option should be implemented in the band? Why?</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Any option that allows the incumbent services to continue to operate unaffected is acceptable for Inmarsat, noting that this is possible without substantial impact on the deployment of </w:t>
      </w:r>
      <w:r w:rsidR="00020C2B" w:rsidRPr="009B7933">
        <w:rPr>
          <w:rFonts w:asciiTheme="minorHAnsi" w:hAnsiTheme="minorHAnsi"/>
          <w:sz w:val="22"/>
          <w:szCs w:val="22"/>
        </w:rPr>
        <w:t>MBB</w:t>
      </w:r>
      <w:r w:rsidRPr="009B7933">
        <w:rPr>
          <w:rFonts w:asciiTheme="minorHAnsi" w:hAnsiTheme="minorHAnsi"/>
          <w:sz w:val="22"/>
          <w:szCs w:val="22"/>
        </w:rPr>
        <w:t xml:space="preserve"> systems, since exclusion zones will be limited, </w:t>
      </w:r>
      <w:r w:rsidR="00020C2B" w:rsidRPr="009B7933">
        <w:rPr>
          <w:rFonts w:asciiTheme="minorHAnsi" w:hAnsiTheme="minorHAnsi"/>
          <w:sz w:val="22"/>
          <w:szCs w:val="22"/>
        </w:rPr>
        <w:t xml:space="preserve">and </w:t>
      </w:r>
      <w:r w:rsidRPr="009B7933">
        <w:rPr>
          <w:rFonts w:asciiTheme="minorHAnsi" w:hAnsiTheme="minorHAnsi"/>
          <w:sz w:val="22"/>
          <w:szCs w:val="22"/>
        </w:rPr>
        <w:t>will only affect portions of the 3.6 GHz band.</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 xml:space="preserve">In the event an area-wide licensing option is implemented, in which of the defined areas (that is, Area 1, 2, 3 and Australia-wide as defined in Appendix 6) should these arrangements be implemented? Are the current area definitions appropriate? If not, what area should be defined? </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Areas can be defined with reference to existing FSS Earth station locations to allow these stations to continue to operate. </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If Option 4a is implemented, what frequencies and areas should be re-allocated for the issue of spectrum licences? How much spectrum should remain subject to site-based apparatus licensing arrangements? Should different amounts be considered in different areas?</w:t>
      </w:r>
    </w:p>
    <w:p w:rsidR="00F025E1" w:rsidRPr="009B7933" w:rsidRDefault="008F7DFD"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Inmarsat has described the frequencies for which it seeks protection of earth station operations above and under Option 4a the other sub-band in the 3.6 GHz band would be available for spectrum licences.  The frequencies could vary for other locations, where other earth stations have different frequency bands that require protection.  </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If Option 4b is implemented, what frequencies and areas (that is, incumbent apparatus licence services) should remain subject to site-based apparatus licensing arrangements?</w:t>
      </w:r>
    </w:p>
    <w:p w:rsidR="00F025E1" w:rsidRPr="009B7933" w:rsidRDefault="00020C2B"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If </w:t>
      </w:r>
      <w:r w:rsidR="00F025E1" w:rsidRPr="009B7933">
        <w:rPr>
          <w:rFonts w:asciiTheme="minorHAnsi" w:hAnsiTheme="minorHAnsi"/>
          <w:sz w:val="22"/>
          <w:szCs w:val="22"/>
        </w:rPr>
        <w:t xml:space="preserve">Option 4b </w:t>
      </w:r>
      <w:r w:rsidRPr="009B7933">
        <w:rPr>
          <w:rFonts w:asciiTheme="minorHAnsi" w:hAnsiTheme="minorHAnsi"/>
          <w:sz w:val="22"/>
          <w:szCs w:val="22"/>
        </w:rPr>
        <w:t xml:space="preserve">is pursued, the protected frequencies could remain subject to site-based licensing arrangements.  However </w:t>
      </w:r>
      <w:r w:rsidR="008F7DFD" w:rsidRPr="009B7933">
        <w:rPr>
          <w:rFonts w:asciiTheme="minorHAnsi" w:hAnsiTheme="minorHAnsi"/>
          <w:sz w:val="22"/>
          <w:szCs w:val="22"/>
        </w:rPr>
        <w:t xml:space="preserve">under </w:t>
      </w:r>
      <w:r w:rsidRPr="009B7933">
        <w:rPr>
          <w:rFonts w:asciiTheme="minorHAnsi" w:hAnsiTheme="minorHAnsi"/>
          <w:sz w:val="22"/>
          <w:szCs w:val="22"/>
        </w:rPr>
        <w:t>the approach put forward by Inmarsat</w:t>
      </w:r>
      <w:r w:rsidR="008F7DFD" w:rsidRPr="009B7933">
        <w:rPr>
          <w:rFonts w:asciiTheme="minorHAnsi" w:hAnsiTheme="minorHAnsi"/>
          <w:sz w:val="22"/>
          <w:szCs w:val="22"/>
        </w:rPr>
        <w:t xml:space="preserve">, the protected frequencies could </w:t>
      </w:r>
      <w:r w:rsidR="001341D5" w:rsidRPr="009B7933">
        <w:rPr>
          <w:rFonts w:asciiTheme="minorHAnsi" w:hAnsiTheme="minorHAnsi"/>
          <w:sz w:val="22"/>
          <w:szCs w:val="22"/>
        </w:rPr>
        <w:t xml:space="preserve">alternatively </w:t>
      </w:r>
      <w:r w:rsidR="008F7DFD" w:rsidRPr="009B7933">
        <w:rPr>
          <w:rFonts w:asciiTheme="minorHAnsi" w:hAnsiTheme="minorHAnsi"/>
          <w:sz w:val="22"/>
          <w:szCs w:val="22"/>
        </w:rPr>
        <w:t xml:space="preserve">be subject to spectrum licences, subject to protection of </w:t>
      </w:r>
      <w:r w:rsidR="00F025E1" w:rsidRPr="009B7933">
        <w:rPr>
          <w:rFonts w:asciiTheme="minorHAnsi" w:hAnsiTheme="minorHAnsi"/>
          <w:sz w:val="22"/>
          <w:szCs w:val="22"/>
        </w:rPr>
        <w:t>existing FSS Earth station sites</w:t>
      </w:r>
      <w:r w:rsidR="008F7DFD" w:rsidRPr="009B7933">
        <w:rPr>
          <w:rFonts w:asciiTheme="minorHAnsi" w:hAnsiTheme="minorHAnsi"/>
          <w:sz w:val="22"/>
          <w:szCs w:val="22"/>
        </w:rPr>
        <w:t>.</w:t>
      </w:r>
      <w:r w:rsidR="00F025E1" w:rsidRPr="009B7933">
        <w:rPr>
          <w:rFonts w:asciiTheme="minorHAnsi" w:hAnsiTheme="minorHAnsi"/>
          <w:sz w:val="22"/>
          <w:szCs w:val="22"/>
        </w:rPr>
        <w:t xml:space="preserve"> </w:t>
      </w:r>
    </w:p>
    <w:p w:rsidR="00F025E1" w:rsidRPr="009B7933" w:rsidRDefault="00F025E1" w:rsidP="00F025E1">
      <w:pPr>
        <w:pStyle w:val="ListNumber"/>
        <w:rPr>
          <w:rFonts w:asciiTheme="minorHAnsi" w:hAnsiTheme="minorHAnsi"/>
          <w:i/>
          <w:sz w:val="22"/>
          <w:szCs w:val="22"/>
        </w:rPr>
      </w:pPr>
      <w:r w:rsidRPr="009B7933">
        <w:rPr>
          <w:rFonts w:asciiTheme="minorHAnsi" w:hAnsiTheme="minorHAnsi"/>
          <w:i/>
          <w:sz w:val="22"/>
          <w:szCs w:val="22"/>
        </w:rPr>
        <w:t xml:space="preserve">Comment is sought on the ACMA’s preferred option (Option 3c) for the 3.6 GHz band. </w:t>
      </w:r>
    </w:p>
    <w:p w:rsidR="00F025E1" w:rsidRPr="009B7933" w:rsidRDefault="00F025E1" w:rsidP="00F025E1">
      <w:pPr>
        <w:pStyle w:val="ListNumber"/>
        <w:numPr>
          <w:ilvl w:val="0"/>
          <w:numId w:val="0"/>
        </w:numPr>
        <w:ind w:left="360"/>
        <w:rPr>
          <w:rFonts w:asciiTheme="minorHAnsi" w:hAnsiTheme="minorHAnsi"/>
          <w:sz w:val="22"/>
          <w:szCs w:val="22"/>
        </w:rPr>
      </w:pPr>
      <w:r w:rsidRPr="009B7933">
        <w:rPr>
          <w:rFonts w:asciiTheme="minorHAnsi" w:hAnsiTheme="minorHAnsi"/>
          <w:sz w:val="22"/>
          <w:szCs w:val="22"/>
        </w:rPr>
        <w:t xml:space="preserve">This option has a disastrous impact on FSS operations. However, this impact can be removed by combining Option 3c with Option 4b to protect existing FSS Earth station sites. This will have limited impact on </w:t>
      </w:r>
      <w:r w:rsidR="00AD0CA0" w:rsidRPr="009B7933">
        <w:rPr>
          <w:rFonts w:asciiTheme="minorHAnsi" w:hAnsiTheme="minorHAnsi"/>
          <w:sz w:val="22"/>
          <w:szCs w:val="22"/>
        </w:rPr>
        <w:t>MBB</w:t>
      </w:r>
      <w:r w:rsidRPr="009B7933">
        <w:rPr>
          <w:rFonts w:asciiTheme="minorHAnsi" w:hAnsiTheme="minorHAnsi"/>
          <w:sz w:val="22"/>
          <w:szCs w:val="22"/>
        </w:rPr>
        <w:t xml:space="preserve"> deployment in the band. </w:t>
      </w:r>
    </w:p>
    <w:p w:rsidR="00F025E1" w:rsidRPr="00B254F9" w:rsidRDefault="00F025E1" w:rsidP="00A6695F">
      <w:pPr>
        <w:rPr>
          <w:b/>
        </w:rPr>
      </w:pPr>
    </w:p>
    <w:p w:rsidR="00B254F9" w:rsidRPr="00B254F9" w:rsidRDefault="00B254F9" w:rsidP="00A6695F">
      <w:pPr>
        <w:rPr>
          <w:b/>
        </w:rPr>
      </w:pPr>
      <w:r w:rsidRPr="00B254F9">
        <w:rPr>
          <w:b/>
        </w:rPr>
        <w:t>Concluding comments</w:t>
      </w:r>
    </w:p>
    <w:p w:rsidR="00B254F9" w:rsidRDefault="00B254F9" w:rsidP="00B254F9">
      <w:pPr>
        <w:pStyle w:val="PlainText"/>
        <w:rPr>
          <w:color w:val="000000" w:themeColor="text1"/>
          <w:lang w:val="en-US"/>
        </w:rPr>
      </w:pPr>
      <w:r>
        <w:rPr>
          <w:color w:val="000000" w:themeColor="text1"/>
          <w:lang w:val="en-US"/>
        </w:rPr>
        <w:t>As is indicated in our comments above related to the High Value Use Assessment, we believe that the economic assessment</w:t>
      </w:r>
      <w:r w:rsidR="00414036">
        <w:rPr>
          <w:color w:val="000000" w:themeColor="text1"/>
          <w:lang w:val="en-US"/>
        </w:rPr>
        <w:t xml:space="preserve"> presented by the ACMA</w:t>
      </w:r>
      <w:r>
        <w:rPr>
          <w:color w:val="000000" w:themeColor="text1"/>
          <w:lang w:val="en-US"/>
        </w:rPr>
        <w:t xml:space="preserve"> is in </w:t>
      </w:r>
      <w:proofErr w:type="spellStart"/>
      <w:r>
        <w:rPr>
          <w:color w:val="000000" w:themeColor="text1"/>
          <w:lang w:val="en-US"/>
        </w:rPr>
        <w:t>favour</w:t>
      </w:r>
      <w:proofErr w:type="spellEnd"/>
      <w:r>
        <w:rPr>
          <w:color w:val="000000" w:themeColor="text1"/>
          <w:lang w:val="en-US"/>
        </w:rPr>
        <w:t xml:space="preserve"> of retaining ongoing protection of the </w:t>
      </w:r>
      <w:proofErr w:type="spellStart"/>
      <w:r>
        <w:rPr>
          <w:color w:val="000000" w:themeColor="text1"/>
          <w:lang w:val="en-US"/>
        </w:rPr>
        <w:t>Landsdale</w:t>
      </w:r>
      <w:proofErr w:type="spellEnd"/>
      <w:r>
        <w:rPr>
          <w:color w:val="000000" w:themeColor="text1"/>
          <w:lang w:val="en-US"/>
        </w:rPr>
        <w:t xml:space="preserve"> earth station based on the conditions outlined above.  Option 3c</w:t>
      </w:r>
      <w:r w:rsidR="00EA05C7">
        <w:rPr>
          <w:color w:val="000000" w:themeColor="text1"/>
          <w:lang w:val="en-US"/>
        </w:rPr>
        <w:t xml:space="preserve"> </w:t>
      </w:r>
      <w:r>
        <w:rPr>
          <w:color w:val="000000" w:themeColor="text1"/>
          <w:lang w:val="en-US"/>
        </w:rPr>
        <w:t xml:space="preserve">as proposed by the ACMA </w:t>
      </w:r>
      <w:r w:rsidR="00EA05C7">
        <w:rPr>
          <w:color w:val="000000" w:themeColor="text1"/>
          <w:lang w:val="en-US"/>
        </w:rPr>
        <w:t xml:space="preserve">would </w:t>
      </w:r>
      <w:r w:rsidR="00E002E8">
        <w:rPr>
          <w:color w:val="000000" w:themeColor="text1"/>
          <w:lang w:val="en-US"/>
        </w:rPr>
        <w:t xml:space="preserve">require existing users </w:t>
      </w:r>
      <w:r w:rsidR="00E002E8" w:rsidRPr="00E002E8">
        <w:rPr>
          <w:color w:val="000000" w:themeColor="text1"/>
          <w:lang w:val="en-US"/>
        </w:rPr>
        <w:t>to relocate by the end of the re allocation period</w:t>
      </w:r>
      <w:r w:rsidR="00E002E8">
        <w:rPr>
          <w:color w:val="000000" w:themeColor="text1"/>
          <w:lang w:val="en-US"/>
        </w:rPr>
        <w:t xml:space="preserve">, which </w:t>
      </w:r>
      <w:r>
        <w:rPr>
          <w:color w:val="000000" w:themeColor="text1"/>
          <w:lang w:val="en-US"/>
        </w:rPr>
        <w:t>seems not to be well justified</w:t>
      </w:r>
      <w:r w:rsidR="00E002E8">
        <w:rPr>
          <w:color w:val="000000" w:themeColor="text1"/>
          <w:lang w:val="en-US"/>
        </w:rPr>
        <w:t xml:space="preserve"> by the ACMA’s own </w:t>
      </w:r>
      <w:r w:rsidR="00A14F9C">
        <w:rPr>
          <w:color w:val="000000" w:themeColor="text1"/>
          <w:lang w:val="en-US"/>
        </w:rPr>
        <w:t xml:space="preserve">economic </w:t>
      </w:r>
      <w:r w:rsidR="00E002E8">
        <w:rPr>
          <w:color w:val="000000" w:themeColor="text1"/>
          <w:lang w:val="en-US"/>
        </w:rPr>
        <w:t>analysis</w:t>
      </w:r>
      <w:r>
        <w:rPr>
          <w:color w:val="000000" w:themeColor="text1"/>
          <w:lang w:val="en-US"/>
        </w:rPr>
        <w:t>.</w:t>
      </w:r>
      <w:r w:rsidR="00A14F9C">
        <w:rPr>
          <w:color w:val="000000" w:themeColor="text1"/>
          <w:lang w:val="en-US"/>
        </w:rPr>
        <w:t xml:space="preserve">  Inmarsat’s proposed approach to sharing tilts the economic analysis further towards protecting the existing earth station.</w:t>
      </w:r>
    </w:p>
    <w:p w:rsidR="00B254F9" w:rsidRDefault="00B254F9" w:rsidP="00B254F9">
      <w:pPr>
        <w:pStyle w:val="PlainText"/>
        <w:rPr>
          <w:color w:val="000000" w:themeColor="text1"/>
          <w:lang w:val="en-US"/>
        </w:rPr>
      </w:pPr>
      <w:r>
        <w:rPr>
          <w:color w:val="000000" w:themeColor="text1"/>
          <w:lang w:val="en-US"/>
        </w:rPr>
        <w:t xml:space="preserve">  </w:t>
      </w:r>
    </w:p>
    <w:p w:rsidR="00B254F9" w:rsidRDefault="00B254F9" w:rsidP="00B254F9">
      <w:pPr>
        <w:pStyle w:val="PlainText"/>
        <w:rPr>
          <w:color w:val="FF0000"/>
          <w:lang w:val="en-US"/>
        </w:rPr>
      </w:pPr>
      <w:r>
        <w:rPr>
          <w:color w:val="000000" w:themeColor="text1"/>
          <w:lang w:val="en-US"/>
        </w:rPr>
        <w:t xml:space="preserve">Irrespective of the economic arguments, Inmarsat believes that the </w:t>
      </w:r>
      <w:proofErr w:type="spellStart"/>
      <w:r>
        <w:rPr>
          <w:color w:val="000000" w:themeColor="text1"/>
          <w:lang w:val="en-US"/>
        </w:rPr>
        <w:t>Landsdale</w:t>
      </w:r>
      <w:proofErr w:type="spellEnd"/>
      <w:r>
        <w:rPr>
          <w:color w:val="000000" w:themeColor="text1"/>
          <w:lang w:val="en-US"/>
        </w:rPr>
        <w:t xml:space="preserve"> earth station and the few other earth stations in Australia which operate in this band should continue to be protected.  We have described a method to provide that protection that minimizes the constraints on new MBB applications and we ask that the ACMA give careful consideration to this and similar approaches to protect those earth stations.</w:t>
      </w:r>
    </w:p>
    <w:p w:rsidR="00AD0CA0" w:rsidRDefault="00AD0CA0">
      <w:pPr>
        <w:rPr>
          <w:b/>
        </w:rPr>
      </w:pPr>
    </w:p>
    <w:p w:rsidR="009B7933" w:rsidRDefault="009B7933">
      <w:pPr>
        <w:rPr>
          <w:b/>
        </w:rPr>
      </w:pPr>
      <w:r>
        <w:rPr>
          <w:b/>
        </w:rPr>
        <w:lastRenderedPageBreak/>
        <w:br w:type="page"/>
      </w:r>
    </w:p>
    <w:p w:rsidR="00B254F9" w:rsidRDefault="00AD0CA0" w:rsidP="009B7933">
      <w:pPr>
        <w:jc w:val="center"/>
        <w:rPr>
          <w:b/>
        </w:rPr>
      </w:pPr>
      <w:r>
        <w:rPr>
          <w:b/>
        </w:rPr>
        <w:t>Annex</w:t>
      </w:r>
    </w:p>
    <w:p w:rsidR="00AD0CA0" w:rsidRDefault="00AD0CA0" w:rsidP="00AD0CA0">
      <w:pPr>
        <w:pStyle w:val="Heading1"/>
        <w:jc w:val="center"/>
      </w:pPr>
      <w:r>
        <w:t>Inmarsat analysis of MBB</w:t>
      </w:r>
      <w:r>
        <w:t xml:space="preserve"> Interference </w:t>
      </w:r>
      <w:r w:rsidR="00EA05C7">
        <w:t xml:space="preserve">in the 3.6 GHz band </w:t>
      </w:r>
      <w:r>
        <w:t xml:space="preserve">into Inmarsat gateway stations </w:t>
      </w:r>
      <w:r w:rsidR="00EA05C7">
        <w:t xml:space="preserve">at </w:t>
      </w:r>
      <w:proofErr w:type="spellStart"/>
      <w:r w:rsidR="00EA05C7">
        <w:t>Landsdale</w:t>
      </w:r>
      <w:proofErr w:type="spellEnd"/>
      <w:r w:rsidR="00EA05C7">
        <w:t xml:space="preserve"> </w:t>
      </w:r>
    </w:p>
    <w:p w:rsidR="00AD0CA0" w:rsidRPr="009B7933" w:rsidRDefault="00AD0CA0" w:rsidP="009B7933"/>
    <w:p w:rsidR="00AD0CA0" w:rsidRDefault="00AD0CA0" w:rsidP="00AD0CA0">
      <w:pPr>
        <w:pStyle w:val="Heading2"/>
        <w:numPr>
          <w:ilvl w:val="0"/>
          <w:numId w:val="6"/>
        </w:numPr>
      </w:pPr>
      <w:r>
        <w:t>Introduction</w:t>
      </w:r>
    </w:p>
    <w:p w:rsidR="00AD0CA0" w:rsidRDefault="00AD0CA0" w:rsidP="00AD0CA0">
      <w:r>
        <w:t xml:space="preserve">The </w:t>
      </w:r>
      <w:r>
        <w:t xml:space="preserve">ACMA is considering the future use of </w:t>
      </w:r>
      <w:r>
        <w:t>MBB</w:t>
      </w:r>
      <w:r>
        <w:t xml:space="preserve"> in the 3 575-3 700 MHz (3.6 GHz band) in Australia. Inmarsat operates three gateway stations in Perth in the identified frequency range that could receive interference from such deployments.</w:t>
      </w:r>
    </w:p>
    <w:p w:rsidR="00AD0CA0" w:rsidRDefault="00AD0CA0" w:rsidP="00AD0CA0">
      <w:r>
        <w:t xml:space="preserve">This document analyses the coexistence of </w:t>
      </w:r>
      <w:r>
        <w:t>MBB</w:t>
      </w:r>
      <w:r>
        <w:t xml:space="preserve"> base stations and Inmarsat gateways deployed in Perth in the 3.6 GHz band.</w:t>
      </w:r>
    </w:p>
    <w:p w:rsidR="00AD0CA0" w:rsidRDefault="00AD0CA0" w:rsidP="00AD0CA0">
      <w:pPr>
        <w:pStyle w:val="Heading2"/>
        <w:numPr>
          <w:ilvl w:val="0"/>
          <w:numId w:val="6"/>
        </w:numPr>
      </w:pPr>
      <w:r>
        <w:t>MBB</w:t>
      </w:r>
      <w:r>
        <w:t xml:space="preserve"> parameters</w:t>
      </w:r>
    </w:p>
    <w:p w:rsidR="00AD0CA0" w:rsidRDefault="00AD0CA0" w:rsidP="00AD0CA0">
      <w:r>
        <w:t xml:space="preserve">The parameters indicated in </w:t>
      </w:r>
      <w:r>
        <w:fldChar w:fldCharType="begin"/>
      </w:r>
      <w:r>
        <w:instrText xml:space="preserve"> REF _Ref489454762 \h </w:instrText>
      </w:r>
      <w:r>
        <w:fldChar w:fldCharType="separate"/>
      </w:r>
      <w:r>
        <w:t xml:space="preserve">Table </w:t>
      </w:r>
      <w:r>
        <w:rPr>
          <w:noProof/>
        </w:rPr>
        <w:t>1</w:t>
      </w:r>
      <w:r>
        <w:fldChar w:fldCharType="end"/>
      </w:r>
      <w:r>
        <w:t xml:space="preserve"> were suggested for </w:t>
      </w:r>
      <w:r>
        <w:t>MBB</w:t>
      </w:r>
      <w:r>
        <w:t xml:space="preserve"> usage by ACMA and are consequently used for the analysis in this document. Interference from user terminals (indicated in grey in </w:t>
      </w:r>
      <w:r>
        <w:fldChar w:fldCharType="begin"/>
      </w:r>
      <w:r>
        <w:instrText xml:space="preserve"> REF _Ref489454762 \h </w:instrText>
      </w:r>
      <w:r>
        <w:fldChar w:fldCharType="separate"/>
      </w:r>
      <w:r>
        <w:t xml:space="preserve">Table </w:t>
      </w:r>
      <w:r>
        <w:rPr>
          <w:noProof/>
        </w:rPr>
        <w:t>1</w:t>
      </w:r>
      <w:r>
        <w:fldChar w:fldCharType="end"/>
      </w:r>
      <w:r>
        <w:t xml:space="preserve">) is not studied since user terminals generally produce less interference than base stations due to the lower power levels and these scenarios can be considered to be covered by the base station interference analysis results. Assuming </w:t>
      </w:r>
      <w:r>
        <w:t>MBB</w:t>
      </w:r>
      <w:r>
        <w:t xml:space="preserve"> systems are using TDMA, aggregate interference from the user terminals and base station on the same frequency would not need to be studied since there would be no simultaneous transmission.</w:t>
      </w:r>
    </w:p>
    <w:p w:rsidR="00AD0CA0" w:rsidRDefault="00AD0CA0" w:rsidP="00AD0CA0">
      <w:r>
        <w:t>The parameters indicated in blue</w:t>
      </w:r>
      <w:r>
        <w:t xml:space="preserve"> shaded cells</w:t>
      </w:r>
      <w:r>
        <w:t xml:space="preserve"> were not used in the studies performed by </w:t>
      </w:r>
      <w:r>
        <w:t xml:space="preserve">the </w:t>
      </w:r>
      <w:r>
        <w:t>ACMA but are considered for this analysis.</w:t>
      </w:r>
    </w:p>
    <w:p w:rsidR="00AD0CA0" w:rsidRDefault="00AD0CA0" w:rsidP="00AD0CA0">
      <w:pPr>
        <w:pStyle w:val="Caption"/>
        <w:keepNext/>
        <w:jc w:val="center"/>
      </w:pPr>
      <w:bookmarkStart w:id="1" w:name="_Ref489454762"/>
      <w:r>
        <w:t xml:space="preserve">Table </w:t>
      </w:r>
      <w:r>
        <w:fldChar w:fldCharType="begin"/>
      </w:r>
      <w:r>
        <w:instrText xml:space="preserve"> SEQ Table \* ARABIC </w:instrText>
      </w:r>
      <w:r>
        <w:fldChar w:fldCharType="separate"/>
      </w:r>
      <w:r>
        <w:rPr>
          <w:noProof/>
        </w:rPr>
        <w:t>1</w:t>
      </w:r>
      <w:r>
        <w:fldChar w:fldCharType="end"/>
      </w:r>
      <w:bookmarkEnd w:id="1"/>
      <w:r>
        <w:t xml:space="preserve"> </w:t>
      </w:r>
      <w:r>
        <w:t>MBB</w:t>
      </w:r>
      <w:r>
        <w:t xml:space="preserve"> parameters used in the study</w:t>
      </w:r>
    </w:p>
    <w:tbl>
      <w:tblPr>
        <w:tblW w:w="7971" w:type="dxa"/>
        <w:tblInd w:w="9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600" w:firstRow="0" w:lastRow="0" w:firstColumn="0" w:lastColumn="0" w:noHBand="1" w:noVBand="1"/>
      </w:tblPr>
      <w:tblGrid>
        <w:gridCol w:w="2213"/>
        <w:gridCol w:w="1219"/>
        <w:gridCol w:w="1134"/>
        <w:gridCol w:w="1135"/>
        <w:gridCol w:w="1135"/>
        <w:gridCol w:w="1135"/>
      </w:tblGrid>
      <w:tr w:rsidR="00AD0CA0" w:rsidRPr="008061DC" w:rsidTr="00835891">
        <w:trPr>
          <w:cantSplit/>
          <w:trHeight w:val="315"/>
        </w:trPr>
        <w:tc>
          <w:tcPr>
            <w:tcW w:w="2213" w:type="dxa"/>
            <w:shd w:val="clear" w:color="auto" w:fill="404040" w:themeFill="text1" w:themeFillTint="BF"/>
            <w:tcMar>
              <w:top w:w="0" w:type="dxa"/>
              <w:left w:w="0" w:type="dxa"/>
              <w:bottom w:w="0" w:type="dxa"/>
              <w:right w:w="0" w:type="dxa"/>
            </w:tcMar>
            <w:vAlign w:val="center"/>
            <w:hideMark/>
          </w:tcPr>
          <w:p w:rsidR="00AD0CA0" w:rsidRPr="006A7F44" w:rsidRDefault="00AD0CA0" w:rsidP="00835891">
            <w:pPr>
              <w:pStyle w:val="TableHeading"/>
              <w:keepLines/>
              <w:jc w:val="center"/>
              <w:rPr>
                <w:color w:val="FFFFFF" w:themeColor="background1"/>
              </w:rPr>
            </w:pPr>
            <w:r w:rsidRPr="006A7F44">
              <w:rPr>
                <w:color w:val="FFFFFF" w:themeColor="background1"/>
              </w:rPr>
              <w:t>Parameter</w:t>
            </w:r>
          </w:p>
        </w:tc>
        <w:tc>
          <w:tcPr>
            <w:tcW w:w="1219" w:type="dxa"/>
            <w:shd w:val="clear" w:color="auto" w:fill="404040" w:themeFill="text1" w:themeFillTint="BF"/>
            <w:tcMar>
              <w:top w:w="0" w:type="dxa"/>
              <w:left w:w="0" w:type="dxa"/>
              <w:bottom w:w="0" w:type="dxa"/>
              <w:right w:w="0" w:type="dxa"/>
            </w:tcMar>
            <w:vAlign w:val="center"/>
            <w:hideMark/>
          </w:tcPr>
          <w:p w:rsidR="00AD0CA0" w:rsidRPr="006A7F44" w:rsidRDefault="00AD0CA0" w:rsidP="00835891">
            <w:pPr>
              <w:pStyle w:val="TableHeading"/>
              <w:keepLines/>
              <w:jc w:val="center"/>
              <w:rPr>
                <w:color w:val="FFFFFF" w:themeColor="background1"/>
              </w:rPr>
            </w:pPr>
            <w:r w:rsidRPr="006A7F44">
              <w:rPr>
                <w:color w:val="FFFFFF" w:themeColor="background1"/>
              </w:rPr>
              <w:t>Unit</w:t>
            </w:r>
          </w:p>
        </w:tc>
        <w:tc>
          <w:tcPr>
            <w:tcW w:w="1134" w:type="dxa"/>
            <w:shd w:val="clear" w:color="auto" w:fill="404040" w:themeFill="text1" w:themeFillTint="BF"/>
            <w:tcMar>
              <w:top w:w="0" w:type="dxa"/>
              <w:left w:w="0" w:type="dxa"/>
              <w:bottom w:w="0" w:type="dxa"/>
              <w:right w:w="0" w:type="dxa"/>
            </w:tcMar>
            <w:hideMark/>
          </w:tcPr>
          <w:p w:rsidR="00AD0CA0" w:rsidRPr="006A7F44" w:rsidRDefault="00AD0CA0" w:rsidP="00835891">
            <w:pPr>
              <w:pStyle w:val="TableHeading"/>
              <w:keepLines/>
              <w:jc w:val="center"/>
              <w:rPr>
                <w:color w:val="FFFFFF" w:themeColor="background1"/>
              </w:rPr>
            </w:pPr>
            <w:r w:rsidRPr="006A7F44">
              <w:rPr>
                <w:color w:val="FFFFFF" w:themeColor="background1"/>
              </w:rPr>
              <w:t>Macro-BS</w:t>
            </w:r>
          </w:p>
        </w:tc>
        <w:tc>
          <w:tcPr>
            <w:tcW w:w="1135" w:type="dxa"/>
            <w:shd w:val="clear" w:color="auto" w:fill="404040" w:themeFill="text1" w:themeFillTint="BF"/>
            <w:tcMar>
              <w:top w:w="0" w:type="dxa"/>
              <w:left w:w="0" w:type="dxa"/>
              <w:bottom w:w="0" w:type="dxa"/>
              <w:right w:w="0" w:type="dxa"/>
            </w:tcMar>
            <w:hideMark/>
          </w:tcPr>
          <w:p w:rsidR="00AD0CA0" w:rsidRPr="006A7F44" w:rsidRDefault="00AD0CA0" w:rsidP="00835891">
            <w:pPr>
              <w:pStyle w:val="TableHeading"/>
              <w:keepLines/>
              <w:jc w:val="center"/>
              <w:rPr>
                <w:color w:val="FFFFFF" w:themeColor="background1"/>
              </w:rPr>
            </w:pPr>
            <w:r w:rsidRPr="006A7F44">
              <w:rPr>
                <w:color w:val="FFFFFF" w:themeColor="background1"/>
              </w:rPr>
              <w:t>Small</w:t>
            </w:r>
            <w:r>
              <w:rPr>
                <w:color w:val="FFFFFF" w:themeColor="background1"/>
              </w:rPr>
              <w:t>-c</w:t>
            </w:r>
            <w:r w:rsidRPr="006A7F44">
              <w:rPr>
                <w:color w:val="FFFFFF" w:themeColor="background1"/>
              </w:rPr>
              <w:t>ell BS</w:t>
            </w:r>
          </w:p>
        </w:tc>
        <w:tc>
          <w:tcPr>
            <w:tcW w:w="1135" w:type="dxa"/>
            <w:shd w:val="clear" w:color="auto" w:fill="404040" w:themeFill="text1" w:themeFillTint="BF"/>
            <w:tcMar>
              <w:top w:w="0" w:type="dxa"/>
              <w:left w:w="0" w:type="dxa"/>
              <w:bottom w:w="0" w:type="dxa"/>
              <w:right w:w="0" w:type="dxa"/>
            </w:tcMar>
            <w:hideMark/>
          </w:tcPr>
          <w:p w:rsidR="00AD0CA0" w:rsidRPr="006A7F44" w:rsidRDefault="00AD0CA0" w:rsidP="00835891">
            <w:pPr>
              <w:pStyle w:val="TableHeading"/>
              <w:keepLines/>
              <w:jc w:val="center"/>
              <w:rPr>
                <w:color w:val="FFFFFF" w:themeColor="background1"/>
              </w:rPr>
            </w:pPr>
            <w:r w:rsidRPr="006A7F44">
              <w:rPr>
                <w:color w:val="FFFFFF" w:themeColor="background1"/>
              </w:rPr>
              <w:t>Mobile UE</w:t>
            </w:r>
          </w:p>
        </w:tc>
        <w:tc>
          <w:tcPr>
            <w:tcW w:w="1135" w:type="dxa"/>
            <w:shd w:val="clear" w:color="auto" w:fill="404040" w:themeFill="text1" w:themeFillTint="BF"/>
            <w:tcMar>
              <w:top w:w="0" w:type="dxa"/>
              <w:left w:w="0" w:type="dxa"/>
              <w:bottom w:w="0" w:type="dxa"/>
              <w:right w:w="0" w:type="dxa"/>
            </w:tcMar>
            <w:hideMark/>
          </w:tcPr>
          <w:p w:rsidR="00AD0CA0" w:rsidRPr="008061DC" w:rsidRDefault="00AD0CA0" w:rsidP="00835891">
            <w:pPr>
              <w:pStyle w:val="TableHeading"/>
              <w:keepLines/>
              <w:jc w:val="center"/>
            </w:pPr>
            <w:r w:rsidRPr="006A7F44">
              <w:rPr>
                <w:color w:val="FFFFFF" w:themeColor="background1"/>
              </w:rPr>
              <w:t>Micro-BS/</w:t>
            </w:r>
            <w:r>
              <w:rPr>
                <w:color w:val="FFFFFF" w:themeColor="background1"/>
              </w:rPr>
              <w:br/>
            </w:r>
            <w:r w:rsidRPr="006A7F44">
              <w:rPr>
                <w:color w:val="FFFFFF" w:themeColor="background1"/>
              </w:rPr>
              <w:t>Fixed UE</w:t>
            </w:r>
          </w:p>
        </w:tc>
      </w:tr>
      <w:tr w:rsidR="00AD0CA0" w:rsidRPr="008061DC" w:rsidTr="00835891">
        <w:trPr>
          <w:cantSplit/>
          <w:trHeight w:val="300"/>
        </w:trPr>
        <w:tc>
          <w:tcPr>
            <w:tcW w:w="2213"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rsidRPr="008061DC">
              <w:t>Antenna height</w:t>
            </w:r>
          </w:p>
        </w:tc>
        <w:tc>
          <w:tcPr>
            <w:tcW w:w="1219"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M</w:t>
            </w:r>
          </w:p>
        </w:tc>
        <w:tc>
          <w:tcPr>
            <w:tcW w:w="1134"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25</w:t>
            </w:r>
          </w:p>
        </w:tc>
        <w:tc>
          <w:tcPr>
            <w:tcW w:w="1135"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6</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1.5</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5*</w:t>
            </w:r>
          </w:p>
        </w:tc>
      </w:tr>
      <w:tr w:rsidR="00AD0CA0" w:rsidRPr="008061DC" w:rsidTr="00835891">
        <w:trPr>
          <w:cantSplit/>
          <w:trHeight w:val="300"/>
        </w:trPr>
        <w:tc>
          <w:tcPr>
            <w:tcW w:w="2213"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proofErr w:type="spellStart"/>
            <w:r w:rsidRPr="008061DC">
              <w:t>Tx</w:t>
            </w:r>
            <w:proofErr w:type="spellEnd"/>
            <w:r w:rsidRPr="008061DC">
              <w:t xml:space="preserve"> Power</w:t>
            </w:r>
          </w:p>
        </w:tc>
        <w:tc>
          <w:tcPr>
            <w:tcW w:w="1219"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dBW</w:t>
            </w:r>
          </w:p>
        </w:tc>
        <w:tc>
          <w:tcPr>
            <w:tcW w:w="1134"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1</w:t>
            </w:r>
            <w:r>
              <w:t>3</w:t>
            </w:r>
          </w:p>
        </w:tc>
        <w:tc>
          <w:tcPr>
            <w:tcW w:w="1135"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t>–</w:t>
            </w:r>
            <w:r w:rsidRPr="008061DC">
              <w:t>6</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–7</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–4</w:t>
            </w:r>
          </w:p>
        </w:tc>
      </w:tr>
      <w:tr w:rsidR="00AD0CA0" w:rsidRPr="008061DC" w:rsidTr="00835891">
        <w:trPr>
          <w:cantSplit/>
          <w:trHeight w:val="300"/>
        </w:trPr>
        <w:tc>
          <w:tcPr>
            <w:tcW w:w="2213"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t>B</w:t>
            </w:r>
            <w:r w:rsidRPr="008061DC">
              <w:t>andwidth</w:t>
            </w:r>
          </w:p>
        </w:tc>
        <w:tc>
          <w:tcPr>
            <w:tcW w:w="1219"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MHz</w:t>
            </w:r>
          </w:p>
        </w:tc>
        <w:tc>
          <w:tcPr>
            <w:tcW w:w="1134"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5</w:t>
            </w:r>
          </w:p>
        </w:tc>
        <w:tc>
          <w:tcPr>
            <w:tcW w:w="1135"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5</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5</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5</w:t>
            </w:r>
          </w:p>
        </w:tc>
      </w:tr>
      <w:tr w:rsidR="00AD0CA0" w:rsidRPr="008061DC" w:rsidTr="00835891">
        <w:trPr>
          <w:cantSplit/>
          <w:trHeight w:val="300"/>
        </w:trPr>
        <w:tc>
          <w:tcPr>
            <w:tcW w:w="2213"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t>Losses (f</w:t>
            </w:r>
            <w:r w:rsidRPr="008061DC">
              <w:t>eeder</w:t>
            </w:r>
            <w:r>
              <w:t>/</w:t>
            </w:r>
            <w:r w:rsidRPr="008061DC">
              <w:t>body</w:t>
            </w:r>
            <w:r>
              <w:t>)</w:t>
            </w:r>
          </w:p>
        </w:tc>
        <w:tc>
          <w:tcPr>
            <w:tcW w:w="1219"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dB</w:t>
            </w:r>
          </w:p>
        </w:tc>
        <w:tc>
          <w:tcPr>
            <w:tcW w:w="1134"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t>0**</w:t>
            </w:r>
          </w:p>
        </w:tc>
        <w:tc>
          <w:tcPr>
            <w:tcW w:w="1135"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0</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4</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w:t>
            </w:r>
          </w:p>
        </w:tc>
      </w:tr>
      <w:tr w:rsidR="00AD0CA0" w:rsidRPr="008061DC" w:rsidTr="00835891">
        <w:trPr>
          <w:cantSplit/>
          <w:trHeight w:val="300"/>
        </w:trPr>
        <w:tc>
          <w:tcPr>
            <w:tcW w:w="2213"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rsidRPr="008061DC">
              <w:t>Maximum antenna gain</w:t>
            </w:r>
          </w:p>
        </w:tc>
        <w:tc>
          <w:tcPr>
            <w:tcW w:w="1219"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dBi</w:t>
            </w:r>
          </w:p>
        </w:tc>
        <w:tc>
          <w:tcPr>
            <w:tcW w:w="1134"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18</w:t>
            </w:r>
          </w:p>
        </w:tc>
        <w:tc>
          <w:tcPr>
            <w:tcW w:w="1135"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5</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–4</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18***</w:t>
            </w:r>
          </w:p>
        </w:tc>
      </w:tr>
      <w:tr w:rsidR="00AD0CA0" w:rsidRPr="008061DC" w:rsidTr="00835891">
        <w:trPr>
          <w:cantSplit/>
          <w:trHeight w:val="315"/>
        </w:trPr>
        <w:tc>
          <w:tcPr>
            <w:tcW w:w="2213" w:type="dxa"/>
            <w:shd w:val="clear" w:color="auto" w:fill="auto"/>
            <w:tcMar>
              <w:top w:w="0" w:type="dxa"/>
              <w:left w:w="28" w:type="dxa"/>
              <w:bottom w:w="0" w:type="dxa"/>
              <w:right w:w="28" w:type="dxa"/>
            </w:tcMar>
            <w:vAlign w:val="center"/>
          </w:tcPr>
          <w:p w:rsidR="00AD0CA0" w:rsidRPr="008061DC" w:rsidRDefault="00AD0CA0" w:rsidP="00835891">
            <w:pPr>
              <w:pStyle w:val="TableBody"/>
              <w:jc w:val="right"/>
            </w:pPr>
            <w:r>
              <w:t xml:space="preserve">Antenna </w:t>
            </w:r>
            <w:proofErr w:type="spellStart"/>
            <w:r>
              <w:t>downtilt</w:t>
            </w:r>
            <w:proofErr w:type="spellEnd"/>
            <w:r>
              <w:t xml:space="preserve"> </w:t>
            </w:r>
          </w:p>
        </w:tc>
        <w:tc>
          <w:tcPr>
            <w:tcW w:w="1219"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degrees</w:t>
            </w:r>
          </w:p>
        </w:tc>
        <w:tc>
          <w:tcPr>
            <w:tcW w:w="1134" w:type="dxa"/>
            <w:shd w:val="clear" w:color="auto" w:fill="BDD6EE" w:themeFill="accent1" w:themeFillTint="66"/>
            <w:tcMar>
              <w:top w:w="0" w:type="dxa"/>
              <w:left w:w="28" w:type="dxa"/>
              <w:bottom w:w="0" w:type="dxa"/>
              <w:right w:w="28" w:type="dxa"/>
            </w:tcMar>
            <w:vAlign w:val="center"/>
          </w:tcPr>
          <w:p w:rsidR="00AD0CA0" w:rsidRPr="008061DC" w:rsidRDefault="00AD0CA0" w:rsidP="00835891">
            <w:pPr>
              <w:pStyle w:val="TableBody"/>
              <w:jc w:val="center"/>
            </w:pPr>
            <w:r>
              <w:t>6</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pPr>
            <w:r>
              <w:t>0</w:t>
            </w:r>
          </w:p>
        </w:tc>
        <w:tc>
          <w:tcPr>
            <w:tcW w:w="1135" w:type="dxa"/>
            <w:shd w:val="clear" w:color="auto" w:fill="auto"/>
            <w:tcMar>
              <w:top w:w="0" w:type="dxa"/>
              <w:left w:w="28" w:type="dxa"/>
              <w:bottom w:w="0" w:type="dxa"/>
              <w:right w:w="28" w:type="dxa"/>
            </w:tcMar>
            <w:vAlign w:val="center"/>
          </w:tcPr>
          <w:p w:rsidR="00AD0CA0" w:rsidRPr="0044647D" w:rsidRDefault="00AD0CA0" w:rsidP="00835891">
            <w:pPr>
              <w:pStyle w:val="TableBody"/>
              <w:jc w:val="center"/>
              <w:rPr>
                <w:color w:val="A6A6A6" w:themeColor="background1" w:themeShade="A6"/>
              </w:rPr>
            </w:pPr>
            <w:r>
              <w:rPr>
                <w:color w:val="A6A6A6" w:themeColor="background1" w:themeShade="A6"/>
              </w:rPr>
              <w:t>-</w:t>
            </w:r>
          </w:p>
        </w:tc>
        <w:tc>
          <w:tcPr>
            <w:tcW w:w="1135" w:type="dxa"/>
            <w:shd w:val="clear" w:color="auto" w:fill="auto"/>
            <w:tcMar>
              <w:top w:w="0" w:type="dxa"/>
              <w:left w:w="28" w:type="dxa"/>
              <w:bottom w:w="0" w:type="dxa"/>
              <w:right w:w="28" w:type="dxa"/>
            </w:tcMar>
            <w:vAlign w:val="center"/>
          </w:tcPr>
          <w:p w:rsidR="00AD0CA0" w:rsidRPr="0044647D" w:rsidRDefault="00AD0CA0" w:rsidP="00835891">
            <w:pPr>
              <w:pStyle w:val="TableBody"/>
              <w:jc w:val="center"/>
              <w:rPr>
                <w:color w:val="A6A6A6" w:themeColor="background1" w:themeShade="A6"/>
              </w:rPr>
            </w:pPr>
            <w:r>
              <w:rPr>
                <w:color w:val="A6A6A6" w:themeColor="background1" w:themeShade="A6"/>
              </w:rPr>
              <w:t>-</w:t>
            </w:r>
          </w:p>
        </w:tc>
      </w:tr>
      <w:tr w:rsidR="00AD0CA0" w:rsidRPr="008061DC" w:rsidTr="00835891">
        <w:trPr>
          <w:cantSplit/>
          <w:trHeight w:val="315"/>
        </w:trPr>
        <w:tc>
          <w:tcPr>
            <w:tcW w:w="2213" w:type="dxa"/>
            <w:shd w:val="clear" w:color="auto" w:fill="auto"/>
            <w:tcMar>
              <w:top w:w="0" w:type="dxa"/>
              <w:left w:w="28" w:type="dxa"/>
              <w:bottom w:w="0" w:type="dxa"/>
              <w:right w:w="28" w:type="dxa"/>
            </w:tcMar>
            <w:vAlign w:val="center"/>
          </w:tcPr>
          <w:p w:rsidR="00AD0CA0" w:rsidRDefault="00AD0CA0" w:rsidP="00835891">
            <w:pPr>
              <w:pStyle w:val="TableBody"/>
              <w:jc w:val="right"/>
            </w:pPr>
            <w:r>
              <w:t>Antenna pattern</w:t>
            </w:r>
          </w:p>
        </w:tc>
        <w:tc>
          <w:tcPr>
            <w:tcW w:w="1219" w:type="dxa"/>
            <w:shd w:val="clear" w:color="auto" w:fill="auto"/>
            <w:tcMar>
              <w:top w:w="0" w:type="dxa"/>
              <w:left w:w="28" w:type="dxa"/>
              <w:bottom w:w="0" w:type="dxa"/>
              <w:right w:w="28" w:type="dxa"/>
            </w:tcMar>
            <w:vAlign w:val="center"/>
          </w:tcPr>
          <w:p w:rsidR="00AD0CA0" w:rsidRDefault="00AD0CA0" w:rsidP="00835891">
            <w:pPr>
              <w:pStyle w:val="TableBody"/>
              <w:jc w:val="center"/>
            </w:pPr>
            <w:r>
              <w:t>-</w:t>
            </w:r>
          </w:p>
        </w:tc>
        <w:tc>
          <w:tcPr>
            <w:tcW w:w="1134" w:type="dxa"/>
            <w:shd w:val="clear" w:color="auto" w:fill="BDD6EE" w:themeFill="accent1" w:themeFillTint="66"/>
            <w:tcMar>
              <w:top w:w="0" w:type="dxa"/>
              <w:left w:w="28" w:type="dxa"/>
              <w:bottom w:w="0" w:type="dxa"/>
              <w:right w:w="28" w:type="dxa"/>
            </w:tcMar>
            <w:vAlign w:val="center"/>
          </w:tcPr>
          <w:p w:rsidR="00AD0CA0" w:rsidRDefault="00AD0CA0" w:rsidP="00835891">
            <w:pPr>
              <w:pStyle w:val="TableBody"/>
              <w:jc w:val="center"/>
            </w:pPr>
            <w:r>
              <w:t>F.1336</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pPr>
            <w:r>
              <w:t>F.1336</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rPr>
                <w:color w:val="A6A6A6" w:themeColor="background1" w:themeShade="A6"/>
              </w:rPr>
            </w:pPr>
            <w:r>
              <w:rPr>
                <w:color w:val="A6A6A6" w:themeColor="background1" w:themeShade="A6"/>
              </w:rPr>
              <w:t>-</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rPr>
                <w:color w:val="A6A6A6" w:themeColor="background1" w:themeShade="A6"/>
              </w:rPr>
            </w:pPr>
            <w:r>
              <w:rPr>
                <w:color w:val="A6A6A6" w:themeColor="background1" w:themeShade="A6"/>
              </w:rPr>
              <w:t>-</w:t>
            </w:r>
          </w:p>
        </w:tc>
      </w:tr>
      <w:tr w:rsidR="00AD0CA0" w:rsidRPr="008061DC" w:rsidTr="00835891">
        <w:trPr>
          <w:cantSplit/>
          <w:trHeight w:val="315"/>
        </w:trPr>
        <w:tc>
          <w:tcPr>
            <w:tcW w:w="2213" w:type="dxa"/>
            <w:shd w:val="clear" w:color="auto" w:fill="auto"/>
            <w:tcMar>
              <w:top w:w="0" w:type="dxa"/>
              <w:left w:w="28" w:type="dxa"/>
              <w:bottom w:w="0" w:type="dxa"/>
              <w:right w:w="28" w:type="dxa"/>
            </w:tcMar>
            <w:vAlign w:val="center"/>
          </w:tcPr>
          <w:p w:rsidR="00AD0CA0" w:rsidRDefault="00AD0CA0" w:rsidP="00835891">
            <w:pPr>
              <w:pStyle w:val="TableBody"/>
              <w:jc w:val="right"/>
            </w:pPr>
            <w:r>
              <w:t>Antenna gain towards horizon</w:t>
            </w:r>
          </w:p>
        </w:tc>
        <w:tc>
          <w:tcPr>
            <w:tcW w:w="1219" w:type="dxa"/>
            <w:shd w:val="clear" w:color="auto" w:fill="auto"/>
            <w:tcMar>
              <w:top w:w="0" w:type="dxa"/>
              <w:left w:w="28" w:type="dxa"/>
              <w:bottom w:w="0" w:type="dxa"/>
              <w:right w:w="28" w:type="dxa"/>
            </w:tcMar>
            <w:vAlign w:val="center"/>
          </w:tcPr>
          <w:p w:rsidR="00AD0CA0" w:rsidRDefault="00AD0CA0" w:rsidP="00835891">
            <w:pPr>
              <w:pStyle w:val="TableBody"/>
              <w:jc w:val="center"/>
            </w:pPr>
            <w:r>
              <w:t>dBi</w:t>
            </w:r>
          </w:p>
        </w:tc>
        <w:tc>
          <w:tcPr>
            <w:tcW w:w="1134" w:type="dxa"/>
            <w:shd w:val="clear" w:color="auto" w:fill="BDD6EE" w:themeFill="accent1" w:themeFillTint="66"/>
            <w:tcMar>
              <w:top w:w="0" w:type="dxa"/>
              <w:left w:w="28" w:type="dxa"/>
              <w:bottom w:w="0" w:type="dxa"/>
              <w:right w:w="28" w:type="dxa"/>
            </w:tcMar>
            <w:vAlign w:val="center"/>
          </w:tcPr>
          <w:p w:rsidR="00AD0CA0" w:rsidRDefault="00AD0CA0" w:rsidP="00835891">
            <w:pPr>
              <w:pStyle w:val="TableBody"/>
              <w:jc w:val="center"/>
            </w:pPr>
            <w:r>
              <w:t>10.4</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pPr>
            <w:r>
              <w:t>5</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rPr>
                <w:color w:val="A6A6A6" w:themeColor="background1" w:themeShade="A6"/>
              </w:rPr>
            </w:pPr>
            <w:r>
              <w:rPr>
                <w:color w:val="A6A6A6" w:themeColor="background1" w:themeShade="A6"/>
              </w:rPr>
              <w:t>-</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rPr>
                <w:color w:val="A6A6A6" w:themeColor="background1" w:themeShade="A6"/>
              </w:rPr>
            </w:pPr>
            <w:r>
              <w:rPr>
                <w:color w:val="A6A6A6" w:themeColor="background1" w:themeShade="A6"/>
              </w:rPr>
              <w:t>-</w:t>
            </w:r>
          </w:p>
        </w:tc>
      </w:tr>
      <w:tr w:rsidR="00AD0CA0" w:rsidRPr="008061DC" w:rsidTr="00835891">
        <w:trPr>
          <w:cantSplit/>
          <w:trHeight w:val="315"/>
        </w:trPr>
        <w:tc>
          <w:tcPr>
            <w:tcW w:w="2213"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rsidRPr="008061DC">
              <w:t>EIRP</w:t>
            </w:r>
          </w:p>
        </w:tc>
        <w:tc>
          <w:tcPr>
            <w:tcW w:w="1219"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t>dBW</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23.4</w:t>
            </w:r>
          </w:p>
        </w:tc>
        <w:tc>
          <w:tcPr>
            <w:tcW w:w="1135"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-1</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–21.99</w:t>
            </w:r>
          </w:p>
        </w:tc>
        <w:tc>
          <w:tcPr>
            <w:tcW w:w="1135" w:type="dxa"/>
            <w:shd w:val="clear" w:color="auto" w:fill="auto"/>
            <w:tcMar>
              <w:top w:w="0" w:type="dxa"/>
              <w:left w:w="28" w:type="dxa"/>
              <w:bottom w:w="0" w:type="dxa"/>
              <w:right w:w="28" w:type="dxa"/>
            </w:tcMar>
            <w:vAlign w:val="center"/>
            <w:hideMark/>
          </w:tcPr>
          <w:p w:rsidR="00AD0CA0" w:rsidRPr="0044647D" w:rsidRDefault="00AD0CA0" w:rsidP="00835891">
            <w:pPr>
              <w:pStyle w:val="TableBody"/>
              <w:jc w:val="center"/>
              <w:rPr>
                <w:color w:val="A6A6A6" w:themeColor="background1" w:themeShade="A6"/>
              </w:rPr>
            </w:pPr>
            <w:r w:rsidRPr="0044647D">
              <w:rPr>
                <w:color w:val="A6A6A6" w:themeColor="background1" w:themeShade="A6"/>
              </w:rPr>
              <w:t>7.01</w:t>
            </w:r>
          </w:p>
        </w:tc>
      </w:tr>
    </w:tbl>
    <w:p w:rsidR="00AD0CA0" w:rsidRPr="008075BB" w:rsidRDefault="00AD0CA0" w:rsidP="00AD0CA0"/>
    <w:p w:rsidR="00AD0CA0" w:rsidRDefault="00AD0CA0" w:rsidP="00AD0CA0">
      <w:pPr>
        <w:pStyle w:val="Heading2"/>
        <w:numPr>
          <w:ilvl w:val="0"/>
          <w:numId w:val="6"/>
        </w:numPr>
      </w:pPr>
      <w:r>
        <w:t>Inmarsat gateway earth station parameters</w:t>
      </w:r>
    </w:p>
    <w:p w:rsidR="00AD0CA0" w:rsidRDefault="00AD0CA0" w:rsidP="00AD0CA0">
      <w:r>
        <w:t xml:space="preserve">Inmarsat gateway parameters used for the analysis are indicated in </w:t>
      </w:r>
      <w:r>
        <w:fldChar w:fldCharType="begin"/>
      </w:r>
      <w:r>
        <w:instrText xml:space="preserve"> REF _Ref489462775 \h </w:instrText>
      </w:r>
      <w:r>
        <w:fldChar w:fldCharType="separate"/>
      </w:r>
      <w:r>
        <w:t xml:space="preserve">Table </w:t>
      </w:r>
      <w:r>
        <w:rPr>
          <w:noProof/>
        </w:rPr>
        <w:t>2</w:t>
      </w:r>
      <w:r>
        <w:fldChar w:fldCharType="end"/>
      </w:r>
      <w:r>
        <w:t xml:space="preserve"> below.</w:t>
      </w:r>
    </w:p>
    <w:p w:rsidR="00AD0CA0" w:rsidRDefault="00AD0CA0" w:rsidP="00AD0CA0">
      <w:pPr>
        <w:pStyle w:val="Caption"/>
        <w:keepNext/>
        <w:jc w:val="center"/>
      </w:pPr>
      <w:bookmarkStart w:id="2" w:name="_Ref489462775"/>
      <w:bookmarkStart w:id="3" w:name="_Ref489462771"/>
      <w:r>
        <w:t xml:space="preserve">Table </w:t>
      </w:r>
      <w:r>
        <w:fldChar w:fldCharType="begin"/>
      </w:r>
      <w:r>
        <w:instrText xml:space="preserve"> SEQ Table \* ARABIC </w:instrText>
      </w:r>
      <w:r>
        <w:fldChar w:fldCharType="separate"/>
      </w:r>
      <w:r>
        <w:rPr>
          <w:noProof/>
        </w:rPr>
        <w:t>2</w:t>
      </w:r>
      <w:r>
        <w:fldChar w:fldCharType="end"/>
      </w:r>
      <w:bookmarkEnd w:id="2"/>
      <w:r>
        <w:t xml:space="preserve"> Inmarsat gateway parameters used in the study</w:t>
      </w:r>
      <w:bookmarkEnd w:id="3"/>
    </w:p>
    <w:tbl>
      <w:tblPr>
        <w:tblW w:w="6842" w:type="dxa"/>
        <w:tblInd w:w="9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600" w:firstRow="0" w:lastRow="0" w:firstColumn="0" w:lastColumn="0" w:noHBand="1" w:noVBand="1"/>
      </w:tblPr>
      <w:tblGrid>
        <w:gridCol w:w="2557"/>
        <w:gridCol w:w="881"/>
        <w:gridCol w:w="1134"/>
        <w:gridCol w:w="1135"/>
        <w:gridCol w:w="1135"/>
      </w:tblGrid>
      <w:tr w:rsidR="00AD0CA0" w:rsidRPr="008061DC" w:rsidTr="00835891">
        <w:trPr>
          <w:cantSplit/>
          <w:trHeight w:val="315"/>
        </w:trPr>
        <w:tc>
          <w:tcPr>
            <w:tcW w:w="2557" w:type="dxa"/>
            <w:shd w:val="clear" w:color="auto" w:fill="404040" w:themeFill="text1" w:themeFillTint="BF"/>
            <w:tcMar>
              <w:top w:w="0" w:type="dxa"/>
              <w:left w:w="0" w:type="dxa"/>
              <w:bottom w:w="0" w:type="dxa"/>
              <w:right w:w="0" w:type="dxa"/>
            </w:tcMar>
            <w:vAlign w:val="center"/>
            <w:hideMark/>
          </w:tcPr>
          <w:p w:rsidR="00AD0CA0" w:rsidRPr="006A7F44" w:rsidRDefault="00AD0CA0" w:rsidP="00835891">
            <w:pPr>
              <w:pStyle w:val="TableHeading"/>
              <w:keepLines/>
              <w:jc w:val="center"/>
              <w:rPr>
                <w:color w:val="FFFFFF" w:themeColor="background1"/>
              </w:rPr>
            </w:pPr>
            <w:r w:rsidRPr="006A7F44">
              <w:rPr>
                <w:color w:val="FFFFFF" w:themeColor="background1"/>
              </w:rPr>
              <w:t>Parameter</w:t>
            </w:r>
          </w:p>
        </w:tc>
        <w:tc>
          <w:tcPr>
            <w:tcW w:w="881" w:type="dxa"/>
            <w:shd w:val="clear" w:color="auto" w:fill="404040" w:themeFill="text1" w:themeFillTint="BF"/>
            <w:tcMar>
              <w:top w:w="0" w:type="dxa"/>
              <w:left w:w="0" w:type="dxa"/>
              <w:bottom w:w="0" w:type="dxa"/>
              <w:right w:w="0" w:type="dxa"/>
            </w:tcMar>
            <w:vAlign w:val="center"/>
            <w:hideMark/>
          </w:tcPr>
          <w:p w:rsidR="00AD0CA0" w:rsidRPr="006A7F44" w:rsidRDefault="00AD0CA0" w:rsidP="00835891">
            <w:pPr>
              <w:pStyle w:val="TableHeading"/>
              <w:keepLines/>
              <w:jc w:val="center"/>
              <w:rPr>
                <w:color w:val="FFFFFF" w:themeColor="background1"/>
              </w:rPr>
            </w:pPr>
            <w:r w:rsidRPr="006A7F44">
              <w:rPr>
                <w:color w:val="FFFFFF" w:themeColor="background1"/>
              </w:rPr>
              <w:t>Unit</w:t>
            </w:r>
          </w:p>
        </w:tc>
        <w:tc>
          <w:tcPr>
            <w:tcW w:w="1134" w:type="dxa"/>
            <w:shd w:val="clear" w:color="auto" w:fill="404040" w:themeFill="text1" w:themeFillTint="BF"/>
            <w:tcMar>
              <w:top w:w="0" w:type="dxa"/>
              <w:left w:w="0" w:type="dxa"/>
              <w:bottom w:w="0" w:type="dxa"/>
              <w:right w:w="0" w:type="dxa"/>
            </w:tcMar>
            <w:hideMark/>
          </w:tcPr>
          <w:p w:rsidR="00AD0CA0" w:rsidRDefault="00AD0CA0" w:rsidP="00835891">
            <w:pPr>
              <w:pStyle w:val="TableHeading"/>
              <w:keepLines/>
              <w:jc w:val="center"/>
              <w:rPr>
                <w:color w:val="FFFFFF" w:themeColor="background1"/>
              </w:rPr>
            </w:pPr>
            <w:r>
              <w:rPr>
                <w:color w:val="FFFFFF" w:themeColor="background1"/>
              </w:rPr>
              <w:t>APAC</w:t>
            </w:r>
          </w:p>
          <w:p w:rsidR="00AD0CA0" w:rsidRPr="006A7F44" w:rsidRDefault="00AD0CA0" w:rsidP="00835891">
            <w:pPr>
              <w:pStyle w:val="TableHeading"/>
              <w:keepLines/>
              <w:jc w:val="center"/>
              <w:rPr>
                <w:color w:val="FFFFFF" w:themeColor="background1"/>
              </w:rPr>
            </w:pPr>
            <w:r>
              <w:rPr>
                <w:color w:val="FFFFFF" w:themeColor="background1"/>
              </w:rPr>
              <w:t>(143.5E)</w:t>
            </w:r>
          </w:p>
        </w:tc>
        <w:tc>
          <w:tcPr>
            <w:tcW w:w="1135" w:type="dxa"/>
            <w:shd w:val="clear" w:color="auto" w:fill="404040" w:themeFill="text1" w:themeFillTint="BF"/>
            <w:tcMar>
              <w:top w:w="0" w:type="dxa"/>
              <w:left w:w="0" w:type="dxa"/>
              <w:bottom w:w="0" w:type="dxa"/>
              <w:right w:w="0" w:type="dxa"/>
            </w:tcMar>
            <w:hideMark/>
          </w:tcPr>
          <w:p w:rsidR="00AD0CA0" w:rsidRDefault="00AD0CA0" w:rsidP="00835891">
            <w:pPr>
              <w:pStyle w:val="TableHeading"/>
              <w:keepLines/>
              <w:jc w:val="center"/>
              <w:rPr>
                <w:color w:val="FFFFFF" w:themeColor="background1"/>
              </w:rPr>
            </w:pPr>
            <w:r>
              <w:rPr>
                <w:color w:val="FFFFFF" w:themeColor="background1"/>
              </w:rPr>
              <w:t>IOR</w:t>
            </w:r>
          </w:p>
          <w:p w:rsidR="00AD0CA0" w:rsidRPr="006A7F44" w:rsidRDefault="00AD0CA0" w:rsidP="00835891">
            <w:pPr>
              <w:pStyle w:val="TableHeading"/>
              <w:keepLines/>
              <w:jc w:val="center"/>
              <w:rPr>
                <w:color w:val="FFFFFF" w:themeColor="background1"/>
              </w:rPr>
            </w:pPr>
            <w:r>
              <w:rPr>
                <w:color w:val="FFFFFF" w:themeColor="background1"/>
              </w:rPr>
              <w:t>(64.5E)</w:t>
            </w:r>
          </w:p>
        </w:tc>
        <w:tc>
          <w:tcPr>
            <w:tcW w:w="1135" w:type="dxa"/>
            <w:shd w:val="clear" w:color="auto" w:fill="404040" w:themeFill="text1" w:themeFillTint="BF"/>
            <w:tcMar>
              <w:top w:w="0" w:type="dxa"/>
              <w:left w:w="0" w:type="dxa"/>
              <w:bottom w:w="0" w:type="dxa"/>
              <w:right w:w="0" w:type="dxa"/>
            </w:tcMar>
            <w:hideMark/>
          </w:tcPr>
          <w:p w:rsidR="00AD0CA0" w:rsidRDefault="00AD0CA0" w:rsidP="00835891">
            <w:pPr>
              <w:pStyle w:val="TableHeading"/>
              <w:keepLines/>
              <w:jc w:val="center"/>
              <w:rPr>
                <w:color w:val="FFFFFF" w:themeColor="background1"/>
              </w:rPr>
            </w:pPr>
            <w:r>
              <w:rPr>
                <w:color w:val="FFFFFF" w:themeColor="background1"/>
              </w:rPr>
              <w:t>POR</w:t>
            </w:r>
          </w:p>
          <w:p w:rsidR="00AD0CA0" w:rsidRPr="006A7F44" w:rsidRDefault="00AD0CA0" w:rsidP="00835891">
            <w:pPr>
              <w:pStyle w:val="TableHeading"/>
              <w:keepLines/>
              <w:jc w:val="center"/>
              <w:rPr>
                <w:color w:val="FFFFFF" w:themeColor="background1"/>
              </w:rPr>
            </w:pPr>
            <w:r>
              <w:rPr>
                <w:color w:val="FFFFFF" w:themeColor="background1"/>
              </w:rPr>
              <w:t>(178E)</w:t>
            </w:r>
          </w:p>
        </w:tc>
      </w:tr>
      <w:tr w:rsidR="00AD0CA0" w:rsidRPr="0044647D" w:rsidTr="00835891">
        <w:trPr>
          <w:cantSplit/>
          <w:trHeight w:val="300"/>
        </w:trPr>
        <w:tc>
          <w:tcPr>
            <w:tcW w:w="2557" w:type="dxa"/>
            <w:shd w:val="clear" w:color="auto" w:fill="auto"/>
            <w:tcMar>
              <w:top w:w="0" w:type="dxa"/>
              <w:left w:w="28" w:type="dxa"/>
              <w:bottom w:w="0" w:type="dxa"/>
              <w:right w:w="28" w:type="dxa"/>
            </w:tcMar>
            <w:vAlign w:val="center"/>
          </w:tcPr>
          <w:p w:rsidR="00AD0CA0" w:rsidRPr="008061DC" w:rsidRDefault="00AD0CA0" w:rsidP="00835891">
            <w:pPr>
              <w:pStyle w:val="TableBody"/>
              <w:jc w:val="right"/>
            </w:pPr>
            <w:r>
              <w:t>Location</w:t>
            </w:r>
          </w:p>
        </w:tc>
        <w:tc>
          <w:tcPr>
            <w:tcW w:w="881" w:type="dxa"/>
            <w:shd w:val="clear" w:color="auto" w:fill="auto"/>
            <w:tcMar>
              <w:top w:w="0" w:type="dxa"/>
              <w:left w:w="28" w:type="dxa"/>
              <w:bottom w:w="0" w:type="dxa"/>
              <w:right w:w="28" w:type="dxa"/>
            </w:tcMar>
            <w:vAlign w:val="center"/>
          </w:tcPr>
          <w:p w:rsidR="00AD0CA0" w:rsidRPr="00823A7E" w:rsidRDefault="00AD0CA0" w:rsidP="00835891">
            <w:pPr>
              <w:pStyle w:val="TableBody"/>
              <w:jc w:val="center"/>
              <w:rPr>
                <w:sz w:val="16"/>
                <w:szCs w:val="16"/>
              </w:rPr>
            </w:pPr>
            <w:r w:rsidRPr="00823A7E">
              <w:rPr>
                <w:sz w:val="16"/>
                <w:szCs w:val="16"/>
              </w:rPr>
              <w:t>Latitude</w:t>
            </w:r>
          </w:p>
          <w:p w:rsidR="00AD0CA0" w:rsidRPr="008061DC" w:rsidRDefault="00AD0CA0" w:rsidP="00835891">
            <w:pPr>
              <w:pStyle w:val="TableBody"/>
              <w:jc w:val="center"/>
            </w:pPr>
            <w:r w:rsidRPr="00823A7E">
              <w:rPr>
                <w:sz w:val="16"/>
                <w:szCs w:val="16"/>
              </w:rPr>
              <w:t>Longitude</w:t>
            </w:r>
          </w:p>
        </w:tc>
        <w:tc>
          <w:tcPr>
            <w:tcW w:w="1134" w:type="dxa"/>
            <w:shd w:val="clear" w:color="auto" w:fill="auto"/>
            <w:tcMar>
              <w:top w:w="0" w:type="dxa"/>
              <w:left w:w="28" w:type="dxa"/>
              <w:bottom w:w="0" w:type="dxa"/>
              <w:right w:w="28" w:type="dxa"/>
            </w:tcMar>
            <w:vAlign w:val="center"/>
          </w:tcPr>
          <w:p w:rsidR="00AD0CA0" w:rsidRPr="00823A7E" w:rsidRDefault="00AD0CA0" w:rsidP="00835891">
            <w:pPr>
              <w:pStyle w:val="TableBody"/>
              <w:jc w:val="center"/>
              <w:rPr>
                <w:sz w:val="16"/>
                <w:szCs w:val="16"/>
              </w:rPr>
            </w:pPr>
            <w:r w:rsidRPr="00823A7E">
              <w:rPr>
                <w:sz w:val="16"/>
                <w:szCs w:val="16"/>
              </w:rPr>
              <w:t>-31.80425</w:t>
            </w:r>
            <w:r>
              <w:rPr>
                <w:sz w:val="16"/>
                <w:szCs w:val="16"/>
              </w:rPr>
              <w:t>,</w:t>
            </w:r>
          </w:p>
          <w:p w:rsidR="00AD0CA0" w:rsidRPr="00823A7E" w:rsidRDefault="00AD0CA0" w:rsidP="00835891">
            <w:pPr>
              <w:pStyle w:val="TableBody"/>
              <w:jc w:val="center"/>
              <w:rPr>
                <w:sz w:val="16"/>
                <w:szCs w:val="16"/>
              </w:rPr>
            </w:pPr>
            <w:r w:rsidRPr="00823A7E">
              <w:rPr>
                <w:sz w:val="16"/>
                <w:szCs w:val="16"/>
              </w:rPr>
              <w:t>115.88753</w:t>
            </w:r>
          </w:p>
        </w:tc>
        <w:tc>
          <w:tcPr>
            <w:tcW w:w="1135" w:type="dxa"/>
            <w:shd w:val="clear" w:color="auto" w:fill="auto"/>
            <w:tcMar>
              <w:top w:w="0" w:type="dxa"/>
              <w:left w:w="28" w:type="dxa"/>
              <w:bottom w:w="0" w:type="dxa"/>
              <w:right w:w="28" w:type="dxa"/>
            </w:tcMar>
            <w:vAlign w:val="center"/>
          </w:tcPr>
          <w:p w:rsidR="00AD0CA0" w:rsidRPr="00823A7E" w:rsidRDefault="00AD0CA0" w:rsidP="00835891">
            <w:pPr>
              <w:pStyle w:val="TableBody"/>
              <w:jc w:val="center"/>
              <w:rPr>
                <w:sz w:val="16"/>
                <w:szCs w:val="16"/>
              </w:rPr>
            </w:pPr>
            <w:r w:rsidRPr="00823A7E">
              <w:rPr>
                <w:sz w:val="16"/>
                <w:szCs w:val="16"/>
              </w:rPr>
              <w:t>-31.804604</w:t>
            </w:r>
            <w:r>
              <w:rPr>
                <w:sz w:val="16"/>
                <w:szCs w:val="16"/>
              </w:rPr>
              <w:t>,</w:t>
            </w:r>
          </w:p>
          <w:p w:rsidR="00AD0CA0" w:rsidRPr="00823A7E" w:rsidRDefault="00AD0CA0" w:rsidP="00835891">
            <w:pPr>
              <w:pStyle w:val="TableBody"/>
              <w:jc w:val="center"/>
              <w:rPr>
                <w:sz w:val="16"/>
                <w:szCs w:val="16"/>
              </w:rPr>
            </w:pPr>
            <w:r w:rsidRPr="00823A7E">
              <w:rPr>
                <w:sz w:val="16"/>
                <w:szCs w:val="16"/>
              </w:rPr>
              <w:t>115.887375</w:t>
            </w:r>
          </w:p>
        </w:tc>
        <w:tc>
          <w:tcPr>
            <w:tcW w:w="1135" w:type="dxa"/>
            <w:shd w:val="clear" w:color="auto" w:fill="auto"/>
            <w:tcMar>
              <w:top w:w="0" w:type="dxa"/>
              <w:left w:w="28" w:type="dxa"/>
              <w:bottom w:w="0" w:type="dxa"/>
              <w:right w:w="28" w:type="dxa"/>
            </w:tcMar>
            <w:vAlign w:val="center"/>
          </w:tcPr>
          <w:p w:rsidR="00AD0CA0" w:rsidRPr="00823A7E" w:rsidRDefault="00AD0CA0" w:rsidP="00835891">
            <w:pPr>
              <w:pStyle w:val="TableBody"/>
              <w:jc w:val="center"/>
              <w:rPr>
                <w:sz w:val="16"/>
                <w:szCs w:val="16"/>
              </w:rPr>
            </w:pPr>
            <w:r w:rsidRPr="00823A7E">
              <w:rPr>
                <w:sz w:val="16"/>
                <w:szCs w:val="16"/>
              </w:rPr>
              <w:t>-31.805121</w:t>
            </w:r>
            <w:r>
              <w:rPr>
                <w:sz w:val="16"/>
                <w:szCs w:val="16"/>
              </w:rPr>
              <w:t>,</w:t>
            </w:r>
          </w:p>
          <w:p w:rsidR="00AD0CA0" w:rsidRPr="00823A7E" w:rsidRDefault="00AD0CA0" w:rsidP="00835891">
            <w:pPr>
              <w:pStyle w:val="TableBody"/>
              <w:jc w:val="center"/>
              <w:rPr>
                <w:sz w:val="16"/>
                <w:szCs w:val="16"/>
              </w:rPr>
            </w:pPr>
            <w:r w:rsidRPr="00823A7E">
              <w:rPr>
                <w:sz w:val="16"/>
                <w:szCs w:val="16"/>
              </w:rPr>
              <w:t>115.888276</w:t>
            </w:r>
          </w:p>
        </w:tc>
      </w:tr>
      <w:tr w:rsidR="00AD0CA0" w:rsidRPr="0044647D" w:rsidTr="00835891">
        <w:trPr>
          <w:cantSplit/>
          <w:trHeight w:val="300"/>
        </w:trPr>
        <w:tc>
          <w:tcPr>
            <w:tcW w:w="2557"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rsidRPr="008061DC">
              <w:lastRenderedPageBreak/>
              <w:t>Antenna height</w:t>
            </w:r>
          </w:p>
        </w:tc>
        <w:tc>
          <w:tcPr>
            <w:tcW w:w="881"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M</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7.0</w:t>
            </w:r>
          </w:p>
        </w:tc>
        <w:tc>
          <w:tcPr>
            <w:tcW w:w="1135"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9.0</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9.0</w:t>
            </w:r>
          </w:p>
        </w:tc>
      </w:tr>
      <w:tr w:rsidR="00AD0CA0" w:rsidRPr="0044647D" w:rsidTr="00835891">
        <w:trPr>
          <w:cantSplit/>
          <w:trHeight w:val="300"/>
        </w:trPr>
        <w:tc>
          <w:tcPr>
            <w:tcW w:w="2557"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t>Noise temperature</w:t>
            </w:r>
          </w:p>
        </w:tc>
        <w:tc>
          <w:tcPr>
            <w:tcW w:w="881"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t>K</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100</w:t>
            </w:r>
          </w:p>
        </w:tc>
        <w:tc>
          <w:tcPr>
            <w:tcW w:w="1135"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100</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100</w:t>
            </w:r>
          </w:p>
        </w:tc>
      </w:tr>
      <w:tr w:rsidR="00AD0CA0" w:rsidRPr="0044647D" w:rsidTr="00835891">
        <w:trPr>
          <w:cantSplit/>
          <w:trHeight w:val="300"/>
        </w:trPr>
        <w:tc>
          <w:tcPr>
            <w:tcW w:w="2557"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t>B</w:t>
            </w:r>
            <w:r w:rsidRPr="008061DC">
              <w:t>andwidth</w:t>
            </w:r>
            <w:r>
              <w:t xml:space="preserve"> </w:t>
            </w:r>
            <w:r>
              <w:rPr>
                <w:rStyle w:val="FootnoteReference"/>
              </w:rPr>
              <w:footnoteReference w:id="1"/>
            </w:r>
          </w:p>
        </w:tc>
        <w:tc>
          <w:tcPr>
            <w:tcW w:w="881"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MHz</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5</w:t>
            </w:r>
          </w:p>
        </w:tc>
        <w:tc>
          <w:tcPr>
            <w:tcW w:w="1135"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5</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5</w:t>
            </w:r>
          </w:p>
        </w:tc>
      </w:tr>
      <w:tr w:rsidR="00AD0CA0" w:rsidRPr="0044647D" w:rsidTr="00835891">
        <w:trPr>
          <w:cantSplit/>
          <w:trHeight w:val="300"/>
        </w:trPr>
        <w:tc>
          <w:tcPr>
            <w:tcW w:w="2557" w:type="dxa"/>
            <w:shd w:val="clear" w:color="auto" w:fill="auto"/>
            <w:tcMar>
              <w:top w:w="0" w:type="dxa"/>
              <w:left w:w="28" w:type="dxa"/>
              <w:bottom w:w="0" w:type="dxa"/>
              <w:right w:w="28" w:type="dxa"/>
            </w:tcMar>
            <w:vAlign w:val="center"/>
          </w:tcPr>
          <w:p w:rsidR="00AD0CA0" w:rsidRPr="008061DC" w:rsidRDefault="00AD0CA0" w:rsidP="00835891">
            <w:pPr>
              <w:pStyle w:val="TableBody"/>
              <w:jc w:val="right"/>
            </w:pPr>
            <w:r>
              <w:t>Antenna Pattern</w:t>
            </w:r>
          </w:p>
        </w:tc>
        <w:tc>
          <w:tcPr>
            <w:tcW w:w="881"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S.580-6</w:t>
            </w:r>
          </w:p>
        </w:tc>
        <w:tc>
          <w:tcPr>
            <w:tcW w:w="1135"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S.580-6</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S.580-6</w:t>
            </w:r>
          </w:p>
        </w:tc>
      </w:tr>
      <w:tr w:rsidR="00AD0CA0" w:rsidRPr="0044647D" w:rsidTr="00835891">
        <w:trPr>
          <w:cantSplit/>
          <w:trHeight w:val="300"/>
        </w:trPr>
        <w:tc>
          <w:tcPr>
            <w:tcW w:w="2557"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right"/>
            </w:pPr>
            <w:r w:rsidRPr="008061DC">
              <w:t>Maximum antenna gain</w:t>
            </w:r>
          </w:p>
        </w:tc>
        <w:tc>
          <w:tcPr>
            <w:tcW w:w="881" w:type="dxa"/>
            <w:shd w:val="clear" w:color="auto" w:fill="auto"/>
            <w:tcMar>
              <w:top w:w="0" w:type="dxa"/>
              <w:left w:w="28" w:type="dxa"/>
              <w:bottom w:w="0" w:type="dxa"/>
              <w:right w:w="28" w:type="dxa"/>
            </w:tcMar>
            <w:vAlign w:val="center"/>
            <w:hideMark/>
          </w:tcPr>
          <w:p w:rsidR="00AD0CA0" w:rsidRPr="008061DC" w:rsidRDefault="00AD0CA0" w:rsidP="00835891">
            <w:pPr>
              <w:pStyle w:val="TableBody"/>
              <w:jc w:val="center"/>
            </w:pPr>
            <w:r w:rsidRPr="008061DC">
              <w:t>dBi</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51.9</w:t>
            </w:r>
          </w:p>
        </w:tc>
        <w:tc>
          <w:tcPr>
            <w:tcW w:w="1135"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54.8</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54.8</w:t>
            </w:r>
          </w:p>
        </w:tc>
      </w:tr>
      <w:tr w:rsidR="00AD0CA0" w:rsidRPr="0044647D" w:rsidTr="00835891">
        <w:trPr>
          <w:cantSplit/>
          <w:trHeight w:val="315"/>
        </w:trPr>
        <w:tc>
          <w:tcPr>
            <w:tcW w:w="2557" w:type="dxa"/>
            <w:shd w:val="clear" w:color="auto" w:fill="auto"/>
            <w:tcMar>
              <w:top w:w="0" w:type="dxa"/>
              <w:left w:w="28" w:type="dxa"/>
              <w:bottom w:w="0" w:type="dxa"/>
              <w:right w:w="28" w:type="dxa"/>
            </w:tcMar>
            <w:vAlign w:val="center"/>
          </w:tcPr>
          <w:p w:rsidR="00AD0CA0" w:rsidRPr="008061DC" w:rsidRDefault="00AD0CA0" w:rsidP="00835891">
            <w:pPr>
              <w:pStyle w:val="TableBody"/>
              <w:jc w:val="right"/>
            </w:pPr>
            <w:r>
              <w:t>Elevation (towards satellite)</w:t>
            </w:r>
          </w:p>
        </w:tc>
        <w:tc>
          <w:tcPr>
            <w:tcW w:w="881"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degrees</w:t>
            </w:r>
          </w:p>
        </w:tc>
        <w:tc>
          <w:tcPr>
            <w:tcW w:w="1134" w:type="dxa"/>
            <w:shd w:val="clear" w:color="auto" w:fill="auto"/>
            <w:tcMar>
              <w:top w:w="0" w:type="dxa"/>
              <w:left w:w="28" w:type="dxa"/>
              <w:bottom w:w="0" w:type="dxa"/>
              <w:right w:w="28" w:type="dxa"/>
            </w:tcMar>
            <w:vAlign w:val="center"/>
          </w:tcPr>
          <w:p w:rsidR="00AD0CA0" w:rsidRPr="008061DC" w:rsidRDefault="00AD0CA0" w:rsidP="00835891">
            <w:pPr>
              <w:pStyle w:val="TableBody"/>
              <w:jc w:val="center"/>
            </w:pPr>
            <w:r>
              <w:t>42.45</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pPr>
            <w:r>
              <w:t>24.09</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15.02</w:t>
            </w:r>
          </w:p>
        </w:tc>
      </w:tr>
      <w:tr w:rsidR="00AD0CA0" w:rsidTr="00835891">
        <w:trPr>
          <w:cantSplit/>
          <w:trHeight w:val="315"/>
        </w:trPr>
        <w:tc>
          <w:tcPr>
            <w:tcW w:w="2557" w:type="dxa"/>
            <w:shd w:val="clear" w:color="auto" w:fill="auto"/>
            <w:tcMar>
              <w:top w:w="0" w:type="dxa"/>
              <w:left w:w="28" w:type="dxa"/>
              <w:bottom w:w="0" w:type="dxa"/>
              <w:right w:w="28" w:type="dxa"/>
            </w:tcMar>
            <w:vAlign w:val="center"/>
          </w:tcPr>
          <w:p w:rsidR="00AD0CA0" w:rsidRDefault="00AD0CA0" w:rsidP="00835891">
            <w:pPr>
              <w:pStyle w:val="TableBody"/>
              <w:jc w:val="right"/>
            </w:pPr>
            <w:r>
              <w:t>Gain (towards horizon)</w:t>
            </w:r>
          </w:p>
        </w:tc>
        <w:tc>
          <w:tcPr>
            <w:tcW w:w="881" w:type="dxa"/>
            <w:shd w:val="clear" w:color="auto" w:fill="auto"/>
            <w:tcMar>
              <w:top w:w="0" w:type="dxa"/>
              <w:left w:w="28" w:type="dxa"/>
              <w:bottom w:w="0" w:type="dxa"/>
              <w:right w:w="28" w:type="dxa"/>
            </w:tcMar>
            <w:vAlign w:val="center"/>
          </w:tcPr>
          <w:p w:rsidR="00AD0CA0" w:rsidRDefault="00AD0CA0" w:rsidP="00835891">
            <w:pPr>
              <w:pStyle w:val="TableBody"/>
              <w:jc w:val="center"/>
            </w:pPr>
            <w:r>
              <w:t>dBi</w:t>
            </w:r>
          </w:p>
        </w:tc>
        <w:tc>
          <w:tcPr>
            <w:tcW w:w="1134" w:type="dxa"/>
            <w:shd w:val="clear" w:color="auto" w:fill="auto"/>
            <w:tcMar>
              <w:top w:w="0" w:type="dxa"/>
              <w:left w:w="28" w:type="dxa"/>
              <w:bottom w:w="0" w:type="dxa"/>
              <w:right w:w="28" w:type="dxa"/>
            </w:tcMar>
            <w:vAlign w:val="center"/>
          </w:tcPr>
          <w:p w:rsidR="00AD0CA0" w:rsidRDefault="00AD0CA0" w:rsidP="00835891">
            <w:pPr>
              <w:pStyle w:val="TableBody"/>
              <w:jc w:val="center"/>
            </w:pPr>
            <w:r>
              <w:t>-11.7</w:t>
            </w:r>
          </w:p>
        </w:tc>
        <w:tc>
          <w:tcPr>
            <w:tcW w:w="1135" w:type="dxa"/>
            <w:shd w:val="clear" w:color="auto" w:fill="auto"/>
            <w:tcMar>
              <w:top w:w="0" w:type="dxa"/>
              <w:left w:w="28" w:type="dxa"/>
              <w:bottom w:w="0" w:type="dxa"/>
              <w:right w:w="28" w:type="dxa"/>
            </w:tcMar>
            <w:vAlign w:val="center"/>
          </w:tcPr>
          <w:p w:rsidR="00AD0CA0" w:rsidRDefault="00AD0CA0" w:rsidP="00835891">
            <w:pPr>
              <w:pStyle w:val="TableBody"/>
              <w:jc w:val="center"/>
            </w:pPr>
            <w:r>
              <w:t>-5.5</w:t>
            </w:r>
          </w:p>
        </w:tc>
        <w:tc>
          <w:tcPr>
            <w:tcW w:w="1135" w:type="dxa"/>
            <w:shd w:val="clear" w:color="auto" w:fill="auto"/>
            <w:tcMar>
              <w:top w:w="0" w:type="dxa"/>
              <w:left w:w="28" w:type="dxa"/>
              <w:bottom w:w="0" w:type="dxa"/>
              <w:right w:w="28" w:type="dxa"/>
            </w:tcMar>
            <w:vAlign w:val="center"/>
          </w:tcPr>
          <w:p w:rsidR="00AD0CA0" w:rsidRPr="0083461F" w:rsidRDefault="00AD0CA0" w:rsidP="00835891">
            <w:pPr>
              <w:pStyle w:val="TableBody"/>
              <w:jc w:val="center"/>
            </w:pPr>
            <w:r>
              <w:t>-0.4</w:t>
            </w:r>
          </w:p>
        </w:tc>
      </w:tr>
    </w:tbl>
    <w:p w:rsidR="00AD0CA0" w:rsidRDefault="00AD0CA0" w:rsidP="00AD0CA0"/>
    <w:p w:rsidR="00AD0CA0" w:rsidRDefault="00AD0CA0" w:rsidP="00AD0CA0">
      <w:r>
        <w:t>Most of the parameters in the table above were calculated based on the information available at the time of the analysis and can be refined for further accuracy.</w:t>
      </w:r>
    </w:p>
    <w:p w:rsidR="00AD0CA0" w:rsidRDefault="00AD0CA0" w:rsidP="00AD0CA0">
      <w:r>
        <w:t xml:space="preserve">The interference criterion used for the protection of the gateway stations is shown in </w:t>
      </w:r>
      <w:r>
        <w:fldChar w:fldCharType="begin"/>
      </w:r>
      <w:r>
        <w:instrText xml:space="preserve"> REF _Ref489463087 \h </w:instrText>
      </w:r>
      <w:r>
        <w:fldChar w:fldCharType="separate"/>
      </w:r>
      <w:r>
        <w:t xml:space="preserve">Table </w:t>
      </w:r>
      <w:r>
        <w:rPr>
          <w:noProof/>
        </w:rPr>
        <w:t>3</w:t>
      </w:r>
      <w:r>
        <w:fldChar w:fldCharType="end"/>
      </w:r>
      <w:r>
        <w:t xml:space="preserve"> below. The criteria is the same as used by in the analysis performed by </w:t>
      </w:r>
      <w:r w:rsidR="002974E8">
        <w:t xml:space="preserve">the </w:t>
      </w:r>
      <w:r>
        <w:t>ACMA.</w:t>
      </w:r>
    </w:p>
    <w:p w:rsidR="00AD0CA0" w:rsidRDefault="00AD0CA0" w:rsidP="00AD0CA0">
      <w:pPr>
        <w:pStyle w:val="Caption"/>
        <w:keepNext/>
        <w:jc w:val="center"/>
      </w:pPr>
      <w:bookmarkStart w:id="4" w:name="_Ref489463087"/>
      <w:r>
        <w:t xml:space="preserve">Table </w:t>
      </w:r>
      <w:r>
        <w:fldChar w:fldCharType="begin"/>
      </w:r>
      <w:r>
        <w:instrText xml:space="preserve"> SEQ Table \* ARABIC </w:instrText>
      </w:r>
      <w:r>
        <w:fldChar w:fldCharType="separate"/>
      </w:r>
      <w:r>
        <w:rPr>
          <w:noProof/>
        </w:rPr>
        <w:t>3</w:t>
      </w:r>
      <w:r>
        <w:fldChar w:fldCharType="end"/>
      </w:r>
      <w:bookmarkEnd w:id="4"/>
      <w:r>
        <w:t xml:space="preserve"> Gateway earth station protection criteria</w:t>
      </w:r>
    </w:p>
    <w:tbl>
      <w:tblPr>
        <w:tblW w:w="8467"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600" w:firstRow="0" w:lastRow="0" w:firstColumn="0" w:lastColumn="0" w:noHBand="1" w:noVBand="1"/>
        <w:tblCaption w:val="FSS Earth station study generic parameters "/>
        <w:tblDescription w:val="Table showing the generic details of FSS earth stations  used in studies"/>
      </w:tblPr>
      <w:tblGrid>
        <w:gridCol w:w="3896"/>
        <w:gridCol w:w="1985"/>
        <w:gridCol w:w="2586"/>
      </w:tblGrid>
      <w:tr w:rsidR="00AD0CA0" w:rsidRPr="008061DC" w:rsidTr="00835891">
        <w:trPr>
          <w:trHeight w:val="315"/>
        </w:trPr>
        <w:tc>
          <w:tcPr>
            <w:tcW w:w="3896" w:type="dxa"/>
            <w:shd w:val="clear" w:color="auto" w:fill="404040" w:themeFill="text1" w:themeFillTint="BF"/>
            <w:tcMar>
              <w:top w:w="0" w:type="dxa"/>
              <w:left w:w="0" w:type="dxa"/>
              <w:bottom w:w="0" w:type="dxa"/>
              <w:right w:w="0" w:type="dxa"/>
            </w:tcMar>
            <w:hideMark/>
          </w:tcPr>
          <w:p w:rsidR="00AD0CA0" w:rsidRPr="006A7F44" w:rsidRDefault="00AD0CA0" w:rsidP="00835891">
            <w:pPr>
              <w:pStyle w:val="TableHeading"/>
              <w:keepNext/>
              <w:keepLines/>
              <w:rPr>
                <w:color w:val="FFFFFF" w:themeColor="background1"/>
              </w:rPr>
            </w:pPr>
            <w:r w:rsidRPr="006A7F44">
              <w:rPr>
                <w:color w:val="FFFFFF" w:themeColor="background1"/>
              </w:rPr>
              <w:t>Parameter</w:t>
            </w:r>
          </w:p>
        </w:tc>
        <w:tc>
          <w:tcPr>
            <w:tcW w:w="1985" w:type="dxa"/>
            <w:shd w:val="clear" w:color="auto" w:fill="404040" w:themeFill="text1" w:themeFillTint="BF"/>
            <w:tcMar>
              <w:top w:w="0" w:type="dxa"/>
              <w:left w:w="0" w:type="dxa"/>
              <w:bottom w:w="0" w:type="dxa"/>
              <w:right w:w="0" w:type="dxa"/>
            </w:tcMar>
            <w:hideMark/>
          </w:tcPr>
          <w:p w:rsidR="00AD0CA0" w:rsidRPr="006A7F44" w:rsidRDefault="00AD0CA0" w:rsidP="00835891">
            <w:pPr>
              <w:pStyle w:val="TableHeading"/>
              <w:keepNext/>
              <w:keepLines/>
              <w:rPr>
                <w:color w:val="FFFFFF" w:themeColor="background1"/>
              </w:rPr>
            </w:pPr>
            <w:r w:rsidRPr="006A7F44">
              <w:rPr>
                <w:color w:val="FFFFFF" w:themeColor="background1"/>
              </w:rPr>
              <w:t>Value</w:t>
            </w:r>
          </w:p>
        </w:tc>
        <w:tc>
          <w:tcPr>
            <w:tcW w:w="2586" w:type="dxa"/>
            <w:shd w:val="clear" w:color="auto" w:fill="404040" w:themeFill="text1" w:themeFillTint="BF"/>
            <w:tcMar>
              <w:top w:w="0" w:type="dxa"/>
              <w:left w:w="0" w:type="dxa"/>
              <w:bottom w:w="0" w:type="dxa"/>
              <w:right w:w="0" w:type="dxa"/>
            </w:tcMar>
          </w:tcPr>
          <w:p w:rsidR="00AD0CA0" w:rsidRPr="006A7F44" w:rsidRDefault="00AD0CA0" w:rsidP="00835891">
            <w:pPr>
              <w:pStyle w:val="TableHeading"/>
              <w:keepNext/>
              <w:keepLines/>
              <w:jc w:val="center"/>
              <w:rPr>
                <w:color w:val="FFFFFF" w:themeColor="background1"/>
              </w:rPr>
            </w:pPr>
            <w:r>
              <w:rPr>
                <w:color w:val="FFFFFF" w:themeColor="background1"/>
              </w:rPr>
              <w:t>I/N</w:t>
            </w:r>
          </w:p>
        </w:tc>
      </w:tr>
      <w:tr w:rsidR="00AD0CA0" w:rsidRPr="008061DC" w:rsidTr="00835891">
        <w:trPr>
          <w:trHeight w:val="300"/>
        </w:trPr>
        <w:tc>
          <w:tcPr>
            <w:tcW w:w="3896" w:type="dxa"/>
            <w:shd w:val="clear" w:color="auto" w:fill="auto"/>
            <w:tcMar>
              <w:top w:w="0" w:type="dxa"/>
              <w:left w:w="28" w:type="dxa"/>
              <w:bottom w:w="0" w:type="dxa"/>
              <w:right w:w="28" w:type="dxa"/>
            </w:tcMar>
            <w:vAlign w:val="center"/>
          </w:tcPr>
          <w:p w:rsidR="00AD0CA0" w:rsidRPr="001D62E5" w:rsidRDefault="00AD0CA0" w:rsidP="00835891">
            <w:pPr>
              <w:pStyle w:val="TableBody"/>
              <w:keepNext/>
              <w:keepLines/>
            </w:pPr>
            <w:r>
              <w:t>Long-term protection criteria (</w:t>
            </w:r>
            <w:r w:rsidRPr="007B0C64">
              <w:t>p</w:t>
            </w:r>
            <w:r w:rsidRPr="007B0C64">
              <w:rPr>
                <w:vertAlign w:val="subscript"/>
              </w:rPr>
              <w:t>0</w:t>
            </w:r>
            <w:r w:rsidRPr="007B0C64">
              <w:t>=</w:t>
            </w:r>
            <w:r>
              <w:t>20%)</w:t>
            </w:r>
          </w:p>
        </w:tc>
        <w:tc>
          <w:tcPr>
            <w:tcW w:w="1985" w:type="dxa"/>
            <w:shd w:val="clear" w:color="auto" w:fill="auto"/>
            <w:tcMar>
              <w:top w:w="0" w:type="dxa"/>
              <w:left w:w="28" w:type="dxa"/>
              <w:bottom w:w="0" w:type="dxa"/>
              <w:right w:w="28" w:type="dxa"/>
            </w:tcMar>
            <w:vAlign w:val="center"/>
          </w:tcPr>
          <w:p w:rsidR="00AD0CA0" w:rsidRPr="001D62E5" w:rsidRDefault="00AD0CA0" w:rsidP="00835891">
            <w:pPr>
              <w:pStyle w:val="TableBody"/>
              <w:keepNext/>
              <w:keepLines/>
            </w:pPr>
            <w:r>
              <w:t>–130.15 dBm/MHz</w:t>
            </w:r>
          </w:p>
        </w:tc>
        <w:tc>
          <w:tcPr>
            <w:tcW w:w="2586" w:type="dxa"/>
            <w:shd w:val="clear" w:color="auto" w:fill="auto"/>
            <w:tcMar>
              <w:top w:w="0" w:type="dxa"/>
              <w:left w:w="28" w:type="dxa"/>
              <w:bottom w:w="0" w:type="dxa"/>
              <w:right w:w="28" w:type="dxa"/>
            </w:tcMar>
            <w:vAlign w:val="center"/>
          </w:tcPr>
          <w:p w:rsidR="00AD0CA0" w:rsidRPr="001D62E5" w:rsidRDefault="00AD0CA0" w:rsidP="00835891">
            <w:pPr>
              <w:pStyle w:val="TableBody"/>
              <w:keepNext/>
              <w:keepLines/>
              <w:jc w:val="center"/>
            </w:pPr>
            <w:r>
              <w:t>-12.2</w:t>
            </w:r>
          </w:p>
        </w:tc>
      </w:tr>
      <w:tr w:rsidR="00AD0CA0" w:rsidRPr="008061DC" w:rsidTr="00835891">
        <w:trPr>
          <w:trHeight w:val="300"/>
        </w:trPr>
        <w:tc>
          <w:tcPr>
            <w:tcW w:w="3896" w:type="dxa"/>
            <w:shd w:val="clear" w:color="auto" w:fill="auto"/>
            <w:tcMar>
              <w:top w:w="0" w:type="dxa"/>
              <w:left w:w="28" w:type="dxa"/>
              <w:bottom w:w="0" w:type="dxa"/>
              <w:right w:w="28" w:type="dxa"/>
            </w:tcMar>
            <w:vAlign w:val="center"/>
          </w:tcPr>
          <w:p w:rsidR="00AD0CA0" w:rsidRPr="001D62E5" w:rsidRDefault="00AD0CA0" w:rsidP="00835891">
            <w:pPr>
              <w:pStyle w:val="TableBody"/>
              <w:keepNext/>
              <w:keepLines/>
            </w:pPr>
            <w:r>
              <w:t>Short-term protection criteria (</w:t>
            </w:r>
            <w:r w:rsidRPr="007B0C64">
              <w:t>p</w:t>
            </w:r>
            <w:r w:rsidRPr="007B0C64">
              <w:rPr>
                <w:vertAlign w:val="subscript"/>
              </w:rPr>
              <w:t>0</w:t>
            </w:r>
            <w:r w:rsidRPr="007B0C64">
              <w:t>=</w:t>
            </w:r>
            <w:r>
              <w:t>0.005%)</w:t>
            </w:r>
          </w:p>
        </w:tc>
        <w:tc>
          <w:tcPr>
            <w:tcW w:w="1985" w:type="dxa"/>
            <w:shd w:val="clear" w:color="auto" w:fill="auto"/>
            <w:tcMar>
              <w:top w:w="0" w:type="dxa"/>
              <w:left w:w="28" w:type="dxa"/>
              <w:bottom w:w="0" w:type="dxa"/>
              <w:right w:w="28" w:type="dxa"/>
            </w:tcMar>
            <w:vAlign w:val="center"/>
          </w:tcPr>
          <w:p w:rsidR="00AD0CA0" w:rsidRPr="001D62E5" w:rsidRDefault="00AD0CA0" w:rsidP="00835891">
            <w:pPr>
              <w:pStyle w:val="TableBody"/>
              <w:keepNext/>
              <w:keepLines/>
            </w:pPr>
            <w:r>
              <w:t>–121.48 dBm/MHz</w:t>
            </w:r>
          </w:p>
        </w:tc>
        <w:tc>
          <w:tcPr>
            <w:tcW w:w="2586" w:type="dxa"/>
            <w:shd w:val="clear" w:color="auto" w:fill="auto"/>
            <w:tcMar>
              <w:top w:w="0" w:type="dxa"/>
              <w:left w:w="28" w:type="dxa"/>
              <w:bottom w:w="0" w:type="dxa"/>
              <w:right w:w="28" w:type="dxa"/>
            </w:tcMar>
            <w:vAlign w:val="center"/>
          </w:tcPr>
          <w:p w:rsidR="00AD0CA0" w:rsidRPr="001D62E5" w:rsidRDefault="00AD0CA0" w:rsidP="00835891">
            <w:pPr>
              <w:pStyle w:val="TableBody"/>
              <w:keepNext/>
              <w:keepLines/>
              <w:jc w:val="center"/>
            </w:pPr>
            <w:r>
              <w:t>-2.1</w:t>
            </w:r>
          </w:p>
        </w:tc>
      </w:tr>
    </w:tbl>
    <w:p w:rsidR="00AD0CA0" w:rsidRDefault="00AD0CA0" w:rsidP="00AD0CA0"/>
    <w:p w:rsidR="00AD0CA0" w:rsidRDefault="00AD0CA0" w:rsidP="00AD0CA0">
      <w:pPr>
        <w:pStyle w:val="Heading2"/>
        <w:numPr>
          <w:ilvl w:val="0"/>
          <w:numId w:val="6"/>
        </w:numPr>
      </w:pPr>
      <w:r>
        <w:t>Study methodology and results</w:t>
      </w:r>
    </w:p>
    <w:p w:rsidR="00AD0CA0" w:rsidRDefault="00AD0CA0" w:rsidP="00AD0CA0">
      <w:r>
        <w:t xml:space="preserve">The study is performed using an “area analysis” methodology, for which interference into any of the Inmarsat gateway stations from a single </w:t>
      </w:r>
      <w:r>
        <w:t>MBB</w:t>
      </w:r>
      <w:r>
        <w:t xml:space="preserve"> base station in a specific geographic location is calculated. If the short-term or long-term interference criterion at the gateway earth station receiver is exceeded for that specific </w:t>
      </w:r>
      <w:r>
        <w:t>MBB</w:t>
      </w:r>
      <w:r>
        <w:t xml:space="preserve"> base station location, then this </w:t>
      </w:r>
      <w:r>
        <w:t>MBB</w:t>
      </w:r>
      <w:r>
        <w:t xml:space="preserve"> base station location is highlighted </w:t>
      </w:r>
      <w:r w:rsidR="002974E8">
        <w:t xml:space="preserve">in red </w:t>
      </w:r>
      <w:r>
        <w:t xml:space="preserve">on the map. This analysis is repeated for every “pixel” in the area surrounding Inmarsat gateway earth stations and the results indicate all the locations where there would be risk of interference into </w:t>
      </w:r>
      <w:r w:rsidR="002974E8">
        <w:t xml:space="preserve">any </w:t>
      </w:r>
      <w:r>
        <w:t xml:space="preserve">one of the three gateways if an </w:t>
      </w:r>
      <w:r>
        <w:t>MBB</w:t>
      </w:r>
      <w:r>
        <w:t xml:space="preserve"> base station would be placed in the highlighted area.</w:t>
      </w:r>
    </w:p>
    <w:p w:rsidR="00AD0CA0" w:rsidRDefault="00AD0CA0" w:rsidP="00AD0CA0">
      <w:r>
        <w:t xml:space="preserve">The study also assumes full overlap of the bandwidths of the </w:t>
      </w:r>
      <w:r>
        <w:t>MBB</w:t>
      </w:r>
      <w:r>
        <w:t xml:space="preserve"> base station and Inmarsat gateways in a 5 MHz channel. </w:t>
      </w:r>
    </w:p>
    <w:p w:rsidR="00AD0CA0" w:rsidRPr="00F05209" w:rsidRDefault="00AD0CA0" w:rsidP="00AD0CA0">
      <w:r w:rsidRPr="00F05209">
        <w:t xml:space="preserve">The level of interference received by </w:t>
      </w:r>
      <w:r>
        <w:t>the Perth gateways</w:t>
      </w:r>
      <w:r w:rsidRPr="00F05209">
        <w:t xml:space="preserve"> </w:t>
      </w:r>
      <w:r>
        <w:t xml:space="preserve">from </w:t>
      </w:r>
      <w:r>
        <w:t>MBB</w:t>
      </w:r>
      <w:r>
        <w:t xml:space="preserve"> base station deployments in the surrounding area </w:t>
      </w:r>
      <w:r w:rsidRPr="00F05209">
        <w:t>is modelled using a terrain database</w:t>
      </w:r>
      <w:r>
        <w:t xml:space="preserve"> (with 30 m accuracy)</w:t>
      </w:r>
      <w:r w:rsidRPr="00F05209">
        <w:t xml:space="preserve"> of the area around </w:t>
      </w:r>
      <w:r>
        <w:t>Perth</w:t>
      </w:r>
      <w:r w:rsidRPr="00F05209">
        <w:t xml:space="preserve"> and the propagation model defined in ITU</w:t>
      </w:r>
      <w:r w:rsidR="002974E8">
        <w:t>-R</w:t>
      </w:r>
      <w:r w:rsidRPr="00F05209">
        <w:t xml:space="preserve"> Recommendation P.452.</w:t>
      </w:r>
    </w:p>
    <w:p w:rsidR="00AD0CA0" w:rsidRPr="00F05209" w:rsidRDefault="00AD0CA0" w:rsidP="00AD0CA0">
      <w:r w:rsidRPr="00F05209">
        <w:t>The level of propagation loss of the transmitted signal is subject to temporary atmospheric phenomena that can significantly decrease the propagation loss and thereby increase interference. The duration and occurrence of such effects is statistically distributed in time, so that interference will be highest for the lowest duration of time. Consequently, Recommendation P.452 accounts for this by defining a percentage of time, for which the level of propagation loss is expected to remain above a certain value.</w:t>
      </w:r>
    </w:p>
    <w:p w:rsidR="00AD0CA0" w:rsidRDefault="00AD0CA0" w:rsidP="00AD0CA0">
      <w:r w:rsidRPr="00F05209">
        <w:t xml:space="preserve">Due to this, studies considering interference between satellite earth stations and terrestrial base stations generally assess interference in two dimensions: long-term and short-term interference. In </w:t>
      </w:r>
      <w:r w:rsidRPr="00F05209">
        <w:lastRenderedPageBreak/>
        <w:t>this study, interference is not expected to be exceeded for 20% of the time for the long term interference criterion and 0.00</w:t>
      </w:r>
      <w:r>
        <w:t>5</w:t>
      </w:r>
      <w:r w:rsidRPr="00F05209">
        <w:t>% of the time for the short term interference c</w:t>
      </w:r>
      <w:r>
        <w:t xml:space="preserve">riterion as also indicated in </w:t>
      </w:r>
      <w:r>
        <w:fldChar w:fldCharType="begin"/>
      </w:r>
      <w:r>
        <w:instrText xml:space="preserve"> REF _Ref489463087 \h </w:instrText>
      </w:r>
      <w:r>
        <w:fldChar w:fldCharType="separate"/>
      </w:r>
      <w:r>
        <w:t xml:space="preserve">Table </w:t>
      </w:r>
      <w:r>
        <w:rPr>
          <w:noProof/>
        </w:rPr>
        <w:t>3</w:t>
      </w:r>
      <w:r>
        <w:fldChar w:fldCharType="end"/>
      </w:r>
      <w:r>
        <w:t xml:space="preserve"> above. In order to ensure interference free operation, both long-term and short-term interference criteria needs to be met.</w:t>
      </w:r>
    </w:p>
    <w:p w:rsidR="00AD0CA0" w:rsidRDefault="00AD0CA0" w:rsidP="00AD0CA0">
      <w:pPr>
        <w:pStyle w:val="Heading3"/>
        <w:numPr>
          <w:ilvl w:val="1"/>
          <w:numId w:val="6"/>
        </w:numPr>
      </w:pPr>
      <w:r>
        <w:t>Macro cell interference analysis</w:t>
      </w:r>
    </w:p>
    <w:p w:rsidR="00AD0CA0" w:rsidRDefault="00AD0CA0" w:rsidP="00AD0CA0">
      <w:r>
        <w:t xml:space="preserve">This analysis studies the interference into Inmarsat gateway stations from macro base station deployment based on the parameters indicated in </w:t>
      </w:r>
      <w:r>
        <w:fldChar w:fldCharType="begin"/>
      </w:r>
      <w:r>
        <w:instrText xml:space="preserve"> REF _Ref489454762 \h </w:instrText>
      </w:r>
      <w:r>
        <w:fldChar w:fldCharType="separate"/>
      </w:r>
      <w:r>
        <w:t xml:space="preserve">Table </w:t>
      </w:r>
      <w:r>
        <w:rPr>
          <w:noProof/>
        </w:rPr>
        <w:t>1</w:t>
      </w:r>
      <w:r>
        <w:fldChar w:fldCharType="end"/>
      </w:r>
      <w:r>
        <w:t xml:space="preserve"> above.</w:t>
      </w:r>
      <w:r w:rsidRPr="00701862">
        <w:t xml:space="preserve"> </w:t>
      </w:r>
      <w:r>
        <w:t xml:space="preserve">The results of this analysis are shown on </w:t>
      </w:r>
      <w:r>
        <w:fldChar w:fldCharType="begin"/>
      </w:r>
      <w:r>
        <w:instrText xml:space="preserve"> REF _Ref489520056 \h </w:instrText>
      </w:r>
      <w:r>
        <w:fldChar w:fldCharType="separate"/>
      </w:r>
      <w:r>
        <w:t xml:space="preserve">Figure </w:t>
      </w:r>
      <w:r>
        <w:rPr>
          <w:noProof/>
        </w:rPr>
        <w:t>2</w:t>
      </w:r>
      <w:r>
        <w:fldChar w:fldCharType="end"/>
      </w:r>
      <w:r>
        <w:t xml:space="preserve"> below, where red indicates areas where either the long-term or short-term interference criterion (or both) at the gateway locations would be exceeded, if a macro base station would be deployed in the highlighted location.</w:t>
      </w:r>
    </w:p>
    <w:p w:rsidR="00AD0CA0" w:rsidRDefault="00AD0CA0" w:rsidP="00AD0CA0">
      <w:r>
        <w:t xml:space="preserve">The results indicate that the Inmarsat gateway stations are potentially interfered with from </w:t>
      </w:r>
      <w:r>
        <w:t>MBB</w:t>
      </w:r>
      <w:r>
        <w:t xml:space="preserve"> macro base station deployments throughout the city of Perth and coexistence would not be possible between the two services. </w:t>
      </w:r>
    </w:p>
    <w:p w:rsidR="00AD0CA0" w:rsidRDefault="00AD0CA0" w:rsidP="00AD0CA0">
      <w:pPr>
        <w:pStyle w:val="Caption"/>
        <w:keepNext/>
        <w:jc w:val="center"/>
      </w:pPr>
      <w:r>
        <w:t xml:space="preserve">Figure </w:t>
      </w:r>
      <w:r>
        <w:fldChar w:fldCharType="begin"/>
      </w:r>
      <w:r>
        <w:instrText xml:space="preserve"> SEQ Figure \* ARABIC </w:instrText>
      </w:r>
      <w:r>
        <w:fldChar w:fldCharType="separate"/>
      </w:r>
      <w:r>
        <w:rPr>
          <w:noProof/>
        </w:rPr>
        <w:t>1</w:t>
      </w:r>
      <w:r>
        <w:fldChar w:fldCharType="end"/>
      </w:r>
      <w:r>
        <w:t xml:space="preserve"> Interference from macro </w:t>
      </w:r>
      <w:r>
        <w:t>MBB</w:t>
      </w:r>
      <w:r>
        <w:t xml:space="preserve"> base stations (composite long-term and short-term interference contours)</w:t>
      </w:r>
    </w:p>
    <w:p w:rsidR="00AD0CA0" w:rsidRDefault="00AD0CA0" w:rsidP="00AD0CA0">
      <w:pPr>
        <w:jc w:val="center"/>
      </w:pPr>
      <w:r>
        <w:rPr>
          <w:noProof/>
          <w:lang w:eastAsia="en-GB"/>
        </w:rPr>
        <w:drawing>
          <wp:inline distT="0" distB="0" distL="0" distR="0" wp14:anchorId="556BE063" wp14:editId="268C27B5">
            <wp:extent cx="4769402" cy="488248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70428" cy="4883531"/>
                    </a:xfrm>
                    <a:prstGeom prst="rect">
                      <a:avLst/>
                    </a:prstGeom>
                  </pic:spPr>
                </pic:pic>
              </a:graphicData>
            </a:graphic>
          </wp:inline>
        </w:drawing>
      </w:r>
    </w:p>
    <w:p w:rsidR="00AD0CA0" w:rsidRPr="008D7752" w:rsidRDefault="00AD0CA0" w:rsidP="00AD0CA0">
      <w:pPr>
        <w:jc w:val="center"/>
      </w:pPr>
    </w:p>
    <w:p w:rsidR="00AD0CA0" w:rsidRDefault="00AD0CA0" w:rsidP="00AD0CA0">
      <w:pPr>
        <w:pStyle w:val="Heading3"/>
        <w:numPr>
          <w:ilvl w:val="1"/>
          <w:numId w:val="6"/>
        </w:numPr>
      </w:pPr>
      <w:r>
        <w:lastRenderedPageBreak/>
        <w:t>Small cell interference analysis results</w:t>
      </w:r>
    </w:p>
    <w:p w:rsidR="00AD0CA0" w:rsidRDefault="002974E8" w:rsidP="00AD0CA0">
      <w:r>
        <w:t>Three separate area analyse</w:t>
      </w:r>
      <w:r w:rsidR="00AD0CA0">
        <w:t xml:space="preserve">s are performed in order to characterise the interference from </w:t>
      </w:r>
      <w:r w:rsidR="00AD0CA0">
        <w:t>MBB</w:t>
      </w:r>
      <w:r w:rsidR="00AD0CA0">
        <w:t xml:space="preserve"> small cell base stations into the Inmarsat gateway stations. </w:t>
      </w:r>
    </w:p>
    <w:p w:rsidR="00AD0CA0" w:rsidRDefault="00AD0CA0" w:rsidP="00AD0CA0">
      <w:pPr>
        <w:pStyle w:val="Heading4"/>
        <w:numPr>
          <w:ilvl w:val="2"/>
          <w:numId w:val="6"/>
        </w:numPr>
      </w:pPr>
      <w:r>
        <w:t xml:space="preserve"> </w:t>
      </w:r>
      <w:bookmarkStart w:id="5" w:name="_Ref489521158"/>
      <w:r>
        <w:t>Baseline small cell interference analysis</w:t>
      </w:r>
      <w:bookmarkEnd w:id="5"/>
    </w:p>
    <w:p w:rsidR="00AD0CA0" w:rsidRDefault="00AD0CA0" w:rsidP="00AD0CA0">
      <w:r>
        <w:t xml:space="preserve">This analysis uses small cell base station parameters as shown in </w:t>
      </w:r>
      <w:r>
        <w:fldChar w:fldCharType="begin"/>
      </w:r>
      <w:r>
        <w:instrText xml:space="preserve"> REF _Ref489454762 \h </w:instrText>
      </w:r>
      <w:r>
        <w:fldChar w:fldCharType="separate"/>
      </w:r>
      <w:r>
        <w:t xml:space="preserve">Table </w:t>
      </w:r>
      <w:r>
        <w:rPr>
          <w:noProof/>
        </w:rPr>
        <w:t>1</w:t>
      </w:r>
      <w:r>
        <w:fldChar w:fldCharType="end"/>
      </w:r>
      <w:r>
        <w:t xml:space="preserve"> above, but does not consider any clutter loss between the gateway and the base stations. This means that the interference contour is driven by the propagation loss due to terrain.</w:t>
      </w:r>
    </w:p>
    <w:p w:rsidR="00AD0CA0" w:rsidRDefault="00AD0CA0" w:rsidP="00AD0CA0">
      <w:r>
        <w:t xml:space="preserve">The results of this analysis are shown on </w:t>
      </w:r>
      <w:r>
        <w:fldChar w:fldCharType="begin"/>
      </w:r>
      <w:r>
        <w:instrText xml:space="preserve"> REF _Ref489520056 \h </w:instrText>
      </w:r>
      <w:r>
        <w:fldChar w:fldCharType="separate"/>
      </w:r>
      <w:r>
        <w:t xml:space="preserve">Figure </w:t>
      </w:r>
      <w:r>
        <w:rPr>
          <w:noProof/>
        </w:rPr>
        <w:t>2</w:t>
      </w:r>
      <w:r>
        <w:fldChar w:fldCharType="end"/>
      </w:r>
      <w:r>
        <w:t xml:space="preserve"> below for the composite of short-term and long-term interference contours. It can be seen that interference is concentrated in a 15 km circle around the gateway earth station and also follows the eastern flank of Perth. The latter is due to elevated terrain on the eastern side of the city, which increases the radio horizon of the small cell base stations. </w:t>
      </w:r>
    </w:p>
    <w:p w:rsidR="00AD0CA0" w:rsidRPr="003D20B9" w:rsidRDefault="00AD0CA0" w:rsidP="00AD0CA0">
      <w:r>
        <w:t xml:space="preserve">Large portions of the eastern side of Perth consist of farmland and suburban areas, where a small cell deployment is less likely. However, interference can also be experienced by large portions of the city south of the gateway, which stretches for about 70 km from the gateway location, where small cell base stations could be deployed. </w:t>
      </w:r>
    </w:p>
    <w:p w:rsidR="00AD0CA0" w:rsidRDefault="00AD0CA0" w:rsidP="00AD0CA0">
      <w:pPr>
        <w:pStyle w:val="Caption"/>
        <w:keepNext/>
        <w:jc w:val="center"/>
      </w:pPr>
      <w:bookmarkStart w:id="6" w:name="_Ref489520056"/>
      <w:r>
        <w:lastRenderedPageBreak/>
        <w:t xml:space="preserve">Figure </w:t>
      </w:r>
      <w:r>
        <w:fldChar w:fldCharType="begin"/>
      </w:r>
      <w:r>
        <w:instrText xml:space="preserve"> SEQ Figure \* ARABIC </w:instrText>
      </w:r>
      <w:r>
        <w:fldChar w:fldCharType="separate"/>
      </w:r>
      <w:r>
        <w:rPr>
          <w:noProof/>
        </w:rPr>
        <w:t>2</w:t>
      </w:r>
      <w:r>
        <w:fldChar w:fldCharType="end"/>
      </w:r>
      <w:bookmarkEnd w:id="6"/>
      <w:r>
        <w:t xml:space="preserve"> Interference from small cell base stations (composite of short-term and long-term interference contours) </w:t>
      </w:r>
    </w:p>
    <w:p w:rsidR="00AD0CA0" w:rsidRDefault="00AD0CA0" w:rsidP="00AD0CA0">
      <w:pPr>
        <w:keepNext/>
        <w:jc w:val="center"/>
      </w:pPr>
      <w:r>
        <w:rPr>
          <w:noProof/>
          <w:lang w:eastAsia="en-GB"/>
        </w:rPr>
        <w:drawing>
          <wp:inline distT="0" distB="0" distL="0" distR="0" wp14:anchorId="69DC1A40" wp14:editId="3BE7FEBD">
            <wp:extent cx="2417197" cy="5429098"/>
            <wp:effectExtent l="0" t="0" r="254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46841" cy="5495679"/>
                    </a:xfrm>
                    <a:prstGeom prst="rect">
                      <a:avLst/>
                    </a:prstGeom>
                  </pic:spPr>
                </pic:pic>
              </a:graphicData>
            </a:graphic>
          </wp:inline>
        </w:drawing>
      </w:r>
    </w:p>
    <w:p w:rsidR="00AD0CA0" w:rsidRPr="00A12BFC" w:rsidRDefault="00AD0CA0" w:rsidP="00AD0CA0">
      <w:pPr>
        <w:jc w:val="center"/>
        <w:rPr>
          <w:sz w:val="18"/>
          <w:szCs w:val="18"/>
        </w:rPr>
      </w:pPr>
      <w:r>
        <w:rPr>
          <w:sz w:val="18"/>
          <w:szCs w:val="18"/>
        </w:rPr>
        <w:t>Note: the yellow line is 82</w:t>
      </w:r>
      <w:r w:rsidRPr="00A12BFC">
        <w:rPr>
          <w:sz w:val="18"/>
          <w:szCs w:val="18"/>
        </w:rPr>
        <w:t xml:space="preserve"> km from the Inmarsat gateways and white circle has a radius of </w:t>
      </w:r>
      <w:r>
        <w:rPr>
          <w:sz w:val="18"/>
          <w:szCs w:val="18"/>
        </w:rPr>
        <w:t>15</w:t>
      </w:r>
      <w:r w:rsidRPr="00A12BFC">
        <w:rPr>
          <w:sz w:val="18"/>
          <w:szCs w:val="18"/>
        </w:rPr>
        <w:t xml:space="preserve"> km</w:t>
      </w:r>
    </w:p>
    <w:p w:rsidR="00AD0CA0" w:rsidRDefault="00AD0CA0" w:rsidP="00AD0CA0">
      <w:pPr>
        <w:pStyle w:val="Heading4"/>
        <w:numPr>
          <w:ilvl w:val="2"/>
          <w:numId w:val="6"/>
        </w:numPr>
      </w:pPr>
      <w:bookmarkStart w:id="7" w:name="_Ref489532691"/>
      <w:r>
        <w:t>Baseline small cell interference analysis -10 dB</w:t>
      </w:r>
      <w:bookmarkEnd w:id="7"/>
    </w:p>
    <w:p w:rsidR="00AD0CA0" w:rsidRPr="00890B10" w:rsidRDefault="00AD0CA0" w:rsidP="00AD0CA0">
      <w:pPr>
        <w:pStyle w:val="Caption"/>
        <w:keepNext/>
        <w:rPr>
          <w:i w:val="0"/>
          <w:color w:val="auto"/>
          <w:sz w:val="22"/>
          <w:szCs w:val="22"/>
        </w:rPr>
      </w:pPr>
      <w:r w:rsidRPr="00890B10">
        <w:rPr>
          <w:i w:val="0"/>
          <w:color w:val="auto"/>
          <w:sz w:val="22"/>
          <w:szCs w:val="22"/>
        </w:rPr>
        <w:t xml:space="preserve">The same analysis as in Section </w:t>
      </w:r>
      <w:r w:rsidRPr="00890B10">
        <w:rPr>
          <w:i w:val="0"/>
          <w:color w:val="auto"/>
          <w:sz w:val="22"/>
          <w:szCs w:val="22"/>
        </w:rPr>
        <w:fldChar w:fldCharType="begin"/>
      </w:r>
      <w:r w:rsidRPr="00890B10">
        <w:rPr>
          <w:i w:val="0"/>
          <w:color w:val="auto"/>
          <w:sz w:val="22"/>
          <w:szCs w:val="22"/>
        </w:rPr>
        <w:instrText xml:space="preserve"> REF _Ref489521158 \r \h </w:instrText>
      </w:r>
      <w:r w:rsidRPr="00890B10">
        <w:rPr>
          <w:i w:val="0"/>
          <w:color w:val="auto"/>
          <w:sz w:val="22"/>
          <w:szCs w:val="22"/>
        </w:rPr>
      </w:r>
      <w:r w:rsidRPr="00890B10">
        <w:rPr>
          <w:i w:val="0"/>
          <w:color w:val="auto"/>
          <w:sz w:val="22"/>
          <w:szCs w:val="22"/>
        </w:rPr>
        <w:fldChar w:fldCharType="separate"/>
      </w:r>
      <w:r w:rsidRPr="00890B10">
        <w:rPr>
          <w:i w:val="0"/>
          <w:color w:val="auto"/>
          <w:sz w:val="22"/>
          <w:szCs w:val="22"/>
        </w:rPr>
        <w:t>4.2.1</w:t>
      </w:r>
      <w:r w:rsidRPr="00890B10">
        <w:rPr>
          <w:i w:val="0"/>
          <w:color w:val="auto"/>
          <w:sz w:val="22"/>
          <w:szCs w:val="22"/>
        </w:rPr>
        <w:fldChar w:fldCharType="end"/>
      </w:r>
      <w:r w:rsidRPr="00890B10">
        <w:rPr>
          <w:i w:val="0"/>
          <w:color w:val="auto"/>
          <w:sz w:val="22"/>
          <w:szCs w:val="22"/>
        </w:rPr>
        <w:t xml:space="preserve"> is repeated below with the exception that the propagation loss for all analysis points is increased by 10 </w:t>
      </w:r>
      <w:proofErr w:type="spellStart"/>
      <w:r w:rsidRPr="00890B10">
        <w:rPr>
          <w:i w:val="0"/>
          <w:color w:val="auto"/>
          <w:sz w:val="22"/>
          <w:szCs w:val="22"/>
        </w:rPr>
        <w:t>dB.</w:t>
      </w:r>
      <w:proofErr w:type="spellEnd"/>
      <w:r w:rsidRPr="00890B10">
        <w:rPr>
          <w:i w:val="0"/>
          <w:color w:val="auto"/>
          <w:sz w:val="22"/>
          <w:szCs w:val="22"/>
        </w:rPr>
        <w:t xml:space="preserve"> This is to take into account that small cell base stations with 6 m height are likely to be deployed in urban areas and between buildings, which would result in clutter loss for the interference paths into the Inmarsat gateway stations. In addition, majority of Perth is located on the back-lobe of the gateway antennas. The antenna pattern in Recommendation ITU S.580-6 used for this analysis indicates that the antenna gain towards the back lobe is -10 dB, which in reality is likely to be lower.</w:t>
      </w:r>
    </w:p>
    <w:p w:rsidR="00AD0CA0" w:rsidRPr="00890B10" w:rsidRDefault="00AD0CA0" w:rsidP="00AD0CA0">
      <w:r w:rsidRPr="00890B10">
        <w:t xml:space="preserve">The results of this analysis are shown on </w:t>
      </w:r>
      <w:r w:rsidRPr="00890B10">
        <w:fldChar w:fldCharType="begin"/>
      </w:r>
      <w:r w:rsidRPr="00890B10">
        <w:instrText xml:space="preserve"> REF _Ref489521535 \h </w:instrText>
      </w:r>
      <w:r w:rsidRPr="00890B10">
        <w:fldChar w:fldCharType="separate"/>
      </w:r>
      <w:r w:rsidRPr="00890B10">
        <w:t xml:space="preserve">Figure </w:t>
      </w:r>
      <w:r w:rsidRPr="00890B10">
        <w:rPr>
          <w:noProof/>
        </w:rPr>
        <w:t>3</w:t>
      </w:r>
      <w:r w:rsidRPr="00890B10">
        <w:fldChar w:fldCharType="end"/>
      </w:r>
      <w:r w:rsidRPr="00890B10">
        <w:t xml:space="preserve"> below for the composite of short-term and long-term interference contours. It can be seen that interference is mainly concentrated in a 9 km circle around the gateway earth stations. Interference could also be caused by stations deployed on the hilly terrain to the east of the gateway, but this overlaps with mainly farmland and suburban areas, where a small cell deployment is less likely. The analysis does indicate however that interference could be received from stations deployed as for as 29 km away from the gateways if placed in any of </w:t>
      </w:r>
      <w:r w:rsidRPr="00890B10">
        <w:lastRenderedPageBreak/>
        <w:t>the locations indicated in red.</w:t>
      </w:r>
      <w:r w:rsidR="002974E8">
        <w:t xml:space="preserve">  These are non-built areas, which also seem to be unlikely locations for high demand for MBB applications.</w:t>
      </w:r>
    </w:p>
    <w:p w:rsidR="00AD0CA0" w:rsidRDefault="00AD0CA0" w:rsidP="00AD0CA0">
      <w:pPr>
        <w:pStyle w:val="Caption"/>
        <w:keepNext/>
        <w:jc w:val="center"/>
      </w:pPr>
      <w:bookmarkStart w:id="8" w:name="_Ref489521535"/>
      <w:r>
        <w:t xml:space="preserve">Figure </w:t>
      </w:r>
      <w:r>
        <w:fldChar w:fldCharType="begin"/>
      </w:r>
      <w:r>
        <w:instrText xml:space="preserve"> SEQ Figure \* ARABIC </w:instrText>
      </w:r>
      <w:r>
        <w:fldChar w:fldCharType="separate"/>
      </w:r>
      <w:r>
        <w:rPr>
          <w:noProof/>
        </w:rPr>
        <w:t>3</w:t>
      </w:r>
      <w:r>
        <w:fldChar w:fldCharType="end"/>
      </w:r>
      <w:bookmarkEnd w:id="8"/>
      <w:r>
        <w:t xml:space="preserve"> Interference from small cell base stations -10 dB (composite of short-term and long-term interference contours) </w:t>
      </w:r>
      <w:r>
        <w:rPr>
          <w:noProof/>
          <w:lang w:eastAsia="en-GB"/>
        </w:rPr>
        <w:drawing>
          <wp:inline distT="0" distB="0" distL="0" distR="0" wp14:anchorId="4E246B4E" wp14:editId="66357696">
            <wp:extent cx="4255113" cy="5001371"/>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86831" cy="5038651"/>
                    </a:xfrm>
                    <a:prstGeom prst="rect">
                      <a:avLst/>
                    </a:prstGeom>
                  </pic:spPr>
                </pic:pic>
              </a:graphicData>
            </a:graphic>
          </wp:inline>
        </w:drawing>
      </w:r>
    </w:p>
    <w:p w:rsidR="00AD0CA0" w:rsidRPr="00A12BFC" w:rsidRDefault="00AD0CA0" w:rsidP="00AD0CA0">
      <w:pPr>
        <w:jc w:val="center"/>
        <w:rPr>
          <w:sz w:val="18"/>
          <w:szCs w:val="18"/>
        </w:rPr>
      </w:pPr>
      <w:r>
        <w:rPr>
          <w:sz w:val="18"/>
          <w:szCs w:val="18"/>
        </w:rPr>
        <w:t>Note: the yellow line is 29</w:t>
      </w:r>
      <w:r w:rsidRPr="00A12BFC">
        <w:rPr>
          <w:sz w:val="18"/>
          <w:szCs w:val="18"/>
        </w:rPr>
        <w:t xml:space="preserve"> km from the Inmarsat gateways and white circle has a radius of 9 km</w:t>
      </w:r>
    </w:p>
    <w:p w:rsidR="00AD0CA0" w:rsidRDefault="00AD0CA0" w:rsidP="00AD0CA0">
      <w:pPr>
        <w:pStyle w:val="Heading4"/>
        <w:numPr>
          <w:ilvl w:val="2"/>
          <w:numId w:val="6"/>
        </w:numPr>
      </w:pPr>
      <w:r>
        <w:t>Baseline small cell interference analysis -20 dB</w:t>
      </w:r>
    </w:p>
    <w:p w:rsidR="00AD0CA0" w:rsidRDefault="00AD0CA0" w:rsidP="00AD0CA0">
      <w:r>
        <w:t xml:space="preserve">Similarly to Section </w:t>
      </w:r>
      <w:r>
        <w:fldChar w:fldCharType="begin"/>
      </w:r>
      <w:r>
        <w:instrText xml:space="preserve"> REF _Ref489532691 \r \h </w:instrText>
      </w:r>
      <w:r>
        <w:fldChar w:fldCharType="separate"/>
      </w:r>
      <w:r>
        <w:t>4.2.2</w:t>
      </w:r>
      <w:r>
        <w:fldChar w:fldCharType="end"/>
      </w:r>
      <w:r>
        <w:t xml:space="preserve"> above, the analysis is performed by increasing the propagation loss for all analysis points, but this time interference into the Inmarsat gateways is reduced by 20 </w:t>
      </w:r>
      <w:proofErr w:type="spellStart"/>
      <w:r>
        <w:t>dB.</w:t>
      </w:r>
      <w:proofErr w:type="spellEnd"/>
      <w:r>
        <w:t xml:space="preserve"> This is to take into consideration the maximum effects that could occur due to clutter loss and mismatch between the modelled gateway antenna back-lobe gain and realistic values. </w:t>
      </w:r>
    </w:p>
    <w:p w:rsidR="00AD0CA0" w:rsidRPr="002D70D7" w:rsidRDefault="00AD0CA0" w:rsidP="00AD0CA0">
      <w:r>
        <w:t xml:space="preserve">The results of this analysis are shown on </w:t>
      </w:r>
      <w:r>
        <w:fldChar w:fldCharType="begin"/>
      </w:r>
      <w:r>
        <w:instrText xml:space="preserve"> REF _Ref489532855 \h </w:instrText>
      </w:r>
      <w:r>
        <w:fldChar w:fldCharType="separate"/>
      </w:r>
      <w:r>
        <w:t xml:space="preserve">Figure </w:t>
      </w:r>
      <w:r>
        <w:rPr>
          <w:noProof/>
        </w:rPr>
        <w:t>4</w:t>
      </w:r>
      <w:r>
        <w:fldChar w:fldCharType="end"/>
      </w:r>
      <w:r>
        <w:t xml:space="preserve"> below for the composite of short-term and long-term contours. Interference from small cell base stations for this scenario is confined within the 9 km radius around the gateway stations. Interference could also be caused by stations deployed on the hilly terrain to the east of the gateway, but this again overlaps with scarcely populated and suburban areas, where a small cell deployment is unlikely. </w:t>
      </w:r>
    </w:p>
    <w:p w:rsidR="00AD0CA0" w:rsidRDefault="00AD0CA0" w:rsidP="00AD0CA0">
      <w:pPr>
        <w:pStyle w:val="Caption"/>
        <w:keepNext/>
        <w:jc w:val="center"/>
      </w:pPr>
      <w:bookmarkStart w:id="9" w:name="_Ref489532855"/>
      <w:r>
        <w:lastRenderedPageBreak/>
        <w:t xml:space="preserve">Figure </w:t>
      </w:r>
      <w:r>
        <w:fldChar w:fldCharType="begin"/>
      </w:r>
      <w:r>
        <w:instrText xml:space="preserve"> SEQ Figure \* ARABIC </w:instrText>
      </w:r>
      <w:r>
        <w:fldChar w:fldCharType="separate"/>
      </w:r>
      <w:r>
        <w:rPr>
          <w:noProof/>
        </w:rPr>
        <w:t>4</w:t>
      </w:r>
      <w:r>
        <w:fldChar w:fldCharType="end"/>
      </w:r>
      <w:bookmarkEnd w:id="9"/>
      <w:r>
        <w:t xml:space="preserve"> Interference from small cell base stations -20 dB (composite of short-term and long-term interference contours) </w:t>
      </w:r>
    </w:p>
    <w:p w:rsidR="00AD0CA0" w:rsidRDefault="00AD0CA0" w:rsidP="00AD0CA0">
      <w:pPr>
        <w:jc w:val="center"/>
      </w:pPr>
      <w:r>
        <w:rPr>
          <w:noProof/>
          <w:lang w:eastAsia="en-GB"/>
        </w:rPr>
        <w:drawing>
          <wp:inline distT="0" distB="0" distL="0" distR="0" wp14:anchorId="2C133DDF" wp14:editId="793964A2">
            <wp:extent cx="5731510" cy="330327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3303270"/>
                    </a:xfrm>
                    <a:prstGeom prst="rect">
                      <a:avLst/>
                    </a:prstGeom>
                  </pic:spPr>
                </pic:pic>
              </a:graphicData>
            </a:graphic>
          </wp:inline>
        </w:drawing>
      </w:r>
    </w:p>
    <w:p w:rsidR="00AD0CA0" w:rsidRPr="00A12BFC" w:rsidRDefault="00AD0CA0" w:rsidP="00AD0CA0">
      <w:pPr>
        <w:jc w:val="center"/>
        <w:rPr>
          <w:sz w:val="18"/>
          <w:szCs w:val="18"/>
        </w:rPr>
      </w:pPr>
      <w:r w:rsidRPr="00A12BFC">
        <w:rPr>
          <w:sz w:val="18"/>
          <w:szCs w:val="18"/>
        </w:rPr>
        <w:t>Note: the yellow line is 2</w:t>
      </w:r>
      <w:r>
        <w:rPr>
          <w:sz w:val="18"/>
          <w:szCs w:val="18"/>
        </w:rPr>
        <w:t>3</w:t>
      </w:r>
      <w:r w:rsidRPr="00A12BFC">
        <w:rPr>
          <w:sz w:val="18"/>
          <w:szCs w:val="18"/>
        </w:rPr>
        <w:t xml:space="preserve"> km from the Inmarsat gateways and white circle has a radius of 9 km</w:t>
      </w:r>
    </w:p>
    <w:p w:rsidR="00AD0CA0" w:rsidRPr="009B60AA" w:rsidRDefault="00AD0CA0" w:rsidP="00AD0CA0">
      <w:pPr>
        <w:jc w:val="center"/>
      </w:pPr>
    </w:p>
    <w:p w:rsidR="00AD0CA0" w:rsidRDefault="00AD0CA0" w:rsidP="00A6695F">
      <w:pPr>
        <w:rPr>
          <w:b/>
        </w:rPr>
      </w:pPr>
    </w:p>
    <w:p w:rsidR="00F025E1" w:rsidRDefault="00F025E1" w:rsidP="00A6695F">
      <w:pPr>
        <w:rPr>
          <w:b/>
        </w:rPr>
      </w:pPr>
    </w:p>
    <w:p w:rsidR="00EA0CB5" w:rsidRDefault="00EA0CB5" w:rsidP="00EA0CB5">
      <w:pPr>
        <w:spacing w:line="20" w:lineRule="atLeast"/>
        <w:jc w:val="center"/>
        <w:rPr>
          <w:color w:val="000000"/>
          <w:lang w:val="en-CA"/>
        </w:rPr>
      </w:pPr>
      <w:r>
        <w:rPr>
          <w:color w:val="000000"/>
          <w:lang w:val="en-CA"/>
        </w:rPr>
        <w:t>____________________</w:t>
      </w:r>
    </w:p>
    <w:p w:rsidR="00EA0CB5" w:rsidRDefault="00EA0CB5" w:rsidP="00314696">
      <w:pPr>
        <w:spacing w:line="20" w:lineRule="atLeast"/>
        <w:rPr>
          <w:color w:val="000000"/>
          <w:lang w:val="en-CA"/>
        </w:rPr>
      </w:pPr>
    </w:p>
    <w:sectPr w:rsidR="00EA0CB5">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706D" w:rsidRDefault="00CD706D" w:rsidP="00A03721">
      <w:pPr>
        <w:spacing w:after="0" w:line="240" w:lineRule="auto"/>
      </w:pPr>
      <w:r>
        <w:separator/>
      </w:r>
    </w:p>
  </w:endnote>
  <w:endnote w:type="continuationSeparator" w:id="0">
    <w:p w:rsidR="00CD706D" w:rsidRDefault="00CD706D" w:rsidP="00A037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2499688"/>
      <w:docPartObj>
        <w:docPartGallery w:val="Page Numbers (Bottom of Page)"/>
        <w:docPartUnique/>
      </w:docPartObj>
    </w:sdtPr>
    <w:sdtEndPr>
      <w:rPr>
        <w:noProof/>
      </w:rPr>
    </w:sdtEndPr>
    <w:sdtContent>
      <w:p w:rsidR="00C3404D" w:rsidRDefault="00C3404D">
        <w:pPr>
          <w:pStyle w:val="Footer"/>
          <w:jc w:val="center"/>
        </w:pPr>
        <w:r>
          <w:fldChar w:fldCharType="begin"/>
        </w:r>
        <w:r>
          <w:instrText xml:space="preserve"> PAGE   \* MERGEFORMAT </w:instrText>
        </w:r>
        <w:r>
          <w:fldChar w:fldCharType="separate"/>
        </w:r>
        <w:r w:rsidR="00753329">
          <w:rPr>
            <w:noProof/>
          </w:rPr>
          <w:t>14</w:t>
        </w:r>
        <w:r>
          <w:rPr>
            <w:noProof/>
          </w:rPr>
          <w:fldChar w:fldCharType="end"/>
        </w:r>
      </w:p>
    </w:sdtContent>
  </w:sdt>
  <w:p w:rsidR="00C3404D" w:rsidRDefault="00C3404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706D" w:rsidRDefault="00CD706D" w:rsidP="00A03721">
      <w:pPr>
        <w:spacing w:after="0" w:line="240" w:lineRule="auto"/>
      </w:pPr>
      <w:r>
        <w:separator/>
      </w:r>
    </w:p>
  </w:footnote>
  <w:footnote w:type="continuationSeparator" w:id="0">
    <w:p w:rsidR="00CD706D" w:rsidRDefault="00CD706D" w:rsidP="00A03721">
      <w:pPr>
        <w:spacing w:after="0" w:line="240" w:lineRule="auto"/>
      </w:pPr>
      <w:r>
        <w:continuationSeparator/>
      </w:r>
    </w:p>
  </w:footnote>
  <w:footnote w:id="1">
    <w:p w:rsidR="00AD0CA0" w:rsidRDefault="00AD0CA0">
      <w:pPr>
        <w:pStyle w:val="FootnoteText"/>
      </w:pPr>
      <w:r>
        <w:rPr>
          <w:rStyle w:val="FootnoteReference"/>
        </w:rPr>
        <w:footnoteRef/>
      </w:r>
      <w:r>
        <w:t xml:space="preserve"> The bandwidth is chosen to match the bandwidth of the interferer.  The actual bandwidth used is greater.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3721" w:rsidRDefault="00A03721" w:rsidP="00A03721">
    <w:pPr>
      <w:pStyle w:val="Header"/>
      <w:jc w:val="right"/>
    </w:pPr>
    <w:r w:rsidRPr="00567E93">
      <w:rPr>
        <w:noProof/>
        <w:lang w:eastAsia="en-GB"/>
      </w:rPr>
      <w:drawing>
        <wp:inline distT="0" distB="0" distL="0" distR="0" wp14:anchorId="25CE5F72" wp14:editId="7930540E">
          <wp:extent cx="816962" cy="414068"/>
          <wp:effectExtent l="0" t="0" r="2540" b="5080"/>
          <wp:docPr id="1" name="Picture 1" descr="\\gemini\p1291$\paul\presentations\Inm 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mini\p1291$\paul\presentations\Inm logo.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2336" cy="431997"/>
                  </a:xfrm>
                  <a:prstGeom prst="rect">
                    <a:avLst/>
                  </a:prstGeom>
                  <a:noFill/>
                  <a:ln>
                    <a:noFill/>
                  </a:ln>
                </pic:spPr>
              </pic:pic>
            </a:graphicData>
          </a:graphic>
        </wp:inline>
      </w:drawing>
    </w:r>
  </w:p>
  <w:p w:rsidR="00A03721" w:rsidRDefault="00A03721" w:rsidP="00A03721">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29C5414"/>
    <w:lvl w:ilvl="0">
      <w:start w:val="1"/>
      <w:numFmt w:val="lowerLetter"/>
      <w:pStyle w:val="ListNumber2"/>
      <w:lvlText w:val="%1."/>
      <w:lvlJc w:val="left"/>
      <w:pPr>
        <w:ind w:left="360" w:hanging="360"/>
      </w:pPr>
      <w:rPr>
        <w:rFonts w:ascii="Arial" w:eastAsia="Times New Roman" w:hAnsi="Arial" w:cs="Times New Roman"/>
      </w:rPr>
    </w:lvl>
  </w:abstractNum>
  <w:abstractNum w:abstractNumId="1" w15:restartNumberingAfterBreak="0">
    <w:nsid w:val="FFFFFF88"/>
    <w:multiLevelType w:val="singleLevel"/>
    <w:tmpl w:val="C838B954"/>
    <w:lvl w:ilvl="0">
      <w:start w:val="1"/>
      <w:numFmt w:val="decimal"/>
      <w:pStyle w:val="ListNumber"/>
      <w:lvlText w:val="%1."/>
      <w:lvlJc w:val="left"/>
      <w:pPr>
        <w:ind w:left="6597" w:hanging="360"/>
      </w:pPr>
      <w:rPr>
        <w:rFonts w:hint="default"/>
        <w:caps/>
        <w:sz w:val="20"/>
      </w:rPr>
    </w:lvl>
  </w:abstractNum>
  <w:abstractNum w:abstractNumId="2" w15:restartNumberingAfterBreak="0">
    <w:nsid w:val="16E04CBE"/>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5056D3"/>
    <w:multiLevelType w:val="hybridMultilevel"/>
    <w:tmpl w:val="2780B2C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3DD853A5"/>
    <w:multiLevelType w:val="hybridMultilevel"/>
    <w:tmpl w:val="65968A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46A74C5"/>
    <w:multiLevelType w:val="hybridMultilevel"/>
    <w:tmpl w:val="18D886E8"/>
    <w:lvl w:ilvl="0" w:tplc="6D5868E0">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5"/>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60BE"/>
    <w:rsid w:val="00013FEF"/>
    <w:rsid w:val="00020C2B"/>
    <w:rsid w:val="00032D6D"/>
    <w:rsid w:val="0003705F"/>
    <w:rsid w:val="000434CD"/>
    <w:rsid w:val="00043DCC"/>
    <w:rsid w:val="00043E27"/>
    <w:rsid w:val="0006114A"/>
    <w:rsid w:val="00064D07"/>
    <w:rsid w:val="00073452"/>
    <w:rsid w:val="000738F7"/>
    <w:rsid w:val="000777C7"/>
    <w:rsid w:val="0008769A"/>
    <w:rsid w:val="000960BE"/>
    <w:rsid w:val="000A0E95"/>
    <w:rsid w:val="000A26D9"/>
    <w:rsid w:val="000B2F89"/>
    <w:rsid w:val="000B5745"/>
    <w:rsid w:val="000C7082"/>
    <w:rsid w:val="000D5E75"/>
    <w:rsid w:val="000D68A4"/>
    <w:rsid w:val="000F39F9"/>
    <w:rsid w:val="00101A75"/>
    <w:rsid w:val="00102499"/>
    <w:rsid w:val="001031E9"/>
    <w:rsid w:val="00103928"/>
    <w:rsid w:val="0010577D"/>
    <w:rsid w:val="00110F0D"/>
    <w:rsid w:val="001144AE"/>
    <w:rsid w:val="0012106D"/>
    <w:rsid w:val="00122742"/>
    <w:rsid w:val="00124956"/>
    <w:rsid w:val="001341D5"/>
    <w:rsid w:val="001522BB"/>
    <w:rsid w:val="00157F19"/>
    <w:rsid w:val="00184457"/>
    <w:rsid w:val="00187DA9"/>
    <w:rsid w:val="00194AB4"/>
    <w:rsid w:val="00196CC9"/>
    <w:rsid w:val="001A35A6"/>
    <w:rsid w:val="001A3CC5"/>
    <w:rsid w:val="001A795B"/>
    <w:rsid w:val="001B4376"/>
    <w:rsid w:val="001B54A7"/>
    <w:rsid w:val="001D005E"/>
    <w:rsid w:val="001D133E"/>
    <w:rsid w:val="001D6C24"/>
    <w:rsid w:val="001D74EB"/>
    <w:rsid w:val="001E4D28"/>
    <w:rsid w:val="001E6F01"/>
    <w:rsid w:val="001F0AA4"/>
    <w:rsid w:val="001F62B8"/>
    <w:rsid w:val="0024673F"/>
    <w:rsid w:val="00247719"/>
    <w:rsid w:val="00251933"/>
    <w:rsid w:val="00256FFE"/>
    <w:rsid w:val="00257F2F"/>
    <w:rsid w:val="0026450E"/>
    <w:rsid w:val="00292C39"/>
    <w:rsid w:val="0029518C"/>
    <w:rsid w:val="00295BBC"/>
    <w:rsid w:val="002974E8"/>
    <w:rsid w:val="002A5FFE"/>
    <w:rsid w:val="002B5F49"/>
    <w:rsid w:val="002C33FD"/>
    <w:rsid w:val="002C3E3C"/>
    <w:rsid w:val="002D2FAF"/>
    <w:rsid w:val="002D6222"/>
    <w:rsid w:val="002E21E1"/>
    <w:rsid w:val="002E31DD"/>
    <w:rsid w:val="002F0493"/>
    <w:rsid w:val="003021C3"/>
    <w:rsid w:val="00310E9A"/>
    <w:rsid w:val="00314696"/>
    <w:rsid w:val="00317427"/>
    <w:rsid w:val="0032522B"/>
    <w:rsid w:val="00327F4A"/>
    <w:rsid w:val="00330CFF"/>
    <w:rsid w:val="0033282D"/>
    <w:rsid w:val="003373AC"/>
    <w:rsid w:val="00343621"/>
    <w:rsid w:val="0035064D"/>
    <w:rsid w:val="003510EF"/>
    <w:rsid w:val="003544A9"/>
    <w:rsid w:val="00360E2B"/>
    <w:rsid w:val="003644AE"/>
    <w:rsid w:val="00364EBB"/>
    <w:rsid w:val="00367E3D"/>
    <w:rsid w:val="00371695"/>
    <w:rsid w:val="00380EDE"/>
    <w:rsid w:val="0038647F"/>
    <w:rsid w:val="003A0E2E"/>
    <w:rsid w:val="003B700B"/>
    <w:rsid w:val="003D04A6"/>
    <w:rsid w:val="003D19A3"/>
    <w:rsid w:val="003D61BE"/>
    <w:rsid w:val="003E1A91"/>
    <w:rsid w:val="003F4A7C"/>
    <w:rsid w:val="003F644C"/>
    <w:rsid w:val="00410A15"/>
    <w:rsid w:val="00414036"/>
    <w:rsid w:val="00416AB7"/>
    <w:rsid w:val="00417A7F"/>
    <w:rsid w:val="00421CA4"/>
    <w:rsid w:val="00423510"/>
    <w:rsid w:val="004243CD"/>
    <w:rsid w:val="00434FFC"/>
    <w:rsid w:val="0043788B"/>
    <w:rsid w:val="00442B82"/>
    <w:rsid w:val="004432AB"/>
    <w:rsid w:val="004553E3"/>
    <w:rsid w:val="004558E0"/>
    <w:rsid w:val="00464E5D"/>
    <w:rsid w:val="0047127A"/>
    <w:rsid w:val="00471C54"/>
    <w:rsid w:val="00472EE2"/>
    <w:rsid w:val="004745E9"/>
    <w:rsid w:val="00482CC6"/>
    <w:rsid w:val="00482D6A"/>
    <w:rsid w:val="00491324"/>
    <w:rsid w:val="004A21D0"/>
    <w:rsid w:val="004A50C8"/>
    <w:rsid w:val="004B743F"/>
    <w:rsid w:val="004D0E66"/>
    <w:rsid w:val="004E117A"/>
    <w:rsid w:val="004E5C71"/>
    <w:rsid w:val="004E74AE"/>
    <w:rsid w:val="00510D2A"/>
    <w:rsid w:val="005137AD"/>
    <w:rsid w:val="00514574"/>
    <w:rsid w:val="00515306"/>
    <w:rsid w:val="00517138"/>
    <w:rsid w:val="00517BE3"/>
    <w:rsid w:val="00530946"/>
    <w:rsid w:val="00541156"/>
    <w:rsid w:val="00541D41"/>
    <w:rsid w:val="00560EF4"/>
    <w:rsid w:val="0056409F"/>
    <w:rsid w:val="00565315"/>
    <w:rsid w:val="005746AF"/>
    <w:rsid w:val="005769E4"/>
    <w:rsid w:val="005819D3"/>
    <w:rsid w:val="00581C02"/>
    <w:rsid w:val="00584E0F"/>
    <w:rsid w:val="00587D4C"/>
    <w:rsid w:val="005A77A2"/>
    <w:rsid w:val="005B213A"/>
    <w:rsid w:val="005B3897"/>
    <w:rsid w:val="005B571C"/>
    <w:rsid w:val="005B5A54"/>
    <w:rsid w:val="005C4C35"/>
    <w:rsid w:val="005D5CD5"/>
    <w:rsid w:val="005E1A26"/>
    <w:rsid w:val="005E782C"/>
    <w:rsid w:val="005E78FC"/>
    <w:rsid w:val="006058BB"/>
    <w:rsid w:val="00617D45"/>
    <w:rsid w:val="00655064"/>
    <w:rsid w:val="00657ECB"/>
    <w:rsid w:val="006625DF"/>
    <w:rsid w:val="00670CF7"/>
    <w:rsid w:val="00673300"/>
    <w:rsid w:val="006753D1"/>
    <w:rsid w:val="006819D6"/>
    <w:rsid w:val="006819F7"/>
    <w:rsid w:val="00695A50"/>
    <w:rsid w:val="006A3FB7"/>
    <w:rsid w:val="006A4714"/>
    <w:rsid w:val="006B0278"/>
    <w:rsid w:val="006B105B"/>
    <w:rsid w:val="006B63A4"/>
    <w:rsid w:val="006C3E82"/>
    <w:rsid w:val="006C624C"/>
    <w:rsid w:val="006D1C9F"/>
    <w:rsid w:val="006D299C"/>
    <w:rsid w:val="006D4224"/>
    <w:rsid w:val="006D492B"/>
    <w:rsid w:val="006D715D"/>
    <w:rsid w:val="006E6173"/>
    <w:rsid w:val="006F0AA9"/>
    <w:rsid w:val="006F3453"/>
    <w:rsid w:val="00703CE5"/>
    <w:rsid w:val="0071125D"/>
    <w:rsid w:val="00721EEE"/>
    <w:rsid w:val="00735FB9"/>
    <w:rsid w:val="007530A4"/>
    <w:rsid w:val="00753329"/>
    <w:rsid w:val="007547D8"/>
    <w:rsid w:val="00777C50"/>
    <w:rsid w:val="007812A2"/>
    <w:rsid w:val="00794A05"/>
    <w:rsid w:val="007A3C34"/>
    <w:rsid w:val="007B1F39"/>
    <w:rsid w:val="007C404C"/>
    <w:rsid w:val="007F2615"/>
    <w:rsid w:val="007F50E1"/>
    <w:rsid w:val="0080000D"/>
    <w:rsid w:val="00804EDF"/>
    <w:rsid w:val="00822CE0"/>
    <w:rsid w:val="0082313D"/>
    <w:rsid w:val="008267BD"/>
    <w:rsid w:val="00833913"/>
    <w:rsid w:val="00857E6F"/>
    <w:rsid w:val="00871C8B"/>
    <w:rsid w:val="00880FD4"/>
    <w:rsid w:val="0088477E"/>
    <w:rsid w:val="00896CBF"/>
    <w:rsid w:val="008A52BD"/>
    <w:rsid w:val="008B375B"/>
    <w:rsid w:val="008C1C8D"/>
    <w:rsid w:val="008D074C"/>
    <w:rsid w:val="008E4480"/>
    <w:rsid w:val="008E5406"/>
    <w:rsid w:val="008E629C"/>
    <w:rsid w:val="008F5F82"/>
    <w:rsid w:val="008F6464"/>
    <w:rsid w:val="008F7DFD"/>
    <w:rsid w:val="009003B8"/>
    <w:rsid w:val="009102CA"/>
    <w:rsid w:val="00913DF5"/>
    <w:rsid w:val="009203FF"/>
    <w:rsid w:val="0092409B"/>
    <w:rsid w:val="009269AF"/>
    <w:rsid w:val="00943106"/>
    <w:rsid w:val="0095424A"/>
    <w:rsid w:val="00955317"/>
    <w:rsid w:val="00962F62"/>
    <w:rsid w:val="00971585"/>
    <w:rsid w:val="009724D5"/>
    <w:rsid w:val="00972FA7"/>
    <w:rsid w:val="009767DC"/>
    <w:rsid w:val="00976A38"/>
    <w:rsid w:val="009812E3"/>
    <w:rsid w:val="009A02C4"/>
    <w:rsid w:val="009A728B"/>
    <w:rsid w:val="009A7EA2"/>
    <w:rsid w:val="009B04BC"/>
    <w:rsid w:val="009B7933"/>
    <w:rsid w:val="009C1907"/>
    <w:rsid w:val="009C5848"/>
    <w:rsid w:val="009E2174"/>
    <w:rsid w:val="00A03721"/>
    <w:rsid w:val="00A1057E"/>
    <w:rsid w:val="00A123FB"/>
    <w:rsid w:val="00A14F9C"/>
    <w:rsid w:val="00A21CB1"/>
    <w:rsid w:val="00A2202F"/>
    <w:rsid w:val="00A233DA"/>
    <w:rsid w:val="00A25717"/>
    <w:rsid w:val="00A25B15"/>
    <w:rsid w:val="00A27693"/>
    <w:rsid w:val="00A353DA"/>
    <w:rsid w:val="00A54348"/>
    <w:rsid w:val="00A54C03"/>
    <w:rsid w:val="00A65211"/>
    <w:rsid w:val="00A6695F"/>
    <w:rsid w:val="00A73930"/>
    <w:rsid w:val="00A776ED"/>
    <w:rsid w:val="00A86603"/>
    <w:rsid w:val="00A969D3"/>
    <w:rsid w:val="00A96D12"/>
    <w:rsid w:val="00AA3605"/>
    <w:rsid w:val="00AA7185"/>
    <w:rsid w:val="00AB3FE2"/>
    <w:rsid w:val="00AB5281"/>
    <w:rsid w:val="00AB708C"/>
    <w:rsid w:val="00AC08BC"/>
    <w:rsid w:val="00AD0CA0"/>
    <w:rsid w:val="00AD7BA2"/>
    <w:rsid w:val="00AD7D77"/>
    <w:rsid w:val="00B05838"/>
    <w:rsid w:val="00B110A4"/>
    <w:rsid w:val="00B15B7C"/>
    <w:rsid w:val="00B23C74"/>
    <w:rsid w:val="00B254F9"/>
    <w:rsid w:val="00B33C42"/>
    <w:rsid w:val="00B34C54"/>
    <w:rsid w:val="00B356BE"/>
    <w:rsid w:val="00B57802"/>
    <w:rsid w:val="00B578EE"/>
    <w:rsid w:val="00B720F4"/>
    <w:rsid w:val="00B7215E"/>
    <w:rsid w:val="00B7239D"/>
    <w:rsid w:val="00B76038"/>
    <w:rsid w:val="00B80713"/>
    <w:rsid w:val="00B96A20"/>
    <w:rsid w:val="00BA64AB"/>
    <w:rsid w:val="00BB4952"/>
    <w:rsid w:val="00BB6EBB"/>
    <w:rsid w:val="00BD2D41"/>
    <w:rsid w:val="00BF018A"/>
    <w:rsid w:val="00BF70DE"/>
    <w:rsid w:val="00C03F8C"/>
    <w:rsid w:val="00C15605"/>
    <w:rsid w:val="00C16F49"/>
    <w:rsid w:val="00C17A0A"/>
    <w:rsid w:val="00C2257A"/>
    <w:rsid w:val="00C271AD"/>
    <w:rsid w:val="00C3404D"/>
    <w:rsid w:val="00C54F59"/>
    <w:rsid w:val="00C568B0"/>
    <w:rsid w:val="00C65552"/>
    <w:rsid w:val="00C65B16"/>
    <w:rsid w:val="00C85B73"/>
    <w:rsid w:val="00C91E9D"/>
    <w:rsid w:val="00C9459A"/>
    <w:rsid w:val="00CA5339"/>
    <w:rsid w:val="00CB059D"/>
    <w:rsid w:val="00CB3EFB"/>
    <w:rsid w:val="00CB4075"/>
    <w:rsid w:val="00CC3A42"/>
    <w:rsid w:val="00CC3C35"/>
    <w:rsid w:val="00CC4945"/>
    <w:rsid w:val="00CD1614"/>
    <w:rsid w:val="00CD6044"/>
    <w:rsid w:val="00CD706D"/>
    <w:rsid w:val="00CE0369"/>
    <w:rsid w:val="00CE0A85"/>
    <w:rsid w:val="00CE4618"/>
    <w:rsid w:val="00CF2D58"/>
    <w:rsid w:val="00CF55C4"/>
    <w:rsid w:val="00CF72D1"/>
    <w:rsid w:val="00D016D7"/>
    <w:rsid w:val="00D128E7"/>
    <w:rsid w:val="00D2075A"/>
    <w:rsid w:val="00D337F9"/>
    <w:rsid w:val="00D36119"/>
    <w:rsid w:val="00D43D1B"/>
    <w:rsid w:val="00D46BC6"/>
    <w:rsid w:val="00D4774A"/>
    <w:rsid w:val="00D53FBD"/>
    <w:rsid w:val="00D55796"/>
    <w:rsid w:val="00D6271E"/>
    <w:rsid w:val="00D73A62"/>
    <w:rsid w:val="00D74E23"/>
    <w:rsid w:val="00D87D6E"/>
    <w:rsid w:val="00D97417"/>
    <w:rsid w:val="00DB2745"/>
    <w:rsid w:val="00DC7FFB"/>
    <w:rsid w:val="00DE6B2B"/>
    <w:rsid w:val="00DE6FDF"/>
    <w:rsid w:val="00DF3615"/>
    <w:rsid w:val="00DF4ADF"/>
    <w:rsid w:val="00DF4B32"/>
    <w:rsid w:val="00E002E8"/>
    <w:rsid w:val="00E029F8"/>
    <w:rsid w:val="00E04573"/>
    <w:rsid w:val="00E20D83"/>
    <w:rsid w:val="00E27F9B"/>
    <w:rsid w:val="00E337A7"/>
    <w:rsid w:val="00E367A6"/>
    <w:rsid w:val="00E42693"/>
    <w:rsid w:val="00E43908"/>
    <w:rsid w:val="00E8064A"/>
    <w:rsid w:val="00E84F51"/>
    <w:rsid w:val="00E87E67"/>
    <w:rsid w:val="00EA05C7"/>
    <w:rsid w:val="00EA0CB5"/>
    <w:rsid w:val="00EA2CDE"/>
    <w:rsid w:val="00EB0A51"/>
    <w:rsid w:val="00EB53EB"/>
    <w:rsid w:val="00EC3A38"/>
    <w:rsid w:val="00ED0AE8"/>
    <w:rsid w:val="00ED46BB"/>
    <w:rsid w:val="00EE2327"/>
    <w:rsid w:val="00EE5BA7"/>
    <w:rsid w:val="00EF54B5"/>
    <w:rsid w:val="00EF59D5"/>
    <w:rsid w:val="00EF75BB"/>
    <w:rsid w:val="00EF7E08"/>
    <w:rsid w:val="00F025E1"/>
    <w:rsid w:val="00F1203C"/>
    <w:rsid w:val="00F1446B"/>
    <w:rsid w:val="00F15469"/>
    <w:rsid w:val="00F15657"/>
    <w:rsid w:val="00F2165C"/>
    <w:rsid w:val="00F21D4A"/>
    <w:rsid w:val="00F2359E"/>
    <w:rsid w:val="00F25E07"/>
    <w:rsid w:val="00F26267"/>
    <w:rsid w:val="00F3060C"/>
    <w:rsid w:val="00F32236"/>
    <w:rsid w:val="00F3338E"/>
    <w:rsid w:val="00F365EE"/>
    <w:rsid w:val="00F373E4"/>
    <w:rsid w:val="00F4024C"/>
    <w:rsid w:val="00F536CC"/>
    <w:rsid w:val="00F56695"/>
    <w:rsid w:val="00F569A5"/>
    <w:rsid w:val="00F6635B"/>
    <w:rsid w:val="00F67290"/>
    <w:rsid w:val="00F719C7"/>
    <w:rsid w:val="00F86AAA"/>
    <w:rsid w:val="00FC0B53"/>
    <w:rsid w:val="00FC7268"/>
    <w:rsid w:val="00FD4731"/>
    <w:rsid w:val="00FD5BCC"/>
    <w:rsid w:val="00FE1BFC"/>
    <w:rsid w:val="00FF05FC"/>
    <w:rsid w:val="00FF1184"/>
    <w:rsid w:val="00FF5DE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C658CA1-A7F0-48C4-949C-F72EA30DB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D0C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D0CA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AD0CA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AD0CA0"/>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A6695F"/>
    <w:rPr>
      <w:b/>
      <w:bCs/>
    </w:rPr>
  </w:style>
  <w:style w:type="paragraph" w:styleId="PlainText">
    <w:name w:val="Plain Text"/>
    <w:basedOn w:val="Normal"/>
    <w:link w:val="PlainTextChar"/>
    <w:uiPriority w:val="99"/>
    <w:unhideWhenUsed/>
    <w:rsid w:val="00C85B73"/>
    <w:pPr>
      <w:spacing w:after="0" w:line="240" w:lineRule="auto"/>
    </w:pPr>
    <w:rPr>
      <w:rFonts w:ascii="Calibri" w:hAnsi="Calibri" w:cs="Times New Roman"/>
    </w:rPr>
  </w:style>
  <w:style w:type="character" w:customStyle="1" w:styleId="PlainTextChar">
    <w:name w:val="Plain Text Char"/>
    <w:basedOn w:val="DefaultParagraphFont"/>
    <w:link w:val="PlainText"/>
    <w:uiPriority w:val="99"/>
    <w:rsid w:val="00C85B73"/>
    <w:rPr>
      <w:rFonts w:ascii="Calibri" w:hAnsi="Calibri" w:cs="Times New Roman"/>
    </w:rPr>
  </w:style>
  <w:style w:type="paragraph" w:styleId="Header">
    <w:name w:val="header"/>
    <w:basedOn w:val="Normal"/>
    <w:link w:val="HeaderChar"/>
    <w:uiPriority w:val="99"/>
    <w:unhideWhenUsed/>
    <w:rsid w:val="00A0372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3721"/>
  </w:style>
  <w:style w:type="paragraph" w:styleId="Footer">
    <w:name w:val="footer"/>
    <w:basedOn w:val="Normal"/>
    <w:link w:val="FooterChar"/>
    <w:uiPriority w:val="99"/>
    <w:unhideWhenUsed/>
    <w:rsid w:val="00A0372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3721"/>
  </w:style>
  <w:style w:type="paragraph" w:styleId="ListNumber">
    <w:name w:val="List Number"/>
    <w:basedOn w:val="Normal"/>
    <w:qFormat/>
    <w:rsid w:val="00F025E1"/>
    <w:pPr>
      <w:numPr>
        <w:numId w:val="2"/>
      </w:numPr>
      <w:spacing w:after="80" w:line="240" w:lineRule="atLeast"/>
      <w:ind w:left="360"/>
    </w:pPr>
    <w:rPr>
      <w:rFonts w:ascii="Arial" w:eastAsia="Times New Roman" w:hAnsi="Arial" w:cs="Times New Roman"/>
      <w:sz w:val="20"/>
      <w:szCs w:val="24"/>
      <w:lang w:val="en-AU" w:eastAsia="en-AU"/>
    </w:rPr>
  </w:style>
  <w:style w:type="paragraph" w:styleId="ListNumber2">
    <w:name w:val="List Number 2"/>
    <w:basedOn w:val="Normal"/>
    <w:qFormat/>
    <w:rsid w:val="00F025E1"/>
    <w:pPr>
      <w:numPr>
        <w:numId w:val="3"/>
      </w:numPr>
      <w:spacing w:after="80" w:line="240" w:lineRule="atLeast"/>
      <w:ind w:left="845" w:hanging="544"/>
    </w:pPr>
    <w:rPr>
      <w:rFonts w:ascii="Arial" w:eastAsia="Times New Roman" w:hAnsi="Arial" w:cs="Times New Roman"/>
      <w:sz w:val="20"/>
      <w:szCs w:val="24"/>
      <w:lang w:val="en-AU" w:eastAsia="en-AU"/>
    </w:rPr>
  </w:style>
  <w:style w:type="character" w:customStyle="1" w:styleId="Heading1Char">
    <w:name w:val="Heading 1 Char"/>
    <w:basedOn w:val="DefaultParagraphFont"/>
    <w:link w:val="Heading1"/>
    <w:uiPriority w:val="9"/>
    <w:rsid w:val="00AD0CA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AD0CA0"/>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AD0CA0"/>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AD0CA0"/>
    <w:rPr>
      <w:rFonts w:asciiTheme="majorHAnsi" w:eastAsiaTheme="majorEastAsia" w:hAnsiTheme="majorHAnsi" w:cstheme="majorBidi"/>
      <w:i/>
      <w:iCs/>
      <w:color w:val="2E74B5" w:themeColor="accent1" w:themeShade="BF"/>
    </w:rPr>
  </w:style>
  <w:style w:type="paragraph" w:customStyle="1" w:styleId="TableHeading">
    <w:name w:val="Table Heading"/>
    <w:basedOn w:val="Normal"/>
    <w:qFormat/>
    <w:rsid w:val="00AD0CA0"/>
    <w:pPr>
      <w:spacing w:after="0" w:line="240" w:lineRule="atLeast"/>
    </w:pPr>
    <w:rPr>
      <w:rFonts w:ascii="Arial" w:eastAsia="Times New Roman" w:hAnsi="Arial" w:cs="Times New Roman"/>
      <w:b/>
      <w:sz w:val="20"/>
      <w:szCs w:val="24"/>
      <w:lang w:val="en-AU" w:eastAsia="en-AU"/>
    </w:rPr>
  </w:style>
  <w:style w:type="paragraph" w:customStyle="1" w:styleId="TableBody">
    <w:name w:val="Table Body"/>
    <w:basedOn w:val="Normal"/>
    <w:qFormat/>
    <w:rsid w:val="00AD0CA0"/>
    <w:pPr>
      <w:spacing w:after="0" w:line="240" w:lineRule="auto"/>
    </w:pPr>
    <w:rPr>
      <w:rFonts w:ascii="Arial" w:eastAsia="Times New Roman" w:hAnsi="Arial" w:cs="Times New Roman"/>
      <w:sz w:val="20"/>
      <w:szCs w:val="24"/>
      <w:lang w:val="en-AU" w:eastAsia="en-AU"/>
    </w:rPr>
  </w:style>
  <w:style w:type="paragraph" w:styleId="Caption">
    <w:name w:val="caption"/>
    <w:basedOn w:val="Normal"/>
    <w:next w:val="Normal"/>
    <w:uiPriority w:val="35"/>
    <w:unhideWhenUsed/>
    <w:qFormat/>
    <w:rsid w:val="00AD0CA0"/>
    <w:pPr>
      <w:spacing w:after="200" w:line="240" w:lineRule="auto"/>
    </w:pPr>
    <w:rPr>
      <w:i/>
      <w:iCs/>
      <w:color w:val="44546A" w:themeColor="text2"/>
      <w:sz w:val="18"/>
      <w:szCs w:val="18"/>
    </w:rPr>
  </w:style>
  <w:style w:type="paragraph" w:styleId="FootnoteText">
    <w:name w:val="footnote text"/>
    <w:basedOn w:val="Normal"/>
    <w:link w:val="FootnoteTextChar"/>
    <w:uiPriority w:val="99"/>
    <w:semiHidden/>
    <w:unhideWhenUsed/>
    <w:rsid w:val="00AD0CA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D0CA0"/>
    <w:rPr>
      <w:sz w:val="20"/>
      <w:szCs w:val="20"/>
    </w:rPr>
  </w:style>
  <w:style w:type="character" w:styleId="FootnoteReference">
    <w:name w:val="footnote reference"/>
    <w:basedOn w:val="DefaultParagraphFont"/>
    <w:uiPriority w:val="99"/>
    <w:semiHidden/>
    <w:unhideWhenUsed/>
    <w:rsid w:val="00AD0CA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039500">
      <w:bodyDiv w:val="1"/>
      <w:marLeft w:val="0"/>
      <w:marRight w:val="0"/>
      <w:marTop w:val="0"/>
      <w:marBottom w:val="0"/>
      <w:divBdr>
        <w:top w:val="none" w:sz="0" w:space="0" w:color="auto"/>
        <w:left w:val="none" w:sz="0" w:space="0" w:color="auto"/>
        <w:bottom w:val="none" w:sz="0" w:space="0" w:color="auto"/>
        <w:right w:val="none" w:sz="0" w:space="0" w:color="auto"/>
      </w:divBdr>
    </w:div>
    <w:div w:id="1194148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customXml" Target="../customXml/item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922B896673C3B4CAC6395581CF998E6" ma:contentTypeVersion="8" ma:contentTypeDescription="Create a new document." ma:contentTypeScope="" ma:versionID="f23df6dd90b35ef5a7fe3922e93e7337">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3NE2HDV7HD6D-128-857</_dlc_DocId>
    <_dlc_DocIdUrl xmlns="1d983eb4-33f7-44b0-aea1-cbdcf0c55136">
      <Url>http://collaboration/organisation/cid/speb/sp/_layouts/15/DocIdRedir.aspx?ID=3NE2HDV7HD6D-128-857</Url>
      <Description>3NE2HDV7HD6D-128-857</Description>
    </_dlc_DocIdUrl>
  </documentManagement>
</p:properties>
</file>

<file path=customXml/itemProps1.xml><?xml version="1.0" encoding="utf-8"?>
<ds:datastoreItem xmlns:ds="http://schemas.openxmlformats.org/officeDocument/2006/customXml" ds:itemID="{61EDAA39-FF7E-4BC4-AE8F-DF5867C1EB73}">
  <ds:schemaRefs>
    <ds:schemaRef ds:uri="http://schemas.openxmlformats.org/officeDocument/2006/bibliography"/>
  </ds:schemaRefs>
</ds:datastoreItem>
</file>

<file path=customXml/itemProps2.xml><?xml version="1.0" encoding="utf-8"?>
<ds:datastoreItem xmlns:ds="http://schemas.openxmlformats.org/officeDocument/2006/customXml" ds:itemID="{17F91E0F-380B-488D-8FDF-881BA1AAD047}"/>
</file>

<file path=customXml/itemProps3.xml><?xml version="1.0" encoding="utf-8"?>
<ds:datastoreItem xmlns:ds="http://schemas.openxmlformats.org/officeDocument/2006/customXml" ds:itemID="{0D358745-2B72-4013-98C1-F1A9D0F02705}"/>
</file>

<file path=customXml/itemProps4.xml><?xml version="1.0" encoding="utf-8"?>
<ds:datastoreItem xmlns:ds="http://schemas.openxmlformats.org/officeDocument/2006/customXml" ds:itemID="{76727C09-39A8-4255-8474-9FBC65275448}"/>
</file>

<file path=customXml/itemProps5.xml><?xml version="1.0" encoding="utf-8"?>
<ds:datastoreItem xmlns:ds="http://schemas.openxmlformats.org/officeDocument/2006/customXml" ds:itemID="{5E16BED3-4705-4D8A-9AB2-2230B2FEBDB1}"/>
</file>

<file path=docProps/app.xml><?xml version="1.0" encoding="utf-8"?>
<Properties xmlns="http://schemas.openxmlformats.org/officeDocument/2006/extended-properties" xmlns:vt="http://schemas.openxmlformats.org/officeDocument/2006/docPropsVTypes">
  <Template>Normal.dotm</Template>
  <TotalTime>7</TotalTime>
  <Pages>14</Pages>
  <Words>4225</Words>
  <Characters>24084</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Inmarsat</Company>
  <LinksUpToDate>false</LinksUpToDate>
  <CharactersWithSpaces>28253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Deedman</dc:creator>
  <cp:keywords/>
  <dc:description/>
  <cp:lastModifiedBy>AIT</cp:lastModifiedBy>
  <cp:revision>3</cp:revision>
  <dcterms:created xsi:type="dcterms:W3CDTF">2017-08-10T18:37:00Z</dcterms:created>
  <dcterms:modified xsi:type="dcterms:W3CDTF">2017-08-10T18:44:00Z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063607cd-2fd4-40f7-8e02-c4c0cbacd7b4</vt:lpwstr>
  </property>
  <property fmtid="{D5CDD505-2E9C-101B-9397-08002B2CF9AE}" pid="3" name="ContentTypeId">
    <vt:lpwstr>0x010100D922B896673C3B4CAC6395581CF998E6</vt:lpwstr>
  </property>
</Properties>
</file>