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D27E37" w14:textId="77777777" w:rsidR="00F06E14" w:rsidRPr="00A51D1A" w:rsidRDefault="00701580" w:rsidP="00A51D1A">
      <w:pPr>
        <w:pStyle w:val="ACMAReportTitle"/>
      </w:pPr>
      <w:r>
        <w:t xml:space="preserve">Future use of the </w:t>
      </w:r>
      <w:r w:rsidR="00E054A2">
        <w:t>3.6 GHz band</w:t>
      </w:r>
      <w:r w:rsidR="00265A42">
        <w:t>—</w:t>
      </w:r>
    </w:p>
    <w:p w14:paraId="4B410562" w14:textId="3B481229" w:rsidR="00F06E14" w:rsidRDefault="00E054A2" w:rsidP="00F06E14">
      <w:pPr>
        <w:pStyle w:val="ACMAReportSubTitle"/>
      </w:pPr>
      <w:r>
        <w:t>Decision</w:t>
      </w:r>
      <w:r w:rsidR="00F84E1B">
        <w:t xml:space="preserve">s and </w:t>
      </w:r>
      <w:r w:rsidR="00FF6EE1">
        <w:t>p</w:t>
      </w:r>
      <w:r w:rsidR="00F84E1B">
        <w:t xml:space="preserve">reliminary </w:t>
      </w:r>
      <w:r w:rsidR="00FF6EE1">
        <w:t>v</w:t>
      </w:r>
      <w:r w:rsidR="00F84E1B">
        <w:t>iews</w:t>
      </w:r>
    </w:p>
    <w:p w14:paraId="18784EAE" w14:textId="77777777" w:rsidR="00F06E14" w:rsidRDefault="00E054A2" w:rsidP="00D47AEB">
      <w:pPr>
        <w:pStyle w:val="ACMAReportDate"/>
        <w:spacing w:after="720"/>
      </w:pPr>
      <w:r>
        <w:t>October</w:t>
      </w:r>
      <w:r w:rsidR="00D26C78">
        <w:t xml:space="preserve"> 201</w:t>
      </w:r>
      <w:r w:rsidR="008927B9">
        <w:t>7</w:t>
      </w:r>
    </w:p>
    <w:p w14:paraId="5A6F2707" w14:textId="77777777" w:rsidR="00C97736" w:rsidRPr="000D76E0" w:rsidRDefault="00C97736" w:rsidP="0041071D">
      <w:pPr>
        <w:rPr>
          <w:rFonts w:cs="Arial"/>
        </w:rPr>
      </w:pPr>
    </w:p>
    <w:p w14:paraId="75390BC2" w14:textId="77777777" w:rsidR="00C97736" w:rsidRPr="000D76E0" w:rsidRDefault="00C97736" w:rsidP="0041071D">
      <w:pPr>
        <w:rPr>
          <w:rFonts w:cs="Arial"/>
        </w:rPr>
        <w:sectPr w:rsidR="00C97736" w:rsidRPr="000D76E0" w:rsidSect="004F556E">
          <w:headerReference w:type="even" r:id="rId8"/>
          <w:headerReference w:type="default" r:id="rId9"/>
          <w:footerReference w:type="even" r:id="rId10"/>
          <w:footerReference w:type="default" r:id="rId11"/>
          <w:headerReference w:type="first" r:id="rId12"/>
          <w:footerReference w:type="first" r:id="rId13"/>
          <w:pgSz w:w="11906" w:h="16838" w:code="9"/>
          <w:pgMar w:top="3924" w:right="1797" w:bottom="1440" w:left="1134" w:header="709" w:footer="454" w:gutter="0"/>
          <w:cols w:space="708"/>
          <w:docGrid w:linePitch="360"/>
        </w:sectPr>
      </w:pPr>
    </w:p>
    <w:p w14:paraId="288517F9" w14:textId="77777777" w:rsidR="0005011A" w:rsidRPr="00F44F3A" w:rsidRDefault="0005011A" w:rsidP="00FC07B9">
      <w:pPr>
        <w:pStyle w:val="ACMACorporateAddressHeader"/>
      </w:pPr>
      <w:r w:rsidRPr="00F44F3A">
        <w:lastRenderedPageBreak/>
        <w:t>Canberra</w:t>
      </w:r>
    </w:p>
    <w:p w14:paraId="14F58719"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2A4C832E" w14:textId="77777777" w:rsidR="0005011A" w:rsidRPr="00FC07B9" w:rsidRDefault="0005011A" w:rsidP="00FC07B9">
      <w:pPr>
        <w:pStyle w:val="ACMACorporateAddresses"/>
      </w:pPr>
      <w:r w:rsidRPr="00FC07B9">
        <w:t>PO Box 78</w:t>
      </w:r>
      <w:r w:rsidRPr="00FC07B9">
        <w:br/>
        <w:t>Belconnen ACT 2616</w:t>
      </w:r>
    </w:p>
    <w:p w14:paraId="54513EEC"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4BE7BAF3" w14:textId="77777777" w:rsidR="0005011A" w:rsidRPr="00F44F3A" w:rsidRDefault="0005011A" w:rsidP="00FC07B9">
      <w:pPr>
        <w:pStyle w:val="ACMACorporateAddressHeader"/>
      </w:pPr>
      <w:r w:rsidRPr="00F44F3A">
        <w:t>Melbourne</w:t>
      </w:r>
    </w:p>
    <w:p w14:paraId="13FBE69B"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41CA721E"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0E88D061"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31AEC6CC" w14:textId="77777777" w:rsidR="0005011A" w:rsidRPr="00F44F3A" w:rsidRDefault="0005011A" w:rsidP="00FC07B9">
      <w:pPr>
        <w:pStyle w:val="ACMACorporateAddressHeader"/>
      </w:pPr>
      <w:r w:rsidRPr="00F44F3A">
        <w:t>Sydney</w:t>
      </w:r>
    </w:p>
    <w:p w14:paraId="190D445F" w14:textId="77777777" w:rsidR="0005011A" w:rsidRPr="00F44F3A" w:rsidRDefault="0005011A" w:rsidP="00FC07B9">
      <w:pPr>
        <w:pStyle w:val="ACMACorporateAddresses"/>
      </w:pPr>
      <w:r w:rsidRPr="00F44F3A">
        <w:t xml:space="preserve">Level 5 </w:t>
      </w:r>
      <w:r w:rsidRPr="00F44F3A">
        <w:br/>
      </w:r>
      <w:proofErr w:type="gramStart"/>
      <w:r w:rsidRPr="00F44F3A">
        <w:t>The</w:t>
      </w:r>
      <w:proofErr w:type="gramEnd"/>
      <w:r w:rsidRPr="00F44F3A">
        <w:t xml:space="preserve"> Bay Centre</w:t>
      </w:r>
      <w:r w:rsidRPr="00F44F3A">
        <w:br/>
        <w:t xml:space="preserve">65 </w:t>
      </w:r>
      <w:proofErr w:type="spellStart"/>
      <w:r w:rsidRPr="00F44F3A">
        <w:t>Pirrama</w:t>
      </w:r>
      <w:proofErr w:type="spellEnd"/>
      <w:r w:rsidRPr="00F44F3A">
        <w:t xml:space="preserve"> Road </w:t>
      </w:r>
      <w:r w:rsidRPr="00F44F3A">
        <w:br/>
        <w:t>Pyrmont NSW</w:t>
      </w:r>
    </w:p>
    <w:p w14:paraId="2D04B632"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28CE7328"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13249AF4" w14:textId="77777777" w:rsidR="00140318" w:rsidRPr="006D46E5" w:rsidRDefault="00140318" w:rsidP="00FC07B9">
      <w:pPr>
        <w:pStyle w:val="ACMACopyrightHeader"/>
      </w:pPr>
      <w:r w:rsidRPr="00140318">
        <w:t>Copyright notice</w:t>
      </w:r>
    </w:p>
    <w:p w14:paraId="7E5938CF" w14:textId="77777777" w:rsidR="00140318" w:rsidRPr="006D46E5" w:rsidRDefault="00623FF9" w:rsidP="00623FF9">
      <w:pPr>
        <w:pStyle w:val="ACMACClogo"/>
      </w:pPr>
      <w:r w:rsidRPr="00623FF9">
        <w:rPr>
          <w:noProof/>
        </w:rPr>
        <w:drawing>
          <wp:inline distT="0" distB="0" distL="0" distR="0" wp14:anchorId="60EB3E3E" wp14:editId="3BBFCB7B">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3FE569EA" w14:textId="77777777" w:rsidR="00140318" w:rsidRPr="00431792" w:rsidRDefault="0056453A" w:rsidP="00FC07B9">
      <w:pPr>
        <w:pStyle w:val="ACMACorporateAddresses"/>
        <w:rPr>
          <w:rStyle w:val="Hyperlink"/>
        </w:rPr>
      </w:pPr>
      <w:hyperlink r:id="rId16" w:tooltip="Creative Commons Licenses" w:history="1">
        <w:r w:rsidR="00140318" w:rsidRPr="00431792">
          <w:rPr>
            <w:rStyle w:val="Hyperlink"/>
          </w:rPr>
          <w:t>http://creativecommons.org/licenses/by/3.0/au/</w:t>
        </w:r>
      </w:hyperlink>
    </w:p>
    <w:p w14:paraId="5F1D14A4" w14:textId="77777777" w:rsidR="00140318" w:rsidRPr="006D46E5" w:rsidRDefault="00140318" w:rsidP="00FC07B9">
      <w:pPr>
        <w:pStyle w:val="ACMACorporateAddresses"/>
      </w:pPr>
      <w:r w:rsidRPr="006D46E5">
        <w:t xml:space="preserve">With the exception of coats of arms, logos, emblems, images, other third-party material or devices protected by a trademark, this content is licensed under the Creative Commons Australia Attribution 3.0 Licence. </w:t>
      </w:r>
    </w:p>
    <w:p w14:paraId="79ADC139" w14:textId="77777777" w:rsidR="00140318" w:rsidRPr="006D46E5" w:rsidRDefault="00140318" w:rsidP="00FC07B9">
      <w:pPr>
        <w:pStyle w:val="ACMACorporateAddresses"/>
      </w:pPr>
      <w:r w:rsidRPr="006D46E5">
        <w:t>We request attribution as: © Commonwealth of Australia (Australian Communic</w:t>
      </w:r>
      <w:r w:rsidR="008408FF">
        <w:t>ations and Media Authority) 201</w:t>
      </w:r>
      <w:r w:rsidR="008927B9">
        <w:t>7</w:t>
      </w:r>
      <w:r w:rsidRPr="006D46E5">
        <w:t>.</w:t>
      </w:r>
    </w:p>
    <w:p w14:paraId="19DAAC42" w14:textId="77777777" w:rsidR="00140318" w:rsidRPr="006D46E5" w:rsidRDefault="00140318" w:rsidP="00FC07B9">
      <w:pPr>
        <w:pStyle w:val="ACMACorporateAddresses"/>
      </w:pPr>
      <w:r>
        <w:t>All other rights are reserved.</w:t>
      </w:r>
    </w:p>
    <w:p w14:paraId="750F1FE3" w14:textId="77777777" w:rsidR="00140318" w:rsidRPr="006D46E5" w:rsidRDefault="00140318" w:rsidP="00FC07B9">
      <w:pPr>
        <w:pStyle w:val="ACMACorporateAddresses"/>
      </w:pPr>
      <w:r w:rsidRPr="006D46E5">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60474558" w14:textId="77777777" w:rsidR="00140318" w:rsidRPr="006D46E5" w:rsidRDefault="00140318" w:rsidP="00FC07B9">
      <w:pPr>
        <w:pStyle w:val="ACMACorporateAddresses"/>
      </w:pPr>
      <w:r w:rsidRPr="006D46E5">
        <w:t>Written enquiries may be sent to:</w:t>
      </w:r>
    </w:p>
    <w:p w14:paraId="293C20CE" w14:textId="77777777" w:rsidR="00D16FE3" w:rsidRDefault="00140318" w:rsidP="00D16FE3">
      <w:pPr>
        <w:pStyle w:val="ACMACorporateAddresses"/>
        <w:rPr>
          <w:rStyle w:val="Hyperlink"/>
        </w:rPr>
      </w:pPr>
      <w:r w:rsidRPr="006D46E5">
        <w:t>Manager, Editorial and Design</w:t>
      </w:r>
      <w:r w:rsidR="00623FF9">
        <w:br/>
      </w:r>
      <w:r w:rsidRPr="006D46E5">
        <w:t>PO Box 13112</w:t>
      </w:r>
      <w:r w:rsidR="00623FF9">
        <w:br/>
      </w:r>
      <w:r w:rsidRPr="006D46E5">
        <w:t>Law Courts</w:t>
      </w:r>
      <w:r w:rsidR="00623FF9">
        <w:br/>
      </w:r>
      <w:r w:rsidRPr="006D46E5">
        <w:t>Melbourne VIC 8010</w:t>
      </w:r>
      <w:r w:rsidR="00623FF9">
        <w:br/>
      </w:r>
      <w:r w:rsidRPr="006D46E5">
        <w:t>Tel: 03 9963 6968</w:t>
      </w:r>
      <w:r w:rsidR="00623FF9">
        <w:br/>
      </w:r>
      <w:r w:rsidRPr="006D46E5">
        <w:t xml:space="preserve">Email: </w:t>
      </w:r>
      <w:hyperlink r:id="rId17" w:history="1">
        <w:r w:rsidRPr="00431792">
          <w:rPr>
            <w:rStyle w:val="Hyperlink"/>
          </w:rPr>
          <w:t>candinfo@acma.gov.au</w:t>
        </w:r>
      </w:hyperlink>
    </w:p>
    <w:p w14:paraId="02C33E87" w14:textId="77777777" w:rsidR="00D16FE3" w:rsidRDefault="00D16FE3" w:rsidP="00D16FE3">
      <w:pPr>
        <w:pStyle w:val="ACMACorporateAddresses"/>
        <w:rPr>
          <w:rStyle w:val="Hyperlink"/>
        </w:rPr>
      </w:pPr>
    </w:p>
    <w:p w14:paraId="174283A8" w14:textId="77777777" w:rsidR="00D16FE3" w:rsidRPr="00D16FE3" w:rsidRDefault="00D16FE3" w:rsidP="00D16FE3">
      <w:pPr>
        <w:pStyle w:val="ACMACorporateAddresses"/>
        <w:sectPr w:rsidR="00D16FE3" w:rsidRPr="00D16FE3">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6DC189DD" w14:textId="5EE33454" w:rsidR="003A1083" w:rsidRDefault="003A1083">
      <w:pPr>
        <w:pStyle w:val="TOC1"/>
        <w:rPr>
          <w:rFonts w:asciiTheme="minorHAnsi" w:eastAsiaTheme="minorEastAsia" w:hAnsiTheme="minorHAnsi" w:cstheme="minorBidi"/>
          <w:b w:val="0"/>
          <w:spacing w:val="0"/>
          <w:sz w:val="22"/>
          <w:szCs w:val="22"/>
        </w:rPr>
      </w:pPr>
      <w:r>
        <w:rPr>
          <w:rFonts w:cs="Arial"/>
        </w:rPr>
        <w:fldChar w:fldCharType="begin"/>
      </w:r>
      <w:r>
        <w:rPr>
          <w:rFonts w:cs="Arial"/>
        </w:rPr>
        <w:instrText xml:space="preserve"> TOC \o "1-3" \h \z \u </w:instrText>
      </w:r>
      <w:r>
        <w:rPr>
          <w:rFonts w:cs="Arial"/>
        </w:rPr>
        <w:fldChar w:fldCharType="separate"/>
      </w:r>
      <w:hyperlink w:anchor="_Toc496620292" w:history="1">
        <w:r w:rsidRPr="006F086A">
          <w:rPr>
            <w:rStyle w:val="Hyperlink"/>
          </w:rPr>
          <w:t>Executive summary</w:t>
        </w:r>
        <w:r>
          <w:rPr>
            <w:webHidden/>
          </w:rPr>
          <w:tab/>
        </w:r>
        <w:r>
          <w:rPr>
            <w:webHidden/>
          </w:rPr>
          <w:fldChar w:fldCharType="begin"/>
        </w:r>
        <w:r>
          <w:rPr>
            <w:webHidden/>
          </w:rPr>
          <w:instrText xml:space="preserve"> PAGEREF _Toc496620292 \h </w:instrText>
        </w:r>
        <w:r>
          <w:rPr>
            <w:webHidden/>
          </w:rPr>
        </w:r>
        <w:r>
          <w:rPr>
            <w:webHidden/>
          </w:rPr>
          <w:fldChar w:fldCharType="separate"/>
        </w:r>
        <w:r w:rsidR="0056453A">
          <w:rPr>
            <w:webHidden/>
          </w:rPr>
          <w:t>1</w:t>
        </w:r>
        <w:r>
          <w:rPr>
            <w:webHidden/>
          </w:rPr>
          <w:fldChar w:fldCharType="end"/>
        </w:r>
      </w:hyperlink>
    </w:p>
    <w:p w14:paraId="34D2DF38" w14:textId="53F802EC" w:rsidR="003A1083" w:rsidRDefault="0056453A">
      <w:pPr>
        <w:pStyle w:val="TOC2"/>
        <w:rPr>
          <w:rFonts w:asciiTheme="minorHAnsi" w:eastAsiaTheme="minorEastAsia" w:hAnsiTheme="minorHAnsi" w:cstheme="minorBidi"/>
          <w:spacing w:val="0"/>
          <w:sz w:val="22"/>
          <w:szCs w:val="22"/>
        </w:rPr>
      </w:pPr>
      <w:hyperlink w:anchor="_Toc496620293" w:history="1">
        <w:r w:rsidR="003A1083" w:rsidRPr="006F086A">
          <w:rPr>
            <w:rStyle w:val="Hyperlink"/>
          </w:rPr>
          <w:t>Stakeholder feedback to the 3.6 GHz band consultation</w:t>
        </w:r>
        <w:r w:rsidR="003A1083">
          <w:rPr>
            <w:webHidden/>
          </w:rPr>
          <w:tab/>
        </w:r>
        <w:r w:rsidR="003A1083">
          <w:rPr>
            <w:webHidden/>
          </w:rPr>
          <w:fldChar w:fldCharType="begin"/>
        </w:r>
        <w:r w:rsidR="003A1083">
          <w:rPr>
            <w:webHidden/>
          </w:rPr>
          <w:instrText xml:space="preserve"> PAGEREF _Toc496620293 \h </w:instrText>
        </w:r>
        <w:r w:rsidR="003A1083">
          <w:rPr>
            <w:webHidden/>
          </w:rPr>
        </w:r>
        <w:r w:rsidR="003A1083">
          <w:rPr>
            <w:webHidden/>
          </w:rPr>
          <w:fldChar w:fldCharType="separate"/>
        </w:r>
        <w:r>
          <w:rPr>
            <w:webHidden/>
          </w:rPr>
          <w:t>1</w:t>
        </w:r>
        <w:r w:rsidR="003A1083">
          <w:rPr>
            <w:webHidden/>
          </w:rPr>
          <w:fldChar w:fldCharType="end"/>
        </w:r>
      </w:hyperlink>
    </w:p>
    <w:p w14:paraId="18CA2B9B" w14:textId="69A1154A" w:rsidR="003A1083" w:rsidRDefault="0056453A">
      <w:pPr>
        <w:pStyle w:val="TOC2"/>
        <w:rPr>
          <w:rFonts w:asciiTheme="minorHAnsi" w:eastAsiaTheme="minorEastAsia" w:hAnsiTheme="minorHAnsi" w:cstheme="minorBidi"/>
          <w:spacing w:val="0"/>
          <w:sz w:val="22"/>
          <w:szCs w:val="22"/>
        </w:rPr>
      </w:pPr>
      <w:hyperlink w:anchor="_Toc496620294" w:history="1">
        <w:r w:rsidR="003A1083" w:rsidRPr="006F086A">
          <w:rPr>
            <w:rStyle w:val="Hyperlink"/>
          </w:rPr>
          <w:t>Summary of ACMA considerations and conclusions</w:t>
        </w:r>
        <w:r w:rsidR="003A1083">
          <w:rPr>
            <w:webHidden/>
          </w:rPr>
          <w:tab/>
        </w:r>
        <w:r w:rsidR="003A1083">
          <w:rPr>
            <w:webHidden/>
          </w:rPr>
          <w:fldChar w:fldCharType="begin"/>
        </w:r>
        <w:r w:rsidR="003A1083">
          <w:rPr>
            <w:webHidden/>
          </w:rPr>
          <w:instrText xml:space="preserve"> PAGEREF _Toc496620294 \h </w:instrText>
        </w:r>
        <w:r w:rsidR="003A1083">
          <w:rPr>
            <w:webHidden/>
          </w:rPr>
        </w:r>
        <w:r w:rsidR="003A1083">
          <w:rPr>
            <w:webHidden/>
          </w:rPr>
          <w:fldChar w:fldCharType="separate"/>
        </w:r>
        <w:r>
          <w:rPr>
            <w:webHidden/>
          </w:rPr>
          <w:t>2</w:t>
        </w:r>
        <w:r w:rsidR="003A1083">
          <w:rPr>
            <w:webHidden/>
          </w:rPr>
          <w:fldChar w:fldCharType="end"/>
        </w:r>
      </w:hyperlink>
    </w:p>
    <w:p w14:paraId="1EF79EFF" w14:textId="46058F88" w:rsidR="003A1083" w:rsidRDefault="0056453A">
      <w:pPr>
        <w:pStyle w:val="TOC3"/>
        <w:rPr>
          <w:rFonts w:asciiTheme="minorHAnsi" w:eastAsiaTheme="minorEastAsia" w:hAnsiTheme="minorHAnsi" w:cstheme="minorBidi"/>
        </w:rPr>
      </w:pPr>
      <w:hyperlink w:anchor="_Toc496620295" w:history="1">
        <w:r w:rsidR="003A1083" w:rsidRPr="006F086A">
          <w:rPr>
            <w:rStyle w:val="Hyperlink"/>
          </w:rPr>
          <w:t>HVU and the case for action</w:t>
        </w:r>
        <w:r w:rsidR="003A1083">
          <w:rPr>
            <w:webHidden/>
          </w:rPr>
          <w:tab/>
        </w:r>
        <w:r w:rsidR="003A1083">
          <w:rPr>
            <w:webHidden/>
          </w:rPr>
          <w:fldChar w:fldCharType="begin"/>
        </w:r>
        <w:r w:rsidR="003A1083">
          <w:rPr>
            <w:webHidden/>
          </w:rPr>
          <w:instrText xml:space="preserve"> PAGEREF _Toc496620295 \h </w:instrText>
        </w:r>
        <w:r w:rsidR="003A1083">
          <w:rPr>
            <w:webHidden/>
          </w:rPr>
        </w:r>
        <w:r w:rsidR="003A1083">
          <w:rPr>
            <w:webHidden/>
          </w:rPr>
          <w:fldChar w:fldCharType="separate"/>
        </w:r>
        <w:r>
          <w:rPr>
            <w:webHidden/>
          </w:rPr>
          <w:t>2</w:t>
        </w:r>
        <w:r w:rsidR="003A1083">
          <w:rPr>
            <w:webHidden/>
          </w:rPr>
          <w:fldChar w:fldCharType="end"/>
        </w:r>
      </w:hyperlink>
    </w:p>
    <w:p w14:paraId="1C9B4D45" w14:textId="0DD8FB40" w:rsidR="003A1083" w:rsidRDefault="0056453A">
      <w:pPr>
        <w:pStyle w:val="TOC3"/>
        <w:rPr>
          <w:rFonts w:asciiTheme="minorHAnsi" w:eastAsiaTheme="minorEastAsia" w:hAnsiTheme="minorHAnsi" w:cstheme="minorBidi"/>
        </w:rPr>
      </w:pPr>
      <w:hyperlink w:anchor="_Toc496620296" w:history="1">
        <w:r w:rsidR="003A1083" w:rsidRPr="006F086A">
          <w:rPr>
            <w:rStyle w:val="Hyperlink"/>
          </w:rPr>
          <w:t>Bandwidth and geographic area considerations</w:t>
        </w:r>
        <w:r w:rsidR="003A1083">
          <w:rPr>
            <w:webHidden/>
          </w:rPr>
          <w:tab/>
        </w:r>
        <w:r w:rsidR="003A1083">
          <w:rPr>
            <w:webHidden/>
          </w:rPr>
          <w:fldChar w:fldCharType="begin"/>
        </w:r>
        <w:r w:rsidR="003A1083">
          <w:rPr>
            <w:webHidden/>
          </w:rPr>
          <w:instrText xml:space="preserve"> PAGEREF _Toc496620296 \h </w:instrText>
        </w:r>
        <w:r w:rsidR="003A1083">
          <w:rPr>
            <w:webHidden/>
          </w:rPr>
        </w:r>
        <w:r w:rsidR="003A1083">
          <w:rPr>
            <w:webHidden/>
          </w:rPr>
          <w:fldChar w:fldCharType="separate"/>
        </w:r>
        <w:r>
          <w:rPr>
            <w:webHidden/>
          </w:rPr>
          <w:t>3</w:t>
        </w:r>
        <w:r w:rsidR="003A1083">
          <w:rPr>
            <w:webHidden/>
          </w:rPr>
          <w:fldChar w:fldCharType="end"/>
        </w:r>
      </w:hyperlink>
    </w:p>
    <w:p w14:paraId="0CEFFF20" w14:textId="39BE6068" w:rsidR="003A1083" w:rsidRDefault="0056453A">
      <w:pPr>
        <w:pStyle w:val="TOC3"/>
        <w:rPr>
          <w:rFonts w:asciiTheme="minorHAnsi" w:eastAsiaTheme="minorEastAsia" w:hAnsiTheme="minorHAnsi" w:cstheme="minorBidi"/>
        </w:rPr>
      </w:pPr>
      <w:hyperlink w:anchor="_Toc496620297" w:history="1">
        <w:r w:rsidR="003A1083" w:rsidRPr="006F086A">
          <w:rPr>
            <w:rStyle w:val="Hyperlink"/>
          </w:rPr>
          <w:t>Mitigations for incumbents</w:t>
        </w:r>
        <w:r w:rsidR="003A1083">
          <w:rPr>
            <w:webHidden/>
          </w:rPr>
          <w:tab/>
        </w:r>
        <w:r w:rsidR="003A1083">
          <w:rPr>
            <w:webHidden/>
          </w:rPr>
          <w:fldChar w:fldCharType="begin"/>
        </w:r>
        <w:r w:rsidR="003A1083">
          <w:rPr>
            <w:webHidden/>
          </w:rPr>
          <w:instrText xml:space="preserve"> PAGEREF _Toc496620297 \h </w:instrText>
        </w:r>
        <w:r w:rsidR="003A1083">
          <w:rPr>
            <w:webHidden/>
          </w:rPr>
        </w:r>
        <w:r w:rsidR="003A1083">
          <w:rPr>
            <w:webHidden/>
          </w:rPr>
          <w:fldChar w:fldCharType="separate"/>
        </w:r>
        <w:r>
          <w:rPr>
            <w:webHidden/>
          </w:rPr>
          <w:t>3</w:t>
        </w:r>
        <w:r w:rsidR="003A1083">
          <w:rPr>
            <w:webHidden/>
          </w:rPr>
          <w:fldChar w:fldCharType="end"/>
        </w:r>
      </w:hyperlink>
    </w:p>
    <w:p w14:paraId="6E1B24CC" w14:textId="2F4E6F16" w:rsidR="003A1083" w:rsidRDefault="0056453A">
      <w:pPr>
        <w:pStyle w:val="TOC3"/>
        <w:rPr>
          <w:rFonts w:asciiTheme="minorHAnsi" w:eastAsiaTheme="minorEastAsia" w:hAnsiTheme="minorHAnsi" w:cstheme="minorBidi"/>
        </w:rPr>
      </w:pPr>
      <w:hyperlink w:anchor="_Toc496620298" w:history="1">
        <w:r w:rsidR="003A1083" w:rsidRPr="006F086A">
          <w:rPr>
            <w:rStyle w:val="Hyperlink"/>
          </w:rPr>
          <w:t>ACMA decisions and preliminary views</w:t>
        </w:r>
        <w:r w:rsidR="003A1083">
          <w:rPr>
            <w:webHidden/>
          </w:rPr>
          <w:tab/>
        </w:r>
        <w:r w:rsidR="003A1083">
          <w:rPr>
            <w:webHidden/>
          </w:rPr>
          <w:fldChar w:fldCharType="begin"/>
        </w:r>
        <w:r w:rsidR="003A1083">
          <w:rPr>
            <w:webHidden/>
          </w:rPr>
          <w:instrText xml:space="preserve"> PAGEREF _Toc496620298 \h </w:instrText>
        </w:r>
        <w:r w:rsidR="003A1083">
          <w:rPr>
            <w:webHidden/>
          </w:rPr>
        </w:r>
        <w:r w:rsidR="003A1083">
          <w:rPr>
            <w:webHidden/>
          </w:rPr>
          <w:fldChar w:fldCharType="separate"/>
        </w:r>
        <w:r>
          <w:rPr>
            <w:webHidden/>
          </w:rPr>
          <w:t>7</w:t>
        </w:r>
        <w:r w:rsidR="003A1083">
          <w:rPr>
            <w:webHidden/>
          </w:rPr>
          <w:fldChar w:fldCharType="end"/>
        </w:r>
      </w:hyperlink>
    </w:p>
    <w:p w14:paraId="225F8C77" w14:textId="5DC64102" w:rsidR="003A1083" w:rsidRDefault="0056453A">
      <w:pPr>
        <w:pStyle w:val="TOC2"/>
        <w:rPr>
          <w:rFonts w:asciiTheme="minorHAnsi" w:eastAsiaTheme="minorEastAsia" w:hAnsiTheme="minorHAnsi" w:cstheme="minorBidi"/>
          <w:spacing w:val="0"/>
          <w:sz w:val="22"/>
          <w:szCs w:val="22"/>
        </w:rPr>
      </w:pPr>
      <w:hyperlink w:anchor="_Toc496620299" w:history="1">
        <w:r w:rsidR="003A1083" w:rsidRPr="006F086A">
          <w:rPr>
            <w:rStyle w:val="Hyperlink"/>
          </w:rPr>
          <w:t>Next steps</w:t>
        </w:r>
        <w:r w:rsidR="003A1083">
          <w:rPr>
            <w:webHidden/>
          </w:rPr>
          <w:tab/>
        </w:r>
        <w:r w:rsidR="003A1083">
          <w:rPr>
            <w:webHidden/>
          </w:rPr>
          <w:fldChar w:fldCharType="begin"/>
        </w:r>
        <w:r w:rsidR="003A1083">
          <w:rPr>
            <w:webHidden/>
          </w:rPr>
          <w:instrText xml:space="preserve"> PAGEREF _Toc496620299 \h </w:instrText>
        </w:r>
        <w:r w:rsidR="003A1083">
          <w:rPr>
            <w:webHidden/>
          </w:rPr>
        </w:r>
        <w:r w:rsidR="003A1083">
          <w:rPr>
            <w:webHidden/>
          </w:rPr>
          <w:fldChar w:fldCharType="separate"/>
        </w:r>
        <w:r>
          <w:rPr>
            <w:webHidden/>
          </w:rPr>
          <w:t>8</w:t>
        </w:r>
        <w:r w:rsidR="003A1083">
          <w:rPr>
            <w:webHidden/>
          </w:rPr>
          <w:fldChar w:fldCharType="end"/>
        </w:r>
      </w:hyperlink>
    </w:p>
    <w:p w14:paraId="469C6980" w14:textId="00E5F4A7" w:rsidR="003A1083" w:rsidRDefault="0056453A" w:rsidP="003A1083">
      <w:pPr>
        <w:pStyle w:val="TOC1"/>
        <w:tabs>
          <w:tab w:val="left" w:pos="284"/>
        </w:tabs>
        <w:rPr>
          <w:rFonts w:asciiTheme="minorHAnsi" w:eastAsiaTheme="minorEastAsia" w:hAnsiTheme="minorHAnsi" w:cstheme="minorBidi"/>
          <w:b w:val="0"/>
          <w:spacing w:val="0"/>
          <w:sz w:val="22"/>
          <w:szCs w:val="22"/>
        </w:rPr>
      </w:pPr>
      <w:hyperlink w:anchor="_Toc496620300" w:history="1">
        <w:r w:rsidR="003A1083" w:rsidRPr="006F086A">
          <w:rPr>
            <w:rStyle w:val="Hyperlink"/>
          </w:rPr>
          <w:t>1.</w:t>
        </w:r>
        <w:r w:rsidR="003A1083">
          <w:rPr>
            <w:rFonts w:asciiTheme="minorHAnsi" w:eastAsiaTheme="minorEastAsia" w:hAnsiTheme="minorHAnsi" w:cstheme="minorBidi"/>
            <w:b w:val="0"/>
            <w:spacing w:val="0"/>
            <w:sz w:val="22"/>
            <w:szCs w:val="22"/>
          </w:rPr>
          <w:tab/>
        </w:r>
        <w:r w:rsidR="003A1083" w:rsidRPr="006F086A">
          <w:rPr>
            <w:rStyle w:val="Hyperlink"/>
          </w:rPr>
          <w:t>Introduction</w:t>
        </w:r>
        <w:r w:rsidR="003A1083">
          <w:rPr>
            <w:webHidden/>
          </w:rPr>
          <w:tab/>
        </w:r>
        <w:r w:rsidR="003A1083">
          <w:rPr>
            <w:webHidden/>
          </w:rPr>
          <w:fldChar w:fldCharType="begin"/>
        </w:r>
        <w:r w:rsidR="003A1083">
          <w:rPr>
            <w:webHidden/>
          </w:rPr>
          <w:instrText xml:space="preserve"> PAGEREF _Toc496620300 \h </w:instrText>
        </w:r>
        <w:r w:rsidR="003A1083">
          <w:rPr>
            <w:webHidden/>
          </w:rPr>
        </w:r>
        <w:r w:rsidR="003A1083">
          <w:rPr>
            <w:webHidden/>
          </w:rPr>
          <w:fldChar w:fldCharType="separate"/>
        </w:r>
        <w:r>
          <w:rPr>
            <w:webHidden/>
          </w:rPr>
          <w:t>10</w:t>
        </w:r>
        <w:r w:rsidR="003A1083">
          <w:rPr>
            <w:webHidden/>
          </w:rPr>
          <w:fldChar w:fldCharType="end"/>
        </w:r>
      </w:hyperlink>
    </w:p>
    <w:p w14:paraId="79883D25" w14:textId="2D4DF4FE" w:rsidR="003A1083" w:rsidRDefault="0056453A">
      <w:pPr>
        <w:pStyle w:val="TOC2"/>
        <w:rPr>
          <w:rFonts w:asciiTheme="minorHAnsi" w:eastAsiaTheme="minorEastAsia" w:hAnsiTheme="minorHAnsi" w:cstheme="minorBidi"/>
          <w:spacing w:val="0"/>
          <w:sz w:val="22"/>
          <w:szCs w:val="22"/>
        </w:rPr>
      </w:pPr>
      <w:hyperlink w:anchor="_Toc496620301" w:history="1">
        <w:r w:rsidR="003A1083" w:rsidRPr="006F086A">
          <w:rPr>
            <w:rStyle w:val="Hyperlink"/>
          </w:rPr>
          <w:t>Legislative and policy environment</w:t>
        </w:r>
        <w:r w:rsidR="003A1083">
          <w:rPr>
            <w:webHidden/>
          </w:rPr>
          <w:tab/>
        </w:r>
        <w:r w:rsidR="003A1083">
          <w:rPr>
            <w:webHidden/>
          </w:rPr>
          <w:fldChar w:fldCharType="begin"/>
        </w:r>
        <w:r w:rsidR="003A1083">
          <w:rPr>
            <w:webHidden/>
          </w:rPr>
          <w:instrText xml:space="preserve"> PAGEREF _Toc496620301 \h </w:instrText>
        </w:r>
        <w:r w:rsidR="003A1083">
          <w:rPr>
            <w:webHidden/>
          </w:rPr>
        </w:r>
        <w:r w:rsidR="003A1083">
          <w:rPr>
            <w:webHidden/>
          </w:rPr>
          <w:fldChar w:fldCharType="separate"/>
        </w:r>
        <w:r>
          <w:rPr>
            <w:webHidden/>
          </w:rPr>
          <w:t>11</w:t>
        </w:r>
        <w:r w:rsidR="003A1083">
          <w:rPr>
            <w:webHidden/>
          </w:rPr>
          <w:fldChar w:fldCharType="end"/>
        </w:r>
      </w:hyperlink>
    </w:p>
    <w:p w14:paraId="7A9EB8FC" w14:textId="44432605" w:rsidR="003A1083" w:rsidRDefault="0056453A">
      <w:pPr>
        <w:pStyle w:val="TOC3"/>
        <w:rPr>
          <w:rFonts w:asciiTheme="minorHAnsi" w:eastAsiaTheme="minorEastAsia" w:hAnsiTheme="minorHAnsi" w:cstheme="minorBidi"/>
        </w:rPr>
      </w:pPr>
      <w:hyperlink w:anchor="_Toc496620302" w:history="1">
        <w:r w:rsidR="003A1083" w:rsidRPr="006F086A">
          <w:rPr>
            <w:rStyle w:val="Hyperlink"/>
          </w:rPr>
          <w:t>Spectrum reform</w:t>
        </w:r>
        <w:r w:rsidR="003A1083">
          <w:rPr>
            <w:webHidden/>
          </w:rPr>
          <w:tab/>
        </w:r>
        <w:r w:rsidR="003A1083">
          <w:rPr>
            <w:webHidden/>
          </w:rPr>
          <w:fldChar w:fldCharType="begin"/>
        </w:r>
        <w:r w:rsidR="003A1083">
          <w:rPr>
            <w:webHidden/>
          </w:rPr>
          <w:instrText xml:space="preserve"> PAGEREF _Toc496620302 \h </w:instrText>
        </w:r>
        <w:r w:rsidR="003A1083">
          <w:rPr>
            <w:webHidden/>
          </w:rPr>
        </w:r>
        <w:r w:rsidR="003A1083">
          <w:rPr>
            <w:webHidden/>
          </w:rPr>
          <w:fldChar w:fldCharType="separate"/>
        </w:r>
        <w:r>
          <w:rPr>
            <w:webHidden/>
          </w:rPr>
          <w:t>11</w:t>
        </w:r>
        <w:r w:rsidR="003A1083">
          <w:rPr>
            <w:webHidden/>
          </w:rPr>
          <w:fldChar w:fldCharType="end"/>
        </w:r>
      </w:hyperlink>
    </w:p>
    <w:p w14:paraId="362BA830" w14:textId="4278E397" w:rsidR="003A1083" w:rsidRDefault="0056453A">
      <w:pPr>
        <w:pStyle w:val="TOC3"/>
        <w:rPr>
          <w:rFonts w:asciiTheme="minorHAnsi" w:eastAsiaTheme="minorEastAsia" w:hAnsiTheme="minorHAnsi" w:cstheme="minorBidi"/>
        </w:rPr>
      </w:pPr>
      <w:hyperlink w:anchor="_Toc496620303" w:history="1">
        <w:r w:rsidR="003A1083" w:rsidRPr="006F086A">
          <w:rPr>
            <w:rStyle w:val="Hyperlink"/>
          </w:rPr>
          <w:t>Mobile broadband strategy and work program</w:t>
        </w:r>
        <w:r w:rsidR="003A1083">
          <w:rPr>
            <w:webHidden/>
          </w:rPr>
          <w:tab/>
        </w:r>
        <w:r w:rsidR="003A1083">
          <w:rPr>
            <w:webHidden/>
          </w:rPr>
          <w:fldChar w:fldCharType="begin"/>
        </w:r>
        <w:r w:rsidR="003A1083">
          <w:rPr>
            <w:webHidden/>
          </w:rPr>
          <w:instrText xml:space="preserve"> PAGEREF _Toc496620303 \h </w:instrText>
        </w:r>
        <w:r w:rsidR="003A1083">
          <w:rPr>
            <w:webHidden/>
          </w:rPr>
        </w:r>
        <w:r w:rsidR="003A1083">
          <w:rPr>
            <w:webHidden/>
          </w:rPr>
          <w:fldChar w:fldCharType="separate"/>
        </w:r>
        <w:r>
          <w:rPr>
            <w:webHidden/>
          </w:rPr>
          <w:t>11</w:t>
        </w:r>
        <w:r w:rsidR="003A1083">
          <w:rPr>
            <w:webHidden/>
          </w:rPr>
          <w:fldChar w:fldCharType="end"/>
        </w:r>
      </w:hyperlink>
    </w:p>
    <w:p w14:paraId="43E01107" w14:textId="377C67D3" w:rsidR="003A1083" w:rsidRDefault="0056453A" w:rsidP="003A1083">
      <w:pPr>
        <w:pStyle w:val="TOC1"/>
        <w:tabs>
          <w:tab w:val="left" w:pos="284"/>
        </w:tabs>
        <w:rPr>
          <w:rFonts w:asciiTheme="minorHAnsi" w:eastAsiaTheme="minorEastAsia" w:hAnsiTheme="minorHAnsi" w:cstheme="minorBidi"/>
          <w:b w:val="0"/>
          <w:spacing w:val="0"/>
          <w:sz w:val="22"/>
          <w:szCs w:val="22"/>
        </w:rPr>
      </w:pPr>
      <w:hyperlink w:anchor="_Toc496620304" w:history="1">
        <w:r w:rsidR="003A1083" w:rsidRPr="006F086A">
          <w:rPr>
            <w:rStyle w:val="Hyperlink"/>
          </w:rPr>
          <w:t>2.</w:t>
        </w:r>
        <w:r w:rsidR="003A1083">
          <w:rPr>
            <w:rFonts w:asciiTheme="minorHAnsi" w:eastAsiaTheme="minorEastAsia" w:hAnsiTheme="minorHAnsi" w:cstheme="minorBidi"/>
            <w:b w:val="0"/>
            <w:spacing w:val="0"/>
            <w:sz w:val="22"/>
            <w:szCs w:val="22"/>
          </w:rPr>
          <w:tab/>
        </w:r>
        <w:r w:rsidR="003A1083" w:rsidRPr="006F086A">
          <w:rPr>
            <w:rStyle w:val="Hyperlink"/>
          </w:rPr>
          <w:t>Summary and response to submissions—HVU analysis</w:t>
        </w:r>
        <w:r w:rsidR="003A1083">
          <w:rPr>
            <w:webHidden/>
          </w:rPr>
          <w:tab/>
        </w:r>
        <w:r w:rsidR="003A1083">
          <w:rPr>
            <w:webHidden/>
          </w:rPr>
          <w:fldChar w:fldCharType="begin"/>
        </w:r>
        <w:r w:rsidR="003A1083">
          <w:rPr>
            <w:webHidden/>
          </w:rPr>
          <w:instrText xml:space="preserve"> PAGEREF _Toc496620304 \h </w:instrText>
        </w:r>
        <w:r w:rsidR="003A1083">
          <w:rPr>
            <w:webHidden/>
          </w:rPr>
        </w:r>
        <w:r w:rsidR="003A1083">
          <w:rPr>
            <w:webHidden/>
          </w:rPr>
          <w:fldChar w:fldCharType="separate"/>
        </w:r>
        <w:r>
          <w:rPr>
            <w:webHidden/>
          </w:rPr>
          <w:t>13</w:t>
        </w:r>
        <w:r w:rsidR="003A1083">
          <w:rPr>
            <w:webHidden/>
          </w:rPr>
          <w:fldChar w:fldCharType="end"/>
        </w:r>
      </w:hyperlink>
    </w:p>
    <w:p w14:paraId="05FA2059" w14:textId="52ADA8B0" w:rsidR="003A1083" w:rsidRDefault="0056453A">
      <w:pPr>
        <w:pStyle w:val="TOC2"/>
        <w:rPr>
          <w:rFonts w:asciiTheme="minorHAnsi" w:eastAsiaTheme="minorEastAsia" w:hAnsiTheme="minorHAnsi" w:cstheme="minorBidi"/>
          <w:spacing w:val="0"/>
          <w:sz w:val="22"/>
          <w:szCs w:val="22"/>
        </w:rPr>
      </w:pPr>
      <w:hyperlink w:anchor="_Toc496620305" w:history="1">
        <w:r w:rsidR="003A1083" w:rsidRPr="006F086A">
          <w:rPr>
            <w:rStyle w:val="Hyperlink"/>
          </w:rPr>
          <w:t>Economic benefits of re-farming the 3.6 GHz band</w:t>
        </w:r>
        <w:r w:rsidR="003A1083">
          <w:rPr>
            <w:webHidden/>
          </w:rPr>
          <w:tab/>
        </w:r>
        <w:r w:rsidR="003A1083">
          <w:rPr>
            <w:webHidden/>
          </w:rPr>
          <w:fldChar w:fldCharType="begin"/>
        </w:r>
        <w:r w:rsidR="003A1083">
          <w:rPr>
            <w:webHidden/>
          </w:rPr>
          <w:instrText xml:space="preserve"> PAGEREF _Toc496620305 \h </w:instrText>
        </w:r>
        <w:r w:rsidR="003A1083">
          <w:rPr>
            <w:webHidden/>
          </w:rPr>
        </w:r>
        <w:r w:rsidR="003A1083">
          <w:rPr>
            <w:webHidden/>
          </w:rPr>
          <w:fldChar w:fldCharType="separate"/>
        </w:r>
        <w:r>
          <w:rPr>
            <w:webHidden/>
          </w:rPr>
          <w:t>13</w:t>
        </w:r>
        <w:r w:rsidR="003A1083">
          <w:rPr>
            <w:webHidden/>
          </w:rPr>
          <w:fldChar w:fldCharType="end"/>
        </w:r>
      </w:hyperlink>
    </w:p>
    <w:p w14:paraId="67B7B1E6" w14:textId="28C2E789" w:rsidR="003A1083" w:rsidRDefault="0056453A">
      <w:pPr>
        <w:pStyle w:val="TOC3"/>
        <w:rPr>
          <w:rFonts w:asciiTheme="minorHAnsi" w:eastAsiaTheme="minorEastAsia" w:hAnsiTheme="minorHAnsi" w:cstheme="minorBidi"/>
        </w:rPr>
      </w:pPr>
      <w:hyperlink w:anchor="_Toc496620306"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_Toc496620306 \h </w:instrText>
        </w:r>
        <w:r w:rsidR="003A1083">
          <w:rPr>
            <w:webHidden/>
          </w:rPr>
        </w:r>
        <w:r w:rsidR="003A1083">
          <w:rPr>
            <w:webHidden/>
          </w:rPr>
          <w:fldChar w:fldCharType="separate"/>
        </w:r>
        <w:r>
          <w:rPr>
            <w:webHidden/>
          </w:rPr>
          <w:t>13</w:t>
        </w:r>
        <w:r w:rsidR="003A1083">
          <w:rPr>
            <w:webHidden/>
          </w:rPr>
          <w:fldChar w:fldCharType="end"/>
        </w:r>
      </w:hyperlink>
    </w:p>
    <w:p w14:paraId="0D30ADE8" w14:textId="3C4B2658" w:rsidR="003A1083" w:rsidRDefault="0056453A">
      <w:pPr>
        <w:pStyle w:val="TOC3"/>
        <w:rPr>
          <w:rFonts w:asciiTheme="minorHAnsi" w:eastAsiaTheme="minorEastAsia" w:hAnsiTheme="minorHAnsi" w:cstheme="minorBidi"/>
        </w:rPr>
      </w:pPr>
      <w:hyperlink w:anchor="_Toc496620307"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_Toc496620307 \h </w:instrText>
        </w:r>
        <w:r w:rsidR="003A1083">
          <w:rPr>
            <w:webHidden/>
          </w:rPr>
        </w:r>
        <w:r w:rsidR="003A1083">
          <w:rPr>
            <w:webHidden/>
          </w:rPr>
          <w:fldChar w:fldCharType="separate"/>
        </w:r>
        <w:r>
          <w:rPr>
            <w:webHidden/>
          </w:rPr>
          <w:t>14</w:t>
        </w:r>
        <w:r w:rsidR="003A1083">
          <w:rPr>
            <w:webHidden/>
          </w:rPr>
          <w:fldChar w:fldCharType="end"/>
        </w:r>
      </w:hyperlink>
    </w:p>
    <w:p w14:paraId="1F8C5F98" w14:textId="411A1745" w:rsidR="003A1083" w:rsidRDefault="0056453A">
      <w:pPr>
        <w:pStyle w:val="TOC2"/>
        <w:rPr>
          <w:rFonts w:asciiTheme="minorHAnsi" w:eastAsiaTheme="minorEastAsia" w:hAnsiTheme="minorHAnsi" w:cstheme="minorBidi"/>
          <w:spacing w:val="0"/>
          <w:sz w:val="22"/>
          <w:szCs w:val="22"/>
        </w:rPr>
      </w:pPr>
      <w:hyperlink w:anchor="_Toc496620308" w:history="1">
        <w:r w:rsidR="003A1083" w:rsidRPr="006F086A">
          <w:rPr>
            <w:rStyle w:val="Hyperlink"/>
          </w:rPr>
          <w:t>Economic costs of re-farming the 3.6 GHz band</w:t>
        </w:r>
        <w:r w:rsidR="003A1083">
          <w:rPr>
            <w:webHidden/>
          </w:rPr>
          <w:tab/>
        </w:r>
        <w:r w:rsidR="003A1083">
          <w:rPr>
            <w:webHidden/>
          </w:rPr>
          <w:fldChar w:fldCharType="begin"/>
        </w:r>
        <w:r w:rsidR="003A1083">
          <w:rPr>
            <w:webHidden/>
          </w:rPr>
          <w:instrText xml:space="preserve"> PAGEREF _Toc496620308 \h </w:instrText>
        </w:r>
        <w:r w:rsidR="003A1083">
          <w:rPr>
            <w:webHidden/>
          </w:rPr>
        </w:r>
        <w:r w:rsidR="003A1083">
          <w:rPr>
            <w:webHidden/>
          </w:rPr>
          <w:fldChar w:fldCharType="separate"/>
        </w:r>
        <w:r>
          <w:rPr>
            <w:webHidden/>
          </w:rPr>
          <w:t>15</w:t>
        </w:r>
        <w:r w:rsidR="003A1083">
          <w:rPr>
            <w:webHidden/>
          </w:rPr>
          <w:fldChar w:fldCharType="end"/>
        </w:r>
      </w:hyperlink>
    </w:p>
    <w:p w14:paraId="673C1A8A" w14:textId="5BF5E83E" w:rsidR="003A1083" w:rsidRDefault="0056453A">
      <w:pPr>
        <w:pStyle w:val="TOC3"/>
        <w:rPr>
          <w:rFonts w:asciiTheme="minorHAnsi" w:eastAsiaTheme="minorEastAsia" w:hAnsiTheme="minorHAnsi" w:cstheme="minorBidi"/>
        </w:rPr>
      </w:pPr>
      <w:hyperlink w:anchor="_Toc496620309"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_Toc496620309 \h </w:instrText>
        </w:r>
        <w:r w:rsidR="003A1083">
          <w:rPr>
            <w:webHidden/>
          </w:rPr>
        </w:r>
        <w:r w:rsidR="003A1083">
          <w:rPr>
            <w:webHidden/>
          </w:rPr>
          <w:fldChar w:fldCharType="separate"/>
        </w:r>
        <w:r>
          <w:rPr>
            <w:webHidden/>
          </w:rPr>
          <w:t>16</w:t>
        </w:r>
        <w:r w:rsidR="003A1083">
          <w:rPr>
            <w:webHidden/>
          </w:rPr>
          <w:fldChar w:fldCharType="end"/>
        </w:r>
      </w:hyperlink>
    </w:p>
    <w:p w14:paraId="07D3158D" w14:textId="4B034AD7" w:rsidR="003A1083" w:rsidRDefault="0056453A">
      <w:pPr>
        <w:pStyle w:val="TOC3"/>
        <w:rPr>
          <w:rFonts w:asciiTheme="minorHAnsi" w:eastAsiaTheme="minorEastAsia" w:hAnsiTheme="minorHAnsi" w:cstheme="minorBidi"/>
        </w:rPr>
      </w:pPr>
      <w:hyperlink w:anchor="_Toc496620310"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_Toc496620310 \h </w:instrText>
        </w:r>
        <w:r w:rsidR="003A1083">
          <w:rPr>
            <w:webHidden/>
          </w:rPr>
        </w:r>
        <w:r w:rsidR="003A1083">
          <w:rPr>
            <w:webHidden/>
          </w:rPr>
          <w:fldChar w:fldCharType="separate"/>
        </w:r>
        <w:r>
          <w:rPr>
            <w:webHidden/>
          </w:rPr>
          <w:t>17</w:t>
        </w:r>
        <w:r w:rsidR="003A1083">
          <w:rPr>
            <w:webHidden/>
          </w:rPr>
          <w:fldChar w:fldCharType="end"/>
        </w:r>
      </w:hyperlink>
    </w:p>
    <w:p w14:paraId="47EE6789" w14:textId="0F2B1286" w:rsidR="003A1083" w:rsidRDefault="0056453A">
      <w:pPr>
        <w:pStyle w:val="TOC2"/>
        <w:rPr>
          <w:rFonts w:asciiTheme="minorHAnsi" w:eastAsiaTheme="minorEastAsia" w:hAnsiTheme="minorHAnsi" w:cstheme="minorBidi"/>
          <w:spacing w:val="0"/>
          <w:sz w:val="22"/>
          <w:szCs w:val="22"/>
        </w:rPr>
      </w:pPr>
      <w:hyperlink w:anchor="_Toc496620311" w:history="1">
        <w:r w:rsidR="003A1083" w:rsidRPr="006F086A">
          <w:rPr>
            <w:rStyle w:val="Hyperlink"/>
          </w:rPr>
          <w:t>HVU methodology</w:t>
        </w:r>
        <w:r w:rsidR="003A1083">
          <w:rPr>
            <w:webHidden/>
          </w:rPr>
          <w:tab/>
        </w:r>
        <w:r w:rsidR="003A1083">
          <w:rPr>
            <w:webHidden/>
          </w:rPr>
          <w:fldChar w:fldCharType="begin"/>
        </w:r>
        <w:r w:rsidR="003A1083">
          <w:rPr>
            <w:webHidden/>
          </w:rPr>
          <w:instrText xml:space="preserve"> PAGEREF _Toc496620311 \h </w:instrText>
        </w:r>
        <w:r w:rsidR="003A1083">
          <w:rPr>
            <w:webHidden/>
          </w:rPr>
        </w:r>
        <w:r w:rsidR="003A1083">
          <w:rPr>
            <w:webHidden/>
          </w:rPr>
          <w:fldChar w:fldCharType="separate"/>
        </w:r>
        <w:r>
          <w:rPr>
            <w:webHidden/>
          </w:rPr>
          <w:t>17</w:t>
        </w:r>
        <w:r w:rsidR="003A1083">
          <w:rPr>
            <w:webHidden/>
          </w:rPr>
          <w:fldChar w:fldCharType="end"/>
        </w:r>
      </w:hyperlink>
    </w:p>
    <w:p w14:paraId="2006DE25" w14:textId="5DA2DE70" w:rsidR="003A1083" w:rsidRDefault="0056453A">
      <w:pPr>
        <w:pStyle w:val="TOC3"/>
        <w:rPr>
          <w:rFonts w:asciiTheme="minorHAnsi" w:eastAsiaTheme="minorEastAsia" w:hAnsiTheme="minorHAnsi" w:cstheme="minorBidi"/>
        </w:rPr>
      </w:pPr>
      <w:hyperlink w:anchor="_Toc496620312"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_Toc496620312 \h </w:instrText>
        </w:r>
        <w:r w:rsidR="003A1083">
          <w:rPr>
            <w:webHidden/>
          </w:rPr>
        </w:r>
        <w:r w:rsidR="003A1083">
          <w:rPr>
            <w:webHidden/>
          </w:rPr>
          <w:fldChar w:fldCharType="separate"/>
        </w:r>
        <w:r>
          <w:rPr>
            <w:webHidden/>
          </w:rPr>
          <w:t>17</w:t>
        </w:r>
        <w:r w:rsidR="003A1083">
          <w:rPr>
            <w:webHidden/>
          </w:rPr>
          <w:fldChar w:fldCharType="end"/>
        </w:r>
      </w:hyperlink>
    </w:p>
    <w:p w14:paraId="4284F015" w14:textId="13FA7207" w:rsidR="003A1083" w:rsidRDefault="0056453A">
      <w:pPr>
        <w:pStyle w:val="TOC3"/>
        <w:rPr>
          <w:rFonts w:asciiTheme="minorHAnsi" w:eastAsiaTheme="minorEastAsia" w:hAnsiTheme="minorHAnsi" w:cstheme="minorBidi"/>
        </w:rPr>
      </w:pPr>
      <w:hyperlink w:anchor="_Toc496620313"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_Toc496620313 \h </w:instrText>
        </w:r>
        <w:r w:rsidR="003A1083">
          <w:rPr>
            <w:webHidden/>
          </w:rPr>
        </w:r>
        <w:r w:rsidR="003A1083">
          <w:rPr>
            <w:webHidden/>
          </w:rPr>
          <w:fldChar w:fldCharType="separate"/>
        </w:r>
        <w:r>
          <w:rPr>
            <w:webHidden/>
          </w:rPr>
          <w:t>18</w:t>
        </w:r>
        <w:r w:rsidR="003A1083">
          <w:rPr>
            <w:webHidden/>
          </w:rPr>
          <w:fldChar w:fldCharType="end"/>
        </w:r>
      </w:hyperlink>
    </w:p>
    <w:p w14:paraId="00FB29C7" w14:textId="0A024F8B" w:rsidR="003A1083" w:rsidRDefault="0056453A">
      <w:pPr>
        <w:pStyle w:val="TOC3"/>
        <w:rPr>
          <w:rFonts w:asciiTheme="minorHAnsi" w:eastAsiaTheme="minorEastAsia" w:hAnsiTheme="minorHAnsi" w:cstheme="minorBidi"/>
        </w:rPr>
      </w:pPr>
      <w:hyperlink w:anchor="_Toc496620314"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_Toc496620314 \h </w:instrText>
        </w:r>
        <w:r w:rsidR="003A1083">
          <w:rPr>
            <w:webHidden/>
          </w:rPr>
        </w:r>
        <w:r w:rsidR="003A1083">
          <w:rPr>
            <w:webHidden/>
          </w:rPr>
          <w:fldChar w:fldCharType="separate"/>
        </w:r>
        <w:r>
          <w:rPr>
            <w:webHidden/>
          </w:rPr>
          <w:t>18</w:t>
        </w:r>
        <w:r w:rsidR="003A1083">
          <w:rPr>
            <w:webHidden/>
          </w:rPr>
          <w:fldChar w:fldCharType="end"/>
        </w:r>
      </w:hyperlink>
    </w:p>
    <w:p w14:paraId="3E7E6A18" w14:textId="2F4B2D03" w:rsidR="003A1083" w:rsidRDefault="0056453A" w:rsidP="003A1083">
      <w:pPr>
        <w:pStyle w:val="TOC1"/>
        <w:tabs>
          <w:tab w:val="left" w:pos="284"/>
        </w:tabs>
        <w:rPr>
          <w:rFonts w:asciiTheme="minorHAnsi" w:eastAsiaTheme="minorEastAsia" w:hAnsiTheme="minorHAnsi" w:cstheme="minorBidi"/>
          <w:b w:val="0"/>
          <w:spacing w:val="0"/>
          <w:sz w:val="22"/>
          <w:szCs w:val="22"/>
        </w:rPr>
      </w:pPr>
      <w:hyperlink w:anchor="_Toc496620315" w:history="1">
        <w:r w:rsidR="003A1083" w:rsidRPr="006F086A">
          <w:rPr>
            <w:rStyle w:val="Hyperlink"/>
          </w:rPr>
          <w:t>3.</w:t>
        </w:r>
        <w:r w:rsidR="003A1083">
          <w:rPr>
            <w:rFonts w:asciiTheme="minorHAnsi" w:eastAsiaTheme="minorEastAsia" w:hAnsiTheme="minorHAnsi" w:cstheme="minorBidi"/>
            <w:b w:val="0"/>
            <w:spacing w:val="0"/>
            <w:sz w:val="22"/>
            <w:szCs w:val="22"/>
          </w:rPr>
          <w:tab/>
        </w:r>
        <w:r w:rsidR="003A1083" w:rsidRPr="006F086A">
          <w:rPr>
            <w:rStyle w:val="Hyperlink"/>
          </w:rPr>
          <w:t>Summary and response to submissions—Options paper</w:t>
        </w:r>
        <w:r w:rsidR="003A1083">
          <w:rPr>
            <w:webHidden/>
          </w:rPr>
          <w:tab/>
        </w:r>
        <w:r w:rsidR="003A1083">
          <w:rPr>
            <w:webHidden/>
          </w:rPr>
          <w:fldChar w:fldCharType="begin"/>
        </w:r>
        <w:r w:rsidR="003A1083">
          <w:rPr>
            <w:webHidden/>
          </w:rPr>
          <w:instrText xml:space="preserve"> PAGEREF _Toc496620315 \h </w:instrText>
        </w:r>
        <w:r w:rsidR="003A1083">
          <w:rPr>
            <w:webHidden/>
          </w:rPr>
        </w:r>
        <w:r w:rsidR="003A1083">
          <w:rPr>
            <w:webHidden/>
          </w:rPr>
          <w:fldChar w:fldCharType="separate"/>
        </w:r>
        <w:r>
          <w:rPr>
            <w:webHidden/>
          </w:rPr>
          <w:t>20</w:t>
        </w:r>
        <w:r w:rsidR="003A1083">
          <w:rPr>
            <w:webHidden/>
          </w:rPr>
          <w:fldChar w:fldCharType="end"/>
        </w:r>
      </w:hyperlink>
    </w:p>
    <w:p w14:paraId="12B8FA68" w14:textId="164BBBB3" w:rsidR="003A1083" w:rsidRDefault="0056453A">
      <w:pPr>
        <w:pStyle w:val="TOC2"/>
        <w:rPr>
          <w:rFonts w:asciiTheme="minorHAnsi" w:eastAsiaTheme="minorEastAsia" w:hAnsiTheme="minorHAnsi" w:cstheme="minorBidi"/>
          <w:spacing w:val="0"/>
          <w:sz w:val="22"/>
          <w:szCs w:val="22"/>
        </w:rPr>
      </w:pPr>
      <w:hyperlink w:anchor="_Toc496620316" w:history="1">
        <w:r w:rsidR="003A1083" w:rsidRPr="006F086A">
          <w:rPr>
            <w:rStyle w:val="Hyperlink"/>
          </w:rPr>
          <w:t>Case for action and replanning options</w:t>
        </w:r>
        <w:r w:rsidR="003A1083">
          <w:rPr>
            <w:webHidden/>
          </w:rPr>
          <w:tab/>
        </w:r>
        <w:r w:rsidR="003A1083">
          <w:rPr>
            <w:webHidden/>
          </w:rPr>
          <w:fldChar w:fldCharType="begin"/>
        </w:r>
        <w:r w:rsidR="003A1083">
          <w:rPr>
            <w:webHidden/>
          </w:rPr>
          <w:instrText xml:space="preserve"> PAGEREF _Toc496620316 \h </w:instrText>
        </w:r>
        <w:r w:rsidR="003A1083">
          <w:rPr>
            <w:webHidden/>
          </w:rPr>
        </w:r>
        <w:r w:rsidR="003A1083">
          <w:rPr>
            <w:webHidden/>
          </w:rPr>
          <w:fldChar w:fldCharType="separate"/>
        </w:r>
        <w:r>
          <w:rPr>
            <w:webHidden/>
          </w:rPr>
          <w:t>20</w:t>
        </w:r>
        <w:r w:rsidR="003A1083">
          <w:rPr>
            <w:webHidden/>
          </w:rPr>
          <w:fldChar w:fldCharType="end"/>
        </w:r>
      </w:hyperlink>
    </w:p>
    <w:p w14:paraId="5D6B24FF" w14:textId="61D20409" w:rsidR="003A1083" w:rsidRDefault="0056453A">
      <w:pPr>
        <w:pStyle w:val="TOC3"/>
        <w:rPr>
          <w:rFonts w:asciiTheme="minorHAnsi" w:eastAsiaTheme="minorEastAsia" w:hAnsiTheme="minorHAnsi" w:cstheme="minorBidi"/>
        </w:rPr>
      </w:pPr>
      <w:hyperlink w:anchor="_Toc496620317"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_Toc496620317 \h </w:instrText>
        </w:r>
        <w:r w:rsidR="003A1083">
          <w:rPr>
            <w:webHidden/>
          </w:rPr>
        </w:r>
        <w:r w:rsidR="003A1083">
          <w:rPr>
            <w:webHidden/>
          </w:rPr>
          <w:fldChar w:fldCharType="separate"/>
        </w:r>
        <w:r>
          <w:rPr>
            <w:webHidden/>
          </w:rPr>
          <w:t>21</w:t>
        </w:r>
        <w:r w:rsidR="003A1083">
          <w:rPr>
            <w:webHidden/>
          </w:rPr>
          <w:fldChar w:fldCharType="end"/>
        </w:r>
      </w:hyperlink>
    </w:p>
    <w:p w14:paraId="727733D5" w14:textId="7D20D7A3" w:rsidR="003A1083" w:rsidRDefault="0056453A">
      <w:pPr>
        <w:pStyle w:val="TOC3"/>
        <w:rPr>
          <w:rFonts w:asciiTheme="minorHAnsi" w:eastAsiaTheme="minorEastAsia" w:hAnsiTheme="minorHAnsi" w:cstheme="minorBidi"/>
        </w:rPr>
      </w:pPr>
      <w:hyperlink w:anchor="_Toc496620318"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_Toc496620318 \h </w:instrText>
        </w:r>
        <w:r w:rsidR="003A1083">
          <w:rPr>
            <w:webHidden/>
          </w:rPr>
        </w:r>
        <w:r w:rsidR="003A1083">
          <w:rPr>
            <w:webHidden/>
          </w:rPr>
          <w:fldChar w:fldCharType="separate"/>
        </w:r>
        <w:r>
          <w:rPr>
            <w:webHidden/>
          </w:rPr>
          <w:t>23</w:t>
        </w:r>
        <w:r w:rsidR="003A1083">
          <w:rPr>
            <w:webHidden/>
          </w:rPr>
          <w:fldChar w:fldCharType="end"/>
        </w:r>
      </w:hyperlink>
    </w:p>
    <w:p w14:paraId="620C737B" w14:textId="2D005B9D" w:rsidR="003A1083" w:rsidRDefault="0056453A">
      <w:pPr>
        <w:pStyle w:val="TOC3"/>
        <w:rPr>
          <w:rFonts w:asciiTheme="minorHAnsi" w:eastAsiaTheme="minorEastAsia" w:hAnsiTheme="minorHAnsi" w:cstheme="minorBidi"/>
        </w:rPr>
      </w:pPr>
      <w:hyperlink w:anchor="_Toc496620319"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_Toc496620319 \h </w:instrText>
        </w:r>
        <w:r w:rsidR="003A1083">
          <w:rPr>
            <w:webHidden/>
          </w:rPr>
        </w:r>
        <w:r w:rsidR="003A1083">
          <w:rPr>
            <w:webHidden/>
          </w:rPr>
          <w:fldChar w:fldCharType="separate"/>
        </w:r>
        <w:r>
          <w:rPr>
            <w:webHidden/>
          </w:rPr>
          <w:t>25</w:t>
        </w:r>
        <w:r w:rsidR="003A1083">
          <w:rPr>
            <w:webHidden/>
          </w:rPr>
          <w:fldChar w:fldCharType="end"/>
        </w:r>
      </w:hyperlink>
    </w:p>
    <w:p w14:paraId="12B70E54" w14:textId="27FBEB58" w:rsidR="003A1083" w:rsidRDefault="0056453A">
      <w:pPr>
        <w:pStyle w:val="TOC2"/>
        <w:rPr>
          <w:rFonts w:asciiTheme="minorHAnsi" w:eastAsiaTheme="minorEastAsia" w:hAnsiTheme="minorHAnsi" w:cstheme="minorBidi"/>
          <w:spacing w:val="0"/>
          <w:sz w:val="22"/>
          <w:szCs w:val="22"/>
        </w:rPr>
      </w:pPr>
      <w:hyperlink w:anchor="_Toc496620320" w:history="1">
        <w:r w:rsidR="003A1083" w:rsidRPr="006F086A">
          <w:rPr>
            <w:rStyle w:val="Hyperlink"/>
          </w:rPr>
          <w:t>Geographical area options</w:t>
        </w:r>
        <w:r w:rsidR="003A1083">
          <w:rPr>
            <w:webHidden/>
          </w:rPr>
          <w:tab/>
        </w:r>
        <w:r w:rsidR="003A1083">
          <w:rPr>
            <w:webHidden/>
          </w:rPr>
          <w:fldChar w:fldCharType="begin"/>
        </w:r>
        <w:r w:rsidR="003A1083">
          <w:rPr>
            <w:webHidden/>
          </w:rPr>
          <w:instrText xml:space="preserve"> PAGEREF _Toc496620320 \h </w:instrText>
        </w:r>
        <w:r w:rsidR="003A1083">
          <w:rPr>
            <w:webHidden/>
          </w:rPr>
        </w:r>
        <w:r w:rsidR="003A1083">
          <w:rPr>
            <w:webHidden/>
          </w:rPr>
          <w:fldChar w:fldCharType="separate"/>
        </w:r>
        <w:r>
          <w:rPr>
            <w:webHidden/>
          </w:rPr>
          <w:t>25</w:t>
        </w:r>
        <w:r w:rsidR="003A1083">
          <w:rPr>
            <w:webHidden/>
          </w:rPr>
          <w:fldChar w:fldCharType="end"/>
        </w:r>
      </w:hyperlink>
    </w:p>
    <w:p w14:paraId="13AD5B6C" w14:textId="27804FBB" w:rsidR="003A1083" w:rsidRDefault="0056453A">
      <w:pPr>
        <w:pStyle w:val="TOC3"/>
        <w:rPr>
          <w:rFonts w:asciiTheme="minorHAnsi" w:eastAsiaTheme="minorEastAsia" w:hAnsiTheme="minorHAnsi" w:cstheme="minorBidi"/>
        </w:rPr>
      </w:pPr>
      <w:hyperlink w:anchor="_Toc496620321"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_Toc496620321 \h </w:instrText>
        </w:r>
        <w:r w:rsidR="003A1083">
          <w:rPr>
            <w:webHidden/>
          </w:rPr>
        </w:r>
        <w:r w:rsidR="003A1083">
          <w:rPr>
            <w:webHidden/>
          </w:rPr>
          <w:fldChar w:fldCharType="separate"/>
        </w:r>
        <w:r>
          <w:rPr>
            <w:webHidden/>
          </w:rPr>
          <w:t>26</w:t>
        </w:r>
        <w:r w:rsidR="003A1083">
          <w:rPr>
            <w:webHidden/>
          </w:rPr>
          <w:fldChar w:fldCharType="end"/>
        </w:r>
      </w:hyperlink>
    </w:p>
    <w:p w14:paraId="7C990CD5" w14:textId="175AAE4F" w:rsidR="003A1083" w:rsidRDefault="0056453A">
      <w:pPr>
        <w:pStyle w:val="TOC3"/>
        <w:rPr>
          <w:rFonts w:asciiTheme="minorHAnsi" w:eastAsiaTheme="minorEastAsia" w:hAnsiTheme="minorHAnsi" w:cstheme="minorBidi"/>
        </w:rPr>
      </w:pPr>
      <w:hyperlink w:anchor="_Toc496620322"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_Toc496620322 \h </w:instrText>
        </w:r>
        <w:r w:rsidR="003A1083">
          <w:rPr>
            <w:webHidden/>
          </w:rPr>
        </w:r>
        <w:r w:rsidR="003A1083">
          <w:rPr>
            <w:webHidden/>
          </w:rPr>
          <w:fldChar w:fldCharType="separate"/>
        </w:r>
        <w:r>
          <w:rPr>
            <w:webHidden/>
          </w:rPr>
          <w:t>28</w:t>
        </w:r>
        <w:r w:rsidR="003A1083">
          <w:rPr>
            <w:webHidden/>
          </w:rPr>
          <w:fldChar w:fldCharType="end"/>
        </w:r>
      </w:hyperlink>
    </w:p>
    <w:p w14:paraId="168E35FA" w14:textId="3FFE9695" w:rsidR="003A1083" w:rsidRDefault="0056453A">
      <w:pPr>
        <w:pStyle w:val="TOC3"/>
        <w:rPr>
          <w:rFonts w:asciiTheme="minorHAnsi" w:eastAsiaTheme="minorEastAsia" w:hAnsiTheme="minorHAnsi" w:cstheme="minorBidi"/>
        </w:rPr>
      </w:pPr>
      <w:hyperlink w:anchor="_Toc496620323"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_Toc496620323 \h </w:instrText>
        </w:r>
        <w:r w:rsidR="003A1083">
          <w:rPr>
            <w:webHidden/>
          </w:rPr>
        </w:r>
        <w:r w:rsidR="003A1083">
          <w:rPr>
            <w:webHidden/>
          </w:rPr>
          <w:fldChar w:fldCharType="separate"/>
        </w:r>
        <w:r>
          <w:rPr>
            <w:webHidden/>
          </w:rPr>
          <w:t>29</w:t>
        </w:r>
        <w:r w:rsidR="003A1083">
          <w:rPr>
            <w:webHidden/>
          </w:rPr>
          <w:fldChar w:fldCharType="end"/>
        </w:r>
      </w:hyperlink>
    </w:p>
    <w:p w14:paraId="68B96F31" w14:textId="74F4306B" w:rsidR="003A1083" w:rsidRDefault="0056453A">
      <w:pPr>
        <w:pStyle w:val="TOC2"/>
        <w:rPr>
          <w:rFonts w:asciiTheme="minorHAnsi" w:eastAsiaTheme="minorEastAsia" w:hAnsiTheme="minorHAnsi" w:cstheme="minorBidi"/>
          <w:spacing w:val="0"/>
          <w:sz w:val="22"/>
          <w:szCs w:val="22"/>
        </w:rPr>
      </w:pPr>
      <w:hyperlink w:anchor="_Toc496620324" w:history="1">
        <w:r w:rsidR="003A1083" w:rsidRPr="006F086A">
          <w:rPr>
            <w:rStyle w:val="Hyperlink"/>
          </w:rPr>
          <w:t>Length of re-allocation period</w:t>
        </w:r>
        <w:r w:rsidR="003A1083">
          <w:rPr>
            <w:webHidden/>
          </w:rPr>
          <w:tab/>
        </w:r>
        <w:r w:rsidR="003A1083">
          <w:rPr>
            <w:webHidden/>
          </w:rPr>
          <w:fldChar w:fldCharType="begin"/>
        </w:r>
        <w:r w:rsidR="003A1083">
          <w:rPr>
            <w:webHidden/>
          </w:rPr>
          <w:instrText xml:space="preserve"> PAGEREF _Toc496620324 \h </w:instrText>
        </w:r>
        <w:r w:rsidR="003A1083">
          <w:rPr>
            <w:webHidden/>
          </w:rPr>
        </w:r>
        <w:r w:rsidR="003A1083">
          <w:rPr>
            <w:webHidden/>
          </w:rPr>
          <w:fldChar w:fldCharType="separate"/>
        </w:r>
        <w:r>
          <w:rPr>
            <w:webHidden/>
          </w:rPr>
          <w:t>29</w:t>
        </w:r>
        <w:r w:rsidR="003A1083">
          <w:rPr>
            <w:webHidden/>
          </w:rPr>
          <w:fldChar w:fldCharType="end"/>
        </w:r>
      </w:hyperlink>
    </w:p>
    <w:p w14:paraId="2CEB8D8F" w14:textId="2B0403BF" w:rsidR="003A1083" w:rsidRDefault="0056453A">
      <w:pPr>
        <w:pStyle w:val="TOC3"/>
        <w:rPr>
          <w:rFonts w:asciiTheme="minorHAnsi" w:eastAsiaTheme="minorEastAsia" w:hAnsiTheme="minorHAnsi" w:cstheme="minorBidi"/>
        </w:rPr>
      </w:pPr>
      <w:hyperlink w:anchor="_Toc496620325"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_Toc496620325 \h </w:instrText>
        </w:r>
        <w:r w:rsidR="003A1083">
          <w:rPr>
            <w:webHidden/>
          </w:rPr>
        </w:r>
        <w:r w:rsidR="003A1083">
          <w:rPr>
            <w:webHidden/>
          </w:rPr>
          <w:fldChar w:fldCharType="separate"/>
        </w:r>
        <w:r>
          <w:rPr>
            <w:webHidden/>
          </w:rPr>
          <w:t>30</w:t>
        </w:r>
        <w:r w:rsidR="003A1083">
          <w:rPr>
            <w:webHidden/>
          </w:rPr>
          <w:fldChar w:fldCharType="end"/>
        </w:r>
      </w:hyperlink>
    </w:p>
    <w:p w14:paraId="63A269DC" w14:textId="3D7897D7" w:rsidR="003A1083" w:rsidRDefault="0056453A">
      <w:pPr>
        <w:pStyle w:val="TOC3"/>
        <w:rPr>
          <w:rFonts w:asciiTheme="minorHAnsi" w:eastAsiaTheme="minorEastAsia" w:hAnsiTheme="minorHAnsi" w:cstheme="minorBidi"/>
        </w:rPr>
      </w:pPr>
      <w:hyperlink w:anchor="_Toc496620326"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_Toc496620326 \h </w:instrText>
        </w:r>
        <w:r w:rsidR="003A1083">
          <w:rPr>
            <w:webHidden/>
          </w:rPr>
        </w:r>
        <w:r w:rsidR="003A1083">
          <w:rPr>
            <w:webHidden/>
          </w:rPr>
          <w:fldChar w:fldCharType="separate"/>
        </w:r>
        <w:r>
          <w:rPr>
            <w:webHidden/>
          </w:rPr>
          <w:t>30</w:t>
        </w:r>
        <w:r w:rsidR="003A1083">
          <w:rPr>
            <w:webHidden/>
          </w:rPr>
          <w:fldChar w:fldCharType="end"/>
        </w:r>
      </w:hyperlink>
    </w:p>
    <w:p w14:paraId="68C3FEA0" w14:textId="7A9B6503" w:rsidR="003A1083" w:rsidRDefault="0056453A">
      <w:pPr>
        <w:pStyle w:val="TOC3"/>
        <w:rPr>
          <w:rFonts w:asciiTheme="minorHAnsi" w:eastAsiaTheme="minorEastAsia" w:hAnsiTheme="minorHAnsi" w:cstheme="minorBidi"/>
        </w:rPr>
      </w:pPr>
      <w:hyperlink w:anchor="_Toc496620327"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_Toc496620327 \h </w:instrText>
        </w:r>
        <w:r w:rsidR="003A1083">
          <w:rPr>
            <w:webHidden/>
          </w:rPr>
        </w:r>
        <w:r w:rsidR="003A1083">
          <w:rPr>
            <w:webHidden/>
          </w:rPr>
          <w:fldChar w:fldCharType="separate"/>
        </w:r>
        <w:r>
          <w:rPr>
            <w:webHidden/>
          </w:rPr>
          <w:t>32</w:t>
        </w:r>
        <w:r w:rsidR="003A1083">
          <w:rPr>
            <w:webHidden/>
          </w:rPr>
          <w:fldChar w:fldCharType="end"/>
        </w:r>
      </w:hyperlink>
    </w:p>
    <w:p w14:paraId="420C3AEF" w14:textId="1AC07247" w:rsidR="003A1083" w:rsidRDefault="0056453A">
      <w:pPr>
        <w:pStyle w:val="TOC2"/>
        <w:rPr>
          <w:rFonts w:asciiTheme="minorHAnsi" w:eastAsiaTheme="minorEastAsia" w:hAnsiTheme="minorHAnsi" w:cstheme="minorBidi"/>
          <w:spacing w:val="0"/>
          <w:sz w:val="22"/>
          <w:szCs w:val="22"/>
        </w:rPr>
      </w:pPr>
      <w:hyperlink w:anchor="_Toc496620328" w:history="1">
        <w:r w:rsidR="003A1083" w:rsidRPr="006F086A">
          <w:rPr>
            <w:rStyle w:val="Hyperlink"/>
          </w:rPr>
          <w:t>Options for incumbent point-to-multipoint licensees</w:t>
        </w:r>
        <w:r w:rsidR="003A1083">
          <w:rPr>
            <w:webHidden/>
          </w:rPr>
          <w:tab/>
        </w:r>
        <w:r w:rsidR="003A1083">
          <w:rPr>
            <w:webHidden/>
          </w:rPr>
          <w:fldChar w:fldCharType="begin"/>
        </w:r>
        <w:r w:rsidR="003A1083">
          <w:rPr>
            <w:webHidden/>
          </w:rPr>
          <w:instrText xml:space="preserve"> PAGEREF _Toc496620328 \h </w:instrText>
        </w:r>
        <w:r w:rsidR="003A1083">
          <w:rPr>
            <w:webHidden/>
          </w:rPr>
        </w:r>
        <w:r w:rsidR="003A1083">
          <w:rPr>
            <w:webHidden/>
          </w:rPr>
          <w:fldChar w:fldCharType="separate"/>
        </w:r>
        <w:r>
          <w:rPr>
            <w:webHidden/>
          </w:rPr>
          <w:t>32</w:t>
        </w:r>
        <w:r w:rsidR="003A1083">
          <w:rPr>
            <w:webHidden/>
          </w:rPr>
          <w:fldChar w:fldCharType="end"/>
        </w:r>
      </w:hyperlink>
    </w:p>
    <w:p w14:paraId="6A3DB17F" w14:textId="3A19464F" w:rsidR="003A1083" w:rsidRDefault="0056453A">
      <w:pPr>
        <w:pStyle w:val="TOC3"/>
        <w:rPr>
          <w:rFonts w:asciiTheme="minorHAnsi" w:eastAsiaTheme="minorEastAsia" w:hAnsiTheme="minorHAnsi" w:cstheme="minorBidi"/>
        </w:rPr>
      </w:pPr>
      <w:hyperlink w:anchor="_Toc496620329"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_Toc496620329 \h </w:instrText>
        </w:r>
        <w:r w:rsidR="003A1083">
          <w:rPr>
            <w:webHidden/>
          </w:rPr>
        </w:r>
        <w:r w:rsidR="003A1083">
          <w:rPr>
            <w:webHidden/>
          </w:rPr>
          <w:fldChar w:fldCharType="separate"/>
        </w:r>
        <w:r>
          <w:rPr>
            <w:webHidden/>
          </w:rPr>
          <w:t>33</w:t>
        </w:r>
        <w:r w:rsidR="003A1083">
          <w:rPr>
            <w:webHidden/>
          </w:rPr>
          <w:fldChar w:fldCharType="end"/>
        </w:r>
      </w:hyperlink>
    </w:p>
    <w:p w14:paraId="5BCF4AB3" w14:textId="7275EA7F" w:rsidR="003A1083" w:rsidRDefault="0056453A">
      <w:pPr>
        <w:pStyle w:val="TOC3"/>
        <w:rPr>
          <w:rFonts w:asciiTheme="minorHAnsi" w:eastAsiaTheme="minorEastAsia" w:hAnsiTheme="minorHAnsi" w:cstheme="minorBidi"/>
        </w:rPr>
      </w:pPr>
      <w:hyperlink w:anchor="_Toc496620330"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_Toc496620330 \h </w:instrText>
        </w:r>
        <w:r w:rsidR="003A1083">
          <w:rPr>
            <w:webHidden/>
          </w:rPr>
        </w:r>
        <w:r w:rsidR="003A1083">
          <w:rPr>
            <w:webHidden/>
          </w:rPr>
          <w:fldChar w:fldCharType="separate"/>
        </w:r>
        <w:r>
          <w:rPr>
            <w:webHidden/>
          </w:rPr>
          <w:t>35</w:t>
        </w:r>
        <w:r w:rsidR="003A1083">
          <w:rPr>
            <w:webHidden/>
          </w:rPr>
          <w:fldChar w:fldCharType="end"/>
        </w:r>
      </w:hyperlink>
    </w:p>
    <w:p w14:paraId="3A718EA4" w14:textId="63CC4EB6" w:rsidR="003A1083" w:rsidRDefault="0056453A">
      <w:pPr>
        <w:pStyle w:val="TOC3"/>
        <w:rPr>
          <w:rFonts w:asciiTheme="minorHAnsi" w:eastAsiaTheme="minorEastAsia" w:hAnsiTheme="minorHAnsi" w:cstheme="minorBidi"/>
        </w:rPr>
      </w:pPr>
      <w:hyperlink w:anchor="_Toc496620331"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_Toc496620331 \h </w:instrText>
        </w:r>
        <w:r w:rsidR="003A1083">
          <w:rPr>
            <w:webHidden/>
          </w:rPr>
        </w:r>
        <w:r w:rsidR="003A1083">
          <w:rPr>
            <w:webHidden/>
          </w:rPr>
          <w:fldChar w:fldCharType="separate"/>
        </w:r>
        <w:r>
          <w:rPr>
            <w:webHidden/>
          </w:rPr>
          <w:t>38</w:t>
        </w:r>
        <w:r w:rsidR="003A1083">
          <w:rPr>
            <w:webHidden/>
          </w:rPr>
          <w:fldChar w:fldCharType="end"/>
        </w:r>
      </w:hyperlink>
    </w:p>
    <w:p w14:paraId="317A0CB6" w14:textId="134D1236" w:rsidR="003A1083" w:rsidRDefault="0056453A">
      <w:pPr>
        <w:pStyle w:val="TOC2"/>
        <w:rPr>
          <w:rFonts w:asciiTheme="minorHAnsi" w:eastAsiaTheme="minorEastAsia" w:hAnsiTheme="minorHAnsi" w:cstheme="minorBidi"/>
          <w:spacing w:val="0"/>
          <w:sz w:val="22"/>
          <w:szCs w:val="22"/>
        </w:rPr>
      </w:pPr>
      <w:hyperlink w:anchor="_Toc496620332" w:history="1">
        <w:r w:rsidR="003A1083" w:rsidRPr="006F086A">
          <w:rPr>
            <w:rStyle w:val="Hyperlink"/>
          </w:rPr>
          <w:t>Options for incumbent FSS earth station licensees</w:t>
        </w:r>
        <w:r w:rsidR="003A1083">
          <w:rPr>
            <w:webHidden/>
          </w:rPr>
          <w:tab/>
        </w:r>
        <w:r w:rsidR="003A1083">
          <w:rPr>
            <w:webHidden/>
          </w:rPr>
          <w:fldChar w:fldCharType="begin"/>
        </w:r>
        <w:r w:rsidR="003A1083">
          <w:rPr>
            <w:webHidden/>
          </w:rPr>
          <w:instrText xml:space="preserve"> PAGEREF _Toc496620332 \h </w:instrText>
        </w:r>
        <w:r w:rsidR="003A1083">
          <w:rPr>
            <w:webHidden/>
          </w:rPr>
        </w:r>
        <w:r w:rsidR="003A1083">
          <w:rPr>
            <w:webHidden/>
          </w:rPr>
          <w:fldChar w:fldCharType="separate"/>
        </w:r>
        <w:r>
          <w:rPr>
            <w:webHidden/>
          </w:rPr>
          <w:t>39</w:t>
        </w:r>
        <w:r w:rsidR="003A1083">
          <w:rPr>
            <w:webHidden/>
          </w:rPr>
          <w:fldChar w:fldCharType="end"/>
        </w:r>
      </w:hyperlink>
    </w:p>
    <w:p w14:paraId="32466182" w14:textId="2D331A85" w:rsidR="003A1083" w:rsidRDefault="0056453A">
      <w:pPr>
        <w:pStyle w:val="TOC3"/>
        <w:rPr>
          <w:rFonts w:asciiTheme="minorHAnsi" w:eastAsiaTheme="minorEastAsia" w:hAnsiTheme="minorHAnsi" w:cstheme="minorBidi"/>
        </w:rPr>
      </w:pPr>
      <w:hyperlink w:anchor="_Toc496620333"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_Toc496620333 \h </w:instrText>
        </w:r>
        <w:r w:rsidR="003A1083">
          <w:rPr>
            <w:webHidden/>
          </w:rPr>
        </w:r>
        <w:r w:rsidR="003A1083">
          <w:rPr>
            <w:webHidden/>
          </w:rPr>
          <w:fldChar w:fldCharType="separate"/>
        </w:r>
        <w:r>
          <w:rPr>
            <w:webHidden/>
          </w:rPr>
          <w:t>39</w:t>
        </w:r>
        <w:r w:rsidR="003A1083">
          <w:rPr>
            <w:webHidden/>
          </w:rPr>
          <w:fldChar w:fldCharType="end"/>
        </w:r>
      </w:hyperlink>
    </w:p>
    <w:p w14:paraId="51178554" w14:textId="682DF634" w:rsidR="003A1083" w:rsidRDefault="0056453A">
      <w:pPr>
        <w:pStyle w:val="TOC3"/>
        <w:rPr>
          <w:rFonts w:asciiTheme="minorHAnsi" w:eastAsiaTheme="minorEastAsia" w:hAnsiTheme="minorHAnsi" w:cstheme="minorBidi"/>
        </w:rPr>
      </w:pPr>
      <w:hyperlink w:anchor="_Toc496620334"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_Toc496620334 \h </w:instrText>
        </w:r>
        <w:r w:rsidR="003A1083">
          <w:rPr>
            <w:webHidden/>
          </w:rPr>
        </w:r>
        <w:r w:rsidR="003A1083">
          <w:rPr>
            <w:webHidden/>
          </w:rPr>
          <w:fldChar w:fldCharType="separate"/>
        </w:r>
        <w:r>
          <w:rPr>
            <w:webHidden/>
          </w:rPr>
          <w:t>41</w:t>
        </w:r>
        <w:r w:rsidR="003A1083">
          <w:rPr>
            <w:webHidden/>
          </w:rPr>
          <w:fldChar w:fldCharType="end"/>
        </w:r>
      </w:hyperlink>
    </w:p>
    <w:p w14:paraId="0E62BDD6" w14:textId="0BA24540" w:rsidR="003A1083" w:rsidRDefault="0056453A">
      <w:pPr>
        <w:pStyle w:val="TOC3"/>
        <w:rPr>
          <w:rFonts w:asciiTheme="minorHAnsi" w:eastAsiaTheme="minorEastAsia" w:hAnsiTheme="minorHAnsi" w:cstheme="minorBidi"/>
        </w:rPr>
      </w:pPr>
      <w:hyperlink w:anchor="_Toc496620335"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_Toc496620335 \h </w:instrText>
        </w:r>
        <w:r w:rsidR="003A1083">
          <w:rPr>
            <w:webHidden/>
          </w:rPr>
        </w:r>
        <w:r w:rsidR="003A1083">
          <w:rPr>
            <w:webHidden/>
          </w:rPr>
          <w:fldChar w:fldCharType="separate"/>
        </w:r>
        <w:r>
          <w:rPr>
            <w:webHidden/>
          </w:rPr>
          <w:t>43</w:t>
        </w:r>
        <w:r w:rsidR="003A1083">
          <w:rPr>
            <w:webHidden/>
          </w:rPr>
          <w:fldChar w:fldCharType="end"/>
        </w:r>
      </w:hyperlink>
    </w:p>
    <w:p w14:paraId="7D1977CE" w14:textId="1A463D99" w:rsidR="003A1083" w:rsidRDefault="0056453A">
      <w:pPr>
        <w:pStyle w:val="TOC2"/>
        <w:rPr>
          <w:rFonts w:asciiTheme="minorHAnsi" w:eastAsiaTheme="minorEastAsia" w:hAnsiTheme="minorHAnsi" w:cstheme="minorBidi"/>
          <w:spacing w:val="0"/>
          <w:sz w:val="22"/>
          <w:szCs w:val="22"/>
        </w:rPr>
      </w:pPr>
      <w:hyperlink w:anchor="_Toc496620336" w:history="1">
        <w:r w:rsidR="003A1083" w:rsidRPr="006F086A">
          <w:rPr>
            <w:rStyle w:val="Hyperlink"/>
          </w:rPr>
          <w:t>Options for other incumbent services</w:t>
        </w:r>
        <w:r w:rsidR="003A1083">
          <w:rPr>
            <w:webHidden/>
          </w:rPr>
          <w:tab/>
        </w:r>
        <w:r w:rsidR="003A1083">
          <w:rPr>
            <w:webHidden/>
          </w:rPr>
          <w:fldChar w:fldCharType="begin"/>
        </w:r>
        <w:r w:rsidR="003A1083">
          <w:rPr>
            <w:webHidden/>
          </w:rPr>
          <w:instrText xml:space="preserve"> PAGEREF _Toc496620336 \h </w:instrText>
        </w:r>
        <w:r w:rsidR="003A1083">
          <w:rPr>
            <w:webHidden/>
          </w:rPr>
        </w:r>
        <w:r w:rsidR="003A1083">
          <w:rPr>
            <w:webHidden/>
          </w:rPr>
          <w:fldChar w:fldCharType="separate"/>
        </w:r>
        <w:r>
          <w:rPr>
            <w:webHidden/>
          </w:rPr>
          <w:t>44</w:t>
        </w:r>
        <w:r w:rsidR="003A1083">
          <w:rPr>
            <w:webHidden/>
          </w:rPr>
          <w:fldChar w:fldCharType="end"/>
        </w:r>
      </w:hyperlink>
    </w:p>
    <w:p w14:paraId="55161B76" w14:textId="5652287D" w:rsidR="003A1083" w:rsidRDefault="0056453A">
      <w:pPr>
        <w:pStyle w:val="TOC3"/>
        <w:rPr>
          <w:rFonts w:asciiTheme="minorHAnsi" w:eastAsiaTheme="minorEastAsia" w:hAnsiTheme="minorHAnsi" w:cstheme="minorBidi"/>
        </w:rPr>
      </w:pPr>
      <w:hyperlink w:anchor="_Toc496620337" w:history="1">
        <w:r w:rsidR="003A1083" w:rsidRPr="006F086A">
          <w:rPr>
            <w:rStyle w:val="Hyperlink"/>
          </w:rPr>
          <w:t>Summary of submissions</w:t>
        </w:r>
        <w:r w:rsidR="003A1083">
          <w:rPr>
            <w:webHidden/>
          </w:rPr>
          <w:tab/>
        </w:r>
        <w:r w:rsidR="003A1083">
          <w:rPr>
            <w:webHidden/>
          </w:rPr>
          <w:fldChar w:fldCharType="begin"/>
        </w:r>
        <w:r w:rsidR="003A1083">
          <w:rPr>
            <w:webHidden/>
          </w:rPr>
          <w:instrText xml:space="preserve"> PAGEREF _Toc496620337 \h </w:instrText>
        </w:r>
        <w:r w:rsidR="003A1083">
          <w:rPr>
            <w:webHidden/>
          </w:rPr>
        </w:r>
        <w:r w:rsidR="003A1083">
          <w:rPr>
            <w:webHidden/>
          </w:rPr>
          <w:fldChar w:fldCharType="separate"/>
        </w:r>
        <w:r>
          <w:rPr>
            <w:webHidden/>
          </w:rPr>
          <w:t>45</w:t>
        </w:r>
        <w:r w:rsidR="003A1083">
          <w:rPr>
            <w:webHidden/>
          </w:rPr>
          <w:fldChar w:fldCharType="end"/>
        </w:r>
      </w:hyperlink>
    </w:p>
    <w:p w14:paraId="4C2860FF" w14:textId="5C15853A" w:rsidR="003A1083" w:rsidRDefault="0056453A">
      <w:pPr>
        <w:pStyle w:val="TOC3"/>
        <w:rPr>
          <w:rFonts w:asciiTheme="minorHAnsi" w:eastAsiaTheme="minorEastAsia" w:hAnsiTheme="minorHAnsi" w:cstheme="minorBidi"/>
        </w:rPr>
      </w:pPr>
      <w:hyperlink w:anchor="_Toc496620338" w:history="1">
        <w:r w:rsidR="003A1083" w:rsidRPr="006F086A">
          <w:rPr>
            <w:rStyle w:val="Hyperlink"/>
          </w:rPr>
          <w:t>ACMA response to submissions</w:t>
        </w:r>
        <w:r w:rsidR="003A1083">
          <w:rPr>
            <w:webHidden/>
          </w:rPr>
          <w:tab/>
        </w:r>
        <w:r w:rsidR="003A1083">
          <w:rPr>
            <w:webHidden/>
          </w:rPr>
          <w:fldChar w:fldCharType="begin"/>
        </w:r>
        <w:r w:rsidR="003A1083">
          <w:rPr>
            <w:webHidden/>
          </w:rPr>
          <w:instrText xml:space="preserve"> PAGEREF _Toc496620338 \h </w:instrText>
        </w:r>
        <w:r w:rsidR="003A1083">
          <w:rPr>
            <w:webHidden/>
          </w:rPr>
        </w:r>
        <w:r w:rsidR="003A1083">
          <w:rPr>
            <w:webHidden/>
          </w:rPr>
          <w:fldChar w:fldCharType="separate"/>
        </w:r>
        <w:r>
          <w:rPr>
            <w:webHidden/>
          </w:rPr>
          <w:t>45</w:t>
        </w:r>
        <w:r w:rsidR="003A1083">
          <w:rPr>
            <w:webHidden/>
          </w:rPr>
          <w:fldChar w:fldCharType="end"/>
        </w:r>
      </w:hyperlink>
    </w:p>
    <w:p w14:paraId="441DFC64" w14:textId="53C4BE21" w:rsidR="003A1083" w:rsidRDefault="0056453A">
      <w:pPr>
        <w:pStyle w:val="TOC3"/>
        <w:rPr>
          <w:rFonts w:asciiTheme="minorHAnsi" w:eastAsiaTheme="minorEastAsia" w:hAnsiTheme="minorHAnsi" w:cstheme="minorBidi"/>
        </w:rPr>
      </w:pPr>
      <w:hyperlink w:anchor="_Toc496620339" w:history="1">
        <w:r w:rsidR="003A1083" w:rsidRPr="006F086A">
          <w:rPr>
            <w:rStyle w:val="Hyperlink"/>
          </w:rPr>
          <w:t>ACMA decision</w:t>
        </w:r>
        <w:r w:rsidR="003A1083">
          <w:rPr>
            <w:webHidden/>
          </w:rPr>
          <w:tab/>
        </w:r>
        <w:r w:rsidR="003A1083">
          <w:rPr>
            <w:webHidden/>
          </w:rPr>
          <w:fldChar w:fldCharType="begin"/>
        </w:r>
        <w:r w:rsidR="003A1083">
          <w:rPr>
            <w:webHidden/>
          </w:rPr>
          <w:instrText xml:space="preserve"> PAGEREF _Toc496620339 \h </w:instrText>
        </w:r>
        <w:r w:rsidR="003A1083">
          <w:rPr>
            <w:webHidden/>
          </w:rPr>
        </w:r>
        <w:r w:rsidR="003A1083">
          <w:rPr>
            <w:webHidden/>
          </w:rPr>
          <w:fldChar w:fldCharType="separate"/>
        </w:r>
        <w:r>
          <w:rPr>
            <w:webHidden/>
          </w:rPr>
          <w:t>46</w:t>
        </w:r>
        <w:r w:rsidR="003A1083">
          <w:rPr>
            <w:webHidden/>
          </w:rPr>
          <w:fldChar w:fldCharType="end"/>
        </w:r>
      </w:hyperlink>
    </w:p>
    <w:p w14:paraId="4D68556E" w14:textId="1D9E3ED9" w:rsidR="003A1083" w:rsidRDefault="0056453A">
      <w:pPr>
        <w:pStyle w:val="TOC2"/>
        <w:rPr>
          <w:rFonts w:asciiTheme="minorHAnsi" w:eastAsiaTheme="minorEastAsia" w:hAnsiTheme="minorHAnsi" w:cstheme="minorBidi"/>
          <w:spacing w:val="0"/>
          <w:sz w:val="22"/>
          <w:szCs w:val="22"/>
        </w:rPr>
      </w:pPr>
      <w:hyperlink w:anchor="_Toc496620340" w:history="1">
        <w:r w:rsidR="003A1083" w:rsidRPr="006F086A">
          <w:rPr>
            <w:rStyle w:val="Hyperlink"/>
          </w:rPr>
          <w:t>Other issues raised in submissions</w:t>
        </w:r>
        <w:r w:rsidR="003A1083">
          <w:rPr>
            <w:webHidden/>
          </w:rPr>
          <w:tab/>
        </w:r>
        <w:r w:rsidR="003A1083">
          <w:rPr>
            <w:webHidden/>
          </w:rPr>
          <w:fldChar w:fldCharType="begin"/>
        </w:r>
        <w:r w:rsidR="003A1083">
          <w:rPr>
            <w:webHidden/>
          </w:rPr>
          <w:instrText xml:space="preserve"> PAGEREF _Toc496620340 \h </w:instrText>
        </w:r>
        <w:r w:rsidR="003A1083">
          <w:rPr>
            <w:webHidden/>
          </w:rPr>
        </w:r>
        <w:r w:rsidR="003A1083">
          <w:rPr>
            <w:webHidden/>
          </w:rPr>
          <w:fldChar w:fldCharType="separate"/>
        </w:r>
        <w:r>
          <w:rPr>
            <w:webHidden/>
          </w:rPr>
          <w:t>47</w:t>
        </w:r>
        <w:r w:rsidR="003A1083">
          <w:rPr>
            <w:webHidden/>
          </w:rPr>
          <w:fldChar w:fldCharType="end"/>
        </w:r>
      </w:hyperlink>
    </w:p>
    <w:p w14:paraId="36A23347" w14:textId="4D255772" w:rsidR="003A1083" w:rsidRDefault="0056453A">
      <w:pPr>
        <w:pStyle w:val="TOC3"/>
        <w:rPr>
          <w:rFonts w:asciiTheme="minorHAnsi" w:eastAsiaTheme="minorEastAsia" w:hAnsiTheme="minorHAnsi" w:cstheme="minorBidi"/>
        </w:rPr>
      </w:pPr>
      <w:hyperlink w:anchor="_Toc496620341" w:history="1">
        <w:r w:rsidR="003A1083" w:rsidRPr="006F086A">
          <w:rPr>
            <w:rStyle w:val="Hyperlink"/>
          </w:rPr>
          <w:t>Adjacent band FSS</w:t>
        </w:r>
        <w:r w:rsidR="003A1083">
          <w:rPr>
            <w:webHidden/>
          </w:rPr>
          <w:tab/>
        </w:r>
        <w:r w:rsidR="003A1083">
          <w:rPr>
            <w:webHidden/>
          </w:rPr>
          <w:fldChar w:fldCharType="begin"/>
        </w:r>
        <w:r w:rsidR="003A1083">
          <w:rPr>
            <w:webHidden/>
          </w:rPr>
          <w:instrText xml:space="preserve"> PAGEREF _Toc496620341 \h </w:instrText>
        </w:r>
        <w:r w:rsidR="003A1083">
          <w:rPr>
            <w:webHidden/>
          </w:rPr>
        </w:r>
        <w:r w:rsidR="003A1083">
          <w:rPr>
            <w:webHidden/>
          </w:rPr>
          <w:fldChar w:fldCharType="separate"/>
        </w:r>
        <w:r>
          <w:rPr>
            <w:webHidden/>
          </w:rPr>
          <w:t>47</w:t>
        </w:r>
        <w:r w:rsidR="003A1083">
          <w:rPr>
            <w:webHidden/>
          </w:rPr>
          <w:fldChar w:fldCharType="end"/>
        </w:r>
      </w:hyperlink>
    </w:p>
    <w:p w14:paraId="07960E3A" w14:textId="60E5DB86" w:rsidR="003A1083" w:rsidRDefault="0056453A">
      <w:pPr>
        <w:pStyle w:val="TOC3"/>
        <w:rPr>
          <w:rFonts w:asciiTheme="minorHAnsi" w:eastAsiaTheme="minorEastAsia" w:hAnsiTheme="minorHAnsi" w:cstheme="minorBidi"/>
        </w:rPr>
      </w:pPr>
      <w:hyperlink w:anchor="_Toc496620342" w:history="1">
        <w:r w:rsidR="003A1083" w:rsidRPr="006F086A">
          <w:rPr>
            <w:rStyle w:val="Hyperlink"/>
          </w:rPr>
          <w:t>Compensation</w:t>
        </w:r>
        <w:r w:rsidR="003A1083">
          <w:rPr>
            <w:webHidden/>
          </w:rPr>
          <w:tab/>
        </w:r>
        <w:r w:rsidR="003A1083">
          <w:rPr>
            <w:webHidden/>
          </w:rPr>
          <w:fldChar w:fldCharType="begin"/>
        </w:r>
        <w:r w:rsidR="003A1083">
          <w:rPr>
            <w:webHidden/>
          </w:rPr>
          <w:instrText xml:space="preserve"> PAGEREF _Toc496620342 \h </w:instrText>
        </w:r>
        <w:r w:rsidR="003A1083">
          <w:rPr>
            <w:webHidden/>
          </w:rPr>
        </w:r>
        <w:r w:rsidR="003A1083">
          <w:rPr>
            <w:webHidden/>
          </w:rPr>
          <w:fldChar w:fldCharType="separate"/>
        </w:r>
        <w:r>
          <w:rPr>
            <w:webHidden/>
          </w:rPr>
          <w:t>47</w:t>
        </w:r>
        <w:r w:rsidR="003A1083">
          <w:rPr>
            <w:webHidden/>
          </w:rPr>
          <w:fldChar w:fldCharType="end"/>
        </w:r>
      </w:hyperlink>
    </w:p>
    <w:p w14:paraId="22AC7BF9" w14:textId="1CCD3D75" w:rsidR="003A1083" w:rsidRDefault="0056453A">
      <w:pPr>
        <w:pStyle w:val="TOC3"/>
        <w:rPr>
          <w:rFonts w:asciiTheme="minorHAnsi" w:eastAsiaTheme="minorEastAsia" w:hAnsiTheme="minorHAnsi" w:cstheme="minorBidi"/>
        </w:rPr>
      </w:pPr>
      <w:hyperlink w:anchor="_Toc496620343" w:history="1">
        <w:r w:rsidR="003A1083" w:rsidRPr="006F086A">
          <w:rPr>
            <w:rStyle w:val="Hyperlink"/>
          </w:rPr>
          <w:t>Distinction between fixed and mobile broadband</w:t>
        </w:r>
        <w:r w:rsidR="003A1083">
          <w:rPr>
            <w:webHidden/>
          </w:rPr>
          <w:tab/>
        </w:r>
        <w:r w:rsidR="003A1083">
          <w:rPr>
            <w:webHidden/>
          </w:rPr>
          <w:fldChar w:fldCharType="begin"/>
        </w:r>
        <w:r w:rsidR="003A1083">
          <w:rPr>
            <w:webHidden/>
          </w:rPr>
          <w:instrText xml:space="preserve"> PAGEREF _Toc496620343 \h </w:instrText>
        </w:r>
        <w:r w:rsidR="003A1083">
          <w:rPr>
            <w:webHidden/>
          </w:rPr>
        </w:r>
        <w:r w:rsidR="003A1083">
          <w:rPr>
            <w:webHidden/>
          </w:rPr>
          <w:fldChar w:fldCharType="separate"/>
        </w:r>
        <w:r>
          <w:rPr>
            <w:webHidden/>
          </w:rPr>
          <w:t>47</w:t>
        </w:r>
        <w:r w:rsidR="003A1083">
          <w:rPr>
            <w:webHidden/>
          </w:rPr>
          <w:fldChar w:fldCharType="end"/>
        </w:r>
      </w:hyperlink>
    </w:p>
    <w:p w14:paraId="4E1CBC13" w14:textId="4684E990" w:rsidR="003A1083" w:rsidRDefault="0056453A">
      <w:pPr>
        <w:pStyle w:val="TOC3"/>
        <w:rPr>
          <w:rFonts w:asciiTheme="minorHAnsi" w:eastAsiaTheme="minorEastAsia" w:hAnsiTheme="minorHAnsi" w:cstheme="minorBidi"/>
        </w:rPr>
      </w:pPr>
      <w:hyperlink w:anchor="_Toc496620344" w:history="1">
        <w:r w:rsidR="003A1083" w:rsidRPr="006F086A">
          <w:rPr>
            <w:rStyle w:val="Hyperlink"/>
          </w:rPr>
          <w:t>Optimisation of 3400–3700 MHz</w:t>
        </w:r>
        <w:r w:rsidR="003A1083">
          <w:rPr>
            <w:webHidden/>
          </w:rPr>
          <w:tab/>
        </w:r>
        <w:r w:rsidR="003A1083">
          <w:rPr>
            <w:webHidden/>
          </w:rPr>
          <w:fldChar w:fldCharType="begin"/>
        </w:r>
        <w:r w:rsidR="003A1083">
          <w:rPr>
            <w:webHidden/>
          </w:rPr>
          <w:instrText xml:space="preserve"> PAGEREF _Toc496620344 \h </w:instrText>
        </w:r>
        <w:r w:rsidR="003A1083">
          <w:rPr>
            <w:webHidden/>
          </w:rPr>
        </w:r>
        <w:r w:rsidR="003A1083">
          <w:rPr>
            <w:webHidden/>
          </w:rPr>
          <w:fldChar w:fldCharType="separate"/>
        </w:r>
        <w:r>
          <w:rPr>
            <w:webHidden/>
          </w:rPr>
          <w:t>48</w:t>
        </w:r>
        <w:r w:rsidR="003A1083">
          <w:rPr>
            <w:webHidden/>
          </w:rPr>
          <w:fldChar w:fldCharType="end"/>
        </w:r>
      </w:hyperlink>
    </w:p>
    <w:p w14:paraId="3F67FCB8" w14:textId="661E53A6" w:rsidR="003A1083" w:rsidRDefault="0056453A">
      <w:pPr>
        <w:pStyle w:val="TOC3"/>
        <w:rPr>
          <w:rFonts w:asciiTheme="minorHAnsi" w:eastAsiaTheme="minorEastAsia" w:hAnsiTheme="minorHAnsi" w:cstheme="minorBidi"/>
        </w:rPr>
      </w:pPr>
      <w:hyperlink w:anchor="_Toc496620345" w:history="1">
        <w:r w:rsidR="003A1083" w:rsidRPr="006F086A">
          <w:rPr>
            <w:rStyle w:val="Hyperlink"/>
          </w:rPr>
          <w:t>Spectrum Review implementation</w:t>
        </w:r>
        <w:r w:rsidR="003A1083">
          <w:rPr>
            <w:webHidden/>
          </w:rPr>
          <w:tab/>
        </w:r>
        <w:r w:rsidR="003A1083">
          <w:rPr>
            <w:webHidden/>
          </w:rPr>
          <w:fldChar w:fldCharType="begin"/>
        </w:r>
        <w:r w:rsidR="003A1083">
          <w:rPr>
            <w:webHidden/>
          </w:rPr>
          <w:instrText xml:space="preserve"> PAGEREF _Toc496620345 \h </w:instrText>
        </w:r>
        <w:r w:rsidR="003A1083">
          <w:rPr>
            <w:webHidden/>
          </w:rPr>
        </w:r>
        <w:r w:rsidR="003A1083">
          <w:rPr>
            <w:webHidden/>
          </w:rPr>
          <w:fldChar w:fldCharType="separate"/>
        </w:r>
        <w:r>
          <w:rPr>
            <w:webHidden/>
          </w:rPr>
          <w:t>48</w:t>
        </w:r>
        <w:r w:rsidR="003A1083">
          <w:rPr>
            <w:webHidden/>
          </w:rPr>
          <w:fldChar w:fldCharType="end"/>
        </w:r>
      </w:hyperlink>
    </w:p>
    <w:p w14:paraId="1356F431" w14:textId="31A7688B" w:rsidR="003A1083" w:rsidRDefault="0056453A">
      <w:pPr>
        <w:pStyle w:val="TOC3"/>
        <w:rPr>
          <w:rFonts w:asciiTheme="minorHAnsi" w:eastAsiaTheme="minorEastAsia" w:hAnsiTheme="minorHAnsi" w:cstheme="minorBidi"/>
        </w:rPr>
      </w:pPr>
      <w:hyperlink w:anchor="_Toc496620346" w:history="1">
        <w:r w:rsidR="003A1083" w:rsidRPr="006F086A">
          <w:rPr>
            <w:rStyle w:val="Hyperlink"/>
          </w:rPr>
          <w:t>Assumptions regarding services provided by the NBN</w:t>
        </w:r>
        <w:r w:rsidR="003A1083">
          <w:rPr>
            <w:webHidden/>
          </w:rPr>
          <w:tab/>
        </w:r>
        <w:r w:rsidR="003A1083">
          <w:rPr>
            <w:webHidden/>
          </w:rPr>
          <w:fldChar w:fldCharType="begin"/>
        </w:r>
        <w:r w:rsidR="003A1083">
          <w:rPr>
            <w:webHidden/>
          </w:rPr>
          <w:instrText xml:space="preserve"> PAGEREF _Toc496620346 \h </w:instrText>
        </w:r>
        <w:r w:rsidR="003A1083">
          <w:rPr>
            <w:webHidden/>
          </w:rPr>
        </w:r>
        <w:r w:rsidR="003A1083">
          <w:rPr>
            <w:webHidden/>
          </w:rPr>
          <w:fldChar w:fldCharType="separate"/>
        </w:r>
        <w:r>
          <w:rPr>
            <w:webHidden/>
          </w:rPr>
          <w:t>48</w:t>
        </w:r>
        <w:r w:rsidR="003A1083">
          <w:rPr>
            <w:webHidden/>
          </w:rPr>
          <w:fldChar w:fldCharType="end"/>
        </w:r>
      </w:hyperlink>
    </w:p>
    <w:p w14:paraId="09E2AB02" w14:textId="510C1E88" w:rsidR="003A1083" w:rsidRDefault="0056453A" w:rsidP="003A1083">
      <w:pPr>
        <w:pStyle w:val="TOC1"/>
        <w:tabs>
          <w:tab w:val="left" w:pos="284"/>
        </w:tabs>
        <w:rPr>
          <w:rFonts w:asciiTheme="minorHAnsi" w:eastAsiaTheme="minorEastAsia" w:hAnsiTheme="minorHAnsi" w:cstheme="minorBidi"/>
          <w:b w:val="0"/>
          <w:spacing w:val="0"/>
          <w:sz w:val="22"/>
          <w:szCs w:val="22"/>
        </w:rPr>
      </w:pPr>
      <w:hyperlink w:anchor="_Toc496620347" w:history="1">
        <w:r w:rsidR="003A1083" w:rsidRPr="006F086A">
          <w:rPr>
            <w:rStyle w:val="Hyperlink"/>
          </w:rPr>
          <w:t>4.</w:t>
        </w:r>
        <w:r w:rsidR="003A1083">
          <w:rPr>
            <w:rFonts w:asciiTheme="minorHAnsi" w:eastAsiaTheme="minorEastAsia" w:hAnsiTheme="minorHAnsi" w:cstheme="minorBidi"/>
            <w:b w:val="0"/>
            <w:spacing w:val="0"/>
            <w:sz w:val="22"/>
            <w:szCs w:val="22"/>
          </w:rPr>
          <w:tab/>
        </w:r>
        <w:r w:rsidR="003A1083" w:rsidRPr="006F086A">
          <w:rPr>
            <w:rStyle w:val="Hyperlink"/>
          </w:rPr>
          <w:t>ACMA decisions and preliminary views</w:t>
        </w:r>
        <w:r w:rsidR="003A1083">
          <w:rPr>
            <w:webHidden/>
          </w:rPr>
          <w:tab/>
        </w:r>
        <w:r w:rsidR="003A1083">
          <w:rPr>
            <w:webHidden/>
          </w:rPr>
          <w:fldChar w:fldCharType="begin"/>
        </w:r>
        <w:r w:rsidR="003A1083">
          <w:rPr>
            <w:webHidden/>
          </w:rPr>
          <w:instrText xml:space="preserve"> PAGEREF _Toc496620347 \h </w:instrText>
        </w:r>
        <w:r w:rsidR="003A1083">
          <w:rPr>
            <w:webHidden/>
          </w:rPr>
        </w:r>
        <w:r w:rsidR="003A1083">
          <w:rPr>
            <w:webHidden/>
          </w:rPr>
          <w:fldChar w:fldCharType="separate"/>
        </w:r>
        <w:r>
          <w:rPr>
            <w:webHidden/>
          </w:rPr>
          <w:t>50</w:t>
        </w:r>
        <w:r w:rsidR="003A1083">
          <w:rPr>
            <w:webHidden/>
          </w:rPr>
          <w:fldChar w:fldCharType="end"/>
        </w:r>
      </w:hyperlink>
    </w:p>
    <w:p w14:paraId="57C72FD6" w14:textId="5F12EEF4" w:rsidR="003A1083" w:rsidRDefault="0056453A" w:rsidP="003A1083">
      <w:pPr>
        <w:pStyle w:val="TOC1"/>
        <w:tabs>
          <w:tab w:val="left" w:pos="284"/>
        </w:tabs>
        <w:rPr>
          <w:rFonts w:asciiTheme="minorHAnsi" w:eastAsiaTheme="minorEastAsia" w:hAnsiTheme="minorHAnsi" w:cstheme="minorBidi"/>
          <w:b w:val="0"/>
          <w:spacing w:val="0"/>
          <w:sz w:val="22"/>
          <w:szCs w:val="22"/>
        </w:rPr>
      </w:pPr>
      <w:hyperlink w:anchor="_Toc496620348" w:history="1">
        <w:r w:rsidR="003A1083" w:rsidRPr="006F086A">
          <w:rPr>
            <w:rStyle w:val="Hyperlink"/>
          </w:rPr>
          <w:t>5.</w:t>
        </w:r>
        <w:r w:rsidR="003A1083">
          <w:rPr>
            <w:rFonts w:asciiTheme="minorHAnsi" w:eastAsiaTheme="minorEastAsia" w:hAnsiTheme="minorHAnsi" w:cstheme="minorBidi"/>
            <w:b w:val="0"/>
            <w:spacing w:val="0"/>
            <w:sz w:val="22"/>
            <w:szCs w:val="22"/>
          </w:rPr>
          <w:tab/>
        </w:r>
        <w:r w:rsidR="003A1083" w:rsidRPr="006F086A">
          <w:rPr>
            <w:rStyle w:val="Hyperlink"/>
          </w:rPr>
          <w:t>Next steps</w:t>
        </w:r>
        <w:r w:rsidR="003A1083">
          <w:rPr>
            <w:webHidden/>
          </w:rPr>
          <w:tab/>
        </w:r>
        <w:r w:rsidR="003A1083">
          <w:rPr>
            <w:webHidden/>
          </w:rPr>
          <w:fldChar w:fldCharType="begin"/>
        </w:r>
        <w:r w:rsidR="003A1083">
          <w:rPr>
            <w:webHidden/>
          </w:rPr>
          <w:instrText xml:space="preserve"> PAGEREF _Toc496620348 \h </w:instrText>
        </w:r>
        <w:r w:rsidR="003A1083">
          <w:rPr>
            <w:webHidden/>
          </w:rPr>
        </w:r>
        <w:r w:rsidR="003A1083">
          <w:rPr>
            <w:webHidden/>
          </w:rPr>
          <w:fldChar w:fldCharType="separate"/>
        </w:r>
        <w:r>
          <w:rPr>
            <w:webHidden/>
          </w:rPr>
          <w:t>52</w:t>
        </w:r>
        <w:r w:rsidR="003A1083">
          <w:rPr>
            <w:webHidden/>
          </w:rPr>
          <w:fldChar w:fldCharType="end"/>
        </w:r>
      </w:hyperlink>
    </w:p>
    <w:p w14:paraId="0F8302DB" w14:textId="76868E9A" w:rsidR="003A1083" w:rsidRDefault="0056453A">
      <w:pPr>
        <w:pStyle w:val="TOC1"/>
        <w:rPr>
          <w:rFonts w:asciiTheme="minorHAnsi" w:eastAsiaTheme="minorEastAsia" w:hAnsiTheme="minorHAnsi" w:cstheme="minorBidi"/>
          <w:b w:val="0"/>
          <w:spacing w:val="0"/>
          <w:sz w:val="22"/>
          <w:szCs w:val="22"/>
        </w:rPr>
      </w:pPr>
      <w:hyperlink w:anchor="_Toc496620349" w:history="1">
        <w:r w:rsidR="003A1083" w:rsidRPr="006F086A">
          <w:rPr>
            <w:rStyle w:val="Hyperlink"/>
          </w:rPr>
          <w:t>Glossary</w:t>
        </w:r>
        <w:r w:rsidR="003A1083">
          <w:rPr>
            <w:webHidden/>
          </w:rPr>
          <w:tab/>
        </w:r>
        <w:r w:rsidR="003A1083">
          <w:rPr>
            <w:webHidden/>
          </w:rPr>
          <w:fldChar w:fldCharType="begin"/>
        </w:r>
        <w:r w:rsidR="003A1083">
          <w:rPr>
            <w:webHidden/>
          </w:rPr>
          <w:instrText xml:space="preserve"> PAGEREF _Toc496620349 \h </w:instrText>
        </w:r>
        <w:r w:rsidR="003A1083">
          <w:rPr>
            <w:webHidden/>
          </w:rPr>
        </w:r>
        <w:r w:rsidR="003A1083">
          <w:rPr>
            <w:webHidden/>
          </w:rPr>
          <w:fldChar w:fldCharType="separate"/>
        </w:r>
        <w:r>
          <w:rPr>
            <w:webHidden/>
          </w:rPr>
          <w:t>54</w:t>
        </w:r>
        <w:r w:rsidR="003A1083">
          <w:rPr>
            <w:webHidden/>
          </w:rPr>
          <w:fldChar w:fldCharType="end"/>
        </w:r>
      </w:hyperlink>
    </w:p>
    <w:p w14:paraId="3011446E" w14:textId="78E0EF0B" w:rsidR="003A1083" w:rsidRDefault="0056453A">
      <w:pPr>
        <w:pStyle w:val="TOC1"/>
        <w:rPr>
          <w:rFonts w:asciiTheme="minorHAnsi" w:eastAsiaTheme="minorEastAsia" w:hAnsiTheme="minorHAnsi" w:cstheme="minorBidi"/>
          <w:b w:val="0"/>
          <w:spacing w:val="0"/>
          <w:sz w:val="22"/>
          <w:szCs w:val="22"/>
        </w:rPr>
      </w:pPr>
      <w:hyperlink w:anchor="_Toc496620350" w:history="1">
        <w:r w:rsidR="003A1083" w:rsidRPr="006F086A">
          <w:rPr>
            <w:rStyle w:val="Hyperlink"/>
          </w:rPr>
          <w:t>Annex A—Submissions received</w:t>
        </w:r>
        <w:r w:rsidR="003A1083">
          <w:rPr>
            <w:webHidden/>
          </w:rPr>
          <w:tab/>
        </w:r>
        <w:r w:rsidR="003A1083">
          <w:rPr>
            <w:webHidden/>
          </w:rPr>
          <w:fldChar w:fldCharType="begin"/>
        </w:r>
        <w:r w:rsidR="003A1083">
          <w:rPr>
            <w:webHidden/>
          </w:rPr>
          <w:instrText xml:space="preserve"> PAGEREF _Toc496620350 \h </w:instrText>
        </w:r>
        <w:r w:rsidR="003A1083">
          <w:rPr>
            <w:webHidden/>
          </w:rPr>
        </w:r>
        <w:r w:rsidR="003A1083">
          <w:rPr>
            <w:webHidden/>
          </w:rPr>
          <w:fldChar w:fldCharType="separate"/>
        </w:r>
        <w:r>
          <w:rPr>
            <w:webHidden/>
          </w:rPr>
          <w:t>58</w:t>
        </w:r>
        <w:r w:rsidR="003A1083">
          <w:rPr>
            <w:webHidden/>
          </w:rPr>
          <w:fldChar w:fldCharType="end"/>
        </w:r>
      </w:hyperlink>
    </w:p>
    <w:p w14:paraId="217B04A2" w14:textId="3928AED2" w:rsidR="003A1083" w:rsidRDefault="0056453A">
      <w:pPr>
        <w:pStyle w:val="TOC2"/>
        <w:rPr>
          <w:rFonts w:asciiTheme="minorHAnsi" w:eastAsiaTheme="minorEastAsia" w:hAnsiTheme="minorHAnsi" w:cstheme="minorBidi"/>
          <w:spacing w:val="0"/>
          <w:sz w:val="22"/>
          <w:szCs w:val="22"/>
        </w:rPr>
      </w:pPr>
      <w:hyperlink w:anchor="_Toc496620351" w:history="1">
        <w:r w:rsidR="003A1083" w:rsidRPr="006F086A">
          <w:rPr>
            <w:rStyle w:val="Hyperlink"/>
          </w:rPr>
          <w:t>All submissions</w:t>
        </w:r>
        <w:r w:rsidR="003A1083">
          <w:rPr>
            <w:webHidden/>
          </w:rPr>
          <w:tab/>
        </w:r>
        <w:r w:rsidR="003A1083">
          <w:rPr>
            <w:webHidden/>
          </w:rPr>
          <w:fldChar w:fldCharType="begin"/>
        </w:r>
        <w:r w:rsidR="003A1083">
          <w:rPr>
            <w:webHidden/>
          </w:rPr>
          <w:instrText xml:space="preserve"> PAGEREF _Toc496620351 \h </w:instrText>
        </w:r>
        <w:r w:rsidR="003A1083">
          <w:rPr>
            <w:webHidden/>
          </w:rPr>
        </w:r>
        <w:r w:rsidR="003A1083">
          <w:rPr>
            <w:webHidden/>
          </w:rPr>
          <w:fldChar w:fldCharType="separate"/>
        </w:r>
        <w:r>
          <w:rPr>
            <w:webHidden/>
          </w:rPr>
          <w:t>58</w:t>
        </w:r>
        <w:r w:rsidR="003A1083">
          <w:rPr>
            <w:webHidden/>
          </w:rPr>
          <w:fldChar w:fldCharType="end"/>
        </w:r>
      </w:hyperlink>
    </w:p>
    <w:p w14:paraId="076D7812" w14:textId="6E9C28E7" w:rsidR="003A1083" w:rsidRDefault="0056453A">
      <w:pPr>
        <w:pStyle w:val="TOC1"/>
        <w:rPr>
          <w:rFonts w:asciiTheme="minorHAnsi" w:eastAsiaTheme="minorEastAsia" w:hAnsiTheme="minorHAnsi" w:cstheme="minorBidi"/>
          <w:b w:val="0"/>
          <w:spacing w:val="0"/>
          <w:sz w:val="22"/>
          <w:szCs w:val="22"/>
        </w:rPr>
      </w:pPr>
      <w:hyperlink w:anchor="_Toc496620352" w:history="1">
        <w:r w:rsidR="003A1083" w:rsidRPr="006F086A">
          <w:rPr>
            <w:rStyle w:val="Hyperlink"/>
          </w:rPr>
          <w:t>Annex B—Highest value use amendments</w:t>
        </w:r>
        <w:r w:rsidR="003A1083">
          <w:rPr>
            <w:webHidden/>
          </w:rPr>
          <w:tab/>
        </w:r>
        <w:r w:rsidR="003A1083">
          <w:rPr>
            <w:webHidden/>
          </w:rPr>
          <w:fldChar w:fldCharType="begin"/>
        </w:r>
        <w:r w:rsidR="003A1083">
          <w:rPr>
            <w:webHidden/>
          </w:rPr>
          <w:instrText xml:space="preserve"> PAGEREF _Toc496620352 \h </w:instrText>
        </w:r>
        <w:r w:rsidR="003A1083">
          <w:rPr>
            <w:webHidden/>
          </w:rPr>
        </w:r>
        <w:r w:rsidR="003A1083">
          <w:rPr>
            <w:webHidden/>
          </w:rPr>
          <w:fldChar w:fldCharType="separate"/>
        </w:r>
        <w:r>
          <w:rPr>
            <w:webHidden/>
          </w:rPr>
          <w:t>59</w:t>
        </w:r>
        <w:r w:rsidR="003A1083">
          <w:rPr>
            <w:webHidden/>
          </w:rPr>
          <w:fldChar w:fldCharType="end"/>
        </w:r>
      </w:hyperlink>
    </w:p>
    <w:p w14:paraId="0DA40D61" w14:textId="5D8BDADB" w:rsidR="003A1083" w:rsidRDefault="0056453A">
      <w:pPr>
        <w:pStyle w:val="TOC2"/>
        <w:rPr>
          <w:rFonts w:asciiTheme="minorHAnsi" w:eastAsiaTheme="minorEastAsia" w:hAnsiTheme="minorHAnsi" w:cstheme="minorBidi"/>
          <w:spacing w:val="0"/>
          <w:sz w:val="22"/>
          <w:szCs w:val="22"/>
        </w:rPr>
      </w:pPr>
      <w:hyperlink w:anchor="_Toc496620353" w:history="1">
        <w:r w:rsidR="003A1083" w:rsidRPr="006F086A">
          <w:rPr>
            <w:rStyle w:val="Hyperlink"/>
          </w:rPr>
          <w:t>Re-farming benefits</w:t>
        </w:r>
        <w:r w:rsidR="003A1083">
          <w:rPr>
            <w:webHidden/>
          </w:rPr>
          <w:tab/>
        </w:r>
        <w:r w:rsidR="003A1083">
          <w:rPr>
            <w:webHidden/>
          </w:rPr>
          <w:fldChar w:fldCharType="begin"/>
        </w:r>
        <w:r w:rsidR="003A1083">
          <w:rPr>
            <w:webHidden/>
          </w:rPr>
          <w:instrText xml:space="preserve"> PAGEREF _Toc496620353 \h </w:instrText>
        </w:r>
        <w:r w:rsidR="003A1083">
          <w:rPr>
            <w:webHidden/>
          </w:rPr>
        </w:r>
        <w:r w:rsidR="003A1083">
          <w:rPr>
            <w:webHidden/>
          </w:rPr>
          <w:fldChar w:fldCharType="separate"/>
        </w:r>
        <w:r>
          <w:rPr>
            <w:webHidden/>
          </w:rPr>
          <w:t>59</w:t>
        </w:r>
        <w:r w:rsidR="003A1083">
          <w:rPr>
            <w:webHidden/>
          </w:rPr>
          <w:fldChar w:fldCharType="end"/>
        </w:r>
      </w:hyperlink>
    </w:p>
    <w:p w14:paraId="69A1F69C" w14:textId="189CD1A5" w:rsidR="003A1083" w:rsidRDefault="0056453A">
      <w:pPr>
        <w:pStyle w:val="TOC2"/>
        <w:rPr>
          <w:rFonts w:asciiTheme="minorHAnsi" w:eastAsiaTheme="minorEastAsia" w:hAnsiTheme="minorHAnsi" w:cstheme="minorBidi"/>
          <w:spacing w:val="0"/>
          <w:sz w:val="22"/>
          <w:szCs w:val="22"/>
        </w:rPr>
      </w:pPr>
      <w:hyperlink w:anchor="_Toc496620354" w:history="1">
        <w:r w:rsidR="003A1083" w:rsidRPr="006F086A">
          <w:rPr>
            <w:rStyle w:val="Hyperlink"/>
          </w:rPr>
          <w:t>Incremental costs</w:t>
        </w:r>
        <w:r w:rsidR="003A1083">
          <w:rPr>
            <w:webHidden/>
          </w:rPr>
          <w:tab/>
        </w:r>
        <w:r w:rsidR="003A1083">
          <w:rPr>
            <w:webHidden/>
          </w:rPr>
          <w:fldChar w:fldCharType="begin"/>
        </w:r>
        <w:r w:rsidR="003A1083">
          <w:rPr>
            <w:webHidden/>
          </w:rPr>
          <w:instrText xml:space="preserve"> PAGEREF _Toc496620354 \h </w:instrText>
        </w:r>
        <w:r w:rsidR="003A1083">
          <w:rPr>
            <w:webHidden/>
          </w:rPr>
        </w:r>
        <w:r w:rsidR="003A1083">
          <w:rPr>
            <w:webHidden/>
          </w:rPr>
          <w:fldChar w:fldCharType="separate"/>
        </w:r>
        <w:r>
          <w:rPr>
            <w:webHidden/>
          </w:rPr>
          <w:t>60</w:t>
        </w:r>
        <w:r w:rsidR="003A1083">
          <w:rPr>
            <w:webHidden/>
          </w:rPr>
          <w:fldChar w:fldCharType="end"/>
        </w:r>
      </w:hyperlink>
    </w:p>
    <w:p w14:paraId="057EBD9B" w14:textId="3B148534" w:rsidR="003A1083" w:rsidRDefault="0056453A">
      <w:pPr>
        <w:pStyle w:val="TOC3"/>
        <w:rPr>
          <w:rFonts w:asciiTheme="minorHAnsi" w:eastAsiaTheme="minorEastAsia" w:hAnsiTheme="minorHAnsi" w:cstheme="minorBidi"/>
        </w:rPr>
      </w:pPr>
      <w:hyperlink w:anchor="_Toc496620355" w:history="1">
        <w:r w:rsidR="003A1083" w:rsidRPr="006F086A">
          <w:rPr>
            <w:rStyle w:val="Hyperlink"/>
          </w:rPr>
          <w:t>Point-to-multipoint licences</w:t>
        </w:r>
        <w:r w:rsidR="003A1083">
          <w:rPr>
            <w:webHidden/>
          </w:rPr>
          <w:tab/>
        </w:r>
        <w:r w:rsidR="003A1083">
          <w:rPr>
            <w:webHidden/>
          </w:rPr>
          <w:fldChar w:fldCharType="begin"/>
        </w:r>
        <w:r w:rsidR="003A1083">
          <w:rPr>
            <w:webHidden/>
          </w:rPr>
          <w:instrText xml:space="preserve"> PAGEREF _Toc496620355 \h </w:instrText>
        </w:r>
        <w:r w:rsidR="003A1083">
          <w:rPr>
            <w:webHidden/>
          </w:rPr>
        </w:r>
        <w:r w:rsidR="003A1083">
          <w:rPr>
            <w:webHidden/>
          </w:rPr>
          <w:fldChar w:fldCharType="separate"/>
        </w:r>
        <w:r>
          <w:rPr>
            <w:webHidden/>
          </w:rPr>
          <w:t>60</w:t>
        </w:r>
        <w:r w:rsidR="003A1083">
          <w:rPr>
            <w:webHidden/>
          </w:rPr>
          <w:fldChar w:fldCharType="end"/>
        </w:r>
      </w:hyperlink>
    </w:p>
    <w:p w14:paraId="6A3C8B3E" w14:textId="398D8F36" w:rsidR="003A1083" w:rsidRDefault="0056453A">
      <w:pPr>
        <w:pStyle w:val="TOC3"/>
        <w:rPr>
          <w:rFonts w:asciiTheme="minorHAnsi" w:eastAsiaTheme="minorEastAsia" w:hAnsiTheme="minorHAnsi" w:cstheme="minorBidi"/>
        </w:rPr>
      </w:pPr>
      <w:hyperlink w:anchor="_Toc496620356" w:history="1">
        <w:r w:rsidR="003A1083" w:rsidRPr="006F086A">
          <w:rPr>
            <w:rStyle w:val="Hyperlink"/>
          </w:rPr>
          <w:t>FSS earth receive licences</w:t>
        </w:r>
        <w:r w:rsidR="003A1083">
          <w:rPr>
            <w:webHidden/>
          </w:rPr>
          <w:tab/>
        </w:r>
        <w:r w:rsidR="003A1083">
          <w:rPr>
            <w:webHidden/>
          </w:rPr>
          <w:fldChar w:fldCharType="begin"/>
        </w:r>
        <w:r w:rsidR="003A1083">
          <w:rPr>
            <w:webHidden/>
          </w:rPr>
          <w:instrText xml:space="preserve"> PAGEREF _Toc496620356 \h </w:instrText>
        </w:r>
        <w:r w:rsidR="003A1083">
          <w:rPr>
            <w:webHidden/>
          </w:rPr>
        </w:r>
        <w:r w:rsidR="003A1083">
          <w:rPr>
            <w:webHidden/>
          </w:rPr>
          <w:fldChar w:fldCharType="separate"/>
        </w:r>
        <w:r>
          <w:rPr>
            <w:webHidden/>
          </w:rPr>
          <w:t>63</w:t>
        </w:r>
        <w:r w:rsidR="003A1083">
          <w:rPr>
            <w:webHidden/>
          </w:rPr>
          <w:fldChar w:fldCharType="end"/>
        </w:r>
      </w:hyperlink>
    </w:p>
    <w:p w14:paraId="2FB6C29C" w14:textId="79DC0A43" w:rsidR="003A1083" w:rsidRDefault="0056453A">
      <w:pPr>
        <w:pStyle w:val="TOC3"/>
        <w:rPr>
          <w:rFonts w:asciiTheme="minorHAnsi" w:eastAsiaTheme="minorEastAsia" w:hAnsiTheme="minorHAnsi" w:cstheme="minorBidi"/>
        </w:rPr>
      </w:pPr>
      <w:hyperlink w:anchor="_Toc496620357" w:history="1">
        <w:r w:rsidR="003A1083" w:rsidRPr="006F086A">
          <w:rPr>
            <w:rStyle w:val="Hyperlink"/>
          </w:rPr>
          <w:t>Point-to-point licences</w:t>
        </w:r>
        <w:r w:rsidR="003A1083">
          <w:rPr>
            <w:webHidden/>
          </w:rPr>
          <w:tab/>
        </w:r>
        <w:r w:rsidR="003A1083">
          <w:rPr>
            <w:webHidden/>
          </w:rPr>
          <w:fldChar w:fldCharType="begin"/>
        </w:r>
        <w:r w:rsidR="003A1083">
          <w:rPr>
            <w:webHidden/>
          </w:rPr>
          <w:instrText xml:space="preserve"> PAGEREF _Toc496620357 \h </w:instrText>
        </w:r>
        <w:r w:rsidR="003A1083">
          <w:rPr>
            <w:webHidden/>
          </w:rPr>
        </w:r>
        <w:r w:rsidR="003A1083">
          <w:rPr>
            <w:webHidden/>
          </w:rPr>
          <w:fldChar w:fldCharType="separate"/>
        </w:r>
        <w:r>
          <w:rPr>
            <w:webHidden/>
          </w:rPr>
          <w:t>65</w:t>
        </w:r>
        <w:r w:rsidR="003A1083">
          <w:rPr>
            <w:webHidden/>
          </w:rPr>
          <w:fldChar w:fldCharType="end"/>
        </w:r>
      </w:hyperlink>
    </w:p>
    <w:p w14:paraId="1154A288" w14:textId="70BB4861" w:rsidR="003A1083" w:rsidRDefault="0056453A">
      <w:pPr>
        <w:pStyle w:val="TOC3"/>
        <w:rPr>
          <w:rFonts w:asciiTheme="minorHAnsi" w:eastAsiaTheme="minorEastAsia" w:hAnsiTheme="minorHAnsi" w:cstheme="minorBidi"/>
        </w:rPr>
      </w:pPr>
      <w:hyperlink w:anchor="_Toc496620358" w:history="1">
        <w:r w:rsidR="003A1083" w:rsidRPr="006F086A">
          <w:rPr>
            <w:rStyle w:val="Hyperlink"/>
          </w:rPr>
          <w:t>Overall incremental costs</w:t>
        </w:r>
        <w:r w:rsidR="003A1083">
          <w:rPr>
            <w:webHidden/>
          </w:rPr>
          <w:tab/>
        </w:r>
        <w:r w:rsidR="003A1083">
          <w:rPr>
            <w:webHidden/>
          </w:rPr>
          <w:fldChar w:fldCharType="begin"/>
        </w:r>
        <w:r w:rsidR="003A1083">
          <w:rPr>
            <w:webHidden/>
          </w:rPr>
          <w:instrText xml:space="preserve"> PAGEREF _Toc496620358 \h </w:instrText>
        </w:r>
        <w:r w:rsidR="003A1083">
          <w:rPr>
            <w:webHidden/>
          </w:rPr>
        </w:r>
        <w:r w:rsidR="003A1083">
          <w:rPr>
            <w:webHidden/>
          </w:rPr>
          <w:fldChar w:fldCharType="separate"/>
        </w:r>
        <w:r>
          <w:rPr>
            <w:webHidden/>
          </w:rPr>
          <w:t>65</w:t>
        </w:r>
        <w:r w:rsidR="003A1083">
          <w:rPr>
            <w:webHidden/>
          </w:rPr>
          <w:fldChar w:fldCharType="end"/>
        </w:r>
      </w:hyperlink>
    </w:p>
    <w:p w14:paraId="76EBF64C" w14:textId="09EDF3B5" w:rsidR="003A1083" w:rsidRDefault="0056453A">
      <w:pPr>
        <w:pStyle w:val="TOC2"/>
        <w:rPr>
          <w:rFonts w:asciiTheme="minorHAnsi" w:eastAsiaTheme="minorEastAsia" w:hAnsiTheme="minorHAnsi" w:cstheme="minorBidi"/>
          <w:spacing w:val="0"/>
          <w:sz w:val="22"/>
          <w:szCs w:val="22"/>
        </w:rPr>
      </w:pPr>
      <w:hyperlink w:anchor="_Toc496620359" w:history="1">
        <w:r w:rsidR="003A1083" w:rsidRPr="006F086A">
          <w:rPr>
            <w:rStyle w:val="Hyperlink"/>
          </w:rPr>
          <w:t>Net benefit</w:t>
        </w:r>
        <w:r w:rsidR="003A1083">
          <w:rPr>
            <w:webHidden/>
          </w:rPr>
          <w:tab/>
        </w:r>
        <w:r w:rsidR="003A1083">
          <w:rPr>
            <w:webHidden/>
          </w:rPr>
          <w:fldChar w:fldCharType="begin"/>
        </w:r>
        <w:r w:rsidR="003A1083">
          <w:rPr>
            <w:webHidden/>
          </w:rPr>
          <w:instrText xml:space="preserve"> PAGEREF _Toc496620359 \h </w:instrText>
        </w:r>
        <w:r w:rsidR="003A1083">
          <w:rPr>
            <w:webHidden/>
          </w:rPr>
        </w:r>
        <w:r w:rsidR="003A1083">
          <w:rPr>
            <w:webHidden/>
          </w:rPr>
          <w:fldChar w:fldCharType="separate"/>
        </w:r>
        <w:r>
          <w:rPr>
            <w:webHidden/>
          </w:rPr>
          <w:t>67</w:t>
        </w:r>
        <w:r w:rsidR="003A1083">
          <w:rPr>
            <w:webHidden/>
          </w:rPr>
          <w:fldChar w:fldCharType="end"/>
        </w:r>
      </w:hyperlink>
    </w:p>
    <w:p w14:paraId="5554B8F8" w14:textId="5301E06A" w:rsidR="003A1083" w:rsidRDefault="0056453A">
      <w:pPr>
        <w:pStyle w:val="TOC3"/>
        <w:rPr>
          <w:rFonts w:asciiTheme="minorHAnsi" w:eastAsiaTheme="minorEastAsia" w:hAnsiTheme="minorHAnsi" w:cstheme="minorBidi"/>
        </w:rPr>
      </w:pPr>
      <w:hyperlink w:anchor="_Toc496620360" w:history="1">
        <w:r w:rsidR="003A1083" w:rsidRPr="006F086A">
          <w:rPr>
            <w:rStyle w:val="Hyperlink"/>
          </w:rPr>
          <w:t>Overall net benefit analysis</w:t>
        </w:r>
        <w:r w:rsidR="003A1083">
          <w:rPr>
            <w:webHidden/>
          </w:rPr>
          <w:tab/>
        </w:r>
        <w:r w:rsidR="003A1083">
          <w:rPr>
            <w:webHidden/>
          </w:rPr>
          <w:fldChar w:fldCharType="begin"/>
        </w:r>
        <w:r w:rsidR="003A1083">
          <w:rPr>
            <w:webHidden/>
          </w:rPr>
          <w:instrText xml:space="preserve"> PAGEREF _Toc496620360 \h </w:instrText>
        </w:r>
        <w:r w:rsidR="003A1083">
          <w:rPr>
            <w:webHidden/>
          </w:rPr>
        </w:r>
        <w:r w:rsidR="003A1083">
          <w:rPr>
            <w:webHidden/>
          </w:rPr>
          <w:fldChar w:fldCharType="separate"/>
        </w:r>
        <w:r>
          <w:rPr>
            <w:webHidden/>
          </w:rPr>
          <w:t>67</w:t>
        </w:r>
        <w:r w:rsidR="003A1083">
          <w:rPr>
            <w:webHidden/>
          </w:rPr>
          <w:fldChar w:fldCharType="end"/>
        </w:r>
      </w:hyperlink>
    </w:p>
    <w:p w14:paraId="2E48E992" w14:textId="49540BD0" w:rsidR="003A1083" w:rsidRDefault="0056453A">
      <w:pPr>
        <w:pStyle w:val="TOC3"/>
        <w:rPr>
          <w:rFonts w:asciiTheme="minorHAnsi" w:eastAsiaTheme="minorEastAsia" w:hAnsiTheme="minorHAnsi" w:cstheme="minorBidi"/>
        </w:rPr>
      </w:pPr>
      <w:hyperlink w:anchor="_Toc496620361" w:history="1">
        <w:r w:rsidR="003A1083" w:rsidRPr="006F086A">
          <w:rPr>
            <w:rStyle w:val="Hyperlink"/>
          </w:rPr>
          <w:t>Hybrid approaches</w:t>
        </w:r>
        <w:r w:rsidR="003A1083">
          <w:rPr>
            <w:webHidden/>
          </w:rPr>
          <w:tab/>
        </w:r>
        <w:r w:rsidR="003A1083">
          <w:rPr>
            <w:webHidden/>
          </w:rPr>
          <w:fldChar w:fldCharType="begin"/>
        </w:r>
        <w:r w:rsidR="003A1083">
          <w:rPr>
            <w:webHidden/>
          </w:rPr>
          <w:instrText xml:space="preserve"> PAGEREF _Toc496620361 \h </w:instrText>
        </w:r>
        <w:r w:rsidR="003A1083">
          <w:rPr>
            <w:webHidden/>
          </w:rPr>
        </w:r>
        <w:r w:rsidR="003A1083">
          <w:rPr>
            <w:webHidden/>
          </w:rPr>
          <w:fldChar w:fldCharType="separate"/>
        </w:r>
        <w:r>
          <w:rPr>
            <w:webHidden/>
          </w:rPr>
          <w:t>69</w:t>
        </w:r>
        <w:r w:rsidR="003A1083">
          <w:rPr>
            <w:webHidden/>
          </w:rPr>
          <w:fldChar w:fldCharType="end"/>
        </w:r>
      </w:hyperlink>
    </w:p>
    <w:p w14:paraId="3E3559F6" w14:textId="52913FEF" w:rsidR="003A1083" w:rsidRDefault="0056453A">
      <w:pPr>
        <w:pStyle w:val="TOC1"/>
        <w:rPr>
          <w:rFonts w:asciiTheme="minorHAnsi" w:eastAsiaTheme="minorEastAsia" w:hAnsiTheme="minorHAnsi" w:cstheme="minorBidi"/>
          <w:b w:val="0"/>
          <w:spacing w:val="0"/>
          <w:sz w:val="22"/>
          <w:szCs w:val="22"/>
        </w:rPr>
      </w:pPr>
      <w:hyperlink w:anchor="_Toc496620362" w:history="1">
        <w:r w:rsidR="003A1083" w:rsidRPr="006F086A">
          <w:rPr>
            <w:rStyle w:val="Hyperlink"/>
          </w:rPr>
          <w:t>Annex C—Description of areas proposed for re-farming</w:t>
        </w:r>
        <w:r w:rsidR="003A1083">
          <w:rPr>
            <w:webHidden/>
          </w:rPr>
          <w:tab/>
        </w:r>
        <w:r w:rsidR="003A1083">
          <w:rPr>
            <w:webHidden/>
          </w:rPr>
          <w:fldChar w:fldCharType="begin"/>
        </w:r>
        <w:r w:rsidR="003A1083">
          <w:rPr>
            <w:webHidden/>
          </w:rPr>
          <w:instrText xml:space="preserve"> PAGEREF _Toc496620362 \h </w:instrText>
        </w:r>
        <w:r w:rsidR="003A1083">
          <w:rPr>
            <w:webHidden/>
          </w:rPr>
        </w:r>
        <w:r w:rsidR="003A1083">
          <w:rPr>
            <w:webHidden/>
          </w:rPr>
          <w:fldChar w:fldCharType="separate"/>
        </w:r>
        <w:r>
          <w:rPr>
            <w:webHidden/>
          </w:rPr>
          <w:t>71</w:t>
        </w:r>
        <w:r w:rsidR="003A1083">
          <w:rPr>
            <w:webHidden/>
          </w:rPr>
          <w:fldChar w:fldCharType="end"/>
        </w:r>
      </w:hyperlink>
    </w:p>
    <w:p w14:paraId="1FC8F6A1" w14:textId="46CF2C3E" w:rsidR="003A1083" w:rsidRDefault="0056453A">
      <w:pPr>
        <w:pStyle w:val="TOC1"/>
        <w:rPr>
          <w:rFonts w:asciiTheme="minorHAnsi" w:eastAsiaTheme="minorEastAsia" w:hAnsiTheme="minorHAnsi" w:cstheme="minorBidi"/>
          <w:b w:val="0"/>
          <w:spacing w:val="0"/>
          <w:sz w:val="22"/>
          <w:szCs w:val="22"/>
        </w:rPr>
      </w:pPr>
      <w:hyperlink w:anchor="_Toc496620363" w:history="1">
        <w:r w:rsidR="003A1083" w:rsidRPr="006F086A">
          <w:rPr>
            <w:rStyle w:val="Hyperlink"/>
          </w:rPr>
          <w:t>Annex D—Proposed excise areas</w:t>
        </w:r>
        <w:r w:rsidR="003A1083">
          <w:rPr>
            <w:webHidden/>
          </w:rPr>
          <w:tab/>
        </w:r>
        <w:r w:rsidR="003A1083">
          <w:rPr>
            <w:webHidden/>
          </w:rPr>
          <w:fldChar w:fldCharType="begin"/>
        </w:r>
        <w:r w:rsidR="003A1083">
          <w:rPr>
            <w:webHidden/>
          </w:rPr>
          <w:instrText xml:space="preserve"> PAGEREF _Toc496620363 \h </w:instrText>
        </w:r>
        <w:r w:rsidR="003A1083">
          <w:rPr>
            <w:webHidden/>
          </w:rPr>
        </w:r>
        <w:r w:rsidR="003A1083">
          <w:rPr>
            <w:webHidden/>
          </w:rPr>
          <w:fldChar w:fldCharType="separate"/>
        </w:r>
        <w:r>
          <w:rPr>
            <w:webHidden/>
          </w:rPr>
          <w:t>76</w:t>
        </w:r>
        <w:r w:rsidR="003A1083">
          <w:rPr>
            <w:webHidden/>
          </w:rPr>
          <w:fldChar w:fldCharType="end"/>
        </w:r>
      </w:hyperlink>
    </w:p>
    <w:p w14:paraId="7BAA442B" w14:textId="77777777" w:rsidR="000A4A51" w:rsidRPr="000D76E0" w:rsidRDefault="003A1083">
      <w:pPr>
        <w:rPr>
          <w:rFonts w:cs="Arial"/>
        </w:rPr>
      </w:pPr>
      <w:r>
        <w:rPr>
          <w:rFonts w:cs="Arial"/>
          <w:noProof/>
          <w:spacing w:val="-14"/>
          <w:sz w:val="28"/>
        </w:rPr>
        <w:fldChar w:fldCharType="end"/>
      </w:r>
    </w:p>
    <w:p w14:paraId="4E0622FA" w14:textId="77777777" w:rsidR="004D56FF" w:rsidRPr="000D76E0" w:rsidRDefault="004D56FF">
      <w:pPr>
        <w:rPr>
          <w:rFonts w:cs="Arial"/>
        </w:rPr>
        <w:sectPr w:rsidR="004D56FF" w:rsidRPr="000D76E0" w:rsidSect="00C77380">
          <w:headerReference w:type="even" r:id="rId22"/>
          <w:headerReference w:type="default" r:id="rId23"/>
          <w:footerReference w:type="even" r:id="rId24"/>
          <w:footerReference w:type="default" r:id="rId25"/>
          <w:footerReference w:type="first" r:id="rId26"/>
          <w:pgSz w:w="11906" w:h="16838" w:code="9"/>
          <w:pgMar w:top="3646" w:right="3101" w:bottom="1134" w:left="1134" w:header="709" w:footer="119" w:gutter="0"/>
          <w:cols w:space="708"/>
          <w:titlePg/>
          <w:docGrid w:linePitch="360"/>
        </w:sectPr>
      </w:pPr>
    </w:p>
    <w:p w14:paraId="5C78A650" w14:textId="77777777" w:rsidR="00984E8B" w:rsidRPr="000D76E0" w:rsidRDefault="00984E8B" w:rsidP="00984E8B">
      <w:pPr>
        <w:pStyle w:val="Heading1"/>
      </w:pPr>
      <w:bookmarkStart w:id="0" w:name="_Toc441074797"/>
      <w:bookmarkStart w:id="1" w:name="_Toc494375831"/>
      <w:bookmarkStart w:id="2" w:name="_Toc494378904"/>
      <w:bookmarkStart w:id="3" w:name="_Toc495935471"/>
      <w:bookmarkStart w:id="4" w:name="_Toc495935501"/>
      <w:bookmarkStart w:id="5" w:name="_Toc496620292"/>
      <w:bookmarkStart w:id="6" w:name="_Toc441074798"/>
      <w:bookmarkEnd w:id="0"/>
      <w:r>
        <w:t xml:space="preserve">Executive </w:t>
      </w:r>
      <w:r w:rsidR="00FF6EE1">
        <w:t>s</w:t>
      </w:r>
      <w:r>
        <w:t>ummary</w:t>
      </w:r>
      <w:bookmarkEnd w:id="1"/>
      <w:bookmarkEnd w:id="2"/>
      <w:bookmarkEnd w:id="3"/>
      <w:bookmarkEnd w:id="4"/>
      <w:bookmarkEnd w:id="5"/>
    </w:p>
    <w:p w14:paraId="1B912E92" w14:textId="77777777" w:rsidR="002D59E1" w:rsidRDefault="002D59E1" w:rsidP="00FF6EE1">
      <w:pPr>
        <w:spacing w:after="80"/>
      </w:pPr>
      <w:r>
        <w:t>This pape</w:t>
      </w:r>
      <w:r w:rsidR="00036DEE">
        <w:t xml:space="preserve">r presents the </w:t>
      </w:r>
      <w:r w:rsidR="00E41E2D" w:rsidRPr="00D26C78">
        <w:t>Australian Com</w:t>
      </w:r>
      <w:r w:rsidR="00E41E2D">
        <w:t xml:space="preserve">munications and Media Authority’s (the ACMA’s) </w:t>
      </w:r>
      <w:r w:rsidR="00036DEE">
        <w:t>decisions</w:t>
      </w:r>
      <w:r w:rsidR="002D5CDA">
        <w:t xml:space="preserve"> and </w:t>
      </w:r>
      <w:r w:rsidR="00496E6E">
        <w:t>preliminary views on the</w:t>
      </w:r>
      <w:r w:rsidR="002D5CDA">
        <w:t xml:space="preserve"> way forward</w:t>
      </w:r>
      <w:r w:rsidR="00036DEE">
        <w:t xml:space="preserve">, </w:t>
      </w:r>
      <w:r w:rsidR="002D5CDA">
        <w:t xml:space="preserve">with </w:t>
      </w:r>
      <w:r w:rsidR="00036DEE">
        <w:t xml:space="preserve">associated reasoning, </w:t>
      </w:r>
      <w:r>
        <w:t>on the future use of 3575</w:t>
      </w:r>
      <w:r w:rsidR="00FF6EE1">
        <w:t>–</w:t>
      </w:r>
      <w:r>
        <w:t xml:space="preserve">3700 MHz (the 3.6 GHz band) in Australia. The decisions and </w:t>
      </w:r>
      <w:r w:rsidR="00496E6E">
        <w:t>preliminary views on the</w:t>
      </w:r>
      <w:r w:rsidR="002D5CDA">
        <w:t xml:space="preserve"> </w:t>
      </w:r>
      <w:r>
        <w:t xml:space="preserve">way forward in this paper conclude the review process commenced in October 2016 with the release of the </w:t>
      </w:r>
      <w:r w:rsidRPr="00F751A3">
        <w:t xml:space="preserve">discussion paper </w:t>
      </w:r>
      <w:hyperlink r:id="rId27" w:history="1">
        <w:r w:rsidRPr="00F751A3">
          <w:rPr>
            <w:i/>
          </w:rPr>
          <w:t>Future use of the 1.5</w:t>
        </w:r>
        <w:r>
          <w:rPr>
            <w:i/>
          </w:rPr>
          <w:t> </w:t>
        </w:r>
        <w:r w:rsidRPr="00F751A3">
          <w:rPr>
            <w:i/>
          </w:rPr>
          <w:t>GHz and 3.6</w:t>
        </w:r>
        <w:r>
          <w:rPr>
            <w:i/>
          </w:rPr>
          <w:t> </w:t>
        </w:r>
        <w:r w:rsidRPr="00F751A3">
          <w:rPr>
            <w:i/>
          </w:rPr>
          <w:t>GHz bands</w:t>
        </w:r>
      </w:hyperlink>
      <w:r w:rsidR="00FF6EE1">
        <w:rPr>
          <w:i/>
        </w:rPr>
        <w:t>,</w:t>
      </w:r>
      <w:r w:rsidRPr="00F751A3">
        <w:t xml:space="preserve"> </w:t>
      </w:r>
      <w:r w:rsidR="00FF6EE1">
        <w:t>followed by</w:t>
      </w:r>
      <w:r w:rsidR="00164B66">
        <w:t xml:space="preserve"> </w:t>
      </w:r>
      <w:r>
        <w:t xml:space="preserve">the </w:t>
      </w:r>
      <w:r>
        <w:rPr>
          <w:i/>
        </w:rPr>
        <w:t xml:space="preserve">Future use of the 3.6 GHz band </w:t>
      </w:r>
      <w:r w:rsidR="00BF12C5">
        <w:t>consultation package (the 3.6 GHz consultation</w:t>
      </w:r>
      <w:r w:rsidR="00957450">
        <w:t xml:space="preserve"> paper)</w:t>
      </w:r>
      <w:r>
        <w:rPr>
          <w:i/>
        </w:rPr>
        <w:t xml:space="preserve"> </w:t>
      </w:r>
      <w:r>
        <w:t>in June 2017</w:t>
      </w:r>
      <w:r w:rsidR="00984F4E">
        <w:t>. The 3.</w:t>
      </w:r>
      <w:r w:rsidR="00FF6EE1">
        <w:t>6 </w:t>
      </w:r>
      <w:r w:rsidR="00984F4E">
        <w:t>GHz band consultation consisted of the following three papers:</w:t>
      </w:r>
    </w:p>
    <w:p w14:paraId="2BB452E9" w14:textId="77777777" w:rsidR="00984F4E" w:rsidRPr="00984F4E" w:rsidRDefault="00984F4E" w:rsidP="00984F4E">
      <w:pPr>
        <w:pStyle w:val="ListBullet"/>
        <w:numPr>
          <w:ilvl w:val="0"/>
          <w:numId w:val="1"/>
        </w:numPr>
        <w:rPr>
          <w:rFonts w:cs="Arial"/>
          <w:szCs w:val="20"/>
          <w:lang w:eastAsia="en-US"/>
        </w:rPr>
      </w:pPr>
      <w:r w:rsidRPr="00984F4E">
        <w:rPr>
          <w:rFonts w:cs="Arial"/>
          <w:i/>
          <w:szCs w:val="20"/>
          <w:lang w:eastAsia="en-US"/>
        </w:rPr>
        <w:t>Future use of the 3.6 GHz band</w:t>
      </w:r>
      <w:r w:rsidR="00FF6EE1">
        <w:rPr>
          <w:rFonts w:cs="Arial"/>
          <w:i/>
          <w:szCs w:val="20"/>
          <w:lang w:eastAsia="en-US"/>
        </w:rPr>
        <w:t>—</w:t>
      </w:r>
      <w:r w:rsidRPr="00984F4E">
        <w:rPr>
          <w:rFonts w:cs="Arial"/>
          <w:i/>
          <w:szCs w:val="20"/>
          <w:lang w:eastAsia="en-US"/>
        </w:rPr>
        <w:t>Options paper</w:t>
      </w:r>
      <w:r>
        <w:rPr>
          <w:rFonts w:cs="Arial"/>
          <w:szCs w:val="20"/>
          <w:lang w:eastAsia="en-US"/>
        </w:rPr>
        <w:t xml:space="preserve"> (the O</w:t>
      </w:r>
      <w:r w:rsidRPr="00984F4E">
        <w:rPr>
          <w:rFonts w:cs="Arial"/>
          <w:szCs w:val="20"/>
          <w:lang w:eastAsia="en-US"/>
        </w:rPr>
        <w:t>ptions paper)</w:t>
      </w:r>
    </w:p>
    <w:p w14:paraId="3FDD6D24" w14:textId="77777777" w:rsidR="00984F4E" w:rsidRPr="00984F4E" w:rsidRDefault="00984F4E" w:rsidP="00984F4E">
      <w:pPr>
        <w:pStyle w:val="ListBullet"/>
        <w:numPr>
          <w:ilvl w:val="0"/>
          <w:numId w:val="1"/>
        </w:numPr>
        <w:rPr>
          <w:rFonts w:cs="Arial"/>
          <w:szCs w:val="20"/>
          <w:lang w:eastAsia="en-US"/>
        </w:rPr>
      </w:pPr>
      <w:r w:rsidRPr="00984F4E">
        <w:rPr>
          <w:rFonts w:cs="Arial"/>
          <w:i/>
          <w:szCs w:val="20"/>
          <w:lang w:eastAsia="en-US"/>
        </w:rPr>
        <w:t>Future use of the 3.6 GHz band</w:t>
      </w:r>
      <w:r w:rsidR="00336E17">
        <w:rPr>
          <w:rFonts w:cs="Arial"/>
          <w:i/>
          <w:szCs w:val="20"/>
          <w:lang w:eastAsia="en-US"/>
        </w:rPr>
        <w:t>—</w:t>
      </w:r>
      <w:r w:rsidRPr="00984F4E">
        <w:rPr>
          <w:rFonts w:cs="Arial"/>
          <w:i/>
          <w:szCs w:val="20"/>
          <w:lang w:eastAsia="en-US"/>
        </w:rPr>
        <w:t>Highest value use assessment: Quantitative analysis</w:t>
      </w:r>
      <w:r w:rsidRPr="00984F4E">
        <w:rPr>
          <w:rFonts w:cs="Arial"/>
          <w:szCs w:val="20"/>
          <w:lang w:eastAsia="en-US"/>
        </w:rPr>
        <w:t xml:space="preserve"> (the HVU paper)</w:t>
      </w:r>
    </w:p>
    <w:p w14:paraId="2CB0D645" w14:textId="77777777" w:rsidR="00984F4E" w:rsidRPr="00984F4E" w:rsidRDefault="00984F4E" w:rsidP="00984F4E">
      <w:pPr>
        <w:pStyle w:val="ListBullet"/>
        <w:numPr>
          <w:ilvl w:val="0"/>
          <w:numId w:val="1"/>
        </w:numPr>
        <w:spacing w:after="240"/>
        <w:rPr>
          <w:rFonts w:cs="Arial"/>
          <w:szCs w:val="20"/>
          <w:lang w:eastAsia="en-US"/>
        </w:rPr>
      </w:pPr>
      <w:r w:rsidRPr="00984F4E">
        <w:rPr>
          <w:rFonts w:cs="Arial"/>
          <w:i/>
          <w:szCs w:val="20"/>
          <w:lang w:eastAsia="en-US"/>
        </w:rPr>
        <w:t>Future use of the 3.6 GHz band</w:t>
      </w:r>
      <w:r w:rsidR="00336E17">
        <w:rPr>
          <w:rFonts w:cs="Arial"/>
          <w:i/>
          <w:szCs w:val="20"/>
          <w:lang w:eastAsia="en-US"/>
        </w:rPr>
        <w:t>—</w:t>
      </w:r>
      <w:r w:rsidRPr="00984F4E">
        <w:rPr>
          <w:rFonts w:cs="Arial"/>
          <w:i/>
          <w:szCs w:val="20"/>
          <w:lang w:eastAsia="en-US"/>
        </w:rPr>
        <w:t>Summary of and response to 3.6 GHz submissions</w:t>
      </w:r>
      <w:r w:rsidRPr="00984F4E">
        <w:rPr>
          <w:rFonts w:cs="Arial"/>
          <w:szCs w:val="20"/>
          <w:lang w:eastAsia="en-US"/>
        </w:rPr>
        <w:t>.</w:t>
      </w:r>
    </w:p>
    <w:p w14:paraId="1718E6E4" w14:textId="77777777" w:rsidR="00325C07" w:rsidRDefault="00036DEE" w:rsidP="002D59E1">
      <w:r>
        <w:t xml:space="preserve">Completing the review of the 3.6 GHz band </w:t>
      </w:r>
      <w:r w:rsidR="00325C07">
        <w:t>has been a priority for the ACMA</w:t>
      </w:r>
      <w:r w:rsidR="00FF6EE1">
        <w:t>,</w:t>
      </w:r>
      <w:r w:rsidR="00325C07">
        <w:t xml:space="preserve"> given the urgent need to provide clarity on a way forward to all stakeholders in the band.</w:t>
      </w:r>
      <w:r w:rsidR="00336E17">
        <w:t xml:space="preserve"> </w:t>
      </w:r>
      <w:r w:rsidR="00325C07">
        <w:t>While undertaking this review as a priority</w:t>
      </w:r>
      <w:r>
        <w:t>,</w:t>
      </w:r>
      <w:r w:rsidR="00325C07">
        <w:t xml:space="preserve"> the ACMA has remained committed to making </w:t>
      </w:r>
      <w:r w:rsidR="00E34230">
        <w:t xml:space="preserve">any </w:t>
      </w:r>
      <w:r w:rsidR="00325C07">
        <w:t>decisions</w:t>
      </w:r>
      <w:r w:rsidR="00E34230">
        <w:t xml:space="preserve"> and identify</w:t>
      </w:r>
      <w:r w:rsidR="00996EF3">
        <w:t>ing</w:t>
      </w:r>
      <w:r w:rsidR="00E34230">
        <w:t xml:space="preserve"> a proposed way forward in the band</w:t>
      </w:r>
      <w:r w:rsidR="00325C07">
        <w:t xml:space="preserve"> in an open, transparent and evidence-informed manner.</w:t>
      </w:r>
      <w:r w:rsidR="00336E17">
        <w:t xml:space="preserve"> </w:t>
      </w:r>
      <w:r w:rsidR="00325C07">
        <w:t xml:space="preserve"> </w:t>
      </w:r>
    </w:p>
    <w:p w14:paraId="315E79CB" w14:textId="77777777" w:rsidR="00036DEE" w:rsidRDefault="00036DEE" w:rsidP="002D59E1">
      <w:r>
        <w:t xml:space="preserve">The ACMA believes that the </w:t>
      </w:r>
      <w:r w:rsidR="00E34230">
        <w:t>outcomes detailed</w:t>
      </w:r>
      <w:r>
        <w:t xml:space="preserve"> in th</w:t>
      </w:r>
      <w:r w:rsidR="00E34230">
        <w:t>is</w:t>
      </w:r>
      <w:r>
        <w:t xml:space="preserve"> paper</w:t>
      </w:r>
      <w:r w:rsidR="00FF6EE1">
        <w:t>—</w:t>
      </w:r>
      <w:r>
        <w:t xml:space="preserve">essentially to </w:t>
      </w:r>
      <w:r w:rsidR="00E34230">
        <w:t xml:space="preserve">commence the process </w:t>
      </w:r>
      <w:r w:rsidR="00996EF3">
        <w:t xml:space="preserve">by which the </w:t>
      </w:r>
      <w:r w:rsidR="00FF6EE1">
        <w:t>m</w:t>
      </w:r>
      <w:r w:rsidR="00996EF3">
        <w:t>inister may</w:t>
      </w:r>
      <w:r w:rsidR="00E34230">
        <w:t xml:space="preserve"> </w:t>
      </w:r>
      <w:r>
        <w:t>mak</w:t>
      </w:r>
      <w:r w:rsidR="00E34230">
        <w:t>e</w:t>
      </w:r>
      <w:r>
        <w:t xml:space="preserve"> spectrum in metropolitan and regional Australia</w:t>
      </w:r>
      <w:r w:rsidR="00E34230">
        <w:t xml:space="preserve"> (as defined in Annex C)</w:t>
      </w:r>
      <w:r>
        <w:t xml:space="preserve"> available for spectrum licensing</w:t>
      </w:r>
      <w:r w:rsidR="00FF6EE1">
        <w:t>—</w:t>
      </w:r>
      <w:r>
        <w:t>will provide important opportunities for Australians in both regional and urban Australia to take early advantage of new broadband</w:t>
      </w:r>
      <w:r w:rsidR="00002AE9">
        <w:t xml:space="preserve"> services</w:t>
      </w:r>
      <w:r>
        <w:t xml:space="preserve">, including 5G, in this band. </w:t>
      </w:r>
      <w:r w:rsidR="00996EF3">
        <w:t>In recommending this decision, the ACMA recognises the impact this will have on some incumbents. In response, the ACMA proposes to implement a range of mitigation strategies, in some cases unprecedented, to assist incumbents with the transition.</w:t>
      </w:r>
    </w:p>
    <w:p w14:paraId="107326BB" w14:textId="77777777" w:rsidR="00325C07" w:rsidRDefault="00325C07" w:rsidP="003C3140">
      <w:pPr>
        <w:pStyle w:val="Heading2"/>
        <w:rPr>
          <w:b w:val="0"/>
          <w:i/>
        </w:rPr>
      </w:pPr>
      <w:bookmarkStart w:id="7" w:name="_Toc442879666"/>
      <w:bookmarkStart w:id="8" w:name="_Toc495935472"/>
      <w:bookmarkStart w:id="9" w:name="_Toc495935502"/>
      <w:bookmarkStart w:id="10" w:name="_Toc496620293"/>
      <w:bookmarkEnd w:id="7"/>
      <w:r w:rsidRPr="00325C07">
        <w:t xml:space="preserve">Stakeholder feedback to </w:t>
      </w:r>
      <w:r w:rsidR="00984F4E">
        <w:t>the 3.6 GHz band consultation</w:t>
      </w:r>
      <w:bookmarkEnd w:id="8"/>
      <w:bookmarkEnd w:id="9"/>
      <w:bookmarkEnd w:id="10"/>
    </w:p>
    <w:p w14:paraId="2CA1A070" w14:textId="77777777" w:rsidR="00325C07" w:rsidRDefault="00CB4AC8" w:rsidP="00325C07">
      <w:r>
        <w:t xml:space="preserve">The </w:t>
      </w:r>
      <w:r w:rsidR="00984F4E">
        <w:t xml:space="preserve">3.6 GHz band consultation </w:t>
      </w:r>
      <w:r>
        <w:t xml:space="preserve">sought industry views on a </w:t>
      </w:r>
      <w:r w:rsidR="007C6616">
        <w:t xml:space="preserve">comprehensive assessment of the highest value use of the band and a series </w:t>
      </w:r>
      <w:r w:rsidR="009C456C">
        <w:t>o</w:t>
      </w:r>
      <w:r w:rsidR="007C6616">
        <w:t>f</w:t>
      </w:r>
      <w:r w:rsidR="009C456C">
        <w:t xml:space="preserve"> replanning options, including an ACMA preferred option. </w:t>
      </w:r>
      <w:r w:rsidR="004117DA">
        <w:t xml:space="preserve">The extensive feedback received to the </w:t>
      </w:r>
      <w:r w:rsidR="00984F4E">
        <w:t>consultation</w:t>
      </w:r>
      <w:r w:rsidR="004117DA">
        <w:t xml:space="preserve"> (</w:t>
      </w:r>
      <w:r w:rsidR="004117DA" w:rsidRPr="00617BA8">
        <w:t>35</w:t>
      </w:r>
      <w:r w:rsidR="004117DA">
        <w:t xml:space="preserve"> responses) reaffirms the importance of the 3.6 GHz band to many stakeholders and the sensitivity associated with any potential regulatory changes in the band. </w:t>
      </w:r>
    </w:p>
    <w:p w14:paraId="4F94AD9F" w14:textId="77777777" w:rsidR="003C6A5D" w:rsidRDefault="003C6A5D" w:rsidP="00325C07">
      <w:r>
        <w:t>Stakeholder views on the future of the 3.6 GHz band were once again strong and highly polarised. The views expressed by incumbents and prospective spectrum users were largely consistent with those communicated throughout the review process.</w:t>
      </w:r>
      <w:r w:rsidR="00336E17">
        <w:t xml:space="preserve"> </w:t>
      </w:r>
    </w:p>
    <w:p w14:paraId="15D58ACD" w14:textId="05C121D4" w:rsidR="003C6A5D" w:rsidRDefault="003C6A5D" w:rsidP="00325C07">
      <w:r>
        <w:t>Broadly speaking</w:t>
      </w:r>
      <w:r w:rsidR="00FF6EE1">
        <w:t>,</w:t>
      </w:r>
      <w:r>
        <w:t xml:space="preserve"> incumbents such as point-to-multipoint </w:t>
      </w:r>
      <w:r w:rsidR="00164B66">
        <w:t xml:space="preserve">users </w:t>
      </w:r>
      <w:r>
        <w:t xml:space="preserve">(in particular Wireless </w:t>
      </w:r>
      <w:r w:rsidR="00E41E2D">
        <w:t>Internet Service Providers</w:t>
      </w:r>
      <w:r w:rsidR="00164B66">
        <w:t xml:space="preserve"> (WISPs)</w:t>
      </w:r>
      <w:r>
        <w:t xml:space="preserve">) and some </w:t>
      </w:r>
      <w:r w:rsidR="00FF6EE1">
        <w:t>e</w:t>
      </w:r>
      <w:r>
        <w:t xml:space="preserve">arth station licensees remain deeply concerned with any changes that </w:t>
      </w:r>
      <w:r w:rsidR="00164B66">
        <w:t>would</w:t>
      </w:r>
      <w:r>
        <w:t xml:space="preserve"> </w:t>
      </w:r>
      <w:r w:rsidR="00A579AD">
        <w:t>affe</w:t>
      </w:r>
      <w:r>
        <w:t>ct their continued access to the band.</w:t>
      </w:r>
      <w:r w:rsidR="00164B66">
        <w:t xml:space="preserve"> </w:t>
      </w:r>
      <w:r>
        <w:t xml:space="preserve">The primary development learnt from feedback to </w:t>
      </w:r>
      <w:r w:rsidR="00984F4E">
        <w:t>3.6 GHz band consultation</w:t>
      </w:r>
      <w:r>
        <w:t xml:space="preserve"> was the reduced level of apprehension from some existing licensed </w:t>
      </w:r>
      <w:r w:rsidR="00FF6EE1">
        <w:t>e</w:t>
      </w:r>
      <w:r>
        <w:t xml:space="preserve">arth station operators (such as Telstra </w:t>
      </w:r>
      <w:r w:rsidR="001344BA">
        <w:t xml:space="preserve">Corporation Limited (Telstra) </w:t>
      </w:r>
      <w:r>
        <w:t xml:space="preserve">and </w:t>
      </w:r>
      <w:proofErr w:type="spellStart"/>
      <w:r w:rsidR="001344BA">
        <w:t>Singtel</w:t>
      </w:r>
      <w:proofErr w:type="spellEnd"/>
      <w:r w:rsidR="001344BA">
        <w:t xml:space="preserve"> </w:t>
      </w:r>
      <w:r>
        <w:t>Optus</w:t>
      </w:r>
      <w:r w:rsidR="001344BA">
        <w:t xml:space="preserve"> Pty Limited (Optus)</w:t>
      </w:r>
      <w:r>
        <w:t xml:space="preserve">) regarding possible changes. This is because </w:t>
      </w:r>
      <w:r w:rsidR="00996EF3">
        <w:t>they are able</w:t>
      </w:r>
      <w:r>
        <w:t xml:space="preserve"> to retune operations at their current </w:t>
      </w:r>
      <w:r w:rsidR="00FF6EE1">
        <w:t>e</w:t>
      </w:r>
      <w:r>
        <w:t>arth stations in Sydney and Perth above 3700 MHz.</w:t>
      </w:r>
      <w:r w:rsidR="00336E17">
        <w:t xml:space="preserve"> </w:t>
      </w:r>
      <w:r>
        <w:t xml:space="preserve">However, </w:t>
      </w:r>
      <w:r w:rsidR="00F11684" w:rsidRPr="00F11684">
        <w:t>Inmarsat Australia</w:t>
      </w:r>
      <w:r w:rsidR="00F11684">
        <w:t xml:space="preserve"> Proprietary Limited (Inmarsat)</w:t>
      </w:r>
      <w:r>
        <w:t xml:space="preserve">, which operates an </w:t>
      </w:r>
      <w:r w:rsidR="00FF6EE1">
        <w:t>e</w:t>
      </w:r>
      <w:r>
        <w:t>arth station at Landsdale in Perth, remains of the view that it should be permitted to continue its current operations on a protected basis.</w:t>
      </w:r>
      <w:r w:rsidR="00336E17">
        <w:t xml:space="preserve">  </w:t>
      </w:r>
      <w:r>
        <w:t xml:space="preserve"> </w:t>
      </w:r>
    </w:p>
    <w:p w14:paraId="3C3A8C60" w14:textId="71EE1245" w:rsidR="00FE4C0D" w:rsidRPr="00325C07" w:rsidRDefault="00FE4C0D" w:rsidP="00325C07">
      <w:r>
        <w:t>Feedback from potential new users of the 3.6 GHz band for wide</w:t>
      </w:r>
      <w:r w:rsidR="00222E73">
        <w:t>-</w:t>
      </w:r>
      <w:r>
        <w:t xml:space="preserve">area broadband services (the major mobile carriers and </w:t>
      </w:r>
      <w:r w:rsidR="00FF6EE1">
        <w:t>NBN C</w:t>
      </w:r>
      <w:r w:rsidR="00996EF3">
        <w:t xml:space="preserve">o </w:t>
      </w:r>
      <w:r w:rsidR="00FF6EE1">
        <w:t>L</w:t>
      </w:r>
      <w:r w:rsidR="00996EF3">
        <w:t>imited (</w:t>
      </w:r>
      <w:r w:rsidR="00FF6EE1">
        <w:t>NBN</w:t>
      </w:r>
      <w:r w:rsidR="001344BA">
        <w:t xml:space="preserve"> </w:t>
      </w:r>
      <w:r w:rsidR="00E5209F">
        <w:t>C</w:t>
      </w:r>
      <w:r w:rsidR="001344BA">
        <w:t>o</w:t>
      </w:r>
      <w:r w:rsidR="00996EF3">
        <w:t>)</w:t>
      </w:r>
      <w:r>
        <w:t>) reaffirmed their strong interest in gaining access to the band in metropolitan and regional areas</w:t>
      </w:r>
      <w:r w:rsidR="00A579AD">
        <w:t>, either for fixed or mobile services</w:t>
      </w:r>
      <w:r>
        <w:t>. Submissions also confirmed the 3.6 GHz band as suitable for use by early 5G deployments.</w:t>
      </w:r>
      <w:r w:rsidR="00336E17">
        <w:t xml:space="preserve">   </w:t>
      </w:r>
      <w:r>
        <w:t xml:space="preserve"> </w:t>
      </w:r>
    </w:p>
    <w:p w14:paraId="2D2817AB" w14:textId="77777777" w:rsidR="00325C07" w:rsidRDefault="00325C07" w:rsidP="003C3140">
      <w:pPr>
        <w:pStyle w:val="Heading2"/>
      </w:pPr>
      <w:bookmarkStart w:id="11" w:name="_Toc495935473"/>
      <w:bookmarkStart w:id="12" w:name="_Toc495935503"/>
      <w:bookmarkStart w:id="13" w:name="_Toc496620294"/>
      <w:r w:rsidRPr="00325C07">
        <w:t>Summary of ACMA considerations</w:t>
      </w:r>
      <w:r w:rsidR="00970907">
        <w:t xml:space="preserve"> and conclusions</w:t>
      </w:r>
      <w:bookmarkEnd w:id="11"/>
      <w:bookmarkEnd w:id="12"/>
      <w:bookmarkEnd w:id="13"/>
    </w:p>
    <w:p w14:paraId="7620B7F6" w14:textId="77777777" w:rsidR="00325C07" w:rsidRDefault="00CB4AC8" w:rsidP="003C3140">
      <w:pPr>
        <w:pStyle w:val="Heading3"/>
      </w:pPr>
      <w:bookmarkStart w:id="14" w:name="_Toc496620295"/>
      <w:r w:rsidRPr="003C3140">
        <w:t xml:space="preserve">HVU and </w:t>
      </w:r>
      <w:r w:rsidR="00D85671" w:rsidRPr="003C3140">
        <w:t xml:space="preserve">the </w:t>
      </w:r>
      <w:r w:rsidRPr="003C3140">
        <w:t>case for action</w:t>
      </w:r>
      <w:bookmarkEnd w:id="14"/>
    </w:p>
    <w:p w14:paraId="603E4516" w14:textId="77777777" w:rsidR="00FE4C0D" w:rsidRPr="00FE4C0D" w:rsidRDefault="00FE4C0D" w:rsidP="00895E88">
      <w:pPr>
        <w:keepNext/>
        <w:keepLines/>
      </w:pPr>
      <w:bookmarkStart w:id="15" w:name="_Toc442879667"/>
      <w:bookmarkEnd w:id="15"/>
      <w:r w:rsidRPr="00FE4C0D">
        <w:t xml:space="preserve">As part of its </w:t>
      </w:r>
      <w:r w:rsidR="00E41E2D">
        <w:t>mobile broadband (</w:t>
      </w:r>
      <w:r w:rsidRPr="00FE4C0D">
        <w:t>MBB</w:t>
      </w:r>
      <w:r w:rsidR="00E41E2D">
        <w:t>)</w:t>
      </w:r>
      <w:r w:rsidRPr="00FE4C0D">
        <w:t xml:space="preserve"> strategy, the ACMA committed to undertaking a comprehensive assessment of the highest value use (HVU) of a band during the preliminary replanning phase of the process for consideration of additional spectrum for MBB services. Following on from the preliminary HVU included in the October 2016 discussion paper, and using feedback obtained from stakeholders as part of that process and further engagement, the ACMA completed a comprehensive HVU of the 3.6 GHz band</w:t>
      </w:r>
      <w:r w:rsidR="008B4AF6">
        <w:t>,</w:t>
      </w:r>
      <w:r w:rsidRPr="00FE4C0D">
        <w:t xml:space="preserve"> </w:t>
      </w:r>
      <w:r w:rsidR="00984F4E">
        <w:t xml:space="preserve">which </w:t>
      </w:r>
      <w:r w:rsidR="00895E88">
        <w:t>wa</w:t>
      </w:r>
      <w:r w:rsidR="00984F4E">
        <w:t>s contained in the HVU paper</w:t>
      </w:r>
      <w:r w:rsidR="00895E88">
        <w:t xml:space="preserve"> released in June 2017</w:t>
      </w:r>
      <w:r w:rsidRPr="00FE4C0D">
        <w:t>. The analysis indicated that the HVU of the band has (or will soon) move to wide-area broadband deployments (notably MBB) in metro</w:t>
      </w:r>
      <w:r w:rsidR="005231EC" w:rsidRPr="00475453">
        <w:rPr>
          <w:rFonts w:cs="Arial"/>
        </w:rPr>
        <w:t>politan</w:t>
      </w:r>
      <w:r w:rsidRPr="00FE4C0D">
        <w:t xml:space="preserve"> and regional areas. </w:t>
      </w:r>
    </w:p>
    <w:p w14:paraId="4FED4C69" w14:textId="77777777" w:rsidR="00EA3057" w:rsidRDefault="00FE4C0D" w:rsidP="00EA3057">
      <w:r w:rsidRPr="00FE4C0D">
        <w:t>In response to submissions</w:t>
      </w:r>
      <w:r>
        <w:t xml:space="preserve"> to the </w:t>
      </w:r>
      <w:r w:rsidR="00984F4E">
        <w:t>HVU paper</w:t>
      </w:r>
      <w:r w:rsidRPr="00FE4C0D">
        <w:t xml:space="preserve">, </w:t>
      </w:r>
      <w:r w:rsidR="005231EC">
        <w:t xml:space="preserve">the </w:t>
      </w:r>
      <w:r w:rsidRPr="00FE4C0D">
        <w:t xml:space="preserve">ACMA </w:t>
      </w:r>
      <w:r w:rsidR="005231EC">
        <w:t xml:space="preserve">has </w:t>
      </w:r>
      <w:r w:rsidRPr="00FE4C0D">
        <w:t xml:space="preserve">reviewed the HVU </w:t>
      </w:r>
      <w:r w:rsidR="00DA60B6">
        <w:t>framework and data assumptions. In relation to the framework,</w:t>
      </w:r>
      <w:r w:rsidR="00EA3057">
        <w:t xml:space="preserve"> </w:t>
      </w:r>
      <w:r w:rsidR="00B92820">
        <w:t>WISPs</w:t>
      </w:r>
      <w:r w:rsidR="00EA3057">
        <w:t xml:space="preserve"> and </w:t>
      </w:r>
      <w:r w:rsidR="00E41E2D">
        <w:t>fixed satellite service (</w:t>
      </w:r>
      <w:r w:rsidR="00EA3057">
        <w:t>FSS</w:t>
      </w:r>
      <w:r w:rsidR="00E41E2D">
        <w:t>)</w:t>
      </w:r>
      <w:r w:rsidR="00EA3057">
        <w:t xml:space="preserve"> earth receive licensees w</w:t>
      </w:r>
      <w:r w:rsidR="00DA60B6">
        <w:t xml:space="preserve">ere concerned that the framework </w:t>
      </w:r>
      <w:r w:rsidR="00EA3057">
        <w:t>did not include potential spectrum sharing arrangements. The ACMA notes that while spectrum sharing could increase economic welfare under a best-case scenario, there is no consensus on whether spectrum sharing</w:t>
      </w:r>
      <w:r w:rsidR="00BA5365">
        <w:t xml:space="preserve"> in a situation where demand exceeds supply</w:t>
      </w:r>
      <w:r w:rsidR="00EA3057">
        <w:t xml:space="preserve"> is </w:t>
      </w:r>
      <w:r w:rsidR="00EC7605">
        <w:t xml:space="preserve">a </w:t>
      </w:r>
      <w:r w:rsidR="00BA5365">
        <w:t>viable option</w:t>
      </w:r>
      <w:r w:rsidR="00E67DA1">
        <w:t xml:space="preserve"> (discussed further below)</w:t>
      </w:r>
      <w:r w:rsidR="00EA3057">
        <w:t>.</w:t>
      </w:r>
      <w:r w:rsidR="00DA60B6">
        <w:t xml:space="preserve"> </w:t>
      </w:r>
      <w:r w:rsidR="00222E73">
        <w:t>Therefore,</w:t>
      </w:r>
      <w:r w:rsidR="00DA60B6">
        <w:t xml:space="preserve"> the ACMA did not analyse the HVU of an option that</w:t>
      </w:r>
      <w:r w:rsidR="00EC7605">
        <w:t>,</w:t>
      </w:r>
      <w:r w:rsidR="00DA60B6">
        <w:t xml:space="preserve"> </w:t>
      </w:r>
      <w:r w:rsidR="00F60544">
        <w:t>based on available information</w:t>
      </w:r>
      <w:r w:rsidR="00EC7605">
        <w:t>,</w:t>
      </w:r>
      <w:r w:rsidR="00F60544">
        <w:t xml:space="preserve"> is unlikely to be practically</w:t>
      </w:r>
      <w:r w:rsidR="00DA60B6">
        <w:t xml:space="preserve"> feasible. </w:t>
      </w:r>
    </w:p>
    <w:p w14:paraId="5D9935CE" w14:textId="77777777" w:rsidR="000746A1" w:rsidRDefault="00A579AD" w:rsidP="00FB3C55">
      <w:r>
        <w:t xml:space="preserve">Having </w:t>
      </w:r>
      <w:r w:rsidR="00FB6A4E">
        <w:t>review</w:t>
      </w:r>
      <w:r>
        <w:t>ed</w:t>
      </w:r>
      <w:r w:rsidR="00FB6A4E">
        <w:t xml:space="preserve"> and updat</w:t>
      </w:r>
      <w:r>
        <w:t>ed</w:t>
      </w:r>
      <w:r w:rsidR="00FB6A4E">
        <w:t xml:space="preserve"> its HVU analysis following feedback received to the Options paper, the ACMA remains of </w:t>
      </w:r>
      <w:r w:rsidR="008B4AF6">
        <w:t>the view that</w:t>
      </w:r>
      <w:r w:rsidR="00FB6A4E">
        <w:t xml:space="preserve"> there is</w:t>
      </w:r>
      <w:r w:rsidR="00FE4C0D" w:rsidRPr="00FE4C0D">
        <w:t xml:space="preserve"> strong evidence that re</w:t>
      </w:r>
      <w:r w:rsidR="00463C0F">
        <w:t>-</w:t>
      </w:r>
      <w:r w:rsidR="00FE4C0D" w:rsidRPr="00FE4C0D">
        <w:t xml:space="preserve">farming </w:t>
      </w:r>
      <w:r w:rsidR="00FB6A4E">
        <w:t>for wide</w:t>
      </w:r>
      <w:r w:rsidR="00222E73">
        <w:t>-</w:t>
      </w:r>
      <w:r w:rsidR="00FB6A4E">
        <w:t xml:space="preserve">area broadband purposes </w:t>
      </w:r>
      <w:r w:rsidR="00FE4C0D" w:rsidRPr="00FE4C0D">
        <w:t xml:space="preserve">is net beneficial in </w:t>
      </w:r>
      <w:r w:rsidR="00FB6A4E">
        <w:t>metro</w:t>
      </w:r>
      <w:r w:rsidR="005231EC" w:rsidRPr="00475453">
        <w:rPr>
          <w:rFonts w:cs="Arial"/>
        </w:rPr>
        <w:t>politan</w:t>
      </w:r>
      <w:r w:rsidR="00FB6A4E">
        <w:t xml:space="preserve"> </w:t>
      </w:r>
      <w:r w:rsidR="00984F4E">
        <w:t xml:space="preserve">and surrounding </w:t>
      </w:r>
      <w:r w:rsidR="00FB6A4E">
        <w:t>areas (</w:t>
      </w:r>
      <w:r w:rsidR="00FE4C0D" w:rsidRPr="00FE4C0D">
        <w:t>Area 1</w:t>
      </w:r>
      <w:r w:rsidR="00984F4E">
        <w:t xml:space="preserve"> and Area 2</w:t>
      </w:r>
      <w:r w:rsidR="00FB6A4E">
        <w:rPr>
          <w:rStyle w:val="FootnoteReference"/>
        </w:rPr>
        <w:footnoteReference w:id="2"/>
      </w:r>
      <w:r w:rsidR="00FB6A4E">
        <w:t>)</w:t>
      </w:r>
      <w:r w:rsidR="00FE4C0D" w:rsidRPr="00FE4C0D">
        <w:t xml:space="preserve">. </w:t>
      </w:r>
    </w:p>
    <w:p w14:paraId="59B1FB9F" w14:textId="77777777" w:rsidR="00FB3C55" w:rsidRDefault="000746A1" w:rsidP="00FB3C55">
      <w:r>
        <w:t>T</w:t>
      </w:r>
      <w:r w:rsidRPr="00720CE0">
        <w:t>he ACMA</w:t>
      </w:r>
      <w:r>
        <w:t xml:space="preserve"> also</w:t>
      </w:r>
      <w:r w:rsidRPr="00720CE0">
        <w:t xml:space="preserve"> </w:t>
      </w:r>
      <w:r>
        <w:t>believes</w:t>
      </w:r>
      <w:r w:rsidRPr="00720CE0">
        <w:t xml:space="preserve"> the potential re-farming benefits exceed the potential incremental costs</w:t>
      </w:r>
      <w:r>
        <w:t xml:space="preserve"> in Area 3, despite the</w:t>
      </w:r>
      <w:r w:rsidR="00FB3C55" w:rsidRPr="0068775B">
        <w:t xml:space="preserve"> potential for </w:t>
      </w:r>
      <w:r>
        <w:t>some</w:t>
      </w:r>
      <w:r w:rsidR="00FB3C55" w:rsidRPr="0068775B">
        <w:t xml:space="preserve"> unquantifiable costs </w:t>
      </w:r>
      <w:r w:rsidR="00703969">
        <w:t xml:space="preserve">(primarily consumer detriment) </w:t>
      </w:r>
      <w:r w:rsidR="0029293E">
        <w:t xml:space="preserve">if </w:t>
      </w:r>
      <w:r w:rsidR="00FB3C55" w:rsidRPr="0068775B">
        <w:t>incumbent point-to-multipoint licensees</w:t>
      </w:r>
      <w:r w:rsidR="007D69E9">
        <w:t xml:space="preserve"> </w:t>
      </w:r>
      <w:r w:rsidR="00DE3DDE">
        <w:t>are displaced</w:t>
      </w:r>
      <w:r w:rsidR="00FB3C55" w:rsidRPr="00720CE0">
        <w:t xml:space="preserve">. </w:t>
      </w:r>
      <w:r w:rsidR="00FB3C55" w:rsidRPr="0068775B">
        <w:t xml:space="preserve">The ACMA notes that the extended </w:t>
      </w:r>
      <w:r w:rsidR="00910D48">
        <w:t>re-allocation</w:t>
      </w:r>
      <w:r w:rsidR="00FB3C55" w:rsidRPr="0068775B">
        <w:t xml:space="preserve"> periods, the availability of alternative spectrum in the 5.6 GHz </w:t>
      </w:r>
      <w:r w:rsidR="00E34230">
        <w:t xml:space="preserve">and possibly the 28 GHz </w:t>
      </w:r>
      <w:r w:rsidR="00FB3C55" w:rsidRPr="0068775B">
        <w:t>band</w:t>
      </w:r>
      <w:r w:rsidR="00DA60B6">
        <w:t>s</w:t>
      </w:r>
      <w:r w:rsidR="00FB3C55" w:rsidRPr="0068775B">
        <w:t>, and the potential ability to continue accessing the band via third-party authorisation arrangement</w:t>
      </w:r>
      <w:r>
        <w:t>s</w:t>
      </w:r>
      <w:r w:rsidR="00DA60B6">
        <w:t>,</w:t>
      </w:r>
      <w:r w:rsidR="00FB3C55" w:rsidRPr="0068775B">
        <w:t xml:space="preserve"> will provide </w:t>
      </w:r>
      <w:r w:rsidR="001C238E">
        <w:t xml:space="preserve">some </w:t>
      </w:r>
      <w:r w:rsidR="00FB3C55" w:rsidRPr="0068775B">
        <w:t>incumbents with opportunit</w:t>
      </w:r>
      <w:r>
        <w:t>ies</w:t>
      </w:r>
      <w:r w:rsidR="00FB3C55" w:rsidRPr="0068775B">
        <w:t xml:space="preserve"> to continue providing services. </w:t>
      </w:r>
      <w:r w:rsidR="00FB3C55">
        <w:t>T</w:t>
      </w:r>
      <w:r w:rsidR="00FB3C55" w:rsidRPr="0068775B">
        <w:t xml:space="preserve">he ACMA considers that these mitigation strategies are likely to limit the materiality of the unquantifiable costs of the re-farming of the 3.6 GHz band. </w:t>
      </w:r>
      <w:r>
        <w:t xml:space="preserve">The ACMA </w:t>
      </w:r>
      <w:r w:rsidR="00B45386">
        <w:t xml:space="preserve">also </w:t>
      </w:r>
      <w:r>
        <w:t xml:space="preserve">notes that there </w:t>
      </w:r>
      <w:r w:rsidR="00B45386">
        <w:t>are</w:t>
      </w:r>
      <w:r>
        <w:t xml:space="preserve"> unquantified benefits of re</w:t>
      </w:r>
      <w:r w:rsidR="00B92820">
        <w:t>-</w:t>
      </w:r>
      <w:r>
        <w:t xml:space="preserve">farming the band for 5G services </w:t>
      </w:r>
      <w:r w:rsidR="00F60544">
        <w:t xml:space="preserve">that are particularly relevant </w:t>
      </w:r>
      <w:r>
        <w:t xml:space="preserve">in Area 3, such as providing easier access to medical professionals in regional areas. </w:t>
      </w:r>
      <w:r w:rsidR="00DE3DDE">
        <w:t>Having regard for</w:t>
      </w:r>
      <w:r w:rsidR="00FB3C55" w:rsidRPr="0068775B">
        <w:t xml:space="preserve"> the </w:t>
      </w:r>
      <w:r w:rsidR="00DE3DDE">
        <w:t xml:space="preserve">quantified and unquantified costs and benefits, the </w:t>
      </w:r>
      <w:r w:rsidR="00FB3C55" w:rsidRPr="0068775B">
        <w:t xml:space="preserve">ACMA </w:t>
      </w:r>
      <w:r w:rsidR="00DE3DDE">
        <w:t>is</w:t>
      </w:r>
      <w:r w:rsidR="00FB3C55" w:rsidRPr="0068775B">
        <w:t xml:space="preserve"> confiden</w:t>
      </w:r>
      <w:r w:rsidR="00DE3DDE">
        <w:t>t</w:t>
      </w:r>
      <w:r w:rsidR="00FB3C55" w:rsidRPr="0068775B">
        <w:t xml:space="preserve"> that re-farming w</w:t>
      </w:r>
      <w:r w:rsidR="00B45386">
        <w:t>ill</w:t>
      </w:r>
      <w:r w:rsidR="00FB3C55" w:rsidRPr="0068775B">
        <w:t xml:space="preserve"> </w:t>
      </w:r>
      <w:r w:rsidR="007D69E9">
        <w:t xml:space="preserve">also </w:t>
      </w:r>
      <w:r w:rsidR="00FB3C55" w:rsidRPr="0068775B">
        <w:t>be net beneficial in Area 3.</w:t>
      </w:r>
    </w:p>
    <w:p w14:paraId="1C0EF029" w14:textId="77777777" w:rsidR="007B19BE" w:rsidRPr="007B19BE" w:rsidRDefault="007B19BE" w:rsidP="002D59E1">
      <w:r>
        <w:t xml:space="preserve">The ACMA remains of the view that current regulatory arrangements are not optimised for the expected HVU of the band and hence the case for review </w:t>
      </w:r>
      <w:r w:rsidR="003C3140">
        <w:t xml:space="preserve">and modification </w:t>
      </w:r>
      <w:r>
        <w:t>of existing arrangements continues to be warranted.</w:t>
      </w:r>
      <w:r w:rsidR="00336E17">
        <w:t xml:space="preserve">   </w:t>
      </w:r>
    </w:p>
    <w:p w14:paraId="04200FDE" w14:textId="77777777" w:rsidR="00CB4AC8" w:rsidRDefault="007B19BE" w:rsidP="003C3140">
      <w:pPr>
        <w:pStyle w:val="Heading3"/>
      </w:pPr>
      <w:bookmarkStart w:id="16" w:name="_Toc496620296"/>
      <w:r w:rsidRPr="003C3140">
        <w:t>Bandwidth and geographic area considerations</w:t>
      </w:r>
      <w:bookmarkEnd w:id="16"/>
    </w:p>
    <w:p w14:paraId="5D0D6940" w14:textId="77777777" w:rsidR="007B19BE" w:rsidRPr="00475453" w:rsidRDefault="00D85671" w:rsidP="007B19BE">
      <w:r>
        <w:t>In the Options paper, t</w:t>
      </w:r>
      <w:r w:rsidR="007B19BE">
        <w:t>he ACM</w:t>
      </w:r>
      <w:r>
        <w:t>A</w:t>
      </w:r>
      <w:r w:rsidR="007B19BE">
        <w:t xml:space="preserve"> </w:t>
      </w:r>
      <w:r w:rsidR="007B19BE" w:rsidRPr="007B19BE">
        <w:t xml:space="preserve">identified a range of possible replanning options to facilitate the </w:t>
      </w:r>
      <w:r w:rsidR="007B19BE">
        <w:t>band</w:t>
      </w:r>
      <w:r w:rsidR="007B19BE" w:rsidRPr="007B19BE">
        <w:t xml:space="preserve"> moving to its expected highest value use. These options were</w:t>
      </w:r>
      <w:r w:rsidR="001C4751">
        <w:t xml:space="preserve"> </w:t>
      </w:r>
      <w:r w:rsidR="007B19BE" w:rsidRPr="007B19BE">
        <w:t xml:space="preserve">based on different spectrum bandwidths and geographic areas (as well as different </w:t>
      </w:r>
      <w:r w:rsidR="007B19BE" w:rsidRPr="00475453">
        <w:t xml:space="preserve">licensing regimes). </w:t>
      </w:r>
    </w:p>
    <w:p w14:paraId="668B9F87" w14:textId="77777777" w:rsidR="00D85671" w:rsidRPr="00475453" w:rsidRDefault="00B92820" w:rsidP="00D85671">
      <w:r>
        <w:t>T</w:t>
      </w:r>
      <w:r w:rsidR="00D85671" w:rsidRPr="00475453">
        <w:t>he HVU assessment</w:t>
      </w:r>
      <w:r w:rsidR="0022412C">
        <w:t xml:space="preserve"> in the Options paper</w:t>
      </w:r>
      <w:r w:rsidR="00D85671" w:rsidRPr="00475453">
        <w:t xml:space="preserve"> indicate</w:t>
      </w:r>
      <w:r w:rsidR="0022412C">
        <w:t>d</w:t>
      </w:r>
      <w:r w:rsidR="00D85671" w:rsidRPr="00475453">
        <w:t xml:space="preserve"> that the public benefit derived from the 3.6 GHz</w:t>
      </w:r>
      <w:r w:rsidR="00222E73">
        <w:t xml:space="preserve"> band</w:t>
      </w:r>
      <w:r w:rsidR="00D85671" w:rsidRPr="00475453">
        <w:t xml:space="preserve"> is maximised by re-allocating the entire 3.6 GHz band in metropolitan and regional areas for the issue of spectrum licences rather than a hybrid approach where a segment is retained for site-based appara</w:t>
      </w:r>
      <w:r w:rsidR="00760CB2">
        <w:t>tus licensing. It also indicated</w:t>
      </w:r>
      <w:r w:rsidR="00D85671" w:rsidRPr="00475453">
        <w:t xml:space="preserve"> that greater benefit will be derived through minimising fragmentation in spectrum arrangements across frequency ranges and different geographic areas.</w:t>
      </w:r>
      <w:r w:rsidR="00760CB2">
        <w:t xml:space="preserve"> </w:t>
      </w:r>
    </w:p>
    <w:p w14:paraId="1573F1BC" w14:textId="77777777" w:rsidR="007B19BE" w:rsidRPr="00475453" w:rsidRDefault="00D85671" w:rsidP="007B19BE">
      <w:r w:rsidRPr="00475453">
        <w:t xml:space="preserve">Based on this, the </w:t>
      </w:r>
      <w:r w:rsidR="007B19BE" w:rsidRPr="00475453">
        <w:t>ACMA</w:t>
      </w:r>
      <w:r w:rsidRPr="00475453">
        <w:t xml:space="preserve"> remains of the view that it should e</w:t>
      </w:r>
      <w:r w:rsidR="007B19BE" w:rsidRPr="00475453">
        <w:t>stablish arrangement</w:t>
      </w:r>
      <w:r w:rsidRPr="00475453">
        <w:t>s</w:t>
      </w:r>
      <w:r w:rsidR="007B19BE" w:rsidRPr="00475453">
        <w:t xml:space="preserve"> optimised for wide-area broadband deployments (mobile and fixed) over the entire 125</w:t>
      </w:r>
      <w:r w:rsidR="001C4751">
        <w:t> </w:t>
      </w:r>
      <w:r w:rsidR="007B19BE" w:rsidRPr="00475453">
        <w:t>MHz of the 3.6 GHz band in metro</w:t>
      </w:r>
      <w:r w:rsidR="001C4751">
        <w:t>politan</w:t>
      </w:r>
      <w:r w:rsidR="007B19BE" w:rsidRPr="00475453">
        <w:t xml:space="preserve"> and regional areas. The expected licensing regime under this approach would be spectrum licences allocated via auction. </w:t>
      </w:r>
    </w:p>
    <w:p w14:paraId="1C0D7E29" w14:textId="77777777" w:rsidR="00D85671" w:rsidRPr="00475453" w:rsidRDefault="00D85671" w:rsidP="002D59E1">
      <w:r w:rsidRPr="00475453">
        <w:t>The ACMA recognises that</w:t>
      </w:r>
      <w:r w:rsidR="007B19BE" w:rsidRPr="00475453">
        <w:t xml:space="preserve"> WISPs</w:t>
      </w:r>
      <w:r w:rsidRPr="00475453">
        <w:t xml:space="preserve"> (and other point-to-multipoint interests)</w:t>
      </w:r>
      <w:r w:rsidR="007B19BE" w:rsidRPr="00475453">
        <w:t xml:space="preserve"> and Inmarsat suggest that a better option would be to </w:t>
      </w:r>
      <w:r w:rsidR="00A60D81">
        <w:t xml:space="preserve">either develop sharing </w:t>
      </w:r>
      <w:r w:rsidR="00BE1C2A">
        <w:t xml:space="preserve">arrangements (discussed later) </w:t>
      </w:r>
      <w:r w:rsidR="00A60D81">
        <w:t xml:space="preserve">or </w:t>
      </w:r>
      <w:r w:rsidR="007B19BE" w:rsidRPr="00475453">
        <w:t>only re</w:t>
      </w:r>
      <w:r w:rsidR="001C4751">
        <w:t>-</w:t>
      </w:r>
      <w:r w:rsidR="007B19BE" w:rsidRPr="00475453">
        <w:t>farm part of the 3.6 GHz band and/or to do so only in metro</w:t>
      </w:r>
      <w:r w:rsidR="005231EC" w:rsidRPr="00475453">
        <w:rPr>
          <w:rFonts w:cs="Arial"/>
        </w:rPr>
        <w:t>politan</w:t>
      </w:r>
      <w:r w:rsidR="007B19BE" w:rsidRPr="00475453">
        <w:t xml:space="preserve"> areas. Inmarsat in particular </w:t>
      </w:r>
      <w:r w:rsidR="00A60D81">
        <w:t>indicated</w:t>
      </w:r>
      <w:r w:rsidR="007B19BE" w:rsidRPr="00475453">
        <w:t xml:space="preserve"> that </w:t>
      </w:r>
      <w:r w:rsidR="00A579AD">
        <w:t>its</w:t>
      </w:r>
      <w:r w:rsidR="00A579AD" w:rsidRPr="00475453">
        <w:t xml:space="preserve"> </w:t>
      </w:r>
      <w:r w:rsidR="007B19BE" w:rsidRPr="00475453">
        <w:t xml:space="preserve">satellite operations </w:t>
      </w:r>
      <w:r w:rsidR="00BE1C2A">
        <w:t>only occupy</w:t>
      </w:r>
      <w:r w:rsidR="00A60D81">
        <w:t xml:space="preserve"> </w:t>
      </w:r>
      <w:r w:rsidR="007B19BE" w:rsidRPr="00475453">
        <w:t>about half the 3.6 GHz band in Perth</w:t>
      </w:r>
      <w:r w:rsidR="00BE1C2A">
        <w:t xml:space="preserve">, so restrictions on </w:t>
      </w:r>
      <w:r w:rsidR="00BE1C2A" w:rsidRPr="00475453">
        <w:t>wide</w:t>
      </w:r>
      <w:r w:rsidR="00BE1C2A">
        <w:t>-</w:t>
      </w:r>
      <w:r w:rsidR="00BE1C2A" w:rsidRPr="00475453">
        <w:t>area broadband deployments</w:t>
      </w:r>
      <w:r w:rsidR="00BE1C2A">
        <w:t xml:space="preserve"> would largely be limited to that spectrum</w:t>
      </w:r>
      <w:r w:rsidR="007B19BE" w:rsidRPr="00475453">
        <w:t xml:space="preserve">. While </w:t>
      </w:r>
      <w:r w:rsidR="00A579AD">
        <w:t xml:space="preserve">the ACMA has </w:t>
      </w:r>
      <w:r w:rsidR="007B19BE" w:rsidRPr="00475453">
        <w:t xml:space="preserve">considered </w:t>
      </w:r>
      <w:r w:rsidR="00A579AD">
        <w:t xml:space="preserve">this argument carefully, it is not persuaded that </w:t>
      </w:r>
      <w:r w:rsidR="007B19BE" w:rsidRPr="00475453">
        <w:t xml:space="preserve">the </w:t>
      </w:r>
      <w:r w:rsidR="00A579AD">
        <w:t xml:space="preserve">resultant </w:t>
      </w:r>
      <w:r w:rsidR="007B19BE" w:rsidRPr="00475453">
        <w:t>impact on wide</w:t>
      </w:r>
      <w:r w:rsidR="005231EC">
        <w:t>-</w:t>
      </w:r>
      <w:r w:rsidR="007B19BE" w:rsidRPr="00475453">
        <w:t xml:space="preserve">area broadband deployments </w:t>
      </w:r>
      <w:r w:rsidR="00A579AD">
        <w:t>would be</w:t>
      </w:r>
      <w:r w:rsidR="007B19BE" w:rsidRPr="00475453">
        <w:t xml:space="preserve"> warranted. </w:t>
      </w:r>
      <w:r w:rsidR="005231EC">
        <w:t>T</w:t>
      </w:r>
      <w:r w:rsidRPr="00475453">
        <w:t xml:space="preserve">he continued protection of the Inmarsat </w:t>
      </w:r>
      <w:r w:rsidR="00222E73">
        <w:t>e</w:t>
      </w:r>
      <w:r w:rsidRPr="00475453">
        <w:t xml:space="preserve">arth </w:t>
      </w:r>
      <w:r w:rsidR="005231EC">
        <w:t xml:space="preserve">receive facility </w:t>
      </w:r>
      <w:r w:rsidR="007B19BE" w:rsidRPr="00475453">
        <w:t>would mean that most of Perth would be limited to ‘small cell’ deployments rather than ‘macro’ deployments</w:t>
      </w:r>
      <w:r w:rsidR="00DE55AC">
        <w:t>,</w:t>
      </w:r>
      <w:r w:rsidR="007B19BE" w:rsidRPr="00475453">
        <w:t xml:space="preserve"> with a corresponding impact on </w:t>
      </w:r>
      <w:r w:rsidRPr="00475453">
        <w:t xml:space="preserve">the ability of the spectrum to be provided to its highest value use. </w:t>
      </w:r>
      <w:r w:rsidR="00EA2F72">
        <w:t xml:space="preserve">In other words, </w:t>
      </w:r>
      <w:r w:rsidR="005231EC">
        <w:t xml:space="preserve">the opportunity cost </w:t>
      </w:r>
      <w:r w:rsidR="00EA2F72">
        <w:t xml:space="preserve">(of limiting any mobile broadband use in affected areas to small cell deployment) would </w:t>
      </w:r>
      <w:r w:rsidR="001825ED">
        <w:t>be</w:t>
      </w:r>
      <w:r w:rsidR="00EA2F72">
        <w:t xml:space="preserve"> expected to </w:t>
      </w:r>
      <w:r w:rsidR="005231EC">
        <w:t xml:space="preserve">outweigh the </w:t>
      </w:r>
      <w:r w:rsidR="00EA2F72">
        <w:t xml:space="preserve">benefit in terms of </w:t>
      </w:r>
      <w:r w:rsidR="005231EC">
        <w:t xml:space="preserve">the reduction in costs to the incumbent. </w:t>
      </w:r>
    </w:p>
    <w:p w14:paraId="4CAD9B99" w14:textId="77777777" w:rsidR="00AD5039" w:rsidRPr="003C3140" w:rsidRDefault="00AD5039" w:rsidP="003C3140">
      <w:pPr>
        <w:pStyle w:val="Heading3"/>
      </w:pPr>
      <w:bookmarkStart w:id="17" w:name="_Toc496620297"/>
      <w:r w:rsidRPr="003C3140">
        <w:t>Mitigations for incumbents</w:t>
      </w:r>
      <w:bookmarkEnd w:id="17"/>
    </w:p>
    <w:p w14:paraId="3B3718F8" w14:textId="77777777" w:rsidR="00222E73" w:rsidRDefault="00AD5039" w:rsidP="00D37B90">
      <w:pPr>
        <w:pStyle w:val="ACMANumberedList"/>
        <w:numPr>
          <w:ilvl w:val="0"/>
          <w:numId w:val="0"/>
        </w:numPr>
        <w:spacing w:before="0" w:after="80"/>
        <w:rPr>
          <w:rFonts w:ascii="Arial" w:hAnsi="Arial" w:cs="Arial"/>
          <w:sz w:val="20"/>
        </w:rPr>
      </w:pPr>
      <w:r w:rsidRPr="00475453">
        <w:rPr>
          <w:rFonts w:ascii="Arial" w:hAnsi="Arial" w:cs="Arial"/>
          <w:sz w:val="20"/>
        </w:rPr>
        <w:t>A key element of the ACMA</w:t>
      </w:r>
      <w:r w:rsidR="00222E73">
        <w:rPr>
          <w:rFonts w:ascii="Arial" w:hAnsi="Arial" w:cs="Arial"/>
          <w:sz w:val="20"/>
        </w:rPr>
        <w:t>-</w:t>
      </w:r>
      <w:r w:rsidRPr="00475453">
        <w:rPr>
          <w:rFonts w:ascii="Arial" w:hAnsi="Arial" w:cs="Arial"/>
          <w:sz w:val="20"/>
        </w:rPr>
        <w:t>preferred replanning option was the implementation of various mitigation</w:t>
      </w:r>
      <w:r w:rsidR="00996EF3">
        <w:rPr>
          <w:rFonts w:ascii="Arial" w:hAnsi="Arial" w:cs="Arial"/>
          <w:sz w:val="20"/>
        </w:rPr>
        <w:t xml:space="preserve"> strategies</w:t>
      </w:r>
      <w:r w:rsidRPr="00475453">
        <w:rPr>
          <w:rFonts w:ascii="Arial" w:hAnsi="Arial" w:cs="Arial"/>
          <w:sz w:val="20"/>
        </w:rPr>
        <w:t xml:space="preserve"> for incumbents.</w:t>
      </w:r>
      <w:r w:rsidR="00DD289D" w:rsidRPr="00475453">
        <w:rPr>
          <w:rFonts w:ascii="Arial" w:hAnsi="Arial" w:cs="Arial"/>
          <w:sz w:val="20"/>
        </w:rPr>
        <w:t xml:space="preserve"> These mitigations were</w:t>
      </w:r>
      <w:r w:rsidR="005231EC">
        <w:rPr>
          <w:rFonts w:ascii="Arial" w:hAnsi="Arial" w:cs="Arial"/>
          <w:sz w:val="20"/>
        </w:rPr>
        <w:t>:</w:t>
      </w:r>
      <w:r w:rsidR="00DD289D" w:rsidRPr="00475453">
        <w:rPr>
          <w:rFonts w:ascii="Arial" w:hAnsi="Arial" w:cs="Arial"/>
          <w:sz w:val="20"/>
        </w:rPr>
        <w:t xml:space="preserve"> </w:t>
      </w:r>
    </w:p>
    <w:p w14:paraId="4BC5BA82" w14:textId="77777777" w:rsidR="00222E73" w:rsidRPr="00D37B90" w:rsidRDefault="00DD289D" w:rsidP="00D37B90">
      <w:pPr>
        <w:pStyle w:val="ListBullet"/>
      </w:pPr>
      <w:r w:rsidRPr="00475453">
        <w:t xml:space="preserve">the use </w:t>
      </w:r>
      <w:r w:rsidRPr="00D37B90">
        <w:t xml:space="preserve">of extended </w:t>
      </w:r>
      <w:r w:rsidR="00910D48" w:rsidRPr="00D37B90">
        <w:t xml:space="preserve">re-allocation </w:t>
      </w:r>
      <w:r w:rsidRPr="00D37B90">
        <w:t>periods for incumbents</w:t>
      </w:r>
    </w:p>
    <w:p w14:paraId="7B90F3F3" w14:textId="77777777" w:rsidR="00222E73" w:rsidRPr="00D37B90" w:rsidRDefault="00DD289D" w:rsidP="00D37B90">
      <w:pPr>
        <w:pStyle w:val="ListBullet"/>
      </w:pPr>
      <w:r w:rsidRPr="00D37B90">
        <w:t>the identification of alternative spectrum options for apparatus licensed point-to-multipoint uses</w:t>
      </w:r>
    </w:p>
    <w:p w14:paraId="02EBB29C" w14:textId="77777777" w:rsidR="00222E73" w:rsidRDefault="00BE1C2A" w:rsidP="00D37B90">
      <w:pPr>
        <w:pStyle w:val="ListBullet"/>
      </w:pPr>
      <w:r w:rsidRPr="00D37B90">
        <w:t>the ability of affected apparatus licensees to negotiate ongoing access to the band via third</w:t>
      </w:r>
      <w:r w:rsidR="00222E73" w:rsidRPr="00D37B90">
        <w:t>-</w:t>
      </w:r>
      <w:r w:rsidRPr="00D37B90">
        <w:t>party arrangements</w:t>
      </w:r>
      <w:r>
        <w:t xml:space="preserve"> with spectrum licensees in the area</w:t>
      </w:r>
    </w:p>
    <w:p w14:paraId="272FAB91" w14:textId="77777777" w:rsidR="00DD289D" w:rsidRPr="00475453" w:rsidRDefault="00DD289D" w:rsidP="00D37B90">
      <w:pPr>
        <w:pStyle w:val="ListBulletLast"/>
      </w:pPr>
      <w:proofErr w:type="gramStart"/>
      <w:r w:rsidRPr="00475453">
        <w:t>the</w:t>
      </w:r>
      <w:proofErr w:type="gramEnd"/>
      <w:r w:rsidRPr="00475453">
        <w:t xml:space="preserve"> identification of </w:t>
      </w:r>
      <w:r w:rsidR="00222E73">
        <w:t>e</w:t>
      </w:r>
      <w:r w:rsidRPr="00475453">
        <w:t>arth station protection zone</w:t>
      </w:r>
      <w:r w:rsidR="0084382A">
        <w:t>s</w:t>
      </w:r>
      <w:r w:rsidRPr="00475453">
        <w:t xml:space="preserve"> in regional Australia to allow the geographic relocation of metropolitan </w:t>
      </w:r>
      <w:r w:rsidR="00222E73">
        <w:t>e</w:t>
      </w:r>
      <w:r w:rsidRPr="00475453">
        <w:t>arth stations that require protected access to the 3.6 GHz band.</w:t>
      </w:r>
      <w:r w:rsidR="00336E17">
        <w:t xml:space="preserve"> </w:t>
      </w:r>
    </w:p>
    <w:p w14:paraId="6AD5A98D" w14:textId="77777777" w:rsidR="00AD5039" w:rsidRPr="003C3140" w:rsidRDefault="00DD289D" w:rsidP="00D37B90">
      <w:pPr>
        <w:pStyle w:val="BodySubHeader"/>
      </w:pPr>
      <w:r w:rsidRPr="003C3140">
        <w:t xml:space="preserve">Extended </w:t>
      </w:r>
      <w:r w:rsidR="00910D48">
        <w:t>re-allocation</w:t>
      </w:r>
      <w:r w:rsidR="00910D48" w:rsidRPr="003C3140">
        <w:t xml:space="preserve"> </w:t>
      </w:r>
      <w:r w:rsidRPr="003C3140">
        <w:t>periods</w:t>
      </w:r>
      <w:r w:rsidR="00336E17">
        <w:t xml:space="preserve">  </w:t>
      </w:r>
    </w:p>
    <w:p w14:paraId="21D668D5" w14:textId="77777777" w:rsidR="00A529A3" w:rsidRPr="00475453" w:rsidRDefault="0084382A" w:rsidP="00D37B90">
      <w:pPr>
        <w:rPr>
          <w:lang w:eastAsia="en-US"/>
        </w:rPr>
      </w:pPr>
      <w:r>
        <w:rPr>
          <w:lang w:eastAsia="en-US"/>
        </w:rPr>
        <w:t>I</w:t>
      </w:r>
      <w:r w:rsidR="00A529A3" w:rsidRPr="00475453">
        <w:rPr>
          <w:lang w:eastAsia="en-US"/>
        </w:rPr>
        <w:t xml:space="preserve">ncumbents provide a range of </w:t>
      </w:r>
      <w:r>
        <w:rPr>
          <w:lang w:eastAsia="en-US"/>
        </w:rPr>
        <w:t>existing</w:t>
      </w:r>
      <w:r w:rsidR="00A529A3" w:rsidRPr="00475453">
        <w:rPr>
          <w:lang w:eastAsia="en-US"/>
        </w:rPr>
        <w:t xml:space="preserve"> services using either relatively recently installed infrastructure of modest cost (</w:t>
      </w:r>
      <w:r w:rsidR="00D37B90">
        <w:rPr>
          <w:lang w:eastAsia="en-US"/>
        </w:rPr>
        <w:t>for example,</w:t>
      </w:r>
      <w:r w:rsidR="00A529A3" w:rsidRPr="00475453">
        <w:rPr>
          <w:lang w:eastAsia="en-US"/>
        </w:rPr>
        <w:t xml:space="preserve"> point-to-multipoint services) or expensive long standing infrastructure that requires extended periods to relocate (</w:t>
      </w:r>
      <w:r w:rsidR="00D37B90">
        <w:rPr>
          <w:lang w:eastAsia="en-US"/>
        </w:rPr>
        <w:t>for example,</w:t>
      </w:r>
      <w:r w:rsidR="00A529A3" w:rsidRPr="00475453">
        <w:rPr>
          <w:lang w:eastAsia="en-US"/>
        </w:rPr>
        <w:t xml:space="preserve"> </w:t>
      </w:r>
      <w:r w:rsidR="00D37B90">
        <w:rPr>
          <w:lang w:eastAsia="en-US"/>
        </w:rPr>
        <w:t>e</w:t>
      </w:r>
      <w:r w:rsidR="00A529A3" w:rsidRPr="00475453">
        <w:rPr>
          <w:lang w:eastAsia="en-US"/>
        </w:rPr>
        <w:t xml:space="preserve">arth stations). In both cases, in order to facilitate the continued delivery of these services and/or allow </w:t>
      </w:r>
      <w:r w:rsidR="005231EC" w:rsidRPr="00475453">
        <w:rPr>
          <w:lang w:eastAsia="en-US"/>
        </w:rPr>
        <w:t>a</w:t>
      </w:r>
      <w:r w:rsidR="00A529A3" w:rsidRPr="00475453">
        <w:rPr>
          <w:lang w:eastAsia="en-US"/>
        </w:rPr>
        <w:t xml:space="preserve"> reasonable opportunity to recoup investments, extended </w:t>
      </w:r>
      <w:r w:rsidR="00910D48">
        <w:rPr>
          <w:lang w:eastAsia="en-US"/>
        </w:rPr>
        <w:t>re-allocation</w:t>
      </w:r>
      <w:r w:rsidR="00910D48" w:rsidRPr="00475453">
        <w:rPr>
          <w:lang w:eastAsia="en-US"/>
        </w:rPr>
        <w:t xml:space="preserve"> </w:t>
      </w:r>
      <w:r w:rsidR="00A529A3" w:rsidRPr="00475453">
        <w:rPr>
          <w:lang w:eastAsia="en-US"/>
        </w:rPr>
        <w:t>periods have been considered in most areas.</w:t>
      </w:r>
      <w:r w:rsidR="00336E17">
        <w:rPr>
          <w:lang w:eastAsia="en-US"/>
        </w:rPr>
        <w:t xml:space="preserve"> </w:t>
      </w:r>
    </w:p>
    <w:p w14:paraId="3980685B" w14:textId="77777777" w:rsidR="00A529A3" w:rsidRPr="00475453" w:rsidRDefault="00A529A3" w:rsidP="00D37B90">
      <w:pPr>
        <w:rPr>
          <w:lang w:eastAsia="en-US"/>
        </w:rPr>
      </w:pPr>
      <w:r w:rsidRPr="00475453">
        <w:rPr>
          <w:lang w:eastAsia="en-US"/>
        </w:rPr>
        <w:t xml:space="preserve">The exact duration of such an extended </w:t>
      </w:r>
      <w:r w:rsidR="00910D48">
        <w:rPr>
          <w:lang w:eastAsia="en-US"/>
        </w:rPr>
        <w:t>re-allocation</w:t>
      </w:r>
      <w:r w:rsidR="00910D48" w:rsidRPr="00475453">
        <w:rPr>
          <w:lang w:eastAsia="en-US"/>
        </w:rPr>
        <w:t xml:space="preserve"> </w:t>
      </w:r>
      <w:r w:rsidRPr="00475453">
        <w:rPr>
          <w:lang w:eastAsia="en-US"/>
        </w:rPr>
        <w:t xml:space="preserve">period is a matter of judgement. The proposed periods seek a balance </w:t>
      </w:r>
      <w:r w:rsidR="0084382A">
        <w:rPr>
          <w:lang w:eastAsia="en-US"/>
        </w:rPr>
        <w:t>between</w:t>
      </w:r>
      <w:r w:rsidRPr="00475453">
        <w:rPr>
          <w:lang w:eastAsia="en-US"/>
        </w:rPr>
        <w:t xml:space="preserve"> rapid </w:t>
      </w:r>
      <w:proofErr w:type="gramStart"/>
      <w:r w:rsidRPr="00475453">
        <w:rPr>
          <w:lang w:eastAsia="en-US"/>
        </w:rPr>
        <w:t>access</w:t>
      </w:r>
      <w:proofErr w:type="gramEnd"/>
      <w:r w:rsidRPr="00475453">
        <w:rPr>
          <w:lang w:eastAsia="en-US"/>
        </w:rPr>
        <w:t xml:space="preserve"> in areas likely to have early wide</w:t>
      </w:r>
      <w:r w:rsidR="00222E73">
        <w:rPr>
          <w:lang w:eastAsia="en-US"/>
        </w:rPr>
        <w:t>-</w:t>
      </w:r>
      <w:r w:rsidRPr="00475453">
        <w:rPr>
          <w:lang w:eastAsia="en-US"/>
        </w:rPr>
        <w:t>area broadband deployments (metro</w:t>
      </w:r>
      <w:r w:rsidR="005231EC" w:rsidRPr="00475453">
        <w:t>politan</w:t>
      </w:r>
      <w:r w:rsidRPr="00475453">
        <w:rPr>
          <w:lang w:eastAsia="en-US"/>
        </w:rPr>
        <w:t xml:space="preserve"> areas)</w:t>
      </w:r>
      <w:r w:rsidR="00D37B90">
        <w:rPr>
          <w:lang w:eastAsia="en-US"/>
        </w:rPr>
        <w:t>,</w:t>
      </w:r>
      <w:r w:rsidRPr="00475453">
        <w:rPr>
          <w:lang w:eastAsia="en-US"/>
        </w:rPr>
        <w:t xml:space="preserve"> while providing </w:t>
      </w:r>
      <w:r w:rsidR="00996EF3">
        <w:rPr>
          <w:lang w:eastAsia="en-US"/>
        </w:rPr>
        <w:t>longer</w:t>
      </w:r>
      <w:r w:rsidRPr="00475453">
        <w:rPr>
          <w:lang w:eastAsia="en-US"/>
        </w:rPr>
        <w:t xml:space="preserve"> </w:t>
      </w:r>
      <w:r w:rsidR="00910D48">
        <w:rPr>
          <w:lang w:eastAsia="en-US"/>
        </w:rPr>
        <w:t>re-allocation</w:t>
      </w:r>
      <w:r w:rsidR="00910D48" w:rsidRPr="00475453">
        <w:rPr>
          <w:lang w:eastAsia="en-US"/>
        </w:rPr>
        <w:t xml:space="preserve"> </w:t>
      </w:r>
      <w:r w:rsidRPr="00475453">
        <w:rPr>
          <w:lang w:eastAsia="en-US"/>
        </w:rPr>
        <w:t>periods in areas where broadband deployments are likely to take longer</w:t>
      </w:r>
      <w:r w:rsidR="00996EF3">
        <w:rPr>
          <w:lang w:eastAsia="en-US"/>
        </w:rPr>
        <w:t xml:space="preserve"> to occur</w:t>
      </w:r>
      <w:r w:rsidRPr="00475453">
        <w:rPr>
          <w:lang w:eastAsia="en-US"/>
        </w:rPr>
        <w:t xml:space="preserve"> (regional areas). </w:t>
      </w:r>
    </w:p>
    <w:p w14:paraId="0E302EA6" w14:textId="77777777" w:rsidR="00AD5039" w:rsidRPr="00475453" w:rsidRDefault="00A529A3" w:rsidP="00D37B90">
      <w:r w:rsidRPr="00475453">
        <w:t xml:space="preserve">Based on information received </w:t>
      </w:r>
      <w:r w:rsidR="00300745">
        <w:t>to the</w:t>
      </w:r>
      <w:r w:rsidRPr="00475453">
        <w:t xml:space="preserve"> </w:t>
      </w:r>
      <w:r w:rsidR="00DB1504">
        <w:t>O</w:t>
      </w:r>
      <w:r w:rsidRPr="00475453">
        <w:t>ptions paper, the ACMA has revisited its initial proposals for a uniform seven year re</w:t>
      </w:r>
      <w:r w:rsidR="00910D48">
        <w:t>-</w:t>
      </w:r>
      <w:r w:rsidRPr="00475453">
        <w:t>allocation period in both metro</w:t>
      </w:r>
      <w:r w:rsidR="005231EC" w:rsidRPr="00475453">
        <w:t>politan</w:t>
      </w:r>
      <w:r w:rsidRPr="00475453">
        <w:t xml:space="preserve"> and regional Australia</w:t>
      </w:r>
      <w:r w:rsidR="00BE1C2A">
        <w:t xml:space="preserve"> (as described in Annex C)</w:t>
      </w:r>
      <w:r w:rsidRPr="00475453">
        <w:t>. Instead, the ACMA is proposing</w:t>
      </w:r>
      <w:r w:rsidR="00AD5039" w:rsidRPr="00475453">
        <w:t xml:space="preserve"> re</w:t>
      </w:r>
      <w:r w:rsidR="00BE1C2A">
        <w:t>-</w:t>
      </w:r>
      <w:r w:rsidR="00AD5039" w:rsidRPr="00475453">
        <w:t xml:space="preserve">allocation periods of </w:t>
      </w:r>
      <w:r w:rsidR="00954A75">
        <w:t>two</w:t>
      </w:r>
      <w:r w:rsidR="00AD5039" w:rsidRPr="00475453">
        <w:t xml:space="preserve"> years in metro</w:t>
      </w:r>
      <w:r w:rsidR="005231EC" w:rsidRPr="00475453">
        <w:t>politan</w:t>
      </w:r>
      <w:r w:rsidR="00AD5039" w:rsidRPr="00475453">
        <w:t xml:space="preserve"> areas (</w:t>
      </w:r>
      <w:r w:rsidR="00300745">
        <w:t>Area 1</w:t>
      </w:r>
      <w:r w:rsidR="00BE1C2A">
        <w:t>A</w:t>
      </w:r>
      <w:r w:rsidR="00300745">
        <w:t xml:space="preserve">), </w:t>
      </w:r>
      <w:r w:rsidR="00AD5039" w:rsidRPr="00475453">
        <w:t>except for</w:t>
      </w:r>
      <w:r w:rsidR="00300745">
        <w:t xml:space="preserve"> Perth </w:t>
      </w:r>
      <w:r w:rsidR="00BE1C2A">
        <w:t xml:space="preserve">(Area 1B) </w:t>
      </w:r>
      <w:r w:rsidR="00300745">
        <w:t>where</w:t>
      </w:r>
      <w:r w:rsidR="00AD5039" w:rsidRPr="00475453">
        <w:t xml:space="preserve"> </w:t>
      </w:r>
      <w:r w:rsidR="00954A75">
        <w:t>five</w:t>
      </w:r>
      <w:r w:rsidR="00AD5039" w:rsidRPr="00475453">
        <w:t xml:space="preserve"> years </w:t>
      </w:r>
      <w:r w:rsidR="00300745">
        <w:t>is proposed</w:t>
      </w:r>
      <w:r w:rsidR="00DE55AC">
        <w:t>,</w:t>
      </w:r>
      <w:r w:rsidR="00C858E3">
        <w:t xml:space="preserve"> and</w:t>
      </w:r>
      <w:r w:rsidR="00AD5039" w:rsidRPr="00475453">
        <w:t xml:space="preserve"> </w:t>
      </w:r>
      <w:r w:rsidR="00954A75">
        <w:t>seven</w:t>
      </w:r>
      <w:r w:rsidR="00AD5039" w:rsidRPr="00475453">
        <w:t xml:space="preserve"> years in ‘metro plus’ </w:t>
      </w:r>
      <w:r w:rsidR="00300745">
        <w:t>(Area 2)</w:t>
      </w:r>
      <w:r w:rsidR="00AD5039" w:rsidRPr="00475453">
        <w:t xml:space="preserve"> and regional </w:t>
      </w:r>
      <w:r w:rsidR="00C858E3">
        <w:t xml:space="preserve">areas of </w:t>
      </w:r>
      <w:r w:rsidR="00AD5039" w:rsidRPr="00475453">
        <w:t>Australia</w:t>
      </w:r>
      <w:r w:rsidR="00300745">
        <w:t xml:space="preserve"> (Area 3)</w:t>
      </w:r>
      <w:r w:rsidR="00AD5039" w:rsidRPr="00475453">
        <w:t xml:space="preserve">. While spectrum licences would commence before the end of this period, existing apparatus licensed users could, at their discretion, continue to operate (and be protected) throughout this period, though new assignment would be </w:t>
      </w:r>
      <w:r w:rsidR="00485735">
        <w:t xml:space="preserve">restricted by section 153P of the </w:t>
      </w:r>
      <w:r w:rsidR="00485735" w:rsidRPr="00D37B90">
        <w:rPr>
          <w:i/>
        </w:rPr>
        <w:t>Radiocommunications Act 1992</w:t>
      </w:r>
      <w:r w:rsidR="00485735">
        <w:t xml:space="preserve"> (the Act)</w:t>
      </w:r>
      <w:r w:rsidR="00AD5039" w:rsidRPr="00475453">
        <w:t xml:space="preserve">. </w:t>
      </w:r>
      <w:r w:rsidR="00300745">
        <w:t>It is important to note that</w:t>
      </w:r>
      <w:r w:rsidR="00996EF3">
        <w:t xml:space="preserve"> the setting of an appropriate re-allocation period or periods will be a matter for the </w:t>
      </w:r>
      <w:r w:rsidR="00D37B90">
        <w:t>m</w:t>
      </w:r>
      <w:r w:rsidR="00996EF3">
        <w:t>inister to decide if and when he</w:t>
      </w:r>
      <w:r w:rsidR="00300745">
        <w:t xml:space="preserve"> makes a re-allocation declaration for the 3.6 GHz band under section 153B of the Act.</w:t>
      </w:r>
      <w:r w:rsidR="00336E17">
        <w:t xml:space="preserve"> </w:t>
      </w:r>
    </w:p>
    <w:p w14:paraId="697A43A2" w14:textId="77777777" w:rsidR="00A529A3" w:rsidRPr="00475453" w:rsidRDefault="00A529A3" w:rsidP="00D37B90">
      <w:pPr>
        <w:rPr>
          <w:lang w:eastAsia="en-US"/>
        </w:rPr>
      </w:pPr>
      <w:r w:rsidRPr="00475453">
        <w:rPr>
          <w:lang w:eastAsia="en-US"/>
        </w:rPr>
        <w:t xml:space="preserve">The </w:t>
      </w:r>
      <w:r w:rsidR="00300745">
        <w:rPr>
          <w:lang w:eastAsia="en-US"/>
        </w:rPr>
        <w:t xml:space="preserve">statutory </w:t>
      </w:r>
      <w:r w:rsidRPr="00475453">
        <w:rPr>
          <w:lang w:eastAsia="en-US"/>
        </w:rPr>
        <w:t>minimum two</w:t>
      </w:r>
      <w:r w:rsidR="00D37B90">
        <w:rPr>
          <w:lang w:eastAsia="en-US"/>
        </w:rPr>
        <w:t>-</w:t>
      </w:r>
      <w:r w:rsidRPr="00475453">
        <w:rPr>
          <w:lang w:eastAsia="en-US"/>
        </w:rPr>
        <w:t>year re</w:t>
      </w:r>
      <w:r w:rsidR="00910D48">
        <w:rPr>
          <w:lang w:eastAsia="en-US"/>
        </w:rPr>
        <w:t>-</w:t>
      </w:r>
      <w:r w:rsidRPr="00475453">
        <w:rPr>
          <w:lang w:eastAsia="en-US"/>
        </w:rPr>
        <w:t>allocation period in metro</w:t>
      </w:r>
      <w:r w:rsidR="005231EC" w:rsidRPr="00475453">
        <w:t>politan</w:t>
      </w:r>
      <w:r w:rsidRPr="00475453">
        <w:rPr>
          <w:lang w:eastAsia="en-US"/>
        </w:rPr>
        <w:t xml:space="preserve"> areas (other than Perth) maximise</w:t>
      </w:r>
      <w:r w:rsidR="00954A75">
        <w:rPr>
          <w:lang w:eastAsia="en-US"/>
        </w:rPr>
        <w:t>s</w:t>
      </w:r>
      <w:r w:rsidRPr="00475453">
        <w:rPr>
          <w:lang w:eastAsia="en-US"/>
        </w:rPr>
        <w:t xml:space="preserve"> the early opportunity for new services in these areas</w:t>
      </w:r>
      <w:r w:rsidR="00300745">
        <w:rPr>
          <w:lang w:eastAsia="en-US"/>
        </w:rPr>
        <w:t>. It will have</w:t>
      </w:r>
      <w:r w:rsidRPr="00475453">
        <w:rPr>
          <w:lang w:eastAsia="en-US"/>
        </w:rPr>
        <w:t xml:space="preserve"> a low impact on incumbent</w:t>
      </w:r>
      <w:r w:rsidR="00954A75">
        <w:rPr>
          <w:lang w:eastAsia="en-US"/>
        </w:rPr>
        <w:t>s</w:t>
      </w:r>
      <w:r w:rsidRPr="00475453">
        <w:rPr>
          <w:lang w:eastAsia="en-US"/>
        </w:rPr>
        <w:t xml:space="preserve"> due to the </w:t>
      </w:r>
      <w:r w:rsidR="00300745">
        <w:rPr>
          <w:lang w:eastAsia="en-US"/>
        </w:rPr>
        <w:t xml:space="preserve">small number of </w:t>
      </w:r>
      <w:r w:rsidRPr="00475453">
        <w:rPr>
          <w:lang w:eastAsia="en-US"/>
        </w:rPr>
        <w:t>pre-existing licensed use</w:t>
      </w:r>
      <w:r w:rsidR="0084382A">
        <w:rPr>
          <w:lang w:eastAsia="en-US"/>
        </w:rPr>
        <w:t>rs</w:t>
      </w:r>
      <w:r w:rsidRPr="00475453">
        <w:rPr>
          <w:lang w:eastAsia="en-US"/>
        </w:rPr>
        <w:t xml:space="preserve"> of the band in these areas</w:t>
      </w:r>
      <w:r w:rsidR="00485735">
        <w:rPr>
          <w:lang w:eastAsia="en-US"/>
        </w:rPr>
        <w:t xml:space="preserve"> and the ability of incumbent earth station licensees to migrate services out of the 3.6 GHz band</w:t>
      </w:r>
      <w:r w:rsidRPr="00475453">
        <w:rPr>
          <w:lang w:eastAsia="en-US"/>
        </w:rPr>
        <w:t>. The five</w:t>
      </w:r>
      <w:r w:rsidR="00D37B90">
        <w:rPr>
          <w:lang w:eastAsia="en-US"/>
        </w:rPr>
        <w:t>-</w:t>
      </w:r>
      <w:r w:rsidRPr="00475453">
        <w:rPr>
          <w:lang w:eastAsia="en-US"/>
        </w:rPr>
        <w:t>year (rather than two</w:t>
      </w:r>
      <w:r w:rsidR="00D37B90">
        <w:rPr>
          <w:lang w:eastAsia="en-US"/>
        </w:rPr>
        <w:t>-</w:t>
      </w:r>
      <w:r w:rsidRPr="00475453">
        <w:rPr>
          <w:lang w:eastAsia="en-US"/>
        </w:rPr>
        <w:t>year) period in Perth is</w:t>
      </w:r>
      <w:r w:rsidR="00300745">
        <w:rPr>
          <w:lang w:eastAsia="en-US"/>
        </w:rPr>
        <w:t xml:space="preserve"> proposed</w:t>
      </w:r>
      <w:r w:rsidRPr="00475453">
        <w:rPr>
          <w:lang w:eastAsia="en-US"/>
        </w:rPr>
        <w:t xml:space="preserve"> </w:t>
      </w:r>
      <w:r w:rsidR="00300745">
        <w:rPr>
          <w:lang w:eastAsia="en-US"/>
        </w:rPr>
        <w:t xml:space="preserve">to provide </w:t>
      </w:r>
      <w:r w:rsidRPr="00475453">
        <w:rPr>
          <w:lang w:eastAsia="en-US"/>
        </w:rPr>
        <w:t xml:space="preserve">time </w:t>
      </w:r>
      <w:r w:rsidR="00300745">
        <w:rPr>
          <w:lang w:eastAsia="en-US"/>
        </w:rPr>
        <w:t xml:space="preserve">for </w:t>
      </w:r>
      <w:r w:rsidR="00910D48">
        <w:rPr>
          <w:lang w:eastAsia="en-US"/>
        </w:rPr>
        <w:t>one</w:t>
      </w:r>
      <w:r w:rsidR="00300745">
        <w:rPr>
          <w:lang w:eastAsia="en-US"/>
        </w:rPr>
        <w:t xml:space="preserve"> incumbent </w:t>
      </w:r>
      <w:r w:rsidR="00D37B90">
        <w:rPr>
          <w:lang w:eastAsia="en-US"/>
        </w:rPr>
        <w:t>e</w:t>
      </w:r>
      <w:r w:rsidR="00300745">
        <w:rPr>
          <w:lang w:eastAsia="en-US"/>
        </w:rPr>
        <w:t xml:space="preserve">arth station operator </w:t>
      </w:r>
      <w:r w:rsidR="00910D48">
        <w:rPr>
          <w:lang w:eastAsia="en-US"/>
        </w:rPr>
        <w:t xml:space="preserve">that cannot migrate services out of the 3.6 GHz band, </w:t>
      </w:r>
      <w:r w:rsidR="00300745">
        <w:rPr>
          <w:lang w:eastAsia="en-US"/>
        </w:rPr>
        <w:t>to plan and implement</w:t>
      </w:r>
      <w:r w:rsidRPr="00475453">
        <w:rPr>
          <w:lang w:eastAsia="en-US"/>
        </w:rPr>
        <w:t xml:space="preserve"> alternative arrangements. Five years was chosen as a balance of sufficient time for relocation</w:t>
      </w:r>
      <w:r w:rsidR="00D37B90">
        <w:rPr>
          <w:lang w:eastAsia="en-US"/>
        </w:rPr>
        <w:t>,</w:t>
      </w:r>
      <w:r w:rsidRPr="00475453">
        <w:rPr>
          <w:lang w:eastAsia="en-US"/>
        </w:rPr>
        <w:t xml:space="preserve"> while minimising the impact protection of this facility would have on </w:t>
      </w:r>
      <w:r w:rsidR="0084382A">
        <w:rPr>
          <w:lang w:eastAsia="en-US"/>
        </w:rPr>
        <w:t xml:space="preserve">availability of </w:t>
      </w:r>
      <w:r w:rsidRPr="00475453">
        <w:rPr>
          <w:lang w:eastAsia="en-US"/>
        </w:rPr>
        <w:t>new services</w:t>
      </w:r>
      <w:r w:rsidR="0084382A">
        <w:rPr>
          <w:lang w:eastAsia="en-US"/>
        </w:rPr>
        <w:t xml:space="preserve"> in Perth</w:t>
      </w:r>
      <w:r w:rsidRPr="00475453">
        <w:rPr>
          <w:lang w:eastAsia="en-US"/>
        </w:rPr>
        <w:t xml:space="preserve">. </w:t>
      </w:r>
      <w:r w:rsidR="00C72898">
        <w:rPr>
          <w:lang w:eastAsia="en-US"/>
        </w:rPr>
        <w:t>T</w:t>
      </w:r>
      <w:r w:rsidR="00DF120D">
        <w:rPr>
          <w:lang w:eastAsia="en-US"/>
        </w:rPr>
        <w:t>he c</w:t>
      </w:r>
      <w:r w:rsidRPr="00475453">
        <w:rPr>
          <w:lang w:eastAsia="en-US"/>
        </w:rPr>
        <w:t xml:space="preserve">ontinued </w:t>
      </w:r>
      <w:r w:rsidR="00DF120D">
        <w:rPr>
          <w:lang w:eastAsia="en-US"/>
        </w:rPr>
        <w:t xml:space="preserve">operation and </w:t>
      </w:r>
      <w:r w:rsidRPr="00475453">
        <w:rPr>
          <w:lang w:eastAsia="en-US"/>
        </w:rPr>
        <w:t>protect</w:t>
      </w:r>
      <w:r w:rsidR="00DF120D">
        <w:rPr>
          <w:lang w:eastAsia="en-US"/>
        </w:rPr>
        <w:t>ion of the facility</w:t>
      </w:r>
      <w:r w:rsidRPr="00475453">
        <w:rPr>
          <w:lang w:eastAsia="en-US"/>
        </w:rPr>
        <w:t xml:space="preserve"> </w:t>
      </w:r>
      <w:r w:rsidR="00C72898">
        <w:rPr>
          <w:lang w:eastAsia="en-US"/>
        </w:rPr>
        <w:t xml:space="preserve">beyond this time </w:t>
      </w:r>
      <w:r w:rsidRPr="00475453">
        <w:rPr>
          <w:lang w:eastAsia="en-US"/>
        </w:rPr>
        <w:t xml:space="preserve">would severely </w:t>
      </w:r>
      <w:r w:rsidR="00954A75">
        <w:rPr>
          <w:lang w:eastAsia="en-US"/>
        </w:rPr>
        <w:t>affect</w:t>
      </w:r>
      <w:r w:rsidR="00954A75" w:rsidRPr="00475453">
        <w:rPr>
          <w:lang w:eastAsia="en-US"/>
        </w:rPr>
        <w:t xml:space="preserve"> </w:t>
      </w:r>
      <w:r w:rsidRPr="00475453">
        <w:rPr>
          <w:lang w:eastAsia="en-US"/>
        </w:rPr>
        <w:t xml:space="preserve">the </w:t>
      </w:r>
      <w:r w:rsidR="00C72898">
        <w:rPr>
          <w:lang w:eastAsia="en-US"/>
        </w:rPr>
        <w:t>availability</w:t>
      </w:r>
      <w:r w:rsidRPr="00475453">
        <w:rPr>
          <w:lang w:eastAsia="en-US"/>
        </w:rPr>
        <w:t xml:space="preserve"> of wide</w:t>
      </w:r>
      <w:r w:rsidR="00222E73">
        <w:rPr>
          <w:lang w:eastAsia="en-US"/>
        </w:rPr>
        <w:t>-</w:t>
      </w:r>
      <w:r w:rsidRPr="00475453">
        <w:rPr>
          <w:lang w:eastAsia="en-US"/>
        </w:rPr>
        <w:t xml:space="preserve">area broadband services in this spectrum in </w:t>
      </w:r>
      <w:r w:rsidR="0084382A">
        <w:rPr>
          <w:lang w:eastAsia="en-US"/>
        </w:rPr>
        <w:t xml:space="preserve">the </w:t>
      </w:r>
      <w:r w:rsidRPr="00475453">
        <w:rPr>
          <w:lang w:eastAsia="en-US"/>
        </w:rPr>
        <w:t>Perth area.</w:t>
      </w:r>
      <w:r w:rsidR="00336E17">
        <w:rPr>
          <w:lang w:eastAsia="en-US"/>
        </w:rPr>
        <w:t xml:space="preserve"> </w:t>
      </w:r>
    </w:p>
    <w:p w14:paraId="128199F0" w14:textId="77777777" w:rsidR="00D47C99" w:rsidRPr="00475453" w:rsidRDefault="00D47C99" w:rsidP="00D37B90">
      <w:pPr>
        <w:rPr>
          <w:lang w:eastAsia="en-US"/>
        </w:rPr>
      </w:pPr>
      <w:r w:rsidRPr="00475453">
        <w:rPr>
          <w:lang w:eastAsia="en-US"/>
        </w:rPr>
        <w:t xml:space="preserve">The extended </w:t>
      </w:r>
      <w:r w:rsidR="00910D48">
        <w:rPr>
          <w:lang w:eastAsia="en-US"/>
        </w:rPr>
        <w:t>re-allocation</w:t>
      </w:r>
      <w:r w:rsidR="00910D48" w:rsidRPr="00475453">
        <w:rPr>
          <w:lang w:eastAsia="en-US"/>
        </w:rPr>
        <w:t xml:space="preserve"> </w:t>
      </w:r>
      <w:r w:rsidRPr="00475453">
        <w:rPr>
          <w:lang w:eastAsia="en-US"/>
        </w:rPr>
        <w:t>period</w:t>
      </w:r>
      <w:r w:rsidR="00C858E3">
        <w:rPr>
          <w:lang w:eastAsia="en-US"/>
        </w:rPr>
        <w:t xml:space="preserve"> of seven</w:t>
      </w:r>
      <w:r w:rsidR="00954A75" w:rsidRPr="00475453">
        <w:rPr>
          <w:lang w:eastAsia="en-US"/>
        </w:rPr>
        <w:t xml:space="preserve"> </w:t>
      </w:r>
      <w:r w:rsidRPr="00475453">
        <w:rPr>
          <w:lang w:eastAsia="en-US"/>
        </w:rPr>
        <w:t>years in regional areas will allow market mechanisms to be used if new 3.6 GHz band spectrum licence holders seek to use spectrum in an area occupied by an incumbent apparatus</w:t>
      </w:r>
      <w:r w:rsidR="00D37B90">
        <w:rPr>
          <w:lang w:eastAsia="en-US"/>
        </w:rPr>
        <w:t>-</w:t>
      </w:r>
      <w:r w:rsidRPr="00475453">
        <w:rPr>
          <w:lang w:eastAsia="en-US"/>
        </w:rPr>
        <w:t>licensed spectrum user</w:t>
      </w:r>
      <w:r w:rsidR="00954A75">
        <w:rPr>
          <w:lang w:eastAsia="en-US"/>
        </w:rPr>
        <w:t xml:space="preserve"> prior to the end of the </w:t>
      </w:r>
      <w:r w:rsidR="00910D48">
        <w:rPr>
          <w:lang w:eastAsia="en-US"/>
        </w:rPr>
        <w:t>re-allocation</w:t>
      </w:r>
      <w:r w:rsidR="00954A75">
        <w:rPr>
          <w:lang w:eastAsia="en-US"/>
        </w:rPr>
        <w:t xml:space="preserve"> period</w:t>
      </w:r>
      <w:r w:rsidRPr="00475453">
        <w:rPr>
          <w:lang w:eastAsia="en-US"/>
        </w:rPr>
        <w:t>. Similarly, market mechanisms could be used for incumbent spectrum users to</w:t>
      </w:r>
      <w:r w:rsidR="00DF120D">
        <w:rPr>
          <w:lang w:eastAsia="en-US"/>
        </w:rPr>
        <w:t xml:space="preserve"> support continued operation in the band</w:t>
      </w:r>
      <w:r w:rsidRPr="00475453">
        <w:rPr>
          <w:lang w:eastAsia="en-US"/>
        </w:rPr>
        <w:t xml:space="preserve"> (</w:t>
      </w:r>
      <w:r w:rsidR="00D37B90">
        <w:rPr>
          <w:lang w:eastAsia="en-US"/>
        </w:rPr>
        <w:t>for example,</w:t>
      </w:r>
      <w:r w:rsidRPr="00475453">
        <w:rPr>
          <w:lang w:eastAsia="en-US"/>
        </w:rPr>
        <w:t xml:space="preserve"> an incumbent apparatus licensee could negotiate with a ‘new’ spectrum licensee to continue services</w:t>
      </w:r>
      <w:r w:rsidR="00954A75">
        <w:rPr>
          <w:lang w:eastAsia="en-US"/>
        </w:rPr>
        <w:t xml:space="preserve"> beyond the </w:t>
      </w:r>
      <w:r w:rsidR="00910D48">
        <w:rPr>
          <w:lang w:eastAsia="en-US"/>
        </w:rPr>
        <w:t xml:space="preserve">re-allocation </w:t>
      </w:r>
      <w:r w:rsidR="00954A75">
        <w:rPr>
          <w:lang w:eastAsia="en-US"/>
        </w:rPr>
        <w:t>period</w:t>
      </w:r>
      <w:r w:rsidRPr="00475453">
        <w:rPr>
          <w:lang w:eastAsia="en-US"/>
        </w:rPr>
        <w:t xml:space="preserve"> if mutually agreed).</w:t>
      </w:r>
    </w:p>
    <w:p w14:paraId="10FB37E0" w14:textId="77777777" w:rsidR="00DD289D" w:rsidRPr="003C3140" w:rsidRDefault="00DD289D" w:rsidP="00D37B90">
      <w:pPr>
        <w:pStyle w:val="BodySubHeader"/>
      </w:pPr>
      <w:r w:rsidRPr="003C3140">
        <w:t xml:space="preserve">Alternative spectrum options for apparatus licensed point-to-multipoint </w:t>
      </w:r>
    </w:p>
    <w:p w14:paraId="109B3BE2" w14:textId="77777777" w:rsidR="009D6702" w:rsidRPr="00475453" w:rsidRDefault="002A1689" w:rsidP="00D37B90">
      <w:pPr>
        <w:rPr>
          <w:lang w:eastAsia="en-US"/>
        </w:rPr>
      </w:pPr>
      <w:r w:rsidRPr="00475453">
        <w:rPr>
          <w:lang w:eastAsia="en-US"/>
        </w:rPr>
        <w:t>The identification, where possible, of alternative site</w:t>
      </w:r>
      <w:r w:rsidR="00954A75">
        <w:rPr>
          <w:lang w:eastAsia="en-US"/>
        </w:rPr>
        <w:t>-</w:t>
      </w:r>
      <w:r w:rsidRPr="00475453">
        <w:rPr>
          <w:lang w:eastAsia="en-US"/>
        </w:rPr>
        <w:t xml:space="preserve">based, coordinated apparatus licensing arrangements for point-to-multipoint services was a further mitigation </w:t>
      </w:r>
      <w:r w:rsidR="00996EF3">
        <w:rPr>
          <w:lang w:eastAsia="en-US"/>
        </w:rPr>
        <w:t xml:space="preserve">strategy </w:t>
      </w:r>
      <w:r w:rsidRPr="00475453">
        <w:rPr>
          <w:lang w:eastAsia="en-US"/>
        </w:rPr>
        <w:t>proposed by the</w:t>
      </w:r>
      <w:r w:rsidR="009D6702" w:rsidRPr="00475453">
        <w:rPr>
          <w:lang w:eastAsia="en-US"/>
        </w:rPr>
        <w:t xml:space="preserve"> AC</w:t>
      </w:r>
      <w:r w:rsidRPr="00475453">
        <w:rPr>
          <w:lang w:eastAsia="en-US"/>
        </w:rPr>
        <w:t>M</w:t>
      </w:r>
      <w:r w:rsidR="009D6702" w:rsidRPr="00475453">
        <w:rPr>
          <w:lang w:eastAsia="en-US"/>
        </w:rPr>
        <w:t>A</w:t>
      </w:r>
      <w:r w:rsidRPr="00475453">
        <w:rPr>
          <w:lang w:eastAsia="en-US"/>
        </w:rPr>
        <w:t xml:space="preserve"> in the Options paper. A key consideration was </w:t>
      </w:r>
      <w:r w:rsidR="0084382A">
        <w:rPr>
          <w:lang w:eastAsia="en-US"/>
        </w:rPr>
        <w:t>ensuring</w:t>
      </w:r>
      <w:r w:rsidR="00D37B90">
        <w:rPr>
          <w:lang w:eastAsia="en-US"/>
        </w:rPr>
        <w:t>,</w:t>
      </w:r>
      <w:r w:rsidR="0084382A">
        <w:rPr>
          <w:lang w:eastAsia="en-US"/>
        </w:rPr>
        <w:t xml:space="preserve"> as far as possible</w:t>
      </w:r>
      <w:r w:rsidR="00D37B90">
        <w:rPr>
          <w:lang w:eastAsia="en-US"/>
        </w:rPr>
        <w:t>,</w:t>
      </w:r>
      <w:r w:rsidR="0084382A">
        <w:rPr>
          <w:lang w:eastAsia="en-US"/>
        </w:rPr>
        <w:t xml:space="preserve"> that </w:t>
      </w:r>
      <w:r w:rsidRPr="00475453">
        <w:rPr>
          <w:lang w:eastAsia="en-US"/>
        </w:rPr>
        <w:t xml:space="preserve">any such arrangements </w:t>
      </w:r>
      <w:r w:rsidR="0084382A">
        <w:rPr>
          <w:lang w:eastAsia="en-US"/>
        </w:rPr>
        <w:t>will endure</w:t>
      </w:r>
      <w:r w:rsidRPr="00475453">
        <w:rPr>
          <w:lang w:eastAsia="en-US"/>
        </w:rPr>
        <w:t xml:space="preserve"> for a reasonable period.</w:t>
      </w:r>
      <w:r w:rsidR="009D6702" w:rsidRPr="00475453">
        <w:rPr>
          <w:lang w:eastAsia="en-US"/>
        </w:rPr>
        <w:t xml:space="preserve"> </w:t>
      </w:r>
      <w:r w:rsidR="00954A75">
        <w:rPr>
          <w:lang w:eastAsia="en-US"/>
        </w:rPr>
        <w:t>T</w:t>
      </w:r>
      <w:r w:rsidR="0084382A">
        <w:rPr>
          <w:lang w:eastAsia="en-US"/>
        </w:rPr>
        <w:t>his is</w:t>
      </w:r>
      <w:r w:rsidR="009D6702" w:rsidRPr="00475453">
        <w:rPr>
          <w:lang w:eastAsia="en-US"/>
        </w:rPr>
        <w:t xml:space="preserve"> a challenge</w:t>
      </w:r>
      <w:r w:rsidR="0084382A">
        <w:rPr>
          <w:lang w:eastAsia="en-US"/>
        </w:rPr>
        <w:t xml:space="preserve">, because </w:t>
      </w:r>
      <w:r w:rsidR="009D6702" w:rsidRPr="00475453">
        <w:rPr>
          <w:lang w:eastAsia="en-US"/>
        </w:rPr>
        <w:t>bands of interest to</w:t>
      </w:r>
      <w:r w:rsidR="00910D48">
        <w:rPr>
          <w:lang w:eastAsia="en-US"/>
        </w:rPr>
        <w:t xml:space="preserve"> site-based</w:t>
      </w:r>
      <w:r w:rsidR="009D6702" w:rsidRPr="00475453">
        <w:rPr>
          <w:lang w:eastAsia="en-US"/>
        </w:rPr>
        <w:t xml:space="preserve"> apparatus point-to-multipoint uses are often of interest to wide</w:t>
      </w:r>
      <w:r w:rsidR="00954A75">
        <w:rPr>
          <w:lang w:eastAsia="en-US"/>
        </w:rPr>
        <w:t>-</w:t>
      </w:r>
      <w:r w:rsidR="009D6702" w:rsidRPr="00475453">
        <w:rPr>
          <w:lang w:eastAsia="en-US"/>
        </w:rPr>
        <w:t>area broadband services (be they fixed or mobile)</w:t>
      </w:r>
      <w:r w:rsidR="00DF120D">
        <w:rPr>
          <w:lang w:eastAsia="en-US"/>
        </w:rPr>
        <w:t xml:space="preserve"> and therefore</w:t>
      </w:r>
      <w:r w:rsidR="00D37B90">
        <w:rPr>
          <w:lang w:eastAsia="en-US"/>
        </w:rPr>
        <w:t>,</w:t>
      </w:r>
      <w:r w:rsidR="00DF120D">
        <w:rPr>
          <w:lang w:eastAsia="en-US"/>
        </w:rPr>
        <w:t xml:space="preserve"> likely to come under review </w:t>
      </w:r>
      <w:r w:rsidR="0084382A">
        <w:rPr>
          <w:lang w:eastAsia="en-US"/>
        </w:rPr>
        <w:t>as potential candidates for re</w:t>
      </w:r>
      <w:r w:rsidR="00910D48">
        <w:rPr>
          <w:lang w:eastAsia="en-US"/>
        </w:rPr>
        <w:t>-</w:t>
      </w:r>
      <w:r w:rsidR="0084382A">
        <w:rPr>
          <w:lang w:eastAsia="en-US"/>
        </w:rPr>
        <w:t xml:space="preserve">allocation as wide area spectrum licences </w:t>
      </w:r>
      <w:r w:rsidR="00DF120D">
        <w:rPr>
          <w:lang w:eastAsia="en-US"/>
        </w:rPr>
        <w:t>in the future</w:t>
      </w:r>
      <w:r w:rsidR="009D6702" w:rsidRPr="00475453">
        <w:rPr>
          <w:lang w:eastAsia="en-US"/>
        </w:rPr>
        <w:t xml:space="preserve">. </w:t>
      </w:r>
    </w:p>
    <w:p w14:paraId="2E5506B9" w14:textId="77777777" w:rsidR="009D6702" w:rsidRPr="00475453" w:rsidRDefault="00954A75" w:rsidP="00D37B90">
      <w:pPr>
        <w:rPr>
          <w:lang w:eastAsia="en-US"/>
        </w:rPr>
      </w:pPr>
      <w:r>
        <w:rPr>
          <w:lang w:eastAsia="en-US"/>
        </w:rPr>
        <w:t xml:space="preserve">In the Options paper, </w:t>
      </w:r>
      <w:r w:rsidR="009D6702" w:rsidRPr="00475453">
        <w:rPr>
          <w:lang w:eastAsia="en-US"/>
        </w:rPr>
        <w:t xml:space="preserve">the ACMA proposed that </w:t>
      </w:r>
      <w:r w:rsidR="00A05FCA">
        <w:rPr>
          <w:lang w:eastAsia="en-US"/>
        </w:rPr>
        <w:t>a 40 MHz portion of the 5600</w:t>
      </w:r>
      <w:r w:rsidR="00D37B90">
        <w:rPr>
          <w:lang w:eastAsia="en-US"/>
        </w:rPr>
        <w:t>–</w:t>
      </w:r>
      <w:r w:rsidR="00A05FCA">
        <w:rPr>
          <w:lang w:eastAsia="en-US"/>
        </w:rPr>
        <w:t>5650</w:t>
      </w:r>
      <w:r w:rsidR="00D37B90">
        <w:rPr>
          <w:lang w:eastAsia="en-US"/>
        </w:rPr>
        <w:t> </w:t>
      </w:r>
      <w:r w:rsidR="00A05FCA">
        <w:rPr>
          <w:lang w:eastAsia="en-US"/>
        </w:rPr>
        <w:t xml:space="preserve">MHz (5.6 GHz) band </w:t>
      </w:r>
      <w:r w:rsidR="009D6702" w:rsidRPr="00475453">
        <w:rPr>
          <w:lang w:eastAsia="en-US"/>
        </w:rPr>
        <w:t>be made available under a coordinated apparatus</w:t>
      </w:r>
      <w:r w:rsidR="00D37B90">
        <w:rPr>
          <w:lang w:eastAsia="en-US"/>
        </w:rPr>
        <w:t>-</w:t>
      </w:r>
      <w:r w:rsidR="009D6702" w:rsidRPr="00475453">
        <w:rPr>
          <w:lang w:eastAsia="en-US"/>
        </w:rPr>
        <w:t xml:space="preserve">licensed regime for </w:t>
      </w:r>
      <w:r w:rsidR="00A05FCA">
        <w:rPr>
          <w:lang w:eastAsia="en-US"/>
        </w:rPr>
        <w:t>site-based</w:t>
      </w:r>
      <w:r w:rsidR="009D6702" w:rsidRPr="00475453">
        <w:rPr>
          <w:lang w:eastAsia="en-US"/>
        </w:rPr>
        <w:t xml:space="preserve"> point-to-multipoint uses</w:t>
      </w:r>
      <w:r>
        <w:rPr>
          <w:lang w:eastAsia="en-US"/>
        </w:rPr>
        <w:t xml:space="preserve">. The </w:t>
      </w:r>
      <w:r w:rsidR="009D6702" w:rsidRPr="00475453">
        <w:rPr>
          <w:lang w:eastAsia="en-US"/>
        </w:rPr>
        <w:t xml:space="preserve">intention </w:t>
      </w:r>
      <w:r>
        <w:rPr>
          <w:lang w:eastAsia="en-US"/>
        </w:rPr>
        <w:t xml:space="preserve">was </w:t>
      </w:r>
      <w:r w:rsidR="009D6702" w:rsidRPr="00475453">
        <w:rPr>
          <w:lang w:eastAsia="en-US"/>
        </w:rPr>
        <w:t xml:space="preserve">to </w:t>
      </w:r>
      <w:r w:rsidR="002A1689" w:rsidRPr="00475453">
        <w:rPr>
          <w:lang w:eastAsia="en-US"/>
        </w:rPr>
        <w:t>provide a long</w:t>
      </w:r>
      <w:r>
        <w:rPr>
          <w:lang w:eastAsia="en-US"/>
        </w:rPr>
        <w:t>-</w:t>
      </w:r>
      <w:r w:rsidR="002A1689" w:rsidRPr="00475453">
        <w:rPr>
          <w:lang w:eastAsia="en-US"/>
        </w:rPr>
        <w:t xml:space="preserve">term alternative for </w:t>
      </w:r>
      <w:r w:rsidR="00A05FCA">
        <w:rPr>
          <w:lang w:eastAsia="en-US"/>
        </w:rPr>
        <w:t xml:space="preserve">site-based </w:t>
      </w:r>
      <w:r w:rsidR="002A1689" w:rsidRPr="00475453">
        <w:rPr>
          <w:lang w:eastAsia="en-US"/>
        </w:rPr>
        <w:t>point-to-multipoint users that provide services that are</w:t>
      </w:r>
      <w:r>
        <w:rPr>
          <w:lang w:eastAsia="en-US"/>
        </w:rPr>
        <w:t xml:space="preserve"> not</w:t>
      </w:r>
      <w:r w:rsidR="002A1689" w:rsidRPr="00475453">
        <w:rPr>
          <w:lang w:eastAsia="en-US"/>
        </w:rPr>
        <w:t xml:space="preserve"> conducive to a spectrum</w:t>
      </w:r>
      <w:r w:rsidR="00D37B90">
        <w:rPr>
          <w:lang w:eastAsia="en-US"/>
        </w:rPr>
        <w:t>-</w:t>
      </w:r>
      <w:r w:rsidR="002A1689" w:rsidRPr="00475453">
        <w:rPr>
          <w:lang w:eastAsia="en-US"/>
        </w:rPr>
        <w:t xml:space="preserve">licensed regime. The use of coordinated apparatus licenses </w:t>
      </w:r>
      <w:r w:rsidR="009D6702" w:rsidRPr="00475453">
        <w:rPr>
          <w:lang w:eastAsia="en-US"/>
        </w:rPr>
        <w:t xml:space="preserve">was </w:t>
      </w:r>
      <w:r w:rsidR="00DF120D">
        <w:rPr>
          <w:lang w:eastAsia="en-US"/>
        </w:rPr>
        <w:t xml:space="preserve">also </w:t>
      </w:r>
      <w:r w:rsidR="009D6702" w:rsidRPr="00475453">
        <w:rPr>
          <w:lang w:eastAsia="en-US"/>
        </w:rPr>
        <w:t xml:space="preserve">proposed to </w:t>
      </w:r>
      <w:r w:rsidR="002A1689" w:rsidRPr="00475453">
        <w:rPr>
          <w:lang w:eastAsia="en-US"/>
        </w:rPr>
        <w:t xml:space="preserve">facilitate protection of incumbent </w:t>
      </w:r>
      <w:r>
        <w:rPr>
          <w:lang w:eastAsia="en-US"/>
        </w:rPr>
        <w:t>Bureau of Meteorology (</w:t>
      </w:r>
      <w:r w:rsidR="002A1689" w:rsidRPr="00475453">
        <w:rPr>
          <w:lang w:eastAsia="en-US"/>
        </w:rPr>
        <w:t>BoM</w:t>
      </w:r>
      <w:r>
        <w:rPr>
          <w:lang w:eastAsia="en-US"/>
        </w:rPr>
        <w:t>)</w:t>
      </w:r>
      <w:r w:rsidR="002A1689" w:rsidRPr="00475453">
        <w:rPr>
          <w:lang w:eastAsia="en-US"/>
        </w:rPr>
        <w:t xml:space="preserve"> radars in the band. </w:t>
      </w:r>
    </w:p>
    <w:p w14:paraId="0EEFB4D6" w14:textId="77777777" w:rsidR="007C628F" w:rsidRPr="00475453" w:rsidRDefault="009D6702" w:rsidP="00D37B90">
      <w:pPr>
        <w:rPr>
          <w:lang w:eastAsia="en-US"/>
        </w:rPr>
      </w:pPr>
      <w:r w:rsidRPr="00475453">
        <w:rPr>
          <w:lang w:eastAsia="en-US"/>
        </w:rPr>
        <w:t xml:space="preserve">The ACMA acknowledges feedback from a range of sources querying apparatus licensing in the 5.6 GHz band. This feedback included concerns over the protection of BoM radars, queries over the utility of the band </w:t>
      </w:r>
      <w:r w:rsidR="007C628F" w:rsidRPr="00475453">
        <w:rPr>
          <w:lang w:eastAsia="en-US"/>
        </w:rPr>
        <w:t>for point-to-multipoint</w:t>
      </w:r>
      <w:r w:rsidR="00DF120D">
        <w:rPr>
          <w:lang w:eastAsia="en-US"/>
        </w:rPr>
        <w:t xml:space="preserve"> services</w:t>
      </w:r>
      <w:r w:rsidR="007C628F" w:rsidRPr="00475453">
        <w:rPr>
          <w:lang w:eastAsia="en-US"/>
        </w:rPr>
        <w:t xml:space="preserve"> </w:t>
      </w:r>
      <w:r w:rsidRPr="00475453">
        <w:rPr>
          <w:lang w:eastAsia="en-US"/>
        </w:rPr>
        <w:t xml:space="preserve">being compromised by illegal use </w:t>
      </w:r>
      <w:r w:rsidR="00996EF3">
        <w:rPr>
          <w:lang w:eastAsia="en-US"/>
        </w:rPr>
        <w:t xml:space="preserve">of the band </w:t>
      </w:r>
      <w:r w:rsidRPr="00475453">
        <w:rPr>
          <w:lang w:eastAsia="en-US"/>
        </w:rPr>
        <w:t xml:space="preserve">and limited bandwidth, and </w:t>
      </w:r>
      <w:r w:rsidR="007C628F" w:rsidRPr="00475453">
        <w:rPr>
          <w:lang w:eastAsia="en-US"/>
        </w:rPr>
        <w:t>interest in proceeding with a class</w:t>
      </w:r>
      <w:r w:rsidR="00D37B90">
        <w:rPr>
          <w:lang w:eastAsia="en-US"/>
        </w:rPr>
        <w:t>-</w:t>
      </w:r>
      <w:r w:rsidR="007C628F" w:rsidRPr="00475453">
        <w:rPr>
          <w:lang w:eastAsia="en-US"/>
        </w:rPr>
        <w:t xml:space="preserve">licensing approach for the band to </w:t>
      </w:r>
      <w:r w:rsidR="00551874" w:rsidRPr="00475453">
        <w:rPr>
          <w:lang w:eastAsia="en-US"/>
        </w:rPr>
        <w:t>allow for broader</w:t>
      </w:r>
      <w:r w:rsidR="007C628F" w:rsidRPr="00475453">
        <w:rPr>
          <w:lang w:eastAsia="en-US"/>
        </w:rPr>
        <w:t xml:space="preserve"> use of the band.</w:t>
      </w:r>
      <w:r w:rsidR="00336E17">
        <w:rPr>
          <w:lang w:eastAsia="en-US"/>
        </w:rPr>
        <w:t xml:space="preserve"> </w:t>
      </w:r>
    </w:p>
    <w:p w14:paraId="1CF9301D" w14:textId="77777777" w:rsidR="009D6702" w:rsidRPr="00475453" w:rsidRDefault="007C628F" w:rsidP="00D37B90">
      <w:pPr>
        <w:rPr>
          <w:lang w:eastAsia="en-US"/>
        </w:rPr>
      </w:pPr>
      <w:r w:rsidRPr="00475453">
        <w:rPr>
          <w:lang w:eastAsia="en-US"/>
        </w:rPr>
        <w:t>After considering this feedback</w:t>
      </w:r>
      <w:r w:rsidR="00551874" w:rsidRPr="00475453">
        <w:rPr>
          <w:lang w:eastAsia="en-US"/>
        </w:rPr>
        <w:t>,</w:t>
      </w:r>
      <w:r w:rsidRPr="00475453">
        <w:rPr>
          <w:lang w:eastAsia="en-US"/>
        </w:rPr>
        <w:t xml:space="preserve"> the ACMA remains of the view that e</w:t>
      </w:r>
      <w:r w:rsidR="009D6702" w:rsidRPr="00475453">
        <w:rPr>
          <w:lang w:eastAsia="en-US"/>
        </w:rPr>
        <w:t>stablishment of site-based, coordinated apparatus</w:t>
      </w:r>
      <w:r w:rsidR="00D37B90">
        <w:rPr>
          <w:lang w:eastAsia="en-US"/>
        </w:rPr>
        <w:t>-</w:t>
      </w:r>
      <w:r w:rsidR="009D6702" w:rsidRPr="00475453">
        <w:rPr>
          <w:lang w:eastAsia="en-US"/>
        </w:rPr>
        <w:t xml:space="preserve">licensing arrangements for point-to-multipoint services in the </w:t>
      </w:r>
      <w:r w:rsidR="00A05FCA">
        <w:rPr>
          <w:lang w:eastAsia="en-US"/>
        </w:rPr>
        <w:t>5.6 GHz band</w:t>
      </w:r>
      <w:r w:rsidR="00551874" w:rsidRPr="00475453">
        <w:rPr>
          <w:lang w:eastAsia="en-US"/>
        </w:rPr>
        <w:t xml:space="preserve"> is appropriate and useful</w:t>
      </w:r>
      <w:r w:rsidR="009D6702" w:rsidRPr="00475453">
        <w:rPr>
          <w:lang w:eastAsia="en-US"/>
        </w:rPr>
        <w:t xml:space="preserve">. </w:t>
      </w:r>
      <w:r w:rsidR="00FD595E">
        <w:rPr>
          <w:lang w:eastAsia="en-US"/>
        </w:rPr>
        <w:t>Allowing access by coordinated apparatus licences can, if designed properly, be fully consistent with protection of B</w:t>
      </w:r>
      <w:r w:rsidR="00E41E2D">
        <w:rPr>
          <w:lang w:eastAsia="en-US"/>
        </w:rPr>
        <w:t>o</w:t>
      </w:r>
      <w:r w:rsidR="00FD595E">
        <w:rPr>
          <w:lang w:eastAsia="en-US"/>
        </w:rPr>
        <w:t>M radar use. Where available, the band is also well</w:t>
      </w:r>
      <w:r w:rsidR="00027461">
        <w:rPr>
          <w:lang w:eastAsia="en-US"/>
        </w:rPr>
        <w:t>-suited to WISP and other point-</w:t>
      </w:r>
      <w:r w:rsidR="00FD595E">
        <w:rPr>
          <w:lang w:eastAsia="en-US"/>
        </w:rPr>
        <w:t>to</w:t>
      </w:r>
      <w:r w:rsidR="00027461">
        <w:rPr>
          <w:lang w:eastAsia="en-US"/>
        </w:rPr>
        <w:t>-</w:t>
      </w:r>
      <w:r w:rsidR="00FD595E">
        <w:rPr>
          <w:lang w:eastAsia="en-US"/>
        </w:rPr>
        <w:t xml:space="preserve">multipoint use, with concerns about </w:t>
      </w:r>
      <w:r w:rsidR="00F947E5">
        <w:rPr>
          <w:lang w:eastAsia="en-US"/>
        </w:rPr>
        <w:t xml:space="preserve">any </w:t>
      </w:r>
      <w:r w:rsidR="00FD595E">
        <w:rPr>
          <w:lang w:eastAsia="en-US"/>
        </w:rPr>
        <w:t xml:space="preserve">existing illegal use able, if borne out, to be addressed through compliance and enforcement work. </w:t>
      </w:r>
      <w:r w:rsidR="00F4757E">
        <w:rPr>
          <w:lang w:eastAsia="en-US"/>
        </w:rPr>
        <w:t xml:space="preserve">The </w:t>
      </w:r>
      <w:r w:rsidR="009D6702" w:rsidRPr="00475453">
        <w:rPr>
          <w:lang w:eastAsia="en-US"/>
        </w:rPr>
        <w:t xml:space="preserve">ACMA </w:t>
      </w:r>
      <w:r w:rsidR="00F4757E">
        <w:rPr>
          <w:lang w:eastAsia="en-US"/>
        </w:rPr>
        <w:t>adopt</w:t>
      </w:r>
      <w:r w:rsidR="00D37B90">
        <w:rPr>
          <w:lang w:eastAsia="en-US"/>
        </w:rPr>
        <w:t>ing</w:t>
      </w:r>
      <w:r w:rsidR="00F4757E">
        <w:rPr>
          <w:lang w:eastAsia="en-US"/>
        </w:rPr>
        <w:t xml:space="preserve"> a </w:t>
      </w:r>
      <w:r w:rsidR="009D6702" w:rsidRPr="00475453">
        <w:rPr>
          <w:lang w:eastAsia="en-US"/>
        </w:rPr>
        <w:t xml:space="preserve">policy </w:t>
      </w:r>
      <w:r w:rsidR="00F4757E">
        <w:rPr>
          <w:lang w:eastAsia="en-US"/>
        </w:rPr>
        <w:t xml:space="preserve">position to </w:t>
      </w:r>
      <w:r w:rsidR="009D6702" w:rsidRPr="00475453">
        <w:rPr>
          <w:lang w:eastAsia="en-US"/>
        </w:rPr>
        <w:t xml:space="preserve">not vary these arrangements prior to the end of 2028 </w:t>
      </w:r>
      <w:r w:rsidR="00DF120D">
        <w:rPr>
          <w:lang w:eastAsia="en-US"/>
        </w:rPr>
        <w:t>can also be</w:t>
      </w:r>
      <w:r w:rsidR="009D6702" w:rsidRPr="00475453">
        <w:rPr>
          <w:lang w:eastAsia="en-US"/>
        </w:rPr>
        <w:t xml:space="preserve"> given to </w:t>
      </w:r>
      <w:r w:rsidR="00FD595E">
        <w:rPr>
          <w:lang w:eastAsia="en-US"/>
        </w:rPr>
        <w:t>encourage investor confidence</w:t>
      </w:r>
      <w:r w:rsidR="009D6702" w:rsidRPr="00475453">
        <w:rPr>
          <w:lang w:eastAsia="en-US"/>
        </w:rPr>
        <w:t xml:space="preserve">. </w:t>
      </w:r>
      <w:r w:rsidR="00954A75">
        <w:rPr>
          <w:lang w:eastAsia="en-US"/>
        </w:rPr>
        <w:t>The ACMA will</w:t>
      </w:r>
      <w:r w:rsidR="009D6702" w:rsidRPr="00475453">
        <w:rPr>
          <w:lang w:eastAsia="en-US"/>
        </w:rPr>
        <w:t xml:space="preserve"> develop the necessary planning and coordination rules </w:t>
      </w:r>
      <w:r w:rsidR="00954A75">
        <w:rPr>
          <w:lang w:eastAsia="en-US"/>
        </w:rPr>
        <w:t xml:space="preserve">as part of the implementation of the </w:t>
      </w:r>
      <w:r w:rsidR="009D6702" w:rsidRPr="00475453">
        <w:rPr>
          <w:lang w:eastAsia="en-US"/>
        </w:rPr>
        <w:t>overall planning decision for the 3.6 GHz band</w:t>
      </w:r>
      <w:r w:rsidR="00954A75">
        <w:rPr>
          <w:lang w:eastAsia="en-US"/>
        </w:rPr>
        <w:t xml:space="preserve"> detailed in this </w:t>
      </w:r>
      <w:r w:rsidR="008D156A">
        <w:rPr>
          <w:lang w:eastAsia="en-US"/>
        </w:rPr>
        <w:t>p</w:t>
      </w:r>
      <w:r w:rsidR="00954A75">
        <w:rPr>
          <w:lang w:eastAsia="en-US"/>
        </w:rPr>
        <w:t>aper</w:t>
      </w:r>
      <w:r w:rsidR="009D6702" w:rsidRPr="00475453">
        <w:rPr>
          <w:lang w:eastAsia="en-US"/>
        </w:rPr>
        <w:t xml:space="preserve">. </w:t>
      </w:r>
    </w:p>
    <w:p w14:paraId="1EB78F1F" w14:textId="77777777" w:rsidR="009D6702" w:rsidRPr="00475453" w:rsidRDefault="00C72898" w:rsidP="00D37B90">
      <w:pPr>
        <w:rPr>
          <w:lang w:eastAsia="en-US"/>
        </w:rPr>
      </w:pPr>
      <w:r>
        <w:rPr>
          <w:lang w:eastAsia="en-US"/>
        </w:rPr>
        <w:t>I</w:t>
      </w:r>
      <w:r w:rsidR="006D2422" w:rsidRPr="006D2422">
        <w:rPr>
          <w:lang w:eastAsia="en-US"/>
        </w:rPr>
        <w:t>t will be ACMA policy that existing 3.6 GHz point-to-multipoint licensees</w:t>
      </w:r>
      <w:r w:rsidR="006D2422">
        <w:rPr>
          <w:lang w:eastAsia="en-US"/>
        </w:rPr>
        <w:t xml:space="preserve"> (issued before the embargo was expanded) will</w:t>
      </w:r>
      <w:r w:rsidR="006D2422" w:rsidRPr="006D2422">
        <w:rPr>
          <w:lang w:eastAsia="en-US"/>
        </w:rPr>
        <w:t>, as far as possible, be</w:t>
      </w:r>
      <w:r w:rsidR="005B3847">
        <w:rPr>
          <w:lang w:eastAsia="en-US"/>
        </w:rPr>
        <w:t xml:space="preserve"> given</w:t>
      </w:r>
      <w:r w:rsidR="006D2422" w:rsidRPr="006D2422">
        <w:rPr>
          <w:lang w:eastAsia="en-US"/>
        </w:rPr>
        <w:t xml:space="preserve"> </w:t>
      </w:r>
      <w:r w:rsidR="00996EF3">
        <w:rPr>
          <w:lang w:eastAsia="en-US"/>
        </w:rPr>
        <w:t xml:space="preserve">preference when assessing applications for apparatus </w:t>
      </w:r>
      <w:r w:rsidR="00996EF3" w:rsidRPr="006D2422">
        <w:rPr>
          <w:lang w:eastAsia="en-US"/>
        </w:rPr>
        <w:t>licences in the</w:t>
      </w:r>
      <w:r w:rsidR="00996EF3" w:rsidRPr="003A7804">
        <w:rPr>
          <w:lang w:eastAsia="en-US"/>
        </w:rPr>
        <w:t xml:space="preserve"> </w:t>
      </w:r>
      <w:r w:rsidR="00996EF3">
        <w:rPr>
          <w:lang w:eastAsia="en-US"/>
        </w:rPr>
        <w:t>5.6 GHz</w:t>
      </w:r>
      <w:r w:rsidR="00996EF3" w:rsidRPr="006D2422">
        <w:rPr>
          <w:lang w:eastAsia="en-US"/>
        </w:rPr>
        <w:t xml:space="preserve"> band.</w:t>
      </w:r>
      <w:r w:rsidR="00336E17">
        <w:rPr>
          <w:lang w:eastAsia="en-US"/>
        </w:rPr>
        <w:t xml:space="preserve"> </w:t>
      </w:r>
      <w:r w:rsidR="00336E17">
        <w:t xml:space="preserve">  </w:t>
      </w:r>
    </w:p>
    <w:p w14:paraId="02FA4FCA" w14:textId="77777777" w:rsidR="009D6702" w:rsidRPr="00475453" w:rsidRDefault="00C72898" w:rsidP="00D37B90">
      <w:pPr>
        <w:rPr>
          <w:lang w:eastAsia="en-US"/>
        </w:rPr>
      </w:pPr>
      <w:r>
        <w:rPr>
          <w:lang w:eastAsia="en-US"/>
        </w:rPr>
        <w:t>T</w:t>
      </w:r>
      <w:r w:rsidR="00551874" w:rsidRPr="00475453">
        <w:rPr>
          <w:lang w:eastAsia="en-US"/>
        </w:rPr>
        <w:t xml:space="preserve">he ACMA acknowledges that this mitigation does not and cannot completely address all current and potential future demand for </w:t>
      </w:r>
      <w:r w:rsidR="00A05FCA">
        <w:rPr>
          <w:lang w:eastAsia="en-US"/>
        </w:rPr>
        <w:t xml:space="preserve">site-based, </w:t>
      </w:r>
      <w:r w:rsidR="00551874" w:rsidRPr="00475453">
        <w:rPr>
          <w:lang w:eastAsia="en-US"/>
        </w:rPr>
        <w:t>coordinated point-</w:t>
      </w:r>
      <w:r w:rsidR="00E44C9E">
        <w:rPr>
          <w:lang w:eastAsia="en-US"/>
        </w:rPr>
        <w:t>to-</w:t>
      </w:r>
      <w:r w:rsidR="00551874" w:rsidRPr="00475453">
        <w:rPr>
          <w:lang w:eastAsia="en-US"/>
        </w:rPr>
        <w:t>multipoint apparatus licences.</w:t>
      </w:r>
      <w:r w:rsidR="00233CD6">
        <w:rPr>
          <w:lang w:eastAsia="en-US"/>
        </w:rPr>
        <w:t xml:space="preserve"> </w:t>
      </w:r>
    </w:p>
    <w:p w14:paraId="57D39C59" w14:textId="77777777" w:rsidR="00134439" w:rsidRPr="00475453" w:rsidRDefault="00551874" w:rsidP="00551874">
      <w:pPr>
        <w:pStyle w:val="ListNumber2"/>
        <w:numPr>
          <w:ilvl w:val="0"/>
          <w:numId w:val="0"/>
        </w:numPr>
        <w:spacing w:after="120"/>
        <w:rPr>
          <w:rFonts w:cs="Arial"/>
          <w:szCs w:val="20"/>
        </w:rPr>
      </w:pPr>
      <w:r w:rsidRPr="00475453">
        <w:rPr>
          <w:rFonts w:cs="Arial"/>
        </w:rPr>
        <w:t xml:space="preserve">During the consultation period, the ACMA was also approached regarding the possibility of </w:t>
      </w:r>
      <w:r w:rsidR="00E44C9E">
        <w:rPr>
          <w:rFonts w:cs="Arial"/>
        </w:rPr>
        <w:t xml:space="preserve">facilitating </w:t>
      </w:r>
      <w:r w:rsidR="00ED0E2C">
        <w:rPr>
          <w:rFonts w:cs="Arial"/>
        </w:rPr>
        <w:t>access to</w:t>
      </w:r>
      <w:r w:rsidR="00E44C9E" w:rsidRPr="00475453">
        <w:rPr>
          <w:rFonts w:cs="Arial"/>
        </w:rPr>
        <w:t xml:space="preserve"> </w:t>
      </w:r>
      <w:r w:rsidR="00ED0E2C">
        <w:rPr>
          <w:rFonts w:cs="Arial"/>
        </w:rPr>
        <w:t>part of</w:t>
      </w:r>
      <w:r w:rsidR="00E44C9E" w:rsidRPr="00475453">
        <w:rPr>
          <w:rFonts w:cs="Arial"/>
        </w:rPr>
        <w:t xml:space="preserve"> </w:t>
      </w:r>
      <w:r w:rsidR="00C72898">
        <w:rPr>
          <w:rFonts w:cs="Arial"/>
        </w:rPr>
        <w:t xml:space="preserve">the </w:t>
      </w:r>
      <w:r w:rsidR="00E41E2D" w:rsidRPr="00475453">
        <w:rPr>
          <w:rFonts w:cs="Arial"/>
        </w:rPr>
        <w:t>27.5</w:t>
      </w:r>
      <w:r w:rsidR="00D37B90">
        <w:rPr>
          <w:rFonts w:cs="Arial"/>
        </w:rPr>
        <w:t>–</w:t>
      </w:r>
      <w:r w:rsidR="00E41E2D" w:rsidRPr="00475453">
        <w:rPr>
          <w:rFonts w:cs="Arial"/>
        </w:rPr>
        <w:t xml:space="preserve">29.5 GHz </w:t>
      </w:r>
      <w:r w:rsidR="00E41E2D">
        <w:rPr>
          <w:rFonts w:cs="Arial"/>
        </w:rPr>
        <w:t>(</w:t>
      </w:r>
      <w:r w:rsidRPr="00475453">
        <w:rPr>
          <w:rFonts w:cs="Arial"/>
        </w:rPr>
        <w:t>28 GHz</w:t>
      </w:r>
      <w:r w:rsidR="00E41E2D">
        <w:rPr>
          <w:rFonts w:cs="Arial"/>
        </w:rPr>
        <w:t>)</w:t>
      </w:r>
      <w:r w:rsidRPr="00475453">
        <w:rPr>
          <w:rFonts w:cs="Arial"/>
        </w:rPr>
        <w:t xml:space="preserve"> band for </w:t>
      </w:r>
      <w:r w:rsidR="00AD5039" w:rsidRPr="00475453">
        <w:rPr>
          <w:rFonts w:cs="Arial"/>
        </w:rPr>
        <w:t>apparatus</w:t>
      </w:r>
      <w:r w:rsidR="00D37B90">
        <w:rPr>
          <w:rFonts w:cs="Arial"/>
        </w:rPr>
        <w:t>-</w:t>
      </w:r>
      <w:r w:rsidR="00AD5039" w:rsidRPr="00475453">
        <w:rPr>
          <w:rFonts w:cs="Arial"/>
        </w:rPr>
        <w:t>licensed point-to-multipoint arrangemen</w:t>
      </w:r>
      <w:r w:rsidR="00E44C9E">
        <w:rPr>
          <w:rFonts w:cs="Arial"/>
        </w:rPr>
        <w:t xml:space="preserve">ts </w:t>
      </w:r>
      <w:r w:rsidRPr="00475453">
        <w:rPr>
          <w:rFonts w:cs="Arial"/>
        </w:rPr>
        <w:t>in regional Australia. The ACMA has considered this and</w:t>
      </w:r>
      <w:r w:rsidR="00134439" w:rsidRPr="00475453">
        <w:rPr>
          <w:rFonts w:cs="Arial"/>
        </w:rPr>
        <w:t>,</w:t>
      </w:r>
      <w:r w:rsidRPr="00475453">
        <w:rPr>
          <w:rFonts w:cs="Arial"/>
        </w:rPr>
        <w:t xml:space="preserve"> while not having made </w:t>
      </w:r>
      <w:r w:rsidR="005B3847">
        <w:rPr>
          <w:rFonts w:cs="Arial"/>
        </w:rPr>
        <w:t>formed any firm view</w:t>
      </w:r>
      <w:r w:rsidRPr="00475453">
        <w:rPr>
          <w:rFonts w:cs="Arial"/>
        </w:rPr>
        <w:t xml:space="preserve">, agrees </w:t>
      </w:r>
      <w:r w:rsidR="001954E1">
        <w:rPr>
          <w:rFonts w:cs="Arial"/>
        </w:rPr>
        <w:t xml:space="preserve">it </w:t>
      </w:r>
      <w:r w:rsidRPr="00475453">
        <w:rPr>
          <w:rFonts w:cs="Arial"/>
        </w:rPr>
        <w:t xml:space="preserve">is worthy of </w:t>
      </w:r>
      <w:r w:rsidR="00134439" w:rsidRPr="00475453">
        <w:rPr>
          <w:rFonts w:cs="Arial"/>
        </w:rPr>
        <w:t xml:space="preserve">further </w:t>
      </w:r>
      <w:r w:rsidRPr="00475453">
        <w:rPr>
          <w:rFonts w:cs="Arial"/>
        </w:rPr>
        <w:t>investigation.</w:t>
      </w:r>
      <w:r w:rsidR="00134439" w:rsidRPr="00475453">
        <w:rPr>
          <w:rFonts w:cs="Arial"/>
        </w:rPr>
        <w:t xml:space="preserve"> The ACMA therefore will investigate the </w:t>
      </w:r>
      <w:r w:rsidR="00ED0E2C" w:rsidRPr="00475453">
        <w:rPr>
          <w:rFonts w:cs="Arial"/>
          <w:szCs w:val="20"/>
          <w:lang w:eastAsia="en-US"/>
        </w:rPr>
        <w:t>possib</w:t>
      </w:r>
      <w:r w:rsidR="00ED0E2C">
        <w:rPr>
          <w:rFonts w:cs="Arial"/>
          <w:szCs w:val="20"/>
          <w:lang w:eastAsia="en-US"/>
        </w:rPr>
        <w:t>ility of implementing</w:t>
      </w:r>
      <w:r w:rsidRPr="00475453">
        <w:rPr>
          <w:rFonts w:cs="Arial"/>
          <w:szCs w:val="20"/>
          <w:lang w:eastAsia="en-US"/>
        </w:rPr>
        <w:t xml:space="preserve"> </w:t>
      </w:r>
      <w:r w:rsidRPr="00475453">
        <w:rPr>
          <w:rFonts w:cs="Arial"/>
          <w:szCs w:val="20"/>
        </w:rPr>
        <w:t>apparatus</w:t>
      </w:r>
      <w:r w:rsidR="00D37B90">
        <w:rPr>
          <w:rFonts w:cs="Arial"/>
          <w:szCs w:val="20"/>
        </w:rPr>
        <w:t>-</w:t>
      </w:r>
      <w:r w:rsidRPr="00475453">
        <w:rPr>
          <w:rFonts w:cs="Arial"/>
          <w:szCs w:val="20"/>
        </w:rPr>
        <w:t xml:space="preserve">licensed point-to-multipoint arrangements in </w:t>
      </w:r>
      <w:r w:rsidR="00ED0E2C">
        <w:rPr>
          <w:rFonts w:cs="Arial"/>
          <w:szCs w:val="20"/>
        </w:rPr>
        <w:t>part</w:t>
      </w:r>
      <w:r w:rsidRPr="00475453">
        <w:rPr>
          <w:rFonts w:cs="Arial"/>
          <w:szCs w:val="20"/>
        </w:rPr>
        <w:t xml:space="preserve"> of the </w:t>
      </w:r>
      <w:r w:rsidR="00D37B90" w:rsidRPr="00475453">
        <w:rPr>
          <w:rFonts w:cs="Arial"/>
          <w:szCs w:val="20"/>
        </w:rPr>
        <w:t>28</w:t>
      </w:r>
      <w:r w:rsidR="00D37B90">
        <w:rPr>
          <w:rFonts w:cs="Arial"/>
          <w:szCs w:val="20"/>
        </w:rPr>
        <w:t> </w:t>
      </w:r>
      <w:r w:rsidRPr="00475453">
        <w:rPr>
          <w:rFonts w:cs="Arial"/>
          <w:szCs w:val="20"/>
        </w:rPr>
        <w:t xml:space="preserve">GHz band in regional Australia </w:t>
      </w:r>
      <w:r w:rsidR="00ED0E2C">
        <w:rPr>
          <w:rFonts w:cs="Arial"/>
          <w:szCs w:val="20"/>
        </w:rPr>
        <w:t>to</w:t>
      </w:r>
      <w:r w:rsidRPr="00475453">
        <w:rPr>
          <w:rFonts w:cs="Arial"/>
          <w:szCs w:val="20"/>
        </w:rPr>
        <w:t xml:space="preserve"> provide further options for </w:t>
      </w:r>
      <w:r w:rsidR="00ED0E2C">
        <w:rPr>
          <w:rFonts w:cs="Arial"/>
          <w:szCs w:val="20"/>
        </w:rPr>
        <w:t>new and</w:t>
      </w:r>
      <w:r w:rsidR="00ED0E2C" w:rsidRPr="00475453">
        <w:rPr>
          <w:rFonts w:cs="Arial"/>
          <w:szCs w:val="20"/>
        </w:rPr>
        <w:t xml:space="preserve"> </w:t>
      </w:r>
      <w:r w:rsidRPr="00475453">
        <w:rPr>
          <w:rFonts w:cs="Arial"/>
          <w:szCs w:val="20"/>
        </w:rPr>
        <w:t>displaced 3.</w:t>
      </w:r>
      <w:r w:rsidR="00D37B90" w:rsidRPr="00475453">
        <w:rPr>
          <w:rFonts w:cs="Arial"/>
          <w:szCs w:val="20"/>
        </w:rPr>
        <w:t>6</w:t>
      </w:r>
      <w:r w:rsidR="00D37B90">
        <w:rPr>
          <w:rFonts w:cs="Arial"/>
          <w:szCs w:val="20"/>
        </w:rPr>
        <w:t> </w:t>
      </w:r>
      <w:r w:rsidRPr="00475453">
        <w:rPr>
          <w:rFonts w:cs="Arial"/>
          <w:szCs w:val="20"/>
        </w:rPr>
        <w:t xml:space="preserve">GHz licensees. </w:t>
      </w:r>
    </w:p>
    <w:p w14:paraId="6C21E35D" w14:textId="3314924F" w:rsidR="00AD5039" w:rsidRPr="00475453" w:rsidRDefault="006D2422" w:rsidP="00A46FAE">
      <w:pPr>
        <w:rPr>
          <w:szCs w:val="20"/>
          <w:lang w:eastAsia="en-US"/>
        </w:rPr>
      </w:pPr>
      <w:r>
        <w:t>Again</w:t>
      </w:r>
      <w:r w:rsidR="00AD5039" w:rsidRPr="00475453">
        <w:t xml:space="preserve">, while </w:t>
      </w:r>
      <w:r>
        <w:t xml:space="preserve">this band </w:t>
      </w:r>
      <w:r w:rsidR="00AD5039" w:rsidRPr="00475453">
        <w:t>potentially offer</w:t>
      </w:r>
      <w:r>
        <w:t xml:space="preserve">s </w:t>
      </w:r>
      <w:r w:rsidR="00AD5039" w:rsidRPr="00475453">
        <w:t xml:space="preserve">opportunities for some </w:t>
      </w:r>
      <w:r w:rsidR="00882F77">
        <w:t>operators</w:t>
      </w:r>
      <w:r w:rsidR="00AD5039" w:rsidRPr="00475453">
        <w:t xml:space="preserve">, the nature of </w:t>
      </w:r>
      <w:r w:rsidR="00ED0E2C">
        <w:t xml:space="preserve">propagation characteristics in </w:t>
      </w:r>
      <w:r w:rsidR="00AD5039" w:rsidRPr="00475453">
        <w:t xml:space="preserve">the band means that it could not be a solution in all cases. In addition, due to </w:t>
      </w:r>
      <w:r w:rsidR="00A46FAE">
        <w:t>NBN</w:t>
      </w:r>
      <w:r w:rsidR="00A46FAE" w:rsidRPr="00475453">
        <w:t xml:space="preserve"> </w:t>
      </w:r>
      <w:r w:rsidR="00E5209F">
        <w:t>C</w:t>
      </w:r>
      <w:r w:rsidR="001344BA">
        <w:t xml:space="preserve">o </w:t>
      </w:r>
      <w:r w:rsidR="00A46FAE" w:rsidRPr="00475453">
        <w:t>us</w:t>
      </w:r>
      <w:r w:rsidR="00A46FAE">
        <w:t>ing</w:t>
      </w:r>
      <w:r w:rsidR="00A46FAE" w:rsidRPr="00475453">
        <w:t xml:space="preserve"> </w:t>
      </w:r>
      <w:r w:rsidR="00AD5039" w:rsidRPr="00475453">
        <w:t xml:space="preserve">the band for </w:t>
      </w:r>
      <w:r w:rsidR="00ED0E2C">
        <w:t xml:space="preserve">the </w:t>
      </w:r>
      <w:r w:rsidR="00E44C9E">
        <w:t>uplink</w:t>
      </w:r>
      <w:r w:rsidR="00ED0E2C">
        <w:t xml:space="preserve"> component of its satellite broadband service</w:t>
      </w:r>
      <w:r w:rsidR="00AD5039" w:rsidRPr="00475453">
        <w:t xml:space="preserve">, coexistence will need to be carefully managed. However, limiting use to </w:t>
      </w:r>
      <w:r w:rsidR="00ED0E2C">
        <w:t xml:space="preserve">part of the 28 GHz band in </w:t>
      </w:r>
      <w:r w:rsidR="00AD5039" w:rsidRPr="00475453">
        <w:t xml:space="preserve">regional Australia </w:t>
      </w:r>
      <w:r w:rsidR="001954E1">
        <w:t xml:space="preserve">through development of a coordinated </w:t>
      </w:r>
      <w:r w:rsidR="00AD5039" w:rsidRPr="00475453">
        <w:t>apparatus</w:t>
      </w:r>
      <w:r w:rsidR="00A46FAE">
        <w:t>-</w:t>
      </w:r>
      <w:r w:rsidR="00AD5039" w:rsidRPr="00475453">
        <w:t xml:space="preserve">licence regime </w:t>
      </w:r>
      <w:r w:rsidR="00BF5E7D">
        <w:t>w</w:t>
      </w:r>
      <w:r w:rsidR="00AD5039" w:rsidRPr="00475453">
        <w:t xml:space="preserve">ould assist in </w:t>
      </w:r>
      <w:r w:rsidR="001954E1">
        <w:t xml:space="preserve">ensuring </w:t>
      </w:r>
      <w:r w:rsidR="00134439" w:rsidRPr="00475453">
        <w:t>coexistence</w:t>
      </w:r>
      <w:r w:rsidR="00AD5039" w:rsidRPr="00475453">
        <w:t>.</w:t>
      </w:r>
      <w:r w:rsidR="00551874" w:rsidRPr="00475453">
        <w:rPr>
          <w:szCs w:val="20"/>
          <w:lang w:eastAsia="en-US"/>
        </w:rPr>
        <w:t xml:space="preserve"> </w:t>
      </w:r>
    </w:p>
    <w:p w14:paraId="6B1C603E" w14:textId="77777777" w:rsidR="00DD289D" w:rsidRPr="003C3140" w:rsidRDefault="00DD289D" w:rsidP="00A46FAE">
      <w:pPr>
        <w:pStyle w:val="BodySubHeader"/>
      </w:pPr>
      <w:r w:rsidRPr="003C3140">
        <w:t>Earth station protection zone(s)</w:t>
      </w:r>
    </w:p>
    <w:p w14:paraId="3AA5154C" w14:textId="77777777" w:rsidR="00AD5039" w:rsidRPr="00475453" w:rsidRDefault="00AD5039" w:rsidP="00A46FAE">
      <w:r w:rsidRPr="00475453">
        <w:t xml:space="preserve">The </w:t>
      </w:r>
      <w:r w:rsidR="00944ED1">
        <w:t>ACMA proposed the</w:t>
      </w:r>
      <w:r w:rsidRPr="00475453">
        <w:t xml:space="preserve"> establishment of </w:t>
      </w:r>
      <w:r w:rsidR="00B44182" w:rsidRPr="00475453">
        <w:t xml:space="preserve">an </w:t>
      </w:r>
      <w:r w:rsidR="00B71BB2">
        <w:t>e</w:t>
      </w:r>
      <w:r w:rsidRPr="00475453">
        <w:t xml:space="preserve">ast coast </w:t>
      </w:r>
      <w:r w:rsidR="00A46FAE">
        <w:t>e</w:t>
      </w:r>
      <w:r w:rsidRPr="00475453">
        <w:t xml:space="preserve">arth station protection zone </w:t>
      </w:r>
      <w:r w:rsidR="00B44182" w:rsidRPr="00475453">
        <w:t xml:space="preserve">to </w:t>
      </w:r>
      <w:r w:rsidRPr="00475453">
        <w:t xml:space="preserve">provide an alternative for satellite operators to continue to provide the services currently delivered by </w:t>
      </w:r>
      <w:r w:rsidR="00A46FAE">
        <w:t>e</w:t>
      </w:r>
      <w:r w:rsidRPr="00475453">
        <w:t xml:space="preserve">arth stations in metropolitan areas. This acknowledges that while satellite services in this band are currently operated from metropolitan areas for </w:t>
      </w:r>
      <w:r w:rsidR="00944ED1">
        <w:t xml:space="preserve">reasons of history and convenience, </w:t>
      </w:r>
      <w:r w:rsidRPr="00475453">
        <w:t>there is no overwhelming argument as to why they must remain in these areas long term.</w:t>
      </w:r>
      <w:r w:rsidR="00B44182" w:rsidRPr="00475453">
        <w:t xml:space="preserve"> Feedback to the concept was broadly supportive</w:t>
      </w:r>
      <w:r w:rsidR="00A46FAE">
        <w:t>,</w:t>
      </w:r>
      <w:r w:rsidR="00B44182" w:rsidRPr="00475453">
        <w:t xml:space="preserve"> though one licensed </w:t>
      </w:r>
      <w:r w:rsidR="00A46FAE">
        <w:t>e</w:t>
      </w:r>
      <w:r w:rsidR="00B44182" w:rsidRPr="00475453">
        <w:t>arth station</w:t>
      </w:r>
      <w:r w:rsidR="00E44C9E">
        <w:t xml:space="preserve"> operator</w:t>
      </w:r>
      <w:r w:rsidR="00B44182" w:rsidRPr="00475453">
        <w:t xml:space="preserve"> did not agree that relocation from metro</w:t>
      </w:r>
      <w:r w:rsidR="005231EC" w:rsidRPr="00475453">
        <w:t>politan</w:t>
      </w:r>
      <w:r w:rsidR="00B44182" w:rsidRPr="00475453">
        <w:t xml:space="preserve"> areas was appropriate.</w:t>
      </w:r>
      <w:r w:rsidR="00336E17">
        <w:t xml:space="preserve">  </w:t>
      </w:r>
      <w:r w:rsidRPr="00475453">
        <w:t xml:space="preserve"> </w:t>
      </w:r>
    </w:p>
    <w:p w14:paraId="6A2ED84D" w14:textId="77777777" w:rsidR="00B44182" w:rsidRPr="00475453" w:rsidRDefault="00B44182" w:rsidP="00A46FAE">
      <w:r w:rsidRPr="00475453">
        <w:t xml:space="preserve">Following consideration of feedback, the ACMA remains </w:t>
      </w:r>
      <w:r w:rsidR="00AD5039" w:rsidRPr="00475453">
        <w:t>of the view</w:t>
      </w:r>
      <w:r w:rsidRPr="00475453">
        <w:t xml:space="preserve"> that establishment of </w:t>
      </w:r>
      <w:r w:rsidR="00F641F6">
        <w:t xml:space="preserve">one or more east coast </w:t>
      </w:r>
      <w:r w:rsidR="00A46FAE">
        <w:t>e</w:t>
      </w:r>
      <w:r w:rsidRPr="00475453">
        <w:t>arth station protection zones is an appropriate mitigation</w:t>
      </w:r>
      <w:r w:rsidR="005B3847">
        <w:t xml:space="preserve"> strategy</w:t>
      </w:r>
      <w:r w:rsidRPr="00475453">
        <w:t xml:space="preserve">. </w:t>
      </w:r>
      <w:r w:rsidR="00F641F6" w:rsidRPr="00475453">
        <w:t>While having received some input from industry and undertaken some independent analysis</w:t>
      </w:r>
      <w:r w:rsidR="00F641F6">
        <w:t xml:space="preserve"> on possible sites</w:t>
      </w:r>
      <w:r w:rsidR="00F641F6" w:rsidRPr="00475453">
        <w:t xml:space="preserve">, </w:t>
      </w:r>
      <w:r w:rsidR="00F641F6">
        <w:t>at this point it is still uncertain which (if any) will be suitable as</w:t>
      </w:r>
      <w:r w:rsidR="00F641F6" w:rsidRPr="00475453">
        <w:t xml:space="preserve"> </w:t>
      </w:r>
      <w:r w:rsidR="00A46FAE">
        <w:t>e</w:t>
      </w:r>
      <w:r w:rsidR="00F641F6" w:rsidRPr="00475453">
        <w:t>arth station protection zones.</w:t>
      </w:r>
      <w:r w:rsidR="00F641F6">
        <w:t xml:space="preserve"> </w:t>
      </w:r>
      <w:r w:rsidR="00944ED1">
        <w:t>D</w:t>
      </w:r>
      <w:r w:rsidR="00944ED1" w:rsidRPr="00475453">
        <w:t>ue to the uncertainties associated with which site (or sites) will be viable</w:t>
      </w:r>
      <w:r w:rsidR="00944ED1">
        <w:t xml:space="preserve">, </w:t>
      </w:r>
      <w:r w:rsidR="00AD5039" w:rsidRPr="00475453">
        <w:t xml:space="preserve">it is </w:t>
      </w:r>
      <w:r w:rsidR="00295288">
        <w:t xml:space="preserve">proposed </w:t>
      </w:r>
      <w:r w:rsidR="00AD5039" w:rsidRPr="00475453">
        <w:t xml:space="preserve">to identify </w:t>
      </w:r>
      <w:r w:rsidR="00295288">
        <w:t xml:space="preserve">several </w:t>
      </w:r>
      <w:r w:rsidR="00517C6D">
        <w:t xml:space="preserve">of the most </w:t>
      </w:r>
      <w:r w:rsidR="00D956EF">
        <w:t>promising</w:t>
      </w:r>
      <w:r w:rsidR="00517C6D">
        <w:t xml:space="preserve"> </w:t>
      </w:r>
      <w:r w:rsidR="00295288">
        <w:t>options now</w:t>
      </w:r>
      <w:r w:rsidR="00A46FAE">
        <w:t>,</w:t>
      </w:r>
      <w:r w:rsidR="00295288">
        <w:t xml:space="preserve"> </w:t>
      </w:r>
      <w:r w:rsidR="00AD5039" w:rsidRPr="00475453">
        <w:t xml:space="preserve">and </w:t>
      </w:r>
      <w:r w:rsidR="007A5201">
        <w:t xml:space="preserve">consider them further as part of the </w:t>
      </w:r>
      <w:r w:rsidR="007A5201" w:rsidRPr="007A5201">
        <w:t>consultation on making a</w:t>
      </w:r>
      <w:r w:rsidR="00336E17">
        <w:t xml:space="preserve"> </w:t>
      </w:r>
      <w:r w:rsidR="007A5201" w:rsidRPr="007A5201">
        <w:t xml:space="preserve">recommendation to the </w:t>
      </w:r>
      <w:r w:rsidR="00A46FAE">
        <w:t>m</w:t>
      </w:r>
      <w:r w:rsidR="007A5201" w:rsidRPr="007A5201">
        <w:t>inister under section 153G of the Act</w:t>
      </w:r>
      <w:r w:rsidR="007A5201">
        <w:t>.</w:t>
      </w:r>
      <w:r w:rsidR="007A5201" w:rsidRPr="007A5201" w:rsidDel="00517C6D">
        <w:t xml:space="preserve"> </w:t>
      </w:r>
      <w:r w:rsidR="00295288">
        <w:t>This will provide more time for the ACMA and industry to investigate the suitability of these sites.</w:t>
      </w:r>
      <w:r w:rsidR="00F641F6">
        <w:t xml:space="preserve"> Identifying multiple sites will also increase </w:t>
      </w:r>
      <w:r w:rsidR="00AD5039" w:rsidRPr="00475453">
        <w:t xml:space="preserve">the likelihood that at least one </w:t>
      </w:r>
      <w:r w:rsidR="00F641F6">
        <w:t xml:space="preserve">of them will be a </w:t>
      </w:r>
      <w:r w:rsidR="00AD5039" w:rsidRPr="00475453">
        <w:t>suitable location</w:t>
      </w:r>
      <w:r w:rsidR="00F641F6">
        <w:t>.</w:t>
      </w:r>
      <w:r w:rsidR="00AD5039" w:rsidRPr="00475453">
        <w:t xml:space="preserve"> </w:t>
      </w:r>
      <w:r w:rsidR="00F641F6">
        <w:t>T</w:t>
      </w:r>
      <w:r w:rsidRPr="00475453">
        <w:t xml:space="preserve">he </w:t>
      </w:r>
      <w:r w:rsidR="00F641F6">
        <w:t xml:space="preserve">proposed locations for </w:t>
      </w:r>
      <w:r w:rsidR="00EA6C2C">
        <w:t>further explor</w:t>
      </w:r>
      <w:r w:rsidR="00F641F6">
        <w:t>ation</w:t>
      </w:r>
      <w:r w:rsidR="00EA6C2C">
        <w:t xml:space="preserve"> </w:t>
      </w:r>
      <w:r w:rsidR="00F641F6">
        <w:t>are the three areas around</w:t>
      </w:r>
      <w:r w:rsidRPr="00475453">
        <w:t xml:space="preserve"> Quirindi, Moree and Roma</w:t>
      </w:r>
      <w:r w:rsidR="00F641F6">
        <w:t xml:space="preserve"> defined in Annex D</w:t>
      </w:r>
      <w:r w:rsidR="00EA6C2C">
        <w:t>,</w:t>
      </w:r>
      <w:r w:rsidRPr="00475453">
        <w:t xml:space="preserve"> </w:t>
      </w:r>
      <w:r w:rsidR="00EA6C2C">
        <w:t xml:space="preserve">along the </w:t>
      </w:r>
      <w:r w:rsidR="00B71BB2">
        <w:t>e</w:t>
      </w:r>
      <w:r w:rsidRPr="00475453">
        <w:t>ast</w:t>
      </w:r>
      <w:r w:rsidR="00EA6C2C">
        <w:t>ern side of the continent</w:t>
      </w:r>
      <w:r w:rsidR="00F641F6">
        <w:t>.</w:t>
      </w:r>
      <w:r w:rsidRPr="00475453">
        <w:t xml:space="preserve"> </w:t>
      </w:r>
    </w:p>
    <w:p w14:paraId="222CFE0E" w14:textId="77777777" w:rsidR="00AD5039" w:rsidRPr="00475453" w:rsidRDefault="00E44C9E" w:rsidP="00A46FAE">
      <w:r>
        <w:t>Should</w:t>
      </w:r>
      <w:r w:rsidR="00AD5039" w:rsidRPr="00475453">
        <w:t xml:space="preserve"> it become</w:t>
      </w:r>
      <w:r>
        <w:t xml:space="preserve"> apparent</w:t>
      </w:r>
      <w:r w:rsidR="00AD5039" w:rsidRPr="00475453">
        <w:t xml:space="preserve"> </w:t>
      </w:r>
      <w:r>
        <w:t xml:space="preserve">that </w:t>
      </w:r>
      <w:r w:rsidR="00B44182" w:rsidRPr="00475453">
        <w:t>one</w:t>
      </w:r>
      <w:r>
        <w:t xml:space="preserve"> or more</w:t>
      </w:r>
      <w:r w:rsidR="00B44182" w:rsidRPr="00475453">
        <w:t xml:space="preserve"> of these zones</w:t>
      </w:r>
      <w:r w:rsidR="00AD5039" w:rsidRPr="00475453">
        <w:t xml:space="preserve"> is </w:t>
      </w:r>
      <w:r w:rsidR="00B71BB2">
        <w:t>not</w:t>
      </w:r>
      <w:r w:rsidR="00AD5039" w:rsidRPr="00475453">
        <w:t xml:space="preserve"> viable, the ACMA could investigate mechanisms to make the area available for </w:t>
      </w:r>
      <w:r w:rsidR="002A4D56">
        <w:t>wide</w:t>
      </w:r>
      <w:r w:rsidR="002A0DE3">
        <w:t>-area</w:t>
      </w:r>
      <w:r w:rsidR="002A4D56">
        <w:t xml:space="preserve"> </w:t>
      </w:r>
      <w:r w:rsidR="00AD5039" w:rsidRPr="00475453">
        <w:t xml:space="preserve">broadband </w:t>
      </w:r>
      <w:proofErr w:type="gramStart"/>
      <w:r w:rsidR="00AD5039" w:rsidRPr="00475453">
        <w:t>services.</w:t>
      </w:r>
      <w:proofErr w:type="gramEnd"/>
      <w:r w:rsidR="00B44182" w:rsidRPr="00475453">
        <w:t xml:space="preserve"> </w:t>
      </w:r>
      <w:r w:rsidR="00AD5039" w:rsidRPr="00475453">
        <w:t>If this was to occur before the ACMA ma</w:t>
      </w:r>
      <w:r w:rsidR="002A4D56">
        <w:t xml:space="preserve">kes a </w:t>
      </w:r>
      <w:r w:rsidR="00AD5039" w:rsidRPr="00475453">
        <w:t xml:space="preserve">re-allocation recommendation to the </w:t>
      </w:r>
      <w:r w:rsidR="00A46FAE">
        <w:t>m</w:t>
      </w:r>
      <w:r w:rsidR="00AD5039" w:rsidRPr="00475453">
        <w:t>inister</w:t>
      </w:r>
      <w:r w:rsidR="00F641F6">
        <w:t>,</w:t>
      </w:r>
      <w:r w:rsidR="00AD5039" w:rsidRPr="00475453">
        <w:t xml:space="preserve"> the area </w:t>
      </w:r>
      <w:r w:rsidR="00F641F6">
        <w:t xml:space="preserve">would be </w:t>
      </w:r>
      <w:r w:rsidR="00FF4105">
        <w:t>removed from consideration</w:t>
      </w:r>
      <w:r w:rsidR="00AD5039" w:rsidRPr="00475453">
        <w:t xml:space="preserve">. Alternatively, if </w:t>
      </w:r>
      <w:r w:rsidR="002A4D56">
        <w:t xml:space="preserve">after the </w:t>
      </w:r>
      <w:r w:rsidR="00A46FAE">
        <w:t>m</w:t>
      </w:r>
      <w:r w:rsidR="002A4D56">
        <w:t xml:space="preserve">inister makes a decision, </w:t>
      </w:r>
      <w:r w:rsidR="00AD5039" w:rsidRPr="00475453">
        <w:t>it subsequently became clear that an area was not suitable</w:t>
      </w:r>
      <w:r w:rsidR="00A46FAE">
        <w:t>,</w:t>
      </w:r>
      <w:r w:rsidR="00AD5039" w:rsidRPr="00475453">
        <w:t xml:space="preserve"> the ACMA could investigate </w:t>
      </w:r>
      <w:r w:rsidR="00B71BB2">
        <w:t xml:space="preserve">implementing temporary </w:t>
      </w:r>
      <w:r w:rsidR="00AD5039" w:rsidRPr="00475453">
        <w:t>apparatus</w:t>
      </w:r>
      <w:r w:rsidR="00A46FAE">
        <w:t>-</w:t>
      </w:r>
      <w:r w:rsidR="00AD5039" w:rsidRPr="00475453">
        <w:t xml:space="preserve">licensing arrangements for broadband </w:t>
      </w:r>
      <w:r w:rsidR="00B71BB2">
        <w:t xml:space="preserve">services </w:t>
      </w:r>
      <w:r w:rsidR="00AD5039" w:rsidRPr="00475453">
        <w:t>in these areas</w:t>
      </w:r>
      <w:r w:rsidR="00A46FAE">
        <w:t>,</w:t>
      </w:r>
      <w:r w:rsidR="00AD5039" w:rsidRPr="00475453">
        <w:t xml:space="preserve"> </w:t>
      </w:r>
      <w:r w:rsidR="00383DD5">
        <w:t xml:space="preserve">while </w:t>
      </w:r>
      <w:r w:rsidR="00AD5039" w:rsidRPr="00475453">
        <w:t>work</w:t>
      </w:r>
      <w:r w:rsidR="00383DD5">
        <w:t>ing</w:t>
      </w:r>
      <w:r w:rsidR="00AD5039" w:rsidRPr="00475453">
        <w:t xml:space="preserve"> towards </w:t>
      </w:r>
      <w:r w:rsidR="00383DD5">
        <w:t xml:space="preserve">options to </w:t>
      </w:r>
      <w:r w:rsidR="00AD5039" w:rsidRPr="00475453">
        <w:t>spectrum licens</w:t>
      </w:r>
      <w:r w:rsidR="00383DD5">
        <w:t>e</w:t>
      </w:r>
      <w:r>
        <w:t xml:space="preserve"> the area</w:t>
      </w:r>
      <w:r w:rsidR="00AD5039" w:rsidRPr="00475453">
        <w:t xml:space="preserve"> at a later date.</w:t>
      </w:r>
    </w:p>
    <w:p w14:paraId="331B3122" w14:textId="77777777" w:rsidR="00B44182" w:rsidRPr="00475453" w:rsidRDefault="00944ED1" w:rsidP="00A46FAE">
      <w:r>
        <w:t xml:space="preserve">Once the band has been spectrum licensed, </w:t>
      </w:r>
      <w:r w:rsidR="00AD5039" w:rsidRPr="00475453">
        <w:t xml:space="preserve">the ACMA </w:t>
      </w:r>
      <w:r w:rsidR="002A4D56">
        <w:t xml:space="preserve">would not </w:t>
      </w:r>
      <w:r w:rsidR="00AD5039" w:rsidRPr="00475453">
        <w:t xml:space="preserve">create a new zone </w:t>
      </w:r>
      <w:r w:rsidR="002A4D56">
        <w:t xml:space="preserve">in spectrum and areas subject to spectrum licensing </w:t>
      </w:r>
      <w:r w:rsidR="00AD5039" w:rsidRPr="00475453">
        <w:t>if it became clear an alternative site was preferable as a protection zone. This would not preclude a commercial arrangement being put in place with the spectrum licensee</w:t>
      </w:r>
      <w:r w:rsidR="00A46FAE">
        <w:t>,</w:t>
      </w:r>
      <w:r w:rsidR="00AD5039" w:rsidRPr="00475453">
        <w:t xml:space="preserve"> but would prevent practical ACMA regulatory intervention in the areas made available for spectrum licensing. </w:t>
      </w:r>
      <w:r w:rsidR="002A0DE3">
        <w:t>However, alternative</w:t>
      </w:r>
      <w:r w:rsidR="002A4D56">
        <w:t xml:space="preserve"> </w:t>
      </w:r>
      <w:r w:rsidR="002A0DE3">
        <w:t xml:space="preserve">sites </w:t>
      </w:r>
      <w:r w:rsidR="002A4D56">
        <w:t xml:space="preserve">outside those </w:t>
      </w:r>
      <w:r w:rsidR="002A0DE3">
        <w:t xml:space="preserve">frequencies and areas </w:t>
      </w:r>
      <w:r w:rsidR="002A4D56">
        <w:t>subject to spectrum licensing could continue to be considered.</w:t>
      </w:r>
    </w:p>
    <w:p w14:paraId="3538BB38" w14:textId="77777777" w:rsidR="00AD5039" w:rsidRPr="00475453" w:rsidRDefault="00AD5039" w:rsidP="00A46FAE">
      <w:pPr>
        <w:pStyle w:val="BodySubHeader"/>
      </w:pPr>
      <w:r w:rsidRPr="00BF5E7D">
        <w:t xml:space="preserve">Dynamic spectrum </w:t>
      </w:r>
      <w:r w:rsidRPr="00475453">
        <w:t>access/sharing concepts</w:t>
      </w:r>
    </w:p>
    <w:p w14:paraId="5C733353" w14:textId="77777777" w:rsidR="00AD5039" w:rsidRPr="00475453" w:rsidRDefault="00D47C99" w:rsidP="00A46FAE">
      <w:r w:rsidRPr="00475453">
        <w:t xml:space="preserve">The ACMA has also given </w:t>
      </w:r>
      <w:r w:rsidR="00AD5039" w:rsidRPr="00475453">
        <w:t>thought to the possibility of using some form of dynamic spectrum access</w:t>
      </w:r>
      <w:r w:rsidR="00A46FAE">
        <w:t>-</w:t>
      </w:r>
      <w:r w:rsidR="00AD5039" w:rsidRPr="00475453">
        <w:t>based sharing in the band. WISPs have suggested various sharing arrangements as a potential way to allow wide-area fixed and mobile broadband deployments in the 3.6 GHz band</w:t>
      </w:r>
      <w:r w:rsidR="00A46FAE">
        <w:t>,</w:t>
      </w:r>
      <w:r w:rsidR="00AD5039" w:rsidRPr="00475453">
        <w:t xml:space="preserve"> while simultaneously allowing incumbent site</w:t>
      </w:r>
      <w:r w:rsidR="00A46FAE">
        <w:t>-</w:t>
      </w:r>
      <w:r w:rsidR="00AD5039" w:rsidRPr="00475453">
        <w:t>based point-to-multipoint users to continue to operate and new users to gain access to the band. Advocates have put forward a proposal for an extensive</w:t>
      </w:r>
      <w:r w:rsidR="005B3847">
        <w:t xml:space="preserve"> </w:t>
      </w:r>
      <w:r w:rsidR="00AD5039" w:rsidRPr="00475453">
        <w:t>trial to be undertaken to develop potential sharing models using these concepts</w:t>
      </w:r>
      <w:r w:rsidR="005D3423">
        <w:t xml:space="preserve"> with the help of government funding</w:t>
      </w:r>
      <w:r w:rsidR="00AD5039" w:rsidRPr="00475453">
        <w:t>.</w:t>
      </w:r>
    </w:p>
    <w:p w14:paraId="4A84EB24" w14:textId="77777777" w:rsidR="00AD5039" w:rsidRPr="00475453" w:rsidRDefault="00E450DF" w:rsidP="00D47C99">
      <w:pPr>
        <w:rPr>
          <w:szCs w:val="20"/>
        </w:rPr>
      </w:pPr>
      <w:r>
        <w:rPr>
          <w:szCs w:val="20"/>
        </w:rPr>
        <w:t>The ACMA has</w:t>
      </w:r>
      <w:r w:rsidR="00AD5039" w:rsidRPr="00475453">
        <w:rPr>
          <w:szCs w:val="20"/>
        </w:rPr>
        <w:t xml:space="preserve"> carefully considered whether practical sharing models could be implemented that would meet the requirements of both aspirant wide-area broadband network users and incumbent (and aspirant) point-to-multipoint users alike. </w:t>
      </w:r>
      <w:r w:rsidR="00D9180C">
        <w:rPr>
          <w:szCs w:val="20"/>
        </w:rPr>
        <w:t xml:space="preserve">It does not believe </w:t>
      </w:r>
      <w:r w:rsidR="00AD5039" w:rsidRPr="00475453">
        <w:rPr>
          <w:szCs w:val="20"/>
        </w:rPr>
        <w:t>practical sharing models will provide the required certainty of long</w:t>
      </w:r>
      <w:r>
        <w:rPr>
          <w:szCs w:val="20"/>
        </w:rPr>
        <w:t>-</w:t>
      </w:r>
      <w:r w:rsidR="00AD5039" w:rsidRPr="00475453">
        <w:rPr>
          <w:szCs w:val="20"/>
        </w:rPr>
        <w:t>term access to wide-area broadband users while simultaneously offering the desired certainty to current and new point-to-multipoint users that they state is required. This is because</w:t>
      </w:r>
      <w:r w:rsidR="00A46FAE">
        <w:rPr>
          <w:szCs w:val="20"/>
        </w:rPr>
        <w:t>,</w:t>
      </w:r>
      <w:r w:rsidR="00AD5039" w:rsidRPr="00475453">
        <w:rPr>
          <w:szCs w:val="20"/>
        </w:rPr>
        <w:t xml:space="preserve"> in practice</w:t>
      </w:r>
      <w:r w:rsidR="00A46FAE">
        <w:rPr>
          <w:szCs w:val="20"/>
        </w:rPr>
        <w:t>,</w:t>
      </w:r>
      <w:r w:rsidR="00AD5039" w:rsidRPr="00475453">
        <w:rPr>
          <w:szCs w:val="20"/>
        </w:rPr>
        <w:t xml:space="preserve"> the sharing models contemplated are based on hierarchical access rights</w:t>
      </w:r>
      <w:r w:rsidR="00A46FAE">
        <w:rPr>
          <w:szCs w:val="20"/>
        </w:rPr>
        <w:t>—</w:t>
      </w:r>
      <w:r w:rsidR="00AD5039" w:rsidRPr="00475453">
        <w:rPr>
          <w:szCs w:val="20"/>
        </w:rPr>
        <w:t>with lower tiers of users having to ‘give way’ to higher</w:t>
      </w:r>
      <w:r w:rsidR="00A46FAE">
        <w:rPr>
          <w:szCs w:val="20"/>
        </w:rPr>
        <w:t>-</w:t>
      </w:r>
      <w:r w:rsidR="00AD5039" w:rsidRPr="00475453">
        <w:rPr>
          <w:szCs w:val="20"/>
        </w:rPr>
        <w:t>tier users</w:t>
      </w:r>
      <w:r w:rsidR="005D3423">
        <w:rPr>
          <w:szCs w:val="20"/>
        </w:rPr>
        <w:t>, in the event of conflict of uses</w:t>
      </w:r>
      <w:r w:rsidR="005D3423" w:rsidRPr="00475453">
        <w:rPr>
          <w:szCs w:val="20"/>
        </w:rPr>
        <w:t xml:space="preserve">. </w:t>
      </w:r>
      <w:r w:rsidR="005D3423">
        <w:rPr>
          <w:szCs w:val="20"/>
        </w:rPr>
        <w:t>Determining which users are to be given ‘top tier’ rights, through their licence conditions, would be something the ACMA would need to resolve and would likely be contentious</w:t>
      </w:r>
      <w:r w:rsidR="00777A2A">
        <w:rPr>
          <w:szCs w:val="20"/>
        </w:rPr>
        <w:t xml:space="preserve"> as it is likely that both incumbents and </w:t>
      </w:r>
      <w:r w:rsidR="00777A2A" w:rsidRPr="00475453">
        <w:rPr>
          <w:szCs w:val="20"/>
        </w:rPr>
        <w:t>prospective wide</w:t>
      </w:r>
      <w:r w:rsidR="00222E73">
        <w:rPr>
          <w:szCs w:val="20"/>
        </w:rPr>
        <w:t>-</w:t>
      </w:r>
      <w:r w:rsidR="00777A2A" w:rsidRPr="00475453">
        <w:rPr>
          <w:szCs w:val="20"/>
        </w:rPr>
        <w:t xml:space="preserve">area broadband users would </w:t>
      </w:r>
      <w:r w:rsidR="00777A2A">
        <w:rPr>
          <w:szCs w:val="20"/>
        </w:rPr>
        <w:t>seek</w:t>
      </w:r>
      <w:r w:rsidR="00777A2A" w:rsidRPr="00475453">
        <w:rPr>
          <w:szCs w:val="20"/>
        </w:rPr>
        <w:t xml:space="preserve"> to be considered </w:t>
      </w:r>
      <w:r w:rsidR="00777A2A">
        <w:rPr>
          <w:szCs w:val="20"/>
        </w:rPr>
        <w:t>as</w:t>
      </w:r>
      <w:r w:rsidR="00777A2A" w:rsidRPr="00475453">
        <w:rPr>
          <w:szCs w:val="20"/>
        </w:rPr>
        <w:t xml:space="preserve"> the top</w:t>
      </w:r>
      <w:r w:rsidR="00A46FAE">
        <w:rPr>
          <w:szCs w:val="20"/>
        </w:rPr>
        <w:t>-</w:t>
      </w:r>
      <w:r w:rsidR="00777A2A" w:rsidRPr="00475453">
        <w:rPr>
          <w:szCs w:val="20"/>
        </w:rPr>
        <w:t>tier</w:t>
      </w:r>
      <w:r w:rsidR="00777A2A">
        <w:rPr>
          <w:szCs w:val="20"/>
        </w:rPr>
        <w:t xml:space="preserve"> user</w:t>
      </w:r>
      <w:r w:rsidR="00AD5039" w:rsidRPr="00475453">
        <w:rPr>
          <w:szCs w:val="20"/>
        </w:rPr>
        <w:t xml:space="preserve">. </w:t>
      </w:r>
    </w:p>
    <w:p w14:paraId="3A3D4243" w14:textId="51C6715F" w:rsidR="007C0010" w:rsidRPr="00475453" w:rsidRDefault="007C0010" w:rsidP="007C0010">
      <w:r>
        <w:t>Under the tiered sharing model proposed by the USA, a</w:t>
      </w:r>
      <w:r w:rsidRPr="00475453">
        <w:t xml:space="preserve">n auction of rights </w:t>
      </w:r>
      <w:r>
        <w:t>over a large number of geographically small areas has been determined to be the most</w:t>
      </w:r>
      <w:r w:rsidRPr="00475453">
        <w:t xml:space="preserve"> transparent and practical way to resolve </w:t>
      </w:r>
      <w:r>
        <w:t>competitive contention</w:t>
      </w:r>
      <w:r w:rsidRPr="00475453">
        <w:t xml:space="preserve"> in this circumstance. However, there are reports that a number of stakeholders continue to express reservations with this approach</w:t>
      </w:r>
      <w:r>
        <w:t>,</w:t>
      </w:r>
      <w:r w:rsidRPr="00475453">
        <w:t xml:space="preserve"> claiming that it will impede 5G use of the band in the US.</w:t>
      </w:r>
      <w:r>
        <w:rPr>
          <w:rStyle w:val="FootnoteReference"/>
          <w:szCs w:val="20"/>
        </w:rPr>
        <w:footnoteReference w:id="3"/>
      </w:r>
      <w:r w:rsidRPr="00475453">
        <w:t xml:space="preserve"> </w:t>
      </w:r>
      <w:r w:rsidRPr="00D87CFC">
        <w:rPr>
          <w:rFonts w:cs="Arial"/>
        </w:rPr>
        <w:t>As a result</w:t>
      </w:r>
      <w:r>
        <w:rPr>
          <w:rFonts w:cs="Arial"/>
        </w:rPr>
        <w:t>,</w:t>
      </w:r>
      <w:r w:rsidRPr="00D87CFC">
        <w:rPr>
          <w:rFonts w:cs="Arial"/>
        </w:rPr>
        <w:t xml:space="preserve"> </w:t>
      </w:r>
      <w:r>
        <w:rPr>
          <w:rFonts w:cs="Arial"/>
        </w:rPr>
        <w:t xml:space="preserve">at its meeting on 24 October 2017, </w:t>
      </w:r>
      <w:r w:rsidRPr="00D87CFC">
        <w:rPr>
          <w:rFonts w:cs="Arial"/>
        </w:rPr>
        <w:t xml:space="preserve">the </w:t>
      </w:r>
      <w:r>
        <w:rPr>
          <w:rFonts w:cs="Arial"/>
        </w:rPr>
        <w:t>Federal Communication Commission (</w:t>
      </w:r>
      <w:r w:rsidRPr="00D87CFC">
        <w:rPr>
          <w:rFonts w:cs="Arial"/>
        </w:rPr>
        <w:t>FCC</w:t>
      </w:r>
      <w:r>
        <w:rPr>
          <w:rFonts w:cs="Arial"/>
        </w:rPr>
        <w:t>)</w:t>
      </w:r>
      <w:r w:rsidRPr="00D87CFC">
        <w:rPr>
          <w:rFonts w:cs="Arial"/>
        </w:rPr>
        <w:t xml:space="preserve"> </w:t>
      </w:r>
      <w:r>
        <w:rPr>
          <w:rFonts w:cs="Arial"/>
        </w:rPr>
        <w:t xml:space="preserve">decided to </w:t>
      </w:r>
      <w:r w:rsidRPr="00D87CFC">
        <w:rPr>
          <w:rFonts w:cs="Arial"/>
        </w:rPr>
        <w:t>release a notice of proposed rule</w:t>
      </w:r>
      <w:r>
        <w:rPr>
          <w:rFonts w:cs="Arial"/>
        </w:rPr>
        <w:t>making in the 3550–</w:t>
      </w:r>
      <w:r w:rsidRPr="00D87CFC">
        <w:rPr>
          <w:rFonts w:cs="Arial"/>
        </w:rPr>
        <w:t xml:space="preserve">3700 MHz band for </w:t>
      </w:r>
      <w:r>
        <w:rPr>
          <w:rFonts w:cs="Arial"/>
        </w:rPr>
        <w:t>comment</w:t>
      </w:r>
      <w:r w:rsidRPr="00D87CFC">
        <w:rPr>
          <w:rFonts w:cs="Arial"/>
        </w:rPr>
        <w:t>.</w:t>
      </w:r>
      <w:r w:rsidRPr="00D87CFC">
        <w:rPr>
          <w:rStyle w:val="FootnoteReference"/>
          <w:rFonts w:cs="Arial"/>
          <w:szCs w:val="20"/>
        </w:rPr>
        <w:footnoteReference w:id="4"/>
      </w:r>
      <w:r>
        <w:rPr>
          <w:rFonts w:cs="Arial"/>
        </w:rPr>
        <w:t xml:space="preserve"> Some of the changes being considered include longer licence terms with the possibility of renewal and larger geographical lots for auction. </w:t>
      </w:r>
      <w:r>
        <w:t>The ACMA</w:t>
      </w:r>
      <w:r w:rsidRPr="00475453">
        <w:t xml:space="preserve"> note</w:t>
      </w:r>
      <w:r>
        <w:t>s</w:t>
      </w:r>
      <w:r w:rsidRPr="00475453">
        <w:t xml:space="preserve"> that</w:t>
      </w:r>
      <w:r>
        <w:t>, with the current exception of the US,</w:t>
      </w:r>
      <w:r w:rsidRPr="00475453">
        <w:t xml:space="preserve"> many other countries have chosen not to adopt a shared/tiered approach in this band</w:t>
      </w:r>
      <w:r>
        <w:t xml:space="preserve"> between site-based and wide-area wireless broadband deployments.</w:t>
      </w:r>
      <w:r>
        <w:rPr>
          <w:rFonts w:cs="Arial"/>
          <w:sz w:val="22"/>
          <w:szCs w:val="22"/>
        </w:rPr>
        <w:t xml:space="preserve"> </w:t>
      </w:r>
    </w:p>
    <w:p w14:paraId="1FE88626" w14:textId="77777777" w:rsidR="00AD5039" w:rsidRPr="00D47C99" w:rsidRDefault="00D9180C" w:rsidP="00D47C99">
      <w:pPr>
        <w:rPr>
          <w:szCs w:val="20"/>
        </w:rPr>
      </w:pPr>
      <w:r>
        <w:rPr>
          <w:szCs w:val="20"/>
        </w:rPr>
        <w:t>T</w:t>
      </w:r>
      <w:r w:rsidR="00D87CFC">
        <w:rPr>
          <w:szCs w:val="20"/>
        </w:rPr>
        <w:t>he ACMA believes</w:t>
      </w:r>
      <w:r w:rsidR="00AD5039" w:rsidRPr="00475453">
        <w:rPr>
          <w:szCs w:val="20"/>
        </w:rPr>
        <w:t xml:space="preserve"> the approach </w:t>
      </w:r>
      <w:r>
        <w:rPr>
          <w:szCs w:val="20"/>
        </w:rPr>
        <w:t>it has proposed, that is, auctioning wide</w:t>
      </w:r>
      <w:r w:rsidR="002A0DE3">
        <w:rPr>
          <w:szCs w:val="20"/>
        </w:rPr>
        <w:t>-</w:t>
      </w:r>
      <w:r>
        <w:rPr>
          <w:szCs w:val="20"/>
        </w:rPr>
        <w:t xml:space="preserve">area spectrum licences while </w:t>
      </w:r>
      <w:r w:rsidR="00AD5039" w:rsidRPr="00475453">
        <w:rPr>
          <w:szCs w:val="20"/>
        </w:rPr>
        <w:t xml:space="preserve">providing an extended </w:t>
      </w:r>
      <w:r w:rsidR="00910D48">
        <w:rPr>
          <w:rFonts w:cs="Arial"/>
          <w:szCs w:val="20"/>
          <w:lang w:eastAsia="en-US"/>
        </w:rPr>
        <w:t>re-allocation</w:t>
      </w:r>
      <w:r w:rsidR="00AD5039" w:rsidRPr="00475453">
        <w:rPr>
          <w:szCs w:val="20"/>
        </w:rPr>
        <w:t xml:space="preserve"> period </w:t>
      </w:r>
      <w:r>
        <w:rPr>
          <w:szCs w:val="20"/>
        </w:rPr>
        <w:t>for incumbent</w:t>
      </w:r>
      <w:r w:rsidR="00A46FAE">
        <w:rPr>
          <w:szCs w:val="20"/>
        </w:rPr>
        <w:t>s</w:t>
      </w:r>
      <w:r>
        <w:rPr>
          <w:szCs w:val="20"/>
        </w:rPr>
        <w:t xml:space="preserve"> (thereby conferring ‘primary rights’ on </w:t>
      </w:r>
      <w:r w:rsidR="00AD5039" w:rsidRPr="00475453">
        <w:rPr>
          <w:szCs w:val="20"/>
        </w:rPr>
        <w:t>incumbents</w:t>
      </w:r>
      <w:r>
        <w:rPr>
          <w:szCs w:val="20"/>
        </w:rPr>
        <w:t xml:space="preserve">, but for a fixed period), </w:t>
      </w:r>
      <w:r w:rsidR="00AD5039" w:rsidRPr="00475453">
        <w:rPr>
          <w:szCs w:val="20"/>
        </w:rPr>
        <w:t xml:space="preserve">along with the identification (where possible) of alternative spectrum for future deployments, is likely to be the better approach. </w:t>
      </w:r>
      <w:r w:rsidR="00475453" w:rsidRPr="00475453">
        <w:rPr>
          <w:szCs w:val="20"/>
        </w:rPr>
        <w:t>This approach</w:t>
      </w:r>
      <w:r w:rsidR="00A46FAE">
        <w:rPr>
          <w:szCs w:val="20"/>
        </w:rPr>
        <w:t>,</w:t>
      </w:r>
      <w:r w:rsidR="00475453" w:rsidRPr="00475453">
        <w:rPr>
          <w:szCs w:val="20"/>
        </w:rPr>
        <w:t xml:space="preserve"> in essence</w:t>
      </w:r>
      <w:r w:rsidR="00A46FAE">
        <w:rPr>
          <w:szCs w:val="20"/>
        </w:rPr>
        <w:t>,</w:t>
      </w:r>
      <w:r w:rsidR="00475453" w:rsidRPr="00475453">
        <w:rPr>
          <w:szCs w:val="20"/>
        </w:rPr>
        <w:t xml:space="preserve"> puts in place a form </w:t>
      </w:r>
      <w:r>
        <w:rPr>
          <w:szCs w:val="20"/>
        </w:rPr>
        <w:t xml:space="preserve">of </w:t>
      </w:r>
      <w:r w:rsidR="00475453" w:rsidRPr="00475453">
        <w:rPr>
          <w:szCs w:val="20"/>
        </w:rPr>
        <w:t>tiered</w:t>
      </w:r>
      <w:r w:rsidR="00A46FAE">
        <w:rPr>
          <w:szCs w:val="20"/>
        </w:rPr>
        <w:t>-</w:t>
      </w:r>
      <w:r w:rsidR="00475453" w:rsidRPr="00475453">
        <w:rPr>
          <w:szCs w:val="20"/>
        </w:rPr>
        <w:t xml:space="preserve">access sharing arrangement for the duration of the </w:t>
      </w:r>
      <w:r w:rsidR="00910D48">
        <w:rPr>
          <w:rFonts w:cs="Arial"/>
          <w:szCs w:val="20"/>
          <w:lang w:eastAsia="en-US"/>
        </w:rPr>
        <w:t>re-allocation</w:t>
      </w:r>
      <w:r w:rsidR="00475453" w:rsidRPr="00475453">
        <w:rPr>
          <w:szCs w:val="20"/>
        </w:rPr>
        <w:t xml:space="preserve"> period (seven</w:t>
      </w:r>
      <w:r w:rsidR="00C733AD">
        <w:rPr>
          <w:szCs w:val="20"/>
        </w:rPr>
        <w:t> </w:t>
      </w:r>
      <w:r w:rsidR="00475453" w:rsidRPr="00475453">
        <w:rPr>
          <w:szCs w:val="20"/>
        </w:rPr>
        <w:t xml:space="preserve">years). </w:t>
      </w:r>
      <w:r w:rsidR="002A0DE3">
        <w:rPr>
          <w:szCs w:val="20"/>
        </w:rPr>
        <w:t>Ongoing access or ‘neutral host’ arrangements could also be negotiated with spectrum licensees in the area</w:t>
      </w:r>
      <w:r w:rsidR="00994499">
        <w:rPr>
          <w:szCs w:val="20"/>
        </w:rPr>
        <w:t>, albeit at their discretion, beyond the end of the extended reallocation period</w:t>
      </w:r>
      <w:r w:rsidR="002A0DE3">
        <w:rPr>
          <w:szCs w:val="20"/>
        </w:rPr>
        <w:t>.</w:t>
      </w:r>
      <w:r w:rsidR="00475453" w:rsidRPr="00475453">
        <w:rPr>
          <w:szCs w:val="20"/>
        </w:rPr>
        <w:t xml:space="preserve"> </w:t>
      </w:r>
    </w:p>
    <w:p w14:paraId="366F1754" w14:textId="77777777" w:rsidR="002D59E1" w:rsidRPr="002D59E1" w:rsidRDefault="00325C07" w:rsidP="00A46FAE">
      <w:pPr>
        <w:pStyle w:val="Heading3"/>
      </w:pPr>
      <w:bookmarkStart w:id="18" w:name="_Toc495935474"/>
      <w:bookmarkStart w:id="19" w:name="_Toc496620298"/>
      <w:bookmarkStart w:id="20" w:name="_Toc495935504"/>
      <w:r>
        <w:t xml:space="preserve">ACMA </w:t>
      </w:r>
      <w:r w:rsidR="00A46FAE" w:rsidRPr="00A46FAE">
        <w:t>d</w:t>
      </w:r>
      <w:r w:rsidR="002D59E1" w:rsidRPr="00A46FAE">
        <w:t>ecision</w:t>
      </w:r>
      <w:r w:rsidR="00651697" w:rsidRPr="00A46FAE">
        <w:t>s</w:t>
      </w:r>
      <w:r w:rsidR="00651697">
        <w:t xml:space="preserve"> and </w:t>
      </w:r>
      <w:bookmarkEnd w:id="18"/>
      <w:r w:rsidR="00584558">
        <w:t>preliminary views</w:t>
      </w:r>
      <w:bookmarkEnd w:id="19"/>
    </w:p>
    <w:bookmarkEnd w:id="20"/>
    <w:p w14:paraId="5EDEBBD8" w14:textId="77777777" w:rsidR="007A2DDD" w:rsidRDefault="007A2DDD" w:rsidP="007A2DDD">
      <w:r>
        <w:t xml:space="preserve">Based on input to the Options paper and the resulting ACMA analysis, the ACMA has decided to progress the 3.6 GHz band to the re-farming stage of its </w:t>
      </w:r>
      <w:hyperlink r:id="rId28" w:history="1">
        <w:r w:rsidRPr="00A84D5C">
          <w:rPr>
            <w:rStyle w:val="Hyperlink"/>
          </w:rPr>
          <w:t>process for considering additional spectrum for mobile broadband services</w:t>
        </w:r>
      </w:hyperlink>
      <w:r>
        <w:t>. The approach is largely consistent with the preferred option outlined by the ACMA in the Options paper, but with some modest changes to reflect information gained during consultation and further consideration by the ACMA.</w:t>
      </w:r>
    </w:p>
    <w:p w14:paraId="21D92E81" w14:textId="2EA85514" w:rsidR="004E1CB8" w:rsidRPr="00CE2068" w:rsidRDefault="00055047" w:rsidP="00A0447C">
      <w:pPr>
        <w:spacing w:after="80"/>
      </w:pPr>
      <w:r>
        <w:t>The ACMA will</w:t>
      </w:r>
      <w:r w:rsidR="004E1CB8">
        <w:t>:</w:t>
      </w:r>
    </w:p>
    <w:p w14:paraId="23D9C6F5" w14:textId="77777777" w:rsidR="00E44C4C" w:rsidRPr="00A46FAE" w:rsidRDefault="002A0DE3" w:rsidP="00A46FAE">
      <w:pPr>
        <w:pStyle w:val="ListNumber"/>
      </w:pPr>
      <w:r w:rsidRPr="00A46FAE">
        <w:t>Consult on a r</w:t>
      </w:r>
      <w:r w:rsidR="00E44C4C" w:rsidRPr="00A46FAE">
        <w:t>ecommend</w:t>
      </w:r>
      <w:r w:rsidRPr="00A46FAE">
        <w:t xml:space="preserve">ation to the </w:t>
      </w:r>
      <w:r w:rsidR="00A46FAE" w:rsidRPr="00A46FAE">
        <w:t>m</w:t>
      </w:r>
      <w:r w:rsidRPr="00A46FAE">
        <w:t>inister</w:t>
      </w:r>
      <w:r w:rsidR="00E44C4C" w:rsidRPr="0055309D">
        <w:rPr>
          <w:vertAlign w:val="superscript"/>
        </w:rPr>
        <w:footnoteReference w:id="5"/>
      </w:r>
      <w:r w:rsidR="0055309D">
        <w:t xml:space="preserve"> </w:t>
      </w:r>
      <w:r w:rsidR="0055309D">
        <w:rPr>
          <w:rFonts w:cs="Arial"/>
          <w:szCs w:val="20"/>
          <w:lang w:eastAsia="en-US"/>
        </w:rPr>
        <w:t>(the re-allocation consultation)</w:t>
      </w:r>
      <w:r w:rsidR="00FE6A91" w:rsidRPr="00A46FAE">
        <w:t xml:space="preserve">, </w:t>
      </w:r>
      <w:r w:rsidRPr="00A46FAE">
        <w:t>that</w:t>
      </w:r>
      <w:r w:rsidR="005D3423" w:rsidRPr="00A46FAE">
        <w:t xml:space="preserve">, in accordance with section 153B of the Act, he make a re-allocation declaration </w:t>
      </w:r>
      <w:r w:rsidR="00E44C4C" w:rsidRPr="00A46FAE">
        <w:t>for the issue of spectrum licences</w:t>
      </w:r>
      <w:r w:rsidR="00012175">
        <w:t xml:space="preserve"> for</w:t>
      </w:r>
      <w:r w:rsidR="00E44C4C" w:rsidRPr="00A46FAE">
        <w:t xml:space="preserve"> the entire 3.6 GHz band in metropolitan and regional areas (</w:t>
      </w:r>
      <w:r w:rsidR="00A46FAE" w:rsidRPr="00A46FAE">
        <w:t>that is,</w:t>
      </w:r>
      <w:r w:rsidR="00E44C4C" w:rsidRPr="00A46FAE">
        <w:t xml:space="preserve"> </w:t>
      </w:r>
      <w:r w:rsidR="00A46FAE" w:rsidRPr="00A46FAE">
        <w:t>a</w:t>
      </w:r>
      <w:r w:rsidR="00E44C4C" w:rsidRPr="00A46FAE">
        <w:t>reas 1</w:t>
      </w:r>
      <w:r w:rsidRPr="00A46FAE">
        <w:t>A, 1B</w:t>
      </w:r>
      <w:r w:rsidR="00E44C4C" w:rsidRPr="00A46FAE">
        <w:t>, 2 and 3 as defined in Annex C</w:t>
      </w:r>
      <w:r w:rsidR="003A7804" w:rsidRPr="00A46FAE">
        <w:t>)</w:t>
      </w:r>
      <w:r w:rsidR="00E44C4C" w:rsidRPr="00A46FAE">
        <w:t xml:space="preserve"> </w:t>
      </w:r>
      <w:r w:rsidR="003A7804" w:rsidRPr="00A46FAE">
        <w:t xml:space="preserve">and apply </w:t>
      </w:r>
      <w:r w:rsidR="00546201" w:rsidRPr="00A46FAE">
        <w:t>the following re-allocation periods</w:t>
      </w:r>
      <w:r w:rsidR="00E44C4C" w:rsidRPr="00A46FAE">
        <w:t>:</w:t>
      </w:r>
    </w:p>
    <w:p w14:paraId="74B27267" w14:textId="77777777" w:rsidR="00E44C4C" w:rsidRDefault="00A46FAE" w:rsidP="00A46FAE">
      <w:pPr>
        <w:pStyle w:val="ListBullet2"/>
        <w:rPr>
          <w:lang w:eastAsia="en-US"/>
        </w:rPr>
      </w:pPr>
      <w:r>
        <w:rPr>
          <w:lang w:eastAsia="en-US"/>
        </w:rPr>
        <w:t>two</w:t>
      </w:r>
      <w:r w:rsidR="00975956" w:rsidRPr="00CE2068">
        <w:rPr>
          <w:lang w:eastAsia="en-US"/>
        </w:rPr>
        <w:t xml:space="preserve"> years in </w:t>
      </w:r>
      <w:r w:rsidR="00975956">
        <w:rPr>
          <w:lang w:eastAsia="en-US"/>
        </w:rPr>
        <w:t>Adelaide, Brisbane, Canberra, Melbourne and Sydney (Area 1A)</w:t>
      </w:r>
    </w:p>
    <w:p w14:paraId="7CDBCB9B" w14:textId="77777777" w:rsidR="00975956" w:rsidRDefault="00A46FAE" w:rsidP="00A46FAE">
      <w:pPr>
        <w:pStyle w:val="ListBullet2"/>
        <w:rPr>
          <w:lang w:eastAsia="en-US"/>
        </w:rPr>
      </w:pPr>
      <w:r>
        <w:rPr>
          <w:lang w:eastAsia="en-US"/>
        </w:rPr>
        <w:t>five</w:t>
      </w:r>
      <w:r w:rsidR="00975956">
        <w:rPr>
          <w:lang w:eastAsia="en-US"/>
        </w:rPr>
        <w:t xml:space="preserve"> years in Perth (Area 1B)</w:t>
      </w:r>
    </w:p>
    <w:p w14:paraId="171EF29F" w14:textId="77777777" w:rsidR="00975956" w:rsidRDefault="00A46FAE" w:rsidP="00A46FAE">
      <w:pPr>
        <w:pStyle w:val="ListBullet2"/>
        <w:rPr>
          <w:lang w:eastAsia="en-US"/>
        </w:rPr>
      </w:pPr>
      <w:r>
        <w:rPr>
          <w:lang w:eastAsia="en-US"/>
        </w:rPr>
        <w:t>seven</w:t>
      </w:r>
      <w:r w:rsidRPr="00CE2068">
        <w:rPr>
          <w:lang w:eastAsia="en-US"/>
        </w:rPr>
        <w:t xml:space="preserve"> </w:t>
      </w:r>
      <w:r w:rsidR="00975956" w:rsidRPr="00CE2068">
        <w:rPr>
          <w:lang w:eastAsia="en-US"/>
        </w:rPr>
        <w:t>years in ‘metro plus’ areas</w:t>
      </w:r>
      <w:r w:rsidR="00975956">
        <w:rPr>
          <w:lang w:eastAsia="en-US"/>
        </w:rPr>
        <w:t xml:space="preserve"> (Area 2)</w:t>
      </w:r>
    </w:p>
    <w:p w14:paraId="194E743D" w14:textId="77777777" w:rsidR="00E44C4C" w:rsidRPr="00975956" w:rsidRDefault="00A46FAE" w:rsidP="00A46FAE">
      <w:pPr>
        <w:pStyle w:val="ListBullet2"/>
        <w:rPr>
          <w:lang w:eastAsia="en-US"/>
        </w:rPr>
      </w:pPr>
      <w:proofErr w:type="gramStart"/>
      <w:r>
        <w:rPr>
          <w:lang w:eastAsia="en-US"/>
        </w:rPr>
        <w:t>seven</w:t>
      </w:r>
      <w:proofErr w:type="gramEnd"/>
      <w:r w:rsidR="00975956" w:rsidRPr="00CE2068">
        <w:rPr>
          <w:lang w:eastAsia="en-US"/>
        </w:rPr>
        <w:t xml:space="preserve"> years in the rest of regional Australia</w:t>
      </w:r>
      <w:r w:rsidR="00975956">
        <w:rPr>
          <w:lang w:eastAsia="en-US"/>
        </w:rPr>
        <w:t xml:space="preserve"> (Area 3)</w:t>
      </w:r>
      <w:r w:rsidR="00975956" w:rsidRPr="00CE2068">
        <w:rPr>
          <w:lang w:eastAsia="en-US"/>
        </w:rPr>
        <w:t>.</w:t>
      </w:r>
    </w:p>
    <w:p w14:paraId="71CDFDA8" w14:textId="77777777" w:rsidR="00E44C4C" w:rsidRPr="003A7804" w:rsidRDefault="00E44C4C" w:rsidP="00A46FAE">
      <w:pPr>
        <w:pStyle w:val="ListParagraph"/>
        <w:spacing w:before="20" w:after="80" w:line="240" w:lineRule="auto"/>
        <w:ind w:left="360"/>
        <w:rPr>
          <w:rFonts w:cs="Arial"/>
          <w:szCs w:val="20"/>
          <w:lang w:eastAsia="en-US"/>
        </w:rPr>
      </w:pPr>
      <w:r w:rsidRPr="003A7804">
        <w:rPr>
          <w:rFonts w:cs="Arial"/>
          <w:szCs w:val="20"/>
          <w:lang w:eastAsia="en-US"/>
        </w:rPr>
        <w:t>Th</w:t>
      </w:r>
      <w:r w:rsidR="005D3423">
        <w:rPr>
          <w:rFonts w:cs="Arial"/>
          <w:szCs w:val="20"/>
          <w:lang w:eastAsia="en-US"/>
        </w:rPr>
        <w:t>e</w:t>
      </w:r>
      <w:r w:rsidRPr="003A7804">
        <w:rPr>
          <w:rFonts w:cs="Arial"/>
          <w:szCs w:val="20"/>
          <w:lang w:eastAsia="en-US"/>
        </w:rPr>
        <w:t xml:space="preserve"> re</w:t>
      </w:r>
      <w:r w:rsidR="00910D48">
        <w:rPr>
          <w:rFonts w:cs="Arial"/>
          <w:szCs w:val="20"/>
          <w:lang w:eastAsia="en-US"/>
        </w:rPr>
        <w:t>-</w:t>
      </w:r>
      <w:r w:rsidRPr="003A7804">
        <w:rPr>
          <w:rFonts w:cs="Arial"/>
          <w:szCs w:val="20"/>
          <w:lang w:eastAsia="en-US"/>
        </w:rPr>
        <w:t xml:space="preserve">allocation periods </w:t>
      </w:r>
      <w:r w:rsidR="005D3423">
        <w:rPr>
          <w:rFonts w:cs="Arial"/>
          <w:szCs w:val="20"/>
          <w:lang w:eastAsia="en-US"/>
        </w:rPr>
        <w:t xml:space="preserve">proposed </w:t>
      </w:r>
      <w:r w:rsidRPr="003A7804">
        <w:rPr>
          <w:rFonts w:cs="Arial"/>
          <w:szCs w:val="20"/>
          <w:lang w:eastAsia="en-US"/>
        </w:rPr>
        <w:t>in</w:t>
      </w:r>
      <w:r w:rsidR="002A0DE3">
        <w:rPr>
          <w:rFonts w:cs="Arial"/>
          <w:szCs w:val="20"/>
          <w:lang w:eastAsia="en-US"/>
        </w:rPr>
        <w:t xml:space="preserve"> Area 1B</w:t>
      </w:r>
      <w:r w:rsidRPr="003A7804">
        <w:rPr>
          <w:rFonts w:cs="Arial"/>
          <w:szCs w:val="20"/>
          <w:lang w:eastAsia="en-US"/>
        </w:rPr>
        <w:t xml:space="preserve">, Area 2 and Area 3 are </w:t>
      </w:r>
      <w:r w:rsidR="005D3423">
        <w:rPr>
          <w:rFonts w:cs="Arial"/>
          <w:szCs w:val="20"/>
          <w:lang w:eastAsia="en-US"/>
        </w:rPr>
        <w:t xml:space="preserve">longer than have generally been used in the past (typically periods in the range of </w:t>
      </w:r>
      <w:r w:rsidR="00A46FAE">
        <w:rPr>
          <w:rFonts w:cs="Arial"/>
          <w:szCs w:val="20"/>
          <w:lang w:eastAsia="en-US"/>
        </w:rPr>
        <w:t xml:space="preserve">two to four </w:t>
      </w:r>
      <w:r w:rsidR="005D3423">
        <w:rPr>
          <w:rFonts w:cs="Arial"/>
          <w:szCs w:val="20"/>
          <w:lang w:eastAsia="en-US"/>
        </w:rPr>
        <w:t xml:space="preserve">years have been defined). They are </w:t>
      </w:r>
      <w:r w:rsidRPr="003A7804">
        <w:rPr>
          <w:rFonts w:cs="Arial"/>
          <w:szCs w:val="20"/>
          <w:lang w:eastAsia="en-US"/>
        </w:rPr>
        <w:t xml:space="preserve">intended as </w:t>
      </w:r>
      <w:r w:rsidR="005B3847">
        <w:rPr>
          <w:rFonts w:cs="Arial"/>
          <w:szCs w:val="20"/>
          <w:lang w:eastAsia="en-US"/>
        </w:rPr>
        <w:t>part of the</w:t>
      </w:r>
      <w:r w:rsidRPr="003A7804">
        <w:rPr>
          <w:rFonts w:cs="Arial"/>
          <w:szCs w:val="20"/>
          <w:lang w:eastAsia="en-US"/>
        </w:rPr>
        <w:t xml:space="preserve"> mitigation</w:t>
      </w:r>
      <w:r w:rsidR="005B3847">
        <w:rPr>
          <w:rFonts w:cs="Arial"/>
          <w:szCs w:val="20"/>
          <w:lang w:eastAsia="en-US"/>
        </w:rPr>
        <w:t xml:space="preserve"> strategy</w:t>
      </w:r>
      <w:r w:rsidRPr="003A7804">
        <w:rPr>
          <w:rFonts w:cs="Arial"/>
          <w:szCs w:val="20"/>
          <w:lang w:eastAsia="en-US"/>
        </w:rPr>
        <w:t xml:space="preserve"> for incumbents.</w:t>
      </w:r>
    </w:p>
    <w:p w14:paraId="06890A66" w14:textId="451EE235" w:rsidR="008772B7" w:rsidRPr="00C83310" w:rsidRDefault="0055309D" w:rsidP="00A46FAE">
      <w:pPr>
        <w:pStyle w:val="ListNumber"/>
        <w:rPr>
          <w:lang w:eastAsia="en-US"/>
        </w:rPr>
      </w:pPr>
      <w:r>
        <w:rPr>
          <w:rFonts w:cs="Arial"/>
          <w:szCs w:val="20"/>
          <w:lang w:eastAsia="en-US"/>
        </w:rPr>
        <w:t xml:space="preserve">As part of the re-allocation consultation, flag </w:t>
      </w:r>
      <w:r w:rsidR="008772B7" w:rsidRPr="00C83310">
        <w:rPr>
          <w:lang w:eastAsia="en-US"/>
        </w:rPr>
        <w:t xml:space="preserve">the option of excising areas around Moree, Quirindi and Roma as defined in Annex D, from being re-allocated. It is </w:t>
      </w:r>
      <w:r w:rsidR="008772B7">
        <w:rPr>
          <w:lang w:eastAsia="en-US"/>
        </w:rPr>
        <w:t>proposed</w:t>
      </w:r>
      <w:r w:rsidR="008772B7" w:rsidRPr="00C83310">
        <w:rPr>
          <w:lang w:eastAsia="en-US"/>
        </w:rPr>
        <w:t xml:space="preserve"> that these areas be investigated as locations for potential east coast </w:t>
      </w:r>
      <w:r w:rsidR="00C2714E">
        <w:rPr>
          <w:lang w:eastAsia="en-US"/>
        </w:rPr>
        <w:t>e</w:t>
      </w:r>
      <w:r w:rsidR="008772B7" w:rsidRPr="00C83310">
        <w:rPr>
          <w:lang w:eastAsia="en-US"/>
        </w:rPr>
        <w:t xml:space="preserve">arth station protection zones in the 3.6 GHz band (and other commercial satellite bands). </w:t>
      </w:r>
      <w:r w:rsidR="008772B7">
        <w:rPr>
          <w:lang w:eastAsia="en-US"/>
        </w:rPr>
        <w:t>It is should be n</w:t>
      </w:r>
      <w:r w:rsidR="008772B7" w:rsidRPr="00C83310">
        <w:rPr>
          <w:lang w:eastAsia="en-US"/>
        </w:rPr>
        <w:t>ote</w:t>
      </w:r>
      <w:r w:rsidR="008772B7">
        <w:rPr>
          <w:lang w:eastAsia="en-US"/>
        </w:rPr>
        <w:t>d</w:t>
      </w:r>
      <w:r w:rsidR="008772B7" w:rsidRPr="00C83310">
        <w:rPr>
          <w:lang w:eastAsia="en-US"/>
        </w:rPr>
        <w:t xml:space="preserve"> that commitment to these locations in regional Australia does not preclude investigation of possible locations outside those areas being recommended </w:t>
      </w:r>
      <w:r w:rsidR="008772B7">
        <w:rPr>
          <w:lang w:eastAsia="en-US"/>
        </w:rPr>
        <w:t xml:space="preserve">for </w:t>
      </w:r>
      <w:r w:rsidR="008772B7" w:rsidRPr="00C83310">
        <w:rPr>
          <w:lang w:eastAsia="en-US"/>
        </w:rPr>
        <w:t xml:space="preserve">re-allocation (for example, Bourke). </w:t>
      </w:r>
      <w:r w:rsidR="008772B7">
        <w:rPr>
          <w:lang w:eastAsia="en-US"/>
        </w:rPr>
        <w:t xml:space="preserve">If one or more of these areas are excised from the final recommendation to the </w:t>
      </w:r>
      <w:r w:rsidR="00C2714E">
        <w:rPr>
          <w:lang w:eastAsia="en-US"/>
        </w:rPr>
        <w:t>m</w:t>
      </w:r>
      <w:r w:rsidR="008772B7">
        <w:rPr>
          <w:lang w:eastAsia="en-US"/>
        </w:rPr>
        <w:t>inister</w:t>
      </w:r>
      <w:r w:rsidR="00C2714E">
        <w:rPr>
          <w:lang w:eastAsia="en-US"/>
        </w:rPr>
        <w:t>,</w:t>
      </w:r>
      <w:r w:rsidR="008772B7">
        <w:rPr>
          <w:lang w:eastAsia="en-US"/>
        </w:rPr>
        <w:t xml:space="preserve"> and pending a decision </w:t>
      </w:r>
      <w:r w:rsidR="00C2714E">
        <w:rPr>
          <w:lang w:eastAsia="en-US"/>
        </w:rPr>
        <w:t xml:space="preserve">from </w:t>
      </w:r>
      <w:r w:rsidR="008772B7">
        <w:rPr>
          <w:lang w:eastAsia="en-US"/>
        </w:rPr>
        <w:t xml:space="preserve">the </w:t>
      </w:r>
      <w:r w:rsidR="00C2714E">
        <w:rPr>
          <w:lang w:eastAsia="en-US"/>
        </w:rPr>
        <w:t>m</w:t>
      </w:r>
      <w:r w:rsidR="008772B7">
        <w:rPr>
          <w:lang w:eastAsia="en-US"/>
        </w:rPr>
        <w:t>inister, s</w:t>
      </w:r>
      <w:r w:rsidR="008772B7" w:rsidRPr="00C83310">
        <w:rPr>
          <w:lang w:eastAsia="en-US"/>
        </w:rPr>
        <w:t xml:space="preserve">uitable protection arrangements </w:t>
      </w:r>
      <w:r w:rsidR="008772B7">
        <w:rPr>
          <w:lang w:eastAsia="en-US"/>
        </w:rPr>
        <w:t>for the zones would</w:t>
      </w:r>
      <w:r w:rsidR="008772B7" w:rsidRPr="00C83310">
        <w:rPr>
          <w:lang w:eastAsia="en-US"/>
        </w:rPr>
        <w:t xml:space="preserve"> be developed as part of any Technical Liaison Group (TLG) process for the 3.6 GHz band. In the event </w:t>
      </w:r>
      <w:r w:rsidR="00C2714E">
        <w:rPr>
          <w:lang w:eastAsia="en-US"/>
        </w:rPr>
        <w:t xml:space="preserve">that </w:t>
      </w:r>
      <w:r w:rsidR="008772B7" w:rsidRPr="00C83310">
        <w:rPr>
          <w:lang w:eastAsia="en-US"/>
        </w:rPr>
        <w:t xml:space="preserve">one or more of these sites are found to be unsuitable, any protection criteria </w:t>
      </w:r>
      <w:r w:rsidR="008772B7">
        <w:rPr>
          <w:lang w:eastAsia="en-US"/>
        </w:rPr>
        <w:t>c</w:t>
      </w:r>
      <w:r w:rsidR="008772B7" w:rsidRPr="00C83310">
        <w:rPr>
          <w:lang w:eastAsia="en-US"/>
        </w:rPr>
        <w:t xml:space="preserve">ould be removed and options to make the areas available initially for the apparatus licensing of wide-area broadband services and </w:t>
      </w:r>
      <w:r w:rsidR="008772B7">
        <w:rPr>
          <w:lang w:eastAsia="en-US"/>
        </w:rPr>
        <w:t xml:space="preserve">possible eventual </w:t>
      </w:r>
      <w:r w:rsidR="008772B7" w:rsidRPr="00D71662">
        <w:rPr>
          <w:lang w:eastAsia="en-US"/>
        </w:rPr>
        <w:t>spectrum licensing</w:t>
      </w:r>
      <w:r w:rsidR="008772B7">
        <w:rPr>
          <w:lang w:eastAsia="en-US"/>
        </w:rPr>
        <w:t>, subject to a further re-allocation decision,</w:t>
      </w:r>
      <w:r w:rsidR="008772B7" w:rsidRPr="00D71662">
        <w:rPr>
          <w:lang w:eastAsia="en-US"/>
        </w:rPr>
        <w:t xml:space="preserve"> could be investigated.</w:t>
      </w:r>
      <w:r w:rsidR="008772B7">
        <w:rPr>
          <w:rStyle w:val="FootnoteReference"/>
          <w:rFonts w:cs="Arial"/>
          <w:szCs w:val="20"/>
          <w:lang w:eastAsia="en-US"/>
        </w:rPr>
        <w:footnoteReference w:id="6"/>
      </w:r>
    </w:p>
    <w:p w14:paraId="5260A1FA" w14:textId="5315F42B" w:rsidR="008772B7" w:rsidRPr="00CE2068" w:rsidRDefault="0055309D" w:rsidP="00C2714E">
      <w:pPr>
        <w:pStyle w:val="ListNumber"/>
        <w:rPr>
          <w:lang w:eastAsia="en-US"/>
        </w:rPr>
      </w:pPr>
      <w:r>
        <w:rPr>
          <w:rFonts w:cs="Arial"/>
          <w:szCs w:val="20"/>
          <w:lang w:eastAsia="en-US"/>
        </w:rPr>
        <w:t xml:space="preserve">As part of the re-allocation consultation, flag </w:t>
      </w:r>
      <w:r w:rsidR="008772B7" w:rsidRPr="00C83310">
        <w:rPr>
          <w:lang w:eastAsia="en-US"/>
        </w:rPr>
        <w:t>the option of excising</w:t>
      </w:r>
      <w:r w:rsidR="008772B7" w:rsidDel="00095343">
        <w:rPr>
          <w:lang w:eastAsia="en-US"/>
        </w:rPr>
        <w:t xml:space="preserve"> </w:t>
      </w:r>
      <w:r w:rsidR="008772B7" w:rsidRPr="00A511D3">
        <w:rPr>
          <w:lang w:eastAsia="en-US"/>
        </w:rPr>
        <w:t xml:space="preserve">the area immediately surrounding the earth station facility at Uralla, New South Wales (represented by the </w:t>
      </w:r>
      <w:r w:rsidR="008772B7" w:rsidRPr="00E41E2D">
        <w:rPr>
          <w:lang w:eastAsia="en-US"/>
        </w:rPr>
        <w:t xml:space="preserve">Hierarchical Cell Identification Scheme </w:t>
      </w:r>
      <w:r w:rsidR="008772B7">
        <w:rPr>
          <w:lang w:eastAsia="en-US"/>
        </w:rPr>
        <w:t>(</w:t>
      </w:r>
      <w:r w:rsidR="008772B7" w:rsidRPr="00A511D3">
        <w:rPr>
          <w:lang w:eastAsia="en-US"/>
        </w:rPr>
        <w:t>HCIS</w:t>
      </w:r>
      <w:r w:rsidR="008772B7">
        <w:rPr>
          <w:lang w:eastAsia="en-US"/>
        </w:rPr>
        <w:t>)</w:t>
      </w:r>
      <w:r w:rsidR="008772B7" w:rsidRPr="00A511D3">
        <w:rPr>
          <w:lang w:eastAsia="en-US"/>
        </w:rPr>
        <w:t xml:space="preserve"> identifier NU7K4</w:t>
      </w:r>
      <w:r w:rsidR="008772B7">
        <w:rPr>
          <w:lang w:eastAsia="en-US"/>
        </w:rPr>
        <w:t xml:space="preserve"> and displayed in Annex D</w:t>
      </w:r>
      <w:r w:rsidR="008772B7" w:rsidRPr="00A511D3">
        <w:rPr>
          <w:lang w:eastAsia="en-US"/>
        </w:rPr>
        <w:t>) from being re-allocated</w:t>
      </w:r>
      <w:r w:rsidR="008772B7">
        <w:rPr>
          <w:lang w:eastAsia="en-US"/>
        </w:rPr>
        <w:t xml:space="preserve">. This would enable the </w:t>
      </w:r>
      <w:r w:rsidR="00C2714E">
        <w:rPr>
          <w:lang w:eastAsia="en-US"/>
        </w:rPr>
        <w:t>e</w:t>
      </w:r>
      <w:r w:rsidR="008772B7" w:rsidRPr="00CE2068">
        <w:rPr>
          <w:lang w:eastAsia="en-US"/>
        </w:rPr>
        <w:t>arth station facility operated by Lockheed Martin</w:t>
      </w:r>
      <w:r w:rsidR="00F11684">
        <w:rPr>
          <w:lang w:eastAsia="en-US"/>
        </w:rPr>
        <w:t xml:space="preserve"> Australia Pty Ltd (Lockheed Martin)</w:t>
      </w:r>
      <w:r w:rsidR="008772B7">
        <w:rPr>
          <w:lang w:eastAsia="en-US"/>
        </w:rPr>
        <w:t xml:space="preserve"> to continue operating under apparatus</w:t>
      </w:r>
      <w:r w:rsidR="00C2714E">
        <w:rPr>
          <w:lang w:eastAsia="en-US"/>
        </w:rPr>
        <w:t>-</w:t>
      </w:r>
      <w:r w:rsidR="008772B7">
        <w:rPr>
          <w:lang w:eastAsia="en-US"/>
        </w:rPr>
        <w:t xml:space="preserve">licenced arrangements. If this area is excised from the final recommendation to the </w:t>
      </w:r>
      <w:r w:rsidR="00C2714E">
        <w:rPr>
          <w:lang w:eastAsia="en-US"/>
        </w:rPr>
        <w:t>m</w:t>
      </w:r>
      <w:r w:rsidR="008772B7">
        <w:rPr>
          <w:lang w:eastAsia="en-US"/>
        </w:rPr>
        <w:t>inister</w:t>
      </w:r>
      <w:r w:rsidR="00C2714E">
        <w:rPr>
          <w:lang w:eastAsia="en-US"/>
        </w:rPr>
        <w:t>,</w:t>
      </w:r>
      <w:r w:rsidR="008772B7">
        <w:rPr>
          <w:lang w:eastAsia="en-US"/>
        </w:rPr>
        <w:t xml:space="preserve"> and pending a decision form the Minister, suitable protection criteria for the facility would be developed as part of any TLG process for the 3.6 GHz. Note, the long</w:t>
      </w:r>
      <w:r w:rsidR="00C2714E">
        <w:rPr>
          <w:lang w:eastAsia="en-US"/>
        </w:rPr>
        <w:t>-</w:t>
      </w:r>
      <w:r w:rsidR="008772B7">
        <w:rPr>
          <w:lang w:eastAsia="en-US"/>
        </w:rPr>
        <w:t xml:space="preserve">term viability of this site </w:t>
      </w:r>
      <w:r w:rsidR="008772B7" w:rsidRPr="00CE2068">
        <w:rPr>
          <w:lang w:eastAsia="en-US"/>
        </w:rPr>
        <w:t>may be reviewed in the future</w:t>
      </w:r>
      <w:r w:rsidR="00C2714E">
        <w:rPr>
          <w:lang w:eastAsia="en-US"/>
        </w:rPr>
        <w:t>,</w:t>
      </w:r>
      <w:r w:rsidR="008772B7" w:rsidRPr="00CE2068">
        <w:rPr>
          <w:lang w:eastAsia="en-US"/>
        </w:rPr>
        <w:t xml:space="preserve"> given increasing international interest in the 3700</w:t>
      </w:r>
      <w:r w:rsidR="00C2714E">
        <w:rPr>
          <w:lang w:eastAsia="en-US"/>
        </w:rPr>
        <w:t>–</w:t>
      </w:r>
      <w:r w:rsidR="008772B7" w:rsidRPr="00CE2068">
        <w:rPr>
          <w:lang w:eastAsia="en-US"/>
        </w:rPr>
        <w:t>4200 MHz band for use by</w:t>
      </w:r>
      <w:r w:rsidR="008772B7">
        <w:rPr>
          <w:lang w:eastAsia="en-US"/>
        </w:rPr>
        <w:t xml:space="preserve"> wide-area</w:t>
      </w:r>
      <w:r w:rsidR="008772B7" w:rsidRPr="00CE2068">
        <w:rPr>
          <w:lang w:eastAsia="en-US"/>
        </w:rPr>
        <w:t xml:space="preserve"> </w:t>
      </w:r>
      <w:r w:rsidR="008772B7">
        <w:rPr>
          <w:lang w:eastAsia="en-US"/>
        </w:rPr>
        <w:t>broadband</w:t>
      </w:r>
      <w:r w:rsidR="008772B7" w:rsidRPr="00CE2068">
        <w:rPr>
          <w:lang w:eastAsia="en-US"/>
        </w:rPr>
        <w:t xml:space="preserve"> services.</w:t>
      </w:r>
      <w:r w:rsidR="008772B7">
        <w:rPr>
          <w:lang w:eastAsia="en-US"/>
        </w:rPr>
        <w:t xml:space="preserve"> </w:t>
      </w:r>
    </w:p>
    <w:p w14:paraId="6032D321" w14:textId="77777777" w:rsidR="00E44C4C" w:rsidRDefault="005D3423" w:rsidP="00C2714E">
      <w:pPr>
        <w:pStyle w:val="ListNumber"/>
        <w:rPr>
          <w:lang w:eastAsia="en-US"/>
        </w:rPr>
      </w:pPr>
      <w:r>
        <w:rPr>
          <w:lang w:eastAsia="en-US"/>
        </w:rPr>
        <w:t xml:space="preserve">If the </w:t>
      </w:r>
      <w:r w:rsidR="00C2714E">
        <w:rPr>
          <w:lang w:eastAsia="en-US"/>
        </w:rPr>
        <w:t>m</w:t>
      </w:r>
      <w:r>
        <w:rPr>
          <w:lang w:eastAsia="en-US"/>
        </w:rPr>
        <w:t>inister makes a re-allocation declaration in accordance with the proposed recommendation</w:t>
      </w:r>
      <w:r w:rsidR="00E44C4C">
        <w:rPr>
          <w:lang w:eastAsia="en-US"/>
        </w:rPr>
        <w:t xml:space="preserve">, proceed with the necessary steps to undertake a price-based allocation </w:t>
      </w:r>
      <w:r w:rsidR="00E44C4C" w:rsidRPr="00CE2068">
        <w:rPr>
          <w:lang w:eastAsia="en-US"/>
        </w:rPr>
        <w:t xml:space="preserve">of spectrum licences in </w:t>
      </w:r>
      <w:r w:rsidR="00E44C4C" w:rsidRPr="00E44C4C">
        <w:rPr>
          <w:lang w:eastAsia="en-US"/>
        </w:rPr>
        <w:t>metropolitan</w:t>
      </w:r>
      <w:r w:rsidR="00E44C4C" w:rsidRPr="00CE2068">
        <w:rPr>
          <w:lang w:eastAsia="en-US"/>
        </w:rPr>
        <w:t xml:space="preserve"> and regional areas</w:t>
      </w:r>
      <w:r w:rsidR="00E44C4C">
        <w:rPr>
          <w:lang w:eastAsia="en-US"/>
        </w:rPr>
        <w:t xml:space="preserve"> (</w:t>
      </w:r>
      <w:r w:rsidR="00C2714E">
        <w:rPr>
          <w:lang w:eastAsia="en-US"/>
        </w:rPr>
        <w:t>that is,</w:t>
      </w:r>
      <w:r w:rsidR="00E44C4C">
        <w:rPr>
          <w:lang w:eastAsia="en-US"/>
        </w:rPr>
        <w:t xml:space="preserve"> </w:t>
      </w:r>
      <w:r w:rsidR="00C2714E">
        <w:rPr>
          <w:lang w:eastAsia="en-US"/>
        </w:rPr>
        <w:t>a</w:t>
      </w:r>
      <w:r w:rsidR="00E44C4C">
        <w:rPr>
          <w:lang w:eastAsia="en-US"/>
        </w:rPr>
        <w:t>reas 1</w:t>
      </w:r>
      <w:r w:rsidR="002A0DE3">
        <w:rPr>
          <w:lang w:eastAsia="en-US"/>
        </w:rPr>
        <w:t>A, 1B</w:t>
      </w:r>
      <w:r w:rsidR="00E44C4C">
        <w:rPr>
          <w:lang w:eastAsia="en-US"/>
        </w:rPr>
        <w:t>, 2 and 3)</w:t>
      </w:r>
      <w:r w:rsidR="00C2714E">
        <w:rPr>
          <w:lang w:eastAsia="en-US"/>
        </w:rPr>
        <w:t>.</w:t>
      </w:r>
    </w:p>
    <w:p w14:paraId="18DA74A1" w14:textId="77777777" w:rsidR="00E44C4C" w:rsidRPr="00CE2068" w:rsidRDefault="00E44C4C" w:rsidP="00C2714E">
      <w:pPr>
        <w:pStyle w:val="ListNumber"/>
        <w:rPr>
          <w:lang w:eastAsia="en-US"/>
        </w:rPr>
      </w:pPr>
      <w:r w:rsidRPr="00CE2068">
        <w:rPr>
          <w:lang w:eastAsia="en-US"/>
        </w:rPr>
        <w:t xml:space="preserve">Establish </w:t>
      </w:r>
      <w:r w:rsidR="00651697">
        <w:rPr>
          <w:lang w:eastAsia="en-US"/>
        </w:rPr>
        <w:t>site</w:t>
      </w:r>
      <w:r w:rsidR="00C2714E">
        <w:rPr>
          <w:lang w:eastAsia="en-US"/>
        </w:rPr>
        <w:t>-</w:t>
      </w:r>
      <w:r w:rsidR="00651697">
        <w:rPr>
          <w:lang w:eastAsia="en-US"/>
        </w:rPr>
        <w:t>based</w:t>
      </w:r>
      <w:r w:rsidRPr="00CE2068">
        <w:rPr>
          <w:lang w:eastAsia="en-US"/>
        </w:rPr>
        <w:t xml:space="preserve"> apparatus</w:t>
      </w:r>
      <w:r w:rsidR="00C2714E">
        <w:rPr>
          <w:lang w:eastAsia="en-US"/>
        </w:rPr>
        <w:t>-</w:t>
      </w:r>
      <w:r w:rsidRPr="00CE2068">
        <w:rPr>
          <w:lang w:eastAsia="en-US"/>
        </w:rPr>
        <w:t xml:space="preserve">licensed </w:t>
      </w:r>
      <w:r>
        <w:rPr>
          <w:lang w:eastAsia="en-US"/>
        </w:rPr>
        <w:t>point-to-multipoint</w:t>
      </w:r>
      <w:r w:rsidRPr="00CE2068">
        <w:rPr>
          <w:lang w:eastAsia="en-US"/>
        </w:rPr>
        <w:t xml:space="preserve"> arrangements in the 5.6 GHz band </w:t>
      </w:r>
      <w:r>
        <w:rPr>
          <w:lang w:eastAsia="en-US"/>
        </w:rPr>
        <w:t xml:space="preserve">in regional and remote Australia </w:t>
      </w:r>
      <w:r w:rsidRPr="00CE2068">
        <w:rPr>
          <w:lang w:eastAsia="en-US"/>
        </w:rPr>
        <w:t xml:space="preserve">as </w:t>
      </w:r>
      <w:r w:rsidR="005B3847">
        <w:rPr>
          <w:lang w:eastAsia="en-US"/>
        </w:rPr>
        <w:t>part of the</w:t>
      </w:r>
      <w:r w:rsidRPr="00CE2068">
        <w:rPr>
          <w:lang w:eastAsia="en-US"/>
        </w:rPr>
        <w:t xml:space="preserve"> mitigation</w:t>
      </w:r>
      <w:r w:rsidR="005B3847">
        <w:rPr>
          <w:lang w:eastAsia="en-US"/>
        </w:rPr>
        <w:t xml:space="preserve"> strategy</w:t>
      </w:r>
      <w:r w:rsidRPr="00CE2068">
        <w:rPr>
          <w:lang w:eastAsia="en-US"/>
        </w:rPr>
        <w:t xml:space="preserve"> to assist WISPs and other </w:t>
      </w:r>
      <w:r w:rsidR="002A0DE3">
        <w:rPr>
          <w:lang w:eastAsia="en-US"/>
        </w:rPr>
        <w:t xml:space="preserve">prospective site-based </w:t>
      </w:r>
      <w:r w:rsidR="00651697">
        <w:rPr>
          <w:lang w:eastAsia="en-US"/>
        </w:rPr>
        <w:t>wireless broadband operators</w:t>
      </w:r>
      <w:r w:rsidRPr="00CE2068">
        <w:rPr>
          <w:lang w:eastAsia="en-US"/>
        </w:rPr>
        <w:t xml:space="preserve">. </w:t>
      </w:r>
      <w:r w:rsidR="009D50AB">
        <w:rPr>
          <w:lang w:eastAsia="en-US"/>
        </w:rPr>
        <w:t>The</w:t>
      </w:r>
      <w:r w:rsidR="003A7804" w:rsidRPr="003A7804">
        <w:rPr>
          <w:lang w:eastAsia="en-US"/>
        </w:rPr>
        <w:t xml:space="preserve"> ACMA </w:t>
      </w:r>
      <w:r w:rsidR="009D50AB">
        <w:rPr>
          <w:lang w:eastAsia="en-US"/>
        </w:rPr>
        <w:t xml:space="preserve">will adopt a </w:t>
      </w:r>
      <w:r w:rsidR="003A7804" w:rsidRPr="003A7804">
        <w:rPr>
          <w:lang w:eastAsia="en-US"/>
        </w:rPr>
        <w:t xml:space="preserve">policy </w:t>
      </w:r>
      <w:r w:rsidR="009D50AB">
        <w:rPr>
          <w:lang w:eastAsia="en-US"/>
        </w:rPr>
        <w:t>position</w:t>
      </w:r>
      <w:r w:rsidR="008E3313" w:rsidRPr="003A7804">
        <w:rPr>
          <w:lang w:eastAsia="en-US"/>
        </w:rPr>
        <w:t xml:space="preserve"> </w:t>
      </w:r>
      <w:r w:rsidR="009D50AB">
        <w:rPr>
          <w:lang w:eastAsia="en-US"/>
        </w:rPr>
        <w:t xml:space="preserve">that the 5.6 GHz band should be made available for such licensing at least until the end of 2028. </w:t>
      </w:r>
      <w:r w:rsidR="003A7804" w:rsidRPr="003A7804">
        <w:rPr>
          <w:lang w:eastAsia="en-US"/>
        </w:rPr>
        <w:t>In addition to this</w:t>
      </w:r>
      <w:r w:rsidR="00C2714E">
        <w:rPr>
          <w:lang w:eastAsia="en-US"/>
        </w:rPr>
        <w:t>,</w:t>
      </w:r>
      <w:r w:rsidR="003A7804" w:rsidRPr="003A7804">
        <w:rPr>
          <w:lang w:eastAsia="en-US"/>
        </w:rPr>
        <w:t xml:space="preserve"> it will be ACMA policy that existing 3.6 GHz point-to-multipoint licensees in Area 2</w:t>
      </w:r>
      <w:r w:rsidR="00233CD6">
        <w:rPr>
          <w:lang w:eastAsia="en-US"/>
        </w:rPr>
        <w:t xml:space="preserve"> and Area 3</w:t>
      </w:r>
      <w:r w:rsidR="003A7804" w:rsidRPr="003A7804">
        <w:rPr>
          <w:lang w:eastAsia="en-US"/>
        </w:rPr>
        <w:t xml:space="preserve">, </w:t>
      </w:r>
      <w:r w:rsidR="009D50AB" w:rsidRPr="003A7804">
        <w:rPr>
          <w:lang w:eastAsia="en-US"/>
        </w:rPr>
        <w:t xml:space="preserve">be </w:t>
      </w:r>
      <w:r w:rsidR="009D50AB">
        <w:rPr>
          <w:lang w:eastAsia="en-US"/>
        </w:rPr>
        <w:t xml:space="preserve">encouraged to </w:t>
      </w:r>
      <w:r w:rsidR="009D50AB" w:rsidRPr="003A7804">
        <w:rPr>
          <w:lang w:eastAsia="en-US"/>
        </w:rPr>
        <w:t xml:space="preserve">apply for licences in the </w:t>
      </w:r>
      <w:r w:rsidR="009D50AB">
        <w:rPr>
          <w:lang w:eastAsia="en-US"/>
        </w:rPr>
        <w:t xml:space="preserve">5.6 GHz </w:t>
      </w:r>
      <w:r w:rsidR="009D50AB" w:rsidRPr="003A7804">
        <w:rPr>
          <w:lang w:eastAsia="en-US"/>
        </w:rPr>
        <w:t xml:space="preserve">band </w:t>
      </w:r>
      <w:r w:rsidR="009D50AB">
        <w:rPr>
          <w:lang w:eastAsia="en-US"/>
        </w:rPr>
        <w:t>and will be given preference in the ACMA’s consideration of such applications</w:t>
      </w:r>
      <w:r w:rsidR="009D50AB" w:rsidRPr="003A7804">
        <w:rPr>
          <w:lang w:eastAsia="en-US"/>
        </w:rPr>
        <w:t xml:space="preserve">. </w:t>
      </w:r>
      <w:r w:rsidR="008E3313" w:rsidRPr="00251968">
        <w:t xml:space="preserve">The ACMA will </w:t>
      </w:r>
      <w:r w:rsidR="008E3313">
        <w:t>work</w:t>
      </w:r>
      <w:r w:rsidR="008E3313" w:rsidRPr="00251968">
        <w:t xml:space="preserve"> with industry to develop </w:t>
      </w:r>
      <w:r w:rsidR="008E3313">
        <w:t xml:space="preserve">a </w:t>
      </w:r>
      <w:r w:rsidR="008E3313" w:rsidRPr="00251968">
        <w:t xml:space="preserve">process to </w:t>
      </w:r>
      <w:r w:rsidR="008E3313">
        <w:t>guide its decision</w:t>
      </w:r>
      <w:r w:rsidR="00C2714E">
        <w:t>-</w:t>
      </w:r>
      <w:r w:rsidR="008E3313">
        <w:t>making when there is</w:t>
      </w:r>
      <w:r w:rsidR="00233CD6" w:rsidRPr="00251968">
        <w:t xml:space="preserve"> contention for these licences in areas where</w:t>
      </w:r>
      <w:r w:rsidR="00233CD6">
        <w:t xml:space="preserve"> there are multiple licensees vying for access to the</w:t>
      </w:r>
      <w:r w:rsidR="00233CD6" w:rsidRPr="00251968">
        <w:t xml:space="preserve"> </w:t>
      </w:r>
      <w:r w:rsidR="00233CD6">
        <w:t>band.</w:t>
      </w:r>
      <w:r w:rsidR="00336E17">
        <w:t xml:space="preserve"> </w:t>
      </w:r>
      <w:r w:rsidR="00233CD6" w:rsidRPr="00251968">
        <w:t xml:space="preserve"> </w:t>
      </w:r>
    </w:p>
    <w:p w14:paraId="0FB8FD96" w14:textId="77777777" w:rsidR="00E44C4C" w:rsidRDefault="00E44C4C" w:rsidP="00C2714E">
      <w:pPr>
        <w:pStyle w:val="ListNumber"/>
        <w:rPr>
          <w:lang w:eastAsia="en-US"/>
        </w:rPr>
      </w:pPr>
      <w:r>
        <w:rPr>
          <w:lang w:eastAsia="en-US"/>
        </w:rPr>
        <w:t>Investigate</w:t>
      </w:r>
      <w:r w:rsidRPr="00CE2068">
        <w:rPr>
          <w:lang w:eastAsia="en-US"/>
        </w:rPr>
        <w:t xml:space="preserve"> the possibility of apparatus</w:t>
      </w:r>
      <w:r w:rsidR="00C2714E">
        <w:rPr>
          <w:lang w:eastAsia="en-US"/>
        </w:rPr>
        <w:t>-</w:t>
      </w:r>
      <w:r w:rsidRPr="00CE2068">
        <w:rPr>
          <w:lang w:eastAsia="en-US"/>
        </w:rPr>
        <w:t xml:space="preserve">licensed </w:t>
      </w:r>
      <w:r>
        <w:rPr>
          <w:lang w:eastAsia="en-US"/>
        </w:rPr>
        <w:t>point-to-multipoint</w:t>
      </w:r>
      <w:r w:rsidRPr="00CE2068">
        <w:rPr>
          <w:lang w:eastAsia="en-US"/>
        </w:rPr>
        <w:t xml:space="preserve"> arrangements in </w:t>
      </w:r>
      <w:r>
        <w:rPr>
          <w:lang w:eastAsia="en-US"/>
        </w:rPr>
        <w:t>part of</w:t>
      </w:r>
      <w:r w:rsidRPr="00CE2068">
        <w:rPr>
          <w:lang w:eastAsia="en-US"/>
        </w:rPr>
        <w:t xml:space="preserve"> the 28 GHz band in regional Australia as a</w:t>
      </w:r>
      <w:r w:rsidR="005B3847">
        <w:rPr>
          <w:lang w:eastAsia="en-US"/>
        </w:rPr>
        <w:t>nother</w:t>
      </w:r>
      <w:r w:rsidRPr="00CE2068">
        <w:rPr>
          <w:lang w:eastAsia="en-US"/>
        </w:rPr>
        <w:t xml:space="preserve"> possible </w:t>
      </w:r>
      <w:r w:rsidR="005B3847">
        <w:rPr>
          <w:lang w:eastAsia="en-US"/>
        </w:rPr>
        <w:t xml:space="preserve">option </w:t>
      </w:r>
      <w:r w:rsidRPr="00CE2068">
        <w:rPr>
          <w:lang w:eastAsia="en-US"/>
        </w:rPr>
        <w:t xml:space="preserve">to assist WISPs and other </w:t>
      </w:r>
      <w:r w:rsidR="00651697">
        <w:rPr>
          <w:lang w:eastAsia="en-US"/>
        </w:rPr>
        <w:t>prospective site-based wireless broadband operators</w:t>
      </w:r>
      <w:r w:rsidRPr="00CE2068">
        <w:rPr>
          <w:lang w:eastAsia="en-US"/>
        </w:rPr>
        <w:t>.</w:t>
      </w:r>
    </w:p>
    <w:p w14:paraId="46E526B4" w14:textId="77777777" w:rsidR="002D59E1" w:rsidRPr="002D59E1" w:rsidRDefault="002D59E1" w:rsidP="003C3140">
      <w:pPr>
        <w:pStyle w:val="Heading2"/>
      </w:pPr>
      <w:bookmarkStart w:id="21" w:name="_Toc495935475"/>
      <w:bookmarkStart w:id="22" w:name="_Toc495935505"/>
      <w:bookmarkStart w:id="23" w:name="_Toc496620299"/>
      <w:r w:rsidRPr="002D59E1">
        <w:t>Next steps</w:t>
      </w:r>
      <w:bookmarkEnd w:id="21"/>
      <w:bookmarkEnd w:id="22"/>
      <w:bookmarkEnd w:id="23"/>
    </w:p>
    <w:p w14:paraId="600A9E9B" w14:textId="77777777" w:rsidR="00CF7199" w:rsidRDefault="00CF7199" w:rsidP="00C2714E">
      <w:pPr>
        <w:spacing w:after="80"/>
      </w:pPr>
      <w:r w:rsidRPr="005A388B">
        <w:t xml:space="preserve">To give effect to the decisions </w:t>
      </w:r>
      <w:r w:rsidR="00CB05EA">
        <w:t xml:space="preserve">and preliminary views </w:t>
      </w:r>
      <w:r w:rsidRPr="005A388B">
        <w:t xml:space="preserve">outlined </w:t>
      </w:r>
      <w:r>
        <w:t>above</w:t>
      </w:r>
      <w:r w:rsidRPr="005A388B">
        <w:t>, the ACMA will</w:t>
      </w:r>
      <w:r>
        <w:t xml:space="preserve"> perform the work outlined below</w:t>
      </w:r>
      <w:r w:rsidR="00C2714E">
        <w:t>:</w:t>
      </w:r>
      <w:r w:rsidR="00CC0E65">
        <w:t xml:space="preserve"> </w:t>
      </w:r>
    </w:p>
    <w:p w14:paraId="12738AA3" w14:textId="77777777" w:rsidR="00584558" w:rsidRPr="00D070B3" w:rsidRDefault="00584558" w:rsidP="00C2714E">
      <w:pPr>
        <w:pStyle w:val="ListNumber"/>
        <w:numPr>
          <w:ilvl w:val="0"/>
          <w:numId w:val="39"/>
        </w:numPr>
        <w:rPr>
          <w:lang w:eastAsia="en-US"/>
        </w:rPr>
      </w:pPr>
      <w:r>
        <w:rPr>
          <w:lang w:eastAsia="en-US"/>
        </w:rPr>
        <w:t xml:space="preserve">Concurrently with the release of this paper, </w:t>
      </w:r>
      <w:r w:rsidRPr="00584558">
        <w:rPr>
          <w:lang w:eastAsia="en-US"/>
        </w:rPr>
        <w:t xml:space="preserve">the ACMA has commenced consultation on a </w:t>
      </w:r>
      <w:r w:rsidR="00435DF1">
        <w:rPr>
          <w:lang w:eastAsia="en-US"/>
        </w:rPr>
        <w:t xml:space="preserve">draft </w:t>
      </w:r>
      <w:r w:rsidRPr="00584558">
        <w:rPr>
          <w:lang w:eastAsia="en-US"/>
        </w:rPr>
        <w:t xml:space="preserve">recommendation to the </w:t>
      </w:r>
      <w:r w:rsidR="00C2714E">
        <w:rPr>
          <w:lang w:eastAsia="en-US"/>
        </w:rPr>
        <w:t>m</w:t>
      </w:r>
      <w:r w:rsidRPr="00584558">
        <w:rPr>
          <w:lang w:eastAsia="en-US"/>
        </w:rPr>
        <w:t>inster in accordance with section 153</w:t>
      </w:r>
      <w:r w:rsidR="008E3313">
        <w:rPr>
          <w:lang w:eastAsia="en-US"/>
        </w:rPr>
        <w:t>G</w:t>
      </w:r>
      <w:r w:rsidRPr="00584558">
        <w:rPr>
          <w:lang w:eastAsia="en-US"/>
        </w:rPr>
        <w:t xml:space="preserve"> of the Act. Following this consultation, and subject to any additional information obtained, the ACMA is currently minded to make a recommendation to the </w:t>
      </w:r>
      <w:r w:rsidR="00C2714E">
        <w:rPr>
          <w:lang w:eastAsia="en-US"/>
        </w:rPr>
        <w:t>m</w:t>
      </w:r>
      <w:r w:rsidRPr="00584558">
        <w:rPr>
          <w:lang w:eastAsia="en-US"/>
        </w:rPr>
        <w:t>inister in accordance with section 153F of the Act.</w:t>
      </w:r>
    </w:p>
    <w:p w14:paraId="759A3906" w14:textId="77777777" w:rsidR="00584558" w:rsidRPr="005A388B" w:rsidRDefault="008E3313" w:rsidP="00DF0F54">
      <w:pPr>
        <w:pStyle w:val="ListNumber"/>
        <w:rPr>
          <w:lang w:eastAsia="en-US"/>
        </w:rPr>
      </w:pPr>
      <w:r>
        <w:rPr>
          <w:lang w:eastAsia="en-US"/>
        </w:rPr>
        <w:t xml:space="preserve">Subject to a re-allocation declaration being made by the </w:t>
      </w:r>
      <w:r w:rsidR="00C2714E">
        <w:rPr>
          <w:lang w:eastAsia="en-US"/>
        </w:rPr>
        <w:t>m</w:t>
      </w:r>
      <w:r>
        <w:rPr>
          <w:lang w:eastAsia="en-US"/>
        </w:rPr>
        <w:t xml:space="preserve">inister, the ACMA will commence work to progress allocation of spectrum licences in those areas subject to re-allocation. </w:t>
      </w:r>
      <w:r w:rsidR="00584558">
        <w:rPr>
          <w:lang w:eastAsia="en-US"/>
        </w:rPr>
        <w:t>This will include e</w:t>
      </w:r>
      <w:r w:rsidR="00584558" w:rsidRPr="005A388B">
        <w:rPr>
          <w:lang w:eastAsia="en-US"/>
        </w:rPr>
        <w:t>stablish</w:t>
      </w:r>
      <w:r w:rsidR="00584558">
        <w:rPr>
          <w:lang w:eastAsia="en-US"/>
        </w:rPr>
        <w:t>ing</w:t>
      </w:r>
      <w:r w:rsidR="00584558" w:rsidRPr="005A388B">
        <w:rPr>
          <w:lang w:eastAsia="en-US"/>
        </w:rPr>
        <w:t xml:space="preserve"> a </w:t>
      </w:r>
      <w:r w:rsidR="00C2714E">
        <w:rPr>
          <w:lang w:eastAsia="en-US"/>
        </w:rPr>
        <w:t>TLG</w:t>
      </w:r>
      <w:r w:rsidR="00584558" w:rsidRPr="005A388B">
        <w:rPr>
          <w:lang w:eastAsia="en-US"/>
        </w:rPr>
        <w:t xml:space="preserve"> for the development of the technical framework for 3.6 G</w:t>
      </w:r>
      <w:r w:rsidR="00584558">
        <w:rPr>
          <w:lang w:eastAsia="en-US"/>
        </w:rPr>
        <w:t>H</w:t>
      </w:r>
      <w:r w:rsidR="00584558" w:rsidRPr="005A388B">
        <w:rPr>
          <w:lang w:eastAsia="en-US"/>
        </w:rPr>
        <w:t>z spectrum licences.</w:t>
      </w:r>
      <w:r w:rsidR="00584558">
        <w:rPr>
          <w:lang w:eastAsia="en-US"/>
        </w:rPr>
        <w:t xml:space="preserve"> </w:t>
      </w:r>
      <w:r w:rsidR="00584558">
        <w:t>A spectrum licence</w:t>
      </w:r>
      <w:r w:rsidR="00584558" w:rsidRPr="00C07769">
        <w:t xml:space="preserve"> technical framework is the set of technical rules made by the ACMA for operation within </w:t>
      </w:r>
      <w:r w:rsidR="004C690A">
        <w:t xml:space="preserve">a </w:t>
      </w:r>
      <w:r w:rsidR="00584558">
        <w:t>specific</w:t>
      </w:r>
      <w:r w:rsidR="00584558" w:rsidRPr="00C07769">
        <w:t xml:space="preserve"> band.</w:t>
      </w:r>
      <w:r w:rsidR="00584558">
        <w:t xml:space="preserve"> </w:t>
      </w:r>
      <w:r w:rsidR="00584558" w:rsidRPr="00C07769">
        <w:t>Under the Act, the framework consists of three regulatory elements</w:t>
      </w:r>
      <w:r w:rsidR="00C2714E">
        <w:t>—</w:t>
      </w:r>
      <w:r w:rsidR="00584558">
        <w:t>c</w:t>
      </w:r>
      <w:r w:rsidR="00584558" w:rsidRPr="00C07769">
        <w:t xml:space="preserve">onditions on the licence (including </w:t>
      </w:r>
      <w:hyperlink r:id="rId29" w:history="1">
        <w:r w:rsidR="00584558" w:rsidRPr="00C07769">
          <w:t>licence core conditions</w:t>
        </w:r>
      </w:hyperlink>
      <w:r w:rsidR="00584558" w:rsidRPr="00C07769">
        <w:t>)</w:t>
      </w:r>
      <w:r w:rsidR="00C2714E">
        <w:t>,</w:t>
      </w:r>
      <w:r w:rsidR="00584558">
        <w:t xml:space="preserve"> </w:t>
      </w:r>
      <w:r w:rsidR="00584558" w:rsidRPr="00C07769">
        <w:t>a determination of unacceptable interference for the purpose of </w:t>
      </w:r>
      <w:hyperlink r:id="rId30" w:history="1">
        <w:r w:rsidR="00584558" w:rsidRPr="00C07769">
          <w:t>device registration</w:t>
        </w:r>
      </w:hyperlink>
      <w:r w:rsidR="004C690A">
        <w:t>,</w:t>
      </w:r>
      <w:r w:rsidR="00584558">
        <w:t xml:space="preserve"> and </w:t>
      </w:r>
      <w:r w:rsidR="00584558" w:rsidRPr="00C07769">
        <w:t>radiocommunications advisory guidelines</w:t>
      </w:r>
      <w:r w:rsidR="00584558">
        <w:t>.</w:t>
      </w:r>
      <w:r w:rsidR="00584558" w:rsidRPr="00C07769">
        <w:t xml:space="preserve"> </w:t>
      </w:r>
      <w:r w:rsidR="00584558">
        <w:t>Additional technical planning and coordination rules may also be developed through a TLG to manage interference to and from spectrum licences.</w:t>
      </w:r>
    </w:p>
    <w:p w14:paraId="388A82A8" w14:textId="77777777" w:rsidR="00584558" w:rsidRPr="00D070B3" w:rsidRDefault="00584558" w:rsidP="00DF0F54">
      <w:pPr>
        <w:pStyle w:val="ListNumber"/>
        <w:rPr>
          <w:lang w:eastAsia="en-US"/>
        </w:rPr>
      </w:pPr>
      <w:r w:rsidRPr="00D070B3">
        <w:rPr>
          <w:lang w:eastAsia="en-US"/>
        </w:rPr>
        <w:t>Develop and consult on frequency assignment rules for coordinated apparatus</w:t>
      </w:r>
      <w:r w:rsidR="00C2714E">
        <w:rPr>
          <w:lang w:eastAsia="en-US"/>
        </w:rPr>
        <w:t>-</w:t>
      </w:r>
      <w:r w:rsidRPr="00D070B3">
        <w:rPr>
          <w:lang w:eastAsia="en-US"/>
        </w:rPr>
        <w:t>licensed point-</w:t>
      </w:r>
      <w:r>
        <w:rPr>
          <w:lang w:eastAsia="en-US"/>
        </w:rPr>
        <w:t>to-</w:t>
      </w:r>
      <w:r w:rsidRPr="00D070B3">
        <w:rPr>
          <w:lang w:eastAsia="en-US"/>
        </w:rPr>
        <w:t>multipoint use of the 5.6 GHz band outside of metropolitan areas (</w:t>
      </w:r>
      <w:r w:rsidR="00C2714E">
        <w:rPr>
          <w:lang w:eastAsia="en-US"/>
        </w:rPr>
        <w:t>that is,</w:t>
      </w:r>
      <w:r w:rsidRPr="00D070B3">
        <w:rPr>
          <w:lang w:eastAsia="en-US"/>
        </w:rPr>
        <w:t xml:space="preserve"> </w:t>
      </w:r>
      <w:r w:rsidR="00C2714E">
        <w:rPr>
          <w:lang w:eastAsia="en-US"/>
        </w:rPr>
        <w:t>a</w:t>
      </w:r>
      <w:r w:rsidRPr="00D070B3">
        <w:rPr>
          <w:lang w:eastAsia="en-US"/>
        </w:rPr>
        <w:t>reas 2 and 3).</w:t>
      </w:r>
      <w:r w:rsidR="00C2714E">
        <w:rPr>
          <w:lang w:eastAsia="en-US"/>
        </w:rPr>
        <w:t xml:space="preserve"> </w:t>
      </w:r>
      <w:r w:rsidR="008E3313">
        <w:rPr>
          <w:lang w:eastAsia="en-US"/>
        </w:rPr>
        <w:t>In parallel, d</w:t>
      </w:r>
      <w:r w:rsidR="008E3313" w:rsidRPr="00D070B3">
        <w:rPr>
          <w:lang w:eastAsia="en-US"/>
        </w:rPr>
        <w:t>evelop and consult on mechanisms to facilitate existing 3.6 GHz point-</w:t>
      </w:r>
      <w:r w:rsidR="008E3313">
        <w:rPr>
          <w:lang w:eastAsia="en-US"/>
        </w:rPr>
        <w:t>to-multipoint</w:t>
      </w:r>
      <w:r w:rsidR="008E3313" w:rsidRPr="00D070B3">
        <w:rPr>
          <w:lang w:eastAsia="en-US"/>
        </w:rPr>
        <w:t xml:space="preserve"> licensees </w:t>
      </w:r>
      <w:r w:rsidR="008E3313" w:rsidRPr="003A7804">
        <w:rPr>
          <w:lang w:eastAsia="en-US"/>
        </w:rPr>
        <w:t>be</w:t>
      </w:r>
      <w:r w:rsidR="008E3313">
        <w:rPr>
          <w:lang w:eastAsia="en-US"/>
        </w:rPr>
        <w:t>ing</w:t>
      </w:r>
      <w:r w:rsidR="008E3313" w:rsidRPr="003A7804">
        <w:rPr>
          <w:lang w:eastAsia="en-US"/>
        </w:rPr>
        <w:t xml:space="preserve"> given </w:t>
      </w:r>
      <w:r w:rsidR="008E3313">
        <w:rPr>
          <w:lang w:eastAsia="en-US"/>
        </w:rPr>
        <w:t xml:space="preserve">preference when assessing applications for </w:t>
      </w:r>
      <w:r w:rsidR="008E3313" w:rsidRPr="003A7804">
        <w:rPr>
          <w:lang w:eastAsia="en-US"/>
        </w:rPr>
        <w:t xml:space="preserve">licences in the </w:t>
      </w:r>
      <w:r w:rsidR="008E3313">
        <w:rPr>
          <w:lang w:eastAsia="en-US"/>
        </w:rPr>
        <w:t xml:space="preserve">5.6 GHz </w:t>
      </w:r>
      <w:r w:rsidR="008E3313" w:rsidRPr="003A7804">
        <w:rPr>
          <w:lang w:eastAsia="en-US"/>
        </w:rPr>
        <w:t>band.</w:t>
      </w:r>
      <w:r w:rsidR="00336E17">
        <w:rPr>
          <w:lang w:eastAsia="en-US"/>
        </w:rPr>
        <w:t xml:space="preserve"> </w:t>
      </w:r>
      <w:r>
        <w:rPr>
          <w:lang w:eastAsia="en-US"/>
        </w:rPr>
        <w:t xml:space="preserve"> </w:t>
      </w:r>
    </w:p>
    <w:p w14:paraId="34C33B07" w14:textId="77777777" w:rsidR="00584558" w:rsidRDefault="00584558" w:rsidP="00DF0F54">
      <w:pPr>
        <w:pStyle w:val="ListNumber"/>
        <w:rPr>
          <w:lang w:eastAsia="en-US"/>
        </w:rPr>
      </w:pPr>
      <w:r w:rsidRPr="005A388B">
        <w:rPr>
          <w:lang w:eastAsia="en-US"/>
        </w:rPr>
        <w:t xml:space="preserve">Investigate and consult on the possible development of </w:t>
      </w:r>
      <w:r w:rsidRPr="00D070B3">
        <w:rPr>
          <w:lang w:eastAsia="en-US"/>
        </w:rPr>
        <w:t>coordinated apparatus</w:t>
      </w:r>
      <w:r w:rsidR="00C2714E">
        <w:rPr>
          <w:lang w:eastAsia="en-US"/>
        </w:rPr>
        <w:t>-</w:t>
      </w:r>
      <w:r w:rsidRPr="00D070B3">
        <w:rPr>
          <w:lang w:eastAsia="en-US"/>
        </w:rPr>
        <w:t>licensed point-</w:t>
      </w:r>
      <w:r>
        <w:rPr>
          <w:lang w:eastAsia="en-US"/>
        </w:rPr>
        <w:t>to-</w:t>
      </w:r>
      <w:r w:rsidRPr="00D070B3">
        <w:rPr>
          <w:lang w:eastAsia="en-US"/>
        </w:rPr>
        <w:t xml:space="preserve">multipoint use of </w:t>
      </w:r>
      <w:r>
        <w:rPr>
          <w:lang w:eastAsia="en-US"/>
        </w:rPr>
        <w:t xml:space="preserve">some or all of </w:t>
      </w:r>
      <w:r w:rsidRPr="00D070B3">
        <w:rPr>
          <w:lang w:eastAsia="en-US"/>
        </w:rPr>
        <w:t xml:space="preserve">the </w:t>
      </w:r>
      <w:r>
        <w:rPr>
          <w:lang w:eastAsia="en-US"/>
        </w:rPr>
        <w:t>28</w:t>
      </w:r>
      <w:r w:rsidRPr="00D070B3">
        <w:rPr>
          <w:lang w:eastAsia="en-US"/>
        </w:rPr>
        <w:t xml:space="preserve"> </w:t>
      </w:r>
      <w:r>
        <w:rPr>
          <w:lang w:eastAsia="en-US"/>
        </w:rPr>
        <w:t xml:space="preserve">GHz </w:t>
      </w:r>
      <w:r w:rsidRPr="00D070B3">
        <w:rPr>
          <w:lang w:eastAsia="en-US"/>
        </w:rPr>
        <w:t>band outside of metropolitan areas</w:t>
      </w:r>
      <w:r>
        <w:rPr>
          <w:lang w:eastAsia="en-US"/>
        </w:rPr>
        <w:t>.</w:t>
      </w:r>
      <w:r w:rsidRPr="00D070B3">
        <w:rPr>
          <w:lang w:eastAsia="en-US"/>
        </w:rPr>
        <w:t xml:space="preserve"> </w:t>
      </w:r>
    </w:p>
    <w:p w14:paraId="40BC46C5" w14:textId="77777777" w:rsidR="00584558" w:rsidRPr="00D070B3" w:rsidRDefault="00584558" w:rsidP="00DF0F54">
      <w:pPr>
        <w:pStyle w:val="ListNumber"/>
        <w:rPr>
          <w:lang w:eastAsia="en-US"/>
        </w:rPr>
      </w:pPr>
      <w:r>
        <w:rPr>
          <w:lang w:eastAsia="en-US"/>
        </w:rPr>
        <w:t xml:space="preserve">Develop and consult on planning arrangements for east coast </w:t>
      </w:r>
      <w:r w:rsidR="00C2714E">
        <w:rPr>
          <w:lang w:eastAsia="en-US"/>
        </w:rPr>
        <w:t>e</w:t>
      </w:r>
      <w:r>
        <w:rPr>
          <w:lang w:eastAsia="en-US"/>
        </w:rPr>
        <w:t xml:space="preserve">arth station zones. </w:t>
      </w:r>
      <w:r w:rsidRPr="00584558">
        <w:rPr>
          <w:lang w:eastAsia="en-US"/>
        </w:rPr>
        <w:t xml:space="preserve">This will include the development of appropriate coordination arrangements as part of </w:t>
      </w:r>
      <w:r w:rsidR="0053216D">
        <w:rPr>
          <w:lang w:eastAsia="en-US"/>
        </w:rPr>
        <w:t>any</w:t>
      </w:r>
      <w:r>
        <w:rPr>
          <w:lang w:eastAsia="en-US"/>
        </w:rPr>
        <w:t xml:space="preserve"> TLG process</w:t>
      </w:r>
      <w:r w:rsidRPr="00584558">
        <w:rPr>
          <w:lang w:eastAsia="en-US"/>
        </w:rPr>
        <w:t xml:space="preserve"> </w:t>
      </w:r>
      <w:r w:rsidR="0053216D">
        <w:rPr>
          <w:lang w:eastAsia="en-US"/>
        </w:rPr>
        <w:t>for the 3.6 GHz band</w:t>
      </w:r>
      <w:r w:rsidR="00C2714E">
        <w:rPr>
          <w:lang w:eastAsia="en-US"/>
        </w:rPr>
        <w:t>,</w:t>
      </w:r>
      <w:r w:rsidR="0053216D">
        <w:rPr>
          <w:lang w:eastAsia="en-US"/>
        </w:rPr>
        <w:t xml:space="preserve"> </w:t>
      </w:r>
      <w:r>
        <w:rPr>
          <w:lang w:eastAsia="en-US"/>
        </w:rPr>
        <w:t xml:space="preserve">with </w:t>
      </w:r>
      <w:r w:rsidRPr="00584558">
        <w:rPr>
          <w:lang w:eastAsia="en-US"/>
        </w:rPr>
        <w:t xml:space="preserve">additional planning and frequency assignment rules </w:t>
      </w:r>
      <w:r>
        <w:rPr>
          <w:lang w:eastAsia="en-US"/>
        </w:rPr>
        <w:t xml:space="preserve">developed as </w:t>
      </w:r>
      <w:r w:rsidRPr="00584558">
        <w:rPr>
          <w:lang w:eastAsia="en-US"/>
        </w:rPr>
        <w:t>necessary.</w:t>
      </w:r>
    </w:p>
    <w:p w14:paraId="11F3DB7F" w14:textId="77777777" w:rsidR="00BE4C11" w:rsidRPr="000D76E0" w:rsidRDefault="00777F84" w:rsidP="00777BA2">
      <w:pPr>
        <w:pStyle w:val="Heading1"/>
      </w:pPr>
      <w:bookmarkStart w:id="24" w:name="_Toc494375832"/>
      <w:bookmarkStart w:id="25" w:name="_Toc494378905"/>
      <w:bookmarkStart w:id="26" w:name="_Toc495935476"/>
      <w:bookmarkStart w:id="27" w:name="_Toc495935506"/>
      <w:bookmarkStart w:id="28" w:name="_Toc496620300"/>
      <w:r>
        <w:t>1</w:t>
      </w:r>
      <w:r w:rsidR="00FE6882">
        <w:t>.</w:t>
      </w:r>
      <w:r>
        <w:tab/>
      </w:r>
      <w:r w:rsidR="00D26C78">
        <w:t>Introduction</w:t>
      </w:r>
      <w:bookmarkEnd w:id="6"/>
      <w:bookmarkEnd w:id="24"/>
      <w:bookmarkEnd w:id="25"/>
      <w:bookmarkEnd w:id="26"/>
      <w:bookmarkEnd w:id="27"/>
      <w:bookmarkEnd w:id="28"/>
      <w:r w:rsidR="0042762F" w:rsidRPr="00FF3C69">
        <w:t xml:space="preserve"> </w:t>
      </w:r>
    </w:p>
    <w:p w14:paraId="53384824" w14:textId="2FBBF3DB" w:rsidR="00CF2002" w:rsidRDefault="00D26C78" w:rsidP="00CF2002">
      <w:r>
        <w:t>T</w:t>
      </w:r>
      <w:r w:rsidRPr="00D26C78">
        <w:t xml:space="preserve">he </w:t>
      </w:r>
      <w:r w:rsidR="00E41E2D">
        <w:t>ACMA</w:t>
      </w:r>
      <w:r>
        <w:t xml:space="preserve"> released </w:t>
      </w:r>
      <w:r w:rsidR="003A119B">
        <w:t>a consultation package</w:t>
      </w:r>
      <w:r w:rsidR="008927B9">
        <w:t xml:space="preserve"> </w:t>
      </w:r>
      <w:r w:rsidR="003A119B">
        <w:t xml:space="preserve">on the </w:t>
      </w:r>
      <w:hyperlink r:id="rId31" w:history="1">
        <w:r w:rsidR="008927B9" w:rsidRPr="004626F6">
          <w:rPr>
            <w:rStyle w:val="Hyperlink"/>
            <w:rFonts w:cs="Arial"/>
            <w:i/>
          </w:rPr>
          <w:t>Future use of the 3.6 GHz band</w:t>
        </w:r>
      </w:hyperlink>
      <w:r w:rsidR="008927B9">
        <w:t xml:space="preserve"> </w:t>
      </w:r>
      <w:r>
        <w:rPr>
          <w:szCs w:val="20"/>
          <w:lang w:val="en"/>
        </w:rPr>
        <w:t xml:space="preserve">on </w:t>
      </w:r>
      <w:r w:rsidR="008927B9">
        <w:rPr>
          <w:szCs w:val="20"/>
          <w:lang w:val="en"/>
        </w:rPr>
        <w:t>2</w:t>
      </w:r>
      <w:r w:rsidR="003A119B">
        <w:rPr>
          <w:szCs w:val="20"/>
          <w:lang w:val="en"/>
        </w:rPr>
        <w:t>3</w:t>
      </w:r>
      <w:r w:rsidR="008927B9">
        <w:rPr>
          <w:szCs w:val="20"/>
          <w:lang w:val="en"/>
        </w:rPr>
        <w:t xml:space="preserve"> </w:t>
      </w:r>
      <w:r w:rsidR="003A119B">
        <w:rPr>
          <w:szCs w:val="20"/>
          <w:lang w:val="en"/>
        </w:rPr>
        <w:t xml:space="preserve">June 2017 </w:t>
      </w:r>
      <w:r w:rsidR="00EB26D8">
        <w:t xml:space="preserve">(the </w:t>
      </w:r>
      <w:r w:rsidR="003A119B">
        <w:t>June 2017 consultation package</w:t>
      </w:r>
      <w:r w:rsidR="00EB26D8">
        <w:t>)</w:t>
      </w:r>
      <w:r>
        <w:rPr>
          <w:szCs w:val="20"/>
          <w:lang w:val="en"/>
        </w:rPr>
        <w:t xml:space="preserve">. </w:t>
      </w:r>
      <w:r w:rsidR="00CF2002">
        <w:t xml:space="preserve">The consultation package followed on from the </w:t>
      </w:r>
      <w:r w:rsidR="00CF2002" w:rsidRPr="00F751A3">
        <w:t>discussion paper</w:t>
      </w:r>
      <w:r w:rsidR="00DF0F54">
        <w:t>,</w:t>
      </w:r>
      <w:r w:rsidR="00CF2002" w:rsidRPr="00F751A3">
        <w:t xml:space="preserve"> </w:t>
      </w:r>
      <w:hyperlink r:id="rId32" w:history="1">
        <w:r w:rsidR="00CF2002" w:rsidRPr="00CF2002">
          <w:rPr>
            <w:rStyle w:val="Hyperlink"/>
            <w:rFonts w:cs="Arial"/>
            <w:i/>
          </w:rPr>
          <w:t>Future use of the 1.5 GHz and 3.6 GHz bands</w:t>
        </w:r>
      </w:hyperlink>
      <w:r w:rsidR="00141E57" w:rsidRPr="00141E57">
        <w:rPr>
          <w:rStyle w:val="Hyperlink"/>
          <w:rFonts w:cs="Arial"/>
          <w:color w:val="auto"/>
          <w:u w:val="none"/>
        </w:rPr>
        <w:t>,</w:t>
      </w:r>
      <w:r w:rsidR="00CF2002" w:rsidRPr="00141E57">
        <w:t xml:space="preserve"> </w:t>
      </w:r>
      <w:r w:rsidR="00CF2002">
        <w:t xml:space="preserve">released by the ACMA in </w:t>
      </w:r>
      <w:r w:rsidR="00CF2002" w:rsidRPr="00F751A3">
        <w:t>October 2016</w:t>
      </w:r>
      <w:r w:rsidR="00CF2002">
        <w:t xml:space="preserve"> </w:t>
      </w:r>
      <w:r w:rsidR="00CF2002" w:rsidRPr="00F751A3">
        <w:t xml:space="preserve">(the </w:t>
      </w:r>
      <w:r w:rsidR="00CF2002">
        <w:t xml:space="preserve">October </w:t>
      </w:r>
      <w:r w:rsidR="00CF2002" w:rsidRPr="003B5D49">
        <w:t>2016 discussion paper</w:t>
      </w:r>
      <w:r w:rsidR="00CF2002" w:rsidRPr="00F751A3">
        <w:t xml:space="preserve">). </w:t>
      </w:r>
    </w:p>
    <w:p w14:paraId="31345EFA" w14:textId="77777777" w:rsidR="00CF2002" w:rsidRDefault="00CF2002" w:rsidP="00141E57">
      <w:pPr>
        <w:spacing w:after="80"/>
      </w:pPr>
      <w:r>
        <w:t>The June 2017 consultation package consisted of the following three documents:</w:t>
      </w:r>
    </w:p>
    <w:p w14:paraId="412C64C0" w14:textId="77777777" w:rsidR="00CF2002" w:rsidRPr="00C554AE" w:rsidRDefault="00CF2002" w:rsidP="00C554AE">
      <w:pPr>
        <w:pStyle w:val="ListBullet"/>
        <w:numPr>
          <w:ilvl w:val="0"/>
          <w:numId w:val="1"/>
        </w:numPr>
        <w:rPr>
          <w:rFonts w:cs="Arial"/>
          <w:szCs w:val="20"/>
          <w:lang w:eastAsia="en-US"/>
        </w:rPr>
      </w:pPr>
      <w:r w:rsidRPr="00C554AE">
        <w:rPr>
          <w:rFonts w:cs="Arial"/>
          <w:i/>
          <w:szCs w:val="20"/>
          <w:lang w:eastAsia="en-US"/>
        </w:rPr>
        <w:t>Future use of the 1.5 GHz and 3.6 GHz bands</w:t>
      </w:r>
      <w:r w:rsidR="00141E57">
        <w:rPr>
          <w:rFonts w:cs="Arial"/>
          <w:i/>
          <w:szCs w:val="20"/>
          <w:lang w:eastAsia="en-US"/>
        </w:rPr>
        <w:t>—</w:t>
      </w:r>
      <w:r w:rsidRPr="00C554AE">
        <w:rPr>
          <w:rFonts w:cs="Arial"/>
          <w:i/>
          <w:szCs w:val="20"/>
          <w:lang w:eastAsia="en-US"/>
        </w:rPr>
        <w:t>Summary of and response to 3.</w:t>
      </w:r>
      <w:r w:rsidR="00141E57" w:rsidRPr="00C554AE">
        <w:rPr>
          <w:rFonts w:cs="Arial"/>
          <w:i/>
          <w:szCs w:val="20"/>
          <w:lang w:eastAsia="en-US"/>
        </w:rPr>
        <w:t>6</w:t>
      </w:r>
      <w:r w:rsidR="00141E57">
        <w:rPr>
          <w:rFonts w:cs="Arial"/>
          <w:i/>
          <w:szCs w:val="20"/>
          <w:lang w:eastAsia="en-US"/>
        </w:rPr>
        <w:t> </w:t>
      </w:r>
      <w:r w:rsidRPr="00C554AE">
        <w:rPr>
          <w:rFonts w:cs="Arial"/>
          <w:i/>
          <w:szCs w:val="20"/>
          <w:lang w:eastAsia="en-US"/>
        </w:rPr>
        <w:t>GHz band related submissions</w:t>
      </w:r>
      <w:r w:rsidRPr="00C554AE">
        <w:rPr>
          <w:rFonts w:cs="Arial"/>
          <w:szCs w:val="20"/>
          <w:lang w:eastAsia="en-US"/>
        </w:rPr>
        <w:t xml:space="preserve"> (the Summary of </w:t>
      </w:r>
      <w:r w:rsidR="003A3B1F" w:rsidRPr="00C554AE">
        <w:rPr>
          <w:rFonts w:cs="Arial"/>
          <w:szCs w:val="20"/>
          <w:lang w:eastAsia="en-US"/>
        </w:rPr>
        <w:t>s</w:t>
      </w:r>
      <w:r w:rsidRPr="00C554AE">
        <w:rPr>
          <w:rFonts w:cs="Arial"/>
          <w:szCs w:val="20"/>
          <w:lang w:eastAsia="en-US"/>
        </w:rPr>
        <w:t xml:space="preserve">ubmissions paper) </w:t>
      </w:r>
    </w:p>
    <w:p w14:paraId="5F2201F9" w14:textId="77777777" w:rsidR="00CF2002" w:rsidRPr="00C554AE" w:rsidRDefault="00CF2002" w:rsidP="00C554AE">
      <w:pPr>
        <w:pStyle w:val="ListBullet"/>
        <w:numPr>
          <w:ilvl w:val="0"/>
          <w:numId w:val="1"/>
        </w:numPr>
        <w:rPr>
          <w:rFonts w:cs="Arial"/>
          <w:szCs w:val="20"/>
          <w:lang w:eastAsia="en-US"/>
        </w:rPr>
      </w:pPr>
      <w:r w:rsidRPr="00C554AE">
        <w:rPr>
          <w:rFonts w:cs="Arial"/>
          <w:i/>
          <w:szCs w:val="20"/>
          <w:lang w:eastAsia="en-US"/>
        </w:rPr>
        <w:t>Future use of the 3.6 GHz band</w:t>
      </w:r>
      <w:r w:rsidR="00141E57">
        <w:rPr>
          <w:rFonts w:cs="Arial"/>
          <w:i/>
          <w:szCs w:val="20"/>
          <w:lang w:eastAsia="en-US"/>
        </w:rPr>
        <w:t>—</w:t>
      </w:r>
      <w:r w:rsidRPr="00C554AE">
        <w:rPr>
          <w:rFonts w:cs="Arial"/>
          <w:i/>
          <w:szCs w:val="20"/>
          <w:lang w:eastAsia="en-US"/>
        </w:rPr>
        <w:t>Highest value use assessment</w:t>
      </w:r>
      <w:r w:rsidR="00141E57">
        <w:rPr>
          <w:rFonts w:cs="Arial"/>
          <w:i/>
          <w:szCs w:val="20"/>
          <w:lang w:eastAsia="en-US"/>
        </w:rPr>
        <w:t>—</w:t>
      </w:r>
      <w:r w:rsidRPr="00C554AE">
        <w:rPr>
          <w:rFonts w:cs="Arial"/>
          <w:i/>
          <w:szCs w:val="20"/>
          <w:lang w:eastAsia="en-US"/>
        </w:rPr>
        <w:t>Quantitative Analysis</w:t>
      </w:r>
      <w:r w:rsidRPr="00C554AE">
        <w:rPr>
          <w:rFonts w:cs="Arial"/>
          <w:szCs w:val="20"/>
          <w:lang w:eastAsia="en-US"/>
        </w:rPr>
        <w:t xml:space="preserve"> (the HVU paper) </w:t>
      </w:r>
    </w:p>
    <w:p w14:paraId="36B2A0B3" w14:textId="77777777" w:rsidR="00CF2002" w:rsidRPr="00C554AE" w:rsidRDefault="00CF2002" w:rsidP="00C554AE">
      <w:pPr>
        <w:pStyle w:val="ListBullet"/>
        <w:numPr>
          <w:ilvl w:val="0"/>
          <w:numId w:val="1"/>
        </w:numPr>
        <w:rPr>
          <w:rFonts w:cs="Arial"/>
          <w:szCs w:val="20"/>
          <w:lang w:eastAsia="en-US"/>
        </w:rPr>
      </w:pPr>
      <w:r w:rsidRPr="00C554AE">
        <w:rPr>
          <w:rFonts w:cs="Arial"/>
          <w:i/>
          <w:szCs w:val="20"/>
          <w:lang w:eastAsia="en-US"/>
        </w:rPr>
        <w:t>Future use of the 3.6 GHz band</w:t>
      </w:r>
      <w:r w:rsidR="00141E57">
        <w:rPr>
          <w:rFonts w:cs="Arial"/>
          <w:i/>
          <w:szCs w:val="20"/>
          <w:lang w:eastAsia="en-US"/>
        </w:rPr>
        <w:t>—</w:t>
      </w:r>
      <w:r w:rsidRPr="00C554AE">
        <w:rPr>
          <w:rFonts w:cs="Arial"/>
          <w:i/>
          <w:szCs w:val="20"/>
          <w:lang w:eastAsia="en-US"/>
        </w:rPr>
        <w:t>Options paper</w:t>
      </w:r>
      <w:r w:rsidRPr="00C554AE">
        <w:rPr>
          <w:rFonts w:cs="Arial"/>
          <w:szCs w:val="20"/>
          <w:lang w:eastAsia="en-US"/>
        </w:rPr>
        <w:t xml:space="preserve"> (the Options paper).</w:t>
      </w:r>
    </w:p>
    <w:p w14:paraId="7DCBB470" w14:textId="77777777" w:rsidR="00FD695A" w:rsidRDefault="00531C60" w:rsidP="00C554AE">
      <w:pPr>
        <w:spacing w:before="240"/>
      </w:pPr>
      <w:r w:rsidRPr="00531C60">
        <w:t xml:space="preserve">The </w:t>
      </w:r>
      <w:r>
        <w:t xml:space="preserve">June 2017 </w:t>
      </w:r>
      <w:r w:rsidR="00C0094D">
        <w:t>consultation</w:t>
      </w:r>
      <w:r>
        <w:t xml:space="preserve"> package identified</w:t>
      </w:r>
      <w:r w:rsidRPr="00531C60">
        <w:t xml:space="preserve"> a range of possible </w:t>
      </w:r>
      <w:r w:rsidR="00463C0F">
        <w:t>replanning</w:t>
      </w:r>
      <w:r w:rsidRPr="00531C60">
        <w:t xml:space="preserve"> op</w:t>
      </w:r>
      <w:r>
        <w:t xml:space="preserve">tions for the </w:t>
      </w:r>
      <w:r w:rsidR="00967438">
        <w:t>3575</w:t>
      </w:r>
      <w:r w:rsidR="00141E57">
        <w:t>–</w:t>
      </w:r>
      <w:r w:rsidR="00967438">
        <w:t>3700 MHz (</w:t>
      </w:r>
      <w:r>
        <w:t>3.6 GHz</w:t>
      </w:r>
      <w:r w:rsidR="00967438">
        <w:t>)</w:t>
      </w:r>
      <w:r w:rsidR="00FD695A">
        <w:t xml:space="preserve"> band, </w:t>
      </w:r>
      <w:r w:rsidR="00FD695A" w:rsidRPr="00E655DE">
        <w:t>informed by detailed technical sharing studies and analysis of ongoing incumbent spectrum needs</w:t>
      </w:r>
      <w:r w:rsidR="00141E57">
        <w:t xml:space="preserve">. </w:t>
      </w:r>
      <w:r w:rsidR="00FD695A">
        <w:t xml:space="preserve">This included a </w:t>
      </w:r>
      <w:r w:rsidR="00FD695A" w:rsidRPr="00531C60">
        <w:t>detailed explanation of</w:t>
      </w:r>
      <w:r w:rsidR="00141E57">
        <w:t>,</w:t>
      </w:r>
      <w:r w:rsidR="00FD695A" w:rsidRPr="00531C60">
        <w:t xml:space="preserve"> and reasoning</w:t>
      </w:r>
      <w:r w:rsidR="00FD695A">
        <w:t xml:space="preserve"> </w:t>
      </w:r>
      <w:r w:rsidR="00FD695A" w:rsidRPr="00531C60">
        <w:t>for</w:t>
      </w:r>
      <w:r w:rsidR="00141E57">
        <w:t>,</w:t>
      </w:r>
      <w:r w:rsidR="00FD695A" w:rsidRPr="00531C60">
        <w:t xml:space="preserve"> the ACMA’s preferred </w:t>
      </w:r>
      <w:r w:rsidR="00FD695A">
        <w:t>approach for the 3.6 GHz band.</w:t>
      </w:r>
      <w:r w:rsidR="00FD695A" w:rsidRPr="00531C60">
        <w:t xml:space="preserve"> </w:t>
      </w:r>
      <w:r w:rsidR="00FD695A" w:rsidRPr="00E655DE">
        <w:t>A comprehensive assessment of the highest</w:t>
      </w:r>
      <w:r w:rsidR="00FD695A">
        <w:t xml:space="preserve"> value use of the band wa</w:t>
      </w:r>
      <w:r w:rsidR="00FD695A" w:rsidRPr="00E655DE">
        <w:t xml:space="preserve">s </w:t>
      </w:r>
      <w:r w:rsidR="00FD695A">
        <w:t xml:space="preserve">also </w:t>
      </w:r>
      <w:r w:rsidR="00633CF2">
        <w:t>provided</w:t>
      </w:r>
      <w:r w:rsidR="00FD695A" w:rsidRPr="00E655DE">
        <w:t>.</w:t>
      </w:r>
    </w:p>
    <w:p w14:paraId="0AD61C7C" w14:textId="77777777" w:rsidR="00FD695A" w:rsidRDefault="00FD695A" w:rsidP="00FD695A">
      <w:r>
        <w:t xml:space="preserve">The purpose of the </w:t>
      </w:r>
      <w:r w:rsidR="00C82BFA">
        <w:t>June</w:t>
      </w:r>
      <w:r>
        <w:t xml:space="preserve"> 2017 </w:t>
      </w:r>
      <w:r w:rsidR="00C0094D">
        <w:t>consultation</w:t>
      </w:r>
      <w:r>
        <w:t xml:space="preserve"> package was to provide</w:t>
      </w:r>
      <w:r w:rsidRPr="00A67371">
        <w:t xml:space="preserve"> an opportunity for stakeholders to</w:t>
      </w:r>
      <w:r>
        <w:t xml:space="preserve"> inform the ACMA’s thinking and comment on</w:t>
      </w:r>
      <w:r w:rsidRPr="00A67371">
        <w:t xml:space="preserve"> different options </w:t>
      </w:r>
      <w:r>
        <w:t>for future arrangements in the 3.6 GHz band</w:t>
      </w:r>
      <w:r w:rsidRPr="00A67371">
        <w:t>, to ensure</w:t>
      </w:r>
      <w:r>
        <w:t xml:space="preserve"> all relevant</w:t>
      </w:r>
      <w:r w:rsidRPr="00A67371">
        <w:t xml:space="preserve"> costs and benefits are accurately gauged and taken into consideration. The main outcome sought </w:t>
      </w:r>
      <w:r>
        <w:t>was</w:t>
      </w:r>
      <w:r w:rsidRPr="00A67371">
        <w:t xml:space="preserve"> to determine if the </w:t>
      </w:r>
      <w:r>
        <w:t xml:space="preserve">3.6 GHz </w:t>
      </w:r>
      <w:r w:rsidRPr="00A67371">
        <w:t xml:space="preserve">band should be progressed from the </w:t>
      </w:r>
      <w:r w:rsidRPr="00A67371">
        <w:rPr>
          <w:i/>
        </w:rPr>
        <w:t xml:space="preserve">preliminary </w:t>
      </w:r>
      <w:r>
        <w:rPr>
          <w:i/>
        </w:rPr>
        <w:t>replanning</w:t>
      </w:r>
      <w:r w:rsidRPr="00A67371">
        <w:rPr>
          <w:rFonts w:cs="Arial"/>
        </w:rPr>
        <w:t xml:space="preserve"> stage</w:t>
      </w:r>
      <w:r w:rsidRPr="00A67371">
        <w:t xml:space="preserve"> to the </w:t>
      </w:r>
      <w:r w:rsidRPr="00A67371">
        <w:rPr>
          <w:i/>
        </w:rPr>
        <w:t>re-farming</w:t>
      </w:r>
      <w:r w:rsidRPr="00A67371">
        <w:t xml:space="preserve"> stage </w:t>
      </w:r>
      <w:r>
        <w:t xml:space="preserve">of the </w:t>
      </w:r>
      <w:r w:rsidR="00B142FD">
        <w:t>ACMA’s</w:t>
      </w:r>
      <w:r>
        <w:t xml:space="preserve"> </w:t>
      </w:r>
      <w:hyperlink r:id="rId33" w:history="1">
        <w:r w:rsidRPr="00A84D5C">
          <w:rPr>
            <w:rStyle w:val="Hyperlink"/>
          </w:rPr>
          <w:t>process for considering additional spectrum for mobile broadband services</w:t>
        </w:r>
      </w:hyperlink>
      <w:r>
        <w:t xml:space="preserve">, </w:t>
      </w:r>
      <w:r w:rsidRPr="00A67371">
        <w:t>and</w:t>
      </w:r>
      <w:r>
        <w:t xml:space="preserve">, </w:t>
      </w:r>
      <w:r w:rsidRPr="00A67371">
        <w:t>if so</w:t>
      </w:r>
      <w:r>
        <w:t>,</w:t>
      </w:r>
      <w:r w:rsidRPr="00A67371">
        <w:t xml:space="preserve"> what </w:t>
      </w:r>
      <w:r>
        <w:t>replanning</w:t>
      </w:r>
      <w:r w:rsidRPr="00A67371">
        <w:t xml:space="preserve"> option is most appropriate.</w:t>
      </w:r>
    </w:p>
    <w:p w14:paraId="530F74D2" w14:textId="77777777" w:rsidR="00531C60" w:rsidRPr="0055309D" w:rsidRDefault="00531C60" w:rsidP="00531C60">
      <w:pPr>
        <w:rPr>
          <w:szCs w:val="20"/>
          <w:lang w:val="en"/>
        </w:rPr>
      </w:pPr>
      <w:r w:rsidRPr="0055309D">
        <w:rPr>
          <w:szCs w:val="20"/>
          <w:lang w:val="en"/>
        </w:rPr>
        <w:t xml:space="preserve">Thirty-five submissions were received to the June 2017 </w:t>
      </w:r>
      <w:r w:rsidR="00C0094D" w:rsidRPr="0055309D">
        <w:rPr>
          <w:szCs w:val="20"/>
          <w:lang w:val="en"/>
        </w:rPr>
        <w:t>consultation</w:t>
      </w:r>
      <w:r w:rsidRPr="0055309D">
        <w:rPr>
          <w:szCs w:val="20"/>
          <w:lang w:val="en"/>
        </w:rPr>
        <w:t xml:space="preserve"> package as listed in Annex A.</w:t>
      </w:r>
    </w:p>
    <w:p w14:paraId="130189D6" w14:textId="77777777" w:rsidR="00531C60" w:rsidRDefault="00777F84" w:rsidP="00531C60">
      <w:r w:rsidRPr="0055309D">
        <w:t xml:space="preserve">A summary </w:t>
      </w:r>
      <w:r w:rsidR="00D70360" w:rsidRPr="0055309D">
        <w:t xml:space="preserve">and response to </w:t>
      </w:r>
      <w:r w:rsidRPr="0055309D">
        <w:t xml:space="preserve">feedback </w:t>
      </w:r>
      <w:r w:rsidR="008927B9" w:rsidRPr="0055309D">
        <w:t xml:space="preserve">received </w:t>
      </w:r>
      <w:r w:rsidR="00D70360" w:rsidRPr="0055309D">
        <w:t xml:space="preserve">is contained in this paper. </w:t>
      </w:r>
      <w:r w:rsidR="00531C60" w:rsidRPr="0055309D">
        <w:t>Based on consideration of</w:t>
      </w:r>
      <w:r w:rsidR="00531C60">
        <w:t xml:space="preserve"> the issues raised in the June 2017 consultation package</w:t>
      </w:r>
      <w:r w:rsidR="00B142FD">
        <w:t>,</w:t>
      </w:r>
      <w:r w:rsidR="00531C60">
        <w:t xml:space="preserve"> as well as the feedback received, </w:t>
      </w:r>
      <w:r w:rsidR="00660DE1">
        <w:t xml:space="preserve">this paper also contains the ACMA’s </w:t>
      </w:r>
      <w:r w:rsidR="008E3313">
        <w:t>proposed way forward, and associated reasoning, for the 3.6 GHz band.</w:t>
      </w:r>
    </w:p>
    <w:p w14:paraId="3D119FA6" w14:textId="77777777" w:rsidR="001A076C" w:rsidRDefault="00D70360" w:rsidP="00141E57">
      <w:pPr>
        <w:spacing w:after="80"/>
      </w:pPr>
      <w:r>
        <w:t xml:space="preserve">The </w:t>
      </w:r>
      <w:r w:rsidR="004626F6">
        <w:t xml:space="preserve">structure </w:t>
      </w:r>
      <w:r>
        <w:t>of this paper is</w:t>
      </w:r>
      <w:r w:rsidR="001A076C">
        <w:t>:</w:t>
      </w:r>
    </w:p>
    <w:p w14:paraId="68267307" w14:textId="77777777" w:rsidR="00660DE1" w:rsidRPr="00141E57" w:rsidRDefault="008F21EE" w:rsidP="00141E57">
      <w:pPr>
        <w:pStyle w:val="ListBullet"/>
      </w:pPr>
      <w:r w:rsidRPr="00C554AE">
        <w:rPr>
          <w:lang w:eastAsia="en-US"/>
        </w:rPr>
        <w:t xml:space="preserve">Section </w:t>
      </w:r>
      <w:r w:rsidRPr="00141E57">
        <w:t>2</w:t>
      </w:r>
      <w:r w:rsidR="00660DE1" w:rsidRPr="00141E57">
        <w:t xml:space="preserve"> outlines comments received to the HVU paper and the ACMA’s response</w:t>
      </w:r>
    </w:p>
    <w:p w14:paraId="2617B793" w14:textId="77777777" w:rsidR="008F21EE" w:rsidRPr="00141E57" w:rsidRDefault="008F21EE" w:rsidP="00141E57">
      <w:pPr>
        <w:pStyle w:val="ListBullet"/>
      </w:pPr>
      <w:r w:rsidRPr="00141E57">
        <w:t>Section 3 outlines comments received to the Options paper and the ACMA’s response</w:t>
      </w:r>
    </w:p>
    <w:p w14:paraId="76EA48AF" w14:textId="77777777" w:rsidR="00D70360" w:rsidRPr="00C554AE" w:rsidRDefault="007D3650" w:rsidP="00141E57">
      <w:pPr>
        <w:pStyle w:val="ListBullet"/>
        <w:rPr>
          <w:lang w:eastAsia="en-US"/>
        </w:rPr>
      </w:pPr>
      <w:r w:rsidRPr="00141E57">
        <w:t xml:space="preserve">Section </w:t>
      </w:r>
      <w:r w:rsidR="00660DE1" w:rsidRPr="00141E57">
        <w:t>4</w:t>
      </w:r>
      <w:r w:rsidRPr="00141E57">
        <w:t xml:space="preserve"> </w:t>
      </w:r>
      <w:r w:rsidR="00660DE1" w:rsidRPr="00141E57">
        <w:t>contains the</w:t>
      </w:r>
      <w:r w:rsidR="00660DE1" w:rsidRPr="00C554AE">
        <w:rPr>
          <w:lang w:eastAsia="en-US"/>
        </w:rPr>
        <w:t xml:space="preserve"> ACMA’s </w:t>
      </w:r>
      <w:r w:rsidR="008E3313">
        <w:rPr>
          <w:lang w:eastAsia="en-US"/>
        </w:rPr>
        <w:t>proposed way forward</w:t>
      </w:r>
      <w:r w:rsidR="008E3313" w:rsidRPr="00C554AE">
        <w:rPr>
          <w:lang w:eastAsia="en-US"/>
        </w:rPr>
        <w:t xml:space="preserve"> </w:t>
      </w:r>
      <w:r w:rsidR="00660DE1" w:rsidRPr="00C554AE">
        <w:rPr>
          <w:lang w:eastAsia="en-US"/>
        </w:rPr>
        <w:t>and associated reasoning on the way forward in the 3.6 GHz band</w:t>
      </w:r>
    </w:p>
    <w:p w14:paraId="14F349F4" w14:textId="77777777" w:rsidR="00777F84" w:rsidRPr="00C554AE" w:rsidRDefault="00D70360" w:rsidP="00141E57">
      <w:pPr>
        <w:pStyle w:val="ListBulletLast"/>
        <w:rPr>
          <w:lang w:eastAsia="en-US"/>
        </w:rPr>
      </w:pPr>
      <w:r w:rsidRPr="00C554AE">
        <w:rPr>
          <w:lang w:eastAsia="en-US"/>
        </w:rPr>
        <w:t>S</w:t>
      </w:r>
      <w:r w:rsidR="007D3650" w:rsidRPr="00C554AE">
        <w:rPr>
          <w:lang w:eastAsia="en-US"/>
        </w:rPr>
        <w:t xml:space="preserve">ection </w:t>
      </w:r>
      <w:r w:rsidR="00660DE1" w:rsidRPr="00C554AE">
        <w:rPr>
          <w:lang w:eastAsia="en-US"/>
        </w:rPr>
        <w:t>5</w:t>
      </w:r>
      <w:r w:rsidR="007D3650" w:rsidRPr="00C554AE">
        <w:rPr>
          <w:lang w:eastAsia="en-US"/>
        </w:rPr>
        <w:t xml:space="preserve"> details </w:t>
      </w:r>
      <w:r w:rsidR="002876C4" w:rsidRPr="00C554AE">
        <w:rPr>
          <w:lang w:eastAsia="en-US"/>
        </w:rPr>
        <w:t>next steps</w:t>
      </w:r>
      <w:r w:rsidR="007D3650" w:rsidRPr="00C554AE">
        <w:rPr>
          <w:lang w:eastAsia="en-US"/>
        </w:rPr>
        <w:t>.</w:t>
      </w:r>
    </w:p>
    <w:p w14:paraId="5468CA2A" w14:textId="77777777" w:rsidR="00660DE1" w:rsidRDefault="001117CF" w:rsidP="00777F84">
      <w:pPr>
        <w:rPr>
          <w:rFonts w:cs="Arial"/>
        </w:rPr>
      </w:pPr>
      <w:r>
        <w:rPr>
          <w:rFonts w:cs="Arial"/>
        </w:rPr>
        <w:t xml:space="preserve">This </w:t>
      </w:r>
      <w:r w:rsidR="00660DE1">
        <w:rPr>
          <w:rFonts w:cs="Arial"/>
        </w:rPr>
        <w:t>paper accompanies the release of another consultation paper</w:t>
      </w:r>
      <w:r w:rsidR="00141E57">
        <w:rPr>
          <w:rFonts w:cs="Arial"/>
        </w:rPr>
        <w:t>,</w:t>
      </w:r>
      <w:r w:rsidR="00660DE1">
        <w:rPr>
          <w:rFonts w:cs="Arial"/>
        </w:rPr>
        <w:t xml:space="preserve"> which commences the </w:t>
      </w:r>
      <w:r w:rsidR="00E87B3B">
        <w:rPr>
          <w:rFonts w:cs="Arial"/>
        </w:rPr>
        <w:t xml:space="preserve">formal regulatory steps required to implement </w:t>
      </w:r>
      <w:r w:rsidR="00660DE1">
        <w:rPr>
          <w:rFonts w:cs="Arial"/>
        </w:rPr>
        <w:t xml:space="preserve">the </w:t>
      </w:r>
      <w:r w:rsidR="00CD0908">
        <w:rPr>
          <w:rFonts w:cs="Arial"/>
        </w:rPr>
        <w:t>outcomes of this paper for</w:t>
      </w:r>
      <w:r w:rsidR="00660DE1">
        <w:rPr>
          <w:rFonts w:cs="Arial"/>
        </w:rPr>
        <w:t xml:space="preserve"> the 3.6 GHz band. Spe</w:t>
      </w:r>
      <w:r w:rsidR="00C0094D">
        <w:rPr>
          <w:rFonts w:cs="Arial"/>
        </w:rPr>
        <w:t>cifically</w:t>
      </w:r>
      <w:r w:rsidR="00141E57">
        <w:rPr>
          <w:rFonts w:cs="Arial"/>
        </w:rPr>
        <w:t>,</w:t>
      </w:r>
      <w:r w:rsidR="00C0094D">
        <w:rPr>
          <w:rFonts w:cs="Arial"/>
        </w:rPr>
        <w:t xml:space="preserve"> the paper is consult</w:t>
      </w:r>
      <w:r w:rsidR="00660DE1">
        <w:rPr>
          <w:rFonts w:cs="Arial"/>
        </w:rPr>
        <w:t xml:space="preserve">ing on a </w:t>
      </w:r>
      <w:r w:rsidR="00C0094D">
        <w:rPr>
          <w:rFonts w:cs="Arial"/>
        </w:rPr>
        <w:t>proposed</w:t>
      </w:r>
      <w:r w:rsidR="00660DE1">
        <w:rPr>
          <w:rFonts w:cs="Arial"/>
        </w:rPr>
        <w:t xml:space="preserve"> recommendation to the </w:t>
      </w:r>
      <w:r w:rsidR="00141E57">
        <w:rPr>
          <w:rFonts w:cs="Arial"/>
        </w:rPr>
        <w:t>m</w:t>
      </w:r>
      <w:r w:rsidR="00660DE1">
        <w:rPr>
          <w:rFonts w:cs="Arial"/>
        </w:rPr>
        <w:t xml:space="preserve">inister </w:t>
      </w:r>
      <w:r w:rsidR="00967438">
        <w:rPr>
          <w:rFonts w:cs="Arial"/>
        </w:rPr>
        <w:t xml:space="preserve">that he make a spectrum re-allocation declaration for specified areas in the 3.6 GHz band. </w:t>
      </w:r>
    </w:p>
    <w:p w14:paraId="532093C2" w14:textId="77777777" w:rsidR="00A84D5C" w:rsidRPr="0055309D" w:rsidRDefault="00A84D5C" w:rsidP="00777F84">
      <w:pPr>
        <w:rPr>
          <w:szCs w:val="20"/>
        </w:rPr>
      </w:pPr>
      <w:r w:rsidRPr="00A67371">
        <w:rPr>
          <w:szCs w:val="20"/>
        </w:rPr>
        <w:t xml:space="preserve">For simplicity in this paper, the term ‘mobile broadband’ </w:t>
      </w:r>
      <w:r>
        <w:rPr>
          <w:szCs w:val="20"/>
        </w:rPr>
        <w:t xml:space="preserve">(MBB) </w:t>
      </w:r>
      <w:r w:rsidRPr="00A67371">
        <w:rPr>
          <w:szCs w:val="20"/>
        </w:rPr>
        <w:t xml:space="preserve">is used to refer to a variety of different technologies </w:t>
      </w:r>
      <w:r>
        <w:rPr>
          <w:szCs w:val="20"/>
        </w:rPr>
        <w:t>including</w:t>
      </w:r>
      <w:r w:rsidRPr="00A67371">
        <w:rPr>
          <w:szCs w:val="20"/>
        </w:rPr>
        <w:t xml:space="preserve"> terms such as 3G, 4G </w:t>
      </w:r>
      <w:r>
        <w:rPr>
          <w:szCs w:val="20"/>
        </w:rPr>
        <w:t xml:space="preserve">and </w:t>
      </w:r>
      <w:r w:rsidRPr="00A67371">
        <w:rPr>
          <w:szCs w:val="20"/>
        </w:rPr>
        <w:t>5G</w:t>
      </w:r>
      <w:r w:rsidRPr="00A67371">
        <w:t xml:space="preserve">. </w:t>
      </w:r>
      <w:r w:rsidRPr="00A67371">
        <w:rPr>
          <w:szCs w:val="20"/>
        </w:rPr>
        <w:t xml:space="preserve">The term should also be taken to </w:t>
      </w:r>
      <w:r>
        <w:rPr>
          <w:szCs w:val="20"/>
        </w:rPr>
        <w:t>include</w:t>
      </w:r>
      <w:r w:rsidRPr="00A67371">
        <w:rPr>
          <w:szCs w:val="20"/>
        </w:rPr>
        <w:t xml:space="preserve"> fixed </w:t>
      </w:r>
      <w:r w:rsidR="00FB2D95">
        <w:rPr>
          <w:szCs w:val="20"/>
        </w:rPr>
        <w:t xml:space="preserve">wireless </w:t>
      </w:r>
      <w:r w:rsidRPr="0055309D">
        <w:rPr>
          <w:szCs w:val="20"/>
        </w:rPr>
        <w:t>broadband systems.</w:t>
      </w:r>
    </w:p>
    <w:p w14:paraId="23D165E6" w14:textId="77777777" w:rsidR="009C7038" w:rsidRPr="0055309D" w:rsidRDefault="009C7038" w:rsidP="002C27A8">
      <w:pPr>
        <w:rPr>
          <w:szCs w:val="20"/>
        </w:rPr>
      </w:pPr>
      <w:r w:rsidRPr="0055309D">
        <w:rPr>
          <w:szCs w:val="20"/>
        </w:rPr>
        <w:t xml:space="preserve">Also, </w:t>
      </w:r>
      <w:r w:rsidRPr="0055309D">
        <w:t>to provide clarity in the proceeding discussion, the definition of Area 1</w:t>
      </w:r>
      <w:r w:rsidR="00CD0908" w:rsidRPr="0055309D">
        <w:t>A</w:t>
      </w:r>
      <w:r w:rsidRPr="0055309D">
        <w:t>,</w:t>
      </w:r>
      <w:r w:rsidR="00CD0908" w:rsidRPr="0055309D">
        <w:t xml:space="preserve"> Area 1B, Area</w:t>
      </w:r>
      <w:r w:rsidRPr="0055309D">
        <w:t xml:space="preserve"> 2 and Area 3 referred to in this section are provided at Annex C.</w:t>
      </w:r>
    </w:p>
    <w:p w14:paraId="333EFC07" w14:textId="77777777" w:rsidR="00A84D5C" w:rsidRPr="00A67371" w:rsidRDefault="00A84D5C" w:rsidP="00A84D5C">
      <w:pPr>
        <w:pStyle w:val="Heading2"/>
      </w:pPr>
      <w:bookmarkStart w:id="29" w:name="_Toc482886572"/>
      <w:bookmarkStart w:id="30" w:name="_Toc482886611"/>
      <w:bookmarkStart w:id="31" w:name="_Toc482888952"/>
      <w:bookmarkStart w:id="32" w:name="_Toc482891223"/>
      <w:bookmarkStart w:id="33" w:name="_Toc482891290"/>
      <w:bookmarkStart w:id="34" w:name="_Toc482956501"/>
      <w:bookmarkStart w:id="35" w:name="_Toc484011473"/>
      <w:bookmarkStart w:id="36" w:name="_Toc484511689"/>
      <w:bookmarkStart w:id="37" w:name="_Toc485967351"/>
      <w:bookmarkStart w:id="38" w:name="_Toc495935477"/>
      <w:bookmarkStart w:id="39" w:name="_Toc495935507"/>
      <w:bookmarkStart w:id="40" w:name="_Toc496620301"/>
      <w:bookmarkStart w:id="41" w:name="_Toc494375833"/>
      <w:bookmarkStart w:id="42" w:name="_Toc494378906"/>
      <w:bookmarkStart w:id="43" w:name="_Toc459906703"/>
      <w:bookmarkStart w:id="44" w:name="_Toc464480497"/>
      <w:r w:rsidRPr="0055309D">
        <w:t>Legislative and policy environment</w:t>
      </w:r>
      <w:bookmarkEnd w:id="29"/>
      <w:bookmarkEnd w:id="30"/>
      <w:bookmarkEnd w:id="31"/>
      <w:bookmarkEnd w:id="32"/>
      <w:bookmarkEnd w:id="33"/>
      <w:bookmarkEnd w:id="34"/>
      <w:bookmarkEnd w:id="35"/>
      <w:bookmarkEnd w:id="36"/>
      <w:bookmarkEnd w:id="37"/>
      <w:bookmarkEnd w:id="38"/>
      <w:bookmarkEnd w:id="39"/>
      <w:bookmarkEnd w:id="40"/>
      <w:r w:rsidRPr="00A67371">
        <w:t xml:space="preserve"> </w:t>
      </w:r>
      <w:bookmarkEnd w:id="41"/>
      <w:bookmarkEnd w:id="42"/>
    </w:p>
    <w:p w14:paraId="1257595C" w14:textId="77777777" w:rsidR="00A84D5C" w:rsidRPr="00A67371" w:rsidRDefault="00A84D5C" w:rsidP="00A84D5C">
      <w:pPr>
        <w:pStyle w:val="Heading3"/>
      </w:pPr>
      <w:bookmarkStart w:id="45" w:name="_Toc348105634"/>
      <w:bookmarkStart w:id="46" w:name="_Toc457992295"/>
      <w:bookmarkStart w:id="47" w:name="_Toc459906704"/>
      <w:bookmarkStart w:id="48" w:name="_Toc464480498"/>
      <w:bookmarkStart w:id="49" w:name="_Toc474931512"/>
      <w:bookmarkStart w:id="50" w:name="_Toc477266706"/>
      <w:bookmarkStart w:id="51" w:name="_Toc477266837"/>
      <w:bookmarkStart w:id="52" w:name="_Toc479846972"/>
      <w:bookmarkStart w:id="53" w:name="_Toc482886612"/>
      <w:bookmarkStart w:id="54" w:name="_Toc482888953"/>
      <w:bookmarkStart w:id="55" w:name="_Toc482891224"/>
      <w:bookmarkStart w:id="56" w:name="_Toc482891291"/>
      <w:bookmarkStart w:id="57" w:name="_Ref485794765"/>
      <w:bookmarkStart w:id="58" w:name="_Toc496620302"/>
      <w:bookmarkStart w:id="59" w:name="_Ref485285942"/>
      <w:bookmarkEnd w:id="43"/>
      <w:bookmarkEnd w:id="44"/>
      <w:r w:rsidRPr="00A67371">
        <w:t xml:space="preserve">Spectrum </w:t>
      </w:r>
      <w:r w:rsidR="00141E57">
        <w:t>r</w:t>
      </w:r>
      <w:r w:rsidRPr="00A67371">
        <w:t>e</w:t>
      </w:r>
      <w:bookmarkEnd w:id="45"/>
      <w:bookmarkEnd w:id="46"/>
      <w:bookmarkEnd w:id="47"/>
      <w:bookmarkEnd w:id="48"/>
      <w:bookmarkEnd w:id="49"/>
      <w:bookmarkEnd w:id="50"/>
      <w:bookmarkEnd w:id="51"/>
      <w:bookmarkEnd w:id="52"/>
      <w:bookmarkEnd w:id="53"/>
      <w:bookmarkEnd w:id="54"/>
      <w:bookmarkEnd w:id="55"/>
      <w:bookmarkEnd w:id="56"/>
      <w:bookmarkEnd w:id="57"/>
      <w:r w:rsidR="007D0A00">
        <w:t>form</w:t>
      </w:r>
      <w:bookmarkEnd w:id="58"/>
      <w:r w:rsidRPr="00A67371">
        <w:t xml:space="preserve"> </w:t>
      </w:r>
      <w:bookmarkEnd w:id="59"/>
    </w:p>
    <w:p w14:paraId="3C0BD678" w14:textId="77777777" w:rsidR="007D0A00" w:rsidRPr="004D70CF" w:rsidRDefault="007D0A00" w:rsidP="007D0A00">
      <w:pPr>
        <w:spacing w:after="80"/>
        <w:rPr>
          <w:szCs w:val="20"/>
        </w:rPr>
      </w:pPr>
      <w:r>
        <w:rPr>
          <w:szCs w:val="20"/>
        </w:rPr>
        <w:t xml:space="preserve">The government is reforming the spectrum management framework within Australia. </w:t>
      </w:r>
      <w:r w:rsidRPr="004D70CF">
        <w:rPr>
          <w:szCs w:val="20"/>
        </w:rPr>
        <w:t xml:space="preserve">These reforms will simplify the regulatory framework and support new and innovative technologies and services. The reforms </w:t>
      </w:r>
      <w:r>
        <w:rPr>
          <w:szCs w:val="20"/>
        </w:rPr>
        <w:t xml:space="preserve">include implementing </w:t>
      </w:r>
      <w:r w:rsidRPr="004D70CF">
        <w:rPr>
          <w:szCs w:val="20"/>
        </w:rPr>
        <w:t xml:space="preserve">the recommendations of the </w:t>
      </w:r>
      <w:r>
        <w:rPr>
          <w:szCs w:val="20"/>
        </w:rPr>
        <w:t xml:space="preserve">government’s </w:t>
      </w:r>
      <w:r w:rsidRPr="004D70CF">
        <w:rPr>
          <w:szCs w:val="20"/>
        </w:rPr>
        <w:t xml:space="preserve">Spectrum Review </w:t>
      </w:r>
      <w:r>
        <w:rPr>
          <w:szCs w:val="20"/>
        </w:rPr>
        <w:t xml:space="preserve">report </w:t>
      </w:r>
      <w:r w:rsidRPr="004D70CF">
        <w:rPr>
          <w:szCs w:val="20"/>
        </w:rPr>
        <w:t>to:</w:t>
      </w:r>
    </w:p>
    <w:p w14:paraId="2D2F8E57" w14:textId="77777777" w:rsidR="007D0A00" w:rsidRPr="0060235C" w:rsidRDefault="007D0A00" w:rsidP="00AC2157">
      <w:pPr>
        <w:pStyle w:val="ListNumber"/>
        <w:numPr>
          <w:ilvl w:val="0"/>
          <w:numId w:val="10"/>
        </w:numPr>
      </w:pPr>
      <w:r>
        <w:t>R</w:t>
      </w:r>
      <w:r w:rsidRPr="0060235C">
        <w:t>eplace the current legislative arrangements with new legislation that removes prescriptive process</w:t>
      </w:r>
      <w:r>
        <w:t>es</w:t>
      </w:r>
      <w:r w:rsidRPr="0060235C">
        <w:t xml:space="preserve"> and streamlines licensing for a simpler and more flexible framework</w:t>
      </w:r>
      <w:r>
        <w:t>.</w:t>
      </w:r>
    </w:p>
    <w:p w14:paraId="147463CB" w14:textId="77777777" w:rsidR="007D0A00" w:rsidRPr="0060235C" w:rsidRDefault="007D0A00" w:rsidP="007D0A00">
      <w:pPr>
        <w:pStyle w:val="ListNumber"/>
      </w:pPr>
      <w:r>
        <w:t>B</w:t>
      </w:r>
      <w:r w:rsidRPr="0060235C">
        <w:t>etter integrate the management of public sector and broadcasting spectrum to improve the consistency and integrity of the framework</w:t>
      </w:r>
      <w:r>
        <w:t>.</w:t>
      </w:r>
    </w:p>
    <w:p w14:paraId="50252176" w14:textId="77777777" w:rsidR="007D0A00" w:rsidRPr="0060235C" w:rsidRDefault="007D0A00" w:rsidP="007D0A00">
      <w:pPr>
        <w:pStyle w:val="ListNumber"/>
        <w:spacing w:after="240"/>
      </w:pPr>
      <w:r>
        <w:t>R</w:t>
      </w:r>
      <w:r w:rsidRPr="0060235C">
        <w:t>eview spectrum pricing to ensure consistent and transparent arrangements to support the efficient use of spectrum and secondary markets.</w:t>
      </w:r>
    </w:p>
    <w:p w14:paraId="3B8186FB" w14:textId="2E5BF497" w:rsidR="007D0A00" w:rsidRDefault="007D0A00" w:rsidP="007D0A00">
      <w:pPr>
        <w:rPr>
          <w:szCs w:val="20"/>
        </w:rPr>
      </w:pPr>
      <w:r w:rsidRPr="00DF0F54">
        <w:rPr>
          <w:szCs w:val="20"/>
        </w:rPr>
        <w:t xml:space="preserve">On 18 May 2017, the government released a </w:t>
      </w:r>
      <w:hyperlink r:id="rId34" w:history="1">
        <w:r w:rsidRPr="00DF0F54">
          <w:rPr>
            <w:rStyle w:val="Hyperlink"/>
            <w:szCs w:val="20"/>
          </w:rPr>
          <w:t>consultation package</w:t>
        </w:r>
      </w:hyperlink>
      <w:r w:rsidRPr="00DF0F54">
        <w:rPr>
          <w:szCs w:val="20"/>
        </w:rPr>
        <w:t xml:space="preserve"> on reforms to modernise</w:t>
      </w:r>
      <w:r w:rsidRPr="0060235C">
        <w:rPr>
          <w:szCs w:val="20"/>
        </w:rPr>
        <w:t xml:space="preserve"> and simplify Australia’s spectrum management framework.</w:t>
      </w:r>
      <w:r>
        <w:rPr>
          <w:szCs w:val="20"/>
        </w:rPr>
        <w:t xml:space="preserve"> </w:t>
      </w:r>
      <w:r w:rsidRPr="0060235C">
        <w:rPr>
          <w:szCs w:val="20"/>
        </w:rPr>
        <w:t>The comprehensive consultation package include</w:t>
      </w:r>
      <w:r>
        <w:rPr>
          <w:szCs w:val="20"/>
        </w:rPr>
        <w:t>d</w:t>
      </w:r>
      <w:r w:rsidRPr="0060235C">
        <w:rPr>
          <w:szCs w:val="20"/>
        </w:rPr>
        <w:t xml:space="preserve"> an Exposure Draft of the Radiocommunications Bill and related consultation papers</w:t>
      </w:r>
      <w:r>
        <w:rPr>
          <w:szCs w:val="20"/>
        </w:rPr>
        <w:t>,</w:t>
      </w:r>
      <w:r w:rsidRPr="0060235C">
        <w:rPr>
          <w:szCs w:val="20"/>
        </w:rPr>
        <w:t xml:space="preserve"> including </w:t>
      </w:r>
      <w:r>
        <w:rPr>
          <w:szCs w:val="20"/>
        </w:rPr>
        <w:t xml:space="preserve">approaches for </w:t>
      </w:r>
      <w:r w:rsidRPr="0060235C">
        <w:rPr>
          <w:szCs w:val="20"/>
        </w:rPr>
        <w:t xml:space="preserve">broadcasting spectrum and transitional arrangements. </w:t>
      </w:r>
      <w:r>
        <w:rPr>
          <w:szCs w:val="20"/>
        </w:rPr>
        <w:t>C</w:t>
      </w:r>
      <w:r w:rsidRPr="0060235C">
        <w:rPr>
          <w:szCs w:val="20"/>
        </w:rPr>
        <w:t>onsultation papers on government spectrum holdings and spectrum pricing</w:t>
      </w:r>
      <w:r>
        <w:rPr>
          <w:szCs w:val="20"/>
        </w:rPr>
        <w:t xml:space="preserve"> were also released</w:t>
      </w:r>
      <w:r w:rsidRPr="0060235C">
        <w:rPr>
          <w:szCs w:val="20"/>
        </w:rPr>
        <w:t>.</w:t>
      </w:r>
      <w:r>
        <w:rPr>
          <w:szCs w:val="20"/>
        </w:rPr>
        <w:t xml:space="preserve"> Consultation closed on 28 July 2017.</w:t>
      </w:r>
    </w:p>
    <w:p w14:paraId="73242039" w14:textId="77777777" w:rsidR="007D0A00" w:rsidRPr="00A67371" w:rsidRDefault="007D0A00" w:rsidP="007D0A00">
      <w:r>
        <w:t xml:space="preserve">Currently, the Radiocommunications Bill and draft transitional and consequential legislation is being finalised before introduction into </w:t>
      </w:r>
      <w:r w:rsidR="00D12411">
        <w:t>p</w:t>
      </w:r>
      <w:r>
        <w:t>arliament. The Department of Communication</w:t>
      </w:r>
      <w:r w:rsidR="00384802">
        <w:t>s</w:t>
      </w:r>
      <w:r>
        <w:t xml:space="preserve"> and the Arts (</w:t>
      </w:r>
      <w:proofErr w:type="spellStart"/>
      <w:r>
        <w:t>DoCA</w:t>
      </w:r>
      <w:proofErr w:type="spellEnd"/>
      <w:r>
        <w:t xml:space="preserve">) set out in the recent consultation package that </w:t>
      </w:r>
      <w:r w:rsidRPr="00A67371">
        <w:t xml:space="preserve">transition to a new framework would take place over a number of years. </w:t>
      </w:r>
      <w:r>
        <w:t xml:space="preserve">In addition, the commencement of the new legislation would occur approximately 12 months after passage of the Bill through </w:t>
      </w:r>
      <w:r w:rsidR="00D12411">
        <w:t>p</w:t>
      </w:r>
      <w:r>
        <w:t xml:space="preserve">arliament. </w:t>
      </w:r>
    </w:p>
    <w:p w14:paraId="4BF53121" w14:textId="77777777" w:rsidR="007D0A00" w:rsidRDefault="007D0A00" w:rsidP="007D0A00">
      <w:r w:rsidRPr="00BE0B46">
        <w:t>Given the timeframes associated with the 3.6 GHz band review</w:t>
      </w:r>
      <w:r>
        <w:t xml:space="preserve">, </w:t>
      </w:r>
      <w:r w:rsidRPr="00BE0B46">
        <w:t xml:space="preserve">the ACMA </w:t>
      </w:r>
      <w:r>
        <w:t>is proposing to develop</w:t>
      </w:r>
      <w:r w:rsidRPr="00BE0B46">
        <w:t xml:space="preserve"> new arrangements in this band</w:t>
      </w:r>
      <w:r w:rsidR="001C4507">
        <w:t xml:space="preserve"> on the basis</w:t>
      </w:r>
      <w:r>
        <w:t xml:space="preserve"> </w:t>
      </w:r>
      <w:r w:rsidR="00384802">
        <w:t xml:space="preserve">that </w:t>
      </w:r>
      <w:r w:rsidRPr="00BE0B46">
        <w:t>the existing regulatory regime</w:t>
      </w:r>
      <w:r>
        <w:t xml:space="preserve"> will apply</w:t>
      </w:r>
      <w:r w:rsidR="001C4507">
        <w:t xml:space="preserve"> initially</w:t>
      </w:r>
      <w:r w:rsidRPr="00BE0B46">
        <w:t xml:space="preserve">. </w:t>
      </w:r>
      <w:r>
        <w:t>I</w:t>
      </w:r>
      <w:r w:rsidRPr="00BE0B46">
        <w:t xml:space="preserve">t is acknowledged that </w:t>
      </w:r>
      <w:r>
        <w:t>any</w:t>
      </w:r>
      <w:r w:rsidRPr="00BE0B46">
        <w:t xml:space="preserve"> new arrangements </w:t>
      </w:r>
      <w:r>
        <w:t>for the 3.6 GHz band</w:t>
      </w:r>
      <w:r w:rsidRPr="00BE0B46">
        <w:t xml:space="preserve"> </w:t>
      </w:r>
      <w:r>
        <w:t>may</w:t>
      </w:r>
      <w:r w:rsidRPr="00BE0B46">
        <w:t xml:space="preserve"> need to be accommodated under the new legislative framework</w:t>
      </w:r>
      <w:r>
        <w:t xml:space="preserve"> once it commences. T</w:t>
      </w:r>
      <w:r w:rsidRPr="00BE0B46">
        <w:t>he ACMA will take into account relevant opportunities offered by the implementation of the new legislative framework</w:t>
      </w:r>
      <w:r>
        <w:t xml:space="preserve"> if</w:t>
      </w:r>
      <w:r w:rsidR="00D12411">
        <w:t>,</w:t>
      </w:r>
      <w:r>
        <w:t xml:space="preserve"> and when</w:t>
      </w:r>
      <w:r w:rsidR="00D12411">
        <w:t>,</w:t>
      </w:r>
      <w:r>
        <w:t xml:space="preserve"> applicable</w:t>
      </w:r>
      <w:r w:rsidRPr="00BE0B46">
        <w:t>.</w:t>
      </w:r>
    </w:p>
    <w:p w14:paraId="186A93BC" w14:textId="77777777" w:rsidR="007D0A00" w:rsidRPr="00A67371" w:rsidRDefault="007D0A00" w:rsidP="007D0A00">
      <w:pPr>
        <w:rPr>
          <w:rFonts w:cs="Arial"/>
        </w:rPr>
      </w:pPr>
      <w:r>
        <w:t xml:space="preserve">Further information on spectrum reform is available from </w:t>
      </w:r>
      <w:proofErr w:type="spellStart"/>
      <w:r>
        <w:t>DoCA</w:t>
      </w:r>
      <w:proofErr w:type="spellEnd"/>
      <w:r>
        <w:t xml:space="preserve"> at </w:t>
      </w:r>
      <w:hyperlink r:id="rId35" w:history="1">
        <w:r w:rsidRPr="0049405D">
          <w:rPr>
            <w:rStyle w:val="Hyperlink"/>
          </w:rPr>
          <w:t>spectrumreform@communications.gov.au</w:t>
        </w:r>
      </w:hyperlink>
      <w:r>
        <w:t>.</w:t>
      </w:r>
    </w:p>
    <w:p w14:paraId="4BB2577B" w14:textId="77777777" w:rsidR="00A84D5C" w:rsidRPr="00A67371" w:rsidRDefault="00A84D5C" w:rsidP="00D12411">
      <w:pPr>
        <w:pStyle w:val="Heading3"/>
      </w:pPr>
      <w:bookmarkStart w:id="60" w:name="_Toc459906706"/>
      <w:bookmarkStart w:id="61" w:name="_Toc464480500"/>
      <w:bookmarkStart w:id="62" w:name="_Toc474931514"/>
      <w:bookmarkStart w:id="63" w:name="_Toc477266707"/>
      <w:bookmarkStart w:id="64" w:name="_Toc477266838"/>
      <w:bookmarkStart w:id="65" w:name="_Toc479846973"/>
      <w:bookmarkStart w:id="66" w:name="_Toc482886613"/>
      <w:bookmarkStart w:id="67" w:name="_Toc482888954"/>
      <w:bookmarkStart w:id="68" w:name="_Toc482891225"/>
      <w:bookmarkStart w:id="69" w:name="_Toc482891292"/>
      <w:bookmarkStart w:id="70" w:name="_Toc496620303"/>
      <w:r w:rsidRPr="00A67371">
        <w:t>Mobile broadband strategy and work program</w:t>
      </w:r>
      <w:bookmarkEnd w:id="60"/>
      <w:bookmarkEnd w:id="61"/>
      <w:bookmarkEnd w:id="62"/>
      <w:bookmarkEnd w:id="63"/>
      <w:bookmarkEnd w:id="64"/>
      <w:bookmarkEnd w:id="65"/>
      <w:bookmarkEnd w:id="66"/>
      <w:bookmarkEnd w:id="67"/>
      <w:bookmarkEnd w:id="68"/>
      <w:bookmarkEnd w:id="69"/>
      <w:bookmarkEnd w:id="70"/>
      <w:r w:rsidRPr="00A67371">
        <w:t xml:space="preserve"> </w:t>
      </w:r>
    </w:p>
    <w:p w14:paraId="13D2EEC4" w14:textId="77777777" w:rsidR="00A84D5C" w:rsidRPr="00A67371" w:rsidRDefault="00A84D5C" w:rsidP="00A84D5C">
      <w:pPr>
        <w:rPr>
          <w:rFonts w:cs="Arial"/>
          <w:szCs w:val="20"/>
        </w:rPr>
      </w:pPr>
      <w:r w:rsidRPr="00A67371">
        <w:rPr>
          <w:rFonts w:cs="Arial"/>
          <w:szCs w:val="20"/>
        </w:rPr>
        <w:t>The ACMA has developed a</w:t>
      </w:r>
      <w:r>
        <w:rPr>
          <w:rFonts w:cs="Arial"/>
          <w:szCs w:val="20"/>
        </w:rPr>
        <w:t xml:space="preserve"> </w:t>
      </w:r>
      <w:hyperlink r:id="rId36" w:history="1">
        <w:r w:rsidRPr="00A9343F">
          <w:rPr>
            <w:rStyle w:val="Hyperlink"/>
          </w:rPr>
          <w:t>set of strategies</w:t>
        </w:r>
      </w:hyperlink>
      <w:r>
        <w:rPr>
          <w:rFonts w:cs="Arial"/>
          <w:szCs w:val="20"/>
        </w:rPr>
        <w:t xml:space="preserve"> </w:t>
      </w:r>
      <w:r w:rsidRPr="00A67371">
        <w:rPr>
          <w:rFonts w:cs="Arial"/>
          <w:szCs w:val="20"/>
        </w:rPr>
        <w:t xml:space="preserve">to address the growth in demand for </w:t>
      </w:r>
      <w:r w:rsidR="00D12411">
        <w:rPr>
          <w:rFonts w:cs="Arial"/>
          <w:szCs w:val="20"/>
        </w:rPr>
        <w:t>MBB</w:t>
      </w:r>
      <w:r w:rsidRPr="00A67371">
        <w:rPr>
          <w:rFonts w:cs="Arial"/>
          <w:szCs w:val="20"/>
        </w:rPr>
        <w:t xml:space="preserve"> capacity. A key part of these strategies is a spectrum management process </w:t>
      </w:r>
      <w:r>
        <w:rPr>
          <w:rFonts w:cs="Arial"/>
          <w:szCs w:val="20"/>
        </w:rPr>
        <w:t>to</w:t>
      </w:r>
      <w:r w:rsidRPr="00A67371">
        <w:rPr>
          <w:rFonts w:cs="Arial"/>
          <w:szCs w:val="20"/>
        </w:rPr>
        <w:t xml:space="preserve"> release additional spectrum for </w:t>
      </w:r>
      <w:r w:rsidR="00D12411">
        <w:rPr>
          <w:rFonts w:cs="Arial"/>
          <w:szCs w:val="20"/>
        </w:rPr>
        <w:t>MBB</w:t>
      </w:r>
      <w:r w:rsidRPr="00A67371">
        <w:rPr>
          <w:rFonts w:cs="Arial"/>
          <w:szCs w:val="20"/>
        </w:rPr>
        <w:t xml:space="preserve"> in bands where there is evidence of a change in highest value use.</w:t>
      </w:r>
    </w:p>
    <w:p w14:paraId="1E1E89F4" w14:textId="77777777" w:rsidR="00A84D5C" w:rsidRPr="00A67371" w:rsidRDefault="00A84D5C" w:rsidP="00A84D5C">
      <w:r w:rsidRPr="00A67371">
        <w:t>The review of the 3.6</w:t>
      </w:r>
      <w:r>
        <w:t> GHz</w:t>
      </w:r>
      <w:r w:rsidRPr="00A67371">
        <w:t xml:space="preserve"> band was flagged in the ACMA’s </w:t>
      </w:r>
      <w:hyperlink r:id="rId37" w:history="1">
        <w:r w:rsidRPr="00165ABD">
          <w:rPr>
            <w:rStyle w:val="Hyperlink"/>
            <w:i/>
          </w:rPr>
          <w:t>Five-year spectrum outlook 2016–20</w:t>
        </w:r>
      </w:hyperlink>
      <w:r>
        <w:rPr>
          <w:i/>
        </w:rPr>
        <w:t xml:space="preserve"> </w:t>
      </w:r>
      <w:r>
        <w:t>(FYSO)</w:t>
      </w:r>
      <w:r w:rsidRPr="00A67371">
        <w:t xml:space="preserve">, including in the </w:t>
      </w:r>
      <w:r w:rsidRPr="00A67371">
        <w:rPr>
          <w:i/>
        </w:rPr>
        <w:t>Mobile broadband work program—September 2016 update</w:t>
      </w:r>
      <w:r>
        <w:t>, released i</w:t>
      </w:r>
      <w:r w:rsidRPr="00A67371">
        <w:rPr>
          <w:rFonts w:cs="Arial"/>
          <w:szCs w:val="20"/>
        </w:rPr>
        <w:t>n October 2016</w:t>
      </w:r>
      <w:r w:rsidRPr="00A67371">
        <w:t xml:space="preserve">. It is intended that updates to this work program will be made in each subsequent edition of the FYSO. </w:t>
      </w:r>
    </w:p>
    <w:p w14:paraId="149F2AB0" w14:textId="77777777" w:rsidR="00A84D5C" w:rsidRDefault="00A84D5C" w:rsidP="00777F84">
      <w:pPr>
        <w:rPr>
          <w:rFonts w:cs="Arial"/>
        </w:rPr>
      </w:pPr>
      <w:r>
        <w:t>T</w:t>
      </w:r>
      <w:r w:rsidRPr="00A67371">
        <w:t xml:space="preserve">he stages of the process for consideration of additional spectrum for MBB services </w:t>
      </w:r>
      <w:r>
        <w:t>are outlined in</w:t>
      </w:r>
      <w:r w:rsidRPr="00A67371">
        <w:t xml:space="preserve"> the ACMA’s </w:t>
      </w:r>
      <w:hyperlink r:id="rId38" w:history="1">
        <w:r w:rsidRPr="00A67371">
          <w:rPr>
            <w:rStyle w:val="Hyperlink"/>
          </w:rPr>
          <w:t>mobile broadband strategy</w:t>
        </w:r>
      </w:hyperlink>
      <w:r w:rsidRPr="00A67371">
        <w:t xml:space="preserve">. </w:t>
      </w:r>
    </w:p>
    <w:p w14:paraId="39355BA2" w14:textId="77777777" w:rsidR="00610B88" w:rsidRPr="000D76E0" w:rsidRDefault="00610B88" w:rsidP="00610B88">
      <w:pPr>
        <w:pStyle w:val="Heading1"/>
      </w:pPr>
      <w:bookmarkStart w:id="71" w:name="_Toc494375834"/>
      <w:bookmarkStart w:id="72" w:name="_Toc494378907"/>
      <w:bookmarkStart w:id="73" w:name="_Toc495935478"/>
      <w:bookmarkStart w:id="74" w:name="_Toc495935508"/>
      <w:bookmarkStart w:id="75" w:name="_Toc496620304"/>
      <w:r>
        <w:t>2.</w:t>
      </w:r>
      <w:r>
        <w:tab/>
        <w:t>Summary and response to submissions</w:t>
      </w:r>
      <w:r w:rsidR="00D12411">
        <w:t>—</w:t>
      </w:r>
      <w:r>
        <w:t>HVU analysis</w:t>
      </w:r>
      <w:bookmarkEnd w:id="71"/>
      <w:bookmarkEnd w:id="72"/>
      <w:bookmarkEnd w:id="73"/>
      <w:bookmarkEnd w:id="74"/>
      <w:bookmarkEnd w:id="75"/>
    </w:p>
    <w:p w14:paraId="4F092A72" w14:textId="33C0EF87" w:rsidR="00F65577" w:rsidRDefault="0055309D" w:rsidP="00235F01">
      <w:r>
        <w:t xml:space="preserve">The ACMA’s preliminary replanning activities for the 3.6 GHz band was the first time it had published a comprehensive assessment of highest value use. The paper </w:t>
      </w:r>
      <w:r>
        <w:rPr>
          <w:i/>
        </w:rPr>
        <w:t>Future use of the 3.6 GHz band—</w:t>
      </w:r>
      <w:proofErr w:type="gramStart"/>
      <w:r>
        <w:rPr>
          <w:i/>
        </w:rPr>
        <w:t>Highest</w:t>
      </w:r>
      <w:proofErr w:type="gramEnd"/>
      <w:r>
        <w:rPr>
          <w:i/>
        </w:rPr>
        <w:t xml:space="preserve"> value use assessment: Quantitative analysis</w:t>
      </w:r>
      <w:r>
        <w:t xml:space="preserve"> (the ‘HVU paper’) represents a significant input to this assessment.  The HVU paper was divided into separate sections that detailed economic re-farming benefits and incremental costs, then compared the results of the two sections. </w:t>
      </w:r>
      <w:r w:rsidRPr="00FA5F04">
        <w:t xml:space="preserve">The ACMA sought stakeholder feedback </w:t>
      </w:r>
      <w:r>
        <w:t>for further detail regarding the economic benefits or costs that would result from re-farming the 3.6 GHz band and on the methodology used. It should be noted that while the ACMA’s ultimate HVU decision draws on the assessment performed in the HVU paper it also considered all other relevant inputs.</w:t>
      </w:r>
    </w:p>
    <w:p w14:paraId="2DAE3407" w14:textId="77777777" w:rsidR="00DC438F" w:rsidRDefault="00DC438F" w:rsidP="00DC438F">
      <w:pPr>
        <w:pStyle w:val="Heading2"/>
      </w:pPr>
      <w:bookmarkStart w:id="76" w:name="_Toc494375835"/>
      <w:bookmarkStart w:id="77" w:name="_Toc494378908"/>
      <w:bookmarkStart w:id="78" w:name="_Toc495935479"/>
      <w:bookmarkStart w:id="79" w:name="_Toc495935509"/>
      <w:bookmarkStart w:id="80" w:name="_Toc496620305"/>
      <w:r>
        <w:t xml:space="preserve">Economic </w:t>
      </w:r>
      <w:r w:rsidRPr="00247912">
        <w:t>benefits</w:t>
      </w:r>
      <w:r>
        <w:t xml:space="preserve"> of re-farming the 3.6 GHz band</w:t>
      </w:r>
      <w:bookmarkEnd w:id="76"/>
      <w:bookmarkEnd w:id="77"/>
      <w:bookmarkEnd w:id="78"/>
      <w:bookmarkEnd w:id="79"/>
      <w:bookmarkEnd w:id="80"/>
    </w:p>
    <w:p w14:paraId="0F0EB781" w14:textId="77777777" w:rsidR="00DC438F" w:rsidRDefault="00DC438F" w:rsidP="00DC438F">
      <w:r>
        <w:t xml:space="preserve">The quantifiable re-farming benefits for the 3.6 GHz band were calculated as the potential valuations that would be placed on area-wide spectrum licences in the band. The range of $/MHz/pop valuations was wide, from $0.03/MHz/pop to $0.625/MHz/pop. Further unquantifiable consumer benefits and broader social net benefits were also considered as part of the analysis. </w:t>
      </w:r>
    </w:p>
    <w:p w14:paraId="42A283DD" w14:textId="77777777" w:rsidR="00DC438F" w:rsidRDefault="00DC438F" w:rsidP="00F9785F">
      <w:pPr>
        <w:spacing w:after="80"/>
      </w:pPr>
      <w:r>
        <w:t>In the HVU paper, the following was asked:</w:t>
      </w:r>
    </w:p>
    <w:p w14:paraId="6FA9915F" w14:textId="77777777" w:rsidR="00DC438F" w:rsidRPr="0081091B" w:rsidRDefault="00DC438F" w:rsidP="00AC2157">
      <w:pPr>
        <w:pStyle w:val="ListParagraph"/>
        <w:numPr>
          <w:ilvl w:val="0"/>
          <w:numId w:val="26"/>
        </w:numPr>
        <w:shd w:val="clear" w:color="auto" w:fill="F2F2F2" w:themeFill="background1" w:themeFillShade="F2"/>
        <w:spacing w:after="0"/>
        <w:ind w:left="567" w:hanging="567"/>
        <w:contextualSpacing w:val="0"/>
        <w:rPr>
          <w:b/>
        </w:rPr>
      </w:pPr>
      <w:r w:rsidRPr="0081091B">
        <w:rPr>
          <w:b/>
        </w:rPr>
        <w:t>Are there any other spectrum valuations (for example, domestic or international auction prices or re-issue prices) that should be considered as a guide to the value of the 3.6 GHz band?</w:t>
      </w:r>
    </w:p>
    <w:p w14:paraId="573ACC6A" w14:textId="77777777" w:rsidR="00DC438F" w:rsidRPr="00DA0818" w:rsidRDefault="00DC438F" w:rsidP="00AC2157">
      <w:pPr>
        <w:pStyle w:val="ListParagraph"/>
        <w:numPr>
          <w:ilvl w:val="0"/>
          <w:numId w:val="26"/>
        </w:numPr>
        <w:shd w:val="clear" w:color="auto" w:fill="F2F2F2" w:themeFill="background1" w:themeFillShade="F2"/>
        <w:spacing w:after="0"/>
        <w:ind w:left="567" w:hanging="567"/>
        <w:contextualSpacing w:val="0"/>
        <w:rPr>
          <w:b/>
        </w:rPr>
      </w:pPr>
      <w:r w:rsidRPr="00B9092D">
        <w:rPr>
          <w:b/>
        </w:rPr>
        <w:t>Is the range of $/MHz/pop values suitable for this analysis, or is there a case to narrow or broaden the range?</w:t>
      </w:r>
    </w:p>
    <w:p w14:paraId="05C0F5B9" w14:textId="77777777" w:rsidR="00DC438F" w:rsidRPr="00DA0818" w:rsidRDefault="00DC438F" w:rsidP="00AC2157">
      <w:pPr>
        <w:pStyle w:val="ListParagraph"/>
        <w:numPr>
          <w:ilvl w:val="0"/>
          <w:numId w:val="23"/>
        </w:numPr>
        <w:shd w:val="clear" w:color="auto" w:fill="F2F2F2" w:themeFill="background1" w:themeFillShade="F2"/>
        <w:spacing w:after="0"/>
        <w:ind w:left="567" w:hanging="567"/>
        <w:contextualSpacing w:val="0"/>
        <w:rPr>
          <w:b/>
        </w:rPr>
      </w:pPr>
      <w:r w:rsidRPr="00DA0818">
        <w:rPr>
          <w:b/>
        </w:rPr>
        <w:t>To what extent would 3.6 GHz band spectrum be less valuable if it was restricted to small cell use only?</w:t>
      </w:r>
    </w:p>
    <w:p w14:paraId="569F6D4F" w14:textId="77777777" w:rsidR="00DC438F" w:rsidRPr="00DA0818" w:rsidRDefault="00DC438F" w:rsidP="00AC2157">
      <w:pPr>
        <w:pStyle w:val="ListParagraph"/>
        <w:numPr>
          <w:ilvl w:val="0"/>
          <w:numId w:val="23"/>
        </w:numPr>
        <w:shd w:val="clear" w:color="auto" w:fill="F2F2F2" w:themeFill="background1" w:themeFillShade="F2"/>
        <w:spacing w:after="0"/>
        <w:ind w:left="567" w:hanging="567"/>
        <w:contextualSpacing w:val="0"/>
        <w:rPr>
          <w:b/>
        </w:rPr>
      </w:pPr>
      <w:r w:rsidRPr="00DA0818">
        <w:rPr>
          <w:b/>
        </w:rPr>
        <w:t>What kind of differences in value would there be for 3.6 GHz band spectrum in regional or remote areas when compared with metropolitan areas?</w:t>
      </w:r>
    </w:p>
    <w:p w14:paraId="3D3144E5" w14:textId="77777777" w:rsidR="00DC438F" w:rsidRDefault="00DC438F" w:rsidP="00DC438F"/>
    <w:p w14:paraId="262CCCD3" w14:textId="77777777" w:rsidR="00DC438F" w:rsidRPr="00126F44" w:rsidRDefault="00DC438F" w:rsidP="00D12411">
      <w:pPr>
        <w:pStyle w:val="Heading3"/>
      </w:pPr>
      <w:bookmarkStart w:id="81" w:name="_Toc496620306"/>
      <w:r w:rsidRPr="00126F44">
        <w:t xml:space="preserve">Summary of </w:t>
      </w:r>
      <w:r w:rsidRPr="00D12411">
        <w:t>submissions</w:t>
      </w:r>
      <w:bookmarkEnd w:id="81"/>
    </w:p>
    <w:p w14:paraId="1FBA8702" w14:textId="61221334" w:rsidR="00DC438F" w:rsidRPr="00126F44" w:rsidRDefault="00DC438F" w:rsidP="00DC438F">
      <w:r>
        <w:t>S</w:t>
      </w:r>
      <w:r w:rsidRPr="00126F44">
        <w:t xml:space="preserve">ubmissions </w:t>
      </w:r>
      <w:r>
        <w:t xml:space="preserve">from </w:t>
      </w:r>
      <w:proofErr w:type="spellStart"/>
      <w:r>
        <w:t>Airspan</w:t>
      </w:r>
      <w:proofErr w:type="spellEnd"/>
      <w:r>
        <w:t xml:space="preserve"> </w:t>
      </w:r>
      <w:r w:rsidR="001344BA">
        <w:t>Spectrum Holdings Limited (</w:t>
      </w:r>
      <w:proofErr w:type="spellStart"/>
      <w:r w:rsidR="001344BA">
        <w:t>Airspan</w:t>
      </w:r>
      <w:proofErr w:type="spellEnd"/>
      <w:r w:rsidR="001344BA">
        <w:t xml:space="preserve">) </w:t>
      </w:r>
      <w:r>
        <w:t xml:space="preserve">and Huawei </w:t>
      </w:r>
      <w:r w:rsidRPr="00126F44">
        <w:t xml:space="preserve">referred to the 3.6 GHz band auction in Ireland, which was finalised in May 2017, </w:t>
      </w:r>
      <w:r>
        <w:t>as an indicator of potential spectrum valuations for the band in Australia. While the auction results in Ireland exceeded expectations in terms of valuations, the prices paid remain relatively low (approximately AU$0.07/MHz/pop) when compared with the range of valuations used in the HVU model. These submissions suggested that the top of the range (currently $0.03</w:t>
      </w:r>
      <w:r w:rsidR="00D12411">
        <w:t>–</w:t>
      </w:r>
      <w:r>
        <w:t xml:space="preserve">0.625/MHz/pop) should be reduced, while submissions from current </w:t>
      </w:r>
      <w:r w:rsidR="00E41E2D">
        <w:t>mobile network operators (</w:t>
      </w:r>
      <w:r>
        <w:t>MNOs</w:t>
      </w:r>
      <w:r w:rsidR="00E41E2D">
        <w:t>)</w:t>
      </w:r>
      <w:r>
        <w:t xml:space="preserve"> largely suggested that the range of valuations was appropriate. Vodafone and </w:t>
      </w:r>
      <w:proofErr w:type="spellStart"/>
      <w:r>
        <w:t>Airspan</w:t>
      </w:r>
      <w:proofErr w:type="spellEnd"/>
      <w:r>
        <w:t xml:space="preserve"> Networks indicated that the relatively low amount of bandwidth available (125 MHz) could lead to lower valuations of 3.6 GHz band spectrum than if optimal amounts (</w:t>
      </w:r>
      <w:r w:rsidR="00D12411">
        <w:t>that is,</w:t>
      </w:r>
      <w:r>
        <w:t xml:space="preserve"> 100 MHz</w:t>
      </w:r>
      <w:r w:rsidR="00B142FD">
        <w:t xml:space="preserve"> per operator</w:t>
      </w:r>
      <w:r>
        <w:t>) were available to multiple operators.</w:t>
      </w:r>
      <w:r w:rsidRPr="00126F44">
        <w:t xml:space="preserve"> </w:t>
      </w:r>
    </w:p>
    <w:p w14:paraId="51DA0EB9" w14:textId="77777777" w:rsidR="00DC438F" w:rsidRDefault="00DC438F" w:rsidP="00DC438F">
      <w:r>
        <w:t xml:space="preserve">Some respondents, particularly </w:t>
      </w:r>
      <w:r w:rsidR="005709C8">
        <w:t>mobile industry representatives</w:t>
      </w:r>
      <w:r>
        <w:t>, pointed to the positive externalities that could result from the availability of 5G MBB services. These positive externalities largely related to potential technological innovations and particular unquantifiable social benefits. Examples of technological innovation included that with 5G providing low</w:t>
      </w:r>
      <w:r w:rsidR="00D12411">
        <w:t>-</w:t>
      </w:r>
      <w:r>
        <w:t xml:space="preserve">latency connectivity, devices that could not afford a large lag in reaction time (for example, driverless cars) could become a realistic venture. The unquantifiable social benefits included </w:t>
      </w:r>
      <w:r w:rsidR="00313CB4">
        <w:t xml:space="preserve">access to health care through greater access to medical professionals </w:t>
      </w:r>
      <w:r w:rsidR="00D12411">
        <w:t xml:space="preserve">via </w:t>
      </w:r>
      <w:r w:rsidR="00313CB4">
        <w:t>electronic means being beneficial for the economy.</w:t>
      </w:r>
    </w:p>
    <w:p w14:paraId="3573B57C" w14:textId="77777777" w:rsidR="00DC438F" w:rsidRDefault="00DC438F" w:rsidP="00DC438F">
      <w:r>
        <w:t>Submissions from respondents that detailed potential positive externalities typically also outlined the potential economic value that MBB</w:t>
      </w:r>
      <w:r w:rsidR="00C23CAE">
        <w:t>,</w:t>
      </w:r>
      <w:r>
        <w:t xml:space="preserve"> and 5G in particular</w:t>
      </w:r>
      <w:r w:rsidR="00C23CAE">
        <w:t>,</w:t>
      </w:r>
      <w:r>
        <w:t xml:space="preserve"> would provide for the national and global economies. The value to the economy of such services largely related to the potential for 5G to drive productivity improvements, as well as the job creation that these services can support. The job creation aspect includes jobs within the telecommunications industry, along with jobs external to the industry, resulting from the economic growth potentially generated by 5G services.</w:t>
      </w:r>
    </w:p>
    <w:p w14:paraId="33062D90" w14:textId="77777777" w:rsidR="00DC438F" w:rsidRDefault="00DC438F" w:rsidP="00DC438F">
      <w:pPr>
        <w:rPr>
          <w:highlight w:val="yellow"/>
        </w:rPr>
      </w:pPr>
      <w:r>
        <w:t>Submissions from Telstra and Huawei addressed the potential reduction in value if 3.6 GHz band spectrum was restricted to small cell use only</w:t>
      </w:r>
      <w:r w:rsidR="00C23CAE">
        <w:t>,</w:t>
      </w:r>
      <w:r>
        <w:t xml:space="preserve"> when compared with unrestricted use. The ACMA sought feedback regarding the loss of value that would result from restricting spectrum to small cell use—which was proposed as a potential idea for areas that would </w:t>
      </w:r>
      <w:r w:rsidR="005709C8">
        <w:t>need to share with</w:t>
      </w:r>
      <w:r>
        <w:t xml:space="preserve"> </w:t>
      </w:r>
      <w:r w:rsidR="00E41E2D">
        <w:t>FSS</w:t>
      </w:r>
      <w:r>
        <w:t xml:space="preserve"> earth receive licence interference protection, and therefore unusable for MBB. These submissions referred to the substantial additional cost and complexity of network deployment that would result from such restrictions, which would make 3.6 GHz spectrum much less valuable.</w:t>
      </w:r>
    </w:p>
    <w:p w14:paraId="0F0ECD26" w14:textId="77777777" w:rsidR="00DC438F" w:rsidRPr="00126F44" w:rsidRDefault="00DC438F" w:rsidP="00D12411">
      <w:pPr>
        <w:pStyle w:val="Heading3"/>
      </w:pPr>
      <w:bookmarkStart w:id="82" w:name="_Toc496620307"/>
      <w:r w:rsidRPr="00126F44">
        <w:t xml:space="preserve">ACMA response to </w:t>
      </w:r>
      <w:r w:rsidRPr="00D12411">
        <w:t>submissions</w:t>
      </w:r>
      <w:bookmarkEnd w:id="82"/>
    </w:p>
    <w:p w14:paraId="45E0EA7E" w14:textId="77777777" w:rsidR="00DC438F" w:rsidRDefault="00DC438F" w:rsidP="00DC438F">
      <w:r>
        <w:t xml:space="preserve">The ACMA has decided to retain the $/MHz/pop valuation range used for </w:t>
      </w:r>
      <w:r w:rsidR="00313CB4">
        <w:t xml:space="preserve">calculating </w:t>
      </w:r>
      <w:r>
        <w:t>potential re-farming benefits. While two of the potential bidders for the spectrum in a competitive allocation have indicated that the range is appropriate, there were parallels drawn between the 3.6 GHz band in Australia and the 3.6 GHz band auction in Ireland. While it should be noted that the Irish outcome was within the valuation range used by the ACMA, there are significant differences between the Irish case and the Australian case that should be acknowledged.</w:t>
      </w:r>
    </w:p>
    <w:p w14:paraId="6090CCBF" w14:textId="77777777" w:rsidR="00DC438F" w:rsidRDefault="00DC438F" w:rsidP="00DC438F">
      <w:r>
        <w:t>In the Irish 3.6 GHz auction, 350 MHz was available—significantly more bandwidth than what is available in the band in Australia. The majority of major MNOs in the Irish auction were able to obtain at or close to the commonly expressed optimal bandwidth amount (100 MHz) for 5G services. Spectrum auction outcomes are driven by the marginal valuations of bidders (</w:t>
      </w:r>
      <w:r w:rsidR="00D12411">
        <w:t>that is,</w:t>
      </w:r>
      <w:r>
        <w:t xml:space="preserve"> the incremental value a bidder places on an additional portion of spectrum). Beyond very small amounts of spectrum, bidders are expected to have diminishing marginal valuations, which means they place a declining value on each additional portion of spectrum. It follows that where there is a</w:t>
      </w:r>
      <w:r w:rsidR="00384802">
        <w:t xml:space="preserve"> </w:t>
      </w:r>
      <w:r>
        <w:t>significant quantum of spectrum on offer (as in the Irish context), the incremental value bidders place on an additional portion of spectrum is lower than when there is a relatively smaller quantum of spectrum on offer.</w:t>
      </w:r>
      <w:r>
        <w:rPr>
          <w:rStyle w:val="FootnoteReference"/>
        </w:rPr>
        <w:footnoteReference w:id="7"/>
      </w:r>
      <w:r>
        <w:t xml:space="preserve"> For this reason, the outcome of the Irish auction is not directly relevant for considering the potential values placed on spectrum in the Australian 3.6 GHz band (where only 125 MHz is available).</w:t>
      </w:r>
    </w:p>
    <w:p w14:paraId="2E0BA796" w14:textId="77777777" w:rsidR="00DC438F" w:rsidRDefault="00DC438F" w:rsidP="00DC438F">
      <w:r>
        <w:t>It is possible that the prices paid in this Irish auction understate the value of the 3.6 GHz band in Ireland, as these MNOs did not have to express a valuation that was too close to their willingness to pay for the spectrum. It is the maximum willingness to pay that is used as the valuation figure in the HVU model, rather than the eventual price paid, which means that the potential economic benefits from re-farming could be greater.</w:t>
      </w:r>
    </w:p>
    <w:p w14:paraId="1028E410" w14:textId="77777777" w:rsidR="00DC438F" w:rsidRDefault="00DC438F" w:rsidP="00DC438F">
      <w:r>
        <w:t xml:space="preserve">The ACMA notes that 5G is expected to provide a range of economic and social benefits, such as new technologies, improved productivity and job creation. </w:t>
      </w:r>
      <w:r w:rsidR="00C23CAE">
        <w:t xml:space="preserve">It would be expected that many of these benefits would be reflected in a high willingness to pay for 5G network access by consumers and businesses, which in turn </w:t>
      </w:r>
      <w:r w:rsidR="00317706">
        <w:t>w</w:t>
      </w:r>
      <w:r w:rsidR="00C23CAE">
        <w:t xml:space="preserve">ould be reflected in </w:t>
      </w:r>
      <w:r w:rsidR="00317706">
        <w:t xml:space="preserve">a high willingness to pay </w:t>
      </w:r>
      <w:r w:rsidR="00C23CAE">
        <w:t xml:space="preserve">for 5G spectrum by MNOs. </w:t>
      </w:r>
      <w:r w:rsidR="00317706">
        <w:t>However, to the extent that these broader economic and social benefits of 5G are not fully captured in 5G network and spectrum prices, they would be</w:t>
      </w:r>
      <w:r>
        <w:t xml:space="preserve"> considered in the HVU model as part of the additional consumer benefits and broader social net benefits. While some submissions provided expressions of the overall value of 5G to the global economy, these valuations have not been isolated to the spectrum available in the 3.6 GHz band. As such, these additional economic benefits have not been quantified. </w:t>
      </w:r>
    </w:p>
    <w:p w14:paraId="0BC1E0A1" w14:textId="77777777" w:rsidR="00DC438F" w:rsidRDefault="00DC438F" w:rsidP="00DC438F">
      <w:r>
        <w:t xml:space="preserve">The submissions detailing </w:t>
      </w:r>
      <w:r w:rsidR="00317706">
        <w:t xml:space="preserve">the reduction in the value of the 3.6 GHz band if it was restricted to </w:t>
      </w:r>
      <w:r>
        <w:t xml:space="preserve">small cell use have been noted. </w:t>
      </w:r>
      <w:r w:rsidR="00183EC1">
        <w:t>Under this option</w:t>
      </w:r>
      <w:r w:rsidR="00D12411">
        <w:t>,</w:t>
      </w:r>
      <w:r w:rsidR="00183EC1">
        <w:t xml:space="preserve"> arrangements would be made to support </w:t>
      </w:r>
      <w:r w:rsidR="008763C8">
        <w:t xml:space="preserve">the </w:t>
      </w:r>
      <w:r w:rsidR="00183EC1">
        <w:t xml:space="preserve">ongoing use of the band </w:t>
      </w:r>
      <w:r w:rsidR="008763C8">
        <w:t>(or a</w:t>
      </w:r>
      <w:r w:rsidR="00183EC1">
        <w:t xml:space="preserve"> much longer re-allocation period) for FSS earth station licensees. To ensure the protection of FSS earth station licensees, wide-area MBB use would be limited to small cell use in most of Perth and large areas of Sydney. The ACMA’s analysis shows that </w:t>
      </w:r>
      <w:r>
        <w:t xml:space="preserve">making this spectrum </w:t>
      </w:r>
      <w:r w:rsidR="008763C8">
        <w:t>available</w:t>
      </w:r>
      <w:r w:rsidR="00183EC1">
        <w:t xml:space="preserve"> for macro-cell MBB deployments (as well as small cells)</w:t>
      </w:r>
      <w:r w:rsidR="008763C8">
        <w:t xml:space="preserve"> in major metropolitan areas</w:t>
      </w:r>
      <w:r w:rsidR="00183EC1">
        <w:t xml:space="preserve"> </w:t>
      </w:r>
      <w:r>
        <w:t>would provide greater economic value than</w:t>
      </w:r>
      <w:r w:rsidR="008763C8">
        <w:t xml:space="preserve"> restricting it to small cell use. This was supported by </w:t>
      </w:r>
      <w:r>
        <w:t>Telstra and Huawei</w:t>
      </w:r>
      <w:r w:rsidR="00D12411">
        <w:t xml:space="preserve">, </w:t>
      </w:r>
      <w:r w:rsidR="008763C8">
        <w:t xml:space="preserve">who </w:t>
      </w:r>
      <w:r>
        <w:t xml:space="preserve">indicated that the loss of value from restricting </w:t>
      </w:r>
      <w:r w:rsidR="008763C8">
        <w:t>the use of the band to</w:t>
      </w:r>
      <w:r>
        <w:t xml:space="preserve"> small cell</w:t>
      </w:r>
      <w:r w:rsidR="002D7A1E">
        <w:t>s</w:t>
      </w:r>
      <w:r>
        <w:t xml:space="preserve"> only</w:t>
      </w:r>
      <w:r w:rsidR="00D12411">
        <w:t>,</w:t>
      </w:r>
      <w:r>
        <w:t xml:space="preserve"> would be substantial. As such, there wouldn’t be much demand for the spectrum even if it was made usable. </w:t>
      </w:r>
    </w:p>
    <w:p w14:paraId="27D3376A" w14:textId="77777777" w:rsidR="00DC438F" w:rsidRDefault="00DC438F" w:rsidP="00DC438F">
      <w:r>
        <w:t>New information provided by incumbent FSS earth receive licensees Telstra and Optus indicates that the re-farming benefits are now likely to considerably exceed incremental costs. This means that interference protection zones are likely to be unnecessary—whether there are small cell use restrictions or not—as the band is re-farmed in all metropolitan areas.</w:t>
      </w:r>
    </w:p>
    <w:p w14:paraId="6D019673" w14:textId="77777777" w:rsidR="00DC438F" w:rsidRDefault="00DC438F" w:rsidP="00DC438F">
      <w:pPr>
        <w:pStyle w:val="Heading2"/>
      </w:pPr>
      <w:bookmarkStart w:id="83" w:name="_Toc494375836"/>
      <w:bookmarkStart w:id="84" w:name="_Toc494378909"/>
      <w:bookmarkStart w:id="85" w:name="_Toc495935480"/>
      <w:bookmarkStart w:id="86" w:name="_Toc495935510"/>
      <w:bookmarkStart w:id="87" w:name="_Toc496620308"/>
      <w:r>
        <w:t>Economic costs of re-farming the 3.6 GHz band</w:t>
      </w:r>
      <w:bookmarkEnd w:id="83"/>
      <w:bookmarkEnd w:id="84"/>
      <w:bookmarkEnd w:id="85"/>
      <w:bookmarkEnd w:id="86"/>
      <w:bookmarkEnd w:id="87"/>
    </w:p>
    <w:p w14:paraId="70F5BBC6" w14:textId="77777777" w:rsidR="00DC438F" w:rsidRDefault="00DC438F" w:rsidP="00DC438F">
      <w:r>
        <w:t>The incremental costs of re-farming were calculated as the economic cost of displacing incumbent services. This could be the cost of replacing or retuning equipment for incumbent providers to continue service, or the loss of economic value resulting from a material change in services for consumers (for example, if the incumbent provider had to discontinue services). The paper analysed multiple scenarios for the different incumbent licensed service types: point-to-multipoint, FSS earth receive and point-to-point.</w:t>
      </w:r>
    </w:p>
    <w:p w14:paraId="1E31A0D4" w14:textId="77777777" w:rsidR="00DC438F" w:rsidRPr="001611C5" w:rsidRDefault="00DC438F" w:rsidP="00F9785F">
      <w:pPr>
        <w:spacing w:after="80"/>
      </w:pPr>
      <w:r>
        <w:t>In the HVU paper, the following was asked:</w:t>
      </w:r>
    </w:p>
    <w:p w14:paraId="70F3AF44" w14:textId="77777777"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 xml:space="preserve">Would there be a change in the quality of services that could be provided by WISPs with the 5.6 GHz band compared with the incumbent 3.6 GHz band services? </w:t>
      </w:r>
    </w:p>
    <w:p w14:paraId="4F97C421" w14:textId="33FFCF08"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 xml:space="preserve">What alternative internet services could regional consumers access (excluding NBN </w:t>
      </w:r>
      <w:proofErr w:type="spellStart"/>
      <w:r w:rsidR="00E5209F">
        <w:rPr>
          <w:b/>
        </w:rPr>
        <w:t>C</w:t>
      </w:r>
      <w:r w:rsidR="001344BA">
        <w:rPr>
          <w:b/>
        </w:rPr>
        <w:t>o’s</w:t>
      </w:r>
      <w:proofErr w:type="spellEnd"/>
      <w:r w:rsidR="001344BA">
        <w:rPr>
          <w:b/>
        </w:rPr>
        <w:t xml:space="preserve"> </w:t>
      </w:r>
      <w:r w:rsidRPr="0081091B">
        <w:rPr>
          <w:b/>
        </w:rPr>
        <w:t>Sky Muster services) if WISPs are unable to provide their fixed wireless broadband services?</w:t>
      </w:r>
    </w:p>
    <w:p w14:paraId="0C4C0CB8" w14:textId="77777777"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 xml:space="preserve">How could the loss of point-to-multipoint licences in the 3.6 GHz band affect regular business operations for non-WISP licensees? </w:t>
      </w:r>
    </w:p>
    <w:p w14:paraId="5C90A371" w14:textId="77777777"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Are the applicable costs for equipment replacement and retuning for point-to-multipoint licences suitable? If not, what cost ranges should be applied?</w:t>
      </w:r>
    </w:p>
    <w:p w14:paraId="33DB1386" w14:textId="77777777"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Are there any additional costs (applicable under a Total Welfare Standard</w:t>
      </w:r>
      <w:r w:rsidR="00064CE9">
        <w:rPr>
          <w:b/>
        </w:rPr>
        <w:t xml:space="preserve"> </w:t>
      </w:r>
      <w:r w:rsidR="00E41E2D">
        <w:rPr>
          <w:b/>
        </w:rPr>
        <w:t>(TWS)</w:t>
      </w:r>
      <w:r w:rsidRPr="0081091B">
        <w:rPr>
          <w:b/>
        </w:rPr>
        <w:t>) that have not been considered in this analysis?</w:t>
      </w:r>
    </w:p>
    <w:p w14:paraId="7688BD9D" w14:textId="77777777"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If the 3.6 GHz band is re-farmed, what is the extent to which a longer re-allocation period would reduce incremental costs under a TWS?</w:t>
      </w:r>
    </w:p>
    <w:p w14:paraId="76DF2A3D" w14:textId="77777777" w:rsidR="00DC438F" w:rsidRPr="0081091B" w:rsidRDefault="00DC438F" w:rsidP="00C07CBE">
      <w:pPr>
        <w:pStyle w:val="ListParagraph"/>
        <w:numPr>
          <w:ilvl w:val="0"/>
          <w:numId w:val="24"/>
        </w:numPr>
        <w:shd w:val="clear" w:color="auto" w:fill="F2F2F2" w:themeFill="background1" w:themeFillShade="F2"/>
        <w:spacing w:after="80"/>
        <w:ind w:left="567" w:hanging="567"/>
        <w:contextualSpacing w:val="0"/>
        <w:rPr>
          <w:b/>
        </w:rPr>
      </w:pPr>
      <w:r w:rsidRPr="0081091B">
        <w:rPr>
          <w:b/>
        </w:rPr>
        <w:t xml:space="preserve">Is the cost range for the relocation of all C-band licences from an FSS earth station facility suitable for this analysis? </w:t>
      </w:r>
    </w:p>
    <w:p w14:paraId="6A647040" w14:textId="77777777" w:rsidR="00DC438F" w:rsidRPr="0081091B" w:rsidRDefault="00DC438F" w:rsidP="00AC2157">
      <w:pPr>
        <w:pStyle w:val="ListParagraph"/>
        <w:numPr>
          <w:ilvl w:val="0"/>
          <w:numId w:val="24"/>
        </w:numPr>
        <w:shd w:val="clear" w:color="auto" w:fill="F2F2F2" w:themeFill="background1" w:themeFillShade="F2"/>
        <w:spacing w:after="0"/>
        <w:ind w:left="567" w:hanging="567"/>
        <w:contextualSpacing w:val="0"/>
        <w:rPr>
          <w:b/>
        </w:rPr>
      </w:pPr>
      <w:r w:rsidRPr="0081091B">
        <w:rPr>
          <w:b/>
        </w:rPr>
        <w:t xml:space="preserve">Are the applicable costs for equipment replacement and retuning for point-to-point licences suitable? If not, what cost ranges should be applied? </w:t>
      </w:r>
    </w:p>
    <w:p w14:paraId="2A333E76" w14:textId="77777777" w:rsidR="00DC438F" w:rsidRDefault="00DC438F" w:rsidP="00DC438F"/>
    <w:p w14:paraId="0AF00E56" w14:textId="77777777" w:rsidR="00DC438F" w:rsidRDefault="00DC438F" w:rsidP="00F9785F">
      <w:pPr>
        <w:pStyle w:val="Heading3"/>
      </w:pPr>
      <w:bookmarkStart w:id="88" w:name="_Toc496620309"/>
      <w:r w:rsidRPr="00126F44">
        <w:t xml:space="preserve">Summary of </w:t>
      </w:r>
      <w:r w:rsidRPr="00F9785F">
        <w:t>submissions</w:t>
      </w:r>
      <w:bookmarkEnd w:id="88"/>
    </w:p>
    <w:p w14:paraId="3662A813" w14:textId="77777777" w:rsidR="00DC438F" w:rsidRPr="0055309D" w:rsidRDefault="00DC438F" w:rsidP="00DC438F">
      <w:r>
        <w:t xml:space="preserve">Submissions from the majority of WISP respondents expressed doubts about the viability of the 5.6 GHz band for their services. The primary reasons for this were the lower amount of bandwidth available in the 5.6 GHz band (40 MHz) and the potential for interference from BoM radars or </w:t>
      </w:r>
      <w:r w:rsidR="00313CB4">
        <w:t>unlicensed</w:t>
      </w:r>
      <w:r>
        <w:t xml:space="preserve"> users of the band. Submissions therefore indicated that there is some likelihood that several point-to-multipoint licensees will represent variable output cases as they do not migrate to the 5.6 GHz band, although </w:t>
      </w:r>
      <w:r w:rsidR="007D6FAE">
        <w:t xml:space="preserve">an </w:t>
      </w:r>
      <w:r w:rsidR="007D6FAE" w:rsidRPr="0055309D">
        <w:t>extended</w:t>
      </w:r>
      <w:r w:rsidRPr="0055309D">
        <w:t xml:space="preserve"> re-allocation period </w:t>
      </w:r>
      <w:r w:rsidR="005709C8" w:rsidRPr="0055309D">
        <w:t xml:space="preserve">of </w:t>
      </w:r>
      <w:r w:rsidR="00F9785F" w:rsidRPr="0055309D">
        <w:t>seven</w:t>
      </w:r>
      <w:r w:rsidR="005709C8" w:rsidRPr="0055309D">
        <w:t xml:space="preserve"> years in Area 2 and Area 3 </w:t>
      </w:r>
      <w:r w:rsidRPr="0055309D">
        <w:t xml:space="preserve">(refer to </w:t>
      </w:r>
      <w:r w:rsidR="005709C8" w:rsidRPr="0055309D">
        <w:t xml:space="preserve">the </w:t>
      </w:r>
      <w:r w:rsidR="005709C8" w:rsidRPr="0055309D">
        <w:rPr>
          <w:i/>
        </w:rPr>
        <w:t xml:space="preserve">Length of re-allocation period </w:t>
      </w:r>
      <w:r w:rsidRPr="0055309D">
        <w:t xml:space="preserve">section) may mitigate some of these costs. </w:t>
      </w:r>
    </w:p>
    <w:p w14:paraId="01D6A88A" w14:textId="326CD2E9" w:rsidR="00DC438F" w:rsidRDefault="00DC438F" w:rsidP="00DC438F">
      <w:r w:rsidRPr="0055309D">
        <w:t>Several submissions referenced the potential loss of economic value that may result from WISPs representing variable</w:t>
      </w:r>
      <w:r>
        <w:t xml:space="preserve"> output cases and being unable to continue service.</w:t>
      </w:r>
      <w:r w:rsidR="00336E17">
        <w:t xml:space="preserve"> </w:t>
      </w:r>
      <w:r>
        <w:t xml:space="preserve">Forgone economic benefits can be considered incremental costs in the HVU model, as they are a loss of consumer or broader social benefits resulting from incumbents being displaced. These submissions typically pointed to WISP services generating great improvements in connectivity and productivity in regional areas, which may be lost in the event of WISP customers having to migrate to a potentially inferior service—if one is available. There were no submissions that provided any form of quantification regarding this welfare loss, although one submission indicated that migrating WISP consumers to the </w:t>
      </w:r>
      <w:r w:rsidR="001344BA">
        <w:t>National Broadband Network (</w:t>
      </w:r>
      <w:r w:rsidR="00F9785F">
        <w:t>NBN</w:t>
      </w:r>
      <w:r w:rsidR="001344BA">
        <w:t>)</w:t>
      </w:r>
      <w:r w:rsidR="00F9785F">
        <w:t xml:space="preserve"> </w:t>
      </w:r>
      <w:r>
        <w:t xml:space="preserve">would result in an increase in ongoing costs, which would ultimately be passed on to consumers. </w:t>
      </w:r>
    </w:p>
    <w:p w14:paraId="230C5C20" w14:textId="77777777" w:rsidR="00DC438F" w:rsidRDefault="00DC438F" w:rsidP="00DC438F">
      <w:r>
        <w:t>Two metropolitan FSS earth receive licensees, Telstra and Optus</w:t>
      </w:r>
      <w:r w:rsidR="009206EC">
        <w:t>,</w:t>
      </w:r>
      <w:r>
        <w:t xml:space="preserve"> indicated that they could continue to provide services without use of the 3.6 GHz band. Telstra indicated that they would be able to retune their 3.6 GHz band services to above 3700 MHz, while </w:t>
      </w:r>
      <w:r w:rsidRPr="007A32E7">
        <w:t>Optus</w:t>
      </w:r>
      <w:r>
        <w:t xml:space="preserve"> </w:t>
      </w:r>
      <w:r w:rsidR="00CE5181">
        <w:t>ha</w:t>
      </w:r>
      <w:r w:rsidR="00B70795">
        <w:t>s</w:t>
      </w:r>
      <w:r w:rsidR="00CE5181">
        <w:t xml:space="preserve"> </w:t>
      </w:r>
      <w:r>
        <w:t xml:space="preserve">already transitioned </w:t>
      </w:r>
      <w:r w:rsidR="00B70795">
        <w:t xml:space="preserve">its </w:t>
      </w:r>
      <w:r>
        <w:t>services out of the 3.6</w:t>
      </w:r>
      <w:r w:rsidR="00B70795">
        <w:t> </w:t>
      </w:r>
      <w:r>
        <w:t xml:space="preserve">GHz band. </w:t>
      </w:r>
      <w:r w:rsidR="009206EC">
        <w:t>A</w:t>
      </w:r>
      <w:r>
        <w:t xml:space="preserve"> costly relocation of FSS earth station facilities would not have to occur to continue </w:t>
      </w:r>
      <w:r w:rsidR="009206EC">
        <w:t xml:space="preserve">these </w:t>
      </w:r>
      <w:r>
        <w:t xml:space="preserve">services. In contrast, Inmarsat stated that the cost of relocating </w:t>
      </w:r>
      <w:r w:rsidR="00B70795">
        <w:t xml:space="preserve">its </w:t>
      </w:r>
      <w:r>
        <w:t>facility may be considerably greater than the $25</w:t>
      </w:r>
      <w:r>
        <w:sym w:font="Symbol" w:char="F02D"/>
      </w:r>
      <w:r>
        <w:t>30 million outlined in the HVU analysis.</w:t>
      </w:r>
    </w:p>
    <w:p w14:paraId="2C36EEA0" w14:textId="77777777" w:rsidR="00DC438F" w:rsidRDefault="00DC438F" w:rsidP="00DC438F">
      <w:r>
        <w:t xml:space="preserve">Lockheed Martin, a regional FSS earth receive licensee, outlined some potential costs (or benefits forgone) that may result from displacing </w:t>
      </w:r>
      <w:r w:rsidR="00B70795">
        <w:t xml:space="preserve">its </w:t>
      </w:r>
      <w:r>
        <w:t>service from the 3.6 GHz band.</w:t>
      </w:r>
      <w:r w:rsidR="00336E17">
        <w:t xml:space="preserve"> </w:t>
      </w:r>
      <w:r>
        <w:t xml:space="preserve">This submission presented multiple economic considerations that were not in the initial HVU analysis. The relevant regional FSS facility is stated to play an important role in global satellite networks, resulting in significant economic benefits forgone if displaced. The relocation of this facility is also stated to have to include all FSS earth receive licences, rather than just those in </w:t>
      </w:r>
      <w:r w:rsidR="00F9785F">
        <w:t xml:space="preserve">the </w:t>
      </w:r>
      <w:r>
        <w:t>C-band, leading to higher costs. The submission also state</w:t>
      </w:r>
      <w:r w:rsidR="009206EC">
        <w:t>d</w:t>
      </w:r>
      <w:r>
        <w:t xml:space="preserve"> that a protection zone would not have to be as wide-ranging as that outlined by the ACMA</w:t>
      </w:r>
      <w:r w:rsidR="00313CB4">
        <w:t xml:space="preserve"> in order to protect these incumbents</w:t>
      </w:r>
      <w:r>
        <w:t>.</w:t>
      </w:r>
    </w:p>
    <w:p w14:paraId="526D470B" w14:textId="77777777" w:rsidR="00DC438F" w:rsidRPr="00C850EE" w:rsidRDefault="00DC438F" w:rsidP="00DC438F">
      <w:r>
        <w:t xml:space="preserve">Digital Distribution Australia </w:t>
      </w:r>
      <w:r w:rsidR="00F11684">
        <w:t xml:space="preserve">Pty Ltd </w:t>
      </w:r>
      <w:r>
        <w:t xml:space="preserve">(DDA) and Telstra provided information on incumbent point-to-point licences. DDA advocated for an extended re-allocation period to allow for a slower transition to a different band, as the cost of moving would be significant. Telstra indicated that, at least for some of </w:t>
      </w:r>
      <w:r w:rsidR="00CB1191">
        <w:t xml:space="preserve">its </w:t>
      </w:r>
      <w:r>
        <w:t>licences, the estimated incremental cost ranges provided by the ACMA (between $85,000 and $100,000) may be understating equipment replacement costs.</w:t>
      </w:r>
    </w:p>
    <w:p w14:paraId="454B3F72" w14:textId="77777777" w:rsidR="00DC438F" w:rsidRPr="00330A60" w:rsidRDefault="00DC438F" w:rsidP="00DC438F">
      <w:pPr>
        <w:pStyle w:val="Heading3"/>
      </w:pPr>
      <w:bookmarkStart w:id="89" w:name="_Toc496620310"/>
      <w:r w:rsidRPr="00330A60">
        <w:t>ACMA response to submissions</w:t>
      </w:r>
      <w:bookmarkEnd w:id="89"/>
    </w:p>
    <w:p w14:paraId="72CDD912" w14:textId="77777777" w:rsidR="00DC438F" w:rsidRDefault="00DC438F" w:rsidP="00DC438F">
      <w:r>
        <w:t xml:space="preserve">The ACMA acknowledges point-to-multipoint licensees’ views on the 5.6 GHz band. </w:t>
      </w:r>
      <w:r w:rsidR="00394DB1">
        <w:t xml:space="preserve">However, </w:t>
      </w:r>
      <w:r w:rsidR="009206EC">
        <w:t xml:space="preserve">it remains of the view that establishment of coordinated apparatus licence arrangements in </w:t>
      </w:r>
      <w:r w:rsidR="00CB1191">
        <w:t xml:space="preserve">the </w:t>
      </w:r>
      <w:r w:rsidR="00F25007">
        <w:t xml:space="preserve">5.6 GHz </w:t>
      </w:r>
      <w:r w:rsidR="00CB1191">
        <w:t>band</w:t>
      </w:r>
      <w:r w:rsidR="00F25007">
        <w:t xml:space="preserve"> </w:t>
      </w:r>
      <w:r w:rsidR="009206EC">
        <w:t>will address some of the demand for long-term spectrum access by WISPs. It will</w:t>
      </w:r>
      <w:r w:rsidR="00394DB1">
        <w:t xml:space="preserve"> also consider the use of the 28 GHz band to support point-to-multipoint licensees in regional areas. </w:t>
      </w:r>
      <w:r w:rsidR="009206EC">
        <w:t>T</w:t>
      </w:r>
      <w:r w:rsidR="00B30A69">
        <w:t>he extended re-allocation period</w:t>
      </w:r>
      <w:r w:rsidR="009206EC">
        <w:t>,</w:t>
      </w:r>
      <w:r w:rsidR="00B30A69">
        <w:t xml:space="preserve"> </w:t>
      </w:r>
      <w:r w:rsidR="004A488A">
        <w:t xml:space="preserve">as well as </w:t>
      </w:r>
      <w:r w:rsidR="00B30A69">
        <w:t xml:space="preserve">the potential </w:t>
      </w:r>
      <w:r w:rsidR="009206EC">
        <w:t xml:space="preserve">availability of negotiated </w:t>
      </w:r>
      <w:r w:rsidR="00B30A69">
        <w:t xml:space="preserve">access </w:t>
      </w:r>
      <w:r w:rsidR="009206EC">
        <w:t>to</w:t>
      </w:r>
      <w:r w:rsidR="00B30A69">
        <w:t xml:space="preserve"> the band via third-party authorisation arrangements</w:t>
      </w:r>
      <w:r w:rsidR="009206EC">
        <w:t>,</w:t>
      </w:r>
      <w:r w:rsidR="004A488A">
        <w:t xml:space="preserve"> </w:t>
      </w:r>
      <w:r w:rsidR="00CB1191" w:rsidRPr="0068775B">
        <w:t xml:space="preserve">will </w:t>
      </w:r>
      <w:r w:rsidR="009206EC">
        <w:t>also</w:t>
      </w:r>
      <w:r w:rsidR="00CB1191" w:rsidRPr="0068775B">
        <w:t xml:space="preserve"> provide incumbents with opportunit</w:t>
      </w:r>
      <w:r w:rsidR="00CB1191">
        <w:t>ies</w:t>
      </w:r>
      <w:r w:rsidR="00CB1191" w:rsidRPr="0068775B">
        <w:t xml:space="preserve"> to continue providing services</w:t>
      </w:r>
      <w:r>
        <w:t>.</w:t>
      </w:r>
      <w:r w:rsidR="00CB1191">
        <w:t xml:space="preserve"> T</w:t>
      </w:r>
      <w:r w:rsidR="00CB1191" w:rsidRPr="0068775B">
        <w:t>he ACMA considers that these mitigation strategies are likely to limit the materiality of the unquantifiable costs of the re-farming of the 3.6 GHz band.</w:t>
      </w:r>
    </w:p>
    <w:p w14:paraId="5E0D6D84" w14:textId="77777777" w:rsidR="00DC438F" w:rsidRDefault="00DC438F" w:rsidP="00DC438F">
      <w:r>
        <w:t xml:space="preserve">The ability for some FSS earth receive licensees to transition their </w:t>
      </w:r>
      <w:r w:rsidR="00C44A60">
        <w:t>current operations out</w:t>
      </w:r>
      <w:r>
        <w:t xml:space="preserve"> of the 3.6 GHz band is noted. The ACMA expects this to significantly reduce the incremental costs associated with displacing FSS earth receive licensees from the 3.6</w:t>
      </w:r>
      <w:r w:rsidR="00F46125">
        <w:t> </w:t>
      </w:r>
      <w:r>
        <w:t xml:space="preserve">GHz band. This not only makes a stronger case for re-farming in metropolitan areas in general, but also makes a stronger case for not providing either an extended re-allocation period </w:t>
      </w:r>
      <w:r w:rsidR="007A78F0">
        <w:t xml:space="preserve">in </w:t>
      </w:r>
      <w:r w:rsidR="00A46318">
        <w:t xml:space="preserve">either of </w:t>
      </w:r>
      <w:r w:rsidR="007A78F0">
        <w:t>Area 1</w:t>
      </w:r>
      <w:r w:rsidR="00A46318">
        <w:t>A or Area 1B</w:t>
      </w:r>
      <w:r w:rsidR="007A78F0">
        <w:t xml:space="preserve"> </w:t>
      </w:r>
      <w:r>
        <w:t>or a perpetual interference protection zone. In the case of the regional FSS earth receive licensee, however, costs of geographic relocation have strengthened the case for an interference protection zone.</w:t>
      </w:r>
    </w:p>
    <w:p w14:paraId="442F4309" w14:textId="77777777" w:rsidR="00DC438F" w:rsidRDefault="00DC438F" w:rsidP="00DC438F">
      <w:r>
        <w:t>The ACMA notes Lockheed Martin’s views regarding the critical nature of its facility in Uralla to a global satellite network</w:t>
      </w:r>
      <w:r w:rsidR="00CB1191">
        <w:t>, and the high cost of relocating t</w:t>
      </w:r>
      <w:r w:rsidR="00E3006E">
        <w:t>his facility</w:t>
      </w:r>
      <w:r>
        <w:t xml:space="preserve"> </w:t>
      </w:r>
      <w:r w:rsidR="00E3006E">
        <w:t>(</w:t>
      </w:r>
      <w:r>
        <w:t>$20</w:t>
      </w:r>
      <w:r w:rsidR="00F9785F">
        <w:t>–</w:t>
      </w:r>
      <w:r>
        <w:t>50 million</w:t>
      </w:r>
      <w:r w:rsidR="00E3006E">
        <w:t>).</w:t>
      </w:r>
      <w:r w:rsidR="00F9785F">
        <w:t xml:space="preserve"> </w:t>
      </w:r>
      <w:r w:rsidR="00E3006E">
        <w:t>The ACMA considers</w:t>
      </w:r>
      <w:r>
        <w:t xml:space="preserve"> there is a good case for protecti</w:t>
      </w:r>
      <w:r w:rsidR="00E3006E">
        <w:t>ng</w:t>
      </w:r>
      <w:r>
        <w:t xml:space="preserve"> this facility</w:t>
      </w:r>
      <w:r w:rsidR="00F9785F">
        <w:t>,</w:t>
      </w:r>
      <w:r>
        <w:t xml:space="preserve"> due to potential incremental costs far exceeding potential re-farming benefits for the affected population. The ACMA</w:t>
      </w:r>
      <w:r w:rsidR="00F9785F">
        <w:t>,</w:t>
      </w:r>
      <w:r>
        <w:t xml:space="preserve"> therefore</w:t>
      </w:r>
      <w:r w:rsidR="00F9785F">
        <w:t>,</w:t>
      </w:r>
      <w:r>
        <w:t xml:space="preserve"> </w:t>
      </w:r>
      <w:r w:rsidR="00B724AB">
        <w:t xml:space="preserve">proposes to </w:t>
      </w:r>
      <w:r>
        <w:t>protect this facility with the additional caveats detailed in the Options paper.</w:t>
      </w:r>
    </w:p>
    <w:p w14:paraId="642B8131" w14:textId="77777777" w:rsidR="00DC438F" w:rsidRDefault="00DC438F" w:rsidP="00DC438F">
      <w:r>
        <w:t xml:space="preserve">The ACMA also notes the potential higher costs of equipment retuning or replacement for point-to-point fixed links. The initial HVU analysis indicated there are 47 licences in Area 3, leading to the upper bound of the incremental cost range being $4.7 million. </w:t>
      </w:r>
      <w:r w:rsidR="0044325D">
        <w:t>However</w:t>
      </w:r>
      <w:r w:rsidR="00F9785F">
        <w:t>,</w:t>
      </w:r>
      <w:r w:rsidR="0044325D">
        <w:t xml:space="preserve"> given </w:t>
      </w:r>
      <w:r>
        <w:t xml:space="preserve">the low baseline of costs when compared with potential re-farming benefits, </w:t>
      </w:r>
      <w:r w:rsidR="0044325D">
        <w:t>higher</w:t>
      </w:r>
      <w:r>
        <w:t xml:space="preserve"> </w:t>
      </w:r>
      <w:r w:rsidR="00E3006E">
        <w:t xml:space="preserve">retuning or replacement </w:t>
      </w:r>
      <w:r>
        <w:t xml:space="preserve">costs </w:t>
      </w:r>
      <w:r w:rsidR="0044325D">
        <w:t>do not significantly change</w:t>
      </w:r>
      <w:r>
        <w:t xml:space="preserve"> the case for re-farming.</w:t>
      </w:r>
    </w:p>
    <w:p w14:paraId="7408153B" w14:textId="77777777" w:rsidR="00B25899" w:rsidRDefault="00DC438F" w:rsidP="00B25899">
      <w:pPr>
        <w:pStyle w:val="Heading2"/>
      </w:pPr>
      <w:bookmarkStart w:id="90" w:name="_Toc495935481"/>
      <w:bookmarkStart w:id="91" w:name="_Toc496620311"/>
      <w:bookmarkStart w:id="92" w:name="_Toc494375837"/>
      <w:bookmarkStart w:id="93" w:name="_Toc494378910"/>
      <w:bookmarkStart w:id="94" w:name="_Toc495935511"/>
      <w:r>
        <w:t>HVU</w:t>
      </w:r>
      <w:r w:rsidR="00B25899">
        <w:t xml:space="preserve"> methodology</w:t>
      </w:r>
      <w:bookmarkEnd w:id="90"/>
      <w:bookmarkEnd w:id="91"/>
      <w:r>
        <w:t xml:space="preserve"> </w:t>
      </w:r>
      <w:bookmarkEnd w:id="92"/>
      <w:bookmarkEnd w:id="93"/>
      <w:bookmarkEnd w:id="94"/>
    </w:p>
    <w:p w14:paraId="75236FDE" w14:textId="77777777" w:rsidR="00B25899" w:rsidRDefault="00B25899" w:rsidP="00B25899">
      <w:r>
        <w:t xml:space="preserve">To determine the highest value use, the analysis detailed the potential economic benefits of moving to a new use (area-wide spectrum licensing, primarily for mobile broadband), and compared </w:t>
      </w:r>
      <w:r w:rsidRPr="00FA5F04">
        <w:t>these benefits with the economic costs of displacing incumbents from the band.</w:t>
      </w:r>
      <w:r>
        <w:t xml:space="preserve"> </w:t>
      </w:r>
      <w:r w:rsidR="009B2667">
        <w:t>The new use would be considered to be the highest value use if re-allocation was considered net beneficial, with the economic benefits exceeding the incremental costs. The ACMA sought feedback on the validity of this methodology and whether there were any economic impacts or viewpoints that had not been included in the analysis.</w:t>
      </w:r>
    </w:p>
    <w:p w14:paraId="6B87862A" w14:textId="77777777" w:rsidR="00B25899" w:rsidRPr="00FA5F04" w:rsidRDefault="00B25899" w:rsidP="00F9785F">
      <w:pPr>
        <w:spacing w:after="80"/>
      </w:pPr>
      <w:r w:rsidRPr="00FA5F04">
        <w:t>In the HVU paper, the following was asked:</w:t>
      </w:r>
    </w:p>
    <w:p w14:paraId="4932F676" w14:textId="77777777" w:rsidR="00B25899" w:rsidRPr="00FA5F04" w:rsidRDefault="00B25899" w:rsidP="003A1083">
      <w:pPr>
        <w:pStyle w:val="ListParagraph"/>
        <w:numPr>
          <w:ilvl w:val="0"/>
          <w:numId w:val="26"/>
        </w:numPr>
        <w:shd w:val="clear" w:color="auto" w:fill="F2F2F2" w:themeFill="background1" w:themeFillShade="F2"/>
        <w:ind w:left="426" w:hanging="426"/>
        <w:contextualSpacing w:val="0"/>
        <w:rPr>
          <w:b/>
        </w:rPr>
      </w:pPr>
      <w:r w:rsidRPr="00FA5F04">
        <w:rPr>
          <w:b/>
        </w:rPr>
        <w:t xml:space="preserve">Are there any general economic impacts that should be included but are not currently included in the method to determine highest value use? </w:t>
      </w:r>
    </w:p>
    <w:p w14:paraId="4325FACA" w14:textId="77777777" w:rsidR="00B25899" w:rsidRPr="00FA5F04" w:rsidRDefault="00B25899" w:rsidP="00F9785F">
      <w:pPr>
        <w:pStyle w:val="Heading3"/>
      </w:pPr>
      <w:bookmarkStart w:id="95" w:name="_Toc496620312"/>
      <w:r w:rsidRPr="00FA5F04">
        <w:t xml:space="preserve">Summary of </w:t>
      </w:r>
      <w:r w:rsidRPr="00F9785F">
        <w:t>submissions</w:t>
      </w:r>
      <w:bookmarkEnd w:id="95"/>
    </w:p>
    <w:p w14:paraId="2312DCC5" w14:textId="77777777" w:rsidR="00B25899" w:rsidRDefault="00B25899" w:rsidP="00B25899">
      <w:r>
        <w:t xml:space="preserve">The primary concern of some </w:t>
      </w:r>
      <w:r w:rsidR="00E41E2D">
        <w:t>WISPs</w:t>
      </w:r>
      <w:r>
        <w:t xml:space="preserve"> and FSS </w:t>
      </w:r>
      <w:r w:rsidR="009B2667">
        <w:t>e</w:t>
      </w:r>
      <w:r>
        <w:t xml:space="preserve">arth </w:t>
      </w:r>
      <w:r w:rsidR="009B2667">
        <w:t xml:space="preserve">receive licensees </w:t>
      </w:r>
      <w:r>
        <w:t xml:space="preserve">was that the HVU model did not include potential spectrum sharing arrangements. These views outlined that the scope of the analysis was too narrow in only analysing what may be the highest value </w:t>
      </w:r>
      <w:r>
        <w:rPr>
          <w:i/>
        </w:rPr>
        <w:t>use</w:t>
      </w:r>
      <w:r>
        <w:t xml:space="preserve">, without analysing the potential for multiple highest value </w:t>
      </w:r>
      <w:r>
        <w:rPr>
          <w:i/>
        </w:rPr>
        <w:t>uses</w:t>
      </w:r>
      <w:r>
        <w:t xml:space="preserve">. The implication is that sharing could potentially result in </w:t>
      </w:r>
      <w:r w:rsidR="00E3006E">
        <w:t xml:space="preserve">higher </w:t>
      </w:r>
      <w:r>
        <w:t>economic welfare, as the full benefits of the new use would be supplemented with further economic benefits from coexisting uses. WISPs contended that this would enable them to provide services in particular regional locations where MNOs may end up holding wide-area spectrum licences, but may decide not to roll out 5G services.</w:t>
      </w:r>
    </w:p>
    <w:p w14:paraId="25AC2CB0" w14:textId="77777777" w:rsidR="00B25899" w:rsidRPr="00FA5F04" w:rsidRDefault="00B25899" w:rsidP="00B25899">
      <w:r>
        <w:t>All further considerations regarding the highest value use methodology are specific to the economic benefits or economic costs of re-farming, and are therefore outlined in those sections of this paper.</w:t>
      </w:r>
    </w:p>
    <w:p w14:paraId="593B1B7A" w14:textId="77777777" w:rsidR="00B25899" w:rsidRPr="00FA5F04" w:rsidRDefault="00B25899" w:rsidP="00B25899">
      <w:pPr>
        <w:pStyle w:val="Heading3"/>
      </w:pPr>
      <w:bookmarkStart w:id="96" w:name="_Toc496620313"/>
      <w:r w:rsidRPr="00FA5F04">
        <w:t>ACMA response to submissions</w:t>
      </w:r>
      <w:bookmarkEnd w:id="96"/>
    </w:p>
    <w:p w14:paraId="4B99F25C" w14:textId="77777777" w:rsidR="00B25899" w:rsidRPr="0055309D" w:rsidRDefault="00B25899" w:rsidP="00B25899">
      <w:r>
        <w:t xml:space="preserve">The ACMA notes that there was no analysis of spectrum sharing (for example, dynamic spectrum licence management) in the HVU analysis. The purpose of the HVU analysis was to analyse whether existing arrangements in the band are conducive to the spectrum moving to its highest value use. </w:t>
      </w:r>
      <w:r w:rsidRPr="0055309D">
        <w:t>Based on the analysis, the ACMA determined that it was likely that there had been a change in the highest value use of the band.</w:t>
      </w:r>
      <w:r w:rsidR="00336E17" w:rsidRPr="0055309D">
        <w:t xml:space="preserve"> </w:t>
      </w:r>
    </w:p>
    <w:p w14:paraId="6BF3817F" w14:textId="77777777" w:rsidR="00B25899" w:rsidRPr="0055309D" w:rsidRDefault="00B25899" w:rsidP="00B25899">
      <w:r w:rsidRPr="0055309D">
        <w:t xml:space="preserve">While spectrum sharing could increase economic welfare under a best-case scenario, there is no consensus on whether spectrum sharing is actually possible in the Australian market. Indeed, as outlined in the </w:t>
      </w:r>
      <w:r w:rsidR="00533455" w:rsidRPr="0055309D">
        <w:rPr>
          <w:i/>
        </w:rPr>
        <w:t>S</w:t>
      </w:r>
      <w:r w:rsidRPr="0055309D">
        <w:rPr>
          <w:i/>
        </w:rPr>
        <w:t xml:space="preserve">ummary </w:t>
      </w:r>
      <w:r w:rsidR="00533455" w:rsidRPr="0055309D">
        <w:rPr>
          <w:i/>
        </w:rPr>
        <w:t xml:space="preserve">and response to </w:t>
      </w:r>
      <w:r w:rsidRPr="0055309D">
        <w:rPr>
          <w:i/>
        </w:rPr>
        <w:t>submissions</w:t>
      </w:r>
      <w:r w:rsidR="005A59CB" w:rsidRPr="0055309D">
        <w:rPr>
          <w:i/>
        </w:rPr>
        <w:t>—</w:t>
      </w:r>
      <w:r w:rsidR="00533455" w:rsidRPr="0055309D">
        <w:rPr>
          <w:i/>
        </w:rPr>
        <w:t>Options paper</w:t>
      </w:r>
      <w:r w:rsidR="00533455" w:rsidRPr="0055309D">
        <w:t xml:space="preserve"> </w:t>
      </w:r>
      <w:r w:rsidRPr="0055309D">
        <w:t xml:space="preserve">chapter, mobile industry respondents typically did not support the development of sharing arrangements outside of the re-allocation period. </w:t>
      </w:r>
    </w:p>
    <w:p w14:paraId="77BBC950" w14:textId="77777777" w:rsidR="00B25899" w:rsidRDefault="00B25899" w:rsidP="00235F01">
      <w:r w:rsidRPr="0055309D">
        <w:t>The ACMA remains of the view that in areas where demand for 3.6 GHz spectrum is likely to exceed supply, practical sharing models will not provide the required certainty of long-term access to wide-area broadband users</w:t>
      </w:r>
      <w:r w:rsidR="005A59CB" w:rsidRPr="0055309D">
        <w:t>,</w:t>
      </w:r>
      <w:r w:rsidRPr="0055309D">
        <w:t xml:space="preserve"> while simultaneously offering the desired certainty to current and new point-to-multipoint users that they state is required. Given the ACMA has concluded that a sharing model is not feasible, the economic benefits of such a model have not been analysed</w:t>
      </w:r>
      <w:r w:rsidR="00460DAB" w:rsidRPr="0055309D">
        <w:t xml:space="preserve"> (refer to the </w:t>
      </w:r>
      <w:r w:rsidR="00460DAB" w:rsidRPr="0055309D">
        <w:rPr>
          <w:i/>
        </w:rPr>
        <w:t xml:space="preserve">Case for </w:t>
      </w:r>
      <w:r w:rsidR="005A59CB" w:rsidRPr="0055309D">
        <w:rPr>
          <w:i/>
        </w:rPr>
        <w:t>a</w:t>
      </w:r>
      <w:r w:rsidR="00460DAB" w:rsidRPr="0055309D">
        <w:rPr>
          <w:i/>
        </w:rPr>
        <w:t xml:space="preserve">ction and </w:t>
      </w:r>
      <w:r w:rsidR="00ED2247" w:rsidRPr="0055309D">
        <w:rPr>
          <w:i/>
        </w:rPr>
        <w:t>r</w:t>
      </w:r>
      <w:r w:rsidR="00460DAB" w:rsidRPr="0055309D">
        <w:rPr>
          <w:i/>
        </w:rPr>
        <w:t xml:space="preserve">eplanning </w:t>
      </w:r>
      <w:r w:rsidR="005A59CB" w:rsidRPr="0055309D">
        <w:rPr>
          <w:i/>
        </w:rPr>
        <w:t>o</w:t>
      </w:r>
      <w:r w:rsidR="00460DAB" w:rsidRPr="0055309D">
        <w:rPr>
          <w:i/>
        </w:rPr>
        <w:t xml:space="preserve">ptions </w:t>
      </w:r>
      <w:r w:rsidR="00460DAB" w:rsidRPr="0055309D">
        <w:t>section of this paper)</w:t>
      </w:r>
      <w:r w:rsidRPr="0055309D">
        <w:t>.</w:t>
      </w:r>
    </w:p>
    <w:p w14:paraId="7A26FCB8" w14:textId="77777777" w:rsidR="00610B88" w:rsidRPr="000047E7" w:rsidRDefault="009B2667" w:rsidP="000047E7">
      <w:pPr>
        <w:pStyle w:val="Heading3"/>
        <w:shd w:val="clear" w:color="auto" w:fill="F2F2F2" w:themeFill="background1" w:themeFillShade="F2"/>
        <w:rPr>
          <w:rStyle w:val="Heading2Char"/>
          <w:b/>
          <w:bCs/>
          <w:iCs w:val="0"/>
          <w:sz w:val="20"/>
          <w:szCs w:val="26"/>
        </w:rPr>
      </w:pPr>
      <w:bookmarkStart w:id="97" w:name="_Toc496620314"/>
      <w:r w:rsidRPr="000047E7">
        <w:rPr>
          <w:rStyle w:val="Heading2Char"/>
          <w:b/>
          <w:bCs/>
          <w:iCs w:val="0"/>
          <w:sz w:val="20"/>
          <w:szCs w:val="26"/>
        </w:rPr>
        <w:t xml:space="preserve">ACMA </w:t>
      </w:r>
      <w:r w:rsidR="005A59CB" w:rsidRPr="000047E7">
        <w:rPr>
          <w:rStyle w:val="Heading2Char"/>
          <w:b/>
          <w:bCs/>
          <w:iCs w:val="0"/>
          <w:sz w:val="20"/>
          <w:szCs w:val="26"/>
        </w:rPr>
        <w:t>d</w:t>
      </w:r>
      <w:r w:rsidRPr="000047E7">
        <w:rPr>
          <w:rStyle w:val="Heading2Char"/>
          <w:b/>
          <w:bCs/>
          <w:iCs w:val="0"/>
          <w:sz w:val="20"/>
          <w:szCs w:val="26"/>
        </w:rPr>
        <w:t>ecision</w:t>
      </w:r>
      <w:bookmarkEnd w:id="97"/>
    </w:p>
    <w:p w14:paraId="44BA0605" w14:textId="77777777" w:rsidR="005A59CB" w:rsidRDefault="005A59CB" w:rsidP="005A59CB">
      <w:pPr>
        <w:shd w:val="clear" w:color="auto" w:fill="F2F2F2" w:themeFill="background1" w:themeFillShade="F2"/>
        <w:spacing w:after="80"/>
      </w:pPr>
      <w:r>
        <w:t>After considering the information provided in submissions, the ACMA has come to the following conclusions regarding the highest value use of the 3.6 GHz band:</w:t>
      </w:r>
    </w:p>
    <w:p w14:paraId="2F85CC4D" w14:textId="77777777" w:rsidR="005A59CB" w:rsidRDefault="005A59CB" w:rsidP="005A59CB">
      <w:pPr>
        <w:pStyle w:val="ListBullet"/>
        <w:shd w:val="clear" w:color="auto" w:fill="F2F2F2" w:themeFill="background1" w:themeFillShade="F2"/>
      </w:pPr>
      <w:r>
        <w:t>There is strong evidence of re-farming benefits exceeding incremental costs in Area 1. Potential re-farming benefits significantly exceed potential incremental costs in Area 1, particularly as costs have fallen due to the ability of two incumbent FSS earth receive licensees being able to re-tune equipment.</w:t>
      </w:r>
    </w:p>
    <w:p w14:paraId="3AFB81AF" w14:textId="77777777" w:rsidR="005A59CB" w:rsidRDefault="005A59CB" w:rsidP="005A59CB">
      <w:pPr>
        <w:pStyle w:val="ListBullet"/>
        <w:shd w:val="clear" w:color="auto" w:fill="F2F2F2" w:themeFill="background1" w:themeFillShade="F2"/>
      </w:pPr>
      <w:r>
        <w:t xml:space="preserve">The ACMA considers there is a strong case for re-farming extending to Area 2. Firstly, the quantified benefits exceed the quantified costs under most scenarios. It is only if mobile broadband providers’ valuation of the spectrum was relatively low (less than $0.08/MHz/pop) and few WISPs were able to negotiate continued access to the band through third-party authorisation arrangements, that quantified costs could exceed quantified benefits. Secondly, re-farming Area 2 would be net beneficial is because it enables the fully benefits of re-farming Area 1 to be realised. If Area 2 was not re-farmed, the licence boundaries separating it with Area 1 spectrum licences would create ‘dead zones’ in relatively populous areas. This could substantially reduce the re-farming benefits of spectrum licensing in Area 1. </w:t>
      </w:r>
    </w:p>
    <w:p w14:paraId="5DAAFD00" w14:textId="77777777" w:rsidR="005A59CB" w:rsidRDefault="005A59CB" w:rsidP="005A59CB">
      <w:pPr>
        <w:pStyle w:val="ListBullet"/>
        <w:shd w:val="clear" w:color="auto" w:fill="F2F2F2" w:themeFill="background1" w:themeFillShade="F2"/>
      </w:pPr>
      <w:r>
        <w:t xml:space="preserve">As such, the primary point of contention is whether re-farming is net beneficial when extended to Area 3. While there is some potential for unquantifiable costs (primarily consumer detriment) to be incurred due to the displacement of incumbent point-to-multipoint licensees in Area 3, the ACMA believes that the potential re-farming benefits exceed the potential incremental costs in this region. The ACMA notes that the extended re-allocation periods, the availability of alternative spectrum in the 5.6 GHz and possibly the 28 GHz band, and the potential ability to continue accessing the band via third-party authorisation arrangements, will provide incumbents with opportunities to continue providing services. The ACMA considers that these mitigation strategies are likely to limit the materiality of the unquantifiable costs of the re-farming of the 3.6 GHz band. </w:t>
      </w:r>
      <w:r w:rsidRPr="006D63A2">
        <w:t xml:space="preserve">The ACMA also notes that </w:t>
      </w:r>
      <w:r>
        <w:t xml:space="preserve">there are unquantified benefits of re-farming the band for 5G services in Area 3, such as easier access to medical professionals in regional areas. Having regard to the quantified and unquantified costs and benefits, the </w:t>
      </w:r>
      <w:r w:rsidRPr="0068775B">
        <w:t xml:space="preserve">ACMA </w:t>
      </w:r>
      <w:r>
        <w:t>is</w:t>
      </w:r>
      <w:r w:rsidRPr="0068775B">
        <w:t xml:space="preserve"> confiden</w:t>
      </w:r>
      <w:r>
        <w:t>t</w:t>
      </w:r>
      <w:r w:rsidRPr="0068775B">
        <w:t xml:space="preserve"> that re-farming w</w:t>
      </w:r>
      <w:r>
        <w:t>ill</w:t>
      </w:r>
      <w:r w:rsidRPr="0068775B">
        <w:t xml:space="preserve"> </w:t>
      </w:r>
      <w:r>
        <w:t xml:space="preserve">also </w:t>
      </w:r>
      <w:r w:rsidRPr="0068775B">
        <w:t>be net beneficial in Area 3.</w:t>
      </w:r>
    </w:p>
    <w:p w14:paraId="03B8CE75" w14:textId="77777777" w:rsidR="005A59CB" w:rsidRDefault="005A59CB" w:rsidP="005A59CB">
      <w:pPr>
        <w:pStyle w:val="ListBulletLast"/>
        <w:shd w:val="clear" w:color="auto" w:fill="F2F2F2" w:themeFill="background1" w:themeFillShade="F2"/>
      </w:pPr>
      <w:r>
        <w:t xml:space="preserve">It is therefore the view of the ACMA that progressing the 3.6 GHz band in areas 1, 2 and 3 to the </w:t>
      </w:r>
      <w:r>
        <w:rPr>
          <w:i/>
          <w:iCs/>
        </w:rPr>
        <w:t xml:space="preserve">re-farming </w:t>
      </w:r>
      <w:r>
        <w:t>stage of the ACMA’s process for considering additional spectrum for MBB services, will help facilitate the spectrum moving to its highest value use.</w:t>
      </w:r>
    </w:p>
    <w:p w14:paraId="63D50FBB" w14:textId="77777777" w:rsidR="007D3650" w:rsidRPr="000D76E0" w:rsidRDefault="00610B88" w:rsidP="007D3650">
      <w:pPr>
        <w:pStyle w:val="Heading1"/>
      </w:pPr>
      <w:bookmarkStart w:id="98" w:name="_Toc494375838"/>
      <w:bookmarkStart w:id="99" w:name="_Toc494378911"/>
      <w:bookmarkStart w:id="100" w:name="_Toc495935482"/>
      <w:bookmarkStart w:id="101" w:name="_Toc495935512"/>
      <w:bookmarkStart w:id="102" w:name="_Toc496620315"/>
      <w:r>
        <w:t>3</w:t>
      </w:r>
      <w:r w:rsidR="00FE6882">
        <w:t>.</w:t>
      </w:r>
      <w:r w:rsidR="007D3650">
        <w:tab/>
      </w:r>
      <w:r w:rsidR="00E054A2">
        <w:t>Summary and response to submissions</w:t>
      </w:r>
      <w:r w:rsidR="00ED2247">
        <w:t>—</w:t>
      </w:r>
      <w:r w:rsidR="001F73AF">
        <w:t>O</w:t>
      </w:r>
      <w:r w:rsidR="00F24B0F">
        <w:t>ptions paper</w:t>
      </w:r>
      <w:bookmarkEnd w:id="98"/>
      <w:bookmarkEnd w:id="99"/>
      <w:bookmarkEnd w:id="100"/>
      <w:bookmarkEnd w:id="101"/>
      <w:bookmarkEnd w:id="102"/>
    </w:p>
    <w:p w14:paraId="7FC95FBB" w14:textId="77777777" w:rsidR="00D358D9" w:rsidRDefault="00984E8B" w:rsidP="00D358D9">
      <w:r w:rsidRPr="00A67371">
        <w:t>The</w:t>
      </w:r>
      <w:r w:rsidR="00321B39">
        <w:t xml:space="preserve"> purpose</w:t>
      </w:r>
      <w:r>
        <w:t xml:space="preserve"> of the Options</w:t>
      </w:r>
      <w:r w:rsidRPr="00A67371">
        <w:t xml:space="preserve"> paper </w:t>
      </w:r>
      <w:r>
        <w:t>was</w:t>
      </w:r>
      <w:r w:rsidRPr="00A67371">
        <w:t xml:space="preserve"> to determine if the </w:t>
      </w:r>
      <w:r>
        <w:t xml:space="preserve">3.6 GHz </w:t>
      </w:r>
      <w:r w:rsidRPr="00A67371">
        <w:t xml:space="preserve">band should be progressed from the </w:t>
      </w:r>
      <w:r w:rsidRPr="00A67371">
        <w:rPr>
          <w:i/>
        </w:rPr>
        <w:t xml:space="preserve">preliminary </w:t>
      </w:r>
      <w:r>
        <w:rPr>
          <w:i/>
        </w:rPr>
        <w:t>replanning</w:t>
      </w:r>
      <w:r w:rsidRPr="00A67371">
        <w:rPr>
          <w:rFonts w:cs="Arial"/>
        </w:rPr>
        <w:t xml:space="preserve"> stage</w:t>
      </w:r>
      <w:r w:rsidRPr="00A67371">
        <w:t xml:space="preserve"> to the </w:t>
      </w:r>
      <w:r w:rsidRPr="00A67371">
        <w:rPr>
          <w:i/>
        </w:rPr>
        <w:t>re-farming</w:t>
      </w:r>
      <w:r w:rsidRPr="00A67371">
        <w:t xml:space="preserve"> stage </w:t>
      </w:r>
      <w:r>
        <w:t xml:space="preserve">of the </w:t>
      </w:r>
      <w:r w:rsidR="00321B39">
        <w:t xml:space="preserve">ACMA’s </w:t>
      </w:r>
      <w:r w:rsidRPr="00321B39">
        <w:t xml:space="preserve">process for considering additional spectrum for </w:t>
      </w:r>
      <w:r w:rsidR="00ED2247">
        <w:t>MBB</w:t>
      </w:r>
      <w:r w:rsidRPr="00321B39">
        <w:t xml:space="preserve"> services</w:t>
      </w:r>
      <w:r>
        <w:t xml:space="preserve"> </w:t>
      </w:r>
      <w:r w:rsidRPr="00A67371">
        <w:t>and</w:t>
      </w:r>
      <w:r>
        <w:t xml:space="preserve">, </w:t>
      </w:r>
      <w:r w:rsidRPr="00A67371">
        <w:t>if so</w:t>
      </w:r>
      <w:r>
        <w:t>,</w:t>
      </w:r>
      <w:r w:rsidRPr="00A67371">
        <w:t xml:space="preserve"> what </w:t>
      </w:r>
      <w:r>
        <w:t>replanning</w:t>
      </w:r>
      <w:r w:rsidR="00321B39">
        <w:t xml:space="preserve"> option </w:t>
      </w:r>
      <w:r w:rsidR="003F3337">
        <w:t xml:space="preserve">would be </w:t>
      </w:r>
      <w:r w:rsidR="00321B39">
        <w:t>be</w:t>
      </w:r>
      <w:r w:rsidR="003F3337">
        <w:t>st to</w:t>
      </w:r>
      <w:r w:rsidR="00321B39">
        <w:t xml:space="preserve"> implement</w:t>
      </w:r>
      <w:r w:rsidRPr="00A67371">
        <w:t>.</w:t>
      </w:r>
      <w:r w:rsidR="00D358D9">
        <w:t xml:space="preserve"> A number of issues for comment were provided in the paper to help inform the ACMA’s decision making</w:t>
      </w:r>
      <w:r w:rsidR="00FE1AA7">
        <w:t xml:space="preserve"> on this</w:t>
      </w:r>
      <w:r w:rsidR="00D358D9">
        <w:t>.</w:t>
      </w:r>
      <w:r>
        <w:t xml:space="preserve"> </w:t>
      </w:r>
    </w:p>
    <w:p w14:paraId="6B6A913A" w14:textId="77777777" w:rsidR="00D358D9" w:rsidRDefault="00D358D9" w:rsidP="00D358D9">
      <w:r>
        <w:t>This section summari</w:t>
      </w:r>
      <w:r w:rsidR="001F73AF">
        <w:t>s</w:t>
      </w:r>
      <w:r>
        <w:t>es the issues raised in submissions</w:t>
      </w:r>
      <w:r w:rsidR="00ED2247">
        <w:t>,</w:t>
      </w:r>
      <w:r>
        <w:t xml:space="preserve"> as well as providing the ACMA’s response, w</w:t>
      </w:r>
      <w:r w:rsidR="001F73AF">
        <w:t>h</w:t>
      </w:r>
      <w:r>
        <w:t>ere appropriate.</w:t>
      </w:r>
      <w:r w:rsidR="000008F8">
        <w:t xml:space="preserve"> </w:t>
      </w:r>
    </w:p>
    <w:p w14:paraId="7252477E" w14:textId="77777777" w:rsidR="00D358D9" w:rsidRPr="00D358D9" w:rsidRDefault="008C0335" w:rsidP="00D358D9">
      <w:pPr>
        <w:pStyle w:val="Heading2"/>
      </w:pPr>
      <w:bookmarkStart w:id="103" w:name="_Toc494375839"/>
      <w:bookmarkStart w:id="104" w:name="_Toc494378912"/>
      <w:bookmarkStart w:id="105" w:name="_Toc495935483"/>
      <w:bookmarkStart w:id="106" w:name="_Toc495935513"/>
      <w:bookmarkStart w:id="107" w:name="_Toc496620316"/>
      <w:r>
        <w:t xml:space="preserve">Case for </w:t>
      </w:r>
      <w:r w:rsidR="00ED2247">
        <w:t>a</w:t>
      </w:r>
      <w:r>
        <w:t xml:space="preserve">ction and </w:t>
      </w:r>
      <w:r w:rsidR="00ED2247">
        <w:t>r</w:t>
      </w:r>
      <w:r w:rsidR="00D358D9">
        <w:t>e</w:t>
      </w:r>
      <w:r w:rsidR="00751710">
        <w:t>planning</w:t>
      </w:r>
      <w:r w:rsidR="00D358D9">
        <w:t xml:space="preserve"> </w:t>
      </w:r>
      <w:r w:rsidR="00ED2247">
        <w:t>o</w:t>
      </w:r>
      <w:r w:rsidR="00D358D9">
        <w:t>ptions</w:t>
      </w:r>
      <w:bookmarkEnd w:id="103"/>
      <w:bookmarkEnd w:id="104"/>
      <w:bookmarkEnd w:id="105"/>
      <w:bookmarkEnd w:id="106"/>
      <w:bookmarkEnd w:id="107"/>
      <w:r w:rsidR="00D358D9">
        <w:t xml:space="preserve"> </w:t>
      </w:r>
    </w:p>
    <w:p w14:paraId="598D9C7E" w14:textId="77777777" w:rsidR="00751710" w:rsidRDefault="00751710" w:rsidP="00D358D9">
      <w:r>
        <w:t xml:space="preserve">The Options paper outlined the case </w:t>
      </w:r>
      <w:r w:rsidR="00252C55">
        <w:t xml:space="preserve">for </w:t>
      </w:r>
      <w:r>
        <w:t>action in replanning the 3.6 GHz band. This was informed by the comprehensive analysis of the HVU, along with an analysis whether exi</w:t>
      </w:r>
      <w:r w:rsidR="006A689B">
        <w:t>s</w:t>
      </w:r>
      <w:r>
        <w:t xml:space="preserve">ting arrangements in the band were conducive to the spectrum moving to its highest value use. </w:t>
      </w:r>
      <w:r w:rsidR="00D358D9">
        <w:t xml:space="preserve">The Options paper </w:t>
      </w:r>
      <w:r>
        <w:t xml:space="preserve">then </w:t>
      </w:r>
      <w:r w:rsidR="00D358D9">
        <w:t xml:space="preserve">identified a number of </w:t>
      </w:r>
      <w:r w:rsidR="00D358D9" w:rsidRPr="00E655DE">
        <w:t>re</w:t>
      </w:r>
      <w:r>
        <w:t>planning</w:t>
      </w:r>
      <w:r w:rsidR="00D358D9" w:rsidRPr="00E655DE">
        <w:t xml:space="preserve"> </w:t>
      </w:r>
      <w:r w:rsidR="00D358D9">
        <w:t>options for the 3.6 GHz band</w:t>
      </w:r>
      <w:r>
        <w:t xml:space="preserve"> intended to better allow the spectrum to move to its highest value use</w:t>
      </w:r>
      <w:r w:rsidR="00D358D9">
        <w:t xml:space="preserve">. </w:t>
      </w:r>
      <w:r w:rsidR="00FE1AA7">
        <w:t>It investigated</w:t>
      </w:r>
      <w:r w:rsidR="00D358D9">
        <w:t xml:space="preserve"> </w:t>
      </w:r>
      <w:r w:rsidR="00FE1AA7">
        <w:t>the potential for re</w:t>
      </w:r>
      <w:r w:rsidR="00FB2D95">
        <w:t>planning</w:t>
      </w:r>
      <w:r w:rsidR="00FE1AA7">
        <w:t xml:space="preserve"> different </w:t>
      </w:r>
      <w:r w:rsidR="00D358D9" w:rsidRPr="00A10A56">
        <w:t>geographic areas</w:t>
      </w:r>
      <w:r w:rsidR="00FE1AA7">
        <w:t xml:space="preserve"> and different amounts of the 3.6 GHz ban</w:t>
      </w:r>
      <w:r w:rsidR="00ED2247">
        <w:t>d,</w:t>
      </w:r>
      <w:r w:rsidR="00FE1AA7">
        <w:t xml:space="preserve"> as well as different</w:t>
      </w:r>
      <w:r w:rsidR="00D358D9">
        <w:t xml:space="preserve"> licensing mechanisms</w:t>
      </w:r>
      <w:r w:rsidR="00D358D9" w:rsidRPr="00A10A56">
        <w:t xml:space="preserve">. </w:t>
      </w:r>
    </w:p>
    <w:p w14:paraId="28B96105" w14:textId="77777777" w:rsidR="00232D57" w:rsidRDefault="00B621F2" w:rsidP="00D358D9">
      <w:r>
        <w:t xml:space="preserve">The ACMA </w:t>
      </w:r>
      <w:r w:rsidR="00751710">
        <w:t xml:space="preserve">then </w:t>
      </w:r>
      <w:r>
        <w:t>outlined i</w:t>
      </w:r>
      <w:r w:rsidR="00541A66">
        <w:t>t</w:t>
      </w:r>
      <w:r>
        <w:t xml:space="preserve">s preferred approach </w:t>
      </w:r>
      <w:r w:rsidR="00541A66">
        <w:t xml:space="preserve">based on available information </w:t>
      </w:r>
      <w:r>
        <w:t>at the time</w:t>
      </w:r>
      <w:r w:rsidR="00541A66">
        <w:t>.</w:t>
      </w:r>
      <w:r w:rsidR="00232D57">
        <w:t xml:space="preserve"> </w:t>
      </w:r>
      <w:r w:rsidR="00541A66">
        <w:t xml:space="preserve">Specifically this was </w:t>
      </w:r>
      <w:r w:rsidR="00541A66" w:rsidRPr="00413B5C">
        <w:rPr>
          <w:i/>
        </w:rPr>
        <w:t>Option 3c: Spectrum licence entire 3.6 GHz band in metropolitan and regional areas</w:t>
      </w:r>
      <w:r w:rsidR="00313CB4">
        <w:t xml:space="preserve"> (refer to the Options paper for further detail)</w:t>
      </w:r>
      <w:r w:rsidR="00541A66" w:rsidRPr="00162AD5">
        <w:t>.</w:t>
      </w:r>
      <w:r w:rsidR="00541A66">
        <w:t xml:space="preserve"> </w:t>
      </w:r>
      <w:r w:rsidR="003A3763">
        <w:t>Under this option</w:t>
      </w:r>
      <w:r w:rsidR="00ED2247">
        <w:t>,</w:t>
      </w:r>
      <w:r w:rsidR="003A3763">
        <w:t xml:space="preserve"> </w:t>
      </w:r>
      <w:r w:rsidR="003A3763" w:rsidRPr="003A3763">
        <w:t xml:space="preserve">the 3.6 GHz band in </w:t>
      </w:r>
      <w:r w:rsidR="00ED2247">
        <w:t>a</w:t>
      </w:r>
      <w:r w:rsidR="00252C55">
        <w:t>reas 1A, 1B, 2 and</w:t>
      </w:r>
      <w:r w:rsidR="003A3763" w:rsidRPr="003A3763">
        <w:t xml:space="preserve"> 3 would be re-allocated for the issue of spectrum licences. Existing site-based point-to-multipoint apparatus</w:t>
      </w:r>
      <w:r w:rsidR="00ED2247">
        <w:t>-</w:t>
      </w:r>
      <w:r w:rsidR="003A3763" w:rsidRPr="003A3763">
        <w:t xml:space="preserve">licensing arrangements would remain outside </w:t>
      </w:r>
      <w:r w:rsidR="00252C55">
        <w:t>these areas</w:t>
      </w:r>
      <w:r w:rsidR="00232D57">
        <w:t>.</w:t>
      </w:r>
    </w:p>
    <w:p w14:paraId="6ACBCF16" w14:textId="77777777" w:rsidR="00F018ED" w:rsidRPr="00F018ED" w:rsidRDefault="00665B9F" w:rsidP="00F11684">
      <w:pPr>
        <w:spacing w:after="80"/>
      </w:pPr>
      <w:r>
        <w:t>The O</w:t>
      </w:r>
      <w:r w:rsidR="00F018ED">
        <w:t xml:space="preserve">ptions paper </w:t>
      </w:r>
      <w:r>
        <w:t>asked the following questions related to</w:t>
      </w:r>
      <w:r w:rsidR="00F018ED">
        <w:t xml:space="preserve"> this issue:</w:t>
      </w:r>
    </w:p>
    <w:p w14:paraId="27D469C4" w14:textId="77777777" w:rsidR="00F018ED" w:rsidRDefault="004F3F65" w:rsidP="00ED2247">
      <w:pPr>
        <w:pStyle w:val="ListParagraph"/>
        <w:numPr>
          <w:ilvl w:val="0"/>
          <w:numId w:val="11"/>
        </w:numPr>
        <w:shd w:val="clear" w:color="auto" w:fill="F2F2F2" w:themeFill="background1" w:themeFillShade="F2"/>
        <w:spacing w:after="80" w:line="259" w:lineRule="auto"/>
        <w:ind w:left="357" w:hanging="357"/>
        <w:contextualSpacing w:val="0"/>
        <w:rPr>
          <w:b/>
        </w:rPr>
      </w:pPr>
      <w:r w:rsidRPr="004F3F65">
        <w:rPr>
          <w:b/>
        </w:rPr>
        <w:t>Should the 3.6 GHz band be progressed from the preliminary replanning stage to the re-farming stage in the ACMA’s process for considering additional spectrum for MBB services? Why/Why not?</w:t>
      </w:r>
    </w:p>
    <w:p w14:paraId="1AEA57E7" w14:textId="77777777" w:rsidR="004F3F65" w:rsidRDefault="004F3F65" w:rsidP="00ED2247">
      <w:pPr>
        <w:pStyle w:val="ListParagraph"/>
        <w:numPr>
          <w:ilvl w:val="0"/>
          <w:numId w:val="12"/>
        </w:numPr>
        <w:shd w:val="clear" w:color="auto" w:fill="F2F2F2" w:themeFill="background1" w:themeFillShade="F2"/>
        <w:spacing w:after="80" w:line="259" w:lineRule="auto"/>
        <w:ind w:left="357" w:hanging="357"/>
        <w:contextualSpacing w:val="0"/>
        <w:rPr>
          <w:b/>
        </w:rPr>
      </w:pPr>
      <w:r w:rsidRPr="004F3F65">
        <w:rPr>
          <w:b/>
        </w:rPr>
        <w:t>Should any of the sharing arrangements discussed in this section be considered for implementation in the 3.6 GHz band? Why or why not?</w:t>
      </w:r>
    </w:p>
    <w:p w14:paraId="2B3AE846" w14:textId="77777777" w:rsidR="004F3F65" w:rsidRPr="004F3F65" w:rsidRDefault="004F3F65" w:rsidP="00ED2247">
      <w:pPr>
        <w:pStyle w:val="ListParagraph"/>
        <w:numPr>
          <w:ilvl w:val="0"/>
          <w:numId w:val="12"/>
        </w:numPr>
        <w:shd w:val="clear" w:color="auto" w:fill="F2F2F2" w:themeFill="background1" w:themeFillShade="F2"/>
        <w:spacing w:after="80" w:line="259" w:lineRule="auto"/>
        <w:ind w:left="357" w:hanging="357"/>
        <w:contextualSpacing w:val="0"/>
        <w:rPr>
          <w:b/>
        </w:rPr>
      </w:pPr>
      <w:r w:rsidRPr="004F3F65">
        <w:rPr>
          <w:b/>
        </w:rPr>
        <w:t xml:space="preserve">Are there any other sharing arrangements that should be considered? </w:t>
      </w:r>
    </w:p>
    <w:p w14:paraId="0DED977B" w14:textId="77777777" w:rsidR="004F3F65" w:rsidRPr="004F3F65" w:rsidRDefault="004F3F65" w:rsidP="00ED2247">
      <w:pPr>
        <w:pStyle w:val="ListParagraph"/>
        <w:numPr>
          <w:ilvl w:val="0"/>
          <w:numId w:val="12"/>
        </w:numPr>
        <w:shd w:val="clear" w:color="auto" w:fill="F2F2F2" w:themeFill="background1" w:themeFillShade="F2"/>
        <w:spacing w:after="80" w:line="259" w:lineRule="auto"/>
        <w:ind w:left="357" w:hanging="357"/>
        <w:contextualSpacing w:val="0"/>
        <w:rPr>
          <w:b/>
        </w:rPr>
      </w:pPr>
      <w:r w:rsidRPr="004F3F65">
        <w:rPr>
          <w:b/>
        </w:rPr>
        <w:t>Are there any other replanning options that should be considered?</w:t>
      </w:r>
    </w:p>
    <w:p w14:paraId="6ED8F930" w14:textId="77777777" w:rsidR="004F3F65" w:rsidRDefault="004F3F65" w:rsidP="00ED2247">
      <w:pPr>
        <w:pStyle w:val="ListParagraph"/>
        <w:numPr>
          <w:ilvl w:val="0"/>
          <w:numId w:val="12"/>
        </w:numPr>
        <w:shd w:val="clear" w:color="auto" w:fill="F2F2F2" w:themeFill="background1" w:themeFillShade="F2"/>
        <w:spacing w:after="80" w:line="259" w:lineRule="auto"/>
        <w:ind w:left="357" w:hanging="357"/>
        <w:contextualSpacing w:val="0"/>
        <w:rPr>
          <w:b/>
        </w:rPr>
      </w:pPr>
      <w:r w:rsidRPr="004F3F65">
        <w:rPr>
          <w:b/>
        </w:rPr>
        <w:t>Which replanning option should be implemented in the band? Why?</w:t>
      </w:r>
    </w:p>
    <w:p w14:paraId="14DC866C" w14:textId="77777777" w:rsidR="004F3F65" w:rsidRPr="004F3F65" w:rsidRDefault="004F3F65" w:rsidP="00ED2247">
      <w:pPr>
        <w:pStyle w:val="ListParagraph"/>
        <w:numPr>
          <w:ilvl w:val="0"/>
          <w:numId w:val="13"/>
        </w:numPr>
        <w:shd w:val="clear" w:color="auto" w:fill="F2F2F2" w:themeFill="background1" w:themeFillShade="F2"/>
        <w:spacing w:after="80" w:line="259" w:lineRule="auto"/>
        <w:ind w:left="357" w:hanging="357"/>
        <w:contextualSpacing w:val="0"/>
        <w:rPr>
          <w:b/>
        </w:rPr>
      </w:pPr>
      <w:r w:rsidRPr="004F3F65">
        <w:rPr>
          <w:b/>
        </w:rPr>
        <w:t>If Option 4a is implemented, what frequencies and areas should be re-allocated for the issue of spectrum licences? How much spectrum should remain subject to site-based apparatus licensing arrangements? Should different amounts be considered in different areas?</w:t>
      </w:r>
    </w:p>
    <w:p w14:paraId="6B1DAAEF" w14:textId="77777777" w:rsidR="004F3F65" w:rsidRPr="004F3F65" w:rsidRDefault="004F3F65" w:rsidP="00ED2247">
      <w:pPr>
        <w:pStyle w:val="ListParagraph"/>
        <w:numPr>
          <w:ilvl w:val="0"/>
          <w:numId w:val="13"/>
        </w:numPr>
        <w:shd w:val="clear" w:color="auto" w:fill="F2F2F2" w:themeFill="background1" w:themeFillShade="F2"/>
        <w:spacing w:after="80" w:line="259" w:lineRule="auto"/>
        <w:ind w:left="357" w:hanging="357"/>
        <w:contextualSpacing w:val="0"/>
        <w:rPr>
          <w:b/>
        </w:rPr>
      </w:pPr>
      <w:r w:rsidRPr="004F3F65">
        <w:rPr>
          <w:b/>
        </w:rPr>
        <w:t>If Option 4b is implemented, what frequencies and areas (that is, incumbent apparatus licence services) should remain subject to site-based apparatus licensing arrangements?</w:t>
      </w:r>
    </w:p>
    <w:p w14:paraId="6C337A86" w14:textId="77777777" w:rsidR="004F3F65" w:rsidRPr="00F018ED" w:rsidRDefault="004F3F65" w:rsidP="00AC2157">
      <w:pPr>
        <w:pStyle w:val="ListParagraph"/>
        <w:numPr>
          <w:ilvl w:val="0"/>
          <w:numId w:val="13"/>
        </w:numPr>
        <w:shd w:val="clear" w:color="auto" w:fill="F2F2F2" w:themeFill="background1" w:themeFillShade="F2"/>
        <w:spacing w:after="160" w:line="259" w:lineRule="auto"/>
        <w:rPr>
          <w:b/>
        </w:rPr>
      </w:pPr>
      <w:r w:rsidRPr="004F3F65">
        <w:rPr>
          <w:b/>
        </w:rPr>
        <w:t>Comment is sought on the ACMA’s preferred option (Option 3c) for the 3.</w:t>
      </w:r>
      <w:r w:rsidR="00ED2247" w:rsidRPr="004F3F65">
        <w:rPr>
          <w:b/>
        </w:rPr>
        <w:t>6</w:t>
      </w:r>
      <w:r w:rsidR="00ED2247">
        <w:rPr>
          <w:b/>
        </w:rPr>
        <w:t> </w:t>
      </w:r>
      <w:r w:rsidRPr="004F3F65">
        <w:rPr>
          <w:b/>
        </w:rPr>
        <w:t>GHz band.</w:t>
      </w:r>
    </w:p>
    <w:p w14:paraId="0DF04F82" w14:textId="77777777" w:rsidR="00D358D9" w:rsidRPr="00D358D9" w:rsidRDefault="00C92AA3" w:rsidP="00ED2247">
      <w:pPr>
        <w:pStyle w:val="Heading3"/>
      </w:pPr>
      <w:bookmarkStart w:id="108" w:name="_Toc496620317"/>
      <w:r>
        <w:t>S</w:t>
      </w:r>
      <w:r w:rsidR="00D358D9" w:rsidRPr="00D358D9">
        <w:t xml:space="preserve">ummary of </w:t>
      </w:r>
      <w:r w:rsidR="00D358D9" w:rsidRPr="00ED2247">
        <w:t>submissions</w:t>
      </w:r>
      <w:bookmarkEnd w:id="108"/>
    </w:p>
    <w:p w14:paraId="5726E632" w14:textId="77777777" w:rsidR="00610B88" w:rsidRPr="003F5F11" w:rsidRDefault="00610B88" w:rsidP="00ED2247">
      <w:r w:rsidRPr="003F5F11">
        <w:t xml:space="preserve">A range of responses were provided on this issue. While most respondents supported </w:t>
      </w:r>
      <w:r w:rsidR="00751710" w:rsidRPr="003A1083">
        <w:t>replanning</w:t>
      </w:r>
      <w:r w:rsidR="00751710">
        <w:t xml:space="preserve"> and </w:t>
      </w:r>
      <w:r w:rsidRPr="003F5F11">
        <w:t xml:space="preserve">progressing the 3.6 GHz band to the </w:t>
      </w:r>
      <w:r w:rsidRPr="003F5F11">
        <w:rPr>
          <w:i/>
        </w:rPr>
        <w:t>re-farming stage</w:t>
      </w:r>
      <w:r w:rsidR="00FE1AA7">
        <w:t xml:space="preserve"> in some form</w:t>
      </w:r>
      <w:r w:rsidRPr="003F5F11">
        <w:t>, there were differences in views on a preferred way forward.</w:t>
      </w:r>
    </w:p>
    <w:p w14:paraId="0A5A004E" w14:textId="77777777" w:rsidR="005E47ED" w:rsidRPr="005E47ED" w:rsidRDefault="005E47ED" w:rsidP="00ED2247">
      <w:pPr>
        <w:pStyle w:val="BodySubHeader"/>
      </w:pPr>
      <w:r w:rsidRPr="005E47ED">
        <w:t xml:space="preserve">Submissions from </w:t>
      </w:r>
      <w:r w:rsidR="00E41E2D">
        <w:t>WISP</w:t>
      </w:r>
      <w:r w:rsidRPr="005E47ED">
        <w:t xml:space="preserve"> interests</w:t>
      </w:r>
    </w:p>
    <w:p w14:paraId="39CA78A4" w14:textId="77777777" w:rsidR="00D44330" w:rsidRDefault="00A505C6" w:rsidP="00610B88">
      <w:r>
        <w:t>R</w:t>
      </w:r>
      <w:r w:rsidR="00FD5571" w:rsidRPr="003F5F11">
        <w:t xml:space="preserve">espondents associated with </w:t>
      </w:r>
      <w:r w:rsidR="00E41E2D">
        <w:t>WISP</w:t>
      </w:r>
      <w:r w:rsidR="00FD5571" w:rsidRPr="003F5F11">
        <w:t xml:space="preserve"> interests </w:t>
      </w:r>
      <w:r w:rsidR="0059390C">
        <w:t xml:space="preserve">were </w:t>
      </w:r>
      <w:r>
        <w:t xml:space="preserve">generally </w:t>
      </w:r>
      <w:r w:rsidR="0059390C">
        <w:t>not supportive of any changes that would affect their ability to provide and expand their services.</w:t>
      </w:r>
      <w:r w:rsidR="00D44330">
        <w:t xml:space="preserve"> Incumbent WISPs </w:t>
      </w:r>
      <w:r w:rsidR="000A2772">
        <w:t xml:space="preserve">stated </w:t>
      </w:r>
      <w:r w:rsidR="007A78F0">
        <w:t xml:space="preserve">that </w:t>
      </w:r>
      <w:r w:rsidR="000A2772">
        <w:t xml:space="preserve">they </w:t>
      </w:r>
      <w:r w:rsidR="00D44330">
        <w:t>provide important services to government, businesses and communities</w:t>
      </w:r>
      <w:r w:rsidR="007A78F0">
        <w:t>,</w:t>
      </w:r>
      <w:r w:rsidR="00D44330">
        <w:t xml:space="preserve"> particularly in areas where there is little to no competition and other </w:t>
      </w:r>
      <w:r w:rsidR="00917608">
        <w:t>available</w:t>
      </w:r>
      <w:r w:rsidR="00D44330">
        <w:t xml:space="preserve"> </w:t>
      </w:r>
      <w:r w:rsidR="007A78F0">
        <w:t xml:space="preserve">services </w:t>
      </w:r>
      <w:r w:rsidR="00D44330">
        <w:t>are inadequate.</w:t>
      </w:r>
      <w:r w:rsidR="0059390C">
        <w:t xml:space="preserve"> </w:t>
      </w:r>
      <w:r w:rsidR="000A2772">
        <w:t xml:space="preserve">Requests were </w:t>
      </w:r>
      <w:r w:rsidR="00252C55">
        <w:t xml:space="preserve">also </w:t>
      </w:r>
      <w:r w:rsidR="000A2772">
        <w:t xml:space="preserve">made to remove the current embargo on the 3.6 GHz band in regional areas to support the growth of these services. </w:t>
      </w:r>
    </w:p>
    <w:p w14:paraId="27831049" w14:textId="77777777" w:rsidR="005C74DB" w:rsidRDefault="00D44330" w:rsidP="00610B88">
      <w:r>
        <w:t>T</w:t>
      </w:r>
      <w:r w:rsidR="005C74DB">
        <w:t xml:space="preserve">here </w:t>
      </w:r>
      <w:r w:rsidR="00917608">
        <w:t>was</w:t>
      </w:r>
      <w:r>
        <w:t xml:space="preserve"> </w:t>
      </w:r>
      <w:r w:rsidR="00917608">
        <w:t xml:space="preserve">an </w:t>
      </w:r>
      <w:r w:rsidR="005C74DB">
        <w:t xml:space="preserve">acknowledgement </w:t>
      </w:r>
      <w:r>
        <w:t xml:space="preserve">from WISP interests </w:t>
      </w:r>
      <w:r w:rsidR="005C74DB">
        <w:t>that re-farming Area 1</w:t>
      </w:r>
      <w:r w:rsidR="00A46318">
        <w:t>A and Area 1B</w:t>
      </w:r>
      <w:r w:rsidR="005C74DB">
        <w:t xml:space="preserve"> may be a</w:t>
      </w:r>
      <w:r w:rsidR="00252C55">
        <w:t>n acceptable</w:t>
      </w:r>
      <w:r w:rsidR="005C74DB">
        <w:t xml:space="preserve"> outcome </w:t>
      </w:r>
      <w:r w:rsidR="00917608">
        <w:t>(with some respondents also mildly supportive of Area 2), though an interest to deploy services in these areas was also flagged. The reason</w:t>
      </w:r>
      <w:r w:rsidR="00252C55">
        <w:t xml:space="preserve"> behind this acknowledgment was</w:t>
      </w:r>
      <w:r w:rsidR="005C74DB">
        <w:t xml:space="preserve"> </w:t>
      </w:r>
      <w:r w:rsidR="001F73AF">
        <w:t xml:space="preserve">that </w:t>
      </w:r>
      <w:r w:rsidR="00252C55">
        <w:t>Area 1A and Area 1B</w:t>
      </w:r>
      <w:r w:rsidR="005C74DB">
        <w:t xml:space="preserve"> </w:t>
      </w:r>
      <w:r w:rsidR="00252C55">
        <w:t>are</w:t>
      </w:r>
      <w:r w:rsidR="005C74DB">
        <w:t xml:space="preserve"> where </w:t>
      </w:r>
      <w:r w:rsidR="001F73AF">
        <w:t xml:space="preserve">the </w:t>
      </w:r>
      <w:r w:rsidR="005C74DB">
        <w:t xml:space="preserve">highest demand for 5G </w:t>
      </w:r>
      <w:r w:rsidR="00252C55">
        <w:t xml:space="preserve">is considered to </w:t>
      </w:r>
      <w:r w:rsidR="005C74DB">
        <w:t>be</w:t>
      </w:r>
      <w:r w:rsidR="00ED2247">
        <w:t>,</w:t>
      </w:r>
      <w:r w:rsidR="00FC388C">
        <w:t xml:space="preserve"> and </w:t>
      </w:r>
      <w:r w:rsidR="00252C55">
        <w:t>re-farming these areas</w:t>
      </w:r>
      <w:r w:rsidR="00FC388C">
        <w:t xml:space="preserve"> would affect the least number of incumbents</w:t>
      </w:r>
      <w:r w:rsidR="005C74DB">
        <w:t>.</w:t>
      </w:r>
      <w:r>
        <w:t xml:space="preserve"> WISP</w:t>
      </w:r>
      <w:r w:rsidR="005C74DB">
        <w:t xml:space="preserve"> respondents</w:t>
      </w:r>
      <w:r w:rsidR="00917608">
        <w:t xml:space="preserve"> also</w:t>
      </w:r>
      <w:r w:rsidR="00A505C6">
        <w:t xml:space="preserve"> </w:t>
      </w:r>
      <w:r w:rsidR="00A2587E">
        <w:t xml:space="preserve">indicated that large carriers already have significant spectrum holdings in regional areas to draw on, much of which </w:t>
      </w:r>
      <w:r w:rsidR="00252C55">
        <w:t xml:space="preserve">they suggest </w:t>
      </w:r>
      <w:r w:rsidR="00A2587E">
        <w:t xml:space="preserve">is not currently used. </w:t>
      </w:r>
    </w:p>
    <w:p w14:paraId="6A1478CA" w14:textId="77777777" w:rsidR="0032356A" w:rsidRDefault="00A505C6" w:rsidP="00610B88">
      <w:r>
        <w:t xml:space="preserve">WISP respondents </w:t>
      </w:r>
      <w:r w:rsidR="00FD5571" w:rsidRPr="003F5F11">
        <w:t xml:space="preserve">argued against any options that involved the use of spectrum licensing. </w:t>
      </w:r>
      <w:r w:rsidR="00C04A46">
        <w:t>They characterised it a</w:t>
      </w:r>
      <w:r w:rsidR="00FD5571" w:rsidRPr="003F5F11">
        <w:t>s an outdated concept that discriminates against smaller operators</w:t>
      </w:r>
      <w:r w:rsidR="0032356A">
        <w:t xml:space="preserve"> and </w:t>
      </w:r>
      <w:r w:rsidR="007A78F0">
        <w:t>is</w:t>
      </w:r>
      <w:r w:rsidR="00955B9C">
        <w:t xml:space="preserve"> inherently</w:t>
      </w:r>
      <w:r w:rsidR="0032356A">
        <w:t xml:space="preserve"> anti-competitive</w:t>
      </w:r>
      <w:r w:rsidR="00FD5571" w:rsidRPr="003F5F11">
        <w:t>. Instead</w:t>
      </w:r>
      <w:r w:rsidR="00ED2247">
        <w:t>,</w:t>
      </w:r>
      <w:r w:rsidR="00FD5571" w:rsidRPr="003F5F11">
        <w:t xml:space="preserve"> it was </w:t>
      </w:r>
      <w:r w:rsidR="00AB0379" w:rsidRPr="003F5F11">
        <w:t>proposed</w:t>
      </w:r>
      <w:r w:rsidR="00FD5571" w:rsidRPr="003F5F11">
        <w:t xml:space="preserve"> that a </w:t>
      </w:r>
      <w:r w:rsidR="00FD5571" w:rsidRPr="003A1083">
        <w:t>dynamic spectrum sharing model</w:t>
      </w:r>
      <w:r w:rsidR="00FD5571" w:rsidRPr="003F5F11">
        <w:t xml:space="preserve"> should be investigated, citing global trends </w:t>
      </w:r>
      <w:r w:rsidR="00AB0379" w:rsidRPr="003F5F11">
        <w:t xml:space="preserve">in this regard. </w:t>
      </w:r>
      <w:r w:rsidR="00E333B2">
        <w:t>An argument was made that incumbent WISP services should have the same status as incoming services</w:t>
      </w:r>
      <w:r w:rsidR="0059390C">
        <w:t>, otherwise regional innovation in wireless communications could cease and current infrastructure become worthless.</w:t>
      </w:r>
      <w:r w:rsidR="00E333B2">
        <w:t xml:space="preserve"> </w:t>
      </w:r>
      <w:r w:rsidR="000934ED">
        <w:t xml:space="preserve">Many </w:t>
      </w:r>
      <w:r w:rsidR="0067794E">
        <w:t>WISP respondents</w:t>
      </w:r>
      <w:r w:rsidR="00E333B2">
        <w:t xml:space="preserve"> </w:t>
      </w:r>
      <w:r w:rsidR="000934ED">
        <w:t>also believe</w:t>
      </w:r>
      <w:r w:rsidR="00252C55">
        <w:t>d</w:t>
      </w:r>
      <w:r w:rsidR="000934ED">
        <w:t xml:space="preserve"> sharing w</w:t>
      </w:r>
      <w:r w:rsidR="00252C55">
        <w:t>ould</w:t>
      </w:r>
      <w:r w:rsidR="00E333B2">
        <w:t xml:space="preserve"> be possible in many</w:t>
      </w:r>
      <w:r w:rsidR="00ED2247">
        <w:t>,</w:t>
      </w:r>
      <w:r w:rsidR="00E333B2">
        <w:t xml:space="preserve"> if not most</w:t>
      </w:r>
      <w:r w:rsidR="00ED2247">
        <w:t>,</w:t>
      </w:r>
      <w:r w:rsidR="00E333B2">
        <w:t xml:space="preserve"> areas </w:t>
      </w:r>
      <w:r w:rsidR="00E333B2" w:rsidRPr="00E333B2">
        <w:t xml:space="preserve">and where this </w:t>
      </w:r>
      <w:r w:rsidR="00E333B2">
        <w:t xml:space="preserve">is not possible, other options could be considered. These </w:t>
      </w:r>
      <w:r w:rsidR="00252C55">
        <w:t xml:space="preserve">options </w:t>
      </w:r>
      <w:r w:rsidR="00E333B2">
        <w:t>include making</w:t>
      </w:r>
      <w:r w:rsidR="00E333B2" w:rsidRPr="00E333B2">
        <w:t xml:space="preserve"> technical changes</w:t>
      </w:r>
      <w:r w:rsidR="00E333B2">
        <w:t xml:space="preserve"> to systems, supporting neutral hosts</w:t>
      </w:r>
      <w:r w:rsidR="001963BC">
        <w:rPr>
          <w:rStyle w:val="FootnoteReference"/>
        </w:rPr>
        <w:footnoteReference w:id="8"/>
      </w:r>
      <w:r w:rsidR="00E333B2">
        <w:t xml:space="preserve">, </w:t>
      </w:r>
      <w:r w:rsidR="00E333B2" w:rsidRPr="00E333B2">
        <w:t>or</w:t>
      </w:r>
      <w:r w:rsidR="00E333B2">
        <w:t xml:space="preserve"> allowing</w:t>
      </w:r>
      <w:r w:rsidR="00E333B2" w:rsidRPr="00E333B2">
        <w:t xml:space="preserve"> a true market to function where </w:t>
      </w:r>
      <w:r w:rsidR="00E333B2">
        <w:t>a</w:t>
      </w:r>
      <w:r w:rsidR="00E333B2" w:rsidRPr="00E333B2">
        <w:t xml:space="preserve"> carrier determines buying out the WISPs access is the economically effective solution.</w:t>
      </w:r>
      <w:r w:rsidR="00E333B2">
        <w:t xml:space="preserve"> </w:t>
      </w:r>
      <w:r w:rsidR="009C7038">
        <w:t xml:space="preserve">It was stated that </w:t>
      </w:r>
      <w:r w:rsidR="009C7038" w:rsidRPr="009C7038">
        <w:t>t</w:t>
      </w:r>
      <w:r w:rsidR="0032356A" w:rsidRPr="009C7038">
        <w:t>he ACMA</w:t>
      </w:r>
      <w:r w:rsidR="00C04A46">
        <w:t>’s</w:t>
      </w:r>
      <w:r w:rsidR="0032356A" w:rsidRPr="009C7038">
        <w:t xml:space="preserve"> </w:t>
      </w:r>
      <w:r w:rsidR="00A65BC5">
        <w:t>lack of</w:t>
      </w:r>
      <w:r w:rsidR="0032356A" w:rsidRPr="009C7038">
        <w:t xml:space="preserve"> flexib</w:t>
      </w:r>
      <w:r w:rsidR="009C7038">
        <w:t>ility in</w:t>
      </w:r>
      <w:r w:rsidR="0032356A" w:rsidRPr="009C7038">
        <w:t xml:space="preserve"> its toolkit is not a good argument </w:t>
      </w:r>
      <w:r w:rsidR="009C7038">
        <w:t xml:space="preserve">for </w:t>
      </w:r>
      <w:r w:rsidR="0032356A" w:rsidRPr="0032356A">
        <w:t>not consider</w:t>
      </w:r>
      <w:r w:rsidR="00313CB4">
        <w:t>ing</w:t>
      </w:r>
      <w:r w:rsidR="0032356A" w:rsidRPr="0032356A">
        <w:t xml:space="preserve"> sharing</w:t>
      </w:r>
      <w:r w:rsidR="0097347D">
        <w:t xml:space="preserve"> models</w:t>
      </w:r>
      <w:r w:rsidR="0032356A" w:rsidRPr="0032356A">
        <w:t>.</w:t>
      </w:r>
      <w:r w:rsidR="0032356A">
        <w:t xml:space="preserve"> </w:t>
      </w:r>
      <w:r w:rsidR="00955B9C">
        <w:t>Subsequently</w:t>
      </w:r>
      <w:r w:rsidR="007A78F0">
        <w:t>,</w:t>
      </w:r>
      <w:r w:rsidR="00955B9C">
        <w:t xml:space="preserve"> a</w:t>
      </w:r>
      <w:r w:rsidR="003F5F11">
        <w:t xml:space="preserve"> proposal for a pilot </w:t>
      </w:r>
      <w:r w:rsidR="000934ED">
        <w:t xml:space="preserve">program </w:t>
      </w:r>
      <w:r w:rsidR="003F5F11">
        <w:t>to define and test a dynamic sharing licence model was also provided</w:t>
      </w:r>
      <w:r w:rsidR="00E333B2">
        <w:t xml:space="preserve"> in the submission by </w:t>
      </w:r>
      <w:r w:rsidR="00F11684">
        <w:t xml:space="preserve">the Wireless Internet Service Provider Association of Australia </w:t>
      </w:r>
      <w:proofErr w:type="spellStart"/>
      <w:r w:rsidR="00F11684">
        <w:t>Inc</w:t>
      </w:r>
      <w:proofErr w:type="spellEnd"/>
      <w:r w:rsidR="00F11684">
        <w:t xml:space="preserve"> (</w:t>
      </w:r>
      <w:r w:rsidR="00E333B2">
        <w:t>WISPAU</w:t>
      </w:r>
      <w:r w:rsidR="00F11684">
        <w:t>)</w:t>
      </w:r>
      <w:r w:rsidR="00E333B2">
        <w:t>.</w:t>
      </w:r>
      <w:r w:rsidR="0032356A">
        <w:t xml:space="preserve"> </w:t>
      </w:r>
    </w:p>
    <w:p w14:paraId="2E6AC708" w14:textId="77777777" w:rsidR="005C74DB" w:rsidRDefault="0032356A" w:rsidP="00610B88">
      <w:r>
        <w:t xml:space="preserve">WISP respondents also indicated that </w:t>
      </w:r>
      <w:r w:rsidR="0097347D">
        <w:t xml:space="preserve">other countries are looking at </w:t>
      </w:r>
      <w:r w:rsidR="00A65BC5">
        <w:t>millimetre wave (</w:t>
      </w:r>
      <w:proofErr w:type="spellStart"/>
      <w:r w:rsidR="0097347D">
        <w:t>mmWave</w:t>
      </w:r>
      <w:proofErr w:type="spellEnd"/>
      <w:r w:rsidR="00A65BC5">
        <w:t>)</w:t>
      </w:r>
      <w:r w:rsidR="0097347D">
        <w:t xml:space="preserve"> bands for 5G and </w:t>
      </w:r>
      <w:r>
        <w:t>there is still a long lead</w:t>
      </w:r>
      <w:r w:rsidR="00A65BC5">
        <w:t>-</w:t>
      </w:r>
      <w:r>
        <w:t xml:space="preserve">time before </w:t>
      </w:r>
      <w:r w:rsidR="0059390C">
        <w:t xml:space="preserve">commercial equipment </w:t>
      </w:r>
      <w:r>
        <w:t>would be available and deployed. In addition to this</w:t>
      </w:r>
      <w:r w:rsidR="00A65BC5">
        <w:t>,</w:t>
      </w:r>
      <w:r w:rsidR="006E453C">
        <w:t xml:space="preserve"> they stated</w:t>
      </w:r>
      <w:r>
        <w:t xml:space="preserve"> indications are that initial deployments will be small area infill systems, which</w:t>
      </w:r>
      <w:r w:rsidR="000D4702">
        <w:t xml:space="preserve"> are unlikely to be deployed in regional areas and </w:t>
      </w:r>
      <w:r w:rsidR="000934ED">
        <w:t xml:space="preserve">would </w:t>
      </w:r>
      <w:r w:rsidR="000D4702">
        <w:t>only</w:t>
      </w:r>
      <w:r w:rsidR="000934ED">
        <w:t xml:space="preserve"> improve</w:t>
      </w:r>
      <w:r>
        <w:t xml:space="preserve"> the ability to share the band with incumbents. </w:t>
      </w:r>
    </w:p>
    <w:p w14:paraId="51625C17" w14:textId="77777777" w:rsidR="005E47ED" w:rsidRPr="005E47ED" w:rsidRDefault="005E47ED" w:rsidP="00A65BC5">
      <w:pPr>
        <w:pStyle w:val="BodySubHeader"/>
      </w:pPr>
      <w:r w:rsidRPr="005E47ED">
        <w:t xml:space="preserve">Submissions from </w:t>
      </w:r>
      <w:r>
        <w:t>satellite industry</w:t>
      </w:r>
    </w:p>
    <w:p w14:paraId="4573C48F" w14:textId="77777777" w:rsidR="00F84AAF" w:rsidRDefault="006259EE" w:rsidP="00610B88">
      <w:r w:rsidRPr="003F5F11">
        <w:t xml:space="preserve">Respondents representing </w:t>
      </w:r>
      <w:r w:rsidR="005E47ED">
        <w:t xml:space="preserve">the </w:t>
      </w:r>
      <w:r w:rsidRPr="003F5F11">
        <w:t xml:space="preserve">satellite </w:t>
      </w:r>
      <w:r w:rsidR="005E47ED">
        <w:t>industry</w:t>
      </w:r>
      <w:r w:rsidRPr="003F5F11">
        <w:t xml:space="preserve"> were generally supportive of</w:t>
      </w:r>
      <w:r>
        <w:t xml:space="preserve"> </w:t>
      </w:r>
      <w:r w:rsidR="00955B9C">
        <w:t xml:space="preserve">re-farming the 3.6 GHz band. </w:t>
      </w:r>
      <w:r w:rsidR="005D5C62">
        <w:t xml:space="preserve">Two incumbent earth station licensees indicated they have or are in the process of moving services outside of the 3.6 GHz band. However, the </w:t>
      </w:r>
      <w:r w:rsidR="00F84AAF">
        <w:t>two other</w:t>
      </w:r>
      <w:r w:rsidR="005D5C62">
        <w:t xml:space="preserve"> incumbent</w:t>
      </w:r>
      <w:r w:rsidR="00F84AAF">
        <w:t>s</w:t>
      </w:r>
      <w:r w:rsidR="001963BC">
        <w:t xml:space="preserve"> inside the proposed areas for re-allocation</w:t>
      </w:r>
      <w:r w:rsidR="005D5C62">
        <w:t>, Inmarsat</w:t>
      </w:r>
      <w:r w:rsidR="00F84AAF">
        <w:t xml:space="preserve"> and Lockheed Martin</w:t>
      </w:r>
      <w:r w:rsidR="005D5C62">
        <w:t xml:space="preserve">, indicated </w:t>
      </w:r>
      <w:r w:rsidR="00D23B69">
        <w:t xml:space="preserve">they </w:t>
      </w:r>
      <w:r w:rsidR="007C0CBB">
        <w:t xml:space="preserve">could </w:t>
      </w:r>
      <w:r w:rsidR="00D23B69">
        <w:t>only</w:t>
      </w:r>
      <w:r w:rsidR="007C0CBB">
        <w:t xml:space="preserve"> support</w:t>
      </w:r>
      <w:r w:rsidR="00D23B69">
        <w:t xml:space="preserve"> </w:t>
      </w:r>
      <w:r w:rsidR="00F84AAF">
        <w:t>arrangements</w:t>
      </w:r>
      <w:r w:rsidR="00D23B69">
        <w:t xml:space="preserve"> that would allow them to continue operating </w:t>
      </w:r>
      <w:r w:rsidR="00804D7F">
        <w:t>while being provided adequate protection</w:t>
      </w:r>
      <w:r w:rsidR="00D23B69">
        <w:t>.</w:t>
      </w:r>
      <w:r w:rsidR="005D5C62">
        <w:t xml:space="preserve"> </w:t>
      </w:r>
      <w:r w:rsidR="00D23B69">
        <w:t>This was largely</w:t>
      </w:r>
      <w:r w:rsidR="000934ED">
        <w:t xml:space="preserve"> due to</w:t>
      </w:r>
      <w:r w:rsidR="00D23B69">
        <w:t xml:space="preserve"> </w:t>
      </w:r>
      <w:r w:rsidR="005D5C62">
        <w:t xml:space="preserve">the </w:t>
      </w:r>
      <w:r w:rsidR="000934ED">
        <w:t xml:space="preserve">high </w:t>
      </w:r>
      <w:r w:rsidR="005D5C62">
        <w:t>c</w:t>
      </w:r>
      <w:r w:rsidR="000934ED">
        <w:t>ost of relocating their facilities</w:t>
      </w:r>
      <w:r w:rsidR="00863CE5">
        <w:t xml:space="preserve"> and other logistical reasons</w:t>
      </w:r>
      <w:r w:rsidR="00D23B69">
        <w:t xml:space="preserve">. </w:t>
      </w:r>
    </w:p>
    <w:p w14:paraId="05487280" w14:textId="77777777" w:rsidR="00D23B69" w:rsidRDefault="00F84AAF" w:rsidP="00610B88">
      <w:r>
        <w:t>Inmarsat</w:t>
      </w:r>
      <w:r w:rsidR="00D23B69">
        <w:t xml:space="preserve"> suggest</w:t>
      </w:r>
      <w:r>
        <w:t>ed</w:t>
      </w:r>
      <w:r w:rsidR="00062A83">
        <w:t xml:space="preserve"> sharing with </w:t>
      </w:r>
      <w:r w:rsidR="00A65BC5">
        <w:t>MBB</w:t>
      </w:r>
      <w:r w:rsidR="00062A83">
        <w:t xml:space="preserve"> operators</w:t>
      </w:r>
      <w:r w:rsidR="000934ED">
        <w:t xml:space="preserve"> would be the most appropriate outcome</w:t>
      </w:r>
      <w:r w:rsidR="007A78F0">
        <w:t>, e</w:t>
      </w:r>
      <w:r w:rsidR="000934ED">
        <w:t xml:space="preserve">specially </w:t>
      </w:r>
      <w:r w:rsidR="00D23B69">
        <w:t xml:space="preserve">if the economic benefits forgone were in </w:t>
      </w:r>
      <w:r w:rsidR="007A78F0">
        <w:t>a</w:t>
      </w:r>
      <w:r w:rsidR="00D23B69">
        <w:t xml:space="preserve"> range </w:t>
      </w:r>
      <w:r w:rsidR="007A78F0">
        <w:t xml:space="preserve">between </w:t>
      </w:r>
      <w:r w:rsidR="00D23B69" w:rsidRPr="00D23B69">
        <w:t>$0.03</w:t>
      </w:r>
      <w:r w:rsidR="007A78F0">
        <w:t>/MHz/pop and $</w:t>
      </w:r>
      <w:r w:rsidR="00D23B69" w:rsidRPr="00D23B69">
        <w:t>0.25</w:t>
      </w:r>
      <w:r w:rsidR="007A78F0">
        <w:t>/</w:t>
      </w:r>
      <w:r w:rsidR="00D23B69" w:rsidRPr="00D23B69">
        <w:t>MHz/po</w:t>
      </w:r>
      <w:r w:rsidR="00D23B69">
        <w:t xml:space="preserve">p. Even higher estimates of </w:t>
      </w:r>
      <w:r w:rsidR="00D23B69" w:rsidRPr="00D23B69">
        <w:t>$0.5</w:t>
      </w:r>
      <w:r w:rsidR="007A78F0">
        <w:t>0/MHz/pop</w:t>
      </w:r>
      <w:r w:rsidR="00D23B69" w:rsidRPr="00D23B69">
        <w:t xml:space="preserve"> and </w:t>
      </w:r>
      <w:r w:rsidR="007A78F0">
        <w:t>$</w:t>
      </w:r>
      <w:r w:rsidR="00D23B69">
        <w:t>0.625</w:t>
      </w:r>
      <w:r w:rsidR="007A78F0">
        <w:t>/MHz/pop</w:t>
      </w:r>
      <w:r w:rsidR="00D23B69">
        <w:t xml:space="preserve"> ($54</w:t>
      </w:r>
      <w:r w:rsidR="00A65BC5">
        <w:t>–</w:t>
      </w:r>
      <w:r w:rsidR="00D23B69">
        <w:t>67</w:t>
      </w:r>
      <w:r w:rsidR="007A78F0">
        <w:t> </w:t>
      </w:r>
      <w:r w:rsidR="00D23B69">
        <w:t>mill</w:t>
      </w:r>
      <w:r w:rsidR="007A78F0">
        <w:t>ion</w:t>
      </w:r>
      <w:r w:rsidR="00D23B69">
        <w:t>)</w:t>
      </w:r>
      <w:r w:rsidR="00863CE5">
        <w:t xml:space="preserve"> </w:t>
      </w:r>
      <w:r>
        <w:t xml:space="preserve">would </w:t>
      </w:r>
      <w:r w:rsidR="00D23B69">
        <w:t>just exceed the estimated</w:t>
      </w:r>
      <w:r w:rsidR="00D23B69" w:rsidRPr="00D23B69">
        <w:t xml:space="preserve"> relocation costs</w:t>
      </w:r>
      <w:r w:rsidR="00D23B69">
        <w:t xml:space="preserve">. Inmarsat pointed to arrangements developed by </w:t>
      </w:r>
      <w:r w:rsidR="00E41E2D">
        <w:t xml:space="preserve">the European </w:t>
      </w:r>
      <w:r w:rsidR="00770EF4">
        <w:t>Conference</w:t>
      </w:r>
      <w:r w:rsidR="00E41E2D">
        <w:t xml:space="preserve"> of Postal and Tele</w:t>
      </w:r>
      <w:r w:rsidR="00770EF4">
        <w:t>communications (</w:t>
      </w:r>
      <w:r w:rsidR="00D23B69">
        <w:t>CEPT</w:t>
      </w:r>
      <w:r w:rsidR="00770EF4">
        <w:t>)</w:t>
      </w:r>
      <w:r w:rsidR="00D23B69">
        <w:t xml:space="preserve"> and </w:t>
      </w:r>
      <w:r w:rsidR="00A65BC5">
        <w:t xml:space="preserve">the </w:t>
      </w:r>
      <w:r w:rsidR="00D23B69">
        <w:t xml:space="preserve">FCC that authorise use of C-band spectrum for </w:t>
      </w:r>
      <w:r w:rsidR="00A65BC5">
        <w:t>MBB,</w:t>
      </w:r>
      <w:r w:rsidR="00D23B69">
        <w:t xml:space="preserve"> while also protecting incumbent</w:t>
      </w:r>
      <w:r w:rsidR="00863CE5">
        <w:t>s</w:t>
      </w:r>
      <w:r w:rsidR="00D23B69">
        <w:t>, including FSS earth stations.</w:t>
      </w:r>
    </w:p>
    <w:p w14:paraId="475D5617" w14:textId="77777777" w:rsidR="00F84AAF" w:rsidRDefault="00D23B69" w:rsidP="00610B88">
      <w:r>
        <w:t>Inmarsat acknowledge</w:t>
      </w:r>
      <w:r w:rsidR="00C04A46">
        <w:t>d</w:t>
      </w:r>
      <w:r>
        <w:t xml:space="preserve"> that sharing would only be possible if mobile operators are </w:t>
      </w:r>
      <w:r w:rsidR="00062A83">
        <w:t>limited to small cell deployments in Perth</w:t>
      </w:r>
      <w:r w:rsidR="00804D7F">
        <w:t xml:space="preserve"> an</w:t>
      </w:r>
      <w:r w:rsidR="00863CE5">
        <w:t>d an</w:t>
      </w:r>
      <w:r w:rsidR="00804D7F">
        <w:t xml:space="preserve"> additional 10</w:t>
      </w:r>
      <w:r w:rsidR="00A65BC5">
        <w:t>–</w:t>
      </w:r>
      <w:r w:rsidR="00804D7F">
        <w:t>20 dB of clutter loss can be assumed</w:t>
      </w:r>
      <w:r w:rsidR="00062A83">
        <w:t xml:space="preserve">. </w:t>
      </w:r>
      <w:r>
        <w:t xml:space="preserve">However, </w:t>
      </w:r>
      <w:r w:rsidR="00062A83">
        <w:t xml:space="preserve">this </w:t>
      </w:r>
      <w:r w:rsidR="00863CE5">
        <w:t>limitation would mainly apply</w:t>
      </w:r>
      <w:r w:rsidR="00062A83">
        <w:t xml:space="preserve"> </w:t>
      </w:r>
      <w:r>
        <w:t xml:space="preserve">across </w:t>
      </w:r>
      <w:r w:rsidR="00062A83">
        <w:t>their required operational frequency range of 3599</w:t>
      </w:r>
      <w:r w:rsidR="00A65BC5">
        <w:t>–</w:t>
      </w:r>
      <w:r w:rsidR="00062A83">
        <w:t>3650 MHz</w:t>
      </w:r>
      <w:r>
        <w:t>, and greater flexibility in deployments would apply for the rest of the band</w:t>
      </w:r>
      <w:r w:rsidR="00062A83">
        <w:t>. In the event they are required to relocate their facility within a 20</w:t>
      </w:r>
      <w:r w:rsidR="00A65BC5">
        <w:t>-</w:t>
      </w:r>
      <w:r w:rsidR="00062A83">
        <w:t>year period, Inmarsat</w:t>
      </w:r>
      <w:r>
        <w:t xml:space="preserve"> believe</w:t>
      </w:r>
      <w:r w:rsidR="00C04A46">
        <w:t>s</w:t>
      </w:r>
      <w:r>
        <w:t xml:space="preserve"> compensation is justified. </w:t>
      </w:r>
      <w:r w:rsidR="00F84AAF">
        <w:t xml:space="preserve">The use of Option 4b to allow earth stations to continue operating </w:t>
      </w:r>
      <w:r w:rsidR="0076060F">
        <w:t xml:space="preserve">in </w:t>
      </w:r>
      <w:r w:rsidR="00F84AAF">
        <w:t xml:space="preserve">the band was supported by many satellite industry respondents. </w:t>
      </w:r>
    </w:p>
    <w:p w14:paraId="62BC9608" w14:textId="77777777" w:rsidR="00610B88" w:rsidRDefault="00C42348" w:rsidP="00610B88">
      <w:r>
        <w:t>Lockheed Martin</w:t>
      </w:r>
      <w:r w:rsidR="007C0CBB">
        <w:t xml:space="preserve"> also</w:t>
      </w:r>
      <w:r>
        <w:t xml:space="preserve"> </w:t>
      </w:r>
      <w:r w:rsidR="007C0CBB">
        <w:t xml:space="preserve">believes that sharing is possible, and a coordination zone smaller than 150 </w:t>
      </w:r>
      <w:r w:rsidR="00A65BC5">
        <w:t xml:space="preserve">kilometres </w:t>
      </w:r>
      <w:r w:rsidR="007C0CBB">
        <w:t xml:space="preserve">could be implemented to protect their </w:t>
      </w:r>
      <w:r w:rsidR="00863CE5">
        <w:t xml:space="preserve">earth station </w:t>
      </w:r>
      <w:r w:rsidR="001963BC">
        <w:t xml:space="preserve">facility </w:t>
      </w:r>
      <w:r w:rsidR="00863CE5">
        <w:t>operating at Uralla</w:t>
      </w:r>
      <w:r w:rsidR="007C0CBB">
        <w:t>. While not their first option, Lockheed</w:t>
      </w:r>
      <w:r w:rsidR="009062F4">
        <w:t xml:space="preserve"> Martin</w:t>
      </w:r>
      <w:r w:rsidR="007C0CBB">
        <w:t xml:space="preserve"> indicated they were prepared to accept the implementation of Option 4b </w:t>
      </w:r>
      <w:r w:rsidR="00313CB4">
        <w:t xml:space="preserve">(as defined in the Options paper) </w:t>
      </w:r>
      <w:r w:rsidR="007C0CBB">
        <w:t>around their facility to support ongoing operations</w:t>
      </w:r>
      <w:r w:rsidR="00C354B9">
        <w:t>, provided there is long</w:t>
      </w:r>
      <w:r w:rsidR="00A65BC5">
        <w:t>-</w:t>
      </w:r>
      <w:r w:rsidR="00C354B9">
        <w:t>term security in use of the site</w:t>
      </w:r>
      <w:r w:rsidR="007C0CBB">
        <w:t xml:space="preserve">. </w:t>
      </w:r>
      <w:r w:rsidR="00863CE5">
        <w:t>They stated that f</w:t>
      </w:r>
      <w:r w:rsidR="00C354B9">
        <w:t xml:space="preserve">or </w:t>
      </w:r>
      <w:r w:rsidR="007C0CBB">
        <w:t>cost and l</w:t>
      </w:r>
      <w:r w:rsidR="007C0CBB" w:rsidRPr="007C0CBB">
        <w:t xml:space="preserve">ogistical </w:t>
      </w:r>
      <w:r w:rsidR="007C0CBB">
        <w:t>r</w:t>
      </w:r>
      <w:r w:rsidR="007C0CBB" w:rsidRPr="007C0CBB">
        <w:t xml:space="preserve">easons, </w:t>
      </w:r>
      <w:r w:rsidR="007C0CBB">
        <w:t>r</w:t>
      </w:r>
      <w:r w:rsidR="00C354B9">
        <w:t>elocation of the Uralla f</w:t>
      </w:r>
      <w:r w:rsidR="007C0CBB" w:rsidRPr="007C0CBB">
        <w:t xml:space="preserve">acility </w:t>
      </w:r>
      <w:r w:rsidR="007C0CBB">
        <w:t xml:space="preserve">is not </w:t>
      </w:r>
      <w:r w:rsidR="00863CE5">
        <w:t xml:space="preserve">considered </w:t>
      </w:r>
      <w:r w:rsidR="007C0CBB">
        <w:t>practical</w:t>
      </w:r>
      <w:r w:rsidR="001963BC">
        <w:t xml:space="preserve"> and</w:t>
      </w:r>
      <w:r w:rsidR="00C354B9">
        <w:t xml:space="preserve"> </w:t>
      </w:r>
      <w:r w:rsidR="001963BC">
        <w:t>d</w:t>
      </w:r>
      <w:r w:rsidR="00C354B9" w:rsidRPr="00C354B9">
        <w:t>iscontinuing op</w:t>
      </w:r>
      <w:r w:rsidR="00C354B9">
        <w:t xml:space="preserve">eration is </w:t>
      </w:r>
      <w:r w:rsidR="00863CE5">
        <w:t xml:space="preserve">also </w:t>
      </w:r>
      <w:r w:rsidR="00C354B9">
        <w:t>not an option</w:t>
      </w:r>
      <w:r w:rsidR="001963BC">
        <w:t>.</w:t>
      </w:r>
      <w:r w:rsidR="00C354B9">
        <w:t xml:space="preserve"> </w:t>
      </w:r>
      <w:r w:rsidR="00313CB4">
        <w:t xml:space="preserve">Lockheed Martin </w:t>
      </w:r>
      <w:r w:rsidR="00C04A46">
        <w:t>argued that</w:t>
      </w:r>
      <w:r w:rsidR="00863CE5">
        <w:t xml:space="preserve"> the facility</w:t>
      </w:r>
      <w:r w:rsidR="00C354B9">
        <w:t xml:space="preserve"> is critical to support </w:t>
      </w:r>
      <w:r w:rsidR="00C354B9" w:rsidRPr="00C354B9">
        <w:t>safe and orderly use of the entire geostationary orbital/spectrum resource</w:t>
      </w:r>
      <w:r w:rsidR="00C354B9">
        <w:t xml:space="preserve"> and other satellite missions. The</w:t>
      </w:r>
      <w:r w:rsidR="00C354B9" w:rsidRPr="00C354B9">
        <w:t xml:space="preserve"> only other facility with similar longitudinal capabilities is in Korea.</w:t>
      </w:r>
    </w:p>
    <w:p w14:paraId="77D49D66" w14:textId="77777777" w:rsidR="00DE11C7" w:rsidRPr="005E47ED" w:rsidRDefault="00DE11C7" w:rsidP="00A65BC5">
      <w:pPr>
        <w:pStyle w:val="BodySubHeader"/>
      </w:pPr>
      <w:r w:rsidRPr="005E47ED">
        <w:t xml:space="preserve">Submissions from </w:t>
      </w:r>
      <w:r>
        <w:t>mobile industry</w:t>
      </w:r>
    </w:p>
    <w:p w14:paraId="32A752DC" w14:textId="77777777" w:rsidR="00BE0308" w:rsidRDefault="00954BB3" w:rsidP="00610B88">
      <w:r>
        <w:t xml:space="preserve">Respondents representing </w:t>
      </w:r>
      <w:r w:rsidR="00A65BC5">
        <w:t>MBB</w:t>
      </w:r>
      <w:r>
        <w:t xml:space="preserve"> industry views were supportive of Option</w:t>
      </w:r>
      <w:r w:rsidR="009062F4">
        <w:t> </w:t>
      </w:r>
      <w:r>
        <w:t>3(c)</w:t>
      </w:r>
      <w:r w:rsidR="00A65BC5">
        <w:t>,</w:t>
      </w:r>
      <w:r>
        <w:t xml:space="preserve"> and </w:t>
      </w:r>
      <w:r w:rsidR="002C0DF6">
        <w:t xml:space="preserve">generally </w:t>
      </w:r>
      <w:r>
        <w:t>requested it be made available as soon as possible</w:t>
      </w:r>
      <w:r w:rsidR="00A65BC5">
        <w:t>,</w:t>
      </w:r>
      <w:r w:rsidR="00843B37">
        <w:t xml:space="preserve"> given global drivers</w:t>
      </w:r>
      <w:r>
        <w:t xml:space="preserve">. </w:t>
      </w:r>
      <w:r w:rsidR="003715C2">
        <w:t xml:space="preserve">There was little support for </w:t>
      </w:r>
      <w:r w:rsidR="00A65BC5">
        <w:t>o</w:t>
      </w:r>
      <w:r w:rsidR="003715C2">
        <w:t>ptions 4a or 4b</w:t>
      </w:r>
      <w:r w:rsidR="00313CB4">
        <w:t xml:space="preserve"> (as defined in the Options paper)</w:t>
      </w:r>
      <w:r w:rsidR="003715C2">
        <w:t xml:space="preserve">. One respondent indicated that </w:t>
      </w:r>
      <w:r w:rsidR="00863CE5">
        <w:t xml:space="preserve">there was </w:t>
      </w:r>
      <w:r w:rsidR="00BE0308">
        <w:t>already an insufficient amount of spectrum on offer</w:t>
      </w:r>
      <w:r w:rsidR="009062F4">
        <w:t xml:space="preserve"> and</w:t>
      </w:r>
      <w:r w:rsidR="00A65BC5">
        <w:t>,</w:t>
      </w:r>
      <w:r w:rsidR="009062F4">
        <w:t xml:space="preserve"> as such</w:t>
      </w:r>
      <w:r w:rsidR="00A65BC5">
        <w:t>,</w:t>
      </w:r>
      <w:r w:rsidR="009062F4">
        <w:t xml:space="preserve"> </w:t>
      </w:r>
      <w:r w:rsidR="00BE0308">
        <w:t>it should</w:t>
      </w:r>
      <w:r w:rsidR="009062F4">
        <w:t xml:space="preserve"> not</w:t>
      </w:r>
      <w:r w:rsidR="00BE0308">
        <w:t xml:space="preserve"> be reduced further. It was also argued that while </w:t>
      </w:r>
      <w:r w:rsidR="00A65BC5">
        <w:t>o</w:t>
      </w:r>
      <w:r w:rsidR="00BE0308">
        <w:t>ptions 4a and 4b would reduce</w:t>
      </w:r>
      <w:r w:rsidR="00BE0308" w:rsidRPr="00BE0308">
        <w:t xml:space="preserve"> incremental costs for incumbents, it </w:t>
      </w:r>
      <w:r w:rsidR="00BE0308">
        <w:t>would come</w:t>
      </w:r>
      <w:r w:rsidR="00BE0308" w:rsidRPr="00BE0308">
        <w:t xml:space="preserve"> with </w:t>
      </w:r>
      <w:r w:rsidR="00BE0308">
        <w:t xml:space="preserve">a </w:t>
      </w:r>
      <w:r w:rsidR="00BE0308" w:rsidRPr="00BE0308">
        <w:t>corresponding reduction in re-farming benefits.</w:t>
      </w:r>
      <w:r w:rsidR="00336E17">
        <w:t xml:space="preserve"> </w:t>
      </w:r>
      <w:r w:rsidR="00BE0308">
        <w:t xml:space="preserve"> </w:t>
      </w:r>
    </w:p>
    <w:p w14:paraId="58227EB0" w14:textId="77777777" w:rsidR="002C0DF6" w:rsidRDefault="00BE0308" w:rsidP="00610B88">
      <w:r>
        <w:t xml:space="preserve">Mobile industry respondents </w:t>
      </w:r>
      <w:r w:rsidR="00954BB3">
        <w:t xml:space="preserve">typically did not support the </w:t>
      </w:r>
      <w:r w:rsidR="00954BB3" w:rsidRPr="00BE0308">
        <w:t xml:space="preserve">development of sharing arrangements outside of the re-allocation period. </w:t>
      </w:r>
      <w:r w:rsidRPr="00BE0308">
        <w:t xml:space="preserve">There was no support for a sharing model that would </w:t>
      </w:r>
      <w:r w:rsidR="00313CB4">
        <w:t>give</w:t>
      </w:r>
      <w:r w:rsidRPr="00BE0308">
        <w:t xml:space="preserve"> spectrum licensees </w:t>
      </w:r>
      <w:r w:rsidR="00313CB4">
        <w:t>rights</w:t>
      </w:r>
      <w:r w:rsidRPr="00BE0308">
        <w:t xml:space="preserve"> in the band </w:t>
      </w:r>
      <w:r w:rsidR="00313CB4">
        <w:t xml:space="preserve">that were secondary </w:t>
      </w:r>
      <w:r w:rsidRPr="00BE0308">
        <w:t>to incumbents</w:t>
      </w:r>
      <w:r w:rsidR="00313CB4">
        <w:t xml:space="preserve"> outside of the re-allocation period</w:t>
      </w:r>
      <w:r w:rsidRPr="00BE0308">
        <w:t xml:space="preserve">. </w:t>
      </w:r>
      <w:r w:rsidR="00863CE5">
        <w:t>A</w:t>
      </w:r>
      <w:r w:rsidRPr="00BE0308">
        <w:t xml:space="preserve"> use-it-or-share it approach where spectrum licensees are primary users and other users secondary was also not considered a practical solution, due to the logistical problems it creates. </w:t>
      </w:r>
      <w:r w:rsidR="00CF124B" w:rsidRPr="00BE0308">
        <w:t>It was</w:t>
      </w:r>
      <w:r w:rsidR="00CF124B">
        <w:t xml:space="preserve"> further argued</w:t>
      </w:r>
      <w:r w:rsidR="00CF124B" w:rsidRPr="00BE0308">
        <w:t xml:space="preserve"> that the </w:t>
      </w:r>
      <w:r w:rsidR="00770EF4">
        <w:t>Citizens Broadband Radio Service (</w:t>
      </w:r>
      <w:r w:rsidR="00CF124B" w:rsidRPr="00BE0308">
        <w:t>CBRS</w:t>
      </w:r>
      <w:r w:rsidR="00770EF4">
        <w:t>)</w:t>
      </w:r>
      <w:r w:rsidR="00CF124B" w:rsidRPr="00BE0308">
        <w:t xml:space="preserve"> and </w:t>
      </w:r>
      <w:r w:rsidR="00770EF4">
        <w:t>Licensed Shared Access (</w:t>
      </w:r>
      <w:r w:rsidR="00CF124B" w:rsidRPr="00BE0308">
        <w:t>LSA</w:t>
      </w:r>
      <w:r w:rsidR="00770EF4">
        <w:t>)</w:t>
      </w:r>
      <w:r w:rsidR="00CF124B" w:rsidRPr="00BE0308">
        <w:t xml:space="preserve"> models have been designed for other regions and are not applicable to Australia.</w:t>
      </w:r>
      <w:r w:rsidR="00CF124B">
        <w:t xml:space="preserve"> In particular</w:t>
      </w:r>
      <w:r w:rsidR="00A65BC5">
        <w:t>,</w:t>
      </w:r>
      <w:r w:rsidR="006E453C">
        <w:t xml:space="preserve"> it was argued that</w:t>
      </w:r>
      <w:r w:rsidR="00CF124B">
        <w:t xml:space="preserve"> the CBRS model is not appropriate as lower</w:t>
      </w:r>
      <w:r w:rsidR="00A65BC5">
        <w:t>-</w:t>
      </w:r>
      <w:r w:rsidR="00CF124B">
        <w:t>tier users can be displaced at any time. It was</w:t>
      </w:r>
      <w:r w:rsidR="006E453C">
        <w:t xml:space="preserve"> further</w:t>
      </w:r>
      <w:r w:rsidR="00CF124B">
        <w:t xml:space="preserve"> indicated that l</w:t>
      </w:r>
      <w:r w:rsidR="00CF124B" w:rsidRPr="002C0DF6">
        <w:t xml:space="preserve">arge operators </w:t>
      </w:r>
      <w:r w:rsidR="00CF124B">
        <w:t xml:space="preserve">in the US </w:t>
      </w:r>
      <w:r w:rsidR="00CF124B" w:rsidRPr="002C0DF6">
        <w:t>are raising concerns on this model.</w:t>
      </w:r>
    </w:p>
    <w:p w14:paraId="3E630BB1" w14:textId="77777777" w:rsidR="003715C2" w:rsidRDefault="00CF124B" w:rsidP="00610B88">
      <w:r>
        <w:t xml:space="preserve">Mobile industry respondents generally supported the use of commercial negotiations and </w:t>
      </w:r>
      <w:r w:rsidR="00770EF4">
        <w:t>third</w:t>
      </w:r>
      <w:r w:rsidR="00A65BC5">
        <w:t>-</w:t>
      </w:r>
      <w:r>
        <w:t xml:space="preserve">party authorisations as a basis for sharing </w:t>
      </w:r>
      <w:r w:rsidRPr="002C0DF6">
        <w:t xml:space="preserve">beyond any </w:t>
      </w:r>
      <w:r w:rsidR="000E2110">
        <w:t>re-allocation</w:t>
      </w:r>
      <w:r w:rsidRPr="002C0DF6">
        <w:t xml:space="preserve"> period.</w:t>
      </w:r>
      <w:r>
        <w:t xml:space="preserve"> One respondent suggested this should also be accompanied by the government paying compensation to affected parties. There was no support for ongoing sharing arrangements that would restrict operators to deploying only small cells in areas of significant population. It was argued that this would dramatically diminish the value of the spectrum</w:t>
      </w:r>
      <w:r w:rsidR="000A696A">
        <w:t>, p</w:t>
      </w:r>
      <w:r>
        <w:t xml:space="preserve">articularly given the planned use for the 3.6 GHz band </w:t>
      </w:r>
      <w:r w:rsidRPr="0076060F">
        <w:t>is broad geographic coverage based on a macro-cell deployment model (</w:t>
      </w:r>
      <w:r w:rsidR="0017377F">
        <w:t xml:space="preserve">likely </w:t>
      </w:r>
      <w:r w:rsidRPr="0076060F">
        <w:t>with some small-cell infill)</w:t>
      </w:r>
      <w:r w:rsidR="0076060F">
        <w:t>.</w:t>
      </w:r>
    </w:p>
    <w:p w14:paraId="78C45266" w14:textId="77777777" w:rsidR="00954BB3" w:rsidRDefault="00AB53A8" w:rsidP="00610B88">
      <w:r>
        <w:t xml:space="preserve">Submissions from </w:t>
      </w:r>
      <w:proofErr w:type="spellStart"/>
      <w:r>
        <w:t>Airspan</w:t>
      </w:r>
      <w:proofErr w:type="spellEnd"/>
      <w:r>
        <w:t xml:space="preserve"> and Ruckus requested that either dedicated spectrum be </w:t>
      </w:r>
      <w:r w:rsidR="00954BB3">
        <w:t xml:space="preserve">set aside </w:t>
      </w:r>
      <w:r w:rsidR="001E7E51">
        <w:t>or coexistence</w:t>
      </w:r>
      <w:r w:rsidR="000D4702">
        <w:t xml:space="preserve"> </w:t>
      </w:r>
      <w:r>
        <w:t xml:space="preserve">arrangements, </w:t>
      </w:r>
      <w:r w:rsidR="000D4702">
        <w:t>on a ‘no interference and no protection’ basis</w:t>
      </w:r>
      <w:r>
        <w:t>, be developed</w:t>
      </w:r>
      <w:r w:rsidR="00954BB3">
        <w:t xml:space="preserve"> </w:t>
      </w:r>
      <w:r w:rsidR="00C87DBB">
        <w:t>for small cell use</w:t>
      </w:r>
      <w:r w:rsidR="000D4702">
        <w:t xml:space="preserve"> in the 3.6 GHz band. </w:t>
      </w:r>
      <w:r w:rsidR="00843B37">
        <w:t>It was argued that t</w:t>
      </w:r>
      <w:r w:rsidR="00C87DBB">
        <w:t xml:space="preserve">his would </w:t>
      </w:r>
      <w:r w:rsidR="00376752">
        <w:t>allow third parties to complement and</w:t>
      </w:r>
      <w:r w:rsidR="00C87DBB">
        <w:t xml:space="preserve"> </w:t>
      </w:r>
      <w:r w:rsidR="00376752">
        <w:t xml:space="preserve">help to </w:t>
      </w:r>
      <w:r w:rsidR="00C87DBB">
        <w:t>improve</w:t>
      </w:r>
      <w:r w:rsidR="0017377F">
        <w:t xml:space="preserve"> one or more</w:t>
      </w:r>
      <w:r w:rsidR="00376752">
        <w:t xml:space="preserve"> mobile network operator’s</w:t>
      </w:r>
      <w:r w:rsidR="00C87DBB">
        <w:t xml:space="preserve"> network coverage and capacity</w:t>
      </w:r>
      <w:r w:rsidR="00376752">
        <w:t>, rather than directly compete with them</w:t>
      </w:r>
      <w:r w:rsidR="00A65BC5">
        <w:t>— s</w:t>
      </w:r>
      <w:r w:rsidR="000D4702">
        <w:t xml:space="preserve">omething that may otherwise be cost prohibitive for mobile network operators to do. </w:t>
      </w:r>
      <w:r w:rsidR="00C87DBB">
        <w:t>Under</w:t>
      </w:r>
      <w:r w:rsidR="00954BB3">
        <w:t xml:space="preserve"> this </w:t>
      </w:r>
      <w:r w:rsidR="00C87DBB">
        <w:t>arrangement</w:t>
      </w:r>
      <w:r w:rsidR="00A65BC5">
        <w:t>,</w:t>
      </w:r>
      <w:r w:rsidR="00954BB3">
        <w:t xml:space="preserve"> it was proposed that spectrum licen</w:t>
      </w:r>
      <w:r w:rsidR="00F276FF">
        <w:t>s</w:t>
      </w:r>
      <w:r w:rsidR="00954BB3">
        <w:t xml:space="preserve">ing should not extend beyond </w:t>
      </w:r>
      <w:r w:rsidR="0017377F">
        <w:t xml:space="preserve">Area </w:t>
      </w:r>
      <w:r w:rsidR="00954BB3">
        <w:t xml:space="preserve">2. </w:t>
      </w:r>
      <w:r w:rsidR="00843B37">
        <w:t>Supporters of this approach stated that t</w:t>
      </w:r>
      <w:r w:rsidR="00376752">
        <w:t>he</w:t>
      </w:r>
      <w:r w:rsidR="00843B37">
        <w:t>re are greater</w:t>
      </w:r>
      <w:r w:rsidR="00376752">
        <w:t xml:space="preserve"> opportunities for </w:t>
      </w:r>
      <w:r w:rsidR="00843B37">
        <w:t>small cells and incumbents to coexist and an ‘overlay model’ for sharing could be implemented and suitable protection criteria for other services defined.</w:t>
      </w:r>
      <w:r w:rsidR="00376752">
        <w:t xml:space="preserve"> </w:t>
      </w:r>
      <w:r w:rsidR="00843B37">
        <w:t xml:space="preserve">In the event contention occurs, </w:t>
      </w:r>
      <w:r w:rsidR="00376752" w:rsidRPr="00376752">
        <w:t xml:space="preserve">commercial negotiation </w:t>
      </w:r>
      <w:r w:rsidR="00843B37">
        <w:t>could resolve the issue</w:t>
      </w:r>
      <w:r w:rsidR="00376752" w:rsidRPr="00376752">
        <w:t xml:space="preserve">. </w:t>
      </w:r>
      <w:r w:rsidR="00843B37">
        <w:t>This approach is preferred to other options such as</w:t>
      </w:r>
      <w:r w:rsidR="00376752" w:rsidRPr="00376752">
        <w:t xml:space="preserve"> clearance </w:t>
      </w:r>
      <w:r w:rsidR="00843B37">
        <w:t xml:space="preserve">of incumbents </w:t>
      </w:r>
      <w:r w:rsidR="00376752" w:rsidRPr="00376752">
        <w:t xml:space="preserve">or 'carve outs' (option 4b). </w:t>
      </w:r>
      <w:r w:rsidR="00843B37">
        <w:t xml:space="preserve">The </w:t>
      </w:r>
      <w:r w:rsidR="00376752" w:rsidRPr="00376752">
        <w:t xml:space="preserve">ACMA also has the ability to raise </w:t>
      </w:r>
      <w:r w:rsidR="003A3763">
        <w:t>apparatus licence</w:t>
      </w:r>
      <w:r w:rsidR="00376752" w:rsidRPr="00376752">
        <w:t xml:space="preserve"> fees in areas of</w:t>
      </w:r>
      <w:r w:rsidR="00843B37">
        <w:t xml:space="preserve"> high demand</w:t>
      </w:r>
      <w:r w:rsidR="00376752" w:rsidRPr="00376752">
        <w:t xml:space="preserve"> based on incentive pricing models.</w:t>
      </w:r>
    </w:p>
    <w:p w14:paraId="1E9A0FBD" w14:textId="77777777" w:rsidR="00D358D9" w:rsidRPr="00A65BC5" w:rsidRDefault="00D358D9" w:rsidP="00A65BC5">
      <w:pPr>
        <w:pStyle w:val="Heading3"/>
      </w:pPr>
      <w:bookmarkStart w:id="109" w:name="_Toc496620318"/>
      <w:r w:rsidRPr="00A65BC5">
        <w:t>ACMA response to submissions</w:t>
      </w:r>
      <w:bookmarkEnd w:id="109"/>
    </w:p>
    <w:p w14:paraId="175A82BB" w14:textId="77777777" w:rsidR="00AC0C41" w:rsidRDefault="000A696A" w:rsidP="00AC0C41">
      <w:r>
        <w:t>S</w:t>
      </w:r>
      <w:r w:rsidR="00AC0C41">
        <w:t xml:space="preserve">ince the release of the Options paper, there continue to be strong </w:t>
      </w:r>
      <w:r w:rsidR="00CF3C04">
        <w:t>indicat</w:t>
      </w:r>
      <w:r>
        <w:t>ions</w:t>
      </w:r>
      <w:r w:rsidR="00AC0C41">
        <w:t xml:space="preserve"> both domestically and internationally</w:t>
      </w:r>
      <w:r w:rsidR="004654B4">
        <w:t xml:space="preserve"> </w:t>
      </w:r>
      <w:r w:rsidR="00AC0C41">
        <w:t>that the 3.6 GHz band will be a pioneer band for 5G. This is further evidenced by submissions to the Options paper from mobile industry interests</w:t>
      </w:r>
      <w:r>
        <w:t xml:space="preserve">, which </w:t>
      </w:r>
      <w:r w:rsidR="003300DC">
        <w:t xml:space="preserve">indicated that </w:t>
      </w:r>
      <w:r w:rsidR="00AC0C41">
        <w:t xml:space="preserve">the timeframe for equipment availability and deployment of commercial services </w:t>
      </w:r>
      <w:r w:rsidR="006E453C">
        <w:t xml:space="preserve">could </w:t>
      </w:r>
      <w:r w:rsidR="00AC0C41">
        <w:t xml:space="preserve">be as early as mid-2018 in some countries and </w:t>
      </w:r>
      <w:r w:rsidR="003300DC">
        <w:t>will</w:t>
      </w:r>
      <w:r w:rsidR="006E453C">
        <w:t xml:space="preserve"> </w:t>
      </w:r>
      <w:r w:rsidR="00AC0C41">
        <w:t>include both macro and small cell deployments. As a result</w:t>
      </w:r>
      <w:r w:rsidR="004654B4">
        <w:t>,</w:t>
      </w:r>
      <w:r w:rsidR="00AC0C41">
        <w:t xml:space="preserve"> the ACMA consider</w:t>
      </w:r>
      <w:r w:rsidR="004654B4">
        <w:t>s</w:t>
      </w:r>
      <w:r w:rsidR="00AC0C41">
        <w:t xml:space="preserve"> comments regarding 5G only being in </w:t>
      </w:r>
      <w:proofErr w:type="spellStart"/>
      <w:r w:rsidR="00AC0C41">
        <w:t>mmWave</w:t>
      </w:r>
      <w:proofErr w:type="spellEnd"/>
      <w:r w:rsidR="00AC0C41">
        <w:t xml:space="preserve"> bands and only used for small cell deployments to be incorrect. It is therefore still appropriate to assess options for re-farming the 3.6 GHz band on the basis that potential services will be used to provide both macro and small cell coverage and services could be deployed as early as 2018.</w:t>
      </w:r>
    </w:p>
    <w:p w14:paraId="0655F4D6" w14:textId="77777777" w:rsidR="00824E4B" w:rsidRDefault="00824E4B" w:rsidP="00824E4B">
      <w:r w:rsidRPr="00232B72">
        <w:t>From the responses provided</w:t>
      </w:r>
      <w:r w:rsidR="0027716E">
        <w:t xml:space="preserve"> and </w:t>
      </w:r>
      <w:r w:rsidR="004654B4">
        <w:t xml:space="preserve">the </w:t>
      </w:r>
      <w:r w:rsidR="0027716E">
        <w:t>current limited use of the 3.6 GHz band in many metro</w:t>
      </w:r>
      <w:r w:rsidR="005231EC" w:rsidRPr="00475453">
        <w:rPr>
          <w:rFonts w:cs="Arial"/>
        </w:rPr>
        <w:t>politan</w:t>
      </w:r>
      <w:r w:rsidR="0027716E">
        <w:t xml:space="preserve"> areas,</w:t>
      </w:r>
      <w:r w:rsidRPr="00232B72">
        <w:t xml:space="preserve"> there appears</w:t>
      </w:r>
      <w:r w:rsidR="004654B4">
        <w:t>—</w:t>
      </w:r>
      <w:r>
        <w:t>at</w:t>
      </w:r>
      <w:r w:rsidR="004654B4">
        <w:t xml:space="preserve"> </w:t>
      </w:r>
      <w:r w:rsidRPr="00232B72">
        <w:t>a minimum</w:t>
      </w:r>
      <w:r w:rsidR="004654B4">
        <w:t>—</w:t>
      </w:r>
      <w:r w:rsidRPr="00232B72">
        <w:t>to</w:t>
      </w:r>
      <w:r w:rsidR="004654B4">
        <w:t xml:space="preserve"> </w:t>
      </w:r>
      <w:r w:rsidRPr="00232B72">
        <w:t>be a strong case to change arrangements in Area 1</w:t>
      </w:r>
      <w:r w:rsidR="00A46318">
        <w:t>A and Area 1B</w:t>
      </w:r>
      <w:r w:rsidRPr="00232B72">
        <w:t xml:space="preserve">. </w:t>
      </w:r>
      <w:r>
        <w:t xml:space="preserve">However, while prospective new licensees in the band are interested in all of </w:t>
      </w:r>
      <w:r w:rsidR="00A65BC5">
        <w:t>a</w:t>
      </w:r>
      <w:r>
        <w:t>rea</w:t>
      </w:r>
      <w:r w:rsidR="006E453C">
        <w:t>s 1</w:t>
      </w:r>
      <w:r w:rsidR="003300DC">
        <w:t>A, 1B, 2</w:t>
      </w:r>
      <w:r w:rsidR="006E453C">
        <w:t xml:space="preserve"> to</w:t>
      </w:r>
      <w:r w:rsidR="004654B4">
        <w:t> </w:t>
      </w:r>
      <w:r>
        <w:t>3, there are concerns from incumbents about going beyond Area</w:t>
      </w:r>
      <w:r w:rsidR="004654B4">
        <w:t> </w:t>
      </w:r>
      <w:r>
        <w:t>1</w:t>
      </w:r>
      <w:r w:rsidR="00A46318">
        <w:t>A or Area 1B</w:t>
      </w:r>
      <w:r>
        <w:t xml:space="preserve"> unless some form of sharing arrangements are implemented. The ACMA has investigated various sharing models presented in submissions to the paper and developed elsewhere in the world. The idea be</w:t>
      </w:r>
      <w:r w:rsidR="004654B4">
        <w:t xml:space="preserve">hind these investigations </w:t>
      </w:r>
      <w:r w:rsidR="006E453C">
        <w:t>wa</w:t>
      </w:r>
      <w:r w:rsidR="004654B4">
        <w:t>s</w:t>
      </w:r>
      <w:r>
        <w:t xml:space="preserve"> to determine if there is a way to support ongoing use of the band (and ideally expansion</w:t>
      </w:r>
      <w:r w:rsidRPr="00232B72">
        <w:t xml:space="preserve"> </w:t>
      </w:r>
      <w:r>
        <w:t>of services) by incumbents</w:t>
      </w:r>
      <w:r w:rsidR="00A65BC5">
        <w:t>,</w:t>
      </w:r>
      <w:r>
        <w:t xml:space="preserve"> while </w:t>
      </w:r>
      <w:r w:rsidRPr="005335DD">
        <w:t xml:space="preserve">simultaneously </w:t>
      </w:r>
      <w:r>
        <w:t xml:space="preserve">allowing the deployment of </w:t>
      </w:r>
      <w:r w:rsidRPr="005335DD">
        <w:t>wide</w:t>
      </w:r>
      <w:r>
        <w:t>-area</w:t>
      </w:r>
      <w:r w:rsidRPr="005335DD">
        <w:t xml:space="preserve"> </w:t>
      </w:r>
      <w:r>
        <w:t>fixed and mobile broadband</w:t>
      </w:r>
      <w:r w:rsidRPr="005335DD">
        <w:t xml:space="preserve"> </w:t>
      </w:r>
      <w:r>
        <w:t>networks over time.</w:t>
      </w:r>
    </w:p>
    <w:p w14:paraId="2A9E725C" w14:textId="77777777" w:rsidR="00824E4B" w:rsidRPr="0055309D" w:rsidRDefault="00824E4B" w:rsidP="00824E4B">
      <w:r>
        <w:t>The ACMA remains of the view that in areas where demand for 3.6 GHz spectrum is likely to exceed supply, p</w:t>
      </w:r>
      <w:r w:rsidRPr="005335DD">
        <w:t xml:space="preserve">ractical sharing models will not provide the </w:t>
      </w:r>
      <w:r>
        <w:t xml:space="preserve">required </w:t>
      </w:r>
      <w:r w:rsidRPr="005335DD">
        <w:t>certainty of long</w:t>
      </w:r>
      <w:r>
        <w:t>-</w:t>
      </w:r>
      <w:r w:rsidRPr="005335DD">
        <w:t xml:space="preserve">term access to </w:t>
      </w:r>
      <w:r>
        <w:t xml:space="preserve">wide-area </w:t>
      </w:r>
      <w:r w:rsidR="006E453C">
        <w:t xml:space="preserve">wireless </w:t>
      </w:r>
      <w:r>
        <w:t xml:space="preserve">broadband </w:t>
      </w:r>
      <w:r w:rsidR="006E453C">
        <w:t>operators</w:t>
      </w:r>
      <w:r w:rsidR="00A65BC5">
        <w:t>,</w:t>
      </w:r>
      <w:r w:rsidRPr="005335DD">
        <w:t xml:space="preserve"> while simultaneously offering the desired certainty to current and new </w:t>
      </w:r>
      <w:r w:rsidR="003300DC">
        <w:t>site</w:t>
      </w:r>
      <w:r w:rsidR="00A65BC5">
        <w:t>-</w:t>
      </w:r>
      <w:r w:rsidR="003300DC">
        <w:t>based wireless broadband operators</w:t>
      </w:r>
      <w:r w:rsidRPr="005335DD">
        <w:t>.</w:t>
      </w:r>
      <w:r>
        <w:t xml:space="preserve"> This is because the sharing models contemplated are based on hierarchical access rights—with lower tiers of users having to ‘give way’ to higher</w:t>
      </w:r>
      <w:r w:rsidR="00A65BC5">
        <w:t>-</w:t>
      </w:r>
      <w:r>
        <w:t>tier users (</w:t>
      </w:r>
      <w:r w:rsidR="00A65BC5">
        <w:t>d</w:t>
      </w:r>
      <w:r w:rsidR="000A696A">
        <w:t>epending on the design of the model,</w:t>
      </w:r>
      <w:r>
        <w:t xml:space="preserve"> </w:t>
      </w:r>
      <w:r w:rsidR="000A696A">
        <w:t xml:space="preserve">this </w:t>
      </w:r>
      <w:r>
        <w:t xml:space="preserve">could be </w:t>
      </w:r>
      <w:r w:rsidR="000A696A">
        <w:t xml:space="preserve">either </w:t>
      </w:r>
      <w:r>
        <w:t>incumbent or new licensees)</w:t>
      </w:r>
      <w:r w:rsidR="00A65BC5">
        <w:t>.</w:t>
      </w:r>
      <w:r>
        <w:t xml:space="preserve"> The lack of certainty this creates is unlikely to support investment in infrastructure by lower</w:t>
      </w:r>
      <w:r w:rsidR="00A65BC5">
        <w:t>-</w:t>
      </w:r>
      <w:r>
        <w:t xml:space="preserve">tier operators. </w:t>
      </w:r>
      <w:r w:rsidR="008763C8">
        <w:t>As indicated previously,</w:t>
      </w:r>
      <w:r>
        <w:t xml:space="preserve"> the ACMA believes the </w:t>
      </w:r>
      <w:r w:rsidR="008763C8">
        <w:t>HVU of the band in areas of high demand for spectrum is for wide-area fixed/mobile wireless broadband services. On this bas</w:t>
      </w:r>
      <w:r w:rsidR="00A65BC5">
        <w:t>i</w:t>
      </w:r>
      <w:r w:rsidR="008763C8">
        <w:t>s</w:t>
      </w:r>
      <w:r w:rsidR="00A65BC5">
        <w:t>,</w:t>
      </w:r>
      <w:r w:rsidR="008763C8">
        <w:t xml:space="preserve"> spectrum licensing is considered the </w:t>
      </w:r>
      <w:r>
        <w:t xml:space="preserve">best approach, as </w:t>
      </w:r>
      <w:r w:rsidR="008763C8">
        <w:t xml:space="preserve">it </w:t>
      </w:r>
      <w:r>
        <w:t xml:space="preserve">provides </w:t>
      </w:r>
      <w:r w:rsidR="00A316ED">
        <w:t>long</w:t>
      </w:r>
      <w:r w:rsidR="00A65BC5">
        <w:t>-</w:t>
      </w:r>
      <w:r w:rsidR="00A316ED">
        <w:t>term licensing arrangements allocated via</w:t>
      </w:r>
      <w:r>
        <w:t xml:space="preserve"> market</w:t>
      </w:r>
      <w:r w:rsidR="00A65BC5">
        <w:t>-</w:t>
      </w:r>
      <w:r>
        <w:t>based mechanism</w:t>
      </w:r>
      <w:r w:rsidR="00413B5C">
        <w:t>s</w:t>
      </w:r>
      <w:r>
        <w:t xml:space="preserve"> to determine who values the spectrum the most. </w:t>
      </w:r>
      <w:r w:rsidR="0002403D">
        <w:t xml:space="preserve">Discussion on the geographical area that this should </w:t>
      </w:r>
      <w:r w:rsidR="0002403D" w:rsidRPr="0055309D">
        <w:t xml:space="preserve">apply to is provided in the </w:t>
      </w:r>
      <w:r w:rsidR="0002403D" w:rsidRPr="0055309D">
        <w:rPr>
          <w:i/>
        </w:rPr>
        <w:t>Geographical are</w:t>
      </w:r>
      <w:r w:rsidR="00F276FF" w:rsidRPr="0055309D">
        <w:rPr>
          <w:i/>
        </w:rPr>
        <w:t>a</w:t>
      </w:r>
      <w:r w:rsidR="0002403D" w:rsidRPr="0055309D">
        <w:rPr>
          <w:i/>
        </w:rPr>
        <w:t xml:space="preserve"> options</w:t>
      </w:r>
      <w:r w:rsidR="0002403D" w:rsidRPr="0055309D">
        <w:t xml:space="preserve"> section of this paper. </w:t>
      </w:r>
    </w:p>
    <w:p w14:paraId="1B960B3E" w14:textId="77777777" w:rsidR="00824E4B" w:rsidRDefault="00824E4B" w:rsidP="00824E4B">
      <w:r w:rsidRPr="0055309D">
        <w:t xml:space="preserve">In order to reduce the impact on incumbents, </w:t>
      </w:r>
      <w:r w:rsidR="00BA44E6" w:rsidRPr="0055309D">
        <w:t xml:space="preserve">the ACMA believes </w:t>
      </w:r>
      <w:r w:rsidRPr="0055309D">
        <w:t xml:space="preserve">an appropriate re-allocation period </w:t>
      </w:r>
      <w:r w:rsidR="00BA44E6" w:rsidRPr="0055309D">
        <w:t>should</w:t>
      </w:r>
      <w:r w:rsidRPr="0055309D">
        <w:t xml:space="preserve"> be </w:t>
      </w:r>
      <w:r w:rsidR="00B45585" w:rsidRPr="0055309D">
        <w:t>recommended</w:t>
      </w:r>
      <w:r w:rsidRPr="0055309D">
        <w:t>. This is discuss</w:t>
      </w:r>
      <w:r w:rsidR="00627B5B" w:rsidRPr="0055309D">
        <w:t>ed</w:t>
      </w:r>
      <w:r w:rsidRPr="0055309D">
        <w:t xml:space="preserve"> further in the </w:t>
      </w:r>
      <w:r w:rsidRPr="0055309D">
        <w:rPr>
          <w:i/>
        </w:rPr>
        <w:t>Length of re-allocation period</w:t>
      </w:r>
      <w:r w:rsidRPr="0055309D">
        <w:t xml:space="preserve"> section of the paper. For affected incumbents operating under a point-to-multipoint apparatus licence</w:t>
      </w:r>
      <w:r w:rsidR="00610043" w:rsidRPr="0055309D">
        <w:t>,</w:t>
      </w:r>
      <w:r w:rsidRPr="0055309D">
        <w:t xml:space="preserve"> the ACMA will</w:t>
      </w:r>
      <w:r w:rsidR="00BA44E6" w:rsidRPr="0055309D">
        <w:t>, as far as practical,</w:t>
      </w:r>
      <w:r w:rsidRPr="0055309D">
        <w:t xml:space="preserve"> work to identify and make available alternative spectrum</w:t>
      </w:r>
      <w:r>
        <w:t xml:space="preserve"> for future deployments</w:t>
      </w:r>
      <w:r w:rsidRPr="005335DD">
        <w:t>.</w:t>
      </w:r>
      <w:r>
        <w:t xml:space="preserve"> For affected incumbent FSS earth station operators that are unable to </w:t>
      </w:r>
      <w:r w:rsidR="00BA44E6">
        <w:t>migrate</w:t>
      </w:r>
      <w:r>
        <w:t xml:space="preserve"> services out of the 3.6 GHz band, options to geographically relocate their facilities will be identified. In addition</w:t>
      </w:r>
      <w:r w:rsidR="00610043">
        <w:t>,</w:t>
      </w:r>
      <w:r>
        <w:t xml:space="preserve"> incumbents would also be free to negotiate with any spectrum licensees in the area to continue operating their services after the end of the re-allocation period and could include setting up neutral host arrangements. This could be facilitated under third-party access arrangements and requires no intervention by the ACMA. Further discussion on options for different incumbent services is provided in later sections of this paper.</w:t>
      </w:r>
    </w:p>
    <w:p w14:paraId="6639F880" w14:textId="77777777" w:rsidR="00232B72" w:rsidRDefault="00232B72" w:rsidP="00D358D9">
      <w:r>
        <w:t>The ACMA acknowledges that incumbent earth station facilities operated by Telstra and Optus either plan to migrate their services out of the 3.6 GHz band</w:t>
      </w:r>
      <w:r w:rsidR="006446B4">
        <w:t xml:space="preserve"> or have already done so</w:t>
      </w:r>
      <w:r>
        <w:t xml:space="preserve">. This ensures there is no reason for them to consider relocating their facilities or cancelling services as a result of </w:t>
      </w:r>
      <w:r w:rsidR="00463C0F">
        <w:t>replanning</w:t>
      </w:r>
      <w:r>
        <w:t xml:space="preserve"> activities in the 3.6 GHz band. </w:t>
      </w:r>
    </w:p>
    <w:p w14:paraId="58FF426E" w14:textId="77777777" w:rsidR="00EC63CB" w:rsidRDefault="00232B72" w:rsidP="00EC63CB">
      <w:r>
        <w:t>The ACMA also concurs with studies performed by Inmarsat that show sharing would be possible in Perth, provided fixed/mobile wireless broadband systems are limited to small cell deployments and an additional 10</w:t>
      </w:r>
      <w:r w:rsidR="00332119">
        <w:t>–</w:t>
      </w:r>
      <w:r>
        <w:t xml:space="preserve">20 dB of clutter loss can be assumed. </w:t>
      </w:r>
      <w:r w:rsidR="00EC63CB">
        <w:t>However, while the band is likely to be used for small cell deployments</w:t>
      </w:r>
      <w:r w:rsidR="00267CC6">
        <w:t xml:space="preserve"> in some cases</w:t>
      </w:r>
      <w:r w:rsidR="00EC63CB">
        <w:t>, one of the main benefits that has driven the international and domestic focus on this band is its ability to leverage new technologies to provide</w:t>
      </w:r>
      <w:r w:rsidR="00EC63CB" w:rsidRPr="0076060F">
        <w:t xml:space="preserve"> broad geographic coverage based on a macro-cell deployment model</w:t>
      </w:r>
      <w:r w:rsidR="00EC63CB">
        <w:t>.</w:t>
      </w:r>
      <w:r>
        <w:t xml:space="preserve"> </w:t>
      </w:r>
      <w:r w:rsidR="00EC63CB">
        <w:t xml:space="preserve">Furthermore, the ACMA </w:t>
      </w:r>
      <w:r w:rsidR="00E13295">
        <w:t>believes</w:t>
      </w:r>
      <w:r w:rsidR="00EC63CB">
        <w:t xml:space="preserve"> that such a restriction would </w:t>
      </w:r>
      <w:r w:rsidR="00E13295">
        <w:t xml:space="preserve">not </w:t>
      </w:r>
      <w:r w:rsidR="00EC63CB">
        <w:t>be limited to the portions of the 3.6 GHz band that Inmarsat operate</w:t>
      </w:r>
      <w:r w:rsidR="006446B4">
        <w:t>s in</w:t>
      </w:r>
      <w:r w:rsidR="00EC63CB">
        <w:t>. In order to manage interference</w:t>
      </w:r>
      <w:r w:rsidR="00E13295">
        <w:t>,</w:t>
      </w:r>
      <w:r w:rsidR="00EC63CB">
        <w:t xml:space="preserve"> </w:t>
      </w:r>
      <w:r w:rsidR="00E13295">
        <w:t>there would necessarily be restrictions on MBB deployments operating in adjacent spectrum</w:t>
      </w:r>
      <w:r w:rsidR="00332119">
        <w:t>—</w:t>
      </w:r>
      <w:r w:rsidR="00E13295">
        <w:t>the small</w:t>
      </w:r>
      <w:r w:rsidR="00267CC6">
        <w:t>er</w:t>
      </w:r>
      <w:r w:rsidR="00E13295">
        <w:t xml:space="preserve"> the offset</w:t>
      </w:r>
      <w:r w:rsidR="00332119">
        <w:t>,</w:t>
      </w:r>
      <w:r w:rsidR="00E13295">
        <w:t xml:space="preserve"> the greater the restrictions. </w:t>
      </w:r>
    </w:p>
    <w:p w14:paraId="53A4606F" w14:textId="77777777" w:rsidR="00E13295" w:rsidRDefault="00EC63CB" w:rsidP="00EC63CB">
      <w:r>
        <w:t xml:space="preserve">Consequently, </w:t>
      </w:r>
      <w:r w:rsidR="00E13295">
        <w:t xml:space="preserve">the ACMA believes that </w:t>
      </w:r>
      <w:r>
        <w:t xml:space="preserve">enforcing such deployment restrictions on </w:t>
      </w:r>
      <w:r w:rsidR="00E13295">
        <w:t>MBB use</w:t>
      </w:r>
      <w:r>
        <w:t xml:space="preserve"> would severely undermine the utility and </w:t>
      </w:r>
      <w:r w:rsidR="00824E4B">
        <w:t>long</w:t>
      </w:r>
      <w:r w:rsidR="00332119">
        <w:t>-</w:t>
      </w:r>
      <w:r w:rsidR="00824E4B">
        <w:t>term</w:t>
      </w:r>
      <w:r>
        <w:t xml:space="preserve"> benefits derived from the </w:t>
      </w:r>
      <w:r w:rsidR="00267CC6">
        <w:t xml:space="preserve">use of the </w:t>
      </w:r>
      <w:r>
        <w:t xml:space="preserve">spectrum and is not consistent with the ACMA’s HVU analysis. </w:t>
      </w:r>
      <w:r w:rsidR="00C67672">
        <w:t>This outcome also applies to the concept of setting aside part of the 3.6 GHz band for dedicated small cell use</w:t>
      </w:r>
      <w:r w:rsidR="006446B4">
        <w:t>, e</w:t>
      </w:r>
      <w:r w:rsidR="00C67672">
        <w:t>specially given the benefits in using this band for MBB macro cell deployments</w:t>
      </w:r>
      <w:r w:rsidR="00332119">
        <w:t>,</w:t>
      </w:r>
      <w:r w:rsidR="00C67672">
        <w:t xml:space="preserve"> coupled with the limited amount of spectrum available.</w:t>
      </w:r>
    </w:p>
    <w:p w14:paraId="6414606F" w14:textId="77777777" w:rsidR="00824E4B" w:rsidRDefault="00824E4B" w:rsidP="00824E4B">
      <w:r>
        <w:t>The ACMA acknowledges the concerns raised by some respondents with regard to Option 4b. In particular</w:t>
      </w:r>
      <w:r w:rsidR="00332119">
        <w:t>,</w:t>
      </w:r>
      <w:r>
        <w:t xml:space="preserve"> the </w:t>
      </w:r>
      <w:r w:rsidR="00267CC6">
        <w:t>e</w:t>
      </w:r>
      <w:r>
        <w:t xml:space="preserve">ffect </w:t>
      </w:r>
      <w:r w:rsidR="00267CC6">
        <w:t>of</w:t>
      </w:r>
      <w:r>
        <w:t xml:space="preserve"> using this approach to support a large number of incumbent services could become unwieldy and inefficient. As such, to date the ACMA has only used this option sparingly. With regards to the 3.6 GHz band</w:t>
      </w:r>
      <w:r w:rsidR="00332119">
        <w:t>,</w:t>
      </w:r>
      <w:r>
        <w:t xml:space="preserve"> it is only proposed to use Option 4b to support ongoing use of the </w:t>
      </w:r>
      <w:r w:rsidR="00332119">
        <w:t>e</w:t>
      </w:r>
      <w:r>
        <w:t xml:space="preserve">arth station facility operated by Lockheed Martin near Uralla (regional NSW). </w:t>
      </w:r>
      <w:r w:rsidR="00517C6D">
        <w:t>Since</w:t>
      </w:r>
      <w:r>
        <w:t xml:space="preserve"> it is a single site and the size of the area carved</w:t>
      </w:r>
      <w:r w:rsidR="00E57E21">
        <w:t xml:space="preserve"> </w:t>
      </w:r>
      <w:r>
        <w:t xml:space="preserve">out is small, it is not expected to have a significant effect on the overall usability of the larger spectrum licence area. </w:t>
      </w:r>
    </w:p>
    <w:p w14:paraId="7CC4618E" w14:textId="77777777" w:rsidR="00824E4B" w:rsidRDefault="00824E4B" w:rsidP="00824E4B">
      <w:pPr>
        <w:rPr>
          <w:rFonts w:cs="Arial"/>
          <w:szCs w:val="20"/>
        </w:rPr>
      </w:pPr>
      <w:r>
        <w:t>The ACMA also appreciates Lockheed Martin’s concerns regarding the long</w:t>
      </w:r>
      <w:r w:rsidR="00332119">
        <w:t>-</w:t>
      </w:r>
      <w:r>
        <w:t xml:space="preserve">term viability of the Uralla </w:t>
      </w:r>
      <w:r w:rsidR="00416D16">
        <w:t xml:space="preserve">site as </w:t>
      </w:r>
      <w:r>
        <w:t xml:space="preserve">indicated in the Options paper. While the ACMA stands by the statement that the </w:t>
      </w:r>
      <w:r>
        <w:rPr>
          <w:rFonts w:cs="Arial"/>
          <w:szCs w:val="20"/>
        </w:rPr>
        <w:t>facility may be required to relocate to another location in the future, long</w:t>
      </w:r>
      <w:r w:rsidR="00332119">
        <w:rPr>
          <w:rFonts w:cs="Arial"/>
          <w:szCs w:val="20"/>
        </w:rPr>
        <w:t>-</w:t>
      </w:r>
      <w:r>
        <w:rPr>
          <w:rFonts w:cs="Arial"/>
          <w:szCs w:val="20"/>
        </w:rPr>
        <w:t>term viability of the site could be proven over</w:t>
      </w:r>
      <w:r w:rsidR="00E57E21">
        <w:rPr>
          <w:rFonts w:cs="Arial"/>
          <w:szCs w:val="20"/>
        </w:rPr>
        <w:t xml:space="preserve"> </w:t>
      </w:r>
      <w:r>
        <w:rPr>
          <w:rFonts w:cs="Arial"/>
          <w:szCs w:val="20"/>
        </w:rPr>
        <w:t>time. Specifically, the main concern is the potential for spectrum denial or severe deployment restrictions for MBB services deployed in nearby towns (</w:t>
      </w:r>
      <w:r w:rsidR="00332119">
        <w:rPr>
          <w:rFonts w:cs="Arial"/>
          <w:szCs w:val="20"/>
        </w:rPr>
        <w:t>that is,</w:t>
      </w:r>
      <w:r>
        <w:rPr>
          <w:rFonts w:cs="Arial"/>
          <w:szCs w:val="20"/>
        </w:rPr>
        <w:t xml:space="preserve"> Armidale and Tamworth). If it can be shown over time that MBB services can be deployed in major towns in the area without unreasonable restrictions, the ACMA would be willing to reconsider its position. </w:t>
      </w:r>
    </w:p>
    <w:p w14:paraId="14DF7F9F" w14:textId="77777777" w:rsidR="0002403D" w:rsidRDefault="0002403D" w:rsidP="0002403D">
      <w:r>
        <w:t xml:space="preserve">The ACMA understands that the current embargo on the 3.6 GHz band has been an ongoing source of frustration for incumbents wishing to expand their services. However, </w:t>
      </w:r>
      <w:r w:rsidR="00AA20BB">
        <w:t>the embargo was</w:t>
      </w:r>
      <w:r>
        <w:t xml:space="preserve"> considered an appropriate tool to minimise the </w:t>
      </w:r>
      <w:r w:rsidR="00416D16">
        <w:t>e</w:t>
      </w:r>
      <w:r>
        <w:t xml:space="preserve">ffect any future re-farming decision may have on investments in new services and infrastructure. The ACMA will amend the embargo to reflect the outcomes of this paper. </w:t>
      </w:r>
      <w:r w:rsidR="00AA20BB">
        <w:t>The ACMA’s decisions regarding other potential bands suitable for very long-term access for site-based point-to-multipoint services are intended to mitigate this concern</w:t>
      </w:r>
      <w:r w:rsidR="00332119">
        <w:t>,</w:t>
      </w:r>
      <w:r w:rsidR="00AA20BB">
        <w:t xml:space="preserve"> as well as assist in the relocation where possible of existing services, if desired.</w:t>
      </w:r>
    </w:p>
    <w:p w14:paraId="5D2FB420" w14:textId="77777777" w:rsidR="00824E4B" w:rsidRPr="000047E7" w:rsidRDefault="000415C9" w:rsidP="000047E7">
      <w:pPr>
        <w:pStyle w:val="Heading3"/>
        <w:shd w:val="clear" w:color="auto" w:fill="F2F2F2" w:themeFill="background1" w:themeFillShade="F2"/>
        <w:rPr>
          <w:rStyle w:val="Heading2Char"/>
          <w:b/>
          <w:bCs/>
          <w:iCs w:val="0"/>
          <w:sz w:val="20"/>
          <w:szCs w:val="26"/>
        </w:rPr>
      </w:pPr>
      <w:bookmarkStart w:id="110" w:name="_Toc496620319"/>
      <w:r w:rsidRPr="000047E7">
        <w:rPr>
          <w:rStyle w:val="Heading2Char"/>
          <w:b/>
          <w:bCs/>
          <w:iCs w:val="0"/>
          <w:sz w:val="20"/>
          <w:szCs w:val="26"/>
        </w:rPr>
        <w:t xml:space="preserve">ACMA </w:t>
      </w:r>
      <w:r w:rsidR="00332119" w:rsidRPr="000047E7">
        <w:rPr>
          <w:rStyle w:val="Heading2Char"/>
          <w:b/>
          <w:bCs/>
          <w:iCs w:val="0"/>
          <w:sz w:val="20"/>
          <w:szCs w:val="26"/>
        </w:rPr>
        <w:t>d</w:t>
      </w:r>
      <w:r w:rsidRPr="000047E7">
        <w:rPr>
          <w:rStyle w:val="Heading2Char"/>
          <w:b/>
          <w:bCs/>
          <w:iCs w:val="0"/>
          <w:sz w:val="20"/>
          <w:szCs w:val="26"/>
        </w:rPr>
        <w:t>ecision</w:t>
      </w:r>
      <w:bookmarkEnd w:id="110"/>
    </w:p>
    <w:p w14:paraId="0A1E26C4" w14:textId="77777777" w:rsidR="00332119" w:rsidRDefault="00332119" w:rsidP="00332119">
      <w:pPr>
        <w:shd w:val="clear" w:color="auto" w:fill="F2F2F2" w:themeFill="background1" w:themeFillShade="F2"/>
        <w:spacing w:after="80"/>
      </w:pPr>
      <w:r>
        <w:t>After considering the information provided in submissions, the ACMA has come to the following conclusions regarding replanning options for the 3.6 GHz band:</w:t>
      </w:r>
    </w:p>
    <w:p w14:paraId="41C1D956" w14:textId="77777777" w:rsidR="00332119" w:rsidRPr="0055309D" w:rsidRDefault="00332119" w:rsidP="00332119">
      <w:pPr>
        <w:pStyle w:val="ListBullet"/>
        <w:shd w:val="clear" w:color="auto" w:fill="F2F2F2" w:themeFill="background1" w:themeFillShade="F2"/>
      </w:pPr>
      <w:r w:rsidRPr="004B67F8">
        <w:t>The 3</w:t>
      </w:r>
      <w:r>
        <w:t>.6 GH</w:t>
      </w:r>
      <w:r w:rsidRPr="004B67F8">
        <w:t>z band</w:t>
      </w:r>
      <w:r>
        <w:rPr>
          <w:i/>
        </w:rPr>
        <w:t xml:space="preserve"> </w:t>
      </w:r>
      <w:r w:rsidRPr="0055309D">
        <w:t xml:space="preserve">should be moved from the </w:t>
      </w:r>
      <w:r w:rsidRPr="0055309D">
        <w:rPr>
          <w:i/>
        </w:rPr>
        <w:t>preliminary replanning</w:t>
      </w:r>
      <w:r w:rsidRPr="0055309D">
        <w:rPr>
          <w:rFonts w:cs="Arial"/>
        </w:rPr>
        <w:t xml:space="preserve"> stage</w:t>
      </w:r>
      <w:r w:rsidRPr="0055309D">
        <w:t xml:space="preserve"> to the </w:t>
      </w:r>
      <w:r w:rsidRPr="0055309D">
        <w:rPr>
          <w:i/>
        </w:rPr>
        <w:t>re-farming</w:t>
      </w:r>
      <w:r w:rsidRPr="0055309D">
        <w:t xml:space="preserve"> stage of the ACMA’s process for considering additional spectrum for mobile broadband.</w:t>
      </w:r>
    </w:p>
    <w:p w14:paraId="44BB918F" w14:textId="77777777" w:rsidR="00332119" w:rsidRDefault="00332119" w:rsidP="00332119">
      <w:pPr>
        <w:pStyle w:val="ListBullet"/>
        <w:shd w:val="clear" w:color="auto" w:fill="F2F2F2" w:themeFill="background1" w:themeFillShade="F2"/>
      </w:pPr>
      <w:r w:rsidRPr="0055309D">
        <w:t xml:space="preserve">Identified areas of high demand should be re-allocated for the issue of spectrum licensing (refer to </w:t>
      </w:r>
      <w:r w:rsidRPr="0055309D">
        <w:rPr>
          <w:i/>
        </w:rPr>
        <w:t>Geographical area options</w:t>
      </w:r>
      <w:r w:rsidRPr="0055309D">
        <w:t xml:space="preserve"> for discussion on this), taking into account any areas proposed to be excised</w:t>
      </w:r>
      <w:r>
        <w:t xml:space="preserve"> as part of a mitigation strategy for affected incumbents services (refer to the</w:t>
      </w:r>
      <w:r w:rsidR="00413B5C">
        <w:t xml:space="preserve"> relevant</w:t>
      </w:r>
      <w:r>
        <w:t xml:space="preserve"> </w:t>
      </w:r>
      <w:r w:rsidRPr="00332119">
        <w:rPr>
          <w:i/>
        </w:rPr>
        <w:t>Options for incumbent services</w:t>
      </w:r>
      <w:r>
        <w:t xml:space="preserve"> section of this paper).</w:t>
      </w:r>
    </w:p>
    <w:p w14:paraId="6ACBE234" w14:textId="77777777" w:rsidR="00332119" w:rsidRDefault="00332119" w:rsidP="00332119">
      <w:pPr>
        <w:pStyle w:val="ListBullet"/>
        <w:shd w:val="clear" w:color="auto" w:fill="F2F2F2" w:themeFill="background1" w:themeFillShade="F2"/>
      </w:pPr>
      <w:r>
        <w:t>Due to the limited amount of spectrum on offer (compared to the optimal 100 MHz per operator figure commonly quoted), the entire 3.6 GHz band should be made available for spectrum licensing in identified areas of high demand.</w:t>
      </w:r>
    </w:p>
    <w:p w14:paraId="2AB1DB21" w14:textId="77777777" w:rsidR="00332119" w:rsidRPr="00824E4B" w:rsidRDefault="00332119" w:rsidP="00332119">
      <w:pPr>
        <w:pStyle w:val="ListBulletLast"/>
        <w:shd w:val="clear" w:color="auto" w:fill="F2F2F2" w:themeFill="background1" w:themeFillShade="F2"/>
      </w:pPr>
      <w:r>
        <w:t>The embargo on the 3.6 GHz band will be modified to reflect the outcomes of this paper.</w:t>
      </w:r>
    </w:p>
    <w:p w14:paraId="04304CBF" w14:textId="77777777" w:rsidR="00EB43A7" w:rsidRPr="00D358D9" w:rsidRDefault="00557523" w:rsidP="00EB43A7">
      <w:pPr>
        <w:pStyle w:val="Heading2"/>
      </w:pPr>
      <w:bookmarkStart w:id="111" w:name="_Toc494375840"/>
      <w:bookmarkStart w:id="112" w:name="_Toc494378913"/>
      <w:bookmarkStart w:id="113" w:name="_Toc495935484"/>
      <w:bookmarkStart w:id="114" w:name="_Toc495935514"/>
      <w:bookmarkStart w:id="115" w:name="_Toc496620320"/>
      <w:r>
        <w:t>Geographical area options</w:t>
      </w:r>
      <w:bookmarkEnd w:id="111"/>
      <w:bookmarkEnd w:id="112"/>
      <w:bookmarkEnd w:id="113"/>
      <w:bookmarkEnd w:id="114"/>
      <w:bookmarkEnd w:id="115"/>
    </w:p>
    <w:p w14:paraId="4BFCE100" w14:textId="77777777" w:rsidR="00557523" w:rsidRDefault="00EB43A7" w:rsidP="00332119">
      <w:pPr>
        <w:spacing w:after="80"/>
      </w:pPr>
      <w:r>
        <w:t xml:space="preserve">The Options paper </w:t>
      </w:r>
      <w:r w:rsidR="00557523">
        <w:t>proposed a number of different geographical area options that could be considered for re-farming. In developing area options</w:t>
      </w:r>
      <w:r w:rsidR="00332119">
        <w:t>,</w:t>
      </w:r>
      <w:r w:rsidR="00557523">
        <w:t xml:space="preserve"> the ACMA considered what the most </w:t>
      </w:r>
      <w:r w:rsidR="00621B7A">
        <w:t>likely</w:t>
      </w:r>
      <w:r w:rsidR="00557523">
        <w:t xml:space="preserve"> areas of high demand would be. This took into account</w:t>
      </w:r>
      <w:r w:rsidR="00460DAB">
        <w:t xml:space="preserve"> the following</w:t>
      </w:r>
      <w:r w:rsidR="00557523">
        <w:t xml:space="preserve">: </w:t>
      </w:r>
    </w:p>
    <w:p w14:paraId="3F509DE2" w14:textId="77777777" w:rsidR="00557523" w:rsidRPr="008875E2" w:rsidRDefault="00332119" w:rsidP="00D71662">
      <w:pPr>
        <w:pStyle w:val="ListBullet"/>
        <w:numPr>
          <w:ilvl w:val="0"/>
          <w:numId w:val="2"/>
        </w:numPr>
        <w:tabs>
          <w:tab w:val="clear" w:pos="845"/>
          <w:tab w:val="num" w:pos="-63"/>
        </w:tabs>
        <w:ind w:left="295" w:hanging="295"/>
        <w:rPr>
          <w:rFonts w:cs="Arial"/>
        </w:rPr>
      </w:pPr>
      <w:r>
        <w:rPr>
          <w:rFonts w:cs="Arial"/>
        </w:rPr>
        <w:t>MBB</w:t>
      </w:r>
      <w:r w:rsidR="00557523" w:rsidRPr="008875E2">
        <w:rPr>
          <w:rFonts w:cs="Arial"/>
        </w:rPr>
        <w:t xml:space="preserve"> </w:t>
      </w:r>
      <w:r w:rsidR="00621B7A" w:rsidRPr="008875E2">
        <w:rPr>
          <w:rFonts w:cs="Arial"/>
        </w:rPr>
        <w:t>operators</w:t>
      </w:r>
      <w:r w:rsidR="00557523" w:rsidRPr="008875E2">
        <w:rPr>
          <w:rFonts w:cs="Arial"/>
        </w:rPr>
        <w:t xml:space="preserve"> have indicated that in order to </w:t>
      </w:r>
      <w:r w:rsidR="00460DAB">
        <w:rPr>
          <w:rFonts w:cs="Arial"/>
        </w:rPr>
        <w:t>realise</w:t>
      </w:r>
      <w:r w:rsidR="008875E2" w:rsidRPr="008875E2">
        <w:rPr>
          <w:rFonts w:cs="Arial"/>
        </w:rPr>
        <w:t xml:space="preserve"> the full benefits of 5G, each </w:t>
      </w:r>
      <w:r w:rsidR="00621B7A" w:rsidRPr="008875E2">
        <w:rPr>
          <w:rFonts w:cs="Arial"/>
        </w:rPr>
        <w:t>operator</w:t>
      </w:r>
      <w:r w:rsidR="008875E2" w:rsidRPr="008875E2">
        <w:rPr>
          <w:rFonts w:cs="Arial"/>
        </w:rPr>
        <w:t xml:space="preserve"> would </w:t>
      </w:r>
      <w:r w:rsidR="00621B7A" w:rsidRPr="008875E2">
        <w:rPr>
          <w:rFonts w:cs="Arial"/>
        </w:rPr>
        <w:t>ideally</w:t>
      </w:r>
      <w:r w:rsidR="008875E2" w:rsidRPr="008875E2">
        <w:rPr>
          <w:rFonts w:cs="Arial"/>
        </w:rPr>
        <w:t xml:space="preserve"> have in the order of 100 MHz of spectrum. </w:t>
      </w:r>
      <w:r w:rsidR="008875E2">
        <w:rPr>
          <w:rFonts w:cs="Arial"/>
        </w:rPr>
        <w:t xml:space="preserve">Given there is 125 MHz of spectrum available in the 3.6 GHz band, this </w:t>
      </w:r>
      <w:r w:rsidR="00460DAB">
        <w:rPr>
          <w:rFonts w:cs="Arial"/>
        </w:rPr>
        <w:t>is likely to</w:t>
      </w:r>
      <w:r w:rsidR="008875E2">
        <w:rPr>
          <w:rFonts w:cs="Arial"/>
        </w:rPr>
        <w:t xml:space="preserve"> have a significant impact on the availability of spectrum </w:t>
      </w:r>
      <w:r w:rsidR="00460DAB">
        <w:rPr>
          <w:rFonts w:cs="Arial"/>
        </w:rPr>
        <w:t xml:space="preserve">in some areas </w:t>
      </w:r>
      <w:r w:rsidR="008875E2">
        <w:rPr>
          <w:rFonts w:cs="Arial"/>
        </w:rPr>
        <w:t xml:space="preserve">and </w:t>
      </w:r>
      <w:r w:rsidR="00460DAB">
        <w:rPr>
          <w:rFonts w:cs="Arial"/>
        </w:rPr>
        <w:t>increase</w:t>
      </w:r>
      <w:r w:rsidR="008875E2">
        <w:rPr>
          <w:rFonts w:cs="Arial"/>
        </w:rPr>
        <w:t xml:space="preserve"> the potential for contention to occur</w:t>
      </w:r>
      <w:r>
        <w:rPr>
          <w:rFonts w:cs="Arial"/>
        </w:rPr>
        <w:t>.</w:t>
      </w:r>
    </w:p>
    <w:p w14:paraId="12C5BBA0" w14:textId="77777777" w:rsidR="00557523" w:rsidRPr="008875E2" w:rsidRDefault="00557523" w:rsidP="00D71662">
      <w:pPr>
        <w:pStyle w:val="ListBullet"/>
        <w:numPr>
          <w:ilvl w:val="0"/>
          <w:numId w:val="2"/>
        </w:numPr>
        <w:tabs>
          <w:tab w:val="clear" w:pos="845"/>
          <w:tab w:val="num" w:pos="-63"/>
        </w:tabs>
        <w:ind w:left="295" w:hanging="295"/>
        <w:rPr>
          <w:rFonts w:cs="Arial"/>
        </w:rPr>
      </w:pPr>
      <w:r w:rsidRPr="008875E2">
        <w:rPr>
          <w:rFonts w:cs="Arial"/>
        </w:rPr>
        <w:t xml:space="preserve">The extent of </w:t>
      </w:r>
      <w:r w:rsidR="00621B7A" w:rsidRPr="008875E2">
        <w:rPr>
          <w:rFonts w:cs="Arial"/>
        </w:rPr>
        <w:t>existing</w:t>
      </w:r>
      <w:r w:rsidRPr="008875E2">
        <w:rPr>
          <w:rFonts w:cs="Arial"/>
        </w:rPr>
        <w:t xml:space="preserve"> deployments in other bands </w:t>
      </w:r>
      <w:r w:rsidR="008875E2" w:rsidRPr="008875E2">
        <w:rPr>
          <w:rFonts w:cs="Arial"/>
        </w:rPr>
        <w:t xml:space="preserve">(1800 MHz, 2 GHz, 2.3 GHz and 2.5 GHz bands) </w:t>
      </w:r>
      <w:r w:rsidRPr="008875E2">
        <w:rPr>
          <w:rFonts w:cs="Arial"/>
        </w:rPr>
        <w:t xml:space="preserve">used to deploy </w:t>
      </w:r>
      <w:r w:rsidR="00CD70D4">
        <w:rPr>
          <w:rFonts w:cs="Arial"/>
        </w:rPr>
        <w:t xml:space="preserve">wide-area </w:t>
      </w:r>
      <w:r w:rsidRPr="008875E2">
        <w:rPr>
          <w:rFonts w:cs="Arial"/>
        </w:rPr>
        <w:t>fixed and mobile broadband services</w:t>
      </w:r>
      <w:r w:rsidR="008875E2" w:rsidRPr="008875E2">
        <w:rPr>
          <w:rFonts w:cs="Arial"/>
        </w:rPr>
        <w:t xml:space="preserve">, taking into account that new technologies such as </w:t>
      </w:r>
      <w:r w:rsidR="00770EF4">
        <w:rPr>
          <w:rFonts w:cs="Arial"/>
        </w:rPr>
        <w:t>massive multiple-input and multiple-output (</w:t>
      </w:r>
      <w:proofErr w:type="spellStart"/>
      <w:r w:rsidR="008875E2" w:rsidRPr="008875E2">
        <w:rPr>
          <w:rFonts w:cs="Arial"/>
        </w:rPr>
        <w:t>mMIMO</w:t>
      </w:r>
      <w:proofErr w:type="spellEnd"/>
      <w:r w:rsidR="00770EF4">
        <w:rPr>
          <w:rFonts w:cs="Arial"/>
        </w:rPr>
        <w:t>)</w:t>
      </w:r>
      <w:r w:rsidR="008875E2" w:rsidRPr="008875E2">
        <w:rPr>
          <w:rFonts w:cs="Arial"/>
        </w:rPr>
        <w:t xml:space="preserve"> and beamforming</w:t>
      </w:r>
      <w:r w:rsidR="00332119">
        <w:rPr>
          <w:rFonts w:cs="Arial"/>
        </w:rPr>
        <w:t>,</w:t>
      </w:r>
      <w:r w:rsidR="008875E2" w:rsidRPr="008875E2">
        <w:rPr>
          <w:rFonts w:cs="Arial"/>
        </w:rPr>
        <w:t xml:space="preserve"> </w:t>
      </w:r>
      <w:r w:rsidR="008875E2">
        <w:rPr>
          <w:rFonts w:cs="Arial"/>
        </w:rPr>
        <w:t>are expected to improve coverage and capacity of cells deployed in the 3.6 GHz band</w:t>
      </w:r>
      <w:r w:rsidR="00332119">
        <w:rPr>
          <w:rFonts w:cs="Arial"/>
        </w:rPr>
        <w:t>.</w:t>
      </w:r>
      <w:r w:rsidR="008875E2" w:rsidRPr="008875E2">
        <w:rPr>
          <w:vertAlign w:val="superscript"/>
        </w:rPr>
        <w:footnoteReference w:id="9"/>
      </w:r>
    </w:p>
    <w:p w14:paraId="46BB9868" w14:textId="77777777" w:rsidR="00557523" w:rsidRPr="008875E2" w:rsidRDefault="00CD70D4" w:rsidP="00BA36BB">
      <w:pPr>
        <w:pStyle w:val="ListBullet"/>
        <w:numPr>
          <w:ilvl w:val="0"/>
          <w:numId w:val="1"/>
        </w:numPr>
        <w:spacing w:after="240"/>
      </w:pPr>
      <w:r>
        <w:t>It was identified that d</w:t>
      </w:r>
      <w:r w:rsidR="008875E2" w:rsidRPr="008875E2">
        <w:t xml:space="preserve">eployments by </w:t>
      </w:r>
      <w:r>
        <w:t xml:space="preserve">incumbent </w:t>
      </w:r>
      <w:r w:rsidR="00E6600A">
        <w:t xml:space="preserve">site-based </w:t>
      </w:r>
      <w:r w:rsidR="008875E2" w:rsidRPr="008875E2">
        <w:t xml:space="preserve">3.6 GHz wireless broadband operators and </w:t>
      </w:r>
      <w:r>
        <w:t xml:space="preserve">wide-area wireless broadband operators in other bands </w:t>
      </w:r>
      <w:r w:rsidRPr="008875E2">
        <w:rPr>
          <w:rFonts w:cs="Arial"/>
        </w:rPr>
        <w:t>(1800 MHz, 2 GHz, 2.3 GHz and 2.5 GHz bands)</w:t>
      </w:r>
      <w:r w:rsidR="008875E2" w:rsidRPr="008875E2">
        <w:t xml:space="preserve"> in regional areas extensively overlap. While </w:t>
      </w:r>
      <w:r>
        <w:t xml:space="preserve">these deployments may </w:t>
      </w:r>
      <w:r w:rsidR="008875E2" w:rsidRPr="008875E2">
        <w:t xml:space="preserve">not </w:t>
      </w:r>
      <w:r>
        <w:t xml:space="preserve">be </w:t>
      </w:r>
      <w:r w:rsidR="008875E2" w:rsidRPr="008875E2">
        <w:t>at identical sites or cover the exact same areas</w:t>
      </w:r>
      <w:r w:rsidR="00D22079">
        <w:t>,</w:t>
      </w:r>
      <w:r w:rsidR="008875E2" w:rsidRPr="008875E2">
        <w:t xml:space="preserve"> if the same band was </w:t>
      </w:r>
      <w:r>
        <w:t xml:space="preserve">used to accommodate both </w:t>
      </w:r>
      <w:r w:rsidR="00E6600A">
        <w:t>site</w:t>
      </w:r>
      <w:r w:rsidR="00332119">
        <w:t>-</w:t>
      </w:r>
      <w:r w:rsidR="00E6600A">
        <w:t>based and wid</w:t>
      </w:r>
      <w:r w:rsidR="00B45585">
        <w:t>e</w:t>
      </w:r>
      <w:r w:rsidR="00E6600A">
        <w:t xml:space="preserve">-area </w:t>
      </w:r>
      <w:r w:rsidR="008875E2" w:rsidRPr="008875E2">
        <w:t>operators, there is likely to be an increase in demand and contention for spectrum in and around these areas.</w:t>
      </w:r>
    </w:p>
    <w:p w14:paraId="25D298DC" w14:textId="77777777" w:rsidR="008875E2" w:rsidRPr="00881C34" w:rsidRDefault="008875E2" w:rsidP="00332119">
      <w:pPr>
        <w:spacing w:after="80"/>
      </w:pPr>
      <w:r w:rsidRPr="00881C34">
        <w:t xml:space="preserve">There was also discussion on </w:t>
      </w:r>
      <w:bookmarkStart w:id="116" w:name="_Toc479846985"/>
      <w:bookmarkStart w:id="117" w:name="_Toc482886585"/>
      <w:bookmarkStart w:id="118" w:name="_Toc482886627"/>
      <w:bookmarkStart w:id="119" w:name="_Toc482888968"/>
      <w:bookmarkStart w:id="120" w:name="_Toc482891239"/>
      <w:bookmarkStart w:id="121" w:name="_Toc482891306"/>
      <w:bookmarkStart w:id="122" w:name="_Toc482956514"/>
      <w:bookmarkStart w:id="123" w:name="_Toc484011487"/>
      <w:bookmarkStart w:id="124" w:name="_Toc484511703"/>
      <w:bookmarkStart w:id="125" w:name="_Ref485195537"/>
      <w:bookmarkStart w:id="126" w:name="_Ref485390316"/>
      <w:bookmarkStart w:id="127" w:name="_Ref485390487"/>
      <w:bookmarkStart w:id="128" w:name="_Toc485967365"/>
      <w:r w:rsidRPr="00881C34">
        <w:t>geographical boundary issues associated with area-wide licences</w:t>
      </w:r>
      <w:bookmarkEnd w:id="116"/>
      <w:bookmarkEnd w:id="117"/>
      <w:bookmarkEnd w:id="118"/>
      <w:bookmarkEnd w:id="119"/>
      <w:bookmarkEnd w:id="120"/>
      <w:bookmarkEnd w:id="121"/>
      <w:bookmarkEnd w:id="122"/>
      <w:bookmarkEnd w:id="123"/>
      <w:bookmarkEnd w:id="124"/>
      <w:bookmarkEnd w:id="125"/>
      <w:bookmarkEnd w:id="126"/>
      <w:bookmarkEnd w:id="127"/>
      <w:bookmarkEnd w:id="128"/>
      <w:r w:rsidRPr="00881C34">
        <w:t xml:space="preserve">. Based on this </w:t>
      </w:r>
      <w:r w:rsidR="00621B7A" w:rsidRPr="00881C34">
        <w:t>discussion</w:t>
      </w:r>
      <w:r w:rsidR="00332119">
        <w:t>,</w:t>
      </w:r>
      <w:r w:rsidRPr="00881C34">
        <w:t xml:space="preserve"> the ACMA asked for comment on the following guidelines when assessing potential areas for replanning in the 3.6 GHz band:</w:t>
      </w:r>
    </w:p>
    <w:p w14:paraId="1B3F09EA" w14:textId="77777777" w:rsidR="008875E2" w:rsidRPr="00413450" w:rsidRDefault="008875E2" w:rsidP="00D71662">
      <w:pPr>
        <w:pStyle w:val="ListBullet"/>
        <w:numPr>
          <w:ilvl w:val="0"/>
          <w:numId w:val="2"/>
        </w:numPr>
        <w:tabs>
          <w:tab w:val="clear" w:pos="845"/>
          <w:tab w:val="num" w:pos="-63"/>
        </w:tabs>
        <w:ind w:left="295" w:hanging="295"/>
        <w:rPr>
          <w:rFonts w:cs="Arial"/>
        </w:rPr>
      </w:pPr>
      <w:r>
        <w:rPr>
          <w:rFonts w:cs="Arial"/>
        </w:rPr>
        <w:t>T</w:t>
      </w:r>
      <w:r w:rsidRPr="00413450">
        <w:rPr>
          <w:rFonts w:cs="Arial"/>
        </w:rPr>
        <w:t>o the extent possible, define geographical borders in areas of low demand</w:t>
      </w:r>
      <w:r>
        <w:rPr>
          <w:rFonts w:cs="Arial"/>
        </w:rPr>
        <w:t>.</w:t>
      </w:r>
    </w:p>
    <w:p w14:paraId="5C6C0F40" w14:textId="77777777" w:rsidR="008875E2" w:rsidRDefault="008875E2" w:rsidP="00D71662">
      <w:pPr>
        <w:pStyle w:val="ListBullet"/>
        <w:numPr>
          <w:ilvl w:val="0"/>
          <w:numId w:val="2"/>
        </w:numPr>
        <w:tabs>
          <w:tab w:val="clear" w:pos="845"/>
          <w:tab w:val="num" w:pos="-63"/>
        </w:tabs>
        <w:ind w:left="295" w:hanging="295"/>
        <w:rPr>
          <w:rFonts w:cs="Arial"/>
        </w:rPr>
      </w:pPr>
      <w:r>
        <w:rPr>
          <w:rFonts w:cs="Arial"/>
        </w:rPr>
        <w:t>T</w:t>
      </w:r>
      <w:r w:rsidRPr="00413450">
        <w:rPr>
          <w:rFonts w:cs="Arial"/>
        </w:rPr>
        <w:t>o the extent possible, define geographical area</w:t>
      </w:r>
      <w:r>
        <w:rPr>
          <w:rFonts w:cs="Arial"/>
        </w:rPr>
        <w:t>s</w:t>
      </w:r>
      <w:r w:rsidRPr="00413450">
        <w:rPr>
          <w:rFonts w:cs="Arial"/>
        </w:rPr>
        <w:t xml:space="preserve"> that are large enough to minimise potential co-channel interference issues when deploying services in areas of high demand. </w:t>
      </w:r>
    </w:p>
    <w:p w14:paraId="389201C3" w14:textId="77777777" w:rsidR="008875E2" w:rsidRDefault="008875E2" w:rsidP="00BA36BB">
      <w:pPr>
        <w:pStyle w:val="ListBullet"/>
        <w:numPr>
          <w:ilvl w:val="0"/>
          <w:numId w:val="1"/>
        </w:numPr>
        <w:spacing w:after="240"/>
      </w:pPr>
      <w:r>
        <w:t>Consider allocating spectrum licences simultaneously across the entire area in which spectrum licensing is considered the most appropriate longer</w:t>
      </w:r>
      <w:r w:rsidR="00332119">
        <w:t>-</w:t>
      </w:r>
      <w:r>
        <w:t>term outcome, even if the rollout of services is likely to commence in some areas first.</w:t>
      </w:r>
    </w:p>
    <w:p w14:paraId="545A64D0" w14:textId="77777777" w:rsidR="00665B9F" w:rsidRPr="00F018ED" w:rsidRDefault="00665B9F" w:rsidP="00332119">
      <w:pPr>
        <w:spacing w:after="80"/>
      </w:pPr>
      <w:r>
        <w:t>The Options paper asked the following questions related to this issue:</w:t>
      </w:r>
    </w:p>
    <w:p w14:paraId="2ADA6AA3" w14:textId="77777777" w:rsidR="00F018ED" w:rsidRDefault="00E632F0" w:rsidP="00552583">
      <w:pPr>
        <w:pStyle w:val="ListParagraph"/>
        <w:numPr>
          <w:ilvl w:val="0"/>
          <w:numId w:val="15"/>
        </w:numPr>
        <w:shd w:val="clear" w:color="auto" w:fill="F2F2F2" w:themeFill="background1" w:themeFillShade="F2"/>
        <w:spacing w:after="80"/>
        <w:ind w:left="357" w:hanging="357"/>
        <w:contextualSpacing w:val="0"/>
        <w:rPr>
          <w:b/>
        </w:rPr>
      </w:pPr>
      <w:r w:rsidRPr="00E632F0">
        <w:rPr>
          <w:b/>
        </w:rPr>
        <w:t>Do the areas identified in this analysis cover the likely areas of high demand for access to the 3.6 GHz band? Would smaller or larger areas be more appropriate? Why?</w:t>
      </w:r>
    </w:p>
    <w:p w14:paraId="1839B859" w14:textId="77777777" w:rsidR="00E632F0" w:rsidRPr="00E632F0" w:rsidRDefault="00E632F0" w:rsidP="00552583">
      <w:pPr>
        <w:pStyle w:val="ListParagraph"/>
        <w:numPr>
          <w:ilvl w:val="0"/>
          <w:numId w:val="16"/>
        </w:numPr>
        <w:shd w:val="clear" w:color="auto" w:fill="F2F2F2" w:themeFill="background1" w:themeFillShade="F2"/>
        <w:spacing w:after="80"/>
        <w:ind w:left="357" w:hanging="357"/>
        <w:contextualSpacing w:val="0"/>
        <w:rPr>
          <w:b/>
        </w:rPr>
      </w:pPr>
      <w:r w:rsidRPr="00E632F0">
        <w:rPr>
          <w:b/>
        </w:rPr>
        <w:t>Are these guidelines</w:t>
      </w:r>
      <w:r w:rsidR="004F3F65">
        <w:rPr>
          <w:b/>
        </w:rPr>
        <w:t xml:space="preserve"> (</w:t>
      </w:r>
      <w:r w:rsidR="004F3F65" w:rsidRPr="004F3F65">
        <w:rPr>
          <w:b/>
        </w:rPr>
        <w:t>when assessing potential areas for replanning</w:t>
      </w:r>
      <w:r w:rsidR="004F3F65">
        <w:rPr>
          <w:b/>
        </w:rPr>
        <w:t>)</w:t>
      </w:r>
      <w:r w:rsidRPr="00E632F0">
        <w:rPr>
          <w:b/>
        </w:rPr>
        <w:t xml:space="preserve"> appropriate? Why?</w:t>
      </w:r>
    </w:p>
    <w:p w14:paraId="7961EC98" w14:textId="77777777" w:rsidR="00E632F0" w:rsidRDefault="00E632F0" w:rsidP="00552583">
      <w:pPr>
        <w:pStyle w:val="ListParagraph"/>
        <w:numPr>
          <w:ilvl w:val="0"/>
          <w:numId w:val="16"/>
        </w:numPr>
        <w:shd w:val="clear" w:color="auto" w:fill="F2F2F2" w:themeFill="background1" w:themeFillShade="F2"/>
        <w:spacing w:after="80"/>
        <w:ind w:left="357" w:hanging="357"/>
        <w:contextualSpacing w:val="0"/>
        <w:rPr>
          <w:b/>
        </w:rPr>
      </w:pPr>
      <w:r w:rsidRPr="00E632F0">
        <w:rPr>
          <w:b/>
        </w:rPr>
        <w:t>Are there any other issues that affect the usability of an area-wide licence that should be taken into account when defining the licence area?</w:t>
      </w:r>
    </w:p>
    <w:p w14:paraId="3CBE8140" w14:textId="77777777" w:rsidR="00E632F0" w:rsidRPr="00F018ED" w:rsidRDefault="00E632F0" w:rsidP="00C07CBE">
      <w:pPr>
        <w:pStyle w:val="ListParagraph"/>
        <w:numPr>
          <w:ilvl w:val="0"/>
          <w:numId w:val="17"/>
        </w:numPr>
        <w:shd w:val="clear" w:color="auto" w:fill="F2F2F2" w:themeFill="background1" w:themeFillShade="F2"/>
        <w:spacing w:after="0"/>
        <w:ind w:left="357" w:hanging="357"/>
        <w:contextualSpacing w:val="0"/>
        <w:rPr>
          <w:b/>
        </w:rPr>
      </w:pPr>
      <w:r w:rsidRPr="00E632F0">
        <w:rPr>
          <w:b/>
        </w:rPr>
        <w:t xml:space="preserve">In the event an area-wide licensing option is implemented, in which of the defined areas (that is, </w:t>
      </w:r>
      <w:r w:rsidR="004F3F65">
        <w:rPr>
          <w:b/>
        </w:rPr>
        <w:t>Area 1</w:t>
      </w:r>
      <w:r w:rsidR="00A46318">
        <w:rPr>
          <w:rStyle w:val="FootnoteReference"/>
          <w:b/>
        </w:rPr>
        <w:footnoteReference w:id="10"/>
      </w:r>
      <w:r w:rsidR="004F3F65">
        <w:rPr>
          <w:b/>
        </w:rPr>
        <w:t xml:space="preserve">, 2, 3 and Australia-wide) </w:t>
      </w:r>
      <w:r w:rsidRPr="00E632F0">
        <w:rPr>
          <w:b/>
        </w:rPr>
        <w:t>should these arrangements be implemented? Are the current area definitions appropriate? If not, what area should be defined?</w:t>
      </w:r>
    </w:p>
    <w:p w14:paraId="73713BCE" w14:textId="77777777" w:rsidR="00C07CBE" w:rsidRDefault="00C07CBE" w:rsidP="00C07CBE">
      <w:pPr>
        <w:pStyle w:val="ACMASpaceaftertable"/>
      </w:pPr>
    </w:p>
    <w:p w14:paraId="5A103995" w14:textId="77777777" w:rsidR="00EB43A7" w:rsidRPr="00552583" w:rsidRDefault="00EB43A7" w:rsidP="00552583">
      <w:pPr>
        <w:pStyle w:val="Heading3"/>
      </w:pPr>
      <w:bookmarkStart w:id="129" w:name="_Toc496620321"/>
      <w:r w:rsidRPr="00552583">
        <w:t>Summary of submissions</w:t>
      </w:r>
      <w:bookmarkEnd w:id="129"/>
    </w:p>
    <w:p w14:paraId="3B7DEAC3" w14:textId="77777777" w:rsidR="002C487F" w:rsidRDefault="0002403D" w:rsidP="00552583">
      <w:pPr>
        <w:pStyle w:val="BodySubHeader"/>
      </w:pPr>
      <w:r w:rsidRPr="005E47ED">
        <w:t xml:space="preserve">Submissions from </w:t>
      </w:r>
      <w:r w:rsidR="006E32C9">
        <w:t>WISP i</w:t>
      </w:r>
      <w:r w:rsidRPr="005E47ED">
        <w:t>nterests</w:t>
      </w:r>
    </w:p>
    <w:p w14:paraId="68A40850" w14:textId="77777777" w:rsidR="0029362A" w:rsidRDefault="00292F73" w:rsidP="002254CD">
      <w:r>
        <w:t>As stated previously, r</w:t>
      </w:r>
      <w:r w:rsidRPr="003F5F11">
        <w:t xml:space="preserve">espondents associated with </w:t>
      </w:r>
      <w:r w:rsidR="00FC388C">
        <w:t>WISP</w:t>
      </w:r>
      <w:r w:rsidRPr="003F5F11">
        <w:t xml:space="preserve"> interests </w:t>
      </w:r>
      <w:r>
        <w:t>w</w:t>
      </w:r>
      <w:r w:rsidR="00D32812">
        <w:t>e</w:t>
      </w:r>
      <w:r>
        <w:t>re generally not supportive of any changes that would affect their ability to provide and expand their services.</w:t>
      </w:r>
      <w:r w:rsidR="002254CD">
        <w:t xml:space="preserve"> In particular</w:t>
      </w:r>
      <w:r w:rsidR="00D22079">
        <w:t>,</w:t>
      </w:r>
      <w:r w:rsidR="002254CD">
        <w:t xml:space="preserve"> they did not support the concept of area-wide licensing and stated that areas proposed were </w:t>
      </w:r>
      <w:r w:rsidR="002254CD" w:rsidRPr="00D65153">
        <w:t>des</w:t>
      </w:r>
      <w:r w:rsidR="002254CD">
        <w:t>igned to suit the large carrier</w:t>
      </w:r>
      <w:r w:rsidR="002254CD" w:rsidRPr="00D65153">
        <w:t>s’</w:t>
      </w:r>
      <w:r w:rsidR="002254CD">
        <w:t xml:space="preserve"> business </w:t>
      </w:r>
      <w:r w:rsidR="002254CD" w:rsidRPr="00D65153">
        <w:t>model</w:t>
      </w:r>
      <w:r w:rsidR="005F7948">
        <w:t>s</w:t>
      </w:r>
      <w:r w:rsidR="002254CD" w:rsidRPr="00D65153">
        <w:t>.</w:t>
      </w:r>
      <w:r w:rsidR="002254CD">
        <w:t xml:space="preserve"> </w:t>
      </w:r>
      <w:r w:rsidR="0029362A">
        <w:t>Instead</w:t>
      </w:r>
      <w:r w:rsidR="005F7948">
        <w:t>,</w:t>
      </w:r>
      <w:r w:rsidR="0029362A">
        <w:t xml:space="preserve"> sharing models</w:t>
      </w:r>
      <w:r w:rsidR="00FC388C">
        <w:t xml:space="preserve"> or a more flexible spectrum</w:t>
      </w:r>
      <w:r w:rsidR="00552583">
        <w:t>-</w:t>
      </w:r>
      <w:r w:rsidR="00FC388C">
        <w:t>licensing model</w:t>
      </w:r>
      <w:r w:rsidR="0029362A">
        <w:t xml:space="preserve"> should be investigated. A few respondents believe</w:t>
      </w:r>
      <w:r w:rsidR="00E6600A">
        <w:t>d</w:t>
      </w:r>
      <w:r w:rsidR="0029362A">
        <w:t xml:space="preserve"> sharing would be possible between WISPs and MNOs in most areas</w:t>
      </w:r>
      <w:r w:rsidR="00552583">
        <w:t>; s</w:t>
      </w:r>
      <w:r w:rsidR="00E6600A">
        <w:t>aying t</w:t>
      </w:r>
      <w:r w:rsidR="0029362A">
        <w:t xml:space="preserve">his could be done via detailed coordination and planning for the most part, but where </w:t>
      </w:r>
      <w:r w:rsidR="005F7948">
        <w:t xml:space="preserve">this is </w:t>
      </w:r>
      <w:r w:rsidR="0029362A">
        <w:t>not possible</w:t>
      </w:r>
      <w:r w:rsidR="005F7948">
        <w:t>,</w:t>
      </w:r>
      <w:r w:rsidR="0029362A">
        <w:t xml:space="preserve"> </w:t>
      </w:r>
      <w:r w:rsidR="0029362A" w:rsidRPr="0029362A">
        <w:t xml:space="preserve">a market unencumbered by regulatory intervention </w:t>
      </w:r>
      <w:r w:rsidR="0029362A">
        <w:t>could</w:t>
      </w:r>
      <w:r w:rsidR="0029362A" w:rsidRPr="0029362A">
        <w:t xml:space="preserve"> result in the best outcome.</w:t>
      </w:r>
      <w:r w:rsidR="0029362A">
        <w:t xml:space="preserve"> It was further stated that</w:t>
      </w:r>
      <w:r w:rsidR="0029362A" w:rsidRPr="0029362A">
        <w:t xml:space="preserve"> MNOs already have significant holdings in other bands they can draw on</w:t>
      </w:r>
      <w:r w:rsidR="0029362A">
        <w:t>, much of which is currently unused in regional areas</w:t>
      </w:r>
      <w:r w:rsidR="0029362A" w:rsidRPr="0029362A">
        <w:t>.</w:t>
      </w:r>
    </w:p>
    <w:p w14:paraId="77DFDE38" w14:textId="77777777" w:rsidR="005C0D90" w:rsidRDefault="00E6600A" w:rsidP="00292F73">
      <w:r>
        <w:t>T</w:t>
      </w:r>
      <w:r w:rsidR="002254CD">
        <w:t>here appeared to be some acknowledgement</w:t>
      </w:r>
      <w:r w:rsidR="00FC388C">
        <w:t xml:space="preserve"> from representatives of WISP interests</w:t>
      </w:r>
      <w:r w:rsidR="002254CD">
        <w:t xml:space="preserve"> that re-farming Area 1</w:t>
      </w:r>
      <w:r w:rsidR="00A46318">
        <w:t>A and Area 1B</w:t>
      </w:r>
      <w:r w:rsidR="002254CD">
        <w:t xml:space="preserve"> (with some respondents also mildly supportive of </w:t>
      </w:r>
      <w:r w:rsidR="005C0D90">
        <w:t xml:space="preserve">also including </w:t>
      </w:r>
      <w:r w:rsidR="002254CD">
        <w:t>Area</w:t>
      </w:r>
      <w:r w:rsidR="00546554">
        <w:t> </w:t>
      </w:r>
      <w:r w:rsidR="002254CD">
        <w:t>2) may be a</w:t>
      </w:r>
      <w:r>
        <w:t>n acceptable</w:t>
      </w:r>
      <w:r w:rsidR="002254CD">
        <w:t xml:space="preserve"> outcome</w:t>
      </w:r>
      <w:r>
        <w:t xml:space="preserve">. This is </w:t>
      </w:r>
      <w:r w:rsidR="005C0D90">
        <w:t xml:space="preserve">where </w:t>
      </w:r>
      <w:r w:rsidR="002254CD">
        <w:t xml:space="preserve">the demand for 5G </w:t>
      </w:r>
      <w:r>
        <w:t xml:space="preserve">is considered to be </w:t>
      </w:r>
      <w:r w:rsidR="006366F6">
        <w:t xml:space="preserve">highest </w:t>
      </w:r>
      <w:r>
        <w:t xml:space="preserve">and re-farming these areas would affect the least number of incumbents. </w:t>
      </w:r>
      <w:r w:rsidR="00702D99">
        <w:t xml:space="preserve">There was particular concern </w:t>
      </w:r>
      <w:r w:rsidR="00546554">
        <w:t>regarding</w:t>
      </w:r>
      <w:r w:rsidR="00702D99">
        <w:t xml:space="preserve"> the potential reduction in competition that could occur in </w:t>
      </w:r>
      <w:r w:rsidR="005C0D90">
        <w:t xml:space="preserve">re-farming </w:t>
      </w:r>
      <w:r w:rsidR="00702D99">
        <w:t xml:space="preserve">areas </w:t>
      </w:r>
      <w:r w:rsidR="005C0D90">
        <w:t xml:space="preserve">that are </w:t>
      </w:r>
      <w:r w:rsidR="00702D99">
        <w:t xml:space="preserve">too large. </w:t>
      </w:r>
    </w:p>
    <w:p w14:paraId="625CFF88" w14:textId="77777777" w:rsidR="00292F73" w:rsidRDefault="00FC388C" w:rsidP="00292F73">
      <w:r>
        <w:t>A couple of submissions suggested looking at current deployments in the 2.5 GHz band to get an idea of areas w</w:t>
      </w:r>
      <w:r w:rsidR="00546554">
        <w:t>h</w:t>
      </w:r>
      <w:r>
        <w:t xml:space="preserve">ere </w:t>
      </w:r>
      <w:r w:rsidRPr="00D65153">
        <w:t>5G deployments</w:t>
      </w:r>
      <w:r>
        <w:t xml:space="preserve"> would be viable. </w:t>
      </w:r>
      <w:r w:rsidR="00712AF5">
        <w:t>They i</w:t>
      </w:r>
      <w:r>
        <w:t>n</w:t>
      </w:r>
      <w:r w:rsidR="00712AF5">
        <w:t>dicated</w:t>
      </w:r>
      <w:r>
        <w:t xml:space="preserve"> that 5G is unlikely to rollout in other areas for at least </w:t>
      </w:r>
      <w:r w:rsidR="005C0D90">
        <w:t xml:space="preserve">another </w:t>
      </w:r>
      <w:r>
        <w:t>15 years.</w:t>
      </w:r>
      <w:r w:rsidR="00756C85">
        <w:t xml:space="preserve"> It was also stated that dense wide-</w:t>
      </w:r>
      <w:r w:rsidR="00756C85" w:rsidRPr="0002080C">
        <w:t>area network deployments come at cost</w:t>
      </w:r>
      <w:r w:rsidR="00552583">
        <w:t>,</w:t>
      </w:r>
      <w:r w:rsidR="00756C85" w:rsidRPr="0002080C">
        <w:t xml:space="preserve"> and there will be large parts of Australia </w:t>
      </w:r>
      <w:r w:rsidR="00BB6554">
        <w:t xml:space="preserve">in which </w:t>
      </w:r>
      <w:r w:rsidR="00756C85">
        <w:t>it is not viable to deploy,</w:t>
      </w:r>
      <w:r w:rsidR="00756C85" w:rsidRPr="0002080C">
        <w:t xml:space="preserve"> as </w:t>
      </w:r>
      <w:r w:rsidR="00756C85">
        <w:t xml:space="preserve">is evident </w:t>
      </w:r>
      <w:r w:rsidR="006366F6">
        <w:t>from</w:t>
      </w:r>
      <w:r w:rsidR="00756C85" w:rsidRPr="0002080C">
        <w:t xml:space="preserve"> the black spot program.</w:t>
      </w:r>
      <w:r w:rsidR="00756C85">
        <w:t xml:space="preserve"> </w:t>
      </w:r>
      <w:r w:rsidR="005C0D90">
        <w:t>There was concern that s</w:t>
      </w:r>
      <w:r w:rsidR="00756C85">
        <w:t xml:space="preserve">pectrum licence arrangements prevent small operators from accessing spectrum in such areas. </w:t>
      </w:r>
      <w:r w:rsidR="00756C85" w:rsidRPr="0002080C">
        <w:t>A more flexible regime would provide opportunit</w:t>
      </w:r>
      <w:r w:rsidR="006366F6">
        <w:t>ies</w:t>
      </w:r>
      <w:r w:rsidR="00756C85" w:rsidRPr="0002080C">
        <w:t xml:space="preserve"> for small carriers or </w:t>
      </w:r>
      <w:r w:rsidR="005C0D90">
        <w:t>n</w:t>
      </w:r>
      <w:r w:rsidR="00756C85" w:rsidRPr="0002080C">
        <w:t xml:space="preserve">eutral </w:t>
      </w:r>
      <w:r w:rsidR="005C0D90">
        <w:t>h</w:t>
      </w:r>
      <w:r w:rsidR="00756C85" w:rsidRPr="0002080C">
        <w:t>osts in areas uneconomical for large carriers.</w:t>
      </w:r>
    </w:p>
    <w:p w14:paraId="24C3E18B" w14:textId="77777777" w:rsidR="0002403D" w:rsidRDefault="0002403D" w:rsidP="00552583">
      <w:pPr>
        <w:pStyle w:val="BodySubHeader"/>
      </w:pPr>
      <w:r w:rsidRPr="005E47ED">
        <w:t xml:space="preserve">Submissions from </w:t>
      </w:r>
      <w:r>
        <w:t>satellite industry</w:t>
      </w:r>
    </w:p>
    <w:p w14:paraId="09B062DF" w14:textId="77777777" w:rsidR="000008F8" w:rsidRPr="0055309D" w:rsidRDefault="00593964" w:rsidP="00843B37">
      <w:r>
        <w:t>In general</w:t>
      </w:r>
      <w:r w:rsidR="00552583">
        <w:t>,</w:t>
      </w:r>
      <w:r>
        <w:t xml:space="preserve"> r</w:t>
      </w:r>
      <w:r w:rsidRPr="003F5F11">
        <w:t>espondents representing s</w:t>
      </w:r>
      <w:r>
        <w:t xml:space="preserve">atellite service interests indicated support for any option that would allow </w:t>
      </w:r>
      <w:r w:rsidRPr="0055309D">
        <w:t xml:space="preserve">incumbent FSS </w:t>
      </w:r>
      <w:r w:rsidR="00552583" w:rsidRPr="0055309D">
        <w:t>e</w:t>
      </w:r>
      <w:r w:rsidRPr="0055309D">
        <w:t>arth stations to continue operating unaffected</w:t>
      </w:r>
      <w:r w:rsidR="00EC6FA9" w:rsidRPr="0055309D">
        <w:t xml:space="preserve"> (</w:t>
      </w:r>
      <w:r w:rsidR="00A75918" w:rsidRPr="0055309D">
        <w:t xml:space="preserve">although </w:t>
      </w:r>
      <w:r w:rsidR="00EC6FA9" w:rsidRPr="0055309D">
        <w:t>this view was not held by incumbent FSS earth receive licensees</w:t>
      </w:r>
      <w:r w:rsidR="00552583" w:rsidRPr="0055309D">
        <w:t>,</w:t>
      </w:r>
      <w:r w:rsidR="00EC6FA9" w:rsidRPr="0055309D">
        <w:t xml:space="preserve"> Telstra and Optus)</w:t>
      </w:r>
      <w:r w:rsidRPr="0055309D">
        <w:t xml:space="preserve">. </w:t>
      </w:r>
      <w:r w:rsidR="00EC6FA9" w:rsidRPr="0055309D">
        <w:t xml:space="preserve">As discussed in the </w:t>
      </w:r>
      <w:r w:rsidR="005C0D90" w:rsidRPr="0055309D">
        <w:rPr>
          <w:i/>
        </w:rPr>
        <w:t>Case for action and replanning options</w:t>
      </w:r>
      <w:r w:rsidR="00EC6FA9" w:rsidRPr="0055309D">
        <w:rPr>
          <w:i/>
        </w:rPr>
        <w:t xml:space="preserve"> </w:t>
      </w:r>
      <w:r w:rsidR="00EC6FA9" w:rsidRPr="0055309D">
        <w:t>section of this paper, s</w:t>
      </w:r>
      <w:r w:rsidR="00777833" w:rsidRPr="0055309D">
        <w:t xml:space="preserve">ome respondents </w:t>
      </w:r>
      <w:r w:rsidR="00EC6FA9" w:rsidRPr="0055309D">
        <w:t xml:space="preserve">also </w:t>
      </w:r>
      <w:r w:rsidR="00777833" w:rsidRPr="0055309D">
        <w:t>proposed imp</w:t>
      </w:r>
      <w:r w:rsidR="00EC6FA9" w:rsidRPr="0055309D">
        <w:t>lementing sharing arrangements</w:t>
      </w:r>
      <w:r w:rsidR="00777833" w:rsidRPr="0055309D">
        <w:t xml:space="preserve">. </w:t>
      </w:r>
    </w:p>
    <w:p w14:paraId="4ECDC287" w14:textId="77777777" w:rsidR="0002403D" w:rsidRPr="0055309D" w:rsidRDefault="0002403D" w:rsidP="00552583">
      <w:pPr>
        <w:pStyle w:val="BodySubHeader"/>
      </w:pPr>
      <w:r w:rsidRPr="0055309D">
        <w:t>Submissions from mobile industry</w:t>
      </w:r>
    </w:p>
    <w:p w14:paraId="46AC93C1" w14:textId="77777777" w:rsidR="00EC6FA9" w:rsidRPr="0055309D" w:rsidRDefault="00777833" w:rsidP="00777833">
      <w:r w:rsidRPr="0055309D">
        <w:t xml:space="preserve">Respondents representing mobile broadband industry views were </w:t>
      </w:r>
      <w:r w:rsidR="00D30936" w:rsidRPr="0055309D">
        <w:t xml:space="preserve">generally </w:t>
      </w:r>
      <w:r w:rsidRPr="0055309D">
        <w:t xml:space="preserve">supportive of re-farming </w:t>
      </w:r>
      <w:r w:rsidR="00552583" w:rsidRPr="0055309D">
        <w:t>a</w:t>
      </w:r>
      <w:r w:rsidR="005C0D90" w:rsidRPr="0055309D">
        <w:t>reas 1A, 1B, 2 and</w:t>
      </w:r>
      <w:r w:rsidRPr="0055309D">
        <w:t xml:space="preserve"> 3</w:t>
      </w:r>
      <w:r w:rsidR="00BB6554" w:rsidRPr="0055309D">
        <w:t>, s</w:t>
      </w:r>
      <w:r w:rsidR="00D30936" w:rsidRPr="0055309D">
        <w:t xml:space="preserve">tating </w:t>
      </w:r>
      <w:r w:rsidR="00BB6554" w:rsidRPr="0055309D">
        <w:t xml:space="preserve">that </w:t>
      </w:r>
      <w:r w:rsidR="00D30936" w:rsidRPr="0055309D">
        <w:t xml:space="preserve">it </w:t>
      </w:r>
      <w:r w:rsidR="00EC6FA9" w:rsidRPr="0055309D">
        <w:t xml:space="preserve">covers areas of high demand </w:t>
      </w:r>
      <w:r w:rsidR="00BB6554" w:rsidRPr="0055309D">
        <w:t xml:space="preserve">that </w:t>
      </w:r>
      <w:r w:rsidR="00EC6FA9" w:rsidRPr="0055309D">
        <w:t>include metropolitan and major regional population centres</w:t>
      </w:r>
      <w:r w:rsidR="00BB6554" w:rsidRPr="0055309D">
        <w:t>,</w:t>
      </w:r>
      <w:r w:rsidR="00EC6FA9" w:rsidRPr="0055309D">
        <w:t xml:space="preserve"> as well as key interconnecting population corridors and road/rail links. These respondents also indicated that </w:t>
      </w:r>
      <w:r w:rsidR="00552583" w:rsidRPr="0055309D">
        <w:t>a</w:t>
      </w:r>
      <w:r w:rsidR="005C0D90" w:rsidRPr="0055309D">
        <w:t>reas 1A, 1B, 2 and 3</w:t>
      </w:r>
      <w:r w:rsidR="00EC6FA9" w:rsidRPr="0055309D">
        <w:t xml:space="preserve"> </w:t>
      </w:r>
      <w:r w:rsidR="005C0D90" w:rsidRPr="0055309D">
        <w:t>combined are</w:t>
      </w:r>
      <w:r w:rsidR="00EC6FA9" w:rsidRPr="0055309D">
        <w:t xml:space="preserve"> large enough to reduce the effect of </w:t>
      </w:r>
      <w:r w:rsidR="00552583" w:rsidRPr="0055309D">
        <w:t>‘</w:t>
      </w:r>
      <w:r w:rsidR="00EC6FA9" w:rsidRPr="0055309D">
        <w:t>dead zones</w:t>
      </w:r>
      <w:r w:rsidR="00552583" w:rsidRPr="0055309D">
        <w:t>’</w:t>
      </w:r>
      <w:r w:rsidR="00EC6FA9" w:rsidRPr="0055309D">
        <w:t xml:space="preserve"> </w:t>
      </w:r>
      <w:r w:rsidR="0026115D" w:rsidRPr="0055309D">
        <w:t xml:space="preserve">in or around population centres </w:t>
      </w:r>
      <w:r w:rsidR="00EC6FA9" w:rsidRPr="0055309D">
        <w:t xml:space="preserve">and support meaningful deployments. </w:t>
      </w:r>
      <w:r w:rsidR="009B60B9" w:rsidRPr="0055309D">
        <w:t>However, there was also a request to</w:t>
      </w:r>
      <w:r w:rsidR="0026115D" w:rsidRPr="0055309D">
        <w:t xml:space="preserve"> include other areas of high demand</w:t>
      </w:r>
      <w:r w:rsidR="00552583" w:rsidRPr="0055309D">
        <w:t>,</w:t>
      </w:r>
      <w:r w:rsidR="0026115D" w:rsidRPr="0055309D">
        <w:t xml:space="preserve"> such as Darwin, Geraldton and the Pilbara. </w:t>
      </w:r>
      <w:r w:rsidR="0007167C" w:rsidRPr="0055309D">
        <w:t>One respondent also noted that a potential future restack of the broader 3400</w:t>
      </w:r>
      <w:r w:rsidR="00552583" w:rsidRPr="0055309D">
        <w:t>–</w:t>
      </w:r>
      <w:r w:rsidR="0007167C" w:rsidRPr="0055309D">
        <w:t xml:space="preserve">3700 MHz would not necessarily be inhibited by differing licence boundaries, as was evidenced by the 2015 restack of </w:t>
      </w:r>
      <w:r w:rsidR="005C0D90" w:rsidRPr="0055309D">
        <w:t>3.4 GHz band spectrum licences</w:t>
      </w:r>
      <w:r w:rsidR="0007167C" w:rsidRPr="0055309D">
        <w:t>.</w:t>
      </w:r>
    </w:p>
    <w:p w14:paraId="65AD1D5E" w14:textId="77777777" w:rsidR="0026115D" w:rsidRPr="0055309D" w:rsidRDefault="0026115D" w:rsidP="00777833">
      <w:r w:rsidRPr="0055309D">
        <w:t xml:space="preserve">Some respondents representing </w:t>
      </w:r>
      <w:r w:rsidR="00552583" w:rsidRPr="0055309D">
        <w:t>MBB</w:t>
      </w:r>
      <w:r w:rsidRPr="0055309D">
        <w:t xml:space="preserve"> industry views also commented on potential future lot configurations. Here</w:t>
      </w:r>
      <w:r w:rsidR="00552583" w:rsidRPr="0055309D">
        <w:t>,</w:t>
      </w:r>
      <w:r w:rsidRPr="0055309D">
        <w:t xml:space="preserve"> there appeared to be t</w:t>
      </w:r>
      <w:r w:rsidR="005C0D90" w:rsidRPr="0055309D">
        <w:t>w</w:t>
      </w:r>
      <w:r w:rsidRPr="0055309D">
        <w:t xml:space="preserve">o general views put forward. The first </w:t>
      </w:r>
      <w:r w:rsidR="009A40B1" w:rsidRPr="0055309D">
        <w:t>favoured</w:t>
      </w:r>
      <w:r w:rsidRPr="0055309D">
        <w:t xml:space="preserve"> </w:t>
      </w:r>
      <w:r w:rsidR="00714DD6" w:rsidRPr="0055309D">
        <w:t>the ability of operators</w:t>
      </w:r>
      <w:r w:rsidRPr="0055309D">
        <w:t xml:space="preserve"> to acquire lots in individual areas of geographical demand. The second </w:t>
      </w:r>
      <w:r w:rsidR="00714DD6" w:rsidRPr="0055309D">
        <w:t xml:space="preserve">view supported a single geographical lot covering </w:t>
      </w:r>
      <w:r w:rsidR="00552583" w:rsidRPr="0055309D">
        <w:t>a</w:t>
      </w:r>
      <w:r w:rsidR="00714DD6" w:rsidRPr="0055309D">
        <w:t>reas 1A, 1B, 2 and 3</w:t>
      </w:r>
      <w:r w:rsidRPr="0055309D">
        <w:t xml:space="preserve"> to avoid the creation of more </w:t>
      </w:r>
      <w:r w:rsidR="00F71171" w:rsidRPr="0055309D">
        <w:t>‘</w:t>
      </w:r>
      <w:r w:rsidRPr="0055309D">
        <w:t>dead zones</w:t>
      </w:r>
      <w:r w:rsidR="00F71171" w:rsidRPr="0055309D">
        <w:t>’</w:t>
      </w:r>
      <w:r w:rsidRPr="0055309D">
        <w:t>.</w:t>
      </w:r>
    </w:p>
    <w:p w14:paraId="3D4C7936" w14:textId="77777777" w:rsidR="00777833" w:rsidRDefault="0007167C" w:rsidP="00777833">
      <w:r w:rsidRPr="0055309D">
        <w:t>T</w:t>
      </w:r>
      <w:r w:rsidR="00777833" w:rsidRPr="0055309D">
        <w:t xml:space="preserve">here was little support for </w:t>
      </w:r>
      <w:r w:rsidR="006D1ED3" w:rsidRPr="0055309D">
        <w:t>o</w:t>
      </w:r>
      <w:r w:rsidR="00777833" w:rsidRPr="0055309D">
        <w:t>ptions 4a or 4b</w:t>
      </w:r>
      <w:r w:rsidRPr="0055309D">
        <w:t xml:space="preserve"> </w:t>
      </w:r>
      <w:r w:rsidR="00B45585" w:rsidRPr="0055309D">
        <w:t xml:space="preserve">(as defined in the Options paper) </w:t>
      </w:r>
      <w:r w:rsidRPr="0055309D">
        <w:t xml:space="preserve">from </w:t>
      </w:r>
      <w:r w:rsidR="006D1ED3" w:rsidRPr="0055309D">
        <w:t>MBB</w:t>
      </w:r>
      <w:r w:rsidRPr="0055309D">
        <w:t xml:space="preserve"> industry respondents</w:t>
      </w:r>
      <w:r w:rsidR="00777833" w:rsidRPr="0055309D">
        <w:t>. As discussed in the</w:t>
      </w:r>
      <w:r w:rsidR="00777833" w:rsidRPr="0055309D">
        <w:rPr>
          <w:i/>
        </w:rPr>
        <w:t xml:space="preserve"> </w:t>
      </w:r>
      <w:r w:rsidR="005C0D90" w:rsidRPr="0055309D">
        <w:rPr>
          <w:i/>
        </w:rPr>
        <w:t>Case for action and replanning options</w:t>
      </w:r>
      <w:r w:rsidR="00777833" w:rsidRPr="0055309D">
        <w:rPr>
          <w:i/>
        </w:rPr>
        <w:t xml:space="preserve"> </w:t>
      </w:r>
      <w:r w:rsidR="00777833" w:rsidRPr="0055309D">
        <w:t xml:space="preserve">section of this paper, mobile industry respondents typically did not support the development of sharing arrangements outside of the re-allocation period. </w:t>
      </w:r>
      <w:r w:rsidR="00EC6FA9" w:rsidRPr="0055309D">
        <w:t>Instead</w:t>
      </w:r>
      <w:r w:rsidR="006D1ED3" w:rsidRPr="0055309D">
        <w:t>,</w:t>
      </w:r>
      <w:r w:rsidR="00EC6FA9" w:rsidRPr="0055309D">
        <w:t xml:space="preserve"> they </w:t>
      </w:r>
      <w:r w:rsidR="00777833" w:rsidRPr="0055309D">
        <w:t xml:space="preserve">supported the use of commercial negotiations and </w:t>
      </w:r>
      <w:r w:rsidR="006D1ED3" w:rsidRPr="0055309D">
        <w:t>third-</w:t>
      </w:r>
      <w:r w:rsidR="00777833" w:rsidRPr="0055309D">
        <w:t xml:space="preserve">party authorisations as a basis for sharing beyond any </w:t>
      </w:r>
      <w:r w:rsidR="000E2110" w:rsidRPr="0055309D">
        <w:t>re-allocation</w:t>
      </w:r>
      <w:r w:rsidR="00777833" w:rsidRPr="0055309D">
        <w:t xml:space="preserve"> period. There was no support</w:t>
      </w:r>
      <w:r w:rsidR="00777833">
        <w:t xml:space="preserve"> for ongoing sharing arrangements that would restrict operators to deploying only small cells in areas </w:t>
      </w:r>
      <w:r w:rsidR="00714DD6">
        <w:t xml:space="preserve">with </w:t>
      </w:r>
      <w:r w:rsidR="00777833">
        <w:t>significant population. It was argued that this would dramatically diminish the value of the spectrum</w:t>
      </w:r>
      <w:r w:rsidR="009A40B1">
        <w:t>, p</w:t>
      </w:r>
      <w:r w:rsidR="00777833">
        <w:t>articularly given th</w:t>
      </w:r>
      <w:r w:rsidR="009A40B1">
        <w:t>at</w:t>
      </w:r>
      <w:r w:rsidR="00777833">
        <w:t xml:space="preserve"> planned use for the 3.6 GHz band </w:t>
      </w:r>
      <w:r w:rsidR="00777833" w:rsidRPr="0076060F">
        <w:t>is broad geographic coverage based on a macro-cell deployment model (with small-cell infill)</w:t>
      </w:r>
      <w:r w:rsidR="00777833">
        <w:t>.</w:t>
      </w:r>
      <w:r>
        <w:t xml:space="preserve"> </w:t>
      </w:r>
      <w:r w:rsidR="00D30936">
        <w:t>One respondent stated they were w</w:t>
      </w:r>
      <w:r w:rsidR="00D30936" w:rsidRPr="00841572">
        <w:t xml:space="preserve">orking to obtain </w:t>
      </w:r>
      <w:r w:rsidR="00D30936">
        <w:t xml:space="preserve">3.6 GHz cell sizes </w:t>
      </w:r>
      <w:r w:rsidR="00D30936" w:rsidRPr="00841572">
        <w:t xml:space="preserve">similar to </w:t>
      </w:r>
      <w:r w:rsidR="00D30936">
        <w:t xml:space="preserve">the </w:t>
      </w:r>
      <w:r w:rsidR="00D30936" w:rsidRPr="00841572">
        <w:t>1800</w:t>
      </w:r>
      <w:r w:rsidR="00E15FC7">
        <w:t> </w:t>
      </w:r>
      <w:r w:rsidR="00D30936" w:rsidRPr="00841572">
        <w:t>MHz</w:t>
      </w:r>
      <w:r w:rsidR="00D30936">
        <w:t xml:space="preserve"> band</w:t>
      </w:r>
      <w:r w:rsidR="006D1ED3">
        <w:t>—</w:t>
      </w:r>
      <w:r w:rsidR="009A40B1">
        <w:t xml:space="preserve">suggesting it </w:t>
      </w:r>
      <w:r w:rsidR="00D30936">
        <w:t>is likely mobile operators will re-use the existing 1800</w:t>
      </w:r>
      <w:r w:rsidR="00E15FC7">
        <w:t> </w:t>
      </w:r>
      <w:r w:rsidR="00D30936">
        <w:t>MHz sites. Another submitter supporting use of the band for small cell usage suggested the licence areas for such use should emulate those in the 1800</w:t>
      </w:r>
      <w:r w:rsidR="00E15FC7">
        <w:t> </w:t>
      </w:r>
      <w:r w:rsidR="00D30936">
        <w:t>MHz and 2.1</w:t>
      </w:r>
      <w:r w:rsidR="00E15FC7">
        <w:t> </w:t>
      </w:r>
      <w:r w:rsidR="00D30936">
        <w:t>GHz bands.</w:t>
      </w:r>
    </w:p>
    <w:p w14:paraId="39D2F332" w14:textId="77777777" w:rsidR="00EB43A7" w:rsidRPr="0055309D" w:rsidRDefault="00EB43A7" w:rsidP="00EB43A7">
      <w:pPr>
        <w:pStyle w:val="Heading3"/>
      </w:pPr>
      <w:bookmarkStart w:id="130" w:name="_Toc496620322"/>
      <w:r w:rsidRPr="00D358D9">
        <w:t xml:space="preserve">ACMA </w:t>
      </w:r>
      <w:r w:rsidRPr="0055309D">
        <w:t>response to submissions</w:t>
      </w:r>
      <w:bookmarkEnd w:id="130"/>
    </w:p>
    <w:p w14:paraId="6CC89230" w14:textId="77777777" w:rsidR="00881C34" w:rsidRPr="0055309D" w:rsidRDefault="00881C34" w:rsidP="00881C34">
      <w:r w:rsidRPr="0055309D">
        <w:t xml:space="preserve">As discussed in the </w:t>
      </w:r>
      <w:r w:rsidR="00714DD6" w:rsidRPr="0055309D">
        <w:rPr>
          <w:i/>
        </w:rPr>
        <w:t>Case for action and replanning options</w:t>
      </w:r>
      <w:r w:rsidRPr="0055309D">
        <w:rPr>
          <w:i/>
        </w:rPr>
        <w:t xml:space="preserve"> </w:t>
      </w:r>
      <w:r w:rsidRPr="0055309D">
        <w:t xml:space="preserve">section, the ACMA believes spectrum licensing is the most appropriate </w:t>
      </w:r>
      <w:r w:rsidR="00714DD6" w:rsidRPr="0055309D">
        <w:t>licence type for</w:t>
      </w:r>
      <w:r w:rsidRPr="0055309D">
        <w:t xml:space="preserve"> areas o</w:t>
      </w:r>
      <w:r w:rsidR="003C0CC6" w:rsidRPr="0055309D">
        <w:t>f high demand. When originally identifying</w:t>
      </w:r>
      <w:r w:rsidRPr="0055309D">
        <w:t xml:space="preserve"> this as a preferred re-farming option, the ACMA took into account that it will take a number of years for an operator to roll-out services covering a large portion of regional areas. Consequently</w:t>
      </w:r>
      <w:r w:rsidR="003A3532" w:rsidRPr="0055309D">
        <w:t>,</w:t>
      </w:r>
      <w:r w:rsidRPr="0055309D">
        <w:t xml:space="preserve"> an extended re-allocation period was proposed in regional areas</w:t>
      </w:r>
      <w:r w:rsidR="003A3532" w:rsidRPr="0055309D">
        <w:t>—r</w:t>
      </w:r>
      <w:r w:rsidRPr="0055309D">
        <w:t xml:space="preserve">efer to the </w:t>
      </w:r>
      <w:r w:rsidRPr="0055309D">
        <w:rPr>
          <w:i/>
        </w:rPr>
        <w:t>Length of the re-allocation period</w:t>
      </w:r>
      <w:r w:rsidRPr="0055309D">
        <w:t xml:space="preserve"> section of this paper for further discussion of this issue. In addition, under spectrum licence arrangements, incumbents </w:t>
      </w:r>
      <w:r w:rsidR="00E77227" w:rsidRPr="0055309D">
        <w:t>may seek t</w:t>
      </w:r>
      <w:r w:rsidRPr="0055309D">
        <w:t>o negotiate ongoing access to the spectrum beyond the re-allocation period</w:t>
      </w:r>
      <w:r w:rsidR="003A3532" w:rsidRPr="0055309D">
        <w:t>,</w:t>
      </w:r>
      <w:r w:rsidRPr="0055309D">
        <w:t xml:space="preserve"> as well as possible neutral host arrangements. </w:t>
      </w:r>
      <w:r w:rsidR="00714DD6" w:rsidRPr="0055309D">
        <w:t xml:space="preserve">Such an </w:t>
      </w:r>
      <w:r w:rsidRPr="0055309D">
        <w:t>approach could be taken in areas that a spectrum licensee either hasn’t or has no plans to deploy services</w:t>
      </w:r>
      <w:r w:rsidR="00E77227" w:rsidRPr="0055309D">
        <w:t>, with the licensee’s agreement</w:t>
      </w:r>
      <w:r w:rsidRPr="0055309D">
        <w:t>.</w:t>
      </w:r>
    </w:p>
    <w:p w14:paraId="659D3126" w14:textId="77777777" w:rsidR="00510E38" w:rsidRDefault="009E4612" w:rsidP="009E4612">
      <w:r w:rsidRPr="0055309D">
        <w:t xml:space="preserve">The ACMA acknowledges there are a number of different bands </w:t>
      </w:r>
      <w:r w:rsidR="00634279" w:rsidRPr="0055309D">
        <w:t xml:space="preserve">already </w:t>
      </w:r>
      <w:r w:rsidRPr="0055309D">
        <w:t xml:space="preserve">subject to spectrum licensing that can support </w:t>
      </w:r>
      <w:r w:rsidR="00677C45" w:rsidRPr="0055309D">
        <w:t xml:space="preserve">wire-area </w:t>
      </w:r>
      <w:r w:rsidRPr="0055309D">
        <w:t xml:space="preserve">MBB </w:t>
      </w:r>
      <w:r w:rsidR="00677C45" w:rsidRPr="0055309D">
        <w:t xml:space="preserve">deployments </w:t>
      </w:r>
      <w:r w:rsidRPr="0055309D">
        <w:t>in regional areas. However, comparisons o</w:t>
      </w:r>
      <w:r w:rsidR="00E77227" w:rsidRPr="0055309D">
        <w:t>f</w:t>
      </w:r>
      <w:r w:rsidRPr="0055309D">
        <w:t xml:space="preserve"> the current </w:t>
      </w:r>
      <w:r w:rsidR="00E77227" w:rsidRPr="0055309D">
        <w:t xml:space="preserve">level of use </w:t>
      </w:r>
      <w:r w:rsidRPr="0055309D">
        <w:t>of these bands need</w:t>
      </w:r>
      <w:r w:rsidR="00E77227" w:rsidRPr="0055309D">
        <w:t xml:space="preserve"> to take account of local circumstances</w:t>
      </w:r>
      <w:r w:rsidRPr="0055309D">
        <w:t xml:space="preserve">. Some of these </w:t>
      </w:r>
      <w:r w:rsidR="00677C45" w:rsidRPr="0055309D">
        <w:t xml:space="preserve">bands </w:t>
      </w:r>
      <w:r w:rsidRPr="0055309D">
        <w:t xml:space="preserve">have been available </w:t>
      </w:r>
      <w:r w:rsidR="00683D2C" w:rsidRPr="0055309D">
        <w:t xml:space="preserve">in regional areas </w:t>
      </w:r>
      <w:r w:rsidRPr="0055309D">
        <w:t xml:space="preserve">for </w:t>
      </w:r>
      <w:r w:rsidR="00683D2C" w:rsidRPr="0055309D">
        <w:t>fifteen or more years,</w:t>
      </w:r>
      <w:r w:rsidRPr="0055309D">
        <w:t xml:space="preserve"> </w:t>
      </w:r>
      <w:r w:rsidR="00677C45" w:rsidRPr="0055309D">
        <w:t>includ</w:t>
      </w:r>
      <w:r w:rsidR="00E77227" w:rsidRPr="0055309D">
        <w:t>ing</w:t>
      </w:r>
      <w:r w:rsidRPr="0055309D">
        <w:t xml:space="preserve"> the 850 MHz, 900 MHz and 2.1 GHz bands. </w:t>
      </w:r>
      <w:r w:rsidR="00683D2C" w:rsidRPr="0055309D">
        <w:t>I</w:t>
      </w:r>
      <w:r w:rsidRPr="0055309D">
        <w:t>n these bands</w:t>
      </w:r>
      <w:r w:rsidR="003A3532" w:rsidRPr="0055309D">
        <w:t>,</w:t>
      </w:r>
      <w:r w:rsidRPr="0055309D">
        <w:t xml:space="preserve"> </w:t>
      </w:r>
      <w:r w:rsidR="00683D2C" w:rsidRPr="0055309D">
        <w:t xml:space="preserve">licensees have had time to </w:t>
      </w:r>
      <w:r w:rsidRPr="0055309D">
        <w:t xml:space="preserve">rollout services </w:t>
      </w:r>
      <w:r w:rsidR="00683D2C" w:rsidRPr="0055309D">
        <w:t xml:space="preserve">over a large geographical area </w:t>
      </w:r>
      <w:r w:rsidRPr="0055309D">
        <w:t xml:space="preserve">and </w:t>
      </w:r>
      <w:proofErr w:type="spellStart"/>
      <w:r w:rsidRPr="0055309D">
        <w:t>densify</w:t>
      </w:r>
      <w:proofErr w:type="spellEnd"/>
      <w:r w:rsidRPr="0055309D">
        <w:t xml:space="preserve"> their network</w:t>
      </w:r>
      <w:r w:rsidR="00683D2C" w:rsidRPr="0055309D">
        <w:t>. A</w:t>
      </w:r>
      <w:r w:rsidRPr="0055309D">
        <w:t>s such</w:t>
      </w:r>
      <w:r w:rsidR="003A3532" w:rsidRPr="0055309D">
        <w:t>,</w:t>
      </w:r>
      <w:r w:rsidRPr="0055309D">
        <w:t xml:space="preserve"> they </w:t>
      </w:r>
      <w:r w:rsidR="00634279" w:rsidRPr="0055309D">
        <w:t xml:space="preserve">already </w:t>
      </w:r>
      <w:r w:rsidRPr="0055309D">
        <w:t xml:space="preserve">have significant deployments in regional areas. </w:t>
      </w:r>
      <w:r w:rsidR="00683D2C" w:rsidRPr="0055309D">
        <w:t>In other bands,</w:t>
      </w:r>
      <w:r w:rsidRPr="0055309D">
        <w:t xml:space="preserve"> which have only been made available in regional areas in the last </w:t>
      </w:r>
      <w:r w:rsidR="003A3532" w:rsidRPr="0055309D">
        <w:t>one to three</w:t>
      </w:r>
      <w:r w:rsidRPr="0055309D">
        <w:t xml:space="preserve"> years</w:t>
      </w:r>
      <w:r w:rsidR="00634279" w:rsidRPr="0055309D">
        <w:t>, there are</w:t>
      </w:r>
      <w:r w:rsidR="00683D2C" w:rsidRPr="0055309D">
        <w:t xml:space="preserve"> understandably fewer deployments</w:t>
      </w:r>
      <w:r w:rsidRPr="0055309D">
        <w:t>.</w:t>
      </w:r>
      <w:r w:rsidR="003A3532" w:rsidRPr="0055309D">
        <w:t xml:space="preserve"> </w:t>
      </w:r>
      <w:r w:rsidR="00683D2C" w:rsidRPr="0055309D">
        <w:t>These bands</w:t>
      </w:r>
      <w:r w:rsidR="00683D2C">
        <w:t xml:space="preserve"> include the 700 MHz, 1800 MHz and 2.5 GHz bands. However, b</w:t>
      </w:r>
      <w:r>
        <w:t xml:space="preserve">ased on device registrations on the ACMA licence database, </w:t>
      </w:r>
      <w:r w:rsidR="00677C45">
        <w:t xml:space="preserve">the </w:t>
      </w:r>
      <w:r w:rsidR="00E77227">
        <w:t xml:space="preserve">number of </w:t>
      </w:r>
      <w:r w:rsidR="00677C45">
        <w:t xml:space="preserve">devices </w:t>
      </w:r>
      <w:r>
        <w:t>is changing rapidly</w:t>
      </w:r>
      <w:r w:rsidR="00677C45">
        <w:t xml:space="preserve"> in these bands</w:t>
      </w:r>
      <w:r>
        <w:t xml:space="preserve">, and </w:t>
      </w:r>
      <w:r w:rsidR="00677C45">
        <w:t>is</w:t>
      </w:r>
      <w:r>
        <w:t xml:space="preserve"> expected to continue growing over the coming years.</w:t>
      </w:r>
      <w:r w:rsidR="00683D2C">
        <w:t xml:space="preserve"> </w:t>
      </w:r>
      <w:r w:rsidR="00E77227">
        <w:t>Moreover</w:t>
      </w:r>
      <w:r w:rsidR="00683D2C">
        <w:t xml:space="preserve">, the </w:t>
      </w:r>
      <w:r>
        <w:t xml:space="preserve">rollout of services </w:t>
      </w:r>
      <w:r w:rsidR="00683D2C">
        <w:t>is anticipated to</w:t>
      </w:r>
      <w:r>
        <w:t xml:space="preserve"> </w:t>
      </w:r>
      <w:r w:rsidR="00634279">
        <w:t xml:space="preserve">be </w:t>
      </w:r>
      <w:r>
        <w:t xml:space="preserve">faster than in the past. This is due </w:t>
      </w:r>
      <w:r w:rsidR="00634279">
        <w:t xml:space="preserve">to </w:t>
      </w:r>
      <w:r>
        <w:t xml:space="preserve">the increasing demand for data and the ability for licensees to re-use existing sites </w:t>
      </w:r>
      <w:r w:rsidR="00510E38">
        <w:t xml:space="preserve">(noting the number of new sites is </w:t>
      </w:r>
      <w:r>
        <w:t>also expected</w:t>
      </w:r>
      <w:r w:rsidR="00510E38">
        <w:t xml:space="preserve"> </w:t>
      </w:r>
      <w:r w:rsidR="00634279">
        <w:t xml:space="preserve">to </w:t>
      </w:r>
      <w:r w:rsidR="00510E38">
        <w:t>grow)</w:t>
      </w:r>
      <w:r>
        <w:t>. Therefore</w:t>
      </w:r>
      <w:r w:rsidR="003A3532">
        <w:t>,</w:t>
      </w:r>
      <w:r>
        <w:t xml:space="preserve"> in assessing </w:t>
      </w:r>
      <w:r w:rsidR="00510E38">
        <w:t xml:space="preserve">the </w:t>
      </w:r>
      <w:r>
        <w:t>likely</w:t>
      </w:r>
      <w:r w:rsidR="00510E38">
        <w:t xml:space="preserve"> level of use of</w:t>
      </w:r>
      <w:r>
        <w:t xml:space="preserve"> a new band, it is considered appropriate to look at more mature bands, such as 850 MHz, 900 MHz and 2.1 GHz bands and</w:t>
      </w:r>
      <w:r w:rsidR="003A3532">
        <w:t>,</w:t>
      </w:r>
      <w:r>
        <w:t xml:space="preserve"> as far as possible</w:t>
      </w:r>
      <w:r w:rsidR="003A3532">
        <w:t>,</w:t>
      </w:r>
      <w:r>
        <w:t xml:space="preserve"> pick one that will have similar cell coverage capabilities.</w:t>
      </w:r>
      <w:r w:rsidR="00510E38">
        <w:t xml:space="preserve"> Newer bands </w:t>
      </w:r>
      <w:r w:rsidR="00712AF5">
        <w:t>c</w:t>
      </w:r>
      <w:r w:rsidR="00510E38">
        <w:t xml:space="preserve">ould also be considered to compare current levels of use and determine the pace of </w:t>
      </w:r>
      <w:r w:rsidR="000162DA">
        <w:t xml:space="preserve">new </w:t>
      </w:r>
      <w:r w:rsidR="00510E38">
        <w:t xml:space="preserve">deployments. </w:t>
      </w:r>
    </w:p>
    <w:p w14:paraId="5A73666E" w14:textId="77777777" w:rsidR="00A10ADA" w:rsidRDefault="00A10ADA" w:rsidP="00D06B3C">
      <w:r>
        <w:t>When determining likely areas of high demand</w:t>
      </w:r>
      <w:r w:rsidR="003A3532">
        <w:t>,</w:t>
      </w:r>
      <w:r>
        <w:t xml:space="preserve"> the ACMA considered the extent of existing device registrations in the 1800 MHz, 2.1 GHz, </w:t>
      </w:r>
      <w:proofErr w:type="gramStart"/>
      <w:r>
        <w:t>2.3</w:t>
      </w:r>
      <w:proofErr w:type="gramEnd"/>
      <w:r>
        <w:t xml:space="preserve"> GHz and 2.5 GHz bands. This was on the basis that with the aid of new technologies, cell coverage in the 3.</w:t>
      </w:r>
      <w:r w:rsidR="003A3532">
        <w:t>6 </w:t>
      </w:r>
      <w:r>
        <w:t>GHz band will be similar to existing deployments in these bands</w:t>
      </w:r>
      <w:r w:rsidR="003A3532">
        <w:t>.</w:t>
      </w:r>
      <w:r w:rsidRPr="008875E2">
        <w:rPr>
          <w:vertAlign w:val="superscript"/>
        </w:rPr>
        <w:footnoteReference w:id="11"/>
      </w:r>
      <w:r>
        <w:t xml:space="preserve"> This was supported in Huawei’s submission to the Options paper, wh</w:t>
      </w:r>
      <w:r w:rsidR="00E77227">
        <w:t xml:space="preserve">ich </w:t>
      </w:r>
      <w:r>
        <w:t xml:space="preserve">indicated </w:t>
      </w:r>
      <w:r w:rsidR="00E77227">
        <w:t>the company was</w:t>
      </w:r>
      <w:r>
        <w:t xml:space="preserve"> w</w:t>
      </w:r>
      <w:r w:rsidRPr="00841572">
        <w:t xml:space="preserve">orking to obtain </w:t>
      </w:r>
      <w:r>
        <w:t xml:space="preserve">3.6 GHz cell sizes </w:t>
      </w:r>
      <w:r w:rsidRPr="00841572">
        <w:t xml:space="preserve">similar to </w:t>
      </w:r>
      <w:r>
        <w:t xml:space="preserve">the </w:t>
      </w:r>
      <w:r w:rsidRPr="00841572">
        <w:t>1800 MHz</w:t>
      </w:r>
      <w:r>
        <w:t xml:space="preserve"> band</w:t>
      </w:r>
      <w:r w:rsidR="00634279">
        <w:t xml:space="preserve">. </w:t>
      </w:r>
      <w:r>
        <w:t xml:space="preserve">The ACMA </w:t>
      </w:r>
      <w:r w:rsidR="0006079F">
        <w:t>remains persuaded t</w:t>
      </w:r>
      <w:r>
        <w:t xml:space="preserve">his is a reasonable approach to determining </w:t>
      </w:r>
      <w:r w:rsidR="000162DA">
        <w:t xml:space="preserve">likely </w:t>
      </w:r>
      <w:r>
        <w:t>areas of high demand</w:t>
      </w:r>
      <w:r w:rsidR="003A3532">
        <w:t>,</w:t>
      </w:r>
      <w:r>
        <w:t xml:space="preserve"> and that </w:t>
      </w:r>
      <w:r w:rsidR="003A3532">
        <w:t>a</w:t>
      </w:r>
      <w:r>
        <w:t>rea</w:t>
      </w:r>
      <w:r w:rsidR="000162DA">
        <w:t>s 1A, 1B, 2 and</w:t>
      </w:r>
      <w:r>
        <w:t xml:space="preserve"> 3 encompasses such areas. </w:t>
      </w:r>
      <w:r w:rsidR="00634279">
        <w:t xml:space="preserve">While </w:t>
      </w:r>
      <w:r>
        <w:t>th</w:t>
      </w:r>
      <w:r w:rsidR="00CA0ED5">
        <w:t>e</w:t>
      </w:r>
      <w:r>
        <w:t xml:space="preserve"> </w:t>
      </w:r>
      <w:r w:rsidR="00634279">
        <w:t xml:space="preserve">inclusion of </w:t>
      </w:r>
      <w:r>
        <w:t xml:space="preserve">Darwin and Geraldton </w:t>
      </w:r>
      <w:r w:rsidR="000162DA">
        <w:t xml:space="preserve">areas </w:t>
      </w:r>
      <w:r w:rsidR="00634279">
        <w:t>was considered</w:t>
      </w:r>
      <w:r w:rsidR="00CA0ED5">
        <w:t>,</w:t>
      </w:r>
      <w:r w:rsidR="00634279">
        <w:t xml:space="preserve"> </w:t>
      </w:r>
      <w:r w:rsidR="00CA0ED5">
        <w:t>t</w:t>
      </w:r>
      <w:r w:rsidR="00634279">
        <w:t xml:space="preserve">hey were, in the end, </w:t>
      </w:r>
      <w:r w:rsidR="000162DA">
        <w:t>excluded</w:t>
      </w:r>
      <w:r w:rsidR="00634279">
        <w:t>. This is because</w:t>
      </w:r>
      <w:r>
        <w:t xml:space="preserve"> there are additional coordination requirements within those locations that would restrict the ability of a licensee to deploy services. </w:t>
      </w:r>
      <w:r w:rsidR="00B36F9E">
        <w:t>Consequently</w:t>
      </w:r>
      <w:r w:rsidR="003A3532">
        <w:t>,</w:t>
      </w:r>
      <w:r w:rsidR="00B36F9E">
        <w:t xml:space="preserve"> </w:t>
      </w:r>
      <w:r w:rsidR="00B36F9E" w:rsidRPr="00B36F9E">
        <w:t>it is recommended that existing site-based apparatus licensing arrangements remain in place</w:t>
      </w:r>
      <w:r w:rsidR="00B36F9E">
        <w:t xml:space="preserve"> at these locations</w:t>
      </w:r>
      <w:r w:rsidR="00B36F9E" w:rsidRPr="00B36F9E">
        <w:t>.</w:t>
      </w:r>
      <w:r w:rsidR="00B36F9E">
        <w:t xml:space="preserve"> The ACMA also does not agree that the Pilbara should be included, given its remote location, low population density and distance from any major towns, highways or roads. </w:t>
      </w:r>
      <w:r w:rsidR="0047270D">
        <w:t>On this basis</w:t>
      </w:r>
      <w:r w:rsidR="003A3532">
        <w:t>,</w:t>
      </w:r>
      <w:r w:rsidR="0047270D">
        <w:t xml:space="preserve"> the ACMA remains of the view that apparatus licens</w:t>
      </w:r>
      <w:r w:rsidR="00D365C5">
        <w:t>e arrangements</w:t>
      </w:r>
      <w:r w:rsidR="0047270D">
        <w:t xml:space="preserve"> remains </w:t>
      </w:r>
      <w:r w:rsidR="00D070B3">
        <w:t>the most</w:t>
      </w:r>
      <w:r w:rsidR="0047270D">
        <w:t xml:space="preserve"> effective means </w:t>
      </w:r>
      <w:r w:rsidR="003A3532">
        <w:t xml:space="preserve">for </w:t>
      </w:r>
      <w:r w:rsidR="0047270D">
        <w:t xml:space="preserve">managing </w:t>
      </w:r>
      <w:r w:rsidR="00D365C5">
        <w:t>access to</w:t>
      </w:r>
      <w:r w:rsidR="0047270D">
        <w:t xml:space="preserve"> spectrum</w:t>
      </w:r>
      <w:r w:rsidR="00D365C5">
        <w:t xml:space="preserve"> in that area</w:t>
      </w:r>
      <w:r w:rsidR="0047270D">
        <w:t>.</w:t>
      </w:r>
      <w:r w:rsidR="00336E17">
        <w:t xml:space="preserve"> </w:t>
      </w:r>
    </w:p>
    <w:p w14:paraId="182D6BD2" w14:textId="77777777" w:rsidR="00881C34" w:rsidRPr="0055309D" w:rsidRDefault="002A6B63" w:rsidP="00881C34">
      <w:r>
        <w:t>The ACMA h</w:t>
      </w:r>
      <w:r w:rsidR="00833C53">
        <w:t xml:space="preserve">as also taken into account </w:t>
      </w:r>
      <w:r>
        <w:t>incumbent</w:t>
      </w:r>
      <w:r w:rsidR="003A3532">
        <w:t>-</w:t>
      </w:r>
      <w:r>
        <w:t xml:space="preserve">licensed FSS earth stations in the 3.6 GHz band when defining </w:t>
      </w:r>
      <w:r w:rsidR="000C336C">
        <w:t xml:space="preserve">and assessing </w:t>
      </w:r>
      <w:r>
        <w:t xml:space="preserve">areas of high demand and alternative options for them. For </w:t>
      </w:r>
      <w:r w:rsidR="00881C34">
        <w:t xml:space="preserve">those </w:t>
      </w:r>
      <w:r>
        <w:t>facilities located in regional and remote areas, options to support their ongoing use are proposed</w:t>
      </w:r>
      <w:r w:rsidR="00881C34">
        <w:t xml:space="preserve">. This includes </w:t>
      </w:r>
      <w:r w:rsidR="00517C6D">
        <w:t>further investigating</w:t>
      </w:r>
      <w:r w:rsidR="00881C34">
        <w:t xml:space="preserve"> Option 4b to support ongoing use of the 3.6 GHz band by </w:t>
      </w:r>
      <w:r w:rsidR="00D365C5">
        <w:t xml:space="preserve">the </w:t>
      </w:r>
      <w:r w:rsidR="00881C34">
        <w:t xml:space="preserve">earth station facility located near Uralla in regional </w:t>
      </w:r>
      <w:r w:rsidR="00881C34" w:rsidRPr="0055309D">
        <w:t>Australia</w:t>
      </w:r>
      <w:r w:rsidRPr="0055309D">
        <w:t xml:space="preserve">. For </w:t>
      </w:r>
      <w:r w:rsidR="00881C34" w:rsidRPr="0055309D">
        <w:t xml:space="preserve">those </w:t>
      </w:r>
      <w:r w:rsidRPr="0055309D">
        <w:t>facilities located in major cities (areas where demand for MBB will be highest)</w:t>
      </w:r>
      <w:r w:rsidR="003A3532" w:rsidRPr="0055309D">
        <w:t>,</w:t>
      </w:r>
      <w:r w:rsidR="00881C34" w:rsidRPr="0055309D">
        <w:t xml:space="preserve"> other options need to be investigated</w:t>
      </w:r>
      <w:r w:rsidR="003A3532" w:rsidRPr="0055309D">
        <w:t>,</w:t>
      </w:r>
      <w:r w:rsidR="000C336C" w:rsidRPr="0055309D">
        <w:t xml:space="preserve"> given sharing is not deemed </w:t>
      </w:r>
      <w:r w:rsidR="00D365C5" w:rsidRPr="0055309D">
        <w:t xml:space="preserve">a </w:t>
      </w:r>
      <w:r w:rsidR="000C336C" w:rsidRPr="0055309D">
        <w:t>practical</w:t>
      </w:r>
      <w:r w:rsidR="00D365C5" w:rsidRPr="0055309D">
        <w:t xml:space="preserve"> outcome</w:t>
      </w:r>
      <w:r w:rsidRPr="0055309D">
        <w:t xml:space="preserve">. </w:t>
      </w:r>
      <w:r w:rsidR="00D365C5" w:rsidRPr="0055309D">
        <w:t xml:space="preserve">Potential options for one or more east coast </w:t>
      </w:r>
      <w:r w:rsidR="003A3532" w:rsidRPr="0055309D">
        <w:t>e</w:t>
      </w:r>
      <w:r w:rsidR="00D365C5" w:rsidRPr="0055309D">
        <w:t>arth station protection zones have also been considered.</w:t>
      </w:r>
      <w:r w:rsidRPr="0055309D">
        <w:t xml:space="preserve"> </w:t>
      </w:r>
      <w:r w:rsidR="00881C34" w:rsidRPr="0055309D">
        <w:t xml:space="preserve">This is discussed further in the </w:t>
      </w:r>
      <w:r w:rsidR="00881C34" w:rsidRPr="0055309D">
        <w:rPr>
          <w:i/>
        </w:rPr>
        <w:t>Options for incumbent FSS earth station licensees</w:t>
      </w:r>
      <w:r w:rsidR="00881C34" w:rsidRPr="0055309D">
        <w:t xml:space="preserve"> section of this paper. </w:t>
      </w:r>
    </w:p>
    <w:p w14:paraId="218E134F" w14:textId="77777777" w:rsidR="002C487F" w:rsidRPr="0055309D" w:rsidRDefault="000415C9" w:rsidP="000047E7">
      <w:pPr>
        <w:pStyle w:val="Heading3"/>
        <w:shd w:val="clear" w:color="auto" w:fill="F2F2F2" w:themeFill="background1" w:themeFillShade="F2"/>
      </w:pPr>
      <w:bookmarkStart w:id="131" w:name="_Toc496620323"/>
      <w:r w:rsidRPr="0055309D">
        <w:rPr>
          <w:rStyle w:val="Heading2Char"/>
          <w:b/>
          <w:bCs/>
          <w:iCs w:val="0"/>
          <w:sz w:val="20"/>
          <w:szCs w:val="26"/>
        </w:rPr>
        <w:t>ACMA</w:t>
      </w:r>
      <w:r w:rsidRPr="0055309D">
        <w:t xml:space="preserve"> </w:t>
      </w:r>
      <w:r w:rsidR="003A3532" w:rsidRPr="0055309D">
        <w:rPr>
          <w:rStyle w:val="Heading2Char"/>
          <w:b/>
          <w:bCs/>
          <w:iCs w:val="0"/>
          <w:sz w:val="20"/>
          <w:szCs w:val="26"/>
        </w:rPr>
        <w:t>d</w:t>
      </w:r>
      <w:r w:rsidRPr="0055309D">
        <w:rPr>
          <w:rStyle w:val="Heading2Char"/>
          <w:b/>
          <w:bCs/>
          <w:iCs w:val="0"/>
          <w:sz w:val="20"/>
          <w:szCs w:val="26"/>
        </w:rPr>
        <w:t>ecision</w:t>
      </w:r>
      <w:bookmarkEnd w:id="131"/>
      <w:r w:rsidRPr="0055309D">
        <w:t xml:space="preserve"> </w:t>
      </w:r>
    </w:p>
    <w:p w14:paraId="62878421" w14:textId="77777777" w:rsidR="003A3532" w:rsidRPr="0055309D" w:rsidRDefault="003A3532" w:rsidP="000047E7">
      <w:pPr>
        <w:shd w:val="clear" w:color="auto" w:fill="F2F2F2" w:themeFill="background1" w:themeFillShade="F2"/>
        <w:spacing w:after="80"/>
      </w:pPr>
      <w:r w:rsidRPr="0055309D">
        <w:t>After considering the information provided in submissions, the ACMA has come to the following conclusions regarding geographical area options for re-farming in the 3.6 GHz band:</w:t>
      </w:r>
    </w:p>
    <w:p w14:paraId="03E4DC4E" w14:textId="77777777" w:rsidR="003A3532" w:rsidRPr="0055309D" w:rsidRDefault="003A3532" w:rsidP="003A3532">
      <w:pPr>
        <w:pStyle w:val="ListBullet"/>
        <w:shd w:val="clear" w:color="auto" w:fill="F2F2F2" w:themeFill="background1" w:themeFillShade="F2"/>
      </w:pPr>
      <w:r w:rsidRPr="0055309D">
        <w:t>Areas 1A, 1B, 2 and 3 cover the most likely areas of high demand and should be included in the areas in the 3.6 GHz band that are recommended to the minister for re-allocation for the issue of spectrum licences.</w:t>
      </w:r>
    </w:p>
    <w:p w14:paraId="7DE4488A" w14:textId="77777777" w:rsidR="003A3532" w:rsidRPr="0055309D" w:rsidRDefault="003A3532" w:rsidP="003A3532">
      <w:pPr>
        <w:pStyle w:val="ListBulletLast"/>
        <w:shd w:val="clear" w:color="auto" w:fill="F2F2F2" w:themeFill="background1" w:themeFillShade="F2"/>
      </w:pPr>
      <w:r w:rsidRPr="0055309D">
        <w:t xml:space="preserve">Specific areas will be further considered to be excised from areas 2 and 3. These excised areas could be used to assist in the identification of one or more potential east coast earth station protection zone(s), and to support the ongoing use of the 3.6 GHz band by the FSS earth station facility near Uralla. Refer to </w:t>
      </w:r>
      <w:r w:rsidRPr="0055309D">
        <w:rPr>
          <w:i/>
        </w:rPr>
        <w:t>Options for incumbent FSS earth station licensees</w:t>
      </w:r>
      <w:r w:rsidRPr="0055309D">
        <w:t xml:space="preserve"> section of this paper for details.</w:t>
      </w:r>
    </w:p>
    <w:p w14:paraId="39BFDCC8" w14:textId="77777777" w:rsidR="00F1358B" w:rsidRPr="00D358D9" w:rsidRDefault="00441432" w:rsidP="00F1358B">
      <w:pPr>
        <w:pStyle w:val="Heading2"/>
      </w:pPr>
      <w:bookmarkStart w:id="132" w:name="_Toc494375841"/>
      <w:bookmarkStart w:id="133" w:name="_Toc494378914"/>
      <w:bookmarkStart w:id="134" w:name="_Toc495935485"/>
      <w:bookmarkStart w:id="135" w:name="_Toc495935515"/>
      <w:bookmarkStart w:id="136" w:name="_Toc496620324"/>
      <w:r>
        <w:t>Length of re-allocation period</w:t>
      </w:r>
      <w:bookmarkEnd w:id="132"/>
      <w:bookmarkEnd w:id="133"/>
      <w:bookmarkEnd w:id="134"/>
      <w:bookmarkEnd w:id="135"/>
      <w:bookmarkEnd w:id="136"/>
    </w:p>
    <w:p w14:paraId="1085A7DF" w14:textId="77777777" w:rsidR="00441432" w:rsidRDefault="00F1358B" w:rsidP="00F1358B">
      <w:r>
        <w:t xml:space="preserve">The Options paper </w:t>
      </w:r>
      <w:r w:rsidR="00441432">
        <w:t xml:space="preserve">indicated that in the event a decision is made to re-allocate for spectrum licensing any part of the 3.6 GHz band, </w:t>
      </w:r>
      <w:r w:rsidR="00621B7A">
        <w:t>there</w:t>
      </w:r>
      <w:r w:rsidR="00441432">
        <w:t xml:space="preserve"> would be </w:t>
      </w:r>
      <w:r w:rsidR="004028C9">
        <w:t>a need to define</w:t>
      </w:r>
      <w:r w:rsidR="00441432">
        <w:t xml:space="preserve"> an associated re-alloca</w:t>
      </w:r>
      <w:r w:rsidR="00621B7A">
        <w:t>tion period</w:t>
      </w:r>
      <w:r w:rsidR="00441432">
        <w:t xml:space="preserve">. Different issues for consideration when determining the length of </w:t>
      </w:r>
      <w:r w:rsidR="004028C9">
        <w:t>the</w:t>
      </w:r>
      <w:r w:rsidR="00441432">
        <w:t xml:space="preserve"> re-allocat</w:t>
      </w:r>
      <w:r w:rsidR="00EE3D10">
        <w:t>ion period were also discussed.</w:t>
      </w:r>
      <w:r w:rsidR="00441432">
        <w:t xml:space="preserve"> </w:t>
      </w:r>
      <w:r w:rsidR="00EE3D10">
        <w:t xml:space="preserve">This took </w:t>
      </w:r>
      <w:r w:rsidR="00441432">
        <w:t xml:space="preserve">into account </w:t>
      </w:r>
      <w:r w:rsidR="00EE3D10">
        <w:t xml:space="preserve">issues relevant to </w:t>
      </w:r>
      <w:r w:rsidR="00441432">
        <w:t>incumbents</w:t>
      </w:r>
      <w:r w:rsidR="003A3532">
        <w:t xml:space="preserve"> and </w:t>
      </w:r>
      <w:r w:rsidR="00621B7A">
        <w:t>prospective</w:t>
      </w:r>
      <w:r w:rsidR="00441432">
        <w:t xml:space="preserve"> new licensees</w:t>
      </w:r>
      <w:r w:rsidR="003A3532">
        <w:t>,</w:t>
      </w:r>
      <w:r w:rsidR="00441432">
        <w:t xml:space="preserve"> a</w:t>
      </w:r>
      <w:r w:rsidR="004028C9">
        <w:t>s well as</w:t>
      </w:r>
      <w:r w:rsidR="00441432">
        <w:t xml:space="preserve"> legislative requirements.</w:t>
      </w:r>
      <w:r w:rsidR="00EE3D10">
        <w:t xml:space="preserve"> Importantly</w:t>
      </w:r>
      <w:r w:rsidR="00C07CBE">
        <w:t>,</w:t>
      </w:r>
      <w:r w:rsidR="00441432">
        <w:t xml:space="preserve"> any period specified must be a minimum of </w:t>
      </w:r>
      <w:r w:rsidR="00C07CBE">
        <w:t>two</w:t>
      </w:r>
      <w:r w:rsidR="00441432">
        <w:t xml:space="preserve"> years</w:t>
      </w:r>
      <w:r w:rsidR="004028C9">
        <w:t xml:space="preserve"> and</w:t>
      </w:r>
      <w:r w:rsidR="00EE3D10">
        <w:t xml:space="preserve"> </w:t>
      </w:r>
      <w:r w:rsidR="00441432">
        <w:t>different periods can be defined for different areas</w:t>
      </w:r>
      <w:r w:rsidR="007E534E">
        <w:t xml:space="preserve"> (but not individual services)</w:t>
      </w:r>
      <w:r w:rsidR="00441432">
        <w:t xml:space="preserve">. </w:t>
      </w:r>
      <w:r w:rsidR="00E94A67">
        <w:t>Importantly</w:t>
      </w:r>
      <w:r w:rsidR="00C07CBE">
        <w:t>,</w:t>
      </w:r>
      <w:r w:rsidR="00E94A67">
        <w:t xml:space="preserve"> this period does not commence until the </w:t>
      </w:r>
      <w:r w:rsidR="00C07CBE">
        <w:t>m</w:t>
      </w:r>
      <w:r w:rsidR="00E94A67">
        <w:t xml:space="preserve">inister </w:t>
      </w:r>
      <w:r w:rsidR="004028C9">
        <w:t xml:space="preserve">actually </w:t>
      </w:r>
      <w:r w:rsidR="00E94A67">
        <w:t xml:space="preserve">makes a </w:t>
      </w:r>
      <w:r w:rsidR="004028C9">
        <w:t xml:space="preserve">written </w:t>
      </w:r>
      <w:r w:rsidR="00E94A67">
        <w:t>re-allocation declaration</w:t>
      </w:r>
      <w:r w:rsidR="00B527A6">
        <w:t xml:space="preserve"> or declarations</w:t>
      </w:r>
      <w:r w:rsidR="00E94A67">
        <w:t xml:space="preserve"> for a band</w:t>
      </w:r>
      <w:r w:rsidR="004028C9">
        <w:t xml:space="preserve"> under section 153B of the Act</w:t>
      </w:r>
      <w:r w:rsidR="00E94A67">
        <w:t>.</w:t>
      </w:r>
    </w:p>
    <w:p w14:paraId="7285C6DD" w14:textId="77777777" w:rsidR="00F1358B" w:rsidRDefault="00EE3D10" w:rsidP="00F018ED">
      <w:r>
        <w:t xml:space="preserve">Under the </w:t>
      </w:r>
      <w:r w:rsidR="00441432">
        <w:t>ACMA</w:t>
      </w:r>
      <w:r w:rsidR="004028C9">
        <w:t>’s</w:t>
      </w:r>
      <w:r w:rsidR="00441432">
        <w:t xml:space="preserve"> preliminary view </w:t>
      </w:r>
      <w:r>
        <w:t>detailed in the Options paper, a</w:t>
      </w:r>
      <w:r w:rsidR="00441432">
        <w:t xml:space="preserve"> seven</w:t>
      </w:r>
      <w:r w:rsidR="00C07CBE">
        <w:t>-</w:t>
      </w:r>
      <w:r w:rsidR="00441432">
        <w:t xml:space="preserve">year re-allocation period for all </w:t>
      </w:r>
      <w:r w:rsidR="004028C9">
        <w:t>areas</w:t>
      </w:r>
      <w:r>
        <w:t xml:space="preserve"> was proposed</w:t>
      </w:r>
      <w:r w:rsidR="00441432">
        <w:t xml:space="preserve">. </w:t>
      </w:r>
    </w:p>
    <w:p w14:paraId="112AF69D" w14:textId="77777777" w:rsidR="00665B9F" w:rsidRPr="00F018ED" w:rsidRDefault="00665B9F" w:rsidP="00C07CBE">
      <w:pPr>
        <w:spacing w:after="80"/>
        <w:contextualSpacing/>
      </w:pPr>
      <w:r>
        <w:t>The Options paper asked the following questions related to this issue:</w:t>
      </w:r>
    </w:p>
    <w:p w14:paraId="38438EEC" w14:textId="77777777" w:rsidR="00F018ED" w:rsidRPr="00F018ED" w:rsidRDefault="00F018ED" w:rsidP="00C07CBE">
      <w:pPr>
        <w:pStyle w:val="ListParagraph"/>
        <w:numPr>
          <w:ilvl w:val="0"/>
          <w:numId w:val="18"/>
        </w:numPr>
        <w:shd w:val="clear" w:color="auto" w:fill="F2F2F2" w:themeFill="background1" w:themeFillShade="F2"/>
        <w:spacing w:after="80"/>
        <w:ind w:left="357" w:hanging="357"/>
        <w:contextualSpacing w:val="0"/>
        <w:rPr>
          <w:b/>
        </w:rPr>
      </w:pPr>
      <w:r w:rsidRPr="006D6661">
        <w:rPr>
          <w:b/>
        </w:rPr>
        <w:t xml:space="preserve">If </w:t>
      </w:r>
      <w:r>
        <w:rPr>
          <w:b/>
        </w:rPr>
        <w:t xml:space="preserve">any part of </w:t>
      </w:r>
      <w:r w:rsidRPr="006D6661">
        <w:rPr>
          <w:b/>
        </w:rPr>
        <w:t>the 3.6</w:t>
      </w:r>
      <w:r>
        <w:rPr>
          <w:b/>
        </w:rPr>
        <w:t> GHz</w:t>
      </w:r>
      <w:r w:rsidRPr="006D6661">
        <w:rPr>
          <w:b/>
        </w:rPr>
        <w:t xml:space="preserve"> band is</w:t>
      </w:r>
      <w:r>
        <w:rPr>
          <w:b/>
        </w:rPr>
        <w:t xml:space="preserve"> re-allocated for the issue of spectrum licences is seven years a suitable re-allocation period? If not, what period of time would be appropriate?</w:t>
      </w:r>
    </w:p>
    <w:p w14:paraId="12CEBBD2" w14:textId="77777777" w:rsidR="00C07CBE" w:rsidRPr="00F63E9A" w:rsidRDefault="00F018ED" w:rsidP="00C07CBE">
      <w:pPr>
        <w:pStyle w:val="ListParagraph"/>
        <w:numPr>
          <w:ilvl w:val="0"/>
          <w:numId w:val="18"/>
        </w:numPr>
        <w:shd w:val="clear" w:color="auto" w:fill="F2F2F2" w:themeFill="background1" w:themeFillShade="F2"/>
        <w:spacing w:after="160" w:line="259" w:lineRule="auto"/>
        <w:rPr>
          <w:b/>
        </w:rPr>
      </w:pPr>
      <w:r>
        <w:rPr>
          <w:b/>
        </w:rPr>
        <w:t>Should different re-allocation periods be considered for different areas? For example, should a longer period be considered for services outside Area 1</w:t>
      </w:r>
      <w:r w:rsidR="000047E7">
        <w:rPr>
          <w:b/>
        </w:rPr>
        <w:t>?</w:t>
      </w:r>
      <w:r w:rsidR="00A46318">
        <w:rPr>
          <w:rStyle w:val="FootnoteReference"/>
          <w:b/>
        </w:rPr>
        <w:footnoteReference w:id="12"/>
      </w:r>
    </w:p>
    <w:p w14:paraId="200810BA" w14:textId="77777777" w:rsidR="00F1358B" w:rsidRPr="00C07CBE" w:rsidRDefault="00F1358B" w:rsidP="00C07CBE">
      <w:pPr>
        <w:pStyle w:val="Heading3"/>
        <w:keepLines/>
      </w:pPr>
      <w:bookmarkStart w:id="137" w:name="_Toc496620325"/>
      <w:r w:rsidRPr="00C07CBE">
        <w:t>Summary of submissions</w:t>
      </w:r>
      <w:bookmarkEnd w:id="137"/>
    </w:p>
    <w:p w14:paraId="70767434" w14:textId="77777777" w:rsidR="006E32C9" w:rsidRDefault="006E32C9" w:rsidP="00C07CBE">
      <w:pPr>
        <w:pStyle w:val="BodySubHeader"/>
        <w:keepNext/>
        <w:keepLines/>
      </w:pPr>
      <w:r w:rsidRPr="005E47ED">
        <w:t xml:space="preserve">Submissions from </w:t>
      </w:r>
      <w:r>
        <w:t>WISP</w:t>
      </w:r>
      <w:r w:rsidRPr="005E47ED">
        <w:t xml:space="preserve"> interests</w:t>
      </w:r>
    </w:p>
    <w:p w14:paraId="0B54D76B" w14:textId="77777777" w:rsidR="00E96C63" w:rsidRDefault="00E96C63" w:rsidP="00C07CBE">
      <w:pPr>
        <w:keepNext/>
        <w:keepLines/>
      </w:pPr>
      <w:r>
        <w:t>As stated previously, r</w:t>
      </w:r>
      <w:r w:rsidRPr="003F5F11">
        <w:t xml:space="preserve">espondents associated with </w:t>
      </w:r>
      <w:r>
        <w:t>WISP</w:t>
      </w:r>
      <w:r w:rsidRPr="003F5F11">
        <w:t xml:space="preserve"> interests </w:t>
      </w:r>
      <w:r w:rsidR="00C240F3">
        <w:t>w</w:t>
      </w:r>
      <w:r>
        <w:t>ere generally not supportive of implementing spectrum licence arrangement</w:t>
      </w:r>
      <w:r w:rsidR="008F21EE">
        <w:t>s</w:t>
      </w:r>
      <w:r w:rsidR="000B54BC">
        <w:t xml:space="preserve"> in the 3.6 GHz band</w:t>
      </w:r>
      <w:r>
        <w:t xml:space="preserve">, especially outside of </w:t>
      </w:r>
      <w:r w:rsidR="00C07CBE">
        <w:t>a</w:t>
      </w:r>
      <w:r>
        <w:t>rea</w:t>
      </w:r>
      <w:r w:rsidR="000B54BC">
        <w:t>s</w:t>
      </w:r>
      <w:r w:rsidR="00BA36BB">
        <w:t> </w:t>
      </w:r>
      <w:r>
        <w:t>1</w:t>
      </w:r>
      <w:r w:rsidR="000B54BC">
        <w:t>A and 1B</w:t>
      </w:r>
      <w:r>
        <w:t>. Instead</w:t>
      </w:r>
      <w:r w:rsidR="00C07CBE">
        <w:t>,</w:t>
      </w:r>
      <w:r>
        <w:t xml:space="preserve"> </w:t>
      </w:r>
      <w:r w:rsidR="00C240F3">
        <w:t xml:space="preserve">they supported investigating </w:t>
      </w:r>
      <w:r>
        <w:t xml:space="preserve">sharing </w:t>
      </w:r>
      <w:r w:rsidR="008F21EE">
        <w:t xml:space="preserve">arrangements </w:t>
      </w:r>
      <w:r>
        <w:t>or a more flexible spectrum</w:t>
      </w:r>
      <w:r w:rsidR="00C07CBE">
        <w:t>-</w:t>
      </w:r>
      <w:r>
        <w:t xml:space="preserve">licensing model. </w:t>
      </w:r>
      <w:r w:rsidR="008F21EE">
        <w:t>S</w:t>
      </w:r>
      <w:r w:rsidR="00C240F3">
        <w:t>ome</w:t>
      </w:r>
      <w:r>
        <w:t xml:space="preserve"> respondents believe</w:t>
      </w:r>
      <w:r w:rsidR="008F21EE">
        <w:t>d</w:t>
      </w:r>
      <w:r>
        <w:t xml:space="preserve"> sharing would be possible between WISPs and </w:t>
      </w:r>
      <w:r w:rsidR="000B54BC">
        <w:t xml:space="preserve">wide-area MBB deployments </w:t>
      </w:r>
      <w:r>
        <w:t>in most areas</w:t>
      </w:r>
      <w:r w:rsidR="00C07CBE">
        <w:t>,</w:t>
      </w:r>
      <w:r w:rsidR="00C240F3">
        <w:t xml:space="preserve"> and </w:t>
      </w:r>
      <w:r w:rsidR="008F21EE">
        <w:t xml:space="preserve">that </w:t>
      </w:r>
      <w:r w:rsidR="00C240F3">
        <w:t>market mechanisms could be used to resolve any conflicts</w:t>
      </w:r>
      <w:r w:rsidR="008F21EE">
        <w:t xml:space="preserve"> that arise</w:t>
      </w:r>
      <w:r>
        <w:t xml:space="preserve">. </w:t>
      </w:r>
      <w:r w:rsidR="00C240F3">
        <w:t>Ultimately</w:t>
      </w:r>
      <w:r w:rsidR="00C07CBE">
        <w:t>,</w:t>
      </w:r>
      <w:r w:rsidR="00C240F3">
        <w:t xml:space="preserve"> these respondents felt there should be no limits on licence tenure and incumbents should be allowed to continue operating until they trade or cancel their licences. </w:t>
      </w:r>
    </w:p>
    <w:p w14:paraId="50D8E655" w14:textId="77777777" w:rsidR="00E96C63" w:rsidRDefault="00C240F3" w:rsidP="00191223">
      <w:r w:rsidRPr="00C240F3">
        <w:t xml:space="preserve">In the event a re-allocation period </w:t>
      </w:r>
      <w:r w:rsidR="000B54BC">
        <w:t>does apply to incumbent apparatus licences in an area</w:t>
      </w:r>
      <w:r w:rsidRPr="00C240F3">
        <w:t xml:space="preserve">, WISP respondents </w:t>
      </w:r>
      <w:r>
        <w:t xml:space="preserve">supported a </w:t>
      </w:r>
      <w:r w:rsidR="008F21EE">
        <w:t xml:space="preserve">period </w:t>
      </w:r>
      <w:r w:rsidR="00272776">
        <w:t xml:space="preserve">of </w:t>
      </w:r>
      <w:r w:rsidR="008F21EE">
        <w:t>between</w:t>
      </w:r>
      <w:r w:rsidR="00BA36BB">
        <w:t xml:space="preserve"> </w:t>
      </w:r>
      <w:r w:rsidR="008F21EE">
        <w:t>10</w:t>
      </w:r>
      <w:r w:rsidR="00C07CBE">
        <w:t>–</w:t>
      </w:r>
      <w:r>
        <w:t>15 year</w:t>
      </w:r>
      <w:r w:rsidR="008F21EE">
        <w:t xml:space="preserve">s, </w:t>
      </w:r>
      <w:r w:rsidR="00272776">
        <w:t>no</w:t>
      </w:r>
      <w:r w:rsidR="008F21EE">
        <w:t xml:space="preserve">ting that Telstra had previously publically </w:t>
      </w:r>
      <w:r w:rsidR="000B54BC">
        <w:t xml:space="preserve">advocated </w:t>
      </w:r>
      <w:r w:rsidR="008F21EE">
        <w:t>a</w:t>
      </w:r>
      <w:r>
        <w:t xml:space="preserve"> 10</w:t>
      </w:r>
      <w:r w:rsidR="00C07CBE">
        <w:t>-</w:t>
      </w:r>
      <w:r>
        <w:t xml:space="preserve">year period. </w:t>
      </w:r>
      <w:r w:rsidR="008F21EE">
        <w:t>T</w:t>
      </w:r>
      <w:r>
        <w:t xml:space="preserve">he main issue </w:t>
      </w:r>
      <w:r w:rsidR="008F21EE">
        <w:t xml:space="preserve">raised </w:t>
      </w:r>
      <w:r>
        <w:t xml:space="preserve">was </w:t>
      </w:r>
      <w:r w:rsidR="000B54BC">
        <w:t xml:space="preserve">whether </w:t>
      </w:r>
      <w:r>
        <w:t>viable alternative spectrum options would be made available for</w:t>
      </w:r>
      <w:r w:rsidR="008F21EE">
        <w:t xml:space="preserve"> incumbent point-to-multipoint licensees </w:t>
      </w:r>
      <w:r>
        <w:t xml:space="preserve">to migrate into. If </w:t>
      </w:r>
      <w:r w:rsidR="008F21EE">
        <w:t>suitable</w:t>
      </w:r>
      <w:r>
        <w:t xml:space="preserve"> spectrum is identified</w:t>
      </w:r>
      <w:r w:rsidR="00C07CBE">
        <w:t>,</w:t>
      </w:r>
      <w:r>
        <w:t xml:space="preserve"> some respondents suggested a </w:t>
      </w:r>
      <w:r w:rsidR="00C07CBE">
        <w:t>seven-</w:t>
      </w:r>
      <w:r>
        <w:t xml:space="preserve">year re-allocation period </w:t>
      </w:r>
      <w:r w:rsidR="000B54BC">
        <w:t xml:space="preserve">might </w:t>
      </w:r>
      <w:r>
        <w:t xml:space="preserve">be suitable. </w:t>
      </w:r>
    </w:p>
    <w:p w14:paraId="2C092924" w14:textId="77777777" w:rsidR="007E534E" w:rsidRDefault="007E534E" w:rsidP="00191223">
      <w:r>
        <w:t>Digital Distributions, the major fixed link operator in the 3.6 GHz band, requested a 10</w:t>
      </w:r>
      <w:r w:rsidR="00C07CBE">
        <w:t>-</w:t>
      </w:r>
      <w:r>
        <w:t>year re-allocation period</w:t>
      </w:r>
      <w:r w:rsidR="00272776">
        <w:t xml:space="preserve">, </w:t>
      </w:r>
      <w:r>
        <w:t xml:space="preserve">due to the </w:t>
      </w:r>
      <w:r w:rsidRPr="007E534E">
        <w:t xml:space="preserve">cost of </w:t>
      </w:r>
      <w:r>
        <w:t xml:space="preserve">replacing equipment as well as acquiring and constructing new repeater sites. </w:t>
      </w:r>
      <w:r w:rsidR="00272776">
        <w:t>It</w:t>
      </w:r>
      <w:r w:rsidR="006E32C9">
        <w:t xml:space="preserve"> also stated that</w:t>
      </w:r>
      <w:r w:rsidR="008F21EE">
        <w:t xml:space="preserve"> during the re-allocation period, </w:t>
      </w:r>
      <w:r>
        <w:t xml:space="preserve">there </w:t>
      </w:r>
      <w:r w:rsidRPr="007E534E">
        <w:t>should be no</w:t>
      </w:r>
      <w:r w:rsidR="008F21EE">
        <w:t xml:space="preserve"> additional</w:t>
      </w:r>
      <w:r w:rsidRPr="007E534E">
        <w:t xml:space="preserve"> regulatory constraints </w:t>
      </w:r>
      <w:r w:rsidR="00B27472">
        <w:t xml:space="preserve">placed </w:t>
      </w:r>
      <w:r w:rsidR="008F21EE">
        <w:t xml:space="preserve">on </w:t>
      </w:r>
      <w:r w:rsidR="00B27472">
        <w:t>incumbent</w:t>
      </w:r>
      <w:r w:rsidR="008F21EE">
        <w:t>s</w:t>
      </w:r>
      <w:r w:rsidRPr="007E534E">
        <w:t>.</w:t>
      </w:r>
      <w:r w:rsidR="00336E17">
        <w:t xml:space="preserve"> </w:t>
      </w:r>
      <w:r>
        <w:t xml:space="preserve"> </w:t>
      </w:r>
    </w:p>
    <w:p w14:paraId="767C10E2" w14:textId="77777777" w:rsidR="006E32C9" w:rsidRPr="005E47ED" w:rsidRDefault="006E32C9" w:rsidP="00C07CBE">
      <w:pPr>
        <w:pStyle w:val="BodySubHeader"/>
      </w:pPr>
      <w:r w:rsidRPr="00C07CBE">
        <w:t>Submissions from satellite industry</w:t>
      </w:r>
    </w:p>
    <w:p w14:paraId="10A0A0E5" w14:textId="77777777" w:rsidR="00551796" w:rsidRDefault="00551796" w:rsidP="00191223">
      <w:r>
        <w:t>R</w:t>
      </w:r>
      <w:r w:rsidRPr="003F5F11">
        <w:t xml:space="preserve">espondents associated with </w:t>
      </w:r>
      <w:r w:rsidR="00F56648">
        <w:t>s</w:t>
      </w:r>
      <w:r>
        <w:t xml:space="preserve">atellite </w:t>
      </w:r>
      <w:r w:rsidRPr="003F5F11">
        <w:t>interests</w:t>
      </w:r>
      <w:r>
        <w:t xml:space="preserve"> were divided on this issue.</w:t>
      </w:r>
      <w:r w:rsidR="00321B39">
        <w:t xml:space="preserve"> </w:t>
      </w:r>
      <w:r>
        <w:t xml:space="preserve">Telstra and Optus indicated </w:t>
      </w:r>
      <w:r w:rsidR="00321B39">
        <w:t xml:space="preserve">they have </w:t>
      </w:r>
      <w:r>
        <w:t>migrate</w:t>
      </w:r>
      <w:r w:rsidR="00272776">
        <w:t>d</w:t>
      </w:r>
      <w:r w:rsidR="00321B39">
        <w:t xml:space="preserve"> their</w:t>
      </w:r>
      <w:r>
        <w:t xml:space="preserve"> services out of the 3.6 GHz</w:t>
      </w:r>
      <w:r w:rsidR="006E32C9">
        <w:t xml:space="preserve"> </w:t>
      </w:r>
      <w:r w:rsidR="00272776">
        <w:t xml:space="preserve">or will do so </w:t>
      </w:r>
      <w:r w:rsidR="006E32C9">
        <w:t>(</w:t>
      </w:r>
      <w:r w:rsidR="000B54BC">
        <w:t>it is noted</w:t>
      </w:r>
      <w:r w:rsidR="006E32C9">
        <w:t xml:space="preserve"> the</w:t>
      </w:r>
      <w:r w:rsidR="000B54BC">
        <w:t>se respondents</w:t>
      </w:r>
      <w:r w:rsidR="006E32C9">
        <w:t xml:space="preserve"> </w:t>
      </w:r>
      <w:r w:rsidR="00272776">
        <w:t xml:space="preserve">are </w:t>
      </w:r>
      <w:r w:rsidR="006E32C9">
        <w:t xml:space="preserve">also </w:t>
      </w:r>
      <w:r w:rsidR="00272776">
        <w:t xml:space="preserve">potentially </w:t>
      </w:r>
      <w:r w:rsidR="006E32C9">
        <w:t>interest</w:t>
      </w:r>
      <w:r w:rsidR="00272776">
        <w:t>ed</w:t>
      </w:r>
      <w:r w:rsidR="006E32C9">
        <w:t xml:space="preserve"> in deploying </w:t>
      </w:r>
      <w:r w:rsidR="000B54BC">
        <w:t>wi</w:t>
      </w:r>
      <w:r w:rsidR="00B527A6">
        <w:t>d</w:t>
      </w:r>
      <w:r w:rsidR="000B54BC">
        <w:t xml:space="preserve">e-area </w:t>
      </w:r>
      <w:r w:rsidR="006E32C9">
        <w:t>MBB services in the band)</w:t>
      </w:r>
      <w:r>
        <w:t xml:space="preserve">. </w:t>
      </w:r>
      <w:r w:rsidR="006E32C9">
        <w:t>Consequently</w:t>
      </w:r>
      <w:r w:rsidR="00C07CBE">
        <w:t>,</w:t>
      </w:r>
      <w:r w:rsidR="006E32C9">
        <w:t xml:space="preserve"> </w:t>
      </w:r>
      <w:r>
        <w:t xml:space="preserve">they supported a shorter re-allocation period in Area 1, proposing </w:t>
      </w:r>
      <w:r w:rsidR="00C07CBE">
        <w:t>two-</w:t>
      </w:r>
      <w:r>
        <w:t xml:space="preserve"> and </w:t>
      </w:r>
      <w:r w:rsidR="00C07CBE">
        <w:t>three-</w:t>
      </w:r>
      <w:r>
        <w:t>year periods respectively. Inmarsat and other satellite industry groups supported</w:t>
      </w:r>
      <w:r w:rsidR="00321B39">
        <w:t xml:space="preserve"> the development of</w:t>
      </w:r>
      <w:r>
        <w:t xml:space="preserve"> long</w:t>
      </w:r>
      <w:r w:rsidR="00C07CBE">
        <w:t>-</w:t>
      </w:r>
      <w:r>
        <w:t>term arrangements for FSS earth stations at their current locations. Specifically, Inmarsat requested ongoing protection for 20 years</w:t>
      </w:r>
      <w:r w:rsidR="00321B39">
        <w:t xml:space="preserve"> at their current location</w:t>
      </w:r>
      <w:r>
        <w:t xml:space="preserve"> </w:t>
      </w:r>
      <w:r w:rsidR="00C07CBE">
        <w:t xml:space="preserve">as </w:t>
      </w:r>
      <w:r>
        <w:t xml:space="preserve">this </w:t>
      </w:r>
      <w:r w:rsidR="006E32C9">
        <w:t>reflects</w:t>
      </w:r>
      <w:r>
        <w:t xml:space="preserve"> </w:t>
      </w:r>
      <w:r w:rsidRPr="00551796">
        <w:t>the typical lifetime of a satellite</w:t>
      </w:r>
      <w:r w:rsidR="00321B39">
        <w:t xml:space="preserve">. They argued </w:t>
      </w:r>
      <w:r>
        <w:t xml:space="preserve">any shorter period would justify compensation. </w:t>
      </w:r>
    </w:p>
    <w:p w14:paraId="7D492F27" w14:textId="77777777" w:rsidR="006E32C9" w:rsidRDefault="006E32C9" w:rsidP="00C07CBE">
      <w:pPr>
        <w:pStyle w:val="BodySubHeader"/>
      </w:pPr>
      <w:r w:rsidRPr="005E47ED">
        <w:t xml:space="preserve">Submissions from </w:t>
      </w:r>
      <w:r>
        <w:t>mobile industry</w:t>
      </w:r>
    </w:p>
    <w:p w14:paraId="7BA2F3AF" w14:textId="77777777" w:rsidR="00551796" w:rsidRPr="00C240F3" w:rsidRDefault="00F56648" w:rsidP="00191223">
      <w:r>
        <w:t>Respondents associated with mobile industry interests also had a range of views</w:t>
      </w:r>
      <w:r w:rsidR="00057B77">
        <w:t xml:space="preserve"> on the length of any re-allocation periods</w:t>
      </w:r>
      <w:r>
        <w:t>. Most support</w:t>
      </w:r>
      <w:r w:rsidR="00321B39">
        <w:t>ed</w:t>
      </w:r>
      <w:r>
        <w:t xml:space="preserve"> defining as short a re-allocation period as possible, </w:t>
      </w:r>
      <w:r w:rsidRPr="00F56648">
        <w:t>suggesting case-by-case assessment for different services and areas.</w:t>
      </w:r>
      <w:r>
        <w:t xml:space="preserve"> </w:t>
      </w:r>
      <w:r w:rsidR="00057B77">
        <w:t>They argue</w:t>
      </w:r>
      <w:r w:rsidR="00272776">
        <w:t>d</w:t>
      </w:r>
      <w:r>
        <w:t xml:space="preserve"> </w:t>
      </w:r>
      <w:r w:rsidR="00272776">
        <w:t>that</w:t>
      </w:r>
      <w:r>
        <w:t xml:space="preserve"> i</w:t>
      </w:r>
      <w:r w:rsidRPr="00E24A32">
        <w:t xml:space="preserve">ncumbent </w:t>
      </w:r>
      <w:r w:rsidR="00057B77">
        <w:t>licensee</w:t>
      </w:r>
      <w:r w:rsidRPr="00E24A32">
        <w:t xml:space="preserve"> considerations need to be tempered with restrictions on </w:t>
      </w:r>
      <w:r w:rsidR="00057B77">
        <w:t xml:space="preserve">the </w:t>
      </w:r>
      <w:r w:rsidRPr="00E24A32">
        <w:t>use of spectrum</w:t>
      </w:r>
      <w:r w:rsidR="00057B77">
        <w:t xml:space="preserve"> for new services</w:t>
      </w:r>
      <w:r w:rsidRPr="00E24A32">
        <w:t>.</w:t>
      </w:r>
      <w:r>
        <w:t xml:space="preserve"> Some respondents supported a longer re-allocation period in regional areas</w:t>
      </w:r>
      <w:r w:rsidR="00321B39">
        <w:t>,</w:t>
      </w:r>
      <w:r>
        <w:t xml:space="preserve"> given the initial focus would be </w:t>
      </w:r>
      <w:r w:rsidR="00272776">
        <w:t>o</w:t>
      </w:r>
      <w:r>
        <w:t xml:space="preserve">n deploying </w:t>
      </w:r>
      <w:r w:rsidR="00057B77">
        <w:t>wi</w:t>
      </w:r>
      <w:r w:rsidR="00B527A6">
        <w:t>d</w:t>
      </w:r>
      <w:r w:rsidR="00057B77">
        <w:t xml:space="preserve">e-area </w:t>
      </w:r>
      <w:r>
        <w:t>MBB services in Area 1</w:t>
      </w:r>
      <w:r w:rsidR="00A46318">
        <w:t>A and Area 1B</w:t>
      </w:r>
      <w:r>
        <w:t>. One re</w:t>
      </w:r>
      <w:r w:rsidR="00321B39">
        <w:t>spondent suggested the period c</w:t>
      </w:r>
      <w:r>
        <w:t>ould be reviewed as services are rolled out</w:t>
      </w:r>
      <w:r w:rsidR="00321B39">
        <w:t xml:space="preserve"> into regional areas</w:t>
      </w:r>
      <w:r>
        <w:t>. Of the major carriers</w:t>
      </w:r>
      <w:r w:rsidR="00321B39">
        <w:t>,</w:t>
      </w:r>
      <w:r>
        <w:t xml:space="preserve"> Telstra</w:t>
      </w:r>
      <w:r w:rsidR="007F624B">
        <w:t xml:space="preserve"> supported a </w:t>
      </w:r>
      <w:r w:rsidR="00C07CBE">
        <w:t>two-</w:t>
      </w:r>
      <w:r w:rsidR="007F624B">
        <w:t>year period in Area 1</w:t>
      </w:r>
      <w:r w:rsidR="00A46318">
        <w:t>A and Area 1B</w:t>
      </w:r>
      <w:r w:rsidR="00C07CBE">
        <w:t>,</w:t>
      </w:r>
      <w:r w:rsidR="007F624B">
        <w:t xml:space="preserve"> and a </w:t>
      </w:r>
      <w:r w:rsidR="00C07CBE">
        <w:t>seven-</w:t>
      </w:r>
      <w:r w:rsidR="007F624B">
        <w:t xml:space="preserve">year period in other areas. </w:t>
      </w:r>
      <w:r>
        <w:t xml:space="preserve">Vodafone supported a </w:t>
      </w:r>
      <w:r w:rsidR="007F624B">
        <w:t xml:space="preserve">uniform </w:t>
      </w:r>
      <w:r w:rsidR="00C07CBE">
        <w:t>two-</w:t>
      </w:r>
      <w:r>
        <w:t xml:space="preserve">year period in </w:t>
      </w:r>
      <w:r w:rsidR="007F624B">
        <w:t xml:space="preserve">all areas, stating a longer period </w:t>
      </w:r>
      <w:r w:rsidR="00321B39">
        <w:t>would create</w:t>
      </w:r>
      <w:r w:rsidR="007F624B">
        <w:t xml:space="preserve"> troubling </w:t>
      </w:r>
      <w:r w:rsidR="007F624B" w:rsidRPr="004D2057">
        <w:t>competition and regulatory pre</w:t>
      </w:r>
      <w:r w:rsidR="00272776">
        <w:t>cede</w:t>
      </w:r>
      <w:r w:rsidR="007F624B" w:rsidRPr="004D2057">
        <w:t xml:space="preserve">nts </w:t>
      </w:r>
      <w:r w:rsidR="007F624B">
        <w:t xml:space="preserve">and </w:t>
      </w:r>
      <w:r w:rsidR="00321B39">
        <w:t xml:space="preserve">any </w:t>
      </w:r>
      <w:r w:rsidR="007F624B" w:rsidRPr="004D2057">
        <w:t xml:space="preserve">revenue raised by the allocation </w:t>
      </w:r>
      <w:r w:rsidR="00B27472">
        <w:t xml:space="preserve">could be used to </w:t>
      </w:r>
      <w:r w:rsidR="007F624B" w:rsidRPr="004D2057">
        <w:t>offset incumbent transition cost</w:t>
      </w:r>
      <w:r w:rsidR="007F624B">
        <w:t>s</w:t>
      </w:r>
      <w:r w:rsidR="007F624B" w:rsidRPr="004D2057">
        <w:t>.</w:t>
      </w:r>
      <w:r>
        <w:t xml:space="preserve"> Optus proposed </w:t>
      </w:r>
      <w:r w:rsidR="007F624B">
        <w:t xml:space="preserve">a uniform </w:t>
      </w:r>
      <w:r w:rsidR="00C07CBE">
        <w:t>three-</w:t>
      </w:r>
      <w:r w:rsidR="007F624B">
        <w:t>year period from 2019 in all areas</w:t>
      </w:r>
      <w:r w:rsidR="00B27472">
        <w:t>, stating that committing to a firm date would provide greater certainty for incumbents and prospective licensee in investment decisions.</w:t>
      </w:r>
      <w:r w:rsidR="007F624B">
        <w:t xml:space="preserve"> </w:t>
      </w:r>
    </w:p>
    <w:p w14:paraId="356B7EFB" w14:textId="77777777" w:rsidR="00F1358B" w:rsidRPr="00D358D9" w:rsidRDefault="00F1358B" w:rsidP="00F1358B">
      <w:pPr>
        <w:pStyle w:val="Heading3"/>
      </w:pPr>
      <w:bookmarkStart w:id="138" w:name="_Toc496620326"/>
      <w:r w:rsidRPr="00D358D9">
        <w:t>ACMA response to submissions</w:t>
      </w:r>
      <w:bookmarkEnd w:id="138"/>
    </w:p>
    <w:p w14:paraId="77F32724" w14:textId="77777777" w:rsidR="008134D9" w:rsidRDefault="007E534E" w:rsidP="008134D9">
      <w:r>
        <w:t>As indicated previously</w:t>
      </w:r>
      <w:r w:rsidR="00191223">
        <w:t xml:space="preserve">, the ACMA believes spectrum licensing is the most appropriate </w:t>
      </w:r>
      <w:r w:rsidR="00057B77">
        <w:t>licence option</w:t>
      </w:r>
      <w:r w:rsidR="00191223">
        <w:t xml:space="preserve"> in areas of high demand. </w:t>
      </w:r>
      <w:r w:rsidR="008310F0">
        <w:t>Under this approach</w:t>
      </w:r>
      <w:r w:rsidR="00C07CBE">
        <w:t>,</w:t>
      </w:r>
      <w:r>
        <w:t xml:space="preserve"> an associated re-allocation period </w:t>
      </w:r>
      <w:r w:rsidR="00B527A6">
        <w:t>for each area</w:t>
      </w:r>
      <w:r w:rsidR="000047E7">
        <w:t>,</w:t>
      </w:r>
      <w:r w:rsidR="00B527A6">
        <w:t xml:space="preserve"> subject to a re-allocation declaration</w:t>
      </w:r>
      <w:r w:rsidR="000047E7">
        <w:t>,</w:t>
      </w:r>
      <w:r w:rsidR="00B527A6">
        <w:t xml:space="preserve"> </w:t>
      </w:r>
      <w:r>
        <w:t xml:space="preserve">needs to be defined. </w:t>
      </w:r>
      <w:r w:rsidR="008134D9">
        <w:t>When determining an appropriate length for this period, it is important to note that the Act does not allow for a different relocation period to be defined for different services</w:t>
      </w:r>
      <w:r w:rsidR="00007002">
        <w:t xml:space="preserve"> within the same area</w:t>
      </w:r>
      <w:r w:rsidR="008134D9">
        <w:t>. However, different periods can be defined for different areas.</w:t>
      </w:r>
      <w:r w:rsidR="000E2122">
        <w:t xml:space="preserve"> </w:t>
      </w:r>
    </w:p>
    <w:p w14:paraId="4631869D" w14:textId="77777777" w:rsidR="00EF26BB" w:rsidRDefault="00EF26BB" w:rsidP="00191223">
      <w:r>
        <w:t xml:space="preserve">The ACMA agrees that the length of any re-allocation </w:t>
      </w:r>
      <w:r w:rsidR="00A52564">
        <w:t xml:space="preserve">is a </w:t>
      </w:r>
      <w:r w:rsidR="00007002">
        <w:t xml:space="preserve">trade-off </w:t>
      </w:r>
      <w:r>
        <w:t xml:space="preserve">between maximising the </w:t>
      </w:r>
      <w:r w:rsidR="00910D48">
        <w:rPr>
          <w:rFonts w:cs="Arial"/>
          <w:szCs w:val="20"/>
          <w:lang w:eastAsia="en-US"/>
        </w:rPr>
        <w:t>re-allocation</w:t>
      </w:r>
      <w:r>
        <w:t xml:space="preserve"> period for incumbents and</w:t>
      </w:r>
      <w:r w:rsidR="00A52564">
        <w:t xml:space="preserve"> enabling </w:t>
      </w:r>
      <w:r>
        <w:t xml:space="preserve">access to spectrum </w:t>
      </w:r>
      <w:r w:rsidR="00A52564">
        <w:t>for</w:t>
      </w:r>
      <w:r>
        <w:t xml:space="preserve"> new license</w:t>
      </w:r>
      <w:r w:rsidR="00A52564">
        <w:t>es</w:t>
      </w:r>
      <w:r>
        <w:t xml:space="preserve">. </w:t>
      </w:r>
      <w:r w:rsidR="00A52564">
        <w:t xml:space="preserve">Some respondents suggested a case-by-case consideration when defining a suitable period of time. </w:t>
      </w:r>
      <w:r>
        <w:t>Taking this into account, the most appropriate outcome may be to consider different re-allocation periods for different areas.</w:t>
      </w:r>
    </w:p>
    <w:p w14:paraId="75061CA8" w14:textId="77777777" w:rsidR="0044387A" w:rsidRDefault="00A52564" w:rsidP="00191223">
      <w:r>
        <w:t>The ACMA understands</w:t>
      </w:r>
      <w:r w:rsidR="00194B5E">
        <w:t xml:space="preserve"> if an area as large as Area 3 is identified for spectrum licensing, the </w:t>
      </w:r>
      <w:r>
        <w:t>initial</w:t>
      </w:r>
      <w:r w:rsidR="00194B5E">
        <w:t xml:space="preserve"> focus will be </w:t>
      </w:r>
      <w:r>
        <w:t xml:space="preserve">on </w:t>
      </w:r>
      <w:r w:rsidR="00194B5E">
        <w:t>deploying services in Area 1</w:t>
      </w:r>
      <w:r w:rsidR="00A46318">
        <w:t>A and Area 1B</w:t>
      </w:r>
      <w:r w:rsidR="00194B5E">
        <w:t>.</w:t>
      </w:r>
      <w:r w:rsidR="0044387A">
        <w:t xml:space="preserve"> </w:t>
      </w:r>
      <w:r w:rsidR="00194B5E">
        <w:t xml:space="preserve">It </w:t>
      </w:r>
      <w:r w:rsidR="0044387A">
        <w:t xml:space="preserve">is then </w:t>
      </w:r>
      <w:r w:rsidR="00194B5E">
        <w:t>expected to take a number of years to roll</w:t>
      </w:r>
      <w:r w:rsidR="000047E7">
        <w:t>out</w:t>
      </w:r>
      <w:r w:rsidR="00194B5E">
        <w:t xml:space="preserve"> services </w:t>
      </w:r>
      <w:r w:rsidR="008134D9">
        <w:t>that cover a majority</w:t>
      </w:r>
      <w:r w:rsidR="00194B5E">
        <w:t xml:space="preserve"> of the remaining regional locations.</w:t>
      </w:r>
      <w:r w:rsidR="0044387A">
        <w:t xml:space="preserve"> </w:t>
      </w:r>
      <w:r>
        <w:t>This is supported by submissions made by mobile carriers.</w:t>
      </w:r>
      <w:r w:rsidR="00CB655C">
        <w:t xml:space="preserve"> </w:t>
      </w:r>
      <w:r w:rsidR="008E6BDB">
        <w:t xml:space="preserve">When we also consider </w:t>
      </w:r>
      <w:r w:rsidR="00007002">
        <w:t xml:space="preserve">the </w:t>
      </w:r>
      <w:r w:rsidR="008E6BDB">
        <w:t>ongoing</w:t>
      </w:r>
      <w:r w:rsidR="00007002">
        <w:t xml:space="preserve"> nature of many existing services in </w:t>
      </w:r>
      <w:r w:rsidR="008E6BDB">
        <w:t xml:space="preserve">regional Australia, </w:t>
      </w:r>
      <w:r w:rsidR="00CB655C">
        <w:t>there</w:t>
      </w:r>
      <w:r w:rsidR="007105E8">
        <w:t xml:space="preserve"> is a</w:t>
      </w:r>
      <w:r w:rsidR="00CB655C">
        <w:t xml:space="preserve"> </w:t>
      </w:r>
      <w:r w:rsidR="008E6BDB">
        <w:t>c</w:t>
      </w:r>
      <w:r w:rsidR="00CB655C">
        <w:t>ase to consider different re-allocation periods for metro</w:t>
      </w:r>
      <w:r w:rsidR="005231EC" w:rsidRPr="00475453">
        <w:rPr>
          <w:rFonts w:cs="Arial"/>
        </w:rPr>
        <w:t>politan</w:t>
      </w:r>
      <w:r w:rsidR="00CB655C">
        <w:t xml:space="preserve"> and regional areas.</w:t>
      </w:r>
    </w:p>
    <w:p w14:paraId="06866141" w14:textId="77777777" w:rsidR="00D52C48" w:rsidRDefault="0044387A" w:rsidP="00191223">
      <w:r>
        <w:t>Based on submissions and</w:t>
      </w:r>
      <w:r w:rsidR="008E6BDB">
        <w:t>, in particular,</w:t>
      </w:r>
      <w:r>
        <w:t xml:space="preserve"> the limited number of incumbency issues, there appears to be a strong case to have a shorter re-allocation period in Area 1</w:t>
      </w:r>
      <w:r w:rsidR="00A46318">
        <w:t>A and Area 1B</w:t>
      </w:r>
      <w:r>
        <w:t xml:space="preserve"> than originally proposed. In particular</w:t>
      </w:r>
      <w:r w:rsidR="000047E7">
        <w:t>,</w:t>
      </w:r>
      <w:r>
        <w:t xml:space="preserve"> </w:t>
      </w:r>
      <w:r w:rsidR="00A71A14">
        <w:t xml:space="preserve">two of the three incumbent </w:t>
      </w:r>
      <w:r>
        <w:t xml:space="preserve">earth station </w:t>
      </w:r>
      <w:r w:rsidR="00A71A14">
        <w:t>operators have indicated the ability to migrate their services out of the band within a two</w:t>
      </w:r>
      <w:r w:rsidR="000047E7">
        <w:t>-</w:t>
      </w:r>
      <w:r w:rsidR="00A71A14">
        <w:t xml:space="preserve">year period. This leaves a single incumbent </w:t>
      </w:r>
      <w:r w:rsidR="00B01DFD">
        <w:t xml:space="preserve">licensee </w:t>
      </w:r>
      <w:r w:rsidR="00232D56">
        <w:t xml:space="preserve">(Inmarsat) </w:t>
      </w:r>
      <w:r w:rsidR="00B01DFD">
        <w:t>in Perth</w:t>
      </w:r>
      <w:r w:rsidR="008E6BDB">
        <w:t>,</w:t>
      </w:r>
      <w:r w:rsidR="00122355">
        <w:t xml:space="preserve"> which is </w:t>
      </w:r>
      <w:r w:rsidR="00A71A14">
        <w:t xml:space="preserve">unable to </w:t>
      </w:r>
      <w:r w:rsidR="00011CE3">
        <w:t>retun</w:t>
      </w:r>
      <w:r w:rsidR="00A71A14">
        <w:t>e out of the 3.6 GHz band</w:t>
      </w:r>
      <w:r w:rsidR="00122355">
        <w:t>. Although a</w:t>
      </w:r>
      <w:r w:rsidR="00A71A14">
        <w:t xml:space="preserve"> 20</w:t>
      </w:r>
      <w:r w:rsidR="000047E7">
        <w:t>-</w:t>
      </w:r>
      <w:r w:rsidR="00A71A14">
        <w:t xml:space="preserve">year re-allocation </w:t>
      </w:r>
      <w:r w:rsidR="00122355">
        <w:t xml:space="preserve">has been requested, </w:t>
      </w:r>
      <w:r w:rsidR="008E6BDB">
        <w:t>this</w:t>
      </w:r>
      <w:r w:rsidR="00122355">
        <w:t xml:space="preserve"> </w:t>
      </w:r>
      <w:r w:rsidR="00A71A14">
        <w:t xml:space="preserve">is not </w:t>
      </w:r>
      <w:r w:rsidR="00122355">
        <w:t>a</w:t>
      </w:r>
      <w:r w:rsidR="00A71A14">
        <w:t xml:space="preserve"> viable</w:t>
      </w:r>
      <w:r w:rsidR="00122355">
        <w:t xml:space="preserve"> option. </w:t>
      </w:r>
      <w:r w:rsidR="00122355" w:rsidRPr="00122355">
        <w:t>This</w:t>
      </w:r>
      <w:r w:rsidR="00122355">
        <w:t xml:space="preserve"> is because</w:t>
      </w:r>
      <w:r w:rsidR="00122355" w:rsidDel="00335427">
        <w:t xml:space="preserve"> </w:t>
      </w:r>
      <w:r w:rsidR="00122355">
        <w:t xml:space="preserve">sharing </w:t>
      </w:r>
      <w:r w:rsidR="00BD6A7C">
        <w:t xml:space="preserve">between FSS earth stations and MBB </w:t>
      </w:r>
      <w:r w:rsidR="00122355">
        <w:t>is not considered practical in the long term</w:t>
      </w:r>
      <w:r w:rsidR="00BD6A7C">
        <w:t>, as it</w:t>
      </w:r>
      <w:r w:rsidR="00122355">
        <w:t xml:space="preserve"> would delay or prevent the provision of </w:t>
      </w:r>
      <w:r w:rsidR="00BD6A7C">
        <w:t xml:space="preserve">new </w:t>
      </w:r>
      <w:r w:rsidR="00122355">
        <w:t xml:space="preserve">services across much of Perth for the duration of any licences issued and then </w:t>
      </w:r>
      <w:r w:rsidR="00BD6A7C">
        <w:t xml:space="preserve">for </w:t>
      </w:r>
      <w:r w:rsidR="00122355">
        <w:t>some years after</w:t>
      </w:r>
      <w:r w:rsidR="00BD6A7C">
        <w:t>ward</w:t>
      </w:r>
      <w:r w:rsidR="00122355">
        <w:t>.</w:t>
      </w:r>
      <w:r w:rsidR="00A71A14">
        <w:t xml:space="preserve"> </w:t>
      </w:r>
      <w:r w:rsidR="00850C09">
        <w:t xml:space="preserve">Consequently, the ACMA believes the </w:t>
      </w:r>
      <w:r w:rsidR="000E2110">
        <w:t>re-allocation</w:t>
      </w:r>
      <w:r w:rsidR="00850C09">
        <w:t xml:space="preserve"> period should be based on a period of time reasonably required to geographical relocate Inmarsat’s earth stations. </w:t>
      </w:r>
      <w:r w:rsidR="00BD6A7C">
        <w:t xml:space="preserve">Based on conversations with </w:t>
      </w:r>
      <w:r w:rsidR="00850C09">
        <w:t xml:space="preserve">numerous </w:t>
      </w:r>
      <w:r w:rsidR="00BD6A7C">
        <w:t xml:space="preserve">incumbent earth station licensees, </w:t>
      </w:r>
      <w:r w:rsidR="00850C09">
        <w:t>f</w:t>
      </w:r>
      <w:r w:rsidR="0016561A">
        <w:t>ive</w:t>
      </w:r>
      <w:r w:rsidR="00850C09">
        <w:t xml:space="preserve"> years is considered a suitable timeframe to plan for and implement such a move. </w:t>
      </w:r>
    </w:p>
    <w:p w14:paraId="6C4DB6C7" w14:textId="77777777" w:rsidR="0044387A" w:rsidRDefault="00232D56" w:rsidP="00191223">
      <w:r>
        <w:t>The only o</w:t>
      </w:r>
      <w:r w:rsidR="0044387A">
        <w:t xml:space="preserve">ther </w:t>
      </w:r>
      <w:r>
        <w:t>primary apparatus</w:t>
      </w:r>
      <w:r w:rsidR="000047E7">
        <w:t>-</w:t>
      </w:r>
      <w:r>
        <w:t>licensed services in Area 1</w:t>
      </w:r>
      <w:r w:rsidR="00A46318">
        <w:t>A and Area 1B</w:t>
      </w:r>
      <w:r>
        <w:t xml:space="preserve"> </w:t>
      </w:r>
      <w:r w:rsidR="0044387A">
        <w:t>are the two fixed link</w:t>
      </w:r>
      <w:r w:rsidR="00B336EA">
        <w:t>s</w:t>
      </w:r>
      <w:r>
        <w:t xml:space="preserve"> operating</w:t>
      </w:r>
      <w:r w:rsidR="0044387A">
        <w:t xml:space="preserve"> in Brisbane. Given the small number of links, the variety of alternative options available for them</w:t>
      </w:r>
      <w:r w:rsidR="000047E7">
        <w:t>,</w:t>
      </w:r>
      <w:r w:rsidR="0044387A">
        <w:t xml:space="preserve"> and</w:t>
      </w:r>
      <w:r w:rsidR="000047E7">
        <w:t xml:space="preserve"> the</w:t>
      </w:r>
      <w:r w:rsidR="0044387A">
        <w:t xml:space="preserve"> location of the links in a highly populated are</w:t>
      </w:r>
      <w:r w:rsidR="009252A9">
        <w:t>a</w:t>
      </w:r>
      <w:r w:rsidR="0044387A">
        <w:t>, a two</w:t>
      </w:r>
      <w:r w:rsidR="000047E7">
        <w:t>-</w:t>
      </w:r>
      <w:r w:rsidR="0044387A">
        <w:t>year re-allocation period appears justifiable.</w:t>
      </w:r>
      <w:r>
        <w:t xml:space="preserve"> </w:t>
      </w:r>
      <w:r w:rsidR="009252A9">
        <w:t xml:space="preserve">Similar periods of time have also been used for the </w:t>
      </w:r>
      <w:r>
        <w:t>re-allocation period in other bands where fixed links were the main incumbent</w:t>
      </w:r>
      <w:r w:rsidR="009252A9">
        <w:t xml:space="preserve"> service</w:t>
      </w:r>
      <w:r>
        <w:t xml:space="preserve">. </w:t>
      </w:r>
    </w:p>
    <w:p w14:paraId="7C69EB06" w14:textId="77777777" w:rsidR="001564B6" w:rsidRPr="0055309D" w:rsidRDefault="001564B6" w:rsidP="00191223">
      <w:r>
        <w:t xml:space="preserve">There </w:t>
      </w:r>
      <w:r w:rsidR="009252A9">
        <w:t xml:space="preserve">are conflicting views from submitters on the appropriate length of a re-allocation period in regional areas. </w:t>
      </w:r>
      <w:r>
        <w:t xml:space="preserve">Of particular note is the </w:t>
      </w:r>
      <w:r w:rsidR="009252A9">
        <w:t xml:space="preserve">request </w:t>
      </w:r>
      <w:r>
        <w:t>from the major fixed link licensee and WISPs in the band for a 10</w:t>
      </w:r>
      <w:r w:rsidR="000047E7">
        <w:t>–</w:t>
      </w:r>
      <w:r>
        <w:t>15 year period</w:t>
      </w:r>
      <w:r w:rsidR="000047E7">
        <w:t>; al</w:t>
      </w:r>
      <w:r w:rsidR="008E6BDB">
        <w:t>t</w:t>
      </w:r>
      <w:r>
        <w:t>hough some</w:t>
      </w:r>
      <w:r w:rsidR="00CB655C">
        <w:t xml:space="preserve"> WISP</w:t>
      </w:r>
      <w:r w:rsidR="00437582">
        <w:t>s</w:t>
      </w:r>
      <w:r w:rsidR="00CB655C">
        <w:t xml:space="preserve"> </w:t>
      </w:r>
      <w:r>
        <w:t>acknowledge a shorter period may be suitable</w:t>
      </w:r>
      <w:r w:rsidR="00CB655C">
        <w:t>,</w:t>
      </w:r>
      <w:r>
        <w:t xml:space="preserve"> if </w:t>
      </w:r>
      <w:r w:rsidR="009252A9">
        <w:t xml:space="preserve">viable alternative spectrum options </w:t>
      </w:r>
      <w:r w:rsidR="008E6BDB">
        <w:t>we</w:t>
      </w:r>
      <w:r>
        <w:t>re</w:t>
      </w:r>
      <w:r w:rsidR="009252A9">
        <w:t xml:space="preserve"> made </w:t>
      </w:r>
      <w:r>
        <w:t xml:space="preserve">available. </w:t>
      </w:r>
      <w:r w:rsidR="00B527A6">
        <w:t>S</w:t>
      </w:r>
      <w:r>
        <w:t xml:space="preserve">horter </w:t>
      </w:r>
      <w:r w:rsidR="00CB655C">
        <w:t xml:space="preserve">re-allocation </w:t>
      </w:r>
      <w:r>
        <w:t xml:space="preserve">periods </w:t>
      </w:r>
      <w:r w:rsidR="00D32812">
        <w:t>were</w:t>
      </w:r>
      <w:r>
        <w:t xml:space="preserve"> proposed by mobile industry interests</w:t>
      </w:r>
      <w:r w:rsidR="00F67EE1">
        <w:t xml:space="preserve"> to avoid any possible delays or </w:t>
      </w:r>
      <w:r w:rsidR="00F67EE1" w:rsidRPr="0055309D">
        <w:t xml:space="preserve">restrictions on the </w:t>
      </w:r>
      <w:r w:rsidR="006B7E56" w:rsidRPr="0055309D">
        <w:t xml:space="preserve">deployment </w:t>
      </w:r>
      <w:r w:rsidR="00F67EE1" w:rsidRPr="0055309D">
        <w:t>of services</w:t>
      </w:r>
      <w:r w:rsidRPr="0055309D">
        <w:t xml:space="preserve">. </w:t>
      </w:r>
    </w:p>
    <w:p w14:paraId="066A3367" w14:textId="77777777" w:rsidR="00CB655C" w:rsidRPr="0055309D" w:rsidRDefault="001564B6" w:rsidP="00191223">
      <w:r w:rsidRPr="0055309D">
        <w:t xml:space="preserve">When considering an appropriate length of time for a re-allocation period in this case, the ACMA has </w:t>
      </w:r>
      <w:r w:rsidR="00F67EE1" w:rsidRPr="0055309D">
        <w:t>given particular consideration to</w:t>
      </w:r>
      <w:r w:rsidRPr="0055309D">
        <w:t xml:space="preserve"> the options </w:t>
      </w:r>
      <w:r w:rsidR="00CB655C" w:rsidRPr="0055309D">
        <w:t>available</w:t>
      </w:r>
      <w:r w:rsidRPr="0055309D">
        <w:t xml:space="preserve"> for incumbent point-to-multipoint licensees. </w:t>
      </w:r>
      <w:r w:rsidR="00CB655C" w:rsidRPr="0055309D">
        <w:t xml:space="preserve">These are discussed in the </w:t>
      </w:r>
      <w:r w:rsidR="00CB655C" w:rsidRPr="0055309D">
        <w:rPr>
          <w:i/>
        </w:rPr>
        <w:t>Options for point-to-multipoint licensees</w:t>
      </w:r>
      <w:r w:rsidR="00CB655C" w:rsidRPr="0055309D">
        <w:t xml:space="preserve"> section of this paper. In summary, </w:t>
      </w:r>
      <w:r w:rsidR="007105E8" w:rsidRPr="0055309D">
        <w:t>after the re-allocation period</w:t>
      </w:r>
      <w:r w:rsidR="00B336EA" w:rsidRPr="0055309D">
        <w:t>,</w:t>
      </w:r>
      <w:r w:rsidR="007105E8" w:rsidRPr="0055309D">
        <w:t xml:space="preserve"> </w:t>
      </w:r>
      <w:r w:rsidR="00F67EE1" w:rsidRPr="0055309D">
        <w:t>the long</w:t>
      </w:r>
      <w:r w:rsidR="000047E7" w:rsidRPr="0055309D">
        <w:t>-</w:t>
      </w:r>
      <w:r w:rsidR="00F67EE1" w:rsidRPr="0055309D">
        <w:t xml:space="preserve">term options </w:t>
      </w:r>
      <w:r w:rsidR="0036027D" w:rsidRPr="0055309D">
        <w:t xml:space="preserve">for point-to-multipoint licensees </w:t>
      </w:r>
      <w:r w:rsidR="00F67EE1" w:rsidRPr="0055309D">
        <w:t>include</w:t>
      </w:r>
      <w:r w:rsidR="00CB655C" w:rsidRPr="0055309D">
        <w:t xml:space="preserve"> </w:t>
      </w:r>
      <w:r w:rsidR="007105E8" w:rsidRPr="0055309D">
        <w:t>acquiring</w:t>
      </w:r>
      <w:r w:rsidR="00CB655C" w:rsidRPr="0055309D">
        <w:t xml:space="preserve"> access </w:t>
      </w:r>
      <w:r w:rsidR="007105E8" w:rsidRPr="0055309D">
        <w:t xml:space="preserve">to </w:t>
      </w:r>
      <w:r w:rsidR="00CB655C" w:rsidRPr="0055309D">
        <w:t xml:space="preserve">the </w:t>
      </w:r>
      <w:r w:rsidR="007105E8" w:rsidRPr="0055309D">
        <w:t>5.6 GHz band or negotiating</w:t>
      </w:r>
      <w:r w:rsidR="00CB655C" w:rsidRPr="0055309D">
        <w:t xml:space="preserve"> </w:t>
      </w:r>
      <w:r w:rsidR="00F67EE1" w:rsidRPr="0055309D">
        <w:t xml:space="preserve">access to </w:t>
      </w:r>
      <w:r w:rsidR="0036027D" w:rsidRPr="0055309D">
        <w:t>spectrum held by spectrum licensees in the area</w:t>
      </w:r>
      <w:r w:rsidR="00CB655C" w:rsidRPr="0055309D">
        <w:t>.</w:t>
      </w:r>
      <w:r w:rsidR="007105E8" w:rsidRPr="0055309D">
        <w:t xml:space="preserve"> </w:t>
      </w:r>
      <w:r w:rsidR="00CB655C" w:rsidRPr="0055309D">
        <w:t xml:space="preserve">In the event </w:t>
      </w:r>
      <w:r w:rsidR="000047E7" w:rsidRPr="0055309D">
        <w:t xml:space="preserve">that </w:t>
      </w:r>
      <w:r w:rsidR="00CB655C" w:rsidRPr="0055309D">
        <w:t>neither of the</w:t>
      </w:r>
      <w:r w:rsidR="007105E8" w:rsidRPr="0055309D">
        <w:t xml:space="preserve"> long</w:t>
      </w:r>
      <w:r w:rsidR="000047E7" w:rsidRPr="0055309D">
        <w:t>-</w:t>
      </w:r>
      <w:r w:rsidR="007105E8" w:rsidRPr="0055309D">
        <w:t xml:space="preserve">term options is </w:t>
      </w:r>
      <w:r w:rsidR="001C6575" w:rsidRPr="0055309D">
        <w:t>available</w:t>
      </w:r>
      <w:r w:rsidR="007105E8" w:rsidRPr="0055309D">
        <w:t xml:space="preserve">, </w:t>
      </w:r>
      <w:r w:rsidR="008E6BDB" w:rsidRPr="0055309D">
        <w:t xml:space="preserve">then </w:t>
      </w:r>
      <w:r w:rsidR="007105E8" w:rsidRPr="0055309D">
        <w:t>a</w:t>
      </w:r>
      <w:r w:rsidR="00712AF5" w:rsidRPr="0055309D">
        <w:t>t</w:t>
      </w:r>
      <w:r w:rsidR="007105E8" w:rsidRPr="0055309D">
        <w:t xml:space="preserve"> a minimum an </w:t>
      </w:r>
      <w:r w:rsidR="00CB655C" w:rsidRPr="0055309D">
        <w:t xml:space="preserve">appropriate </w:t>
      </w:r>
      <w:r w:rsidR="001C6575" w:rsidRPr="0055309D">
        <w:t>period of time</w:t>
      </w:r>
      <w:r w:rsidR="007105E8" w:rsidRPr="0055309D">
        <w:t xml:space="preserve"> </w:t>
      </w:r>
      <w:r w:rsidR="00CB655C" w:rsidRPr="0055309D">
        <w:t>for incumbents to recover their investment</w:t>
      </w:r>
      <w:r w:rsidR="007105E8" w:rsidRPr="0055309D">
        <w:t xml:space="preserve"> is considered appropriate</w:t>
      </w:r>
      <w:r w:rsidR="00CB655C" w:rsidRPr="0055309D">
        <w:t>.</w:t>
      </w:r>
      <w:r w:rsidR="007105E8" w:rsidRPr="0055309D">
        <w:t xml:space="preserve"> </w:t>
      </w:r>
    </w:p>
    <w:p w14:paraId="3342B163" w14:textId="77777777" w:rsidR="007105E8" w:rsidRDefault="00567931" w:rsidP="00191223">
      <w:r w:rsidRPr="0055309D">
        <w:t xml:space="preserve">Based on submissions provided by incumbent point-to-multipoint licensees, the ACMA </w:t>
      </w:r>
      <w:r w:rsidR="007105E8" w:rsidRPr="0055309D">
        <w:t xml:space="preserve">believes </w:t>
      </w:r>
      <w:r w:rsidR="006B7E56" w:rsidRPr="0055309D">
        <w:t>a</w:t>
      </w:r>
      <w:r w:rsidR="000047E7" w:rsidRPr="0055309D">
        <w:t xml:space="preserve"> seven-</w:t>
      </w:r>
      <w:r w:rsidRPr="0055309D">
        <w:t>year</w:t>
      </w:r>
      <w:r w:rsidR="007105E8" w:rsidRPr="0055309D">
        <w:t xml:space="preserve"> </w:t>
      </w:r>
      <w:r w:rsidR="001C6575" w:rsidRPr="0055309D">
        <w:t xml:space="preserve">re-allocation period </w:t>
      </w:r>
      <w:r w:rsidRPr="0055309D">
        <w:t xml:space="preserve">would be </w:t>
      </w:r>
      <w:r w:rsidR="001C6575" w:rsidRPr="0055309D">
        <w:t xml:space="preserve">suitable in </w:t>
      </w:r>
      <w:r w:rsidR="006B7E56" w:rsidRPr="0055309D">
        <w:t xml:space="preserve">both </w:t>
      </w:r>
      <w:r w:rsidR="00712AF5" w:rsidRPr="0055309D">
        <w:t>Area 2 and Area 3</w:t>
      </w:r>
      <w:r w:rsidR="007105E8" w:rsidRPr="0055309D">
        <w:t xml:space="preserve">. </w:t>
      </w:r>
      <w:r w:rsidR="001C6575" w:rsidRPr="0055309D">
        <w:t>During this period, s</w:t>
      </w:r>
      <w:r w:rsidR="007105E8" w:rsidRPr="0055309D">
        <w:t xml:space="preserve">pectrum licensees </w:t>
      </w:r>
      <w:r w:rsidR="001C6575" w:rsidRPr="0055309D">
        <w:t xml:space="preserve">will </w:t>
      </w:r>
      <w:r w:rsidR="007105E8" w:rsidRPr="0055309D">
        <w:t xml:space="preserve">be required to afford </w:t>
      </w:r>
      <w:r w:rsidR="001C6575" w:rsidRPr="0055309D">
        <w:t xml:space="preserve">the same level of </w:t>
      </w:r>
      <w:r w:rsidR="007105E8" w:rsidRPr="0055309D">
        <w:t>protection to incumbent</w:t>
      </w:r>
      <w:r w:rsidR="001C6575" w:rsidRPr="0055309D">
        <w:t>s as they currently receive</w:t>
      </w:r>
      <w:r w:rsidR="007105E8" w:rsidRPr="0055309D">
        <w:t>.</w:t>
      </w:r>
      <w:r w:rsidR="001C6575" w:rsidRPr="0055309D">
        <w:t xml:space="preserve"> </w:t>
      </w:r>
      <w:r w:rsidR="0036027D" w:rsidRPr="0055309D">
        <w:t xml:space="preserve">Since these licences are mostly located in regional and remote areas, </w:t>
      </w:r>
      <w:r w:rsidR="006B7E56" w:rsidRPr="0055309D">
        <w:t xml:space="preserve">and </w:t>
      </w:r>
      <w:r w:rsidR="00770EF4" w:rsidRPr="0055309D">
        <w:t>initial</w:t>
      </w:r>
      <w:r w:rsidR="006B7E56" w:rsidRPr="0055309D">
        <w:t xml:space="preserve"> wide-area broadband deployments are expected in major metropolitan areas, </w:t>
      </w:r>
      <w:r w:rsidR="0036027D" w:rsidRPr="0055309D">
        <w:t xml:space="preserve">the additional time to relocate </w:t>
      </w:r>
      <w:r w:rsidR="008E6BDB" w:rsidRPr="0055309D">
        <w:t>may</w:t>
      </w:r>
      <w:r w:rsidR="008E6BDB">
        <w:t xml:space="preserve"> </w:t>
      </w:r>
      <w:r w:rsidR="0036027D">
        <w:t>not have a significant effect on the ability of a spectrum licensee to rollout services</w:t>
      </w:r>
      <w:r w:rsidR="006B7E56">
        <w:t xml:space="preserve"> in regional Australia</w:t>
      </w:r>
      <w:r w:rsidR="0036027D">
        <w:t xml:space="preserve">. </w:t>
      </w:r>
      <w:r w:rsidR="001C6575">
        <w:t xml:space="preserve">If earlier access is required in specific areas, </w:t>
      </w:r>
      <w:r w:rsidR="008E6BDB">
        <w:t xml:space="preserve">however, </w:t>
      </w:r>
      <w:r w:rsidR="001C6575">
        <w:t xml:space="preserve">spectrum licensees </w:t>
      </w:r>
      <w:r w:rsidR="007105E8">
        <w:t>would be free to negotiate with</w:t>
      </w:r>
      <w:r w:rsidR="001C6575">
        <w:t xml:space="preserve"> incumbents to arrange it</w:t>
      </w:r>
      <w:r w:rsidR="007105E8">
        <w:t>.</w:t>
      </w:r>
      <w:r w:rsidR="00336E17">
        <w:t xml:space="preserve"> </w:t>
      </w:r>
    </w:p>
    <w:p w14:paraId="209BFAEF" w14:textId="77777777" w:rsidR="000E2122" w:rsidRPr="00CB655C" w:rsidRDefault="000E2122" w:rsidP="000E2122">
      <w:r>
        <w:t xml:space="preserve">It is also important to note that the ACMA has no plans to place additional restrictions on incumbent licensees during the re-allocation period. </w:t>
      </w:r>
    </w:p>
    <w:p w14:paraId="1AF65FBE" w14:textId="77777777" w:rsidR="000E2122" w:rsidRPr="000047E7" w:rsidRDefault="000415C9" w:rsidP="000047E7">
      <w:pPr>
        <w:pStyle w:val="Heading3"/>
        <w:shd w:val="clear" w:color="auto" w:fill="F2F2F2" w:themeFill="background1" w:themeFillShade="F2"/>
        <w:rPr>
          <w:rStyle w:val="Heading3Char"/>
          <w:b/>
          <w:bCs/>
        </w:rPr>
      </w:pPr>
      <w:bookmarkStart w:id="139" w:name="_Toc496620327"/>
      <w:r w:rsidRPr="000047E7">
        <w:rPr>
          <w:rStyle w:val="Heading3Char"/>
          <w:b/>
          <w:bCs/>
        </w:rPr>
        <w:t xml:space="preserve">ACMA </w:t>
      </w:r>
      <w:r w:rsidR="000047E7" w:rsidRPr="000047E7">
        <w:rPr>
          <w:rStyle w:val="Heading3Char"/>
          <w:b/>
          <w:bCs/>
        </w:rPr>
        <w:t>d</w:t>
      </w:r>
      <w:r w:rsidRPr="000047E7">
        <w:rPr>
          <w:rStyle w:val="Heading3Char"/>
          <w:b/>
          <w:bCs/>
        </w:rPr>
        <w:t>ecision</w:t>
      </w:r>
      <w:bookmarkEnd w:id="139"/>
    </w:p>
    <w:p w14:paraId="78C3C959" w14:textId="77777777" w:rsidR="000047E7" w:rsidRDefault="000047E7" w:rsidP="000047E7">
      <w:pPr>
        <w:shd w:val="clear" w:color="auto" w:fill="F2F2F2" w:themeFill="background1" w:themeFillShade="F2"/>
        <w:spacing w:after="80"/>
      </w:pPr>
      <w:r>
        <w:t>After considering the information provided in submissions, the ACMA has come to the following conclusions regarding the length of the re-allocation period for the 3.6 GHz band:</w:t>
      </w:r>
    </w:p>
    <w:p w14:paraId="0A10468F" w14:textId="77777777" w:rsidR="000047E7" w:rsidRDefault="000047E7" w:rsidP="000047E7">
      <w:pPr>
        <w:pStyle w:val="ListBullet"/>
        <w:shd w:val="clear" w:color="auto" w:fill="F2F2F2" w:themeFill="background1" w:themeFillShade="F2"/>
      </w:pPr>
      <w:r>
        <w:t>Adelaide, Brisbane, Canberra, Melbourne and Sydney (Area 1A): two-year re-allocation period.</w:t>
      </w:r>
    </w:p>
    <w:p w14:paraId="2D6F8CBB" w14:textId="77777777" w:rsidR="000047E7" w:rsidRDefault="000047E7" w:rsidP="000047E7">
      <w:pPr>
        <w:pStyle w:val="ListBullet"/>
        <w:shd w:val="clear" w:color="auto" w:fill="F2F2F2" w:themeFill="background1" w:themeFillShade="F2"/>
      </w:pPr>
      <w:r>
        <w:t>Perth (Area 1B): five-year re-allocation period.</w:t>
      </w:r>
    </w:p>
    <w:p w14:paraId="2B769EED" w14:textId="77777777" w:rsidR="000047E7" w:rsidRDefault="000047E7" w:rsidP="000047E7">
      <w:pPr>
        <w:pStyle w:val="ListBullet"/>
        <w:shd w:val="clear" w:color="auto" w:fill="F2F2F2" w:themeFill="background1" w:themeFillShade="F2"/>
      </w:pPr>
      <w:r>
        <w:t>Area 2: seven-year re-allocation period.</w:t>
      </w:r>
    </w:p>
    <w:p w14:paraId="00BBBE65" w14:textId="77777777" w:rsidR="000047E7" w:rsidRDefault="000047E7" w:rsidP="000047E7">
      <w:pPr>
        <w:pStyle w:val="ListBulletLast"/>
        <w:shd w:val="clear" w:color="auto" w:fill="F2F2F2" w:themeFill="background1" w:themeFillShade="F2"/>
        <w:spacing w:after="0"/>
      </w:pPr>
      <w:r>
        <w:t>Area 3: seven-year re-allocation period.</w:t>
      </w:r>
    </w:p>
    <w:p w14:paraId="3D83E96E" w14:textId="77777777" w:rsidR="000047E7" w:rsidRPr="00F63E9A" w:rsidRDefault="000047E7" w:rsidP="00F63E9A">
      <w:pPr>
        <w:pStyle w:val="ACMASpaceaftertable"/>
        <w:rPr>
          <w:rStyle w:val="Heading3Char"/>
          <w:b w:val="0"/>
          <w:bCs w:val="0"/>
          <w:szCs w:val="24"/>
        </w:rPr>
      </w:pPr>
    </w:p>
    <w:p w14:paraId="089EF868" w14:textId="77777777" w:rsidR="00F018ED" w:rsidRPr="00D358D9" w:rsidRDefault="00F018ED" w:rsidP="00F018ED">
      <w:pPr>
        <w:pStyle w:val="Heading2"/>
      </w:pPr>
      <w:bookmarkStart w:id="140" w:name="_Toc494375842"/>
      <w:bookmarkStart w:id="141" w:name="_Toc494378915"/>
      <w:bookmarkStart w:id="142" w:name="_Toc495935486"/>
      <w:bookmarkStart w:id="143" w:name="_Toc495935516"/>
      <w:bookmarkStart w:id="144" w:name="_Toc496620328"/>
      <w:r>
        <w:t>Options for incumbent point-to-multipoint licensees</w:t>
      </w:r>
      <w:bookmarkEnd w:id="140"/>
      <w:bookmarkEnd w:id="141"/>
      <w:bookmarkEnd w:id="142"/>
      <w:bookmarkEnd w:id="143"/>
      <w:bookmarkEnd w:id="144"/>
      <w:r>
        <w:t xml:space="preserve"> </w:t>
      </w:r>
    </w:p>
    <w:p w14:paraId="55AC6BBF" w14:textId="77777777" w:rsidR="00746F42" w:rsidRDefault="00746F42" w:rsidP="00F018ED">
      <w:r>
        <w:t xml:space="preserve">The </w:t>
      </w:r>
      <w:r w:rsidR="00DB1504">
        <w:t>Options</w:t>
      </w:r>
      <w:r>
        <w:t xml:space="preserve"> paper identified</w:t>
      </w:r>
      <w:r w:rsidR="008F21EE">
        <w:t xml:space="preserve"> that there</w:t>
      </w:r>
      <w:r>
        <w:t xml:space="preserve"> a</w:t>
      </w:r>
      <w:r w:rsidR="008F21EE">
        <w:t>re a</w:t>
      </w:r>
      <w:r>
        <w:t xml:space="preserve"> number of incumbent wireless broadband services operating under point-to-multipoint apparatus licences (point-to-multipoint licensees) in the 3.6 GHz band</w:t>
      </w:r>
      <w:r w:rsidR="000047E7">
        <w:t>—t</w:t>
      </w:r>
      <w:r w:rsidR="00EB5DEE">
        <w:t xml:space="preserve">he number affected </w:t>
      </w:r>
      <w:r w:rsidR="00621B7A">
        <w:t xml:space="preserve">ultimately </w:t>
      </w:r>
      <w:r>
        <w:t>depend</w:t>
      </w:r>
      <w:r w:rsidR="00EB5DEE">
        <w:t>ing</w:t>
      </w:r>
      <w:r>
        <w:t xml:space="preserve"> on the type of replanning arrangements implemented.</w:t>
      </w:r>
    </w:p>
    <w:p w14:paraId="52AE608B" w14:textId="77777777" w:rsidR="00746F42" w:rsidRDefault="00EB5DEE" w:rsidP="00746F42">
      <w:pPr>
        <w:pStyle w:val="ACMASpaceaftertable"/>
      </w:pPr>
      <w:r>
        <w:t>In options involving spectrum licensing, any incumbent services that partially or completely overlap spectrum subject to a reallocation declaration could continue operating until the end of the relevant reallocation period, after which their licences will be automatically cancelled. This creates options for commercial negotiation</w:t>
      </w:r>
      <w:r w:rsidR="000047E7">
        <w:t>—</w:t>
      </w:r>
      <w:r>
        <w:t>for example, for incumbents to elect to vacate early at a sufficient price, to seek to obtain ongoing access to the band beyond the end of the reallocation period as a third-party user authorised by the spectrum licensee, or to enter into other commercial arrangements with the spectrum licensee.</w:t>
      </w:r>
      <w:r w:rsidDel="00EB5DEE">
        <w:t xml:space="preserve"> </w:t>
      </w:r>
    </w:p>
    <w:p w14:paraId="06BA8C64" w14:textId="77777777" w:rsidR="005F5760" w:rsidRDefault="00746F42" w:rsidP="005F5760">
      <w:r>
        <w:t xml:space="preserve">The Options paper </w:t>
      </w:r>
      <w:r w:rsidR="00EB5DEE">
        <w:t xml:space="preserve">also </w:t>
      </w:r>
      <w:r w:rsidR="000E74F5">
        <w:t>identified</w:t>
      </w:r>
      <w:r>
        <w:t xml:space="preserve"> alternative options </w:t>
      </w:r>
      <w:r w:rsidR="00621B7A">
        <w:t xml:space="preserve">that may </w:t>
      </w:r>
      <w:r>
        <w:t xml:space="preserve">currently </w:t>
      </w:r>
      <w:r w:rsidR="000E2110">
        <w:t>be</w:t>
      </w:r>
      <w:r>
        <w:t xml:space="preserve"> </w:t>
      </w:r>
      <w:r w:rsidR="00621B7A">
        <w:t>available</w:t>
      </w:r>
      <w:r>
        <w:t xml:space="preserve"> for</w:t>
      </w:r>
      <w:r w:rsidR="00EB5DEE">
        <w:t xml:space="preserve"> incumbent</w:t>
      </w:r>
      <w:r>
        <w:t xml:space="preserve"> point-to-multipoint licensees</w:t>
      </w:r>
      <w:r w:rsidR="00C85677">
        <w:t xml:space="preserve"> to continue providing services</w:t>
      </w:r>
      <w:r>
        <w:t>.</w:t>
      </w:r>
      <w:r w:rsidR="00C85677">
        <w:t xml:space="preserve"> This included alternative apparatus and class licensed bands, negotiating</w:t>
      </w:r>
      <w:r w:rsidR="00C85677" w:rsidRPr="005E7D03">
        <w:t xml:space="preserve"> access to spectrum held by spectrum licensees in the area</w:t>
      </w:r>
      <w:r w:rsidR="00C85677">
        <w:t xml:space="preserve"> or migrating to fixed line options</w:t>
      </w:r>
      <w:r w:rsidR="001D5D62">
        <w:t xml:space="preserve"> (if viable)</w:t>
      </w:r>
      <w:r w:rsidR="00C85677">
        <w:t xml:space="preserve">. </w:t>
      </w:r>
      <w:r w:rsidR="001D5D62">
        <w:t xml:space="preserve">However, given the limitations of some of these alternatives, the ACMA also investigated new spectrum options for point-to-multipoint licensees. </w:t>
      </w:r>
      <w:r w:rsidR="005F5760">
        <w:t xml:space="preserve">While a number of bands </w:t>
      </w:r>
      <w:r w:rsidR="00D32812">
        <w:t>were</w:t>
      </w:r>
      <w:r w:rsidR="005F5760">
        <w:t xml:space="preserve"> considered, the 5.6 GHz band appeared to be the best candidate. </w:t>
      </w:r>
    </w:p>
    <w:p w14:paraId="3DA88E47" w14:textId="77777777" w:rsidR="005F5760" w:rsidRDefault="005F5760" w:rsidP="005F5760">
      <w:r>
        <w:t>It was acknowledged that any apparatus licence arrangements developed for the 5.6</w:t>
      </w:r>
      <w:r w:rsidR="000E2110">
        <w:t> </w:t>
      </w:r>
      <w:r>
        <w:t xml:space="preserve">GHz band may also come under review at some future point. This is because of the rate of change and innovation in global spectrum use generally, and the uncertainties inherent in predicting future changes in </w:t>
      </w:r>
      <w:r w:rsidR="000E2110">
        <w:t>the</w:t>
      </w:r>
      <w:r>
        <w:t xml:space="preserve"> highest value use of bands. But based on current knowledge, it was expected that the greatest certainty and longest timeframe before this occurred could be provided in the 5.6 GHz band as compared to other candidate bands.</w:t>
      </w:r>
    </w:p>
    <w:p w14:paraId="06670B3E" w14:textId="77777777" w:rsidR="00F018ED" w:rsidRPr="00F018ED" w:rsidRDefault="00665B9F" w:rsidP="00451F91">
      <w:pPr>
        <w:spacing w:after="80"/>
      </w:pPr>
      <w:r>
        <w:t>The Options paper asked the following questions related to this issue:</w:t>
      </w:r>
    </w:p>
    <w:p w14:paraId="3A270E02" w14:textId="77777777" w:rsidR="00F018ED" w:rsidRPr="00F018ED" w:rsidRDefault="00F018ED" w:rsidP="00451F91">
      <w:pPr>
        <w:pStyle w:val="ListParagraph"/>
        <w:numPr>
          <w:ilvl w:val="0"/>
          <w:numId w:val="20"/>
        </w:numPr>
        <w:shd w:val="clear" w:color="auto" w:fill="F2F2F2" w:themeFill="background1" w:themeFillShade="F2"/>
        <w:spacing w:after="80"/>
        <w:contextualSpacing w:val="0"/>
        <w:rPr>
          <w:b/>
        </w:rPr>
      </w:pPr>
      <w:r w:rsidRPr="00F018ED">
        <w:rPr>
          <w:b/>
        </w:rPr>
        <w:t>Is the 5.6 GHz band a viable option for wireless broadband systems?</w:t>
      </w:r>
    </w:p>
    <w:p w14:paraId="07513D52" w14:textId="77777777" w:rsidR="00F018ED" w:rsidRPr="00F018ED" w:rsidRDefault="00F018ED" w:rsidP="00451F91">
      <w:pPr>
        <w:pStyle w:val="ListParagraph"/>
        <w:numPr>
          <w:ilvl w:val="0"/>
          <w:numId w:val="20"/>
        </w:numPr>
        <w:shd w:val="clear" w:color="auto" w:fill="F2F2F2" w:themeFill="background1" w:themeFillShade="F2"/>
        <w:spacing w:after="80"/>
        <w:contextualSpacing w:val="0"/>
        <w:rPr>
          <w:b/>
        </w:rPr>
      </w:pPr>
      <w:r w:rsidRPr="00F018ED">
        <w:rPr>
          <w:b/>
        </w:rPr>
        <w:t xml:space="preserve">Under what circumstances </w:t>
      </w:r>
      <w:proofErr w:type="gramStart"/>
      <w:r w:rsidRPr="00F018ED">
        <w:rPr>
          <w:b/>
        </w:rPr>
        <w:t>should apparatus and class-licensed arrangements</w:t>
      </w:r>
      <w:proofErr w:type="gramEnd"/>
      <w:r w:rsidRPr="00F018ED">
        <w:rPr>
          <w:b/>
        </w:rPr>
        <w:t xml:space="preserve"> be considered for the 5.6 GHz band?</w:t>
      </w:r>
    </w:p>
    <w:p w14:paraId="52AA170E" w14:textId="77777777" w:rsidR="00F018ED" w:rsidRPr="00F018ED" w:rsidRDefault="00F018ED" w:rsidP="00451F91">
      <w:pPr>
        <w:pStyle w:val="ListParagraph"/>
        <w:numPr>
          <w:ilvl w:val="0"/>
          <w:numId w:val="20"/>
        </w:numPr>
        <w:shd w:val="clear" w:color="auto" w:fill="F2F2F2" w:themeFill="background1" w:themeFillShade="F2"/>
        <w:spacing w:after="80"/>
        <w:contextualSpacing w:val="0"/>
        <w:rPr>
          <w:b/>
        </w:rPr>
      </w:pPr>
      <w:r w:rsidRPr="00F018ED">
        <w:rPr>
          <w:b/>
        </w:rPr>
        <w:t>If apparatus licensing arrangements are developed for wireless broadband systems in the 5.6 GHz band, are the notional arrangements proposed in Appendix 3 suitable?</w:t>
      </w:r>
    </w:p>
    <w:p w14:paraId="62434AA0" w14:textId="77777777" w:rsidR="00F018ED" w:rsidRPr="00F018ED" w:rsidRDefault="00F018ED" w:rsidP="00451F91">
      <w:pPr>
        <w:pStyle w:val="ListParagraph"/>
        <w:numPr>
          <w:ilvl w:val="0"/>
          <w:numId w:val="20"/>
        </w:numPr>
        <w:shd w:val="clear" w:color="auto" w:fill="F2F2F2" w:themeFill="background1" w:themeFillShade="F2"/>
        <w:spacing w:after="0" w:line="259" w:lineRule="auto"/>
        <w:rPr>
          <w:b/>
        </w:rPr>
      </w:pPr>
      <w:r w:rsidRPr="00F018ED">
        <w:rPr>
          <w:b/>
        </w:rPr>
        <w:t>If point-to-multipoint licences are affected by replanning activities in the 3.6 GHz band, are the alternative options identified suitable? Are there any alternative options that should be considered?</w:t>
      </w:r>
    </w:p>
    <w:p w14:paraId="4A92D476" w14:textId="77777777" w:rsidR="00451F91" w:rsidRPr="00451F91" w:rsidRDefault="00451F91" w:rsidP="00451F91">
      <w:pPr>
        <w:pStyle w:val="ACMASpaceaftertable"/>
      </w:pPr>
    </w:p>
    <w:p w14:paraId="7DED81C3" w14:textId="77777777" w:rsidR="00F018ED" w:rsidRPr="00451F91" w:rsidRDefault="00F018ED" w:rsidP="00451F91">
      <w:pPr>
        <w:pStyle w:val="Heading3"/>
      </w:pPr>
      <w:bookmarkStart w:id="145" w:name="_Toc496620329"/>
      <w:r w:rsidRPr="00451F91">
        <w:t>Summary of submissions</w:t>
      </w:r>
      <w:bookmarkEnd w:id="145"/>
    </w:p>
    <w:p w14:paraId="1B98204F" w14:textId="77777777" w:rsidR="00BA0F2A" w:rsidRPr="00A52564" w:rsidRDefault="00E7301A" w:rsidP="00451F91">
      <w:pPr>
        <w:pStyle w:val="BodySubHeader"/>
      </w:pPr>
      <w:r>
        <w:t>Submission</w:t>
      </w:r>
      <w:r w:rsidR="00BA0F2A" w:rsidRPr="00A52564">
        <w:t xml:space="preserve"> from </w:t>
      </w:r>
      <w:r>
        <w:t xml:space="preserve">the </w:t>
      </w:r>
      <w:r w:rsidR="00BA0F2A">
        <w:t>Bureau of Meteorology</w:t>
      </w:r>
      <w:r w:rsidR="00770EF4">
        <w:t xml:space="preserve"> (BoM)</w:t>
      </w:r>
    </w:p>
    <w:p w14:paraId="361C43F4" w14:textId="77777777" w:rsidR="007C0B61" w:rsidRDefault="00770EF4" w:rsidP="007C0B61">
      <w:r>
        <w:t>BoM</w:t>
      </w:r>
      <w:r w:rsidR="007C0B61">
        <w:t xml:space="preserve"> currently operates weather radars in the 5.6 GHz band. In their submission to the Options paper, they stated that use of the band should remain exclusively </w:t>
      </w:r>
      <w:r w:rsidR="009D599F">
        <w:t>for</w:t>
      </w:r>
      <w:r w:rsidR="007C0B61" w:rsidRPr="00BA0F2A">
        <w:t xml:space="preserve"> </w:t>
      </w:r>
      <w:r w:rsidR="007C0B61">
        <w:t xml:space="preserve">their </w:t>
      </w:r>
      <w:r w:rsidR="007C0B61" w:rsidRPr="00BA0F2A">
        <w:t>radars</w:t>
      </w:r>
      <w:r w:rsidR="007C0B61">
        <w:t>.</w:t>
      </w:r>
      <w:r w:rsidR="009D599F">
        <w:t xml:space="preserve"> They argued that any apparatus</w:t>
      </w:r>
      <w:r w:rsidR="00451F91">
        <w:t>-</w:t>
      </w:r>
      <w:r w:rsidR="009D599F">
        <w:t>licensed sharing arrangements would severely restrict use of the band for bot</w:t>
      </w:r>
      <w:r w:rsidR="00446008">
        <w:t>h point-to-multipoint and radar services</w:t>
      </w:r>
      <w:r w:rsidR="009D599F">
        <w:t xml:space="preserve">. </w:t>
      </w:r>
      <w:r w:rsidR="00A70EE3">
        <w:t>In particular</w:t>
      </w:r>
      <w:r w:rsidR="000E2110">
        <w:t>,</w:t>
      </w:r>
      <w:r w:rsidR="00A70EE3">
        <w:t xml:space="preserve"> the </w:t>
      </w:r>
      <w:r w:rsidR="00A70EE3" w:rsidRPr="00BA0F2A">
        <w:t xml:space="preserve">arrangements would subject any new radars to harmful interference from </w:t>
      </w:r>
      <w:r w:rsidR="00446008">
        <w:t xml:space="preserve">Radio Local Area Network </w:t>
      </w:r>
      <w:r w:rsidR="00451F91">
        <w:t>(</w:t>
      </w:r>
      <w:r w:rsidR="00446008">
        <w:t>(</w:t>
      </w:r>
      <w:r w:rsidR="00A70EE3" w:rsidRPr="00BA0F2A">
        <w:t>RLAN</w:t>
      </w:r>
      <w:r w:rsidR="00451F91">
        <w:t>), for example,</w:t>
      </w:r>
      <w:r w:rsidR="00446008">
        <w:t xml:space="preserve"> Wi-Fi)</w:t>
      </w:r>
      <w:r w:rsidR="00A70EE3" w:rsidRPr="00BA0F2A">
        <w:t xml:space="preserve"> devices operating in both bands adjacent to the 5600</w:t>
      </w:r>
      <w:r w:rsidR="00451F91">
        <w:t>–</w:t>
      </w:r>
      <w:r w:rsidR="00A70EE3" w:rsidRPr="00BA0F2A">
        <w:t>5610 MHz range.</w:t>
      </w:r>
    </w:p>
    <w:p w14:paraId="7567A587" w14:textId="77777777" w:rsidR="00BA0F2A" w:rsidRPr="00A70EE3" w:rsidRDefault="00A70EE3" w:rsidP="00A70EE3">
      <w:pPr>
        <w:rPr>
          <w:i/>
          <w:u w:val="single"/>
        </w:rPr>
      </w:pPr>
      <w:r>
        <w:t>BoM did</w:t>
      </w:r>
      <w:r w:rsidR="009D599F">
        <w:t xml:space="preserve"> not support allowing class licensed devices to operate in the 5.6 GHz band either. The</w:t>
      </w:r>
      <w:r w:rsidR="000E0261">
        <w:t xml:space="preserve"> Bureau</w:t>
      </w:r>
      <w:r w:rsidR="009D599F">
        <w:t xml:space="preserve"> stated that in Europe</w:t>
      </w:r>
      <w:r w:rsidR="00451F91">
        <w:t>,</w:t>
      </w:r>
      <w:r w:rsidR="009D599F">
        <w:t xml:space="preserve"> there has been high levels of interfer</w:t>
      </w:r>
      <w:r w:rsidR="00CC7261">
        <w:t>ence</w:t>
      </w:r>
      <w:r w:rsidR="009D599F">
        <w:t xml:space="preserve"> from RLANs into radars</w:t>
      </w:r>
      <w:r w:rsidR="000E0261">
        <w:t>,</w:t>
      </w:r>
      <w:r w:rsidR="009D599F">
        <w:t xml:space="preserve"> clearly d</w:t>
      </w:r>
      <w:r>
        <w:t xml:space="preserve">emonstrating </w:t>
      </w:r>
      <w:r w:rsidR="000E0261">
        <w:t xml:space="preserve">that </w:t>
      </w:r>
      <w:r w:rsidR="00446008">
        <w:t>Dynamic Frequency Selection (</w:t>
      </w:r>
      <w:r>
        <w:t>DFS</w:t>
      </w:r>
      <w:r w:rsidR="00446008">
        <w:t>)</w:t>
      </w:r>
      <w:r>
        <w:t xml:space="preserve"> does not work</w:t>
      </w:r>
      <w:r w:rsidR="00CC7261">
        <w:t xml:space="preserve"> and that s</w:t>
      </w:r>
      <w:r w:rsidR="009D599F">
        <w:t>uch interference is virtually impossible</w:t>
      </w:r>
      <w:r>
        <w:t xml:space="preserve"> </w:t>
      </w:r>
      <w:r w:rsidR="007D0458">
        <w:t xml:space="preserve">to </w:t>
      </w:r>
      <w:r>
        <w:t>locate and shut</w:t>
      </w:r>
      <w:r w:rsidR="00DA6358">
        <w:t xml:space="preserve"> </w:t>
      </w:r>
      <w:r>
        <w:t>down.</w:t>
      </w:r>
      <w:r w:rsidR="009D599F">
        <w:t xml:space="preserve"> </w:t>
      </w:r>
    </w:p>
    <w:p w14:paraId="24462D99" w14:textId="77777777" w:rsidR="00A52564" w:rsidRPr="00A52564" w:rsidRDefault="00A52564" w:rsidP="00451F91">
      <w:pPr>
        <w:pStyle w:val="BodySubHeader"/>
      </w:pPr>
      <w:r w:rsidRPr="00F63E9A">
        <w:t>Submissions from Wireless Internet Service Provider (WISP) interests</w:t>
      </w:r>
    </w:p>
    <w:p w14:paraId="334FFC4F" w14:textId="77777777" w:rsidR="00DC5A2B" w:rsidRDefault="00DC5A2B" w:rsidP="00DC5A2B">
      <w:r>
        <w:t xml:space="preserve">Respondents associated with WISP interests </w:t>
      </w:r>
      <w:r w:rsidR="007C0B61">
        <w:t xml:space="preserve">wanted </w:t>
      </w:r>
      <w:r w:rsidR="00552147">
        <w:t xml:space="preserve">to ensure </w:t>
      </w:r>
      <w:r w:rsidR="007C0B61">
        <w:t>s</w:t>
      </w:r>
      <w:r>
        <w:t xml:space="preserve">uitable alternative spectrum </w:t>
      </w:r>
      <w:r w:rsidR="00552147">
        <w:t>is</w:t>
      </w:r>
      <w:r>
        <w:t xml:space="preserve"> made available if the </w:t>
      </w:r>
      <w:r w:rsidR="00552147">
        <w:t xml:space="preserve">3.6 GHz </w:t>
      </w:r>
      <w:r>
        <w:t>band is re-</w:t>
      </w:r>
      <w:r w:rsidR="00552147">
        <w:t xml:space="preserve">allocated </w:t>
      </w:r>
      <w:r>
        <w:t>for spectrum licensing. Some respondents indicated that current alternative options (</w:t>
      </w:r>
      <w:r w:rsidR="00451F91">
        <w:t>that is</w:t>
      </w:r>
      <w:proofErr w:type="gramStart"/>
      <w:r w:rsidR="00451F91">
        <w:t>,</w:t>
      </w:r>
      <w:r>
        <w:t>1800</w:t>
      </w:r>
      <w:proofErr w:type="gramEnd"/>
      <w:r>
        <w:t xml:space="preserve"> MHz, 2.</w:t>
      </w:r>
      <w:r w:rsidR="00451F91">
        <w:t>1 </w:t>
      </w:r>
      <w:r>
        <w:t xml:space="preserve">GHz and class licensed bands) were not adequate and commercial negotiations with spectrum licensees </w:t>
      </w:r>
      <w:r w:rsidR="000E2110">
        <w:t>are</w:t>
      </w:r>
      <w:r>
        <w:t xml:space="preserve"> </w:t>
      </w:r>
      <w:r w:rsidRPr="00B2392A">
        <w:t>out of the reach of small wireless service providers.</w:t>
      </w:r>
      <w:r>
        <w:t xml:space="preserve"> A number of alternative bands were proposed</w:t>
      </w:r>
      <w:r w:rsidR="007C0B61">
        <w:t xml:space="preserve"> instead</w:t>
      </w:r>
      <w:r>
        <w:t>, includ</w:t>
      </w:r>
      <w:r w:rsidR="00DA6358">
        <w:t>ing</w:t>
      </w:r>
      <w:r>
        <w:t xml:space="preserve"> </w:t>
      </w:r>
      <w:r w:rsidRPr="00F83BF4">
        <w:t>2400</w:t>
      </w:r>
      <w:r w:rsidR="00451F91">
        <w:t>–</w:t>
      </w:r>
      <w:r w:rsidRPr="00F83BF4">
        <w:t>2500 MHz, 4000</w:t>
      </w:r>
      <w:r w:rsidR="00451F91">
        <w:t>–</w:t>
      </w:r>
      <w:r w:rsidRPr="00F83BF4">
        <w:t>4200 MH</w:t>
      </w:r>
      <w:r>
        <w:t>z, 4940</w:t>
      </w:r>
      <w:r w:rsidR="00451F91">
        <w:t>–</w:t>
      </w:r>
      <w:r>
        <w:t>4990 MHz, 5091</w:t>
      </w:r>
      <w:r w:rsidR="00451F91">
        <w:t>–</w:t>
      </w:r>
      <w:r>
        <w:t>5150 MHz and</w:t>
      </w:r>
      <w:r w:rsidRPr="00F83BF4">
        <w:t xml:space="preserve"> 6000</w:t>
      </w:r>
      <w:r w:rsidR="00451F91">
        <w:t>–</w:t>
      </w:r>
      <w:r w:rsidRPr="00F83BF4">
        <w:t>6100 MHz.</w:t>
      </w:r>
      <w:r>
        <w:t xml:space="preserve"> These bands </w:t>
      </w:r>
      <w:r w:rsidR="00D32812">
        <w:t>were</w:t>
      </w:r>
      <w:r>
        <w:t xml:space="preserve"> flagged due to the availability of equipment, amount of spectrum available </w:t>
      </w:r>
      <w:r w:rsidRPr="00F83BF4">
        <w:t>and protection from illegal use.</w:t>
      </w:r>
      <w:r w:rsidR="00002AF8">
        <w:t xml:space="preserve"> </w:t>
      </w:r>
      <w:r w:rsidR="00E7301A">
        <w:t xml:space="preserve">The ability to provide a carrier grade service </w:t>
      </w:r>
      <w:r w:rsidR="00552147">
        <w:t>was considered</w:t>
      </w:r>
      <w:r w:rsidR="00E7301A">
        <w:t xml:space="preserve"> paramount</w:t>
      </w:r>
      <w:r w:rsidR="00552147">
        <w:t xml:space="preserve"> to WISP respondents</w:t>
      </w:r>
      <w:r w:rsidR="00E7301A">
        <w:t>. One respondent suggest</w:t>
      </w:r>
      <w:r w:rsidR="000E2110">
        <w:t>ed</w:t>
      </w:r>
      <w:r w:rsidR="00E7301A">
        <w:t xml:space="preserve"> that, given the interest in the 3.6 GHz band for 5G, spectrum licensees in the adjacent 3.4 GHz band could migrate into the </w:t>
      </w:r>
      <w:r w:rsidR="007D0458">
        <w:t>3.6 GHz band</w:t>
      </w:r>
      <w:r w:rsidR="006531D2">
        <w:t xml:space="preserve">. This would free up more spectrum for apparatus licensing, possibly even in metropolitan areas. </w:t>
      </w:r>
    </w:p>
    <w:p w14:paraId="1E8F1F3E" w14:textId="77777777" w:rsidR="00DC5A2B" w:rsidRDefault="00F43BDA" w:rsidP="00F63E9A">
      <w:pPr>
        <w:keepNext/>
        <w:keepLines/>
      </w:pPr>
      <w:r w:rsidRPr="00F43BDA">
        <w:t>WISP respondents</w:t>
      </w:r>
      <w:r>
        <w:t xml:space="preserve"> indicated serious doubts over the viability of the 5.6 GHz band as an alternative option to the 3.6 GHz band. While some respondents acknowledged </w:t>
      </w:r>
      <w:r w:rsidR="001601CA">
        <w:t>tha</w:t>
      </w:r>
      <w:r>
        <w:t>t equipment could be configured to operate in the band</w:t>
      </w:r>
      <w:r w:rsidR="00002AF8">
        <w:t xml:space="preserve">, this would come at a cost (to operators and consumers) and there are a number of </w:t>
      </w:r>
      <w:r>
        <w:t>issues</w:t>
      </w:r>
      <w:r w:rsidR="004C77E3">
        <w:t xml:space="preserve"> </w:t>
      </w:r>
      <w:r w:rsidR="00002AF8">
        <w:t xml:space="preserve">that </w:t>
      </w:r>
      <w:r w:rsidR="00552147">
        <w:t xml:space="preserve">would </w:t>
      </w:r>
      <w:r w:rsidR="00002AF8">
        <w:t xml:space="preserve">need </w:t>
      </w:r>
      <w:r w:rsidR="004C77E3">
        <w:t>to be addressed before proceeding</w:t>
      </w:r>
      <w:r>
        <w:t>:</w:t>
      </w:r>
    </w:p>
    <w:p w14:paraId="73AE5E5E" w14:textId="77777777" w:rsidR="006D4AE0" w:rsidRPr="00BA36BB" w:rsidRDefault="006D4AE0" w:rsidP="00F63E9A">
      <w:pPr>
        <w:pStyle w:val="ListBullet"/>
        <w:keepNext/>
        <w:keepLines/>
        <w:numPr>
          <w:ilvl w:val="0"/>
          <w:numId w:val="1"/>
        </w:numPr>
      </w:pPr>
      <w:r w:rsidRPr="00BA36BB">
        <w:t>At most</w:t>
      </w:r>
      <w:r w:rsidR="00451F91">
        <w:t>,</w:t>
      </w:r>
      <w:r w:rsidRPr="00BA36BB">
        <w:t xml:space="preserve"> there is only 40 MHz of spectrum available in the band</w:t>
      </w:r>
      <w:r w:rsidR="001601CA" w:rsidRPr="00BA36BB">
        <w:t>,</w:t>
      </w:r>
      <w:r w:rsidRPr="00BA36BB">
        <w:t xml:space="preserve"> compared </w:t>
      </w:r>
      <w:r w:rsidR="001601CA" w:rsidRPr="00BA36BB">
        <w:t xml:space="preserve">with </w:t>
      </w:r>
      <w:r w:rsidRPr="00BA36BB">
        <w:t>125</w:t>
      </w:r>
      <w:r w:rsidR="001601CA" w:rsidRPr="00BA36BB">
        <w:t> </w:t>
      </w:r>
      <w:r w:rsidRPr="00BA36BB">
        <w:t xml:space="preserve">MHz in 3.6 GHz band. </w:t>
      </w:r>
      <w:r w:rsidR="001601CA" w:rsidRPr="00BA36BB">
        <w:t>This is n</w:t>
      </w:r>
      <w:r w:rsidRPr="00BA36BB">
        <w:t>ot enough spectrum for multiple operators</w:t>
      </w:r>
      <w:r w:rsidR="00002AF8" w:rsidRPr="00BA36BB">
        <w:t xml:space="preserve"> and would limit further use of the band by BoM radars</w:t>
      </w:r>
      <w:r w:rsidRPr="00BA36BB">
        <w:t>.</w:t>
      </w:r>
      <w:r w:rsidR="00002AF8" w:rsidRPr="00BA36BB">
        <w:t xml:space="preserve"> </w:t>
      </w:r>
    </w:p>
    <w:p w14:paraId="03673BFB" w14:textId="77777777" w:rsidR="00F43BDA" w:rsidRPr="00BA36BB" w:rsidRDefault="004C77E3" w:rsidP="00F63E9A">
      <w:pPr>
        <w:pStyle w:val="ListBullet"/>
        <w:keepNext/>
        <w:keepLines/>
        <w:numPr>
          <w:ilvl w:val="0"/>
          <w:numId w:val="1"/>
        </w:numPr>
      </w:pPr>
      <w:r w:rsidRPr="00BA36BB">
        <w:t xml:space="preserve">The characteristics of BoM radars are unknown, so </w:t>
      </w:r>
      <w:r w:rsidR="00E44029" w:rsidRPr="00BA36BB">
        <w:t xml:space="preserve">it is hard </w:t>
      </w:r>
      <w:r w:rsidR="00451F91">
        <w:t xml:space="preserve">to </w:t>
      </w:r>
      <w:r w:rsidR="00E44029" w:rsidRPr="00BA36BB">
        <w:t xml:space="preserve">determine </w:t>
      </w:r>
      <w:r w:rsidR="00552147">
        <w:t xml:space="preserve">the </w:t>
      </w:r>
      <w:r w:rsidR="00E44029" w:rsidRPr="00BA36BB">
        <w:t>ability to coexist until this is provided</w:t>
      </w:r>
      <w:r w:rsidRPr="00BA36BB">
        <w:t>. However, it is likely s</w:t>
      </w:r>
      <w:r w:rsidR="006D4AE0" w:rsidRPr="00BA36BB">
        <w:t>pectrum availability would be reduced further by the l</w:t>
      </w:r>
      <w:r w:rsidR="00F43BDA" w:rsidRPr="00BA36BB">
        <w:t xml:space="preserve">arge coordination distance </w:t>
      </w:r>
      <w:r w:rsidR="006D4AE0" w:rsidRPr="00BA36BB">
        <w:t xml:space="preserve">required </w:t>
      </w:r>
      <w:r w:rsidR="00F43BDA" w:rsidRPr="00BA36BB">
        <w:t>to protect BoM</w:t>
      </w:r>
      <w:r w:rsidR="006D4AE0" w:rsidRPr="00BA36BB">
        <w:t xml:space="preserve"> radars</w:t>
      </w:r>
      <w:r w:rsidR="00A72D42" w:rsidRPr="00BA36BB">
        <w:t>.</w:t>
      </w:r>
    </w:p>
    <w:p w14:paraId="2A74BB2A" w14:textId="77777777" w:rsidR="006D4AE0" w:rsidRPr="00BA36BB" w:rsidRDefault="006D4AE0" w:rsidP="00F63E9A">
      <w:pPr>
        <w:pStyle w:val="ListBullet"/>
        <w:keepNext/>
        <w:keepLines/>
        <w:numPr>
          <w:ilvl w:val="0"/>
          <w:numId w:val="1"/>
        </w:numPr>
      </w:pPr>
      <w:r w:rsidRPr="00BA36BB">
        <w:t>There are a large number of devices operating (illegally) in the band</w:t>
      </w:r>
      <w:r w:rsidR="004C77E3" w:rsidRPr="00BA36BB">
        <w:t>. Off</w:t>
      </w:r>
      <w:r w:rsidR="00451F91">
        <w:t>-</w:t>
      </w:r>
      <w:r w:rsidR="004C77E3" w:rsidRPr="00BA36BB">
        <w:t>the</w:t>
      </w:r>
      <w:r w:rsidR="00451F91">
        <w:t>-</w:t>
      </w:r>
      <w:r w:rsidR="004C77E3" w:rsidRPr="00BA36BB">
        <w:t>shelf consumer equipment can easily be configured to operate in this band</w:t>
      </w:r>
      <w:r w:rsidR="00E44029" w:rsidRPr="00BA36BB">
        <w:t>. This would require ongoing policing by the ACMA in order to manage</w:t>
      </w:r>
      <w:r w:rsidR="00A72D42" w:rsidRPr="00BA36BB">
        <w:t>.</w:t>
      </w:r>
    </w:p>
    <w:p w14:paraId="5B3D0FD3" w14:textId="77777777" w:rsidR="006D4AE0" w:rsidRPr="00BA36BB" w:rsidRDefault="006D4AE0" w:rsidP="00BA36BB">
      <w:pPr>
        <w:pStyle w:val="ListBullet"/>
        <w:numPr>
          <w:ilvl w:val="0"/>
          <w:numId w:val="1"/>
        </w:numPr>
      </w:pPr>
      <w:r w:rsidRPr="00BA36BB">
        <w:t>A requi</w:t>
      </w:r>
      <w:r w:rsidR="00695CC0" w:rsidRPr="00BA36BB">
        <w:t>re</w:t>
      </w:r>
      <w:r w:rsidRPr="00BA36BB">
        <w:t xml:space="preserve">ment to implement DFS would prevent the ability of operators </w:t>
      </w:r>
      <w:r w:rsidR="004C77E3" w:rsidRPr="00BA36BB">
        <w:t>to deploy carrier grade services</w:t>
      </w:r>
      <w:r w:rsidR="00A72D42" w:rsidRPr="00BA36BB">
        <w:t>.</w:t>
      </w:r>
    </w:p>
    <w:p w14:paraId="5094FC20" w14:textId="77777777" w:rsidR="00A822C2" w:rsidRPr="00BA36BB" w:rsidRDefault="00A822C2" w:rsidP="00BA36BB">
      <w:pPr>
        <w:pStyle w:val="ListBullet"/>
        <w:numPr>
          <w:ilvl w:val="0"/>
          <w:numId w:val="1"/>
        </w:numPr>
      </w:pPr>
      <w:r w:rsidRPr="00BA36BB">
        <w:t xml:space="preserve">The ACMA needs to clarify if </w:t>
      </w:r>
      <w:r w:rsidR="00552147">
        <w:t xml:space="preserve">the </w:t>
      </w:r>
      <w:r w:rsidRPr="00BA36BB">
        <w:t xml:space="preserve">4W </w:t>
      </w:r>
      <w:r w:rsidR="00552147">
        <w:t>limit</w:t>
      </w:r>
      <w:r w:rsidRPr="00BA36BB">
        <w:t xml:space="preserve"> proposed relates to transmit power or EIRP</w:t>
      </w:r>
      <w:r w:rsidR="005F63A8">
        <w:t xml:space="preserve">. It was also noted </w:t>
      </w:r>
      <w:r w:rsidRPr="00BA36BB">
        <w:t>that the 5.6 GHz band is already abused by operators operating at higher EIRPs</w:t>
      </w:r>
      <w:r w:rsidR="00A72D42" w:rsidRPr="00BA36BB">
        <w:t>.</w:t>
      </w:r>
    </w:p>
    <w:p w14:paraId="7E9935BB" w14:textId="77777777" w:rsidR="000A2F47" w:rsidRPr="004C77E3" w:rsidRDefault="000A2F47" w:rsidP="00BA36BB">
      <w:pPr>
        <w:pStyle w:val="ListBullet"/>
        <w:numPr>
          <w:ilvl w:val="0"/>
          <w:numId w:val="1"/>
        </w:numPr>
        <w:rPr>
          <w:rFonts w:cs="Arial"/>
        </w:rPr>
      </w:pPr>
      <w:r w:rsidRPr="00BA36BB">
        <w:t>There are no guard bands to manage interference with adjacent band RLANs</w:t>
      </w:r>
      <w:r w:rsidR="00A72D42" w:rsidRPr="00BA36BB">
        <w:t>.</w:t>
      </w:r>
    </w:p>
    <w:p w14:paraId="56AF4C88" w14:textId="77777777" w:rsidR="00F43BDA" w:rsidRDefault="00A822C2" w:rsidP="00BA36BB">
      <w:pPr>
        <w:pStyle w:val="ListBullet"/>
        <w:numPr>
          <w:ilvl w:val="0"/>
          <w:numId w:val="1"/>
        </w:numPr>
        <w:spacing w:after="240"/>
        <w:rPr>
          <w:rFonts w:cs="Arial"/>
        </w:rPr>
      </w:pPr>
      <w:r w:rsidRPr="00BA36BB">
        <w:t>The</w:t>
      </w:r>
      <w:r>
        <w:rPr>
          <w:rFonts w:cs="Arial"/>
        </w:rPr>
        <w:t xml:space="preserve"> 5.</w:t>
      </w:r>
      <w:r w:rsidRPr="00BA36BB">
        <w:t>6 G</w:t>
      </w:r>
      <w:r>
        <w:rPr>
          <w:rFonts w:cs="Arial"/>
        </w:rPr>
        <w:t>Hz band has p</w:t>
      </w:r>
      <w:r w:rsidR="00695CC0" w:rsidRPr="004C77E3">
        <w:rPr>
          <w:rFonts w:cs="Arial"/>
        </w:rPr>
        <w:t>oorer propa</w:t>
      </w:r>
      <w:r w:rsidR="004C77E3" w:rsidRPr="004C77E3">
        <w:rPr>
          <w:rFonts w:cs="Arial"/>
        </w:rPr>
        <w:t>g</w:t>
      </w:r>
      <w:r w:rsidR="00695CC0" w:rsidRPr="004C77E3">
        <w:rPr>
          <w:rFonts w:cs="Arial"/>
        </w:rPr>
        <w:t>ation characteristics</w:t>
      </w:r>
      <w:r>
        <w:rPr>
          <w:rFonts w:cs="Arial"/>
        </w:rPr>
        <w:t xml:space="preserve"> than the</w:t>
      </w:r>
      <w:r w:rsidR="004C77E3">
        <w:rPr>
          <w:rFonts w:cs="Arial"/>
        </w:rPr>
        <w:t xml:space="preserve"> 3.6 GHz band</w:t>
      </w:r>
      <w:r>
        <w:rPr>
          <w:rFonts w:cs="Arial"/>
        </w:rPr>
        <w:t>.</w:t>
      </w:r>
    </w:p>
    <w:p w14:paraId="1E17D227" w14:textId="77777777" w:rsidR="00552147" w:rsidRDefault="00002AF8" w:rsidP="00695CC0">
      <w:r>
        <w:t xml:space="preserve">Some respondents rejected the </w:t>
      </w:r>
      <w:r w:rsidR="00552147">
        <w:t xml:space="preserve">5.6 GHz band </w:t>
      </w:r>
      <w:r>
        <w:t>option outright based on the issues outlined above. However, there were</w:t>
      </w:r>
      <w:r w:rsidR="004C77E3">
        <w:t xml:space="preserve"> some </w:t>
      </w:r>
      <w:r w:rsidR="00E44029">
        <w:t>reluctant</w:t>
      </w:r>
      <w:r>
        <w:t xml:space="preserve"> </w:t>
      </w:r>
      <w:r w:rsidR="004C77E3">
        <w:t xml:space="preserve">support for </w:t>
      </w:r>
      <w:r w:rsidR="00552147">
        <w:t xml:space="preserve">the </w:t>
      </w:r>
      <w:r w:rsidR="004C77E3">
        <w:t xml:space="preserve">5.6 GHz </w:t>
      </w:r>
      <w:r>
        <w:t>band</w:t>
      </w:r>
      <w:r w:rsidR="00451F91">
        <w:t>,</w:t>
      </w:r>
      <w:r>
        <w:t xml:space="preserve"> </w:t>
      </w:r>
      <w:r w:rsidR="004C77E3">
        <w:t xml:space="preserve">provided </w:t>
      </w:r>
      <w:r w:rsidR="004C77E3" w:rsidRPr="004C77E3">
        <w:t>new and effective tools</w:t>
      </w:r>
      <w:r w:rsidR="004C77E3">
        <w:t xml:space="preserve"> are used to manage access </w:t>
      </w:r>
      <w:r>
        <w:t>to it</w:t>
      </w:r>
      <w:r w:rsidR="004C77E3">
        <w:t>.</w:t>
      </w:r>
      <w:r>
        <w:t xml:space="preserve"> </w:t>
      </w:r>
      <w:r w:rsidR="00E44029">
        <w:t>In addition</w:t>
      </w:r>
      <w:r w:rsidR="00451F91">
        <w:t>,</w:t>
      </w:r>
      <w:r>
        <w:t xml:space="preserve"> a minimum of 10</w:t>
      </w:r>
      <w:r w:rsidR="00451F91">
        <w:t>-</w:t>
      </w:r>
      <w:r>
        <w:t xml:space="preserve">years certainty of access to the spectrum would be required. </w:t>
      </w:r>
    </w:p>
    <w:p w14:paraId="12E5E65B" w14:textId="77777777" w:rsidR="00695CC0" w:rsidRDefault="00002AF8" w:rsidP="00695CC0">
      <w:r>
        <w:t xml:space="preserve">There was also support from some respondents to make </w:t>
      </w:r>
      <w:r w:rsidR="00552147">
        <w:t>the 5.6 GHz band</w:t>
      </w:r>
      <w:r>
        <w:t xml:space="preserve"> available for RLANs on a class</w:t>
      </w:r>
      <w:r w:rsidR="00451F91">
        <w:t>-</w:t>
      </w:r>
      <w:r>
        <w:t>licen</w:t>
      </w:r>
      <w:r w:rsidR="00DA6358">
        <w:t>sed</w:t>
      </w:r>
      <w:r>
        <w:t xml:space="preserve"> basis</w:t>
      </w:r>
      <w:r w:rsidR="00E7301A">
        <w:t xml:space="preserve"> instead</w:t>
      </w:r>
      <w:r>
        <w:t xml:space="preserve">. </w:t>
      </w:r>
      <w:r w:rsidR="00E7301A">
        <w:t xml:space="preserve">There was no support </w:t>
      </w:r>
      <w:r w:rsidR="00552147">
        <w:t xml:space="preserve">from WISP interests </w:t>
      </w:r>
      <w:r w:rsidR="00E7301A">
        <w:t xml:space="preserve">for the </w:t>
      </w:r>
      <w:r w:rsidR="007D0458">
        <w:t>simultaneous</w:t>
      </w:r>
      <w:r w:rsidR="00E7301A">
        <w:t xml:space="preserve"> implementation of apparatus and </w:t>
      </w:r>
      <w:r w:rsidR="00F26EAB">
        <w:t>class</w:t>
      </w:r>
      <w:r w:rsidR="00451F91">
        <w:t>-</w:t>
      </w:r>
      <w:r w:rsidR="00E7301A">
        <w:t>licensing arrangements for wireless broadband in the 5.6 GHz band.</w:t>
      </w:r>
    </w:p>
    <w:p w14:paraId="18C2EFC7" w14:textId="77777777" w:rsidR="00242792" w:rsidRPr="005E47ED" w:rsidRDefault="00242792" w:rsidP="00451F91">
      <w:pPr>
        <w:pStyle w:val="BodySubHeader"/>
      </w:pPr>
      <w:r w:rsidRPr="00A52564">
        <w:t>Submissions</w:t>
      </w:r>
      <w:r w:rsidRPr="005E47ED">
        <w:t xml:space="preserve"> from </w:t>
      </w:r>
      <w:r>
        <w:t>mobile industry</w:t>
      </w:r>
    </w:p>
    <w:p w14:paraId="09755A0C" w14:textId="77777777" w:rsidR="002E7D1F" w:rsidRDefault="00242792" w:rsidP="00242792">
      <w:r>
        <w:t xml:space="preserve">Most of the respondents associated with mobile industry interests did not respond to issues associated with options for incumbent point-to-multipoint licensees. However, Telstra and Vodafone indicated </w:t>
      </w:r>
      <w:r w:rsidR="00046B64">
        <w:t>incumbents could pursue commercial arrangements</w:t>
      </w:r>
      <w:r w:rsidR="00451F91">
        <w:t>,</w:t>
      </w:r>
      <w:r w:rsidR="00046B64">
        <w:t xml:space="preserve"> with spectrum licensees to </w:t>
      </w:r>
      <w:r>
        <w:t>support ongoing access to</w:t>
      </w:r>
      <w:r w:rsidR="00046B64">
        <w:t xml:space="preserve"> the band</w:t>
      </w:r>
      <w:r>
        <w:t xml:space="preserve">. </w:t>
      </w:r>
      <w:r w:rsidR="00046B64">
        <w:t>Telstra also indicated their support for developing apparatus licence arrangements in the 5.6 GHz band under the notional arrangements proposed. They also indicated support for use of the band by class licensed devices</w:t>
      </w:r>
      <w:r w:rsidR="00451F91">
        <w:t>,</w:t>
      </w:r>
      <w:r w:rsidR="002E7D1F">
        <w:t xml:space="preserve"> as current bands are becoming congested in metropolitan areas, citing the risk of interference to regionally</w:t>
      </w:r>
      <w:r w:rsidR="00451F91">
        <w:t>-</w:t>
      </w:r>
      <w:r w:rsidR="002E7D1F">
        <w:t>based apparatus licence services would be low.</w:t>
      </w:r>
    </w:p>
    <w:p w14:paraId="760C2D09" w14:textId="77777777" w:rsidR="00242792" w:rsidRDefault="002E7D1F" w:rsidP="00242792">
      <w:r>
        <w:t>Telstra acknowledged that existing alternative bands for incumbent point-to-multipoint licensees (</w:t>
      </w:r>
      <w:r w:rsidR="00451F91">
        <w:t>that is,</w:t>
      </w:r>
      <w:r>
        <w:t xml:space="preserve"> 1800 MHz and 2.1 GHz) are likely to be inadequate due to current heavy use. Instead</w:t>
      </w:r>
      <w:r w:rsidR="00451F91">
        <w:t>,</w:t>
      </w:r>
      <w:r>
        <w:t xml:space="preserve"> they proposed </w:t>
      </w:r>
      <w:r w:rsidR="00451F91">
        <w:t xml:space="preserve">that </w:t>
      </w:r>
      <w:r>
        <w:t xml:space="preserve">the ACMA review the possibility of making the </w:t>
      </w:r>
      <w:r w:rsidRPr="00B2392A">
        <w:t>3300</w:t>
      </w:r>
      <w:r w:rsidR="00451F91">
        <w:t>–</w:t>
      </w:r>
      <w:r w:rsidRPr="00B2392A">
        <w:t xml:space="preserve">3400 MHz </w:t>
      </w:r>
      <w:r>
        <w:t xml:space="preserve">and </w:t>
      </w:r>
      <w:r w:rsidRPr="00B2392A">
        <w:t>4800</w:t>
      </w:r>
      <w:r w:rsidR="00451F91">
        <w:t>–</w:t>
      </w:r>
      <w:r w:rsidRPr="00B2392A">
        <w:t>5000 MHz bands</w:t>
      </w:r>
      <w:r>
        <w:t xml:space="preserve"> available for incumbent point-to-multipoint licensees.</w:t>
      </w:r>
    </w:p>
    <w:p w14:paraId="4C28B8B1" w14:textId="77777777" w:rsidR="00242792" w:rsidRPr="005E47ED" w:rsidRDefault="00242792" w:rsidP="00451F91">
      <w:pPr>
        <w:pStyle w:val="BodySubHeader"/>
      </w:pPr>
      <w:r w:rsidRPr="00A52564">
        <w:t>Submissions</w:t>
      </w:r>
      <w:r w:rsidRPr="005E47ED">
        <w:t xml:space="preserve"> from </w:t>
      </w:r>
      <w:r w:rsidRPr="00F83BF4">
        <w:t>other</w:t>
      </w:r>
      <w:r>
        <w:t xml:space="preserve"> stakeholders</w:t>
      </w:r>
    </w:p>
    <w:p w14:paraId="5142330B" w14:textId="77777777" w:rsidR="00CD4A64" w:rsidRDefault="00381AB4" w:rsidP="00381AB4">
      <w:r>
        <w:t>Response</w:t>
      </w:r>
      <w:r w:rsidR="00242792">
        <w:t>s</w:t>
      </w:r>
      <w:r>
        <w:t xml:space="preserve"> provided by other </w:t>
      </w:r>
      <w:r w:rsidR="00242792">
        <w:t>stakeholders</w:t>
      </w:r>
      <w:r w:rsidR="00622108">
        <w:t xml:space="preserve"> w</w:t>
      </w:r>
      <w:r>
        <w:t xml:space="preserve">ere mainly focused on the ACMA’s proposal for the 5.6 GHz band. Most </w:t>
      </w:r>
      <w:r w:rsidR="00CD4A64">
        <w:t>respondents</w:t>
      </w:r>
      <w:r>
        <w:t xml:space="preserve"> proposed the band be made available for class</w:t>
      </w:r>
      <w:r w:rsidR="00451F91">
        <w:t>-</w:t>
      </w:r>
      <w:r>
        <w:t xml:space="preserve">licensed </w:t>
      </w:r>
      <w:r w:rsidR="00552147">
        <w:t>use</w:t>
      </w:r>
      <w:r>
        <w:t xml:space="preserve"> by RLANs, citing existing arrangements </w:t>
      </w:r>
      <w:r w:rsidR="00242792">
        <w:t xml:space="preserve">already </w:t>
      </w:r>
      <w:r>
        <w:t xml:space="preserve">in </w:t>
      </w:r>
      <w:r w:rsidR="00242792">
        <w:t xml:space="preserve">place in </w:t>
      </w:r>
      <w:r>
        <w:t xml:space="preserve">Europe and the US. The benefits of this would be access to more spectrum and wider bandwidth channels by RLANs. It was argued that coexistence with </w:t>
      </w:r>
      <w:r w:rsidR="00CD4A64">
        <w:t>r</w:t>
      </w:r>
      <w:r>
        <w:t xml:space="preserve">adars operating in the band is possible </w:t>
      </w:r>
      <w:r w:rsidR="00CD4A64">
        <w:t>if</w:t>
      </w:r>
      <w:r>
        <w:t xml:space="preserve"> DFS is mandated. </w:t>
      </w:r>
      <w:r w:rsidR="00DA6358">
        <w:t>I</w:t>
      </w:r>
      <w:r w:rsidR="00CD4A64" w:rsidRPr="00B2392A">
        <w:t xml:space="preserve">nterference issues </w:t>
      </w:r>
      <w:r w:rsidR="00CD4A64">
        <w:t>in the 5.</w:t>
      </w:r>
      <w:r w:rsidR="00451F91">
        <w:t>6 </w:t>
      </w:r>
      <w:r w:rsidR="00CD4A64">
        <w:t xml:space="preserve">GHz band </w:t>
      </w:r>
      <w:r w:rsidR="00DA6358">
        <w:t xml:space="preserve">internationally has resulted from </w:t>
      </w:r>
      <w:r w:rsidR="00CD4A64" w:rsidRPr="00B2392A">
        <w:t>non-compliant equipment.</w:t>
      </w:r>
    </w:p>
    <w:p w14:paraId="73AD178B" w14:textId="77777777" w:rsidR="00CD4A64" w:rsidRDefault="00242792" w:rsidP="00381AB4">
      <w:r>
        <w:t>There was concern from respondents that the development of apparatus licence arrangements would be counterproductive for RLAN use in the band. Though one submitter suggested apparatus</w:t>
      </w:r>
      <w:r w:rsidR="00451F91">
        <w:t>-</w:t>
      </w:r>
      <w:r>
        <w:t>licensed arrangements could be applied in regional/remote areas</w:t>
      </w:r>
      <w:r w:rsidR="00451F91">
        <w:t>,</w:t>
      </w:r>
      <w:r>
        <w:t xml:space="preserve"> and class license arrangements in metro</w:t>
      </w:r>
      <w:r w:rsidR="005231EC" w:rsidRPr="00475453">
        <w:rPr>
          <w:rFonts w:cs="Arial"/>
        </w:rPr>
        <w:t>politan</w:t>
      </w:r>
      <w:r>
        <w:t xml:space="preserve"> areas.</w:t>
      </w:r>
    </w:p>
    <w:p w14:paraId="526D1493" w14:textId="77777777" w:rsidR="00F018ED" w:rsidRPr="00D358D9" w:rsidRDefault="00F018ED" w:rsidP="00F018ED">
      <w:pPr>
        <w:pStyle w:val="Heading3"/>
      </w:pPr>
      <w:bookmarkStart w:id="146" w:name="_Toc496620330"/>
      <w:r w:rsidRPr="00D358D9">
        <w:t>ACMA response to submissions</w:t>
      </w:r>
      <w:bookmarkEnd w:id="146"/>
    </w:p>
    <w:p w14:paraId="3DBB2697" w14:textId="77777777" w:rsidR="00AC0A12" w:rsidRPr="00AC0A12" w:rsidRDefault="00AC0A12" w:rsidP="00451F91">
      <w:pPr>
        <w:pStyle w:val="BodySubHeader"/>
      </w:pPr>
      <w:r w:rsidRPr="00AC0A12">
        <w:t>Use of the 5.6 GHz band</w:t>
      </w:r>
    </w:p>
    <w:p w14:paraId="4FC44ADE" w14:textId="77777777" w:rsidR="00122852" w:rsidRDefault="00122852" w:rsidP="00122852">
      <w:r>
        <w:t xml:space="preserve">The ACMA </w:t>
      </w:r>
      <w:r w:rsidR="00A72D42">
        <w:t xml:space="preserve">acknowledges the </w:t>
      </w:r>
      <w:r>
        <w:t>concerns raised by BoM regarding the development of class or apparatus</w:t>
      </w:r>
      <w:r w:rsidR="00451F91">
        <w:t>-</w:t>
      </w:r>
      <w:r>
        <w:t xml:space="preserve">licencing arrangements for wireless broadband in the 5.6 GHz band. However, as stated in numerous submissions, </w:t>
      </w:r>
      <w:r w:rsidR="00B04904">
        <w:t>there is evidence to suggest</w:t>
      </w:r>
      <w:r>
        <w:t xml:space="preserve"> that</w:t>
      </w:r>
      <w:r w:rsidR="00B04904">
        <w:t xml:space="preserve"> </w:t>
      </w:r>
      <w:r>
        <w:t>internationally</w:t>
      </w:r>
      <w:r w:rsidR="00451F91">
        <w:t>,</w:t>
      </w:r>
      <w:r>
        <w:t xml:space="preserve"> interference issues </w:t>
      </w:r>
      <w:r w:rsidR="00B04904">
        <w:t xml:space="preserve">in the band </w:t>
      </w:r>
      <w:r>
        <w:t xml:space="preserve">are not due to the efficacy of DFS, but to non-compliant and uncoordinated </w:t>
      </w:r>
      <w:r w:rsidR="00E809B8">
        <w:t>use</w:t>
      </w:r>
      <w:r w:rsidR="000751CD">
        <w:t xml:space="preserve"> of RLANs</w:t>
      </w:r>
      <w:r>
        <w:t xml:space="preserve">. </w:t>
      </w:r>
      <w:r w:rsidR="00B04904">
        <w:t>If t</w:t>
      </w:r>
      <w:r w:rsidR="00E809B8">
        <w:t xml:space="preserve">his is </w:t>
      </w:r>
      <w:r w:rsidR="00B04904">
        <w:t xml:space="preserve">the case, </w:t>
      </w:r>
      <w:r w:rsidR="00CF2908">
        <w:t>these negative experiences should not rule out the</w:t>
      </w:r>
      <w:r w:rsidR="00B04904">
        <w:t xml:space="preserve"> </w:t>
      </w:r>
      <w:r w:rsidR="00CF2908">
        <w:t>development of</w:t>
      </w:r>
      <w:r w:rsidR="00E809B8">
        <w:t xml:space="preserve"> </w:t>
      </w:r>
      <w:r w:rsidR="00F729FB">
        <w:t xml:space="preserve">arrangements for </w:t>
      </w:r>
      <w:r w:rsidR="00E809B8">
        <w:t xml:space="preserve">a </w:t>
      </w:r>
      <w:r w:rsidR="00B04904">
        <w:t xml:space="preserve">new </w:t>
      </w:r>
      <w:r w:rsidR="00E809B8">
        <w:t>service</w:t>
      </w:r>
      <w:r w:rsidR="00F729FB">
        <w:t xml:space="preserve"> </w:t>
      </w:r>
      <w:r w:rsidR="00E809B8">
        <w:t xml:space="preserve">in a </w:t>
      </w:r>
      <w:r w:rsidR="00F729FB">
        <w:t>band</w:t>
      </w:r>
      <w:r w:rsidR="00B04904">
        <w:t>, whether they be under a class or apparatus licence regime</w:t>
      </w:r>
      <w:r w:rsidR="00F729FB">
        <w:t xml:space="preserve">. </w:t>
      </w:r>
      <w:r>
        <w:t>The ACMA</w:t>
      </w:r>
      <w:r w:rsidR="00F729FB">
        <w:t xml:space="preserve"> </w:t>
      </w:r>
      <w:r w:rsidR="00B04904">
        <w:t>further</w:t>
      </w:r>
      <w:r>
        <w:t xml:space="preserve"> observes that a coordinated apparatus-licensed regime in the </w:t>
      </w:r>
      <w:r w:rsidR="00B04904">
        <w:t xml:space="preserve">band </w:t>
      </w:r>
      <w:r w:rsidR="000751CD">
        <w:t>sh</w:t>
      </w:r>
      <w:r w:rsidR="00B04904">
        <w:t xml:space="preserve">ould </w:t>
      </w:r>
      <w:r w:rsidR="000751CD">
        <w:t xml:space="preserve">go a step further in </w:t>
      </w:r>
      <w:r w:rsidR="00B04904">
        <w:t>address</w:t>
      </w:r>
      <w:r w:rsidR="000751CD">
        <w:t>ing</w:t>
      </w:r>
      <w:r w:rsidR="00B04904">
        <w:t xml:space="preserve"> BoM</w:t>
      </w:r>
      <w:r w:rsidR="00E576C7">
        <w:t>’</w:t>
      </w:r>
      <w:r w:rsidR="00B04904">
        <w:t>s</w:t>
      </w:r>
      <w:r>
        <w:t xml:space="preserve"> </w:t>
      </w:r>
      <w:r w:rsidR="00B04904">
        <w:t xml:space="preserve">interference </w:t>
      </w:r>
      <w:r>
        <w:t>concerns, while also helping to identify interference sources if issues did arise.</w:t>
      </w:r>
      <w:r w:rsidR="00B04904">
        <w:t xml:space="preserve"> </w:t>
      </w:r>
    </w:p>
    <w:p w14:paraId="38790296" w14:textId="77777777" w:rsidR="00F567FC" w:rsidRDefault="00B04904" w:rsidP="00122852">
      <w:r>
        <w:t xml:space="preserve">It is acknowledged that the creation of apparatus licence arrangements for wireless broadband </w:t>
      </w:r>
      <w:r w:rsidR="002815EF">
        <w:t xml:space="preserve">(as opposed to class license arrangements) </w:t>
      </w:r>
      <w:r>
        <w:t xml:space="preserve">could restrict the deployment of future radar services. This is why the ACMA proposed to leave </w:t>
      </w:r>
      <w:r w:rsidR="006B7E56">
        <w:t>a 10 MHz portion of the 5.6 GHz b</w:t>
      </w:r>
      <w:r w:rsidR="00D14C67">
        <w:t xml:space="preserve">and for </w:t>
      </w:r>
      <w:r w:rsidR="00CF2908">
        <w:t xml:space="preserve">future </w:t>
      </w:r>
      <w:r w:rsidR="00D14C67">
        <w:t>radar</w:t>
      </w:r>
      <w:r w:rsidR="00185500">
        <w:t>-</w:t>
      </w:r>
      <w:r w:rsidR="00D14C67">
        <w:t>only use. In the O</w:t>
      </w:r>
      <w:r w:rsidR="006B7E56">
        <w:t>ptions paper</w:t>
      </w:r>
      <w:r w:rsidR="00185500">
        <w:t>,</w:t>
      </w:r>
      <w:r w:rsidR="006B7E56">
        <w:t xml:space="preserve"> this was proposed to be </w:t>
      </w:r>
      <w:r>
        <w:t xml:space="preserve">the 5600–5610 MHz </w:t>
      </w:r>
      <w:r w:rsidR="006B7E56">
        <w:t>frequency range</w:t>
      </w:r>
      <w:r w:rsidR="00A05FCA">
        <w:t>.</w:t>
      </w:r>
      <w:r w:rsidR="006B7E56">
        <w:t xml:space="preserve"> </w:t>
      </w:r>
      <w:r w:rsidR="00CF2908">
        <w:t>G</w:t>
      </w:r>
      <w:r w:rsidR="006B7E56">
        <w:t xml:space="preserve">iven most radar use is currently centred at 5625 MHz, the ACMA is </w:t>
      </w:r>
      <w:r w:rsidR="00CF2908">
        <w:t xml:space="preserve">also </w:t>
      </w:r>
      <w:r w:rsidR="006B7E56">
        <w:t>open to considering the 5620</w:t>
      </w:r>
      <w:r w:rsidR="00185500">
        <w:t>–</w:t>
      </w:r>
      <w:r w:rsidR="006B7E56">
        <w:t>5630 MHz frequency range instead</w:t>
      </w:r>
      <w:r>
        <w:t xml:space="preserve">. </w:t>
      </w:r>
      <w:r w:rsidR="00CF2908">
        <w:t>Agreement on t</w:t>
      </w:r>
      <w:r w:rsidR="00984893">
        <w:t>he most appropriate way forward</w:t>
      </w:r>
      <w:r w:rsidR="002815EF">
        <w:t xml:space="preserve"> </w:t>
      </w:r>
      <w:r w:rsidR="00984893">
        <w:t>will form part of the future development and consultation of arrangements for the 5.6 GHz band.</w:t>
      </w:r>
      <w:r w:rsidR="00336E17">
        <w:t xml:space="preserve"> </w:t>
      </w:r>
    </w:p>
    <w:p w14:paraId="15650977" w14:textId="77777777" w:rsidR="00FC0BBE" w:rsidRDefault="00F567FC" w:rsidP="00122852">
      <w:r>
        <w:t xml:space="preserve">The ACMA has also considered whether it would be practical to implement </w:t>
      </w:r>
      <w:r w:rsidR="00AC0A12">
        <w:t xml:space="preserve">coordinated </w:t>
      </w:r>
      <w:r>
        <w:t>apparatus licence arrangements in regional/remote areas and class licen</w:t>
      </w:r>
      <w:r w:rsidR="00AC0A12">
        <w:t>s</w:t>
      </w:r>
      <w:r>
        <w:t xml:space="preserve">ed arrangements </w:t>
      </w:r>
      <w:r w:rsidR="00AC0A12">
        <w:t xml:space="preserve">(using DFS) </w:t>
      </w:r>
      <w:r>
        <w:t>in metro</w:t>
      </w:r>
      <w:r w:rsidR="005231EC" w:rsidRPr="00475453">
        <w:rPr>
          <w:rFonts w:cs="Arial"/>
        </w:rPr>
        <w:t>politan</w:t>
      </w:r>
      <w:r>
        <w:t xml:space="preserve"> areas. However, </w:t>
      </w:r>
      <w:r w:rsidR="00AC0A12">
        <w:t>while the use of DFS and</w:t>
      </w:r>
      <w:r w:rsidR="000751CD">
        <w:t>/or</w:t>
      </w:r>
      <w:r w:rsidR="00AC0A12">
        <w:t xml:space="preserve"> coordination procedures </w:t>
      </w:r>
      <w:r w:rsidR="000751CD">
        <w:t>sh</w:t>
      </w:r>
      <w:r w:rsidR="00AC0A12">
        <w:t>ould protect BoM radars (notwithstanding BoM concerns on both approaches)</w:t>
      </w:r>
      <w:r w:rsidR="00185500">
        <w:t>,</w:t>
      </w:r>
      <w:r w:rsidR="00AC0A12">
        <w:t xml:space="preserve"> </w:t>
      </w:r>
      <w:r>
        <w:t>there is currently no practical way to ensure class</w:t>
      </w:r>
      <w:r w:rsidR="00185500">
        <w:t>-</w:t>
      </w:r>
      <w:r>
        <w:t>licensed devices remain</w:t>
      </w:r>
      <w:r w:rsidR="00C13981">
        <w:t xml:space="preserve"> in metro</w:t>
      </w:r>
      <w:r w:rsidR="005231EC" w:rsidRPr="00475453">
        <w:rPr>
          <w:rFonts w:cs="Arial"/>
        </w:rPr>
        <w:t>politan</w:t>
      </w:r>
      <w:r w:rsidR="00C13981">
        <w:t xml:space="preserve"> areas. This means that o</w:t>
      </w:r>
      <w:r>
        <w:t>ver</w:t>
      </w:r>
      <w:r w:rsidR="00FE0E8E">
        <w:t xml:space="preserve"> </w:t>
      </w:r>
      <w:r>
        <w:t>time</w:t>
      </w:r>
      <w:r w:rsidR="00C13981">
        <w:t>, under such arrangements,</w:t>
      </w:r>
      <w:r>
        <w:t xml:space="preserve"> </w:t>
      </w:r>
      <w:r w:rsidR="00C13981">
        <w:t>there would be</w:t>
      </w:r>
      <w:r>
        <w:t xml:space="preserve"> </w:t>
      </w:r>
      <w:r w:rsidR="00C13981">
        <w:t xml:space="preserve">an </w:t>
      </w:r>
      <w:r>
        <w:t>increase</w:t>
      </w:r>
      <w:r w:rsidR="00C13981">
        <w:t>d</w:t>
      </w:r>
      <w:r>
        <w:t xml:space="preserve"> risk of interference to apparatus</w:t>
      </w:r>
      <w:r w:rsidR="00185500">
        <w:t>-</w:t>
      </w:r>
      <w:r>
        <w:t xml:space="preserve">licensed </w:t>
      </w:r>
      <w:r w:rsidR="00AC0A12">
        <w:t>point-</w:t>
      </w:r>
      <w:r w:rsidR="00373D9F">
        <w:t>to-</w:t>
      </w:r>
      <w:r w:rsidR="00AC0A12">
        <w:t xml:space="preserve">multipoint </w:t>
      </w:r>
      <w:r>
        <w:t>use in regional and remote areas.</w:t>
      </w:r>
    </w:p>
    <w:p w14:paraId="6028CCF5" w14:textId="77777777" w:rsidR="00FC0BBE" w:rsidRDefault="00D45B88" w:rsidP="00122852">
      <w:r>
        <w:t>After consideration of the issues, the ACMA believes a managed interference environment</w:t>
      </w:r>
      <w:r w:rsidR="00185500">
        <w:t>—</w:t>
      </w:r>
      <w:r w:rsidR="00FE0E8E">
        <w:t>that is, apparatus</w:t>
      </w:r>
      <w:r w:rsidR="00185500">
        <w:t>-</w:t>
      </w:r>
      <w:r w:rsidR="00FE0E8E">
        <w:t>licensed access to the band in accordance with ACMA-developed coordination rules</w:t>
      </w:r>
      <w:r w:rsidR="00185500">
        <w:t>—</w:t>
      </w:r>
      <w:r>
        <w:t xml:space="preserve">would be the most appropriate approach in the first instance. Not only would this provide </w:t>
      </w:r>
      <w:r w:rsidR="00AC0A12">
        <w:t xml:space="preserve">greater control </w:t>
      </w:r>
      <w:r w:rsidR="000751CD">
        <w:t xml:space="preserve">in access and </w:t>
      </w:r>
      <w:r w:rsidR="00FC0BBE">
        <w:t xml:space="preserve">protection for </w:t>
      </w:r>
      <w:r>
        <w:t>BoM</w:t>
      </w:r>
      <w:r w:rsidR="00FC0BBE">
        <w:t xml:space="preserve"> radars</w:t>
      </w:r>
      <w:r>
        <w:t xml:space="preserve">, it </w:t>
      </w:r>
      <w:r w:rsidR="00FC0BBE">
        <w:t>will also provide</w:t>
      </w:r>
      <w:r>
        <w:t xml:space="preserve"> options for</w:t>
      </w:r>
      <w:r w:rsidR="000A5E18">
        <w:t xml:space="preserve"> new or existing</w:t>
      </w:r>
      <w:r>
        <w:t xml:space="preserve"> </w:t>
      </w:r>
      <w:r w:rsidR="000A5E18">
        <w:t>wireless broadband operators to deploy carrier grade services.</w:t>
      </w:r>
      <w:r w:rsidR="00D827E0">
        <w:t xml:space="preserve"> It also </w:t>
      </w:r>
      <w:r w:rsidR="00FE0E8E">
        <w:t>giv</w:t>
      </w:r>
      <w:r w:rsidR="00D827E0">
        <w:t xml:space="preserve">es </w:t>
      </w:r>
      <w:r w:rsidR="00F5273F">
        <w:t>more</w:t>
      </w:r>
      <w:r w:rsidR="00D827E0">
        <w:t xml:space="preserve"> time to further assess the efficacy of DFS in protecting radars international</w:t>
      </w:r>
      <w:r w:rsidR="006B712F">
        <w:t>ly</w:t>
      </w:r>
      <w:r w:rsidR="00D827E0">
        <w:t>.</w:t>
      </w:r>
    </w:p>
    <w:p w14:paraId="184BABB9" w14:textId="77777777" w:rsidR="00AC0A12" w:rsidRPr="00AC0A12" w:rsidRDefault="00AC0A12" w:rsidP="00185500">
      <w:pPr>
        <w:pStyle w:val="BodySubHeader"/>
      </w:pPr>
      <w:r w:rsidRPr="00AC0A12">
        <w:t xml:space="preserve">Alternative bands for apparatus licensed </w:t>
      </w:r>
      <w:r w:rsidR="00A93823">
        <w:t>point-to-multipoint</w:t>
      </w:r>
      <w:r w:rsidRPr="00AC0A12">
        <w:t xml:space="preserve"> services</w:t>
      </w:r>
    </w:p>
    <w:p w14:paraId="2A078E15" w14:textId="77777777" w:rsidR="00712AF5" w:rsidRPr="007178C5" w:rsidRDefault="004B5A9D" w:rsidP="00185500">
      <w:pPr>
        <w:rPr>
          <w:rFonts w:cs="Arial"/>
        </w:rPr>
      </w:pPr>
      <w:r>
        <w:t>The ACMA appreciates the</w:t>
      </w:r>
      <w:r w:rsidR="00E94313">
        <w:t xml:space="preserve"> desire of many </w:t>
      </w:r>
      <w:r>
        <w:t xml:space="preserve">WISPs </w:t>
      </w:r>
      <w:r w:rsidR="00E94313">
        <w:t xml:space="preserve">for more suitable </w:t>
      </w:r>
      <w:r>
        <w:t xml:space="preserve">alternative </w:t>
      </w:r>
      <w:r w:rsidR="00E94313">
        <w:t>bands</w:t>
      </w:r>
      <w:r>
        <w:t xml:space="preserve"> </w:t>
      </w:r>
      <w:r w:rsidR="00E94313">
        <w:t xml:space="preserve">to be made </w:t>
      </w:r>
      <w:r>
        <w:t>available for site</w:t>
      </w:r>
      <w:r w:rsidR="00185500">
        <w:t>-</w:t>
      </w:r>
      <w:r>
        <w:t xml:space="preserve">based apparatus licensing. However, identifying alternative spectrum for </w:t>
      </w:r>
      <w:r w:rsidR="00473861">
        <w:t>site</w:t>
      </w:r>
      <w:r w:rsidR="00185500">
        <w:t>-</w:t>
      </w:r>
      <w:r w:rsidR="00473861">
        <w:t xml:space="preserve">based </w:t>
      </w:r>
      <w:r>
        <w:t xml:space="preserve">point-to-multipoint </w:t>
      </w:r>
      <w:r w:rsidR="00473861">
        <w:t xml:space="preserve">licensing </w:t>
      </w:r>
      <w:r>
        <w:t xml:space="preserve">is particularly challenging, as spectrum suitable for </w:t>
      </w:r>
      <w:r w:rsidR="00473861">
        <w:t>such use</w:t>
      </w:r>
      <w:r>
        <w:t xml:space="preserve"> is also often of interest for wide-area </w:t>
      </w:r>
      <w:r w:rsidR="00473861">
        <w:t xml:space="preserve">broadband </w:t>
      </w:r>
      <w:r>
        <w:t xml:space="preserve">deployments </w:t>
      </w:r>
      <w:r w:rsidR="00E94313">
        <w:t xml:space="preserve">(meaning access may not be guaranteed for the very long terms sought by WISPs) </w:t>
      </w:r>
      <w:r>
        <w:t>or</w:t>
      </w:r>
      <w:r w:rsidR="000A237F">
        <w:t xml:space="preserve"> is </w:t>
      </w:r>
      <w:r>
        <w:t>not suitable due existing arrangements and incumbency issues. The ACMA has considered other bands of interest to point-to-multipoint users</w:t>
      </w:r>
      <w:r w:rsidR="00185500">
        <w:t>,</w:t>
      </w:r>
      <w:r>
        <w:t xml:space="preserve"> but believes that any apparatus</w:t>
      </w:r>
      <w:r w:rsidR="00185500">
        <w:t>-</w:t>
      </w:r>
      <w:r>
        <w:t xml:space="preserve">licensing arrangements developed for the 5.6 GHz band could be </w:t>
      </w:r>
      <w:r w:rsidR="00E94313">
        <w:t xml:space="preserve">left in place </w:t>
      </w:r>
      <w:r>
        <w:t>for the longest period of time before coming under review. While other bands may be considered in the future, no assurances can be made at this point in time</w:t>
      </w:r>
      <w:r w:rsidR="00251968">
        <w:t>.</w:t>
      </w:r>
    </w:p>
    <w:p w14:paraId="7EE2861B" w14:textId="410A6EAB" w:rsidR="004B5A9D" w:rsidRDefault="004B5A9D" w:rsidP="00185500">
      <w:pPr>
        <w:spacing w:after="80"/>
      </w:pPr>
      <w:r>
        <w:t xml:space="preserve">The alternative bands identified by respondents can be grouped into </w:t>
      </w:r>
      <w:r w:rsidR="00372D79">
        <w:t>four</w:t>
      </w:r>
      <w:r>
        <w:t xml:space="preserve"> categories:</w:t>
      </w:r>
    </w:p>
    <w:p w14:paraId="533FA8C7" w14:textId="77777777" w:rsidR="004B5A9D" w:rsidRPr="00BA36BB" w:rsidRDefault="004B5A9D" w:rsidP="00423C5C">
      <w:pPr>
        <w:pStyle w:val="ListBullet"/>
        <w:numPr>
          <w:ilvl w:val="0"/>
          <w:numId w:val="1"/>
        </w:numPr>
      </w:pPr>
      <w:r w:rsidRPr="00F83BF4">
        <w:t>2400</w:t>
      </w:r>
      <w:r w:rsidR="00185500">
        <w:t>–</w:t>
      </w:r>
      <w:r w:rsidRPr="00F83BF4">
        <w:t>2500 MHz</w:t>
      </w:r>
      <w:r w:rsidR="00185500">
        <w:t xml:space="preserve"> and</w:t>
      </w:r>
      <w:r w:rsidRPr="00F83BF4">
        <w:t xml:space="preserve"> </w:t>
      </w:r>
      <w:r>
        <w:t>4940</w:t>
      </w:r>
      <w:r w:rsidR="00185500">
        <w:t>–</w:t>
      </w:r>
      <w:r>
        <w:t xml:space="preserve">4990 MHz: These bands </w:t>
      </w:r>
      <w:r w:rsidR="00473861">
        <w:t xml:space="preserve">are </w:t>
      </w:r>
      <w:r>
        <w:t>already subject to class</w:t>
      </w:r>
      <w:r w:rsidR="00185500">
        <w:t>-</w:t>
      </w:r>
      <w:r>
        <w:t xml:space="preserve">licensing arrangements and are either not suitable to provide a carrier grade service or are restricted for use by </w:t>
      </w:r>
      <w:r w:rsidR="00473861">
        <w:t xml:space="preserve">other uses or users such as </w:t>
      </w:r>
      <w:r>
        <w:t>Defence, national security and public safety agencies only.</w:t>
      </w:r>
    </w:p>
    <w:p w14:paraId="4C3AB495" w14:textId="7412D810" w:rsidR="004B5A9D" w:rsidRPr="00BA36BB" w:rsidRDefault="004B5A9D" w:rsidP="00E5209F">
      <w:pPr>
        <w:pStyle w:val="ListBullet"/>
      </w:pPr>
      <w:r w:rsidRPr="00D03A74">
        <w:t>5091</w:t>
      </w:r>
      <w:r w:rsidR="00185500">
        <w:t>–</w:t>
      </w:r>
      <w:r w:rsidRPr="00D03A74">
        <w:t xml:space="preserve">5150 </w:t>
      </w:r>
      <w:r w:rsidRPr="00E5209F">
        <w:t>MHz</w:t>
      </w:r>
      <w:r w:rsidRPr="00D03A74">
        <w:t xml:space="preserve"> and 6000</w:t>
      </w:r>
      <w:r w:rsidR="00185500">
        <w:t>–</w:t>
      </w:r>
      <w:r w:rsidRPr="00D03A74">
        <w:t xml:space="preserve">6100 MHz: </w:t>
      </w:r>
      <w:r w:rsidR="000564DD" w:rsidRPr="00D03A74">
        <w:t xml:space="preserve">There are incumbency issues in these bands that make them unsuitable for use by wireless broadband services. </w:t>
      </w:r>
      <w:r w:rsidR="00DA571C" w:rsidRPr="00D03A74">
        <w:t>Specifically</w:t>
      </w:r>
      <w:r w:rsidR="00185500">
        <w:t>,</w:t>
      </w:r>
      <w:r w:rsidR="00DA571C" w:rsidRPr="00D03A74">
        <w:t xml:space="preserve"> the 5091</w:t>
      </w:r>
      <w:r w:rsidR="00185500">
        <w:t>–</w:t>
      </w:r>
      <w:r w:rsidR="00DA571C" w:rsidRPr="00D03A74">
        <w:t xml:space="preserve">5150 MHz band has been identified to support </w:t>
      </w:r>
      <w:r w:rsidR="00D03A74">
        <w:t xml:space="preserve">future </w:t>
      </w:r>
      <w:r w:rsidR="00DA571C" w:rsidRPr="00D03A74">
        <w:t>Unmanned Aircraft Systems</w:t>
      </w:r>
      <w:r w:rsidR="00473861">
        <w:t xml:space="preserve"> and currently is </w:t>
      </w:r>
      <w:r w:rsidR="00D03A74">
        <w:t>used by</w:t>
      </w:r>
      <w:r w:rsidR="00DA571C" w:rsidRPr="00D03A74">
        <w:t xml:space="preserve"> FSS earth stations (</w:t>
      </w:r>
      <w:r w:rsidR="00185500">
        <w:t>e</w:t>
      </w:r>
      <w:r w:rsidR="00DA571C" w:rsidRPr="00D03A74">
        <w:t>arth-to-space)</w:t>
      </w:r>
      <w:r w:rsidR="00185500">
        <w:t xml:space="preserve"> d</w:t>
      </w:r>
      <w:r w:rsidR="00473861">
        <w:t xml:space="preserve">omestically and internationally, </w:t>
      </w:r>
      <w:r w:rsidR="005F63A8">
        <w:t xml:space="preserve">and </w:t>
      </w:r>
      <w:r w:rsidR="00473861">
        <w:t>t</w:t>
      </w:r>
      <w:r w:rsidR="00C840DF">
        <w:t xml:space="preserve">here </w:t>
      </w:r>
      <w:r w:rsidR="00473861">
        <w:t>are</w:t>
      </w:r>
      <w:r w:rsidR="00C840DF">
        <w:t xml:space="preserve"> also no fixed or mobile service allocation in the band </w:t>
      </w:r>
      <w:r w:rsidR="00473861">
        <w:t>to support</w:t>
      </w:r>
      <w:r w:rsidR="00C840DF">
        <w:t xml:space="preserve"> </w:t>
      </w:r>
      <w:r w:rsidR="00473861">
        <w:t>site-based</w:t>
      </w:r>
      <w:r w:rsidR="00C840DF">
        <w:t xml:space="preserve"> </w:t>
      </w:r>
      <w:r w:rsidR="00A93823">
        <w:t>point-to-multipoint</w:t>
      </w:r>
      <w:r w:rsidR="00473861">
        <w:t xml:space="preserve"> operations</w:t>
      </w:r>
      <w:r w:rsidR="00C840DF">
        <w:t>.</w:t>
      </w:r>
      <w:r w:rsidR="00336E17">
        <w:t xml:space="preserve"> </w:t>
      </w:r>
      <w:r w:rsidR="00C840DF">
        <w:t>This is likely due to coexistence issues already mentioned (and would likely call into question the scale of equipment availability in the band).</w:t>
      </w:r>
      <w:r w:rsidR="00336E17">
        <w:t xml:space="preserve"> </w:t>
      </w:r>
      <w:r w:rsidR="00DA571C" w:rsidRPr="00D03A74">
        <w:t>The 6000</w:t>
      </w:r>
      <w:r w:rsidR="00185500">
        <w:t>–</w:t>
      </w:r>
      <w:r w:rsidR="00DA571C" w:rsidRPr="00D03A74">
        <w:t>6100 MHz band is used by fixed links and FSS earth stations (</w:t>
      </w:r>
      <w:r w:rsidR="00185500">
        <w:t>e</w:t>
      </w:r>
      <w:r w:rsidR="00DA571C" w:rsidRPr="00D03A74">
        <w:t xml:space="preserve">arth-to-space). There are in the order of 700 licences in the band, almost all of which are located in and around Perth and the east coast of Australia. </w:t>
      </w:r>
      <w:r w:rsidR="00D03A74" w:rsidRPr="00D03A74">
        <w:t xml:space="preserve">This band was also considered under WRC-15 agenda item 1.1 as a candidate RLAN band. However, it was not </w:t>
      </w:r>
      <w:r w:rsidR="00517731">
        <w:t>identified</w:t>
      </w:r>
      <w:r w:rsidR="00517731" w:rsidRPr="00D03A74">
        <w:t xml:space="preserve"> </w:t>
      </w:r>
      <w:r w:rsidR="00D03A74" w:rsidRPr="00D03A74">
        <w:t>as the restrictions on use were to</w:t>
      </w:r>
      <w:r w:rsidR="00D53F1A">
        <w:t>o</w:t>
      </w:r>
      <w:r w:rsidR="00D03A74" w:rsidRPr="00D03A74">
        <w:t xml:space="preserve"> severe (low power and indoor</w:t>
      </w:r>
      <w:r w:rsidR="00185500">
        <w:t>-</w:t>
      </w:r>
      <w:r w:rsidR="00D03A74" w:rsidRPr="00D03A74">
        <w:t>only operations) to enable coexistence with FSS satellite systems.</w:t>
      </w:r>
      <w:r w:rsidR="00336E17">
        <w:t xml:space="preserve"> </w:t>
      </w:r>
    </w:p>
    <w:p w14:paraId="2BED90EA" w14:textId="00FC7A48" w:rsidR="00413B5C" w:rsidRPr="00BA36BB" w:rsidRDefault="004B5A9D" w:rsidP="00413B5C">
      <w:pPr>
        <w:pStyle w:val="ListBulletLast"/>
        <w:spacing w:after="0"/>
      </w:pPr>
      <w:r>
        <w:t>3300</w:t>
      </w:r>
      <w:r w:rsidR="00185500">
        <w:t>–</w:t>
      </w:r>
      <w:r>
        <w:t xml:space="preserve">3400 MHz, </w:t>
      </w:r>
      <w:r w:rsidRPr="00F83BF4">
        <w:t>4000</w:t>
      </w:r>
      <w:r w:rsidR="00185500">
        <w:t>–</w:t>
      </w:r>
      <w:r w:rsidRPr="00F83BF4">
        <w:t>4200 MH</w:t>
      </w:r>
      <w:r>
        <w:t>z</w:t>
      </w:r>
      <w:r w:rsidR="00185500">
        <w:t xml:space="preserve"> and</w:t>
      </w:r>
      <w:r>
        <w:t xml:space="preserve"> 4800</w:t>
      </w:r>
      <w:r w:rsidR="00185500">
        <w:t>–</w:t>
      </w:r>
      <w:r>
        <w:t>4940 GHz: These bands are also of interest internationally for wide-area network deployments. It cannot be guaranteed that these bands won’t come under review in the future. Therefore</w:t>
      </w:r>
      <w:r w:rsidR="00185500">
        <w:t>,</w:t>
      </w:r>
      <w:r>
        <w:t xml:space="preserve"> long</w:t>
      </w:r>
      <w:r w:rsidR="00185500">
        <w:t>-</w:t>
      </w:r>
      <w:r>
        <w:t>term certainty of licence tenure cannot be provided</w:t>
      </w:r>
      <w:r w:rsidR="00517731">
        <w:t xml:space="preserve"> at this time</w:t>
      </w:r>
      <w:r>
        <w:t>.</w:t>
      </w:r>
    </w:p>
    <w:p w14:paraId="53DD317B" w14:textId="70EBC31E" w:rsidR="00413B5C" w:rsidRDefault="004B5A9D" w:rsidP="00413B5C">
      <w:pPr>
        <w:pStyle w:val="ListBulletLast"/>
      </w:pPr>
      <w:r>
        <w:t>Move 3.4 GHz spectrum licences to the 3.6 GHz band</w:t>
      </w:r>
      <w:r w:rsidR="0090673F">
        <w:t>,</w:t>
      </w:r>
      <w:r>
        <w:t xml:space="preserve"> given interest in the band for 5G services: </w:t>
      </w:r>
      <w:r w:rsidR="00E94313">
        <w:t xml:space="preserve">spectrum licences in the band </w:t>
      </w:r>
      <w:r w:rsidR="00E94313" w:rsidRPr="00BA36BB">
        <w:t>will</w:t>
      </w:r>
      <w:r w:rsidR="00E94313">
        <w:t xml:space="preserve"> not expire until 2030 and cannot be varied without agreement from the licensees. Consequently</w:t>
      </w:r>
      <w:r w:rsidR="0090673F">
        <w:t>,</w:t>
      </w:r>
      <w:r w:rsidR="00E94313">
        <w:t xml:space="preserve"> moving 3.4 GHz spectrum licensees is not considered a practical option. The ACMA also notes that i</w:t>
      </w:r>
      <w:r>
        <w:t>nternationally</w:t>
      </w:r>
      <w:r w:rsidR="0090673F">
        <w:t>,</w:t>
      </w:r>
      <w:r>
        <w:t xml:space="preserve"> the broader 3300</w:t>
      </w:r>
      <w:r w:rsidR="0090673F">
        <w:t>–</w:t>
      </w:r>
      <w:r>
        <w:t>3800 MHz (</w:t>
      </w:r>
      <w:r w:rsidR="00E94313">
        <w:t xml:space="preserve">and in future, potentially </w:t>
      </w:r>
      <w:r>
        <w:t xml:space="preserve">up to 4200 MHz) band is being targeted as a pioneer frequency range for </w:t>
      </w:r>
      <w:r w:rsidR="00517731">
        <w:t xml:space="preserve">the deployment of </w:t>
      </w:r>
      <w:r>
        <w:t>5G</w:t>
      </w:r>
      <w:r w:rsidR="00517731">
        <w:t xml:space="preserve"> services</w:t>
      </w:r>
      <w:r>
        <w:t xml:space="preserve">. Most sources also suggest that 100 MHz per operator is ideal to realise the full benefits of 5G. </w:t>
      </w:r>
      <w:r w:rsidR="00E94313">
        <w:t>These developments suggest that current arrangements in 3.4 GHz are the right ones.</w:t>
      </w:r>
      <w:r w:rsidR="00B85CCD">
        <w:t xml:space="preserve"> </w:t>
      </w:r>
    </w:p>
    <w:p w14:paraId="67C02FAC" w14:textId="77777777" w:rsidR="00807A4F" w:rsidRDefault="00807A4F" w:rsidP="00E5209F">
      <w:pPr>
        <w:pStyle w:val="ListBulletLast"/>
        <w:numPr>
          <w:ilvl w:val="0"/>
          <w:numId w:val="0"/>
        </w:numPr>
        <w:spacing w:after="80"/>
      </w:pPr>
      <w:r>
        <w:t xml:space="preserve">In response to the specific issues </w:t>
      </w:r>
      <w:r w:rsidR="00FC0BBE">
        <w:t xml:space="preserve">and concerns </w:t>
      </w:r>
      <w:r>
        <w:t>raised by WISP respondents:</w:t>
      </w:r>
    </w:p>
    <w:p w14:paraId="52F1BA37" w14:textId="77777777" w:rsidR="00807A4F" w:rsidRPr="007B6A75" w:rsidRDefault="00807A4F" w:rsidP="00423C5C">
      <w:pPr>
        <w:pStyle w:val="ListBullet"/>
        <w:numPr>
          <w:ilvl w:val="0"/>
          <w:numId w:val="1"/>
        </w:numPr>
      </w:pPr>
      <w:r w:rsidRPr="007B6A75">
        <w:t xml:space="preserve">The ACMA acknowledges that </w:t>
      </w:r>
      <w:r w:rsidR="007178C5">
        <w:t>the 5.6 GHz band apparatus</w:t>
      </w:r>
      <w:r w:rsidR="007E3D10">
        <w:t>-</w:t>
      </w:r>
      <w:r w:rsidR="007178C5">
        <w:t xml:space="preserve">licensing arrangements would offer less spectrum than currently available for point-to-multipoint licensing in the 3.6 GHz band. </w:t>
      </w:r>
      <w:r w:rsidR="00282DDC">
        <w:t>This means</w:t>
      </w:r>
      <w:r w:rsidR="007178C5">
        <w:t xml:space="preserve"> it </w:t>
      </w:r>
      <w:r w:rsidR="00282DDC">
        <w:t>is unlikely to</w:t>
      </w:r>
      <w:r w:rsidR="007178C5">
        <w:t xml:space="preserve"> be possible to accommodate every user in the 3.6 GHz band who might seek reassignment in</w:t>
      </w:r>
      <w:r w:rsidR="00C840DF">
        <w:t>to</w:t>
      </w:r>
      <w:r w:rsidR="007178C5">
        <w:t xml:space="preserve"> the 5.6 GHz band. </w:t>
      </w:r>
      <w:r w:rsidR="00282DDC">
        <w:t>To mitigate this to a degree, t</w:t>
      </w:r>
      <w:r w:rsidR="00C840DF">
        <w:t>he</w:t>
      </w:r>
      <w:r w:rsidR="007178C5">
        <w:t xml:space="preserve"> ACMA </w:t>
      </w:r>
      <w:r w:rsidR="00282DDC">
        <w:t xml:space="preserve">is </w:t>
      </w:r>
      <w:r w:rsidR="00C840DF">
        <w:t>propos</w:t>
      </w:r>
      <w:r w:rsidR="00282DDC">
        <w:t>ing</w:t>
      </w:r>
      <w:r w:rsidR="00C840DF">
        <w:t xml:space="preserve"> </w:t>
      </w:r>
      <w:r w:rsidR="007178C5">
        <w:t xml:space="preserve">a </w:t>
      </w:r>
      <w:r w:rsidR="00D14C67">
        <w:t>seven</w:t>
      </w:r>
      <w:r w:rsidR="007E3D10">
        <w:t>-</w:t>
      </w:r>
      <w:r w:rsidR="00D14C67">
        <w:t>year</w:t>
      </w:r>
      <w:r w:rsidR="007178C5">
        <w:t xml:space="preserve"> re-allocation period for incumbent point-to-multipoint licensees</w:t>
      </w:r>
      <w:r w:rsidR="00C840DF">
        <w:t xml:space="preserve"> in Area </w:t>
      </w:r>
      <w:r w:rsidR="00D14C67">
        <w:t xml:space="preserve">2 and </w:t>
      </w:r>
      <w:r w:rsidR="00C840DF">
        <w:t>Area 3</w:t>
      </w:r>
      <w:r w:rsidR="007178C5">
        <w:t xml:space="preserve">. </w:t>
      </w:r>
      <w:r w:rsidR="00D14C67">
        <w:t>S</w:t>
      </w:r>
      <w:r w:rsidR="00543C87">
        <w:t>ince</w:t>
      </w:r>
      <w:r w:rsidR="00C840DF">
        <w:t xml:space="preserve"> </w:t>
      </w:r>
      <w:r w:rsidR="00D14C67">
        <w:t>the re-allocation period</w:t>
      </w:r>
      <w:r w:rsidR="00684ADF">
        <w:t xml:space="preserve"> </w:t>
      </w:r>
      <w:r w:rsidR="00D14C67">
        <w:t xml:space="preserve">proposed </w:t>
      </w:r>
      <w:r w:rsidR="00684ADF">
        <w:t xml:space="preserve">(seven years) </w:t>
      </w:r>
      <w:r w:rsidR="00D14C67">
        <w:t xml:space="preserve">is shorter than </w:t>
      </w:r>
      <w:r w:rsidR="000E7D2C" w:rsidRPr="000E7D2C">
        <w:t xml:space="preserve">the </w:t>
      </w:r>
      <w:r w:rsidR="00D03576">
        <w:t>proposed</w:t>
      </w:r>
      <w:r w:rsidR="008D3DA6">
        <w:t xml:space="preserve"> policy position of making the </w:t>
      </w:r>
      <w:r w:rsidR="00D03576">
        <w:t>5.6 GHz band available for such apparatus licencing for at least 10 years</w:t>
      </w:r>
      <w:r w:rsidR="00543C87">
        <w:t>, it is acknowledged there may</w:t>
      </w:r>
      <w:r w:rsidR="00C840DF">
        <w:t xml:space="preserve"> still be drivers for incumbent</w:t>
      </w:r>
      <w:r w:rsidR="00543C87">
        <w:t xml:space="preserve"> point-to-multipoint licensees</w:t>
      </w:r>
      <w:r w:rsidR="00C840DF">
        <w:t xml:space="preserve"> to </w:t>
      </w:r>
      <w:r w:rsidR="00543C87">
        <w:t xml:space="preserve">transition to the </w:t>
      </w:r>
      <w:r w:rsidR="00C840DF">
        <w:t xml:space="preserve">5.6 GHz </w:t>
      </w:r>
      <w:r w:rsidR="00543C87">
        <w:t>band</w:t>
      </w:r>
      <w:r w:rsidR="00C840DF">
        <w:t>.</w:t>
      </w:r>
      <w:r w:rsidR="00116570">
        <w:t xml:space="preserve"> </w:t>
      </w:r>
      <w:r w:rsidR="00C840DF">
        <w:t>In these cases</w:t>
      </w:r>
      <w:r w:rsidR="007E3D10">
        <w:t>,</w:t>
      </w:r>
      <w:r w:rsidR="00C840DF">
        <w:t xml:space="preserve"> </w:t>
      </w:r>
      <w:r w:rsidR="00543C87" w:rsidRPr="003A7804">
        <w:rPr>
          <w:rFonts w:cs="Arial"/>
          <w:szCs w:val="20"/>
          <w:lang w:eastAsia="en-US"/>
        </w:rPr>
        <w:t>it will be ACMA policy that existing 3.6 GHz point-to-multipoint licensees in Area 2</w:t>
      </w:r>
      <w:r w:rsidR="00684ADF">
        <w:rPr>
          <w:rFonts w:cs="Arial"/>
          <w:szCs w:val="20"/>
          <w:lang w:eastAsia="en-US"/>
        </w:rPr>
        <w:t xml:space="preserve"> and Area 3</w:t>
      </w:r>
      <w:r w:rsidR="00543C87" w:rsidRPr="003A7804">
        <w:rPr>
          <w:rFonts w:cs="Arial"/>
          <w:szCs w:val="20"/>
          <w:lang w:eastAsia="en-US"/>
        </w:rPr>
        <w:t xml:space="preserve">, as far as possible, </w:t>
      </w:r>
      <w:r w:rsidR="00D03576" w:rsidRPr="003A7804">
        <w:rPr>
          <w:rFonts w:cs="Arial"/>
          <w:szCs w:val="20"/>
          <w:lang w:eastAsia="en-US"/>
        </w:rPr>
        <w:t xml:space="preserve">would be </w:t>
      </w:r>
      <w:r w:rsidR="00D03576">
        <w:rPr>
          <w:rFonts w:cs="Arial"/>
          <w:szCs w:val="20"/>
          <w:lang w:eastAsia="en-US"/>
        </w:rPr>
        <w:t xml:space="preserve">encourage to apply </w:t>
      </w:r>
      <w:r w:rsidR="00D03576" w:rsidRPr="003A7804">
        <w:rPr>
          <w:rFonts w:cs="Arial"/>
          <w:szCs w:val="20"/>
          <w:lang w:eastAsia="en-US"/>
        </w:rPr>
        <w:t xml:space="preserve">for ‘like for like’ licences in the band </w:t>
      </w:r>
      <w:r w:rsidR="00D03576">
        <w:rPr>
          <w:rFonts w:cs="Arial"/>
          <w:szCs w:val="20"/>
          <w:lang w:eastAsia="en-US"/>
        </w:rPr>
        <w:t>and given preference, to the extent possible, in the ACMA’s consideration of such applications</w:t>
      </w:r>
      <w:r w:rsidR="00D03576" w:rsidRPr="003A7804">
        <w:rPr>
          <w:rFonts w:cs="Arial"/>
          <w:szCs w:val="20"/>
          <w:lang w:eastAsia="en-US"/>
        </w:rPr>
        <w:t>.</w:t>
      </w:r>
      <w:r w:rsidR="00C840DF">
        <w:t xml:space="preserve"> </w:t>
      </w:r>
      <w:r w:rsidR="004A7B0B">
        <w:t>Depending on demand, t</w:t>
      </w:r>
      <w:r w:rsidR="00C840DF">
        <w:t xml:space="preserve">he ACMA acknowledges that it </w:t>
      </w:r>
      <w:r w:rsidR="004A7B0B">
        <w:t>may not</w:t>
      </w:r>
      <w:r w:rsidR="00C840DF">
        <w:t xml:space="preserve"> be possible to accommodate all </w:t>
      </w:r>
      <w:r w:rsidR="000E7D2C">
        <w:t xml:space="preserve">such </w:t>
      </w:r>
      <w:r w:rsidR="00C840DF">
        <w:t>requests</w:t>
      </w:r>
      <w:r w:rsidR="00684ADF">
        <w:t xml:space="preserve">. This </w:t>
      </w:r>
      <w:r w:rsidR="00D57C8F">
        <w:t>may be</w:t>
      </w:r>
      <w:r w:rsidR="00684ADF">
        <w:t xml:space="preserve"> due to incumbent radar services </w:t>
      </w:r>
      <w:r w:rsidR="00D57C8F">
        <w:t xml:space="preserve">in the vicinity </w:t>
      </w:r>
      <w:r w:rsidR="00684ADF">
        <w:t>or the limited spectrum available</w:t>
      </w:r>
      <w:r w:rsidR="00C840DF">
        <w:t xml:space="preserve"> if all 3.6</w:t>
      </w:r>
      <w:r w:rsidR="00116570">
        <w:t> GHz</w:t>
      </w:r>
      <w:r w:rsidR="00C840DF">
        <w:t xml:space="preserve"> </w:t>
      </w:r>
      <w:r w:rsidR="00543C87">
        <w:t xml:space="preserve">band </w:t>
      </w:r>
      <w:r w:rsidR="00C840DF">
        <w:t>licen</w:t>
      </w:r>
      <w:r w:rsidR="00116570">
        <w:t>se</w:t>
      </w:r>
      <w:r w:rsidR="00C840DF">
        <w:t xml:space="preserve">es </w:t>
      </w:r>
      <w:r w:rsidR="00D57C8F">
        <w:t xml:space="preserve">in an area </w:t>
      </w:r>
      <w:r w:rsidR="00C840DF">
        <w:t>sought access to the 5.6 GHz band.</w:t>
      </w:r>
      <w:r w:rsidR="00684ADF">
        <w:t xml:space="preserve"> </w:t>
      </w:r>
    </w:p>
    <w:p w14:paraId="1E81BCEE" w14:textId="77777777" w:rsidR="000A2F47" w:rsidRPr="007B6A75" w:rsidRDefault="00B8171F" w:rsidP="00423C5C">
      <w:pPr>
        <w:pStyle w:val="ListBullet"/>
        <w:numPr>
          <w:ilvl w:val="0"/>
          <w:numId w:val="1"/>
        </w:numPr>
      </w:pPr>
      <w:r>
        <w:t xml:space="preserve">The ACMA will work with stakeholders to develop appropriate access arrangements for the 5.6 GHz band. This will include specifying BoM radar characteristics to use for coordination. </w:t>
      </w:r>
      <w:r w:rsidR="00D57C8F">
        <w:t>Preliminary analysis show</w:t>
      </w:r>
      <w:r w:rsidR="0054082C">
        <w:t>s</w:t>
      </w:r>
      <w:r w:rsidR="00D57C8F">
        <w:t xml:space="preserve"> </w:t>
      </w:r>
      <w:r w:rsidR="007E61A1">
        <w:t>the band to be a viable option for new point-to-multipoint apparatus licences</w:t>
      </w:r>
      <w:r w:rsidR="00A00AEA">
        <w:t xml:space="preserve"> in many areas</w:t>
      </w:r>
      <w:r w:rsidR="007E3D10">
        <w:t>,</w:t>
      </w:r>
      <w:r w:rsidR="00D57C8F">
        <w:t xml:space="preserve"> notwithstanding the use of the band by BoM radar</w:t>
      </w:r>
      <w:r w:rsidR="00A00AEA">
        <w:t>.</w:t>
      </w:r>
      <w:r w:rsidR="000A2F47">
        <w:t xml:space="preserve"> </w:t>
      </w:r>
    </w:p>
    <w:p w14:paraId="7239ADFB" w14:textId="77777777" w:rsidR="00A00AEA" w:rsidRPr="007B6A75" w:rsidRDefault="007E61A1" w:rsidP="00423C5C">
      <w:pPr>
        <w:pStyle w:val="ListBullet"/>
        <w:numPr>
          <w:ilvl w:val="0"/>
          <w:numId w:val="1"/>
        </w:numPr>
      </w:pPr>
      <w:r w:rsidRPr="007B6A75">
        <w:t xml:space="preserve">The ACMA </w:t>
      </w:r>
      <w:r w:rsidR="00D57C8F">
        <w:t>not</w:t>
      </w:r>
      <w:r w:rsidR="00D57C8F" w:rsidRPr="007B6A75">
        <w:t>es</w:t>
      </w:r>
      <w:r w:rsidRPr="007B6A75">
        <w:t xml:space="preserve"> there may be wireless broadband devices already operating in the 5.6 GHz band, even though there are no formal arrangements to support this. </w:t>
      </w:r>
      <w:r w:rsidR="007C7A8E">
        <w:t>The ACMA has already commenced survey work in regional areas to gauge</w:t>
      </w:r>
      <w:r w:rsidR="007F4E5B">
        <w:t xml:space="preserve"> the size of this</w:t>
      </w:r>
      <w:r w:rsidR="007C7A8E">
        <w:t xml:space="preserve"> issue. The result</w:t>
      </w:r>
      <w:r w:rsidR="00D03576">
        <w:t>s</w:t>
      </w:r>
      <w:r w:rsidR="007C7A8E">
        <w:t xml:space="preserve"> </w:t>
      </w:r>
      <w:r w:rsidR="00D03576">
        <w:t>to date</w:t>
      </w:r>
      <w:r w:rsidR="007C7A8E">
        <w:t xml:space="preserve"> confirm there is illegal use within the band</w:t>
      </w:r>
      <w:r w:rsidR="007E3D10">
        <w:t>,</w:t>
      </w:r>
      <w:r w:rsidR="007C7A8E">
        <w:t xml:space="preserve"> but it </w:t>
      </w:r>
      <w:r w:rsidR="004A7B0B">
        <w:t>does not appear to be widespread in the areas investigated</w:t>
      </w:r>
      <w:r w:rsidR="007C7A8E">
        <w:t xml:space="preserve">. </w:t>
      </w:r>
      <w:r w:rsidR="00A00AEA">
        <w:t>In order to make the spectrum suitable for use, the ACMA will work with licensees on an ongoing basis to identify those locations where illegal 5.6 GHz use is accruing and resolve the issue. It is important to note this issue is not unique to the 5.6 GHz band. There are multiple apparatus and spectrum</w:t>
      </w:r>
      <w:r w:rsidR="007E3D10">
        <w:t>-</w:t>
      </w:r>
      <w:r w:rsidR="00A00AEA">
        <w:t xml:space="preserve">licensed bands where the use of illegal repeaters or other non-compliant devices causes problems for licensees. Compliance is an ongoing issue that the ACMA actively works with licensees to manage. </w:t>
      </w:r>
      <w:r w:rsidR="00DA522F">
        <w:t>As with these bands, t</w:t>
      </w:r>
      <w:r w:rsidR="00A00AEA">
        <w:t>he ACMA believes the issues identified in the 5.</w:t>
      </w:r>
      <w:r w:rsidR="007E3D10">
        <w:t>6 </w:t>
      </w:r>
      <w:r w:rsidR="00A00AEA">
        <w:t xml:space="preserve">GHz band can be </w:t>
      </w:r>
      <w:r w:rsidR="00DA522F">
        <w:t>managed</w:t>
      </w:r>
      <w:r w:rsidR="00A00AEA">
        <w:t>.</w:t>
      </w:r>
    </w:p>
    <w:p w14:paraId="29D466E1" w14:textId="77777777" w:rsidR="00A00AEA" w:rsidRPr="007B6A75" w:rsidRDefault="00A00AEA" w:rsidP="00423C5C">
      <w:pPr>
        <w:pStyle w:val="ListBullet"/>
        <w:numPr>
          <w:ilvl w:val="0"/>
          <w:numId w:val="1"/>
        </w:numPr>
      </w:pPr>
      <w:r>
        <w:t xml:space="preserve">Any arrangements developed for the 5.6 GHz band </w:t>
      </w:r>
      <w:r w:rsidR="00D03576">
        <w:t xml:space="preserve">are proposed to </w:t>
      </w:r>
      <w:r>
        <w:t xml:space="preserve">require </w:t>
      </w:r>
      <w:r w:rsidR="00D03576">
        <w:t xml:space="preserve">any prospective </w:t>
      </w:r>
      <w:r>
        <w:t>point-to-multipoint licensees to coordinate with incumbent radar services</w:t>
      </w:r>
      <w:r w:rsidR="007F4E5B">
        <w:t xml:space="preserve"> </w:t>
      </w:r>
      <w:r w:rsidR="00482F09">
        <w:t>(and other apparatus</w:t>
      </w:r>
      <w:r w:rsidR="007E3D10">
        <w:t>-</w:t>
      </w:r>
      <w:r w:rsidR="00482F09">
        <w:t xml:space="preserve">licensed wireless broadband services) </w:t>
      </w:r>
      <w:r w:rsidR="007F4E5B">
        <w:t>before being issued a licence</w:t>
      </w:r>
      <w:r>
        <w:t>. This process will ensure interference is managed between the two services</w:t>
      </w:r>
      <w:r w:rsidR="007E3D10">
        <w:t>—</w:t>
      </w:r>
      <w:r w:rsidR="007F4E5B">
        <w:t>as such</w:t>
      </w:r>
      <w:r w:rsidR="007E3D10">
        <w:t>,</w:t>
      </w:r>
      <w:r w:rsidR="007F4E5B">
        <w:t xml:space="preserve"> the </w:t>
      </w:r>
      <w:r w:rsidR="00765C83">
        <w:t>use of</w:t>
      </w:r>
      <w:r w:rsidR="000A2F47">
        <w:t xml:space="preserve"> DFS </w:t>
      </w:r>
      <w:r w:rsidR="007F4E5B">
        <w:t>to manage interference</w:t>
      </w:r>
      <w:r w:rsidR="000A2F47">
        <w:t xml:space="preserve"> </w:t>
      </w:r>
      <w:r w:rsidR="007F4E5B">
        <w:t>is not considered necessary</w:t>
      </w:r>
      <w:r w:rsidR="000A2F47">
        <w:t xml:space="preserve">. </w:t>
      </w:r>
      <w:r w:rsidR="006E5D0C">
        <w:t>Therefore, b</w:t>
      </w:r>
      <w:r w:rsidR="000A2F47">
        <w:t xml:space="preserve">efore deploying services, prospective licensees will be able to determine </w:t>
      </w:r>
      <w:r w:rsidR="006E5D0C">
        <w:t>whether they</w:t>
      </w:r>
      <w:r w:rsidR="000A2F47">
        <w:t xml:space="preserve"> </w:t>
      </w:r>
      <w:r w:rsidR="006E5D0C">
        <w:t xml:space="preserve">have the </w:t>
      </w:r>
      <w:r w:rsidR="000A2F47">
        <w:t xml:space="preserve">ability to </w:t>
      </w:r>
      <w:r w:rsidR="006E5D0C">
        <w:t>provide</w:t>
      </w:r>
      <w:r w:rsidR="000A2F47">
        <w:t xml:space="preserve"> a carrier grade service.</w:t>
      </w:r>
      <w:r w:rsidR="006E5D0C">
        <w:t xml:space="preserve"> These services would then be provided protection from any </w:t>
      </w:r>
      <w:r w:rsidR="0061364C">
        <w:t>subsequent apparatus</w:t>
      </w:r>
      <w:r w:rsidR="007E3D10">
        <w:t>-</w:t>
      </w:r>
      <w:r w:rsidR="0061364C">
        <w:t xml:space="preserve">licensed </w:t>
      </w:r>
      <w:r w:rsidR="006E5D0C">
        <w:t>radar and wireless broadband services deployed in the band.</w:t>
      </w:r>
    </w:p>
    <w:p w14:paraId="547B8068" w14:textId="77777777" w:rsidR="000A2F47" w:rsidRPr="007B6A75" w:rsidRDefault="00A822C2" w:rsidP="00423C5C">
      <w:pPr>
        <w:pStyle w:val="ListBullet"/>
        <w:numPr>
          <w:ilvl w:val="0"/>
          <w:numId w:val="1"/>
        </w:numPr>
      </w:pPr>
      <w:r>
        <w:t>In the Options paper</w:t>
      </w:r>
      <w:r w:rsidR="007E3D10">
        <w:t>,</w:t>
      </w:r>
      <w:r>
        <w:t xml:space="preserve"> the ACMA proposed implementing </w:t>
      </w:r>
      <w:r w:rsidR="00077337">
        <w:t xml:space="preserve">a maximum </w:t>
      </w:r>
      <w:r>
        <w:t>4W EIRP</w:t>
      </w:r>
      <w:r w:rsidR="00077337">
        <w:t xml:space="preserve"> limit</w:t>
      </w:r>
      <w:r>
        <w:t xml:space="preserve"> for apparatus</w:t>
      </w:r>
      <w:r w:rsidR="007E3D10">
        <w:t>-</w:t>
      </w:r>
      <w:r>
        <w:t>licensed wireless broadband services in the 5.6 GHz band.</w:t>
      </w:r>
      <w:r w:rsidR="00077337">
        <w:t xml:space="preserve"> However, in order to support </w:t>
      </w:r>
      <w:r w:rsidR="00282604">
        <w:t xml:space="preserve">larger </w:t>
      </w:r>
      <w:r w:rsidR="00077337">
        <w:t xml:space="preserve">coverage </w:t>
      </w:r>
      <w:r w:rsidR="00F23A25">
        <w:t>area</w:t>
      </w:r>
      <w:r w:rsidR="0097523E">
        <w:t>s,</w:t>
      </w:r>
      <w:r w:rsidR="00F23A25">
        <w:t xml:space="preserve"> where possible, </w:t>
      </w:r>
      <w:r w:rsidR="00282604">
        <w:t xml:space="preserve">the ACMA is willing to </w:t>
      </w:r>
      <w:r w:rsidR="0061364C">
        <w:t xml:space="preserve">work with stakeholders to </w:t>
      </w:r>
      <w:r w:rsidR="00282604">
        <w:t xml:space="preserve">investigate </w:t>
      </w:r>
      <w:r w:rsidR="0097523E">
        <w:t>setting</w:t>
      </w:r>
      <w:r w:rsidR="00855346">
        <w:t xml:space="preserve"> a </w:t>
      </w:r>
      <w:r w:rsidR="00F23A25">
        <w:t xml:space="preserve">higher EIRP </w:t>
      </w:r>
      <w:r w:rsidR="00855346">
        <w:t>limit</w:t>
      </w:r>
      <w:r w:rsidR="00077337">
        <w:t>.</w:t>
      </w:r>
      <w:r w:rsidR="008B0A9A">
        <w:t xml:space="preserve"> </w:t>
      </w:r>
      <w:r w:rsidR="00BD48AA">
        <w:t>The requirement to coordinate</w:t>
      </w:r>
      <w:r w:rsidR="00F23A25">
        <w:t xml:space="preserve"> with other services in the band may restrict the level that can be used on </w:t>
      </w:r>
      <w:r w:rsidR="0061364C">
        <w:t xml:space="preserve">a </w:t>
      </w:r>
      <w:r w:rsidR="00F23A25">
        <w:t xml:space="preserve">case-by-case basis. The ACMA </w:t>
      </w:r>
      <w:r w:rsidR="0061364C">
        <w:t xml:space="preserve">also </w:t>
      </w:r>
      <w:r w:rsidR="00F23A25">
        <w:t xml:space="preserve">notes that </w:t>
      </w:r>
      <w:r w:rsidR="0061364C">
        <w:t xml:space="preserve">a </w:t>
      </w:r>
      <w:r w:rsidR="00F23A25">
        <w:t xml:space="preserve">higher EIRP limit would </w:t>
      </w:r>
      <w:r w:rsidR="0061364C">
        <w:t xml:space="preserve">likely result in </w:t>
      </w:r>
      <w:r w:rsidR="0097523E">
        <w:t xml:space="preserve">larger separation </w:t>
      </w:r>
      <w:r w:rsidR="00F23A25">
        <w:t xml:space="preserve">distances </w:t>
      </w:r>
      <w:r w:rsidR="0097523E">
        <w:t xml:space="preserve">being required </w:t>
      </w:r>
      <w:r w:rsidR="0061364C">
        <w:t>between services</w:t>
      </w:r>
      <w:r w:rsidR="0097523E">
        <w:t xml:space="preserve"> to </w:t>
      </w:r>
      <w:r w:rsidR="0061364C">
        <w:t>enable coexistence.</w:t>
      </w:r>
      <w:r w:rsidR="00F23A25">
        <w:t xml:space="preserve"> This </w:t>
      </w:r>
      <w:r w:rsidR="0097523E">
        <w:t>c</w:t>
      </w:r>
      <w:r w:rsidR="00F23A25">
        <w:t xml:space="preserve">ould decrease the overall number of </w:t>
      </w:r>
      <w:r w:rsidR="0061364C">
        <w:t xml:space="preserve">services </w:t>
      </w:r>
      <w:r w:rsidR="0097523E">
        <w:t xml:space="preserve">that could </w:t>
      </w:r>
      <w:r w:rsidR="0061364C">
        <w:t xml:space="preserve">be deployed </w:t>
      </w:r>
      <w:r w:rsidR="00F23A25">
        <w:t xml:space="preserve">in the band. </w:t>
      </w:r>
    </w:p>
    <w:p w14:paraId="20F9F83D" w14:textId="77777777" w:rsidR="007657A9" w:rsidRPr="007B6A75" w:rsidRDefault="008B0A9A" w:rsidP="00423C5C">
      <w:pPr>
        <w:pStyle w:val="ListBullet"/>
        <w:numPr>
          <w:ilvl w:val="0"/>
          <w:numId w:val="1"/>
        </w:numPr>
      </w:pPr>
      <w:r>
        <w:t>In the Options paper</w:t>
      </w:r>
      <w:r w:rsidR="007E3D10">
        <w:t>,</w:t>
      </w:r>
      <w:r>
        <w:t xml:space="preserve"> the ACMA proposed making the 5610</w:t>
      </w:r>
      <w:r w:rsidR="007E3D10">
        <w:t>–</w:t>
      </w:r>
      <w:r>
        <w:t xml:space="preserve">5650 MHz frequency range available for point-to-multipoint apparatus licencing. This provides a </w:t>
      </w:r>
      <w:r w:rsidR="00F23A25">
        <w:t xml:space="preserve">de facto </w:t>
      </w:r>
      <w:r>
        <w:t>10 MHz guard band from 5600</w:t>
      </w:r>
      <w:r w:rsidR="007E3D10">
        <w:t>–</w:t>
      </w:r>
      <w:r>
        <w:t>5610 MHz to RLANs operating below 5600 MHz</w:t>
      </w:r>
      <w:r w:rsidR="006E0544">
        <w:t>, w</w:t>
      </w:r>
      <w:r>
        <w:t>hich is considered sufficient to manage any adjacent band interference. However, it is acknowledged there is no equivalent guard band to RLANs operating above 5650 MHz. In this case</w:t>
      </w:r>
      <w:r w:rsidR="007E3D10">
        <w:t>,</w:t>
      </w:r>
      <w:r>
        <w:t xml:space="preserve"> interference is managed by the ability of licensees to transmit at higher EIRP</w:t>
      </w:r>
      <w:r w:rsidR="00282604">
        <w:t>s</w:t>
      </w:r>
      <w:r>
        <w:t xml:space="preserve"> than adjacent band class</w:t>
      </w:r>
      <w:r w:rsidR="007E3D10">
        <w:t>-</w:t>
      </w:r>
      <w:r>
        <w:t>licensed</w:t>
      </w:r>
      <w:r w:rsidR="00282604">
        <w:t xml:space="preserve"> devices</w:t>
      </w:r>
      <w:r w:rsidR="007E3D10">
        <w:t>,</w:t>
      </w:r>
      <w:r w:rsidR="003B637D">
        <w:t xml:space="preserve"> coupled with the apparatus licensees not having to implement </w:t>
      </w:r>
      <w:r w:rsidR="00D827E0">
        <w:t>techniques</w:t>
      </w:r>
      <w:r w:rsidR="003B637D">
        <w:t xml:space="preserve"> such as DFS or </w:t>
      </w:r>
      <w:r w:rsidR="00770EF4">
        <w:t>Carrier Sense Multiple Access (</w:t>
      </w:r>
      <w:r w:rsidR="003B637D">
        <w:t>CSMA</w:t>
      </w:r>
      <w:r w:rsidR="00770EF4">
        <w:t>)</w:t>
      </w:r>
      <w:r>
        <w:t>.</w:t>
      </w:r>
      <w:r w:rsidR="00F23A25">
        <w:t xml:space="preserve"> In addition, in many regional areas it would be expected that the density o</w:t>
      </w:r>
      <w:r w:rsidR="00614814">
        <w:t>f class</w:t>
      </w:r>
      <w:r w:rsidR="007E3D10">
        <w:t>-</w:t>
      </w:r>
      <w:r w:rsidR="00614814">
        <w:t xml:space="preserve">licensed use of RLANs immediately adjacent to </w:t>
      </w:r>
      <w:r w:rsidR="007E3D10">
        <w:t xml:space="preserve">the </w:t>
      </w:r>
      <w:r w:rsidR="00614814">
        <w:t>5650 MHz boundary would be low</w:t>
      </w:r>
      <w:r w:rsidR="00BD48AA">
        <w:t>,</w:t>
      </w:r>
      <w:r w:rsidR="00614814">
        <w:t xml:space="preserve"> with a correspondingly low probability of interference to apparatus</w:t>
      </w:r>
      <w:r w:rsidR="007E3D10">
        <w:t>-</w:t>
      </w:r>
      <w:r w:rsidR="00614814">
        <w:t xml:space="preserve">licensed RLAN use. </w:t>
      </w:r>
      <w:r w:rsidR="0097523E">
        <w:t xml:space="preserve">Similar </w:t>
      </w:r>
      <w:r w:rsidR="0061364C">
        <w:t>arguments would also apply if</w:t>
      </w:r>
      <w:r w:rsidR="0097523E">
        <w:t xml:space="preserve"> the 5620</w:t>
      </w:r>
      <w:r w:rsidR="007E3D10">
        <w:t>–</w:t>
      </w:r>
      <w:r w:rsidR="0097523E">
        <w:t>5630 MHz frequency range is restricted for BoM radar use and the 5600</w:t>
      </w:r>
      <w:r w:rsidR="007E3D10">
        <w:t>–</w:t>
      </w:r>
      <w:r w:rsidR="0097523E">
        <w:t>5620 MHz and 5630</w:t>
      </w:r>
      <w:r w:rsidR="007E3D10">
        <w:t>–</w:t>
      </w:r>
      <w:r w:rsidR="0097523E">
        <w:t>5650 MHz frequency ranges are used for point-to-multipoint apparatus licencing.</w:t>
      </w:r>
      <w:r w:rsidR="00941D4C">
        <w:t xml:space="preserve"> </w:t>
      </w:r>
      <w:r w:rsidR="0061364C">
        <w:t>It is noted that while the ACMA is still committed to reserving 10 MHz of the 5.6 GHz band for radar</w:t>
      </w:r>
      <w:r w:rsidR="007E3D10">
        <w:t>-</w:t>
      </w:r>
      <w:r w:rsidR="0061364C">
        <w:t xml:space="preserve">only operation, the </w:t>
      </w:r>
      <w:r w:rsidR="00941D4C">
        <w:t>most appropriate approach to take will be discussed with stakeholders as part of the development of arrangements for the band.</w:t>
      </w:r>
    </w:p>
    <w:p w14:paraId="30B50990" w14:textId="77777777" w:rsidR="00110C88" w:rsidRPr="00C8377F" w:rsidRDefault="007657A9" w:rsidP="00423C5C">
      <w:pPr>
        <w:pStyle w:val="ListBullet"/>
        <w:numPr>
          <w:ilvl w:val="0"/>
          <w:numId w:val="1"/>
        </w:numPr>
        <w:rPr>
          <w:rFonts w:cs="Arial"/>
        </w:rPr>
      </w:pPr>
      <w:r>
        <w:t>It is acknowledge</w:t>
      </w:r>
      <w:r w:rsidR="006E0544">
        <w:t>d</w:t>
      </w:r>
      <w:r>
        <w:t xml:space="preserve"> that the propagation characteristics of the 5.6 GHz band are not the same as the 3.6 GHz band. However, in a line</w:t>
      </w:r>
      <w:r w:rsidR="007E3D10">
        <w:t>-</w:t>
      </w:r>
      <w:r>
        <w:t>of</w:t>
      </w:r>
      <w:r w:rsidR="007E3D10">
        <w:t>-</w:t>
      </w:r>
      <w:r w:rsidR="000C7B39">
        <w:t xml:space="preserve">sight </w:t>
      </w:r>
      <w:r>
        <w:t>environment (which many fixed wireless broadband services operate in)</w:t>
      </w:r>
      <w:r w:rsidR="007E3D10">
        <w:t>,</w:t>
      </w:r>
      <w:r>
        <w:t xml:space="preserve"> the difference will not be as significant. It can also be compensated for</w:t>
      </w:r>
      <w:r w:rsidR="00482F09">
        <w:t>, to a degree,</w:t>
      </w:r>
      <w:r>
        <w:t xml:space="preserve"> by using higher gain antennas.</w:t>
      </w:r>
      <w:r w:rsidR="008B0A9A">
        <w:t xml:space="preserve"> </w:t>
      </w:r>
    </w:p>
    <w:p w14:paraId="2C3CA524" w14:textId="77777777" w:rsidR="00C8377F" w:rsidRPr="00926264" w:rsidRDefault="00F206A0" w:rsidP="007E3D10">
      <w:pPr>
        <w:pStyle w:val="ListBulletLast"/>
      </w:pPr>
      <w:r w:rsidRPr="00926264">
        <w:t>The ACMA is aware of</w:t>
      </w:r>
      <w:r w:rsidR="000C7B39" w:rsidRPr="00926264">
        <w:t xml:space="preserve"> some</w:t>
      </w:r>
      <w:r w:rsidRPr="00926264">
        <w:t xml:space="preserve"> interest in using the </w:t>
      </w:r>
      <w:r w:rsidR="00C8377F" w:rsidRPr="00926264">
        <w:t xml:space="preserve">28 GHz </w:t>
      </w:r>
      <w:r w:rsidRPr="00926264">
        <w:t>band (27.5</w:t>
      </w:r>
      <w:r w:rsidR="007E3D10">
        <w:t>–</w:t>
      </w:r>
      <w:r w:rsidR="00B658F8" w:rsidRPr="00926264">
        <w:t>29.5</w:t>
      </w:r>
      <w:r w:rsidRPr="00926264">
        <w:t xml:space="preserve"> GHz) </w:t>
      </w:r>
      <w:r w:rsidR="00482F09">
        <w:t>to deploy wireless broadband services</w:t>
      </w:r>
      <w:r w:rsidR="00B658F8" w:rsidRPr="00926264">
        <w:t>.</w:t>
      </w:r>
      <w:r w:rsidRPr="00926264">
        <w:t xml:space="preserve"> </w:t>
      </w:r>
      <w:r w:rsidR="00482F09">
        <w:t>While t</w:t>
      </w:r>
      <w:r w:rsidR="000C7B39" w:rsidRPr="00926264">
        <w:t xml:space="preserve">here </w:t>
      </w:r>
      <w:r w:rsidR="00482F09">
        <w:t>are</w:t>
      </w:r>
      <w:r w:rsidR="000C7B39" w:rsidRPr="00926264">
        <w:t xml:space="preserve"> exist</w:t>
      </w:r>
      <w:r w:rsidR="00941D4C">
        <w:t>ing</w:t>
      </w:r>
      <w:r w:rsidR="000C7B39" w:rsidRPr="00926264">
        <w:t xml:space="preserve"> arrangements </w:t>
      </w:r>
      <w:r w:rsidR="00941D4C">
        <w:t xml:space="preserve">in the band </w:t>
      </w:r>
      <w:r w:rsidR="000C7B39" w:rsidRPr="00926264">
        <w:t xml:space="preserve">supporting </w:t>
      </w:r>
      <w:r w:rsidR="00A93823">
        <w:t>point-to-point</w:t>
      </w:r>
      <w:r w:rsidR="000C7B39" w:rsidRPr="00926264">
        <w:t xml:space="preserve"> uses, </w:t>
      </w:r>
      <w:r w:rsidR="00941D4C">
        <w:t xml:space="preserve">there are </w:t>
      </w:r>
      <w:r w:rsidR="000C7B39" w:rsidRPr="00926264">
        <w:t xml:space="preserve">no arrangements for </w:t>
      </w:r>
      <w:r w:rsidR="00A93823">
        <w:t>point-to-multipoint</w:t>
      </w:r>
      <w:r w:rsidR="000C7B39" w:rsidRPr="00926264">
        <w:t xml:space="preserve"> </w:t>
      </w:r>
      <w:r w:rsidR="00482F09">
        <w:t>(wireless broadband)</w:t>
      </w:r>
      <w:r w:rsidR="000C7B39" w:rsidRPr="00926264">
        <w:t xml:space="preserve">. </w:t>
      </w:r>
      <w:r w:rsidR="00482F09">
        <w:t>Due to the propagation characteristics in the band, i</w:t>
      </w:r>
      <w:r w:rsidR="006A5640">
        <w:t>t is r</w:t>
      </w:r>
      <w:r w:rsidR="000C7B39" w:rsidRPr="00926264">
        <w:t>ecognis</w:t>
      </w:r>
      <w:r w:rsidR="006A5640">
        <w:t xml:space="preserve">ed </w:t>
      </w:r>
      <w:r w:rsidR="000C7B39" w:rsidRPr="00926264">
        <w:t xml:space="preserve">that the 28 GHz band could not be </w:t>
      </w:r>
      <w:r w:rsidR="006A5640">
        <w:t xml:space="preserve">considered </w:t>
      </w:r>
      <w:r w:rsidR="000C7B39" w:rsidRPr="00926264">
        <w:t xml:space="preserve">a </w:t>
      </w:r>
      <w:r w:rsidR="00482F09">
        <w:t>direct</w:t>
      </w:r>
      <w:r w:rsidR="000C7B39" w:rsidRPr="00926264">
        <w:t xml:space="preserve"> substitute for </w:t>
      </w:r>
      <w:r w:rsidR="00482F09">
        <w:t>wireless broadband services in the</w:t>
      </w:r>
      <w:r w:rsidR="000C7B39" w:rsidRPr="00926264">
        <w:t xml:space="preserve"> 3.6 GHz band</w:t>
      </w:r>
      <w:r w:rsidR="00482F09">
        <w:t>.</w:t>
      </w:r>
      <w:r w:rsidR="000C7B39" w:rsidRPr="00926264">
        <w:t xml:space="preserve"> </w:t>
      </w:r>
      <w:r w:rsidR="00482F09">
        <w:t>H</w:t>
      </w:r>
      <w:r w:rsidR="006A5640">
        <w:t xml:space="preserve">owever, </w:t>
      </w:r>
      <w:r w:rsidR="00482F09">
        <w:t>there are deployment scenarios this band could be used for (as eviden</w:t>
      </w:r>
      <w:r w:rsidR="00BD48AA">
        <w:t>ced</w:t>
      </w:r>
      <w:r w:rsidR="00482F09">
        <w:t xml:space="preserve"> by operators who have expressed interest in the band)</w:t>
      </w:r>
      <w:r w:rsidR="000C7B39" w:rsidRPr="00926264">
        <w:t xml:space="preserve">. </w:t>
      </w:r>
      <w:r w:rsidR="006A5640">
        <w:t>This band is at the</w:t>
      </w:r>
      <w:r w:rsidR="00926264" w:rsidRPr="00926264">
        <w:t xml:space="preserve"> early stages of consideration </w:t>
      </w:r>
      <w:r w:rsidR="00482F09">
        <w:t xml:space="preserve">domestically </w:t>
      </w:r>
      <w:r w:rsidR="00926264" w:rsidRPr="00926264">
        <w:t>and hence</w:t>
      </w:r>
      <w:r w:rsidR="007E3D10">
        <w:t>,</w:t>
      </w:r>
      <w:r w:rsidR="00926264" w:rsidRPr="00926264">
        <w:t xml:space="preserve"> </w:t>
      </w:r>
      <w:r w:rsidR="006A5640">
        <w:t>no</w:t>
      </w:r>
      <w:r w:rsidR="00926264" w:rsidRPr="00926264">
        <w:t xml:space="preserve"> guarantees </w:t>
      </w:r>
      <w:r w:rsidR="006A5640">
        <w:t xml:space="preserve">can be provided </w:t>
      </w:r>
      <w:r w:rsidR="00926264" w:rsidRPr="00926264">
        <w:t>as to what, if any</w:t>
      </w:r>
      <w:r w:rsidR="00BD48AA">
        <w:t>,</w:t>
      </w:r>
      <w:r w:rsidR="00926264" w:rsidRPr="00926264">
        <w:t xml:space="preserve"> arrangements could be </w:t>
      </w:r>
      <w:r w:rsidR="00926264">
        <w:t>implemented</w:t>
      </w:r>
      <w:r w:rsidR="006A5640">
        <w:t>. However,</w:t>
      </w:r>
      <w:r w:rsidR="00926264">
        <w:t xml:space="preserve"> the ACMA </w:t>
      </w:r>
      <w:r w:rsidR="00BD48AA">
        <w:t xml:space="preserve">will </w:t>
      </w:r>
      <w:r w:rsidR="00926264">
        <w:t>i</w:t>
      </w:r>
      <w:r w:rsidR="00926264" w:rsidRPr="00C8377F">
        <w:t>nvestigat</w:t>
      </w:r>
      <w:r w:rsidR="00BD48AA">
        <w:t>e</w:t>
      </w:r>
      <w:r w:rsidR="00926264" w:rsidRPr="00C8377F">
        <w:t xml:space="preserve"> the possibility of </w:t>
      </w:r>
      <w:r w:rsidR="0019096C">
        <w:t>site</w:t>
      </w:r>
      <w:r w:rsidR="007E3D10">
        <w:t>-</w:t>
      </w:r>
      <w:r w:rsidR="0019096C">
        <w:t xml:space="preserve">based </w:t>
      </w:r>
      <w:r w:rsidR="00A93823">
        <w:t>point-to-multipoint</w:t>
      </w:r>
      <w:r w:rsidR="00926264" w:rsidRPr="00C8377F">
        <w:t xml:space="preserve"> </w:t>
      </w:r>
      <w:r w:rsidR="0019096C">
        <w:t>apparatus</w:t>
      </w:r>
      <w:r w:rsidR="007E3D10">
        <w:t>-</w:t>
      </w:r>
      <w:r w:rsidR="0019096C">
        <w:t xml:space="preserve">licensed </w:t>
      </w:r>
      <w:r w:rsidR="00926264" w:rsidRPr="00C8377F">
        <w:t xml:space="preserve">arrangements in </w:t>
      </w:r>
      <w:r w:rsidR="006A5640">
        <w:t xml:space="preserve">part of </w:t>
      </w:r>
      <w:r w:rsidR="00926264" w:rsidRPr="00C8377F">
        <w:t>28 GHz band in regional Australia as a</w:t>
      </w:r>
      <w:r w:rsidR="005B3847">
        <w:t>nother</w:t>
      </w:r>
      <w:r w:rsidR="00926264" w:rsidRPr="00C8377F">
        <w:t xml:space="preserve"> possible </w:t>
      </w:r>
      <w:r w:rsidR="005B3847">
        <w:t xml:space="preserve">option </w:t>
      </w:r>
      <w:r w:rsidR="00926264" w:rsidRPr="00C8377F">
        <w:t xml:space="preserve">to assist WISPs and other </w:t>
      </w:r>
      <w:r w:rsidR="0019096C">
        <w:t>wireless broadband operators</w:t>
      </w:r>
      <w:r w:rsidR="00926264" w:rsidRPr="00C8377F">
        <w:t>.</w:t>
      </w:r>
      <w:r w:rsidR="00926264" w:rsidRPr="00C8377F">
        <w:t/>
      </w:r>
      <w:r w:rsidR="00926264">
        <w:t xml:space="preserve"> In </w:t>
      </w:r>
      <w:r w:rsidR="00730685">
        <w:t>considering</w:t>
      </w:r>
      <w:r w:rsidR="00926264">
        <w:t xml:space="preserve"> </w:t>
      </w:r>
      <w:r w:rsidR="0019096C">
        <w:t>such</w:t>
      </w:r>
      <w:r w:rsidR="00730685">
        <w:t xml:space="preserve"> use of the band, the ACMA is aware that other </w:t>
      </w:r>
      <w:r w:rsidR="0019096C">
        <w:t xml:space="preserve">incumbent services </w:t>
      </w:r>
      <w:r w:rsidR="00730685">
        <w:t xml:space="preserve">will need to be considered, including </w:t>
      </w:r>
      <w:r w:rsidR="00A93823">
        <w:t>point-to-point</w:t>
      </w:r>
      <w:r w:rsidR="00730685">
        <w:t xml:space="preserve"> </w:t>
      </w:r>
      <w:r w:rsidR="0019096C">
        <w:t>links</w:t>
      </w:r>
      <w:r w:rsidR="007E3D10">
        <w:t xml:space="preserve"> and </w:t>
      </w:r>
      <w:r w:rsidR="00730685">
        <w:t>satellite uplinks</w:t>
      </w:r>
      <w:r w:rsidR="007E3D10">
        <w:t>,</w:t>
      </w:r>
      <w:r w:rsidR="0019096C">
        <w:t xml:space="preserve"> as well as</w:t>
      </w:r>
      <w:r w:rsidR="006A5640">
        <w:t xml:space="preserve"> potential future use of the band for earth stations in motion</w:t>
      </w:r>
      <w:r w:rsidR="00730685">
        <w:t>.</w:t>
      </w:r>
      <w:r w:rsidR="00336E17">
        <w:t xml:space="preserve"> </w:t>
      </w:r>
      <w:r w:rsidR="00730685">
        <w:t xml:space="preserve"> </w:t>
      </w:r>
    </w:p>
    <w:p w14:paraId="2D982906" w14:textId="77777777" w:rsidR="004B5A9D" w:rsidRPr="007E3D10" w:rsidRDefault="000415C9" w:rsidP="00F63E9A">
      <w:pPr>
        <w:pStyle w:val="Heading3"/>
        <w:shd w:val="clear" w:color="auto" w:fill="F2F2F2" w:themeFill="background1" w:themeFillShade="F2"/>
        <w:rPr>
          <w:rStyle w:val="Heading3Char"/>
          <w:b/>
          <w:bCs/>
        </w:rPr>
      </w:pPr>
      <w:bookmarkStart w:id="147" w:name="_Toc496620331"/>
      <w:r w:rsidRPr="007E3D10">
        <w:rPr>
          <w:rStyle w:val="Heading3Char"/>
          <w:b/>
          <w:bCs/>
        </w:rPr>
        <w:t>ACMA</w:t>
      </w:r>
      <w:r w:rsidRPr="007E3D10">
        <w:t xml:space="preserve"> </w:t>
      </w:r>
      <w:r w:rsidR="007E3D10">
        <w:rPr>
          <w:rStyle w:val="Heading3Char"/>
          <w:b/>
          <w:bCs/>
        </w:rPr>
        <w:t>d</w:t>
      </w:r>
      <w:r w:rsidRPr="007E3D10">
        <w:rPr>
          <w:rStyle w:val="Heading3Char"/>
          <w:b/>
          <w:bCs/>
        </w:rPr>
        <w:t>ecision</w:t>
      </w:r>
      <w:bookmarkEnd w:id="147"/>
    </w:p>
    <w:p w14:paraId="416AA7F1" w14:textId="77777777" w:rsidR="007E3D10" w:rsidRDefault="007E3D10" w:rsidP="00F63E9A">
      <w:pPr>
        <w:shd w:val="clear" w:color="auto" w:fill="F2F2F2" w:themeFill="background1" w:themeFillShade="F2"/>
        <w:spacing w:after="80"/>
      </w:pPr>
      <w:r>
        <w:t>After considering the information provided in submissions, the ACMA has come to the following conclusions regarding options for incumbent point-to-multipoint licensees in the 3.6 GHz band. The ACMA will:</w:t>
      </w:r>
    </w:p>
    <w:p w14:paraId="33B99D72" w14:textId="77777777" w:rsidR="007E3D10" w:rsidRDefault="007E3D10" w:rsidP="00F63E9A">
      <w:pPr>
        <w:pStyle w:val="ListBullet"/>
        <w:shd w:val="clear" w:color="auto" w:fill="F2F2F2" w:themeFill="background1" w:themeFillShade="F2"/>
      </w:pPr>
      <w:proofErr w:type="gramStart"/>
      <w:r>
        <w:t>provide</w:t>
      </w:r>
      <w:proofErr w:type="gramEnd"/>
      <w:r>
        <w:t xml:space="preserve"> a seven-year re-allocation period for incumbent point-to-multipoint licensees in the 3.6 GHz band in Area 2 and Area 3. Licensees may also seek to negotiate ongoing access (including neutral host arrangements) to spectrum held by spectrum licensees in the area.</w:t>
      </w:r>
    </w:p>
    <w:p w14:paraId="72D9F088" w14:textId="77777777" w:rsidR="007E3D10" w:rsidRDefault="007E3D10" w:rsidP="00F63E9A">
      <w:pPr>
        <w:pStyle w:val="ListBullet"/>
        <w:shd w:val="clear" w:color="auto" w:fill="F2F2F2" w:themeFill="background1" w:themeFillShade="F2"/>
      </w:pPr>
      <w:proofErr w:type="gramStart"/>
      <w:r>
        <w:t>work</w:t>
      </w:r>
      <w:proofErr w:type="gramEnd"/>
      <w:r>
        <w:t xml:space="preserve"> with stakeholders to establish</w:t>
      </w:r>
      <w:r w:rsidRPr="005613F3">
        <w:t xml:space="preserve"> coordinated apparatus</w:t>
      </w:r>
      <w:r>
        <w:t>-</w:t>
      </w:r>
      <w:r w:rsidRPr="005613F3">
        <w:t xml:space="preserve">licensing arrangements for point-to-multipoint services in the </w:t>
      </w:r>
      <w:r>
        <w:t xml:space="preserve">5.6 GHz </w:t>
      </w:r>
      <w:r w:rsidRPr="005613F3">
        <w:t>band</w:t>
      </w:r>
      <w:r>
        <w:t>. This will</w:t>
      </w:r>
      <w:r w:rsidRPr="005613F3">
        <w:t xml:space="preserve"> initially </w:t>
      </w:r>
      <w:r>
        <w:t xml:space="preserve">be </w:t>
      </w:r>
      <w:r w:rsidRPr="005613F3">
        <w:t>in regional and remote areas, with future consideration for release in metropolitan areas</w:t>
      </w:r>
      <w:r>
        <w:t>.</w:t>
      </w:r>
    </w:p>
    <w:p w14:paraId="2DED949B" w14:textId="77777777" w:rsidR="007E3D10" w:rsidRDefault="007E3D10" w:rsidP="00F63E9A">
      <w:pPr>
        <w:pStyle w:val="ListBullet"/>
        <w:shd w:val="clear" w:color="auto" w:fill="F2F2F2" w:themeFill="background1" w:themeFillShade="F2"/>
      </w:pPr>
      <w:proofErr w:type="gramStart"/>
      <w:r>
        <w:t>adopt</w:t>
      </w:r>
      <w:proofErr w:type="gramEnd"/>
      <w:r>
        <w:t xml:space="preserve"> a </w:t>
      </w:r>
      <w:r w:rsidRPr="003E0EBF">
        <w:t xml:space="preserve">policy </w:t>
      </w:r>
      <w:r>
        <w:t>position that arrangements in the 5.6 GHz band will not</w:t>
      </w:r>
      <w:r w:rsidRPr="003E0EBF">
        <w:t xml:space="preserve"> </w:t>
      </w:r>
      <w:r>
        <w:t>be varied</w:t>
      </w:r>
      <w:r w:rsidRPr="003E0EBF">
        <w:t xml:space="preserve"> to the detriment of </w:t>
      </w:r>
      <w:r>
        <w:t xml:space="preserve">apparatus-licensed </w:t>
      </w:r>
      <w:r w:rsidRPr="005613F3">
        <w:t xml:space="preserve">point-to-multipoint </w:t>
      </w:r>
      <w:r w:rsidRPr="003E0EBF">
        <w:t xml:space="preserve">licensees </w:t>
      </w:r>
      <w:r>
        <w:t>prior to the end of 2028</w:t>
      </w:r>
      <w:r w:rsidRPr="003E0EBF">
        <w:t>.</w:t>
      </w:r>
    </w:p>
    <w:p w14:paraId="0E6ADA40" w14:textId="77777777" w:rsidR="007E3D10" w:rsidRPr="00251968" w:rsidRDefault="007E3D10" w:rsidP="00F63E9A">
      <w:pPr>
        <w:pStyle w:val="ListBullet"/>
        <w:shd w:val="clear" w:color="auto" w:fill="F2F2F2" w:themeFill="background1" w:themeFillShade="F2"/>
      </w:pPr>
      <w:proofErr w:type="gramStart"/>
      <w:r>
        <w:t>adopt</w:t>
      </w:r>
      <w:proofErr w:type="gramEnd"/>
      <w:r>
        <w:t xml:space="preserve"> a polic</w:t>
      </w:r>
      <w:r w:rsidRPr="003E0EBF">
        <w:t xml:space="preserve">y </w:t>
      </w:r>
      <w:r>
        <w:t xml:space="preserve">position </w:t>
      </w:r>
      <w:r w:rsidRPr="003A7804">
        <w:rPr>
          <w:rFonts w:cs="Arial"/>
          <w:szCs w:val="20"/>
          <w:lang w:eastAsia="en-US"/>
        </w:rPr>
        <w:t>that existing 3.6 GHz point-to-multipoint licensees in Area 2</w:t>
      </w:r>
      <w:r>
        <w:rPr>
          <w:rFonts w:cs="Arial"/>
          <w:szCs w:val="20"/>
          <w:lang w:eastAsia="en-US"/>
        </w:rPr>
        <w:t xml:space="preserve"> and Area 3</w:t>
      </w:r>
      <w:r w:rsidRPr="003A7804">
        <w:rPr>
          <w:rFonts w:cs="Arial"/>
          <w:szCs w:val="20"/>
          <w:lang w:eastAsia="en-US"/>
        </w:rPr>
        <w:t xml:space="preserve">, as far as possible, </w:t>
      </w:r>
      <w:r>
        <w:rPr>
          <w:rFonts w:cs="Arial"/>
          <w:szCs w:val="20"/>
          <w:lang w:eastAsia="en-US"/>
        </w:rPr>
        <w:t xml:space="preserve">will </w:t>
      </w:r>
      <w:r w:rsidRPr="003A7804">
        <w:rPr>
          <w:rFonts w:cs="Arial"/>
          <w:szCs w:val="20"/>
          <w:lang w:eastAsia="en-US"/>
        </w:rPr>
        <w:t xml:space="preserve">be given </w:t>
      </w:r>
      <w:r>
        <w:rPr>
          <w:rFonts w:cs="Arial"/>
          <w:szCs w:val="20"/>
          <w:lang w:eastAsia="en-US"/>
        </w:rPr>
        <w:t>preference in assessing applications for such licences</w:t>
      </w:r>
      <w:r w:rsidRPr="003A7804">
        <w:rPr>
          <w:rFonts w:cs="Arial"/>
          <w:szCs w:val="20"/>
          <w:lang w:eastAsia="en-US"/>
        </w:rPr>
        <w:t xml:space="preserve">. </w:t>
      </w:r>
      <w:r w:rsidRPr="00251968">
        <w:t xml:space="preserve">The ACMA will </w:t>
      </w:r>
      <w:r>
        <w:t>work</w:t>
      </w:r>
      <w:r w:rsidRPr="00251968">
        <w:t xml:space="preserve"> with industry to develop </w:t>
      </w:r>
      <w:r>
        <w:t xml:space="preserve">a </w:t>
      </w:r>
      <w:r w:rsidRPr="00251968">
        <w:t xml:space="preserve">process to </w:t>
      </w:r>
      <w:r>
        <w:t>guide its decision making when there is</w:t>
      </w:r>
      <w:r w:rsidRPr="00251968">
        <w:t xml:space="preserve"> contention for these licences in areas where</w:t>
      </w:r>
      <w:r>
        <w:t xml:space="preserve"> there are multiple licensees vying for access to the</w:t>
      </w:r>
      <w:r w:rsidRPr="00251968">
        <w:t xml:space="preserve"> </w:t>
      </w:r>
      <w:r>
        <w:t>band.</w:t>
      </w:r>
      <w:r w:rsidR="00336E17">
        <w:t xml:space="preserve"> </w:t>
      </w:r>
      <w:r w:rsidRPr="00251968">
        <w:t xml:space="preserve"> </w:t>
      </w:r>
    </w:p>
    <w:p w14:paraId="344377DB" w14:textId="77777777" w:rsidR="007E3D10" w:rsidRDefault="007E3D10" w:rsidP="00F63E9A">
      <w:pPr>
        <w:pStyle w:val="ListBullet"/>
        <w:shd w:val="clear" w:color="auto" w:fill="F2F2F2" w:themeFill="background1" w:themeFillShade="F2"/>
      </w:pPr>
      <w:proofErr w:type="gramStart"/>
      <w:r>
        <w:t>work</w:t>
      </w:r>
      <w:proofErr w:type="gramEnd"/>
      <w:r>
        <w:t xml:space="preserve"> with prospective licensees on an ongoing basis to manage non-compliant use of the 5.6 GHz band.</w:t>
      </w:r>
    </w:p>
    <w:p w14:paraId="1B59E5A7" w14:textId="77777777" w:rsidR="007E3D10" w:rsidRDefault="007E3D10" w:rsidP="00F63E9A">
      <w:pPr>
        <w:pStyle w:val="ListBullet"/>
        <w:shd w:val="clear" w:color="auto" w:fill="F2F2F2" w:themeFill="background1" w:themeFillShade="F2"/>
      </w:pPr>
      <w:proofErr w:type="gramStart"/>
      <w:r>
        <w:t>restrict</w:t>
      </w:r>
      <w:proofErr w:type="gramEnd"/>
      <w:r>
        <w:t xml:space="preserve"> access to a 10 MHz portion of the 5.6 GHz band for use by radar services only. The most appropriate location of this restricted portion will be discussed with stakeholders as part of the development of arrangements for the band.</w:t>
      </w:r>
      <w:r>
        <w:rPr>
          <w:rStyle w:val="CommentReference"/>
        </w:rPr>
        <w:t/>
      </w:r>
    </w:p>
    <w:p w14:paraId="62CBEA05" w14:textId="77777777" w:rsidR="007E3D10" w:rsidRPr="00824E4B" w:rsidRDefault="00226B02" w:rsidP="00F63E9A">
      <w:pPr>
        <w:pStyle w:val="ListBulletLast"/>
        <w:shd w:val="clear" w:color="auto" w:fill="F2F2F2" w:themeFill="background1" w:themeFillShade="F2"/>
      </w:pPr>
      <w:proofErr w:type="gramStart"/>
      <w:r>
        <w:t>investigate</w:t>
      </w:r>
      <w:proofErr w:type="gramEnd"/>
      <w:r>
        <w:t xml:space="preserve"> t</w:t>
      </w:r>
      <w:r w:rsidR="007E3D10" w:rsidRPr="00C8377F">
        <w:t>he possibility of apparatus</w:t>
      </w:r>
      <w:r>
        <w:t>-</w:t>
      </w:r>
      <w:r w:rsidR="007E3D10" w:rsidRPr="00C8377F">
        <w:t>licensed point-multipoint arrangements in</w:t>
      </w:r>
      <w:r w:rsidR="007E3D10">
        <w:t xml:space="preserve"> part of </w:t>
      </w:r>
      <w:r w:rsidR="007E3D10" w:rsidRPr="00C8377F">
        <w:t>the 28 GHz band in regional Australia as a</w:t>
      </w:r>
      <w:r w:rsidR="007E3D10">
        <w:t>nother</w:t>
      </w:r>
      <w:r w:rsidR="007E3D10" w:rsidRPr="00C8377F">
        <w:t xml:space="preserve"> possible </w:t>
      </w:r>
      <w:r w:rsidR="007E3D10">
        <w:t xml:space="preserve">option </w:t>
      </w:r>
      <w:r w:rsidR="007E3D10" w:rsidRPr="00C8377F">
        <w:t>to assist WISPs and other point-multipoint users.</w:t>
      </w:r>
      <w:r w:rsidR="007E3D10" w:rsidRPr="00C8377F">
        <w:t/>
      </w:r>
    </w:p>
    <w:p w14:paraId="43DD9E0E" w14:textId="77777777" w:rsidR="004F3F65" w:rsidRPr="00D358D9" w:rsidRDefault="004F3F65" w:rsidP="004F3F65">
      <w:pPr>
        <w:pStyle w:val="Heading2"/>
      </w:pPr>
      <w:bookmarkStart w:id="148" w:name="_Toc494375843"/>
      <w:bookmarkStart w:id="149" w:name="_Toc494378916"/>
      <w:bookmarkStart w:id="150" w:name="_Toc495935487"/>
      <w:bookmarkStart w:id="151" w:name="_Toc495935517"/>
      <w:bookmarkStart w:id="152" w:name="_Toc496620332"/>
      <w:r>
        <w:t>Options for incumbent FSS earth station licensees</w:t>
      </w:r>
      <w:bookmarkEnd w:id="148"/>
      <w:bookmarkEnd w:id="149"/>
      <w:bookmarkEnd w:id="150"/>
      <w:bookmarkEnd w:id="151"/>
      <w:bookmarkEnd w:id="152"/>
      <w:r>
        <w:t xml:space="preserve"> </w:t>
      </w:r>
    </w:p>
    <w:p w14:paraId="28054991" w14:textId="77777777" w:rsidR="00D77974" w:rsidRDefault="00761603" w:rsidP="00761603">
      <w:r>
        <w:t xml:space="preserve">The Options paper identified a number of incumbent FSS earth station licensees operating services in the 3.6 GHz band. The paper made particular note of the services located in the Belrose/Oxford Falls area in Sydney, as well as Landsdale and Lockridge in Perth. </w:t>
      </w:r>
      <w:r w:rsidR="00423C5C">
        <w:t>Facilities</w:t>
      </w:r>
      <w:r w:rsidR="00D77974">
        <w:t xml:space="preserve"> operating </w:t>
      </w:r>
      <w:r>
        <w:t>near Uralla in regional New South Wales</w:t>
      </w:r>
      <w:r w:rsidR="00D77974">
        <w:t xml:space="preserve"> </w:t>
      </w:r>
      <w:r w:rsidR="00423C5C">
        <w:t>and of</w:t>
      </w:r>
      <w:r w:rsidR="00226B02">
        <w:t>f</w:t>
      </w:r>
      <w:r w:rsidR="00423C5C">
        <w:t xml:space="preserve"> the coast of Western Australia (remote Australia) </w:t>
      </w:r>
      <w:r w:rsidR="00D77974">
        <w:t>w</w:t>
      </w:r>
      <w:r w:rsidR="00423C5C">
        <w:t>ere</w:t>
      </w:r>
      <w:r w:rsidR="00D77974">
        <w:t xml:space="preserve"> also </w:t>
      </w:r>
      <w:r w:rsidR="00423C5C">
        <w:t>mentioned</w:t>
      </w:r>
      <w:r>
        <w:t xml:space="preserve">. </w:t>
      </w:r>
    </w:p>
    <w:p w14:paraId="6DE40847" w14:textId="77777777" w:rsidR="00D77974" w:rsidRDefault="00D77974" w:rsidP="00226B02">
      <w:pPr>
        <w:spacing w:after="80"/>
      </w:pPr>
      <w:r w:rsidRPr="00D77974">
        <w:t>In the event</w:t>
      </w:r>
      <w:r>
        <w:t xml:space="preserve"> </w:t>
      </w:r>
      <w:r w:rsidR="00226B02">
        <w:t xml:space="preserve">that </w:t>
      </w:r>
      <w:r>
        <w:t>any of these</w:t>
      </w:r>
      <w:r w:rsidRPr="00D77974">
        <w:t xml:space="preserve"> FSS earth stations </w:t>
      </w:r>
      <w:r>
        <w:t xml:space="preserve">are </w:t>
      </w:r>
      <w:r w:rsidRPr="00D77974">
        <w:t xml:space="preserve">affected by replanning activities in the 3.6 GHz band, </w:t>
      </w:r>
      <w:r>
        <w:t>t</w:t>
      </w:r>
      <w:r w:rsidR="00761603">
        <w:t xml:space="preserve">he </w:t>
      </w:r>
      <w:r>
        <w:t xml:space="preserve">Options </w:t>
      </w:r>
      <w:r w:rsidR="00761603">
        <w:t xml:space="preserve">paper </w:t>
      </w:r>
      <w:r>
        <w:t xml:space="preserve">identified the following </w:t>
      </w:r>
      <w:r w:rsidR="00AC1FD7">
        <w:t xml:space="preserve">two </w:t>
      </w:r>
      <w:r>
        <w:t>options for them:</w:t>
      </w:r>
    </w:p>
    <w:p w14:paraId="601E8C5E" w14:textId="77777777" w:rsidR="00D77974" w:rsidRPr="00413450" w:rsidRDefault="00226B02" w:rsidP="00D71662">
      <w:pPr>
        <w:pStyle w:val="ListBullet"/>
        <w:numPr>
          <w:ilvl w:val="0"/>
          <w:numId w:val="2"/>
        </w:numPr>
        <w:tabs>
          <w:tab w:val="clear" w:pos="845"/>
          <w:tab w:val="num" w:pos="-63"/>
        </w:tabs>
        <w:ind w:left="295" w:hanging="295"/>
        <w:rPr>
          <w:rFonts w:cs="Arial"/>
        </w:rPr>
      </w:pPr>
      <w:r>
        <w:rPr>
          <w:rFonts w:cs="Arial"/>
        </w:rPr>
        <w:t>m</w:t>
      </w:r>
      <w:r w:rsidR="00D77974">
        <w:rPr>
          <w:rFonts w:cs="Arial"/>
        </w:rPr>
        <w:t>igrate services to frequencies outside of the 3.6 GHz band</w:t>
      </w:r>
      <w:r w:rsidR="00AC1FD7">
        <w:rPr>
          <w:rFonts w:cs="Arial"/>
        </w:rPr>
        <w:t>; or</w:t>
      </w:r>
    </w:p>
    <w:p w14:paraId="0EFBE6AA" w14:textId="77777777" w:rsidR="00D77974" w:rsidRDefault="00226B02" w:rsidP="00226B02">
      <w:pPr>
        <w:pStyle w:val="ListBulletLast"/>
      </w:pPr>
      <w:proofErr w:type="gramStart"/>
      <w:r>
        <w:t>g</w:t>
      </w:r>
      <w:r w:rsidR="00D77974">
        <w:t>eographically</w:t>
      </w:r>
      <w:proofErr w:type="gramEnd"/>
      <w:r w:rsidR="00D77974">
        <w:t xml:space="preserve"> relocate services</w:t>
      </w:r>
      <w:r w:rsidR="00AC1FD7">
        <w:t xml:space="preserve"> away from significant population centres.</w:t>
      </w:r>
      <w:r w:rsidR="00D77974" w:rsidRPr="00413450">
        <w:t xml:space="preserve"> </w:t>
      </w:r>
    </w:p>
    <w:p w14:paraId="70CCCC8A" w14:textId="77777777" w:rsidR="00AC1FD7" w:rsidRDefault="00AC1FD7" w:rsidP="00226B02">
      <w:r>
        <w:t xml:space="preserve">For those </w:t>
      </w:r>
      <w:r w:rsidRPr="00D77974">
        <w:t>FSS earth stations</w:t>
      </w:r>
      <w:r>
        <w:t xml:space="preserve"> that cho</w:t>
      </w:r>
      <w:r w:rsidR="00226B02">
        <w:t>o</w:t>
      </w:r>
      <w:r>
        <w:t xml:space="preserve">se to adopt the latter approach, it was further proposed that if they were located on the west coast of Australia, they </w:t>
      </w:r>
      <w:r w:rsidR="00ED2DE1">
        <w:t>c</w:t>
      </w:r>
      <w:r>
        <w:t xml:space="preserve">ould relocate to the </w:t>
      </w:r>
      <w:r w:rsidR="00226B02">
        <w:t>e</w:t>
      </w:r>
      <w:r>
        <w:t xml:space="preserve">arth station protection zone near Mingenew. This area is defined in </w:t>
      </w:r>
      <w:hyperlink r:id="rId39" w:history="1">
        <w:r w:rsidRPr="000D7F88">
          <w:rPr>
            <w:rStyle w:val="Hyperlink"/>
          </w:rPr>
          <w:t>Embargo 49</w:t>
        </w:r>
      </w:hyperlink>
      <w:r w:rsidR="00ED2DE1">
        <w:t xml:space="preserve"> and </w:t>
      </w:r>
      <w:r>
        <w:t xml:space="preserve">was created to provide long-term certainty for space and satellite operations, while minimising the probability of spectrum denial to terrestrial services in populated areas. </w:t>
      </w:r>
    </w:p>
    <w:p w14:paraId="7BCFC097" w14:textId="77777777" w:rsidR="00D77974" w:rsidRDefault="00EB373E" w:rsidP="00226B02">
      <w:r>
        <w:t>T</w:t>
      </w:r>
      <w:r w:rsidR="00ED2DE1">
        <w:t xml:space="preserve">here is currently </w:t>
      </w:r>
      <w:r w:rsidR="00AC1FD7">
        <w:t xml:space="preserve">no equivalent </w:t>
      </w:r>
      <w:r w:rsidR="00226B02">
        <w:t>e</w:t>
      </w:r>
      <w:r w:rsidR="00AC1FD7">
        <w:t>arth station protection zone</w:t>
      </w:r>
      <w:r>
        <w:t xml:space="preserve"> for FSS earth stations located along the east coast of Australia. T</w:t>
      </w:r>
      <w:r w:rsidR="00AC1FD7">
        <w:t xml:space="preserve">he Options paper </w:t>
      </w:r>
      <w:r>
        <w:t>sought f</w:t>
      </w:r>
      <w:r w:rsidR="00614463">
        <w:t>eedback from industry on this issue.</w:t>
      </w:r>
    </w:p>
    <w:p w14:paraId="6C1C67CD" w14:textId="77777777" w:rsidR="004F3F65" w:rsidRPr="00F018ED" w:rsidRDefault="00EB373E" w:rsidP="00226B02">
      <w:pPr>
        <w:spacing w:after="80"/>
      </w:pPr>
      <w:r>
        <w:t xml:space="preserve">It </w:t>
      </w:r>
      <w:r w:rsidR="00665B9F">
        <w:t>asked the following questions</w:t>
      </w:r>
      <w:r w:rsidR="004F3F65">
        <w:t>:</w:t>
      </w:r>
    </w:p>
    <w:p w14:paraId="18C7028F" w14:textId="77777777" w:rsidR="004F3F65" w:rsidRPr="004F3F65" w:rsidRDefault="004F3F65" w:rsidP="00226B02">
      <w:pPr>
        <w:pStyle w:val="ListParagraph"/>
        <w:numPr>
          <w:ilvl w:val="0"/>
          <w:numId w:val="20"/>
        </w:numPr>
        <w:shd w:val="clear" w:color="auto" w:fill="F2F2F2" w:themeFill="background1" w:themeFillShade="F2"/>
        <w:spacing w:after="80"/>
        <w:ind w:left="357" w:hanging="357"/>
        <w:contextualSpacing w:val="0"/>
        <w:rPr>
          <w:b/>
        </w:rPr>
      </w:pPr>
      <w:r w:rsidRPr="004F3F65">
        <w:rPr>
          <w:b/>
        </w:rPr>
        <w:t>The ACMA seeks comment on the suitability of the current west coast earth station protection zone located near Mingenew, WA, for long-term satellite service use. Are the current regulatory arrangements effective?</w:t>
      </w:r>
    </w:p>
    <w:p w14:paraId="25B9EEC2" w14:textId="77777777" w:rsidR="004F3F65" w:rsidRPr="004F3F65" w:rsidRDefault="004F3F65" w:rsidP="00226B02">
      <w:pPr>
        <w:pStyle w:val="ListParagraph"/>
        <w:numPr>
          <w:ilvl w:val="0"/>
          <w:numId w:val="20"/>
        </w:numPr>
        <w:shd w:val="clear" w:color="auto" w:fill="F2F2F2" w:themeFill="background1" w:themeFillShade="F2"/>
        <w:spacing w:after="160"/>
        <w:rPr>
          <w:b/>
        </w:rPr>
      </w:pPr>
      <w:r w:rsidRPr="004F3F65">
        <w:rPr>
          <w:b/>
        </w:rPr>
        <w:t xml:space="preserve">In the event FSS earth stations are affected by replanning activities in the 3.6 GHz band, the ACMA seeks comment on: </w:t>
      </w:r>
    </w:p>
    <w:p w14:paraId="690954E7" w14:textId="77777777" w:rsidR="004F3F65" w:rsidRPr="004F3F65" w:rsidRDefault="004F3F65" w:rsidP="00226B02">
      <w:pPr>
        <w:pStyle w:val="ListParagraph"/>
        <w:numPr>
          <w:ilvl w:val="1"/>
          <w:numId w:val="14"/>
        </w:numPr>
        <w:shd w:val="clear" w:color="auto" w:fill="F2F2F2" w:themeFill="background1" w:themeFillShade="F2"/>
        <w:spacing w:after="160"/>
        <w:ind w:left="851" w:hanging="425"/>
        <w:rPr>
          <w:b/>
        </w:rPr>
      </w:pPr>
      <w:r w:rsidRPr="004F3F65">
        <w:rPr>
          <w:b/>
        </w:rPr>
        <w:t>Any issues surrounding the development and establishment of an east coast earth station protection zone; particularly on what factors would be necessary to make it an attractive option for earth station operations.</w:t>
      </w:r>
    </w:p>
    <w:p w14:paraId="260B0640" w14:textId="77777777" w:rsidR="004F3F65" w:rsidRPr="004F3F65" w:rsidRDefault="004F3F65" w:rsidP="00226B02">
      <w:pPr>
        <w:pStyle w:val="ListParagraph"/>
        <w:numPr>
          <w:ilvl w:val="1"/>
          <w:numId w:val="14"/>
        </w:numPr>
        <w:shd w:val="clear" w:color="auto" w:fill="F2F2F2" w:themeFill="background1" w:themeFillShade="F2"/>
        <w:spacing w:after="160"/>
        <w:ind w:left="851" w:hanging="425"/>
        <w:rPr>
          <w:b/>
        </w:rPr>
      </w:pPr>
      <w:r w:rsidRPr="004F3F65">
        <w:rPr>
          <w:b/>
        </w:rPr>
        <w:t>Whether there are any views on potential candidate locations to consider.</w:t>
      </w:r>
    </w:p>
    <w:p w14:paraId="0FFB810C" w14:textId="77777777" w:rsidR="004F3F65" w:rsidRPr="004F3F65" w:rsidRDefault="004F3F65" w:rsidP="00226B02">
      <w:pPr>
        <w:pStyle w:val="ListParagraph"/>
        <w:numPr>
          <w:ilvl w:val="1"/>
          <w:numId w:val="14"/>
        </w:numPr>
        <w:shd w:val="clear" w:color="auto" w:fill="F2F2F2" w:themeFill="background1" w:themeFillShade="F2"/>
        <w:spacing w:after="160"/>
        <w:ind w:left="851" w:hanging="425"/>
        <w:rPr>
          <w:b/>
        </w:rPr>
      </w:pPr>
      <w:r w:rsidRPr="004F3F65">
        <w:rPr>
          <w:b/>
        </w:rPr>
        <w:t>Whether there should there be more than one earth station protection zone on the east and west coasts of Australia.</w:t>
      </w:r>
    </w:p>
    <w:p w14:paraId="3E925AE3" w14:textId="77777777" w:rsidR="004F3F65" w:rsidRPr="00F018ED" w:rsidRDefault="004F3F65" w:rsidP="00226B02">
      <w:pPr>
        <w:pStyle w:val="ListParagraph"/>
        <w:numPr>
          <w:ilvl w:val="1"/>
          <w:numId w:val="14"/>
        </w:numPr>
        <w:shd w:val="clear" w:color="auto" w:fill="F2F2F2" w:themeFill="background1" w:themeFillShade="F2"/>
        <w:spacing w:after="0"/>
        <w:ind w:left="851" w:hanging="425"/>
        <w:rPr>
          <w:b/>
        </w:rPr>
      </w:pPr>
      <w:r w:rsidRPr="004F3F65">
        <w:rPr>
          <w:b/>
        </w:rPr>
        <w:t>If the identification of a central Australia earth station zone should be considered.</w:t>
      </w:r>
    </w:p>
    <w:p w14:paraId="0FB592C8" w14:textId="77777777" w:rsidR="00226B02" w:rsidRDefault="00226B02" w:rsidP="00226B02">
      <w:pPr>
        <w:pStyle w:val="ACMASpaceaftertable"/>
      </w:pPr>
    </w:p>
    <w:p w14:paraId="43CCADBD" w14:textId="77777777" w:rsidR="004F3F65" w:rsidRPr="00226B02" w:rsidRDefault="004F3F65" w:rsidP="00F63E9A">
      <w:pPr>
        <w:pStyle w:val="Heading3"/>
      </w:pPr>
      <w:bookmarkStart w:id="153" w:name="_Toc496620333"/>
      <w:r w:rsidRPr="00226B02">
        <w:t xml:space="preserve">Summary of </w:t>
      </w:r>
      <w:r w:rsidRPr="00F63E9A">
        <w:t>submissions</w:t>
      </w:r>
      <w:bookmarkEnd w:id="153"/>
    </w:p>
    <w:p w14:paraId="1E321683" w14:textId="77777777" w:rsidR="00A52564" w:rsidRPr="0055309D" w:rsidRDefault="00A52564" w:rsidP="00F63E9A">
      <w:pPr>
        <w:pStyle w:val="BodySubHeader"/>
      </w:pPr>
      <w:r w:rsidRPr="00A52564">
        <w:t xml:space="preserve">Submissions </w:t>
      </w:r>
      <w:r w:rsidRPr="00F63E9A">
        <w:t>from</w:t>
      </w:r>
      <w:r w:rsidRPr="00A52564">
        <w:t xml:space="preserve"> </w:t>
      </w:r>
      <w:r w:rsidRPr="0055309D">
        <w:t>satellite industry</w:t>
      </w:r>
    </w:p>
    <w:p w14:paraId="029653D2" w14:textId="77777777" w:rsidR="00ED21E5" w:rsidRDefault="00ED21E5" w:rsidP="00ED21E5">
      <w:r w:rsidRPr="0055309D">
        <w:t xml:space="preserve">As discussed in the </w:t>
      </w:r>
      <w:r w:rsidR="00ED2DE1" w:rsidRPr="0055309D">
        <w:rPr>
          <w:i/>
        </w:rPr>
        <w:t>Case for action and replanning options</w:t>
      </w:r>
      <w:r w:rsidRPr="0055309D">
        <w:rPr>
          <w:i/>
        </w:rPr>
        <w:t xml:space="preserve"> </w:t>
      </w:r>
      <w:r w:rsidRPr="0055309D">
        <w:t>section of this paper, many respondents associated with satellite interests supported ongoing</w:t>
      </w:r>
      <w:r>
        <w:t xml:space="preserve"> access and protection of existing FSS earth station licences at their current locations</w:t>
      </w:r>
      <w:r w:rsidR="00C02DD5">
        <w:t>, s</w:t>
      </w:r>
      <w:r>
        <w:t xml:space="preserve">tating that sharing arrangements could be developed to support this. </w:t>
      </w:r>
      <w:r w:rsidR="00C02DD5">
        <w:t xml:space="preserve">This outcome was supported by incumbent licensees </w:t>
      </w:r>
      <w:r>
        <w:t>Inmarsat and Lockheed Martin</w:t>
      </w:r>
      <w:r w:rsidR="00582B1C">
        <w:t>.</w:t>
      </w:r>
      <w:r>
        <w:t xml:space="preserve"> </w:t>
      </w:r>
      <w:r w:rsidR="00582B1C">
        <w:t>Inmarsat request</w:t>
      </w:r>
      <w:r w:rsidR="00EB373E">
        <w:t>ed</w:t>
      </w:r>
      <w:r w:rsidR="00582B1C">
        <w:t xml:space="preserve"> a 20</w:t>
      </w:r>
      <w:r w:rsidR="00226B02">
        <w:t>-</w:t>
      </w:r>
      <w:r w:rsidR="00582B1C">
        <w:t xml:space="preserve">year re-allocation period for their services, while Lockheed Martin indicated a need for ongoing </w:t>
      </w:r>
      <w:r w:rsidR="004A57AC">
        <w:t>operation at</w:t>
      </w:r>
      <w:r w:rsidR="00582B1C">
        <w:t xml:space="preserve"> their current location. </w:t>
      </w:r>
      <w:r>
        <w:t xml:space="preserve">However, incumbent licensees Telstra and Optus indicated a preference </w:t>
      </w:r>
      <w:r w:rsidR="00582B1C">
        <w:t xml:space="preserve">(and ability) </w:t>
      </w:r>
      <w:r>
        <w:t xml:space="preserve">to </w:t>
      </w:r>
      <w:r w:rsidR="004A57AC">
        <w:t>migrate</w:t>
      </w:r>
      <w:r>
        <w:t xml:space="preserve"> services out of the 3.</w:t>
      </w:r>
      <w:r w:rsidR="00226B02">
        <w:t>6 </w:t>
      </w:r>
      <w:r>
        <w:t>GHz band</w:t>
      </w:r>
      <w:r w:rsidR="00226B02">
        <w:t>,</w:t>
      </w:r>
      <w:r w:rsidR="00582B1C">
        <w:t xml:space="preserve"> rather than physical relocation of facilities</w:t>
      </w:r>
      <w:r>
        <w:t xml:space="preserve">. </w:t>
      </w:r>
      <w:r w:rsidR="00582B1C">
        <w:t xml:space="preserve">Another respondent requested </w:t>
      </w:r>
      <w:r w:rsidR="00EB373E">
        <w:t>the ability to apply for</w:t>
      </w:r>
      <w:r w:rsidR="00582B1C">
        <w:t xml:space="preserve"> </w:t>
      </w:r>
      <w:r w:rsidR="00582B1C" w:rsidRPr="00582B1C">
        <w:t xml:space="preserve">new FSS earth receive licences in the 3.6 GHz band if </w:t>
      </w:r>
      <w:r w:rsidR="00582B1C">
        <w:t>they would be</w:t>
      </w:r>
      <w:r w:rsidR="00582B1C" w:rsidRPr="00582B1C">
        <w:t xml:space="preserve"> located nea</w:t>
      </w:r>
      <w:r w:rsidR="00582B1C">
        <w:t>r</w:t>
      </w:r>
      <w:r w:rsidR="00582B1C" w:rsidRPr="00582B1C">
        <w:t xml:space="preserve"> an existing FSS earth station</w:t>
      </w:r>
      <w:r w:rsidR="00582B1C">
        <w:t>.</w:t>
      </w:r>
    </w:p>
    <w:p w14:paraId="5C1A438E" w14:textId="77777777" w:rsidR="00D00461" w:rsidRDefault="00D00461" w:rsidP="00ED21E5">
      <w:r>
        <w:t xml:space="preserve">Respondents </w:t>
      </w:r>
      <w:r w:rsidR="00D32812">
        <w:t>were</w:t>
      </w:r>
      <w:r>
        <w:t xml:space="preserve"> supportive of the existing earth station protection zone arrangements at Mingenew. There was also interest in identifying a second location </w:t>
      </w:r>
      <w:r w:rsidR="00EB373E">
        <w:t>i</w:t>
      </w:r>
      <w:r>
        <w:t xml:space="preserve">n </w:t>
      </w:r>
      <w:r w:rsidR="00EB373E">
        <w:t>W</w:t>
      </w:r>
      <w:r>
        <w:t>est</w:t>
      </w:r>
      <w:r w:rsidR="00EB373E">
        <w:t xml:space="preserve">ern </w:t>
      </w:r>
      <w:r>
        <w:t xml:space="preserve">Australia. While there were no firm views on locations, Carnarvon and Kalgoorlie were suggested as possible sites. </w:t>
      </w:r>
    </w:p>
    <w:p w14:paraId="769E7521" w14:textId="77777777" w:rsidR="00582B1C" w:rsidRDefault="00582B1C" w:rsidP="00226B02">
      <w:pPr>
        <w:spacing w:after="80"/>
      </w:pPr>
      <w:r>
        <w:t xml:space="preserve">There was </w:t>
      </w:r>
      <w:r w:rsidR="00D00461">
        <w:t xml:space="preserve">also </w:t>
      </w:r>
      <w:r>
        <w:t xml:space="preserve">support for the early identification of an east coast earth station protection zone. </w:t>
      </w:r>
      <w:r w:rsidR="00D00461">
        <w:t>In order to make it an attractive option for future earth station operations, the following issues for consideration were provided:</w:t>
      </w:r>
    </w:p>
    <w:p w14:paraId="38005BF7" w14:textId="77777777" w:rsidR="002B17E4" w:rsidRPr="002B17E4" w:rsidRDefault="00D00461" w:rsidP="00D71662">
      <w:pPr>
        <w:pStyle w:val="ListBullet"/>
        <w:numPr>
          <w:ilvl w:val="0"/>
          <w:numId w:val="2"/>
        </w:numPr>
        <w:tabs>
          <w:tab w:val="clear" w:pos="845"/>
          <w:tab w:val="num" w:pos="-63"/>
        </w:tabs>
        <w:ind w:left="295" w:hanging="295"/>
        <w:rPr>
          <w:rFonts w:cs="Arial"/>
        </w:rPr>
      </w:pPr>
      <w:r>
        <w:t>The area identified has to be large enough (several k</w:t>
      </w:r>
      <w:r w:rsidR="00226B02">
        <w:t>ilometres</w:t>
      </w:r>
      <w:r>
        <w:rPr>
          <w:vertAlign w:val="superscript"/>
        </w:rPr>
        <w:t>2</w:t>
      </w:r>
      <w:r>
        <w:t xml:space="preserve"> in size) to support a number of teleports operated by different operators</w:t>
      </w:r>
      <w:r w:rsidR="00226B02">
        <w:t>.</w:t>
      </w:r>
      <w:r>
        <w:t xml:space="preserve"> </w:t>
      </w:r>
    </w:p>
    <w:p w14:paraId="00D4D8A5" w14:textId="77777777" w:rsidR="002B17E4" w:rsidRDefault="002B17E4" w:rsidP="00D71662">
      <w:pPr>
        <w:pStyle w:val="ListBullet"/>
        <w:numPr>
          <w:ilvl w:val="0"/>
          <w:numId w:val="2"/>
        </w:numPr>
        <w:tabs>
          <w:tab w:val="clear" w:pos="845"/>
          <w:tab w:val="num" w:pos="-63"/>
        </w:tabs>
        <w:ind w:left="295" w:hanging="295"/>
        <w:rPr>
          <w:rFonts w:cs="Arial"/>
        </w:rPr>
      </w:pPr>
      <w:r>
        <w:rPr>
          <w:rFonts w:cs="Arial"/>
        </w:rPr>
        <w:t>Access to high capacity fibre at a reasonable cost, preferably via diverse routes</w:t>
      </w:r>
      <w:r w:rsidR="00226B02">
        <w:rPr>
          <w:rFonts w:cs="Arial"/>
        </w:rPr>
        <w:t>.</w:t>
      </w:r>
    </w:p>
    <w:p w14:paraId="0087D11E" w14:textId="77777777" w:rsidR="002A61DC" w:rsidRPr="002A61DC" w:rsidRDefault="002B17E4" w:rsidP="00D71662">
      <w:pPr>
        <w:pStyle w:val="ListBullet"/>
        <w:numPr>
          <w:ilvl w:val="0"/>
          <w:numId w:val="2"/>
        </w:numPr>
        <w:tabs>
          <w:tab w:val="clear" w:pos="845"/>
          <w:tab w:val="num" w:pos="-63"/>
        </w:tabs>
        <w:ind w:left="295" w:hanging="295"/>
        <w:rPr>
          <w:rFonts w:cs="Arial"/>
        </w:rPr>
      </w:pPr>
      <w:r>
        <w:t xml:space="preserve">Access to reliable and adequate mains power, </w:t>
      </w:r>
      <w:r w:rsidR="002A61DC">
        <w:t>with the possibility of</w:t>
      </w:r>
      <w:r>
        <w:t xml:space="preserve"> diverse connections</w:t>
      </w:r>
      <w:r w:rsidR="00226B02">
        <w:t>.</w:t>
      </w:r>
    </w:p>
    <w:p w14:paraId="756E0E97" w14:textId="77777777" w:rsidR="002B17E4" w:rsidRPr="002A61DC" w:rsidRDefault="002B17E4" w:rsidP="00D71662">
      <w:pPr>
        <w:pStyle w:val="ListBullet"/>
        <w:numPr>
          <w:ilvl w:val="0"/>
          <w:numId w:val="2"/>
        </w:numPr>
        <w:tabs>
          <w:tab w:val="clear" w:pos="845"/>
          <w:tab w:val="num" w:pos="-63"/>
        </w:tabs>
        <w:ind w:left="295" w:hanging="295"/>
        <w:rPr>
          <w:rFonts w:cs="Arial"/>
        </w:rPr>
      </w:pPr>
      <w:r>
        <w:t>All weather road access</w:t>
      </w:r>
      <w:r w:rsidR="002A61DC">
        <w:t xml:space="preserve"> </w:t>
      </w:r>
      <w:r w:rsidR="002A61DC" w:rsidRPr="002A61DC">
        <w:rPr>
          <w:rFonts w:cs="Arial"/>
        </w:rPr>
        <w:t>for vehicles with substantial and possibly out of gaug</w:t>
      </w:r>
      <w:r w:rsidR="002A61DC">
        <w:rPr>
          <w:rFonts w:cs="Arial"/>
        </w:rPr>
        <w:t>e loads</w:t>
      </w:r>
      <w:r w:rsidR="00226B02">
        <w:rPr>
          <w:rFonts w:cs="Arial"/>
        </w:rPr>
        <w:t>.</w:t>
      </w:r>
    </w:p>
    <w:p w14:paraId="1A32A005" w14:textId="77777777" w:rsidR="002B17E4" w:rsidRPr="002B17E4" w:rsidRDefault="002B17E4" w:rsidP="00D71662">
      <w:pPr>
        <w:pStyle w:val="ListBullet"/>
        <w:numPr>
          <w:ilvl w:val="0"/>
          <w:numId w:val="2"/>
        </w:numPr>
        <w:tabs>
          <w:tab w:val="clear" w:pos="845"/>
          <w:tab w:val="num" w:pos="-63"/>
        </w:tabs>
        <w:ind w:left="295" w:hanging="295"/>
        <w:rPr>
          <w:rFonts w:cs="Arial"/>
        </w:rPr>
      </w:pPr>
      <w:r>
        <w:t>Visibility down to 5</w:t>
      </w:r>
      <w:r>
        <w:rPr>
          <w:rFonts w:cs="Arial"/>
        </w:rPr>
        <w:t>°</w:t>
      </w:r>
      <w:r>
        <w:t xml:space="preserve"> along the </w:t>
      </w:r>
      <w:proofErr w:type="gramStart"/>
      <w:r>
        <w:t>Geostationary</w:t>
      </w:r>
      <w:proofErr w:type="gramEnd"/>
      <w:r>
        <w:t xml:space="preserve"> arc</w:t>
      </w:r>
      <w:r w:rsidR="00226B02">
        <w:t>.</w:t>
      </w:r>
    </w:p>
    <w:p w14:paraId="23318D00" w14:textId="77777777" w:rsidR="002B17E4" w:rsidRPr="002B17E4" w:rsidRDefault="002B17E4" w:rsidP="00D71662">
      <w:pPr>
        <w:pStyle w:val="ListBullet"/>
        <w:numPr>
          <w:ilvl w:val="0"/>
          <w:numId w:val="2"/>
        </w:numPr>
        <w:tabs>
          <w:tab w:val="clear" w:pos="845"/>
          <w:tab w:val="num" w:pos="-63"/>
        </w:tabs>
        <w:ind w:left="295" w:hanging="295"/>
        <w:rPr>
          <w:rFonts w:cs="Arial"/>
        </w:rPr>
      </w:pPr>
      <w:r>
        <w:t xml:space="preserve">Support for </w:t>
      </w:r>
      <w:r w:rsidR="00770EF4">
        <w:t>non-geostationary orbit (</w:t>
      </w:r>
      <w:r>
        <w:t>NGSO</w:t>
      </w:r>
      <w:r w:rsidR="00770EF4">
        <w:t>)</w:t>
      </w:r>
      <w:r>
        <w:t xml:space="preserve"> services</w:t>
      </w:r>
      <w:r w:rsidR="002A61DC">
        <w:t xml:space="preserve"> done to 5</w:t>
      </w:r>
      <w:r w:rsidR="002A61DC">
        <w:rPr>
          <w:rFonts w:cs="Arial"/>
        </w:rPr>
        <w:t>°</w:t>
      </w:r>
      <w:r w:rsidR="002A61DC">
        <w:t xml:space="preserve"> </w:t>
      </w:r>
      <w:r>
        <w:t xml:space="preserve">in </w:t>
      </w:r>
      <w:r w:rsidR="002A61DC">
        <w:t xml:space="preserve">relevant </w:t>
      </w:r>
      <w:r>
        <w:t>bands</w:t>
      </w:r>
      <w:r w:rsidR="00226B02">
        <w:t>.</w:t>
      </w:r>
    </w:p>
    <w:p w14:paraId="3EFB00C8" w14:textId="77777777" w:rsidR="002B17E4" w:rsidRPr="002B17E4" w:rsidRDefault="002B17E4" w:rsidP="00D71662">
      <w:pPr>
        <w:pStyle w:val="ListBullet"/>
        <w:numPr>
          <w:ilvl w:val="0"/>
          <w:numId w:val="2"/>
        </w:numPr>
        <w:tabs>
          <w:tab w:val="clear" w:pos="845"/>
          <w:tab w:val="num" w:pos="-63"/>
        </w:tabs>
        <w:ind w:left="295" w:hanging="295"/>
        <w:rPr>
          <w:rFonts w:cs="Arial"/>
        </w:rPr>
      </w:pPr>
      <w:r>
        <w:t>Checking the rain micro-climate to avoid storm fronts (this is more an issue for higher frequency bands)</w:t>
      </w:r>
      <w:r w:rsidR="00226B02">
        <w:t>.</w:t>
      </w:r>
    </w:p>
    <w:p w14:paraId="3E59D2F2" w14:textId="77777777" w:rsidR="002B17E4" w:rsidRPr="002B17E4" w:rsidRDefault="002B17E4" w:rsidP="00D71662">
      <w:pPr>
        <w:pStyle w:val="ListBullet"/>
        <w:numPr>
          <w:ilvl w:val="0"/>
          <w:numId w:val="2"/>
        </w:numPr>
        <w:tabs>
          <w:tab w:val="clear" w:pos="845"/>
          <w:tab w:val="num" w:pos="-63"/>
        </w:tabs>
        <w:ind w:left="295" w:hanging="295"/>
        <w:rPr>
          <w:rFonts w:cs="Arial"/>
        </w:rPr>
      </w:pPr>
      <w:r>
        <w:t>No significant sources of radiofrequency interference in the vicinity</w:t>
      </w:r>
      <w:r w:rsidR="00226B02">
        <w:t>.</w:t>
      </w:r>
    </w:p>
    <w:p w14:paraId="16FE6309" w14:textId="77777777" w:rsidR="002B17E4" w:rsidRPr="002B17E4" w:rsidRDefault="002B17E4" w:rsidP="00D71662">
      <w:pPr>
        <w:pStyle w:val="ListBullet"/>
        <w:numPr>
          <w:ilvl w:val="0"/>
          <w:numId w:val="2"/>
        </w:numPr>
        <w:tabs>
          <w:tab w:val="clear" w:pos="845"/>
          <w:tab w:val="num" w:pos="-63"/>
        </w:tabs>
        <w:ind w:left="295" w:hanging="295"/>
        <w:rPr>
          <w:rFonts w:cs="Arial"/>
        </w:rPr>
      </w:pPr>
      <w:r w:rsidRPr="004B0BA2">
        <w:t xml:space="preserve">Local airport close by if </w:t>
      </w:r>
      <w:r>
        <w:t xml:space="preserve">it is located </w:t>
      </w:r>
      <w:r w:rsidRPr="004B0BA2">
        <w:t xml:space="preserve">far from </w:t>
      </w:r>
      <w:r>
        <w:t xml:space="preserve">a </w:t>
      </w:r>
      <w:r w:rsidRPr="004B0BA2">
        <w:t>major population centre</w:t>
      </w:r>
      <w:r w:rsidR="00226B02">
        <w:t>.</w:t>
      </w:r>
    </w:p>
    <w:p w14:paraId="382A10EF" w14:textId="77777777" w:rsidR="002B17E4" w:rsidRPr="002B17E4" w:rsidRDefault="002B17E4" w:rsidP="00226B02">
      <w:pPr>
        <w:pStyle w:val="ListBulletLast"/>
      </w:pPr>
      <w:r>
        <w:t>Natural terrain protection for the area identified.</w:t>
      </w:r>
    </w:p>
    <w:p w14:paraId="40D8714C" w14:textId="77777777" w:rsidR="002A61DC" w:rsidRDefault="002A61DC" w:rsidP="00226B02">
      <w:pPr>
        <w:spacing w:after="80"/>
      </w:pPr>
      <w:r>
        <w:t>Respondents indicated</w:t>
      </w:r>
      <w:r w:rsidR="00423C5C">
        <w:t xml:space="preserve"> </w:t>
      </w:r>
      <w:r w:rsidR="00B2711B">
        <w:t xml:space="preserve">they </w:t>
      </w:r>
      <w:r>
        <w:t xml:space="preserve">had not had the time to consider possible locations for an east coast earth station protection zone in detail. However, a few thoughts </w:t>
      </w:r>
      <w:r w:rsidR="00117AA1">
        <w:t xml:space="preserve">on the issue </w:t>
      </w:r>
      <w:r>
        <w:t>and potential options were identified as follows:</w:t>
      </w:r>
    </w:p>
    <w:p w14:paraId="4A7F4D98" w14:textId="77777777" w:rsidR="002A61DC" w:rsidRPr="002B17E4" w:rsidRDefault="002A61DC" w:rsidP="00D71662">
      <w:pPr>
        <w:pStyle w:val="ListBullet"/>
        <w:numPr>
          <w:ilvl w:val="0"/>
          <w:numId w:val="2"/>
        </w:numPr>
        <w:tabs>
          <w:tab w:val="clear" w:pos="845"/>
          <w:tab w:val="num" w:pos="-63"/>
        </w:tabs>
        <w:ind w:left="295" w:hanging="295"/>
        <w:rPr>
          <w:rFonts w:cs="Arial"/>
        </w:rPr>
      </w:pPr>
      <w:r>
        <w:t xml:space="preserve">Preferably located as close to Sydney as possible, possibly west of the Blue Mountains or on the Sydney-to-Canberra route </w:t>
      </w:r>
      <w:r w:rsidRPr="004B0BA2">
        <w:t>(Goulburn/Southern Highlands)</w:t>
      </w:r>
      <w:r w:rsidR="00117AA1">
        <w:t>. A second location could be considered in Victoria or Queensland</w:t>
      </w:r>
      <w:r w:rsidR="00226B02">
        <w:t>.</w:t>
      </w:r>
    </w:p>
    <w:p w14:paraId="10D0AA05" w14:textId="77777777" w:rsidR="002A61DC" w:rsidRPr="00117AA1" w:rsidRDefault="00117AA1" w:rsidP="00D71662">
      <w:pPr>
        <w:pStyle w:val="ListBullet"/>
        <w:numPr>
          <w:ilvl w:val="0"/>
          <w:numId w:val="2"/>
        </w:numPr>
        <w:tabs>
          <w:tab w:val="clear" w:pos="845"/>
          <w:tab w:val="num" w:pos="-63"/>
        </w:tabs>
        <w:ind w:left="295" w:hanging="295"/>
        <w:rPr>
          <w:rFonts w:cs="Arial"/>
        </w:rPr>
      </w:pPr>
      <w:r w:rsidRPr="004B0BA2">
        <w:t>Dubbo</w:t>
      </w:r>
      <w:r>
        <w:t xml:space="preserve"> is</w:t>
      </w:r>
      <w:r w:rsidRPr="004B0BA2">
        <w:t xml:space="preserve"> not considered suitable</w:t>
      </w:r>
      <w:r w:rsidR="00226B02">
        <w:t>,</w:t>
      </w:r>
      <w:r w:rsidRPr="004B0BA2">
        <w:t xml:space="preserve"> due to </w:t>
      </w:r>
      <w:r>
        <w:t xml:space="preserve">proximity </w:t>
      </w:r>
      <w:r w:rsidRPr="004B0BA2">
        <w:t xml:space="preserve">to </w:t>
      </w:r>
      <w:r>
        <w:t xml:space="preserve">a significant </w:t>
      </w:r>
      <w:r w:rsidRPr="004B0BA2">
        <w:t>population centre</w:t>
      </w:r>
      <w:r w:rsidR="00226B02">
        <w:t>.</w:t>
      </w:r>
    </w:p>
    <w:p w14:paraId="30174793" w14:textId="77777777" w:rsidR="00117AA1" w:rsidRDefault="00117AA1" w:rsidP="00D71662">
      <w:pPr>
        <w:pStyle w:val="ListBullet"/>
        <w:numPr>
          <w:ilvl w:val="0"/>
          <w:numId w:val="2"/>
        </w:numPr>
        <w:tabs>
          <w:tab w:val="clear" w:pos="845"/>
          <w:tab w:val="num" w:pos="-63"/>
        </w:tabs>
        <w:ind w:left="295" w:hanging="295"/>
        <w:rPr>
          <w:rFonts w:cs="Arial"/>
        </w:rPr>
      </w:pPr>
      <w:r>
        <w:rPr>
          <w:rFonts w:cs="Arial"/>
        </w:rPr>
        <w:t xml:space="preserve">A site near Moree could be considered. </w:t>
      </w:r>
    </w:p>
    <w:p w14:paraId="0821B05E" w14:textId="4266E3CF" w:rsidR="00117AA1" w:rsidRPr="00117AA1" w:rsidRDefault="00117AA1" w:rsidP="00D71662">
      <w:pPr>
        <w:pStyle w:val="ListBullet"/>
        <w:numPr>
          <w:ilvl w:val="0"/>
          <w:numId w:val="2"/>
        </w:numPr>
        <w:tabs>
          <w:tab w:val="clear" w:pos="845"/>
          <w:tab w:val="num" w:pos="-63"/>
        </w:tabs>
        <w:ind w:left="295" w:hanging="295"/>
        <w:rPr>
          <w:rFonts w:cs="Arial"/>
        </w:rPr>
      </w:pPr>
      <w:r w:rsidRPr="00117AA1">
        <w:rPr>
          <w:rFonts w:cs="Arial"/>
        </w:rPr>
        <w:t xml:space="preserve">Other possible locations include </w:t>
      </w:r>
      <w:r w:rsidRPr="004B0BA2">
        <w:t>Broken Hill, Bourke or Roma</w:t>
      </w:r>
      <w:r w:rsidR="00B2711B">
        <w:t>,</w:t>
      </w:r>
      <w:r w:rsidRPr="004B0BA2">
        <w:t xml:space="preserve"> which are</w:t>
      </w:r>
      <w:r>
        <w:t xml:space="preserve"> located </w:t>
      </w:r>
      <w:r w:rsidRPr="004B0BA2">
        <w:t xml:space="preserve">near </w:t>
      </w:r>
      <w:r>
        <w:t xml:space="preserve">existing </w:t>
      </w:r>
      <w:r w:rsidR="00226B02">
        <w:t xml:space="preserve">NBN </w:t>
      </w:r>
      <w:r w:rsidR="00E8185B">
        <w:t>C</w:t>
      </w:r>
      <w:r w:rsidR="001344BA">
        <w:t xml:space="preserve">o </w:t>
      </w:r>
      <w:r>
        <w:t>earth station gateway locations</w:t>
      </w:r>
      <w:r w:rsidRPr="004B0BA2">
        <w:t>.</w:t>
      </w:r>
    </w:p>
    <w:p w14:paraId="0F77B116" w14:textId="77777777" w:rsidR="00117AA1" w:rsidRPr="002B17E4" w:rsidRDefault="00E91F02" w:rsidP="004A57AC">
      <w:pPr>
        <w:pStyle w:val="ListBullet"/>
        <w:numPr>
          <w:ilvl w:val="0"/>
          <w:numId w:val="2"/>
        </w:numPr>
        <w:tabs>
          <w:tab w:val="clear" w:pos="845"/>
          <w:tab w:val="num" w:pos="-63"/>
        </w:tabs>
        <w:ind w:left="295" w:hanging="295"/>
        <w:rPr>
          <w:rFonts w:cs="Arial"/>
        </w:rPr>
      </w:pPr>
      <w:r>
        <w:rPr>
          <w:rFonts w:cs="Arial"/>
        </w:rPr>
        <w:t xml:space="preserve">The zone may restrict utility of the 3.6 GHz band within a 75 </w:t>
      </w:r>
      <w:r w:rsidR="00226B02">
        <w:rPr>
          <w:rFonts w:cs="Arial"/>
        </w:rPr>
        <w:t xml:space="preserve">kilometre </w:t>
      </w:r>
      <w:r>
        <w:rPr>
          <w:rFonts w:cs="Arial"/>
        </w:rPr>
        <w:t>radius.</w:t>
      </w:r>
    </w:p>
    <w:p w14:paraId="7DD14F89" w14:textId="77777777" w:rsidR="004A57AC" w:rsidRPr="004A57AC" w:rsidRDefault="004A57AC" w:rsidP="004A57AC">
      <w:pPr>
        <w:pStyle w:val="ListBullet"/>
        <w:numPr>
          <w:ilvl w:val="0"/>
          <w:numId w:val="2"/>
        </w:numPr>
        <w:tabs>
          <w:tab w:val="clear" w:pos="845"/>
          <w:tab w:val="num" w:pos="-63"/>
        </w:tabs>
        <w:spacing w:after="240"/>
        <w:ind w:left="295" w:hanging="295"/>
        <w:rPr>
          <w:rFonts w:cs="Arial"/>
        </w:rPr>
      </w:pPr>
      <w:r>
        <w:t>There was support in identifying two geographically distinct locations.</w:t>
      </w:r>
    </w:p>
    <w:p w14:paraId="61E543F6" w14:textId="77777777" w:rsidR="00626C4D" w:rsidRDefault="00626C4D" w:rsidP="00626C4D">
      <w:r>
        <w:t xml:space="preserve">There was mild interest in identifying a central Australian earth station zone. </w:t>
      </w:r>
      <w:r w:rsidR="00E14D10">
        <w:t>Two respondents suggested a site</w:t>
      </w:r>
      <w:r>
        <w:t xml:space="preserve"> located north of a latitude of 15</w:t>
      </w:r>
      <w:r>
        <w:rPr>
          <w:rFonts w:cs="Arial"/>
        </w:rPr>
        <w:t>°</w:t>
      </w:r>
      <w:r>
        <w:t xml:space="preserve"> would be </w:t>
      </w:r>
      <w:r w:rsidR="004A57AC">
        <w:t>preferable</w:t>
      </w:r>
      <w:r>
        <w:t xml:space="preserve">. This could enable </w:t>
      </w:r>
      <w:r w:rsidRPr="004B0BA2">
        <w:t xml:space="preserve">access </w:t>
      </w:r>
      <w:r>
        <w:t xml:space="preserve">to </w:t>
      </w:r>
      <w:r w:rsidRPr="004B0BA2">
        <w:t xml:space="preserve">regional beams </w:t>
      </w:r>
      <w:r>
        <w:t xml:space="preserve">in </w:t>
      </w:r>
      <w:proofErr w:type="gramStart"/>
      <w:r w:rsidR="00226B02">
        <w:t>s</w:t>
      </w:r>
      <w:r>
        <w:t>outheast</w:t>
      </w:r>
      <w:proofErr w:type="gramEnd"/>
      <w:r>
        <w:t xml:space="preserve"> Asia not available in other parts of</w:t>
      </w:r>
      <w:r w:rsidRPr="004B0BA2">
        <w:t xml:space="preserve"> Aus</w:t>
      </w:r>
      <w:r>
        <w:t>tralia</w:t>
      </w:r>
      <w:r w:rsidRPr="004B0BA2">
        <w:t>.</w:t>
      </w:r>
    </w:p>
    <w:p w14:paraId="336D24B0" w14:textId="77777777" w:rsidR="00A47FF5" w:rsidRPr="000C059F" w:rsidRDefault="00A47FF5" w:rsidP="00226B02">
      <w:pPr>
        <w:pStyle w:val="BodySubHeader"/>
      </w:pPr>
      <w:r w:rsidRPr="000C059F">
        <w:t>Submissions from other stakeholders</w:t>
      </w:r>
    </w:p>
    <w:p w14:paraId="7D253220" w14:textId="77777777" w:rsidR="006026BB" w:rsidRDefault="006026BB" w:rsidP="006026BB">
      <w:r>
        <w:t>A few submissions from other stakeholders commented on options for incumbent FSS earth station licensees. Generally</w:t>
      </w:r>
      <w:r w:rsidR="001300B5">
        <w:t>,</w:t>
      </w:r>
      <w:r>
        <w:t xml:space="preserve"> there was </w:t>
      </w:r>
      <w:r w:rsidR="005E707A">
        <w:t xml:space="preserve">support for the concept of earth station protection zones and </w:t>
      </w:r>
      <w:r>
        <w:t xml:space="preserve">support </w:t>
      </w:r>
      <w:r w:rsidR="001300B5">
        <w:t xml:space="preserve">for </w:t>
      </w:r>
      <w:r>
        <w:t xml:space="preserve">moving earth stations to areas of </w:t>
      </w:r>
      <w:r w:rsidR="001F5903">
        <w:t>low demand</w:t>
      </w:r>
      <w:r w:rsidR="005E707A">
        <w:t xml:space="preserve"> for spectrum</w:t>
      </w:r>
      <w:r w:rsidR="001F5903">
        <w:t xml:space="preserve">. </w:t>
      </w:r>
      <w:r w:rsidR="00BE0827">
        <w:t>The identification of an east coast protection zone was encouraged</w:t>
      </w:r>
      <w:r w:rsidR="00EB373E">
        <w:t>, t</w:t>
      </w:r>
      <w:r w:rsidR="001F5903">
        <w:t xml:space="preserve">hough Telstra and Optus supported the option of </w:t>
      </w:r>
      <w:r w:rsidR="00011CE3">
        <w:t>retun</w:t>
      </w:r>
      <w:r w:rsidR="001F5903">
        <w:t xml:space="preserve">ing services were this was viable. </w:t>
      </w:r>
    </w:p>
    <w:p w14:paraId="1700ECB0" w14:textId="77777777" w:rsidR="005E707A" w:rsidRDefault="00BE0827" w:rsidP="005E707A">
      <w:r>
        <w:t xml:space="preserve">One respondent suggested considering </w:t>
      </w:r>
      <w:r w:rsidR="005E707A">
        <w:t xml:space="preserve">locations west of the </w:t>
      </w:r>
      <w:r>
        <w:t>Great Dividing Range</w:t>
      </w:r>
      <w:r w:rsidR="005E707A">
        <w:t xml:space="preserve"> </w:t>
      </w:r>
      <w:r>
        <w:t xml:space="preserve">that are </w:t>
      </w:r>
      <w:r w:rsidR="005E707A" w:rsidRPr="004B0BA2">
        <w:t xml:space="preserve">within 45 minutes of </w:t>
      </w:r>
      <w:r w:rsidR="00226B02" w:rsidRPr="004B0BA2">
        <w:t>reasonabl</w:t>
      </w:r>
      <w:r w:rsidR="00226B02">
        <w:t>y-</w:t>
      </w:r>
      <w:r w:rsidR="005E707A" w:rsidRPr="004B0BA2">
        <w:t>size</w:t>
      </w:r>
      <w:r w:rsidR="00226B02">
        <w:t>d</w:t>
      </w:r>
      <w:r w:rsidR="005E707A" w:rsidRPr="004B0BA2">
        <w:t xml:space="preserve"> population centre</w:t>
      </w:r>
      <w:r w:rsidR="00226B02">
        <w:t>s</w:t>
      </w:r>
      <w:r w:rsidR="005E707A" w:rsidRPr="004B0BA2">
        <w:t xml:space="preserve">. </w:t>
      </w:r>
      <w:r w:rsidR="001300B5">
        <w:t>This respondent also</w:t>
      </w:r>
      <w:r>
        <w:t xml:space="preserve"> s</w:t>
      </w:r>
      <w:r w:rsidR="003C6407">
        <w:t>uggested</w:t>
      </w:r>
      <w:r>
        <w:t xml:space="preserve"> </w:t>
      </w:r>
      <w:r w:rsidR="003C6407">
        <w:t>any location</w:t>
      </w:r>
      <w:r>
        <w:t xml:space="preserve"> should be away from major air corridors and ideally</w:t>
      </w:r>
      <w:r w:rsidR="005E707A" w:rsidRPr="004B0BA2">
        <w:t xml:space="preserve"> within </w:t>
      </w:r>
      <w:r>
        <w:t xml:space="preserve">a </w:t>
      </w:r>
      <w:r w:rsidR="005E707A" w:rsidRPr="004B0BA2">
        <w:t>natural de</w:t>
      </w:r>
      <w:r>
        <w:t>pression or valley. An area near</w:t>
      </w:r>
      <w:r w:rsidR="005E707A" w:rsidRPr="004B0BA2">
        <w:t xml:space="preserve"> </w:t>
      </w:r>
      <w:proofErr w:type="spellStart"/>
      <w:r w:rsidR="005E707A" w:rsidRPr="004B0BA2">
        <w:t>Parkes</w:t>
      </w:r>
      <w:proofErr w:type="spellEnd"/>
      <w:r w:rsidR="005E707A" w:rsidRPr="004B0BA2">
        <w:t xml:space="preserve"> may be </w:t>
      </w:r>
      <w:r>
        <w:t>suitable</w:t>
      </w:r>
      <w:r w:rsidR="00226B02">
        <w:t>,</w:t>
      </w:r>
      <w:r w:rsidR="005E707A" w:rsidRPr="004B0BA2">
        <w:t xml:space="preserve"> </w:t>
      </w:r>
      <w:r>
        <w:t xml:space="preserve">given it </w:t>
      </w:r>
      <w:r w:rsidR="005E707A" w:rsidRPr="004B0BA2">
        <w:t xml:space="preserve">is already </w:t>
      </w:r>
      <w:r>
        <w:t xml:space="preserve">a </w:t>
      </w:r>
      <w:r w:rsidR="005E707A" w:rsidRPr="004B0BA2">
        <w:t xml:space="preserve">radio </w:t>
      </w:r>
      <w:r w:rsidRPr="004B0BA2">
        <w:t>quiet</w:t>
      </w:r>
      <w:r>
        <w:t xml:space="preserve"> area</w:t>
      </w:r>
      <w:r w:rsidR="005E707A" w:rsidRPr="004B0BA2">
        <w:t>.</w:t>
      </w:r>
      <w:r w:rsidR="00662DE4">
        <w:t xml:space="preserve"> Other respondents said that </w:t>
      </w:r>
      <w:r w:rsidR="00A44F45">
        <w:t xml:space="preserve">any </w:t>
      </w:r>
      <w:r w:rsidR="00662DE4">
        <w:t xml:space="preserve">location </w:t>
      </w:r>
      <w:r w:rsidR="00A44F45">
        <w:t xml:space="preserve">identified </w:t>
      </w:r>
      <w:r w:rsidR="00662DE4">
        <w:t xml:space="preserve">should not have an effect on any current or planned </w:t>
      </w:r>
      <w:r w:rsidR="00A44F45">
        <w:t xml:space="preserve">in-band and adjacent band </w:t>
      </w:r>
      <w:r w:rsidR="00662DE4">
        <w:t xml:space="preserve">wireless broadband deployments. </w:t>
      </w:r>
    </w:p>
    <w:p w14:paraId="1984E78B" w14:textId="77777777" w:rsidR="00BE0827" w:rsidRDefault="00BE0827" w:rsidP="005E707A">
      <w:r>
        <w:t xml:space="preserve">Another respondent suggested studies should be performed to determine the ability of small cells to coexist with earth stations. </w:t>
      </w:r>
    </w:p>
    <w:p w14:paraId="1AB37D8A" w14:textId="77777777" w:rsidR="006673BF" w:rsidRDefault="00BE0827" w:rsidP="001104B2">
      <w:r>
        <w:t>Respondents indicated that interference to earth station protection zones should be managed via case-by-case coordination to specific protection levels</w:t>
      </w:r>
      <w:r w:rsidR="00226B02">
        <w:t>,</w:t>
      </w:r>
      <w:r w:rsidR="00662DE4">
        <w:t xml:space="preserve"> taking into account terrain and other engineering factors. I</w:t>
      </w:r>
      <w:r>
        <w:t>mplementing exclusion zones</w:t>
      </w:r>
      <w:r w:rsidR="00662DE4">
        <w:t xml:space="preserve"> is inefficient</w:t>
      </w:r>
      <w:r>
        <w:t xml:space="preserve">. One respondent contended that the claimed protection distances for FSS earth stations </w:t>
      </w:r>
      <w:r w:rsidR="00662DE4">
        <w:t xml:space="preserve">are likely overstated and better sharing would be possible if </w:t>
      </w:r>
      <w:r w:rsidR="00662DE4" w:rsidRPr="004B0BA2">
        <w:t xml:space="preserve">modern techniques and </w:t>
      </w:r>
      <w:r w:rsidR="00662DE4">
        <w:t xml:space="preserve">proper service </w:t>
      </w:r>
      <w:r w:rsidR="00662DE4" w:rsidRPr="004B0BA2">
        <w:t>modelling</w:t>
      </w:r>
      <w:r w:rsidR="00662DE4">
        <w:t xml:space="preserve"> is performed. It was further suggested that the ACMA consider making satellite services secondary to wireless broadband services outside of defined earth station protection zones.</w:t>
      </w:r>
    </w:p>
    <w:p w14:paraId="72E3D9E4" w14:textId="77777777" w:rsidR="004F3F65" w:rsidRPr="00D358D9" w:rsidRDefault="004F3F65" w:rsidP="004F3F65">
      <w:pPr>
        <w:pStyle w:val="Heading3"/>
      </w:pPr>
      <w:bookmarkStart w:id="154" w:name="_Toc496620334"/>
      <w:r w:rsidRPr="00D358D9">
        <w:t>ACMA response to submissions</w:t>
      </w:r>
      <w:bookmarkEnd w:id="154"/>
    </w:p>
    <w:p w14:paraId="2A2AF9F7" w14:textId="77777777" w:rsidR="003B30DA" w:rsidRDefault="003B30DA" w:rsidP="003B30DA">
      <w:r>
        <w:t>The ACMA acknowledges that two incumbent FSS earth station licensees have signalled they have or will retune</w:t>
      </w:r>
      <w:r w:rsidR="008051A9">
        <w:t xml:space="preserve"> their</w:t>
      </w:r>
      <w:r>
        <w:t xml:space="preserve"> services out of the 3.6 GHz band. This action is supported where it is a viable option. </w:t>
      </w:r>
      <w:r w:rsidRPr="00C54144">
        <w:t xml:space="preserve">However, FSS earth station licensees in metropolitan areas should be aware </w:t>
      </w:r>
      <w:r>
        <w:t xml:space="preserve">that </w:t>
      </w:r>
      <w:r w:rsidRPr="00C54144">
        <w:t xml:space="preserve">international developments </w:t>
      </w:r>
      <w:r>
        <w:t>with</w:t>
      </w:r>
      <w:r w:rsidRPr="00C54144">
        <w:t>in the 3700</w:t>
      </w:r>
      <w:r w:rsidR="00226B02">
        <w:t>–</w:t>
      </w:r>
      <w:r w:rsidRPr="00C54144">
        <w:t>4200</w:t>
      </w:r>
      <w:r w:rsidR="007836C3">
        <w:t> </w:t>
      </w:r>
      <w:r w:rsidRPr="00C54144">
        <w:t>MHz band with regards to its</w:t>
      </w:r>
      <w:r>
        <w:t xml:space="preserve"> potential</w:t>
      </w:r>
      <w:r w:rsidRPr="00C54144">
        <w:t xml:space="preserve"> use for </w:t>
      </w:r>
      <w:r>
        <w:t>MBB are being monitored</w:t>
      </w:r>
      <w:r w:rsidRPr="00C54144">
        <w:t>. As such</w:t>
      </w:r>
      <w:r w:rsidR="007836C3">
        <w:t>,</w:t>
      </w:r>
      <w:r w:rsidRPr="00C54144">
        <w:t xml:space="preserve"> this band may come under review at some future point.</w:t>
      </w:r>
    </w:p>
    <w:p w14:paraId="4DC42F34" w14:textId="77777777" w:rsidR="003B30DA" w:rsidRPr="0055309D" w:rsidRDefault="003B30DA" w:rsidP="003B30DA">
      <w:r>
        <w:t xml:space="preserve">The ACMA recognises that tuning </w:t>
      </w:r>
      <w:r w:rsidRPr="0055309D">
        <w:t>services out of the 3.6 GHz band is not an option for Inmarsat’s facility located in Perth and Lockheed Martin’s facility near Uralla. For the former</w:t>
      </w:r>
      <w:r w:rsidR="00EB373E" w:rsidRPr="0055309D">
        <w:t xml:space="preserve"> facility</w:t>
      </w:r>
      <w:r w:rsidRPr="0055309D">
        <w:t xml:space="preserve">, as discussed in the </w:t>
      </w:r>
      <w:r w:rsidR="00ED2DE1" w:rsidRPr="0055309D">
        <w:rPr>
          <w:i/>
        </w:rPr>
        <w:t>Case for action and replanning options</w:t>
      </w:r>
      <w:r w:rsidRPr="0055309D">
        <w:t xml:space="preserve"> and </w:t>
      </w:r>
      <w:r w:rsidRPr="0055309D">
        <w:rPr>
          <w:i/>
        </w:rPr>
        <w:t xml:space="preserve">Length of re-allocation period </w:t>
      </w:r>
      <w:r w:rsidRPr="0055309D">
        <w:t xml:space="preserve">sections of this paper, coexistence between FSS earth stations and MBB services in Perth and a lengthy </w:t>
      </w:r>
      <w:r w:rsidR="004D7E1F" w:rsidRPr="0055309D">
        <w:t>(</w:t>
      </w:r>
      <w:r w:rsidR="00226B02" w:rsidRPr="0055309D">
        <w:t>for example,</w:t>
      </w:r>
      <w:r w:rsidR="004D7E1F" w:rsidRPr="0055309D">
        <w:t xml:space="preserve"> 20</w:t>
      </w:r>
      <w:r w:rsidR="00226B02" w:rsidRPr="0055309D">
        <w:t>-</w:t>
      </w:r>
      <w:r w:rsidR="004D7E1F" w:rsidRPr="0055309D">
        <w:t xml:space="preserve">year) </w:t>
      </w:r>
      <w:r w:rsidRPr="0055309D">
        <w:t xml:space="preserve">re-allocation period are not considered </w:t>
      </w:r>
      <w:r w:rsidR="00B4096E" w:rsidRPr="0055309D">
        <w:t xml:space="preserve">appropriate </w:t>
      </w:r>
      <w:r w:rsidRPr="0055309D">
        <w:t xml:space="preserve">solutions. To support the operation of this service in the long term, Inmarsat’s 3.6 GHz band operations in Perth will need to be geographically relocated. The most appropriate long-term solution in this case would be to move to a defined </w:t>
      </w:r>
      <w:r w:rsidR="00036081" w:rsidRPr="0055309D">
        <w:t>e</w:t>
      </w:r>
      <w:r w:rsidRPr="0055309D">
        <w:t xml:space="preserve">arth station protection zone. </w:t>
      </w:r>
    </w:p>
    <w:p w14:paraId="7A53B9C0" w14:textId="5E01A1B0" w:rsidR="003B30DA" w:rsidRDefault="003B30DA" w:rsidP="003B30DA">
      <w:pPr>
        <w:rPr>
          <w:rFonts w:cs="Arial"/>
          <w:szCs w:val="20"/>
        </w:rPr>
      </w:pPr>
      <w:r w:rsidRPr="0055309D">
        <w:t xml:space="preserve">Options for the earth station facility operated by Lockheed Martin near Uralla were previously discussed in the </w:t>
      </w:r>
      <w:r w:rsidR="00ED2DE1" w:rsidRPr="0055309D">
        <w:rPr>
          <w:i/>
        </w:rPr>
        <w:t>Case for action and replanning options</w:t>
      </w:r>
      <w:r w:rsidRPr="0055309D">
        <w:t xml:space="preserve"> and </w:t>
      </w:r>
      <w:r w:rsidRPr="0055309D">
        <w:rPr>
          <w:i/>
        </w:rPr>
        <w:t xml:space="preserve">Geographical area options </w:t>
      </w:r>
      <w:r w:rsidRPr="0055309D">
        <w:t>sections of this paper. In summary</w:t>
      </w:r>
      <w:r w:rsidR="00BE0C77" w:rsidRPr="0055309D">
        <w:t>,</w:t>
      </w:r>
      <w:r w:rsidRPr="0055309D">
        <w:t xml:space="preserve"> </w:t>
      </w:r>
      <w:r w:rsidR="006C3F15" w:rsidRPr="0055309D">
        <w:t>the ACMA proposes that</w:t>
      </w:r>
      <w:r w:rsidRPr="0055309D">
        <w:t xml:space="preserve"> Option 4b be applied to this facility to enable it to continue operating. Specifically</w:t>
      </w:r>
      <w:r w:rsidR="00BE0C77" w:rsidRPr="0055309D">
        <w:t>,</w:t>
      </w:r>
      <w:r w:rsidRPr="0055309D">
        <w:t xml:space="preserve"> </w:t>
      </w:r>
      <w:r w:rsidR="00E6574F" w:rsidRPr="0055309D">
        <w:t xml:space="preserve">it is recommended that </w:t>
      </w:r>
      <w:r w:rsidRPr="0055309D">
        <w:t>t</w:t>
      </w:r>
      <w:r w:rsidRPr="0055309D">
        <w:rPr>
          <w:rFonts w:cs="Arial"/>
          <w:szCs w:val="20"/>
        </w:rPr>
        <w:t>he area represented by the HCIS</w:t>
      </w:r>
      <w:r>
        <w:rPr>
          <w:rFonts w:cs="Arial"/>
          <w:szCs w:val="20"/>
        </w:rPr>
        <w:t xml:space="preserve"> identifier NU7K4 </w:t>
      </w:r>
      <w:r w:rsidR="006C3F15">
        <w:rPr>
          <w:rFonts w:cs="Arial"/>
          <w:szCs w:val="20"/>
        </w:rPr>
        <w:t>should</w:t>
      </w:r>
      <w:r>
        <w:rPr>
          <w:rFonts w:cs="Arial"/>
          <w:szCs w:val="20"/>
        </w:rPr>
        <w:t xml:space="preserve"> not be</w:t>
      </w:r>
      <w:r w:rsidRPr="00AA1486">
        <w:rPr>
          <w:rFonts w:cs="Arial"/>
          <w:szCs w:val="20"/>
        </w:rPr>
        <w:t xml:space="preserve"> </w:t>
      </w:r>
      <w:r w:rsidR="006C3F15">
        <w:rPr>
          <w:rFonts w:cs="Arial"/>
          <w:szCs w:val="20"/>
        </w:rPr>
        <w:t xml:space="preserve">included in </w:t>
      </w:r>
      <w:r w:rsidR="00E6574F">
        <w:rPr>
          <w:rFonts w:cs="Arial"/>
          <w:szCs w:val="20"/>
        </w:rPr>
        <w:t xml:space="preserve">the </w:t>
      </w:r>
      <w:r w:rsidR="006C3F15">
        <w:rPr>
          <w:rFonts w:cs="Arial"/>
          <w:szCs w:val="20"/>
        </w:rPr>
        <w:t xml:space="preserve">areas </w:t>
      </w:r>
      <w:r w:rsidRPr="00AA1486">
        <w:rPr>
          <w:rFonts w:cs="Arial"/>
          <w:szCs w:val="20"/>
        </w:rPr>
        <w:t>re-allocated for the issue of spectrum licences</w:t>
      </w:r>
      <w:r w:rsidR="006C3F15">
        <w:rPr>
          <w:rFonts w:cs="Arial"/>
          <w:szCs w:val="20"/>
        </w:rPr>
        <w:t xml:space="preserve"> in the 3.6 GHz band</w:t>
      </w:r>
      <w:r>
        <w:rPr>
          <w:rFonts w:cs="Arial"/>
          <w:szCs w:val="20"/>
        </w:rPr>
        <w:t xml:space="preserve">. </w:t>
      </w:r>
      <w:r w:rsidR="0055309D">
        <w:t>T</w:t>
      </w:r>
      <w:r>
        <w:t xml:space="preserve">he ACMA stands by its </w:t>
      </w:r>
      <w:r w:rsidR="00B4096E">
        <w:t>statement in the</w:t>
      </w:r>
      <w:r>
        <w:t xml:space="preserve"> Options paper that the </w:t>
      </w:r>
      <w:r>
        <w:rPr>
          <w:rFonts w:cs="Arial"/>
          <w:szCs w:val="20"/>
        </w:rPr>
        <w:t>facility may be required to relocate in the future</w:t>
      </w:r>
      <w:r w:rsidR="0055309D">
        <w:rPr>
          <w:rFonts w:cs="Arial"/>
          <w:szCs w:val="20"/>
        </w:rPr>
        <w:t xml:space="preserve">. However, if it is shown that MBB service deployments in major towns in the area are not unreasonably restricted, the facility at Uralla </w:t>
      </w:r>
      <w:r w:rsidR="00DE0D2A">
        <w:rPr>
          <w:rFonts w:cs="Arial"/>
          <w:szCs w:val="20"/>
        </w:rPr>
        <w:t>will be able to continue its operation.</w:t>
      </w:r>
    </w:p>
    <w:p w14:paraId="7909EF1C" w14:textId="77777777" w:rsidR="00FA4516" w:rsidRDefault="003B30DA" w:rsidP="003B30DA">
      <w:r>
        <w:t xml:space="preserve">The ACMA appreciates the support </w:t>
      </w:r>
      <w:r w:rsidR="00B30D79">
        <w:t>from some submitters</w:t>
      </w:r>
      <w:r>
        <w:t xml:space="preserve"> in defining an east coast earth station protection zone. </w:t>
      </w:r>
      <w:r w:rsidR="00B4096E">
        <w:t>The ACMA</w:t>
      </w:r>
      <w:r>
        <w:t xml:space="preserve"> will work with stakeholders to identify </w:t>
      </w:r>
      <w:r w:rsidR="00CD05B7">
        <w:t>one or more</w:t>
      </w:r>
      <w:r>
        <w:t xml:space="preserve"> such zone</w:t>
      </w:r>
      <w:r w:rsidR="000D5B53">
        <w:t>s,</w:t>
      </w:r>
      <w:r>
        <w:t xml:space="preserve"> considering comments received on how to make them attractive for future earth station operations. Possible locations both in</w:t>
      </w:r>
      <w:r w:rsidR="000D5B53">
        <w:t>side</w:t>
      </w:r>
      <w:r>
        <w:t xml:space="preserve"> and outside of </w:t>
      </w:r>
      <w:r w:rsidR="00CD05B7">
        <w:t>the areas proposed for re-allocation</w:t>
      </w:r>
      <w:r>
        <w:t xml:space="preserve"> will be considered. However, given the desire to progress with making spectrum in the 3.6 GHz band available for wide-area MBB networks, there is limited time available to </w:t>
      </w:r>
      <w:r w:rsidR="00FA4516">
        <w:t xml:space="preserve">undertake further </w:t>
      </w:r>
      <w:r>
        <w:t>assess</w:t>
      </w:r>
      <w:r w:rsidR="00FA4516">
        <w:t>ment of</w:t>
      </w:r>
      <w:r>
        <w:t xml:space="preserve"> locations before spectrum is re-allocated for the issue of spectrum licences. </w:t>
      </w:r>
    </w:p>
    <w:p w14:paraId="0D2708D3" w14:textId="4F3DEA2C" w:rsidR="003B30DA" w:rsidRDefault="008338CC" w:rsidP="003B30DA">
      <w:r>
        <w:t xml:space="preserve">Consequently, as part of the re-allocation consultation, the ACMA will flag the option of excising three prime candidate locations from the proposed areas to be re-allocated (as defined in Annex C). This reflects the ACMA’s current disposition to excise all three areas from any future recommendation made to the minister. It would then </w:t>
      </w:r>
      <w:r w:rsidR="003B30DA">
        <w:t>support their further consideration as east coast earth station protection zones (noting this would not prevent consideration of locations</w:t>
      </w:r>
      <w:r w:rsidR="00B30D79">
        <w:t>, such as Bourke,</w:t>
      </w:r>
      <w:r w:rsidR="003B30DA">
        <w:t xml:space="preserve"> outside of </w:t>
      </w:r>
      <w:r w:rsidR="00B4096E">
        <w:t>those being considered for spectrum licensing</w:t>
      </w:r>
      <w:r w:rsidR="003B30DA">
        <w:t xml:space="preserve">). </w:t>
      </w:r>
      <w:r w:rsidR="006A1912">
        <w:t xml:space="preserve">Pending a decision from the </w:t>
      </w:r>
      <w:r w:rsidR="00036081">
        <w:t>m</w:t>
      </w:r>
      <w:r w:rsidR="006A1912">
        <w:t>inister</w:t>
      </w:r>
      <w:r w:rsidR="00036081">
        <w:t>,</w:t>
      </w:r>
      <w:r w:rsidR="006A1912">
        <w:t xml:space="preserve"> and a</w:t>
      </w:r>
      <w:r w:rsidR="003B30DA">
        <w:t xml:space="preserve">s part of the </w:t>
      </w:r>
      <w:r w:rsidR="00770EF4">
        <w:t>TLG</w:t>
      </w:r>
      <w:r w:rsidR="003B30DA">
        <w:t xml:space="preserve"> process</w:t>
      </w:r>
      <w:r w:rsidR="006A1912">
        <w:t>,</w:t>
      </w:r>
      <w:r w:rsidR="003B30DA">
        <w:t xml:space="preserve"> the ACMA w</w:t>
      </w:r>
      <w:r w:rsidR="006A1912">
        <w:t>ould then</w:t>
      </w:r>
      <w:r w:rsidR="003B30DA">
        <w:t xml:space="preserve"> work with stakeholders to develop appropriate protection arrangements for these locations. Discussion in the TLG will include whether the implementation of exclusion zones or case-by-case coordination (or a combination of both) is appropriate. </w:t>
      </w:r>
    </w:p>
    <w:p w14:paraId="2D8A3FAD" w14:textId="77777777" w:rsidR="003B30DA" w:rsidRDefault="003B30DA" w:rsidP="003B30DA">
      <w:pPr>
        <w:rPr>
          <w:rFonts w:cs="Arial"/>
          <w:szCs w:val="20"/>
        </w:rPr>
      </w:pPr>
      <w:r>
        <w:t xml:space="preserve">This approach will give the </w:t>
      </w:r>
      <w:r w:rsidR="00CD05B7">
        <w:t xml:space="preserve">ACMA and the </w:t>
      </w:r>
      <w:r>
        <w:t>satellite industry time to properly assess the</w:t>
      </w:r>
      <w:r w:rsidR="00B4096E">
        <w:t>se</w:t>
      </w:r>
      <w:r>
        <w:t xml:space="preserve"> locations and other locations outside of </w:t>
      </w:r>
      <w:r w:rsidR="00B4096E">
        <w:t>those being considered for spectrum licensing,</w:t>
      </w:r>
      <w:r>
        <w:t xml:space="preserve"> to determine their suitability as earth station protection zones. </w:t>
      </w:r>
      <w:r w:rsidR="00B4096E" w:rsidRPr="00D71662">
        <w:rPr>
          <w:rFonts w:cs="Arial"/>
          <w:szCs w:val="20"/>
          <w:lang w:eastAsia="en-US"/>
        </w:rPr>
        <w:t xml:space="preserve">In the event </w:t>
      </w:r>
      <w:r w:rsidR="00036081">
        <w:rPr>
          <w:rFonts w:cs="Arial"/>
          <w:szCs w:val="20"/>
          <w:lang w:eastAsia="en-US"/>
        </w:rPr>
        <w:t xml:space="preserve">that </w:t>
      </w:r>
      <w:r w:rsidR="00B4096E" w:rsidRPr="00D71662">
        <w:rPr>
          <w:rFonts w:cs="Arial"/>
          <w:szCs w:val="20"/>
          <w:lang w:eastAsia="en-US"/>
        </w:rPr>
        <w:t>one</w:t>
      </w:r>
      <w:r w:rsidR="00B4096E">
        <w:rPr>
          <w:rFonts w:cs="Arial"/>
          <w:szCs w:val="20"/>
          <w:lang w:eastAsia="en-US"/>
        </w:rPr>
        <w:t xml:space="preserve"> or more </w:t>
      </w:r>
      <w:r w:rsidR="00B4096E" w:rsidRPr="00D71662">
        <w:rPr>
          <w:rFonts w:cs="Arial"/>
          <w:szCs w:val="20"/>
          <w:lang w:eastAsia="en-US"/>
        </w:rPr>
        <w:t xml:space="preserve">of </w:t>
      </w:r>
      <w:r w:rsidR="00B4096E">
        <w:rPr>
          <w:rFonts w:cs="Arial"/>
          <w:szCs w:val="20"/>
          <w:lang w:eastAsia="en-US"/>
        </w:rPr>
        <w:t>these sites</w:t>
      </w:r>
      <w:r w:rsidR="00B4096E" w:rsidRPr="00D71662">
        <w:rPr>
          <w:rFonts w:cs="Arial"/>
          <w:szCs w:val="20"/>
          <w:lang w:eastAsia="en-US"/>
        </w:rPr>
        <w:t xml:space="preserve"> are found </w:t>
      </w:r>
      <w:r w:rsidR="00B4096E">
        <w:rPr>
          <w:rFonts w:cs="Arial"/>
          <w:szCs w:val="20"/>
          <w:lang w:eastAsia="en-US"/>
        </w:rPr>
        <w:t xml:space="preserve">to be </w:t>
      </w:r>
      <w:r w:rsidR="00B4096E" w:rsidRPr="00D71662">
        <w:rPr>
          <w:rFonts w:cs="Arial"/>
          <w:szCs w:val="20"/>
          <w:lang w:eastAsia="en-US"/>
        </w:rPr>
        <w:t xml:space="preserve">unsuitable, any protection criteria would be removed and options to make the areas available </w:t>
      </w:r>
      <w:r w:rsidR="00B4096E">
        <w:rPr>
          <w:rFonts w:cs="Arial"/>
          <w:szCs w:val="20"/>
          <w:lang w:eastAsia="en-US"/>
        </w:rPr>
        <w:t>initially for the apparatus licensing of wide-area broadband services and then</w:t>
      </w:r>
      <w:r w:rsidR="00E6574F">
        <w:rPr>
          <w:rFonts w:cs="Arial"/>
          <w:szCs w:val="20"/>
          <w:lang w:eastAsia="en-US"/>
        </w:rPr>
        <w:t>, potential future re-allocation for</w:t>
      </w:r>
      <w:r w:rsidR="00B4096E">
        <w:rPr>
          <w:rFonts w:cs="Arial"/>
          <w:szCs w:val="20"/>
          <w:lang w:eastAsia="en-US"/>
        </w:rPr>
        <w:t xml:space="preserve"> </w:t>
      </w:r>
      <w:r w:rsidR="00B4096E" w:rsidRPr="00D71662">
        <w:rPr>
          <w:rFonts w:cs="Arial"/>
          <w:szCs w:val="20"/>
          <w:lang w:eastAsia="en-US"/>
        </w:rPr>
        <w:t>spectrum licensing</w:t>
      </w:r>
      <w:r w:rsidR="00036081">
        <w:rPr>
          <w:rFonts w:cs="Arial"/>
          <w:szCs w:val="20"/>
          <w:lang w:eastAsia="en-US"/>
        </w:rPr>
        <w:t>,</w:t>
      </w:r>
      <w:r w:rsidR="00B4096E" w:rsidRPr="00D71662">
        <w:rPr>
          <w:rFonts w:cs="Arial"/>
          <w:szCs w:val="20"/>
          <w:lang w:eastAsia="en-US"/>
        </w:rPr>
        <w:t xml:space="preserve"> could be investigated.</w:t>
      </w:r>
    </w:p>
    <w:p w14:paraId="2BB98C17" w14:textId="77777777" w:rsidR="003B30DA" w:rsidRDefault="003B30DA" w:rsidP="00036081">
      <w:pPr>
        <w:spacing w:after="80"/>
        <w:rPr>
          <w:rFonts w:cs="Arial"/>
          <w:szCs w:val="20"/>
        </w:rPr>
      </w:pPr>
      <w:r>
        <w:rPr>
          <w:rFonts w:cs="Arial"/>
          <w:szCs w:val="20"/>
        </w:rPr>
        <w:t xml:space="preserve">The proposed areas to be excised are </w:t>
      </w:r>
      <w:r w:rsidR="00B4096E">
        <w:rPr>
          <w:rFonts w:cs="Arial"/>
          <w:szCs w:val="20"/>
        </w:rPr>
        <w:t xml:space="preserve">around </w:t>
      </w:r>
      <w:r w:rsidR="00251968">
        <w:rPr>
          <w:rFonts w:cs="Arial"/>
          <w:szCs w:val="20"/>
        </w:rPr>
        <w:t xml:space="preserve">Moree, </w:t>
      </w:r>
      <w:r>
        <w:rPr>
          <w:rFonts w:cs="Arial"/>
          <w:szCs w:val="20"/>
        </w:rPr>
        <w:t xml:space="preserve">Quirindi and Roma and are defined by the HCIS in </w:t>
      </w:r>
      <w:r w:rsidR="00251968">
        <w:rPr>
          <w:rFonts w:cs="Arial"/>
          <w:szCs w:val="20"/>
        </w:rPr>
        <w:t xml:space="preserve">Annex </w:t>
      </w:r>
      <w:r w:rsidR="00B4096E">
        <w:rPr>
          <w:rFonts w:cs="Arial"/>
          <w:szCs w:val="20"/>
        </w:rPr>
        <w:t>D</w:t>
      </w:r>
      <w:r>
        <w:rPr>
          <w:rFonts w:cs="Arial"/>
          <w:szCs w:val="20"/>
        </w:rPr>
        <w:t xml:space="preserve">. </w:t>
      </w:r>
      <w:r w:rsidR="00CD05B7">
        <w:rPr>
          <w:rFonts w:cs="Arial"/>
          <w:szCs w:val="20"/>
        </w:rPr>
        <w:t>T</w:t>
      </w:r>
      <w:r>
        <w:rPr>
          <w:rFonts w:cs="Arial"/>
          <w:szCs w:val="20"/>
        </w:rPr>
        <w:t>he</w:t>
      </w:r>
      <w:r w:rsidR="00CD05B7">
        <w:rPr>
          <w:rFonts w:cs="Arial"/>
          <w:szCs w:val="20"/>
        </w:rPr>
        <w:t>se</w:t>
      </w:r>
      <w:r>
        <w:rPr>
          <w:rFonts w:cs="Arial"/>
          <w:szCs w:val="20"/>
        </w:rPr>
        <w:t xml:space="preserve"> areas were considered the most suitable for further consideration</w:t>
      </w:r>
      <w:r w:rsidR="00036081">
        <w:rPr>
          <w:rFonts w:cs="Arial"/>
          <w:szCs w:val="20"/>
        </w:rPr>
        <w:t>,</w:t>
      </w:r>
      <w:r>
        <w:rPr>
          <w:rFonts w:cs="Arial"/>
          <w:szCs w:val="20"/>
        </w:rPr>
        <w:t xml:space="preserve"> due to a combination of factors such as:</w:t>
      </w:r>
    </w:p>
    <w:p w14:paraId="084029B2" w14:textId="77777777" w:rsidR="000C3F3A" w:rsidRPr="00AC3B36" w:rsidRDefault="000C3F3A" w:rsidP="00D71662">
      <w:pPr>
        <w:pStyle w:val="ListBullet"/>
        <w:numPr>
          <w:ilvl w:val="0"/>
          <w:numId w:val="2"/>
        </w:numPr>
        <w:tabs>
          <w:tab w:val="clear" w:pos="845"/>
          <w:tab w:val="num" w:pos="-63"/>
        </w:tabs>
        <w:ind w:left="295" w:hanging="295"/>
        <w:rPr>
          <w:rFonts w:cs="Arial"/>
        </w:rPr>
      </w:pPr>
      <w:r>
        <w:rPr>
          <w:rFonts w:cs="Arial"/>
        </w:rPr>
        <w:t>They are l</w:t>
      </w:r>
      <w:r w:rsidRPr="00AC3B36">
        <w:rPr>
          <w:rFonts w:cs="Arial"/>
        </w:rPr>
        <w:t>ocated</w:t>
      </w:r>
      <w:r>
        <w:rPr>
          <w:rFonts w:cs="Arial"/>
        </w:rPr>
        <w:t xml:space="preserve"> far enough away from major population centres but still</w:t>
      </w:r>
      <w:r w:rsidRPr="00AC3B36">
        <w:rPr>
          <w:rFonts w:cs="Arial"/>
        </w:rPr>
        <w:t xml:space="preserve"> near a reasonably</w:t>
      </w:r>
      <w:r w:rsidR="00036081">
        <w:rPr>
          <w:rFonts w:cs="Arial"/>
        </w:rPr>
        <w:t>-</w:t>
      </w:r>
      <w:r w:rsidRPr="00AC3B36">
        <w:rPr>
          <w:rFonts w:cs="Arial"/>
        </w:rPr>
        <w:t>sized population centre</w:t>
      </w:r>
      <w:r>
        <w:rPr>
          <w:rFonts w:cs="Arial"/>
        </w:rPr>
        <w:t xml:space="preserve"> for staffing purposes</w:t>
      </w:r>
      <w:r w:rsidR="00036081">
        <w:rPr>
          <w:rFonts w:cs="Arial"/>
        </w:rPr>
        <w:t>.</w:t>
      </w:r>
    </w:p>
    <w:p w14:paraId="208C5540" w14:textId="77777777" w:rsidR="003B30DA" w:rsidRPr="00AC3B36" w:rsidRDefault="003B30DA" w:rsidP="00D71662">
      <w:pPr>
        <w:pStyle w:val="ListBullet"/>
        <w:numPr>
          <w:ilvl w:val="0"/>
          <w:numId w:val="2"/>
        </w:numPr>
        <w:tabs>
          <w:tab w:val="clear" w:pos="845"/>
          <w:tab w:val="num" w:pos="-63"/>
        </w:tabs>
        <w:ind w:left="295" w:hanging="295"/>
        <w:rPr>
          <w:rFonts w:cs="Arial"/>
        </w:rPr>
      </w:pPr>
      <w:r w:rsidRPr="00AC3B36">
        <w:rPr>
          <w:rFonts w:cs="Arial"/>
        </w:rPr>
        <w:t>Natural terrain shielding (Quirindi)</w:t>
      </w:r>
      <w:r w:rsidR="00036081">
        <w:rPr>
          <w:rFonts w:cs="Arial"/>
        </w:rPr>
        <w:t>.</w:t>
      </w:r>
    </w:p>
    <w:p w14:paraId="42AF4BF2" w14:textId="77777777" w:rsidR="003B30DA" w:rsidRPr="00AC3B36" w:rsidRDefault="003B30DA" w:rsidP="00D71662">
      <w:pPr>
        <w:pStyle w:val="ListBullet"/>
        <w:numPr>
          <w:ilvl w:val="0"/>
          <w:numId w:val="2"/>
        </w:numPr>
        <w:tabs>
          <w:tab w:val="clear" w:pos="845"/>
          <w:tab w:val="num" w:pos="-63"/>
        </w:tabs>
        <w:ind w:left="295" w:hanging="295"/>
        <w:rPr>
          <w:rFonts w:cs="Arial"/>
        </w:rPr>
      </w:pPr>
      <w:r w:rsidRPr="00AC3B36">
        <w:rPr>
          <w:rFonts w:cs="Arial"/>
        </w:rPr>
        <w:t xml:space="preserve">Low density of </w:t>
      </w:r>
      <w:r>
        <w:rPr>
          <w:rFonts w:cs="Arial"/>
        </w:rPr>
        <w:t xml:space="preserve">current </w:t>
      </w:r>
      <w:r w:rsidRPr="00AC3B36">
        <w:rPr>
          <w:rFonts w:cs="Arial"/>
        </w:rPr>
        <w:t>use by other services in bands of interest to commercial satellite services (for example</w:t>
      </w:r>
      <w:r w:rsidR="00036081">
        <w:rPr>
          <w:rFonts w:cs="Arial"/>
        </w:rPr>
        <w:t>,</w:t>
      </w:r>
      <w:r w:rsidRPr="00AC3B36">
        <w:rPr>
          <w:rFonts w:cs="Arial"/>
        </w:rPr>
        <w:t xml:space="preserve"> C-band, Ku-band and </w:t>
      </w:r>
      <w:proofErr w:type="spellStart"/>
      <w:r w:rsidRPr="00AC3B36">
        <w:rPr>
          <w:rFonts w:cs="Arial"/>
        </w:rPr>
        <w:t>Ka</w:t>
      </w:r>
      <w:proofErr w:type="spellEnd"/>
      <w:r w:rsidRPr="00AC3B36">
        <w:rPr>
          <w:rFonts w:cs="Arial"/>
        </w:rPr>
        <w:t>-band)</w:t>
      </w:r>
      <w:r w:rsidR="00036081">
        <w:rPr>
          <w:rFonts w:cs="Arial"/>
        </w:rPr>
        <w:t>.</w:t>
      </w:r>
    </w:p>
    <w:p w14:paraId="5A0158A1" w14:textId="77777777" w:rsidR="003B30DA" w:rsidRPr="00AC3B36" w:rsidRDefault="003B30DA" w:rsidP="00D71662">
      <w:pPr>
        <w:pStyle w:val="ListBullet"/>
        <w:numPr>
          <w:ilvl w:val="0"/>
          <w:numId w:val="2"/>
        </w:numPr>
        <w:tabs>
          <w:tab w:val="clear" w:pos="845"/>
          <w:tab w:val="num" w:pos="-63"/>
        </w:tabs>
        <w:ind w:left="295" w:hanging="295"/>
        <w:rPr>
          <w:rFonts w:cs="Arial"/>
        </w:rPr>
      </w:pPr>
      <w:r w:rsidRPr="00AC3B36">
        <w:rPr>
          <w:rFonts w:cs="Arial"/>
        </w:rPr>
        <w:t xml:space="preserve">Both </w:t>
      </w:r>
      <w:r w:rsidR="00770EF4">
        <w:rPr>
          <w:rFonts w:cs="Arial"/>
        </w:rPr>
        <w:t>Geosynchronous Orbit (</w:t>
      </w:r>
      <w:r w:rsidRPr="00AC3B36">
        <w:rPr>
          <w:rFonts w:cs="Arial"/>
        </w:rPr>
        <w:t>GSO</w:t>
      </w:r>
      <w:r w:rsidR="00770EF4">
        <w:rPr>
          <w:rFonts w:cs="Arial"/>
        </w:rPr>
        <w:t>)</w:t>
      </w:r>
      <w:r w:rsidRPr="00AC3B36">
        <w:rPr>
          <w:rFonts w:cs="Arial"/>
        </w:rPr>
        <w:t xml:space="preserve"> and NGSO services can be supported</w:t>
      </w:r>
      <w:r w:rsidR="003162F0">
        <w:rPr>
          <w:rFonts w:cs="Arial"/>
        </w:rPr>
        <w:t xml:space="preserve"> at the sites</w:t>
      </w:r>
      <w:r w:rsidR="00036081">
        <w:rPr>
          <w:rFonts w:cs="Arial"/>
        </w:rPr>
        <w:t>.</w:t>
      </w:r>
    </w:p>
    <w:p w14:paraId="00B210E7" w14:textId="77777777" w:rsidR="003B30DA" w:rsidRPr="00AC3B36" w:rsidRDefault="003B30DA" w:rsidP="00D71662">
      <w:pPr>
        <w:pStyle w:val="ListBullet"/>
        <w:numPr>
          <w:ilvl w:val="0"/>
          <w:numId w:val="2"/>
        </w:numPr>
        <w:tabs>
          <w:tab w:val="clear" w:pos="845"/>
          <w:tab w:val="num" w:pos="-63"/>
        </w:tabs>
        <w:ind w:left="295" w:hanging="295"/>
        <w:rPr>
          <w:rFonts w:cs="Arial"/>
        </w:rPr>
      </w:pPr>
      <w:r w:rsidRPr="00AC3B36">
        <w:rPr>
          <w:rFonts w:cs="Arial"/>
        </w:rPr>
        <w:t>Large enough areas can be identified to support several teleports operated by different operators</w:t>
      </w:r>
      <w:r w:rsidR="00036081">
        <w:rPr>
          <w:rFonts w:cs="Arial"/>
        </w:rPr>
        <w:t>.</w:t>
      </w:r>
    </w:p>
    <w:p w14:paraId="4A3F1D6C" w14:textId="77777777" w:rsidR="003B30DA" w:rsidRPr="00AC3B36" w:rsidRDefault="003B30DA" w:rsidP="00D71662">
      <w:pPr>
        <w:pStyle w:val="ListBullet"/>
        <w:numPr>
          <w:ilvl w:val="0"/>
          <w:numId w:val="2"/>
        </w:numPr>
        <w:tabs>
          <w:tab w:val="clear" w:pos="845"/>
          <w:tab w:val="num" w:pos="-63"/>
        </w:tabs>
        <w:spacing w:after="240"/>
        <w:ind w:left="295" w:hanging="295"/>
        <w:rPr>
          <w:rFonts w:cs="Arial"/>
        </w:rPr>
      </w:pPr>
      <w:r w:rsidRPr="00AC3B36">
        <w:rPr>
          <w:rFonts w:cs="Arial"/>
        </w:rPr>
        <w:t xml:space="preserve">The locations appear to be close to </w:t>
      </w:r>
      <w:r>
        <w:rPr>
          <w:rFonts w:cs="Arial"/>
        </w:rPr>
        <w:t>high</w:t>
      </w:r>
      <w:r w:rsidR="00036081">
        <w:rPr>
          <w:rFonts w:cs="Arial"/>
        </w:rPr>
        <w:t>-</w:t>
      </w:r>
      <w:r>
        <w:rPr>
          <w:rFonts w:cs="Arial"/>
        </w:rPr>
        <w:t xml:space="preserve">capacity </w:t>
      </w:r>
      <w:r w:rsidRPr="00AC3B36">
        <w:rPr>
          <w:rFonts w:cs="Arial"/>
        </w:rPr>
        <w:t xml:space="preserve">fibre </w:t>
      </w:r>
      <w:r>
        <w:rPr>
          <w:rFonts w:cs="Arial"/>
        </w:rPr>
        <w:t>runs and reliable mains power.</w:t>
      </w:r>
    </w:p>
    <w:p w14:paraId="72589837" w14:textId="77777777" w:rsidR="003B30DA" w:rsidRDefault="003B30DA" w:rsidP="003B30DA">
      <w:r>
        <w:t xml:space="preserve">The ACMA acknowledges the general support for the existing earth station protection zone arrangements at Mingenew. Options for a second location can also be considered, though any such location will need to be located outside of </w:t>
      </w:r>
      <w:r w:rsidR="00CD05B7">
        <w:t>any areas that are re-allocated for the issue of spectrum licences</w:t>
      </w:r>
      <w:r>
        <w:t>. Based on comments received</w:t>
      </w:r>
      <w:r w:rsidR="00036081">
        <w:t>,</w:t>
      </w:r>
      <w:r>
        <w:t xml:space="preserve"> t</w:t>
      </w:r>
      <w:r w:rsidRPr="00EC4CB8">
        <w:rPr>
          <w:rFonts w:cs="Arial"/>
          <w:szCs w:val="20"/>
        </w:rPr>
        <w:t xml:space="preserve">he ACMA </w:t>
      </w:r>
      <w:r>
        <w:rPr>
          <w:rFonts w:cs="Arial"/>
          <w:szCs w:val="20"/>
        </w:rPr>
        <w:t xml:space="preserve">will also consider the </w:t>
      </w:r>
      <w:r w:rsidRPr="00EC4CB8">
        <w:rPr>
          <w:rFonts w:cs="Arial"/>
          <w:szCs w:val="20"/>
        </w:rPr>
        <w:t xml:space="preserve">potential </w:t>
      </w:r>
      <w:r>
        <w:rPr>
          <w:rFonts w:cs="Arial"/>
          <w:szCs w:val="20"/>
        </w:rPr>
        <w:t>for</w:t>
      </w:r>
      <w:r w:rsidRPr="00EC4CB8">
        <w:rPr>
          <w:rFonts w:cs="Arial"/>
          <w:szCs w:val="20"/>
        </w:rPr>
        <w:t xml:space="preserve"> an earth station protection zone located north of </w:t>
      </w:r>
      <w:r>
        <w:t>a latitude of 15</w:t>
      </w:r>
      <w:r w:rsidRPr="00EC4CB8">
        <w:rPr>
          <w:rFonts w:cs="Arial"/>
        </w:rPr>
        <w:t>°</w:t>
      </w:r>
      <w:r w:rsidRPr="00EC4CB8">
        <w:rPr>
          <w:rFonts w:cs="Arial"/>
          <w:szCs w:val="20"/>
        </w:rPr>
        <w:t>.</w:t>
      </w:r>
      <w:r>
        <w:t xml:space="preserve"> However, it is noted that the initial focus will be on identifying east coast protection zone</w:t>
      </w:r>
      <w:r w:rsidR="00FA4516">
        <w:t>s</w:t>
      </w:r>
      <w:r>
        <w:t xml:space="preserve"> and developing arrangements for the release of those areas in the 3.6 GHz band that will be re-allocated for the issue of spectrum licensing. </w:t>
      </w:r>
    </w:p>
    <w:p w14:paraId="4BD4756F" w14:textId="77777777" w:rsidR="00E8628B" w:rsidRDefault="003B30DA" w:rsidP="003C549E">
      <w:pPr>
        <w:rPr>
          <w:i/>
          <w:u w:val="single"/>
        </w:rPr>
      </w:pPr>
      <w:r>
        <w:t xml:space="preserve">The ACMA </w:t>
      </w:r>
      <w:r w:rsidR="00FA4516">
        <w:t>will also</w:t>
      </w:r>
      <w:r w:rsidR="00B4096E">
        <w:t>,</w:t>
      </w:r>
      <w:r>
        <w:t xml:space="preserve"> as part of the TLG process, </w:t>
      </w:r>
      <w:r w:rsidR="00B4096E">
        <w:t xml:space="preserve">define </w:t>
      </w:r>
      <w:r>
        <w:t>suitable ongoing protection arrangements for apparatus</w:t>
      </w:r>
      <w:r w:rsidR="00036081">
        <w:t>-</w:t>
      </w:r>
      <w:r>
        <w:t>licensed FSS earth stations operating in areas and frequencies adjacent to those re-allocated for spectrum l</w:t>
      </w:r>
      <w:r w:rsidR="00527F0D">
        <w:t>icens</w:t>
      </w:r>
      <w:r>
        <w:t xml:space="preserve">ing. </w:t>
      </w:r>
    </w:p>
    <w:p w14:paraId="30A9FC1E" w14:textId="77777777" w:rsidR="003B30DA" w:rsidRDefault="003B30DA" w:rsidP="00F63E9A">
      <w:pPr>
        <w:pStyle w:val="Heading3"/>
        <w:keepLines/>
        <w:shd w:val="clear" w:color="auto" w:fill="F2F2F2" w:themeFill="background1" w:themeFillShade="F2"/>
        <w:rPr>
          <w:rStyle w:val="Heading3Char"/>
          <w:b/>
          <w:bCs/>
        </w:rPr>
      </w:pPr>
      <w:bookmarkStart w:id="155" w:name="_Toc496620335"/>
      <w:r w:rsidRPr="00036081">
        <w:rPr>
          <w:rStyle w:val="Heading3Char"/>
          <w:b/>
          <w:bCs/>
        </w:rPr>
        <w:t>ACMA</w:t>
      </w:r>
      <w:r w:rsidRPr="00036081">
        <w:t xml:space="preserve"> </w:t>
      </w:r>
      <w:r w:rsidR="00036081">
        <w:rPr>
          <w:rStyle w:val="Heading3Char"/>
          <w:b/>
          <w:bCs/>
        </w:rPr>
        <w:t>d</w:t>
      </w:r>
      <w:r w:rsidRPr="00036081">
        <w:rPr>
          <w:rStyle w:val="Heading3Char"/>
          <w:b/>
          <w:bCs/>
        </w:rPr>
        <w:t>ecision</w:t>
      </w:r>
      <w:bookmarkEnd w:id="155"/>
    </w:p>
    <w:p w14:paraId="0439C7BF" w14:textId="77777777" w:rsidR="00036081" w:rsidRDefault="00036081" w:rsidP="00F63E9A">
      <w:pPr>
        <w:keepNext/>
        <w:keepLines/>
        <w:shd w:val="clear" w:color="auto" w:fill="F2F2F2" w:themeFill="background1" w:themeFillShade="F2"/>
        <w:spacing w:after="80"/>
      </w:pPr>
      <w:r>
        <w:t>After considering the information provided in submissions, the ACMA has come to the following conclusions regarding options for incumbent FSS earth station licensees in the 3.6 GHz band:</w:t>
      </w:r>
    </w:p>
    <w:p w14:paraId="37B08A62" w14:textId="77777777" w:rsidR="00036081" w:rsidRPr="00F74E6A" w:rsidRDefault="00036081" w:rsidP="00F63E9A">
      <w:pPr>
        <w:pStyle w:val="ListBullet"/>
        <w:keepNext/>
        <w:keepLines/>
        <w:shd w:val="clear" w:color="auto" w:fill="F2F2F2" w:themeFill="background1" w:themeFillShade="F2"/>
      </w:pPr>
      <w:r>
        <w:t>The ACMA supports retuning affected services out of the 3.6 GHz band where this is viable. However, FSS earth stations licensees in metropolitan areas should be aware that the ACMA is currently monitoring international developments in the 3700–4200 MHz band with regards to its use for MBB. As such, this band may come under review at some future point.</w:t>
      </w:r>
    </w:p>
    <w:p w14:paraId="0AB99A96" w14:textId="77777777" w:rsidR="00036081" w:rsidRPr="003C451E" w:rsidRDefault="00036081" w:rsidP="00F63E9A">
      <w:pPr>
        <w:pStyle w:val="ListBullet"/>
        <w:keepNext/>
        <w:keepLines/>
        <w:shd w:val="clear" w:color="auto" w:fill="F2F2F2" w:themeFill="background1" w:themeFillShade="F2"/>
      </w:pPr>
      <w:r>
        <w:t xml:space="preserve">Where retuning services out of the 3.6 GHz band is not a viable option, relocation (within the re-allocation period) to a designated earth station protection zone will be required for ongoing operation. </w:t>
      </w:r>
    </w:p>
    <w:p w14:paraId="0D6C1CD3" w14:textId="78FF9DF1" w:rsidR="007A2DDD" w:rsidRDefault="00036081" w:rsidP="00F63E9A">
      <w:pPr>
        <w:pStyle w:val="ListBullet"/>
        <w:keepNext/>
        <w:keepLines/>
        <w:shd w:val="clear" w:color="auto" w:fill="F2F2F2" w:themeFill="background1" w:themeFillShade="F2"/>
      </w:pPr>
      <w:r w:rsidRPr="00835DCD">
        <w:t xml:space="preserve">The ACMA will work with stakeholders to determine appropriate locations for </w:t>
      </w:r>
      <w:r>
        <w:t xml:space="preserve">one or more </w:t>
      </w:r>
      <w:r w:rsidRPr="00835DCD">
        <w:t xml:space="preserve">east coast earth station protection zones. This will include </w:t>
      </w:r>
      <w:r>
        <w:t>consideration</w:t>
      </w:r>
      <w:r w:rsidRPr="00835DCD">
        <w:t xml:space="preserve"> </w:t>
      </w:r>
      <w:r>
        <w:t xml:space="preserve">of </w:t>
      </w:r>
      <w:r w:rsidRPr="00835DCD">
        <w:t xml:space="preserve">locations both inside and outside of </w:t>
      </w:r>
      <w:r>
        <w:t>those areas being considered for spectrum licensing</w:t>
      </w:r>
      <w:r w:rsidRPr="00835DCD">
        <w:t xml:space="preserve">. It is recognised </w:t>
      </w:r>
      <w:r>
        <w:t xml:space="preserve">that </w:t>
      </w:r>
      <w:r w:rsidRPr="00835DCD">
        <w:t>there is limited time to assess suitable locations without impeding</w:t>
      </w:r>
      <w:r w:rsidRPr="00835DCD" w:rsidDel="00CD05B7">
        <w:t xml:space="preserve"> </w:t>
      </w:r>
      <w:r w:rsidRPr="00835DCD">
        <w:t xml:space="preserve">re-farming </w:t>
      </w:r>
      <w:r>
        <w:t xml:space="preserve">processes in the band. </w:t>
      </w:r>
      <w:r w:rsidR="007A2DDD">
        <w:t>Consequently, as part of the re-allocation consultation, the ACMA will flag it is considering excising the areas around Moree, Quirindi and Roma defined in Annex D. The benefit of excising these areas is that if</w:t>
      </w:r>
      <w:r w:rsidR="0056453A">
        <w:t xml:space="preserve"> provides more time for them to</w:t>
      </w:r>
      <w:r w:rsidR="007A2DDD">
        <w:t xml:space="preserve"> </w:t>
      </w:r>
      <w:r w:rsidR="0056453A">
        <w:t xml:space="preserve">be </w:t>
      </w:r>
      <w:r w:rsidR="007A2DDD">
        <w:t xml:space="preserve">assessed as options for </w:t>
      </w:r>
      <w:r>
        <w:t>one or more east coast earth station protection zones (noting this would not prevent consideration of locations outside of the areas being considered for spectrum licensing, such as Bourke).</w:t>
      </w:r>
      <w:r w:rsidRPr="0044384C">
        <w:rPr>
          <w:lang w:eastAsia="en-US"/>
        </w:rPr>
        <w:t xml:space="preserve"> </w:t>
      </w:r>
    </w:p>
    <w:p w14:paraId="079A8433" w14:textId="2F6F4E78" w:rsidR="00036081" w:rsidRPr="00D31FB2" w:rsidRDefault="00036081" w:rsidP="00F63E9A">
      <w:pPr>
        <w:pStyle w:val="ListBullet"/>
        <w:keepNext/>
        <w:keepLines/>
        <w:shd w:val="clear" w:color="auto" w:fill="F2F2F2" w:themeFill="background1" w:themeFillShade="F2"/>
      </w:pPr>
      <w:r>
        <w:rPr>
          <w:lang w:eastAsia="en-US"/>
        </w:rPr>
        <w:t xml:space="preserve">If one or more of the </w:t>
      </w:r>
      <w:r w:rsidDel="007E3B07">
        <w:rPr>
          <w:lang w:eastAsia="en-US"/>
        </w:rPr>
        <w:t xml:space="preserve">areas </w:t>
      </w:r>
      <w:r w:rsidR="007A2DDD">
        <w:rPr>
          <w:rFonts w:cs="Arial"/>
          <w:szCs w:val="20"/>
          <w:lang w:eastAsia="en-US"/>
        </w:rPr>
        <w:t xml:space="preserve">around </w:t>
      </w:r>
      <w:r w:rsidR="007A2DDD">
        <w:t xml:space="preserve">Moree, Quirindi and Roma </w:t>
      </w:r>
      <w:r>
        <w:rPr>
          <w:lang w:eastAsia="en-US"/>
        </w:rPr>
        <w:t>are excised from the final recommendation to the minister</w:t>
      </w:r>
      <w:r w:rsidR="00293EAB">
        <w:rPr>
          <w:lang w:eastAsia="en-US"/>
        </w:rPr>
        <w:t>,</w:t>
      </w:r>
      <w:r>
        <w:rPr>
          <w:lang w:eastAsia="en-US"/>
        </w:rPr>
        <w:t xml:space="preserve"> and pending a decision from the minister, suitable protection criteria</w:t>
      </w:r>
      <w:r w:rsidDel="007E3B07">
        <w:rPr>
          <w:lang w:eastAsia="en-US"/>
        </w:rPr>
        <w:t xml:space="preserve"> for the </w:t>
      </w:r>
      <w:r>
        <w:rPr>
          <w:lang w:eastAsia="en-US"/>
        </w:rPr>
        <w:t>facility would be developed as part of a TLG process for the 3.6 GHz band</w:t>
      </w:r>
      <w:r w:rsidRPr="00835DCD">
        <w:t>.</w:t>
      </w:r>
      <w:r>
        <w:rPr>
          <w:lang w:eastAsia="en-US"/>
        </w:rPr>
        <w:t xml:space="preserve"> </w:t>
      </w:r>
      <w:r w:rsidRPr="00D71662">
        <w:rPr>
          <w:lang w:eastAsia="en-US"/>
        </w:rPr>
        <w:t xml:space="preserve">In the event </w:t>
      </w:r>
      <w:r>
        <w:rPr>
          <w:lang w:eastAsia="en-US"/>
        </w:rPr>
        <w:t xml:space="preserve">that </w:t>
      </w:r>
      <w:r w:rsidRPr="00D71662">
        <w:rPr>
          <w:lang w:eastAsia="en-US"/>
        </w:rPr>
        <w:t>one</w:t>
      </w:r>
      <w:r>
        <w:rPr>
          <w:lang w:eastAsia="en-US"/>
        </w:rPr>
        <w:t xml:space="preserve"> or more </w:t>
      </w:r>
      <w:r w:rsidRPr="00D71662">
        <w:rPr>
          <w:lang w:eastAsia="en-US"/>
        </w:rPr>
        <w:t xml:space="preserve">of </w:t>
      </w:r>
      <w:r>
        <w:rPr>
          <w:lang w:eastAsia="en-US"/>
        </w:rPr>
        <w:t>these sites</w:t>
      </w:r>
      <w:r w:rsidRPr="00D71662">
        <w:rPr>
          <w:lang w:eastAsia="en-US"/>
        </w:rPr>
        <w:t xml:space="preserve"> are </w:t>
      </w:r>
      <w:r>
        <w:rPr>
          <w:lang w:eastAsia="en-US"/>
        </w:rPr>
        <w:t xml:space="preserve">subsequently </w:t>
      </w:r>
      <w:r w:rsidRPr="00D71662">
        <w:rPr>
          <w:lang w:eastAsia="en-US"/>
        </w:rPr>
        <w:t xml:space="preserve">found </w:t>
      </w:r>
      <w:r>
        <w:rPr>
          <w:lang w:eastAsia="en-US"/>
        </w:rPr>
        <w:t xml:space="preserve">to be </w:t>
      </w:r>
      <w:r w:rsidRPr="00D71662">
        <w:rPr>
          <w:lang w:eastAsia="en-US"/>
        </w:rPr>
        <w:t xml:space="preserve">unsuitable, any protection criteria </w:t>
      </w:r>
      <w:r>
        <w:rPr>
          <w:lang w:eastAsia="en-US"/>
        </w:rPr>
        <w:t>c</w:t>
      </w:r>
      <w:r w:rsidRPr="00D71662">
        <w:rPr>
          <w:lang w:eastAsia="en-US"/>
        </w:rPr>
        <w:t xml:space="preserve">ould be removed and options to make the areas available </w:t>
      </w:r>
      <w:r>
        <w:rPr>
          <w:lang w:eastAsia="en-US"/>
        </w:rPr>
        <w:t xml:space="preserve">initially for the apparatus licensing of wide-area broadband services and then </w:t>
      </w:r>
      <w:r w:rsidRPr="00D71662">
        <w:rPr>
          <w:lang w:eastAsia="en-US"/>
        </w:rPr>
        <w:t>spectrum licensing could be investigated.</w:t>
      </w:r>
    </w:p>
    <w:p w14:paraId="4DCE5F2F" w14:textId="77777777" w:rsidR="00036081" w:rsidRDefault="00036081" w:rsidP="00796869">
      <w:pPr>
        <w:pStyle w:val="ListBullet"/>
        <w:shd w:val="clear" w:color="auto" w:fill="F2F2F2" w:themeFill="background1" w:themeFillShade="F2"/>
      </w:pPr>
      <w:r>
        <w:t xml:space="preserve">As part of any TLG process, suitable ongoing protection arrangements will be developed for apparatus-licensed FSS earth stations operating in areas and frequencies adjacent to those re-allocated for spectrum licensing. </w:t>
      </w:r>
    </w:p>
    <w:p w14:paraId="012672EF" w14:textId="77777777" w:rsidR="00036081" w:rsidRPr="00036081" w:rsidRDefault="00036081" w:rsidP="00796869">
      <w:pPr>
        <w:pStyle w:val="ListBullet"/>
        <w:shd w:val="clear" w:color="auto" w:fill="F2F2F2" w:themeFill="background1" w:themeFillShade="F2"/>
      </w:pPr>
      <w:r w:rsidRPr="00835DCD">
        <w:t xml:space="preserve">The ACMA will work with stakeholders to determine an appropriate location and viability of a second </w:t>
      </w:r>
      <w:r>
        <w:t>W</w:t>
      </w:r>
      <w:r w:rsidRPr="00835DCD">
        <w:t>est</w:t>
      </w:r>
      <w:r>
        <w:t xml:space="preserve">ern Australian </w:t>
      </w:r>
      <w:r w:rsidRPr="00835DCD">
        <w:t xml:space="preserve">earth station protection zone. It is expected that any location considered will be outside of </w:t>
      </w:r>
      <w:r>
        <w:t>those areas being considered for spectrum licensing</w:t>
      </w:r>
      <w:r w:rsidRPr="00835DCD">
        <w:t xml:space="preserve">. The ACMA will </w:t>
      </w:r>
      <w:r>
        <w:t xml:space="preserve">also </w:t>
      </w:r>
      <w:r w:rsidRPr="00835DCD">
        <w:t xml:space="preserve">work with stakeholders to determine the viability off and potential location of an earth station protection zone located north of </w:t>
      </w:r>
      <w:r>
        <w:t>a latitude of 15</w:t>
      </w:r>
      <w:r w:rsidRPr="00835DCD">
        <w:t>°.</w:t>
      </w:r>
      <w:r>
        <w:t xml:space="preserve"> However, work on identifying an east coast earth station protection zone and re-farming activities in the 3.6 GHz band will take priority.</w:t>
      </w:r>
    </w:p>
    <w:p w14:paraId="3B13DAAB" w14:textId="54A3A35E" w:rsidR="00036081" w:rsidRPr="00B82817" w:rsidRDefault="00036081" w:rsidP="00F63E9A">
      <w:pPr>
        <w:pStyle w:val="ListBulletLast"/>
        <w:shd w:val="clear" w:color="auto" w:fill="F2F2F2" w:themeFill="background1" w:themeFillShade="F2"/>
        <w:spacing w:after="0"/>
      </w:pPr>
      <w:r>
        <w:t xml:space="preserve">As part of the </w:t>
      </w:r>
      <w:r w:rsidR="007A2DDD">
        <w:t xml:space="preserve">re-allocation </w:t>
      </w:r>
      <w:r>
        <w:t xml:space="preserve">consultation, the ACMA </w:t>
      </w:r>
      <w:r w:rsidR="007A2DDD">
        <w:t xml:space="preserve">will </w:t>
      </w:r>
      <w:r>
        <w:t>flag it is considering excising the</w:t>
      </w:r>
      <w:r w:rsidRPr="00AA1486">
        <w:rPr>
          <w:szCs w:val="20"/>
        </w:rPr>
        <w:t xml:space="preserve"> area immediately surrounding the earth station facility at Uralla, New South Wales (represented by the HCIS identifier NU7K4)</w:t>
      </w:r>
      <w:r>
        <w:rPr>
          <w:szCs w:val="20"/>
        </w:rPr>
        <w:t xml:space="preserve">. </w:t>
      </w:r>
      <w:r w:rsidR="007A2DDD">
        <w:rPr>
          <w:szCs w:val="20"/>
        </w:rPr>
        <w:t>Excising t</w:t>
      </w:r>
      <w:r>
        <w:rPr>
          <w:szCs w:val="20"/>
        </w:rPr>
        <w:t xml:space="preserve">his </w:t>
      </w:r>
      <w:r w:rsidR="007A2DDD">
        <w:rPr>
          <w:szCs w:val="20"/>
        </w:rPr>
        <w:t xml:space="preserve">area </w:t>
      </w:r>
      <w:r>
        <w:rPr>
          <w:szCs w:val="20"/>
        </w:rPr>
        <w:t xml:space="preserve">would enable the facility to continue operating under existing apparatus-licence arrangements. </w:t>
      </w:r>
      <w:r>
        <w:rPr>
          <w:szCs w:val="20"/>
          <w:lang w:eastAsia="en-US"/>
        </w:rPr>
        <w:t>If this area is excised from the final recommendation to the minister</w:t>
      </w:r>
      <w:r w:rsidR="00293EAB">
        <w:rPr>
          <w:szCs w:val="20"/>
          <w:lang w:eastAsia="en-US"/>
        </w:rPr>
        <w:t>,</w:t>
      </w:r>
      <w:r>
        <w:rPr>
          <w:szCs w:val="20"/>
          <w:lang w:eastAsia="en-US"/>
        </w:rPr>
        <w:t xml:space="preserve"> a</w:t>
      </w:r>
      <w:r w:rsidR="00293EAB">
        <w:rPr>
          <w:szCs w:val="20"/>
          <w:lang w:eastAsia="en-US"/>
        </w:rPr>
        <w:t>nd pending a decision from the m</w:t>
      </w:r>
      <w:r>
        <w:rPr>
          <w:szCs w:val="20"/>
          <w:lang w:eastAsia="en-US"/>
        </w:rPr>
        <w:t xml:space="preserve">inister, suitable protection criteria for the facility would be developed as part of a TLG process </w:t>
      </w:r>
      <w:r w:rsidR="00293EAB">
        <w:rPr>
          <w:szCs w:val="20"/>
          <w:lang w:eastAsia="en-US"/>
        </w:rPr>
        <w:t>for the 3.6 GHz. Note, the long-</w:t>
      </w:r>
      <w:r>
        <w:rPr>
          <w:szCs w:val="20"/>
          <w:lang w:eastAsia="en-US"/>
        </w:rPr>
        <w:t xml:space="preserve">term viability of this site </w:t>
      </w:r>
      <w:r w:rsidRPr="00CE2068">
        <w:rPr>
          <w:szCs w:val="20"/>
          <w:lang w:eastAsia="en-US"/>
        </w:rPr>
        <w:t>may be reviewed in the future</w:t>
      </w:r>
      <w:r w:rsidR="00293EAB">
        <w:rPr>
          <w:szCs w:val="20"/>
          <w:lang w:eastAsia="en-US"/>
        </w:rPr>
        <w:t>,</w:t>
      </w:r>
      <w:r w:rsidRPr="00CE2068">
        <w:rPr>
          <w:szCs w:val="20"/>
          <w:lang w:eastAsia="en-US"/>
        </w:rPr>
        <w:t xml:space="preserve"> given</w:t>
      </w:r>
      <w:r w:rsidDel="00910F53">
        <w:rPr>
          <w:szCs w:val="20"/>
        </w:rPr>
        <w:t xml:space="preserve"> </w:t>
      </w:r>
      <w:r>
        <w:rPr>
          <w:szCs w:val="20"/>
        </w:rPr>
        <w:t>rising int</w:t>
      </w:r>
      <w:r w:rsidR="00293EAB">
        <w:rPr>
          <w:szCs w:val="20"/>
        </w:rPr>
        <w:t>ernational interest in the 3700–</w:t>
      </w:r>
      <w:r>
        <w:rPr>
          <w:szCs w:val="20"/>
        </w:rPr>
        <w:t>4200 MHz band for use by wide-area mobile wireless broadband service</w:t>
      </w:r>
      <w:r w:rsidR="00293EAB">
        <w:rPr>
          <w:szCs w:val="20"/>
        </w:rPr>
        <w:t>s</w:t>
      </w:r>
      <w:r>
        <w:rPr>
          <w:szCs w:val="20"/>
        </w:rPr>
        <w:t xml:space="preserve"> and the proximity of the site to major regional population centres. </w:t>
      </w:r>
    </w:p>
    <w:p w14:paraId="03B8B388" w14:textId="77777777" w:rsidR="004F3F65" w:rsidRPr="00D358D9" w:rsidRDefault="004F3F65" w:rsidP="00F63E9A">
      <w:pPr>
        <w:pStyle w:val="Heading2"/>
        <w:keepLines/>
      </w:pPr>
      <w:bookmarkStart w:id="156" w:name="_Toc494375844"/>
      <w:bookmarkStart w:id="157" w:name="_Toc494378917"/>
      <w:bookmarkStart w:id="158" w:name="_Toc495935488"/>
      <w:bookmarkStart w:id="159" w:name="_Toc495935518"/>
      <w:bookmarkStart w:id="160" w:name="_Toc496620336"/>
      <w:r>
        <w:t>Options for other incumbent services</w:t>
      </w:r>
      <w:bookmarkEnd w:id="156"/>
      <w:bookmarkEnd w:id="157"/>
      <w:bookmarkEnd w:id="158"/>
      <w:bookmarkEnd w:id="159"/>
      <w:bookmarkEnd w:id="160"/>
      <w:r>
        <w:t xml:space="preserve"> </w:t>
      </w:r>
    </w:p>
    <w:p w14:paraId="5FCC2C71" w14:textId="77777777" w:rsidR="00415C24" w:rsidRDefault="00415C24" w:rsidP="00F63E9A">
      <w:pPr>
        <w:pStyle w:val="ACMASpaceaftertable"/>
        <w:keepNext/>
        <w:keepLines/>
        <w:spacing w:after="80"/>
      </w:pPr>
      <w:r>
        <w:t>In addition to services provided by incumbents operating point-to-multipoint and FSS earth station licences, the Options paper also identified the following allocations and uses of the 3.6 GHz band:</w:t>
      </w:r>
    </w:p>
    <w:p w14:paraId="36D1C231" w14:textId="77777777" w:rsidR="00415C24" w:rsidRDefault="00415C24" w:rsidP="00F63E9A">
      <w:pPr>
        <w:pStyle w:val="ListBullet"/>
        <w:keepNext/>
        <w:keepLines/>
        <w:numPr>
          <w:ilvl w:val="0"/>
          <w:numId w:val="2"/>
        </w:numPr>
        <w:tabs>
          <w:tab w:val="clear" w:pos="845"/>
          <w:tab w:val="num" w:pos="-63"/>
        </w:tabs>
        <w:ind w:left="295" w:hanging="295"/>
      </w:pPr>
      <w:r>
        <w:t>fixed links</w:t>
      </w:r>
      <w:r w:rsidRPr="002B06BF">
        <w:t xml:space="preserve"> </w:t>
      </w:r>
      <w:r>
        <w:t>(point-to-point licences)</w:t>
      </w:r>
    </w:p>
    <w:p w14:paraId="2813B528" w14:textId="77777777" w:rsidR="00415C24" w:rsidRDefault="00415C24" w:rsidP="00F63E9A">
      <w:pPr>
        <w:pStyle w:val="ListBullet"/>
        <w:keepNext/>
        <w:keepLines/>
        <w:numPr>
          <w:ilvl w:val="0"/>
          <w:numId w:val="2"/>
        </w:numPr>
        <w:tabs>
          <w:tab w:val="clear" w:pos="845"/>
          <w:tab w:val="num" w:pos="-63"/>
        </w:tabs>
        <w:ind w:left="295" w:hanging="295"/>
      </w:pPr>
      <w:r>
        <w:t xml:space="preserve">amateur services </w:t>
      </w:r>
    </w:p>
    <w:p w14:paraId="171993D4" w14:textId="77777777" w:rsidR="00415C24" w:rsidRDefault="00415C24" w:rsidP="00F63E9A">
      <w:pPr>
        <w:pStyle w:val="ListBullet"/>
        <w:keepNext/>
        <w:keepLines/>
        <w:numPr>
          <w:ilvl w:val="0"/>
          <w:numId w:val="2"/>
        </w:numPr>
        <w:tabs>
          <w:tab w:val="clear" w:pos="845"/>
          <w:tab w:val="num" w:pos="-63"/>
        </w:tabs>
        <w:ind w:left="295" w:hanging="295"/>
      </w:pPr>
      <w:r>
        <w:t>radiolocation services</w:t>
      </w:r>
    </w:p>
    <w:p w14:paraId="4B48ECC1" w14:textId="77777777" w:rsidR="00415C24" w:rsidRDefault="00415C24" w:rsidP="00F63E9A">
      <w:pPr>
        <w:pStyle w:val="ListBullet"/>
        <w:keepNext/>
        <w:keepLines/>
        <w:numPr>
          <w:ilvl w:val="0"/>
          <w:numId w:val="2"/>
        </w:numPr>
        <w:tabs>
          <w:tab w:val="clear" w:pos="845"/>
          <w:tab w:val="num" w:pos="-63"/>
        </w:tabs>
        <w:ind w:left="295" w:hanging="295"/>
      </w:pPr>
      <w:r>
        <w:t xml:space="preserve">low interference potential devices operating under a class licence </w:t>
      </w:r>
    </w:p>
    <w:p w14:paraId="47AF7F8E" w14:textId="77777777" w:rsidR="00415C24" w:rsidRDefault="00415C24" w:rsidP="00F63E9A">
      <w:pPr>
        <w:pStyle w:val="ListBulletLast"/>
        <w:keepNext/>
        <w:keepLines/>
      </w:pPr>
      <w:proofErr w:type="gramStart"/>
      <w:r>
        <w:t>television</w:t>
      </w:r>
      <w:proofErr w:type="gramEnd"/>
      <w:r>
        <w:t xml:space="preserve"> receive-only (TVRO) systems.</w:t>
      </w:r>
    </w:p>
    <w:p w14:paraId="32BD4374" w14:textId="77777777" w:rsidR="00612591" w:rsidRDefault="00612591" w:rsidP="00F63E9A">
      <w:pPr>
        <w:keepNext/>
        <w:keepLines/>
        <w:spacing w:after="80"/>
      </w:pPr>
      <w:r>
        <w:t xml:space="preserve">The Options paper discussed </w:t>
      </w:r>
      <w:r w:rsidR="00DF79A9">
        <w:t xml:space="preserve">the </w:t>
      </w:r>
      <w:r>
        <w:t xml:space="preserve">alternative options </w:t>
      </w:r>
      <w:r w:rsidR="00DF79A9">
        <w:t>ava</w:t>
      </w:r>
      <w:r>
        <w:t>ilable for each of these</w:t>
      </w:r>
      <w:r w:rsidR="004B0BA2">
        <w:t>:</w:t>
      </w:r>
      <w:r w:rsidR="00777336">
        <w:t xml:space="preserve"> </w:t>
      </w:r>
    </w:p>
    <w:p w14:paraId="21D17CF4" w14:textId="77777777" w:rsidR="004B0BA2" w:rsidRDefault="00612591" w:rsidP="00F63E9A">
      <w:pPr>
        <w:pStyle w:val="ListBulletLast"/>
        <w:keepNext/>
        <w:keepLines/>
        <w:numPr>
          <w:ilvl w:val="0"/>
          <w:numId w:val="29"/>
        </w:numPr>
        <w:spacing w:after="80"/>
      </w:pPr>
      <w:r>
        <w:t>For fixed links</w:t>
      </w:r>
      <w:r w:rsidR="00796869">
        <w:t>,</w:t>
      </w:r>
      <w:r>
        <w:t xml:space="preserve"> a number of a</w:t>
      </w:r>
      <w:r w:rsidRPr="003C5826">
        <w:t xml:space="preserve">lternative options </w:t>
      </w:r>
      <w:r w:rsidR="00D32812">
        <w:t>were</w:t>
      </w:r>
      <w:r>
        <w:t xml:space="preserve"> identified. These </w:t>
      </w:r>
      <w:r w:rsidRPr="003C5826">
        <w:t>include</w:t>
      </w:r>
      <w:r>
        <w:t xml:space="preserve">d </w:t>
      </w:r>
      <w:r w:rsidR="00011CE3">
        <w:t>retun</w:t>
      </w:r>
      <w:r>
        <w:t xml:space="preserve">ing to a different channel in the 3.8 GHz fixed-link band, relocating to </w:t>
      </w:r>
      <w:r w:rsidRPr="003C5826">
        <w:t xml:space="preserve">another </w:t>
      </w:r>
      <w:r>
        <w:t xml:space="preserve">fixed-link band (as defined in </w:t>
      </w:r>
      <w:hyperlink r:id="rId40" w:history="1">
        <w:r w:rsidRPr="000765E5">
          <w:rPr>
            <w:rStyle w:val="Hyperlink"/>
          </w:rPr>
          <w:t>RALI FX3</w:t>
        </w:r>
      </w:hyperlink>
      <w:r>
        <w:t>), or investigating fixed-line options.</w:t>
      </w:r>
    </w:p>
    <w:p w14:paraId="7CB35EE0" w14:textId="77777777" w:rsidR="004B0BA2" w:rsidRDefault="00612591" w:rsidP="00C2714E">
      <w:pPr>
        <w:pStyle w:val="ListBulletLast"/>
        <w:numPr>
          <w:ilvl w:val="0"/>
          <w:numId w:val="29"/>
        </w:numPr>
        <w:spacing w:after="80"/>
      </w:pPr>
      <w:r>
        <w:t>For amateur services, it was noted they operate on a secondary basis in the 3.</w:t>
      </w:r>
      <w:r w:rsidR="00796869">
        <w:t>6 </w:t>
      </w:r>
      <w:r>
        <w:t xml:space="preserve">GHz band and based on the </w:t>
      </w:r>
      <w:hyperlink r:id="rId41" w:history="1">
        <w:r w:rsidRPr="004B0BA2">
          <w:rPr>
            <w:rStyle w:val="Hyperlink"/>
            <w:i/>
          </w:rPr>
          <w:t>Australian Amateur Band Plan</w:t>
        </w:r>
      </w:hyperlink>
      <w:r w:rsidR="00796869" w:rsidRPr="00796869">
        <w:rPr>
          <w:rStyle w:val="Hyperlink"/>
          <w:color w:val="auto"/>
          <w:u w:val="none"/>
        </w:rPr>
        <w:t>,</w:t>
      </w:r>
      <w:r>
        <w:t xml:space="preserve"> have alternative </w:t>
      </w:r>
      <w:r w:rsidR="00777336">
        <w:t xml:space="preserve">spectrum </w:t>
      </w:r>
      <w:r>
        <w:t xml:space="preserve">options </w:t>
      </w:r>
      <w:r w:rsidR="00777336">
        <w:t>in the 3300</w:t>
      </w:r>
      <w:r w:rsidR="00796869">
        <w:t>–</w:t>
      </w:r>
      <w:r w:rsidR="00777336">
        <w:t>3400 MHz band.</w:t>
      </w:r>
    </w:p>
    <w:p w14:paraId="084BA719" w14:textId="77777777" w:rsidR="004B0BA2" w:rsidRDefault="00777336" w:rsidP="00C2714E">
      <w:pPr>
        <w:pStyle w:val="ListBulletLast"/>
        <w:numPr>
          <w:ilvl w:val="0"/>
          <w:numId w:val="29"/>
        </w:numPr>
        <w:spacing w:after="80"/>
      </w:pPr>
      <w:r>
        <w:t xml:space="preserve">For </w:t>
      </w:r>
      <w:r w:rsidR="00612591">
        <w:t>devices operating under a class licence</w:t>
      </w:r>
      <w:r w:rsidR="00796869">
        <w:t>,</w:t>
      </w:r>
      <w:r w:rsidR="00E6574F">
        <w:t xml:space="preserve"> </w:t>
      </w:r>
      <w:r>
        <w:t>no protection is afforded. The Options paper indicated that the ACMA will continue to liaise with the Department of Defence on any future requirements in the 3575–3600 MHz band.</w:t>
      </w:r>
    </w:p>
    <w:p w14:paraId="595616F6" w14:textId="77777777" w:rsidR="004924F9" w:rsidRDefault="009D50AB" w:rsidP="00C2714E">
      <w:pPr>
        <w:pStyle w:val="ListBulletLast"/>
        <w:numPr>
          <w:ilvl w:val="0"/>
          <w:numId w:val="29"/>
        </w:numPr>
        <w:spacing w:after="80"/>
      </w:pPr>
      <w:r>
        <w:t>For TVRO systems, unless they operate under an apparatus licence, they are not authorised to operate in Australia. No protection is afforded to unlicensed systems.</w:t>
      </w:r>
    </w:p>
    <w:p w14:paraId="56BBD400" w14:textId="77777777" w:rsidR="00777336" w:rsidRDefault="00777336" w:rsidP="00C2714E">
      <w:pPr>
        <w:pStyle w:val="ListBulletLast"/>
        <w:numPr>
          <w:ilvl w:val="0"/>
          <w:numId w:val="29"/>
        </w:numPr>
      </w:pPr>
      <w:r>
        <w:t>Finally</w:t>
      </w:r>
      <w:r w:rsidR="00DF79A9">
        <w:t>,</w:t>
      </w:r>
      <w:r>
        <w:t xml:space="preserve"> while there is an allocation for the radiolocation service across the entire 3400</w:t>
      </w:r>
      <w:r w:rsidR="00796869">
        <w:t>–</w:t>
      </w:r>
      <w:r>
        <w:t>3600 MHz band, at present this services is only licensed to operate up to 3500 MHz.</w:t>
      </w:r>
      <w:r w:rsidR="00336E17">
        <w:t xml:space="preserve"> </w:t>
      </w:r>
    </w:p>
    <w:p w14:paraId="7EC0EEC5" w14:textId="77777777" w:rsidR="004F3F65" w:rsidRPr="00F018ED" w:rsidRDefault="00665B9F" w:rsidP="00796869">
      <w:pPr>
        <w:spacing w:after="80"/>
      </w:pPr>
      <w:r>
        <w:t>The Options paper asked the following questions related to this issue</w:t>
      </w:r>
      <w:r w:rsidR="004F3F65">
        <w:t>:</w:t>
      </w:r>
    </w:p>
    <w:p w14:paraId="4A94F58D" w14:textId="77777777" w:rsidR="0093028D" w:rsidRDefault="0093028D" w:rsidP="00796869">
      <w:pPr>
        <w:pStyle w:val="ListParagraph"/>
        <w:numPr>
          <w:ilvl w:val="0"/>
          <w:numId w:val="21"/>
        </w:numPr>
        <w:shd w:val="clear" w:color="auto" w:fill="F2F2F2" w:themeFill="background1" w:themeFillShade="F2"/>
        <w:spacing w:after="80"/>
        <w:contextualSpacing w:val="0"/>
        <w:rPr>
          <w:b/>
        </w:rPr>
      </w:pPr>
      <w:r w:rsidRPr="0093028D">
        <w:rPr>
          <w:b/>
        </w:rPr>
        <w:t>If point-to-point licences are affected by replanning activities in the 3.6 GHz band, are the options identified for point-to-point licences suitable? Are there any alternative options that should be considered?</w:t>
      </w:r>
    </w:p>
    <w:p w14:paraId="4F9CF0F9" w14:textId="77777777" w:rsidR="0093028D" w:rsidRPr="0093028D" w:rsidRDefault="0093028D" w:rsidP="00796869">
      <w:pPr>
        <w:pStyle w:val="ListParagraph"/>
        <w:numPr>
          <w:ilvl w:val="0"/>
          <w:numId w:val="22"/>
        </w:numPr>
        <w:shd w:val="clear" w:color="auto" w:fill="F2F2F2" w:themeFill="background1" w:themeFillShade="F2"/>
        <w:spacing w:after="80"/>
        <w:contextualSpacing w:val="0"/>
        <w:rPr>
          <w:b/>
        </w:rPr>
      </w:pPr>
      <w:r w:rsidRPr="0093028D">
        <w:rPr>
          <w:b/>
        </w:rPr>
        <w:t>Are the approaches for amateurs, radiolocation services, class licensed devices and TVRO systems suitable?</w:t>
      </w:r>
    </w:p>
    <w:p w14:paraId="52D556A0" w14:textId="77777777" w:rsidR="004F3F65" w:rsidRPr="004F3F65" w:rsidRDefault="0093028D" w:rsidP="00AC2157">
      <w:pPr>
        <w:pStyle w:val="ListParagraph"/>
        <w:numPr>
          <w:ilvl w:val="0"/>
          <w:numId w:val="22"/>
        </w:numPr>
        <w:shd w:val="clear" w:color="auto" w:fill="F2F2F2" w:themeFill="background1" w:themeFillShade="F2"/>
        <w:spacing w:after="160" w:line="259" w:lineRule="auto"/>
        <w:rPr>
          <w:b/>
        </w:rPr>
      </w:pPr>
      <w:r w:rsidRPr="0093028D">
        <w:rPr>
          <w:b/>
        </w:rPr>
        <w:t>Are there any other options for incumbent services, not identified in this paper, which should be considered?</w:t>
      </w:r>
    </w:p>
    <w:p w14:paraId="5D690D9E" w14:textId="77777777" w:rsidR="00B85CCD" w:rsidRDefault="00B85CCD">
      <w:pPr>
        <w:spacing w:after="0" w:line="240" w:lineRule="auto"/>
        <w:rPr>
          <w:rFonts w:cs="Arial"/>
          <w:b/>
          <w:bCs/>
          <w:szCs w:val="26"/>
        </w:rPr>
      </w:pPr>
      <w:r>
        <w:br w:type="page"/>
      </w:r>
    </w:p>
    <w:p w14:paraId="223C49E8" w14:textId="77777777" w:rsidR="004F3F65" w:rsidRPr="00796869" w:rsidRDefault="004F3F65" w:rsidP="00796869">
      <w:pPr>
        <w:pStyle w:val="Heading3"/>
      </w:pPr>
      <w:bookmarkStart w:id="161" w:name="_Toc496620337"/>
      <w:r w:rsidRPr="00796869">
        <w:t>Summary of submissions</w:t>
      </w:r>
      <w:bookmarkEnd w:id="161"/>
    </w:p>
    <w:p w14:paraId="7DEC0525" w14:textId="77777777" w:rsidR="008F53E4" w:rsidRPr="00A52564" w:rsidRDefault="008F53E4" w:rsidP="00796869">
      <w:pPr>
        <w:pStyle w:val="BodySubHeader"/>
      </w:pPr>
      <w:r w:rsidRPr="00A52564">
        <w:t xml:space="preserve">Submissions </w:t>
      </w:r>
      <w:r>
        <w:t>related to incumbent point-to-point licence options</w:t>
      </w:r>
    </w:p>
    <w:p w14:paraId="628E61AA" w14:textId="77777777" w:rsidR="008F53E4" w:rsidRDefault="008F53E4" w:rsidP="008F53E4">
      <w:r>
        <w:t>Most respondents that commented on options for incumbent point-to-point licensees felt the alternative options available were suitable. This was due to a combination of the limited number of point-to-point licences in the band and the large number of suitable alternative bands available. Respondents representing the mobile industry also suggested that the ACMA should restrict use of the 3700</w:t>
      </w:r>
      <w:r w:rsidR="00796869">
        <w:t>–</w:t>
      </w:r>
      <w:r>
        <w:t xml:space="preserve">3800 MHz band for new point-to-point links and the retuning of existing ones out of the 3.6 GHz band. The reason </w:t>
      </w:r>
      <w:r w:rsidR="00DF79A9">
        <w:t>given was</w:t>
      </w:r>
      <w:r>
        <w:t xml:space="preserve"> that adjacent channel coordination requirements with point-to-point licenses could limit use of the 3.6 GHz band</w:t>
      </w:r>
      <w:r w:rsidR="00796869">
        <w:t>,</w:t>
      </w:r>
      <w:r>
        <w:t xml:space="preserve"> and the 3700</w:t>
      </w:r>
      <w:r w:rsidR="00796869">
        <w:t>–</w:t>
      </w:r>
      <w:r>
        <w:t xml:space="preserve">3800 MHz band is also being looked at for MBB. </w:t>
      </w:r>
    </w:p>
    <w:p w14:paraId="0B458F1A" w14:textId="77777777" w:rsidR="008F53E4" w:rsidRPr="008338CC" w:rsidRDefault="008F53E4" w:rsidP="008F53E4">
      <w:r>
        <w:t>Some respondents supported alternative approaches to managing access to the 3.</w:t>
      </w:r>
      <w:r w:rsidR="00796869">
        <w:t>6 </w:t>
      </w:r>
      <w:r>
        <w:t>GHz band</w:t>
      </w:r>
      <w:r w:rsidRPr="008338CC">
        <w:t xml:space="preserve">. </w:t>
      </w:r>
      <w:r w:rsidR="00796869" w:rsidRPr="008338CC">
        <w:t xml:space="preserve">These </w:t>
      </w:r>
      <w:r w:rsidRPr="008338CC">
        <w:t xml:space="preserve">included investigating dynamic sharing models and allowing commercial negotiations to resolve situations where there is contention (refer to the </w:t>
      </w:r>
      <w:r w:rsidR="008B2734" w:rsidRPr="008338CC">
        <w:rPr>
          <w:i/>
        </w:rPr>
        <w:t>Case for action and replanning</w:t>
      </w:r>
      <w:r w:rsidRPr="008338CC">
        <w:rPr>
          <w:i/>
        </w:rPr>
        <w:t xml:space="preserve"> options </w:t>
      </w:r>
      <w:r w:rsidRPr="008338CC">
        <w:t xml:space="preserve">section of this paper for more detail). One respondent also suggested that the ACMA could raise apparatus licence fees, based on incentive pricing models, as a way to manage contention. They </w:t>
      </w:r>
      <w:r w:rsidR="001F0D57" w:rsidRPr="008338CC">
        <w:t>argued that this was</w:t>
      </w:r>
      <w:r w:rsidRPr="008338CC">
        <w:t xml:space="preserve"> </w:t>
      </w:r>
      <w:r w:rsidR="001F0D57" w:rsidRPr="008338CC">
        <w:t>a</w:t>
      </w:r>
      <w:r w:rsidRPr="008338CC">
        <w:t xml:space="preserve"> better model to provide incumbents with incentives to consider alternative bands and delivery mechanisms.</w:t>
      </w:r>
    </w:p>
    <w:p w14:paraId="068F91D8" w14:textId="77777777" w:rsidR="008F53E4" w:rsidRPr="008338CC" w:rsidRDefault="008F53E4" w:rsidP="008F53E4">
      <w:r w:rsidRPr="008338CC">
        <w:t>The major incumbent point-to-point licensee in the 3.6 GHz band (Digital Distribution</w:t>
      </w:r>
      <w:r w:rsidR="00E17DD3" w:rsidRPr="008338CC">
        <w:t xml:space="preserve"> Australia</w:t>
      </w:r>
      <w:r w:rsidRPr="008338CC">
        <w:t>) requested a re-allocation period of 10 years to migrate their services to alternative bands. The reason for this was due to the cost of replacing equipment</w:t>
      </w:r>
      <w:r w:rsidR="00796869" w:rsidRPr="008338CC">
        <w:t>,</w:t>
      </w:r>
      <w:r w:rsidRPr="008338CC">
        <w:t xml:space="preserve"> as well as acquiring and constructing new repeater sites. </w:t>
      </w:r>
    </w:p>
    <w:p w14:paraId="4CDAC430" w14:textId="77777777" w:rsidR="008F53E4" w:rsidRPr="008338CC" w:rsidRDefault="008F53E4" w:rsidP="00796869">
      <w:pPr>
        <w:pStyle w:val="BodySubHeader"/>
      </w:pPr>
      <w:r w:rsidRPr="008338CC">
        <w:t xml:space="preserve">Submissions related to </w:t>
      </w:r>
      <w:bookmarkStart w:id="162" w:name="_Hlk494096506"/>
      <w:r w:rsidRPr="008338CC">
        <w:t>incumbent amateurs, radiolocation and class licensed devices and TVRO</w:t>
      </w:r>
      <w:bookmarkEnd w:id="162"/>
      <w:r w:rsidRPr="008338CC">
        <w:t xml:space="preserve"> options</w:t>
      </w:r>
    </w:p>
    <w:p w14:paraId="7FA55288" w14:textId="77777777" w:rsidR="00495992" w:rsidRPr="008338CC" w:rsidRDefault="008F53E4" w:rsidP="008F53E4">
      <w:r w:rsidRPr="008338CC">
        <w:t xml:space="preserve">Some respondents </w:t>
      </w:r>
      <w:r w:rsidR="00E17DD3" w:rsidRPr="008338CC">
        <w:t xml:space="preserve">indicated </w:t>
      </w:r>
      <w:r w:rsidRPr="008338CC">
        <w:t xml:space="preserve">that incumbent amateurs, radiolocation </w:t>
      </w:r>
      <w:r w:rsidR="008B2734" w:rsidRPr="008338CC">
        <w:t>services,</w:t>
      </w:r>
      <w:r w:rsidRPr="008338CC">
        <w:t xml:space="preserve"> class licensed devices and TVRO services should not be provided protection and should not cause interference to other services operating in the 3.6 GHz band. One respondent also </w:t>
      </w:r>
      <w:r w:rsidR="00E17DD3" w:rsidRPr="008338CC">
        <w:t xml:space="preserve">stated </w:t>
      </w:r>
      <w:r w:rsidRPr="008338CC">
        <w:t xml:space="preserve">that the current sharing arrangements </w:t>
      </w:r>
      <w:r w:rsidR="008B2734" w:rsidRPr="008338CC">
        <w:t xml:space="preserve">in the band </w:t>
      </w:r>
      <w:r w:rsidRPr="008338CC">
        <w:t xml:space="preserve">would remain suitable after any </w:t>
      </w:r>
      <w:r w:rsidR="00463C0F" w:rsidRPr="008338CC">
        <w:t>replanning</w:t>
      </w:r>
      <w:r w:rsidRPr="008338CC">
        <w:t xml:space="preserve"> activities in the band. </w:t>
      </w:r>
    </w:p>
    <w:p w14:paraId="045C173B" w14:textId="77777777" w:rsidR="008F53E4" w:rsidRPr="008338CC" w:rsidRDefault="00495992" w:rsidP="008F53E4">
      <w:r w:rsidRPr="008338CC">
        <w:t>Some</w:t>
      </w:r>
      <w:r w:rsidR="008F53E4" w:rsidRPr="008338CC">
        <w:t xml:space="preserve"> respondents </w:t>
      </w:r>
      <w:r w:rsidRPr="008338CC">
        <w:t xml:space="preserve">suggested that if these incumbent services operated on a secondary basis, the development of </w:t>
      </w:r>
      <w:r w:rsidR="008F53E4" w:rsidRPr="008338CC">
        <w:t xml:space="preserve">sharing arrangements </w:t>
      </w:r>
      <w:r w:rsidRPr="008338CC">
        <w:t xml:space="preserve">in the band </w:t>
      </w:r>
      <w:r w:rsidR="008F53E4" w:rsidRPr="008338CC">
        <w:t xml:space="preserve">would allow </w:t>
      </w:r>
      <w:r w:rsidRPr="008338CC">
        <w:t>them</w:t>
      </w:r>
      <w:r w:rsidR="008F53E4" w:rsidRPr="008338CC">
        <w:t xml:space="preserve"> to continue operating in areas where there is no contention for spectrum.</w:t>
      </w:r>
    </w:p>
    <w:p w14:paraId="5BF3F498" w14:textId="77777777" w:rsidR="008F53E4" w:rsidRPr="008338CC" w:rsidRDefault="008F53E4" w:rsidP="008F53E4">
      <w:r w:rsidRPr="008338CC">
        <w:t xml:space="preserve">The </w:t>
      </w:r>
      <w:r w:rsidR="00E17DD3" w:rsidRPr="008338CC">
        <w:t>Wireless Institute of Australia (</w:t>
      </w:r>
      <w:r w:rsidRPr="008338CC">
        <w:t>WIA</w:t>
      </w:r>
      <w:r w:rsidR="00E17DD3" w:rsidRPr="008338CC">
        <w:t>)</w:t>
      </w:r>
      <w:r w:rsidRPr="008338CC">
        <w:t xml:space="preserve"> indicated that the amount of spectrum in the 3300</w:t>
      </w:r>
      <w:r w:rsidR="00796869" w:rsidRPr="008338CC">
        <w:t>–</w:t>
      </w:r>
      <w:r w:rsidRPr="008338CC">
        <w:t xml:space="preserve">3600 MHz band available for amateur use and the areas they can use it has decreased over time. Consequently, they requested that amateurs not be restricted from operating outside any areas in the 3.6 GHz band that are re-allocated for the issue of spectrum licences. </w:t>
      </w:r>
    </w:p>
    <w:p w14:paraId="38FB53F8" w14:textId="77777777" w:rsidR="008F53E4" w:rsidRPr="008338CC" w:rsidRDefault="008F53E4" w:rsidP="008F53E4">
      <w:pPr>
        <w:pStyle w:val="Heading3"/>
      </w:pPr>
      <w:bookmarkStart w:id="163" w:name="_Toc496620338"/>
      <w:r w:rsidRPr="008338CC">
        <w:t>ACMA response to submissions</w:t>
      </w:r>
      <w:bookmarkEnd w:id="163"/>
    </w:p>
    <w:p w14:paraId="1CD12863" w14:textId="06649CCC" w:rsidR="008F53E4" w:rsidRPr="004A67FE" w:rsidRDefault="008F53E4" w:rsidP="008F53E4">
      <w:r w:rsidRPr="008338CC">
        <w:t>Based on comments received</w:t>
      </w:r>
      <w:r w:rsidR="00E17DD3" w:rsidRPr="008338CC">
        <w:t>,</w:t>
      </w:r>
      <w:r w:rsidRPr="008338CC">
        <w:t xml:space="preserve"> the ACMA believes the alternative arrangements identified for incumbent point-to-point licences affected by re-farming in the 3.6 GHz band are suitable. While options for sharing have been considered, as discussed in the </w:t>
      </w:r>
      <w:r w:rsidR="008B2734" w:rsidRPr="008338CC">
        <w:rPr>
          <w:i/>
        </w:rPr>
        <w:t>Case for action and replanning</w:t>
      </w:r>
      <w:r w:rsidRPr="008338CC">
        <w:rPr>
          <w:i/>
        </w:rPr>
        <w:t xml:space="preserve"> options </w:t>
      </w:r>
      <w:r w:rsidRPr="008338CC">
        <w:t>section, the ACMA believes spectrum licensing is the most appropriate way forward in areas of high demand. Under this approach</w:t>
      </w:r>
      <w:r w:rsidR="00E17DD3" w:rsidRPr="008338CC">
        <w:t>,</w:t>
      </w:r>
      <w:r w:rsidRPr="008338CC">
        <w:t xml:space="preserve"> different re-allocation periods would apply to point-to-point licences in different areas, as discussed in the </w:t>
      </w:r>
      <w:r w:rsidRPr="008338CC">
        <w:rPr>
          <w:i/>
        </w:rPr>
        <w:t>Length</w:t>
      </w:r>
      <w:r w:rsidRPr="008338CC">
        <w:t xml:space="preserve"> </w:t>
      </w:r>
      <w:r w:rsidRPr="008338CC">
        <w:rPr>
          <w:i/>
        </w:rPr>
        <w:t xml:space="preserve">of the re-allocation period </w:t>
      </w:r>
      <w:r w:rsidRPr="008338CC">
        <w:t xml:space="preserve">section of this paper. Specifically, </w:t>
      </w:r>
      <w:r w:rsidR="00251968" w:rsidRPr="008338CC">
        <w:t xml:space="preserve">of 47 point-to-point licences in the band, </w:t>
      </w:r>
      <w:r w:rsidR="00F65B51" w:rsidRPr="008338CC">
        <w:t>45</w:t>
      </w:r>
      <w:r w:rsidR="00F65B51">
        <w:t xml:space="preserve"> are in areas where </w:t>
      </w:r>
      <w:r w:rsidR="00251968">
        <w:t xml:space="preserve">the </w:t>
      </w:r>
      <w:r w:rsidR="00F65B51">
        <w:t>proposed</w:t>
      </w:r>
      <w:r w:rsidR="00251968">
        <w:t xml:space="preserve"> </w:t>
      </w:r>
      <w:r w:rsidR="00732DFD">
        <w:t>seven</w:t>
      </w:r>
      <w:r w:rsidR="00796869">
        <w:t>-</w:t>
      </w:r>
      <w:r>
        <w:t>year re-allocation period</w:t>
      </w:r>
      <w:r w:rsidR="00F65B51">
        <w:t xml:space="preserve"> would</w:t>
      </w:r>
      <w:r>
        <w:t xml:space="preserve"> apply. </w:t>
      </w:r>
      <w:r w:rsidR="0087698A">
        <w:t>A two</w:t>
      </w:r>
      <w:r w:rsidR="00796869">
        <w:t>-</w:t>
      </w:r>
      <w:r w:rsidR="00F65B51">
        <w:t xml:space="preserve">year </w:t>
      </w:r>
      <w:r w:rsidR="0087698A">
        <w:t>re-allocation period would apply to t</w:t>
      </w:r>
      <w:r>
        <w:t>he remaining two licences</w:t>
      </w:r>
      <w:r w:rsidR="00F65B51">
        <w:t xml:space="preserve">, </w:t>
      </w:r>
      <w:r>
        <w:t xml:space="preserve">due to their location in </w:t>
      </w:r>
      <w:r w:rsidR="00F65B51">
        <w:t>Brisbane</w:t>
      </w:r>
      <w:r>
        <w:t xml:space="preserve">. </w:t>
      </w:r>
      <w:r w:rsidR="0087698A">
        <w:t xml:space="preserve">Based on the ACMA’s most recent experience in re-allocating spectrum in regional Australia in the 1800 MHz band, a period of </w:t>
      </w:r>
      <w:r w:rsidR="00E53EC7">
        <w:t>just over</w:t>
      </w:r>
      <w:r w:rsidR="0087698A">
        <w:t xml:space="preserve"> three years was identified by one incumbent point-to-point licensee </w:t>
      </w:r>
      <w:r w:rsidR="00F65B51">
        <w:t xml:space="preserve">as the minimum needed </w:t>
      </w:r>
      <w:r w:rsidR="0087698A">
        <w:t xml:space="preserve">to migrate </w:t>
      </w:r>
      <w:r w:rsidR="00E53EC7">
        <w:t xml:space="preserve">over </w:t>
      </w:r>
      <w:r w:rsidR="00CA22B0">
        <w:t>3</w:t>
      </w:r>
      <w:r w:rsidR="00E53EC7">
        <w:t xml:space="preserve">00 licences </w:t>
      </w:r>
      <w:r w:rsidR="0087698A">
        <w:t xml:space="preserve">to alternative bands or delivery mechanisms. </w:t>
      </w:r>
      <w:r w:rsidR="00F65B51">
        <w:t xml:space="preserve">This suggests </w:t>
      </w:r>
      <w:r w:rsidR="0087698A">
        <w:t>a seven</w:t>
      </w:r>
      <w:r w:rsidR="00796869">
        <w:t>-</w:t>
      </w:r>
      <w:r w:rsidR="0087698A">
        <w:t xml:space="preserve">year re-allocation </w:t>
      </w:r>
      <w:r w:rsidR="00F65B51">
        <w:t>will be</w:t>
      </w:r>
      <w:r w:rsidR="0087698A">
        <w:t xml:space="preserve"> adequate for 45 point-to-point licences to be migrated to alternative bands or delivery mechanisms. </w:t>
      </w:r>
      <w:r>
        <w:t>A benefit of the spectrum</w:t>
      </w:r>
      <w:r w:rsidR="00796869">
        <w:t>-</w:t>
      </w:r>
      <w:r>
        <w:t>licensing approach is that it also permits the use of commercial negotiations</w:t>
      </w:r>
      <w:r w:rsidR="00796869">
        <w:t>,</w:t>
      </w:r>
      <w:r>
        <w:t xml:space="preserve"> either </w:t>
      </w:r>
      <w:r w:rsidR="00F65B51">
        <w:t xml:space="preserve">to </w:t>
      </w:r>
      <w:r>
        <w:t xml:space="preserve">support ongoing use of the spectrum or facilitate an early vacation of the band by incumbent point-to-point links. </w:t>
      </w:r>
    </w:p>
    <w:p w14:paraId="1F0728E5" w14:textId="77777777" w:rsidR="008F53E4" w:rsidRDefault="008F53E4" w:rsidP="008F53E4">
      <w:r>
        <w:t xml:space="preserve">The ACMA supports requests to restrict use of the 3700-3800 MHz band for new point-to-point links and the </w:t>
      </w:r>
      <w:r w:rsidR="00011CE3">
        <w:t>retun</w:t>
      </w:r>
      <w:r>
        <w:t>ing of existing links out of the 3.6 GHz band. This will improve utility of the 3.6 GHz band while also minimising any potential future disruption to point-to-point links in the event the 3700</w:t>
      </w:r>
      <w:r w:rsidR="00796869">
        <w:t>–</w:t>
      </w:r>
      <w:r>
        <w:t xml:space="preserve">3800 MHz band is reviewed in the future. </w:t>
      </w:r>
    </w:p>
    <w:p w14:paraId="70B8A53E" w14:textId="77777777" w:rsidR="008F53E4" w:rsidRDefault="008F53E4" w:rsidP="00796869">
      <w:pPr>
        <w:spacing w:after="80"/>
      </w:pPr>
      <w:r>
        <w:t xml:space="preserve">The ACMA recognises that different approaches could be used to manage incumbent secondary services, class licensed devices, unlicensed TVRO devices or potential </w:t>
      </w:r>
      <w:r w:rsidR="00E53EC7">
        <w:t xml:space="preserve">future </w:t>
      </w:r>
      <w:r>
        <w:t xml:space="preserve">radiolocation services in the band. </w:t>
      </w:r>
      <w:r w:rsidR="00E53EC7">
        <w:t>However, i</w:t>
      </w:r>
      <w:r>
        <w:t>n this case the ACMA believes the arrangements proposed in the Options paper are suitable with the follow</w:t>
      </w:r>
      <w:r w:rsidR="00BE08DD">
        <w:t>ing</w:t>
      </w:r>
      <w:r>
        <w:t xml:space="preserve"> </w:t>
      </w:r>
      <w:r w:rsidR="00E53EC7">
        <w:t xml:space="preserve">changes </w:t>
      </w:r>
      <w:r>
        <w:t xml:space="preserve">based on submissions: </w:t>
      </w:r>
    </w:p>
    <w:p w14:paraId="76A8235F" w14:textId="77777777" w:rsidR="008F53E4" w:rsidRDefault="008F53E4" w:rsidP="00C2714E">
      <w:pPr>
        <w:pStyle w:val="ListBulletLast"/>
        <w:numPr>
          <w:ilvl w:val="0"/>
          <w:numId w:val="30"/>
        </w:numPr>
        <w:spacing w:after="80"/>
      </w:pPr>
      <w:r>
        <w:t xml:space="preserve">Arrangements will be created to support ongoing amateur use of the 3.6 GHz band outside </w:t>
      </w:r>
      <w:r w:rsidR="00E53EC7">
        <w:t>any areas and frequencies that are re-allocated for the issue of spectrum licenses</w:t>
      </w:r>
      <w:r w:rsidR="00796869">
        <w:t>.</w:t>
      </w:r>
    </w:p>
    <w:p w14:paraId="2B61EA6D" w14:textId="77777777" w:rsidR="008F53E4" w:rsidRDefault="008F53E4" w:rsidP="00C2714E">
      <w:pPr>
        <w:pStyle w:val="ListBulletLast"/>
        <w:numPr>
          <w:ilvl w:val="0"/>
          <w:numId w:val="30"/>
        </w:numPr>
      </w:pPr>
      <w:r>
        <w:t>Acknowledging there are currently no radiolocation apparatus licences in the 3.</w:t>
      </w:r>
      <w:r w:rsidR="00796869">
        <w:t>6 </w:t>
      </w:r>
      <w:r>
        <w:t xml:space="preserve">GHz band, the ACMA will continue to liaise with the </w:t>
      </w:r>
      <w:r w:rsidR="00796869">
        <w:t>D</w:t>
      </w:r>
      <w:r>
        <w:t>epartment of Defence on its future requirements in the band. As part of the TLG process, the ACMA will work with stakeholders to define suitable interference management criteria for this case in the event radiolocations services are deployed. This may take a form similar to the arrangements currently in place for the adjacent band 3.4 GHz technical framework.</w:t>
      </w:r>
    </w:p>
    <w:p w14:paraId="666B1543" w14:textId="77777777" w:rsidR="000415C9" w:rsidRPr="00796869" w:rsidRDefault="008F53E4" w:rsidP="00F63E9A">
      <w:pPr>
        <w:pStyle w:val="Heading3"/>
        <w:shd w:val="clear" w:color="auto" w:fill="F2F2F2" w:themeFill="background1" w:themeFillShade="F2"/>
        <w:rPr>
          <w:rStyle w:val="Heading3Char"/>
          <w:b/>
          <w:bCs/>
        </w:rPr>
      </w:pPr>
      <w:bookmarkStart w:id="164" w:name="_Toc496620339"/>
      <w:r w:rsidRPr="00796869">
        <w:rPr>
          <w:rStyle w:val="Heading3Char"/>
          <w:b/>
          <w:bCs/>
        </w:rPr>
        <w:t>ACMA</w:t>
      </w:r>
      <w:r w:rsidRPr="00796869">
        <w:t xml:space="preserve"> </w:t>
      </w:r>
      <w:r w:rsidR="00796869" w:rsidRPr="00796869">
        <w:rPr>
          <w:rStyle w:val="Heading3Char"/>
          <w:b/>
          <w:bCs/>
        </w:rPr>
        <w:t>d</w:t>
      </w:r>
      <w:r w:rsidRPr="00796869">
        <w:rPr>
          <w:rStyle w:val="Heading3Char"/>
          <w:b/>
          <w:bCs/>
        </w:rPr>
        <w:t>ecision</w:t>
      </w:r>
      <w:bookmarkEnd w:id="164"/>
    </w:p>
    <w:p w14:paraId="351B97FD" w14:textId="77777777" w:rsidR="00796869" w:rsidRDefault="00796869" w:rsidP="00F63E9A">
      <w:pPr>
        <w:shd w:val="clear" w:color="auto" w:fill="F2F2F2" w:themeFill="background1" w:themeFillShade="F2"/>
        <w:spacing w:after="80"/>
      </w:pPr>
      <w:r>
        <w:t>After considering the information provided in submissions, the ACMA has come to the following conclusions regarding options for other incumbent licensees in the 3.6 GHz band:</w:t>
      </w:r>
    </w:p>
    <w:p w14:paraId="7EA286EB" w14:textId="77777777" w:rsidR="00796869" w:rsidRDefault="00796869" w:rsidP="00F63E9A">
      <w:pPr>
        <w:pStyle w:val="ListBullet"/>
        <w:shd w:val="clear" w:color="auto" w:fill="F2F2F2" w:themeFill="background1" w:themeFillShade="F2"/>
      </w:pPr>
      <w:r>
        <w:t>The re-allocation periods proposed for different areas are considered suitable for incumbent amateur and point-to-point link licensees.</w:t>
      </w:r>
    </w:p>
    <w:p w14:paraId="3C1EE68C" w14:textId="77777777" w:rsidR="00796869" w:rsidRDefault="00796869" w:rsidP="00F63E9A">
      <w:pPr>
        <w:pStyle w:val="ListBullet"/>
        <w:shd w:val="clear" w:color="auto" w:fill="F2F2F2" w:themeFill="background1" w:themeFillShade="F2"/>
      </w:pPr>
      <w:r>
        <w:t xml:space="preserve">Future use of the 3.8 GHz fixed link band plan will be limited to the 3800–4200 MHz frequency range. This will apply to new services, as well as any services retuned out of the 3.6 GHz band. </w:t>
      </w:r>
    </w:p>
    <w:p w14:paraId="087F6866" w14:textId="77777777" w:rsidR="00796869" w:rsidRDefault="00796869" w:rsidP="00F63E9A">
      <w:pPr>
        <w:pStyle w:val="ListBullet"/>
        <w:shd w:val="clear" w:color="auto" w:fill="F2F2F2" w:themeFill="background1" w:themeFillShade="F2"/>
      </w:pPr>
      <w:r>
        <w:t xml:space="preserve">Amateur services can continue operating on a ‘no interference and no protection’ basis until the end of the re-allocation period in any areas re-allocated for the issue of spectrum licences. There will be no restrictions placed on Amateur use outside of these areas as part of this process. </w:t>
      </w:r>
    </w:p>
    <w:p w14:paraId="1AD4B4DF" w14:textId="77777777" w:rsidR="00796869" w:rsidRDefault="00796869" w:rsidP="00F63E9A">
      <w:pPr>
        <w:pStyle w:val="ListBullet"/>
        <w:shd w:val="clear" w:color="auto" w:fill="F2F2F2" w:themeFill="background1" w:themeFillShade="F2"/>
      </w:pPr>
      <w:r>
        <w:t xml:space="preserve">There will be no changes to existing class licence arrangements in the 3.6 GHz band. </w:t>
      </w:r>
    </w:p>
    <w:p w14:paraId="6D2BA21B" w14:textId="77777777" w:rsidR="00796869" w:rsidRDefault="00796869" w:rsidP="00F63E9A">
      <w:pPr>
        <w:pStyle w:val="ListBullet"/>
        <w:shd w:val="clear" w:color="auto" w:fill="F2F2F2" w:themeFill="background1" w:themeFillShade="F2"/>
      </w:pPr>
      <w:r>
        <w:t xml:space="preserve">TVRO and other unlicensed earth stations will not be afforded protection from interference. </w:t>
      </w:r>
    </w:p>
    <w:p w14:paraId="3DF6D082" w14:textId="77777777" w:rsidR="00796869" w:rsidRPr="007B6E50" w:rsidRDefault="00796869" w:rsidP="00F63E9A">
      <w:pPr>
        <w:pStyle w:val="ListBulletLast"/>
        <w:shd w:val="clear" w:color="auto" w:fill="F2F2F2" w:themeFill="background1" w:themeFillShade="F2"/>
      </w:pPr>
      <w:r>
        <w:t xml:space="preserve">Suitable interference management criteria will be developed in the event there is a need to operate radiolocation services in the 3.6 GHz band. These criteria will be developed as part of a TLG process. </w:t>
      </w:r>
    </w:p>
    <w:p w14:paraId="40A9D7E1" w14:textId="77777777" w:rsidR="0093028D" w:rsidRPr="00D358D9" w:rsidRDefault="0093028D" w:rsidP="00CA22B0">
      <w:pPr>
        <w:pStyle w:val="Heading2"/>
        <w:spacing w:before="360"/>
      </w:pPr>
      <w:bookmarkStart w:id="165" w:name="_Toc494375845"/>
      <w:bookmarkStart w:id="166" w:name="_Toc494378918"/>
      <w:bookmarkStart w:id="167" w:name="_Toc495935489"/>
      <w:bookmarkStart w:id="168" w:name="_Toc495935519"/>
      <w:bookmarkStart w:id="169" w:name="_Toc496620340"/>
      <w:r>
        <w:t>Other issues raised in submissions</w:t>
      </w:r>
      <w:bookmarkEnd w:id="165"/>
      <w:bookmarkEnd w:id="166"/>
      <w:bookmarkEnd w:id="167"/>
      <w:bookmarkEnd w:id="168"/>
      <w:bookmarkEnd w:id="169"/>
    </w:p>
    <w:p w14:paraId="4ECBA59C" w14:textId="77777777" w:rsidR="00A50AEC" w:rsidRPr="00D23D49" w:rsidRDefault="00A50AEC" w:rsidP="00A50AEC">
      <w:r w:rsidRPr="00D23D49">
        <w:t xml:space="preserve">Respondents raised various other issues that did not fall within the </w:t>
      </w:r>
      <w:r>
        <w:t>scope of the discussion in previous sections</w:t>
      </w:r>
      <w:r w:rsidRPr="00D23D49">
        <w:t xml:space="preserve">. These issues are summarised and responded to </w:t>
      </w:r>
      <w:r>
        <w:t>here</w:t>
      </w:r>
      <w:r w:rsidRPr="00D23D49">
        <w:t xml:space="preserve">. </w:t>
      </w:r>
    </w:p>
    <w:p w14:paraId="759D2776" w14:textId="77777777" w:rsidR="00A50AEC" w:rsidRPr="00D358D9" w:rsidRDefault="00270CD3" w:rsidP="00A50AEC">
      <w:pPr>
        <w:pStyle w:val="Heading3"/>
      </w:pPr>
      <w:bookmarkStart w:id="170" w:name="_Toc496620341"/>
      <w:r>
        <w:t>Adjacent band FSS</w:t>
      </w:r>
      <w:bookmarkEnd w:id="170"/>
      <w:r>
        <w:t xml:space="preserve"> </w:t>
      </w:r>
    </w:p>
    <w:p w14:paraId="28FFD93F" w14:textId="77777777" w:rsidR="00A50AEC" w:rsidRDefault="002B06D9" w:rsidP="00E46FB1">
      <w:r>
        <w:t>S</w:t>
      </w:r>
      <w:r w:rsidR="00505328">
        <w:t>ome s</w:t>
      </w:r>
      <w:r>
        <w:t>ubmissions</w:t>
      </w:r>
      <w:r w:rsidR="00A50AEC">
        <w:t xml:space="preserve"> from </w:t>
      </w:r>
      <w:r w:rsidR="00505328">
        <w:t xml:space="preserve">the satellite industry expressed concern regarding </w:t>
      </w:r>
      <w:r>
        <w:t xml:space="preserve">the management of </w:t>
      </w:r>
      <w:r w:rsidR="00A50AEC">
        <w:t xml:space="preserve">interference </w:t>
      </w:r>
      <w:r>
        <w:t xml:space="preserve">from </w:t>
      </w:r>
      <w:r w:rsidR="00A50AEC">
        <w:t xml:space="preserve">MBB services in the 3.6 GHz band </w:t>
      </w:r>
      <w:r>
        <w:t xml:space="preserve">into </w:t>
      </w:r>
      <w:r w:rsidR="00A50AEC">
        <w:t>adjacent band FSS earth station licensees.</w:t>
      </w:r>
    </w:p>
    <w:p w14:paraId="7A3E17A1" w14:textId="77777777" w:rsidR="00A50AEC" w:rsidRPr="007F29D8" w:rsidRDefault="00A50AEC" w:rsidP="00E46FB1">
      <w:pPr>
        <w:pStyle w:val="BodySubHeader"/>
      </w:pPr>
      <w:r w:rsidRPr="007F29D8">
        <w:t xml:space="preserve">ACMA </w:t>
      </w:r>
      <w:r w:rsidR="00E46FB1">
        <w:t>r</w:t>
      </w:r>
      <w:r w:rsidRPr="007F29D8">
        <w:t>esponse</w:t>
      </w:r>
    </w:p>
    <w:p w14:paraId="3B1D8236" w14:textId="77777777" w:rsidR="00A50AEC" w:rsidRDefault="00A50AEC" w:rsidP="002B06D9">
      <w:r>
        <w:t xml:space="preserve">Adjacent band licensed FSS earth stations will be afforded protection from MBB services </w:t>
      </w:r>
      <w:r w:rsidR="00CA22B0">
        <w:t>operating</w:t>
      </w:r>
      <w:r>
        <w:t xml:space="preserve"> in the 3.6 GHz band. Relevant protection criteria will be developed as part of </w:t>
      </w:r>
      <w:r w:rsidR="002B06D9">
        <w:t>the</w:t>
      </w:r>
      <w:r>
        <w:t xml:space="preserve"> </w:t>
      </w:r>
      <w:r w:rsidR="00E8628B">
        <w:t>TLG</w:t>
      </w:r>
      <w:r>
        <w:t xml:space="preserve"> process to develop a technical framework for the 3.6</w:t>
      </w:r>
      <w:r w:rsidR="002B06D9">
        <w:t> </w:t>
      </w:r>
      <w:r>
        <w:t xml:space="preserve">GHz band. Representatives of the mobile industry and incumbent FSS earth station licensees will be invited to participate in this process. </w:t>
      </w:r>
      <w:r w:rsidR="00CA22B0">
        <w:t>P</w:t>
      </w:r>
      <w:r>
        <w:t>rotection will be on a first-in-time licensed basis. The ACMA does not intend to provide protection to unlicensed services.</w:t>
      </w:r>
    </w:p>
    <w:p w14:paraId="76191BDE" w14:textId="77777777" w:rsidR="00270CD3" w:rsidRPr="00D358D9" w:rsidRDefault="00AF1566" w:rsidP="00270CD3">
      <w:pPr>
        <w:pStyle w:val="Heading3"/>
      </w:pPr>
      <w:bookmarkStart w:id="171" w:name="_Toc496620342"/>
      <w:r>
        <w:t>Compensation</w:t>
      </w:r>
      <w:bookmarkEnd w:id="171"/>
    </w:p>
    <w:p w14:paraId="3C4F1413" w14:textId="77777777" w:rsidR="00A50AEC" w:rsidRDefault="00A50AEC" w:rsidP="00A50AEC">
      <w:r>
        <w:t>Several responses from incumbent licensees raised the issue of compensation in the event they are required to vacate the band.</w:t>
      </w:r>
    </w:p>
    <w:p w14:paraId="40C203A1" w14:textId="77777777" w:rsidR="00A50AEC" w:rsidRPr="007F29D8" w:rsidRDefault="00A50AEC" w:rsidP="00E46FB1">
      <w:pPr>
        <w:pStyle w:val="BodySubHeader"/>
      </w:pPr>
      <w:r w:rsidRPr="007F29D8">
        <w:t xml:space="preserve">ACMA </w:t>
      </w:r>
      <w:r w:rsidR="00E46FB1">
        <w:t>r</w:t>
      </w:r>
      <w:r w:rsidRPr="007F29D8">
        <w:t>esponse</w:t>
      </w:r>
    </w:p>
    <w:p w14:paraId="6E121273" w14:textId="77777777" w:rsidR="00A50AEC" w:rsidRDefault="009D50AB" w:rsidP="00505328">
      <w:r w:rsidRPr="00505328">
        <w:t xml:space="preserve">Under the </w:t>
      </w:r>
      <w:r>
        <w:t>Act</w:t>
      </w:r>
      <w:r w:rsidRPr="00505328">
        <w:t xml:space="preserve">, the ACMA has no </w:t>
      </w:r>
      <w:r>
        <w:t>ability to</w:t>
      </w:r>
      <w:r w:rsidRPr="00505328">
        <w:t xml:space="preserve"> provide financial compensation when regulatory arrangements change</w:t>
      </w:r>
      <w:r>
        <w:t>, licences are not renewed or are cancelled by operation of section 153H of the Act</w:t>
      </w:r>
      <w:r w:rsidRPr="00505328">
        <w:t>.</w:t>
      </w:r>
      <w:r>
        <w:t xml:space="preserve"> </w:t>
      </w:r>
      <w:r w:rsidR="00505328" w:rsidRPr="00505328">
        <w:t xml:space="preserve">However, </w:t>
      </w:r>
      <w:r w:rsidR="00505328">
        <w:t xml:space="preserve">to assist with transition to new arrangements, and mitigate some of the effects, the ACMA will put in place a number of mitigation measures for incumbent users, including extended re-allocation periods </w:t>
      </w:r>
      <w:r w:rsidR="00BE08DD">
        <w:t>where appropriate on balance</w:t>
      </w:r>
      <w:r w:rsidR="00E46FB1">
        <w:t>,</w:t>
      </w:r>
      <w:r w:rsidR="00BE08DD">
        <w:t xml:space="preserve"> </w:t>
      </w:r>
      <w:r w:rsidR="00505328">
        <w:t>and investigation of alternative spectrum options.</w:t>
      </w:r>
      <w:r w:rsidR="00505328" w:rsidRPr="00505328" w:rsidDel="00505328">
        <w:t xml:space="preserve"> </w:t>
      </w:r>
    </w:p>
    <w:p w14:paraId="465AB33F" w14:textId="77777777" w:rsidR="00270CD3" w:rsidRPr="00D358D9" w:rsidRDefault="002C2EF9" w:rsidP="00270CD3">
      <w:pPr>
        <w:pStyle w:val="Heading3"/>
      </w:pPr>
      <w:bookmarkStart w:id="172" w:name="_Toc496620343"/>
      <w:r>
        <w:t>Distinction between fixed and mobile broadband</w:t>
      </w:r>
      <w:bookmarkEnd w:id="172"/>
    </w:p>
    <w:p w14:paraId="209B6044" w14:textId="77777777" w:rsidR="00A50AEC" w:rsidRDefault="00A50AEC" w:rsidP="00A50AEC">
      <w:r>
        <w:t xml:space="preserve">Some respondents representing WISP interests requested that </w:t>
      </w:r>
      <w:r w:rsidR="00B365D0">
        <w:t xml:space="preserve">the </w:t>
      </w:r>
      <w:r>
        <w:t>ACMA</w:t>
      </w:r>
      <w:r w:rsidRPr="000A2772">
        <w:t xml:space="preserve"> </w:t>
      </w:r>
      <w:r w:rsidR="00B365D0">
        <w:t>better distinguish between</w:t>
      </w:r>
      <w:r w:rsidRPr="000A2772">
        <w:t xml:space="preserve"> fixed and mobile wireless broadband use</w:t>
      </w:r>
      <w:r w:rsidR="00B365D0">
        <w:t xml:space="preserve"> in planning activities. They belie</w:t>
      </w:r>
      <w:r w:rsidR="00FB13E1">
        <w:t>ve that the lack of distinction</w:t>
      </w:r>
      <w:r w:rsidRPr="000A2772">
        <w:t xml:space="preserve"> has resulted in incorrect assumptions and assessment of HVU</w:t>
      </w:r>
      <w:r>
        <w:t xml:space="preserve"> for the 3.6 GHz band</w:t>
      </w:r>
      <w:r w:rsidRPr="000A2772">
        <w:t>.</w:t>
      </w:r>
    </w:p>
    <w:p w14:paraId="03C8C528" w14:textId="77777777" w:rsidR="00A50AEC" w:rsidRPr="007F29D8" w:rsidRDefault="00A50AEC" w:rsidP="00E46FB1">
      <w:pPr>
        <w:pStyle w:val="BodySubHeader"/>
      </w:pPr>
      <w:r w:rsidRPr="007F29D8">
        <w:t xml:space="preserve">ACMA </w:t>
      </w:r>
      <w:r w:rsidR="00E46FB1">
        <w:t>r</w:t>
      </w:r>
      <w:r w:rsidRPr="007F29D8">
        <w:t>esponse</w:t>
      </w:r>
    </w:p>
    <w:p w14:paraId="484048B4" w14:textId="77777777" w:rsidR="00A50AEC" w:rsidRDefault="00A50AEC" w:rsidP="00E46FB1">
      <w:pPr>
        <w:spacing w:after="80"/>
      </w:pPr>
      <w:r>
        <w:t xml:space="preserve">The ACMA acknowledges there is a distinction between fixed and mobile wireless broadband services and both are viable options for deployment in the 3.6 GHz band. The decision to group the two </w:t>
      </w:r>
      <w:r w:rsidR="00B365D0">
        <w:t>delivery modes</w:t>
      </w:r>
      <w:r>
        <w:t xml:space="preserve"> together was made for the following reasons:</w:t>
      </w:r>
    </w:p>
    <w:p w14:paraId="6531EB91" w14:textId="77777777" w:rsidR="00A50AEC" w:rsidRDefault="00A50AEC" w:rsidP="00C2714E">
      <w:pPr>
        <w:pStyle w:val="ListBulletLast"/>
        <w:numPr>
          <w:ilvl w:val="0"/>
          <w:numId w:val="31"/>
        </w:numPr>
        <w:spacing w:after="80"/>
      </w:pPr>
      <w:r>
        <w:t>The ACMA generally creates technology</w:t>
      </w:r>
      <w:r w:rsidR="00E46FB1">
        <w:t>-</w:t>
      </w:r>
      <w:r>
        <w:t>flexible licensing arrangements. This means under current and any proposed future arrangements in the 3.6 GHz band, licenses will not be limited to deploying only fixed or mobile services. This is purely a commercial decision based on the requirements and business model of each licensee.</w:t>
      </w:r>
      <w:r w:rsidR="00336E17">
        <w:t xml:space="preserve"> </w:t>
      </w:r>
    </w:p>
    <w:p w14:paraId="47271322" w14:textId="77777777" w:rsidR="00A50AEC" w:rsidRDefault="00A50AEC" w:rsidP="00C2714E">
      <w:pPr>
        <w:pStyle w:val="ListBulletLast"/>
        <w:numPr>
          <w:ilvl w:val="0"/>
          <w:numId w:val="31"/>
        </w:numPr>
      </w:pPr>
      <w:r>
        <w:t>There are multiple terms that relate to different mobile and fixed wireless broadband technologies and services. For simplicity, a single term was used to apply to all of these</w:t>
      </w:r>
      <w:r w:rsidR="00E46FB1">
        <w:t>,</w:t>
      </w:r>
      <w:r w:rsidR="00B365D0">
        <w:t xml:space="preserve"> since all uses will be feasible under future arrangements</w:t>
      </w:r>
      <w:r>
        <w:t>.</w:t>
      </w:r>
    </w:p>
    <w:p w14:paraId="4115EA0D" w14:textId="77777777" w:rsidR="00A50AEC" w:rsidRDefault="00A50AEC" w:rsidP="00B365D0">
      <w:r>
        <w:t xml:space="preserve">In the future, the ACMA will consider ways to better differentiate between fixed and mobile wireless broadband services </w:t>
      </w:r>
      <w:r w:rsidR="0016561A">
        <w:t>when</w:t>
      </w:r>
      <w:r>
        <w:t xml:space="preserve"> appropriate. However, the ACMA does not agree that this has affected its HVU analysis for the 3.6 GHz band. </w:t>
      </w:r>
      <w:r w:rsidR="0016561A">
        <w:t>In this case</w:t>
      </w:r>
      <w:r w:rsidR="00E46FB1">
        <w:t>,</w:t>
      </w:r>
      <w:r>
        <w:t xml:space="preserve"> the main distinction in value identified was between site</w:t>
      </w:r>
      <w:r w:rsidR="00E46FB1">
        <w:t>-</w:t>
      </w:r>
      <w:r>
        <w:t xml:space="preserve">based and </w:t>
      </w:r>
      <w:r w:rsidR="004D2496">
        <w:t>wide-area deployments</w:t>
      </w:r>
      <w:r>
        <w:t>. Under both these deployment scenarios, the ACMA’s technology</w:t>
      </w:r>
      <w:r w:rsidR="00E46FB1">
        <w:t>-</w:t>
      </w:r>
      <w:r>
        <w:t>flexible licensing arrangements allow licensees to deploy fixed, mobile</w:t>
      </w:r>
      <w:r w:rsidR="00E46FB1">
        <w:t>,</w:t>
      </w:r>
      <w:r>
        <w:t xml:space="preserve"> or both </w:t>
      </w:r>
      <w:r w:rsidR="00BE08DD">
        <w:t xml:space="preserve">fixed and mobile </w:t>
      </w:r>
      <w:r>
        <w:t xml:space="preserve">technologies as they see fit. </w:t>
      </w:r>
    </w:p>
    <w:p w14:paraId="00C0C161" w14:textId="77777777" w:rsidR="00270CD3" w:rsidRPr="00D358D9" w:rsidRDefault="002C2EF9" w:rsidP="00270CD3">
      <w:pPr>
        <w:pStyle w:val="Heading3"/>
      </w:pPr>
      <w:bookmarkStart w:id="173" w:name="_Toc496620344"/>
      <w:r>
        <w:t>Optimisation of 3400</w:t>
      </w:r>
      <w:r w:rsidR="00E46FB1">
        <w:t>–</w:t>
      </w:r>
      <w:r>
        <w:t>3700 MHz</w:t>
      </w:r>
      <w:bookmarkEnd w:id="173"/>
    </w:p>
    <w:p w14:paraId="7DC752BE" w14:textId="77777777" w:rsidR="005E0E24" w:rsidRPr="00C079E6" w:rsidRDefault="00284CE1" w:rsidP="005E0E24">
      <w:r>
        <w:t xml:space="preserve">Submissions from </w:t>
      </w:r>
      <w:r w:rsidR="005E0E24">
        <w:t>the mobile industry have continued to show their support, in this and previous consultations, for</w:t>
      </w:r>
      <w:r w:rsidR="005E0E24" w:rsidRPr="00C079E6">
        <w:t xml:space="preserve"> optimising arrangements</w:t>
      </w:r>
      <w:r w:rsidR="005E0E24">
        <w:t xml:space="preserve"> across</w:t>
      </w:r>
      <w:r w:rsidR="005E0E24" w:rsidRPr="00C079E6">
        <w:t xml:space="preserve"> the broader 3400</w:t>
      </w:r>
      <w:r w:rsidR="00E46FB1">
        <w:t>–</w:t>
      </w:r>
      <w:r w:rsidR="005E0E24" w:rsidRPr="00C079E6">
        <w:t>3700</w:t>
      </w:r>
      <w:r>
        <w:t> </w:t>
      </w:r>
      <w:r w:rsidR="005E0E24" w:rsidRPr="00C079E6">
        <w:t>MHz band for TDD fixed/mobile broadband use. One respondent</w:t>
      </w:r>
      <w:r w:rsidR="005E0E24">
        <w:t xml:space="preserve"> to the Options paper</w:t>
      </w:r>
      <w:r w:rsidR="005E0E24" w:rsidRPr="00C079E6">
        <w:t xml:space="preserve"> also expressed </w:t>
      </w:r>
      <w:r w:rsidR="00BE08DD">
        <w:t xml:space="preserve">its </w:t>
      </w:r>
      <w:r w:rsidR="005E0E24" w:rsidRPr="00C079E6">
        <w:t xml:space="preserve">disappointment </w:t>
      </w:r>
      <w:r w:rsidR="00BE08DD">
        <w:t xml:space="preserve">that </w:t>
      </w:r>
      <w:r w:rsidR="005E0E24">
        <w:t xml:space="preserve">such a </w:t>
      </w:r>
      <w:r w:rsidR="00BE08DD">
        <w:t xml:space="preserve">wider </w:t>
      </w:r>
      <w:r w:rsidR="005E0E24">
        <w:t xml:space="preserve">process </w:t>
      </w:r>
      <w:r w:rsidR="00BE08DD">
        <w:t xml:space="preserve">had been delayed, </w:t>
      </w:r>
      <w:r w:rsidR="005E0E24" w:rsidRPr="00C079E6">
        <w:t xml:space="preserve">given its importance </w:t>
      </w:r>
      <w:r w:rsidR="005E0E24">
        <w:t>to</w:t>
      </w:r>
      <w:r w:rsidR="005E0E24" w:rsidRPr="00C079E6">
        <w:t xml:space="preserve"> 5G investment.</w:t>
      </w:r>
    </w:p>
    <w:p w14:paraId="62BE3F2E" w14:textId="77777777" w:rsidR="00A50AEC" w:rsidRPr="00C079E6" w:rsidRDefault="00A50AEC" w:rsidP="00E46FB1">
      <w:pPr>
        <w:pStyle w:val="BodySubHeader"/>
      </w:pPr>
      <w:r w:rsidRPr="00C079E6">
        <w:t xml:space="preserve">ACMA </w:t>
      </w:r>
      <w:r w:rsidR="00E46FB1">
        <w:t>r</w:t>
      </w:r>
      <w:r w:rsidRPr="00C079E6">
        <w:t>esponse</w:t>
      </w:r>
    </w:p>
    <w:p w14:paraId="378AAC57" w14:textId="77777777" w:rsidR="005E0E24" w:rsidRDefault="005E0E24" w:rsidP="00284CE1">
      <w:r>
        <w:t xml:space="preserve">The ACMA acknowledges there will be benefits in optimising arrangements across the 3400-3700 MHz band </w:t>
      </w:r>
      <w:r w:rsidRPr="00C079E6">
        <w:t>for TDD fixed/mobile broadband use</w:t>
      </w:r>
      <w:r>
        <w:t>. However,</w:t>
      </w:r>
      <w:r w:rsidR="00284CE1">
        <w:t xml:space="preserve"> as outlined in the </w:t>
      </w:r>
      <w:r w:rsidR="00284CE1" w:rsidRPr="00284CE1">
        <w:rPr>
          <w:i/>
        </w:rPr>
        <w:t>Future use of the 1.5 GHz and 3.6 GHz bands—Summary of and response to 3.</w:t>
      </w:r>
      <w:r w:rsidR="00E46FB1" w:rsidRPr="00284CE1">
        <w:rPr>
          <w:i/>
        </w:rPr>
        <w:t>6</w:t>
      </w:r>
      <w:r w:rsidR="00E46FB1">
        <w:rPr>
          <w:i/>
        </w:rPr>
        <w:t> </w:t>
      </w:r>
      <w:r w:rsidR="00284CE1" w:rsidRPr="00284CE1">
        <w:rPr>
          <w:i/>
        </w:rPr>
        <w:t xml:space="preserve">GHz submissions </w:t>
      </w:r>
      <w:r w:rsidR="00E46FB1" w:rsidRPr="00336E17">
        <w:rPr>
          <w:i/>
        </w:rPr>
        <w:t>p</w:t>
      </w:r>
      <w:r w:rsidR="00284CE1" w:rsidRPr="00336E17">
        <w:rPr>
          <w:i/>
        </w:rPr>
        <w:t>aper</w:t>
      </w:r>
      <w:r w:rsidR="00284CE1">
        <w:t>, in order</w:t>
      </w:r>
      <w:r>
        <w:t xml:space="preserve"> t</w:t>
      </w:r>
      <w:r w:rsidRPr="00866972">
        <w:t>o facilitate timely consideration of the 3.6</w:t>
      </w:r>
      <w:r>
        <w:t> </w:t>
      </w:r>
      <w:r w:rsidRPr="00866972">
        <w:t xml:space="preserve">GHz band, </w:t>
      </w:r>
      <w:r w:rsidR="00BE08DD">
        <w:t xml:space="preserve">the ACMA has deferred </w:t>
      </w:r>
      <w:r w:rsidRPr="00866972">
        <w:t>any process for optimis</w:t>
      </w:r>
      <w:r>
        <w:t>ing</w:t>
      </w:r>
      <w:r w:rsidRPr="00866972">
        <w:t xml:space="preserve"> the 3400</w:t>
      </w:r>
      <w:r>
        <w:t>–</w:t>
      </w:r>
      <w:r w:rsidRPr="00866972">
        <w:t>3700</w:t>
      </w:r>
      <w:r>
        <w:t> </w:t>
      </w:r>
      <w:r w:rsidRPr="00866972">
        <w:t xml:space="preserve">MHz </w:t>
      </w:r>
      <w:r>
        <w:t>band</w:t>
      </w:r>
      <w:r w:rsidRPr="00866972">
        <w:t xml:space="preserve"> until the outcomes of </w:t>
      </w:r>
      <w:r w:rsidR="00284CE1">
        <w:t xml:space="preserve">the review of the 3.6 GHz band </w:t>
      </w:r>
      <w:r w:rsidRPr="00866972">
        <w:t>are known</w:t>
      </w:r>
      <w:r>
        <w:t xml:space="preserve">. </w:t>
      </w:r>
      <w:r w:rsidR="002D7180">
        <w:t xml:space="preserve">Any work </w:t>
      </w:r>
      <w:r w:rsidR="00284CE1">
        <w:t xml:space="preserve">would </w:t>
      </w:r>
      <w:r w:rsidR="00BE08DD">
        <w:t xml:space="preserve">then </w:t>
      </w:r>
      <w:r w:rsidR="00284CE1">
        <w:t>be undertaken</w:t>
      </w:r>
      <w:r>
        <w:t xml:space="preserve"> as a separate process and would consider the rights of existing spectrum licence holders. As far as possible the ACMA </w:t>
      </w:r>
      <w:r w:rsidR="00BE08DD">
        <w:t xml:space="preserve">will </w:t>
      </w:r>
      <w:r>
        <w:t>also support mechanisms such as trading to rearrange and defragment spectrum holdings across the 3400–3700 MHz frequency range.</w:t>
      </w:r>
    </w:p>
    <w:p w14:paraId="5E025D45" w14:textId="77777777" w:rsidR="00270CD3" w:rsidRPr="00D358D9" w:rsidRDefault="002C2EF9" w:rsidP="00270CD3">
      <w:pPr>
        <w:pStyle w:val="Heading3"/>
      </w:pPr>
      <w:bookmarkStart w:id="174" w:name="_Toc496620345"/>
      <w:r>
        <w:t xml:space="preserve">Spectrum Review </w:t>
      </w:r>
      <w:r w:rsidR="00E46FB1">
        <w:t>i</w:t>
      </w:r>
      <w:r>
        <w:t>mplementation</w:t>
      </w:r>
      <w:bookmarkEnd w:id="174"/>
      <w:r>
        <w:t xml:space="preserve"> </w:t>
      </w:r>
    </w:p>
    <w:p w14:paraId="1BC10DD7" w14:textId="77777777" w:rsidR="00A50AEC" w:rsidRPr="001876C7" w:rsidRDefault="001876C7" w:rsidP="00A50AEC">
      <w:pPr>
        <w:rPr>
          <w:rFonts w:eastAsia="Calibri"/>
        </w:rPr>
      </w:pPr>
      <w:r>
        <w:t xml:space="preserve">It was noted in one submission that </w:t>
      </w:r>
      <w:r w:rsidR="00A50AEC" w:rsidRPr="00284CE1">
        <w:rPr>
          <w:rFonts w:eastAsia="Calibri"/>
        </w:rPr>
        <w:t xml:space="preserve">the </w:t>
      </w:r>
      <w:r>
        <w:t xml:space="preserve">Radiocommunications Bill 2017 </w:t>
      </w:r>
      <w:r w:rsidR="00A50AEC" w:rsidRPr="00284CE1">
        <w:rPr>
          <w:rFonts w:eastAsia="Calibri"/>
        </w:rPr>
        <w:t>allows for perpetual licences as a general principle</w:t>
      </w:r>
      <w:r>
        <w:t xml:space="preserve">. The respondent questioned whether the review of the 3.6 GHz band had been </w:t>
      </w:r>
      <w:r w:rsidR="00A50AEC" w:rsidRPr="00284CE1">
        <w:t>accelerat</w:t>
      </w:r>
      <w:r>
        <w:t>ed</w:t>
      </w:r>
      <w:r w:rsidR="00A50AEC" w:rsidRPr="00284CE1">
        <w:rPr>
          <w:rFonts w:eastAsia="Calibri"/>
        </w:rPr>
        <w:t>, intentionally or otherwise</w:t>
      </w:r>
      <w:r>
        <w:t>,</w:t>
      </w:r>
      <w:r w:rsidR="00A50AEC" w:rsidRPr="00284CE1">
        <w:rPr>
          <w:rFonts w:eastAsia="Calibri"/>
        </w:rPr>
        <w:t xml:space="preserve"> to </w:t>
      </w:r>
      <w:r w:rsidR="00A50AEC" w:rsidRPr="001876C7">
        <w:rPr>
          <w:rFonts w:eastAsia="Calibri"/>
        </w:rPr>
        <w:t>forestall that outcome.</w:t>
      </w:r>
    </w:p>
    <w:p w14:paraId="583CA88D" w14:textId="77777777" w:rsidR="00A50AEC" w:rsidRPr="001876C7" w:rsidRDefault="00A50AEC" w:rsidP="00E46FB1">
      <w:pPr>
        <w:pStyle w:val="BodySubHeader"/>
      </w:pPr>
      <w:r w:rsidRPr="001876C7">
        <w:t xml:space="preserve">ACMA </w:t>
      </w:r>
      <w:r w:rsidR="00E46FB1">
        <w:t>r</w:t>
      </w:r>
      <w:r w:rsidRPr="001876C7">
        <w:t>esponse</w:t>
      </w:r>
    </w:p>
    <w:p w14:paraId="2A1B12F3" w14:textId="549C36A1" w:rsidR="001876C7" w:rsidRDefault="00A50AEC" w:rsidP="00E46FB1">
      <w:r w:rsidRPr="001876C7">
        <w:t xml:space="preserve">The </w:t>
      </w:r>
      <w:r w:rsidR="001876C7" w:rsidRPr="001876C7">
        <w:t xml:space="preserve">reasons for the prioritisation of the 3.6 GHz review were outlined in the Options paper. The prioritisation recognised the significant investment uncertainty the </w:t>
      </w:r>
      <w:r w:rsidR="00E46FB1">
        <w:t>R</w:t>
      </w:r>
      <w:r w:rsidR="001876C7" w:rsidRPr="001876C7">
        <w:t>eview has created for incumbent spectrum users, including the effect of the November 2016 spectrum embargo</w:t>
      </w:r>
      <w:r w:rsidR="001876C7">
        <w:t xml:space="preserve"> decision on point-to-multipoint users, including WISPs and their customers in regional Australia. Submissions and representations have expressed frustration at the lack of clear long-term licensing options for future point-to-multipoint deployments. The decision to prioritise the 3.6 GHz band also took into account submissions from several carriers supporting the urgent re</w:t>
      </w:r>
      <w:r w:rsidR="00910D48">
        <w:t>-</w:t>
      </w:r>
      <w:r w:rsidR="001876C7">
        <w:t xml:space="preserve">allocation of spectrum in the band for wide-area broadband deployments (fixed and mobile), including likely early 5G deployments. Prioritising the review of this band was intended to provide greater clarity and investment certainty for incumbents and potential new band entrants alike. </w:t>
      </w:r>
    </w:p>
    <w:p w14:paraId="6BB2B311" w14:textId="02ACAEBC" w:rsidR="001876C7" w:rsidRPr="00DA4987" w:rsidRDefault="00C1201C" w:rsidP="00DA4987">
      <w:pPr>
        <w:spacing w:before="240"/>
      </w:pPr>
      <w:r>
        <w:t>T</w:t>
      </w:r>
      <w:r w:rsidR="00DA4987">
        <w:t xml:space="preserve">he </w:t>
      </w:r>
      <w:r w:rsidR="00E46FB1">
        <w:t>g</w:t>
      </w:r>
      <w:r w:rsidR="00DA4987">
        <w:t xml:space="preserve">overnment </w:t>
      </w:r>
      <w:r>
        <w:t xml:space="preserve">has </w:t>
      </w:r>
      <w:r w:rsidR="00DA4987">
        <w:t xml:space="preserve">indicated that </w:t>
      </w:r>
      <w:r>
        <w:t>the new legislation will not provide for</w:t>
      </w:r>
      <w:r w:rsidR="00DA4987" w:rsidRPr="00DA4987">
        <w:t xml:space="preserve"> perpetual licences</w:t>
      </w:r>
      <w:r>
        <w:t xml:space="preserve">. </w:t>
      </w:r>
      <w:r w:rsidR="007A2DDD">
        <w:t>The</w:t>
      </w:r>
      <w:r>
        <w:t xml:space="preserve"> exposure draft of the </w:t>
      </w:r>
      <w:r w:rsidR="00DA4987" w:rsidRPr="00DA4987">
        <w:t>Bill provides for licences to be issued for up to 20 years</w:t>
      </w:r>
      <w:r w:rsidR="00DA4987">
        <w:rPr>
          <w:rStyle w:val="FootnoteReference"/>
        </w:rPr>
        <w:footnoteReference w:id="13"/>
      </w:r>
      <w:r>
        <w:t>, it would also allow the ACMA to fix shorter periods</w:t>
      </w:r>
      <w:r w:rsidR="00DA4987" w:rsidRPr="00DA4987">
        <w:t>.</w:t>
      </w:r>
      <w:r>
        <w:t xml:space="preserve"> </w:t>
      </w:r>
    </w:p>
    <w:p w14:paraId="418C7542" w14:textId="77777777" w:rsidR="00270CD3" w:rsidRPr="00D358D9" w:rsidRDefault="00DA4987" w:rsidP="00270CD3">
      <w:pPr>
        <w:pStyle w:val="Heading3"/>
      </w:pPr>
      <w:bookmarkStart w:id="175" w:name="_Toc496620346"/>
      <w:r>
        <w:t xml:space="preserve">Assumptions regarding services provided by the </w:t>
      </w:r>
      <w:r w:rsidR="00E46FB1">
        <w:t>NBN</w:t>
      </w:r>
      <w:bookmarkEnd w:id="175"/>
    </w:p>
    <w:p w14:paraId="447B35F9" w14:textId="3DD42118" w:rsidR="00A50AEC" w:rsidRDefault="00DA4987" w:rsidP="00DA4987">
      <w:r>
        <w:t xml:space="preserve">Some submissions argued that there was an </w:t>
      </w:r>
      <w:r w:rsidR="00A50AEC" w:rsidRPr="0002080C">
        <w:t xml:space="preserve">assumption </w:t>
      </w:r>
      <w:r>
        <w:t xml:space="preserve">in the HVU analysis </w:t>
      </w:r>
      <w:r w:rsidR="00A50AEC" w:rsidRPr="0002080C">
        <w:t xml:space="preserve">that </w:t>
      </w:r>
      <w:r>
        <w:t xml:space="preserve">the </w:t>
      </w:r>
      <w:r w:rsidR="001344BA">
        <w:t>NBN</w:t>
      </w:r>
      <w:r>
        <w:t xml:space="preserve"> </w:t>
      </w:r>
      <w:r w:rsidR="00A50AEC" w:rsidRPr="0002080C">
        <w:t>will address all regional broadband needs</w:t>
      </w:r>
      <w:r>
        <w:t xml:space="preserve">. These submissions noted that there are </w:t>
      </w:r>
      <w:r w:rsidR="00A50AEC" w:rsidRPr="0002080C">
        <w:t xml:space="preserve">limitations to what </w:t>
      </w:r>
      <w:r w:rsidR="001344BA">
        <w:t xml:space="preserve">the </w:t>
      </w:r>
      <w:r w:rsidR="00E46FB1">
        <w:t>NBN</w:t>
      </w:r>
      <w:r w:rsidR="00E46FB1" w:rsidRPr="0002080C">
        <w:t xml:space="preserve"> </w:t>
      </w:r>
      <w:r w:rsidR="00A50AEC" w:rsidRPr="0002080C">
        <w:t xml:space="preserve">can provide </w:t>
      </w:r>
      <w:r>
        <w:t>across different areas</w:t>
      </w:r>
      <w:r w:rsidR="00A50AEC" w:rsidRPr="0002080C">
        <w:t>.</w:t>
      </w:r>
    </w:p>
    <w:p w14:paraId="45D278DC" w14:textId="77777777" w:rsidR="00DA4987" w:rsidRPr="001876C7" w:rsidRDefault="00DA4987" w:rsidP="00E46FB1">
      <w:pPr>
        <w:pStyle w:val="BodySubHeader"/>
        <w:keepNext/>
      </w:pPr>
      <w:r w:rsidRPr="001876C7">
        <w:t xml:space="preserve">ACMA </w:t>
      </w:r>
      <w:r w:rsidR="00E46FB1">
        <w:t>r</w:t>
      </w:r>
      <w:r w:rsidRPr="001876C7">
        <w:t>esponse</w:t>
      </w:r>
    </w:p>
    <w:p w14:paraId="36735CE0" w14:textId="77777777" w:rsidR="00F24B0F" w:rsidRDefault="00DA4987" w:rsidP="004D2496">
      <w:r>
        <w:t>It was acknowledged in the HVU analysis that there is an unquantifiable cost in the cases where an</w:t>
      </w:r>
      <w:r w:rsidRPr="00DA4987">
        <w:t xml:space="preserve"> incumbent licensees may discontinue service. The incremental costs will be the difference in economic welfare between the existing WISP service and the substitute internet service that customers use. </w:t>
      </w:r>
      <w:r w:rsidR="0005076F">
        <w:t xml:space="preserve">However, in these cases, the incremental cost is not expected to have a material impact on the overall result of the HVU analysis. </w:t>
      </w:r>
    </w:p>
    <w:p w14:paraId="02BEC5C3" w14:textId="77777777" w:rsidR="00E054A2" w:rsidRPr="000D76E0" w:rsidRDefault="00AD38B7" w:rsidP="00E054A2">
      <w:pPr>
        <w:pStyle w:val="Heading1"/>
      </w:pPr>
      <w:bookmarkStart w:id="176" w:name="_Toc494375846"/>
      <w:bookmarkStart w:id="177" w:name="_Toc494378919"/>
      <w:bookmarkStart w:id="178" w:name="_Toc495935490"/>
      <w:bookmarkStart w:id="179" w:name="_Toc495935520"/>
      <w:bookmarkStart w:id="180" w:name="_Toc496620347"/>
      <w:r>
        <w:t>4</w:t>
      </w:r>
      <w:r w:rsidR="00E054A2">
        <w:t>.</w:t>
      </w:r>
      <w:r w:rsidR="00E054A2">
        <w:tab/>
        <w:t xml:space="preserve">ACMA </w:t>
      </w:r>
      <w:r w:rsidR="00651697">
        <w:t>d</w:t>
      </w:r>
      <w:r w:rsidR="00E054A2">
        <w:t>ecision</w:t>
      </w:r>
      <w:bookmarkEnd w:id="176"/>
      <w:bookmarkEnd w:id="177"/>
      <w:r w:rsidR="00651697">
        <w:t xml:space="preserve">s and </w:t>
      </w:r>
      <w:bookmarkEnd w:id="178"/>
      <w:bookmarkEnd w:id="179"/>
      <w:r w:rsidR="00584558">
        <w:t>preliminary views</w:t>
      </w:r>
      <w:bookmarkEnd w:id="180"/>
    </w:p>
    <w:p w14:paraId="2981C189" w14:textId="77777777" w:rsidR="007A2DDD" w:rsidRDefault="007A2DDD" w:rsidP="007A2DDD">
      <w:r>
        <w:t xml:space="preserve">Based on input to the Options paper and the resulting ACMA analysis, the ACMA has decided to progress the 3.6 GHz band to the re-farming stage of its </w:t>
      </w:r>
      <w:hyperlink r:id="rId42" w:history="1">
        <w:r w:rsidRPr="00A84D5C">
          <w:rPr>
            <w:rStyle w:val="Hyperlink"/>
          </w:rPr>
          <w:t>process for considering additional spectrum for mobile broadband services</w:t>
        </w:r>
      </w:hyperlink>
      <w:r>
        <w:t>. The approach is largely consistent with the preferred option outlined by the ACMA in the Options paper, but with some modest changes to reflect information gained during consultation and further consideration by the ACMA.</w:t>
      </w:r>
    </w:p>
    <w:p w14:paraId="71EA7F81" w14:textId="77777777" w:rsidR="007A2DDD" w:rsidRPr="00CE2068" w:rsidRDefault="007A2DDD" w:rsidP="00A0447C">
      <w:pPr>
        <w:spacing w:after="80"/>
      </w:pPr>
      <w:r>
        <w:t>The ACMA will:</w:t>
      </w:r>
    </w:p>
    <w:p w14:paraId="4C2A76CB" w14:textId="77777777" w:rsidR="007A2DDD" w:rsidRPr="00A46FAE" w:rsidRDefault="007A2DDD" w:rsidP="007A2DDD">
      <w:pPr>
        <w:pStyle w:val="ListNumber"/>
        <w:numPr>
          <w:ilvl w:val="0"/>
          <w:numId w:val="45"/>
        </w:numPr>
      </w:pPr>
      <w:r w:rsidRPr="00A46FAE">
        <w:t>Consult on a recommendation to the minister</w:t>
      </w:r>
      <w:r w:rsidRPr="0055309D">
        <w:rPr>
          <w:vertAlign w:val="superscript"/>
        </w:rPr>
        <w:footnoteReference w:id="14"/>
      </w:r>
      <w:r>
        <w:t xml:space="preserve"> </w:t>
      </w:r>
      <w:r w:rsidRPr="007A2DDD">
        <w:rPr>
          <w:rFonts w:cs="Arial"/>
          <w:szCs w:val="20"/>
          <w:lang w:eastAsia="en-US"/>
        </w:rPr>
        <w:t>(the re-allocation consultation)</w:t>
      </w:r>
      <w:r w:rsidRPr="00A46FAE">
        <w:t>, that, in accordance with section 153B of the Act, he make a re-allocation declaration for the issue of spectrum licences</w:t>
      </w:r>
      <w:r>
        <w:t xml:space="preserve"> for</w:t>
      </w:r>
      <w:r w:rsidRPr="00A46FAE">
        <w:t xml:space="preserve"> the entire 3.6 GHz band in metropolitan and regional areas (that is, areas 1A, 1B, 2 and 3 as defined in Annex C) and apply the following re-allocation periods:</w:t>
      </w:r>
    </w:p>
    <w:p w14:paraId="141C1833" w14:textId="77777777" w:rsidR="007A2DDD" w:rsidRDefault="007A2DDD" w:rsidP="007A2DDD">
      <w:pPr>
        <w:pStyle w:val="ListBullet2"/>
        <w:rPr>
          <w:lang w:eastAsia="en-US"/>
        </w:rPr>
      </w:pPr>
      <w:r>
        <w:rPr>
          <w:lang w:eastAsia="en-US"/>
        </w:rPr>
        <w:t>two</w:t>
      </w:r>
      <w:r w:rsidRPr="00CE2068">
        <w:rPr>
          <w:lang w:eastAsia="en-US"/>
        </w:rPr>
        <w:t xml:space="preserve"> years in </w:t>
      </w:r>
      <w:r>
        <w:rPr>
          <w:lang w:eastAsia="en-US"/>
        </w:rPr>
        <w:t>Adelaide, Brisbane, Canberra, Melbourne and Sydney (Area 1A)</w:t>
      </w:r>
    </w:p>
    <w:p w14:paraId="14D916D3" w14:textId="77777777" w:rsidR="007A2DDD" w:rsidRDefault="007A2DDD" w:rsidP="007A2DDD">
      <w:pPr>
        <w:pStyle w:val="ListBullet2"/>
        <w:rPr>
          <w:lang w:eastAsia="en-US"/>
        </w:rPr>
      </w:pPr>
      <w:r>
        <w:rPr>
          <w:lang w:eastAsia="en-US"/>
        </w:rPr>
        <w:t>five years in Perth (Area 1B)</w:t>
      </w:r>
    </w:p>
    <w:p w14:paraId="674D5C44" w14:textId="77777777" w:rsidR="007A2DDD" w:rsidRDefault="007A2DDD" w:rsidP="007A2DDD">
      <w:pPr>
        <w:pStyle w:val="ListBullet2"/>
        <w:rPr>
          <w:lang w:eastAsia="en-US"/>
        </w:rPr>
      </w:pPr>
      <w:r>
        <w:rPr>
          <w:lang w:eastAsia="en-US"/>
        </w:rPr>
        <w:t>seven</w:t>
      </w:r>
      <w:r w:rsidRPr="00CE2068">
        <w:rPr>
          <w:lang w:eastAsia="en-US"/>
        </w:rPr>
        <w:t xml:space="preserve"> years in ‘metro plus’ areas</w:t>
      </w:r>
      <w:r>
        <w:rPr>
          <w:lang w:eastAsia="en-US"/>
        </w:rPr>
        <w:t xml:space="preserve"> (Area 2)</w:t>
      </w:r>
    </w:p>
    <w:p w14:paraId="1DD97EB6" w14:textId="77777777" w:rsidR="007A2DDD" w:rsidRPr="00975956" w:rsidRDefault="007A2DDD" w:rsidP="007A2DDD">
      <w:pPr>
        <w:pStyle w:val="ListBullet2"/>
        <w:rPr>
          <w:lang w:eastAsia="en-US"/>
        </w:rPr>
      </w:pPr>
      <w:proofErr w:type="gramStart"/>
      <w:r>
        <w:rPr>
          <w:lang w:eastAsia="en-US"/>
        </w:rPr>
        <w:t>seven</w:t>
      </w:r>
      <w:proofErr w:type="gramEnd"/>
      <w:r w:rsidRPr="00CE2068">
        <w:rPr>
          <w:lang w:eastAsia="en-US"/>
        </w:rPr>
        <w:t xml:space="preserve"> years in the rest of regional Australia</w:t>
      </w:r>
      <w:r>
        <w:rPr>
          <w:lang w:eastAsia="en-US"/>
        </w:rPr>
        <w:t xml:space="preserve"> (Area 3)</w:t>
      </w:r>
      <w:r w:rsidRPr="00CE2068">
        <w:rPr>
          <w:lang w:eastAsia="en-US"/>
        </w:rPr>
        <w:t>.</w:t>
      </w:r>
    </w:p>
    <w:p w14:paraId="3BDED612" w14:textId="77777777" w:rsidR="007A2DDD" w:rsidRPr="003A7804" w:rsidRDefault="007A2DDD" w:rsidP="007A2DDD">
      <w:pPr>
        <w:pStyle w:val="ListParagraph"/>
        <w:spacing w:before="20" w:after="80" w:line="240" w:lineRule="auto"/>
        <w:ind w:left="360"/>
        <w:rPr>
          <w:rFonts w:cs="Arial"/>
          <w:szCs w:val="20"/>
          <w:lang w:eastAsia="en-US"/>
        </w:rPr>
      </w:pPr>
      <w:r w:rsidRPr="003A7804">
        <w:rPr>
          <w:rFonts w:cs="Arial"/>
          <w:szCs w:val="20"/>
          <w:lang w:eastAsia="en-US"/>
        </w:rPr>
        <w:t>Th</w:t>
      </w:r>
      <w:r>
        <w:rPr>
          <w:rFonts w:cs="Arial"/>
          <w:szCs w:val="20"/>
          <w:lang w:eastAsia="en-US"/>
        </w:rPr>
        <w:t>e</w:t>
      </w:r>
      <w:r w:rsidRPr="003A7804">
        <w:rPr>
          <w:rFonts w:cs="Arial"/>
          <w:szCs w:val="20"/>
          <w:lang w:eastAsia="en-US"/>
        </w:rPr>
        <w:t xml:space="preserve"> re</w:t>
      </w:r>
      <w:r>
        <w:rPr>
          <w:rFonts w:cs="Arial"/>
          <w:szCs w:val="20"/>
          <w:lang w:eastAsia="en-US"/>
        </w:rPr>
        <w:t>-</w:t>
      </w:r>
      <w:r w:rsidRPr="003A7804">
        <w:rPr>
          <w:rFonts w:cs="Arial"/>
          <w:szCs w:val="20"/>
          <w:lang w:eastAsia="en-US"/>
        </w:rPr>
        <w:t xml:space="preserve">allocation periods </w:t>
      </w:r>
      <w:r>
        <w:rPr>
          <w:rFonts w:cs="Arial"/>
          <w:szCs w:val="20"/>
          <w:lang w:eastAsia="en-US"/>
        </w:rPr>
        <w:t xml:space="preserve">proposed </w:t>
      </w:r>
      <w:r w:rsidRPr="003A7804">
        <w:rPr>
          <w:rFonts w:cs="Arial"/>
          <w:szCs w:val="20"/>
          <w:lang w:eastAsia="en-US"/>
        </w:rPr>
        <w:t>in</w:t>
      </w:r>
      <w:r>
        <w:rPr>
          <w:rFonts w:cs="Arial"/>
          <w:szCs w:val="20"/>
          <w:lang w:eastAsia="en-US"/>
        </w:rPr>
        <w:t xml:space="preserve"> Area 1B</w:t>
      </w:r>
      <w:r w:rsidRPr="003A7804">
        <w:rPr>
          <w:rFonts w:cs="Arial"/>
          <w:szCs w:val="20"/>
          <w:lang w:eastAsia="en-US"/>
        </w:rPr>
        <w:t xml:space="preserve">, Area 2 and Area 3 are </w:t>
      </w:r>
      <w:r>
        <w:rPr>
          <w:rFonts w:cs="Arial"/>
          <w:szCs w:val="20"/>
          <w:lang w:eastAsia="en-US"/>
        </w:rPr>
        <w:t xml:space="preserve">longer than have generally been used in the past (typically periods in the range of two to four years have been defined). They are </w:t>
      </w:r>
      <w:r w:rsidRPr="003A7804">
        <w:rPr>
          <w:rFonts w:cs="Arial"/>
          <w:szCs w:val="20"/>
          <w:lang w:eastAsia="en-US"/>
        </w:rPr>
        <w:t xml:space="preserve">intended as </w:t>
      </w:r>
      <w:r>
        <w:rPr>
          <w:rFonts w:cs="Arial"/>
          <w:szCs w:val="20"/>
          <w:lang w:eastAsia="en-US"/>
        </w:rPr>
        <w:t>part of the</w:t>
      </w:r>
      <w:r w:rsidRPr="003A7804">
        <w:rPr>
          <w:rFonts w:cs="Arial"/>
          <w:szCs w:val="20"/>
          <w:lang w:eastAsia="en-US"/>
        </w:rPr>
        <w:t xml:space="preserve"> mitigation</w:t>
      </w:r>
      <w:r>
        <w:rPr>
          <w:rFonts w:cs="Arial"/>
          <w:szCs w:val="20"/>
          <w:lang w:eastAsia="en-US"/>
        </w:rPr>
        <w:t xml:space="preserve"> strategy</w:t>
      </w:r>
      <w:r w:rsidRPr="003A7804">
        <w:rPr>
          <w:rFonts w:cs="Arial"/>
          <w:szCs w:val="20"/>
          <w:lang w:eastAsia="en-US"/>
        </w:rPr>
        <w:t xml:space="preserve"> for incumbents.</w:t>
      </w:r>
    </w:p>
    <w:p w14:paraId="6EC75517" w14:textId="77777777" w:rsidR="007A2DDD" w:rsidRPr="00C83310" w:rsidRDefault="007A2DDD" w:rsidP="007A2DDD">
      <w:pPr>
        <w:pStyle w:val="ListNumber"/>
        <w:rPr>
          <w:lang w:eastAsia="en-US"/>
        </w:rPr>
      </w:pPr>
      <w:r>
        <w:rPr>
          <w:rFonts w:cs="Arial"/>
          <w:szCs w:val="20"/>
          <w:lang w:eastAsia="en-US"/>
        </w:rPr>
        <w:t xml:space="preserve">As part of the re-allocation consultation, flag </w:t>
      </w:r>
      <w:r w:rsidRPr="00C83310">
        <w:rPr>
          <w:lang w:eastAsia="en-US"/>
        </w:rPr>
        <w:t xml:space="preserve">the option of excising areas around Moree, Quirindi and Roma as defined in Annex D, from being re-allocated. It is </w:t>
      </w:r>
      <w:r>
        <w:rPr>
          <w:lang w:eastAsia="en-US"/>
        </w:rPr>
        <w:t>proposed</w:t>
      </w:r>
      <w:r w:rsidRPr="00C83310">
        <w:rPr>
          <w:lang w:eastAsia="en-US"/>
        </w:rPr>
        <w:t xml:space="preserve"> that these areas be investigated as locations for potential east coast </w:t>
      </w:r>
      <w:r>
        <w:rPr>
          <w:lang w:eastAsia="en-US"/>
        </w:rPr>
        <w:t>e</w:t>
      </w:r>
      <w:r w:rsidRPr="00C83310">
        <w:rPr>
          <w:lang w:eastAsia="en-US"/>
        </w:rPr>
        <w:t xml:space="preserve">arth station protection zones in the 3.6 GHz band (and other commercial satellite bands). </w:t>
      </w:r>
      <w:r>
        <w:rPr>
          <w:lang w:eastAsia="en-US"/>
        </w:rPr>
        <w:t>It is should be n</w:t>
      </w:r>
      <w:r w:rsidRPr="00C83310">
        <w:rPr>
          <w:lang w:eastAsia="en-US"/>
        </w:rPr>
        <w:t>ote</w:t>
      </w:r>
      <w:r>
        <w:rPr>
          <w:lang w:eastAsia="en-US"/>
        </w:rPr>
        <w:t>d</w:t>
      </w:r>
      <w:r w:rsidRPr="00C83310">
        <w:rPr>
          <w:lang w:eastAsia="en-US"/>
        </w:rPr>
        <w:t xml:space="preserve"> that commitment to these locations in regional Australia does not preclude investigation of possible locations outside those areas being recommended </w:t>
      </w:r>
      <w:r>
        <w:rPr>
          <w:lang w:eastAsia="en-US"/>
        </w:rPr>
        <w:t xml:space="preserve">for </w:t>
      </w:r>
      <w:r w:rsidRPr="00C83310">
        <w:rPr>
          <w:lang w:eastAsia="en-US"/>
        </w:rPr>
        <w:t xml:space="preserve">re-allocation (for example, Bourke). </w:t>
      </w:r>
      <w:r>
        <w:rPr>
          <w:lang w:eastAsia="en-US"/>
        </w:rPr>
        <w:t>If one or more of these areas are excised from the final recommendation to the minister, and pending a decision from the minister, s</w:t>
      </w:r>
      <w:r w:rsidRPr="00C83310">
        <w:rPr>
          <w:lang w:eastAsia="en-US"/>
        </w:rPr>
        <w:t xml:space="preserve">uitable protection arrangements </w:t>
      </w:r>
      <w:r>
        <w:rPr>
          <w:lang w:eastAsia="en-US"/>
        </w:rPr>
        <w:t>for the zones would</w:t>
      </w:r>
      <w:r w:rsidRPr="00C83310">
        <w:rPr>
          <w:lang w:eastAsia="en-US"/>
        </w:rPr>
        <w:t xml:space="preserve"> be developed as part of any Technical Liaison Group (TLG) process for the 3.6 GHz band. In the event </w:t>
      </w:r>
      <w:r>
        <w:rPr>
          <w:lang w:eastAsia="en-US"/>
        </w:rPr>
        <w:t xml:space="preserve">that </w:t>
      </w:r>
      <w:r w:rsidRPr="00C83310">
        <w:rPr>
          <w:lang w:eastAsia="en-US"/>
        </w:rPr>
        <w:t xml:space="preserve">one or more of these sites are found to be unsuitable, any protection criteria </w:t>
      </w:r>
      <w:r>
        <w:rPr>
          <w:lang w:eastAsia="en-US"/>
        </w:rPr>
        <w:t>c</w:t>
      </w:r>
      <w:r w:rsidRPr="00C83310">
        <w:rPr>
          <w:lang w:eastAsia="en-US"/>
        </w:rPr>
        <w:t xml:space="preserve">ould be removed and options to make the areas available initially for the apparatus licensing of wide-area broadband services and </w:t>
      </w:r>
      <w:r>
        <w:rPr>
          <w:lang w:eastAsia="en-US"/>
        </w:rPr>
        <w:t xml:space="preserve">possible eventual </w:t>
      </w:r>
      <w:r w:rsidRPr="00D71662">
        <w:rPr>
          <w:lang w:eastAsia="en-US"/>
        </w:rPr>
        <w:t>spectrum licensing</w:t>
      </w:r>
      <w:r>
        <w:rPr>
          <w:lang w:eastAsia="en-US"/>
        </w:rPr>
        <w:t>, subject to a further re-allocation decision,</w:t>
      </w:r>
      <w:r w:rsidRPr="00D71662">
        <w:rPr>
          <w:lang w:eastAsia="en-US"/>
        </w:rPr>
        <w:t xml:space="preserve"> could be investigated.</w:t>
      </w:r>
      <w:r>
        <w:rPr>
          <w:rStyle w:val="FootnoteReference"/>
          <w:rFonts w:cs="Arial"/>
          <w:szCs w:val="20"/>
          <w:lang w:eastAsia="en-US"/>
        </w:rPr>
        <w:footnoteReference w:id="15"/>
      </w:r>
    </w:p>
    <w:p w14:paraId="70184A6A" w14:textId="77777777" w:rsidR="007A2DDD" w:rsidRPr="00CE2068" w:rsidRDefault="007A2DDD" w:rsidP="007A2DDD">
      <w:pPr>
        <w:pStyle w:val="ListNumber"/>
        <w:rPr>
          <w:lang w:eastAsia="en-US"/>
        </w:rPr>
      </w:pPr>
      <w:r>
        <w:rPr>
          <w:rFonts w:cs="Arial"/>
          <w:szCs w:val="20"/>
          <w:lang w:eastAsia="en-US"/>
        </w:rPr>
        <w:t xml:space="preserve">As part of the re-allocation consultation, flag </w:t>
      </w:r>
      <w:r w:rsidRPr="00C83310">
        <w:rPr>
          <w:lang w:eastAsia="en-US"/>
        </w:rPr>
        <w:t>the option of excising</w:t>
      </w:r>
      <w:r w:rsidDel="00095343">
        <w:rPr>
          <w:lang w:eastAsia="en-US"/>
        </w:rPr>
        <w:t xml:space="preserve"> </w:t>
      </w:r>
      <w:r w:rsidRPr="00A511D3">
        <w:rPr>
          <w:lang w:eastAsia="en-US"/>
        </w:rPr>
        <w:t xml:space="preserve">the area immediately surrounding the earth station facility at Uralla, New South Wales (represented by the </w:t>
      </w:r>
      <w:r w:rsidRPr="00E41E2D">
        <w:rPr>
          <w:lang w:eastAsia="en-US"/>
        </w:rPr>
        <w:t xml:space="preserve">Hierarchical Cell Identification Scheme </w:t>
      </w:r>
      <w:r>
        <w:rPr>
          <w:lang w:eastAsia="en-US"/>
        </w:rPr>
        <w:t>(</w:t>
      </w:r>
      <w:r w:rsidRPr="00A511D3">
        <w:rPr>
          <w:lang w:eastAsia="en-US"/>
        </w:rPr>
        <w:t>HCIS</w:t>
      </w:r>
      <w:r>
        <w:rPr>
          <w:lang w:eastAsia="en-US"/>
        </w:rPr>
        <w:t>)</w:t>
      </w:r>
      <w:r w:rsidRPr="00A511D3">
        <w:rPr>
          <w:lang w:eastAsia="en-US"/>
        </w:rPr>
        <w:t xml:space="preserve"> identifier NU7K4</w:t>
      </w:r>
      <w:r>
        <w:rPr>
          <w:lang w:eastAsia="en-US"/>
        </w:rPr>
        <w:t xml:space="preserve"> and displayed in Annex D</w:t>
      </w:r>
      <w:r w:rsidRPr="00A511D3">
        <w:rPr>
          <w:lang w:eastAsia="en-US"/>
        </w:rPr>
        <w:t>) from being re-allocated</w:t>
      </w:r>
      <w:r>
        <w:rPr>
          <w:lang w:eastAsia="en-US"/>
        </w:rPr>
        <w:t>. This would enable the e</w:t>
      </w:r>
      <w:r w:rsidRPr="00CE2068">
        <w:rPr>
          <w:lang w:eastAsia="en-US"/>
        </w:rPr>
        <w:t>arth station facility operated by Lockheed Martin</w:t>
      </w:r>
      <w:r>
        <w:rPr>
          <w:lang w:eastAsia="en-US"/>
        </w:rPr>
        <w:t xml:space="preserve"> to continue operating under apparatus-licenced arrangements. If this area is excised from the final recommendation to the minister, and pending a decision form the Minister, suitable protection criteria for the facility would be developed as part of any TLG process for the 3.6 GHz. Note, the long-term viability of this site </w:t>
      </w:r>
      <w:r w:rsidRPr="00CE2068">
        <w:rPr>
          <w:lang w:eastAsia="en-US"/>
        </w:rPr>
        <w:t>may be reviewed in the future</w:t>
      </w:r>
      <w:r>
        <w:rPr>
          <w:lang w:eastAsia="en-US"/>
        </w:rPr>
        <w:t>,</w:t>
      </w:r>
      <w:r w:rsidRPr="00CE2068">
        <w:rPr>
          <w:lang w:eastAsia="en-US"/>
        </w:rPr>
        <w:t xml:space="preserve"> given increasing international interest in the 3700</w:t>
      </w:r>
      <w:r>
        <w:rPr>
          <w:lang w:eastAsia="en-US"/>
        </w:rPr>
        <w:t>–</w:t>
      </w:r>
      <w:r w:rsidRPr="00CE2068">
        <w:rPr>
          <w:lang w:eastAsia="en-US"/>
        </w:rPr>
        <w:t>4200 MHz band for use by</w:t>
      </w:r>
      <w:r>
        <w:rPr>
          <w:lang w:eastAsia="en-US"/>
        </w:rPr>
        <w:t xml:space="preserve"> wide-area</w:t>
      </w:r>
      <w:r w:rsidRPr="00CE2068">
        <w:rPr>
          <w:lang w:eastAsia="en-US"/>
        </w:rPr>
        <w:t xml:space="preserve"> </w:t>
      </w:r>
      <w:r>
        <w:rPr>
          <w:lang w:eastAsia="en-US"/>
        </w:rPr>
        <w:t>broadband</w:t>
      </w:r>
      <w:r w:rsidRPr="00CE2068">
        <w:rPr>
          <w:lang w:eastAsia="en-US"/>
        </w:rPr>
        <w:t xml:space="preserve"> services.</w:t>
      </w:r>
      <w:r>
        <w:rPr>
          <w:lang w:eastAsia="en-US"/>
        </w:rPr>
        <w:t xml:space="preserve"> </w:t>
      </w:r>
    </w:p>
    <w:p w14:paraId="1CA641F0" w14:textId="72A15E82" w:rsidR="008772B7" w:rsidRDefault="00A0447C" w:rsidP="00253DD3">
      <w:pPr>
        <w:pStyle w:val="ListNumber"/>
        <w:rPr>
          <w:lang w:eastAsia="en-US"/>
        </w:rPr>
      </w:pPr>
      <w:r>
        <w:rPr>
          <w:lang w:eastAsia="en-US"/>
        </w:rPr>
        <w:t>If the m</w:t>
      </w:r>
      <w:r w:rsidR="008772B7">
        <w:rPr>
          <w:lang w:eastAsia="en-US"/>
        </w:rPr>
        <w:t xml:space="preserve">inister makes a re-allocation declaration in accordance with the proposed recommendation, proceed with the necessary steps to undertake a price-based allocation </w:t>
      </w:r>
      <w:r w:rsidR="008772B7" w:rsidRPr="00CE2068">
        <w:rPr>
          <w:lang w:eastAsia="en-US"/>
        </w:rPr>
        <w:t xml:space="preserve">of spectrum licences in </w:t>
      </w:r>
      <w:r w:rsidR="008772B7" w:rsidRPr="00E44C4C">
        <w:rPr>
          <w:lang w:eastAsia="en-US"/>
        </w:rPr>
        <w:t>metropolitan</w:t>
      </w:r>
      <w:r w:rsidR="008772B7" w:rsidRPr="00CE2068">
        <w:rPr>
          <w:lang w:eastAsia="en-US"/>
        </w:rPr>
        <w:t xml:space="preserve"> and regional areas</w:t>
      </w:r>
      <w:r w:rsidR="008772B7">
        <w:rPr>
          <w:lang w:eastAsia="en-US"/>
        </w:rPr>
        <w:t xml:space="preserve"> (</w:t>
      </w:r>
      <w:r w:rsidR="00253DD3">
        <w:rPr>
          <w:lang w:eastAsia="en-US"/>
        </w:rPr>
        <w:t>that is,</w:t>
      </w:r>
      <w:r w:rsidR="008772B7">
        <w:rPr>
          <w:lang w:eastAsia="en-US"/>
        </w:rPr>
        <w:t xml:space="preserve"> </w:t>
      </w:r>
      <w:r w:rsidR="00253DD3">
        <w:rPr>
          <w:lang w:eastAsia="en-US"/>
        </w:rPr>
        <w:t>a</w:t>
      </w:r>
      <w:r w:rsidR="008772B7">
        <w:rPr>
          <w:lang w:eastAsia="en-US"/>
        </w:rPr>
        <w:t>reas 1A, 1B, 2 and 3)</w:t>
      </w:r>
      <w:r w:rsidR="00253DD3">
        <w:rPr>
          <w:lang w:eastAsia="en-US"/>
        </w:rPr>
        <w:t>.</w:t>
      </w:r>
    </w:p>
    <w:p w14:paraId="313C5E98" w14:textId="77777777" w:rsidR="008772B7" w:rsidRPr="00CE2068" w:rsidRDefault="008772B7" w:rsidP="00253DD3">
      <w:pPr>
        <w:pStyle w:val="ListNumber"/>
        <w:rPr>
          <w:lang w:eastAsia="en-US"/>
        </w:rPr>
      </w:pPr>
      <w:r w:rsidRPr="00CE2068">
        <w:rPr>
          <w:lang w:eastAsia="en-US"/>
        </w:rPr>
        <w:t xml:space="preserve">Establish </w:t>
      </w:r>
      <w:r>
        <w:rPr>
          <w:lang w:eastAsia="en-US"/>
        </w:rPr>
        <w:t>site</w:t>
      </w:r>
      <w:r w:rsidR="00253DD3">
        <w:rPr>
          <w:lang w:eastAsia="en-US"/>
        </w:rPr>
        <w:t>-</w:t>
      </w:r>
      <w:r>
        <w:rPr>
          <w:lang w:eastAsia="en-US"/>
        </w:rPr>
        <w:t>based</w:t>
      </w:r>
      <w:r w:rsidRPr="00CE2068">
        <w:rPr>
          <w:lang w:eastAsia="en-US"/>
        </w:rPr>
        <w:t xml:space="preserve"> apparatus</w:t>
      </w:r>
      <w:r w:rsidR="00253DD3">
        <w:rPr>
          <w:lang w:eastAsia="en-US"/>
        </w:rPr>
        <w:t>-</w:t>
      </w:r>
      <w:r w:rsidRPr="00CE2068">
        <w:rPr>
          <w:lang w:eastAsia="en-US"/>
        </w:rPr>
        <w:t xml:space="preserve">licensed </w:t>
      </w:r>
      <w:r>
        <w:rPr>
          <w:lang w:eastAsia="en-US"/>
        </w:rPr>
        <w:t>point-to-multipoint</w:t>
      </w:r>
      <w:r w:rsidRPr="00CE2068">
        <w:rPr>
          <w:lang w:eastAsia="en-US"/>
        </w:rPr>
        <w:t xml:space="preserve"> arrangements in the 5.6 GHz band </w:t>
      </w:r>
      <w:r>
        <w:rPr>
          <w:lang w:eastAsia="en-US"/>
        </w:rPr>
        <w:t xml:space="preserve">in regional and remote Australia </w:t>
      </w:r>
      <w:r w:rsidRPr="00CE2068">
        <w:rPr>
          <w:lang w:eastAsia="en-US"/>
        </w:rPr>
        <w:t xml:space="preserve">as </w:t>
      </w:r>
      <w:r>
        <w:rPr>
          <w:lang w:eastAsia="en-US"/>
        </w:rPr>
        <w:t>part of the</w:t>
      </w:r>
      <w:r w:rsidRPr="00CE2068">
        <w:rPr>
          <w:lang w:eastAsia="en-US"/>
        </w:rPr>
        <w:t xml:space="preserve"> mitigation</w:t>
      </w:r>
      <w:r>
        <w:rPr>
          <w:lang w:eastAsia="en-US"/>
        </w:rPr>
        <w:t xml:space="preserve"> strategy</w:t>
      </w:r>
      <w:r w:rsidRPr="00CE2068">
        <w:rPr>
          <w:lang w:eastAsia="en-US"/>
        </w:rPr>
        <w:t xml:space="preserve"> to assist WISPs and other </w:t>
      </w:r>
      <w:r>
        <w:rPr>
          <w:lang w:eastAsia="en-US"/>
        </w:rPr>
        <w:t>prospective site-based wireless broadband operators</w:t>
      </w:r>
      <w:r w:rsidRPr="00CE2068">
        <w:rPr>
          <w:lang w:eastAsia="en-US"/>
        </w:rPr>
        <w:t xml:space="preserve">. </w:t>
      </w:r>
      <w:r>
        <w:rPr>
          <w:lang w:eastAsia="en-US"/>
        </w:rPr>
        <w:t>The</w:t>
      </w:r>
      <w:r w:rsidRPr="003A7804">
        <w:rPr>
          <w:lang w:eastAsia="en-US"/>
        </w:rPr>
        <w:t xml:space="preserve"> ACMA </w:t>
      </w:r>
      <w:r>
        <w:rPr>
          <w:lang w:eastAsia="en-US"/>
        </w:rPr>
        <w:t xml:space="preserve">will adopt a </w:t>
      </w:r>
      <w:r w:rsidRPr="003A7804">
        <w:rPr>
          <w:lang w:eastAsia="en-US"/>
        </w:rPr>
        <w:t xml:space="preserve">policy </w:t>
      </w:r>
      <w:r>
        <w:rPr>
          <w:lang w:eastAsia="en-US"/>
        </w:rPr>
        <w:t>position</w:t>
      </w:r>
      <w:r w:rsidRPr="003A7804">
        <w:rPr>
          <w:lang w:eastAsia="en-US"/>
        </w:rPr>
        <w:t xml:space="preserve"> </w:t>
      </w:r>
      <w:r>
        <w:rPr>
          <w:lang w:eastAsia="en-US"/>
        </w:rPr>
        <w:t xml:space="preserve">that the 5.6 GHz band should be made available for such licensing at least until the end of 2028. </w:t>
      </w:r>
      <w:r w:rsidRPr="003A7804">
        <w:rPr>
          <w:lang w:eastAsia="en-US"/>
        </w:rPr>
        <w:t>In addition to this</w:t>
      </w:r>
      <w:r w:rsidR="00253DD3">
        <w:rPr>
          <w:lang w:eastAsia="en-US"/>
        </w:rPr>
        <w:t>,</w:t>
      </w:r>
      <w:r w:rsidRPr="003A7804">
        <w:rPr>
          <w:lang w:eastAsia="en-US"/>
        </w:rPr>
        <w:t xml:space="preserve"> it will be ACMA policy that existing 3.6 GHz point-to-multipoint licensees in Area 2</w:t>
      </w:r>
      <w:r>
        <w:rPr>
          <w:lang w:eastAsia="en-US"/>
        </w:rPr>
        <w:t xml:space="preserve"> and Area 3</w:t>
      </w:r>
      <w:r w:rsidRPr="003A7804">
        <w:rPr>
          <w:lang w:eastAsia="en-US"/>
        </w:rPr>
        <w:t xml:space="preserve">, be </w:t>
      </w:r>
      <w:r>
        <w:rPr>
          <w:lang w:eastAsia="en-US"/>
        </w:rPr>
        <w:t xml:space="preserve">encouraged to </w:t>
      </w:r>
      <w:r w:rsidRPr="003A7804">
        <w:rPr>
          <w:lang w:eastAsia="en-US"/>
        </w:rPr>
        <w:t xml:space="preserve">apply for licences in the </w:t>
      </w:r>
      <w:r>
        <w:rPr>
          <w:lang w:eastAsia="en-US"/>
        </w:rPr>
        <w:t xml:space="preserve">5.6 GHz </w:t>
      </w:r>
      <w:r w:rsidRPr="003A7804">
        <w:rPr>
          <w:lang w:eastAsia="en-US"/>
        </w:rPr>
        <w:t xml:space="preserve">band </w:t>
      </w:r>
      <w:r>
        <w:rPr>
          <w:lang w:eastAsia="en-US"/>
        </w:rPr>
        <w:t>and will be given preference in the ACMA’s consideration of such applications</w:t>
      </w:r>
      <w:r w:rsidRPr="003A7804">
        <w:rPr>
          <w:lang w:eastAsia="en-US"/>
        </w:rPr>
        <w:t xml:space="preserve">. </w:t>
      </w:r>
      <w:r w:rsidRPr="00251968">
        <w:t xml:space="preserve">The ACMA will </w:t>
      </w:r>
      <w:r>
        <w:t>work</w:t>
      </w:r>
      <w:r w:rsidRPr="00251968">
        <w:t xml:space="preserve"> with industry to develop </w:t>
      </w:r>
      <w:r>
        <w:t xml:space="preserve">a </w:t>
      </w:r>
      <w:r w:rsidRPr="00251968">
        <w:t xml:space="preserve">process to </w:t>
      </w:r>
      <w:r>
        <w:t>guide its decision making when there is</w:t>
      </w:r>
      <w:r w:rsidRPr="00251968">
        <w:t xml:space="preserve"> contention for these licences in areas where</w:t>
      </w:r>
      <w:r>
        <w:t xml:space="preserve"> there are multiple licensees vying for access to the</w:t>
      </w:r>
      <w:r w:rsidRPr="00251968">
        <w:t xml:space="preserve"> </w:t>
      </w:r>
      <w:r>
        <w:t>band.</w:t>
      </w:r>
      <w:r w:rsidR="00336E17">
        <w:t xml:space="preserve"> </w:t>
      </w:r>
      <w:r w:rsidRPr="00251968">
        <w:t xml:space="preserve"> </w:t>
      </w:r>
    </w:p>
    <w:p w14:paraId="7405AEDA" w14:textId="77777777" w:rsidR="00F63E9A" w:rsidRDefault="008772B7" w:rsidP="00253DD3">
      <w:pPr>
        <w:pStyle w:val="ListNumber"/>
        <w:rPr>
          <w:lang w:eastAsia="en-US"/>
        </w:rPr>
      </w:pPr>
      <w:r>
        <w:rPr>
          <w:lang w:eastAsia="en-US"/>
        </w:rPr>
        <w:t>Investigate</w:t>
      </w:r>
      <w:r w:rsidRPr="00CE2068">
        <w:rPr>
          <w:lang w:eastAsia="en-US"/>
        </w:rPr>
        <w:t xml:space="preserve"> the possibility of apparatus licensed </w:t>
      </w:r>
      <w:r>
        <w:rPr>
          <w:lang w:eastAsia="en-US"/>
        </w:rPr>
        <w:t>point-to-multipoint</w:t>
      </w:r>
      <w:r w:rsidRPr="00CE2068">
        <w:rPr>
          <w:lang w:eastAsia="en-US"/>
        </w:rPr>
        <w:t xml:space="preserve"> arrangements in </w:t>
      </w:r>
      <w:r>
        <w:rPr>
          <w:lang w:eastAsia="en-US"/>
        </w:rPr>
        <w:t>part of</w:t>
      </w:r>
      <w:r w:rsidRPr="00CE2068">
        <w:rPr>
          <w:lang w:eastAsia="en-US"/>
        </w:rPr>
        <w:t xml:space="preserve"> the 28 GHz band in regional Australia as a</w:t>
      </w:r>
      <w:r>
        <w:rPr>
          <w:lang w:eastAsia="en-US"/>
        </w:rPr>
        <w:t>nother</w:t>
      </w:r>
      <w:r w:rsidRPr="00CE2068">
        <w:rPr>
          <w:lang w:eastAsia="en-US"/>
        </w:rPr>
        <w:t xml:space="preserve"> possible </w:t>
      </w:r>
      <w:r>
        <w:rPr>
          <w:lang w:eastAsia="en-US"/>
        </w:rPr>
        <w:t xml:space="preserve">option </w:t>
      </w:r>
      <w:r w:rsidRPr="00CE2068">
        <w:rPr>
          <w:lang w:eastAsia="en-US"/>
        </w:rPr>
        <w:t xml:space="preserve">to assist WISPs and other </w:t>
      </w:r>
      <w:r>
        <w:rPr>
          <w:lang w:eastAsia="en-US"/>
        </w:rPr>
        <w:t>prospective site-based wireless broadband operators</w:t>
      </w:r>
      <w:r w:rsidRPr="00CE2068">
        <w:rPr>
          <w:lang w:eastAsia="en-US"/>
        </w:rPr>
        <w:t>.</w:t>
      </w:r>
    </w:p>
    <w:p w14:paraId="1911E5E5" w14:textId="77777777" w:rsidR="00264184" w:rsidRPr="000D76E0" w:rsidRDefault="00AD38B7" w:rsidP="00264184">
      <w:pPr>
        <w:pStyle w:val="Heading1"/>
      </w:pPr>
      <w:bookmarkStart w:id="181" w:name="_Toc494375847"/>
      <w:bookmarkStart w:id="182" w:name="_Toc494378920"/>
      <w:bookmarkStart w:id="183" w:name="_Toc495935491"/>
      <w:bookmarkStart w:id="184" w:name="_Toc495935521"/>
      <w:bookmarkStart w:id="185" w:name="_Toc496620348"/>
      <w:r>
        <w:t>5</w:t>
      </w:r>
      <w:r w:rsidR="002F0E70">
        <w:t>.</w:t>
      </w:r>
      <w:r w:rsidR="00264184">
        <w:tab/>
      </w:r>
      <w:r w:rsidR="00E054A2">
        <w:t xml:space="preserve">Next </w:t>
      </w:r>
      <w:r w:rsidR="00253DD3">
        <w:t>s</w:t>
      </w:r>
      <w:r w:rsidR="00E054A2">
        <w:t>teps</w:t>
      </w:r>
      <w:bookmarkEnd w:id="181"/>
      <w:bookmarkEnd w:id="182"/>
      <w:bookmarkEnd w:id="183"/>
      <w:bookmarkEnd w:id="184"/>
      <w:bookmarkEnd w:id="185"/>
    </w:p>
    <w:p w14:paraId="5EAD500A" w14:textId="77777777" w:rsidR="006335FC" w:rsidRPr="007A2DDD" w:rsidRDefault="00D070B3" w:rsidP="00253DD3">
      <w:pPr>
        <w:spacing w:after="80"/>
      </w:pPr>
      <w:r w:rsidRPr="005A388B">
        <w:t xml:space="preserve">To give effect to the decisions </w:t>
      </w:r>
      <w:r w:rsidR="006335FC">
        <w:t xml:space="preserve">and preliminary views </w:t>
      </w:r>
      <w:r w:rsidRPr="005A388B">
        <w:t>outlined</w:t>
      </w:r>
      <w:r w:rsidR="006335FC">
        <w:t xml:space="preserve"> in this paper</w:t>
      </w:r>
      <w:r w:rsidRPr="005A388B">
        <w:t xml:space="preserve">, the ACMA </w:t>
      </w:r>
      <w:r w:rsidR="006335FC">
        <w:t>plans to</w:t>
      </w:r>
      <w:r w:rsidR="00771274">
        <w:t xml:space="preserve"> perform the work </w:t>
      </w:r>
      <w:r w:rsidR="00771274" w:rsidRPr="007A2DDD">
        <w:t xml:space="preserve">outlined in Table </w:t>
      </w:r>
      <w:r w:rsidR="003C549E" w:rsidRPr="007A2DDD">
        <w:t>1</w:t>
      </w:r>
      <w:r w:rsidR="00771274" w:rsidRPr="007A2DDD">
        <w:t>. The key items of work are described below</w:t>
      </w:r>
      <w:r w:rsidR="00253DD3" w:rsidRPr="007A2DDD">
        <w:t>:</w:t>
      </w:r>
    </w:p>
    <w:p w14:paraId="39E48545" w14:textId="77777777" w:rsidR="006335FC" w:rsidRPr="00D070B3" w:rsidRDefault="006335FC" w:rsidP="00253DD3">
      <w:pPr>
        <w:pStyle w:val="ListNumber"/>
        <w:numPr>
          <w:ilvl w:val="0"/>
          <w:numId w:val="42"/>
        </w:numPr>
        <w:rPr>
          <w:lang w:eastAsia="en-US"/>
        </w:rPr>
      </w:pPr>
      <w:r w:rsidRPr="007A2DDD">
        <w:rPr>
          <w:lang w:eastAsia="en-US"/>
        </w:rPr>
        <w:t xml:space="preserve">Concurrently with the release of this paper, the ACMA has commenced consultation on a recommendation to the </w:t>
      </w:r>
      <w:r w:rsidR="00253DD3" w:rsidRPr="007A2DDD">
        <w:rPr>
          <w:lang w:eastAsia="en-US"/>
        </w:rPr>
        <w:t>m</w:t>
      </w:r>
      <w:r w:rsidRPr="007A2DDD">
        <w:rPr>
          <w:lang w:eastAsia="en-US"/>
        </w:rPr>
        <w:t>inster in accordance</w:t>
      </w:r>
      <w:r w:rsidRPr="00584558">
        <w:rPr>
          <w:lang w:eastAsia="en-US"/>
        </w:rPr>
        <w:t xml:space="preserve"> with section 153B of the Act. Following this consultation, and subject to any additional information obtained, the ACMA is currently minded to make a recommendation to the </w:t>
      </w:r>
      <w:r w:rsidR="00253DD3">
        <w:rPr>
          <w:lang w:eastAsia="en-US"/>
        </w:rPr>
        <w:t>m</w:t>
      </w:r>
      <w:r w:rsidRPr="00584558">
        <w:rPr>
          <w:lang w:eastAsia="en-US"/>
        </w:rPr>
        <w:t>inister in accordance with section 153F of the Act.</w:t>
      </w:r>
    </w:p>
    <w:p w14:paraId="0ED988A7" w14:textId="77777777" w:rsidR="006335FC" w:rsidRPr="005A388B" w:rsidRDefault="006335FC" w:rsidP="00253DD3">
      <w:pPr>
        <w:pStyle w:val="ListNumber"/>
        <w:rPr>
          <w:lang w:eastAsia="en-US"/>
        </w:rPr>
      </w:pPr>
      <w:r>
        <w:rPr>
          <w:lang w:eastAsia="en-US"/>
        </w:rPr>
        <w:t xml:space="preserve">Subject to a decision </w:t>
      </w:r>
      <w:r w:rsidR="0053216D">
        <w:rPr>
          <w:lang w:eastAsia="en-US"/>
        </w:rPr>
        <w:t xml:space="preserve">being </w:t>
      </w:r>
      <w:r>
        <w:rPr>
          <w:lang w:eastAsia="en-US"/>
        </w:rPr>
        <w:t xml:space="preserve">made by the </w:t>
      </w:r>
      <w:r w:rsidR="00253DD3">
        <w:rPr>
          <w:lang w:eastAsia="en-US"/>
        </w:rPr>
        <w:t>m</w:t>
      </w:r>
      <w:r>
        <w:rPr>
          <w:lang w:eastAsia="en-US"/>
        </w:rPr>
        <w:t xml:space="preserve">inister, the ACMA will commence </w:t>
      </w:r>
      <w:r w:rsidR="00DA2C1A" w:rsidRPr="0071176C">
        <w:t>process</w:t>
      </w:r>
      <w:r w:rsidR="00DA2C1A">
        <w:t>es to allocate the</w:t>
      </w:r>
      <w:r w:rsidR="00DA2C1A" w:rsidRPr="0071176C">
        <w:t xml:space="preserve"> 3.6 GHz band</w:t>
      </w:r>
      <w:r w:rsidR="00253DD3">
        <w:t>.</w:t>
      </w:r>
      <w:r>
        <w:rPr>
          <w:lang w:eastAsia="en-US"/>
        </w:rPr>
        <w:t xml:space="preserve"> This will include e</w:t>
      </w:r>
      <w:r w:rsidRPr="005A388B">
        <w:rPr>
          <w:lang w:eastAsia="en-US"/>
        </w:rPr>
        <w:t>stablish</w:t>
      </w:r>
      <w:r>
        <w:rPr>
          <w:lang w:eastAsia="en-US"/>
        </w:rPr>
        <w:t>ing</w:t>
      </w:r>
      <w:r w:rsidRPr="005A388B">
        <w:rPr>
          <w:lang w:eastAsia="en-US"/>
        </w:rPr>
        <w:t xml:space="preserve"> a </w:t>
      </w:r>
      <w:r w:rsidR="00253DD3">
        <w:rPr>
          <w:lang w:eastAsia="en-US"/>
        </w:rPr>
        <w:t>TLG</w:t>
      </w:r>
      <w:r w:rsidRPr="005A388B">
        <w:rPr>
          <w:lang w:eastAsia="en-US"/>
        </w:rPr>
        <w:t xml:space="preserve"> for the development of the technical framework for 3.6 G</w:t>
      </w:r>
      <w:r>
        <w:rPr>
          <w:lang w:eastAsia="en-US"/>
        </w:rPr>
        <w:t>H</w:t>
      </w:r>
      <w:r w:rsidRPr="005A388B">
        <w:rPr>
          <w:lang w:eastAsia="en-US"/>
        </w:rPr>
        <w:t>z spectrum licences.</w:t>
      </w:r>
      <w:r>
        <w:rPr>
          <w:lang w:eastAsia="en-US"/>
        </w:rPr>
        <w:t xml:space="preserve"> </w:t>
      </w:r>
      <w:r>
        <w:t>A spectrum licence</w:t>
      </w:r>
      <w:r w:rsidRPr="00C07769">
        <w:t xml:space="preserve"> technical framework is the set of technical rules made by the ACMA for operation within </w:t>
      </w:r>
      <w:r>
        <w:t>specific</w:t>
      </w:r>
      <w:r w:rsidRPr="00C07769">
        <w:t xml:space="preserve"> band.</w:t>
      </w:r>
      <w:r>
        <w:t xml:space="preserve"> </w:t>
      </w:r>
      <w:r w:rsidRPr="00C07769">
        <w:t>Under the Act, the framework consists of three regulatory elements</w:t>
      </w:r>
      <w:r>
        <w:t>: c</w:t>
      </w:r>
      <w:r w:rsidRPr="00C07769">
        <w:t xml:space="preserve">onditions on the licence (including </w:t>
      </w:r>
      <w:hyperlink r:id="rId43" w:history="1">
        <w:r w:rsidRPr="00C07769">
          <w:t>licence core conditions</w:t>
        </w:r>
      </w:hyperlink>
      <w:r w:rsidRPr="00C07769">
        <w:t>)</w:t>
      </w:r>
      <w:r w:rsidR="00253DD3">
        <w:t>,</w:t>
      </w:r>
      <w:r>
        <w:t xml:space="preserve"> </w:t>
      </w:r>
      <w:r w:rsidRPr="00C07769">
        <w:t>a determination of unacceptable interference for the purpose of </w:t>
      </w:r>
      <w:hyperlink r:id="rId44" w:history="1">
        <w:r w:rsidRPr="00C07769">
          <w:t>device registration</w:t>
        </w:r>
      </w:hyperlink>
      <w:r w:rsidR="00253DD3">
        <w:t>,</w:t>
      </w:r>
      <w:r>
        <w:t xml:space="preserve"> and </w:t>
      </w:r>
      <w:r w:rsidRPr="00C07769">
        <w:t>radiocommunications advisory guidelines</w:t>
      </w:r>
      <w:r>
        <w:t>.</w:t>
      </w:r>
      <w:r w:rsidRPr="00C07769">
        <w:t xml:space="preserve"> </w:t>
      </w:r>
      <w:r>
        <w:t>Additional technical planning and coordination rules may also be developed through a TLG to manage interference to and from spectrum licences.</w:t>
      </w:r>
    </w:p>
    <w:p w14:paraId="4A5C2750" w14:textId="77777777" w:rsidR="006335FC" w:rsidRPr="00D070B3" w:rsidRDefault="006335FC" w:rsidP="00253DD3">
      <w:pPr>
        <w:pStyle w:val="ListNumber"/>
        <w:rPr>
          <w:lang w:eastAsia="en-US"/>
        </w:rPr>
      </w:pPr>
      <w:r w:rsidRPr="00D070B3">
        <w:rPr>
          <w:lang w:eastAsia="en-US"/>
        </w:rPr>
        <w:t>Develop and consult on frequency assignment rules for coordinated apparatus</w:t>
      </w:r>
      <w:r w:rsidR="00253DD3">
        <w:rPr>
          <w:lang w:eastAsia="en-US"/>
        </w:rPr>
        <w:t>-</w:t>
      </w:r>
      <w:r w:rsidRPr="00D070B3">
        <w:rPr>
          <w:lang w:eastAsia="en-US"/>
        </w:rPr>
        <w:t>licensed point-</w:t>
      </w:r>
      <w:r>
        <w:rPr>
          <w:lang w:eastAsia="en-US"/>
        </w:rPr>
        <w:t>to-</w:t>
      </w:r>
      <w:r w:rsidRPr="00D070B3">
        <w:rPr>
          <w:lang w:eastAsia="en-US"/>
        </w:rPr>
        <w:t>multipoint use of the 5.6 GHz band outside of metropolitan areas (</w:t>
      </w:r>
      <w:r w:rsidR="00253DD3">
        <w:rPr>
          <w:lang w:eastAsia="en-US"/>
        </w:rPr>
        <w:t>that is,</w:t>
      </w:r>
      <w:r w:rsidRPr="00D070B3">
        <w:rPr>
          <w:lang w:eastAsia="en-US"/>
        </w:rPr>
        <w:t xml:space="preserve"> </w:t>
      </w:r>
      <w:r w:rsidR="00253DD3">
        <w:rPr>
          <w:lang w:eastAsia="en-US"/>
        </w:rPr>
        <w:t>a</w:t>
      </w:r>
      <w:r w:rsidRPr="00D070B3">
        <w:rPr>
          <w:lang w:eastAsia="en-US"/>
        </w:rPr>
        <w:t>reas 2 and 3).</w:t>
      </w:r>
      <w:r>
        <w:rPr>
          <w:lang w:eastAsia="en-US"/>
        </w:rPr>
        <w:t xml:space="preserve"> In parallel, d</w:t>
      </w:r>
      <w:r w:rsidRPr="00D070B3">
        <w:rPr>
          <w:lang w:eastAsia="en-US"/>
        </w:rPr>
        <w:t>evelop and consult on mechanisms to facilitate existing 3.6 GHz point-</w:t>
      </w:r>
      <w:r>
        <w:rPr>
          <w:lang w:eastAsia="en-US"/>
        </w:rPr>
        <w:t>to-multipoint</w:t>
      </w:r>
      <w:r w:rsidRPr="00D070B3">
        <w:rPr>
          <w:lang w:eastAsia="en-US"/>
        </w:rPr>
        <w:t xml:space="preserve"> licensees </w:t>
      </w:r>
      <w:r w:rsidRPr="003A7804">
        <w:rPr>
          <w:lang w:eastAsia="en-US"/>
        </w:rPr>
        <w:t>be</w:t>
      </w:r>
      <w:r>
        <w:rPr>
          <w:lang w:eastAsia="en-US"/>
        </w:rPr>
        <w:t>ing</w:t>
      </w:r>
      <w:r w:rsidRPr="003A7804">
        <w:rPr>
          <w:lang w:eastAsia="en-US"/>
        </w:rPr>
        <w:t xml:space="preserve"> given the opportunity to apply for licences in the </w:t>
      </w:r>
      <w:r>
        <w:rPr>
          <w:lang w:eastAsia="en-US"/>
        </w:rPr>
        <w:t xml:space="preserve">5.6 GHz </w:t>
      </w:r>
      <w:r w:rsidRPr="003A7804">
        <w:rPr>
          <w:lang w:eastAsia="en-US"/>
        </w:rPr>
        <w:t>band</w:t>
      </w:r>
      <w:r w:rsidR="00253DD3">
        <w:rPr>
          <w:lang w:eastAsia="en-US"/>
        </w:rPr>
        <w:t>,</w:t>
      </w:r>
      <w:r w:rsidRPr="003A7804">
        <w:rPr>
          <w:lang w:eastAsia="en-US"/>
        </w:rPr>
        <w:t xml:space="preserve"> before it is made available for general over</w:t>
      </w:r>
      <w:r w:rsidR="00253DD3">
        <w:rPr>
          <w:lang w:eastAsia="en-US"/>
        </w:rPr>
        <w:t>-</w:t>
      </w:r>
      <w:r w:rsidRPr="003A7804">
        <w:rPr>
          <w:lang w:eastAsia="en-US"/>
        </w:rPr>
        <w:t>the</w:t>
      </w:r>
      <w:r w:rsidR="00253DD3">
        <w:rPr>
          <w:lang w:eastAsia="en-US"/>
        </w:rPr>
        <w:t>-</w:t>
      </w:r>
      <w:r w:rsidRPr="003A7804">
        <w:rPr>
          <w:lang w:eastAsia="en-US"/>
        </w:rPr>
        <w:t>counter licence applications.</w:t>
      </w:r>
      <w:r w:rsidR="00336E17">
        <w:rPr>
          <w:lang w:eastAsia="en-US"/>
        </w:rPr>
        <w:t xml:space="preserve"> </w:t>
      </w:r>
    </w:p>
    <w:p w14:paraId="4C5D0E30" w14:textId="77777777" w:rsidR="006335FC" w:rsidRDefault="006335FC" w:rsidP="00253DD3">
      <w:pPr>
        <w:pStyle w:val="ListNumber"/>
        <w:rPr>
          <w:lang w:eastAsia="en-US"/>
        </w:rPr>
      </w:pPr>
      <w:r w:rsidRPr="005A388B">
        <w:rPr>
          <w:lang w:eastAsia="en-US"/>
        </w:rPr>
        <w:t xml:space="preserve">Investigate and consult on the possible development of </w:t>
      </w:r>
      <w:r w:rsidRPr="00D070B3">
        <w:rPr>
          <w:lang w:eastAsia="en-US"/>
        </w:rPr>
        <w:t>coordinated apparatus</w:t>
      </w:r>
      <w:r w:rsidR="00253DD3">
        <w:rPr>
          <w:lang w:eastAsia="en-US"/>
        </w:rPr>
        <w:t>-</w:t>
      </w:r>
      <w:r w:rsidRPr="00D070B3">
        <w:rPr>
          <w:lang w:eastAsia="en-US"/>
        </w:rPr>
        <w:t>licensed point-</w:t>
      </w:r>
      <w:r>
        <w:rPr>
          <w:lang w:eastAsia="en-US"/>
        </w:rPr>
        <w:t>to-</w:t>
      </w:r>
      <w:r w:rsidRPr="00D070B3">
        <w:rPr>
          <w:lang w:eastAsia="en-US"/>
        </w:rPr>
        <w:t xml:space="preserve">multipoint use of </w:t>
      </w:r>
      <w:r>
        <w:rPr>
          <w:lang w:eastAsia="en-US"/>
        </w:rPr>
        <w:t>some</w:t>
      </w:r>
      <w:r w:rsidR="00253DD3">
        <w:rPr>
          <w:lang w:eastAsia="en-US"/>
        </w:rPr>
        <w:t>,</w:t>
      </w:r>
      <w:r>
        <w:rPr>
          <w:lang w:eastAsia="en-US"/>
        </w:rPr>
        <w:t xml:space="preserve"> or all</w:t>
      </w:r>
      <w:r w:rsidR="00253DD3">
        <w:rPr>
          <w:lang w:eastAsia="en-US"/>
        </w:rPr>
        <w:t>,</w:t>
      </w:r>
      <w:r>
        <w:rPr>
          <w:lang w:eastAsia="en-US"/>
        </w:rPr>
        <w:t xml:space="preserve"> of </w:t>
      </w:r>
      <w:r w:rsidRPr="00D070B3">
        <w:rPr>
          <w:lang w:eastAsia="en-US"/>
        </w:rPr>
        <w:t xml:space="preserve">the </w:t>
      </w:r>
      <w:r>
        <w:rPr>
          <w:lang w:eastAsia="en-US"/>
        </w:rPr>
        <w:t>28</w:t>
      </w:r>
      <w:r w:rsidRPr="00D070B3">
        <w:rPr>
          <w:lang w:eastAsia="en-US"/>
        </w:rPr>
        <w:t xml:space="preserve"> </w:t>
      </w:r>
      <w:r>
        <w:rPr>
          <w:lang w:eastAsia="en-US"/>
        </w:rPr>
        <w:t xml:space="preserve">GHz </w:t>
      </w:r>
      <w:r w:rsidRPr="00D070B3">
        <w:rPr>
          <w:lang w:eastAsia="en-US"/>
        </w:rPr>
        <w:t>band outside of metropolitan areas</w:t>
      </w:r>
      <w:r>
        <w:rPr>
          <w:lang w:eastAsia="en-US"/>
        </w:rPr>
        <w:t>.</w:t>
      </w:r>
      <w:r w:rsidRPr="00D070B3">
        <w:rPr>
          <w:lang w:eastAsia="en-US"/>
        </w:rPr>
        <w:t xml:space="preserve"> </w:t>
      </w:r>
    </w:p>
    <w:p w14:paraId="28F63762" w14:textId="77777777" w:rsidR="006335FC" w:rsidRPr="00D070B3" w:rsidRDefault="0053216D" w:rsidP="00253DD3">
      <w:pPr>
        <w:pStyle w:val="ListNumber"/>
        <w:rPr>
          <w:lang w:eastAsia="en-US"/>
        </w:rPr>
      </w:pPr>
      <w:r>
        <w:rPr>
          <w:lang w:eastAsia="en-US"/>
        </w:rPr>
        <w:t xml:space="preserve">Develop and consult on planning arrangements for east coast </w:t>
      </w:r>
      <w:r w:rsidR="00253DD3">
        <w:rPr>
          <w:lang w:eastAsia="en-US"/>
        </w:rPr>
        <w:t>e</w:t>
      </w:r>
      <w:r>
        <w:rPr>
          <w:lang w:eastAsia="en-US"/>
        </w:rPr>
        <w:t xml:space="preserve">arth station zones. </w:t>
      </w:r>
      <w:r w:rsidRPr="00584558">
        <w:rPr>
          <w:lang w:eastAsia="en-US"/>
        </w:rPr>
        <w:t xml:space="preserve">This will include the development of appropriate coordination arrangements as part of </w:t>
      </w:r>
      <w:r>
        <w:rPr>
          <w:lang w:eastAsia="en-US"/>
        </w:rPr>
        <w:t>any TLG process</w:t>
      </w:r>
      <w:r w:rsidRPr="00584558">
        <w:rPr>
          <w:lang w:eastAsia="en-US"/>
        </w:rPr>
        <w:t xml:space="preserve"> </w:t>
      </w:r>
      <w:r>
        <w:rPr>
          <w:lang w:eastAsia="en-US"/>
        </w:rPr>
        <w:t>for the 3.6 GHz band</w:t>
      </w:r>
      <w:r w:rsidR="00253DD3">
        <w:rPr>
          <w:lang w:eastAsia="en-US"/>
        </w:rPr>
        <w:t>,</w:t>
      </w:r>
      <w:r>
        <w:rPr>
          <w:lang w:eastAsia="en-US"/>
        </w:rPr>
        <w:t xml:space="preserve"> with </w:t>
      </w:r>
      <w:r w:rsidRPr="00584558">
        <w:rPr>
          <w:lang w:eastAsia="en-US"/>
        </w:rPr>
        <w:t xml:space="preserve">additional planning and frequency assignment rules </w:t>
      </w:r>
      <w:r>
        <w:rPr>
          <w:lang w:eastAsia="en-US"/>
        </w:rPr>
        <w:t xml:space="preserve">developed as </w:t>
      </w:r>
      <w:r w:rsidRPr="00584558">
        <w:rPr>
          <w:lang w:eastAsia="en-US"/>
        </w:rPr>
        <w:t>necessary</w:t>
      </w:r>
      <w:r w:rsidR="006335FC" w:rsidRPr="00584558">
        <w:rPr>
          <w:lang w:eastAsia="en-US"/>
        </w:rPr>
        <w:t>.</w:t>
      </w:r>
    </w:p>
    <w:p w14:paraId="08B76C51" w14:textId="77777777" w:rsidR="005154AD" w:rsidRPr="00253DD3" w:rsidRDefault="005154AD" w:rsidP="00F63E9A">
      <w:pPr>
        <w:pStyle w:val="ACMATableHeader"/>
        <w:keepNext/>
        <w:keepLines/>
      </w:pPr>
      <w:bookmarkStart w:id="186" w:name="_Toc494375848"/>
      <w:bookmarkStart w:id="187" w:name="_Toc494378921"/>
      <w:r w:rsidRPr="00253DD3">
        <w:t xml:space="preserve">Indicative </w:t>
      </w:r>
      <w:r w:rsidR="00253DD3" w:rsidRPr="00253DD3">
        <w:t>t</w:t>
      </w:r>
      <w:r w:rsidRPr="00253DD3">
        <w:t>imetable</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7D6E05" w:rsidRPr="002049A6" w14:paraId="30613898" w14:textId="77777777" w:rsidTr="00B56F50">
        <w:trPr>
          <w:cantSplit/>
          <w:tblHeader/>
        </w:trPr>
        <w:tc>
          <w:tcPr>
            <w:tcW w:w="6521" w:type="dxa"/>
            <w:shd w:val="clear" w:color="auto" w:fill="404040" w:themeFill="text1" w:themeFillTint="BF"/>
            <w:tcMar>
              <w:top w:w="57" w:type="dxa"/>
              <w:bottom w:w="28" w:type="dxa"/>
            </w:tcMar>
          </w:tcPr>
          <w:p w14:paraId="7FC31E5D" w14:textId="77777777" w:rsidR="007D6E05" w:rsidRPr="00253DD3" w:rsidRDefault="007D6E05" w:rsidP="00253DD3">
            <w:pPr>
              <w:pStyle w:val="TableHeading"/>
              <w:rPr>
                <w:color w:val="FFFFFF" w:themeColor="background1"/>
              </w:rPr>
            </w:pPr>
            <w:r w:rsidRPr="00253DD3">
              <w:rPr>
                <w:color w:val="FFFFFF" w:themeColor="background1"/>
              </w:rPr>
              <w:t>Key steps</w:t>
            </w:r>
          </w:p>
        </w:tc>
        <w:tc>
          <w:tcPr>
            <w:tcW w:w="2127" w:type="dxa"/>
            <w:shd w:val="clear" w:color="auto" w:fill="404040" w:themeFill="text1" w:themeFillTint="BF"/>
            <w:tcMar>
              <w:top w:w="57" w:type="dxa"/>
              <w:bottom w:w="28" w:type="dxa"/>
            </w:tcMar>
          </w:tcPr>
          <w:p w14:paraId="7B70C5CD" w14:textId="77777777" w:rsidR="007D6E05" w:rsidRPr="00253DD3" w:rsidRDefault="007D6E05" w:rsidP="00253DD3">
            <w:pPr>
              <w:pStyle w:val="TableHeading"/>
              <w:rPr>
                <w:color w:val="FFFFFF" w:themeColor="background1"/>
              </w:rPr>
            </w:pPr>
            <w:r w:rsidRPr="00253DD3">
              <w:rPr>
                <w:color w:val="FFFFFF" w:themeColor="background1"/>
              </w:rPr>
              <w:t>Anticipated timings</w:t>
            </w:r>
          </w:p>
        </w:tc>
      </w:tr>
      <w:tr w:rsidR="007D6E05" w:rsidRPr="002049A6" w14:paraId="24929003" w14:textId="77777777" w:rsidTr="00B56F50">
        <w:trPr>
          <w:cantSplit/>
        </w:trPr>
        <w:tc>
          <w:tcPr>
            <w:tcW w:w="6521" w:type="dxa"/>
            <w:tcMar>
              <w:top w:w="57" w:type="dxa"/>
              <w:bottom w:w="28" w:type="dxa"/>
            </w:tcMar>
          </w:tcPr>
          <w:p w14:paraId="1CC4E115" w14:textId="77777777" w:rsidR="007D6E05" w:rsidRDefault="007D6E05" w:rsidP="00253DD3">
            <w:pPr>
              <w:keepNext/>
              <w:keepLines/>
              <w:spacing w:after="80"/>
              <w:rPr>
                <w:rFonts w:cs="Arial"/>
                <w:szCs w:val="20"/>
              </w:rPr>
            </w:pPr>
            <w:r>
              <w:rPr>
                <w:rFonts w:cs="Arial"/>
                <w:szCs w:val="20"/>
              </w:rPr>
              <w:t xml:space="preserve">The ACMA announces the outcomes of the </w:t>
            </w:r>
            <w:r>
              <w:rPr>
                <w:rFonts w:cs="Arial"/>
                <w:i/>
                <w:szCs w:val="20"/>
              </w:rPr>
              <w:t xml:space="preserve">Future use of the 3.6 GHz band </w:t>
            </w:r>
            <w:r>
              <w:rPr>
                <w:rFonts w:cs="Arial"/>
                <w:szCs w:val="20"/>
              </w:rPr>
              <w:t>consultation process</w:t>
            </w:r>
            <w:r w:rsidR="00B56F50">
              <w:rPr>
                <w:rFonts w:cs="Arial"/>
                <w:szCs w:val="20"/>
              </w:rPr>
              <w:t>.</w:t>
            </w:r>
          </w:p>
          <w:p w14:paraId="47FBAF81" w14:textId="77777777" w:rsidR="007D6E05" w:rsidRPr="00551AFA" w:rsidRDefault="007D6E05" w:rsidP="005154AD">
            <w:pPr>
              <w:keepNext/>
              <w:keepLines/>
              <w:spacing w:after="0"/>
              <w:rPr>
                <w:rFonts w:cs="Arial"/>
                <w:szCs w:val="20"/>
              </w:rPr>
            </w:pPr>
            <w:r>
              <w:rPr>
                <w:rFonts w:cs="Arial"/>
                <w:szCs w:val="20"/>
              </w:rPr>
              <w:t xml:space="preserve">The </w:t>
            </w:r>
            <w:r w:rsidRPr="00551AFA">
              <w:rPr>
                <w:rFonts w:cs="Arial"/>
                <w:szCs w:val="20"/>
              </w:rPr>
              <w:t>ACMA releases for public comment the terms of the draft re</w:t>
            </w:r>
            <w:r>
              <w:rPr>
                <w:rFonts w:cs="Arial"/>
                <w:szCs w:val="20"/>
              </w:rPr>
              <w:t>-</w:t>
            </w:r>
            <w:r w:rsidRPr="00551AFA">
              <w:rPr>
                <w:rFonts w:cs="Arial"/>
                <w:szCs w:val="20"/>
              </w:rPr>
              <w:t>allocation recommendation</w:t>
            </w:r>
            <w:r w:rsidR="00B56F50">
              <w:rPr>
                <w:rFonts w:cs="Arial"/>
                <w:szCs w:val="20"/>
              </w:rPr>
              <w:t>.</w:t>
            </w:r>
          </w:p>
        </w:tc>
        <w:tc>
          <w:tcPr>
            <w:tcW w:w="2127" w:type="dxa"/>
            <w:tcMar>
              <w:top w:w="57" w:type="dxa"/>
              <w:bottom w:w="28" w:type="dxa"/>
            </w:tcMar>
          </w:tcPr>
          <w:p w14:paraId="1D88CFA4" w14:textId="77777777" w:rsidR="007D6E05" w:rsidRPr="00551AFA" w:rsidRDefault="007D6E05" w:rsidP="005154AD">
            <w:pPr>
              <w:keepNext/>
              <w:keepLines/>
              <w:spacing w:after="0"/>
              <w:rPr>
                <w:rFonts w:cs="Arial"/>
                <w:szCs w:val="20"/>
              </w:rPr>
            </w:pPr>
            <w:r>
              <w:rPr>
                <w:rFonts w:cs="Arial"/>
                <w:szCs w:val="20"/>
              </w:rPr>
              <w:t>October 2017</w:t>
            </w:r>
          </w:p>
        </w:tc>
      </w:tr>
      <w:tr w:rsidR="007D6E05" w:rsidRPr="002049A6" w14:paraId="19DC153F" w14:textId="77777777" w:rsidTr="00F63E9A">
        <w:trPr>
          <w:cantSplit/>
        </w:trPr>
        <w:tc>
          <w:tcPr>
            <w:tcW w:w="6521" w:type="dxa"/>
            <w:shd w:val="clear" w:color="auto" w:fill="F2F2F2" w:themeFill="background1" w:themeFillShade="F2"/>
            <w:tcMar>
              <w:top w:w="57" w:type="dxa"/>
              <w:bottom w:w="28" w:type="dxa"/>
            </w:tcMar>
          </w:tcPr>
          <w:p w14:paraId="25AB76DE" w14:textId="77777777" w:rsidR="003C549E" w:rsidRDefault="007D6E05" w:rsidP="00EC5F87">
            <w:pPr>
              <w:keepNext/>
              <w:keepLines/>
              <w:spacing w:after="80"/>
              <w:rPr>
                <w:rFonts w:cs="Arial"/>
                <w:szCs w:val="20"/>
              </w:rPr>
            </w:pPr>
            <w:r>
              <w:rPr>
                <w:rFonts w:cs="Arial"/>
                <w:szCs w:val="20"/>
              </w:rPr>
              <w:t xml:space="preserve">The </w:t>
            </w:r>
            <w:r w:rsidRPr="00551AFA">
              <w:rPr>
                <w:rFonts w:cs="Arial"/>
                <w:szCs w:val="20"/>
              </w:rPr>
              <w:t xml:space="preserve">ACMA gives to the </w:t>
            </w:r>
            <w:r>
              <w:rPr>
                <w:rFonts w:cs="Arial"/>
                <w:szCs w:val="20"/>
              </w:rPr>
              <w:t>M</w:t>
            </w:r>
            <w:r w:rsidRPr="00551AFA">
              <w:rPr>
                <w:rFonts w:cs="Arial"/>
                <w:szCs w:val="20"/>
              </w:rPr>
              <w:t xml:space="preserve">inister </w:t>
            </w:r>
            <w:r>
              <w:rPr>
                <w:rFonts w:cs="Arial"/>
                <w:szCs w:val="20"/>
              </w:rPr>
              <w:t xml:space="preserve">for Communications </w:t>
            </w:r>
            <w:r w:rsidRPr="00551AFA">
              <w:rPr>
                <w:rFonts w:cs="Arial"/>
                <w:szCs w:val="20"/>
              </w:rPr>
              <w:t>a recommendation to make a spectrum re</w:t>
            </w:r>
            <w:r>
              <w:rPr>
                <w:rFonts w:cs="Arial"/>
                <w:szCs w:val="20"/>
              </w:rPr>
              <w:t>-</w:t>
            </w:r>
            <w:r w:rsidRPr="00551AFA">
              <w:rPr>
                <w:rFonts w:cs="Arial"/>
                <w:szCs w:val="20"/>
              </w:rPr>
              <w:t>allocation declaration</w:t>
            </w:r>
            <w:r w:rsidR="00EC5F87">
              <w:rPr>
                <w:rFonts w:cs="Arial"/>
                <w:szCs w:val="20"/>
              </w:rPr>
              <w:t xml:space="preserve"> </w:t>
            </w:r>
            <w:r>
              <w:rPr>
                <w:rFonts w:cs="Arial"/>
                <w:szCs w:val="20"/>
              </w:rPr>
              <w:t xml:space="preserve">(contingent on outcomes of </w:t>
            </w:r>
            <w:r w:rsidRPr="00551AFA">
              <w:rPr>
                <w:rFonts w:cs="Arial"/>
                <w:szCs w:val="20"/>
              </w:rPr>
              <w:t>draft re</w:t>
            </w:r>
            <w:r>
              <w:rPr>
                <w:rFonts w:cs="Arial"/>
                <w:szCs w:val="20"/>
              </w:rPr>
              <w:t>-</w:t>
            </w:r>
            <w:r w:rsidRPr="00551AFA">
              <w:rPr>
                <w:rFonts w:cs="Arial"/>
                <w:szCs w:val="20"/>
              </w:rPr>
              <w:t>allocation recommendation</w:t>
            </w:r>
            <w:r>
              <w:rPr>
                <w:rFonts w:cs="Arial"/>
                <w:szCs w:val="20"/>
              </w:rPr>
              <w:t xml:space="preserve"> consultation)</w:t>
            </w:r>
            <w:r w:rsidR="00B56F50">
              <w:rPr>
                <w:rFonts w:cs="Arial"/>
                <w:szCs w:val="20"/>
              </w:rPr>
              <w:t>.</w:t>
            </w:r>
          </w:p>
          <w:p w14:paraId="3DFBE9D5" w14:textId="77777777" w:rsidR="003C549E" w:rsidRPr="00551AFA" w:rsidRDefault="003C549E" w:rsidP="00816D6F">
            <w:pPr>
              <w:keepNext/>
              <w:keepLines/>
              <w:spacing w:after="0"/>
              <w:rPr>
                <w:rFonts w:cs="Arial"/>
                <w:szCs w:val="20"/>
              </w:rPr>
            </w:pPr>
            <w:r>
              <w:rPr>
                <w:rFonts w:cs="Arial"/>
                <w:szCs w:val="20"/>
              </w:rPr>
              <w:t xml:space="preserve">Initial consultation </w:t>
            </w:r>
            <w:r w:rsidR="00816D6F">
              <w:rPr>
                <w:rFonts w:cs="Arial"/>
                <w:szCs w:val="20"/>
              </w:rPr>
              <w:t>with industry on alternative spectrum options for site-based point-to-multipoint apparatus licences in regional Australia.</w:t>
            </w:r>
          </w:p>
        </w:tc>
        <w:tc>
          <w:tcPr>
            <w:tcW w:w="2127" w:type="dxa"/>
            <w:shd w:val="clear" w:color="auto" w:fill="F2F2F2" w:themeFill="background1" w:themeFillShade="F2"/>
            <w:tcMar>
              <w:top w:w="57" w:type="dxa"/>
              <w:bottom w:w="28" w:type="dxa"/>
            </w:tcMar>
          </w:tcPr>
          <w:p w14:paraId="0446594A" w14:textId="77777777" w:rsidR="007D6E05" w:rsidRPr="00551AFA" w:rsidRDefault="007D6E05" w:rsidP="005154AD">
            <w:pPr>
              <w:keepNext/>
              <w:keepLines/>
              <w:spacing w:after="0"/>
              <w:rPr>
                <w:rFonts w:cs="Arial"/>
                <w:szCs w:val="20"/>
              </w:rPr>
            </w:pPr>
            <w:r>
              <w:rPr>
                <w:rFonts w:cs="Arial"/>
                <w:szCs w:val="20"/>
              </w:rPr>
              <w:t>December 2017</w:t>
            </w:r>
          </w:p>
        </w:tc>
      </w:tr>
      <w:tr w:rsidR="007D6E05" w:rsidRPr="002049A6" w14:paraId="085659FF" w14:textId="77777777" w:rsidTr="00B56F50">
        <w:trPr>
          <w:cantSplit/>
          <w:trHeight w:val="1554"/>
        </w:trPr>
        <w:tc>
          <w:tcPr>
            <w:tcW w:w="6521" w:type="dxa"/>
            <w:tcMar>
              <w:top w:w="57" w:type="dxa"/>
              <w:bottom w:w="28" w:type="dxa"/>
            </w:tcMar>
          </w:tcPr>
          <w:p w14:paraId="2B27CF8E" w14:textId="77777777" w:rsidR="007D6E05" w:rsidRDefault="007D6E05" w:rsidP="00B56F50">
            <w:pPr>
              <w:keepNext/>
              <w:keepLines/>
              <w:spacing w:after="80"/>
              <w:rPr>
                <w:rFonts w:cs="Arial"/>
                <w:szCs w:val="20"/>
              </w:rPr>
            </w:pPr>
            <w:r>
              <w:rPr>
                <w:rFonts w:cs="Arial"/>
                <w:szCs w:val="20"/>
              </w:rPr>
              <w:t xml:space="preserve">The </w:t>
            </w:r>
            <w:r w:rsidR="00B56F50">
              <w:rPr>
                <w:rFonts w:cs="Arial"/>
                <w:szCs w:val="20"/>
              </w:rPr>
              <w:t>m</w:t>
            </w:r>
            <w:r w:rsidRPr="00551AFA">
              <w:rPr>
                <w:rFonts w:cs="Arial"/>
                <w:szCs w:val="20"/>
              </w:rPr>
              <w:t>inister makes a spectrum re</w:t>
            </w:r>
            <w:r>
              <w:rPr>
                <w:rFonts w:cs="Arial"/>
                <w:szCs w:val="20"/>
              </w:rPr>
              <w:t>-</w:t>
            </w:r>
            <w:r w:rsidRPr="00551AFA">
              <w:rPr>
                <w:rFonts w:cs="Arial"/>
                <w:szCs w:val="20"/>
              </w:rPr>
              <w:t>allocation declaration</w:t>
            </w:r>
            <w:r>
              <w:rPr>
                <w:rFonts w:cs="Arial"/>
                <w:szCs w:val="20"/>
              </w:rPr>
              <w:t xml:space="preserve"> (contingent on </w:t>
            </w:r>
            <w:r w:rsidR="00A63C62">
              <w:rPr>
                <w:rFonts w:cs="Arial"/>
                <w:szCs w:val="20"/>
              </w:rPr>
              <w:t>receipt of a</w:t>
            </w:r>
            <w:r w:rsidRPr="00551AFA">
              <w:rPr>
                <w:rFonts w:cs="Arial"/>
                <w:szCs w:val="20"/>
              </w:rPr>
              <w:t xml:space="preserve"> re</w:t>
            </w:r>
            <w:r>
              <w:rPr>
                <w:rFonts w:cs="Arial"/>
                <w:szCs w:val="20"/>
              </w:rPr>
              <w:t>-</w:t>
            </w:r>
            <w:r w:rsidRPr="00551AFA">
              <w:rPr>
                <w:rFonts w:cs="Arial"/>
                <w:szCs w:val="20"/>
              </w:rPr>
              <w:t>allocation recommendation</w:t>
            </w:r>
            <w:r>
              <w:rPr>
                <w:rFonts w:cs="Arial"/>
                <w:szCs w:val="20"/>
              </w:rPr>
              <w:t xml:space="preserve"> </w:t>
            </w:r>
            <w:r w:rsidR="00A63C62">
              <w:rPr>
                <w:rFonts w:cs="Arial"/>
                <w:szCs w:val="20"/>
              </w:rPr>
              <w:t>from the ACMA</w:t>
            </w:r>
            <w:r>
              <w:rPr>
                <w:rFonts w:cs="Arial"/>
                <w:szCs w:val="20"/>
              </w:rPr>
              <w:t>)</w:t>
            </w:r>
            <w:r w:rsidR="00B56F50">
              <w:rPr>
                <w:rFonts w:cs="Arial"/>
                <w:szCs w:val="20"/>
              </w:rPr>
              <w:t>.</w:t>
            </w:r>
          </w:p>
          <w:p w14:paraId="315240DF" w14:textId="77777777" w:rsidR="007D6E05" w:rsidRPr="00551AFA" w:rsidRDefault="007D6E05" w:rsidP="006A51B3">
            <w:pPr>
              <w:keepNext/>
              <w:keepLines/>
              <w:spacing w:after="0"/>
              <w:rPr>
                <w:rFonts w:cs="Arial"/>
                <w:szCs w:val="20"/>
              </w:rPr>
            </w:pPr>
            <w:r>
              <w:rPr>
                <w:rFonts w:cs="Arial"/>
                <w:szCs w:val="20"/>
              </w:rPr>
              <w:t>The ACMA commences the TLG process to develop the 3.6 GHz band spectrum licence technical framework (</w:t>
            </w:r>
            <w:r w:rsidR="006A51B3">
              <w:rPr>
                <w:rFonts w:cs="Arial"/>
                <w:szCs w:val="20"/>
              </w:rPr>
              <w:t>assumes a re-allocation declaration is made</w:t>
            </w:r>
            <w:r>
              <w:rPr>
                <w:rFonts w:cs="Arial"/>
                <w:szCs w:val="20"/>
              </w:rPr>
              <w:t>)</w:t>
            </w:r>
            <w:r w:rsidR="006A51B3">
              <w:rPr>
                <w:rFonts w:cs="Arial"/>
                <w:szCs w:val="20"/>
              </w:rPr>
              <w:t xml:space="preserve">. This would </w:t>
            </w:r>
            <w:r w:rsidR="00816D6F">
              <w:rPr>
                <w:rFonts w:cs="Arial"/>
                <w:szCs w:val="20"/>
              </w:rPr>
              <w:t>include developing coordination criteria for the proposed earth station protection zones in the 3.6 GHz band.</w:t>
            </w:r>
          </w:p>
        </w:tc>
        <w:tc>
          <w:tcPr>
            <w:tcW w:w="2127" w:type="dxa"/>
            <w:tcMar>
              <w:top w:w="57" w:type="dxa"/>
              <w:bottom w:w="28" w:type="dxa"/>
            </w:tcMar>
          </w:tcPr>
          <w:p w14:paraId="3B8F6D06" w14:textId="77777777" w:rsidR="007D6E05" w:rsidRPr="00551AFA" w:rsidRDefault="007D6E05" w:rsidP="005154AD">
            <w:pPr>
              <w:keepNext/>
              <w:keepLines/>
              <w:spacing w:after="0"/>
              <w:rPr>
                <w:rFonts w:cs="Arial"/>
                <w:szCs w:val="20"/>
              </w:rPr>
            </w:pPr>
            <w:r>
              <w:rPr>
                <w:rFonts w:cs="Arial"/>
                <w:szCs w:val="20"/>
              </w:rPr>
              <w:t>February</w:t>
            </w:r>
            <w:r w:rsidRPr="00551AFA">
              <w:rPr>
                <w:rFonts w:cs="Arial"/>
                <w:szCs w:val="20"/>
              </w:rPr>
              <w:t xml:space="preserve"> 201</w:t>
            </w:r>
            <w:r>
              <w:rPr>
                <w:rFonts w:cs="Arial"/>
                <w:szCs w:val="20"/>
              </w:rPr>
              <w:t>8</w:t>
            </w:r>
            <w:r w:rsidRPr="00551AFA">
              <w:rPr>
                <w:rStyle w:val="FootnoteReference"/>
                <w:rFonts w:cs="Arial"/>
                <w:szCs w:val="20"/>
              </w:rPr>
              <w:footnoteReference w:id="16"/>
            </w:r>
            <w:r w:rsidRPr="00551AFA">
              <w:rPr>
                <w:rFonts w:cs="Arial"/>
                <w:szCs w:val="20"/>
              </w:rPr>
              <w:t xml:space="preserve"> </w:t>
            </w:r>
          </w:p>
        </w:tc>
      </w:tr>
      <w:tr w:rsidR="007D6E05" w:rsidRPr="002049A6" w14:paraId="3B67F37C" w14:textId="77777777" w:rsidTr="00F63E9A">
        <w:trPr>
          <w:cantSplit/>
        </w:trPr>
        <w:tc>
          <w:tcPr>
            <w:tcW w:w="6521" w:type="dxa"/>
            <w:shd w:val="clear" w:color="auto" w:fill="F2F2F2" w:themeFill="background1" w:themeFillShade="F2"/>
            <w:tcMar>
              <w:top w:w="57" w:type="dxa"/>
              <w:bottom w:w="28" w:type="dxa"/>
            </w:tcMar>
          </w:tcPr>
          <w:p w14:paraId="73C744CE" w14:textId="77777777" w:rsidR="007D6E05" w:rsidRDefault="00A63C62" w:rsidP="006A51B3">
            <w:pPr>
              <w:keepNext/>
              <w:keepLines/>
              <w:spacing w:after="0"/>
              <w:rPr>
                <w:rFonts w:cs="Arial"/>
                <w:szCs w:val="20"/>
              </w:rPr>
            </w:pPr>
            <w:r>
              <w:rPr>
                <w:rFonts w:cs="Arial"/>
                <w:szCs w:val="20"/>
              </w:rPr>
              <w:t xml:space="preserve"> </w:t>
            </w:r>
            <w:r w:rsidR="007D6E05">
              <w:rPr>
                <w:rFonts w:cs="Arial"/>
                <w:szCs w:val="20"/>
              </w:rPr>
              <w:t xml:space="preserve">The </w:t>
            </w:r>
            <w:r w:rsidR="007D6E05" w:rsidRPr="00551AFA">
              <w:rPr>
                <w:rFonts w:cs="Arial"/>
                <w:szCs w:val="20"/>
              </w:rPr>
              <w:t>ACMA releases for public comment the auction rules, marketing plan and other technical instruments</w:t>
            </w:r>
            <w:r w:rsidR="006A51B3">
              <w:rPr>
                <w:rFonts w:cs="Arial"/>
                <w:szCs w:val="20"/>
              </w:rPr>
              <w:t xml:space="preserve"> (this and subsequent steps assume a re-allocation declaration is in force)</w:t>
            </w:r>
            <w:r w:rsidR="00B56F50">
              <w:rPr>
                <w:rFonts w:cs="Arial"/>
                <w:szCs w:val="20"/>
              </w:rPr>
              <w:t>.</w:t>
            </w:r>
          </w:p>
        </w:tc>
        <w:tc>
          <w:tcPr>
            <w:tcW w:w="2127" w:type="dxa"/>
            <w:shd w:val="clear" w:color="auto" w:fill="F2F2F2" w:themeFill="background1" w:themeFillShade="F2"/>
            <w:tcMar>
              <w:top w:w="57" w:type="dxa"/>
              <w:bottom w:w="28" w:type="dxa"/>
            </w:tcMar>
          </w:tcPr>
          <w:p w14:paraId="3EA78361" w14:textId="77777777" w:rsidR="007D6E05" w:rsidRPr="00551AFA" w:rsidRDefault="007D6E05" w:rsidP="005154AD">
            <w:pPr>
              <w:keepNext/>
              <w:keepLines/>
              <w:spacing w:after="0"/>
              <w:rPr>
                <w:rFonts w:cs="Arial"/>
                <w:szCs w:val="20"/>
              </w:rPr>
            </w:pPr>
            <w:r w:rsidRPr="00551AFA">
              <w:rPr>
                <w:rFonts w:cs="Arial"/>
                <w:szCs w:val="20"/>
              </w:rPr>
              <w:t>June 201</w:t>
            </w:r>
            <w:r>
              <w:rPr>
                <w:rFonts w:cs="Arial"/>
                <w:szCs w:val="20"/>
              </w:rPr>
              <w:t>8</w:t>
            </w:r>
          </w:p>
        </w:tc>
      </w:tr>
      <w:tr w:rsidR="007D6E05" w:rsidRPr="002049A6" w14:paraId="26D52C26" w14:textId="77777777" w:rsidTr="00B56F50">
        <w:trPr>
          <w:cantSplit/>
        </w:trPr>
        <w:tc>
          <w:tcPr>
            <w:tcW w:w="6521" w:type="dxa"/>
            <w:tcMar>
              <w:top w:w="57" w:type="dxa"/>
              <w:bottom w:w="28" w:type="dxa"/>
            </w:tcMar>
          </w:tcPr>
          <w:p w14:paraId="1DF4AE52" w14:textId="77777777" w:rsidR="007D6E05" w:rsidRPr="00551AFA" w:rsidRDefault="007D6E05" w:rsidP="006A51B3">
            <w:pPr>
              <w:keepNext/>
              <w:keepLines/>
              <w:spacing w:after="0"/>
              <w:rPr>
                <w:rFonts w:cs="Arial"/>
                <w:szCs w:val="20"/>
              </w:rPr>
            </w:pPr>
            <w:r>
              <w:rPr>
                <w:rFonts w:cs="Arial"/>
                <w:szCs w:val="20"/>
              </w:rPr>
              <w:t xml:space="preserve">The </w:t>
            </w:r>
            <w:r w:rsidRPr="00551AFA">
              <w:rPr>
                <w:rFonts w:cs="Arial"/>
                <w:szCs w:val="20"/>
              </w:rPr>
              <w:t xml:space="preserve">ACMA calls for applications to participate in the auction, </w:t>
            </w:r>
            <w:r>
              <w:rPr>
                <w:rFonts w:cs="Arial"/>
                <w:szCs w:val="20"/>
              </w:rPr>
              <w:t xml:space="preserve">and </w:t>
            </w:r>
            <w:r w:rsidRPr="00551AFA">
              <w:rPr>
                <w:rFonts w:cs="Arial"/>
                <w:szCs w:val="20"/>
              </w:rPr>
              <w:t>release</w:t>
            </w:r>
            <w:r>
              <w:rPr>
                <w:rFonts w:cs="Arial"/>
                <w:szCs w:val="20"/>
              </w:rPr>
              <w:t>s</w:t>
            </w:r>
            <w:r w:rsidRPr="00551AFA">
              <w:rPr>
                <w:rFonts w:cs="Arial"/>
                <w:szCs w:val="20"/>
              </w:rPr>
              <w:t xml:space="preserve"> the applicant information package</w:t>
            </w:r>
            <w:r w:rsidR="00B56F50">
              <w:rPr>
                <w:rFonts w:cs="Arial"/>
                <w:szCs w:val="20"/>
              </w:rPr>
              <w:t>.</w:t>
            </w:r>
            <w:r>
              <w:rPr>
                <w:rFonts w:cs="Arial"/>
                <w:szCs w:val="20"/>
              </w:rPr>
              <w:t xml:space="preserve"> </w:t>
            </w:r>
          </w:p>
        </w:tc>
        <w:tc>
          <w:tcPr>
            <w:tcW w:w="2127" w:type="dxa"/>
            <w:tcMar>
              <w:top w:w="57" w:type="dxa"/>
              <w:bottom w:w="28" w:type="dxa"/>
            </w:tcMar>
          </w:tcPr>
          <w:p w14:paraId="4ED04433" w14:textId="77777777" w:rsidR="007D6E05" w:rsidRPr="00551AFA" w:rsidRDefault="007D6E05" w:rsidP="005154AD">
            <w:pPr>
              <w:keepNext/>
              <w:keepLines/>
              <w:spacing w:after="0"/>
              <w:rPr>
                <w:rFonts w:cs="Arial"/>
                <w:szCs w:val="20"/>
              </w:rPr>
            </w:pPr>
            <w:r>
              <w:rPr>
                <w:rFonts w:cs="Arial"/>
                <w:szCs w:val="20"/>
              </w:rPr>
              <w:t>August 2018</w:t>
            </w:r>
          </w:p>
        </w:tc>
      </w:tr>
      <w:tr w:rsidR="007D6E05" w:rsidRPr="002049A6" w14:paraId="016CA69C" w14:textId="77777777" w:rsidTr="00F63E9A">
        <w:trPr>
          <w:cantSplit/>
        </w:trPr>
        <w:tc>
          <w:tcPr>
            <w:tcW w:w="6521" w:type="dxa"/>
            <w:shd w:val="clear" w:color="auto" w:fill="F2F2F2" w:themeFill="background1" w:themeFillShade="F2"/>
            <w:tcMar>
              <w:top w:w="57" w:type="dxa"/>
              <w:bottom w:w="28" w:type="dxa"/>
            </w:tcMar>
          </w:tcPr>
          <w:p w14:paraId="5B0B7C8E" w14:textId="77777777" w:rsidR="007D6E05" w:rsidRPr="00551AFA" w:rsidRDefault="007D6E05" w:rsidP="006A51B3">
            <w:pPr>
              <w:keepNext/>
              <w:keepLines/>
              <w:spacing w:after="0"/>
              <w:rPr>
                <w:rFonts w:cs="Arial"/>
                <w:szCs w:val="20"/>
              </w:rPr>
            </w:pPr>
            <w:r w:rsidRPr="00551AFA">
              <w:rPr>
                <w:rFonts w:cs="Arial"/>
                <w:szCs w:val="20"/>
              </w:rPr>
              <w:t>Auction commences</w:t>
            </w:r>
            <w:r w:rsidR="00B56F50">
              <w:rPr>
                <w:rFonts w:cs="Arial"/>
                <w:szCs w:val="20"/>
              </w:rPr>
              <w:t>.</w:t>
            </w:r>
            <w:r>
              <w:rPr>
                <w:rFonts w:cs="Arial"/>
                <w:szCs w:val="20"/>
              </w:rPr>
              <w:t xml:space="preserve"> </w:t>
            </w:r>
          </w:p>
        </w:tc>
        <w:tc>
          <w:tcPr>
            <w:tcW w:w="2127" w:type="dxa"/>
            <w:shd w:val="clear" w:color="auto" w:fill="F2F2F2" w:themeFill="background1" w:themeFillShade="F2"/>
            <w:tcMar>
              <w:top w:w="57" w:type="dxa"/>
              <w:bottom w:w="28" w:type="dxa"/>
            </w:tcMar>
          </w:tcPr>
          <w:p w14:paraId="62B629C0" w14:textId="77777777" w:rsidR="007D6E05" w:rsidRPr="00551AFA" w:rsidRDefault="007D6E05" w:rsidP="005154AD">
            <w:pPr>
              <w:keepNext/>
              <w:keepLines/>
              <w:spacing w:after="0"/>
              <w:rPr>
                <w:rFonts w:cs="Arial"/>
                <w:szCs w:val="20"/>
              </w:rPr>
            </w:pPr>
            <w:r>
              <w:rPr>
                <w:rFonts w:cs="Arial"/>
                <w:szCs w:val="20"/>
              </w:rPr>
              <w:t>October 2018</w:t>
            </w:r>
          </w:p>
        </w:tc>
      </w:tr>
    </w:tbl>
    <w:p w14:paraId="40406BD0" w14:textId="77777777" w:rsidR="000414C7" w:rsidRDefault="000414C7">
      <w:pPr>
        <w:spacing w:after="0" w:line="240" w:lineRule="auto"/>
        <w:rPr>
          <w:rFonts w:cs="Arial"/>
          <w:szCs w:val="20"/>
          <w:lang w:eastAsia="en-US"/>
        </w:rPr>
      </w:pPr>
    </w:p>
    <w:p w14:paraId="0274ECCC" w14:textId="77777777" w:rsidR="000414C7" w:rsidRDefault="000414C7" w:rsidP="000414C7">
      <w:pPr>
        <w:pStyle w:val="Heading1"/>
      </w:pPr>
      <w:bookmarkStart w:id="188" w:name="_Toc495935492"/>
      <w:bookmarkStart w:id="189" w:name="_Toc495935522"/>
      <w:bookmarkStart w:id="190" w:name="_Toc496620349"/>
      <w:r>
        <w:t>Glossary</w:t>
      </w:r>
      <w:bookmarkEnd w:id="188"/>
      <w:bookmarkEnd w:id="189"/>
      <w:bookmarkEnd w:id="190"/>
    </w:p>
    <w:tbl>
      <w:tblPr>
        <w:tblStyle w:val="PlainTable1"/>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57" w:type="dxa"/>
          <w:left w:w="85" w:type="dxa"/>
          <w:bottom w:w="57" w:type="dxa"/>
          <w:right w:w="85" w:type="dxa"/>
        </w:tblCellMar>
        <w:tblLook w:val="04A0" w:firstRow="1" w:lastRow="0" w:firstColumn="1" w:lastColumn="0" w:noHBand="0" w:noVBand="1"/>
        <w:tblCaption w:val="Terms and definitions used in this document."/>
      </w:tblPr>
      <w:tblGrid>
        <w:gridCol w:w="2124"/>
        <w:gridCol w:w="5537"/>
      </w:tblGrid>
      <w:tr w:rsidR="000414C7" w:rsidRPr="00A67371" w14:paraId="2343A099" w14:textId="77777777" w:rsidTr="00F63E9A">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24" w:type="dxa"/>
            <w:shd w:val="clear" w:color="auto" w:fill="404040" w:themeFill="text1" w:themeFillTint="BF"/>
          </w:tcPr>
          <w:p w14:paraId="5AAD1211" w14:textId="77777777" w:rsidR="000414C7" w:rsidRPr="008D78CD" w:rsidRDefault="000414C7" w:rsidP="005154AD">
            <w:pPr>
              <w:pStyle w:val="TableHeading"/>
              <w:rPr>
                <w:color w:val="FFFFFF" w:themeColor="background1"/>
              </w:rPr>
            </w:pPr>
            <w:r w:rsidRPr="008D78CD">
              <w:rPr>
                <w:b/>
                <w:color w:val="FFFFFF" w:themeColor="background1"/>
              </w:rPr>
              <w:t>Term</w:t>
            </w:r>
          </w:p>
        </w:tc>
        <w:tc>
          <w:tcPr>
            <w:tcW w:w="5537" w:type="dxa"/>
            <w:shd w:val="clear" w:color="auto" w:fill="404040" w:themeFill="text1" w:themeFillTint="BF"/>
          </w:tcPr>
          <w:p w14:paraId="3C9B0CB7" w14:textId="77777777" w:rsidR="000414C7" w:rsidRPr="008D78CD" w:rsidRDefault="000414C7" w:rsidP="005154AD">
            <w:pPr>
              <w:pStyle w:val="TableHeading"/>
              <w:cnfStyle w:val="100000000000" w:firstRow="1" w:lastRow="0" w:firstColumn="0" w:lastColumn="0" w:oddVBand="0" w:evenVBand="0" w:oddHBand="0" w:evenHBand="0" w:firstRowFirstColumn="0" w:firstRowLastColumn="0" w:lastRowFirstColumn="0" w:lastRowLastColumn="0"/>
              <w:rPr>
                <w:color w:val="FFFFFF" w:themeColor="background1"/>
              </w:rPr>
            </w:pPr>
            <w:r w:rsidRPr="008D78CD">
              <w:rPr>
                <w:b/>
                <w:color w:val="FFFFFF" w:themeColor="background1"/>
              </w:rPr>
              <w:t>Definition</w:t>
            </w:r>
          </w:p>
        </w:tc>
      </w:tr>
      <w:tr w:rsidR="000414C7" w:rsidRPr="00A67371" w14:paraId="330A42B0"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7474D86F" w14:textId="77777777" w:rsidR="000414C7" w:rsidRPr="009D63B5" w:rsidRDefault="000414C7" w:rsidP="005154AD">
            <w:pPr>
              <w:spacing w:after="0" w:line="240" w:lineRule="auto"/>
            </w:pPr>
            <w:r w:rsidRPr="009D63B5">
              <w:t>1800 MHz band</w:t>
            </w:r>
          </w:p>
        </w:tc>
        <w:tc>
          <w:tcPr>
            <w:tcW w:w="5537" w:type="dxa"/>
            <w:shd w:val="clear" w:color="auto" w:fill="auto"/>
          </w:tcPr>
          <w:p w14:paraId="41A005C6" w14:textId="77777777" w:rsidR="000414C7" w:rsidRPr="009D63B5"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9D63B5">
              <w:t>Refers to the 1710</w:t>
            </w:r>
            <w:r>
              <w:t>–</w:t>
            </w:r>
            <w:r w:rsidRPr="009D63B5">
              <w:t>1785/1805</w:t>
            </w:r>
            <w:r>
              <w:t>–</w:t>
            </w:r>
            <w:r w:rsidRPr="009D63B5">
              <w:t>1880 MHz frequency range</w:t>
            </w:r>
          </w:p>
        </w:tc>
      </w:tr>
      <w:tr w:rsidR="000414C7" w:rsidRPr="00A67371" w14:paraId="35A5DF1B"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2BAD37E6" w14:textId="77777777" w:rsidR="000414C7" w:rsidRPr="009D63B5" w:rsidRDefault="000414C7" w:rsidP="005154AD">
            <w:pPr>
              <w:spacing w:after="0" w:line="240" w:lineRule="auto"/>
            </w:pPr>
            <w:r w:rsidRPr="009D63B5">
              <w:t>2 GHz band</w:t>
            </w:r>
          </w:p>
        </w:tc>
        <w:tc>
          <w:tcPr>
            <w:tcW w:w="5537" w:type="dxa"/>
            <w:shd w:val="clear" w:color="auto" w:fill="F2F2F2" w:themeFill="background1" w:themeFillShade="F2"/>
          </w:tcPr>
          <w:p w14:paraId="2F4643DA" w14:textId="77777777" w:rsidR="000414C7" w:rsidRPr="009D63B5"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9D63B5">
              <w:t>Refers to the 1920</w:t>
            </w:r>
            <w:r>
              <w:t>–</w:t>
            </w:r>
            <w:r w:rsidRPr="009D63B5">
              <w:t>1980/2110</w:t>
            </w:r>
            <w:r>
              <w:t>–</w:t>
            </w:r>
            <w:r w:rsidRPr="009D63B5">
              <w:t>2170 MHz frequency range</w:t>
            </w:r>
          </w:p>
        </w:tc>
      </w:tr>
      <w:tr w:rsidR="000414C7" w:rsidRPr="00A67371" w14:paraId="44F56817"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376CF1A4" w14:textId="77777777" w:rsidR="000414C7" w:rsidRPr="009D63B5" w:rsidRDefault="000414C7" w:rsidP="005154AD">
            <w:pPr>
              <w:spacing w:after="0" w:line="240" w:lineRule="auto"/>
            </w:pPr>
            <w:r w:rsidRPr="009D63B5">
              <w:t>2.3 GHz band</w:t>
            </w:r>
          </w:p>
        </w:tc>
        <w:tc>
          <w:tcPr>
            <w:tcW w:w="5537" w:type="dxa"/>
            <w:shd w:val="clear" w:color="auto" w:fill="auto"/>
          </w:tcPr>
          <w:p w14:paraId="697EEA75" w14:textId="77777777" w:rsidR="000414C7" w:rsidRPr="009D63B5"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9D63B5">
              <w:t>Refers to the 2302</w:t>
            </w:r>
            <w:r>
              <w:t>–</w:t>
            </w:r>
            <w:r w:rsidRPr="009D63B5">
              <w:t>2400 MHz frequency range</w:t>
            </w:r>
          </w:p>
        </w:tc>
      </w:tr>
      <w:tr w:rsidR="000414C7" w:rsidRPr="00A67371" w14:paraId="5ECC9B75"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15A70F2D" w14:textId="77777777" w:rsidR="000414C7" w:rsidRPr="009D63B5" w:rsidRDefault="000414C7" w:rsidP="005154AD">
            <w:pPr>
              <w:spacing w:after="0" w:line="240" w:lineRule="auto"/>
            </w:pPr>
            <w:r w:rsidRPr="009D63B5">
              <w:t>2.5 GHz band</w:t>
            </w:r>
          </w:p>
        </w:tc>
        <w:tc>
          <w:tcPr>
            <w:tcW w:w="5537" w:type="dxa"/>
            <w:shd w:val="clear" w:color="auto" w:fill="F2F2F2" w:themeFill="background1" w:themeFillShade="F2"/>
          </w:tcPr>
          <w:p w14:paraId="44FDFC80" w14:textId="77777777" w:rsidR="000414C7" w:rsidRPr="009D63B5"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9D63B5">
              <w:t>Refers to the 2500</w:t>
            </w:r>
            <w:r>
              <w:t>–</w:t>
            </w:r>
            <w:r w:rsidRPr="009D63B5">
              <w:t>2570/2620</w:t>
            </w:r>
            <w:r>
              <w:t>–</w:t>
            </w:r>
            <w:r w:rsidRPr="009D63B5">
              <w:t>2690 MHz frequency range</w:t>
            </w:r>
          </w:p>
        </w:tc>
      </w:tr>
      <w:tr w:rsidR="000414C7" w:rsidRPr="00A67371" w14:paraId="1516DC91"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6A74B2FD" w14:textId="77777777" w:rsidR="000414C7" w:rsidRPr="009D63B5" w:rsidRDefault="000414C7" w:rsidP="005154AD">
            <w:pPr>
              <w:spacing w:after="0" w:line="240" w:lineRule="auto"/>
            </w:pPr>
            <w:r w:rsidRPr="009D63B5">
              <w:t>3.4 GHz spectrum licence band</w:t>
            </w:r>
          </w:p>
        </w:tc>
        <w:tc>
          <w:tcPr>
            <w:tcW w:w="5537" w:type="dxa"/>
            <w:shd w:val="clear" w:color="auto" w:fill="auto"/>
          </w:tcPr>
          <w:p w14:paraId="1A038BCC" w14:textId="77777777" w:rsidR="000414C7" w:rsidRPr="009D63B5" w:rsidRDefault="000414C7" w:rsidP="00B56F50">
            <w:pPr>
              <w:spacing w:after="0" w:line="240" w:lineRule="auto"/>
              <w:cnfStyle w:val="000000100000" w:firstRow="0" w:lastRow="0" w:firstColumn="0" w:lastColumn="0" w:oddVBand="0" w:evenVBand="0" w:oddHBand="1" w:evenHBand="0" w:firstRowFirstColumn="0" w:firstRowLastColumn="0" w:lastRowFirstColumn="0" w:lastRowLastColumn="0"/>
            </w:pPr>
            <w:r w:rsidRPr="009D63B5">
              <w:t>Refers to the 3425</w:t>
            </w:r>
            <w:r>
              <w:t>–</w:t>
            </w:r>
            <w:r w:rsidRPr="009D63B5">
              <w:t>3492.5 MHz and 3542.5</w:t>
            </w:r>
            <w:r>
              <w:t>–</w:t>
            </w:r>
            <w:r w:rsidRPr="009D63B5">
              <w:t>3575 MHz frequency ranges</w:t>
            </w:r>
          </w:p>
        </w:tc>
      </w:tr>
      <w:tr w:rsidR="000414C7" w:rsidRPr="00A67371" w14:paraId="383A836A"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291856C8" w14:textId="77777777" w:rsidR="000414C7" w:rsidRPr="009D63B5" w:rsidRDefault="000414C7" w:rsidP="005154AD">
            <w:pPr>
              <w:spacing w:after="0" w:line="240" w:lineRule="auto"/>
            </w:pPr>
            <w:r w:rsidRPr="009D63B5">
              <w:t>3.5 GHz band</w:t>
            </w:r>
          </w:p>
        </w:tc>
        <w:tc>
          <w:tcPr>
            <w:tcW w:w="5537" w:type="dxa"/>
            <w:shd w:val="clear" w:color="auto" w:fill="F2F2F2" w:themeFill="background1" w:themeFillShade="F2"/>
          </w:tcPr>
          <w:p w14:paraId="25C601A9" w14:textId="77777777" w:rsidR="000414C7" w:rsidRPr="009D63B5"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pPr>
            <w:r w:rsidRPr="009D63B5">
              <w:t>Refers to the 3400</w:t>
            </w:r>
            <w:r>
              <w:t>–</w:t>
            </w:r>
            <w:r w:rsidRPr="009D63B5">
              <w:t>3425 MHz and 3492.5</w:t>
            </w:r>
            <w:r>
              <w:t>–</w:t>
            </w:r>
            <w:r w:rsidRPr="009D63B5">
              <w:t>3542.5 MHz frequency ranges</w:t>
            </w:r>
          </w:p>
        </w:tc>
      </w:tr>
      <w:tr w:rsidR="000414C7" w:rsidRPr="00A67371" w14:paraId="3EA44C52"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37D05D3D" w14:textId="77777777" w:rsidR="000414C7" w:rsidRPr="009D63B5" w:rsidRDefault="000414C7" w:rsidP="005154AD">
            <w:pPr>
              <w:spacing w:after="0" w:line="240" w:lineRule="auto"/>
            </w:pPr>
            <w:r w:rsidRPr="009D63B5">
              <w:t>3.6 GHz band</w:t>
            </w:r>
          </w:p>
        </w:tc>
        <w:tc>
          <w:tcPr>
            <w:tcW w:w="5537" w:type="dxa"/>
            <w:shd w:val="clear" w:color="auto" w:fill="auto"/>
          </w:tcPr>
          <w:p w14:paraId="4F95BDEF" w14:textId="77777777" w:rsidR="000414C7" w:rsidRPr="009D63B5"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9D63B5">
              <w:t>Refers to the 3575</w:t>
            </w:r>
            <w:r>
              <w:t>–</w:t>
            </w:r>
            <w:r w:rsidRPr="009D63B5">
              <w:t>3700 MHz frequency range</w:t>
            </w:r>
          </w:p>
        </w:tc>
      </w:tr>
      <w:tr w:rsidR="00E8628B" w:rsidRPr="00A67371" w14:paraId="1AA6FA0D"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4010BF1B" w14:textId="77777777" w:rsidR="00E8628B" w:rsidRPr="00A67371" w:rsidRDefault="00E8628B" w:rsidP="00E8628B">
            <w:pPr>
              <w:spacing w:after="0" w:line="240" w:lineRule="auto"/>
            </w:pPr>
            <w:r>
              <w:t>5.6 GHz band</w:t>
            </w:r>
          </w:p>
        </w:tc>
        <w:tc>
          <w:tcPr>
            <w:tcW w:w="5537" w:type="dxa"/>
            <w:shd w:val="clear" w:color="auto" w:fill="F2F2F2" w:themeFill="background1" w:themeFillShade="F2"/>
          </w:tcPr>
          <w:p w14:paraId="5D803610" w14:textId="77777777" w:rsidR="00E8628B" w:rsidRPr="006A7F44" w:rsidRDefault="00E8628B" w:rsidP="00E8628B">
            <w:pPr>
              <w:spacing w:after="120" w:line="240" w:lineRule="auto"/>
              <w:cnfStyle w:val="000000000000" w:firstRow="0" w:lastRow="0" w:firstColumn="0" w:lastColumn="0" w:oddVBand="0" w:evenVBand="0" w:oddHBand="0" w:evenHBand="0" w:firstRowFirstColumn="0" w:firstRowLastColumn="0" w:lastRowFirstColumn="0" w:lastRowLastColumn="0"/>
              <w:rPr>
                <w:b/>
              </w:rPr>
            </w:pPr>
            <w:r w:rsidRPr="009D63B5">
              <w:t xml:space="preserve">Refers to the </w:t>
            </w:r>
            <w:r>
              <w:t>5600</w:t>
            </w:r>
            <w:r w:rsidR="00B56F50">
              <w:t>–</w:t>
            </w:r>
            <w:r>
              <w:t>5650</w:t>
            </w:r>
            <w:r w:rsidRPr="009D63B5">
              <w:t xml:space="preserve"> MHz frequency range</w:t>
            </w:r>
          </w:p>
        </w:tc>
      </w:tr>
      <w:tr w:rsidR="00E8628B" w:rsidRPr="00A67371" w14:paraId="1F39C4B6"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12D39054" w14:textId="77777777" w:rsidR="00E8628B" w:rsidRPr="00A67371" w:rsidRDefault="00E8628B" w:rsidP="00E8628B">
            <w:pPr>
              <w:spacing w:after="0" w:line="240" w:lineRule="auto"/>
            </w:pPr>
            <w:r>
              <w:t>28 GHz band</w:t>
            </w:r>
          </w:p>
        </w:tc>
        <w:tc>
          <w:tcPr>
            <w:tcW w:w="5537" w:type="dxa"/>
            <w:shd w:val="clear" w:color="auto" w:fill="auto"/>
          </w:tcPr>
          <w:p w14:paraId="5954A48E" w14:textId="77777777" w:rsidR="00E8628B" w:rsidRPr="006A7F44" w:rsidRDefault="00E8628B" w:rsidP="00E8628B">
            <w:pPr>
              <w:spacing w:after="120" w:line="240" w:lineRule="auto"/>
              <w:cnfStyle w:val="000000100000" w:firstRow="0" w:lastRow="0" w:firstColumn="0" w:lastColumn="0" w:oddVBand="0" w:evenVBand="0" w:oddHBand="1" w:evenHBand="0" w:firstRowFirstColumn="0" w:firstRowLastColumn="0" w:lastRowFirstColumn="0" w:lastRowLastColumn="0"/>
              <w:rPr>
                <w:b/>
              </w:rPr>
            </w:pPr>
            <w:r w:rsidRPr="00B618BD">
              <w:t>Refers to the 27.5</w:t>
            </w:r>
            <w:r w:rsidR="00B56F50">
              <w:t>–</w:t>
            </w:r>
            <w:r w:rsidRPr="00B618BD">
              <w:t>29.5 GHz frequency range</w:t>
            </w:r>
          </w:p>
        </w:tc>
      </w:tr>
      <w:tr w:rsidR="000414C7" w:rsidRPr="00A67371" w14:paraId="3ABBE6F6"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063C4DE4" w14:textId="77777777" w:rsidR="000414C7" w:rsidRPr="00A67371" w:rsidRDefault="000414C7" w:rsidP="005154AD">
            <w:pPr>
              <w:spacing w:after="0" w:line="240" w:lineRule="auto"/>
              <w:rPr>
                <w:b w:val="0"/>
              </w:rPr>
            </w:pPr>
            <w:r w:rsidRPr="00A67371">
              <w:t>3GPP</w:t>
            </w:r>
          </w:p>
        </w:tc>
        <w:tc>
          <w:tcPr>
            <w:tcW w:w="5537" w:type="dxa"/>
            <w:shd w:val="clear" w:color="auto" w:fill="F2F2F2" w:themeFill="background1" w:themeFillShade="F2"/>
          </w:tcPr>
          <w:p w14:paraId="5284DA26" w14:textId="77777777" w:rsidR="000414C7" w:rsidRPr="006A7F44"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rPr>
                <w:b/>
              </w:rPr>
            </w:pPr>
            <w:r w:rsidRPr="006A7F44">
              <w:rPr>
                <w:b/>
              </w:rPr>
              <w:t>3</w:t>
            </w:r>
            <w:r w:rsidRPr="006A7F44">
              <w:rPr>
                <w:b/>
                <w:vertAlign w:val="superscript"/>
              </w:rPr>
              <w:t>rd</w:t>
            </w:r>
            <w:r w:rsidRPr="006A7F44">
              <w:rPr>
                <w:b/>
              </w:rPr>
              <w:t xml:space="preserve"> Generation Partnership Project</w:t>
            </w:r>
          </w:p>
          <w:p w14:paraId="4DB1D818" w14:textId="77777777" w:rsidR="000414C7" w:rsidRPr="00A67371"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t>A</w:t>
            </w:r>
            <w:r w:rsidRPr="00A67371">
              <w:t>n international body responsible for the standardisation of (cellular) mobile (including broadband) telecommunications, including the 2G, 3G, 4G and (soon) 5G technology standards</w:t>
            </w:r>
          </w:p>
        </w:tc>
      </w:tr>
      <w:tr w:rsidR="000414C7" w:rsidRPr="00A67371" w14:paraId="34A67EA9"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559847D4" w14:textId="77777777" w:rsidR="000414C7" w:rsidRPr="00A67371" w:rsidRDefault="000414C7" w:rsidP="005154AD">
            <w:pPr>
              <w:spacing w:after="0" w:line="240" w:lineRule="auto"/>
              <w:rPr>
                <w:rFonts w:cs="Arial"/>
                <w:b w:val="0"/>
              </w:rPr>
            </w:pPr>
            <w:r w:rsidRPr="00A67371">
              <w:rPr>
                <w:rFonts w:cs="Arial"/>
              </w:rPr>
              <w:t>(Spectrum or Service) Allocation</w:t>
            </w:r>
          </w:p>
        </w:tc>
        <w:tc>
          <w:tcPr>
            <w:tcW w:w="5537" w:type="dxa"/>
            <w:shd w:val="clear" w:color="auto" w:fill="auto"/>
          </w:tcPr>
          <w:p w14:paraId="4E086F66" w14:textId="77777777" w:rsidR="000414C7" w:rsidRPr="00A67371"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A67371">
              <w:t>For the purposes of radiofrequency spectrum planning, an allocation is a specific range of frequencies allocated to use by one or more radiocommunications services within a band plan or spectrum plan.</w:t>
            </w:r>
          </w:p>
        </w:tc>
      </w:tr>
      <w:tr w:rsidR="000414C7" w:rsidRPr="00A67371" w14:paraId="532818F2"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7255F4BB" w14:textId="77777777" w:rsidR="000414C7" w:rsidRPr="00A67371" w:rsidRDefault="000414C7" w:rsidP="005154AD">
            <w:pPr>
              <w:spacing w:after="0" w:line="240" w:lineRule="auto"/>
            </w:pPr>
            <w:r w:rsidRPr="00A67371">
              <w:rPr>
                <w:rFonts w:cs="Arial"/>
              </w:rPr>
              <w:t>Apparatus licence</w:t>
            </w:r>
          </w:p>
        </w:tc>
        <w:tc>
          <w:tcPr>
            <w:tcW w:w="5537" w:type="dxa"/>
            <w:shd w:val="clear" w:color="auto" w:fill="F2F2F2" w:themeFill="background1" w:themeFillShade="F2"/>
          </w:tcPr>
          <w:p w14:paraId="669A93E1" w14:textId="77777777" w:rsidR="000414C7" w:rsidRPr="00A67371"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A67371">
              <w:t xml:space="preserve">An apparatus licence authorises, under the </w:t>
            </w:r>
            <w:r w:rsidRPr="00A67371">
              <w:rPr>
                <w:i/>
              </w:rPr>
              <w:t>Radiocommunications Act 1992</w:t>
            </w:r>
            <w:r w:rsidRPr="00A67371">
              <w:t xml:space="preserve">, the use of a radiocommunications device under a particular service type, in a particular frequency range and at a particular geographic location for a period of up to five years </w:t>
            </w:r>
          </w:p>
        </w:tc>
      </w:tr>
      <w:tr w:rsidR="000414C7" w:rsidRPr="00A67371" w14:paraId="6912AD9A"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4451DF92" w14:textId="77777777" w:rsidR="000414C7" w:rsidRDefault="000414C7" w:rsidP="005154AD">
            <w:pPr>
              <w:spacing w:after="0" w:line="240" w:lineRule="auto"/>
            </w:pPr>
            <w:r>
              <w:t>ASMG</w:t>
            </w:r>
          </w:p>
        </w:tc>
        <w:tc>
          <w:tcPr>
            <w:tcW w:w="5537" w:type="dxa"/>
            <w:shd w:val="clear" w:color="auto" w:fill="auto"/>
          </w:tcPr>
          <w:p w14:paraId="13FAADD9" w14:textId="77777777" w:rsidR="000414C7" w:rsidRPr="006A7F44" w:rsidRDefault="000414C7" w:rsidP="00B56F50">
            <w:pPr>
              <w:spacing w:after="0" w:line="240" w:lineRule="auto"/>
              <w:cnfStyle w:val="000000100000" w:firstRow="0" w:lastRow="0" w:firstColumn="0" w:lastColumn="0" w:oddVBand="0" w:evenVBand="0" w:oddHBand="1" w:evenHBand="0" w:firstRowFirstColumn="0" w:firstRowLastColumn="0" w:lastRowFirstColumn="0" w:lastRowLastColumn="0"/>
              <w:rPr>
                <w:rFonts w:cs="Arial"/>
                <w:b/>
              </w:rPr>
            </w:pPr>
            <w:r w:rsidRPr="006A7F44">
              <w:rPr>
                <w:rFonts w:cs="Arial"/>
                <w:b/>
              </w:rPr>
              <w:t xml:space="preserve">Australian Spectrum Map </w:t>
            </w:r>
            <w:r>
              <w:rPr>
                <w:rFonts w:cs="Arial"/>
                <w:b/>
              </w:rPr>
              <w:t>G</w:t>
            </w:r>
            <w:r w:rsidRPr="006A7F44">
              <w:rPr>
                <w:rFonts w:cs="Arial"/>
                <w:b/>
              </w:rPr>
              <w:t>rid</w:t>
            </w:r>
          </w:p>
          <w:p w14:paraId="12EC0E17" w14:textId="77777777" w:rsidR="000414C7" w:rsidRDefault="000414C7" w:rsidP="00B56F50">
            <w:pPr>
              <w:spacing w:after="80" w:line="240" w:lineRule="auto"/>
              <w:cnfStyle w:val="000000100000" w:firstRow="0" w:lastRow="0" w:firstColumn="0" w:lastColumn="0" w:oddVBand="0" w:evenVBand="0" w:oddHBand="1" w:evenHBand="0" w:firstRowFirstColumn="0" w:firstRowLastColumn="0" w:lastRowFirstColumn="0" w:lastRowLastColumn="0"/>
              <w:rPr>
                <w:rFonts w:cs="Arial"/>
              </w:rPr>
            </w:pPr>
            <w:r>
              <w:rPr>
                <w:rFonts w:cs="Arial"/>
              </w:rPr>
              <w:t>Used to define geographical areas over which spectrum licences are issued.</w:t>
            </w:r>
            <w:r w:rsidRPr="00577B3E">
              <w:rPr>
                <w:rFonts w:cs="Arial"/>
              </w:rPr>
              <w:t xml:space="preserve"> </w:t>
            </w:r>
            <w:r>
              <w:rPr>
                <w:rFonts w:cs="Arial"/>
              </w:rPr>
              <w:t>The HCIS</w:t>
            </w:r>
            <w:r w:rsidRPr="00577B3E">
              <w:rPr>
                <w:rFonts w:cs="Arial"/>
              </w:rPr>
              <w:t xml:space="preserve"> </w:t>
            </w:r>
            <w:r>
              <w:rPr>
                <w:rFonts w:cs="Arial"/>
              </w:rPr>
              <w:t>is used to define the cells that make up</w:t>
            </w:r>
            <w:r w:rsidRPr="00577B3E">
              <w:rPr>
                <w:rFonts w:cs="Arial"/>
              </w:rPr>
              <w:t xml:space="preserve"> the</w:t>
            </w:r>
            <w:r>
              <w:rPr>
                <w:rFonts w:cs="Arial"/>
              </w:rPr>
              <w:t xml:space="preserve"> ASMG</w:t>
            </w:r>
            <w:r w:rsidRPr="00577B3E">
              <w:rPr>
                <w:rFonts w:cs="Arial"/>
              </w:rPr>
              <w:t>.</w:t>
            </w:r>
            <w:r>
              <w:rPr>
                <w:rFonts w:cs="Arial"/>
              </w:rPr>
              <w:t xml:space="preserve"> The ASMG is described in detail in the document </w:t>
            </w:r>
            <w:hyperlink r:id="rId45" w:history="1">
              <w:r w:rsidRPr="00776DBC">
                <w:rPr>
                  <w:rStyle w:val="Hyperlink"/>
                  <w:rFonts w:cs="Arial"/>
                  <w:i/>
                </w:rPr>
                <w:t>The Australia</w:t>
              </w:r>
              <w:r>
                <w:rPr>
                  <w:rStyle w:val="Hyperlink"/>
                  <w:rFonts w:cs="Arial"/>
                  <w:i/>
                </w:rPr>
                <w:t>n</w:t>
              </w:r>
              <w:r w:rsidRPr="00776DBC">
                <w:rPr>
                  <w:rStyle w:val="Hyperlink"/>
                  <w:rFonts w:cs="Arial"/>
                  <w:i/>
                </w:rPr>
                <w:t xml:space="preserve"> spectrum map grid 2012</w:t>
              </w:r>
            </w:hyperlink>
          </w:p>
          <w:p w14:paraId="04E53AF0" w14:textId="77777777" w:rsidR="000414C7" w:rsidRDefault="000414C7" w:rsidP="00B56F50">
            <w:pPr>
              <w:spacing w:after="0" w:line="240" w:lineRule="auto"/>
              <w:cnfStyle w:val="000000100000" w:firstRow="0" w:lastRow="0" w:firstColumn="0" w:lastColumn="0" w:oddVBand="0" w:evenVBand="0" w:oddHBand="1" w:evenHBand="0" w:firstRowFirstColumn="0" w:firstRowLastColumn="0" w:lastRowFirstColumn="0" w:lastRowLastColumn="0"/>
            </w:pPr>
            <w:r w:rsidRPr="006A7F44">
              <w:rPr>
                <w:rFonts w:cs="Arial"/>
                <w:i/>
              </w:rPr>
              <w:t>See also</w:t>
            </w:r>
            <w:r>
              <w:rPr>
                <w:rFonts w:cs="Arial"/>
              </w:rPr>
              <w:t xml:space="preserve"> HCIS</w:t>
            </w:r>
          </w:p>
        </w:tc>
      </w:tr>
      <w:tr w:rsidR="000414C7" w:rsidRPr="00A67371" w14:paraId="187FA252"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0C9AD16D" w14:textId="77777777" w:rsidR="000414C7" w:rsidRPr="00A67371" w:rsidRDefault="000414C7" w:rsidP="005154AD">
            <w:pPr>
              <w:spacing w:after="0" w:line="240" w:lineRule="auto"/>
            </w:pPr>
            <w:r w:rsidRPr="00A67371">
              <w:t>Cellular network</w:t>
            </w:r>
          </w:p>
        </w:tc>
        <w:tc>
          <w:tcPr>
            <w:tcW w:w="5537" w:type="dxa"/>
            <w:shd w:val="clear" w:color="auto" w:fill="F2F2F2" w:themeFill="background1" w:themeFillShade="F2"/>
          </w:tcPr>
          <w:p w14:paraId="2A610C54" w14:textId="77777777" w:rsidR="000414C7" w:rsidRPr="00A67371" w:rsidRDefault="000414C7" w:rsidP="00B56F50">
            <w:pPr>
              <w:spacing w:after="80" w:line="240" w:lineRule="auto"/>
              <w:cnfStyle w:val="000000000000" w:firstRow="0" w:lastRow="0" w:firstColumn="0" w:lastColumn="0" w:oddVBand="0" w:evenVBand="0" w:oddHBand="0" w:evenHBand="0" w:firstRowFirstColumn="0" w:firstRowLastColumn="0" w:lastRowFirstColumn="0" w:lastRowLastColumn="0"/>
            </w:pPr>
            <w:r>
              <w:t>A</w:t>
            </w:r>
            <w:r w:rsidRPr="00A67371">
              <w:t xml:space="preserve"> network of radiocommunications services distributed over land areas called cells. Each cell is serviced by a base station, each of which is interconnected via a core network. User devices connected to cellular networks can be seamlessly passed between cells</w:t>
            </w:r>
          </w:p>
          <w:p w14:paraId="6822C22A" w14:textId="77777777" w:rsidR="000414C7" w:rsidRPr="00A67371"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A67371">
              <w:t>2G, 3G and 4G mobile networks are examples of cellular networks</w:t>
            </w:r>
          </w:p>
        </w:tc>
      </w:tr>
      <w:tr w:rsidR="000414C7" w:rsidRPr="00A67371" w14:paraId="606357CE"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7382EE31" w14:textId="77777777" w:rsidR="000414C7" w:rsidRDefault="000414C7" w:rsidP="005154AD">
            <w:pPr>
              <w:spacing w:after="0" w:line="240" w:lineRule="auto"/>
            </w:pPr>
            <w:r>
              <w:t>Coordination</w:t>
            </w:r>
          </w:p>
        </w:tc>
        <w:tc>
          <w:tcPr>
            <w:tcW w:w="5537" w:type="dxa"/>
            <w:shd w:val="clear" w:color="auto" w:fill="auto"/>
          </w:tcPr>
          <w:p w14:paraId="00F8B5CE" w14:textId="77777777" w:rsidR="000414C7"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t xml:space="preserve">The process of assessing the interference potential existing licensed services and a proposed new service will have on each other. Coordination is deemed to fail if the level of interference exceeds the specified protection criteria for the services involved </w:t>
            </w:r>
          </w:p>
        </w:tc>
      </w:tr>
      <w:tr w:rsidR="000414C7" w:rsidRPr="00A67371" w14:paraId="4FB8466C"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5E2C6DF9" w14:textId="77777777" w:rsidR="000414C7" w:rsidRPr="00A67371" w:rsidRDefault="000414C7" w:rsidP="005154AD">
            <w:pPr>
              <w:spacing w:after="0" w:line="240" w:lineRule="auto"/>
            </w:pPr>
            <w:r>
              <w:t>Dead zone</w:t>
            </w:r>
          </w:p>
        </w:tc>
        <w:tc>
          <w:tcPr>
            <w:tcW w:w="5537" w:type="dxa"/>
            <w:shd w:val="clear" w:color="auto" w:fill="F2F2F2" w:themeFill="background1" w:themeFillShade="F2"/>
          </w:tcPr>
          <w:p w14:paraId="6983E397" w14:textId="77777777" w:rsidR="000414C7" w:rsidRDefault="000414C7" w:rsidP="00B56F50">
            <w:pPr>
              <w:spacing w:after="80" w:line="240" w:lineRule="auto"/>
              <w:cnfStyle w:val="000000000000" w:firstRow="0" w:lastRow="0" w:firstColumn="0" w:lastColumn="0" w:oddVBand="0" w:evenVBand="0" w:oddHBand="0" w:evenHBand="0" w:firstRowFirstColumn="0" w:firstRowLastColumn="0" w:lastRowFirstColumn="0" w:lastRowLastColumn="0"/>
            </w:pPr>
            <w:r>
              <w:t xml:space="preserve">An area where an operator is restricted from deploying a service. This is usually a result of emission limits leaving or entering a specified adjacent area or the need to manage interference with other services </w:t>
            </w:r>
          </w:p>
          <w:p w14:paraId="03BEF48C" w14:textId="77777777" w:rsidR="000414C7" w:rsidRPr="00A67371"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pPr>
            <w:r>
              <w:t xml:space="preserve">For spectrum licences, dead zones relate to the area near the geographical boundary of the licence where limits on emissions leaving the area can restrict the deployment of services </w:t>
            </w:r>
          </w:p>
        </w:tc>
      </w:tr>
      <w:tr w:rsidR="000414C7" w:rsidRPr="00A67371" w14:paraId="3D963731"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6B727379" w14:textId="77777777" w:rsidR="000414C7" w:rsidRPr="00A67371" w:rsidRDefault="000414C7" w:rsidP="005154AD">
            <w:pPr>
              <w:spacing w:after="0" w:line="240" w:lineRule="auto"/>
              <w:rPr>
                <w:b w:val="0"/>
              </w:rPr>
            </w:pPr>
            <w:r w:rsidRPr="00A67371">
              <w:t>Embargo</w:t>
            </w:r>
          </w:p>
        </w:tc>
        <w:tc>
          <w:tcPr>
            <w:tcW w:w="5537" w:type="dxa"/>
            <w:shd w:val="clear" w:color="auto" w:fill="auto"/>
          </w:tcPr>
          <w:p w14:paraId="20C4EBC9" w14:textId="77777777" w:rsidR="000414C7" w:rsidRPr="00A67371" w:rsidRDefault="000414C7" w:rsidP="00AA674F">
            <w:pPr>
              <w:spacing w:after="0" w:line="240" w:lineRule="auto"/>
              <w:cnfStyle w:val="000000100000" w:firstRow="0" w:lastRow="0" w:firstColumn="0" w:lastColumn="0" w:oddVBand="0" w:evenVBand="0" w:oddHBand="1" w:evenHBand="0" w:firstRowFirstColumn="0" w:firstRowLastColumn="0" w:lastRowFirstColumn="0" w:lastRowLastColumn="0"/>
            </w:pPr>
            <w:r w:rsidRPr="00A67371">
              <w:t xml:space="preserve">A spectrum embargo is a policy notice of intent by the ACMA to restrict the allocation of new licences in a particular frequency range to support replanning of that frequency range </w:t>
            </w:r>
          </w:p>
        </w:tc>
      </w:tr>
      <w:tr w:rsidR="000414C7" w:rsidRPr="00A67371" w14:paraId="24FCC06D"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46D01CFB" w14:textId="77777777" w:rsidR="000414C7" w:rsidRPr="00A67371" w:rsidRDefault="000414C7" w:rsidP="005154AD">
            <w:pPr>
              <w:spacing w:after="0" w:line="240" w:lineRule="auto"/>
              <w:rPr>
                <w:b w:val="0"/>
              </w:rPr>
            </w:pPr>
            <w:r w:rsidRPr="00A67371">
              <w:t>FDD</w:t>
            </w:r>
          </w:p>
        </w:tc>
        <w:tc>
          <w:tcPr>
            <w:tcW w:w="5537" w:type="dxa"/>
            <w:shd w:val="clear" w:color="auto" w:fill="F2F2F2" w:themeFill="background1" w:themeFillShade="F2"/>
          </w:tcPr>
          <w:p w14:paraId="38F49C48" w14:textId="77777777" w:rsidR="000414C7" w:rsidRPr="006A7F44"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rPr>
                <w:b/>
              </w:rPr>
            </w:pPr>
            <w:r w:rsidRPr="006A7F44">
              <w:rPr>
                <w:b/>
              </w:rPr>
              <w:t xml:space="preserve">Frequency </w:t>
            </w:r>
            <w:r w:rsidRPr="006A7F44">
              <w:rPr>
                <w:rFonts w:cs="Arial"/>
                <w:b/>
              </w:rPr>
              <w:t>Division</w:t>
            </w:r>
            <w:r w:rsidRPr="006A7F44">
              <w:rPr>
                <w:b/>
              </w:rPr>
              <w:t xml:space="preserve"> Duplex</w:t>
            </w:r>
          </w:p>
          <w:p w14:paraId="1B1C3A7E" w14:textId="77777777" w:rsidR="000414C7" w:rsidRPr="00A67371"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t xml:space="preserve">A technique where downlink and uplink communications can operate at the same time but are separated by the allocation of different frequency blocks. </w:t>
            </w:r>
            <w:r w:rsidRPr="00A67371">
              <w:t>The frequency separation between these blocks is known as the FDD ‘split’ (e.g. the FDD split between mobile services operating in the 803–960</w:t>
            </w:r>
            <w:r>
              <w:t> MHz</w:t>
            </w:r>
            <w:r w:rsidRPr="00A67371">
              <w:t xml:space="preserve"> band is 45</w:t>
            </w:r>
            <w:r>
              <w:t> MHz</w:t>
            </w:r>
            <w:r w:rsidRPr="00A67371">
              <w:t>)</w:t>
            </w:r>
          </w:p>
        </w:tc>
      </w:tr>
      <w:tr w:rsidR="000414C7" w:rsidRPr="00A67371" w14:paraId="1FAFC3FB"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0F6EE879" w14:textId="77777777" w:rsidR="000414C7" w:rsidRPr="00A67371" w:rsidRDefault="000414C7" w:rsidP="005154AD">
            <w:pPr>
              <w:spacing w:after="0" w:line="240" w:lineRule="auto"/>
              <w:rPr>
                <w:b w:val="0"/>
              </w:rPr>
            </w:pPr>
            <w:r w:rsidRPr="00A67371">
              <w:t>Guard band</w:t>
            </w:r>
          </w:p>
        </w:tc>
        <w:tc>
          <w:tcPr>
            <w:tcW w:w="5537" w:type="dxa"/>
            <w:shd w:val="clear" w:color="auto" w:fill="auto"/>
          </w:tcPr>
          <w:p w14:paraId="2CD91963" w14:textId="77777777" w:rsidR="000414C7" w:rsidRPr="00A67371"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A67371">
              <w:t>A frequency band that is either deliberately vacant or has specific operating conditions to minimise intra-band interference between the two bands on either side (analogous to a ‘buffer’)</w:t>
            </w:r>
          </w:p>
        </w:tc>
      </w:tr>
      <w:tr w:rsidR="000414C7" w:rsidRPr="00A67371" w14:paraId="3D3B8FBF"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34FE45EE" w14:textId="77777777" w:rsidR="000414C7" w:rsidRPr="00C82A5C" w:rsidRDefault="000414C7" w:rsidP="005154AD">
            <w:pPr>
              <w:spacing w:after="0" w:line="240" w:lineRule="auto"/>
            </w:pPr>
            <w:r w:rsidRPr="00C82A5C">
              <w:t>HCIS</w:t>
            </w:r>
          </w:p>
        </w:tc>
        <w:tc>
          <w:tcPr>
            <w:tcW w:w="5537" w:type="dxa"/>
            <w:shd w:val="clear" w:color="auto" w:fill="F2F2F2" w:themeFill="background1" w:themeFillShade="F2"/>
          </w:tcPr>
          <w:p w14:paraId="19CD9BD2" w14:textId="77777777" w:rsidR="000414C7" w:rsidRPr="006A7F44"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rPr>
                <w:b/>
              </w:rPr>
            </w:pPr>
            <w:r w:rsidRPr="006A7F44">
              <w:rPr>
                <w:b/>
              </w:rPr>
              <w:t>Hierarchical Cell Identification Scheme</w:t>
            </w:r>
          </w:p>
          <w:p w14:paraId="7FDF9164" w14:textId="77777777" w:rsidR="000414C7" w:rsidRDefault="000414C7" w:rsidP="00B56F50">
            <w:pPr>
              <w:spacing w:after="80" w:line="240" w:lineRule="auto"/>
              <w:cnfStyle w:val="000000000000" w:firstRow="0" w:lastRow="0" w:firstColumn="0" w:lastColumn="0" w:oddVBand="0" w:evenVBand="0" w:oddHBand="0" w:evenHBand="0" w:firstRowFirstColumn="0" w:firstRowLastColumn="0" w:lastRowFirstColumn="0" w:lastRowLastColumn="0"/>
              <w:rPr>
                <w:rFonts w:cs="Arial"/>
                <w:color w:val="000000"/>
              </w:rPr>
            </w:pPr>
            <w:r>
              <w:rPr>
                <w:rFonts w:cs="Arial"/>
                <w:color w:val="000000"/>
              </w:rPr>
              <w:t>A</w:t>
            </w:r>
            <w:r w:rsidRPr="00C82A5C">
              <w:rPr>
                <w:rFonts w:cs="Arial"/>
                <w:color w:val="000000"/>
              </w:rPr>
              <w:t xml:space="preserve"> naming convention developed by the ACMA that applies unique ‘names’ to each of the cells of the ASMG. Each </w:t>
            </w:r>
            <w:r w:rsidRPr="006A7F44">
              <w:t>five</w:t>
            </w:r>
            <w:r>
              <w:rPr>
                <w:rFonts w:cs="Arial"/>
                <w:color w:val="000000"/>
              </w:rPr>
              <w:t>-</w:t>
            </w:r>
            <w:r w:rsidRPr="00C82A5C">
              <w:rPr>
                <w:rFonts w:cs="Arial"/>
                <w:color w:val="000000"/>
              </w:rPr>
              <w:t xml:space="preserve">minute of arc square cell in the ASMG is assigned a unique identifier, derived from the cell’s position in a hierarchically arranged grouping of cells. The </w:t>
            </w:r>
            <w:r w:rsidRPr="006A7F44">
              <w:t>hierarchy</w:t>
            </w:r>
            <w:r w:rsidRPr="00C82A5C">
              <w:rPr>
                <w:rFonts w:cs="Arial"/>
                <w:color w:val="000000"/>
              </w:rPr>
              <w:t xml:space="preserve"> has four levels. A detailed description of the HCIS is available on the </w:t>
            </w:r>
            <w:hyperlink r:id="rId46" w:history="1">
              <w:r w:rsidRPr="00C82A5C">
                <w:rPr>
                  <w:rStyle w:val="Hyperlink"/>
                  <w:rFonts w:cs="Arial"/>
                </w:rPr>
                <w:t>ACMA website</w:t>
              </w:r>
            </w:hyperlink>
          </w:p>
          <w:p w14:paraId="3ED99BD2" w14:textId="77777777" w:rsidR="000414C7" w:rsidRPr="00C82A5C"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6151C2">
              <w:rPr>
                <w:rFonts w:cs="Arial"/>
                <w:i/>
              </w:rPr>
              <w:t>See also</w:t>
            </w:r>
            <w:r>
              <w:rPr>
                <w:rFonts w:cs="Arial"/>
                <w:i/>
              </w:rPr>
              <w:t xml:space="preserve"> </w:t>
            </w:r>
            <w:r w:rsidRPr="006A7F44">
              <w:rPr>
                <w:rFonts w:cs="Arial"/>
              </w:rPr>
              <w:t>ASMG</w:t>
            </w:r>
          </w:p>
        </w:tc>
      </w:tr>
      <w:tr w:rsidR="000414C7" w:rsidRPr="00A67371" w14:paraId="66B3F408"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31065EAA" w14:textId="77777777" w:rsidR="000414C7" w:rsidRPr="00C82A5C" w:rsidRDefault="000414C7" w:rsidP="005154AD">
            <w:pPr>
              <w:spacing w:after="0" w:line="240" w:lineRule="auto"/>
            </w:pPr>
            <w:r w:rsidRPr="00C82A5C">
              <w:t>HVU</w:t>
            </w:r>
          </w:p>
        </w:tc>
        <w:tc>
          <w:tcPr>
            <w:tcW w:w="5537" w:type="dxa"/>
            <w:shd w:val="clear" w:color="auto" w:fill="auto"/>
          </w:tcPr>
          <w:p w14:paraId="5C6A7626" w14:textId="77777777" w:rsidR="000414C7" w:rsidRPr="006A7F44" w:rsidRDefault="000414C7" w:rsidP="00B56F50">
            <w:pPr>
              <w:spacing w:after="0" w:line="240" w:lineRule="auto"/>
              <w:cnfStyle w:val="000000100000" w:firstRow="0" w:lastRow="0" w:firstColumn="0" w:lastColumn="0" w:oddVBand="0" w:evenVBand="0" w:oddHBand="1" w:evenHBand="0" w:firstRowFirstColumn="0" w:firstRowLastColumn="0" w:lastRowFirstColumn="0" w:lastRowLastColumn="0"/>
              <w:rPr>
                <w:b/>
              </w:rPr>
            </w:pPr>
            <w:r w:rsidRPr="006A7F44">
              <w:rPr>
                <w:b/>
              </w:rPr>
              <w:t>Highest value use</w:t>
            </w:r>
          </w:p>
          <w:p w14:paraId="7B437A33" w14:textId="77777777" w:rsidR="000414C7" w:rsidRPr="009D63B5" w:rsidRDefault="00AA674F" w:rsidP="005154AD">
            <w:pPr>
              <w:autoSpaceDE w:val="0"/>
              <w:autoSpaceDN w:val="0"/>
              <w:spacing w:after="0"/>
              <w:cnfStyle w:val="000000100000" w:firstRow="0" w:lastRow="0" w:firstColumn="0" w:lastColumn="0" w:oddVBand="0" w:evenVBand="0" w:oddHBand="1" w:evenHBand="0" w:firstRowFirstColumn="0" w:firstRowLastColumn="0" w:lastRowFirstColumn="0" w:lastRowLastColumn="0"/>
              <w:rPr>
                <w:rFonts w:ascii="Calibri" w:hAnsi="Calibri"/>
              </w:rPr>
            </w:pPr>
            <w:r>
              <w:t>W</w:t>
            </w:r>
            <w:r w:rsidR="000414C7">
              <w:t>hen applied to spectrum, is the use for which spectrum can provide the greatest incremental value to economic welfare. The value provided to the economy by spectrum is typically due to reduced costs for spectrum users to provide services, or the ability to provide new services that would not be possible without the use of particular spectrum</w:t>
            </w:r>
          </w:p>
        </w:tc>
      </w:tr>
      <w:tr w:rsidR="000414C7" w:rsidRPr="00A67371" w14:paraId="081F47D9"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20A5BA57" w14:textId="77777777" w:rsidR="000414C7" w:rsidRPr="00A67371" w:rsidRDefault="000414C7" w:rsidP="005154AD">
            <w:pPr>
              <w:spacing w:after="0" w:line="240" w:lineRule="auto"/>
            </w:pPr>
            <w:r w:rsidRPr="00A67371">
              <w:t>International spectrum harmonisation</w:t>
            </w:r>
          </w:p>
        </w:tc>
        <w:tc>
          <w:tcPr>
            <w:tcW w:w="5537" w:type="dxa"/>
            <w:shd w:val="clear" w:color="auto" w:fill="F2F2F2" w:themeFill="background1" w:themeFillShade="F2"/>
          </w:tcPr>
          <w:p w14:paraId="10EA5082" w14:textId="77777777" w:rsidR="000414C7" w:rsidRPr="00A67371"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A67371">
              <w:t>The generally desirable outcome where radiocommunications services operate throughout the world in similar spectrum bands. Among other benefits, harmonisation facilitates lower-cost equipment through economies of scale</w:t>
            </w:r>
          </w:p>
        </w:tc>
      </w:tr>
      <w:tr w:rsidR="000414C7" w:rsidRPr="00A67371" w14:paraId="18804DDB"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33140149" w14:textId="77777777" w:rsidR="000414C7" w:rsidRPr="00A67371" w:rsidRDefault="000414C7" w:rsidP="005154AD">
            <w:pPr>
              <w:spacing w:after="0" w:line="240" w:lineRule="auto"/>
            </w:pPr>
            <w:r w:rsidRPr="00A67371">
              <w:t>International Telecommunication Union (ITU)</w:t>
            </w:r>
          </w:p>
        </w:tc>
        <w:tc>
          <w:tcPr>
            <w:tcW w:w="5537" w:type="dxa"/>
            <w:shd w:val="clear" w:color="auto" w:fill="auto"/>
          </w:tcPr>
          <w:p w14:paraId="218222DD" w14:textId="77777777" w:rsidR="000414C7" w:rsidRPr="00A67371"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A67371">
              <w:t>A specialised agency of the United Nations that is responsible for issues that concern information and communication technologies. The ITU coordinates the shared global use of radio spectrum and assists in the development of spectrum harmonisation arrangements</w:t>
            </w:r>
          </w:p>
        </w:tc>
      </w:tr>
      <w:tr w:rsidR="000414C7" w:rsidRPr="00A67371" w14:paraId="1C5246CB"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0D378EAC" w14:textId="77777777" w:rsidR="000414C7" w:rsidRPr="00A67371" w:rsidRDefault="000414C7" w:rsidP="005154AD">
            <w:pPr>
              <w:spacing w:after="0" w:line="240" w:lineRule="auto"/>
            </w:pPr>
            <w:r w:rsidRPr="00A67371">
              <w:t>LTE</w:t>
            </w:r>
          </w:p>
        </w:tc>
        <w:tc>
          <w:tcPr>
            <w:tcW w:w="5537" w:type="dxa"/>
            <w:shd w:val="clear" w:color="auto" w:fill="F2F2F2" w:themeFill="background1" w:themeFillShade="F2"/>
          </w:tcPr>
          <w:p w14:paraId="2769143C" w14:textId="77777777" w:rsidR="000414C7" w:rsidRPr="006A7F44"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rPr>
                <w:b/>
              </w:rPr>
            </w:pPr>
            <w:r w:rsidRPr="006A7F44">
              <w:rPr>
                <w:b/>
              </w:rPr>
              <w:t>Long Term Evolution</w:t>
            </w:r>
          </w:p>
          <w:p w14:paraId="0539FAAC" w14:textId="77777777" w:rsidR="000414C7" w:rsidRPr="00A67371"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t xml:space="preserve">A </w:t>
            </w:r>
            <w:r w:rsidRPr="00A67371">
              <w:t>4</w:t>
            </w:r>
            <w:r w:rsidRPr="00A67371">
              <w:rPr>
                <w:vertAlign w:val="superscript"/>
              </w:rPr>
              <w:t>th</w:t>
            </w:r>
            <w:r w:rsidRPr="00A67371">
              <w:t xml:space="preserve"> Generation 3GPP technology standard for </w:t>
            </w:r>
            <w:hyperlink r:id="rId47" w:tooltip="Wireless" w:history="1">
              <w:r w:rsidRPr="00A67371">
                <w:t>wireless</w:t>
              </w:r>
            </w:hyperlink>
            <w:r w:rsidRPr="00A67371">
              <w:t xml:space="preserve"> communications including high-speed data for mobile devices </w:t>
            </w:r>
          </w:p>
        </w:tc>
      </w:tr>
      <w:tr w:rsidR="000414C7" w:rsidRPr="00A67371" w14:paraId="6F514969"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1B7296F7" w14:textId="77777777" w:rsidR="000414C7" w:rsidRPr="00A67371" w:rsidRDefault="000414C7" w:rsidP="005154AD">
            <w:pPr>
              <w:spacing w:after="0" w:line="240" w:lineRule="auto"/>
            </w:pPr>
            <w:r w:rsidRPr="00A67371">
              <w:t>Mobile broadband</w:t>
            </w:r>
            <w:r w:rsidR="00B56F50">
              <w:t xml:space="preserve"> (MBB)</w:t>
            </w:r>
          </w:p>
        </w:tc>
        <w:tc>
          <w:tcPr>
            <w:tcW w:w="5537" w:type="dxa"/>
            <w:shd w:val="clear" w:color="auto" w:fill="auto"/>
          </w:tcPr>
          <w:p w14:paraId="16164492" w14:textId="77777777" w:rsidR="000414C7" w:rsidRPr="00A67371"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rsidRPr="00A67371">
              <w:t xml:space="preserve">The variety of ways an internet service is delivered via a mobile network, typically comprising mobile wireless internet services provided via a dongle, USB modem or data card service, or mobile phone handset internet services </w:t>
            </w:r>
          </w:p>
        </w:tc>
      </w:tr>
      <w:tr w:rsidR="000414C7" w:rsidRPr="00A67371" w14:paraId="1FD0485B"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1C7A4013" w14:textId="77777777" w:rsidR="000414C7" w:rsidRPr="00C82A5C" w:rsidRDefault="000414C7" w:rsidP="005154AD">
            <w:pPr>
              <w:spacing w:after="0" w:line="240" w:lineRule="auto"/>
            </w:pPr>
            <w:r w:rsidRPr="00C82A5C">
              <w:t xml:space="preserve">MBB </w:t>
            </w:r>
            <w:r>
              <w:t>s</w:t>
            </w:r>
            <w:r w:rsidRPr="00C82A5C">
              <w:t>trategy</w:t>
            </w:r>
          </w:p>
        </w:tc>
        <w:tc>
          <w:tcPr>
            <w:tcW w:w="5537" w:type="dxa"/>
            <w:shd w:val="clear" w:color="auto" w:fill="F2F2F2" w:themeFill="background1" w:themeFillShade="F2"/>
          </w:tcPr>
          <w:p w14:paraId="18F8E75B" w14:textId="77777777" w:rsidR="000414C7" w:rsidRPr="00C82A5C"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pPr>
            <w:r w:rsidRPr="00C82A5C">
              <w:rPr>
                <w:lang w:val="en"/>
              </w:rPr>
              <w:t>The ACMA has developed a </w:t>
            </w:r>
            <w:hyperlink r:id="rId48" w:history="1">
              <w:r w:rsidRPr="00C82A5C">
                <w:rPr>
                  <w:rStyle w:val="Hyperlink"/>
                  <w:lang w:val="en"/>
                </w:rPr>
                <w:t>set of strategies</w:t>
              </w:r>
            </w:hyperlink>
            <w:r w:rsidRPr="00C82A5C">
              <w:rPr>
                <w:lang w:val="en"/>
              </w:rPr>
              <w:t xml:space="preserve"> to address the growth in demand for mobile broadband capacity. A key part of these strategies is the articulation of a spectrum management process for the release of additional spectrum for </w:t>
            </w:r>
            <w:r w:rsidR="00B56F50">
              <w:rPr>
                <w:lang w:val="en"/>
              </w:rPr>
              <w:t>MBB</w:t>
            </w:r>
            <w:r w:rsidRPr="00C82A5C">
              <w:rPr>
                <w:lang w:val="en"/>
              </w:rPr>
              <w:t> </w:t>
            </w:r>
          </w:p>
        </w:tc>
      </w:tr>
      <w:tr w:rsidR="000414C7" w:rsidRPr="00A67371" w14:paraId="447D0DBA"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14748AAD" w14:textId="77777777" w:rsidR="000414C7" w:rsidRPr="00C82A5C" w:rsidRDefault="000414C7" w:rsidP="005154AD">
            <w:pPr>
              <w:spacing w:after="0" w:line="240" w:lineRule="auto"/>
            </w:pPr>
            <w:r w:rsidRPr="00C82A5C">
              <w:t xml:space="preserve">Principles for </w:t>
            </w:r>
            <w:r>
              <w:t>S</w:t>
            </w:r>
            <w:r w:rsidRPr="00C82A5C">
              <w:t xml:space="preserve">pectrum </w:t>
            </w:r>
            <w:r>
              <w:t>M</w:t>
            </w:r>
            <w:r w:rsidRPr="00C82A5C">
              <w:t>anagement</w:t>
            </w:r>
          </w:p>
        </w:tc>
        <w:tc>
          <w:tcPr>
            <w:tcW w:w="5537" w:type="dxa"/>
            <w:shd w:val="clear" w:color="auto" w:fill="auto"/>
          </w:tcPr>
          <w:p w14:paraId="55F8CA7D" w14:textId="77777777" w:rsidR="000414C7" w:rsidRPr="00C82A5C"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t>D</w:t>
            </w:r>
            <w:r w:rsidRPr="00C82A5C">
              <w:t xml:space="preserve">eveloped by the ACMA to guide its approach to spectrum management. The key theme of the </w:t>
            </w:r>
            <w:r w:rsidR="00B56F50">
              <w:t>P</w:t>
            </w:r>
            <w:r w:rsidRPr="00C82A5C">
              <w:t xml:space="preserve">rinciples is that maximising the overall public benefit from use of the radiofrequency spectrum requires balanced application of both regulatory and market mechanisms. Details of the </w:t>
            </w:r>
            <w:r w:rsidR="00B56F50">
              <w:t>P</w:t>
            </w:r>
            <w:r w:rsidRPr="00C82A5C">
              <w:t xml:space="preserve">rinciples are available on the </w:t>
            </w:r>
            <w:hyperlink r:id="rId49" w:history="1">
              <w:r w:rsidRPr="00C82A5C">
                <w:rPr>
                  <w:rStyle w:val="Hyperlink"/>
                </w:rPr>
                <w:t>ACMA website</w:t>
              </w:r>
            </w:hyperlink>
          </w:p>
        </w:tc>
      </w:tr>
      <w:tr w:rsidR="000414C7" w:rsidRPr="00A67371" w14:paraId="1E514CA6"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0C847D21" w14:textId="77777777" w:rsidR="000414C7" w:rsidRPr="00C82A5C" w:rsidRDefault="000414C7" w:rsidP="005154AD">
            <w:pPr>
              <w:spacing w:after="0" w:line="240" w:lineRule="auto"/>
            </w:pPr>
            <w:r w:rsidRPr="00C82A5C">
              <w:t>RALI</w:t>
            </w:r>
          </w:p>
        </w:tc>
        <w:tc>
          <w:tcPr>
            <w:tcW w:w="5537" w:type="dxa"/>
            <w:shd w:val="clear" w:color="auto" w:fill="F2F2F2" w:themeFill="background1" w:themeFillShade="F2"/>
          </w:tcPr>
          <w:p w14:paraId="51C10552" w14:textId="77777777" w:rsidR="000414C7" w:rsidRPr="006A7F44" w:rsidRDefault="000414C7" w:rsidP="00B56F50">
            <w:pPr>
              <w:spacing w:after="0" w:line="240" w:lineRule="auto"/>
              <w:cnfStyle w:val="000000000000" w:firstRow="0" w:lastRow="0" w:firstColumn="0" w:lastColumn="0" w:oddVBand="0" w:evenVBand="0" w:oddHBand="0" w:evenHBand="0" w:firstRowFirstColumn="0" w:firstRowLastColumn="0" w:lastRowFirstColumn="0" w:lastRowLastColumn="0"/>
              <w:rPr>
                <w:b/>
              </w:rPr>
            </w:pPr>
            <w:r w:rsidRPr="006A7F44">
              <w:rPr>
                <w:b/>
              </w:rPr>
              <w:t xml:space="preserve">Radiocommunications Assignment and Licensing Instruction </w:t>
            </w:r>
          </w:p>
          <w:p w14:paraId="74F60CAD" w14:textId="77777777" w:rsidR="000414C7" w:rsidRPr="00C82A5C"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t>A</w:t>
            </w:r>
            <w:r w:rsidRPr="00C82A5C">
              <w:t xml:space="preserve"> technical document made by the ACMA that outlines frequency assignment and information pertaining to coordination and interference management </w:t>
            </w:r>
          </w:p>
        </w:tc>
      </w:tr>
      <w:tr w:rsidR="000414C7" w:rsidRPr="00A67371" w14:paraId="4D22447A"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2FF64343" w14:textId="77777777" w:rsidR="000414C7" w:rsidRPr="00C82A5C" w:rsidRDefault="000414C7" w:rsidP="005154AD">
            <w:pPr>
              <w:spacing w:after="0" w:line="240" w:lineRule="auto"/>
            </w:pPr>
            <w:r>
              <w:t xml:space="preserve">Re-allocation of spectrum </w:t>
            </w:r>
          </w:p>
        </w:tc>
        <w:tc>
          <w:tcPr>
            <w:tcW w:w="5537" w:type="dxa"/>
            <w:shd w:val="clear" w:color="auto" w:fill="auto"/>
          </w:tcPr>
          <w:p w14:paraId="157F3BB5" w14:textId="77777777" w:rsidR="000414C7"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t xml:space="preserve">Under </w:t>
            </w:r>
            <w:r>
              <w:rPr>
                <w:rFonts w:cs="Arial"/>
              </w:rPr>
              <w:t xml:space="preserve">section 153B of the </w:t>
            </w:r>
            <w:r w:rsidRPr="006A7F44">
              <w:rPr>
                <w:rFonts w:cs="Arial"/>
                <w:i/>
              </w:rPr>
              <w:t>Radiocommunications Act 1992</w:t>
            </w:r>
            <w:r>
              <w:rPr>
                <w:rFonts w:cs="Arial"/>
              </w:rPr>
              <w:t>, the minster can re-allocate specific frequencies and areas for the issue of spectrum (or apparatus) licences. A result of this process is the cancellation of incumbent apparatus licences in the identified areas at the end of a defined timeframe known as the re</w:t>
            </w:r>
            <w:r>
              <w:rPr>
                <w:rFonts w:cs="Arial"/>
              </w:rPr>
              <w:noBreakHyphen/>
              <w:t>allocation period</w:t>
            </w:r>
          </w:p>
        </w:tc>
      </w:tr>
      <w:tr w:rsidR="000414C7" w:rsidRPr="00A67371" w14:paraId="592904D6"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36A9DF3A" w14:textId="77777777" w:rsidR="000414C7" w:rsidRPr="00C82A5C" w:rsidRDefault="000414C7" w:rsidP="005154AD">
            <w:pPr>
              <w:spacing w:after="0" w:line="240" w:lineRule="auto"/>
            </w:pPr>
            <w:r w:rsidRPr="00C82A5C">
              <w:t xml:space="preserve">Re-allocation </w:t>
            </w:r>
            <w:r>
              <w:t>p</w:t>
            </w:r>
            <w:r w:rsidRPr="00C82A5C">
              <w:t>eriod</w:t>
            </w:r>
          </w:p>
        </w:tc>
        <w:tc>
          <w:tcPr>
            <w:tcW w:w="5537" w:type="dxa"/>
            <w:shd w:val="clear" w:color="auto" w:fill="F2F2F2" w:themeFill="background1" w:themeFillShade="F2"/>
          </w:tcPr>
          <w:p w14:paraId="2DE584EB" w14:textId="77777777" w:rsidR="000414C7"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t xml:space="preserve">The period of time before </w:t>
            </w:r>
            <w:r>
              <w:rPr>
                <w:rFonts w:cs="Arial"/>
              </w:rPr>
              <w:t xml:space="preserve">incumbent apparatus licenses that fall wholly or partially within the frequencies and areas to be re-allocated under section 153B of the </w:t>
            </w:r>
            <w:r w:rsidRPr="006A7F44">
              <w:rPr>
                <w:rFonts w:cs="Arial"/>
                <w:i/>
              </w:rPr>
              <w:t>Radiocommunications Act 1992</w:t>
            </w:r>
            <w:r>
              <w:rPr>
                <w:rFonts w:cs="Arial"/>
              </w:rPr>
              <w:t xml:space="preserve"> will be cancelled. The re</w:t>
            </w:r>
            <w:r>
              <w:rPr>
                <w:rFonts w:cs="Arial"/>
              </w:rPr>
              <w:noBreakHyphen/>
              <w:t>allocation period is required to be a minimum of two years</w:t>
            </w:r>
          </w:p>
        </w:tc>
      </w:tr>
      <w:tr w:rsidR="000414C7" w:rsidRPr="00A67371" w14:paraId="6310F4A4"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15AB5AF0" w14:textId="77777777" w:rsidR="000414C7" w:rsidRPr="00A67371" w:rsidRDefault="000414C7" w:rsidP="005154AD">
            <w:pPr>
              <w:spacing w:after="0" w:line="240" w:lineRule="auto"/>
            </w:pPr>
            <w:r w:rsidRPr="00A67371">
              <w:t>Spectrum licence</w:t>
            </w:r>
          </w:p>
        </w:tc>
        <w:tc>
          <w:tcPr>
            <w:tcW w:w="5537" w:type="dxa"/>
            <w:shd w:val="clear" w:color="auto" w:fill="auto"/>
          </w:tcPr>
          <w:p w14:paraId="69CC70D1" w14:textId="77777777" w:rsidR="000414C7" w:rsidRPr="00A67371"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t>I</w:t>
            </w:r>
            <w:r w:rsidRPr="00A67371">
              <w:t xml:space="preserve">ssued under the </w:t>
            </w:r>
            <w:r w:rsidRPr="00A67371">
              <w:rPr>
                <w:i/>
              </w:rPr>
              <w:t>Radiocommunications Act 1992</w:t>
            </w:r>
            <w:r>
              <w:t xml:space="preserve"> and </w:t>
            </w:r>
            <w:r w:rsidRPr="00A67371">
              <w:t>authorises the use of a particular frequency band within a particular geographic area for a period of up to 15 years. The geographic area can vary in size, up to and including the entire country</w:t>
            </w:r>
          </w:p>
        </w:tc>
      </w:tr>
      <w:tr w:rsidR="00E8628B" w:rsidRPr="00A67371" w14:paraId="06C4F1AB"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1C8614F1" w14:textId="77777777" w:rsidR="00E8628B" w:rsidRPr="00C82A5C" w:rsidRDefault="00E8628B" w:rsidP="00E8628B">
            <w:pPr>
              <w:spacing w:after="0" w:line="240" w:lineRule="auto"/>
            </w:pPr>
            <w:r>
              <w:t>Spectrum licence technical framework</w:t>
            </w:r>
          </w:p>
        </w:tc>
        <w:tc>
          <w:tcPr>
            <w:tcW w:w="5537" w:type="dxa"/>
            <w:shd w:val="clear" w:color="auto" w:fill="F2F2F2" w:themeFill="background1" w:themeFillShade="F2"/>
          </w:tcPr>
          <w:p w14:paraId="5EDE2177" w14:textId="77777777" w:rsidR="00E8628B" w:rsidRPr="00807CA6" w:rsidRDefault="00E8628B" w:rsidP="00B56F50">
            <w:pPr>
              <w:spacing w:after="80"/>
              <w:cnfStyle w:val="000000000000" w:firstRow="0" w:lastRow="0" w:firstColumn="0" w:lastColumn="0" w:oddVBand="0" w:evenVBand="0" w:oddHBand="0" w:evenHBand="0" w:firstRowFirstColumn="0" w:firstRowLastColumn="0" w:lastRowFirstColumn="0" w:lastRowLastColumn="0"/>
            </w:pPr>
            <w:r w:rsidRPr="00807CA6">
              <w:t xml:space="preserve">The ACMA develops a technical framework for each spectrum licensed band </w:t>
            </w:r>
            <w:r w:rsidR="00B56F50">
              <w:t>that</w:t>
            </w:r>
            <w:r w:rsidR="00B56F50" w:rsidRPr="00807CA6">
              <w:t xml:space="preserve"> </w:t>
            </w:r>
            <w:r w:rsidRPr="00807CA6">
              <w:t>sets the terms by which a device may be deployed and operated under a licence.</w:t>
            </w:r>
            <w:r>
              <w:t xml:space="preserve"> It is </w:t>
            </w:r>
            <w:r w:rsidRPr="00E3715A">
              <w:rPr>
                <w:rFonts w:cs="Arial"/>
              </w:rPr>
              <w:t xml:space="preserve">designed to manage interference to </w:t>
            </w:r>
            <w:r>
              <w:rPr>
                <w:rFonts w:cs="Arial"/>
              </w:rPr>
              <w:t xml:space="preserve">and from other spectrum users and </w:t>
            </w:r>
            <w:r w:rsidRPr="00807CA6">
              <w:t>consists of three interlocking regulatory elements:</w:t>
            </w:r>
          </w:p>
          <w:p w14:paraId="0AB6A9C0" w14:textId="77777777" w:rsidR="00E8628B" w:rsidRPr="00807CA6" w:rsidRDefault="00B56F50" w:rsidP="00B56F50">
            <w:pPr>
              <w:numPr>
                <w:ilvl w:val="0"/>
                <w:numId w:val="33"/>
              </w:numPr>
              <w:spacing w:after="80" w:line="240" w:lineRule="auto"/>
              <w:cnfStyle w:val="000000000000" w:firstRow="0" w:lastRow="0" w:firstColumn="0" w:lastColumn="0" w:oddVBand="0" w:evenVBand="0" w:oddHBand="0" w:evenHBand="0" w:firstRowFirstColumn="0" w:firstRowLastColumn="0" w:lastRowFirstColumn="0" w:lastRowLastColumn="0"/>
            </w:pPr>
            <w:r>
              <w:t>t</w:t>
            </w:r>
            <w:r w:rsidR="00E8628B" w:rsidRPr="00807CA6">
              <w:t xml:space="preserve">he conditions specified on the </w:t>
            </w:r>
            <w:r w:rsidR="00E8628B">
              <w:t xml:space="preserve">spectrum </w:t>
            </w:r>
            <w:r w:rsidR="00E8628B" w:rsidRPr="00807CA6">
              <w:t>licence, in particular</w:t>
            </w:r>
            <w:r>
              <w:t>,</w:t>
            </w:r>
            <w:r w:rsidR="00E8628B" w:rsidRPr="00807CA6">
              <w:t xml:space="preserve"> the core conditions</w:t>
            </w:r>
            <w:r w:rsidR="00E8628B">
              <w:t xml:space="preserve"> </w:t>
            </w:r>
            <w:r w:rsidR="00E8628B" w:rsidRPr="00807CA6">
              <w:t xml:space="preserve">that define the spectrum </w:t>
            </w:r>
            <w:r w:rsidR="00E8628B">
              <w:t>space (both frequency and geographical area)</w:t>
            </w:r>
            <w:r w:rsidR="00E8628B" w:rsidRPr="00807CA6">
              <w:t xml:space="preserve"> and the level of emissions permitted </w:t>
            </w:r>
            <w:r w:rsidR="00E8628B">
              <w:t xml:space="preserve">inside and </w:t>
            </w:r>
            <w:r w:rsidR="00E8628B" w:rsidRPr="00807CA6">
              <w:t xml:space="preserve">across the </w:t>
            </w:r>
            <w:r w:rsidR="00E8628B">
              <w:t xml:space="preserve">frequency boundaries </w:t>
            </w:r>
            <w:r w:rsidR="00E8628B" w:rsidRPr="00807CA6">
              <w:t xml:space="preserve">of the licence </w:t>
            </w:r>
          </w:p>
          <w:p w14:paraId="1C9AE439" w14:textId="77777777" w:rsidR="00E8628B" w:rsidRDefault="00B56F50" w:rsidP="00B56F50">
            <w:pPr>
              <w:numPr>
                <w:ilvl w:val="0"/>
                <w:numId w:val="33"/>
              </w:numPr>
              <w:spacing w:after="80" w:line="240" w:lineRule="auto"/>
              <w:cnfStyle w:val="000000000000" w:firstRow="0" w:lastRow="0" w:firstColumn="0" w:lastColumn="0" w:oddVBand="0" w:evenVBand="0" w:oddHBand="0" w:evenHBand="0" w:firstRowFirstColumn="0" w:firstRowLastColumn="0" w:lastRowFirstColumn="0" w:lastRowLastColumn="0"/>
            </w:pPr>
            <w:r>
              <w:t>a</w:t>
            </w:r>
            <w:r w:rsidR="00E8628B" w:rsidRPr="00807CA6">
              <w:t xml:space="preserve"> determination of unacceptable interference for the purpose of device registration in each band </w:t>
            </w:r>
          </w:p>
          <w:p w14:paraId="7D321E65" w14:textId="77777777" w:rsidR="00E8628B" w:rsidRPr="006A7F44" w:rsidRDefault="00B56F50" w:rsidP="00B56F50">
            <w:pPr>
              <w:numPr>
                <w:ilvl w:val="0"/>
                <w:numId w:val="33"/>
              </w:numPr>
              <w:spacing w:after="0" w:line="240" w:lineRule="auto"/>
              <w:cnfStyle w:val="000000000000" w:firstRow="0" w:lastRow="0" w:firstColumn="0" w:lastColumn="0" w:oddVBand="0" w:evenVBand="0" w:oddHBand="0" w:evenHBand="0" w:firstRowFirstColumn="0" w:firstRowLastColumn="0" w:lastRowFirstColumn="0" w:lastRowLastColumn="0"/>
              <w:rPr>
                <w:b/>
              </w:rPr>
            </w:pPr>
            <w:r>
              <w:t>r</w:t>
            </w:r>
            <w:r w:rsidR="00E8628B" w:rsidRPr="000274C7">
              <w:t>adiocommunications advisory guidelines that provide assistance and advice for coordination with stations in other services when and where required</w:t>
            </w:r>
          </w:p>
        </w:tc>
      </w:tr>
      <w:tr w:rsidR="000414C7" w:rsidRPr="00A67371" w14:paraId="716C3877"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4C77F307" w14:textId="77777777" w:rsidR="000414C7" w:rsidRPr="00C82A5C" w:rsidRDefault="000414C7" w:rsidP="005154AD">
            <w:pPr>
              <w:spacing w:after="0" w:line="240" w:lineRule="auto"/>
            </w:pPr>
            <w:r w:rsidRPr="00C82A5C">
              <w:t>TDD</w:t>
            </w:r>
          </w:p>
        </w:tc>
        <w:tc>
          <w:tcPr>
            <w:tcW w:w="5537" w:type="dxa"/>
            <w:shd w:val="clear" w:color="auto" w:fill="auto"/>
          </w:tcPr>
          <w:p w14:paraId="30B33F71" w14:textId="77777777" w:rsidR="000414C7" w:rsidRPr="006A7F44" w:rsidRDefault="000414C7" w:rsidP="00227574">
            <w:pPr>
              <w:spacing w:after="0" w:line="240" w:lineRule="auto"/>
              <w:cnfStyle w:val="000000100000" w:firstRow="0" w:lastRow="0" w:firstColumn="0" w:lastColumn="0" w:oddVBand="0" w:evenVBand="0" w:oddHBand="1" w:evenHBand="0" w:firstRowFirstColumn="0" w:firstRowLastColumn="0" w:lastRowFirstColumn="0" w:lastRowLastColumn="0"/>
              <w:rPr>
                <w:b/>
              </w:rPr>
            </w:pPr>
            <w:r w:rsidRPr="006A7F44">
              <w:rPr>
                <w:b/>
              </w:rPr>
              <w:t>Time Division Duplex</w:t>
            </w:r>
          </w:p>
          <w:p w14:paraId="67959B1B" w14:textId="77777777" w:rsidR="000414C7" w:rsidRPr="00C82A5C"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t>A</w:t>
            </w:r>
            <w:r w:rsidRPr="00C82A5C">
              <w:t xml:space="preserve"> technique w</w:t>
            </w:r>
            <w:r>
              <w:t>h</w:t>
            </w:r>
            <w:r w:rsidRPr="00C82A5C">
              <w:t>ere downlink and uplink communications use the same frequency but are separated by the allocation of different slots. This means uplink and downlink communications cannot occur at the same time</w:t>
            </w:r>
          </w:p>
        </w:tc>
      </w:tr>
      <w:tr w:rsidR="00E8628B" w:rsidRPr="00A67371" w14:paraId="7AEB65ED"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5FBF2F61" w14:textId="77777777" w:rsidR="00E8628B" w:rsidRPr="00C82A5C" w:rsidRDefault="00E8628B" w:rsidP="00E8628B">
            <w:pPr>
              <w:spacing w:after="0" w:line="240" w:lineRule="auto"/>
            </w:pPr>
            <w:r>
              <w:t>TLG</w:t>
            </w:r>
          </w:p>
        </w:tc>
        <w:tc>
          <w:tcPr>
            <w:tcW w:w="5537" w:type="dxa"/>
            <w:shd w:val="clear" w:color="auto" w:fill="F2F2F2" w:themeFill="background1" w:themeFillShade="F2"/>
          </w:tcPr>
          <w:p w14:paraId="448989B5" w14:textId="77777777" w:rsidR="00E8628B" w:rsidRDefault="00E8628B" w:rsidP="00227574">
            <w:pPr>
              <w:spacing w:after="0" w:line="240" w:lineRule="auto"/>
              <w:cnfStyle w:val="000000000000" w:firstRow="0" w:lastRow="0" w:firstColumn="0" w:lastColumn="0" w:oddVBand="0" w:evenVBand="0" w:oddHBand="0" w:evenHBand="0" w:firstRowFirstColumn="0" w:firstRowLastColumn="0" w:lastRowFirstColumn="0" w:lastRowLastColumn="0"/>
              <w:rPr>
                <w:b/>
              </w:rPr>
            </w:pPr>
            <w:r>
              <w:rPr>
                <w:b/>
              </w:rPr>
              <w:t>Technical Liaison Group</w:t>
            </w:r>
          </w:p>
          <w:p w14:paraId="6B74CD0D" w14:textId="77777777" w:rsidR="00E8628B" w:rsidRPr="006A7F44" w:rsidRDefault="00E8628B" w:rsidP="00227574">
            <w:pPr>
              <w:spacing w:after="0" w:line="240" w:lineRule="auto"/>
              <w:cnfStyle w:val="000000000000" w:firstRow="0" w:lastRow="0" w:firstColumn="0" w:lastColumn="0" w:oddVBand="0" w:evenVBand="0" w:oddHBand="0" w:evenHBand="0" w:firstRowFirstColumn="0" w:firstRowLastColumn="0" w:lastRowFirstColumn="0" w:lastRowLastColumn="0"/>
              <w:rPr>
                <w:b/>
              </w:rPr>
            </w:pPr>
            <w:r>
              <w:t>A TLG is a short</w:t>
            </w:r>
            <w:r w:rsidR="00227574">
              <w:t>-</w:t>
            </w:r>
            <w:r>
              <w:t>term advisory body convened by the ACMA as the forum for consultation between the ACMA, industry and other stakeholders with interest in the technical aspects relating to the technical framework for a particular spectrum licence band. The task of the TLG is to consider and provide advice to the ACMA on technical aspects required for the development or review of a spectrum licence technical framework</w:t>
            </w:r>
            <w:r w:rsidR="00336E17">
              <w:t xml:space="preserve"> </w:t>
            </w:r>
          </w:p>
        </w:tc>
      </w:tr>
      <w:tr w:rsidR="000414C7" w:rsidRPr="00A67371" w14:paraId="3E6332C3" w14:textId="77777777" w:rsidTr="00F63E9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auto"/>
          </w:tcPr>
          <w:p w14:paraId="33B23F31" w14:textId="77777777" w:rsidR="000414C7" w:rsidRPr="00C82A5C" w:rsidRDefault="000414C7" w:rsidP="005154AD">
            <w:pPr>
              <w:spacing w:after="0" w:line="240" w:lineRule="auto"/>
            </w:pPr>
            <w:r w:rsidRPr="00C82A5C">
              <w:t>TVRO</w:t>
            </w:r>
          </w:p>
        </w:tc>
        <w:tc>
          <w:tcPr>
            <w:tcW w:w="5537" w:type="dxa"/>
            <w:shd w:val="clear" w:color="auto" w:fill="auto"/>
          </w:tcPr>
          <w:p w14:paraId="582F0BA6" w14:textId="77777777" w:rsidR="000414C7" w:rsidRPr="006A7F44" w:rsidRDefault="000414C7" w:rsidP="00227574">
            <w:pPr>
              <w:spacing w:after="0" w:line="240" w:lineRule="auto"/>
              <w:cnfStyle w:val="000000100000" w:firstRow="0" w:lastRow="0" w:firstColumn="0" w:lastColumn="0" w:oddVBand="0" w:evenVBand="0" w:oddHBand="1" w:evenHBand="0" w:firstRowFirstColumn="0" w:firstRowLastColumn="0" w:lastRowFirstColumn="0" w:lastRowLastColumn="0"/>
              <w:rPr>
                <w:b/>
              </w:rPr>
            </w:pPr>
            <w:r w:rsidRPr="006A7F44">
              <w:rPr>
                <w:b/>
              </w:rPr>
              <w:t>Television receive-only systems</w:t>
            </w:r>
          </w:p>
          <w:p w14:paraId="1FDEB8C5" w14:textId="77777777" w:rsidR="000414C7" w:rsidRPr="00C82A5C" w:rsidRDefault="000414C7" w:rsidP="005154AD">
            <w:pPr>
              <w:spacing w:after="0" w:line="240" w:lineRule="auto"/>
              <w:cnfStyle w:val="000000100000" w:firstRow="0" w:lastRow="0" w:firstColumn="0" w:lastColumn="0" w:oddVBand="0" w:evenVBand="0" w:oddHBand="1" w:evenHBand="0" w:firstRowFirstColumn="0" w:firstRowLastColumn="0" w:lastRowFirstColumn="0" w:lastRowLastColumn="0"/>
            </w:pPr>
            <w:r>
              <w:t>U</w:t>
            </w:r>
            <w:r w:rsidRPr="00C82A5C">
              <w:t>sed to obtain satellite television services. The antennas for these systems are usually attached to the walls or roo</w:t>
            </w:r>
            <w:r>
              <w:t>f</w:t>
            </w:r>
            <w:r w:rsidRPr="00C82A5C">
              <w:t xml:space="preserve">s of homes and businesses </w:t>
            </w:r>
          </w:p>
        </w:tc>
      </w:tr>
      <w:tr w:rsidR="000414C7" w:rsidRPr="00A67371" w14:paraId="4FA32422" w14:textId="77777777" w:rsidTr="00F63E9A">
        <w:trPr>
          <w:cantSplit/>
        </w:trPr>
        <w:tc>
          <w:tcPr>
            <w:cnfStyle w:val="001000000000" w:firstRow="0" w:lastRow="0" w:firstColumn="1" w:lastColumn="0" w:oddVBand="0" w:evenVBand="0" w:oddHBand="0" w:evenHBand="0" w:firstRowFirstColumn="0" w:firstRowLastColumn="0" w:lastRowFirstColumn="0" w:lastRowLastColumn="0"/>
            <w:tcW w:w="2124" w:type="dxa"/>
            <w:shd w:val="clear" w:color="auto" w:fill="F2F2F2" w:themeFill="background1" w:themeFillShade="F2"/>
          </w:tcPr>
          <w:p w14:paraId="7E9F2A78" w14:textId="77777777" w:rsidR="000414C7" w:rsidRPr="00C82A5C" w:rsidRDefault="000414C7" w:rsidP="005154AD">
            <w:pPr>
              <w:spacing w:after="0" w:line="240" w:lineRule="auto"/>
            </w:pPr>
            <w:r w:rsidRPr="00C82A5C">
              <w:t>WISP</w:t>
            </w:r>
          </w:p>
        </w:tc>
        <w:tc>
          <w:tcPr>
            <w:tcW w:w="5537" w:type="dxa"/>
            <w:shd w:val="clear" w:color="auto" w:fill="F2F2F2" w:themeFill="background1" w:themeFillShade="F2"/>
          </w:tcPr>
          <w:p w14:paraId="3B2D304F" w14:textId="77777777" w:rsidR="000414C7" w:rsidRPr="00C82A5C" w:rsidRDefault="000414C7" w:rsidP="005154AD">
            <w:pPr>
              <w:spacing w:after="0" w:line="240" w:lineRule="auto"/>
              <w:cnfStyle w:val="000000000000" w:firstRow="0" w:lastRow="0" w:firstColumn="0" w:lastColumn="0" w:oddVBand="0" w:evenVBand="0" w:oddHBand="0" w:evenHBand="0" w:firstRowFirstColumn="0" w:firstRowLastColumn="0" w:lastRowFirstColumn="0" w:lastRowLastColumn="0"/>
            </w:pPr>
            <w:r w:rsidRPr="00C82A5C">
              <w:t>Wireless Internet Service Provider</w:t>
            </w:r>
          </w:p>
        </w:tc>
      </w:tr>
    </w:tbl>
    <w:p w14:paraId="40AE1999" w14:textId="77777777" w:rsidR="000414C7" w:rsidRPr="00D070B3" w:rsidRDefault="000414C7" w:rsidP="000414C7">
      <w:pPr>
        <w:spacing w:before="20" w:after="120" w:line="240" w:lineRule="auto"/>
        <w:rPr>
          <w:rFonts w:cs="Arial"/>
          <w:szCs w:val="20"/>
          <w:lang w:eastAsia="en-US"/>
        </w:rPr>
      </w:pPr>
    </w:p>
    <w:p w14:paraId="7218D5F9" w14:textId="77777777" w:rsidR="008863CB" w:rsidRDefault="008863CB" w:rsidP="008863CB">
      <w:pPr>
        <w:pStyle w:val="Heading1"/>
      </w:pPr>
      <w:bookmarkStart w:id="191" w:name="_Toc495935493"/>
      <w:bookmarkStart w:id="192" w:name="_Toc495935523"/>
      <w:bookmarkStart w:id="193" w:name="_Toc496620350"/>
      <w:r>
        <w:t>Annex A</w:t>
      </w:r>
      <w:r w:rsidR="00650BD6">
        <w:t>—</w:t>
      </w:r>
      <w:r>
        <w:t>Submissions received</w:t>
      </w:r>
      <w:bookmarkEnd w:id="186"/>
      <w:bookmarkEnd w:id="187"/>
      <w:bookmarkEnd w:id="191"/>
      <w:bookmarkEnd w:id="192"/>
      <w:bookmarkEnd w:id="193"/>
      <w:r>
        <w:t xml:space="preserve"> </w:t>
      </w:r>
    </w:p>
    <w:p w14:paraId="3DD5B807" w14:textId="77777777" w:rsidR="00E14AA6" w:rsidRPr="00E14AA6" w:rsidRDefault="00E14AA6" w:rsidP="000043F4">
      <w:pPr>
        <w:pStyle w:val="Heading2"/>
        <w:spacing w:after="120"/>
      </w:pPr>
      <w:bookmarkStart w:id="194" w:name="_Toc494375849"/>
      <w:bookmarkStart w:id="195" w:name="_Toc494378922"/>
      <w:bookmarkStart w:id="196" w:name="_Toc495053721"/>
      <w:bookmarkStart w:id="197" w:name="_Toc495935494"/>
      <w:bookmarkStart w:id="198" w:name="_Toc495935524"/>
      <w:bookmarkStart w:id="199" w:name="_Toc496620351"/>
      <w:r>
        <w:t>All submissions</w:t>
      </w:r>
      <w:bookmarkEnd w:id="194"/>
      <w:bookmarkEnd w:id="195"/>
      <w:bookmarkEnd w:id="196"/>
      <w:bookmarkEnd w:id="197"/>
      <w:bookmarkEnd w:id="198"/>
      <w:bookmarkEnd w:id="199"/>
    </w:p>
    <w:tbl>
      <w:tblPr>
        <w:tblW w:w="8795" w:type="dxa"/>
        <w:tblLayout w:type="fixed"/>
        <w:tblCellMar>
          <w:top w:w="57" w:type="dxa"/>
          <w:left w:w="57" w:type="dxa"/>
          <w:bottom w:w="57" w:type="dxa"/>
          <w:right w:w="57" w:type="dxa"/>
        </w:tblCellMar>
        <w:tblLook w:val="04A0" w:firstRow="1" w:lastRow="0" w:firstColumn="1" w:lastColumn="0" w:noHBand="0" w:noVBand="1"/>
        <w:tblCaption w:val="List of submitters "/>
        <w:tblDescription w:val="This table contains a list of all submitters to the ACMA's consulation on the future use of the 3.6 GHz band."/>
      </w:tblPr>
      <w:tblGrid>
        <w:gridCol w:w="4531"/>
        <w:gridCol w:w="856"/>
        <w:gridCol w:w="3408"/>
      </w:tblGrid>
      <w:tr w:rsidR="0004618F" w:rsidRPr="00650BD6" w14:paraId="2B4CDB09" w14:textId="77777777" w:rsidTr="0004618F">
        <w:trPr>
          <w:trHeight w:val="537"/>
        </w:trPr>
        <w:tc>
          <w:tcPr>
            <w:tcW w:w="4531" w:type="dxa"/>
            <w:shd w:val="clear" w:color="auto" w:fill="auto"/>
            <w:noWrap/>
            <w:tcMar>
              <w:top w:w="28" w:type="dxa"/>
              <w:left w:w="0" w:type="dxa"/>
              <w:bottom w:w="28" w:type="dxa"/>
            </w:tcMar>
          </w:tcPr>
          <w:p w14:paraId="4B01C713" w14:textId="77777777" w:rsidR="0004618F" w:rsidRPr="00650BD6" w:rsidRDefault="0004618F" w:rsidP="0004618F">
            <w:pPr>
              <w:spacing w:after="0" w:line="240" w:lineRule="auto"/>
              <w:rPr>
                <w:rFonts w:cs="Arial"/>
                <w:color w:val="000000"/>
                <w:szCs w:val="20"/>
              </w:rPr>
            </w:pPr>
            <w:r w:rsidRPr="0004618F">
              <w:rPr>
                <w:rFonts w:ascii="Calibri" w:hAnsi="Calibri"/>
                <w:color w:val="000000"/>
                <w:sz w:val="22"/>
                <w:szCs w:val="22"/>
              </w:rPr>
              <w:t xml:space="preserve">Australian Communications Consumer Action Network </w:t>
            </w:r>
            <w:r>
              <w:rPr>
                <w:rFonts w:ascii="Calibri" w:hAnsi="Calibri"/>
                <w:color w:val="000000"/>
                <w:sz w:val="22"/>
                <w:szCs w:val="22"/>
              </w:rPr>
              <w:t>(ACCAN)</w:t>
            </w:r>
          </w:p>
        </w:tc>
        <w:tc>
          <w:tcPr>
            <w:tcW w:w="856" w:type="dxa"/>
            <w:tcMar>
              <w:top w:w="28" w:type="dxa"/>
              <w:left w:w="0" w:type="dxa"/>
              <w:bottom w:w="28" w:type="dxa"/>
            </w:tcMar>
          </w:tcPr>
          <w:p w14:paraId="1E3EF846"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70C75D22" w14:textId="77777777" w:rsidR="0004618F" w:rsidRPr="00650BD6" w:rsidRDefault="0004618F" w:rsidP="0004618F">
            <w:pPr>
              <w:spacing w:after="0" w:line="240" w:lineRule="auto"/>
              <w:rPr>
                <w:rFonts w:cs="Arial"/>
                <w:color w:val="000000"/>
                <w:szCs w:val="20"/>
              </w:rPr>
            </w:pPr>
            <w:proofErr w:type="spellStart"/>
            <w:r>
              <w:rPr>
                <w:rFonts w:ascii="Calibri" w:hAnsi="Calibri"/>
                <w:color w:val="000000"/>
                <w:sz w:val="22"/>
                <w:szCs w:val="22"/>
              </w:rPr>
              <w:t>Jettech</w:t>
            </w:r>
            <w:proofErr w:type="spellEnd"/>
          </w:p>
        </w:tc>
      </w:tr>
      <w:tr w:rsidR="0004618F" w:rsidRPr="00650BD6" w14:paraId="70EF6486" w14:textId="77777777" w:rsidTr="0004618F">
        <w:trPr>
          <w:trHeight w:val="537"/>
        </w:trPr>
        <w:tc>
          <w:tcPr>
            <w:tcW w:w="4531" w:type="dxa"/>
            <w:shd w:val="clear" w:color="auto" w:fill="auto"/>
            <w:noWrap/>
            <w:tcMar>
              <w:top w:w="28" w:type="dxa"/>
              <w:left w:w="0" w:type="dxa"/>
              <w:bottom w:w="28" w:type="dxa"/>
            </w:tcMar>
          </w:tcPr>
          <w:p w14:paraId="3E7BC182" w14:textId="77777777" w:rsidR="0004618F" w:rsidRPr="00650BD6" w:rsidRDefault="00EB43A7" w:rsidP="0004618F">
            <w:pPr>
              <w:spacing w:after="0" w:line="240" w:lineRule="auto"/>
              <w:rPr>
                <w:rFonts w:cs="Arial"/>
                <w:color w:val="000000"/>
                <w:szCs w:val="20"/>
              </w:rPr>
            </w:pPr>
            <w:proofErr w:type="spellStart"/>
            <w:r>
              <w:rPr>
                <w:rFonts w:ascii="Calibri" w:hAnsi="Calibri"/>
                <w:color w:val="000000"/>
                <w:sz w:val="22"/>
                <w:szCs w:val="22"/>
              </w:rPr>
              <w:t>Airspan</w:t>
            </w:r>
            <w:proofErr w:type="spellEnd"/>
            <w:r>
              <w:rPr>
                <w:rFonts w:ascii="Calibri" w:hAnsi="Calibri"/>
                <w:color w:val="000000"/>
                <w:sz w:val="22"/>
                <w:szCs w:val="22"/>
              </w:rPr>
              <w:t xml:space="preserve"> Spectrum Holdings Li</w:t>
            </w:r>
            <w:r w:rsidR="0004618F">
              <w:rPr>
                <w:rFonts w:ascii="Calibri" w:hAnsi="Calibri"/>
                <w:color w:val="000000"/>
                <w:sz w:val="22"/>
                <w:szCs w:val="22"/>
              </w:rPr>
              <w:t>mited</w:t>
            </w:r>
          </w:p>
        </w:tc>
        <w:tc>
          <w:tcPr>
            <w:tcW w:w="856" w:type="dxa"/>
            <w:tcMar>
              <w:top w:w="28" w:type="dxa"/>
              <w:left w:w="0" w:type="dxa"/>
              <w:bottom w:w="28" w:type="dxa"/>
            </w:tcMar>
          </w:tcPr>
          <w:p w14:paraId="2CBB7EE1"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2FFF51BC"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Lockheed Martin Corporation</w:t>
            </w:r>
          </w:p>
        </w:tc>
      </w:tr>
      <w:tr w:rsidR="0004618F" w:rsidRPr="00650BD6" w14:paraId="4AC6C035" w14:textId="77777777" w:rsidTr="0004618F">
        <w:trPr>
          <w:trHeight w:val="537"/>
        </w:trPr>
        <w:tc>
          <w:tcPr>
            <w:tcW w:w="4531" w:type="dxa"/>
            <w:shd w:val="clear" w:color="auto" w:fill="auto"/>
            <w:noWrap/>
            <w:tcMar>
              <w:top w:w="28" w:type="dxa"/>
              <w:left w:w="0" w:type="dxa"/>
              <w:bottom w:w="28" w:type="dxa"/>
            </w:tcMar>
          </w:tcPr>
          <w:p w14:paraId="2AF0509B"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Australian Mobile Telecommunications Association (AMTA)</w:t>
            </w:r>
          </w:p>
        </w:tc>
        <w:tc>
          <w:tcPr>
            <w:tcW w:w="856" w:type="dxa"/>
            <w:tcMar>
              <w:top w:w="28" w:type="dxa"/>
              <w:left w:w="0" w:type="dxa"/>
              <w:bottom w:w="28" w:type="dxa"/>
            </w:tcMar>
          </w:tcPr>
          <w:p w14:paraId="605121C0"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23889B9E"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Microsoft</w:t>
            </w:r>
          </w:p>
        </w:tc>
      </w:tr>
      <w:tr w:rsidR="0004618F" w:rsidRPr="00650BD6" w14:paraId="2E446B04" w14:textId="77777777" w:rsidTr="0004618F">
        <w:trPr>
          <w:trHeight w:val="537"/>
        </w:trPr>
        <w:tc>
          <w:tcPr>
            <w:tcW w:w="4531" w:type="dxa"/>
            <w:shd w:val="clear" w:color="auto" w:fill="auto"/>
            <w:noWrap/>
            <w:tcMar>
              <w:top w:w="28" w:type="dxa"/>
              <w:left w:w="0" w:type="dxa"/>
              <w:bottom w:w="28" w:type="dxa"/>
            </w:tcMar>
          </w:tcPr>
          <w:p w14:paraId="45C899DB"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 xml:space="preserve">Australian Subscription Television and Radio </w:t>
            </w:r>
            <w:r w:rsidR="00EB43A7">
              <w:rPr>
                <w:rFonts w:ascii="Calibri" w:hAnsi="Calibri"/>
                <w:color w:val="000000"/>
                <w:sz w:val="22"/>
                <w:szCs w:val="22"/>
              </w:rPr>
              <w:t>Association</w:t>
            </w:r>
            <w:r>
              <w:rPr>
                <w:rFonts w:ascii="Calibri" w:hAnsi="Calibri"/>
                <w:color w:val="000000"/>
                <w:sz w:val="22"/>
                <w:szCs w:val="22"/>
              </w:rPr>
              <w:t xml:space="preserve"> (ASTRA)</w:t>
            </w:r>
          </w:p>
        </w:tc>
        <w:tc>
          <w:tcPr>
            <w:tcW w:w="856" w:type="dxa"/>
            <w:tcMar>
              <w:top w:w="28" w:type="dxa"/>
              <w:left w:w="0" w:type="dxa"/>
              <w:bottom w:w="28" w:type="dxa"/>
            </w:tcMar>
          </w:tcPr>
          <w:p w14:paraId="3BC32FEA"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4A11F72E"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National farmers federation</w:t>
            </w:r>
          </w:p>
        </w:tc>
      </w:tr>
      <w:tr w:rsidR="0004618F" w:rsidRPr="00650BD6" w14:paraId="1D60103A" w14:textId="77777777" w:rsidTr="0004618F">
        <w:trPr>
          <w:trHeight w:val="537"/>
        </w:trPr>
        <w:tc>
          <w:tcPr>
            <w:tcW w:w="4531" w:type="dxa"/>
            <w:shd w:val="clear" w:color="auto" w:fill="auto"/>
            <w:noWrap/>
            <w:tcMar>
              <w:top w:w="28" w:type="dxa"/>
              <w:left w:w="0" w:type="dxa"/>
              <w:bottom w:w="28" w:type="dxa"/>
            </w:tcMar>
          </w:tcPr>
          <w:p w14:paraId="11CA40FD"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Bureau of Meteorology</w:t>
            </w:r>
          </w:p>
        </w:tc>
        <w:tc>
          <w:tcPr>
            <w:tcW w:w="856" w:type="dxa"/>
            <w:tcMar>
              <w:top w:w="28" w:type="dxa"/>
              <w:left w:w="0" w:type="dxa"/>
              <w:bottom w:w="28" w:type="dxa"/>
            </w:tcMar>
          </w:tcPr>
          <w:p w14:paraId="172BD6CC"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07DBFC05" w14:textId="77777777" w:rsidR="0004618F" w:rsidRPr="00650BD6" w:rsidRDefault="00EC5F87" w:rsidP="0004618F">
            <w:pPr>
              <w:spacing w:after="0" w:line="240" w:lineRule="auto"/>
              <w:rPr>
                <w:rFonts w:cs="Arial"/>
                <w:color w:val="000000"/>
                <w:szCs w:val="20"/>
              </w:rPr>
            </w:pPr>
            <w:r>
              <w:rPr>
                <w:rFonts w:ascii="Calibri" w:hAnsi="Calibri"/>
                <w:color w:val="000000"/>
                <w:sz w:val="22"/>
                <w:szCs w:val="22"/>
              </w:rPr>
              <w:t>NBN Co Limited</w:t>
            </w:r>
          </w:p>
        </w:tc>
      </w:tr>
      <w:tr w:rsidR="0004618F" w:rsidRPr="00650BD6" w14:paraId="2C490953" w14:textId="77777777" w:rsidTr="0004618F">
        <w:trPr>
          <w:trHeight w:val="537"/>
        </w:trPr>
        <w:tc>
          <w:tcPr>
            <w:tcW w:w="4531" w:type="dxa"/>
            <w:shd w:val="clear" w:color="auto" w:fill="auto"/>
            <w:noWrap/>
            <w:tcMar>
              <w:top w:w="28" w:type="dxa"/>
              <w:left w:w="0" w:type="dxa"/>
              <w:bottom w:w="28" w:type="dxa"/>
            </w:tcMar>
          </w:tcPr>
          <w:p w14:paraId="095B54B2"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Cambium Networks</w:t>
            </w:r>
          </w:p>
        </w:tc>
        <w:tc>
          <w:tcPr>
            <w:tcW w:w="856" w:type="dxa"/>
            <w:tcMar>
              <w:top w:w="28" w:type="dxa"/>
              <w:left w:w="0" w:type="dxa"/>
              <w:bottom w:w="28" w:type="dxa"/>
            </w:tcMar>
          </w:tcPr>
          <w:p w14:paraId="0FCCD90E"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40AF9DE4"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New Skies Satellites Australia</w:t>
            </w:r>
          </w:p>
        </w:tc>
      </w:tr>
      <w:tr w:rsidR="0004618F" w:rsidRPr="00650BD6" w14:paraId="3EE778E7" w14:textId="77777777" w:rsidTr="0004618F">
        <w:trPr>
          <w:trHeight w:val="537"/>
        </w:trPr>
        <w:tc>
          <w:tcPr>
            <w:tcW w:w="4531" w:type="dxa"/>
            <w:shd w:val="clear" w:color="auto" w:fill="auto"/>
            <w:noWrap/>
            <w:tcMar>
              <w:top w:w="28" w:type="dxa"/>
              <w:left w:w="0" w:type="dxa"/>
              <w:bottom w:w="28" w:type="dxa"/>
            </w:tcMar>
          </w:tcPr>
          <w:p w14:paraId="08F7724C"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Communications Alliance - Satellite Services Working Group</w:t>
            </w:r>
          </w:p>
        </w:tc>
        <w:tc>
          <w:tcPr>
            <w:tcW w:w="856" w:type="dxa"/>
            <w:tcMar>
              <w:top w:w="28" w:type="dxa"/>
              <w:left w:w="0" w:type="dxa"/>
              <w:bottom w:w="28" w:type="dxa"/>
            </w:tcMar>
          </w:tcPr>
          <w:p w14:paraId="17E8897B"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4EEEEC2E"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Nokia</w:t>
            </w:r>
          </w:p>
        </w:tc>
      </w:tr>
      <w:tr w:rsidR="0004618F" w:rsidRPr="00650BD6" w14:paraId="5BEB94B1" w14:textId="77777777" w:rsidTr="0004618F">
        <w:trPr>
          <w:trHeight w:val="537"/>
        </w:trPr>
        <w:tc>
          <w:tcPr>
            <w:tcW w:w="4531" w:type="dxa"/>
            <w:shd w:val="clear" w:color="auto" w:fill="auto"/>
            <w:noWrap/>
            <w:tcMar>
              <w:top w:w="28" w:type="dxa"/>
              <w:left w:w="0" w:type="dxa"/>
              <w:bottom w:w="28" w:type="dxa"/>
            </w:tcMar>
          </w:tcPr>
          <w:p w14:paraId="511607BD"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Countrytell</w:t>
            </w:r>
          </w:p>
        </w:tc>
        <w:tc>
          <w:tcPr>
            <w:tcW w:w="856" w:type="dxa"/>
            <w:tcMar>
              <w:top w:w="28" w:type="dxa"/>
              <w:left w:w="0" w:type="dxa"/>
              <w:bottom w:w="28" w:type="dxa"/>
            </w:tcMar>
          </w:tcPr>
          <w:p w14:paraId="5533C4FC"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3E18E3E5"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Optus</w:t>
            </w:r>
          </w:p>
        </w:tc>
      </w:tr>
      <w:tr w:rsidR="0004618F" w:rsidRPr="00650BD6" w14:paraId="6311EF6B" w14:textId="77777777" w:rsidTr="0004618F">
        <w:trPr>
          <w:trHeight w:val="537"/>
        </w:trPr>
        <w:tc>
          <w:tcPr>
            <w:tcW w:w="4531" w:type="dxa"/>
            <w:shd w:val="clear" w:color="auto" w:fill="auto"/>
            <w:noWrap/>
            <w:tcMar>
              <w:top w:w="28" w:type="dxa"/>
              <w:left w:w="0" w:type="dxa"/>
              <w:bottom w:w="28" w:type="dxa"/>
            </w:tcMar>
          </w:tcPr>
          <w:p w14:paraId="77B43598"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DB Telecommunications</w:t>
            </w:r>
          </w:p>
        </w:tc>
        <w:tc>
          <w:tcPr>
            <w:tcW w:w="856" w:type="dxa"/>
            <w:tcMar>
              <w:top w:w="28" w:type="dxa"/>
              <w:left w:w="0" w:type="dxa"/>
              <w:bottom w:w="28" w:type="dxa"/>
            </w:tcMar>
          </w:tcPr>
          <w:p w14:paraId="57790C9E"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59E5E1BD"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Qualcomm</w:t>
            </w:r>
          </w:p>
        </w:tc>
      </w:tr>
      <w:tr w:rsidR="0004618F" w:rsidRPr="00650BD6" w14:paraId="3288E65A" w14:textId="77777777" w:rsidTr="0004618F">
        <w:trPr>
          <w:trHeight w:val="537"/>
        </w:trPr>
        <w:tc>
          <w:tcPr>
            <w:tcW w:w="4531" w:type="dxa"/>
            <w:shd w:val="clear" w:color="auto" w:fill="auto"/>
            <w:noWrap/>
            <w:tcMar>
              <w:top w:w="28" w:type="dxa"/>
              <w:left w:w="0" w:type="dxa"/>
              <w:bottom w:w="28" w:type="dxa"/>
            </w:tcMar>
          </w:tcPr>
          <w:p w14:paraId="421ABAF5"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Department of Defence</w:t>
            </w:r>
          </w:p>
        </w:tc>
        <w:tc>
          <w:tcPr>
            <w:tcW w:w="856" w:type="dxa"/>
            <w:tcMar>
              <w:top w:w="28" w:type="dxa"/>
              <w:left w:w="0" w:type="dxa"/>
              <w:bottom w:w="28" w:type="dxa"/>
            </w:tcMar>
          </w:tcPr>
          <w:p w14:paraId="16830FBD"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3CFF8B1F"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Ruckus</w:t>
            </w:r>
          </w:p>
        </w:tc>
      </w:tr>
      <w:tr w:rsidR="0004618F" w:rsidRPr="00650BD6" w14:paraId="0B7D87F5" w14:textId="77777777" w:rsidTr="0004618F">
        <w:trPr>
          <w:trHeight w:val="537"/>
        </w:trPr>
        <w:tc>
          <w:tcPr>
            <w:tcW w:w="4531" w:type="dxa"/>
            <w:shd w:val="clear" w:color="auto" w:fill="auto"/>
            <w:noWrap/>
            <w:tcMar>
              <w:top w:w="28" w:type="dxa"/>
              <w:left w:w="0" w:type="dxa"/>
              <w:bottom w:w="28" w:type="dxa"/>
            </w:tcMar>
          </w:tcPr>
          <w:p w14:paraId="48F9C61D"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Digital Distribution Australia</w:t>
            </w:r>
          </w:p>
        </w:tc>
        <w:tc>
          <w:tcPr>
            <w:tcW w:w="856" w:type="dxa"/>
            <w:tcMar>
              <w:top w:w="28" w:type="dxa"/>
              <w:left w:w="0" w:type="dxa"/>
              <w:bottom w:w="28" w:type="dxa"/>
            </w:tcMar>
          </w:tcPr>
          <w:p w14:paraId="313221F3"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6B4D31D4" w14:textId="77777777" w:rsidR="0004618F" w:rsidRPr="00650BD6" w:rsidRDefault="0004618F" w:rsidP="0004618F">
            <w:pPr>
              <w:spacing w:after="0" w:line="240" w:lineRule="auto"/>
              <w:rPr>
                <w:rFonts w:cs="Arial"/>
                <w:color w:val="000000"/>
                <w:szCs w:val="20"/>
              </w:rPr>
            </w:pPr>
            <w:proofErr w:type="spellStart"/>
            <w:r>
              <w:rPr>
                <w:rFonts w:ascii="Calibri" w:hAnsi="Calibri"/>
                <w:color w:val="000000"/>
                <w:sz w:val="22"/>
                <w:szCs w:val="22"/>
              </w:rPr>
              <w:t>TasmaNet</w:t>
            </w:r>
            <w:proofErr w:type="spellEnd"/>
            <w:r>
              <w:rPr>
                <w:rFonts w:ascii="Calibri" w:hAnsi="Calibri"/>
                <w:color w:val="000000"/>
                <w:sz w:val="22"/>
                <w:szCs w:val="22"/>
              </w:rPr>
              <w:t xml:space="preserve"> Pty Ltd</w:t>
            </w:r>
          </w:p>
        </w:tc>
      </w:tr>
      <w:tr w:rsidR="0004618F" w:rsidRPr="00650BD6" w14:paraId="25329546" w14:textId="77777777" w:rsidTr="0004618F">
        <w:trPr>
          <w:trHeight w:val="537"/>
        </w:trPr>
        <w:tc>
          <w:tcPr>
            <w:tcW w:w="4531" w:type="dxa"/>
            <w:shd w:val="clear" w:color="auto" w:fill="auto"/>
            <w:noWrap/>
            <w:tcMar>
              <w:top w:w="28" w:type="dxa"/>
              <w:left w:w="0" w:type="dxa"/>
              <w:bottom w:w="28" w:type="dxa"/>
            </w:tcMar>
          </w:tcPr>
          <w:p w14:paraId="69D571E2"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Ericsson</w:t>
            </w:r>
          </w:p>
        </w:tc>
        <w:tc>
          <w:tcPr>
            <w:tcW w:w="856" w:type="dxa"/>
            <w:tcMar>
              <w:top w:w="28" w:type="dxa"/>
              <w:left w:w="0" w:type="dxa"/>
              <w:bottom w:w="28" w:type="dxa"/>
            </w:tcMar>
          </w:tcPr>
          <w:p w14:paraId="3C7EC790"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66BABEB2"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Telstra</w:t>
            </w:r>
          </w:p>
        </w:tc>
      </w:tr>
      <w:tr w:rsidR="0004618F" w:rsidRPr="00650BD6" w14:paraId="45435930" w14:textId="77777777" w:rsidTr="0004618F">
        <w:trPr>
          <w:trHeight w:val="537"/>
        </w:trPr>
        <w:tc>
          <w:tcPr>
            <w:tcW w:w="4531" w:type="dxa"/>
            <w:shd w:val="clear" w:color="auto" w:fill="auto"/>
            <w:noWrap/>
            <w:tcMar>
              <w:top w:w="28" w:type="dxa"/>
              <w:left w:w="0" w:type="dxa"/>
              <w:bottom w:w="28" w:type="dxa"/>
            </w:tcMar>
          </w:tcPr>
          <w:p w14:paraId="20955368"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Global mobile Suppliers Association (GSA)</w:t>
            </w:r>
          </w:p>
        </w:tc>
        <w:tc>
          <w:tcPr>
            <w:tcW w:w="856" w:type="dxa"/>
            <w:tcMar>
              <w:top w:w="28" w:type="dxa"/>
              <w:left w:w="0" w:type="dxa"/>
              <w:bottom w:w="28" w:type="dxa"/>
            </w:tcMar>
          </w:tcPr>
          <w:p w14:paraId="1BAD805E"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6A2269D7"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Vodafone</w:t>
            </w:r>
          </w:p>
        </w:tc>
      </w:tr>
      <w:tr w:rsidR="0004618F" w:rsidRPr="00650BD6" w14:paraId="13AFFFFA" w14:textId="77777777" w:rsidTr="0004618F">
        <w:trPr>
          <w:trHeight w:val="537"/>
        </w:trPr>
        <w:tc>
          <w:tcPr>
            <w:tcW w:w="4531" w:type="dxa"/>
            <w:shd w:val="clear" w:color="auto" w:fill="auto"/>
            <w:noWrap/>
            <w:tcMar>
              <w:top w:w="28" w:type="dxa"/>
              <w:left w:w="0" w:type="dxa"/>
              <w:bottom w:w="28" w:type="dxa"/>
            </w:tcMar>
          </w:tcPr>
          <w:p w14:paraId="43C1587C"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Global VSAT Forum (GSV)</w:t>
            </w:r>
          </w:p>
        </w:tc>
        <w:tc>
          <w:tcPr>
            <w:tcW w:w="856" w:type="dxa"/>
            <w:tcMar>
              <w:top w:w="28" w:type="dxa"/>
              <w:left w:w="0" w:type="dxa"/>
              <w:bottom w:w="28" w:type="dxa"/>
            </w:tcMar>
          </w:tcPr>
          <w:p w14:paraId="6B6C62EA"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381B8AFE"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Wi-Fi Alliance</w:t>
            </w:r>
          </w:p>
        </w:tc>
      </w:tr>
      <w:tr w:rsidR="0004618F" w:rsidRPr="00650BD6" w14:paraId="20459399" w14:textId="77777777" w:rsidTr="0004618F">
        <w:trPr>
          <w:trHeight w:val="537"/>
        </w:trPr>
        <w:tc>
          <w:tcPr>
            <w:tcW w:w="4531" w:type="dxa"/>
            <w:shd w:val="clear" w:color="auto" w:fill="auto"/>
            <w:noWrap/>
            <w:tcMar>
              <w:top w:w="28" w:type="dxa"/>
              <w:left w:w="0" w:type="dxa"/>
              <w:bottom w:w="28" w:type="dxa"/>
            </w:tcMar>
          </w:tcPr>
          <w:p w14:paraId="61FBDB28" w14:textId="77777777" w:rsidR="0004618F" w:rsidRPr="00650BD6" w:rsidRDefault="0004618F" w:rsidP="0004618F">
            <w:pPr>
              <w:spacing w:after="0" w:line="240" w:lineRule="auto"/>
              <w:rPr>
                <w:rFonts w:cs="Arial"/>
                <w:color w:val="000000"/>
                <w:szCs w:val="20"/>
              </w:rPr>
            </w:pPr>
            <w:proofErr w:type="spellStart"/>
            <w:r>
              <w:rPr>
                <w:rFonts w:ascii="Calibri" w:hAnsi="Calibri"/>
                <w:color w:val="000000"/>
                <w:sz w:val="22"/>
                <w:szCs w:val="22"/>
              </w:rPr>
              <w:t>Huawai</w:t>
            </w:r>
            <w:proofErr w:type="spellEnd"/>
          </w:p>
        </w:tc>
        <w:tc>
          <w:tcPr>
            <w:tcW w:w="856" w:type="dxa"/>
            <w:tcMar>
              <w:top w:w="28" w:type="dxa"/>
              <w:left w:w="0" w:type="dxa"/>
              <w:bottom w:w="28" w:type="dxa"/>
            </w:tcMar>
          </w:tcPr>
          <w:p w14:paraId="1613765C"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03B05F53"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Wireless Institute of Australia (WIA)</w:t>
            </w:r>
          </w:p>
        </w:tc>
      </w:tr>
      <w:tr w:rsidR="0004618F" w:rsidRPr="00650BD6" w14:paraId="28466F6B" w14:textId="77777777" w:rsidTr="0004618F">
        <w:trPr>
          <w:trHeight w:val="537"/>
        </w:trPr>
        <w:tc>
          <w:tcPr>
            <w:tcW w:w="4531" w:type="dxa"/>
            <w:shd w:val="clear" w:color="auto" w:fill="auto"/>
            <w:noWrap/>
            <w:tcMar>
              <w:top w:w="28" w:type="dxa"/>
              <w:left w:w="0" w:type="dxa"/>
              <w:bottom w:w="28" w:type="dxa"/>
            </w:tcMar>
          </w:tcPr>
          <w:p w14:paraId="283C2103"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IEEE 802 LAN/MAN Standards Committee</w:t>
            </w:r>
          </w:p>
        </w:tc>
        <w:tc>
          <w:tcPr>
            <w:tcW w:w="856" w:type="dxa"/>
            <w:tcMar>
              <w:top w:w="28" w:type="dxa"/>
              <w:left w:w="0" w:type="dxa"/>
              <w:bottom w:w="28" w:type="dxa"/>
            </w:tcMar>
          </w:tcPr>
          <w:p w14:paraId="25CB2E0F"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7EB2B13D"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WISPAU</w:t>
            </w:r>
          </w:p>
        </w:tc>
      </w:tr>
      <w:tr w:rsidR="0004618F" w:rsidRPr="00650BD6" w14:paraId="4289B73C" w14:textId="77777777" w:rsidTr="0004618F">
        <w:trPr>
          <w:trHeight w:val="537"/>
        </w:trPr>
        <w:tc>
          <w:tcPr>
            <w:tcW w:w="4531" w:type="dxa"/>
            <w:shd w:val="clear" w:color="auto" w:fill="auto"/>
            <w:noWrap/>
            <w:tcMar>
              <w:top w:w="28" w:type="dxa"/>
              <w:left w:w="0" w:type="dxa"/>
              <w:bottom w:w="28" w:type="dxa"/>
            </w:tcMar>
          </w:tcPr>
          <w:p w14:paraId="312D11E5"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Inmarsat</w:t>
            </w:r>
          </w:p>
        </w:tc>
        <w:tc>
          <w:tcPr>
            <w:tcW w:w="856" w:type="dxa"/>
            <w:tcMar>
              <w:top w:w="28" w:type="dxa"/>
              <w:left w:w="0" w:type="dxa"/>
              <w:bottom w:w="28" w:type="dxa"/>
            </w:tcMar>
          </w:tcPr>
          <w:p w14:paraId="2914569C"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0C4B5F0A"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World Without Wireless</w:t>
            </w:r>
          </w:p>
        </w:tc>
      </w:tr>
      <w:tr w:rsidR="0004618F" w:rsidRPr="00650BD6" w14:paraId="2FF3DE18" w14:textId="77777777" w:rsidTr="0004618F">
        <w:trPr>
          <w:trHeight w:val="537"/>
        </w:trPr>
        <w:tc>
          <w:tcPr>
            <w:tcW w:w="4531" w:type="dxa"/>
            <w:shd w:val="clear" w:color="auto" w:fill="auto"/>
            <w:noWrap/>
            <w:tcMar>
              <w:top w:w="28" w:type="dxa"/>
              <w:left w:w="0" w:type="dxa"/>
              <w:bottom w:w="28" w:type="dxa"/>
            </w:tcMar>
          </w:tcPr>
          <w:p w14:paraId="38473FE8" w14:textId="77777777" w:rsidR="0004618F" w:rsidRPr="00650BD6" w:rsidRDefault="0004618F" w:rsidP="0004618F">
            <w:pPr>
              <w:spacing w:after="0" w:line="240" w:lineRule="auto"/>
              <w:rPr>
                <w:rFonts w:cs="Arial"/>
                <w:color w:val="000000"/>
                <w:szCs w:val="20"/>
              </w:rPr>
            </w:pPr>
            <w:r>
              <w:rPr>
                <w:rFonts w:ascii="Calibri" w:hAnsi="Calibri"/>
                <w:color w:val="000000"/>
                <w:sz w:val="22"/>
                <w:szCs w:val="22"/>
              </w:rPr>
              <w:t>Intel</w:t>
            </w:r>
          </w:p>
        </w:tc>
        <w:tc>
          <w:tcPr>
            <w:tcW w:w="856" w:type="dxa"/>
            <w:tcMar>
              <w:top w:w="28" w:type="dxa"/>
              <w:left w:w="0" w:type="dxa"/>
              <w:bottom w:w="28" w:type="dxa"/>
            </w:tcMar>
          </w:tcPr>
          <w:p w14:paraId="206B6938" w14:textId="77777777" w:rsidR="0004618F" w:rsidRPr="00650BD6" w:rsidRDefault="0004618F" w:rsidP="0004618F">
            <w:pPr>
              <w:spacing w:after="0" w:line="240" w:lineRule="auto"/>
              <w:rPr>
                <w:rFonts w:cs="Arial"/>
                <w:color w:val="000000"/>
                <w:szCs w:val="20"/>
              </w:rPr>
            </w:pPr>
          </w:p>
        </w:tc>
        <w:tc>
          <w:tcPr>
            <w:tcW w:w="3408" w:type="dxa"/>
            <w:tcMar>
              <w:top w:w="28" w:type="dxa"/>
              <w:left w:w="0" w:type="dxa"/>
              <w:bottom w:w="28" w:type="dxa"/>
            </w:tcMar>
          </w:tcPr>
          <w:p w14:paraId="53B05D30" w14:textId="77777777" w:rsidR="0004618F" w:rsidRPr="00650BD6" w:rsidRDefault="0004618F" w:rsidP="0004618F">
            <w:pPr>
              <w:spacing w:after="0" w:line="240" w:lineRule="auto"/>
              <w:rPr>
                <w:rFonts w:cs="Arial"/>
                <w:color w:val="000000"/>
                <w:szCs w:val="20"/>
              </w:rPr>
            </w:pPr>
          </w:p>
        </w:tc>
      </w:tr>
    </w:tbl>
    <w:p w14:paraId="399C0886" w14:textId="77777777" w:rsidR="00235F01" w:rsidRDefault="00235F01" w:rsidP="00232D57">
      <w:pPr>
        <w:pStyle w:val="Heading1"/>
      </w:pPr>
      <w:bookmarkStart w:id="200" w:name="_Toc494375850"/>
      <w:bookmarkStart w:id="201" w:name="_Toc494378923"/>
      <w:bookmarkStart w:id="202" w:name="_Toc495935495"/>
      <w:bookmarkStart w:id="203" w:name="_Toc495935525"/>
      <w:bookmarkStart w:id="204" w:name="_Toc496620352"/>
      <w:r>
        <w:t>Annex B—</w:t>
      </w:r>
      <w:proofErr w:type="gramStart"/>
      <w:r>
        <w:t>Highest</w:t>
      </w:r>
      <w:proofErr w:type="gramEnd"/>
      <w:r>
        <w:t xml:space="preserve"> value use amendments</w:t>
      </w:r>
      <w:bookmarkEnd w:id="200"/>
      <w:bookmarkEnd w:id="201"/>
      <w:bookmarkEnd w:id="202"/>
      <w:bookmarkEnd w:id="203"/>
      <w:bookmarkEnd w:id="204"/>
    </w:p>
    <w:p w14:paraId="31FFD34C" w14:textId="6B2092B5" w:rsidR="00BA166C" w:rsidRPr="008523D4" w:rsidRDefault="00BA166C" w:rsidP="00BA166C">
      <w:r w:rsidRPr="008523D4">
        <w:t xml:space="preserve">The ACMA sought stakeholder feedback to the paper </w:t>
      </w:r>
      <w:r w:rsidRPr="008523D4">
        <w:rPr>
          <w:i/>
        </w:rPr>
        <w:t>Highest value use assessment—Quantitative analysis</w:t>
      </w:r>
      <w:r w:rsidRPr="008523D4">
        <w:t xml:space="preserve"> (the HVU paper), which was part of the </w:t>
      </w:r>
      <w:r w:rsidRPr="008523D4">
        <w:rPr>
          <w:i/>
        </w:rPr>
        <w:t xml:space="preserve">Future use of the 3.6 GHz band </w:t>
      </w:r>
      <w:r w:rsidRPr="008523D4">
        <w:t>package</w:t>
      </w:r>
      <w:r w:rsidRPr="008523D4">
        <w:rPr>
          <w:i/>
        </w:rPr>
        <w:t xml:space="preserve">. </w:t>
      </w:r>
      <w:r w:rsidRPr="008523D4">
        <w:t>The purpose of this section is to outline the changes made to the analysis since the release of the original paper. These changes are derived from a variety of sources, including information provided by respondents in submissions, new information coming to light, and greater specificity of re-farming options.</w:t>
      </w:r>
    </w:p>
    <w:p w14:paraId="3E59E38D" w14:textId="77777777" w:rsidR="00235F01" w:rsidRPr="00243D03" w:rsidRDefault="00BA166C" w:rsidP="00235F01">
      <w:r w:rsidRPr="008523D4">
        <w:t xml:space="preserve">The amendments to the HVU paper relate to specific sections of the paper. As such, these amendments will be divided into those for </w:t>
      </w:r>
      <w:r w:rsidRPr="008523D4">
        <w:rPr>
          <w:i/>
        </w:rPr>
        <w:t>Re-farming benefits</w:t>
      </w:r>
      <w:r w:rsidRPr="008523D4">
        <w:t xml:space="preserve"> and those for </w:t>
      </w:r>
      <w:r w:rsidRPr="008523D4">
        <w:rPr>
          <w:i/>
        </w:rPr>
        <w:t>Incremental costs</w:t>
      </w:r>
      <w:r w:rsidRPr="008523D4">
        <w:t>, then tied together under</w:t>
      </w:r>
      <w:r w:rsidRPr="008523D4">
        <w:rPr>
          <w:i/>
        </w:rPr>
        <w:t xml:space="preserve"> Net benefit</w:t>
      </w:r>
      <w:r w:rsidRPr="008523D4">
        <w:t xml:space="preserve"> to determine the ultimate outcomes.</w:t>
      </w:r>
    </w:p>
    <w:p w14:paraId="197B6301" w14:textId="77777777" w:rsidR="00235F01" w:rsidRPr="00243D03" w:rsidRDefault="00235F01" w:rsidP="00235F01">
      <w:pPr>
        <w:pStyle w:val="Heading2"/>
      </w:pPr>
      <w:bookmarkStart w:id="205" w:name="_Toc494375851"/>
      <w:bookmarkStart w:id="206" w:name="_Toc494378924"/>
      <w:bookmarkStart w:id="207" w:name="_Toc495053723"/>
      <w:bookmarkStart w:id="208" w:name="_Toc495935496"/>
      <w:bookmarkStart w:id="209" w:name="_Toc495935526"/>
      <w:bookmarkStart w:id="210" w:name="_Toc496620353"/>
      <w:r w:rsidRPr="00243D03">
        <w:t>Re-farming benefits</w:t>
      </w:r>
      <w:bookmarkEnd w:id="205"/>
      <w:bookmarkEnd w:id="206"/>
      <w:bookmarkEnd w:id="207"/>
      <w:bookmarkEnd w:id="208"/>
      <w:bookmarkEnd w:id="209"/>
      <w:bookmarkEnd w:id="210"/>
    </w:p>
    <w:p w14:paraId="2D91DB7B" w14:textId="77777777" w:rsidR="00235F01" w:rsidRPr="00243D03" w:rsidRDefault="00235F01" w:rsidP="00235F01">
      <w:r w:rsidRPr="00243D03">
        <w:t xml:space="preserve">The ACMA has not changed the valuation range for </w:t>
      </w:r>
      <w:r w:rsidR="008435A7">
        <w:t>broadband (including potential 5G)</w:t>
      </w:r>
      <w:r w:rsidRPr="00243D03">
        <w:t xml:space="preserve"> spectrum used to estimate re-farming benefits. The valuation range remains between $0.03/MHz/pop and $0.625/MHz/pop, although the ACMA notes that some submissions indicated that the upper bound of the range was too high. The table of inferred re-farming benefits based on these valuations</w:t>
      </w:r>
      <w:r w:rsidR="00227574">
        <w:t>,</w:t>
      </w:r>
      <w:r w:rsidRPr="00243D03">
        <w:t xml:space="preserve"> therefore remains as follows:</w:t>
      </w:r>
    </w:p>
    <w:p w14:paraId="4F9DC76A" w14:textId="77777777" w:rsidR="00235F01" w:rsidRPr="00243D03" w:rsidRDefault="00583998" w:rsidP="00235F01">
      <w:pPr>
        <w:pStyle w:val="ACMATableHeader"/>
        <w:spacing w:line="240" w:lineRule="atLeast"/>
      </w:pPr>
      <w:r>
        <w:t>B</w:t>
      </w:r>
      <w:r w:rsidR="00235F01" w:rsidRPr="00243D03">
        <w:t xml:space="preserve">enefit for </w:t>
      </w:r>
      <w:r>
        <w:t>cumulative</w:t>
      </w:r>
      <w:r w:rsidR="00235F01" w:rsidRPr="00243D03">
        <w:t xml:space="preserve"> area</w:t>
      </w:r>
      <w:r>
        <w:t>s</w:t>
      </w:r>
      <w:r w:rsidR="00235F01" w:rsidRPr="00243D03">
        <w:t xml:space="preserve"> if the 3.6 GHz band is re-farmed</w:t>
      </w:r>
    </w:p>
    <w:tbl>
      <w:tblPr>
        <w:tblStyle w:val="ListTable1Light"/>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2"/>
        <w:tblDescription w:val="Expected benefit for each area if the 3.6 GHz band is re-farmed"/>
      </w:tblPr>
      <w:tblGrid>
        <w:gridCol w:w="1313"/>
        <w:gridCol w:w="1587"/>
        <w:gridCol w:w="1587"/>
        <w:gridCol w:w="1587"/>
        <w:gridCol w:w="1587"/>
      </w:tblGrid>
      <w:tr w:rsidR="00235F01" w:rsidRPr="00243D03" w14:paraId="1A233388" w14:textId="77777777" w:rsidTr="0022757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56" w:type="pct"/>
            <w:tcBorders>
              <w:bottom w:val="none" w:sz="0" w:space="0" w:color="auto"/>
            </w:tcBorders>
            <w:shd w:val="clear" w:color="auto" w:fill="404040" w:themeFill="text1" w:themeFillTint="BF"/>
            <w:vAlign w:val="center"/>
          </w:tcPr>
          <w:p w14:paraId="72F7FD27" w14:textId="77777777" w:rsidR="00235F01" w:rsidRPr="00243D03" w:rsidRDefault="00235F01" w:rsidP="00235F01">
            <w:pPr>
              <w:pStyle w:val="TableHeading"/>
              <w:rPr>
                <w:b/>
                <w:color w:val="FFFFFF" w:themeColor="background1"/>
              </w:rPr>
            </w:pPr>
          </w:p>
        </w:tc>
        <w:tc>
          <w:tcPr>
            <w:tcW w:w="1036" w:type="pct"/>
            <w:tcBorders>
              <w:bottom w:val="none" w:sz="0" w:space="0" w:color="auto"/>
            </w:tcBorders>
            <w:shd w:val="clear" w:color="auto" w:fill="404040" w:themeFill="text1" w:themeFillTint="BF"/>
            <w:vAlign w:val="center"/>
          </w:tcPr>
          <w:p w14:paraId="2EB7C498" w14:textId="77777777" w:rsidR="00235F01" w:rsidRPr="00243D03" w:rsidRDefault="00235F01" w:rsidP="00235F01">
            <w:pPr>
              <w:pStyle w:val="TableHeading"/>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Area 1</w:t>
            </w:r>
            <w:r w:rsidR="00A46318">
              <w:rPr>
                <w:rStyle w:val="FootnoteReference"/>
                <w:rFonts w:cs="Arial"/>
                <w:b/>
                <w:color w:val="FFFFFF" w:themeColor="background1"/>
              </w:rPr>
              <w:footnoteReference w:id="17"/>
            </w:r>
          </w:p>
        </w:tc>
        <w:tc>
          <w:tcPr>
            <w:tcW w:w="1036" w:type="pct"/>
            <w:tcBorders>
              <w:bottom w:val="none" w:sz="0" w:space="0" w:color="auto"/>
            </w:tcBorders>
            <w:shd w:val="clear" w:color="auto" w:fill="404040" w:themeFill="text1" w:themeFillTint="BF"/>
            <w:vAlign w:val="center"/>
          </w:tcPr>
          <w:p w14:paraId="5AFDC5C5" w14:textId="77777777" w:rsidR="00235F01" w:rsidRPr="00243D03" w:rsidRDefault="00235F01" w:rsidP="00235F01">
            <w:pPr>
              <w:pStyle w:val="TableHeading"/>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 xml:space="preserve">Area </w:t>
            </w:r>
            <w:r w:rsidR="00305CA7">
              <w:rPr>
                <w:rFonts w:cs="Arial"/>
                <w:b/>
                <w:color w:val="FFFFFF" w:themeColor="background1"/>
              </w:rPr>
              <w:t>1+</w:t>
            </w:r>
            <w:r w:rsidRPr="00243D03">
              <w:rPr>
                <w:rFonts w:cs="Arial"/>
                <w:b/>
                <w:color w:val="FFFFFF" w:themeColor="background1"/>
              </w:rPr>
              <w:t>2</w:t>
            </w:r>
          </w:p>
        </w:tc>
        <w:tc>
          <w:tcPr>
            <w:tcW w:w="1036" w:type="pct"/>
            <w:tcBorders>
              <w:bottom w:val="none" w:sz="0" w:space="0" w:color="auto"/>
            </w:tcBorders>
            <w:shd w:val="clear" w:color="auto" w:fill="404040" w:themeFill="text1" w:themeFillTint="BF"/>
            <w:vAlign w:val="center"/>
          </w:tcPr>
          <w:p w14:paraId="54990C81" w14:textId="77777777" w:rsidR="00235F01" w:rsidRPr="00243D03" w:rsidRDefault="00235F01" w:rsidP="00235F01">
            <w:pPr>
              <w:pStyle w:val="TableHeading"/>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 xml:space="preserve">Area </w:t>
            </w:r>
            <w:r w:rsidR="00305CA7">
              <w:rPr>
                <w:rFonts w:cs="Arial"/>
                <w:b/>
                <w:color w:val="FFFFFF" w:themeColor="background1"/>
              </w:rPr>
              <w:t>1+2+</w:t>
            </w:r>
            <w:r w:rsidRPr="00243D03">
              <w:rPr>
                <w:rFonts w:cs="Arial"/>
                <w:b/>
                <w:color w:val="FFFFFF" w:themeColor="background1"/>
              </w:rPr>
              <w:t>3</w:t>
            </w:r>
          </w:p>
        </w:tc>
        <w:tc>
          <w:tcPr>
            <w:tcW w:w="1036" w:type="pct"/>
            <w:tcBorders>
              <w:bottom w:val="none" w:sz="0" w:space="0" w:color="auto"/>
            </w:tcBorders>
            <w:shd w:val="clear" w:color="auto" w:fill="404040" w:themeFill="text1" w:themeFillTint="BF"/>
            <w:vAlign w:val="center"/>
          </w:tcPr>
          <w:p w14:paraId="0E8186F6" w14:textId="77777777" w:rsidR="00235F01" w:rsidRPr="00243D03" w:rsidRDefault="00235F01" w:rsidP="00235F01">
            <w:pPr>
              <w:pStyle w:val="TableHeading"/>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Australia-wide</w:t>
            </w:r>
          </w:p>
        </w:tc>
      </w:tr>
      <w:tr w:rsidR="00235F01" w:rsidRPr="00243D03" w14:paraId="7794BDE7" w14:textId="77777777" w:rsidTr="00227574">
        <w:trPr>
          <w:cnfStyle w:val="000000100000" w:firstRow="0" w:lastRow="0" w:firstColumn="0" w:lastColumn="0" w:oddVBand="0" w:evenVBand="0" w:oddHBand="1"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537CA9AB" w14:textId="77777777" w:rsidR="00235F01" w:rsidRPr="00243D03" w:rsidRDefault="00235F01" w:rsidP="00235F01">
            <w:pPr>
              <w:pStyle w:val="TableBody"/>
            </w:pPr>
            <w:r w:rsidRPr="00243D03">
              <w:t>Population</w:t>
            </w:r>
          </w:p>
        </w:tc>
        <w:tc>
          <w:tcPr>
            <w:tcW w:w="1036" w:type="pct"/>
            <w:shd w:val="clear" w:color="auto" w:fill="FFFFFF" w:themeFill="background1"/>
            <w:vAlign w:val="center"/>
          </w:tcPr>
          <w:p w14:paraId="7085E6FA"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16.1 million</w:t>
            </w:r>
          </w:p>
        </w:tc>
        <w:tc>
          <w:tcPr>
            <w:tcW w:w="1036" w:type="pct"/>
            <w:shd w:val="clear" w:color="auto" w:fill="FFFFFF" w:themeFill="background1"/>
            <w:vAlign w:val="center"/>
          </w:tcPr>
          <w:p w14:paraId="5BFAE733"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19.1 million</w:t>
            </w:r>
          </w:p>
        </w:tc>
        <w:tc>
          <w:tcPr>
            <w:tcW w:w="1036" w:type="pct"/>
            <w:shd w:val="clear" w:color="auto" w:fill="FFFFFF" w:themeFill="background1"/>
            <w:vAlign w:val="center"/>
          </w:tcPr>
          <w:p w14:paraId="43847C66"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22.8 million</w:t>
            </w:r>
          </w:p>
        </w:tc>
        <w:tc>
          <w:tcPr>
            <w:tcW w:w="1036" w:type="pct"/>
            <w:shd w:val="clear" w:color="auto" w:fill="FFFFFF" w:themeFill="background1"/>
            <w:vAlign w:val="center"/>
          </w:tcPr>
          <w:p w14:paraId="4CA52BF9"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23.3 million</w:t>
            </w:r>
          </w:p>
        </w:tc>
      </w:tr>
      <w:tr w:rsidR="00235F01" w:rsidRPr="00243D03" w14:paraId="4428D651" w14:textId="77777777" w:rsidTr="00227574">
        <w:tc>
          <w:tcPr>
            <w:cnfStyle w:val="001000000000" w:firstRow="0" w:lastRow="0" w:firstColumn="1" w:lastColumn="0" w:oddVBand="0" w:evenVBand="0" w:oddHBand="0" w:evenHBand="0" w:firstRowFirstColumn="0" w:firstRowLastColumn="0" w:lastRowFirstColumn="0" w:lastRowLastColumn="0"/>
            <w:tcW w:w="5000" w:type="pct"/>
            <w:gridSpan w:val="5"/>
            <w:shd w:val="clear" w:color="auto" w:fill="D9D9D9" w:themeFill="background1" w:themeFillShade="D9"/>
            <w:vAlign w:val="center"/>
          </w:tcPr>
          <w:p w14:paraId="20464DF1" w14:textId="77777777" w:rsidR="00235F01" w:rsidRPr="00243D03" w:rsidRDefault="00235F01" w:rsidP="00235F01">
            <w:pPr>
              <w:pStyle w:val="TableBody"/>
            </w:pPr>
            <w:r w:rsidRPr="00243D03">
              <w:rPr>
                <w:color w:val="000000" w:themeColor="text1"/>
              </w:rPr>
              <w:t>$/MHz/pop value</w:t>
            </w:r>
          </w:p>
        </w:tc>
      </w:tr>
      <w:tr w:rsidR="00235F01" w:rsidRPr="00243D03" w14:paraId="4C782639"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6DB2AB01" w14:textId="77777777" w:rsidR="00235F01" w:rsidRPr="00243D03" w:rsidRDefault="00235F01" w:rsidP="00235F01">
            <w:pPr>
              <w:pStyle w:val="TableBody"/>
            </w:pPr>
            <w:r w:rsidRPr="00243D03">
              <w:t>$0.03</w:t>
            </w:r>
          </w:p>
        </w:tc>
        <w:tc>
          <w:tcPr>
            <w:tcW w:w="1036" w:type="pct"/>
            <w:shd w:val="clear" w:color="auto" w:fill="FFFFFF" w:themeFill="background1"/>
            <w:vAlign w:val="center"/>
          </w:tcPr>
          <w:p w14:paraId="7A572D6F"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$60 million</w:t>
            </w:r>
          </w:p>
        </w:tc>
        <w:tc>
          <w:tcPr>
            <w:tcW w:w="1036" w:type="pct"/>
            <w:shd w:val="clear" w:color="auto" w:fill="FFFFFF" w:themeFill="background1"/>
            <w:vAlign w:val="center"/>
          </w:tcPr>
          <w:p w14:paraId="7D770710"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$72 million</w:t>
            </w:r>
          </w:p>
        </w:tc>
        <w:tc>
          <w:tcPr>
            <w:tcW w:w="1036" w:type="pct"/>
            <w:shd w:val="clear" w:color="auto" w:fill="FFFFFF" w:themeFill="background1"/>
            <w:vAlign w:val="center"/>
          </w:tcPr>
          <w:p w14:paraId="5A56E7DF"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$86 million</w:t>
            </w:r>
          </w:p>
        </w:tc>
        <w:tc>
          <w:tcPr>
            <w:tcW w:w="1036" w:type="pct"/>
            <w:shd w:val="clear" w:color="auto" w:fill="FFFFFF" w:themeFill="background1"/>
            <w:vAlign w:val="center"/>
          </w:tcPr>
          <w:p w14:paraId="530A47FA"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$87 million</w:t>
            </w:r>
          </w:p>
        </w:tc>
      </w:tr>
      <w:tr w:rsidR="00235F01" w:rsidRPr="00243D03" w14:paraId="0F41E188" w14:textId="77777777" w:rsidTr="00227574">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385F41D5" w14:textId="77777777" w:rsidR="00235F01" w:rsidRPr="00243D03" w:rsidRDefault="00235F01" w:rsidP="00235F01">
            <w:pPr>
              <w:pStyle w:val="TableBody"/>
            </w:pPr>
            <w:r w:rsidRPr="00243D03">
              <w:t>$0.05</w:t>
            </w:r>
          </w:p>
        </w:tc>
        <w:tc>
          <w:tcPr>
            <w:tcW w:w="1036" w:type="pct"/>
            <w:shd w:val="clear" w:color="auto" w:fill="FFFFFF" w:themeFill="background1"/>
            <w:vAlign w:val="center"/>
          </w:tcPr>
          <w:p w14:paraId="396D5C26"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$101 million</w:t>
            </w:r>
          </w:p>
        </w:tc>
        <w:tc>
          <w:tcPr>
            <w:tcW w:w="1036" w:type="pct"/>
            <w:shd w:val="clear" w:color="auto" w:fill="FFFFFF" w:themeFill="background1"/>
            <w:vAlign w:val="center"/>
          </w:tcPr>
          <w:p w14:paraId="3374FA7E"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$119 million</w:t>
            </w:r>
          </w:p>
        </w:tc>
        <w:tc>
          <w:tcPr>
            <w:tcW w:w="1036" w:type="pct"/>
            <w:shd w:val="clear" w:color="auto" w:fill="FFFFFF" w:themeFill="background1"/>
            <w:vAlign w:val="center"/>
          </w:tcPr>
          <w:p w14:paraId="29BA81B3"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$143 million</w:t>
            </w:r>
          </w:p>
        </w:tc>
        <w:tc>
          <w:tcPr>
            <w:tcW w:w="1036" w:type="pct"/>
            <w:shd w:val="clear" w:color="auto" w:fill="FFFFFF" w:themeFill="background1"/>
            <w:vAlign w:val="center"/>
          </w:tcPr>
          <w:p w14:paraId="730E8644"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$146 million</w:t>
            </w:r>
          </w:p>
        </w:tc>
      </w:tr>
      <w:tr w:rsidR="00235F01" w:rsidRPr="00243D03" w14:paraId="4821CF87"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6D75D793" w14:textId="77777777" w:rsidR="00235F01" w:rsidRPr="00243D03" w:rsidRDefault="00235F01" w:rsidP="00235F01">
            <w:pPr>
              <w:pStyle w:val="TableBody"/>
            </w:pPr>
            <w:r w:rsidRPr="00243D03">
              <w:t>$0.10</w:t>
            </w:r>
          </w:p>
        </w:tc>
        <w:tc>
          <w:tcPr>
            <w:tcW w:w="1036" w:type="pct"/>
            <w:shd w:val="clear" w:color="auto" w:fill="FFFFFF" w:themeFill="background1"/>
            <w:vAlign w:val="center"/>
          </w:tcPr>
          <w:p w14:paraId="5CDC12F1"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$201 million</w:t>
            </w:r>
          </w:p>
        </w:tc>
        <w:tc>
          <w:tcPr>
            <w:tcW w:w="1036" w:type="pct"/>
            <w:shd w:val="clear" w:color="auto" w:fill="FFFFFF" w:themeFill="background1"/>
            <w:vAlign w:val="center"/>
          </w:tcPr>
          <w:p w14:paraId="01CFA12A"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$239 million</w:t>
            </w:r>
          </w:p>
        </w:tc>
        <w:tc>
          <w:tcPr>
            <w:tcW w:w="1036" w:type="pct"/>
            <w:shd w:val="clear" w:color="auto" w:fill="FFFFFF" w:themeFill="background1"/>
            <w:vAlign w:val="center"/>
          </w:tcPr>
          <w:p w14:paraId="1566742B"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$285 million</w:t>
            </w:r>
          </w:p>
        </w:tc>
        <w:tc>
          <w:tcPr>
            <w:tcW w:w="1036" w:type="pct"/>
            <w:shd w:val="clear" w:color="auto" w:fill="FFFFFF" w:themeFill="background1"/>
            <w:vAlign w:val="center"/>
          </w:tcPr>
          <w:p w14:paraId="16835A09"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$291 million</w:t>
            </w:r>
          </w:p>
        </w:tc>
      </w:tr>
      <w:tr w:rsidR="00235F01" w:rsidRPr="00243D03" w14:paraId="217CFB80" w14:textId="77777777" w:rsidTr="00227574">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54235A17" w14:textId="77777777" w:rsidR="00235F01" w:rsidRPr="00243D03" w:rsidRDefault="00235F01" w:rsidP="00235F01">
            <w:pPr>
              <w:pStyle w:val="TableBody"/>
            </w:pPr>
            <w:r w:rsidRPr="00243D03">
              <w:t>$0.25</w:t>
            </w:r>
          </w:p>
        </w:tc>
        <w:tc>
          <w:tcPr>
            <w:tcW w:w="1036" w:type="pct"/>
            <w:shd w:val="clear" w:color="auto" w:fill="FFFFFF" w:themeFill="background1"/>
            <w:vAlign w:val="center"/>
          </w:tcPr>
          <w:p w14:paraId="6B43FB58"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$503 million</w:t>
            </w:r>
          </w:p>
        </w:tc>
        <w:tc>
          <w:tcPr>
            <w:tcW w:w="1036" w:type="pct"/>
            <w:shd w:val="clear" w:color="auto" w:fill="FFFFFF" w:themeFill="background1"/>
            <w:vAlign w:val="center"/>
          </w:tcPr>
          <w:p w14:paraId="2A0E5AC0"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$597 million</w:t>
            </w:r>
          </w:p>
        </w:tc>
        <w:tc>
          <w:tcPr>
            <w:tcW w:w="1036" w:type="pct"/>
            <w:shd w:val="clear" w:color="auto" w:fill="FFFFFF" w:themeFill="background1"/>
            <w:vAlign w:val="center"/>
          </w:tcPr>
          <w:p w14:paraId="03BC544A"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$713 million</w:t>
            </w:r>
          </w:p>
        </w:tc>
        <w:tc>
          <w:tcPr>
            <w:tcW w:w="1036" w:type="pct"/>
            <w:shd w:val="clear" w:color="auto" w:fill="FFFFFF" w:themeFill="background1"/>
            <w:vAlign w:val="center"/>
          </w:tcPr>
          <w:p w14:paraId="6AFA5ADF"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$728 million</w:t>
            </w:r>
          </w:p>
        </w:tc>
      </w:tr>
      <w:tr w:rsidR="00235F01" w:rsidRPr="00243D03" w14:paraId="08471005"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52C912EC" w14:textId="77777777" w:rsidR="00235F01" w:rsidRPr="00243D03" w:rsidRDefault="00235F01" w:rsidP="00235F01">
            <w:pPr>
              <w:pStyle w:val="TableBody"/>
            </w:pPr>
            <w:r w:rsidRPr="00243D03">
              <w:t>$0.50</w:t>
            </w:r>
          </w:p>
        </w:tc>
        <w:tc>
          <w:tcPr>
            <w:tcW w:w="1036" w:type="pct"/>
            <w:shd w:val="clear" w:color="auto" w:fill="FFFFFF" w:themeFill="background1"/>
            <w:vAlign w:val="center"/>
          </w:tcPr>
          <w:p w14:paraId="06E7D522"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$1.0 billion</w:t>
            </w:r>
          </w:p>
        </w:tc>
        <w:tc>
          <w:tcPr>
            <w:tcW w:w="1036" w:type="pct"/>
            <w:shd w:val="clear" w:color="auto" w:fill="FFFFFF" w:themeFill="background1"/>
            <w:vAlign w:val="center"/>
          </w:tcPr>
          <w:p w14:paraId="06E83453"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$1.2 billion</w:t>
            </w:r>
          </w:p>
        </w:tc>
        <w:tc>
          <w:tcPr>
            <w:tcW w:w="1036" w:type="pct"/>
            <w:shd w:val="clear" w:color="auto" w:fill="FFFFFF" w:themeFill="background1"/>
            <w:vAlign w:val="center"/>
          </w:tcPr>
          <w:p w14:paraId="152C05C2"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$1.4 billion</w:t>
            </w:r>
          </w:p>
        </w:tc>
        <w:tc>
          <w:tcPr>
            <w:tcW w:w="1036" w:type="pct"/>
            <w:shd w:val="clear" w:color="auto" w:fill="FFFFFF" w:themeFill="background1"/>
            <w:vAlign w:val="center"/>
          </w:tcPr>
          <w:p w14:paraId="54E5A064"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t>$1.5 billion</w:t>
            </w:r>
          </w:p>
        </w:tc>
      </w:tr>
      <w:tr w:rsidR="00235F01" w:rsidRPr="00243D03" w14:paraId="2A11F7BC" w14:textId="77777777" w:rsidTr="00227574">
        <w:tc>
          <w:tcPr>
            <w:cnfStyle w:val="001000000000" w:firstRow="0" w:lastRow="0" w:firstColumn="1" w:lastColumn="0" w:oddVBand="0" w:evenVBand="0" w:oddHBand="0" w:evenHBand="0" w:firstRowFirstColumn="0" w:firstRowLastColumn="0" w:lastRowFirstColumn="0" w:lastRowLastColumn="0"/>
            <w:tcW w:w="856" w:type="pct"/>
            <w:shd w:val="clear" w:color="auto" w:fill="FFFFFF" w:themeFill="background1"/>
            <w:vAlign w:val="center"/>
          </w:tcPr>
          <w:p w14:paraId="293E54AD" w14:textId="77777777" w:rsidR="00235F01" w:rsidRPr="00243D03" w:rsidRDefault="00235F01" w:rsidP="00235F01">
            <w:pPr>
              <w:pStyle w:val="TableBody"/>
            </w:pPr>
            <w:r w:rsidRPr="00243D03">
              <w:t>$0.625</w:t>
            </w:r>
          </w:p>
        </w:tc>
        <w:tc>
          <w:tcPr>
            <w:tcW w:w="1036" w:type="pct"/>
            <w:shd w:val="clear" w:color="auto" w:fill="FFFFFF" w:themeFill="background1"/>
            <w:vAlign w:val="center"/>
          </w:tcPr>
          <w:p w14:paraId="574347EA"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$1.3 billion</w:t>
            </w:r>
          </w:p>
        </w:tc>
        <w:tc>
          <w:tcPr>
            <w:tcW w:w="1036" w:type="pct"/>
            <w:shd w:val="clear" w:color="auto" w:fill="FFFFFF" w:themeFill="background1"/>
            <w:vAlign w:val="center"/>
          </w:tcPr>
          <w:p w14:paraId="4B2AB865"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$1.5 billion</w:t>
            </w:r>
          </w:p>
        </w:tc>
        <w:tc>
          <w:tcPr>
            <w:tcW w:w="1036" w:type="pct"/>
            <w:shd w:val="clear" w:color="auto" w:fill="FFFFFF" w:themeFill="background1"/>
            <w:vAlign w:val="center"/>
          </w:tcPr>
          <w:p w14:paraId="40F0D31B"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$1.8 billion</w:t>
            </w:r>
          </w:p>
        </w:tc>
        <w:tc>
          <w:tcPr>
            <w:tcW w:w="1036" w:type="pct"/>
            <w:shd w:val="clear" w:color="auto" w:fill="FFFFFF" w:themeFill="background1"/>
            <w:vAlign w:val="center"/>
          </w:tcPr>
          <w:p w14:paraId="71DF9988"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pPr>
            <w:r w:rsidRPr="00243D03">
              <w:t>$1.8 billion</w:t>
            </w:r>
          </w:p>
        </w:tc>
      </w:tr>
    </w:tbl>
    <w:p w14:paraId="0E59AE8F" w14:textId="77777777" w:rsidR="00235F01" w:rsidRPr="00227574" w:rsidRDefault="00235F01" w:rsidP="00227574">
      <w:pPr>
        <w:pStyle w:val="ACMASpaceaftertable"/>
      </w:pPr>
    </w:p>
    <w:p w14:paraId="218A4D76" w14:textId="77777777" w:rsidR="006411F2" w:rsidRDefault="006411F2" w:rsidP="00235F01">
      <w:r>
        <w:t xml:space="preserve">Table </w:t>
      </w:r>
      <w:r w:rsidR="00227574">
        <w:t xml:space="preserve">3 </w:t>
      </w:r>
      <w:r>
        <w:t xml:space="preserve">includes the same data as the </w:t>
      </w:r>
      <w:r w:rsidR="00227574">
        <w:t>Table 2,</w:t>
      </w:r>
      <w:r>
        <w:t xml:space="preserve"> but outlines the marginal increases in re-farming benefits for each geographic area option.</w:t>
      </w:r>
    </w:p>
    <w:p w14:paraId="51CA7378" w14:textId="77777777" w:rsidR="006411F2" w:rsidRPr="00243D03" w:rsidRDefault="006411F2" w:rsidP="00227574">
      <w:pPr>
        <w:pStyle w:val="ACMATableHeader"/>
        <w:keepNext/>
        <w:keepLines/>
        <w:spacing w:line="240" w:lineRule="atLeast"/>
      </w:pPr>
      <w:r>
        <w:t>Marginal e</w:t>
      </w:r>
      <w:r w:rsidRPr="00243D03">
        <w:t>xpected benefit for each area if the 3.6 GHz band is re-farmed</w:t>
      </w:r>
    </w:p>
    <w:tbl>
      <w:tblPr>
        <w:tblStyle w:val="ListTable1Light"/>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3"/>
        <w:tblDescription w:val="Expected benefit for each area if the 3.6 GHz band is re-farmed"/>
      </w:tblPr>
      <w:tblGrid>
        <w:gridCol w:w="1314"/>
        <w:gridCol w:w="1587"/>
        <w:gridCol w:w="1587"/>
        <w:gridCol w:w="1587"/>
        <w:gridCol w:w="1586"/>
      </w:tblGrid>
      <w:tr w:rsidR="006411F2" w:rsidRPr="00243D03" w14:paraId="779F2592" w14:textId="77777777" w:rsidTr="0022757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57" w:type="pct"/>
            <w:tcBorders>
              <w:bottom w:val="none" w:sz="0" w:space="0" w:color="auto"/>
            </w:tcBorders>
            <w:shd w:val="clear" w:color="auto" w:fill="404040" w:themeFill="text1" w:themeFillTint="BF"/>
            <w:vAlign w:val="center"/>
          </w:tcPr>
          <w:p w14:paraId="5EBCA6FF" w14:textId="77777777" w:rsidR="006411F2" w:rsidRPr="00243D03" w:rsidRDefault="006411F2" w:rsidP="00227574">
            <w:pPr>
              <w:pStyle w:val="TableHeading"/>
              <w:keepNext/>
              <w:keepLines/>
              <w:rPr>
                <w:b/>
                <w:color w:val="FFFFFF" w:themeColor="background1"/>
              </w:rPr>
            </w:pPr>
          </w:p>
        </w:tc>
        <w:tc>
          <w:tcPr>
            <w:tcW w:w="1036" w:type="pct"/>
            <w:tcBorders>
              <w:bottom w:val="none" w:sz="0" w:space="0" w:color="auto"/>
            </w:tcBorders>
            <w:shd w:val="clear" w:color="auto" w:fill="404040" w:themeFill="text1" w:themeFillTint="BF"/>
            <w:vAlign w:val="center"/>
          </w:tcPr>
          <w:p w14:paraId="065F6DC4" w14:textId="77777777" w:rsidR="006411F2" w:rsidRPr="00243D03" w:rsidRDefault="006411F2" w:rsidP="00227574">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Area 1</w:t>
            </w:r>
          </w:p>
        </w:tc>
        <w:tc>
          <w:tcPr>
            <w:tcW w:w="1036" w:type="pct"/>
            <w:tcBorders>
              <w:bottom w:val="none" w:sz="0" w:space="0" w:color="auto"/>
            </w:tcBorders>
            <w:shd w:val="clear" w:color="auto" w:fill="404040" w:themeFill="text1" w:themeFillTint="BF"/>
            <w:vAlign w:val="center"/>
          </w:tcPr>
          <w:p w14:paraId="1602A59D" w14:textId="77777777" w:rsidR="006411F2" w:rsidRPr="00243D03" w:rsidRDefault="006411F2" w:rsidP="00227574">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Area 2</w:t>
            </w:r>
          </w:p>
        </w:tc>
        <w:tc>
          <w:tcPr>
            <w:tcW w:w="1036" w:type="pct"/>
            <w:tcBorders>
              <w:bottom w:val="none" w:sz="0" w:space="0" w:color="auto"/>
            </w:tcBorders>
            <w:shd w:val="clear" w:color="auto" w:fill="404040" w:themeFill="text1" w:themeFillTint="BF"/>
            <w:vAlign w:val="center"/>
          </w:tcPr>
          <w:p w14:paraId="7E982E5B" w14:textId="77777777" w:rsidR="006411F2" w:rsidRPr="00243D03" w:rsidRDefault="006411F2" w:rsidP="00227574">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Area 3</w:t>
            </w:r>
          </w:p>
        </w:tc>
        <w:tc>
          <w:tcPr>
            <w:tcW w:w="1036" w:type="pct"/>
            <w:tcBorders>
              <w:bottom w:val="none" w:sz="0" w:space="0" w:color="auto"/>
            </w:tcBorders>
            <w:shd w:val="clear" w:color="auto" w:fill="404040" w:themeFill="text1" w:themeFillTint="BF"/>
            <w:vAlign w:val="center"/>
          </w:tcPr>
          <w:p w14:paraId="2F374D59" w14:textId="77777777" w:rsidR="006411F2" w:rsidRPr="00243D03" w:rsidRDefault="006411F2" w:rsidP="00227574">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themeColor="background1"/>
              </w:rPr>
              <w:t>Australia-wide</w:t>
            </w:r>
          </w:p>
        </w:tc>
      </w:tr>
      <w:tr w:rsidR="006411F2" w:rsidRPr="00243D03" w14:paraId="29D181D2"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5"/>
            <w:shd w:val="clear" w:color="auto" w:fill="D9D9D9" w:themeFill="background1" w:themeFillShade="D9"/>
            <w:vAlign w:val="center"/>
          </w:tcPr>
          <w:p w14:paraId="2F7154DD" w14:textId="77777777" w:rsidR="006411F2" w:rsidRPr="00243D03" w:rsidRDefault="006411F2" w:rsidP="00227574">
            <w:pPr>
              <w:pStyle w:val="TableBody"/>
              <w:keepNext/>
              <w:keepLines/>
            </w:pPr>
            <w:r w:rsidRPr="00243D03">
              <w:rPr>
                <w:color w:val="000000" w:themeColor="text1"/>
              </w:rPr>
              <w:t>$/MHz/pop value</w:t>
            </w:r>
          </w:p>
        </w:tc>
      </w:tr>
      <w:tr w:rsidR="006411F2" w:rsidRPr="00243D03" w14:paraId="7CEB331B" w14:textId="77777777" w:rsidTr="00227574">
        <w:tc>
          <w:tcPr>
            <w:cnfStyle w:val="001000000000" w:firstRow="0" w:lastRow="0" w:firstColumn="1" w:lastColumn="0" w:oddVBand="0" w:evenVBand="0" w:oddHBand="0" w:evenHBand="0" w:firstRowFirstColumn="0" w:firstRowLastColumn="0" w:lastRowFirstColumn="0" w:lastRowLastColumn="0"/>
            <w:tcW w:w="857" w:type="pct"/>
            <w:shd w:val="clear" w:color="auto" w:fill="FFFFFF" w:themeFill="background1"/>
            <w:vAlign w:val="center"/>
          </w:tcPr>
          <w:p w14:paraId="656E1F77" w14:textId="77777777" w:rsidR="006411F2" w:rsidRPr="00243D03" w:rsidRDefault="006411F2" w:rsidP="00227574">
            <w:pPr>
              <w:pStyle w:val="TableBody"/>
              <w:keepNext/>
              <w:keepLines/>
            </w:pPr>
            <w:r w:rsidRPr="00243D03">
              <w:t>$0.03</w:t>
            </w:r>
          </w:p>
        </w:tc>
        <w:tc>
          <w:tcPr>
            <w:tcW w:w="1036" w:type="pct"/>
            <w:shd w:val="clear" w:color="auto" w:fill="FFFFFF" w:themeFill="background1"/>
            <w:vAlign w:val="center"/>
          </w:tcPr>
          <w:p w14:paraId="4CBA11B0"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$60 million</w:t>
            </w:r>
          </w:p>
        </w:tc>
        <w:tc>
          <w:tcPr>
            <w:tcW w:w="1036" w:type="pct"/>
            <w:shd w:val="clear" w:color="auto" w:fill="FFFFFF" w:themeFill="background1"/>
            <w:vAlign w:val="center"/>
          </w:tcPr>
          <w:p w14:paraId="194577A3"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11</w:t>
            </w:r>
            <w:r w:rsidRPr="00243D03">
              <w:t> million</w:t>
            </w:r>
          </w:p>
        </w:tc>
        <w:tc>
          <w:tcPr>
            <w:tcW w:w="1036" w:type="pct"/>
            <w:shd w:val="clear" w:color="auto" w:fill="FFFFFF" w:themeFill="background1"/>
            <w:vAlign w:val="center"/>
          </w:tcPr>
          <w:p w14:paraId="190B74DF"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14</w:t>
            </w:r>
            <w:r w:rsidRPr="00243D03">
              <w:t> million</w:t>
            </w:r>
          </w:p>
        </w:tc>
        <w:tc>
          <w:tcPr>
            <w:tcW w:w="1036" w:type="pct"/>
            <w:shd w:val="clear" w:color="auto" w:fill="FFFFFF" w:themeFill="background1"/>
            <w:vAlign w:val="center"/>
          </w:tcPr>
          <w:p w14:paraId="678F3B84"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t>$2</w:t>
            </w:r>
            <w:r w:rsidRPr="00243D03">
              <w:t> million</w:t>
            </w:r>
          </w:p>
        </w:tc>
      </w:tr>
      <w:tr w:rsidR="006411F2" w:rsidRPr="00243D03" w14:paraId="0D0362D1"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7" w:type="pct"/>
            <w:shd w:val="clear" w:color="auto" w:fill="FFFFFF" w:themeFill="background1"/>
            <w:vAlign w:val="center"/>
          </w:tcPr>
          <w:p w14:paraId="6614922F" w14:textId="77777777" w:rsidR="006411F2" w:rsidRPr="00243D03" w:rsidRDefault="006411F2" w:rsidP="00227574">
            <w:pPr>
              <w:pStyle w:val="TableBody"/>
              <w:keepNext/>
              <w:keepLines/>
            </w:pPr>
            <w:r w:rsidRPr="00243D03">
              <w:t>$0.05</w:t>
            </w:r>
          </w:p>
        </w:tc>
        <w:tc>
          <w:tcPr>
            <w:tcW w:w="1036" w:type="pct"/>
            <w:shd w:val="clear" w:color="auto" w:fill="FFFFFF" w:themeFill="background1"/>
            <w:vAlign w:val="center"/>
          </w:tcPr>
          <w:p w14:paraId="3E390D2F"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rsidRPr="00243D03">
              <w:t>$101 million</w:t>
            </w:r>
          </w:p>
        </w:tc>
        <w:tc>
          <w:tcPr>
            <w:tcW w:w="1036" w:type="pct"/>
            <w:shd w:val="clear" w:color="auto" w:fill="FFFFFF" w:themeFill="background1"/>
            <w:vAlign w:val="center"/>
          </w:tcPr>
          <w:p w14:paraId="2DBBA46F"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t>$</w:t>
            </w:r>
            <w:r w:rsidRPr="00243D03">
              <w:t>19 million</w:t>
            </w:r>
          </w:p>
        </w:tc>
        <w:tc>
          <w:tcPr>
            <w:tcW w:w="1036" w:type="pct"/>
            <w:shd w:val="clear" w:color="auto" w:fill="FFFFFF" w:themeFill="background1"/>
            <w:vAlign w:val="center"/>
          </w:tcPr>
          <w:p w14:paraId="12A0006E"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t>$2</w:t>
            </w:r>
            <w:r w:rsidRPr="00243D03">
              <w:t>3 million</w:t>
            </w:r>
          </w:p>
        </w:tc>
        <w:tc>
          <w:tcPr>
            <w:tcW w:w="1036" w:type="pct"/>
            <w:shd w:val="clear" w:color="auto" w:fill="FFFFFF" w:themeFill="background1"/>
            <w:vAlign w:val="center"/>
          </w:tcPr>
          <w:p w14:paraId="1F3D4817"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rsidRPr="00243D03">
              <w:t>$</w:t>
            </w:r>
            <w:r>
              <w:t>3</w:t>
            </w:r>
            <w:r w:rsidRPr="00243D03">
              <w:t> million</w:t>
            </w:r>
          </w:p>
        </w:tc>
      </w:tr>
      <w:tr w:rsidR="006411F2" w:rsidRPr="00243D03" w14:paraId="6ABDDD71" w14:textId="77777777" w:rsidTr="00227574">
        <w:tc>
          <w:tcPr>
            <w:cnfStyle w:val="001000000000" w:firstRow="0" w:lastRow="0" w:firstColumn="1" w:lastColumn="0" w:oddVBand="0" w:evenVBand="0" w:oddHBand="0" w:evenHBand="0" w:firstRowFirstColumn="0" w:firstRowLastColumn="0" w:lastRowFirstColumn="0" w:lastRowLastColumn="0"/>
            <w:tcW w:w="857" w:type="pct"/>
            <w:shd w:val="clear" w:color="auto" w:fill="FFFFFF" w:themeFill="background1"/>
            <w:vAlign w:val="center"/>
          </w:tcPr>
          <w:p w14:paraId="55F291D7" w14:textId="77777777" w:rsidR="006411F2" w:rsidRPr="00243D03" w:rsidRDefault="006411F2" w:rsidP="00227574">
            <w:pPr>
              <w:pStyle w:val="TableBody"/>
              <w:keepNext/>
              <w:keepLines/>
            </w:pPr>
            <w:r w:rsidRPr="00243D03">
              <w:t>$0.10</w:t>
            </w:r>
          </w:p>
        </w:tc>
        <w:tc>
          <w:tcPr>
            <w:tcW w:w="1036" w:type="pct"/>
            <w:shd w:val="clear" w:color="auto" w:fill="FFFFFF" w:themeFill="background1"/>
            <w:vAlign w:val="center"/>
          </w:tcPr>
          <w:p w14:paraId="55D1BB7F"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$201 million</w:t>
            </w:r>
          </w:p>
        </w:tc>
        <w:tc>
          <w:tcPr>
            <w:tcW w:w="1036" w:type="pct"/>
            <w:shd w:val="clear" w:color="auto" w:fill="FFFFFF" w:themeFill="background1"/>
            <w:vAlign w:val="center"/>
          </w:tcPr>
          <w:p w14:paraId="6A12E188"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38</w:t>
            </w:r>
            <w:r w:rsidRPr="00243D03">
              <w:t> million</w:t>
            </w:r>
          </w:p>
        </w:tc>
        <w:tc>
          <w:tcPr>
            <w:tcW w:w="1036" w:type="pct"/>
            <w:shd w:val="clear" w:color="auto" w:fill="FFFFFF" w:themeFill="background1"/>
            <w:vAlign w:val="center"/>
          </w:tcPr>
          <w:p w14:paraId="71631BE9"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46</w:t>
            </w:r>
            <w:r w:rsidRPr="00243D03">
              <w:t> million</w:t>
            </w:r>
          </w:p>
        </w:tc>
        <w:tc>
          <w:tcPr>
            <w:tcW w:w="1036" w:type="pct"/>
            <w:shd w:val="clear" w:color="auto" w:fill="FFFFFF" w:themeFill="background1"/>
            <w:vAlign w:val="center"/>
          </w:tcPr>
          <w:p w14:paraId="02329D01"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6</w:t>
            </w:r>
            <w:r w:rsidRPr="00243D03">
              <w:t> million</w:t>
            </w:r>
          </w:p>
        </w:tc>
      </w:tr>
      <w:tr w:rsidR="006411F2" w:rsidRPr="00243D03" w14:paraId="636C1A7A"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7" w:type="pct"/>
            <w:shd w:val="clear" w:color="auto" w:fill="FFFFFF" w:themeFill="background1"/>
            <w:vAlign w:val="center"/>
          </w:tcPr>
          <w:p w14:paraId="10E52D18" w14:textId="77777777" w:rsidR="006411F2" w:rsidRPr="00243D03" w:rsidRDefault="006411F2" w:rsidP="00227574">
            <w:pPr>
              <w:pStyle w:val="TableBody"/>
              <w:keepNext/>
              <w:keepLines/>
            </w:pPr>
            <w:r w:rsidRPr="00243D03">
              <w:t>$0.25</w:t>
            </w:r>
          </w:p>
        </w:tc>
        <w:tc>
          <w:tcPr>
            <w:tcW w:w="1036" w:type="pct"/>
            <w:shd w:val="clear" w:color="auto" w:fill="FFFFFF" w:themeFill="background1"/>
            <w:vAlign w:val="center"/>
          </w:tcPr>
          <w:p w14:paraId="42FFB18F"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rsidRPr="00243D03">
              <w:t>$503 million</w:t>
            </w:r>
          </w:p>
        </w:tc>
        <w:tc>
          <w:tcPr>
            <w:tcW w:w="1036" w:type="pct"/>
            <w:shd w:val="clear" w:color="auto" w:fill="FFFFFF" w:themeFill="background1"/>
            <w:vAlign w:val="center"/>
          </w:tcPr>
          <w:p w14:paraId="664B8B7F"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t>$94</w:t>
            </w:r>
            <w:r w:rsidRPr="00243D03">
              <w:t> million</w:t>
            </w:r>
          </w:p>
        </w:tc>
        <w:tc>
          <w:tcPr>
            <w:tcW w:w="1036" w:type="pct"/>
            <w:shd w:val="clear" w:color="auto" w:fill="FFFFFF" w:themeFill="background1"/>
            <w:vAlign w:val="center"/>
          </w:tcPr>
          <w:p w14:paraId="7B336B16"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rsidRPr="00243D03">
              <w:t>$</w:t>
            </w:r>
            <w:r>
              <w:t>116</w:t>
            </w:r>
            <w:r w:rsidRPr="00243D03">
              <w:t> million</w:t>
            </w:r>
          </w:p>
        </w:tc>
        <w:tc>
          <w:tcPr>
            <w:tcW w:w="1036" w:type="pct"/>
            <w:shd w:val="clear" w:color="auto" w:fill="FFFFFF" w:themeFill="background1"/>
            <w:vAlign w:val="center"/>
          </w:tcPr>
          <w:p w14:paraId="7EA03708"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rsidRPr="00243D03">
              <w:t>$</w:t>
            </w:r>
            <w:r>
              <w:t>16</w:t>
            </w:r>
            <w:r w:rsidRPr="00243D03">
              <w:t> million</w:t>
            </w:r>
          </w:p>
        </w:tc>
      </w:tr>
      <w:tr w:rsidR="006411F2" w:rsidRPr="00243D03" w14:paraId="5C8FE37E" w14:textId="77777777" w:rsidTr="00227574">
        <w:tc>
          <w:tcPr>
            <w:cnfStyle w:val="001000000000" w:firstRow="0" w:lastRow="0" w:firstColumn="1" w:lastColumn="0" w:oddVBand="0" w:evenVBand="0" w:oddHBand="0" w:evenHBand="0" w:firstRowFirstColumn="0" w:firstRowLastColumn="0" w:lastRowFirstColumn="0" w:lastRowLastColumn="0"/>
            <w:tcW w:w="857" w:type="pct"/>
            <w:shd w:val="clear" w:color="auto" w:fill="FFFFFF" w:themeFill="background1"/>
            <w:vAlign w:val="center"/>
          </w:tcPr>
          <w:p w14:paraId="45409BCD" w14:textId="77777777" w:rsidR="006411F2" w:rsidRPr="00243D03" w:rsidRDefault="006411F2" w:rsidP="00227574">
            <w:pPr>
              <w:pStyle w:val="TableBody"/>
              <w:keepNext/>
              <w:keepLines/>
            </w:pPr>
            <w:r w:rsidRPr="00243D03">
              <w:t>$0.50</w:t>
            </w:r>
          </w:p>
        </w:tc>
        <w:tc>
          <w:tcPr>
            <w:tcW w:w="1036" w:type="pct"/>
            <w:shd w:val="clear" w:color="auto" w:fill="FFFFFF" w:themeFill="background1"/>
            <w:vAlign w:val="center"/>
          </w:tcPr>
          <w:p w14:paraId="5AA5ED60"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$1.0 billion</w:t>
            </w:r>
          </w:p>
        </w:tc>
        <w:tc>
          <w:tcPr>
            <w:tcW w:w="1036" w:type="pct"/>
            <w:shd w:val="clear" w:color="auto" w:fill="FFFFFF" w:themeFill="background1"/>
            <w:vAlign w:val="center"/>
          </w:tcPr>
          <w:p w14:paraId="2A9056EA"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t>$188</w:t>
            </w:r>
            <w:r w:rsidRPr="00243D03">
              <w:t> </w:t>
            </w:r>
            <w:r>
              <w:t>m</w:t>
            </w:r>
            <w:r w:rsidRPr="00243D03">
              <w:t>illion</w:t>
            </w:r>
          </w:p>
        </w:tc>
        <w:tc>
          <w:tcPr>
            <w:tcW w:w="1036" w:type="pct"/>
            <w:shd w:val="clear" w:color="auto" w:fill="FFFFFF" w:themeFill="background1"/>
            <w:vAlign w:val="center"/>
          </w:tcPr>
          <w:p w14:paraId="7E631D14"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231</w:t>
            </w:r>
            <w:r w:rsidRPr="00243D03">
              <w:t> </w:t>
            </w:r>
            <w:r>
              <w:t>m</w:t>
            </w:r>
            <w:r w:rsidRPr="00243D03">
              <w:t>illion</w:t>
            </w:r>
          </w:p>
        </w:tc>
        <w:tc>
          <w:tcPr>
            <w:tcW w:w="1036" w:type="pct"/>
            <w:shd w:val="clear" w:color="auto" w:fill="FFFFFF" w:themeFill="background1"/>
            <w:vAlign w:val="center"/>
          </w:tcPr>
          <w:p w14:paraId="3B5F92CF" w14:textId="77777777" w:rsidR="006411F2" w:rsidRPr="00243D03" w:rsidRDefault="006411F2" w:rsidP="00227574">
            <w:pPr>
              <w:pStyle w:val="TableBody"/>
              <w:keepNext/>
              <w:keepLines/>
              <w:cnfStyle w:val="000000000000" w:firstRow="0" w:lastRow="0" w:firstColumn="0" w:lastColumn="0" w:oddVBand="0" w:evenVBand="0" w:oddHBand="0" w:evenHBand="0" w:firstRowFirstColumn="0" w:firstRowLastColumn="0" w:lastRowFirstColumn="0" w:lastRowLastColumn="0"/>
            </w:pPr>
            <w:r w:rsidRPr="00243D03">
              <w:t>$</w:t>
            </w:r>
            <w:r>
              <w:t>31</w:t>
            </w:r>
            <w:r w:rsidRPr="00243D03">
              <w:t> </w:t>
            </w:r>
            <w:r>
              <w:t>m</w:t>
            </w:r>
            <w:r w:rsidRPr="00243D03">
              <w:t>illion</w:t>
            </w:r>
          </w:p>
        </w:tc>
      </w:tr>
      <w:tr w:rsidR="006411F2" w:rsidRPr="00243D03" w14:paraId="75F83292" w14:textId="77777777" w:rsidTr="00227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7" w:type="pct"/>
            <w:shd w:val="clear" w:color="auto" w:fill="FFFFFF" w:themeFill="background1"/>
            <w:vAlign w:val="center"/>
          </w:tcPr>
          <w:p w14:paraId="17173FE1" w14:textId="77777777" w:rsidR="006411F2" w:rsidRPr="00243D03" w:rsidRDefault="006411F2" w:rsidP="00227574">
            <w:pPr>
              <w:pStyle w:val="TableBody"/>
              <w:keepNext/>
              <w:keepLines/>
            </w:pPr>
            <w:r w:rsidRPr="00243D03">
              <w:t>$0.625</w:t>
            </w:r>
          </w:p>
        </w:tc>
        <w:tc>
          <w:tcPr>
            <w:tcW w:w="1036" w:type="pct"/>
            <w:shd w:val="clear" w:color="auto" w:fill="FFFFFF" w:themeFill="background1"/>
            <w:vAlign w:val="center"/>
          </w:tcPr>
          <w:p w14:paraId="71FA4BD0"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rsidRPr="00243D03">
              <w:t>$1.3 billion</w:t>
            </w:r>
          </w:p>
        </w:tc>
        <w:tc>
          <w:tcPr>
            <w:tcW w:w="1036" w:type="pct"/>
            <w:shd w:val="clear" w:color="auto" w:fill="FFFFFF" w:themeFill="background1"/>
            <w:vAlign w:val="center"/>
          </w:tcPr>
          <w:p w14:paraId="2A3B69CB"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t>$234 m</w:t>
            </w:r>
            <w:r w:rsidRPr="00243D03">
              <w:t>illion</w:t>
            </w:r>
          </w:p>
        </w:tc>
        <w:tc>
          <w:tcPr>
            <w:tcW w:w="1036" w:type="pct"/>
            <w:shd w:val="clear" w:color="auto" w:fill="FFFFFF" w:themeFill="background1"/>
            <w:vAlign w:val="center"/>
          </w:tcPr>
          <w:p w14:paraId="445654B5"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t>$289 m</w:t>
            </w:r>
            <w:r w:rsidRPr="00243D03">
              <w:t>illion</w:t>
            </w:r>
          </w:p>
        </w:tc>
        <w:tc>
          <w:tcPr>
            <w:tcW w:w="1036" w:type="pct"/>
            <w:shd w:val="clear" w:color="auto" w:fill="FFFFFF" w:themeFill="background1"/>
            <w:vAlign w:val="center"/>
          </w:tcPr>
          <w:p w14:paraId="3EFC73ED" w14:textId="77777777" w:rsidR="006411F2" w:rsidRPr="00243D03" w:rsidRDefault="006411F2" w:rsidP="00227574">
            <w:pPr>
              <w:pStyle w:val="TableBody"/>
              <w:keepNext/>
              <w:keepLines/>
              <w:cnfStyle w:val="000000100000" w:firstRow="0" w:lastRow="0" w:firstColumn="0" w:lastColumn="0" w:oddVBand="0" w:evenVBand="0" w:oddHBand="1" w:evenHBand="0" w:firstRowFirstColumn="0" w:firstRowLastColumn="0" w:lastRowFirstColumn="0" w:lastRowLastColumn="0"/>
            </w:pPr>
            <w:r>
              <w:t>$39 m</w:t>
            </w:r>
            <w:r w:rsidRPr="00243D03">
              <w:t>illion</w:t>
            </w:r>
          </w:p>
        </w:tc>
      </w:tr>
    </w:tbl>
    <w:p w14:paraId="4DB90552" w14:textId="77777777" w:rsidR="006411F2" w:rsidRPr="00227574" w:rsidRDefault="006411F2" w:rsidP="00227574">
      <w:pPr>
        <w:pStyle w:val="ACMASpaceaftertable"/>
      </w:pPr>
    </w:p>
    <w:p w14:paraId="4E0E0569" w14:textId="77777777" w:rsidR="00235F01" w:rsidRPr="00243D03" w:rsidRDefault="00235F01" w:rsidP="00235F01">
      <w:r w:rsidRPr="00243D03">
        <w:t xml:space="preserve">There were several submissions that focused on the potential economic benefits of 5G services, such as productivity and innovation benefits. The ACMA considers that these benefits were already referenced in the HVU paper. </w:t>
      </w:r>
    </w:p>
    <w:p w14:paraId="0AF27932" w14:textId="77777777" w:rsidR="00235F01" w:rsidRDefault="00235F01" w:rsidP="00235F01">
      <w:r w:rsidRPr="00243D03">
        <w:t xml:space="preserve">Some 5G benefits are captured in the quantifiable valuations. Customers are expected to place a higher value on MBB services if they receive the full benefits of 5G, such as </w:t>
      </w:r>
      <w:r w:rsidR="008435A7">
        <w:t>low</w:t>
      </w:r>
      <w:r w:rsidR="008435A7" w:rsidRPr="00243D03">
        <w:t xml:space="preserve"> </w:t>
      </w:r>
      <w:r w:rsidRPr="00243D03">
        <w:t xml:space="preserve">latency and high data throughput rates. The higher value placed on services means that they would be willing to pay more for MBB services. The logical progression follows that MNOs would place a higher value on the spectrum if they can generate higher revenues from providing new or improved services. </w:t>
      </w:r>
    </w:p>
    <w:p w14:paraId="132023CC" w14:textId="77777777" w:rsidR="00235F01" w:rsidRPr="00243D03" w:rsidRDefault="00235F01" w:rsidP="00235F01">
      <w:r w:rsidRPr="00243D03">
        <w:t>It is not expected that MNOs will capture the total benefits of higher consumer valuations through price rises—consumers are expected to retain some of the benefits of their higher valuations for MBB services. This means there will be some additional unquantifiable economic benefits to consumers above the valuations of MNOs, which were previously considered in the HVU paper.</w:t>
      </w:r>
      <w:r w:rsidR="00336E17">
        <w:t xml:space="preserve"> </w:t>
      </w:r>
    </w:p>
    <w:p w14:paraId="5309F82A" w14:textId="77777777" w:rsidR="00235F01" w:rsidRPr="00243D03" w:rsidRDefault="00235F01" w:rsidP="00235F01">
      <w:r w:rsidRPr="00243D03">
        <w:t>There were also positive externalities (for example, productivity increases) that fall under the consideration of unquantifiable broader social net benefits in the HVU paper. While these benefits have been considered, they remain unable to be appropriately quantified when isolated specifically to the 125 MHz available in the 3.6 GHz band. As such, the ACMA considers that there are no further amendments required to the HVU paper regarding the potential value of 3.6 GHz band spectrum.</w:t>
      </w:r>
    </w:p>
    <w:p w14:paraId="40823FCB" w14:textId="77777777" w:rsidR="00235F01" w:rsidRPr="00243D03" w:rsidRDefault="00235F01" w:rsidP="00235F01">
      <w:r w:rsidRPr="00243D03">
        <w:t xml:space="preserve">The HVU paper also contained the potential effect on re-farming benefits of the hybrid approaches of Option 4a or Option 4b. </w:t>
      </w:r>
      <w:r w:rsidR="004D4E9C">
        <w:t xml:space="preserve">The outcomes related to these hybrid approaches are outlined in further detail in the </w:t>
      </w:r>
      <w:r w:rsidR="004D4E9C">
        <w:rPr>
          <w:i/>
        </w:rPr>
        <w:t xml:space="preserve">Net </w:t>
      </w:r>
      <w:r w:rsidR="004D4E9C" w:rsidRPr="004D4E9C">
        <w:rPr>
          <w:i/>
        </w:rPr>
        <w:t>benefit</w:t>
      </w:r>
      <w:r w:rsidR="004D4E9C">
        <w:t xml:space="preserve"> section of this </w:t>
      </w:r>
      <w:r w:rsidR="004D4E9C" w:rsidRPr="00DA6020">
        <w:t>annex</w:t>
      </w:r>
      <w:r w:rsidR="004D4E9C">
        <w:t>.</w:t>
      </w:r>
      <w:r w:rsidR="004D4E9C" w:rsidRPr="004D4E9C" w:rsidDel="004D4E9C">
        <w:t xml:space="preserve"> </w:t>
      </w:r>
    </w:p>
    <w:p w14:paraId="5FD63519" w14:textId="77777777" w:rsidR="00235F01" w:rsidRPr="00243D03" w:rsidRDefault="00235F01" w:rsidP="00235F01">
      <w:pPr>
        <w:pStyle w:val="Heading2"/>
      </w:pPr>
      <w:bookmarkStart w:id="211" w:name="_Toc494375852"/>
      <w:bookmarkStart w:id="212" w:name="_Toc494378925"/>
      <w:bookmarkStart w:id="213" w:name="_Toc495053724"/>
      <w:bookmarkStart w:id="214" w:name="_Toc495935497"/>
      <w:bookmarkStart w:id="215" w:name="_Toc495935527"/>
      <w:bookmarkStart w:id="216" w:name="_Toc496620354"/>
      <w:r w:rsidRPr="00243D03">
        <w:t>Incremental costs</w:t>
      </w:r>
      <w:bookmarkEnd w:id="211"/>
      <w:bookmarkEnd w:id="212"/>
      <w:bookmarkEnd w:id="213"/>
      <w:bookmarkEnd w:id="214"/>
      <w:bookmarkEnd w:id="215"/>
      <w:bookmarkEnd w:id="216"/>
    </w:p>
    <w:p w14:paraId="37BFDE91" w14:textId="77777777" w:rsidR="00BA166C" w:rsidRPr="008523D4" w:rsidRDefault="00BA166C" w:rsidP="00BA166C">
      <w:r w:rsidRPr="008523D4">
        <w:t>Stakeholder feedback has necessitated amendments to incremental cost calculations for both point-to-multipoint and FSS earth receive licensed services. There are also considerable cost reductions related to FSS earth receive licensees.</w:t>
      </w:r>
    </w:p>
    <w:p w14:paraId="56CA3C63" w14:textId="77777777" w:rsidR="00BA166C" w:rsidRPr="008523D4" w:rsidRDefault="00BA166C" w:rsidP="00BA166C">
      <w:pPr>
        <w:pStyle w:val="Heading3"/>
      </w:pPr>
      <w:bookmarkStart w:id="217" w:name="_Toc496620355"/>
      <w:r w:rsidRPr="008523D4">
        <w:t>Point-to-multipoint licences</w:t>
      </w:r>
      <w:bookmarkEnd w:id="217"/>
    </w:p>
    <w:p w14:paraId="277B8865" w14:textId="77777777" w:rsidR="00BA166C" w:rsidRPr="00750210" w:rsidRDefault="00BA166C" w:rsidP="00BA166C">
      <w:r w:rsidRPr="008523D4">
        <w:t xml:space="preserve">Point-to-multipoint licensed services were divided into those held by WISPs and those held by non-WISP licensees in the HVU paper, as the circumstances for these different categories of licensees were likely to be substantially different. However, the options for all point-to-multipoint licensees were largely the same. Point-to-multipoint licensees could represent constant output cases if they either continued to use a </w:t>
      </w:r>
      <w:r w:rsidR="007E4124">
        <w:t>spectrum</w:t>
      </w:r>
      <w:r w:rsidRPr="00750210">
        <w:t xml:space="preserve"> set-aside in the 3.6 GHz band</w:t>
      </w:r>
      <w:r w:rsidR="00B459CF">
        <w:t>,</w:t>
      </w:r>
      <w:r w:rsidRPr="00750210">
        <w:t xml:space="preserve"> migrated to </w:t>
      </w:r>
      <w:r w:rsidR="007E4124">
        <w:t xml:space="preserve">an alternative band (such as </w:t>
      </w:r>
      <w:r w:rsidRPr="00750210">
        <w:t>the 5.6 GHz band</w:t>
      </w:r>
      <w:r w:rsidR="007E4124">
        <w:t>), continued to operate in the 3.6 GHz band under agreement with the spectrum licensees or found other ways to deliver their services</w:t>
      </w:r>
      <w:r w:rsidRPr="00750210">
        <w:t xml:space="preserve">. </w:t>
      </w:r>
    </w:p>
    <w:p w14:paraId="492C49C8" w14:textId="77777777" w:rsidR="00F44C75" w:rsidRPr="00750210" w:rsidRDefault="00BA166C" w:rsidP="00BA166C">
      <w:r w:rsidRPr="00750210">
        <w:t xml:space="preserve">The ACMA has decided not to proceed with Option 4a (setting aside 25 MHz in the 3.6 GHz band), so there will not be any opportunity for point-to-multipoint licensees to simply retune equipment. </w:t>
      </w:r>
      <w:r w:rsidR="007E4124">
        <w:t>In some cases</w:t>
      </w:r>
      <w:r w:rsidR="000C50BB">
        <w:t>,</w:t>
      </w:r>
      <w:r w:rsidR="007E4124">
        <w:t xml:space="preserve"> t</w:t>
      </w:r>
      <w:r w:rsidRPr="00750210">
        <w:t>he</w:t>
      </w:r>
      <w:r w:rsidR="00611B6E" w:rsidRPr="00750210">
        <w:t>re will be an opportunity to replace equipment, as the</w:t>
      </w:r>
      <w:r w:rsidRPr="00750210">
        <w:t xml:space="preserve"> ACMA has</w:t>
      </w:r>
      <w:r w:rsidR="00611B6E" w:rsidRPr="00750210">
        <w:t xml:space="preserve"> </w:t>
      </w:r>
      <w:r w:rsidRPr="00750210">
        <w:t xml:space="preserve">decided to </w:t>
      </w:r>
      <w:r w:rsidR="00E63D56" w:rsidRPr="00750210">
        <w:t xml:space="preserve">make </w:t>
      </w:r>
      <w:r w:rsidRPr="00750210">
        <w:t xml:space="preserve">the 5.6 GHz band </w:t>
      </w:r>
      <w:r w:rsidR="00E63D56" w:rsidRPr="00750210">
        <w:t xml:space="preserve">available </w:t>
      </w:r>
      <w:r w:rsidRPr="00750210">
        <w:t>for point-to-multipoint apparatus licence use</w:t>
      </w:r>
      <w:r w:rsidR="000838D4" w:rsidRPr="00750210">
        <w:t xml:space="preserve"> outside of Area 1</w:t>
      </w:r>
      <w:r w:rsidRPr="00750210">
        <w:t>.</w:t>
      </w:r>
      <w:r w:rsidR="00611B6E" w:rsidRPr="00750210">
        <w:t xml:space="preserve"> There is a policy</w:t>
      </w:r>
      <w:r w:rsidR="000C1130" w:rsidRPr="00750210">
        <w:t xml:space="preserve"> commitment to keep the 5.6 GHz band</w:t>
      </w:r>
      <w:r w:rsidR="00611B6E" w:rsidRPr="00750210">
        <w:t xml:space="preserve"> </w:t>
      </w:r>
      <w:r w:rsidR="000C1130" w:rsidRPr="00750210">
        <w:t>available for point-to-multipoint use for 10 years</w:t>
      </w:r>
      <w:r w:rsidR="000C743F">
        <w:t xml:space="preserve">, which is slightly longer than the proposed re-allocation period for incumbents in the 3.6 GHz band in </w:t>
      </w:r>
      <w:r w:rsidR="000C50BB">
        <w:t>a</w:t>
      </w:r>
      <w:r w:rsidR="000C743F">
        <w:t>reas 2 and 3 (which is seven years)</w:t>
      </w:r>
      <w:r w:rsidR="00B700BE">
        <w:t xml:space="preserve">. </w:t>
      </w:r>
    </w:p>
    <w:p w14:paraId="4317553F" w14:textId="77777777" w:rsidR="00BA166C" w:rsidRPr="00750210" w:rsidRDefault="00F44C75" w:rsidP="00BA166C">
      <w:r w:rsidRPr="00750210">
        <w:t xml:space="preserve">The options for displaced point-to-multipoint licensed services remain either representing a constant output case </w:t>
      </w:r>
      <w:r w:rsidR="006A7432">
        <w:t xml:space="preserve">by </w:t>
      </w:r>
      <w:r w:rsidRPr="00750210">
        <w:t>migrating to the 5.6 GHz band</w:t>
      </w:r>
      <w:r w:rsidR="006A7432">
        <w:t xml:space="preserve"> </w:t>
      </w:r>
      <w:r w:rsidR="00FC2AF6">
        <w:t xml:space="preserve">or possibly </w:t>
      </w:r>
      <w:r w:rsidR="000D09C5">
        <w:t xml:space="preserve">the </w:t>
      </w:r>
      <w:r w:rsidR="00FC2AF6">
        <w:t>28 GHz</w:t>
      </w:r>
      <w:r w:rsidR="000D09C5">
        <w:t xml:space="preserve"> band,</w:t>
      </w:r>
      <w:r w:rsidR="00FC2AF6">
        <w:t xml:space="preserve"> </w:t>
      </w:r>
      <w:r w:rsidR="006A7432">
        <w:t>or continuing operation in the 3.6 GHz band via a third-party authorisation</w:t>
      </w:r>
      <w:r w:rsidRPr="00750210">
        <w:t xml:space="preserve">, or representing a variable output case and potentially discontinuing service. </w:t>
      </w:r>
      <w:r w:rsidR="00B30A69">
        <w:t xml:space="preserve">It is not possible to say </w:t>
      </w:r>
      <w:r w:rsidR="00113975">
        <w:t>definitively what number of services</w:t>
      </w:r>
      <w:r w:rsidR="00DC033E">
        <w:t>, if any,</w:t>
      </w:r>
      <w:r w:rsidR="00113975">
        <w:t xml:space="preserve"> are likely to be </w:t>
      </w:r>
      <w:r w:rsidR="00C01500">
        <w:t>unable to continue delivering services after the end of the re-allocation period</w:t>
      </w:r>
      <w:r w:rsidR="00113975">
        <w:t xml:space="preserve">. </w:t>
      </w:r>
      <w:r w:rsidRPr="00750210">
        <w:t>Due to the limited bandwidth available in the 5.6 GHz band, it is unlikely that all incumbent licensees will be able to migrate into the band</w:t>
      </w:r>
      <w:r w:rsidRPr="00750210" w:rsidDel="00113975">
        <w:t xml:space="preserve">, </w:t>
      </w:r>
      <w:r w:rsidR="00C01500">
        <w:t>although the ACMA considers that the other mitigation strategies are likely to limit the risk of consumer detriment flowing from the 3.6 GHz re-farming</w:t>
      </w:r>
      <w:r w:rsidR="00750210" w:rsidRPr="00750210">
        <w:t>.</w:t>
      </w:r>
      <w:r w:rsidR="00113975">
        <w:t xml:space="preserve"> </w:t>
      </w:r>
    </w:p>
    <w:p w14:paraId="712E38B0" w14:textId="77777777" w:rsidR="00BA166C" w:rsidRPr="00750210" w:rsidRDefault="00BA166C" w:rsidP="00BA166C">
      <w:pPr>
        <w:pStyle w:val="BodySubHeader"/>
      </w:pPr>
      <w:r w:rsidRPr="00750210">
        <w:t>Wireless Internet Service Providers (WISPs)</w:t>
      </w:r>
    </w:p>
    <w:p w14:paraId="154199DF" w14:textId="77777777" w:rsidR="00BA166C" w:rsidRPr="00750210" w:rsidRDefault="00BA166C" w:rsidP="00BA166C">
      <w:r w:rsidRPr="00750210">
        <w:t>Constant output cases were initially expected to occur if either the 5.6 GHz band or a set-aside in the 3.6 GHz band were available to incumbent licensees. The 5.6 GHz band will be available to incumbent licensees, with migration to this band estimated to result in average equipment replacement costs of $270,000 per licence. This amount will continue to be used as the quantifiable costs associated with the displacement of WISPs from the 3.6 GHz band</w:t>
      </w:r>
      <w:r w:rsidR="00750210" w:rsidRPr="00750210">
        <w:t>, although if this migration occurs</w:t>
      </w:r>
      <w:r w:rsidR="000C50BB">
        <w:t>,</w:t>
      </w:r>
      <w:r w:rsidR="00750210" w:rsidRPr="00750210">
        <w:t xml:space="preserve"> it is unlikely to happen until the end of </w:t>
      </w:r>
      <w:r w:rsidR="00B700BE">
        <w:t>the extended</w:t>
      </w:r>
      <w:r w:rsidR="00750210" w:rsidRPr="00750210">
        <w:t xml:space="preserve"> re-allocation period</w:t>
      </w:r>
      <w:r w:rsidR="00B700BE">
        <w:t>s</w:t>
      </w:r>
      <w:r w:rsidRPr="00750210">
        <w:t>. The potential retuning costs that would result from migrating to a set-aside ($838 per licence) can be disregarded.</w:t>
      </w:r>
    </w:p>
    <w:p w14:paraId="10B8C313" w14:textId="77777777" w:rsidR="00BA166C" w:rsidRPr="008523D4" w:rsidRDefault="00BA166C" w:rsidP="00BA166C">
      <w:r w:rsidRPr="00750210">
        <w:t xml:space="preserve">Several submissions from WISPs indicated a reluctance to migrate to the 5.6 GHz band, primarily due to the lack of bandwidth that would be available and interference potential in the 5.6 GHz band. </w:t>
      </w:r>
      <w:r w:rsidR="000D09C5">
        <w:t>I</w:t>
      </w:r>
      <w:r w:rsidRPr="00750210">
        <w:t xml:space="preserve">t is expected that some WISPs </w:t>
      </w:r>
      <w:r w:rsidR="007B3E0D">
        <w:t>will attempt to secure third-party authorisations from prospective spectrum licensees. This will enable them to represent constant output cases, with the incremental costs being the price that WISPs have to pay for the third-party authorisation</w:t>
      </w:r>
      <w:r w:rsidR="000D09C5">
        <w:t xml:space="preserve"> over and above what they currently pay for 3.6 GHz spectrum. Th</w:t>
      </w:r>
      <w:r w:rsidR="007B3E0D">
        <w:t xml:space="preserve">ese costs are unquantifiable at this stage. </w:t>
      </w:r>
      <w:r w:rsidR="00D433AD">
        <w:t>In addition, t</w:t>
      </w:r>
      <w:r w:rsidR="00057EE4">
        <w:t xml:space="preserve">he </w:t>
      </w:r>
      <w:r w:rsidR="00057EE4" w:rsidRPr="00475453">
        <w:rPr>
          <w:rFonts w:cs="Arial"/>
        </w:rPr>
        <w:t xml:space="preserve">ACMA </w:t>
      </w:r>
      <w:r w:rsidR="00057EE4">
        <w:rPr>
          <w:rFonts w:cs="Arial"/>
        </w:rPr>
        <w:t xml:space="preserve">notes </w:t>
      </w:r>
      <w:r w:rsidR="00D433AD">
        <w:rPr>
          <w:rFonts w:cs="Arial"/>
        </w:rPr>
        <w:t>it is also considering the use of the 28 GHz band (27.5</w:t>
      </w:r>
      <w:r w:rsidR="000C50BB">
        <w:rPr>
          <w:rFonts w:cs="Arial"/>
        </w:rPr>
        <w:t>–</w:t>
      </w:r>
      <w:r w:rsidR="00D433AD">
        <w:rPr>
          <w:rFonts w:cs="Arial"/>
        </w:rPr>
        <w:t>29.5 </w:t>
      </w:r>
      <w:r w:rsidR="00057EE4" w:rsidRPr="00475453">
        <w:rPr>
          <w:rFonts w:cs="Arial"/>
        </w:rPr>
        <w:t>GHz) for apparatus</w:t>
      </w:r>
      <w:r w:rsidR="000C50BB">
        <w:rPr>
          <w:rFonts w:cs="Arial"/>
        </w:rPr>
        <w:t>-</w:t>
      </w:r>
      <w:r w:rsidR="00057EE4" w:rsidRPr="00475453">
        <w:rPr>
          <w:rFonts w:cs="Arial"/>
        </w:rPr>
        <w:t>licensed point-to-multipoint arrangemen</w:t>
      </w:r>
      <w:r w:rsidR="00057EE4">
        <w:rPr>
          <w:rFonts w:cs="Arial"/>
        </w:rPr>
        <w:t xml:space="preserve">ts </w:t>
      </w:r>
      <w:r w:rsidR="00057EE4" w:rsidRPr="00475453">
        <w:rPr>
          <w:rFonts w:cs="Arial"/>
        </w:rPr>
        <w:t xml:space="preserve">in regional Australia. </w:t>
      </w:r>
    </w:p>
    <w:p w14:paraId="1B20792F" w14:textId="77777777" w:rsidR="00BA166C" w:rsidRDefault="00BA166C" w:rsidP="00BA166C">
      <w:r w:rsidRPr="008523D4">
        <w:t xml:space="preserve">The incremental costs associated with variable output cases </w:t>
      </w:r>
      <w:r w:rsidR="0016187C">
        <w:t xml:space="preserve">(if they are to occur) </w:t>
      </w:r>
      <w:r w:rsidRPr="008523D4">
        <w:t>are not quantifiable, but refer to the potential loss of producer surplus, consumer surplus and broader social net benefits in comparison with a service that acts as a substitute for fixed wireless internet (for example, satellite internet service</w:t>
      </w:r>
      <w:r w:rsidRPr="0020055D">
        <w:t>s).</w:t>
      </w:r>
      <w:r>
        <w:t xml:space="preserve"> T</w:t>
      </w:r>
      <w:r w:rsidRPr="008523D4">
        <w:t>he producer surplus loss for WISPs if they discontinue service is likely to be largely offset by the producer surplus gain for the alternative internet provider, as the alternative provider gains customers. The primary economic welfare loss is therefore likely to be the loss of consumer surplus, along with negative broader social effects.</w:t>
      </w:r>
    </w:p>
    <w:p w14:paraId="47D5CC47" w14:textId="77777777" w:rsidR="00BA166C" w:rsidRPr="008523D4" w:rsidRDefault="00BA166C" w:rsidP="00BA166C">
      <w:r w:rsidRPr="008523D4">
        <w:t xml:space="preserve">Put simply, the loss of consumer surplus is the reduction in value between what consumers place on the alternative service and what they placed on their incumbent service. This value reduction </w:t>
      </w:r>
      <w:r>
        <w:t xml:space="preserve">is </w:t>
      </w:r>
      <w:r w:rsidRPr="008523D4">
        <w:t>then combined across all affected consumers. The ACMA assumes that consumers have made rational welfare-maximising choices in using their incumbent service, which means that there would be a loss of consumer surplus in migrating away from a welfare-maximising service.</w:t>
      </w:r>
    </w:p>
    <w:p w14:paraId="700A8F37" w14:textId="77777777" w:rsidR="00BA166C" w:rsidRDefault="00BA166C" w:rsidP="00BA166C">
      <w:r w:rsidRPr="008523D4">
        <w:t xml:space="preserve">The ACMA is unable to quantify the difference in value between what consumers would place on an alternative internet service and what they would place on their incumbent service. </w:t>
      </w:r>
      <w:r w:rsidRPr="0020055D">
        <w:t>However, the concerns can still be considered</w:t>
      </w:r>
      <w:r w:rsidR="006C642D" w:rsidRPr="006C642D">
        <w:t xml:space="preserve"> </w:t>
      </w:r>
      <w:r w:rsidR="006C642D" w:rsidRPr="0020055D">
        <w:t>qualitative</w:t>
      </w:r>
      <w:r w:rsidR="006C642D">
        <w:t>ly</w:t>
      </w:r>
      <w:r w:rsidRPr="0020055D">
        <w:t xml:space="preserve">. For regional internet users, the loss of WISP services has the potential to result in slower data throughput rates, less reliable </w:t>
      </w:r>
      <w:r w:rsidRPr="008523D4">
        <w:t xml:space="preserve">connectivity and greater latency in their internet services. </w:t>
      </w:r>
      <w:r w:rsidR="006E5248">
        <w:t>If this was to occur</w:t>
      </w:r>
      <w:r w:rsidR="000C50BB">
        <w:t>,</w:t>
      </w:r>
      <w:r w:rsidR="006E5248">
        <w:t xml:space="preserve"> it is</w:t>
      </w:r>
      <w:r w:rsidRPr="008523D4">
        <w:t xml:space="preserve"> likely to result in a reduction in value for</w:t>
      </w:r>
      <w:r w:rsidRPr="0020055D">
        <w:t xml:space="preserve"> consumers that place relatively high importance on their internet service</w:t>
      </w:r>
      <w:r w:rsidRPr="008523D4">
        <w:t>, although the value differentials are likely to be highly variable between different consumers.</w:t>
      </w:r>
      <w:r w:rsidR="001B7444">
        <w:t xml:space="preserve"> </w:t>
      </w:r>
      <w:r w:rsidRPr="008523D4">
        <w:t>In addition to the reduction in consumer surplus resulting from the discontinuation of particular services, a loss of positive externalities</w:t>
      </w:r>
      <w:r w:rsidR="00726549">
        <w:t xml:space="preserve"> </w:t>
      </w:r>
      <w:r w:rsidRPr="008523D4">
        <w:t xml:space="preserve">may also occur. </w:t>
      </w:r>
    </w:p>
    <w:p w14:paraId="60251F80" w14:textId="77777777" w:rsidR="00C4200B" w:rsidRPr="008523D4" w:rsidRDefault="00B700BE" w:rsidP="00BA166C">
      <w:r>
        <w:t>Extended</w:t>
      </w:r>
      <w:r w:rsidR="00C4200B">
        <w:t xml:space="preserve"> re-allocation period</w:t>
      </w:r>
      <w:r>
        <w:t>s for incumbent point-to-multipoint licensees</w:t>
      </w:r>
      <w:r w:rsidR="00C4200B">
        <w:t xml:space="preserve"> and the availability of the 5.6 GHz band </w:t>
      </w:r>
      <w:r w:rsidR="000D09C5">
        <w:t xml:space="preserve">and potentially the </w:t>
      </w:r>
      <w:r w:rsidR="000D09C5">
        <w:rPr>
          <w:rFonts w:cs="Arial"/>
        </w:rPr>
        <w:t>28 GHz band</w:t>
      </w:r>
      <w:r w:rsidR="00C7282B">
        <w:rPr>
          <w:rFonts w:cs="Arial"/>
        </w:rPr>
        <w:t>,</w:t>
      </w:r>
      <w:r w:rsidR="000D09C5">
        <w:rPr>
          <w:rFonts w:cs="Arial"/>
        </w:rPr>
        <w:t xml:space="preserve"> </w:t>
      </w:r>
      <w:r w:rsidR="00C4200B">
        <w:t>have the potential to help mitigate some of these unquantifiable costs. During the re-allocation period, the</w:t>
      </w:r>
      <w:r w:rsidR="00C4200B" w:rsidRPr="00C4200B">
        <w:t xml:space="preserve"> </w:t>
      </w:r>
      <w:r w:rsidR="00C4200B">
        <w:t xml:space="preserve">opportunity to expand services in the 5.6 GHz band could prevent some costs associated with the economic benefits forgone from restricting the expansion of WISPs. Following the re-allocation period, incumbent licensees will have had longer to determine how to provide services to their customers without the 3.6 GHz band, </w:t>
      </w:r>
      <w:r w:rsidR="00C7282B">
        <w:t>and</w:t>
      </w:r>
      <w:r w:rsidR="00C4200B">
        <w:t xml:space="preserve"> the alternative services that are available to consumers could also be significantly improved, leading to a smaller economic welfare loss.</w:t>
      </w:r>
    </w:p>
    <w:p w14:paraId="0B364858" w14:textId="77777777" w:rsidR="00BA166C" w:rsidRPr="008523D4" w:rsidRDefault="00BA166C" w:rsidP="00BA166C">
      <w:pPr>
        <w:pStyle w:val="BodySubHeader"/>
      </w:pPr>
      <w:r w:rsidRPr="008523D4">
        <w:t>Non-WISP licensees</w:t>
      </w:r>
    </w:p>
    <w:p w14:paraId="3C821F73" w14:textId="77777777" w:rsidR="00BA166C" w:rsidRDefault="00BA166C" w:rsidP="00BA166C">
      <w:r w:rsidRPr="00C4200B">
        <w:t>Non-WISP licensees will encounter similar issues to WISPs. There will remain the option to migrate to the 5.6 GHz band</w:t>
      </w:r>
      <w:r w:rsidR="00C4200B" w:rsidRPr="00C4200B">
        <w:t xml:space="preserve"> during the </w:t>
      </w:r>
      <w:r w:rsidR="00B700BE">
        <w:t>10 years for which a policy commitment has been made for the band’s availability</w:t>
      </w:r>
      <w:r w:rsidR="006A7432">
        <w:t xml:space="preserve">. The 5.6 GHz band may also continue to be available </w:t>
      </w:r>
      <w:r w:rsidR="00C4200B" w:rsidRPr="00C4200B">
        <w:t xml:space="preserve">beyond the </w:t>
      </w:r>
      <w:r w:rsidR="006A7432">
        <w:t>10-</w:t>
      </w:r>
      <w:r w:rsidR="00B700BE">
        <w:t>year</w:t>
      </w:r>
      <w:r w:rsidR="006A7432">
        <w:t xml:space="preserve"> commitment.</w:t>
      </w:r>
      <w:r w:rsidRPr="00C4200B">
        <w:t xml:space="preserve"> </w:t>
      </w:r>
      <w:r w:rsidR="00C4200B" w:rsidRPr="00C4200B">
        <w:t>E</w:t>
      </w:r>
      <w:r w:rsidRPr="00C4200B">
        <w:t>quipment replacement costs are estimated to average $112,500 for each non-WISP licensee. Incumbent licensees that choose not to migrate to the 5.6 GHz band will incur unquantifiable costs. They will either</w:t>
      </w:r>
      <w:r>
        <w:t xml:space="preserve"> represent a constant output case if their end output remains relatively unchanged</w:t>
      </w:r>
      <w:r w:rsidR="007B3E0D">
        <w:t xml:space="preserve"> or if they secure third-party authorisations with spectrum licensees</w:t>
      </w:r>
      <w:r>
        <w:t>, or they will represent a variable output case if their end output is changed due to the discontinued use of spectrum.</w:t>
      </w:r>
    </w:p>
    <w:p w14:paraId="66FD638E" w14:textId="77777777" w:rsidR="00BA166C" w:rsidRPr="008523D4" w:rsidRDefault="00BA166C" w:rsidP="00BA166C">
      <w:pPr>
        <w:pStyle w:val="BodySubHeader"/>
      </w:pPr>
      <w:r w:rsidRPr="008523D4">
        <w:t>Overall incremental costs for point-to-multipoint services</w:t>
      </w:r>
    </w:p>
    <w:p w14:paraId="21E12431" w14:textId="77777777" w:rsidR="00BA166C" w:rsidRPr="008523D4" w:rsidRDefault="00BA166C" w:rsidP="00BA166C">
      <w:r w:rsidRPr="008523D4">
        <w:t xml:space="preserve">The </w:t>
      </w:r>
      <w:r>
        <w:t xml:space="preserve">primary change for point-to-multipoint licensed services compared with the initial HVU analysis is that a set-aside in the 3.6 GHz band is no longer an option. </w:t>
      </w:r>
      <w:r w:rsidRPr="008523D4">
        <w:t xml:space="preserve">The incremental cost tables outlined in the HVU paper can </w:t>
      </w:r>
      <w:r w:rsidRPr="0014339D">
        <w:t>now remove any potential for equipment retuning costs, but equipment replacement costs can remain. Feedback from WISPs indicated a reluctance to migrate to the 5.6 GHz band,</w:t>
      </w:r>
      <w:r w:rsidR="0014339D" w:rsidRPr="0014339D">
        <w:t xml:space="preserve"> although this migration would not need to occur until after the </w:t>
      </w:r>
      <w:r w:rsidR="00B700BE">
        <w:t>proposed</w:t>
      </w:r>
      <w:r w:rsidR="0014339D" w:rsidRPr="0014339D">
        <w:t xml:space="preserve"> re-allocation period. </w:t>
      </w:r>
    </w:p>
    <w:p w14:paraId="55362AF7" w14:textId="77777777" w:rsidR="00BA166C" w:rsidRDefault="00BA166C" w:rsidP="00BA166C">
      <w:r w:rsidRPr="008523D4">
        <w:t>Stakeholders provided little information on the extent to which consumers would suffer a loss in economic welfare through the loss of fixed wireless broadband services provided by point-to-multipoint licensees</w:t>
      </w:r>
      <w:r w:rsidR="007A3D15">
        <w:t xml:space="preserve"> (if it is to occur)</w:t>
      </w:r>
      <w:r w:rsidRPr="008523D4">
        <w:t>. It is possible that many consumers would be able to switch to another provider without much noticeable deterioration in the quality of their internet services. On the other hand, some users may strongly prefer point-to-multipoint fixed wireless broadband, and a switch to a non-preferred internet provider (for example, satellite internet services) would result in a loss in economic welfare.</w:t>
      </w:r>
      <w:r w:rsidR="007A3D15">
        <w:t xml:space="preserve"> </w:t>
      </w:r>
      <w:r w:rsidRPr="008523D4">
        <w:t xml:space="preserve">It should be noted that re-farming does not necessarily exclude point-to-multipoint licensees from using spectrum in the 3.6 GHz band. Licensees </w:t>
      </w:r>
      <w:r w:rsidR="00C7282B">
        <w:t>may be able to secure a third-party authorisation from spectrum licensees, or could consider forming a consortium to bid for regional</w:t>
      </w:r>
      <w:r w:rsidRPr="008523D4">
        <w:t xml:space="preserve"> licences </w:t>
      </w:r>
      <w:r w:rsidR="00C7282B">
        <w:t>at auction</w:t>
      </w:r>
      <w:r w:rsidR="009E3BA2">
        <w:t>.</w:t>
      </w:r>
    </w:p>
    <w:p w14:paraId="1A1B244B" w14:textId="77777777" w:rsidR="00BA166C" w:rsidRPr="00DF53B5" w:rsidRDefault="00BA166C" w:rsidP="00BA166C">
      <w:pPr>
        <w:pStyle w:val="ACMATableHeader"/>
        <w:keepNext/>
        <w:keepLines/>
        <w:spacing w:line="240" w:lineRule="atLeast"/>
      </w:pPr>
      <w:r>
        <w:t>I</w:t>
      </w:r>
      <w:r w:rsidRPr="00B512F6">
        <w:t xml:space="preserve">ncremental costs </w:t>
      </w:r>
      <w:r w:rsidRPr="00DF53B5">
        <w:t xml:space="preserve">of </w:t>
      </w:r>
      <w:r>
        <w:t xml:space="preserve">displacing </w:t>
      </w:r>
      <w:r w:rsidRPr="00B512F6">
        <w:t>point-to-multipoint</w:t>
      </w:r>
      <w:r w:rsidRPr="00DF53B5">
        <w:t xml:space="preserve"> licences </w:t>
      </w:r>
      <w:r>
        <w:t>from</w:t>
      </w:r>
      <w:r w:rsidRPr="00DF53B5">
        <w:t xml:space="preserve"> the 3.6</w:t>
      </w:r>
      <w:r>
        <w:t> GHz</w:t>
      </w:r>
      <w:r w:rsidRPr="00DF53B5">
        <w:t xml:space="preserve"> band</w:t>
      </w:r>
      <w:r w:rsidR="005E5D7B">
        <w:t xml:space="preserve"> for cumulative areas</w:t>
      </w:r>
    </w:p>
    <w:tbl>
      <w:tblPr>
        <w:tblStyle w:val="ListTable1Light"/>
        <w:tblW w:w="5000" w:type="pct"/>
        <w:tblBorders>
          <w:top w:val="single" w:sz="4" w:space="0" w:color="auto"/>
          <w:bottom w:val="single" w:sz="4" w:space="0" w:color="auto"/>
          <w:insideH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4"/>
        <w:tblDescription w:val="Incremental costs of displacing point-to-multipoint licences from the 3.6 GHz band"/>
      </w:tblPr>
      <w:tblGrid>
        <w:gridCol w:w="893"/>
        <w:gridCol w:w="1180"/>
        <w:gridCol w:w="915"/>
        <w:gridCol w:w="1558"/>
        <w:gridCol w:w="1558"/>
        <w:gridCol w:w="1557"/>
      </w:tblGrid>
      <w:tr w:rsidR="00BA166C" w:rsidRPr="00BB254B" w14:paraId="00C3608B" w14:textId="77777777" w:rsidTr="000C50B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83" w:type="pct"/>
            <w:tcBorders>
              <w:left w:val="single" w:sz="4" w:space="0" w:color="auto"/>
              <w:bottom w:val="single" w:sz="4" w:space="0" w:color="auto"/>
              <w:right w:val="single" w:sz="4" w:space="0" w:color="auto"/>
            </w:tcBorders>
            <w:shd w:val="clear" w:color="auto" w:fill="404040" w:themeFill="text1" w:themeFillTint="BF"/>
          </w:tcPr>
          <w:p w14:paraId="1E4C0D91" w14:textId="77777777" w:rsidR="00BA166C" w:rsidRPr="00974BD9" w:rsidRDefault="00BA166C" w:rsidP="00BA166C">
            <w:pPr>
              <w:pStyle w:val="TableHeading"/>
              <w:keepNext/>
              <w:keepLines/>
              <w:rPr>
                <w:b/>
                <w:color w:val="FFFFFF" w:themeColor="background1"/>
              </w:rPr>
            </w:pPr>
          </w:p>
        </w:tc>
        <w:tc>
          <w:tcPr>
            <w:tcW w:w="770" w:type="pct"/>
            <w:tcBorders>
              <w:left w:val="single" w:sz="4" w:space="0" w:color="auto"/>
              <w:bottom w:val="single" w:sz="4" w:space="0" w:color="auto"/>
              <w:right w:val="single" w:sz="4" w:space="0" w:color="auto"/>
            </w:tcBorders>
            <w:shd w:val="clear" w:color="auto" w:fill="404040" w:themeFill="text1" w:themeFillTint="BF"/>
            <w:vAlign w:val="center"/>
          </w:tcPr>
          <w:p w14:paraId="66B12F9E" w14:textId="77777777" w:rsidR="00BA166C" w:rsidRPr="00974BD9"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p>
        </w:tc>
        <w:tc>
          <w:tcPr>
            <w:tcW w:w="597" w:type="pct"/>
            <w:tcBorders>
              <w:left w:val="single" w:sz="4" w:space="0" w:color="auto"/>
              <w:bottom w:val="single" w:sz="4" w:space="0" w:color="auto"/>
              <w:right w:val="single" w:sz="4" w:space="0" w:color="auto"/>
            </w:tcBorders>
            <w:shd w:val="clear" w:color="auto" w:fill="404040" w:themeFill="text1" w:themeFillTint="BF"/>
            <w:vAlign w:val="center"/>
          </w:tcPr>
          <w:p w14:paraId="367CA63A" w14:textId="77777777" w:rsidR="00BA166C" w:rsidRPr="007A0149"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7A0149">
              <w:rPr>
                <w:rFonts w:cs="Arial"/>
                <w:b/>
                <w:color w:val="FFFFFF" w:themeColor="background1"/>
              </w:rPr>
              <w:t>Area 1</w:t>
            </w:r>
          </w:p>
        </w:tc>
        <w:tc>
          <w:tcPr>
            <w:tcW w:w="1017" w:type="pct"/>
            <w:tcBorders>
              <w:left w:val="single" w:sz="4" w:space="0" w:color="auto"/>
              <w:bottom w:val="single" w:sz="4" w:space="0" w:color="auto"/>
              <w:right w:val="single" w:sz="4" w:space="0" w:color="auto"/>
            </w:tcBorders>
            <w:shd w:val="clear" w:color="auto" w:fill="404040" w:themeFill="text1" w:themeFillTint="BF"/>
            <w:vAlign w:val="center"/>
          </w:tcPr>
          <w:p w14:paraId="6701D323" w14:textId="77777777" w:rsidR="00BA166C" w:rsidRPr="007A0149"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7A0149">
              <w:rPr>
                <w:rFonts w:cs="Arial"/>
                <w:b/>
                <w:color w:val="FFFFFF" w:themeColor="background1"/>
              </w:rPr>
              <w:t xml:space="preserve">Area </w:t>
            </w:r>
            <w:r w:rsidR="00583998">
              <w:rPr>
                <w:rFonts w:cs="Arial"/>
                <w:b/>
                <w:color w:val="FFFFFF" w:themeColor="background1"/>
              </w:rPr>
              <w:t>1+</w:t>
            </w:r>
            <w:r w:rsidRPr="007A0149">
              <w:rPr>
                <w:rFonts w:cs="Arial"/>
                <w:b/>
                <w:color w:val="FFFFFF" w:themeColor="background1"/>
              </w:rPr>
              <w:t>2</w:t>
            </w:r>
          </w:p>
        </w:tc>
        <w:tc>
          <w:tcPr>
            <w:tcW w:w="1017" w:type="pct"/>
            <w:tcBorders>
              <w:left w:val="single" w:sz="4" w:space="0" w:color="auto"/>
              <w:bottom w:val="single" w:sz="4" w:space="0" w:color="auto"/>
              <w:right w:val="single" w:sz="4" w:space="0" w:color="auto"/>
            </w:tcBorders>
            <w:shd w:val="clear" w:color="auto" w:fill="404040" w:themeFill="text1" w:themeFillTint="BF"/>
            <w:vAlign w:val="center"/>
          </w:tcPr>
          <w:p w14:paraId="4C0DDE46" w14:textId="77777777" w:rsidR="00BA166C" w:rsidRPr="007A0149"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7A0149">
              <w:rPr>
                <w:rFonts w:cs="Arial"/>
                <w:b/>
                <w:color w:val="FFFFFF" w:themeColor="background1"/>
              </w:rPr>
              <w:t xml:space="preserve">Area </w:t>
            </w:r>
            <w:r w:rsidR="00583998">
              <w:rPr>
                <w:rFonts w:cs="Arial"/>
                <w:b/>
                <w:color w:val="FFFFFF" w:themeColor="background1"/>
              </w:rPr>
              <w:t>1+2+</w:t>
            </w:r>
            <w:r w:rsidRPr="007A0149">
              <w:rPr>
                <w:rFonts w:cs="Arial"/>
                <w:b/>
                <w:color w:val="FFFFFF" w:themeColor="background1"/>
              </w:rPr>
              <w:t>3</w:t>
            </w:r>
          </w:p>
        </w:tc>
        <w:tc>
          <w:tcPr>
            <w:tcW w:w="1016" w:type="pct"/>
            <w:tcBorders>
              <w:left w:val="single" w:sz="4" w:space="0" w:color="auto"/>
              <w:bottom w:val="single" w:sz="4" w:space="0" w:color="auto"/>
              <w:right w:val="single" w:sz="4" w:space="0" w:color="auto"/>
            </w:tcBorders>
            <w:shd w:val="clear" w:color="auto" w:fill="404040" w:themeFill="text1" w:themeFillTint="BF"/>
            <w:vAlign w:val="center"/>
          </w:tcPr>
          <w:p w14:paraId="4B15073C" w14:textId="77777777" w:rsidR="00BA166C" w:rsidRPr="007A0149"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7A0149">
              <w:rPr>
                <w:rFonts w:cs="Arial"/>
                <w:b/>
                <w:color w:val="FFFFFF" w:themeColor="background1"/>
              </w:rPr>
              <w:t>Australia-wide</w:t>
            </w:r>
          </w:p>
        </w:tc>
      </w:tr>
      <w:tr w:rsidR="00BA166C" w:rsidRPr="00E216D5" w14:paraId="62515F89" w14:textId="77777777" w:rsidTr="003D0A18">
        <w:trPr>
          <w:cnfStyle w:val="000000100000" w:firstRow="0" w:lastRow="0" w:firstColumn="0" w:lastColumn="0" w:oddVBand="0" w:evenVBand="0" w:oddHBand="1"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583" w:type="pct"/>
            <w:vMerge w:val="restart"/>
            <w:tcBorders>
              <w:left w:val="single" w:sz="4" w:space="0" w:color="auto"/>
              <w:right w:val="single" w:sz="4" w:space="0" w:color="auto"/>
            </w:tcBorders>
            <w:shd w:val="clear" w:color="auto" w:fill="FFFFFF" w:themeFill="background1"/>
            <w:textDirection w:val="btLr"/>
            <w:vAlign w:val="center"/>
          </w:tcPr>
          <w:p w14:paraId="625B5C82" w14:textId="77777777" w:rsidR="00BA166C" w:rsidRPr="009E746B" w:rsidRDefault="00BA166C" w:rsidP="000C50BB">
            <w:pPr>
              <w:pStyle w:val="TableBody"/>
              <w:keepNext/>
              <w:keepLines/>
              <w:ind w:left="113" w:right="113"/>
              <w:jc w:val="center"/>
            </w:pPr>
            <w:r>
              <w:t>Quantifiable costs</w:t>
            </w:r>
          </w:p>
        </w:tc>
        <w:tc>
          <w:tcPr>
            <w:tcW w:w="770" w:type="pct"/>
            <w:tcBorders>
              <w:left w:val="single" w:sz="4" w:space="0" w:color="auto"/>
              <w:right w:val="single" w:sz="4" w:space="0" w:color="auto"/>
            </w:tcBorders>
            <w:shd w:val="clear" w:color="auto" w:fill="FFFFFF" w:themeFill="background1"/>
          </w:tcPr>
          <w:p w14:paraId="65F8C0EA" w14:textId="77777777" w:rsidR="00BA166C" w:rsidRPr="00B35779"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b/>
              </w:rPr>
            </w:pPr>
            <w:r>
              <w:rPr>
                <w:b/>
              </w:rPr>
              <w:t>WISPs</w:t>
            </w:r>
          </w:p>
        </w:tc>
        <w:tc>
          <w:tcPr>
            <w:tcW w:w="597" w:type="pct"/>
            <w:tcBorders>
              <w:left w:val="single" w:sz="4" w:space="0" w:color="auto"/>
              <w:right w:val="single" w:sz="4" w:space="0" w:color="auto"/>
            </w:tcBorders>
            <w:shd w:val="clear" w:color="auto" w:fill="FFFFFF" w:themeFill="background1"/>
          </w:tcPr>
          <w:p w14:paraId="130DC693" w14:textId="77777777" w:rsidR="00BA166C" w:rsidRPr="00286F1A"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rPr>
            </w:pPr>
            <w:r>
              <w:rPr>
                <w:rFonts w:cs="Arial"/>
                <w:color w:val="000000"/>
              </w:rPr>
              <w:t>$0</w:t>
            </w:r>
          </w:p>
        </w:tc>
        <w:tc>
          <w:tcPr>
            <w:tcW w:w="1017" w:type="pct"/>
            <w:tcBorders>
              <w:left w:val="single" w:sz="4" w:space="0" w:color="auto"/>
              <w:right w:val="single" w:sz="4" w:space="0" w:color="auto"/>
            </w:tcBorders>
            <w:shd w:val="clear" w:color="auto" w:fill="FFFFFF" w:themeFill="background1"/>
          </w:tcPr>
          <w:p w14:paraId="1287A8A8" w14:textId="77777777" w:rsidR="00BA166C" w:rsidRPr="00286F1A"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rPr>
            </w:pPr>
            <w:r>
              <w:rPr>
                <w:rFonts w:cs="Arial"/>
                <w:color w:val="000000"/>
              </w:rPr>
              <w:t>$0–23 million</w:t>
            </w:r>
          </w:p>
        </w:tc>
        <w:tc>
          <w:tcPr>
            <w:tcW w:w="1017" w:type="pct"/>
            <w:tcBorders>
              <w:left w:val="single" w:sz="4" w:space="0" w:color="auto"/>
              <w:right w:val="single" w:sz="4" w:space="0" w:color="auto"/>
            </w:tcBorders>
            <w:shd w:val="clear" w:color="auto" w:fill="FFFFFF" w:themeFill="background1"/>
          </w:tcPr>
          <w:p w14:paraId="795DF1CC" w14:textId="77777777" w:rsidR="00BA166C" w:rsidRPr="00286F1A"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rPr>
            </w:pPr>
            <w:r>
              <w:rPr>
                <w:rFonts w:cs="Arial"/>
                <w:color w:val="000000"/>
              </w:rPr>
              <w:t>$0–45 million</w:t>
            </w:r>
          </w:p>
        </w:tc>
        <w:tc>
          <w:tcPr>
            <w:tcW w:w="1016" w:type="pct"/>
            <w:tcBorders>
              <w:left w:val="single" w:sz="4" w:space="0" w:color="auto"/>
              <w:right w:val="single" w:sz="4" w:space="0" w:color="auto"/>
            </w:tcBorders>
            <w:shd w:val="clear" w:color="auto" w:fill="FFFFFF" w:themeFill="background1"/>
          </w:tcPr>
          <w:p w14:paraId="241204DD" w14:textId="77777777" w:rsidR="00BA166C" w:rsidRPr="00286F1A"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rPr>
            </w:pPr>
            <w:r>
              <w:rPr>
                <w:rFonts w:cs="Arial"/>
                <w:color w:val="000000"/>
              </w:rPr>
              <w:t>$0–47 million</w:t>
            </w:r>
          </w:p>
        </w:tc>
      </w:tr>
      <w:tr w:rsidR="00BA166C" w:rsidRPr="00E216D5" w14:paraId="78B270F2" w14:textId="77777777" w:rsidTr="003D0A18">
        <w:trPr>
          <w:trHeight w:val="577"/>
        </w:trPr>
        <w:tc>
          <w:tcPr>
            <w:cnfStyle w:val="001000000000" w:firstRow="0" w:lastRow="0" w:firstColumn="1" w:lastColumn="0" w:oddVBand="0" w:evenVBand="0" w:oddHBand="0" w:evenHBand="0" w:firstRowFirstColumn="0" w:firstRowLastColumn="0" w:lastRowFirstColumn="0" w:lastRowLastColumn="0"/>
            <w:tcW w:w="583" w:type="pct"/>
            <w:vMerge/>
            <w:tcBorders>
              <w:left w:val="single" w:sz="4" w:space="0" w:color="auto"/>
              <w:right w:val="single" w:sz="4" w:space="0" w:color="auto"/>
            </w:tcBorders>
            <w:shd w:val="clear" w:color="auto" w:fill="FFFFFF" w:themeFill="background1"/>
          </w:tcPr>
          <w:p w14:paraId="66CAEF06" w14:textId="77777777" w:rsidR="00BA166C" w:rsidRPr="009E746B" w:rsidRDefault="00BA166C" w:rsidP="00BA166C">
            <w:pPr>
              <w:pStyle w:val="TableBody"/>
              <w:keepNext/>
              <w:keepLines/>
            </w:pPr>
          </w:p>
        </w:tc>
        <w:tc>
          <w:tcPr>
            <w:tcW w:w="770" w:type="pct"/>
            <w:tcBorders>
              <w:left w:val="single" w:sz="4" w:space="0" w:color="auto"/>
              <w:right w:val="single" w:sz="4" w:space="0" w:color="auto"/>
            </w:tcBorders>
            <w:shd w:val="clear" w:color="auto" w:fill="FFFFFF" w:themeFill="background1"/>
          </w:tcPr>
          <w:p w14:paraId="1240945F" w14:textId="77777777" w:rsidR="00BA166C"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b/>
              </w:rPr>
            </w:pPr>
            <w:r>
              <w:rPr>
                <w:b/>
              </w:rPr>
              <w:t>Non-WISP licensees</w:t>
            </w:r>
          </w:p>
        </w:tc>
        <w:tc>
          <w:tcPr>
            <w:tcW w:w="597" w:type="pct"/>
            <w:tcBorders>
              <w:left w:val="single" w:sz="4" w:space="0" w:color="auto"/>
              <w:right w:val="single" w:sz="4" w:space="0" w:color="auto"/>
            </w:tcBorders>
            <w:shd w:val="clear" w:color="auto" w:fill="FFFFFF" w:themeFill="background1"/>
          </w:tcPr>
          <w:p w14:paraId="5288B629" w14:textId="77777777" w:rsidR="00BA166C" w:rsidRPr="00286F1A"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rFonts w:cs="Arial"/>
              </w:rPr>
            </w:pPr>
            <w:r>
              <w:rPr>
                <w:rFonts w:cs="Arial"/>
                <w:color w:val="000000"/>
              </w:rPr>
              <w:t>$0</w:t>
            </w:r>
          </w:p>
        </w:tc>
        <w:tc>
          <w:tcPr>
            <w:tcW w:w="1017" w:type="pct"/>
            <w:tcBorders>
              <w:left w:val="single" w:sz="4" w:space="0" w:color="auto"/>
              <w:right w:val="single" w:sz="4" w:space="0" w:color="auto"/>
            </w:tcBorders>
            <w:shd w:val="clear" w:color="auto" w:fill="FFFFFF" w:themeFill="background1"/>
          </w:tcPr>
          <w:p w14:paraId="61C11ED4" w14:textId="77777777" w:rsidR="00BA166C" w:rsidRPr="00286F1A"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rFonts w:cs="Arial"/>
              </w:rPr>
            </w:pPr>
            <w:r>
              <w:rPr>
                <w:rFonts w:cs="Arial"/>
                <w:color w:val="000000"/>
              </w:rPr>
              <w:t>$0–4 million</w:t>
            </w:r>
          </w:p>
        </w:tc>
        <w:tc>
          <w:tcPr>
            <w:tcW w:w="1017" w:type="pct"/>
            <w:tcBorders>
              <w:left w:val="single" w:sz="4" w:space="0" w:color="auto"/>
              <w:right w:val="single" w:sz="4" w:space="0" w:color="auto"/>
            </w:tcBorders>
            <w:shd w:val="clear" w:color="auto" w:fill="FFFFFF" w:themeFill="background1"/>
          </w:tcPr>
          <w:p w14:paraId="48C8A659" w14:textId="77777777" w:rsidR="00BA166C" w:rsidRPr="00286F1A"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rFonts w:cs="Arial"/>
              </w:rPr>
            </w:pPr>
            <w:r>
              <w:rPr>
                <w:rFonts w:cs="Arial"/>
                <w:color w:val="000000"/>
              </w:rPr>
              <w:t>$0–14 million</w:t>
            </w:r>
          </w:p>
        </w:tc>
        <w:tc>
          <w:tcPr>
            <w:tcW w:w="1016" w:type="pct"/>
            <w:tcBorders>
              <w:left w:val="single" w:sz="4" w:space="0" w:color="auto"/>
              <w:right w:val="single" w:sz="4" w:space="0" w:color="auto"/>
            </w:tcBorders>
            <w:shd w:val="clear" w:color="auto" w:fill="FFFFFF" w:themeFill="background1"/>
          </w:tcPr>
          <w:p w14:paraId="54A27D6C" w14:textId="77777777" w:rsidR="00BA166C" w:rsidRPr="00286F1A"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rFonts w:cs="Arial"/>
              </w:rPr>
            </w:pPr>
            <w:r>
              <w:rPr>
                <w:rFonts w:cs="Arial"/>
                <w:color w:val="000000"/>
              </w:rPr>
              <w:t>$0–27 million</w:t>
            </w:r>
          </w:p>
        </w:tc>
      </w:tr>
      <w:tr w:rsidR="00BA166C" w:rsidRPr="00E216D5" w14:paraId="4F635E65" w14:textId="77777777" w:rsidTr="003D0A18">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583" w:type="pct"/>
            <w:vMerge/>
            <w:tcBorders>
              <w:left w:val="single" w:sz="4" w:space="0" w:color="auto"/>
              <w:right w:val="single" w:sz="4" w:space="0" w:color="auto"/>
            </w:tcBorders>
            <w:shd w:val="clear" w:color="auto" w:fill="FFFFFF" w:themeFill="background1"/>
          </w:tcPr>
          <w:p w14:paraId="70A3F683" w14:textId="77777777" w:rsidR="00BA166C" w:rsidRPr="009E746B" w:rsidRDefault="00BA166C" w:rsidP="00BA166C">
            <w:pPr>
              <w:pStyle w:val="TableBody"/>
              <w:keepNext/>
              <w:keepLines/>
            </w:pPr>
          </w:p>
        </w:tc>
        <w:tc>
          <w:tcPr>
            <w:tcW w:w="770" w:type="pct"/>
            <w:tcBorders>
              <w:left w:val="single" w:sz="4" w:space="0" w:color="auto"/>
              <w:right w:val="single" w:sz="4" w:space="0" w:color="auto"/>
            </w:tcBorders>
            <w:shd w:val="clear" w:color="auto" w:fill="D9D9D9" w:themeFill="background1" w:themeFillShade="D9"/>
          </w:tcPr>
          <w:p w14:paraId="5D34F081" w14:textId="77777777" w:rsidR="00BA166C" w:rsidRPr="00FE368F"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b/>
              </w:rPr>
            </w:pPr>
            <w:r w:rsidRPr="00FE368F">
              <w:rPr>
                <w:b/>
              </w:rPr>
              <w:t>Total costs</w:t>
            </w:r>
          </w:p>
        </w:tc>
        <w:tc>
          <w:tcPr>
            <w:tcW w:w="597" w:type="pct"/>
            <w:tcBorders>
              <w:left w:val="single" w:sz="4" w:space="0" w:color="auto"/>
              <w:right w:val="single" w:sz="4" w:space="0" w:color="auto"/>
            </w:tcBorders>
            <w:shd w:val="clear" w:color="auto" w:fill="D9D9D9" w:themeFill="background1" w:themeFillShade="D9"/>
          </w:tcPr>
          <w:p w14:paraId="52FB7AE0" w14:textId="77777777" w:rsidR="00BA166C" w:rsidRPr="003B5C78"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b/>
              </w:rPr>
            </w:pPr>
            <w:r w:rsidRPr="003B5C78">
              <w:rPr>
                <w:rFonts w:cs="Arial"/>
                <w:b/>
                <w:color w:val="000000"/>
              </w:rPr>
              <w:t>$0</w:t>
            </w:r>
          </w:p>
        </w:tc>
        <w:tc>
          <w:tcPr>
            <w:tcW w:w="1017" w:type="pct"/>
            <w:tcBorders>
              <w:left w:val="single" w:sz="4" w:space="0" w:color="auto"/>
              <w:right w:val="single" w:sz="4" w:space="0" w:color="auto"/>
            </w:tcBorders>
            <w:shd w:val="clear" w:color="auto" w:fill="D9D9D9" w:themeFill="background1" w:themeFillShade="D9"/>
          </w:tcPr>
          <w:p w14:paraId="14A5C070" w14:textId="77777777" w:rsidR="00BA166C" w:rsidRPr="003B5C78"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b/>
              </w:rPr>
            </w:pPr>
            <w:r>
              <w:rPr>
                <w:rFonts w:cs="Arial"/>
                <w:b/>
                <w:color w:val="000000"/>
              </w:rPr>
              <w:t>$0–</w:t>
            </w:r>
            <w:r w:rsidRPr="003B5C78">
              <w:rPr>
                <w:rFonts w:cs="Arial"/>
                <w:b/>
                <w:color w:val="000000"/>
              </w:rPr>
              <w:t>27 million</w:t>
            </w:r>
          </w:p>
        </w:tc>
        <w:tc>
          <w:tcPr>
            <w:tcW w:w="1017" w:type="pct"/>
            <w:tcBorders>
              <w:left w:val="single" w:sz="4" w:space="0" w:color="auto"/>
              <w:right w:val="single" w:sz="4" w:space="0" w:color="auto"/>
            </w:tcBorders>
            <w:shd w:val="clear" w:color="auto" w:fill="D9D9D9" w:themeFill="background1" w:themeFillShade="D9"/>
          </w:tcPr>
          <w:p w14:paraId="35D45318" w14:textId="77777777" w:rsidR="00BA166C" w:rsidRPr="003B5C78"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b/>
              </w:rPr>
            </w:pPr>
            <w:r w:rsidRPr="003B5C78">
              <w:rPr>
                <w:rFonts w:cs="Arial"/>
                <w:b/>
                <w:color w:val="000000"/>
              </w:rPr>
              <w:t>$</w:t>
            </w:r>
            <w:r>
              <w:rPr>
                <w:rFonts w:cs="Arial"/>
                <w:b/>
                <w:color w:val="000000"/>
              </w:rPr>
              <w:t>0–</w:t>
            </w:r>
            <w:r w:rsidRPr="003B5C78">
              <w:rPr>
                <w:rFonts w:cs="Arial"/>
                <w:b/>
                <w:color w:val="000000"/>
              </w:rPr>
              <w:t>59 million</w:t>
            </w:r>
          </w:p>
        </w:tc>
        <w:tc>
          <w:tcPr>
            <w:tcW w:w="1016" w:type="pct"/>
            <w:tcBorders>
              <w:left w:val="single" w:sz="4" w:space="0" w:color="auto"/>
              <w:right w:val="single" w:sz="4" w:space="0" w:color="auto"/>
            </w:tcBorders>
            <w:shd w:val="clear" w:color="auto" w:fill="D9D9D9" w:themeFill="background1" w:themeFillShade="D9"/>
          </w:tcPr>
          <w:p w14:paraId="2D84815B" w14:textId="77777777" w:rsidR="00BA166C" w:rsidRPr="003B5C78"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b/>
              </w:rPr>
            </w:pPr>
            <w:r w:rsidRPr="003B5C78">
              <w:rPr>
                <w:rFonts w:cs="Arial"/>
                <w:b/>
                <w:color w:val="000000"/>
              </w:rPr>
              <w:t>$</w:t>
            </w:r>
            <w:r>
              <w:rPr>
                <w:rFonts w:cs="Arial"/>
                <w:b/>
                <w:color w:val="000000"/>
              </w:rPr>
              <w:t>0–</w:t>
            </w:r>
            <w:r w:rsidRPr="003B5C78">
              <w:rPr>
                <w:rFonts w:cs="Arial"/>
                <w:b/>
                <w:color w:val="000000"/>
              </w:rPr>
              <w:t>74 million</w:t>
            </w:r>
          </w:p>
        </w:tc>
      </w:tr>
      <w:tr w:rsidR="00BA166C" w:rsidRPr="00E216D5" w14:paraId="66810EA8" w14:textId="77777777" w:rsidTr="003D0A18">
        <w:trPr>
          <w:trHeight w:val="3696"/>
        </w:trPr>
        <w:tc>
          <w:tcPr>
            <w:cnfStyle w:val="001000000000" w:firstRow="0" w:lastRow="0" w:firstColumn="1" w:lastColumn="0" w:oddVBand="0" w:evenVBand="0" w:oddHBand="0" w:evenHBand="0" w:firstRowFirstColumn="0" w:firstRowLastColumn="0" w:lastRowFirstColumn="0" w:lastRowLastColumn="0"/>
            <w:tcW w:w="583" w:type="pct"/>
            <w:tcBorders>
              <w:left w:val="single" w:sz="4" w:space="0" w:color="auto"/>
              <w:right w:val="single" w:sz="4" w:space="0" w:color="auto"/>
            </w:tcBorders>
            <w:shd w:val="clear" w:color="auto" w:fill="FFFFFF" w:themeFill="background1"/>
            <w:textDirection w:val="btLr"/>
            <w:vAlign w:val="center"/>
          </w:tcPr>
          <w:p w14:paraId="32291678" w14:textId="77777777" w:rsidR="00BA166C" w:rsidRDefault="00BA166C" w:rsidP="000C50BB">
            <w:pPr>
              <w:pStyle w:val="TableBody"/>
              <w:keepNext/>
              <w:keepLines/>
              <w:ind w:left="113" w:right="113"/>
              <w:jc w:val="center"/>
            </w:pPr>
            <w:r>
              <w:t>Unquantifiable costs</w:t>
            </w:r>
          </w:p>
          <w:p w14:paraId="6D4FC1E6" w14:textId="77777777" w:rsidR="00BA166C" w:rsidRPr="009E746B" w:rsidRDefault="00BA166C" w:rsidP="000C50BB">
            <w:pPr>
              <w:pStyle w:val="TableBody"/>
              <w:keepNext/>
              <w:keepLines/>
              <w:ind w:left="113" w:right="113"/>
              <w:jc w:val="center"/>
            </w:pPr>
            <w:r>
              <w:t>(includes WISPs and non-WISP licensees)</w:t>
            </w:r>
          </w:p>
        </w:tc>
        <w:tc>
          <w:tcPr>
            <w:tcW w:w="4417" w:type="pct"/>
            <w:gridSpan w:val="5"/>
            <w:tcBorders>
              <w:left w:val="single" w:sz="4" w:space="0" w:color="auto"/>
              <w:right w:val="single" w:sz="4" w:space="0" w:color="auto"/>
            </w:tcBorders>
            <w:shd w:val="clear" w:color="auto" w:fill="FFFFFF" w:themeFill="background1"/>
          </w:tcPr>
          <w:p w14:paraId="27CE7943" w14:textId="77777777" w:rsidR="00BA166C" w:rsidRDefault="00BA166C" w:rsidP="00BA166C">
            <w:pPr>
              <w:pStyle w:val="TableBody"/>
              <w:keepNext/>
              <w:keepLines/>
              <w:spacing w:after="80"/>
              <w:cnfStyle w:val="000000000000" w:firstRow="0" w:lastRow="0" w:firstColumn="0" w:lastColumn="0" w:oddVBand="0" w:evenVBand="0" w:oddHBand="0" w:evenHBand="0" w:firstRowFirstColumn="0" w:firstRowLastColumn="0" w:lastRowFirstColumn="0" w:lastRowLastColumn="0"/>
            </w:pPr>
            <w:r>
              <w:t>Licensees that choose not to move to a different spectrum band are likely to incur unquantifiable costs. These would be a substitute for the quantifiable costs that would be incurred if licensees are able to move to a different spectrum band.</w:t>
            </w:r>
          </w:p>
          <w:p w14:paraId="370EB79D" w14:textId="77777777" w:rsidR="00BA166C" w:rsidRDefault="00BA166C" w:rsidP="00AC2157">
            <w:pPr>
              <w:pStyle w:val="ListBullet"/>
              <w:keepNext/>
              <w:keepLines/>
              <w:numPr>
                <w:ilvl w:val="0"/>
                <w:numId w:val="25"/>
              </w:numPr>
              <w:spacing w:line="240" w:lineRule="auto"/>
              <w:ind w:left="274" w:hanging="228"/>
              <w:cnfStyle w:val="000000000000" w:firstRow="0" w:lastRow="0" w:firstColumn="0" w:lastColumn="0" w:oddVBand="0" w:evenVBand="0" w:oddHBand="0" w:evenHBand="0" w:firstRowFirstColumn="0" w:firstRowLastColumn="0" w:lastRowFirstColumn="0" w:lastRowLastColumn="0"/>
            </w:pPr>
            <w:r>
              <w:t>Where licensees can maintain the same level of end output, they will be considered constant output cases—the incremental costs incurred will be the reduction in producer surplus resulting from increased supply costs</w:t>
            </w:r>
            <w:r w:rsidR="007B3E0D">
              <w:t xml:space="preserve">. </w:t>
            </w:r>
          </w:p>
          <w:p w14:paraId="4AA6C552" w14:textId="77777777" w:rsidR="00986678" w:rsidRDefault="00BA166C" w:rsidP="000C50BB">
            <w:pPr>
              <w:pStyle w:val="ListBulletLast"/>
              <w:keepNext/>
              <w:keepLines/>
              <w:numPr>
                <w:ilvl w:val="0"/>
                <w:numId w:val="25"/>
              </w:numPr>
              <w:spacing w:after="120" w:line="240" w:lineRule="auto"/>
              <w:ind w:left="274" w:hanging="228"/>
              <w:cnfStyle w:val="000000000000" w:firstRow="0" w:lastRow="0" w:firstColumn="0" w:lastColumn="0" w:oddVBand="0" w:evenVBand="0" w:oddHBand="0" w:evenHBand="0" w:firstRowFirstColumn="0" w:firstRowLastColumn="0" w:lastRowFirstColumn="0" w:lastRowLastColumn="0"/>
            </w:pPr>
            <w:r>
              <w:t>Where licensees are unable to maintain the same level of output, they will be considered variable output cases</w:t>
            </w:r>
            <w:r w:rsidR="00986678">
              <w:t>, which (if it occurs) results primarily in loss in consumer welfare</w:t>
            </w:r>
            <w:r>
              <w:t xml:space="preserve">. </w:t>
            </w:r>
          </w:p>
          <w:p w14:paraId="7AECB8F8" w14:textId="77777777" w:rsidR="00BA166C" w:rsidRPr="009D6925" w:rsidRDefault="00BA166C" w:rsidP="000C50BB">
            <w:pPr>
              <w:pStyle w:val="TableBody"/>
              <w:keepNext/>
              <w:keepLines/>
              <w:cnfStyle w:val="000000000000" w:firstRow="0" w:lastRow="0" w:firstColumn="0" w:lastColumn="0" w:oddVBand="0" w:evenVBand="0" w:oddHBand="0" w:evenHBand="0" w:firstRowFirstColumn="0" w:firstRowLastColumn="0" w:lastRowFirstColumn="0" w:lastRowLastColumn="0"/>
            </w:pPr>
            <w:r>
              <w:t>There may be a difference in costs between equipment in an alternative band and 3.6 GHz band equipment if the replacement of equipment occurs as a regular business cost (</w:t>
            </w:r>
            <w:r w:rsidR="000C50BB">
              <w:t>i.e.</w:t>
            </w:r>
            <w:r>
              <w:t>, part of a regular equipment replacement cycle).</w:t>
            </w:r>
          </w:p>
        </w:tc>
      </w:tr>
    </w:tbl>
    <w:p w14:paraId="001C39F2" w14:textId="4FB5FDFD" w:rsidR="00BA166C" w:rsidRPr="00525167" w:rsidRDefault="00012175" w:rsidP="00CA238A">
      <w:pPr>
        <w:pStyle w:val="ACMASpaceaftertable"/>
        <w:spacing w:before="120" w:after="0" w:line="200" w:lineRule="atLeast"/>
        <w:ind w:left="284" w:hanging="284"/>
        <w:rPr>
          <w:sz w:val="16"/>
          <w:szCs w:val="16"/>
        </w:rPr>
      </w:pPr>
      <w:r w:rsidRPr="00012175">
        <w:rPr>
          <w:i/>
          <w:sz w:val="16"/>
          <w:szCs w:val="16"/>
        </w:rPr>
        <w:t>Note:</w:t>
      </w:r>
      <w:r>
        <w:rPr>
          <w:sz w:val="16"/>
          <w:szCs w:val="16"/>
        </w:rPr>
        <w:t xml:space="preserve"> </w:t>
      </w:r>
      <w:r w:rsidR="00525167" w:rsidRPr="00CA238A">
        <w:rPr>
          <w:i/>
          <w:sz w:val="16"/>
          <w:szCs w:val="16"/>
        </w:rPr>
        <w:t>Lower bound costs of zero, while unlikely, would occur if incumbents were able to secure access to the 3.6 GHz band via third party authorisation</w:t>
      </w:r>
      <w:r w:rsidR="00F004B8" w:rsidRPr="00CA238A">
        <w:rPr>
          <w:i/>
          <w:sz w:val="16"/>
          <w:szCs w:val="16"/>
        </w:rPr>
        <w:t xml:space="preserve">, or if they were able to </w:t>
      </w:r>
      <w:r w:rsidR="00CB5A70" w:rsidRPr="00CA238A">
        <w:rPr>
          <w:i/>
          <w:sz w:val="16"/>
          <w:szCs w:val="16"/>
        </w:rPr>
        <w:t>time moving</w:t>
      </w:r>
      <w:r w:rsidR="00F004B8" w:rsidRPr="00CA238A">
        <w:rPr>
          <w:i/>
          <w:sz w:val="16"/>
          <w:szCs w:val="16"/>
        </w:rPr>
        <w:t xml:space="preserve"> to the 5.6 GHz band </w:t>
      </w:r>
      <w:r w:rsidR="00CB5A70" w:rsidRPr="00CA238A">
        <w:rPr>
          <w:i/>
          <w:sz w:val="16"/>
          <w:szCs w:val="16"/>
        </w:rPr>
        <w:t xml:space="preserve">with their equipment replacement cycle, and not </w:t>
      </w:r>
      <w:r w:rsidR="00F004B8" w:rsidRPr="00CA238A">
        <w:rPr>
          <w:i/>
          <w:sz w:val="16"/>
          <w:szCs w:val="16"/>
        </w:rPr>
        <w:t>incur</w:t>
      </w:r>
      <w:r w:rsidR="00CB5A70" w:rsidRPr="00CA238A">
        <w:rPr>
          <w:i/>
          <w:sz w:val="16"/>
          <w:szCs w:val="16"/>
        </w:rPr>
        <w:t xml:space="preserve"> additional equipment costs</w:t>
      </w:r>
      <w:r w:rsidR="00525167" w:rsidRPr="00CA238A">
        <w:rPr>
          <w:i/>
          <w:sz w:val="16"/>
          <w:szCs w:val="16"/>
        </w:rPr>
        <w:t>.</w:t>
      </w:r>
      <w:r w:rsidR="00336E17">
        <w:rPr>
          <w:sz w:val="16"/>
          <w:szCs w:val="16"/>
        </w:rPr>
        <w:t xml:space="preserve"> </w:t>
      </w:r>
      <w:r w:rsidR="00525167" w:rsidRPr="00525167">
        <w:rPr>
          <w:sz w:val="16"/>
          <w:szCs w:val="16"/>
        </w:rPr>
        <w:t xml:space="preserve"> </w:t>
      </w:r>
    </w:p>
    <w:p w14:paraId="55E7B681" w14:textId="77777777" w:rsidR="00CA238A" w:rsidRDefault="00CA238A" w:rsidP="00CA238A">
      <w:pPr>
        <w:pStyle w:val="ACMASpaceaftertable"/>
      </w:pPr>
      <w:bookmarkStart w:id="218" w:name="_Toc496620356"/>
    </w:p>
    <w:p w14:paraId="3551588B" w14:textId="77777777" w:rsidR="00235F01" w:rsidRPr="00243D03" w:rsidRDefault="00235F01" w:rsidP="00235F01">
      <w:pPr>
        <w:pStyle w:val="Heading3"/>
      </w:pPr>
      <w:r w:rsidRPr="00243D03">
        <w:t>FSS earth receive licences</w:t>
      </w:r>
      <w:bookmarkEnd w:id="218"/>
    </w:p>
    <w:p w14:paraId="0CBEA105" w14:textId="77777777" w:rsidR="00235F01" w:rsidRPr="00243D03" w:rsidRDefault="00235F01" w:rsidP="00235F01">
      <w:r w:rsidRPr="00243D03">
        <w:t xml:space="preserve">FSS earth receive licensed services were divided in the HVU paper by the licensee that held each licence. Metropolitan licensees included Telstra, Optus and Inmarsat, while regional licensees included Lockheed Martin and Atwood Oceanics Pacific. </w:t>
      </w:r>
    </w:p>
    <w:p w14:paraId="0833EC1A" w14:textId="77777777" w:rsidR="00235F01" w:rsidRPr="00243D03" w:rsidRDefault="00235F01" w:rsidP="00235F01">
      <w:r w:rsidRPr="00243D03">
        <w:t xml:space="preserve">Optus </w:t>
      </w:r>
      <w:r w:rsidR="00732DF5">
        <w:t xml:space="preserve">has </w:t>
      </w:r>
      <w:r w:rsidRPr="00243D03">
        <w:t>indicated that it is transitioning all of its C-band FSS earth receive licences above 3700 MHz, which means that it will no longer be in the 3.6 GHz band. This removes one facility in Perth and one facility in Sydney from the incremental cost calculations, reducing incremental costs by $20</w:t>
      </w:r>
      <w:r w:rsidR="000C50BB">
        <w:t>–</w:t>
      </w:r>
      <w:r w:rsidRPr="00243D03">
        <w:t xml:space="preserve">50 million for each facility. Optus also outlined that this process has </w:t>
      </w:r>
      <w:r w:rsidRPr="00FB13E1">
        <w:t>occurred separately to this re-farming process</w:t>
      </w:r>
      <w:r w:rsidRPr="00243D03">
        <w:t>. As such, there are no incremental costs to be applied to Optus’ licences.</w:t>
      </w:r>
    </w:p>
    <w:p w14:paraId="4AF54629" w14:textId="77777777" w:rsidR="00235F01" w:rsidRPr="00243D03" w:rsidRDefault="00235F01" w:rsidP="00235F01">
      <w:r w:rsidRPr="00243D03">
        <w:t>Telstra indicated in its submission to the Options paper that its 3.6 GHz band FSS earth receive licences would be able to be retuned above 3700 MHz, and that this would be a significantly less costly exercise than geographic relocation. Similar to Optus, this also removes one facility in Perth and one facility in Sydney from the incremental cost calculations, again reducing incremental costs by $20</w:t>
      </w:r>
      <w:r w:rsidR="000C50BB">
        <w:t>–</w:t>
      </w:r>
      <w:r w:rsidRPr="00243D03">
        <w:t>50 million for each facility. There may be some costs associated with retuning, but these will be unquantifiable and likely to be substantially lower than the previous ranges applied.</w:t>
      </w:r>
    </w:p>
    <w:p w14:paraId="3E916CE2" w14:textId="77777777" w:rsidR="00235F01" w:rsidRPr="00243D03" w:rsidRDefault="00235F01" w:rsidP="00235F01">
      <w:r w:rsidRPr="00243D03">
        <w:t xml:space="preserve">Inmarsat indicated that </w:t>
      </w:r>
      <w:proofErr w:type="gramStart"/>
      <w:r w:rsidRPr="00243D03">
        <w:t>its</w:t>
      </w:r>
      <w:proofErr w:type="gramEnd"/>
      <w:r w:rsidRPr="00243D03">
        <w:t xml:space="preserve"> previously stated cost range of $25</w:t>
      </w:r>
      <w:r w:rsidR="000C50BB">
        <w:t>–</w:t>
      </w:r>
      <w:r w:rsidRPr="00243D03">
        <w:t>30 million is still valid for its own licences, and that there may be additional costs due to having to relocate other licensees at their Landsdale facility—assumed to be Telstra and Optus, each of which has indicated it will migrate out of the 3.6 GHz band. Therefore</w:t>
      </w:r>
      <w:r w:rsidR="00B84A38">
        <w:t>,</w:t>
      </w:r>
      <w:r w:rsidRPr="00243D03">
        <w:t xml:space="preserve"> the ACMA has not changed the incremental cost range for Inmarsat’s facilities</w:t>
      </w:r>
      <w:r w:rsidR="000C50BB">
        <w:t>,</w:t>
      </w:r>
      <w:r w:rsidR="00B84A38">
        <w:t xml:space="preserve"> but is proposing an extended five-year re-allocation period for Perth to help mitigate costs for Inmarsat</w:t>
      </w:r>
      <w:r w:rsidRPr="00243D03">
        <w:t>.</w:t>
      </w:r>
    </w:p>
    <w:p w14:paraId="6C0AF9B5" w14:textId="77777777" w:rsidR="00235F01" w:rsidRPr="00243D03" w:rsidRDefault="00235F01" w:rsidP="00235F01">
      <w:r w:rsidRPr="00243D03">
        <w:t>Lockheed Martin confirmed in its submission that the incremental costs associated with displacing their facility would exceed $20 million, but did not specify an alternative estimate. Therefore</w:t>
      </w:r>
      <w:r w:rsidR="000C50BB">
        <w:t>,</w:t>
      </w:r>
      <w:r w:rsidRPr="00243D03">
        <w:t xml:space="preserve"> the ACMA has retained the cost range for that facility. </w:t>
      </w:r>
    </w:p>
    <w:p w14:paraId="7C1A8C43" w14:textId="77777777" w:rsidR="00235F01" w:rsidRPr="00243D03" w:rsidRDefault="00235F01" w:rsidP="00235F01">
      <w:r w:rsidRPr="00243D03">
        <w:t>Atwood Oceanics Pacific did not provide a submission. However, their offshore facility is located outside the preferred geographic area option of Area 3. As such, Atwood Oceanics’ access to the 3.6 GHz band will not be affected by the proposed re-farming option, and they will therefore incur no costs.</w:t>
      </w:r>
      <w:r w:rsidR="00336E17">
        <w:t xml:space="preserve"> </w:t>
      </w:r>
    </w:p>
    <w:p w14:paraId="2183DBC1" w14:textId="77777777" w:rsidR="00235F01" w:rsidRPr="00243D03" w:rsidRDefault="00235F01" w:rsidP="00235F01">
      <w:r w:rsidRPr="00243D03">
        <w:t>The results of stakeholder feedback have led to the following amended table of FSS earth receive incremental costs.</w:t>
      </w:r>
    </w:p>
    <w:p w14:paraId="5A9246DD" w14:textId="77777777" w:rsidR="00235F01" w:rsidRPr="00243D03" w:rsidRDefault="005E5D7B" w:rsidP="00235F01">
      <w:pPr>
        <w:pStyle w:val="ACMATableHeader"/>
        <w:keepNext/>
        <w:keepLines/>
        <w:spacing w:line="240" w:lineRule="atLeast"/>
      </w:pPr>
      <w:r>
        <w:t>I</w:t>
      </w:r>
      <w:r w:rsidR="00235F01" w:rsidRPr="00243D03">
        <w:t>ncremental costs of displacing FSS earth receive licences from the 3.6 GHz band</w:t>
      </w:r>
      <w:r>
        <w:t xml:space="preserve"> for cumulative areas</w:t>
      </w:r>
    </w:p>
    <w:tbl>
      <w:tblPr>
        <w:tblW w:w="7655" w:type="dxa"/>
        <w:tblBorders>
          <w:insideH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5"/>
        <w:tblDescription w:val="Table 5: Total incremental costs of displacing FSS earth receive licences from the 3.6 GHz band"/>
      </w:tblPr>
      <w:tblGrid>
        <w:gridCol w:w="863"/>
        <w:gridCol w:w="1560"/>
        <w:gridCol w:w="1308"/>
        <w:gridCol w:w="1308"/>
        <w:gridCol w:w="1308"/>
        <w:gridCol w:w="1308"/>
      </w:tblGrid>
      <w:tr w:rsidR="00235F01" w:rsidRPr="00243D03" w14:paraId="4CEBDDC5" w14:textId="77777777" w:rsidTr="0097411F">
        <w:trPr>
          <w:trHeight w:val="300"/>
        </w:trPr>
        <w:tc>
          <w:tcPr>
            <w:tcW w:w="863" w:type="dxa"/>
            <w:tcBorders>
              <w:top w:val="single" w:sz="4" w:space="0" w:color="auto"/>
              <w:left w:val="single" w:sz="4" w:space="0" w:color="auto"/>
              <w:bottom w:val="single" w:sz="4" w:space="0" w:color="auto"/>
              <w:right w:val="single" w:sz="4" w:space="0" w:color="auto"/>
            </w:tcBorders>
            <w:shd w:val="clear" w:color="000000" w:fill="404040"/>
            <w:vAlign w:val="center"/>
            <w:hideMark/>
          </w:tcPr>
          <w:p w14:paraId="38B57EA0" w14:textId="77777777" w:rsidR="00235F01" w:rsidRPr="00243D03" w:rsidRDefault="00235F01" w:rsidP="00235F01">
            <w:pPr>
              <w:keepNext/>
              <w:keepLines/>
              <w:spacing w:after="0" w:line="240" w:lineRule="auto"/>
              <w:rPr>
                <w:rFonts w:cs="Arial"/>
                <w:color w:val="FFFFFF"/>
                <w:szCs w:val="20"/>
              </w:rPr>
            </w:pPr>
            <w:r w:rsidRPr="00243D03">
              <w:rPr>
                <w:rFonts w:cs="Arial"/>
                <w:color w:val="FFFFFF" w:themeColor="background1"/>
                <w:szCs w:val="20"/>
              </w:rPr>
              <w:t> </w:t>
            </w:r>
          </w:p>
        </w:tc>
        <w:tc>
          <w:tcPr>
            <w:tcW w:w="1560"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25C7A102" w14:textId="77777777" w:rsidR="00235F01" w:rsidRPr="00243D03" w:rsidRDefault="00235F01" w:rsidP="00235F01">
            <w:pPr>
              <w:keepNext/>
              <w:keepLines/>
              <w:spacing w:after="0" w:line="240" w:lineRule="auto"/>
              <w:rPr>
                <w:rFonts w:cs="Arial"/>
                <w:color w:val="FFFFFF"/>
                <w:szCs w:val="20"/>
              </w:rPr>
            </w:pPr>
            <w:r w:rsidRPr="00243D03">
              <w:rPr>
                <w:rFonts w:cs="Arial"/>
                <w:color w:val="FFFFFF" w:themeColor="background1"/>
                <w:szCs w:val="20"/>
              </w:rPr>
              <w:t> </w:t>
            </w:r>
          </w:p>
        </w:tc>
        <w:tc>
          <w:tcPr>
            <w:tcW w:w="1308"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76789E3E" w14:textId="77777777" w:rsidR="00235F01" w:rsidRPr="00243D03" w:rsidRDefault="00235F01" w:rsidP="00235F01">
            <w:pPr>
              <w:keepNext/>
              <w:keepLines/>
              <w:spacing w:after="0" w:line="240" w:lineRule="auto"/>
              <w:rPr>
                <w:rFonts w:cs="Arial"/>
                <w:b/>
                <w:color w:val="FFFFFF"/>
                <w:szCs w:val="20"/>
              </w:rPr>
            </w:pPr>
            <w:r w:rsidRPr="00243D03">
              <w:rPr>
                <w:rFonts w:cs="Arial"/>
                <w:b/>
                <w:color w:val="FFFFFF"/>
                <w:szCs w:val="20"/>
              </w:rPr>
              <w:t>Area 1</w:t>
            </w:r>
          </w:p>
        </w:tc>
        <w:tc>
          <w:tcPr>
            <w:tcW w:w="1308"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0C5BAC89" w14:textId="77777777" w:rsidR="00235F01" w:rsidRPr="00243D03" w:rsidRDefault="00235F01" w:rsidP="00235F01">
            <w:pPr>
              <w:keepNext/>
              <w:keepLines/>
              <w:spacing w:after="0" w:line="240" w:lineRule="auto"/>
              <w:rPr>
                <w:rFonts w:cs="Arial"/>
                <w:b/>
                <w:color w:val="FFFFFF"/>
                <w:szCs w:val="20"/>
              </w:rPr>
            </w:pPr>
            <w:r w:rsidRPr="00243D03">
              <w:rPr>
                <w:rFonts w:cs="Arial"/>
                <w:b/>
                <w:color w:val="FFFFFF"/>
                <w:szCs w:val="20"/>
              </w:rPr>
              <w:t xml:space="preserve">Area </w:t>
            </w:r>
            <w:r w:rsidR="00622FED">
              <w:rPr>
                <w:rFonts w:cs="Arial"/>
                <w:b/>
                <w:color w:val="FFFFFF"/>
                <w:szCs w:val="20"/>
              </w:rPr>
              <w:t>1+</w:t>
            </w:r>
            <w:r w:rsidRPr="00243D03">
              <w:rPr>
                <w:rFonts w:cs="Arial"/>
                <w:b/>
                <w:color w:val="FFFFFF"/>
                <w:szCs w:val="20"/>
              </w:rPr>
              <w:t>2</w:t>
            </w:r>
          </w:p>
        </w:tc>
        <w:tc>
          <w:tcPr>
            <w:tcW w:w="1308"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33F6A88F" w14:textId="77777777" w:rsidR="00235F01" w:rsidRPr="00243D03" w:rsidRDefault="00235F01" w:rsidP="00235F01">
            <w:pPr>
              <w:keepNext/>
              <w:keepLines/>
              <w:spacing w:after="0" w:line="240" w:lineRule="auto"/>
              <w:rPr>
                <w:rFonts w:cs="Arial"/>
                <w:b/>
                <w:color w:val="FFFFFF"/>
                <w:szCs w:val="20"/>
              </w:rPr>
            </w:pPr>
            <w:r w:rsidRPr="00243D03">
              <w:rPr>
                <w:rFonts w:cs="Arial"/>
                <w:b/>
                <w:color w:val="FFFFFF"/>
                <w:szCs w:val="20"/>
              </w:rPr>
              <w:t xml:space="preserve">Area </w:t>
            </w:r>
            <w:r w:rsidR="00622FED">
              <w:rPr>
                <w:rFonts w:cs="Arial"/>
                <w:b/>
                <w:color w:val="FFFFFF"/>
                <w:szCs w:val="20"/>
              </w:rPr>
              <w:t>1+2+</w:t>
            </w:r>
            <w:r w:rsidRPr="00243D03">
              <w:rPr>
                <w:rFonts w:cs="Arial"/>
                <w:b/>
                <w:color w:val="FFFFFF"/>
                <w:szCs w:val="20"/>
              </w:rPr>
              <w:t>3</w:t>
            </w:r>
          </w:p>
        </w:tc>
        <w:tc>
          <w:tcPr>
            <w:tcW w:w="1308"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18AD56E9" w14:textId="77777777" w:rsidR="00235F01" w:rsidRPr="00243D03" w:rsidRDefault="00235F01" w:rsidP="00235F01">
            <w:pPr>
              <w:keepNext/>
              <w:keepLines/>
              <w:spacing w:after="0" w:line="240" w:lineRule="auto"/>
              <w:rPr>
                <w:rFonts w:cs="Arial"/>
                <w:b/>
                <w:color w:val="FFFFFF"/>
                <w:szCs w:val="20"/>
              </w:rPr>
            </w:pPr>
            <w:r w:rsidRPr="00243D03">
              <w:rPr>
                <w:rFonts w:cs="Arial"/>
                <w:b/>
                <w:color w:val="FFFFFF"/>
                <w:szCs w:val="20"/>
              </w:rPr>
              <w:t>Australia-wide</w:t>
            </w:r>
          </w:p>
        </w:tc>
      </w:tr>
      <w:tr w:rsidR="00235F01" w:rsidRPr="00243D03" w14:paraId="6C0FA954" w14:textId="77777777" w:rsidTr="003D0A18">
        <w:trPr>
          <w:trHeight w:val="496"/>
        </w:trPr>
        <w:tc>
          <w:tcPr>
            <w:tcW w:w="863"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14:paraId="0FA7A017" w14:textId="77777777" w:rsidR="00235F01" w:rsidRPr="00243D03" w:rsidRDefault="00235F01" w:rsidP="0097411F">
            <w:pPr>
              <w:keepNext/>
              <w:keepLines/>
              <w:spacing w:after="0" w:line="240" w:lineRule="auto"/>
              <w:jc w:val="center"/>
              <w:rPr>
                <w:rFonts w:cs="Arial"/>
                <w:b/>
                <w:bCs/>
                <w:color w:val="000000"/>
                <w:szCs w:val="20"/>
              </w:rPr>
            </w:pPr>
            <w:r w:rsidRPr="00243D03">
              <w:rPr>
                <w:rFonts w:cs="Arial"/>
                <w:b/>
                <w:bCs/>
                <w:color w:val="000000"/>
                <w:szCs w:val="20"/>
              </w:rPr>
              <w:t>Quantifiable costs</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2CB55DCF" w14:textId="77777777" w:rsidR="00235F01" w:rsidRPr="00243D03" w:rsidRDefault="00235F01" w:rsidP="00235F01">
            <w:pPr>
              <w:keepNext/>
              <w:keepLines/>
              <w:spacing w:after="0" w:line="240" w:lineRule="auto"/>
              <w:rPr>
                <w:rFonts w:cs="Arial"/>
                <w:b/>
                <w:color w:val="000000"/>
                <w:szCs w:val="20"/>
              </w:rPr>
            </w:pPr>
            <w:r w:rsidRPr="00243D03">
              <w:rPr>
                <w:rFonts w:cs="Arial"/>
                <w:b/>
                <w:bCs/>
                <w:color w:val="000000"/>
                <w:szCs w:val="20"/>
              </w:rPr>
              <w:t>No. of licences</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4DCA4AB"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4</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5FA5FF1F"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4</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E3941A4"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6</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5983AAB"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6</w:t>
            </w:r>
          </w:p>
        </w:tc>
      </w:tr>
      <w:tr w:rsidR="00235F01" w:rsidRPr="00243D03" w14:paraId="0629C966" w14:textId="77777777" w:rsidTr="003D0A18">
        <w:trPr>
          <w:trHeight w:val="576"/>
        </w:trPr>
        <w:tc>
          <w:tcPr>
            <w:tcW w:w="863"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FDFFB6B" w14:textId="77777777" w:rsidR="00235F01" w:rsidRPr="00243D03" w:rsidRDefault="00235F01" w:rsidP="00235F01">
            <w:pPr>
              <w:keepNext/>
              <w:keepLines/>
              <w:spacing w:after="0" w:line="240" w:lineRule="auto"/>
              <w:rPr>
                <w:rFonts w:cs="Arial"/>
                <w:b/>
                <w:bCs/>
                <w:color w:val="00000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3EBD141C" w14:textId="77777777" w:rsidR="00235F01" w:rsidRPr="00243D03" w:rsidRDefault="00235F01" w:rsidP="00235F01">
            <w:pPr>
              <w:keepNext/>
              <w:keepLines/>
              <w:spacing w:after="0" w:line="240" w:lineRule="auto"/>
              <w:rPr>
                <w:rFonts w:cs="Arial"/>
                <w:b/>
                <w:bCs/>
                <w:color w:val="000000"/>
                <w:szCs w:val="20"/>
              </w:rPr>
            </w:pPr>
            <w:r w:rsidRPr="00243D03">
              <w:rPr>
                <w:rFonts w:cs="Arial"/>
                <w:b/>
                <w:bCs/>
                <w:color w:val="000000"/>
                <w:szCs w:val="20"/>
              </w:rPr>
              <w:t>Incremental costs</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6B940A6" w14:textId="77777777" w:rsidR="00235F01" w:rsidRPr="00243D03" w:rsidRDefault="00235F01" w:rsidP="000C50BB">
            <w:pPr>
              <w:keepNext/>
              <w:keepLines/>
              <w:spacing w:after="0" w:line="240" w:lineRule="auto"/>
              <w:rPr>
                <w:rFonts w:cs="Arial"/>
                <w:color w:val="000000"/>
                <w:szCs w:val="20"/>
              </w:rPr>
            </w:pPr>
            <w:r w:rsidRPr="00243D03">
              <w:rPr>
                <w:rFonts w:cs="Arial"/>
                <w:color w:val="000000"/>
                <w:szCs w:val="20"/>
              </w:rPr>
              <w:t>$25–30 million</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3BF20F46" w14:textId="77777777" w:rsidR="00235F01" w:rsidRPr="00243D03" w:rsidRDefault="00235F01" w:rsidP="000C50BB">
            <w:pPr>
              <w:keepNext/>
              <w:keepLines/>
              <w:spacing w:after="0" w:line="240" w:lineRule="auto"/>
              <w:rPr>
                <w:rFonts w:cs="Arial"/>
                <w:color w:val="000000"/>
                <w:szCs w:val="20"/>
              </w:rPr>
            </w:pPr>
            <w:r w:rsidRPr="00243D03">
              <w:rPr>
                <w:rFonts w:cs="Arial"/>
                <w:color w:val="000000"/>
                <w:szCs w:val="20"/>
              </w:rPr>
              <w:t>$25–30 million</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5040CAB8" w14:textId="77777777" w:rsidR="00235F01" w:rsidRPr="00243D03" w:rsidRDefault="00235F01" w:rsidP="0097411F">
            <w:pPr>
              <w:keepNext/>
              <w:keepLines/>
              <w:spacing w:after="0" w:line="240" w:lineRule="auto"/>
              <w:rPr>
                <w:rFonts w:cs="Arial"/>
                <w:color w:val="000000"/>
                <w:szCs w:val="20"/>
              </w:rPr>
            </w:pPr>
            <w:r w:rsidRPr="00243D03">
              <w:rPr>
                <w:rFonts w:cs="Arial"/>
                <w:color w:val="000000"/>
                <w:szCs w:val="20"/>
              </w:rPr>
              <w:t>$45–80 million</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60ADC9F6" w14:textId="77777777" w:rsidR="00235F01" w:rsidRPr="00243D03" w:rsidRDefault="00235F01" w:rsidP="0097411F">
            <w:pPr>
              <w:keepNext/>
              <w:keepLines/>
              <w:spacing w:after="0" w:line="240" w:lineRule="auto"/>
              <w:rPr>
                <w:rFonts w:cs="Arial"/>
                <w:color w:val="000000"/>
                <w:szCs w:val="20"/>
              </w:rPr>
            </w:pPr>
            <w:r w:rsidRPr="00243D03">
              <w:rPr>
                <w:rFonts w:cs="Arial"/>
                <w:color w:val="000000"/>
                <w:szCs w:val="20"/>
              </w:rPr>
              <w:t>$45–80 million</w:t>
            </w:r>
          </w:p>
        </w:tc>
      </w:tr>
      <w:tr w:rsidR="00235F01" w:rsidRPr="00243D03" w14:paraId="5CFE451C" w14:textId="77777777" w:rsidTr="003D0A18">
        <w:trPr>
          <w:trHeight w:val="126"/>
        </w:trPr>
        <w:tc>
          <w:tcPr>
            <w:tcW w:w="863"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14:paraId="0C1FF82B" w14:textId="77777777" w:rsidR="00235F01" w:rsidRPr="00243D03" w:rsidRDefault="00235F01" w:rsidP="0097411F">
            <w:pPr>
              <w:keepNext/>
              <w:keepLines/>
              <w:spacing w:after="0" w:line="240" w:lineRule="auto"/>
              <w:jc w:val="center"/>
              <w:rPr>
                <w:rFonts w:cs="Arial"/>
                <w:b/>
                <w:bCs/>
                <w:color w:val="000000"/>
                <w:szCs w:val="20"/>
              </w:rPr>
            </w:pPr>
            <w:r w:rsidRPr="00243D03">
              <w:rPr>
                <w:rFonts w:cs="Arial"/>
                <w:b/>
                <w:bCs/>
                <w:color w:val="000000"/>
                <w:szCs w:val="20"/>
              </w:rPr>
              <w:t>Unquantifiable costs</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180403E" w14:textId="77777777" w:rsidR="00235F01" w:rsidRPr="00243D03" w:rsidRDefault="00235F01" w:rsidP="00235F01">
            <w:pPr>
              <w:keepNext/>
              <w:keepLines/>
              <w:spacing w:after="0" w:line="240" w:lineRule="auto"/>
              <w:rPr>
                <w:rFonts w:cs="Arial"/>
                <w:b/>
                <w:bCs/>
                <w:color w:val="000000"/>
                <w:szCs w:val="20"/>
              </w:rPr>
            </w:pPr>
            <w:r w:rsidRPr="00243D03">
              <w:rPr>
                <w:rFonts w:cs="Arial"/>
                <w:b/>
                <w:bCs/>
                <w:color w:val="000000"/>
                <w:szCs w:val="20"/>
              </w:rPr>
              <w:t>No. of licences</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02D7452"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11</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1AD459EA"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11</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5F8A1DAE"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11</w:t>
            </w:r>
          </w:p>
        </w:tc>
        <w:tc>
          <w:tcPr>
            <w:tcW w:w="130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0A1747A" w14:textId="77777777" w:rsidR="00235F01" w:rsidRPr="00243D03" w:rsidRDefault="00235F01" w:rsidP="00235F01">
            <w:pPr>
              <w:keepNext/>
              <w:keepLines/>
              <w:spacing w:after="0" w:line="240" w:lineRule="auto"/>
              <w:rPr>
                <w:rFonts w:cs="Arial"/>
                <w:color w:val="000000"/>
                <w:szCs w:val="20"/>
              </w:rPr>
            </w:pPr>
            <w:r w:rsidRPr="00243D03">
              <w:rPr>
                <w:rFonts w:cs="Arial"/>
                <w:color w:val="000000"/>
                <w:szCs w:val="20"/>
              </w:rPr>
              <w:t>13</w:t>
            </w:r>
          </w:p>
        </w:tc>
      </w:tr>
      <w:tr w:rsidR="00235F01" w:rsidRPr="00243D03" w14:paraId="2EFA4E02" w14:textId="77777777" w:rsidTr="003D0A18">
        <w:trPr>
          <w:trHeight w:val="2221"/>
        </w:trPr>
        <w:tc>
          <w:tcPr>
            <w:tcW w:w="863"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AE2661" w14:textId="77777777" w:rsidR="00235F01" w:rsidRPr="00243D03" w:rsidRDefault="00235F01" w:rsidP="00235F01">
            <w:pPr>
              <w:keepNext/>
              <w:keepLines/>
              <w:spacing w:after="0" w:line="240" w:lineRule="auto"/>
              <w:rPr>
                <w:rFonts w:cs="Arial"/>
                <w:b/>
                <w:bCs/>
                <w:color w:val="000000"/>
                <w:szCs w:val="20"/>
              </w:rPr>
            </w:pPr>
          </w:p>
        </w:tc>
        <w:tc>
          <w:tcPr>
            <w:tcW w:w="6792" w:type="dxa"/>
            <w:gridSpan w:val="5"/>
            <w:tcBorders>
              <w:top w:val="single" w:sz="4" w:space="0" w:color="auto"/>
              <w:left w:val="single" w:sz="4" w:space="0" w:color="auto"/>
              <w:bottom w:val="single" w:sz="4" w:space="0" w:color="auto"/>
              <w:right w:val="single" w:sz="4" w:space="0" w:color="auto"/>
            </w:tcBorders>
            <w:shd w:val="clear" w:color="auto" w:fill="FFFFFF" w:themeFill="background1"/>
            <w:hideMark/>
          </w:tcPr>
          <w:p w14:paraId="31031D99" w14:textId="77777777" w:rsidR="00235F01" w:rsidRPr="00243D03" w:rsidRDefault="00235F01" w:rsidP="00CA238A">
            <w:pPr>
              <w:keepNext/>
              <w:keepLines/>
              <w:spacing w:after="80"/>
              <w:rPr>
                <w:rFonts w:cs="Arial"/>
                <w:color w:val="000000"/>
                <w:szCs w:val="20"/>
              </w:rPr>
            </w:pPr>
            <w:r w:rsidRPr="00243D03">
              <w:rPr>
                <w:rFonts w:cs="Arial"/>
                <w:b/>
                <w:color w:val="000000"/>
                <w:szCs w:val="20"/>
              </w:rPr>
              <w:t xml:space="preserve">Areas 1–3: </w:t>
            </w:r>
            <w:r w:rsidRPr="00243D03">
              <w:rPr>
                <w:rFonts w:cs="Arial"/>
                <w:color w:val="000000"/>
                <w:szCs w:val="20"/>
              </w:rPr>
              <w:t>Telstra may incur some costs associated with retuning antennas to above 3700 MHz.</w:t>
            </w:r>
          </w:p>
          <w:p w14:paraId="5F933F90" w14:textId="77777777" w:rsidR="00235F01" w:rsidRPr="00243D03" w:rsidRDefault="00235F01" w:rsidP="00235F01">
            <w:pPr>
              <w:keepNext/>
              <w:keepLines/>
              <w:spacing w:after="0" w:line="240" w:lineRule="auto"/>
              <w:rPr>
                <w:rFonts w:cs="Arial"/>
                <w:color w:val="000000"/>
                <w:szCs w:val="20"/>
              </w:rPr>
            </w:pPr>
            <w:r w:rsidRPr="00243D03">
              <w:rPr>
                <w:rFonts w:cs="Arial"/>
                <w:b/>
                <w:color w:val="000000"/>
                <w:szCs w:val="20"/>
              </w:rPr>
              <w:t xml:space="preserve">Remote areas: </w:t>
            </w:r>
            <w:r w:rsidRPr="00243D03">
              <w:rPr>
                <w:rFonts w:cs="Arial"/>
                <w:color w:val="000000"/>
                <w:szCs w:val="20"/>
              </w:rPr>
              <w:t>Atwood Oceanics Pacific is not expected to be able to relocate its offshore remote licences—the costs of discontinuing service for these FSS earth receive licences are unquantifiable. This unquantifiable cost is only relevant if the ACMA proceeds with Australia</w:t>
            </w:r>
            <w:r w:rsidR="0097411F">
              <w:rPr>
                <w:rFonts w:cs="Arial"/>
                <w:color w:val="000000"/>
                <w:szCs w:val="20"/>
              </w:rPr>
              <w:t>-</w:t>
            </w:r>
            <w:r w:rsidRPr="00243D03">
              <w:rPr>
                <w:rFonts w:cs="Arial"/>
                <w:color w:val="000000"/>
                <w:szCs w:val="20"/>
              </w:rPr>
              <w:t xml:space="preserve">wide spectrum licensing. If the ACMA only spectrum licences areas 1, 2 or 3, then Atwood Oceanics Pacific’s spectrum access is unaffected, and therefore they incur no costs. </w:t>
            </w:r>
          </w:p>
        </w:tc>
      </w:tr>
    </w:tbl>
    <w:p w14:paraId="538F5C45" w14:textId="77777777" w:rsidR="00235F01" w:rsidRDefault="00235F01" w:rsidP="00235F01">
      <w:pPr>
        <w:pStyle w:val="ACMASpaceaftertable"/>
      </w:pPr>
    </w:p>
    <w:p w14:paraId="3DD3B016" w14:textId="77777777" w:rsidR="00701803" w:rsidRDefault="00701803" w:rsidP="00235F01">
      <w:pPr>
        <w:pStyle w:val="ACMASpaceaftertable"/>
      </w:pPr>
      <w:r>
        <w:t xml:space="preserve">The marginal incremental costs in </w:t>
      </w:r>
      <w:r w:rsidR="0097411F">
        <w:t>T</w:t>
      </w:r>
      <w:r>
        <w:t>able</w:t>
      </w:r>
      <w:r w:rsidR="0097411F">
        <w:t xml:space="preserve"> 6</w:t>
      </w:r>
      <w:r>
        <w:t xml:space="preserve"> below outlines the change in costs when the geographic area option is expanded. For instance, in Area 3 (excluding Area 2), the costs associated with Inmarsat’s facility in Area 1 are removed.</w:t>
      </w:r>
    </w:p>
    <w:p w14:paraId="7D1720D8" w14:textId="77777777" w:rsidR="00FC6982" w:rsidRPr="00243D03" w:rsidRDefault="00FC6982" w:rsidP="00FC6982">
      <w:pPr>
        <w:pStyle w:val="ACMATableHeader"/>
        <w:keepNext/>
        <w:keepLines/>
        <w:spacing w:line="240" w:lineRule="atLeast"/>
      </w:pPr>
      <w:r>
        <w:t>Marginal i</w:t>
      </w:r>
      <w:r w:rsidRPr="00243D03">
        <w:t>ncremental costs of displacing FSS earth receive licences from the 3.6 GHz band</w:t>
      </w:r>
      <w:r w:rsidR="005E5D7B">
        <w:t xml:space="preserve"> for each area</w:t>
      </w:r>
    </w:p>
    <w:tbl>
      <w:tblPr>
        <w:tblW w:w="7655" w:type="dxa"/>
        <w:tblBorders>
          <w:insideH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6"/>
        <w:tblDescription w:val="Marginal incremental costs of displacing FSS earth receive licences from the 3.6 GHz band"/>
      </w:tblPr>
      <w:tblGrid>
        <w:gridCol w:w="704"/>
        <w:gridCol w:w="1276"/>
        <w:gridCol w:w="1417"/>
        <w:gridCol w:w="1387"/>
        <w:gridCol w:w="1435"/>
        <w:gridCol w:w="1436"/>
      </w:tblGrid>
      <w:tr w:rsidR="00FC6982" w:rsidRPr="00243D03" w14:paraId="2D1918DA" w14:textId="77777777" w:rsidTr="0097411F">
        <w:trPr>
          <w:trHeight w:val="300"/>
        </w:trPr>
        <w:tc>
          <w:tcPr>
            <w:tcW w:w="704" w:type="dxa"/>
            <w:tcBorders>
              <w:top w:val="single" w:sz="4" w:space="0" w:color="auto"/>
              <w:left w:val="single" w:sz="4" w:space="0" w:color="auto"/>
              <w:bottom w:val="single" w:sz="4" w:space="0" w:color="auto"/>
              <w:right w:val="single" w:sz="4" w:space="0" w:color="auto"/>
            </w:tcBorders>
            <w:shd w:val="clear" w:color="000000" w:fill="404040"/>
            <w:vAlign w:val="center"/>
            <w:hideMark/>
          </w:tcPr>
          <w:p w14:paraId="7B53EB09" w14:textId="77777777" w:rsidR="00FC6982" w:rsidRPr="00243D03" w:rsidRDefault="00FC6982" w:rsidP="00FC6982">
            <w:pPr>
              <w:keepNext/>
              <w:keepLines/>
              <w:spacing w:after="0" w:line="240" w:lineRule="auto"/>
              <w:rPr>
                <w:rFonts w:cs="Arial"/>
                <w:color w:val="FFFFFF"/>
                <w:szCs w:val="20"/>
              </w:rPr>
            </w:pPr>
            <w:r w:rsidRPr="00243D03">
              <w:rPr>
                <w:rFonts w:cs="Arial"/>
                <w:color w:val="FFFFFF" w:themeColor="background1"/>
                <w:szCs w:val="20"/>
              </w:rPr>
              <w:t> </w:t>
            </w:r>
          </w:p>
        </w:tc>
        <w:tc>
          <w:tcPr>
            <w:tcW w:w="1276"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5D6CC01D" w14:textId="77777777" w:rsidR="00FC6982" w:rsidRPr="00243D03" w:rsidRDefault="00FC6982" w:rsidP="00FC6982">
            <w:pPr>
              <w:keepNext/>
              <w:keepLines/>
              <w:spacing w:after="0" w:line="240" w:lineRule="auto"/>
              <w:rPr>
                <w:rFonts w:cs="Arial"/>
                <w:color w:val="FFFFFF"/>
                <w:szCs w:val="20"/>
              </w:rPr>
            </w:pPr>
            <w:r w:rsidRPr="00243D03">
              <w:rPr>
                <w:rFonts w:cs="Arial"/>
                <w:color w:val="FFFFFF" w:themeColor="background1"/>
                <w:szCs w:val="20"/>
              </w:rPr>
              <w:t> </w:t>
            </w:r>
          </w:p>
        </w:tc>
        <w:tc>
          <w:tcPr>
            <w:tcW w:w="1417"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3012FE84" w14:textId="77777777" w:rsidR="00FC6982" w:rsidRPr="00243D03" w:rsidRDefault="00FC6982" w:rsidP="00FC6982">
            <w:pPr>
              <w:keepNext/>
              <w:keepLines/>
              <w:spacing w:after="0" w:line="240" w:lineRule="auto"/>
              <w:rPr>
                <w:rFonts w:cs="Arial"/>
                <w:b/>
                <w:color w:val="FFFFFF"/>
                <w:szCs w:val="20"/>
              </w:rPr>
            </w:pPr>
            <w:r w:rsidRPr="00243D03">
              <w:rPr>
                <w:rFonts w:cs="Arial"/>
                <w:b/>
                <w:color w:val="FFFFFF"/>
                <w:szCs w:val="20"/>
              </w:rPr>
              <w:t>Area 1</w:t>
            </w:r>
          </w:p>
        </w:tc>
        <w:tc>
          <w:tcPr>
            <w:tcW w:w="1387"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63BAC998" w14:textId="77777777" w:rsidR="00FC6982" w:rsidRPr="00243D03" w:rsidRDefault="00FC6982" w:rsidP="00FC6982">
            <w:pPr>
              <w:keepNext/>
              <w:keepLines/>
              <w:spacing w:after="0" w:line="240" w:lineRule="auto"/>
              <w:rPr>
                <w:rFonts w:cs="Arial"/>
                <w:b/>
                <w:color w:val="FFFFFF"/>
                <w:szCs w:val="20"/>
              </w:rPr>
            </w:pPr>
            <w:r w:rsidRPr="00243D03">
              <w:rPr>
                <w:rFonts w:cs="Arial"/>
                <w:b/>
                <w:color w:val="FFFFFF"/>
                <w:szCs w:val="20"/>
              </w:rPr>
              <w:t>Area 2</w:t>
            </w:r>
          </w:p>
        </w:tc>
        <w:tc>
          <w:tcPr>
            <w:tcW w:w="1435"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0FD4BC8A" w14:textId="77777777" w:rsidR="00FC6982" w:rsidRPr="00243D03" w:rsidRDefault="00FC6982" w:rsidP="00FC6982">
            <w:pPr>
              <w:keepNext/>
              <w:keepLines/>
              <w:spacing w:after="0" w:line="240" w:lineRule="auto"/>
              <w:rPr>
                <w:rFonts w:cs="Arial"/>
                <w:b/>
                <w:color w:val="FFFFFF"/>
                <w:szCs w:val="20"/>
              </w:rPr>
            </w:pPr>
            <w:r w:rsidRPr="00243D03">
              <w:rPr>
                <w:rFonts w:cs="Arial"/>
                <w:b/>
                <w:color w:val="FFFFFF"/>
                <w:szCs w:val="20"/>
              </w:rPr>
              <w:t>Area 3</w:t>
            </w:r>
          </w:p>
        </w:tc>
        <w:tc>
          <w:tcPr>
            <w:tcW w:w="1436" w:type="dxa"/>
            <w:tcBorders>
              <w:top w:val="single" w:sz="4" w:space="0" w:color="auto"/>
              <w:left w:val="single" w:sz="4" w:space="0" w:color="auto"/>
              <w:bottom w:val="single" w:sz="4" w:space="0" w:color="auto"/>
              <w:right w:val="single" w:sz="4" w:space="0" w:color="auto"/>
            </w:tcBorders>
            <w:shd w:val="clear" w:color="000000" w:fill="404040"/>
            <w:noWrap/>
            <w:vAlign w:val="center"/>
            <w:hideMark/>
          </w:tcPr>
          <w:p w14:paraId="6F51B852" w14:textId="77777777" w:rsidR="00FC6982" w:rsidRPr="00243D03" w:rsidRDefault="00345B8C" w:rsidP="00FC6982">
            <w:pPr>
              <w:keepNext/>
              <w:keepLines/>
              <w:spacing w:after="0" w:line="240" w:lineRule="auto"/>
              <w:rPr>
                <w:rFonts w:cs="Arial"/>
                <w:b/>
                <w:color w:val="FFFFFF"/>
                <w:szCs w:val="20"/>
              </w:rPr>
            </w:pPr>
            <w:r>
              <w:rPr>
                <w:rFonts w:cs="Arial"/>
                <w:b/>
                <w:color w:val="FFFFFF"/>
                <w:szCs w:val="20"/>
              </w:rPr>
              <w:t>Remote areas</w:t>
            </w:r>
          </w:p>
        </w:tc>
      </w:tr>
      <w:tr w:rsidR="00FC6982" w:rsidRPr="00243D03" w14:paraId="311C90A6" w14:textId="77777777" w:rsidTr="003D0A18">
        <w:trPr>
          <w:trHeight w:val="570"/>
        </w:trPr>
        <w:tc>
          <w:tcPr>
            <w:tcW w:w="7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14:paraId="36DB2ECD" w14:textId="77777777" w:rsidR="00FC6982" w:rsidRPr="00243D03" w:rsidRDefault="00FC6982" w:rsidP="0097411F">
            <w:pPr>
              <w:keepNext/>
              <w:keepLines/>
              <w:spacing w:after="0" w:line="240" w:lineRule="auto"/>
              <w:jc w:val="center"/>
              <w:rPr>
                <w:rFonts w:cs="Arial"/>
                <w:b/>
                <w:bCs/>
                <w:color w:val="000000"/>
                <w:szCs w:val="20"/>
              </w:rPr>
            </w:pPr>
            <w:r w:rsidRPr="00243D03">
              <w:rPr>
                <w:rFonts w:cs="Arial"/>
                <w:b/>
                <w:bCs/>
                <w:color w:val="000000"/>
                <w:szCs w:val="20"/>
              </w:rPr>
              <w:t>Quantifiable costs</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119F2C84" w14:textId="77777777" w:rsidR="00FC6982" w:rsidRPr="00243D03" w:rsidRDefault="00FC6982" w:rsidP="0097411F">
            <w:pPr>
              <w:keepNext/>
              <w:keepLines/>
              <w:spacing w:after="0" w:line="240" w:lineRule="auto"/>
              <w:rPr>
                <w:rFonts w:cs="Arial"/>
                <w:b/>
                <w:color w:val="000000"/>
                <w:szCs w:val="20"/>
              </w:rPr>
            </w:pPr>
            <w:r w:rsidRPr="00243D03">
              <w:rPr>
                <w:rFonts w:cs="Arial"/>
                <w:b/>
                <w:bCs/>
                <w:color w:val="000000"/>
                <w:szCs w:val="20"/>
              </w:rPr>
              <w:t>No. of licences</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227B86B7" w14:textId="77777777" w:rsidR="00FC6982" w:rsidRPr="00243D03" w:rsidRDefault="00FC6982" w:rsidP="00FC6982">
            <w:pPr>
              <w:keepNext/>
              <w:keepLines/>
              <w:spacing w:after="0" w:line="240" w:lineRule="auto"/>
              <w:rPr>
                <w:rFonts w:cs="Arial"/>
                <w:color w:val="000000"/>
                <w:szCs w:val="20"/>
              </w:rPr>
            </w:pPr>
            <w:r w:rsidRPr="00243D03">
              <w:rPr>
                <w:rFonts w:cs="Arial"/>
                <w:color w:val="000000"/>
                <w:szCs w:val="20"/>
              </w:rPr>
              <w:t>4</w:t>
            </w:r>
          </w:p>
        </w:tc>
        <w:tc>
          <w:tcPr>
            <w:tcW w:w="1387"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7EBEE3F"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0</w:t>
            </w:r>
          </w:p>
        </w:tc>
        <w:tc>
          <w:tcPr>
            <w:tcW w:w="1435"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311FE9F0"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2</w:t>
            </w:r>
          </w:p>
        </w:tc>
        <w:tc>
          <w:tcPr>
            <w:tcW w:w="1436"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305E6A30"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0</w:t>
            </w:r>
          </w:p>
        </w:tc>
      </w:tr>
      <w:tr w:rsidR="00FC6982" w:rsidRPr="00243D03" w14:paraId="652212C5" w14:textId="77777777" w:rsidTr="003D0A18">
        <w:trPr>
          <w:trHeight w:val="594"/>
        </w:trPr>
        <w:tc>
          <w:tcPr>
            <w:tcW w:w="7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FE608A5" w14:textId="77777777" w:rsidR="00FC6982" w:rsidRPr="00243D03" w:rsidRDefault="00FC6982" w:rsidP="00FC6982">
            <w:pPr>
              <w:keepNext/>
              <w:keepLines/>
              <w:spacing w:after="0" w:line="240" w:lineRule="auto"/>
              <w:rPr>
                <w:rFonts w:cs="Arial"/>
                <w:b/>
                <w:bCs/>
                <w:color w:val="00000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26E681B4" w14:textId="77777777" w:rsidR="00FC6982" w:rsidRPr="00243D03" w:rsidRDefault="00FC6982" w:rsidP="0097411F">
            <w:pPr>
              <w:keepNext/>
              <w:keepLines/>
              <w:spacing w:after="0" w:line="240" w:lineRule="auto"/>
              <w:rPr>
                <w:rFonts w:cs="Arial"/>
                <w:b/>
                <w:bCs/>
                <w:color w:val="000000"/>
                <w:szCs w:val="20"/>
              </w:rPr>
            </w:pPr>
            <w:r w:rsidRPr="00243D03">
              <w:rPr>
                <w:rFonts w:cs="Arial"/>
                <w:b/>
                <w:bCs/>
                <w:color w:val="000000"/>
                <w:szCs w:val="20"/>
              </w:rPr>
              <w:t>Incremental costs</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40A8F1C" w14:textId="77777777" w:rsidR="00FC6982" w:rsidRPr="00243D03" w:rsidRDefault="00FC6982" w:rsidP="0097411F">
            <w:pPr>
              <w:keepNext/>
              <w:keepLines/>
              <w:spacing w:after="0" w:line="240" w:lineRule="auto"/>
              <w:rPr>
                <w:rFonts w:cs="Arial"/>
                <w:color w:val="000000"/>
                <w:szCs w:val="20"/>
              </w:rPr>
            </w:pPr>
            <w:r w:rsidRPr="00243D03">
              <w:rPr>
                <w:rFonts w:cs="Arial"/>
                <w:color w:val="000000"/>
                <w:szCs w:val="20"/>
              </w:rPr>
              <w:t>$25–30 million</w:t>
            </w:r>
          </w:p>
        </w:tc>
        <w:tc>
          <w:tcPr>
            <w:tcW w:w="1387"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54211244" w14:textId="77777777" w:rsidR="00FC6982" w:rsidRPr="00243D03" w:rsidRDefault="00FC6982" w:rsidP="00FC6982">
            <w:pPr>
              <w:keepNext/>
              <w:keepLines/>
              <w:spacing w:after="0" w:line="240" w:lineRule="auto"/>
              <w:rPr>
                <w:rFonts w:cs="Arial"/>
                <w:color w:val="000000"/>
                <w:szCs w:val="20"/>
              </w:rPr>
            </w:pPr>
            <w:r w:rsidRPr="00243D03">
              <w:rPr>
                <w:rFonts w:cs="Arial"/>
                <w:color w:val="000000"/>
                <w:szCs w:val="20"/>
              </w:rPr>
              <w:t>$</w:t>
            </w:r>
            <w:r>
              <w:rPr>
                <w:rFonts w:cs="Arial"/>
                <w:color w:val="000000"/>
                <w:szCs w:val="20"/>
              </w:rPr>
              <w:t>0</w:t>
            </w:r>
          </w:p>
        </w:tc>
        <w:tc>
          <w:tcPr>
            <w:tcW w:w="1435"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13C6A687" w14:textId="77777777" w:rsidR="00FC6982" w:rsidRPr="00243D03" w:rsidRDefault="00FC6982" w:rsidP="0097411F">
            <w:pPr>
              <w:keepNext/>
              <w:keepLines/>
              <w:spacing w:after="0" w:line="240" w:lineRule="auto"/>
              <w:rPr>
                <w:rFonts w:cs="Arial"/>
                <w:color w:val="000000"/>
                <w:szCs w:val="20"/>
              </w:rPr>
            </w:pPr>
            <w:r w:rsidRPr="00243D03">
              <w:rPr>
                <w:rFonts w:cs="Arial"/>
                <w:color w:val="000000"/>
                <w:szCs w:val="20"/>
              </w:rPr>
              <w:t>$</w:t>
            </w:r>
            <w:r>
              <w:rPr>
                <w:rFonts w:cs="Arial"/>
                <w:color w:val="000000"/>
                <w:szCs w:val="20"/>
              </w:rPr>
              <w:t>20–50</w:t>
            </w:r>
            <w:r w:rsidRPr="00243D03">
              <w:rPr>
                <w:rFonts w:cs="Arial"/>
                <w:color w:val="000000"/>
                <w:szCs w:val="20"/>
              </w:rPr>
              <w:t> million</w:t>
            </w:r>
          </w:p>
        </w:tc>
        <w:tc>
          <w:tcPr>
            <w:tcW w:w="1436"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6EF4B21"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$0</w:t>
            </w:r>
          </w:p>
        </w:tc>
      </w:tr>
      <w:tr w:rsidR="00FC6982" w:rsidRPr="00243D03" w14:paraId="199016A6" w14:textId="77777777" w:rsidTr="003D0A18">
        <w:trPr>
          <w:trHeight w:val="433"/>
        </w:trPr>
        <w:tc>
          <w:tcPr>
            <w:tcW w:w="7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14:paraId="6736EAFA" w14:textId="77777777" w:rsidR="00FC6982" w:rsidRPr="00243D03" w:rsidRDefault="00FC6982" w:rsidP="0097411F">
            <w:pPr>
              <w:keepNext/>
              <w:keepLines/>
              <w:spacing w:after="0" w:line="240" w:lineRule="auto"/>
              <w:jc w:val="center"/>
              <w:rPr>
                <w:rFonts w:cs="Arial"/>
                <w:b/>
                <w:bCs/>
                <w:color w:val="000000"/>
                <w:szCs w:val="20"/>
              </w:rPr>
            </w:pPr>
            <w:r w:rsidRPr="00243D03">
              <w:rPr>
                <w:rFonts w:cs="Arial"/>
                <w:b/>
                <w:bCs/>
                <w:color w:val="000000"/>
                <w:szCs w:val="20"/>
              </w:rPr>
              <w:t>Unquantifiable costs</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0E169BD" w14:textId="77777777" w:rsidR="00FC6982" w:rsidRPr="00243D03" w:rsidRDefault="00FC6982" w:rsidP="0097411F">
            <w:pPr>
              <w:keepNext/>
              <w:keepLines/>
              <w:spacing w:after="0" w:line="240" w:lineRule="auto"/>
              <w:rPr>
                <w:rFonts w:cs="Arial"/>
                <w:b/>
                <w:bCs/>
                <w:color w:val="000000"/>
                <w:szCs w:val="20"/>
              </w:rPr>
            </w:pPr>
            <w:r w:rsidRPr="00243D03">
              <w:rPr>
                <w:rFonts w:cs="Arial"/>
                <w:b/>
                <w:bCs/>
                <w:color w:val="000000"/>
                <w:szCs w:val="20"/>
              </w:rPr>
              <w:t>No. of licences</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22A2473C" w14:textId="77777777" w:rsidR="00FC6982" w:rsidRPr="00243D03" w:rsidRDefault="00FC6982" w:rsidP="00FC6982">
            <w:pPr>
              <w:keepNext/>
              <w:keepLines/>
              <w:spacing w:after="0" w:line="240" w:lineRule="auto"/>
              <w:rPr>
                <w:rFonts w:cs="Arial"/>
                <w:color w:val="000000"/>
                <w:szCs w:val="20"/>
              </w:rPr>
            </w:pPr>
            <w:r w:rsidRPr="00243D03">
              <w:rPr>
                <w:rFonts w:cs="Arial"/>
                <w:color w:val="000000"/>
                <w:szCs w:val="20"/>
              </w:rPr>
              <w:t>11</w:t>
            </w:r>
          </w:p>
        </w:tc>
        <w:tc>
          <w:tcPr>
            <w:tcW w:w="1387"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6939EE4"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0</w:t>
            </w:r>
          </w:p>
        </w:tc>
        <w:tc>
          <w:tcPr>
            <w:tcW w:w="1435"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28435F5B"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0</w:t>
            </w:r>
          </w:p>
        </w:tc>
        <w:tc>
          <w:tcPr>
            <w:tcW w:w="1436"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BADE752" w14:textId="77777777" w:rsidR="00FC6982" w:rsidRPr="00243D03" w:rsidRDefault="00FC6982" w:rsidP="00FC6982">
            <w:pPr>
              <w:keepNext/>
              <w:keepLines/>
              <w:spacing w:after="0" w:line="240" w:lineRule="auto"/>
              <w:rPr>
                <w:rFonts w:cs="Arial"/>
                <w:color w:val="000000"/>
                <w:szCs w:val="20"/>
              </w:rPr>
            </w:pPr>
            <w:r>
              <w:rPr>
                <w:rFonts w:cs="Arial"/>
                <w:color w:val="000000"/>
                <w:szCs w:val="20"/>
              </w:rPr>
              <w:t>2</w:t>
            </w:r>
          </w:p>
        </w:tc>
      </w:tr>
      <w:tr w:rsidR="00FC6982" w:rsidRPr="00243D03" w14:paraId="76AD0B9E" w14:textId="77777777" w:rsidTr="003D0A18">
        <w:trPr>
          <w:trHeight w:val="1972"/>
        </w:trPr>
        <w:tc>
          <w:tcPr>
            <w:tcW w:w="7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7C19A52" w14:textId="77777777" w:rsidR="00FC6982" w:rsidRPr="00243D03" w:rsidRDefault="00FC6982" w:rsidP="00FC6982">
            <w:pPr>
              <w:keepNext/>
              <w:keepLines/>
              <w:spacing w:after="0" w:line="240" w:lineRule="auto"/>
              <w:rPr>
                <w:rFonts w:cs="Arial"/>
                <w:b/>
                <w:bCs/>
                <w:color w:val="000000"/>
                <w:szCs w:val="20"/>
              </w:rPr>
            </w:pPr>
          </w:p>
        </w:tc>
        <w:tc>
          <w:tcPr>
            <w:tcW w:w="6951" w:type="dxa"/>
            <w:gridSpan w:val="5"/>
            <w:tcBorders>
              <w:top w:val="single" w:sz="4" w:space="0" w:color="auto"/>
              <w:left w:val="single" w:sz="4" w:space="0" w:color="auto"/>
              <w:bottom w:val="single" w:sz="4" w:space="0" w:color="auto"/>
              <w:right w:val="single" w:sz="4" w:space="0" w:color="auto"/>
            </w:tcBorders>
            <w:shd w:val="clear" w:color="auto" w:fill="FFFFFF" w:themeFill="background1"/>
            <w:hideMark/>
          </w:tcPr>
          <w:p w14:paraId="694A2895" w14:textId="77777777" w:rsidR="00FC6982" w:rsidRPr="00243D03" w:rsidRDefault="00FC6982" w:rsidP="00CA238A">
            <w:pPr>
              <w:keepNext/>
              <w:keepLines/>
              <w:spacing w:after="80"/>
              <w:rPr>
                <w:rFonts w:cs="Arial"/>
                <w:color w:val="000000"/>
                <w:szCs w:val="20"/>
              </w:rPr>
            </w:pPr>
            <w:r>
              <w:rPr>
                <w:rFonts w:cs="Arial"/>
                <w:b/>
                <w:color w:val="000000"/>
                <w:szCs w:val="20"/>
              </w:rPr>
              <w:t>Area</w:t>
            </w:r>
            <w:r w:rsidRPr="00243D03">
              <w:rPr>
                <w:rFonts w:cs="Arial"/>
                <w:b/>
                <w:color w:val="000000"/>
                <w:szCs w:val="20"/>
              </w:rPr>
              <w:t xml:space="preserve"> 1: </w:t>
            </w:r>
            <w:r w:rsidRPr="00243D03">
              <w:rPr>
                <w:rFonts w:cs="Arial"/>
                <w:color w:val="000000"/>
                <w:szCs w:val="20"/>
              </w:rPr>
              <w:t>Telstra may incur some costs associated with retuning above 3700 MHz.</w:t>
            </w:r>
          </w:p>
          <w:p w14:paraId="5D03D270" w14:textId="77777777" w:rsidR="00FC6982" w:rsidRPr="00243D03" w:rsidRDefault="00FC6982" w:rsidP="00FC6982">
            <w:pPr>
              <w:keepNext/>
              <w:keepLines/>
              <w:spacing w:after="0" w:line="240" w:lineRule="auto"/>
              <w:rPr>
                <w:rFonts w:cs="Arial"/>
                <w:color w:val="000000"/>
                <w:szCs w:val="20"/>
              </w:rPr>
            </w:pPr>
            <w:r w:rsidRPr="00243D03">
              <w:rPr>
                <w:rFonts w:cs="Arial"/>
                <w:b/>
                <w:color w:val="000000"/>
                <w:szCs w:val="20"/>
              </w:rPr>
              <w:t xml:space="preserve">Remote areas: </w:t>
            </w:r>
            <w:r w:rsidRPr="00243D03">
              <w:rPr>
                <w:rFonts w:cs="Arial"/>
                <w:color w:val="000000"/>
                <w:szCs w:val="20"/>
              </w:rPr>
              <w:t>Atwood Oceanics Pacific is not expected to be able to relocate its offshore remote licences—the costs of discontinuing service for these FSS earth receive licences are unquantifiable. This unquantifiable cost is only relevant if the ACMA proceeds with Australia</w:t>
            </w:r>
            <w:r w:rsidR="0097411F">
              <w:rPr>
                <w:rFonts w:cs="Arial"/>
                <w:color w:val="000000"/>
                <w:szCs w:val="20"/>
              </w:rPr>
              <w:t>-</w:t>
            </w:r>
            <w:r w:rsidRPr="00243D03">
              <w:rPr>
                <w:rFonts w:cs="Arial"/>
                <w:color w:val="000000"/>
                <w:szCs w:val="20"/>
              </w:rPr>
              <w:t>wide spectrum licensing.</w:t>
            </w:r>
            <w:r w:rsidR="00336E17">
              <w:rPr>
                <w:rFonts w:cs="Arial"/>
                <w:color w:val="000000"/>
                <w:szCs w:val="20"/>
              </w:rPr>
              <w:t xml:space="preserve"> </w:t>
            </w:r>
            <w:r w:rsidRPr="00243D03">
              <w:rPr>
                <w:rFonts w:cs="Arial"/>
                <w:color w:val="000000"/>
                <w:szCs w:val="20"/>
              </w:rPr>
              <w:t xml:space="preserve">If the ACMA only spectrum licences areas 1, 2 or 3, then Atwood Oceanics Pacific’s spectrum access is unaffected, and therefore they incur no costs. </w:t>
            </w:r>
          </w:p>
        </w:tc>
      </w:tr>
    </w:tbl>
    <w:p w14:paraId="67A3B30B" w14:textId="77777777" w:rsidR="00FC6982" w:rsidRPr="00243D03" w:rsidRDefault="00FC6982" w:rsidP="00235F01">
      <w:pPr>
        <w:pStyle w:val="ACMASpaceaftertable"/>
      </w:pPr>
    </w:p>
    <w:p w14:paraId="0E189693" w14:textId="77777777" w:rsidR="00235F01" w:rsidRPr="00243D03" w:rsidRDefault="00235F01" w:rsidP="00235F01">
      <w:pPr>
        <w:pStyle w:val="Heading3"/>
      </w:pPr>
      <w:bookmarkStart w:id="219" w:name="_Toc496620357"/>
      <w:r w:rsidRPr="00243D03">
        <w:t>Point-to-point licences</w:t>
      </w:r>
      <w:bookmarkEnd w:id="219"/>
    </w:p>
    <w:p w14:paraId="60553641" w14:textId="77777777" w:rsidR="00235F01" w:rsidRPr="00243D03" w:rsidRDefault="00235F01" w:rsidP="0097411F">
      <w:r w:rsidRPr="00243D03">
        <w:t>There were two submissions that outlined that the increase in supply costs for point-to-point licensed services may be higher than the range indicated in the HVU paper. However, as no alternative estimates were provided, the</w:t>
      </w:r>
      <w:r w:rsidR="00690341">
        <w:t xml:space="preserve"> </w:t>
      </w:r>
      <w:r w:rsidRPr="00243D03">
        <w:t>cost range used in the HVU paper</w:t>
      </w:r>
      <w:r w:rsidR="00690341">
        <w:t xml:space="preserve"> has been retained</w:t>
      </w:r>
      <w:r w:rsidRPr="00243D03">
        <w:t xml:space="preserve">. </w:t>
      </w:r>
    </w:p>
    <w:p w14:paraId="400F45F0" w14:textId="77777777" w:rsidR="00235F01" w:rsidRPr="00243D03" w:rsidRDefault="00235F01" w:rsidP="00235F01">
      <w:pPr>
        <w:pStyle w:val="Heading3"/>
      </w:pPr>
      <w:bookmarkStart w:id="220" w:name="_Toc496620358"/>
      <w:r w:rsidRPr="00243D03">
        <w:t>Overall incremental costs</w:t>
      </w:r>
      <w:bookmarkEnd w:id="220"/>
    </w:p>
    <w:p w14:paraId="24FAD85D" w14:textId="77777777" w:rsidR="00BA166C" w:rsidRDefault="00BA166C" w:rsidP="0097411F">
      <w:pPr>
        <w:spacing w:after="80"/>
      </w:pPr>
      <w:r w:rsidRPr="008523D4">
        <w:t xml:space="preserve">The changes to </w:t>
      </w:r>
      <w:r>
        <w:t xml:space="preserve">overall </w:t>
      </w:r>
      <w:r w:rsidRPr="008523D4">
        <w:t xml:space="preserve">incremental costs </w:t>
      </w:r>
      <w:r>
        <w:t>can be summarised as follows</w:t>
      </w:r>
      <w:r w:rsidRPr="008523D4">
        <w:t>:</w:t>
      </w:r>
    </w:p>
    <w:p w14:paraId="464B28E6" w14:textId="77777777" w:rsidR="00A22FEC" w:rsidRPr="008523D4" w:rsidRDefault="00A22FEC" w:rsidP="006136DC">
      <w:pPr>
        <w:pStyle w:val="ListBullet"/>
        <w:numPr>
          <w:ilvl w:val="0"/>
          <w:numId w:val="1"/>
        </w:numPr>
      </w:pPr>
      <w:r>
        <w:t>O</w:t>
      </w:r>
      <w:r w:rsidRPr="00A22FEC">
        <w:t xml:space="preserve">ption 4a (25 MHz set-aside for point-to-multipoint licensed services) has been removed from consideration, while the 5.6 GHz band has been made available for these services outside of Area 1 for at least 10 years, which is </w:t>
      </w:r>
      <w:r w:rsidR="002D15B9">
        <w:t>slightly longer than</w:t>
      </w:r>
      <w:r w:rsidRPr="00A22FEC">
        <w:t xml:space="preserve"> the re-allocation period</w:t>
      </w:r>
      <w:r w:rsidR="00B700BE">
        <w:t xml:space="preserve"> for </w:t>
      </w:r>
      <w:r w:rsidR="0097411F">
        <w:t>a</w:t>
      </w:r>
      <w:r w:rsidR="00B700BE">
        <w:t>rea</w:t>
      </w:r>
      <w:r w:rsidR="002D15B9">
        <w:t xml:space="preserve">s 2 and </w:t>
      </w:r>
      <w:r w:rsidR="00B700BE">
        <w:t>3 (seven years)</w:t>
      </w:r>
      <w:r w:rsidRPr="00A22FEC">
        <w:t xml:space="preserve">. </w:t>
      </w:r>
      <w:r w:rsidR="00FE4A29">
        <w:t xml:space="preserve">The ACMA is also considering the </w:t>
      </w:r>
      <w:r w:rsidR="00FE4A29">
        <w:rPr>
          <w:rFonts w:cs="Arial"/>
        </w:rPr>
        <w:t xml:space="preserve">use of </w:t>
      </w:r>
      <w:r w:rsidR="00E12F52">
        <w:rPr>
          <w:rFonts w:cs="Arial"/>
        </w:rPr>
        <w:t xml:space="preserve">some of </w:t>
      </w:r>
      <w:r w:rsidR="00FE4A29">
        <w:rPr>
          <w:rFonts w:cs="Arial"/>
        </w:rPr>
        <w:t>the 28 GHz band (27.5</w:t>
      </w:r>
      <w:r w:rsidR="0097411F">
        <w:rPr>
          <w:rFonts w:cs="Arial"/>
        </w:rPr>
        <w:t>–</w:t>
      </w:r>
      <w:r w:rsidR="00FE4A29">
        <w:rPr>
          <w:rFonts w:cs="Arial"/>
        </w:rPr>
        <w:t>29.5 </w:t>
      </w:r>
      <w:r w:rsidR="00FE4A29" w:rsidRPr="00475453">
        <w:rPr>
          <w:rFonts w:cs="Arial"/>
        </w:rPr>
        <w:t>GHz) for apparatus</w:t>
      </w:r>
      <w:r w:rsidR="0097411F">
        <w:rPr>
          <w:rFonts w:cs="Arial"/>
        </w:rPr>
        <w:t>-</w:t>
      </w:r>
      <w:r w:rsidR="00FE4A29" w:rsidRPr="00475453">
        <w:rPr>
          <w:rFonts w:cs="Arial"/>
        </w:rPr>
        <w:t>licensed point-to-multipoint arrangemen</w:t>
      </w:r>
      <w:r w:rsidR="00FE4A29">
        <w:rPr>
          <w:rFonts w:cs="Arial"/>
        </w:rPr>
        <w:t xml:space="preserve">ts </w:t>
      </w:r>
      <w:r w:rsidR="00FE4A29" w:rsidRPr="00475453">
        <w:rPr>
          <w:rFonts w:cs="Arial"/>
        </w:rPr>
        <w:t>in regional Australia.</w:t>
      </w:r>
    </w:p>
    <w:p w14:paraId="4C6CD379" w14:textId="77777777" w:rsidR="00BA166C" w:rsidRPr="008523D4" w:rsidRDefault="00BA166C" w:rsidP="006136DC">
      <w:pPr>
        <w:pStyle w:val="ListBullet"/>
        <w:numPr>
          <w:ilvl w:val="0"/>
          <w:numId w:val="1"/>
        </w:numPr>
      </w:pPr>
      <w:r w:rsidRPr="008523D4">
        <w:t xml:space="preserve">Incremental costs for FSS earth receive licensees have fallen significantly due to Telstra and Optus indicating that they have the ability to retune equipment and migrate out of the 3.6 GHz band. The </w:t>
      </w:r>
      <w:r w:rsidR="00345B8C">
        <w:t>quantified</w:t>
      </w:r>
      <w:r w:rsidRPr="008523D4">
        <w:t xml:space="preserve"> costs for these two licensees are now </w:t>
      </w:r>
      <w:r w:rsidR="00345B8C" w:rsidRPr="008523D4">
        <w:t xml:space="preserve">zero </w:t>
      </w:r>
      <w:r w:rsidR="00345B8C">
        <w:t xml:space="preserve">with some additional </w:t>
      </w:r>
      <w:r w:rsidRPr="008523D4">
        <w:t>unquantifi</w:t>
      </w:r>
      <w:r w:rsidR="00345B8C">
        <w:t>ed costs</w:t>
      </w:r>
      <w:r w:rsidRPr="008523D4">
        <w:t>.</w:t>
      </w:r>
    </w:p>
    <w:p w14:paraId="05F9B395" w14:textId="77777777" w:rsidR="00BA166C" w:rsidRPr="0097411F" w:rsidRDefault="00BA166C" w:rsidP="0097411F">
      <w:pPr>
        <w:pStyle w:val="ListBullet2"/>
        <w:tabs>
          <w:tab w:val="clear" w:pos="845"/>
          <w:tab w:val="num" w:pos="709"/>
        </w:tabs>
        <w:ind w:left="709" w:hanging="352"/>
      </w:pPr>
      <w:r w:rsidRPr="0097411F">
        <w:t>Optus indicated that they were transitioning their services out of the 3.6 GHz band irrespective of this re-allocation process.</w:t>
      </w:r>
    </w:p>
    <w:p w14:paraId="576B20D0" w14:textId="77777777" w:rsidR="00BA166C" w:rsidRPr="008523D4" w:rsidRDefault="00BA166C" w:rsidP="0097411F">
      <w:pPr>
        <w:pStyle w:val="ListBullet2"/>
        <w:tabs>
          <w:tab w:val="clear" w:pos="845"/>
          <w:tab w:val="num" w:pos="709"/>
        </w:tabs>
        <w:ind w:left="709" w:hanging="352"/>
      </w:pPr>
      <w:r w:rsidRPr="0097411F">
        <w:t>Telstra did</w:t>
      </w:r>
      <w:r w:rsidRPr="008523D4">
        <w:t xml:space="preserve"> not provide any cost estimates for retuning antennas.</w:t>
      </w:r>
    </w:p>
    <w:p w14:paraId="43D6A28E" w14:textId="77777777" w:rsidR="00BA166C" w:rsidRPr="008523D4" w:rsidRDefault="00BA166C" w:rsidP="006136DC">
      <w:pPr>
        <w:pStyle w:val="ListBullet"/>
        <w:numPr>
          <w:ilvl w:val="0"/>
          <w:numId w:val="1"/>
        </w:numPr>
      </w:pPr>
      <w:r w:rsidRPr="008523D4">
        <w:t xml:space="preserve">The only quantifiable costs associated with FSS earth receive licences are now for Inmarsat’s and Lockheed Martin’s </w:t>
      </w:r>
      <w:r w:rsidRPr="00A22FEC">
        <w:t>facilities</w:t>
      </w:r>
      <w:r w:rsidRPr="008523D4">
        <w:t>.</w:t>
      </w:r>
      <w:r w:rsidR="00533B01">
        <w:t xml:space="preserve"> It should be noted that the ACMA has decided to protect Lockheed Martin’s facility in Uralla</w:t>
      </w:r>
      <w:r w:rsidR="00345B8C">
        <w:t>, and therefore re</w:t>
      </w:r>
      <w:r w:rsidR="00CB31D4">
        <w:t>-</w:t>
      </w:r>
      <w:r w:rsidR="00345B8C">
        <w:t>farming the 3.6 GHz band will no</w:t>
      </w:r>
      <w:r w:rsidR="00CB31D4">
        <w:t>t</w:t>
      </w:r>
      <w:r w:rsidR="00345B8C">
        <w:t xml:space="preserve"> impose costs on this facility.</w:t>
      </w:r>
    </w:p>
    <w:p w14:paraId="1C26F702" w14:textId="77777777" w:rsidR="00BA166C" w:rsidRPr="008523D4" w:rsidRDefault="00BA166C" w:rsidP="004751DD">
      <w:pPr>
        <w:pStyle w:val="ListBulletLast"/>
      </w:pPr>
      <w:r w:rsidRPr="008523D4">
        <w:t>There is no change to incremental costs for point-to-point licensed services.</w:t>
      </w:r>
    </w:p>
    <w:p w14:paraId="1DDEBDE7" w14:textId="77777777" w:rsidR="00C850EE" w:rsidRDefault="00BA166C" w:rsidP="00BA166C">
      <w:r w:rsidRPr="008523D4">
        <w:t>The result of these changes to incremental costs is the amended table below, which outlines a summary of all incremental costs.</w:t>
      </w:r>
    </w:p>
    <w:p w14:paraId="052806E9" w14:textId="77777777" w:rsidR="00BA166C" w:rsidRPr="008523D4" w:rsidRDefault="001D665A" w:rsidP="00BA166C">
      <w:pPr>
        <w:pStyle w:val="ACMATableHeader"/>
        <w:keepNext/>
        <w:keepLines/>
        <w:spacing w:line="240" w:lineRule="atLeast"/>
      </w:pPr>
      <w:r>
        <w:t>Total i</w:t>
      </w:r>
      <w:r w:rsidR="00BA166C" w:rsidRPr="008523D4">
        <w:t>ncremental costs of displacing all incumbent licences from the 3.6 GHz band</w:t>
      </w:r>
      <w:r w:rsidR="005E5D7B">
        <w:t xml:space="preserve"> for cumulative areas</w:t>
      </w:r>
    </w:p>
    <w:tbl>
      <w:tblPr>
        <w:tblStyle w:val="ListTable1Light"/>
        <w:tblW w:w="5000" w:type="pct"/>
        <w:tblBorders>
          <w:top w:val="single" w:sz="4" w:space="0" w:color="auto"/>
          <w:bottom w:val="single" w:sz="4" w:space="0" w:color="auto"/>
          <w:insideH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7"/>
        <w:tblDescription w:val="Total incremental costs of displacing all incumbent licences from the 3.6 GHz band"/>
      </w:tblPr>
      <w:tblGrid>
        <w:gridCol w:w="468"/>
        <w:gridCol w:w="1267"/>
        <w:gridCol w:w="1482"/>
        <w:gridCol w:w="1482"/>
        <w:gridCol w:w="1482"/>
        <w:gridCol w:w="1480"/>
      </w:tblGrid>
      <w:tr w:rsidR="00BA166C" w:rsidRPr="008523D4" w14:paraId="4FC384A1" w14:textId="77777777" w:rsidTr="004751D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06" w:type="pct"/>
            <w:tcBorders>
              <w:left w:val="single" w:sz="4" w:space="0" w:color="auto"/>
              <w:bottom w:val="single" w:sz="4" w:space="0" w:color="auto"/>
              <w:right w:val="single" w:sz="4" w:space="0" w:color="auto"/>
            </w:tcBorders>
            <w:shd w:val="clear" w:color="auto" w:fill="404040" w:themeFill="text1" w:themeFillTint="BF"/>
          </w:tcPr>
          <w:p w14:paraId="6B9DD0C3" w14:textId="77777777" w:rsidR="00BA166C" w:rsidRPr="008523D4" w:rsidRDefault="00BA166C" w:rsidP="00BA166C">
            <w:pPr>
              <w:pStyle w:val="TableHeading"/>
              <w:keepNext/>
              <w:keepLines/>
              <w:rPr>
                <w:b/>
                <w:color w:val="FFFFFF" w:themeColor="background1"/>
              </w:rPr>
            </w:pPr>
          </w:p>
        </w:tc>
        <w:tc>
          <w:tcPr>
            <w:tcW w:w="827" w:type="pct"/>
            <w:tcBorders>
              <w:left w:val="single" w:sz="4" w:space="0" w:color="auto"/>
              <w:bottom w:val="single" w:sz="4" w:space="0" w:color="auto"/>
              <w:right w:val="single" w:sz="4" w:space="0" w:color="auto"/>
            </w:tcBorders>
            <w:shd w:val="clear" w:color="auto" w:fill="404040" w:themeFill="text1" w:themeFillTint="BF"/>
            <w:vAlign w:val="center"/>
          </w:tcPr>
          <w:p w14:paraId="205ECAEB" w14:textId="77777777" w:rsidR="00BA166C" w:rsidRPr="008523D4"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p>
        </w:tc>
        <w:tc>
          <w:tcPr>
            <w:tcW w:w="967" w:type="pct"/>
            <w:tcBorders>
              <w:left w:val="single" w:sz="4" w:space="0" w:color="auto"/>
              <w:bottom w:val="single" w:sz="4" w:space="0" w:color="auto"/>
              <w:right w:val="single" w:sz="4" w:space="0" w:color="auto"/>
            </w:tcBorders>
            <w:shd w:val="clear" w:color="auto" w:fill="404040" w:themeFill="text1" w:themeFillTint="BF"/>
            <w:vAlign w:val="center"/>
          </w:tcPr>
          <w:p w14:paraId="6F9B596F" w14:textId="77777777" w:rsidR="00BA166C" w:rsidRPr="008523D4"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8523D4">
              <w:rPr>
                <w:rFonts w:cs="Arial"/>
                <w:b/>
                <w:color w:val="FFFFFF" w:themeColor="background1"/>
              </w:rPr>
              <w:t>Area 1</w:t>
            </w:r>
          </w:p>
        </w:tc>
        <w:tc>
          <w:tcPr>
            <w:tcW w:w="967" w:type="pct"/>
            <w:tcBorders>
              <w:left w:val="single" w:sz="4" w:space="0" w:color="auto"/>
              <w:bottom w:val="single" w:sz="4" w:space="0" w:color="auto"/>
              <w:right w:val="single" w:sz="4" w:space="0" w:color="auto"/>
            </w:tcBorders>
            <w:shd w:val="clear" w:color="auto" w:fill="404040" w:themeFill="text1" w:themeFillTint="BF"/>
            <w:vAlign w:val="center"/>
          </w:tcPr>
          <w:p w14:paraId="35C2DCC7" w14:textId="77777777" w:rsidR="00BA166C" w:rsidRPr="008523D4"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8523D4">
              <w:rPr>
                <w:rFonts w:cs="Arial"/>
                <w:b/>
                <w:color w:val="FFFFFF" w:themeColor="background1"/>
              </w:rPr>
              <w:t xml:space="preserve">Area </w:t>
            </w:r>
            <w:r w:rsidR="00F004B8">
              <w:rPr>
                <w:rFonts w:cs="Arial"/>
                <w:b/>
                <w:color w:val="FFFFFF" w:themeColor="background1"/>
              </w:rPr>
              <w:t>1+</w:t>
            </w:r>
            <w:r w:rsidRPr="008523D4">
              <w:rPr>
                <w:rFonts w:cs="Arial"/>
                <w:b/>
                <w:color w:val="FFFFFF" w:themeColor="background1"/>
              </w:rPr>
              <w:t>2</w:t>
            </w:r>
          </w:p>
        </w:tc>
        <w:tc>
          <w:tcPr>
            <w:tcW w:w="967" w:type="pct"/>
            <w:tcBorders>
              <w:left w:val="single" w:sz="4" w:space="0" w:color="auto"/>
              <w:bottom w:val="single" w:sz="4" w:space="0" w:color="auto"/>
              <w:right w:val="single" w:sz="4" w:space="0" w:color="auto"/>
            </w:tcBorders>
            <w:shd w:val="clear" w:color="auto" w:fill="404040" w:themeFill="text1" w:themeFillTint="BF"/>
            <w:vAlign w:val="center"/>
          </w:tcPr>
          <w:p w14:paraId="0F9C960A" w14:textId="77777777" w:rsidR="00BA166C" w:rsidRPr="008523D4"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8523D4">
              <w:rPr>
                <w:rFonts w:cs="Arial"/>
                <w:b/>
                <w:color w:val="FFFFFF" w:themeColor="background1"/>
              </w:rPr>
              <w:t xml:space="preserve">Area </w:t>
            </w:r>
            <w:r w:rsidR="00F004B8">
              <w:rPr>
                <w:rFonts w:cs="Arial"/>
                <w:b/>
                <w:color w:val="FFFFFF" w:themeColor="background1"/>
              </w:rPr>
              <w:t>1+2+</w:t>
            </w:r>
            <w:r w:rsidRPr="008523D4">
              <w:rPr>
                <w:rFonts w:cs="Arial"/>
                <w:b/>
                <w:color w:val="FFFFFF" w:themeColor="background1"/>
              </w:rPr>
              <w:t>3</w:t>
            </w:r>
          </w:p>
        </w:tc>
        <w:tc>
          <w:tcPr>
            <w:tcW w:w="965" w:type="pct"/>
            <w:tcBorders>
              <w:left w:val="single" w:sz="4" w:space="0" w:color="auto"/>
              <w:bottom w:val="single" w:sz="4" w:space="0" w:color="auto"/>
              <w:right w:val="single" w:sz="4" w:space="0" w:color="auto"/>
            </w:tcBorders>
            <w:shd w:val="clear" w:color="auto" w:fill="404040" w:themeFill="text1" w:themeFillTint="BF"/>
            <w:vAlign w:val="center"/>
          </w:tcPr>
          <w:p w14:paraId="0534A5A6" w14:textId="77777777" w:rsidR="00BA166C" w:rsidRPr="008523D4" w:rsidRDefault="00BA166C" w:rsidP="00BA166C">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8523D4">
              <w:rPr>
                <w:rFonts w:cs="Arial"/>
                <w:b/>
                <w:color w:val="FFFFFF" w:themeColor="background1"/>
              </w:rPr>
              <w:t>Australia-wide</w:t>
            </w:r>
          </w:p>
        </w:tc>
      </w:tr>
      <w:tr w:rsidR="00BA166C" w:rsidRPr="008523D4" w14:paraId="05B37A44" w14:textId="77777777" w:rsidTr="003D0A18">
        <w:trPr>
          <w:cnfStyle w:val="000000100000" w:firstRow="0" w:lastRow="0" w:firstColumn="0" w:lastColumn="0" w:oddVBand="0" w:evenVBand="0" w:oddHBand="1" w:evenHBand="0" w:firstRowFirstColumn="0" w:firstRowLastColumn="0" w:lastRowFirstColumn="0" w:lastRowLastColumn="0"/>
          <w:trHeight w:val="672"/>
        </w:trPr>
        <w:tc>
          <w:tcPr>
            <w:cnfStyle w:val="001000000000" w:firstRow="0" w:lastRow="0" w:firstColumn="1" w:lastColumn="0" w:oddVBand="0" w:evenVBand="0" w:oddHBand="0" w:evenHBand="0" w:firstRowFirstColumn="0" w:firstRowLastColumn="0" w:lastRowFirstColumn="0" w:lastRowLastColumn="0"/>
            <w:tcW w:w="306" w:type="pct"/>
            <w:vMerge w:val="restart"/>
            <w:tcBorders>
              <w:left w:val="single" w:sz="4" w:space="0" w:color="auto"/>
              <w:right w:val="single" w:sz="4" w:space="0" w:color="auto"/>
            </w:tcBorders>
            <w:shd w:val="clear" w:color="auto" w:fill="FFFFFF" w:themeFill="background1"/>
            <w:textDirection w:val="btLr"/>
          </w:tcPr>
          <w:p w14:paraId="1AC3FE97" w14:textId="77777777" w:rsidR="00BA166C" w:rsidRPr="008523D4" w:rsidRDefault="00BA166C" w:rsidP="004751DD">
            <w:pPr>
              <w:pStyle w:val="TableBody"/>
              <w:keepNext/>
              <w:keepLines/>
              <w:ind w:left="113" w:right="113"/>
              <w:jc w:val="center"/>
            </w:pPr>
            <w:r w:rsidRPr="008523D4">
              <w:t>Quantifiable costs</w:t>
            </w:r>
          </w:p>
        </w:tc>
        <w:tc>
          <w:tcPr>
            <w:tcW w:w="827" w:type="pct"/>
            <w:tcBorders>
              <w:left w:val="single" w:sz="4" w:space="0" w:color="auto"/>
              <w:right w:val="single" w:sz="4" w:space="0" w:color="auto"/>
            </w:tcBorders>
            <w:shd w:val="clear" w:color="auto" w:fill="FFFFFF" w:themeFill="background1"/>
          </w:tcPr>
          <w:p w14:paraId="6C0AA21F"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b/>
              </w:rPr>
            </w:pPr>
            <w:r>
              <w:rPr>
                <w:b/>
              </w:rPr>
              <w:t>Point-to-multipoint licences</w:t>
            </w:r>
            <w:r w:rsidR="00F004B8" w:rsidRPr="00F004B8">
              <w:rPr>
                <w:b/>
                <w:vertAlign w:val="superscript"/>
              </w:rPr>
              <w:t>1</w:t>
            </w:r>
          </w:p>
        </w:tc>
        <w:tc>
          <w:tcPr>
            <w:tcW w:w="967" w:type="pct"/>
            <w:tcBorders>
              <w:left w:val="single" w:sz="4" w:space="0" w:color="auto"/>
              <w:right w:val="single" w:sz="4" w:space="0" w:color="auto"/>
            </w:tcBorders>
            <w:shd w:val="clear" w:color="auto" w:fill="FFFFFF" w:themeFill="background1"/>
          </w:tcPr>
          <w:p w14:paraId="6EFA7319"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p>
        </w:tc>
        <w:tc>
          <w:tcPr>
            <w:tcW w:w="967" w:type="pct"/>
            <w:tcBorders>
              <w:left w:val="single" w:sz="4" w:space="0" w:color="auto"/>
              <w:right w:val="single" w:sz="4" w:space="0" w:color="auto"/>
            </w:tcBorders>
            <w:shd w:val="clear" w:color="auto" w:fill="FFFFFF" w:themeFill="background1"/>
          </w:tcPr>
          <w:p w14:paraId="191E7F65"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r w:rsidRPr="008523D4">
              <w:rPr>
                <w:rFonts w:cs="Arial"/>
                <w:color w:val="000000"/>
              </w:rPr>
              <w:t>–</w:t>
            </w:r>
            <w:r>
              <w:rPr>
                <w:rFonts w:cs="Arial"/>
                <w:color w:val="000000"/>
              </w:rPr>
              <w:t>27</w:t>
            </w:r>
            <w:r w:rsidRPr="008523D4">
              <w:rPr>
                <w:rFonts w:cs="Arial"/>
                <w:color w:val="000000"/>
              </w:rPr>
              <w:t> million</w:t>
            </w:r>
          </w:p>
        </w:tc>
        <w:tc>
          <w:tcPr>
            <w:tcW w:w="967" w:type="pct"/>
            <w:tcBorders>
              <w:left w:val="single" w:sz="4" w:space="0" w:color="auto"/>
              <w:right w:val="single" w:sz="4" w:space="0" w:color="auto"/>
            </w:tcBorders>
            <w:shd w:val="clear" w:color="auto" w:fill="FFFFFF" w:themeFill="background1"/>
          </w:tcPr>
          <w:p w14:paraId="4209FC2A"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r w:rsidRPr="008523D4">
              <w:rPr>
                <w:rFonts w:cs="Arial"/>
                <w:color w:val="000000"/>
              </w:rPr>
              <w:t>–</w:t>
            </w:r>
            <w:r>
              <w:rPr>
                <w:rFonts w:cs="Arial"/>
                <w:color w:val="000000"/>
              </w:rPr>
              <w:t>59</w:t>
            </w:r>
            <w:r w:rsidRPr="008523D4">
              <w:rPr>
                <w:rFonts w:cs="Arial"/>
                <w:color w:val="000000"/>
              </w:rPr>
              <w:t> million</w:t>
            </w:r>
          </w:p>
        </w:tc>
        <w:tc>
          <w:tcPr>
            <w:tcW w:w="965" w:type="pct"/>
            <w:tcBorders>
              <w:left w:val="single" w:sz="4" w:space="0" w:color="auto"/>
              <w:right w:val="single" w:sz="4" w:space="0" w:color="auto"/>
            </w:tcBorders>
            <w:shd w:val="clear" w:color="auto" w:fill="FFFFFF" w:themeFill="background1"/>
          </w:tcPr>
          <w:p w14:paraId="141BB31F"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r w:rsidRPr="008523D4">
              <w:rPr>
                <w:rFonts w:cs="Arial"/>
                <w:color w:val="000000"/>
              </w:rPr>
              <w:t>–</w:t>
            </w:r>
            <w:r>
              <w:rPr>
                <w:rFonts w:cs="Arial"/>
                <w:color w:val="000000"/>
              </w:rPr>
              <w:t>74</w:t>
            </w:r>
            <w:r w:rsidRPr="008523D4">
              <w:rPr>
                <w:rFonts w:cs="Arial"/>
                <w:color w:val="000000"/>
              </w:rPr>
              <w:t> million</w:t>
            </w:r>
          </w:p>
        </w:tc>
      </w:tr>
      <w:tr w:rsidR="00BA166C" w:rsidRPr="008523D4" w14:paraId="1B5F79B1" w14:textId="77777777" w:rsidTr="003D0A18">
        <w:trPr>
          <w:trHeight w:val="428"/>
        </w:trPr>
        <w:tc>
          <w:tcPr>
            <w:cnfStyle w:val="001000000000" w:firstRow="0" w:lastRow="0" w:firstColumn="1" w:lastColumn="0" w:oddVBand="0" w:evenVBand="0" w:oddHBand="0" w:evenHBand="0" w:firstRowFirstColumn="0" w:firstRowLastColumn="0" w:lastRowFirstColumn="0" w:lastRowLastColumn="0"/>
            <w:tcW w:w="306" w:type="pct"/>
            <w:vMerge/>
            <w:tcBorders>
              <w:left w:val="single" w:sz="4" w:space="0" w:color="auto"/>
              <w:right w:val="single" w:sz="4" w:space="0" w:color="auto"/>
            </w:tcBorders>
            <w:shd w:val="clear" w:color="auto" w:fill="FFFFFF" w:themeFill="background1"/>
            <w:textDirection w:val="btLr"/>
          </w:tcPr>
          <w:p w14:paraId="5166398D" w14:textId="77777777" w:rsidR="00BA166C" w:rsidRPr="008523D4" w:rsidRDefault="00BA166C" w:rsidP="00BA166C">
            <w:pPr>
              <w:pStyle w:val="TableBody"/>
              <w:keepNext/>
              <w:keepLines/>
              <w:ind w:left="113" w:right="113"/>
            </w:pPr>
          </w:p>
        </w:tc>
        <w:tc>
          <w:tcPr>
            <w:tcW w:w="827" w:type="pct"/>
            <w:tcBorders>
              <w:left w:val="single" w:sz="4" w:space="0" w:color="auto"/>
              <w:right w:val="single" w:sz="4" w:space="0" w:color="auto"/>
            </w:tcBorders>
            <w:shd w:val="clear" w:color="auto" w:fill="FFFFFF" w:themeFill="background1"/>
          </w:tcPr>
          <w:p w14:paraId="59BAAE90" w14:textId="77777777" w:rsidR="00BA166C" w:rsidRPr="008523D4"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b/>
              </w:rPr>
            </w:pPr>
            <w:r w:rsidRPr="008523D4">
              <w:rPr>
                <w:b/>
              </w:rPr>
              <w:t>FSS earth receive licences</w:t>
            </w:r>
          </w:p>
        </w:tc>
        <w:tc>
          <w:tcPr>
            <w:tcW w:w="967" w:type="pct"/>
            <w:tcBorders>
              <w:left w:val="single" w:sz="4" w:space="0" w:color="auto"/>
              <w:right w:val="single" w:sz="4" w:space="0" w:color="auto"/>
            </w:tcBorders>
            <w:shd w:val="clear" w:color="auto" w:fill="FFFFFF" w:themeFill="background1"/>
          </w:tcPr>
          <w:p w14:paraId="69C7AA12"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$25–30 million</w:t>
            </w:r>
          </w:p>
        </w:tc>
        <w:tc>
          <w:tcPr>
            <w:tcW w:w="967" w:type="pct"/>
            <w:tcBorders>
              <w:left w:val="single" w:sz="4" w:space="0" w:color="auto"/>
              <w:right w:val="single" w:sz="4" w:space="0" w:color="auto"/>
            </w:tcBorders>
            <w:shd w:val="clear" w:color="auto" w:fill="FFFFFF" w:themeFill="background1"/>
          </w:tcPr>
          <w:p w14:paraId="2BD453A0"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$25–30 million</w:t>
            </w:r>
          </w:p>
        </w:tc>
        <w:tc>
          <w:tcPr>
            <w:tcW w:w="967" w:type="pct"/>
            <w:tcBorders>
              <w:left w:val="single" w:sz="4" w:space="0" w:color="auto"/>
              <w:right w:val="single" w:sz="4" w:space="0" w:color="auto"/>
            </w:tcBorders>
            <w:shd w:val="clear" w:color="auto" w:fill="FFFFFF" w:themeFill="background1"/>
          </w:tcPr>
          <w:p w14:paraId="0B98E7DC"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$45–80 million</w:t>
            </w:r>
          </w:p>
        </w:tc>
        <w:tc>
          <w:tcPr>
            <w:tcW w:w="965" w:type="pct"/>
            <w:tcBorders>
              <w:left w:val="single" w:sz="4" w:space="0" w:color="auto"/>
              <w:right w:val="single" w:sz="4" w:space="0" w:color="auto"/>
            </w:tcBorders>
            <w:shd w:val="clear" w:color="auto" w:fill="FFFFFF" w:themeFill="background1"/>
          </w:tcPr>
          <w:p w14:paraId="0403A862"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$45–80 million</w:t>
            </w:r>
          </w:p>
        </w:tc>
      </w:tr>
      <w:tr w:rsidR="00BA166C" w:rsidRPr="008523D4" w14:paraId="75BFDA0C" w14:textId="77777777" w:rsidTr="003D0A18">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306" w:type="pct"/>
            <w:vMerge/>
            <w:tcBorders>
              <w:left w:val="single" w:sz="4" w:space="0" w:color="auto"/>
              <w:right w:val="single" w:sz="4" w:space="0" w:color="auto"/>
            </w:tcBorders>
            <w:shd w:val="clear" w:color="auto" w:fill="FFFFFF" w:themeFill="background1"/>
          </w:tcPr>
          <w:p w14:paraId="38CC36B8" w14:textId="77777777" w:rsidR="00BA166C" w:rsidRPr="008523D4" w:rsidRDefault="00BA166C" w:rsidP="00BA166C">
            <w:pPr>
              <w:pStyle w:val="TableBody"/>
              <w:keepNext/>
              <w:keepLines/>
            </w:pPr>
          </w:p>
        </w:tc>
        <w:tc>
          <w:tcPr>
            <w:tcW w:w="827" w:type="pct"/>
            <w:tcBorders>
              <w:left w:val="single" w:sz="4" w:space="0" w:color="auto"/>
              <w:right w:val="single" w:sz="4" w:space="0" w:color="auto"/>
            </w:tcBorders>
            <w:shd w:val="clear" w:color="auto" w:fill="FFFFFF" w:themeFill="background1"/>
          </w:tcPr>
          <w:p w14:paraId="0D5C0C42"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b/>
              </w:rPr>
            </w:pPr>
            <w:r w:rsidRPr="008523D4">
              <w:rPr>
                <w:b/>
              </w:rPr>
              <w:t>Point-to-point licences</w:t>
            </w:r>
          </w:p>
        </w:tc>
        <w:tc>
          <w:tcPr>
            <w:tcW w:w="967" w:type="pct"/>
            <w:tcBorders>
              <w:left w:val="single" w:sz="4" w:space="0" w:color="auto"/>
              <w:right w:val="single" w:sz="4" w:space="0" w:color="auto"/>
            </w:tcBorders>
            <w:shd w:val="clear" w:color="auto" w:fill="FFFFFF" w:themeFill="background1"/>
          </w:tcPr>
          <w:p w14:paraId="1F4F0A88"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$101,000–200,000</w:t>
            </w:r>
          </w:p>
        </w:tc>
        <w:tc>
          <w:tcPr>
            <w:tcW w:w="967" w:type="pct"/>
            <w:tcBorders>
              <w:left w:val="single" w:sz="4" w:space="0" w:color="auto"/>
              <w:right w:val="single" w:sz="4" w:space="0" w:color="auto"/>
            </w:tcBorders>
            <w:shd w:val="clear" w:color="auto" w:fill="FFFFFF" w:themeFill="background1"/>
          </w:tcPr>
          <w:p w14:paraId="3653D2FB"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$705,000–1 million</w:t>
            </w:r>
          </w:p>
        </w:tc>
        <w:tc>
          <w:tcPr>
            <w:tcW w:w="967" w:type="pct"/>
            <w:tcBorders>
              <w:left w:val="single" w:sz="4" w:space="0" w:color="auto"/>
              <w:right w:val="single" w:sz="4" w:space="0" w:color="auto"/>
            </w:tcBorders>
            <w:shd w:val="clear" w:color="auto" w:fill="FFFFFF" w:themeFill="background1"/>
          </w:tcPr>
          <w:p w14:paraId="48D1BD47" w14:textId="77777777" w:rsidR="00BA166C" w:rsidRPr="008523D4" w:rsidRDefault="00BA166C" w:rsidP="004751DD">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$2–5 million</w:t>
            </w:r>
          </w:p>
        </w:tc>
        <w:tc>
          <w:tcPr>
            <w:tcW w:w="965" w:type="pct"/>
            <w:tcBorders>
              <w:left w:val="single" w:sz="4" w:space="0" w:color="auto"/>
              <w:right w:val="single" w:sz="4" w:space="0" w:color="auto"/>
            </w:tcBorders>
            <w:shd w:val="clear" w:color="auto" w:fill="FFFFFF" w:themeFill="background1"/>
          </w:tcPr>
          <w:p w14:paraId="31571B52" w14:textId="77777777" w:rsidR="00BA166C" w:rsidRPr="008523D4" w:rsidRDefault="00BA166C" w:rsidP="004751DD">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$2–5 million</w:t>
            </w:r>
          </w:p>
        </w:tc>
      </w:tr>
      <w:tr w:rsidR="00BA166C" w:rsidRPr="008523D4" w14:paraId="3CC5BAA6" w14:textId="77777777" w:rsidTr="003D0A18">
        <w:trPr>
          <w:trHeight w:val="474"/>
        </w:trPr>
        <w:tc>
          <w:tcPr>
            <w:cnfStyle w:val="001000000000" w:firstRow="0" w:lastRow="0" w:firstColumn="1" w:lastColumn="0" w:oddVBand="0" w:evenVBand="0" w:oddHBand="0" w:evenHBand="0" w:firstRowFirstColumn="0" w:firstRowLastColumn="0" w:lastRowFirstColumn="0" w:lastRowLastColumn="0"/>
            <w:tcW w:w="306" w:type="pct"/>
            <w:vMerge/>
            <w:tcBorders>
              <w:left w:val="single" w:sz="4" w:space="0" w:color="auto"/>
              <w:right w:val="single" w:sz="4" w:space="0" w:color="auto"/>
            </w:tcBorders>
            <w:shd w:val="clear" w:color="auto" w:fill="FFFFFF" w:themeFill="background1"/>
          </w:tcPr>
          <w:p w14:paraId="5C1D0694" w14:textId="77777777" w:rsidR="00BA166C" w:rsidRPr="008523D4" w:rsidRDefault="00BA166C" w:rsidP="00BA166C">
            <w:pPr>
              <w:pStyle w:val="TableBody"/>
              <w:keepNext/>
              <w:keepLines/>
            </w:pPr>
          </w:p>
        </w:tc>
        <w:tc>
          <w:tcPr>
            <w:tcW w:w="827" w:type="pct"/>
            <w:tcBorders>
              <w:left w:val="single" w:sz="4" w:space="0" w:color="auto"/>
              <w:right w:val="single" w:sz="4" w:space="0" w:color="auto"/>
            </w:tcBorders>
            <w:shd w:val="clear" w:color="auto" w:fill="FFFFFF" w:themeFill="background1"/>
          </w:tcPr>
          <w:p w14:paraId="60923E4B" w14:textId="77777777" w:rsidR="00BA166C" w:rsidRPr="008523D4"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b/>
              </w:rPr>
            </w:pPr>
            <w:r w:rsidRPr="008523D4">
              <w:rPr>
                <w:b/>
              </w:rPr>
              <w:t>Total</w:t>
            </w:r>
          </w:p>
        </w:tc>
        <w:tc>
          <w:tcPr>
            <w:tcW w:w="967" w:type="pct"/>
            <w:tcBorders>
              <w:left w:val="single" w:sz="4" w:space="0" w:color="auto"/>
              <w:right w:val="single" w:sz="4" w:space="0" w:color="auto"/>
            </w:tcBorders>
            <w:shd w:val="clear" w:color="auto" w:fill="FFFFFF" w:themeFill="background1"/>
          </w:tcPr>
          <w:p w14:paraId="656CBDFA"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$25–30 million</w:t>
            </w:r>
          </w:p>
        </w:tc>
        <w:tc>
          <w:tcPr>
            <w:tcW w:w="967" w:type="pct"/>
            <w:tcBorders>
              <w:left w:val="single" w:sz="4" w:space="0" w:color="auto"/>
              <w:right w:val="single" w:sz="4" w:space="0" w:color="auto"/>
            </w:tcBorders>
            <w:shd w:val="clear" w:color="auto" w:fill="FFFFFF" w:themeFill="background1"/>
          </w:tcPr>
          <w:p w14:paraId="17C10DE5"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$26–</w:t>
            </w:r>
            <w:r>
              <w:rPr>
                <w:rFonts w:cs="Arial"/>
                <w:color w:val="000000"/>
              </w:rPr>
              <w:t>59</w:t>
            </w:r>
            <w:r w:rsidRPr="008523D4">
              <w:rPr>
                <w:rFonts w:cs="Arial"/>
                <w:color w:val="000000"/>
              </w:rPr>
              <w:t> million</w:t>
            </w:r>
          </w:p>
        </w:tc>
        <w:tc>
          <w:tcPr>
            <w:tcW w:w="967" w:type="pct"/>
            <w:tcBorders>
              <w:left w:val="single" w:sz="4" w:space="0" w:color="auto"/>
              <w:right w:val="single" w:sz="4" w:space="0" w:color="auto"/>
            </w:tcBorders>
            <w:shd w:val="clear" w:color="auto" w:fill="FFFFFF" w:themeFill="background1"/>
          </w:tcPr>
          <w:p w14:paraId="643EB726"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$47–</w:t>
            </w:r>
            <w:r>
              <w:rPr>
                <w:rFonts w:cs="Arial"/>
                <w:color w:val="000000"/>
              </w:rPr>
              <w:t>144</w:t>
            </w:r>
            <w:r w:rsidRPr="008523D4">
              <w:rPr>
                <w:rFonts w:cs="Arial"/>
                <w:color w:val="000000"/>
              </w:rPr>
              <w:t> million</w:t>
            </w:r>
          </w:p>
        </w:tc>
        <w:tc>
          <w:tcPr>
            <w:tcW w:w="965" w:type="pct"/>
            <w:tcBorders>
              <w:left w:val="single" w:sz="4" w:space="0" w:color="auto"/>
              <w:right w:val="single" w:sz="4" w:space="0" w:color="auto"/>
            </w:tcBorders>
            <w:shd w:val="clear" w:color="auto" w:fill="FFFFFF" w:themeFill="background1"/>
          </w:tcPr>
          <w:p w14:paraId="5505060B" w14:textId="77777777" w:rsidR="00BA166C" w:rsidRPr="008523D4" w:rsidRDefault="00BA166C" w:rsidP="004751DD">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$47–</w:t>
            </w:r>
            <w:r>
              <w:rPr>
                <w:rFonts w:cs="Arial"/>
                <w:color w:val="000000"/>
              </w:rPr>
              <w:t>1</w:t>
            </w:r>
            <w:r w:rsidRPr="008523D4">
              <w:rPr>
                <w:rFonts w:cs="Arial"/>
                <w:color w:val="000000"/>
              </w:rPr>
              <w:t>5</w:t>
            </w:r>
            <w:r>
              <w:rPr>
                <w:rFonts w:cs="Arial"/>
                <w:color w:val="000000"/>
              </w:rPr>
              <w:t>9</w:t>
            </w:r>
            <w:r w:rsidRPr="008523D4">
              <w:rPr>
                <w:rFonts w:cs="Arial"/>
                <w:color w:val="000000"/>
              </w:rPr>
              <w:t> million</w:t>
            </w:r>
          </w:p>
        </w:tc>
      </w:tr>
      <w:tr w:rsidR="00BA166C" w:rsidRPr="008523D4" w14:paraId="69D83081" w14:textId="77777777" w:rsidTr="003D0A18">
        <w:trPr>
          <w:cnfStyle w:val="000000100000" w:firstRow="0" w:lastRow="0" w:firstColumn="0" w:lastColumn="0" w:oddVBand="0" w:evenVBand="0" w:oddHBand="1" w:evenHBand="0" w:firstRowFirstColumn="0" w:firstRowLastColumn="0" w:lastRowFirstColumn="0" w:lastRowLastColumn="0"/>
          <w:trHeight w:val="915"/>
        </w:trPr>
        <w:tc>
          <w:tcPr>
            <w:cnfStyle w:val="001000000000" w:firstRow="0" w:lastRow="0" w:firstColumn="1" w:lastColumn="0" w:oddVBand="0" w:evenVBand="0" w:oddHBand="0" w:evenHBand="0" w:firstRowFirstColumn="0" w:firstRowLastColumn="0" w:lastRowFirstColumn="0" w:lastRowLastColumn="0"/>
            <w:tcW w:w="306" w:type="pct"/>
            <w:vMerge w:val="restart"/>
            <w:tcBorders>
              <w:left w:val="single" w:sz="4" w:space="0" w:color="auto"/>
              <w:right w:val="single" w:sz="4" w:space="0" w:color="auto"/>
            </w:tcBorders>
            <w:shd w:val="clear" w:color="auto" w:fill="FFFFFF" w:themeFill="background1"/>
            <w:textDirection w:val="btLr"/>
            <w:vAlign w:val="center"/>
          </w:tcPr>
          <w:p w14:paraId="0896464E" w14:textId="77777777" w:rsidR="00BA166C" w:rsidRPr="008523D4" w:rsidRDefault="00BA166C" w:rsidP="004751DD">
            <w:pPr>
              <w:pStyle w:val="TableBody"/>
              <w:keepNext/>
              <w:keepLines/>
              <w:ind w:left="113" w:right="113"/>
              <w:jc w:val="center"/>
            </w:pPr>
            <w:r w:rsidRPr="008523D4">
              <w:t>Unquantifiable costs</w:t>
            </w:r>
          </w:p>
        </w:tc>
        <w:tc>
          <w:tcPr>
            <w:tcW w:w="827" w:type="pct"/>
            <w:tcBorders>
              <w:left w:val="single" w:sz="4" w:space="0" w:color="auto"/>
              <w:right w:val="single" w:sz="4" w:space="0" w:color="auto"/>
            </w:tcBorders>
            <w:shd w:val="clear" w:color="auto" w:fill="FFFFFF" w:themeFill="background1"/>
          </w:tcPr>
          <w:p w14:paraId="0813C334" w14:textId="77777777" w:rsidR="00BA166C" w:rsidRPr="008523D4" w:rsidRDefault="00BA166C" w:rsidP="00BA166C">
            <w:pPr>
              <w:pStyle w:val="TableBody"/>
              <w:keepNext/>
              <w:keepLines/>
              <w:cnfStyle w:val="000000100000" w:firstRow="0" w:lastRow="0" w:firstColumn="0" w:lastColumn="0" w:oddVBand="0" w:evenVBand="0" w:oddHBand="1" w:evenHBand="0" w:firstRowFirstColumn="0" w:firstRowLastColumn="0" w:lastRowFirstColumn="0" w:lastRowLastColumn="0"/>
              <w:rPr>
                <w:b/>
              </w:rPr>
            </w:pPr>
            <w:r w:rsidRPr="008523D4">
              <w:rPr>
                <w:b/>
              </w:rPr>
              <w:t>Point-to-multipoint licences</w:t>
            </w:r>
          </w:p>
        </w:tc>
        <w:tc>
          <w:tcPr>
            <w:tcW w:w="3867" w:type="pct"/>
            <w:gridSpan w:val="4"/>
            <w:tcBorders>
              <w:left w:val="single" w:sz="4" w:space="0" w:color="auto"/>
              <w:right w:val="single" w:sz="4" w:space="0" w:color="auto"/>
            </w:tcBorders>
            <w:shd w:val="clear" w:color="auto" w:fill="FFFFFF" w:themeFill="background1"/>
          </w:tcPr>
          <w:p w14:paraId="79346373" w14:textId="77777777" w:rsidR="00BA166C" w:rsidRPr="008523D4" w:rsidRDefault="00BA166C" w:rsidP="00CB5A70">
            <w:pPr>
              <w:pStyle w:val="TableBody"/>
              <w:cnfStyle w:val="000000100000" w:firstRow="0" w:lastRow="0" w:firstColumn="0" w:lastColumn="0" w:oddVBand="0" w:evenVBand="0" w:oddHBand="1" w:evenHBand="0" w:firstRowFirstColumn="0" w:firstRowLastColumn="0" w:lastRowFirstColumn="0" w:lastRowLastColumn="0"/>
            </w:pPr>
            <w:r>
              <w:t>If l</w:t>
            </w:r>
            <w:r w:rsidRPr="008523D4">
              <w:t xml:space="preserve">icensees are </w:t>
            </w:r>
            <w:r>
              <w:t>un</w:t>
            </w:r>
            <w:r w:rsidRPr="008523D4">
              <w:t>able to relocate to a different spectrum band</w:t>
            </w:r>
            <w:r w:rsidR="00A22FEC">
              <w:t xml:space="preserve"> following the re-allocation period</w:t>
            </w:r>
            <w:r>
              <w:t xml:space="preserve"> </w:t>
            </w:r>
            <w:r w:rsidR="00CB5A70">
              <w:t>and</w:t>
            </w:r>
            <w:r w:rsidR="00CB5A70" w:rsidRPr="008523D4">
              <w:t xml:space="preserve"> output falls, </w:t>
            </w:r>
            <w:r w:rsidR="00CB5A70">
              <w:t xml:space="preserve">then </w:t>
            </w:r>
            <w:r w:rsidR="00CB5A70" w:rsidRPr="008523D4">
              <w:t>there will be a</w:t>
            </w:r>
            <w:r w:rsidR="00CB5A70">
              <w:t>n unquantified</w:t>
            </w:r>
            <w:r w:rsidR="00CB5A70" w:rsidRPr="008523D4">
              <w:t xml:space="preserve"> reduction in consumer surplus and a reduction in broader social net benefits.</w:t>
            </w:r>
            <w:r w:rsidR="00CB5A70">
              <w:t xml:space="preserve"> These </w:t>
            </w:r>
            <w:r>
              <w:t>unquantifi</w:t>
            </w:r>
            <w:r w:rsidR="00CB5A70">
              <w:t>ed</w:t>
            </w:r>
            <w:r>
              <w:t xml:space="preserve"> costs would replace the quantifiable costs above</w:t>
            </w:r>
            <w:r w:rsidRPr="008523D4">
              <w:t xml:space="preserve">. </w:t>
            </w:r>
          </w:p>
        </w:tc>
      </w:tr>
      <w:tr w:rsidR="00BA166C" w:rsidRPr="008523D4" w14:paraId="39A08A34" w14:textId="77777777" w:rsidTr="003D0A18">
        <w:trPr>
          <w:trHeight w:val="1668"/>
        </w:trPr>
        <w:tc>
          <w:tcPr>
            <w:cnfStyle w:val="001000000000" w:firstRow="0" w:lastRow="0" w:firstColumn="1" w:lastColumn="0" w:oddVBand="0" w:evenVBand="0" w:oddHBand="0" w:evenHBand="0" w:firstRowFirstColumn="0" w:firstRowLastColumn="0" w:lastRowFirstColumn="0" w:lastRowLastColumn="0"/>
            <w:tcW w:w="306" w:type="pct"/>
            <w:vMerge/>
            <w:tcBorders>
              <w:left w:val="single" w:sz="4" w:space="0" w:color="auto"/>
              <w:right w:val="single" w:sz="4" w:space="0" w:color="auto"/>
            </w:tcBorders>
            <w:shd w:val="clear" w:color="auto" w:fill="FFFFFF" w:themeFill="background1"/>
          </w:tcPr>
          <w:p w14:paraId="25C9BD46" w14:textId="77777777" w:rsidR="00BA166C" w:rsidRPr="008523D4" w:rsidRDefault="00BA166C" w:rsidP="00BA166C">
            <w:pPr>
              <w:pStyle w:val="TableBody"/>
              <w:keepNext/>
              <w:keepLines/>
            </w:pPr>
          </w:p>
        </w:tc>
        <w:tc>
          <w:tcPr>
            <w:tcW w:w="827" w:type="pct"/>
            <w:tcBorders>
              <w:left w:val="single" w:sz="4" w:space="0" w:color="auto"/>
              <w:right w:val="single" w:sz="4" w:space="0" w:color="auto"/>
            </w:tcBorders>
            <w:shd w:val="clear" w:color="auto" w:fill="FFFFFF" w:themeFill="background1"/>
          </w:tcPr>
          <w:p w14:paraId="476EFC4C" w14:textId="77777777" w:rsidR="00BA166C" w:rsidRPr="008523D4"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rPr>
                <w:b/>
              </w:rPr>
            </w:pPr>
            <w:r w:rsidRPr="008523D4">
              <w:rPr>
                <w:b/>
              </w:rPr>
              <w:t>FSS earth receive licences</w:t>
            </w:r>
          </w:p>
        </w:tc>
        <w:tc>
          <w:tcPr>
            <w:tcW w:w="3867" w:type="pct"/>
            <w:gridSpan w:val="4"/>
            <w:tcBorders>
              <w:left w:val="single" w:sz="4" w:space="0" w:color="auto"/>
              <w:right w:val="single" w:sz="4" w:space="0" w:color="auto"/>
            </w:tcBorders>
            <w:shd w:val="clear" w:color="auto" w:fill="FFFFFF" w:themeFill="background1"/>
          </w:tcPr>
          <w:p w14:paraId="07D1CF99" w14:textId="77777777" w:rsidR="00BA166C" w:rsidRPr="008523D4" w:rsidRDefault="00BA166C" w:rsidP="00CA238A">
            <w:pPr>
              <w:keepNext/>
              <w:keepLines/>
              <w:spacing w:after="80"/>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b/>
                <w:color w:val="000000"/>
              </w:rPr>
              <w:t>Areas 1</w:t>
            </w:r>
            <w:r w:rsidR="004751DD">
              <w:rPr>
                <w:rFonts w:cs="Arial"/>
                <w:b/>
                <w:color w:val="000000"/>
              </w:rPr>
              <w:t>–</w:t>
            </w:r>
            <w:r w:rsidRPr="008523D4">
              <w:rPr>
                <w:rFonts w:cs="Arial"/>
                <w:b/>
                <w:color w:val="000000"/>
              </w:rPr>
              <w:t xml:space="preserve">3. </w:t>
            </w:r>
            <w:r w:rsidRPr="008523D4">
              <w:rPr>
                <w:rFonts w:cs="Arial"/>
                <w:color w:val="000000"/>
              </w:rPr>
              <w:t>Telstra may incur some modest costs associated with retuning antennas to above 3700 MHz.</w:t>
            </w:r>
          </w:p>
          <w:p w14:paraId="1715C7D9" w14:textId="77777777" w:rsidR="00BA166C" w:rsidRPr="008523D4" w:rsidRDefault="00BA166C" w:rsidP="00BA166C">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b/>
                <w:color w:val="000000"/>
              </w:rPr>
              <w:t xml:space="preserve">Remote areas. </w:t>
            </w:r>
            <w:r w:rsidRPr="008523D4">
              <w:rPr>
                <w:rFonts w:cs="Arial"/>
                <w:color w:val="000000"/>
              </w:rPr>
              <w:t>If the ACMA spectrum licences the band Australia</w:t>
            </w:r>
            <w:r w:rsidR="004751DD">
              <w:rPr>
                <w:rFonts w:cs="Arial"/>
                <w:color w:val="000000"/>
              </w:rPr>
              <w:t>-</w:t>
            </w:r>
            <w:r w:rsidRPr="008523D4">
              <w:rPr>
                <w:rFonts w:cs="Arial"/>
                <w:color w:val="000000"/>
              </w:rPr>
              <w:t>wide, then</w:t>
            </w:r>
            <w:r w:rsidRPr="0020055D">
              <w:rPr>
                <w:rFonts w:cs="Arial"/>
                <w:b/>
                <w:color w:val="000000"/>
              </w:rPr>
              <w:t xml:space="preserve"> </w:t>
            </w:r>
            <w:r w:rsidRPr="0020055D">
              <w:rPr>
                <w:rFonts w:cs="Arial"/>
                <w:color w:val="000000"/>
              </w:rPr>
              <w:t xml:space="preserve">Atwood Oceanics Pacific </w:t>
            </w:r>
            <w:r w:rsidRPr="008523D4">
              <w:rPr>
                <w:rFonts w:cs="Arial"/>
                <w:color w:val="000000"/>
              </w:rPr>
              <w:t>incurs an unquantifiable cost.</w:t>
            </w:r>
            <w:r>
              <w:rPr>
                <w:rFonts w:cs="Arial"/>
                <w:color w:val="000000"/>
              </w:rPr>
              <w:t xml:space="preserve"> </w:t>
            </w:r>
            <w:r w:rsidRPr="008523D4">
              <w:rPr>
                <w:rFonts w:cs="Arial"/>
                <w:color w:val="000000"/>
              </w:rPr>
              <w:t xml:space="preserve">However, if spectrum licensing only applies to </w:t>
            </w:r>
            <w:r w:rsidR="004751DD">
              <w:rPr>
                <w:rFonts w:cs="Arial"/>
                <w:color w:val="000000"/>
              </w:rPr>
              <w:t>a</w:t>
            </w:r>
            <w:r w:rsidRPr="008523D4">
              <w:rPr>
                <w:rFonts w:cs="Arial"/>
                <w:color w:val="000000"/>
              </w:rPr>
              <w:t>rea 1, 2 or 3, then Atwood Oceanics Pacific’s access to spectrum is unaffected, and they incur no costs as a result of re-farming.</w:t>
            </w:r>
          </w:p>
        </w:tc>
      </w:tr>
    </w:tbl>
    <w:p w14:paraId="5EE2B379" w14:textId="77777777" w:rsidR="00F004B8" w:rsidRPr="00525167" w:rsidRDefault="00F004B8" w:rsidP="00CA238A">
      <w:pPr>
        <w:pStyle w:val="ACMASpaceaftertable"/>
        <w:spacing w:before="120" w:after="0" w:line="200" w:lineRule="atLeast"/>
        <w:ind w:left="284" w:hanging="284"/>
        <w:rPr>
          <w:sz w:val="16"/>
          <w:szCs w:val="16"/>
        </w:rPr>
      </w:pPr>
      <w:r>
        <w:rPr>
          <w:sz w:val="16"/>
          <w:szCs w:val="16"/>
        </w:rPr>
        <w:t>1</w:t>
      </w:r>
      <w:r>
        <w:rPr>
          <w:sz w:val="16"/>
          <w:szCs w:val="16"/>
        </w:rPr>
        <w:tab/>
      </w:r>
      <w:r w:rsidRPr="00CA238A">
        <w:rPr>
          <w:i/>
          <w:sz w:val="16"/>
          <w:szCs w:val="16"/>
        </w:rPr>
        <w:t>Lower bound costs of zero, while unlikely, would occur if incumbents were able to secure access to the 3.6 GHz band via third</w:t>
      </w:r>
      <w:r w:rsidR="004751DD" w:rsidRPr="00CA238A">
        <w:rPr>
          <w:i/>
          <w:sz w:val="16"/>
          <w:szCs w:val="16"/>
        </w:rPr>
        <w:t>-</w:t>
      </w:r>
      <w:r w:rsidRPr="00CA238A">
        <w:rPr>
          <w:i/>
          <w:sz w:val="16"/>
          <w:szCs w:val="16"/>
        </w:rPr>
        <w:t>party authorisation</w:t>
      </w:r>
      <w:r w:rsidR="00CB5A70" w:rsidRPr="00CA238A">
        <w:rPr>
          <w:i/>
          <w:sz w:val="16"/>
          <w:szCs w:val="16"/>
        </w:rPr>
        <w:t>,</w:t>
      </w:r>
      <w:r w:rsidRPr="00CA238A">
        <w:rPr>
          <w:i/>
          <w:sz w:val="16"/>
          <w:szCs w:val="16"/>
        </w:rPr>
        <w:t xml:space="preserve"> </w:t>
      </w:r>
      <w:r w:rsidR="00CB5A70" w:rsidRPr="00CA238A">
        <w:rPr>
          <w:i/>
          <w:sz w:val="16"/>
          <w:szCs w:val="16"/>
        </w:rPr>
        <w:t>or if they were able to time moving to the 5.6 GHz band with their equipment replacement cycle, and not incur additional equipment costs.</w:t>
      </w:r>
      <w:r w:rsidR="00336E17">
        <w:rPr>
          <w:sz w:val="16"/>
          <w:szCs w:val="16"/>
        </w:rPr>
        <w:t xml:space="preserve"> </w:t>
      </w:r>
      <w:r w:rsidRPr="00525167">
        <w:rPr>
          <w:sz w:val="16"/>
          <w:szCs w:val="16"/>
        </w:rPr>
        <w:t xml:space="preserve"> </w:t>
      </w:r>
    </w:p>
    <w:p w14:paraId="3A0C06D8" w14:textId="77777777" w:rsidR="00CA238A" w:rsidRDefault="00CA238A" w:rsidP="00CA238A">
      <w:pPr>
        <w:pStyle w:val="ACMASpaceaftertable"/>
      </w:pPr>
    </w:p>
    <w:p w14:paraId="7A6F56CB" w14:textId="77777777" w:rsidR="00A61245" w:rsidRDefault="00E2469F" w:rsidP="004751DD">
      <w:pPr>
        <w:pStyle w:val="ACMASpaceaftertable"/>
        <w:spacing w:after="80"/>
      </w:pPr>
      <w:r>
        <w:t>The number of</w:t>
      </w:r>
      <w:r w:rsidR="007B3E0D">
        <w:t xml:space="preserve"> </w:t>
      </w:r>
      <w:r w:rsidR="00A61245">
        <w:t>point-to-multipoint licences</w:t>
      </w:r>
      <w:r w:rsidR="007B3E0D">
        <w:t xml:space="preserve"> </w:t>
      </w:r>
      <w:r>
        <w:t>affected by re</w:t>
      </w:r>
      <w:r w:rsidR="00CB31D4">
        <w:t>-</w:t>
      </w:r>
      <w:r>
        <w:t>farming is</w:t>
      </w:r>
      <w:r w:rsidR="007B3E0D">
        <w:t xml:space="preserve">: </w:t>
      </w:r>
    </w:p>
    <w:p w14:paraId="1C61B125" w14:textId="77777777" w:rsidR="00A61245" w:rsidRDefault="00A61245" w:rsidP="006136DC">
      <w:pPr>
        <w:pStyle w:val="ListBullet"/>
        <w:numPr>
          <w:ilvl w:val="0"/>
          <w:numId w:val="1"/>
        </w:numPr>
      </w:pPr>
      <w:r>
        <w:t>122 licences in Area 2, including 87 WISP and 35 non-WISP licences</w:t>
      </w:r>
    </w:p>
    <w:p w14:paraId="6AD5949B" w14:textId="77777777" w:rsidR="00A61245" w:rsidRDefault="00A61245" w:rsidP="006136DC">
      <w:pPr>
        <w:pStyle w:val="ListBullet"/>
        <w:numPr>
          <w:ilvl w:val="0"/>
          <w:numId w:val="1"/>
        </w:numPr>
      </w:pPr>
      <w:r>
        <w:t>171 licences in Area 3, including 80 WISP and 91 non-WISP licences</w:t>
      </w:r>
    </w:p>
    <w:p w14:paraId="1EB2F90B" w14:textId="77777777" w:rsidR="00A61245" w:rsidRDefault="00A61245" w:rsidP="004751DD">
      <w:pPr>
        <w:pStyle w:val="ListBulletLast"/>
      </w:pPr>
      <w:r>
        <w:t xml:space="preserve">120 </w:t>
      </w:r>
      <w:r w:rsidRPr="006136DC">
        <w:rPr>
          <w:szCs w:val="20"/>
          <w:lang w:eastAsia="en-US"/>
        </w:rPr>
        <w:t>licences</w:t>
      </w:r>
      <w:r>
        <w:t xml:space="preserve"> </w:t>
      </w:r>
      <w:r w:rsidR="00A76341">
        <w:t>in remote areas</w:t>
      </w:r>
      <w:r>
        <w:t xml:space="preserve">, including </w:t>
      </w:r>
      <w:r w:rsidR="004751DD">
        <w:t>seven</w:t>
      </w:r>
      <w:r>
        <w:t xml:space="preserve"> WISP and 113 non-WISP licences.</w:t>
      </w:r>
    </w:p>
    <w:p w14:paraId="5308E2DA" w14:textId="77777777" w:rsidR="007B3E0D" w:rsidRDefault="007B3E0D" w:rsidP="004751DD">
      <w:r>
        <w:t>Table</w:t>
      </w:r>
      <w:r w:rsidR="004751DD">
        <w:t xml:space="preserve"> 8</w:t>
      </w:r>
      <w:r>
        <w:t xml:space="preserve"> outlines the marginal increases in quantifiable incremental costs if the geographic area is expanded.</w:t>
      </w:r>
    </w:p>
    <w:p w14:paraId="16F3A674" w14:textId="77777777" w:rsidR="001D665A" w:rsidRPr="008523D4" w:rsidRDefault="001D665A" w:rsidP="001D665A">
      <w:pPr>
        <w:pStyle w:val="ACMATableHeader"/>
        <w:keepNext/>
        <w:keepLines/>
        <w:spacing w:line="240" w:lineRule="atLeast"/>
      </w:pPr>
      <w:r>
        <w:t xml:space="preserve">Marginal </w:t>
      </w:r>
      <w:r w:rsidR="00A61245">
        <w:t xml:space="preserve">quantifiable </w:t>
      </w:r>
      <w:r>
        <w:t>i</w:t>
      </w:r>
      <w:r w:rsidRPr="008523D4">
        <w:t>ncremental costs of displacing all incumbent licences from the 3.6 GHz band</w:t>
      </w:r>
      <w:r w:rsidR="005E5D7B">
        <w:t xml:space="preserve"> for each area</w:t>
      </w:r>
    </w:p>
    <w:tbl>
      <w:tblPr>
        <w:tblStyle w:val="ListTable1Light"/>
        <w:tblW w:w="4993" w:type="pct"/>
        <w:tblBorders>
          <w:top w:val="single" w:sz="4" w:space="0" w:color="auto"/>
          <w:bottom w:val="single" w:sz="4" w:space="0" w:color="auto"/>
          <w:insideH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8"/>
        <w:tblDescription w:val="Marginal quantifiable incremental costs of displacing all incumbent licences from the 3.6 GHz band"/>
      </w:tblPr>
      <w:tblGrid>
        <w:gridCol w:w="1414"/>
        <w:gridCol w:w="1559"/>
        <w:gridCol w:w="1559"/>
        <w:gridCol w:w="1559"/>
        <w:gridCol w:w="1559"/>
      </w:tblGrid>
      <w:tr w:rsidR="00A61245" w:rsidRPr="008523D4" w14:paraId="3F882F6B" w14:textId="77777777" w:rsidTr="004751D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24" w:type="pct"/>
            <w:tcBorders>
              <w:left w:val="single" w:sz="4" w:space="0" w:color="auto"/>
              <w:bottom w:val="single" w:sz="4" w:space="0" w:color="auto"/>
              <w:right w:val="single" w:sz="4" w:space="0" w:color="auto"/>
            </w:tcBorders>
            <w:shd w:val="clear" w:color="auto" w:fill="404040" w:themeFill="text1" w:themeFillTint="BF"/>
            <w:vAlign w:val="center"/>
          </w:tcPr>
          <w:p w14:paraId="1C458124" w14:textId="77777777" w:rsidR="00A61245" w:rsidRPr="008523D4" w:rsidRDefault="00A61245" w:rsidP="001D665A">
            <w:pPr>
              <w:pStyle w:val="TableHeading"/>
              <w:keepNext/>
              <w:keepLines/>
              <w:rPr>
                <w:b/>
                <w:color w:val="FFFFFF" w:themeColor="background1"/>
              </w:rPr>
            </w:pPr>
          </w:p>
        </w:tc>
        <w:tc>
          <w:tcPr>
            <w:tcW w:w="1019" w:type="pct"/>
            <w:tcBorders>
              <w:left w:val="single" w:sz="4" w:space="0" w:color="auto"/>
              <w:bottom w:val="single" w:sz="4" w:space="0" w:color="auto"/>
              <w:right w:val="single" w:sz="4" w:space="0" w:color="auto"/>
            </w:tcBorders>
            <w:shd w:val="clear" w:color="auto" w:fill="404040" w:themeFill="text1" w:themeFillTint="BF"/>
            <w:vAlign w:val="center"/>
          </w:tcPr>
          <w:p w14:paraId="3178031E" w14:textId="77777777" w:rsidR="00A61245" w:rsidRPr="008523D4" w:rsidRDefault="00A61245" w:rsidP="001D665A">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8523D4">
              <w:rPr>
                <w:rFonts w:cs="Arial"/>
                <w:b/>
                <w:color w:val="FFFFFF" w:themeColor="background1"/>
              </w:rPr>
              <w:t>Area 1</w:t>
            </w:r>
          </w:p>
        </w:tc>
        <w:tc>
          <w:tcPr>
            <w:tcW w:w="1019" w:type="pct"/>
            <w:tcBorders>
              <w:left w:val="single" w:sz="4" w:space="0" w:color="auto"/>
              <w:bottom w:val="single" w:sz="4" w:space="0" w:color="auto"/>
              <w:right w:val="single" w:sz="4" w:space="0" w:color="auto"/>
            </w:tcBorders>
            <w:shd w:val="clear" w:color="auto" w:fill="404040" w:themeFill="text1" w:themeFillTint="BF"/>
            <w:vAlign w:val="center"/>
          </w:tcPr>
          <w:p w14:paraId="641C62D9" w14:textId="77777777" w:rsidR="00A61245" w:rsidRPr="008523D4" w:rsidRDefault="00A61245" w:rsidP="001D665A">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rPr>
              <w:t>Area 2</w:t>
            </w:r>
            <w:r>
              <w:rPr>
                <w:rFonts w:cs="Arial"/>
                <w:b/>
                <w:color w:val="FFFFFF"/>
              </w:rPr>
              <w:t xml:space="preserve"> </w:t>
            </w:r>
          </w:p>
        </w:tc>
        <w:tc>
          <w:tcPr>
            <w:tcW w:w="1019" w:type="pct"/>
            <w:tcBorders>
              <w:left w:val="single" w:sz="4" w:space="0" w:color="auto"/>
              <w:bottom w:val="single" w:sz="4" w:space="0" w:color="auto"/>
              <w:right w:val="single" w:sz="4" w:space="0" w:color="auto"/>
            </w:tcBorders>
            <w:shd w:val="clear" w:color="auto" w:fill="404040" w:themeFill="text1" w:themeFillTint="BF"/>
            <w:vAlign w:val="center"/>
          </w:tcPr>
          <w:p w14:paraId="30090D94" w14:textId="77777777" w:rsidR="00A61245" w:rsidRPr="008523D4" w:rsidRDefault="00A61245" w:rsidP="001D665A">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sidRPr="00243D03">
              <w:rPr>
                <w:rFonts w:cs="Arial"/>
                <w:b/>
                <w:color w:val="FFFFFF"/>
              </w:rPr>
              <w:t>Area 3</w:t>
            </w:r>
            <w:r>
              <w:rPr>
                <w:rFonts w:cs="Arial"/>
                <w:b/>
                <w:color w:val="FFFFFF"/>
              </w:rPr>
              <w:t xml:space="preserve"> </w:t>
            </w:r>
          </w:p>
        </w:tc>
        <w:tc>
          <w:tcPr>
            <w:tcW w:w="1020" w:type="pct"/>
            <w:tcBorders>
              <w:left w:val="single" w:sz="4" w:space="0" w:color="auto"/>
              <w:bottom w:val="single" w:sz="4" w:space="0" w:color="auto"/>
              <w:right w:val="single" w:sz="4" w:space="0" w:color="auto"/>
            </w:tcBorders>
            <w:shd w:val="clear" w:color="auto" w:fill="404040" w:themeFill="text1" w:themeFillTint="BF"/>
            <w:vAlign w:val="center"/>
          </w:tcPr>
          <w:p w14:paraId="665AAC13" w14:textId="77777777" w:rsidR="00A61245" w:rsidRPr="008523D4" w:rsidRDefault="00A76341" w:rsidP="001D665A">
            <w:pPr>
              <w:pStyle w:val="TableHeading"/>
              <w:keepNext/>
              <w:keepLines/>
              <w:cnfStyle w:val="100000000000" w:firstRow="1" w:lastRow="0" w:firstColumn="0" w:lastColumn="0" w:oddVBand="0" w:evenVBand="0" w:oddHBand="0" w:evenHBand="0" w:firstRowFirstColumn="0" w:firstRowLastColumn="0" w:lastRowFirstColumn="0" w:lastRowLastColumn="0"/>
              <w:rPr>
                <w:b/>
                <w:color w:val="FFFFFF" w:themeColor="background1"/>
              </w:rPr>
            </w:pPr>
            <w:r>
              <w:rPr>
                <w:rFonts w:cs="Arial"/>
                <w:b/>
                <w:color w:val="FFFFFF"/>
              </w:rPr>
              <w:t>Remote areas</w:t>
            </w:r>
          </w:p>
        </w:tc>
      </w:tr>
      <w:tr w:rsidR="00A61245" w:rsidRPr="008523D4" w14:paraId="0A8ABA32" w14:textId="77777777" w:rsidTr="003D0A18">
        <w:trPr>
          <w:cnfStyle w:val="000000100000" w:firstRow="0" w:lastRow="0" w:firstColumn="0" w:lastColumn="0" w:oddVBand="0" w:evenVBand="0" w:oddHBand="1"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924" w:type="pct"/>
            <w:tcBorders>
              <w:left w:val="single" w:sz="4" w:space="0" w:color="auto"/>
              <w:right w:val="single" w:sz="4" w:space="0" w:color="auto"/>
            </w:tcBorders>
            <w:shd w:val="clear" w:color="auto" w:fill="FFFFFF" w:themeFill="background1"/>
          </w:tcPr>
          <w:p w14:paraId="668FDF88" w14:textId="77777777" w:rsidR="00A61245" w:rsidRPr="00A61245" w:rsidRDefault="00A61245" w:rsidP="001D665A">
            <w:pPr>
              <w:pStyle w:val="TableBody"/>
              <w:keepNext/>
              <w:keepLines/>
            </w:pPr>
            <w:r w:rsidRPr="00A61245">
              <w:t>Point-to-multipoint licences</w:t>
            </w:r>
          </w:p>
        </w:tc>
        <w:tc>
          <w:tcPr>
            <w:tcW w:w="1019" w:type="pct"/>
            <w:tcBorders>
              <w:left w:val="single" w:sz="4" w:space="0" w:color="auto"/>
              <w:right w:val="single" w:sz="4" w:space="0" w:color="auto"/>
            </w:tcBorders>
            <w:shd w:val="clear" w:color="auto" w:fill="FFFFFF" w:themeFill="background1"/>
          </w:tcPr>
          <w:p w14:paraId="387F3F12"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p>
        </w:tc>
        <w:tc>
          <w:tcPr>
            <w:tcW w:w="1019" w:type="pct"/>
            <w:tcBorders>
              <w:left w:val="single" w:sz="4" w:space="0" w:color="auto"/>
              <w:right w:val="single" w:sz="4" w:space="0" w:color="auto"/>
            </w:tcBorders>
            <w:shd w:val="clear" w:color="auto" w:fill="FFFFFF" w:themeFill="background1"/>
          </w:tcPr>
          <w:p w14:paraId="04A36724"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r w:rsidRPr="008523D4">
              <w:rPr>
                <w:rFonts w:cs="Arial"/>
                <w:color w:val="000000"/>
              </w:rPr>
              <w:t>–</w:t>
            </w:r>
            <w:r>
              <w:rPr>
                <w:rFonts w:cs="Arial"/>
                <w:color w:val="000000"/>
              </w:rPr>
              <w:t>27</w:t>
            </w:r>
            <w:r w:rsidRPr="008523D4">
              <w:rPr>
                <w:rFonts w:cs="Arial"/>
                <w:color w:val="000000"/>
              </w:rPr>
              <w:t> million</w:t>
            </w:r>
          </w:p>
        </w:tc>
        <w:tc>
          <w:tcPr>
            <w:tcW w:w="1019" w:type="pct"/>
            <w:tcBorders>
              <w:left w:val="single" w:sz="4" w:space="0" w:color="auto"/>
              <w:right w:val="single" w:sz="4" w:space="0" w:color="auto"/>
            </w:tcBorders>
            <w:shd w:val="clear" w:color="auto" w:fill="FFFFFF" w:themeFill="background1"/>
          </w:tcPr>
          <w:p w14:paraId="0BB87C24"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r w:rsidRPr="008523D4">
              <w:rPr>
                <w:rFonts w:cs="Arial"/>
                <w:color w:val="000000"/>
              </w:rPr>
              <w:t>–</w:t>
            </w:r>
            <w:r>
              <w:rPr>
                <w:rFonts w:cs="Arial"/>
                <w:color w:val="000000"/>
              </w:rPr>
              <w:t>32</w:t>
            </w:r>
            <w:r w:rsidRPr="008523D4">
              <w:rPr>
                <w:rFonts w:cs="Arial"/>
                <w:color w:val="000000"/>
              </w:rPr>
              <w:t> million</w:t>
            </w:r>
          </w:p>
        </w:tc>
        <w:tc>
          <w:tcPr>
            <w:tcW w:w="1020" w:type="pct"/>
            <w:tcBorders>
              <w:left w:val="single" w:sz="4" w:space="0" w:color="auto"/>
              <w:right w:val="single" w:sz="4" w:space="0" w:color="auto"/>
            </w:tcBorders>
            <w:shd w:val="clear" w:color="auto" w:fill="FFFFFF" w:themeFill="background1"/>
          </w:tcPr>
          <w:p w14:paraId="3F7F1D10"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r w:rsidRPr="008523D4">
              <w:rPr>
                <w:rFonts w:cs="Arial"/>
                <w:color w:val="000000"/>
              </w:rPr>
              <w:t>–</w:t>
            </w:r>
            <w:r>
              <w:rPr>
                <w:rFonts w:cs="Arial"/>
                <w:color w:val="000000"/>
              </w:rPr>
              <w:t>15</w:t>
            </w:r>
            <w:r w:rsidRPr="008523D4">
              <w:rPr>
                <w:rFonts w:cs="Arial"/>
                <w:color w:val="000000"/>
              </w:rPr>
              <w:t> million</w:t>
            </w:r>
          </w:p>
        </w:tc>
      </w:tr>
      <w:tr w:rsidR="00A61245" w:rsidRPr="008523D4" w14:paraId="7E8672BE" w14:textId="77777777" w:rsidTr="003D0A18">
        <w:trPr>
          <w:trHeight w:val="524"/>
        </w:trPr>
        <w:tc>
          <w:tcPr>
            <w:cnfStyle w:val="001000000000" w:firstRow="0" w:lastRow="0" w:firstColumn="1" w:lastColumn="0" w:oddVBand="0" w:evenVBand="0" w:oddHBand="0" w:evenHBand="0" w:firstRowFirstColumn="0" w:firstRowLastColumn="0" w:lastRowFirstColumn="0" w:lastRowLastColumn="0"/>
            <w:tcW w:w="924" w:type="pct"/>
            <w:tcBorders>
              <w:left w:val="single" w:sz="4" w:space="0" w:color="auto"/>
              <w:right w:val="single" w:sz="4" w:space="0" w:color="auto"/>
            </w:tcBorders>
            <w:shd w:val="clear" w:color="auto" w:fill="FFFFFF" w:themeFill="background1"/>
          </w:tcPr>
          <w:p w14:paraId="0715B94E" w14:textId="77777777" w:rsidR="00A61245" w:rsidRPr="00A61245" w:rsidRDefault="00A61245" w:rsidP="001D665A">
            <w:pPr>
              <w:pStyle w:val="TableBody"/>
              <w:keepNext/>
              <w:keepLines/>
            </w:pPr>
            <w:r w:rsidRPr="00A61245">
              <w:t>FSS earth receive licences</w:t>
            </w:r>
          </w:p>
        </w:tc>
        <w:tc>
          <w:tcPr>
            <w:tcW w:w="1019" w:type="pct"/>
            <w:tcBorders>
              <w:left w:val="single" w:sz="4" w:space="0" w:color="auto"/>
              <w:right w:val="single" w:sz="4" w:space="0" w:color="auto"/>
            </w:tcBorders>
            <w:shd w:val="clear" w:color="auto" w:fill="FFFFFF" w:themeFill="background1"/>
          </w:tcPr>
          <w:p w14:paraId="67728E18" w14:textId="77777777" w:rsidR="00A61245" w:rsidRPr="008523D4" w:rsidRDefault="00A61245" w:rsidP="004751DD">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$25–30 million</w:t>
            </w:r>
          </w:p>
        </w:tc>
        <w:tc>
          <w:tcPr>
            <w:tcW w:w="1019" w:type="pct"/>
            <w:tcBorders>
              <w:left w:val="single" w:sz="4" w:space="0" w:color="auto"/>
              <w:right w:val="single" w:sz="4" w:space="0" w:color="auto"/>
            </w:tcBorders>
            <w:shd w:val="clear" w:color="auto" w:fill="FFFFFF" w:themeFill="background1"/>
          </w:tcPr>
          <w:p w14:paraId="30C227BB" w14:textId="77777777" w:rsidR="00A61245" w:rsidRPr="008523D4" w:rsidRDefault="00A61245" w:rsidP="001D665A">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w:t>
            </w:r>
            <w:r>
              <w:rPr>
                <w:rFonts w:cs="Arial"/>
                <w:color w:val="000000"/>
              </w:rPr>
              <w:t>0</w:t>
            </w:r>
          </w:p>
        </w:tc>
        <w:tc>
          <w:tcPr>
            <w:tcW w:w="1019" w:type="pct"/>
            <w:tcBorders>
              <w:left w:val="single" w:sz="4" w:space="0" w:color="auto"/>
              <w:right w:val="single" w:sz="4" w:space="0" w:color="auto"/>
            </w:tcBorders>
            <w:shd w:val="clear" w:color="auto" w:fill="FFFFFF" w:themeFill="background1"/>
          </w:tcPr>
          <w:p w14:paraId="237AF1D3" w14:textId="77777777" w:rsidR="00A61245" w:rsidRPr="008523D4" w:rsidRDefault="00A61245" w:rsidP="004751DD">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w:t>
            </w:r>
            <w:r>
              <w:rPr>
                <w:rFonts w:cs="Arial"/>
                <w:color w:val="000000"/>
              </w:rPr>
              <w:t>20</w:t>
            </w:r>
            <w:r w:rsidRPr="008523D4">
              <w:rPr>
                <w:rFonts w:cs="Arial"/>
                <w:color w:val="000000"/>
              </w:rPr>
              <w:t>–</w:t>
            </w:r>
            <w:r>
              <w:rPr>
                <w:rFonts w:cs="Arial"/>
                <w:color w:val="000000"/>
              </w:rPr>
              <w:t>5</w:t>
            </w:r>
            <w:r w:rsidRPr="008523D4">
              <w:rPr>
                <w:rFonts w:cs="Arial"/>
                <w:color w:val="000000"/>
              </w:rPr>
              <w:t>0 million</w:t>
            </w:r>
          </w:p>
        </w:tc>
        <w:tc>
          <w:tcPr>
            <w:tcW w:w="1020" w:type="pct"/>
            <w:tcBorders>
              <w:left w:val="single" w:sz="4" w:space="0" w:color="auto"/>
              <w:right w:val="single" w:sz="4" w:space="0" w:color="auto"/>
            </w:tcBorders>
            <w:shd w:val="clear" w:color="auto" w:fill="FFFFFF" w:themeFill="background1"/>
          </w:tcPr>
          <w:p w14:paraId="3E9BEAAB" w14:textId="77777777" w:rsidR="00A61245" w:rsidRPr="008523D4" w:rsidRDefault="00A61245" w:rsidP="001D665A">
            <w:pPr>
              <w:pStyle w:val="TableBody"/>
              <w:keepNext/>
              <w:keepLines/>
              <w:cnfStyle w:val="000000000000" w:firstRow="0" w:lastRow="0" w:firstColumn="0" w:lastColumn="0" w:oddVBand="0" w:evenVBand="0" w:oddHBand="0" w:evenHBand="0" w:firstRowFirstColumn="0" w:firstRowLastColumn="0" w:lastRowFirstColumn="0" w:lastRowLastColumn="0"/>
              <w:rPr>
                <w:rFonts w:cs="Arial"/>
                <w:color w:val="000000"/>
              </w:rPr>
            </w:pPr>
            <w:r w:rsidRPr="008523D4">
              <w:rPr>
                <w:rFonts w:cs="Arial"/>
                <w:color w:val="000000"/>
              </w:rPr>
              <w:t>$</w:t>
            </w:r>
            <w:r>
              <w:rPr>
                <w:rFonts w:cs="Arial"/>
                <w:color w:val="000000"/>
              </w:rPr>
              <w:t>0</w:t>
            </w:r>
          </w:p>
        </w:tc>
      </w:tr>
      <w:tr w:rsidR="00A61245" w:rsidRPr="008523D4" w14:paraId="1E266783" w14:textId="77777777" w:rsidTr="003D0A18">
        <w:trPr>
          <w:cnfStyle w:val="000000100000" w:firstRow="0" w:lastRow="0" w:firstColumn="0" w:lastColumn="0" w:oddVBand="0" w:evenVBand="0" w:oddHBand="1"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924" w:type="pct"/>
            <w:tcBorders>
              <w:left w:val="single" w:sz="4" w:space="0" w:color="auto"/>
              <w:right w:val="single" w:sz="4" w:space="0" w:color="auto"/>
            </w:tcBorders>
            <w:shd w:val="clear" w:color="auto" w:fill="FFFFFF" w:themeFill="background1"/>
          </w:tcPr>
          <w:p w14:paraId="06ECCDF3" w14:textId="77777777" w:rsidR="00A61245" w:rsidRPr="00A61245" w:rsidRDefault="00A61245" w:rsidP="001D665A">
            <w:pPr>
              <w:pStyle w:val="TableBody"/>
              <w:keepNext/>
              <w:keepLines/>
            </w:pPr>
            <w:r w:rsidRPr="00A61245">
              <w:t>Point-to-point licences</w:t>
            </w:r>
          </w:p>
        </w:tc>
        <w:tc>
          <w:tcPr>
            <w:tcW w:w="1019" w:type="pct"/>
            <w:tcBorders>
              <w:left w:val="single" w:sz="4" w:space="0" w:color="auto"/>
              <w:right w:val="single" w:sz="4" w:space="0" w:color="auto"/>
            </w:tcBorders>
            <w:shd w:val="clear" w:color="auto" w:fill="FFFFFF" w:themeFill="background1"/>
          </w:tcPr>
          <w:p w14:paraId="45A59E8C"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$101,000–200,000</w:t>
            </w:r>
          </w:p>
        </w:tc>
        <w:tc>
          <w:tcPr>
            <w:tcW w:w="1019" w:type="pct"/>
            <w:tcBorders>
              <w:left w:val="single" w:sz="4" w:space="0" w:color="auto"/>
              <w:right w:val="single" w:sz="4" w:space="0" w:color="auto"/>
            </w:tcBorders>
            <w:shd w:val="clear" w:color="auto" w:fill="FFFFFF" w:themeFill="background1"/>
          </w:tcPr>
          <w:p w14:paraId="7DC02E55"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Pr>
                <w:rFonts w:cs="Arial"/>
                <w:color w:val="000000"/>
              </w:rPr>
              <w:t>$604</w:t>
            </w:r>
            <w:r w:rsidRPr="008523D4">
              <w:rPr>
                <w:rFonts w:cs="Arial"/>
                <w:color w:val="000000"/>
              </w:rPr>
              <w:t>,000–</w:t>
            </w:r>
            <w:r w:rsidR="001321BD">
              <w:rPr>
                <w:rFonts w:cs="Arial"/>
                <w:color w:val="000000"/>
              </w:rPr>
              <w:t>800,000</w:t>
            </w:r>
          </w:p>
        </w:tc>
        <w:tc>
          <w:tcPr>
            <w:tcW w:w="1019" w:type="pct"/>
            <w:tcBorders>
              <w:left w:val="single" w:sz="4" w:space="0" w:color="auto"/>
              <w:right w:val="single" w:sz="4" w:space="0" w:color="auto"/>
            </w:tcBorders>
            <w:shd w:val="clear" w:color="auto" w:fill="FFFFFF" w:themeFill="background1"/>
          </w:tcPr>
          <w:p w14:paraId="50BE6C0A"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sidR="001321BD">
              <w:rPr>
                <w:rFonts w:cs="Arial"/>
                <w:color w:val="000000"/>
              </w:rPr>
              <w:t>1,295,000</w:t>
            </w:r>
            <w:r>
              <w:rPr>
                <w:rFonts w:cs="Arial"/>
                <w:color w:val="000000"/>
              </w:rPr>
              <w:t>–</w:t>
            </w:r>
            <w:r w:rsidR="001321BD">
              <w:rPr>
                <w:rFonts w:cs="Arial"/>
                <w:color w:val="000000"/>
              </w:rPr>
              <w:t>4</w:t>
            </w:r>
            <w:r w:rsidRPr="008523D4">
              <w:rPr>
                <w:rFonts w:cs="Arial"/>
                <w:color w:val="000000"/>
              </w:rPr>
              <w:t> million</w:t>
            </w:r>
          </w:p>
        </w:tc>
        <w:tc>
          <w:tcPr>
            <w:tcW w:w="1020" w:type="pct"/>
            <w:tcBorders>
              <w:left w:val="single" w:sz="4" w:space="0" w:color="auto"/>
              <w:right w:val="single" w:sz="4" w:space="0" w:color="auto"/>
            </w:tcBorders>
            <w:shd w:val="clear" w:color="auto" w:fill="FFFFFF" w:themeFill="background1"/>
          </w:tcPr>
          <w:p w14:paraId="34438A89" w14:textId="77777777" w:rsidR="00A61245" w:rsidRPr="008523D4" w:rsidRDefault="00A61245" w:rsidP="001D665A">
            <w:pPr>
              <w:pStyle w:val="TableBody"/>
              <w:keepNext/>
              <w:keepLines/>
              <w:cnfStyle w:val="000000100000" w:firstRow="0" w:lastRow="0" w:firstColumn="0" w:lastColumn="0" w:oddVBand="0" w:evenVBand="0" w:oddHBand="1" w:evenHBand="0" w:firstRowFirstColumn="0" w:firstRowLastColumn="0" w:lastRowFirstColumn="0" w:lastRowLastColumn="0"/>
              <w:rPr>
                <w:rFonts w:cs="Arial"/>
                <w:color w:val="000000"/>
              </w:rPr>
            </w:pPr>
            <w:r w:rsidRPr="008523D4">
              <w:rPr>
                <w:rFonts w:cs="Arial"/>
                <w:color w:val="000000"/>
              </w:rPr>
              <w:t>$</w:t>
            </w:r>
            <w:r>
              <w:rPr>
                <w:rFonts w:cs="Arial"/>
                <w:color w:val="000000"/>
              </w:rPr>
              <w:t>0</w:t>
            </w:r>
          </w:p>
        </w:tc>
      </w:tr>
      <w:tr w:rsidR="00A61245" w:rsidRPr="008523D4" w14:paraId="4D2B288F" w14:textId="77777777" w:rsidTr="00DA6020">
        <w:trPr>
          <w:trHeight w:val="150"/>
        </w:trPr>
        <w:tc>
          <w:tcPr>
            <w:cnfStyle w:val="001000000000" w:firstRow="0" w:lastRow="0" w:firstColumn="1" w:lastColumn="0" w:oddVBand="0" w:evenVBand="0" w:oddHBand="0" w:evenHBand="0" w:firstRowFirstColumn="0" w:firstRowLastColumn="0" w:lastRowFirstColumn="0" w:lastRowLastColumn="0"/>
            <w:tcW w:w="924" w:type="pct"/>
            <w:tcBorders>
              <w:left w:val="single" w:sz="4" w:space="0" w:color="auto"/>
              <w:right w:val="single" w:sz="4" w:space="0" w:color="auto"/>
            </w:tcBorders>
            <w:shd w:val="clear" w:color="auto" w:fill="D9D9D9" w:themeFill="background1" w:themeFillShade="D9"/>
            <w:vAlign w:val="center"/>
          </w:tcPr>
          <w:p w14:paraId="425DD9D7" w14:textId="77777777" w:rsidR="00A61245" w:rsidRPr="00A61245" w:rsidRDefault="00A61245" w:rsidP="001D665A">
            <w:pPr>
              <w:pStyle w:val="TableBody"/>
              <w:keepNext/>
              <w:keepLines/>
            </w:pPr>
            <w:r w:rsidRPr="00A61245">
              <w:t>Total</w:t>
            </w:r>
          </w:p>
        </w:tc>
        <w:tc>
          <w:tcPr>
            <w:tcW w:w="1019" w:type="pct"/>
            <w:tcBorders>
              <w:left w:val="single" w:sz="4" w:space="0" w:color="auto"/>
              <w:right w:val="single" w:sz="4" w:space="0" w:color="auto"/>
            </w:tcBorders>
            <w:shd w:val="clear" w:color="auto" w:fill="D9D9D9" w:themeFill="background1" w:themeFillShade="D9"/>
            <w:vAlign w:val="center"/>
          </w:tcPr>
          <w:p w14:paraId="257AF15D" w14:textId="77777777" w:rsidR="00A61245" w:rsidRPr="008523D4" w:rsidRDefault="00A61245" w:rsidP="004751DD">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$25–30 million</w:t>
            </w:r>
          </w:p>
        </w:tc>
        <w:tc>
          <w:tcPr>
            <w:tcW w:w="1019" w:type="pct"/>
            <w:tcBorders>
              <w:left w:val="single" w:sz="4" w:space="0" w:color="auto"/>
              <w:right w:val="single" w:sz="4" w:space="0" w:color="auto"/>
            </w:tcBorders>
            <w:shd w:val="clear" w:color="auto" w:fill="D9D9D9" w:themeFill="background1" w:themeFillShade="D9"/>
            <w:vAlign w:val="center"/>
          </w:tcPr>
          <w:p w14:paraId="788A319B" w14:textId="77777777" w:rsidR="00A61245" w:rsidRPr="008523D4" w:rsidRDefault="00A61245" w:rsidP="001D665A">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w:t>
            </w:r>
            <w:r w:rsidR="001321BD">
              <w:rPr>
                <w:rFonts w:cs="Arial"/>
                <w:color w:val="000000"/>
              </w:rPr>
              <w:t>1</w:t>
            </w:r>
            <w:r w:rsidRPr="008523D4">
              <w:rPr>
                <w:rFonts w:cs="Arial"/>
                <w:color w:val="000000"/>
              </w:rPr>
              <w:t>–</w:t>
            </w:r>
            <w:r>
              <w:rPr>
                <w:rFonts w:cs="Arial"/>
                <w:color w:val="000000"/>
              </w:rPr>
              <w:t>29</w:t>
            </w:r>
            <w:r w:rsidRPr="008523D4">
              <w:rPr>
                <w:rFonts w:cs="Arial"/>
                <w:color w:val="000000"/>
              </w:rPr>
              <w:t> million</w:t>
            </w:r>
          </w:p>
        </w:tc>
        <w:tc>
          <w:tcPr>
            <w:tcW w:w="1019" w:type="pct"/>
            <w:tcBorders>
              <w:left w:val="single" w:sz="4" w:space="0" w:color="auto"/>
              <w:right w:val="single" w:sz="4" w:space="0" w:color="auto"/>
            </w:tcBorders>
            <w:shd w:val="clear" w:color="auto" w:fill="D9D9D9" w:themeFill="background1" w:themeFillShade="D9"/>
            <w:vAlign w:val="center"/>
          </w:tcPr>
          <w:p w14:paraId="689E09AF" w14:textId="77777777" w:rsidR="00A61245" w:rsidRPr="008523D4" w:rsidRDefault="00A61245" w:rsidP="004751DD">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w:t>
            </w:r>
            <w:r>
              <w:rPr>
                <w:rFonts w:cs="Arial"/>
                <w:color w:val="000000"/>
              </w:rPr>
              <w:t>2</w:t>
            </w:r>
            <w:r w:rsidR="001321BD">
              <w:rPr>
                <w:rFonts w:cs="Arial"/>
                <w:color w:val="000000"/>
              </w:rPr>
              <w:t>1</w:t>
            </w:r>
            <w:r w:rsidRPr="008523D4">
              <w:rPr>
                <w:rFonts w:cs="Arial"/>
                <w:color w:val="000000"/>
              </w:rPr>
              <w:t>–</w:t>
            </w:r>
            <w:r>
              <w:rPr>
                <w:rFonts w:cs="Arial"/>
                <w:color w:val="000000"/>
              </w:rPr>
              <w:t>85</w:t>
            </w:r>
            <w:r w:rsidRPr="008523D4">
              <w:rPr>
                <w:rFonts w:cs="Arial"/>
                <w:color w:val="000000"/>
              </w:rPr>
              <w:t> million</w:t>
            </w:r>
          </w:p>
        </w:tc>
        <w:tc>
          <w:tcPr>
            <w:tcW w:w="1020" w:type="pct"/>
            <w:tcBorders>
              <w:left w:val="single" w:sz="4" w:space="0" w:color="auto"/>
              <w:right w:val="single" w:sz="4" w:space="0" w:color="auto"/>
            </w:tcBorders>
            <w:shd w:val="clear" w:color="auto" w:fill="D9D9D9" w:themeFill="background1" w:themeFillShade="D9"/>
            <w:vAlign w:val="center"/>
          </w:tcPr>
          <w:p w14:paraId="11E65A84" w14:textId="77777777" w:rsidR="00A61245" w:rsidRPr="008523D4" w:rsidRDefault="00A61245" w:rsidP="001D665A">
            <w:pPr>
              <w:pStyle w:val="TableBody"/>
              <w:keepNext/>
              <w:keepLines/>
              <w:cnfStyle w:val="000000000000" w:firstRow="0" w:lastRow="0" w:firstColumn="0" w:lastColumn="0" w:oddVBand="0" w:evenVBand="0" w:oddHBand="0" w:evenHBand="0" w:firstRowFirstColumn="0" w:firstRowLastColumn="0" w:lastRowFirstColumn="0" w:lastRowLastColumn="0"/>
            </w:pPr>
            <w:r w:rsidRPr="008523D4">
              <w:rPr>
                <w:rFonts w:cs="Arial"/>
                <w:color w:val="000000"/>
              </w:rPr>
              <w:t>$</w:t>
            </w:r>
            <w:r>
              <w:rPr>
                <w:rFonts w:cs="Arial"/>
                <w:color w:val="000000"/>
              </w:rPr>
              <w:t>0</w:t>
            </w:r>
            <w:r w:rsidRPr="008523D4">
              <w:rPr>
                <w:rFonts w:cs="Arial"/>
                <w:color w:val="000000"/>
              </w:rPr>
              <w:t>–</w:t>
            </w:r>
            <w:r>
              <w:rPr>
                <w:rFonts w:cs="Arial"/>
                <w:color w:val="000000"/>
              </w:rPr>
              <w:t>15</w:t>
            </w:r>
            <w:r w:rsidRPr="008523D4">
              <w:rPr>
                <w:rFonts w:cs="Arial"/>
                <w:color w:val="000000"/>
              </w:rPr>
              <w:t> million</w:t>
            </w:r>
          </w:p>
        </w:tc>
      </w:tr>
    </w:tbl>
    <w:p w14:paraId="0BBFCF0B" w14:textId="77777777" w:rsidR="001D665A" w:rsidRDefault="001D665A" w:rsidP="00BA166C">
      <w:pPr>
        <w:pStyle w:val="ACMASpaceaftertable"/>
      </w:pPr>
    </w:p>
    <w:p w14:paraId="58768B59" w14:textId="77777777" w:rsidR="00235F01" w:rsidRPr="00243D03" w:rsidRDefault="00235F01" w:rsidP="00235F01">
      <w:pPr>
        <w:pStyle w:val="Heading2"/>
      </w:pPr>
      <w:bookmarkStart w:id="221" w:name="_Toc494375853"/>
      <w:bookmarkStart w:id="222" w:name="_Toc494378926"/>
      <w:bookmarkStart w:id="223" w:name="_Toc495053725"/>
      <w:bookmarkStart w:id="224" w:name="_Toc495935498"/>
      <w:bookmarkStart w:id="225" w:name="_Toc495935528"/>
      <w:bookmarkStart w:id="226" w:name="_Toc496620359"/>
      <w:r w:rsidRPr="00243D03">
        <w:t>Net benefit</w:t>
      </w:r>
      <w:bookmarkEnd w:id="221"/>
      <w:bookmarkEnd w:id="222"/>
      <w:bookmarkEnd w:id="223"/>
      <w:bookmarkEnd w:id="224"/>
      <w:bookmarkEnd w:id="225"/>
      <w:bookmarkEnd w:id="226"/>
    </w:p>
    <w:p w14:paraId="56CCB191" w14:textId="77777777" w:rsidR="00BA166C" w:rsidRPr="008523D4" w:rsidRDefault="00BA166C" w:rsidP="00BA166C">
      <w:r w:rsidRPr="008523D4">
        <w:t xml:space="preserve">The net benefit outlines the difference between re-farming benefits and incremental costs. Area-wide spectrum licensing will be considered the highest value use of the 3.6 GHz band if re-farming benefits </w:t>
      </w:r>
      <w:r w:rsidR="00C876C5">
        <w:t xml:space="preserve">are likely to </w:t>
      </w:r>
      <w:r w:rsidRPr="008523D4">
        <w:t>exceed incremental costs, making the re-farming process net beneficial.</w:t>
      </w:r>
    </w:p>
    <w:p w14:paraId="05C4F886" w14:textId="77777777" w:rsidR="00BA166C" w:rsidRPr="008523D4" w:rsidRDefault="00BA166C" w:rsidP="00BA166C">
      <w:pPr>
        <w:pStyle w:val="Heading3"/>
      </w:pPr>
      <w:bookmarkStart w:id="227" w:name="_Toc496620360"/>
      <w:r w:rsidRPr="008523D4">
        <w:t>Overall net benefit analysis</w:t>
      </w:r>
      <w:bookmarkEnd w:id="227"/>
    </w:p>
    <w:p w14:paraId="707ECEEB" w14:textId="77777777" w:rsidR="00BA166C" w:rsidRPr="008523D4" w:rsidRDefault="00BA166C" w:rsidP="00BA166C">
      <w:r w:rsidRPr="008523D4">
        <w:t xml:space="preserve">The original HVU paper outlined that area-wide spectrum licensing extended to Area 3 would be the highest value use. Stakeholder feedback has led to there being no change in the consideration of re-farming benefits, but </w:t>
      </w:r>
      <w:r>
        <w:t xml:space="preserve">some </w:t>
      </w:r>
      <w:r w:rsidRPr="008523D4">
        <w:t xml:space="preserve">change in the consideration of incremental costs. </w:t>
      </w:r>
    </w:p>
    <w:p w14:paraId="4BD50DF3" w14:textId="77777777" w:rsidR="00BA166C" w:rsidRPr="00720CE0" w:rsidRDefault="00BA166C" w:rsidP="00BA166C">
      <w:r w:rsidRPr="008523D4">
        <w:t xml:space="preserve">Incremental costs have primarily been reduced due to the feedback in </w:t>
      </w:r>
      <w:r w:rsidRPr="0020055D">
        <w:t>submissions</w:t>
      </w:r>
      <w:r w:rsidRPr="008523D4">
        <w:t xml:space="preserve">—this is particularly the case for FSS earth receive </w:t>
      </w:r>
      <w:r w:rsidRPr="00720CE0">
        <w:t xml:space="preserve">licensed services. </w:t>
      </w:r>
      <w:r w:rsidR="008B5F33">
        <w:t>T</w:t>
      </w:r>
      <w:r w:rsidRPr="00720CE0">
        <w:t>he range of options for incumbent point-to-multipoint licensed services ha</w:t>
      </w:r>
      <w:r w:rsidR="00BD0056">
        <w:t xml:space="preserve">s expanded </w:t>
      </w:r>
      <w:r w:rsidR="008B5F33">
        <w:t xml:space="preserve">slightly </w:t>
      </w:r>
      <w:r w:rsidRPr="00720CE0">
        <w:t>to either migrating to the 5.6 GHz band</w:t>
      </w:r>
      <w:r w:rsidR="008B5F33">
        <w:t xml:space="preserve"> and possibl</w:t>
      </w:r>
      <w:r w:rsidR="00BD0056">
        <w:t>y</w:t>
      </w:r>
      <w:r w:rsidR="008B5F33">
        <w:t xml:space="preserve"> the 28 GHz band</w:t>
      </w:r>
      <w:r w:rsidR="00CF4351">
        <w:t>, securing third-party authorisations</w:t>
      </w:r>
      <w:r w:rsidRPr="00720CE0">
        <w:t xml:space="preserve"> or becoming a variable output case. The unquantifiable costs in variable output cases primarily relate to the loss of economic welfare</w:t>
      </w:r>
      <w:r w:rsidRPr="008523D4">
        <w:t xml:space="preserve"> that may occur if WISPs are </w:t>
      </w:r>
      <w:r w:rsidRPr="00720CE0">
        <w:t>unable to continue services.</w:t>
      </w:r>
    </w:p>
    <w:p w14:paraId="4784F16D" w14:textId="77777777" w:rsidR="00BA166C" w:rsidRDefault="00BA166C" w:rsidP="00BA166C">
      <w:r w:rsidRPr="008523D4">
        <w:t>Collating all re-farming benefits and incremental costs data points following the consultation process has led to the following amended summary table.</w:t>
      </w:r>
    </w:p>
    <w:p w14:paraId="522ECDBF" w14:textId="77777777" w:rsidR="00BA166C" w:rsidRPr="008523D4" w:rsidRDefault="00BA166C" w:rsidP="004751DD">
      <w:pPr>
        <w:pStyle w:val="ACMATableHeader"/>
        <w:keepNext/>
        <w:keepLines/>
        <w:spacing w:line="240" w:lineRule="atLeast"/>
      </w:pPr>
      <w:r w:rsidRPr="008523D4">
        <w:t>Summary of economic benefits and incremental costs of re-farming the 3.6 GHz band</w:t>
      </w:r>
      <w:r w:rsidR="005E5D7B">
        <w:t xml:space="preserve"> for cumulative areas</w:t>
      </w:r>
    </w:p>
    <w:tbl>
      <w:tblPr>
        <w:tblW w:w="8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9"/>
        <w:tblDescription w:val="Summary of economic benefits and incremental costs of re-farming the 3.6 GHz band"/>
      </w:tblPr>
      <w:tblGrid>
        <w:gridCol w:w="666"/>
        <w:gridCol w:w="1503"/>
        <w:gridCol w:w="2646"/>
        <w:gridCol w:w="3402"/>
      </w:tblGrid>
      <w:tr w:rsidR="00BA166C" w:rsidRPr="008523D4" w14:paraId="616D929A" w14:textId="77777777" w:rsidTr="004751DD">
        <w:trPr>
          <w:trHeight w:val="315"/>
        </w:trPr>
        <w:tc>
          <w:tcPr>
            <w:tcW w:w="666" w:type="dxa"/>
            <w:shd w:val="clear" w:color="000000" w:fill="404040"/>
            <w:vAlign w:val="center"/>
            <w:hideMark/>
          </w:tcPr>
          <w:p w14:paraId="6897E87C" w14:textId="77777777" w:rsidR="00BA166C" w:rsidRPr="008523D4" w:rsidRDefault="00BA166C" w:rsidP="004751DD">
            <w:pPr>
              <w:keepNext/>
              <w:keepLines/>
              <w:spacing w:after="0" w:line="240" w:lineRule="auto"/>
              <w:rPr>
                <w:rFonts w:cs="Arial"/>
                <w:b/>
                <w:bCs/>
                <w:color w:val="FFFFFF"/>
                <w:szCs w:val="20"/>
              </w:rPr>
            </w:pPr>
            <w:r w:rsidRPr="008523D4">
              <w:rPr>
                <w:rFonts w:cs="Arial"/>
                <w:b/>
                <w:bCs/>
                <w:color w:val="FFFFFF" w:themeColor="background1"/>
                <w:szCs w:val="20"/>
              </w:rPr>
              <w:t> </w:t>
            </w:r>
          </w:p>
        </w:tc>
        <w:tc>
          <w:tcPr>
            <w:tcW w:w="1503" w:type="dxa"/>
            <w:shd w:val="clear" w:color="000000" w:fill="404040"/>
            <w:vAlign w:val="center"/>
            <w:hideMark/>
          </w:tcPr>
          <w:p w14:paraId="26BEBD8E" w14:textId="77777777" w:rsidR="00BA166C" w:rsidRPr="008523D4" w:rsidRDefault="00BA166C" w:rsidP="004751DD">
            <w:pPr>
              <w:keepNext/>
              <w:keepLines/>
              <w:spacing w:after="0" w:line="240" w:lineRule="auto"/>
              <w:rPr>
                <w:rFonts w:cs="Arial"/>
                <w:b/>
                <w:bCs/>
                <w:color w:val="FFFFFF"/>
                <w:szCs w:val="20"/>
              </w:rPr>
            </w:pPr>
            <w:r w:rsidRPr="008523D4">
              <w:rPr>
                <w:rFonts w:cs="Arial"/>
                <w:b/>
                <w:bCs/>
                <w:color w:val="FFFFFF"/>
                <w:szCs w:val="20"/>
              </w:rPr>
              <w:t> </w:t>
            </w:r>
          </w:p>
        </w:tc>
        <w:tc>
          <w:tcPr>
            <w:tcW w:w="2646" w:type="dxa"/>
            <w:shd w:val="clear" w:color="000000" w:fill="404040"/>
            <w:vAlign w:val="center"/>
            <w:hideMark/>
          </w:tcPr>
          <w:p w14:paraId="7E7AC8A0" w14:textId="77777777" w:rsidR="00BA166C" w:rsidRPr="008523D4" w:rsidRDefault="00BA166C" w:rsidP="004751DD">
            <w:pPr>
              <w:keepNext/>
              <w:keepLines/>
              <w:spacing w:after="0" w:line="240" w:lineRule="auto"/>
              <w:rPr>
                <w:rFonts w:cs="Arial"/>
                <w:b/>
                <w:bCs/>
                <w:color w:val="FFFFFF"/>
                <w:szCs w:val="20"/>
              </w:rPr>
            </w:pPr>
            <w:r w:rsidRPr="008523D4">
              <w:rPr>
                <w:rFonts w:cs="Arial"/>
                <w:b/>
                <w:bCs/>
                <w:color w:val="FFFFFF"/>
                <w:szCs w:val="20"/>
              </w:rPr>
              <w:t xml:space="preserve">Re-farming benefits </w:t>
            </w:r>
          </w:p>
          <w:p w14:paraId="476F8C60" w14:textId="77777777" w:rsidR="00BA166C" w:rsidRPr="008523D4" w:rsidRDefault="00BA166C" w:rsidP="004751DD">
            <w:pPr>
              <w:keepNext/>
              <w:keepLines/>
              <w:spacing w:after="0" w:line="240" w:lineRule="auto"/>
              <w:rPr>
                <w:rFonts w:cs="Arial"/>
                <w:b/>
                <w:bCs/>
                <w:color w:val="FFFFFF"/>
                <w:szCs w:val="20"/>
              </w:rPr>
            </w:pPr>
            <w:r w:rsidRPr="008523D4">
              <w:rPr>
                <w:rFonts w:cs="Arial"/>
                <w:b/>
                <w:bCs/>
                <w:color w:val="FFFFFF"/>
                <w:szCs w:val="20"/>
              </w:rPr>
              <w:t>($0.03–$0.625/MHz/pop)</w:t>
            </w:r>
          </w:p>
        </w:tc>
        <w:tc>
          <w:tcPr>
            <w:tcW w:w="3402" w:type="dxa"/>
            <w:shd w:val="clear" w:color="000000" w:fill="404040"/>
            <w:vAlign w:val="center"/>
            <w:hideMark/>
          </w:tcPr>
          <w:p w14:paraId="1D69083B" w14:textId="77777777" w:rsidR="00BA166C" w:rsidRPr="008523D4" w:rsidRDefault="00BA166C" w:rsidP="004751DD">
            <w:pPr>
              <w:keepNext/>
              <w:keepLines/>
              <w:spacing w:after="0" w:line="240" w:lineRule="auto"/>
              <w:rPr>
                <w:rFonts w:cs="Arial"/>
                <w:b/>
                <w:bCs/>
                <w:color w:val="FFFFFF"/>
                <w:szCs w:val="20"/>
              </w:rPr>
            </w:pPr>
            <w:r w:rsidRPr="008523D4">
              <w:rPr>
                <w:rFonts w:cs="Arial"/>
                <w:b/>
                <w:bCs/>
                <w:color w:val="FFFFFF"/>
                <w:szCs w:val="20"/>
              </w:rPr>
              <w:t>Incremental costs</w:t>
            </w:r>
          </w:p>
        </w:tc>
      </w:tr>
      <w:tr w:rsidR="00BA166C" w:rsidRPr="008523D4" w14:paraId="54690023" w14:textId="77777777" w:rsidTr="004751DD">
        <w:trPr>
          <w:cantSplit/>
          <w:trHeight w:val="275"/>
        </w:trPr>
        <w:tc>
          <w:tcPr>
            <w:tcW w:w="666" w:type="dxa"/>
            <w:vMerge w:val="restart"/>
            <w:shd w:val="clear" w:color="auto" w:fill="FFFFFF" w:themeFill="background1"/>
            <w:textDirection w:val="btLr"/>
            <w:vAlign w:val="center"/>
            <w:hideMark/>
          </w:tcPr>
          <w:p w14:paraId="439E0F9D" w14:textId="77777777" w:rsidR="00BA166C" w:rsidRPr="008523D4" w:rsidRDefault="00BA166C" w:rsidP="004751DD">
            <w:pPr>
              <w:keepNext/>
              <w:keepLines/>
              <w:spacing w:after="0" w:line="240" w:lineRule="auto"/>
              <w:jc w:val="center"/>
              <w:rPr>
                <w:rFonts w:cs="Arial"/>
                <w:b/>
                <w:bCs/>
                <w:color w:val="000000"/>
                <w:szCs w:val="20"/>
              </w:rPr>
            </w:pPr>
            <w:r w:rsidRPr="008523D4">
              <w:rPr>
                <w:rFonts w:cs="Arial"/>
                <w:b/>
                <w:bCs/>
                <w:color w:val="000000"/>
                <w:szCs w:val="20"/>
              </w:rPr>
              <w:t>Quantifiable</w:t>
            </w:r>
          </w:p>
        </w:tc>
        <w:tc>
          <w:tcPr>
            <w:tcW w:w="1503" w:type="dxa"/>
            <w:shd w:val="clear" w:color="auto" w:fill="FFFFFF" w:themeFill="background1"/>
            <w:vAlign w:val="center"/>
            <w:hideMark/>
          </w:tcPr>
          <w:p w14:paraId="21C9C291" w14:textId="77777777" w:rsidR="00BA166C" w:rsidRPr="008523D4" w:rsidRDefault="00BA166C" w:rsidP="004751DD">
            <w:pPr>
              <w:keepNext/>
              <w:keepLines/>
              <w:spacing w:after="0" w:line="240" w:lineRule="auto"/>
              <w:rPr>
                <w:rFonts w:cs="Arial"/>
                <w:b/>
                <w:bCs/>
                <w:color w:val="000000"/>
                <w:szCs w:val="20"/>
              </w:rPr>
            </w:pPr>
            <w:r w:rsidRPr="008523D4">
              <w:rPr>
                <w:rFonts w:cs="Arial"/>
                <w:b/>
                <w:bCs/>
                <w:color w:val="000000"/>
                <w:szCs w:val="20"/>
              </w:rPr>
              <w:t>Area 1</w:t>
            </w:r>
          </w:p>
        </w:tc>
        <w:tc>
          <w:tcPr>
            <w:tcW w:w="2646" w:type="dxa"/>
            <w:shd w:val="clear" w:color="auto" w:fill="FFFFFF" w:themeFill="background1"/>
            <w:vAlign w:val="center"/>
            <w:hideMark/>
          </w:tcPr>
          <w:p w14:paraId="543A07EC"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$60 million–1.3 billion</w:t>
            </w:r>
          </w:p>
        </w:tc>
        <w:tc>
          <w:tcPr>
            <w:tcW w:w="3402" w:type="dxa"/>
            <w:shd w:val="clear" w:color="auto" w:fill="FFFFFF" w:themeFill="background1"/>
            <w:vAlign w:val="center"/>
            <w:hideMark/>
          </w:tcPr>
          <w:p w14:paraId="514EBB01"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$25–30 million</w:t>
            </w:r>
          </w:p>
        </w:tc>
      </w:tr>
      <w:tr w:rsidR="00BA166C" w:rsidRPr="008523D4" w14:paraId="45D068D1" w14:textId="77777777" w:rsidTr="004751DD">
        <w:trPr>
          <w:cantSplit/>
          <w:trHeight w:val="225"/>
        </w:trPr>
        <w:tc>
          <w:tcPr>
            <w:tcW w:w="666" w:type="dxa"/>
            <w:vMerge/>
            <w:shd w:val="clear" w:color="auto" w:fill="FFFFFF" w:themeFill="background1"/>
            <w:vAlign w:val="center"/>
            <w:hideMark/>
          </w:tcPr>
          <w:p w14:paraId="5B371255" w14:textId="77777777" w:rsidR="00BA166C" w:rsidRPr="008523D4" w:rsidRDefault="00BA166C" w:rsidP="004751DD">
            <w:pPr>
              <w:keepNext/>
              <w:keepLines/>
              <w:spacing w:after="0" w:line="240" w:lineRule="auto"/>
              <w:rPr>
                <w:rFonts w:cs="Arial"/>
                <w:b/>
                <w:bCs/>
                <w:color w:val="000000"/>
                <w:szCs w:val="20"/>
              </w:rPr>
            </w:pPr>
          </w:p>
        </w:tc>
        <w:tc>
          <w:tcPr>
            <w:tcW w:w="1503" w:type="dxa"/>
            <w:shd w:val="clear" w:color="auto" w:fill="FFFFFF" w:themeFill="background1"/>
            <w:vAlign w:val="center"/>
            <w:hideMark/>
          </w:tcPr>
          <w:p w14:paraId="6AC73BFD" w14:textId="77777777" w:rsidR="00BA166C" w:rsidRPr="008523D4" w:rsidRDefault="00BA166C" w:rsidP="004751DD">
            <w:pPr>
              <w:keepNext/>
              <w:keepLines/>
              <w:spacing w:after="0" w:line="240" w:lineRule="auto"/>
              <w:rPr>
                <w:rFonts w:cs="Arial"/>
                <w:b/>
                <w:bCs/>
                <w:color w:val="000000"/>
                <w:szCs w:val="20"/>
              </w:rPr>
            </w:pPr>
            <w:r w:rsidRPr="008523D4">
              <w:rPr>
                <w:rFonts w:cs="Arial"/>
                <w:b/>
                <w:bCs/>
                <w:color w:val="000000"/>
                <w:szCs w:val="20"/>
              </w:rPr>
              <w:t xml:space="preserve">Area </w:t>
            </w:r>
            <w:r w:rsidR="00856DF5">
              <w:rPr>
                <w:rFonts w:cs="Arial"/>
                <w:b/>
                <w:bCs/>
                <w:color w:val="000000"/>
                <w:szCs w:val="20"/>
              </w:rPr>
              <w:t>1+</w:t>
            </w:r>
            <w:r w:rsidRPr="008523D4">
              <w:rPr>
                <w:rFonts w:cs="Arial"/>
                <w:b/>
                <w:bCs/>
                <w:color w:val="000000"/>
                <w:szCs w:val="20"/>
              </w:rPr>
              <w:t>2</w:t>
            </w:r>
          </w:p>
        </w:tc>
        <w:tc>
          <w:tcPr>
            <w:tcW w:w="2646" w:type="dxa"/>
            <w:shd w:val="clear" w:color="auto" w:fill="FFFFFF" w:themeFill="background1"/>
            <w:vAlign w:val="center"/>
            <w:hideMark/>
          </w:tcPr>
          <w:p w14:paraId="78555570"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$72 million–1.5 billion</w:t>
            </w:r>
          </w:p>
        </w:tc>
        <w:tc>
          <w:tcPr>
            <w:tcW w:w="3402" w:type="dxa"/>
            <w:shd w:val="clear" w:color="auto" w:fill="FFFFFF" w:themeFill="background1"/>
            <w:vAlign w:val="center"/>
            <w:hideMark/>
          </w:tcPr>
          <w:p w14:paraId="7CBBA5B1"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$26–</w:t>
            </w:r>
            <w:r>
              <w:rPr>
                <w:rFonts w:cs="Arial"/>
                <w:color w:val="000000"/>
                <w:szCs w:val="20"/>
              </w:rPr>
              <w:t>59</w:t>
            </w:r>
            <w:r w:rsidRPr="008523D4">
              <w:rPr>
                <w:rFonts w:cs="Arial"/>
                <w:color w:val="000000"/>
                <w:szCs w:val="20"/>
              </w:rPr>
              <w:t> million</w:t>
            </w:r>
          </w:p>
        </w:tc>
      </w:tr>
      <w:tr w:rsidR="00BA166C" w:rsidRPr="008523D4" w14:paraId="2A20F124" w14:textId="77777777" w:rsidTr="004751DD">
        <w:trPr>
          <w:cantSplit/>
          <w:trHeight w:val="46"/>
        </w:trPr>
        <w:tc>
          <w:tcPr>
            <w:tcW w:w="666" w:type="dxa"/>
            <w:vMerge/>
            <w:shd w:val="clear" w:color="auto" w:fill="FFFFFF" w:themeFill="background1"/>
            <w:vAlign w:val="center"/>
            <w:hideMark/>
          </w:tcPr>
          <w:p w14:paraId="6751FAF5" w14:textId="77777777" w:rsidR="00BA166C" w:rsidRPr="008523D4" w:rsidRDefault="00BA166C" w:rsidP="004751DD">
            <w:pPr>
              <w:keepNext/>
              <w:keepLines/>
              <w:spacing w:after="0" w:line="240" w:lineRule="auto"/>
              <w:rPr>
                <w:rFonts w:cs="Arial"/>
                <w:b/>
                <w:bCs/>
                <w:color w:val="000000"/>
                <w:szCs w:val="20"/>
              </w:rPr>
            </w:pPr>
          </w:p>
        </w:tc>
        <w:tc>
          <w:tcPr>
            <w:tcW w:w="1503" w:type="dxa"/>
            <w:shd w:val="clear" w:color="auto" w:fill="FFFFFF" w:themeFill="background1"/>
            <w:vAlign w:val="center"/>
            <w:hideMark/>
          </w:tcPr>
          <w:p w14:paraId="4F156B76" w14:textId="77777777" w:rsidR="00BA166C" w:rsidRPr="008523D4" w:rsidRDefault="00BA166C" w:rsidP="004751DD">
            <w:pPr>
              <w:keepNext/>
              <w:keepLines/>
              <w:spacing w:after="0" w:line="240" w:lineRule="auto"/>
              <w:rPr>
                <w:rFonts w:cs="Arial"/>
                <w:b/>
                <w:bCs/>
                <w:color w:val="000000"/>
                <w:szCs w:val="20"/>
              </w:rPr>
            </w:pPr>
            <w:r w:rsidRPr="008523D4">
              <w:rPr>
                <w:rFonts w:cs="Arial"/>
                <w:b/>
                <w:bCs/>
                <w:color w:val="000000"/>
                <w:szCs w:val="20"/>
              </w:rPr>
              <w:t xml:space="preserve">Area </w:t>
            </w:r>
            <w:r w:rsidR="00856DF5">
              <w:rPr>
                <w:rFonts w:cs="Arial"/>
                <w:b/>
                <w:bCs/>
                <w:color w:val="000000"/>
                <w:szCs w:val="20"/>
              </w:rPr>
              <w:t>1+2+</w:t>
            </w:r>
            <w:r w:rsidRPr="008523D4">
              <w:rPr>
                <w:rFonts w:cs="Arial"/>
                <w:b/>
                <w:bCs/>
                <w:color w:val="000000"/>
                <w:szCs w:val="20"/>
              </w:rPr>
              <w:t>3</w:t>
            </w:r>
          </w:p>
        </w:tc>
        <w:tc>
          <w:tcPr>
            <w:tcW w:w="2646" w:type="dxa"/>
            <w:shd w:val="clear" w:color="auto" w:fill="FFFFFF" w:themeFill="background1"/>
            <w:vAlign w:val="center"/>
            <w:hideMark/>
          </w:tcPr>
          <w:p w14:paraId="03C85B46"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$86 million–1.8 billion</w:t>
            </w:r>
          </w:p>
        </w:tc>
        <w:tc>
          <w:tcPr>
            <w:tcW w:w="3402" w:type="dxa"/>
            <w:shd w:val="clear" w:color="auto" w:fill="FFFFFF" w:themeFill="background1"/>
            <w:vAlign w:val="center"/>
            <w:hideMark/>
          </w:tcPr>
          <w:p w14:paraId="386231E5"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$47–</w:t>
            </w:r>
            <w:r>
              <w:rPr>
                <w:rFonts w:cs="Arial"/>
                <w:color w:val="000000"/>
                <w:szCs w:val="20"/>
              </w:rPr>
              <w:t>144</w:t>
            </w:r>
            <w:r w:rsidRPr="008523D4">
              <w:rPr>
                <w:rFonts w:cs="Arial"/>
                <w:color w:val="000000"/>
                <w:szCs w:val="20"/>
              </w:rPr>
              <w:t> million</w:t>
            </w:r>
          </w:p>
        </w:tc>
      </w:tr>
      <w:tr w:rsidR="00BA166C" w:rsidRPr="008523D4" w14:paraId="2CB76905" w14:textId="77777777" w:rsidTr="004751DD">
        <w:trPr>
          <w:trHeight w:hRule="exact" w:val="272"/>
        </w:trPr>
        <w:tc>
          <w:tcPr>
            <w:tcW w:w="666" w:type="dxa"/>
            <w:vMerge/>
            <w:shd w:val="clear" w:color="auto" w:fill="FFFFFF" w:themeFill="background1"/>
            <w:vAlign w:val="center"/>
            <w:hideMark/>
          </w:tcPr>
          <w:p w14:paraId="4CCFA87A" w14:textId="77777777" w:rsidR="00BA166C" w:rsidRPr="008523D4" w:rsidRDefault="00BA166C" w:rsidP="004751DD">
            <w:pPr>
              <w:keepNext/>
              <w:keepLines/>
              <w:spacing w:after="0" w:line="240" w:lineRule="auto"/>
              <w:rPr>
                <w:rFonts w:cs="Arial"/>
                <w:b/>
                <w:bCs/>
                <w:color w:val="000000"/>
                <w:szCs w:val="20"/>
              </w:rPr>
            </w:pPr>
          </w:p>
        </w:tc>
        <w:tc>
          <w:tcPr>
            <w:tcW w:w="1503" w:type="dxa"/>
            <w:shd w:val="clear" w:color="auto" w:fill="FFFFFF" w:themeFill="background1"/>
            <w:vAlign w:val="center"/>
            <w:hideMark/>
          </w:tcPr>
          <w:p w14:paraId="557F2537" w14:textId="77777777" w:rsidR="00BA166C" w:rsidRPr="008523D4" w:rsidRDefault="00BA166C" w:rsidP="004751DD">
            <w:pPr>
              <w:keepNext/>
              <w:keepLines/>
              <w:spacing w:after="0" w:line="240" w:lineRule="auto"/>
              <w:rPr>
                <w:rFonts w:cs="Arial"/>
                <w:b/>
                <w:bCs/>
                <w:color w:val="000000"/>
                <w:szCs w:val="20"/>
              </w:rPr>
            </w:pPr>
            <w:r w:rsidRPr="008523D4">
              <w:rPr>
                <w:rFonts w:cs="Arial"/>
                <w:b/>
                <w:bCs/>
                <w:color w:val="000000"/>
                <w:szCs w:val="20"/>
              </w:rPr>
              <w:t>Australia-wide</w:t>
            </w:r>
          </w:p>
        </w:tc>
        <w:tc>
          <w:tcPr>
            <w:tcW w:w="2646" w:type="dxa"/>
            <w:shd w:val="clear" w:color="auto" w:fill="FFFFFF" w:themeFill="background1"/>
            <w:vAlign w:val="center"/>
            <w:hideMark/>
          </w:tcPr>
          <w:p w14:paraId="09C3811B"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$87 million–1.8 billion</w:t>
            </w:r>
          </w:p>
        </w:tc>
        <w:tc>
          <w:tcPr>
            <w:tcW w:w="3402" w:type="dxa"/>
            <w:shd w:val="clear" w:color="auto" w:fill="FFFFFF" w:themeFill="background1"/>
            <w:vAlign w:val="center"/>
            <w:hideMark/>
          </w:tcPr>
          <w:p w14:paraId="2C3C9F48" w14:textId="77777777" w:rsidR="00BA166C" w:rsidRPr="008523D4" w:rsidRDefault="00BA166C" w:rsidP="004751DD">
            <w:pPr>
              <w:keepNext/>
              <w:keepLines/>
              <w:spacing w:after="0" w:line="240" w:lineRule="auto"/>
              <w:rPr>
                <w:rFonts w:cs="Arial"/>
                <w:color w:val="000000"/>
                <w:szCs w:val="20"/>
              </w:rPr>
            </w:pPr>
            <w:r w:rsidRPr="008523D4">
              <w:rPr>
                <w:rFonts w:cs="Arial"/>
                <w:color w:val="000000"/>
                <w:szCs w:val="20"/>
              </w:rPr>
              <w:t>$47–</w:t>
            </w:r>
            <w:r>
              <w:rPr>
                <w:rFonts w:cs="Arial"/>
                <w:color w:val="000000"/>
                <w:szCs w:val="20"/>
              </w:rPr>
              <w:t>159</w:t>
            </w:r>
            <w:r w:rsidRPr="008523D4">
              <w:rPr>
                <w:rFonts w:cs="Arial"/>
                <w:color w:val="000000"/>
                <w:szCs w:val="20"/>
              </w:rPr>
              <w:t> million</w:t>
            </w:r>
          </w:p>
        </w:tc>
      </w:tr>
      <w:tr w:rsidR="00BA166C" w:rsidRPr="008523D4" w14:paraId="55E4A18D" w14:textId="77777777" w:rsidTr="003D0A18">
        <w:trPr>
          <w:trHeight w:val="1528"/>
        </w:trPr>
        <w:tc>
          <w:tcPr>
            <w:tcW w:w="666" w:type="dxa"/>
            <w:vMerge w:val="restart"/>
            <w:shd w:val="clear" w:color="auto" w:fill="FFFFFF" w:themeFill="background1"/>
            <w:textDirection w:val="btLr"/>
            <w:vAlign w:val="center"/>
          </w:tcPr>
          <w:p w14:paraId="1344B2D2" w14:textId="77777777" w:rsidR="00BA166C" w:rsidRPr="008523D4" w:rsidRDefault="00BA166C" w:rsidP="004751DD">
            <w:pPr>
              <w:keepNext/>
              <w:keepLines/>
              <w:spacing w:after="0" w:line="240" w:lineRule="auto"/>
              <w:jc w:val="center"/>
              <w:rPr>
                <w:rFonts w:cs="Arial"/>
                <w:b/>
                <w:bCs/>
                <w:color w:val="000000"/>
                <w:szCs w:val="20"/>
              </w:rPr>
            </w:pPr>
            <w:r w:rsidRPr="008523D4">
              <w:rPr>
                <w:rFonts w:cs="Arial"/>
                <w:b/>
                <w:bCs/>
                <w:color w:val="000000"/>
                <w:szCs w:val="20"/>
              </w:rPr>
              <w:t>Unquantifiable</w:t>
            </w:r>
          </w:p>
        </w:tc>
        <w:tc>
          <w:tcPr>
            <w:tcW w:w="1503" w:type="dxa"/>
            <w:shd w:val="clear" w:color="auto" w:fill="FFFFFF" w:themeFill="background1"/>
          </w:tcPr>
          <w:p w14:paraId="4D8CD923" w14:textId="77777777" w:rsidR="00BA166C" w:rsidRPr="008523D4" w:rsidRDefault="00BA166C" w:rsidP="004751DD">
            <w:pPr>
              <w:keepNext/>
              <w:keepLines/>
              <w:spacing w:after="0" w:line="240" w:lineRule="auto"/>
              <w:rPr>
                <w:rFonts w:cs="Arial"/>
                <w:b/>
                <w:bCs/>
                <w:color w:val="000000"/>
                <w:szCs w:val="20"/>
              </w:rPr>
            </w:pPr>
            <w:r w:rsidRPr="008523D4">
              <w:rPr>
                <w:rFonts w:cs="Arial"/>
                <w:b/>
                <w:bCs/>
                <w:color w:val="000000"/>
                <w:szCs w:val="20"/>
              </w:rPr>
              <w:t>Addition to quantifiable</w:t>
            </w:r>
          </w:p>
        </w:tc>
        <w:tc>
          <w:tcPr>
            <w:tcW w:w="2646" w:type="dxa"/>
            <w:shd w:val="clear" w:color="auto" w:fill="FFFFFF" w:themeFill="background1"/>
          </w:tcPr>
          <w:p w14:paraId="2F72EC0E" w14:textId="77777777" w:rsidR="00BA166C" w:rsidRPr="008523D4" w:rsidRDefault="00856DF5" w:rsidP="004751DD">
            <w:pPr>
              <w:keepNext/>
              <w:keepLines/>
              <w:spacing w:after="0" w:line="240" w:lineRule="auto"/>
              <w:rPr>
                <w:rFonts w:cs="Arial"/>
                <w:color w:val="000000"/>
                <w:szCs w:val="20"/>
              </w:rPr>
            </w:pPr>
            <w:r>
              <w:rPr>
                <w:rFonts w:cs="Arial"/>
                <w:color w:val="000000"/>
                <w:szCs w:val="20"/>
              </w:rPr>
              <w:t>A</w:t>
            </w:r>
            <w:r w:rsidR="00BA166C" w:rsidRPr="008523D4">
              <w:rPr>
                <w:rFonts w:cs="Arial"/>
                <w:color w:val="000000"/>
                <w:szCs w:val="20"/>
              </w:rPr>
              <w:t xml:space="preserve">dditional consumer and broader social net benefits are likely to result from the availability of 5G services via the 3.6 GHz band, which </w:t>
            </w:r>
            <w:r>
              <w:rPr>
                <w:rFonts w:cs="Arial"/>
                <w:color w:val="000000"/>
                <w:szCs w:val="20"/>
              </w:rPr>
              <w:t>w</w:t>
            </w:r>
            <w:r w:rsidR="00BA166C" w:rsidRPr="008523D4">
              <w:rPr>
                <w:rFonts w:cs="Arial"/>
                <w:color w:val="000000"/>
                <w:szCs w:val="20"/>
              </w:rPr>
              <w:t>ould increase economic welfare.</w:t>
            </w:r>
          </w:p>
        </w:tc>
        <w:tc>
          <w:tcPr>
            <w:tcW w:w="3402" w:type="dxa"/>
            <w:shd w:val="clear" w:color="auto" w:fill="FFFFFF" w:themeFill="background1"/>
          </w:tcPr>
          <w:p w14:paraId="66D6B4D8" w14:textId="77777777" w:rsidR="00BA166C" w:rsidRPr="008523D4" w:rsidRDefault="0050043A" w:rsidP="004751DD">
            <w:pPr>
              <w:pStyle w:val="TableBody"/>
              <w:keepNext/>
              <w:keepLines/>
              <w:spacing w:before="120"/>
              <w:rPr>
                <w:rFonts w:cs="Arial"/>
                <w:color w:val="000000"/>
                <w:szCs w:val="20"/>
              </w:rPr>
            </w:pPr>
            <w:r w:rsidRPr="008523D4">
              <w:rPr>
                <w:rFonts w:cs="Arial"/>
                <w:b/>
                <w:color w:val="000000"/>
                <w:szCs w:val="20"/>
              </w:rPr>
              <w:t>FSS earth receive (Area 1).</w:t>
            </w:r>
            <w:r w:rsidRPr="008523D4">
              <w:rPr>
                <w:rFonts w:cs="Arial"/>
                <w:color w:val="000000"/>
                <w:szCs w:val="20"/>
              </w:rPr>
              <w:t xml:space="preserve"> Telstra</w:t>
            </w:r>
            <w:r w:rsidR="00FB13E1">
              <w:rPr>
                <w:rFonts w:cs="Arial"/>
                <w:color w:val="000000"/>
                <w:szCs w:val="20"/>
              </w:rPr>
              <w:t xml:space="preserve"> </w:t>
            </w:r>
            <w:r w:rsidRPr="008523D4">
              <w:rPr>
                <w:rFonts w:cs="Arial"/>
                <w:color w:val="000000"/>
                <w:szCs w:val="20"/>
              </w:rPr>
              <w:t xml:space="preserve">may incur some modest costs associated with retuning </w:t>
            </w:r>
            <w:r w:rsidR="008D6799">
              <w:rPr>
                <w:rFonts w:cs="Arial"/>
                <w:color w:val="000000"/>
                <w:szCs w:val="20"/>
              </w:rPr>
              <w:t>services</w:t>
            </w:r>
            <w:r w:rsidRPr="008523D4">
              <w:rPr>
                <w:rFonts w:cs="Arial"/>
                <w:color w:val="000000"/>
                <w:szCs w:val="20"/>
              </w:rPr>
              <w:t xml:space="preserve"> above 3700 MHz.</w:t>
            </w:r>
          </w:p>
        </w:tc>
      </w:tr>
      <w:tr w:rsidR="00BA166C" w:rsidRPr="008523D4" w14:paraId="1EDE06C6" w14:textId="77777777" w:rsidTr="003D0A18">
        <w:trPr>
          <w:cantSplit/>
          <w:trHeight w:val="3256"/>
        </w:trPr>
        <w:tc>
          <w:tcPr>
            <w:tcW w:w="666" w:type="dxa"/>
            <w:vMerge/>
            <w:shd w:val="clear" w:color="auto" w:fill="FFFFFF" w:themeFill="background1"/>
            <w:textDirection w:val="btLr"/>
            <w:vAlign w:val="center"/>
            <w:hideMark/>
          </w:tcPr>
          <w:p w14:paraId="3F168B52" w14:textId="77777777" w:rsidR="00BA166C" w:rsidRPr="008523D4" w:rsidRDefault="00BA166C" w:rsidP="004751DD">
            <w:pPr>
              <w:keepNext/>
              <w:keepLines/>
              <w:spacing w:after="0" w:line="240" w:lineRule="auto"/>
              <w:jc w:val="center"/>
              <w:rPr>
                <w:rFonts w:cs="Arial"/>
                <w:b/>
                <w:bCs/>
                <w:color w:val="000000"/>
                <w:szCs w:val="20"/>
              </w:rPr>
            </w:pPr>
          </w:p>
        </w:tc>
        <w:tc>
          <w:tcPr>
            <w:tcW w:w="1503" w:type="dxa"/>
            <w:shd w:val="clear" w:color="auto" w:fill="FFFFFF" w:themeFill="background1"/>
            <w:hideMark/>
          </w:tcPr>
          <w:p w14:paraId="5EEB8E3F" w14:textId="77777777" w:rsidR="00BA166C" w:rsidRPr="008523D4" w:rsidRDefault="00BA166C" w:rsidP="004751DD">
            <w:pPr>
              <w:keepNext/>
              <w:keepLines/>
              <w:spacing w:after="0" w:line="240" w:lineRule="auto"/>
              <w:rPr>
                <w:rFonts w:cs="Arial"/>
                <w:b/>
                <w:bCs/>
                <w:color w:val="000000"/>
                <w:szCs w:val="20"/>
              </w:rPr>
            </w:pPr>
            <w:r w:rsidRPr="008523D4">
              <w:rPr>
                <w:rFonts w:cs="Arial"/>
                <w:b/>
                <w:bCs/>
                <w:color w:val="000000"/>
                <w:szCs w:val="20"/>
              </w:rPr>
              <w:t>Substitute to quantifiable</w:t>
            </w:r>
          </w:p>
        </w:tc>
        <w:tc>
          <w:tcPr>
            <w:tcW w:w="2646" w:type="dxa"/>
            <w:shd w:val="clear" w:color="auto" w:fill="FFFFFF" w:themeFill="background1"/>
            <w:hideMark/>
          </w:tcPr>
          <w:p w14:paraId="0DBCEF57" w14:textId="77777777" w:rsidR="00BA166C" w:rsidRPr="008523D4" w:rsidRDefault="00BA166C" w:rsidP="004751DD">
            <w:pPr>
              <w:keepNext/>
              <w:keepLines/>
              <w:spacing w:after="0" w:line="240" w:lineRule="auto"/>
              <w:rPr>
                <w:rFonts w:cs="Arial"/>
                <w:color w:val="000000"/>
                <w:szCs w:val="20"/>
              </w:rPr>
            </w:pPr>
            <w:r>
              <w:rPr>
                <w:rFonts w:cs="Arial"/>
                <w:color w:val="000000"/>
                <w:szCs w:val="20"/>
              </w:rPr>
              <w:t>N/A</w:t>
            </w:r>
          </w:p>
        </w:tc>
        <w:tc>
          <w:tcPr>
            <w:tcW w:w="3402" w:type="dxa"/>
            <w:shd w:val="clear" w:color="auto" w:fill="FFFFFF" w:themeFill="background1"/>
            <w:hideMark/>
          </w:tcPr>
          <w:p w14:paraId="24369807" w14:textId="77777777" w:rsidR="00142662" w:rsidRDefault="00BA166C" w:rsidP="004751DD">
            <w:pPr>
              <w:keepNext/>
              <w:keepLines/>
              <w:spacing w:after="80" w:line="240" w:lineRule="auto"/>
              <w:rPr>
                <w:rFonts w:cs="Arial"/>
                <w:color w:val="000000"/>
                <w:szCs w:val="20"/>
              </w:rPr>
            </w:pPr>
            <w:r w:rsidRPr="00631BE4">
              <w:rPr>
                <w:rFonts w:cs="Arial"/>
                <w:b/>
                <w:color w:val="000000"/>
                <w:szCs w:val="20"/>
              </w:rPr>
              <w:t>Point-to-multipoint.</w:t>
            </w:r>
            <w:r w:rsidRPr="00631BE4">
              <w:rPr>
                <w:rFonts w:cs="Arial"/>
                <w:color w:val="000000"/>
                <w:szCs w:val="20"/>
              </w:rPr>
              <w:t xml:space="preserve"> </w:t>
            </w:r>
            <w:r w:rsidR="00142662">
              <w:rPr>
                <w:rFonts w:cs="Arial"/>
                <w:color w:val="000000"/>
                <w:szCs w:val="20"/>
              </w:rPr>
              <w:t>If l</w:t>
            </w:r>
            <w:r w:rsidRPr="00631BE4">
              <w:rPr>
                <w:rFonts w:cs="Arial"/>
                <w:color w:val="000000"/>
                <w:szCs w:val="20"/>
              </w:rPr>
              <w:t xml:space="preserve">icensees are </w:t>
            </w:r>
            <w:r w:rsidR="00142662">
              <w:rPr>
                <w:rFonts w:cs="Arial"/>
                <w:color w:val="000000"/>
                <w:szCs w:val="20"/>
              </w:rPr>
              <w:t>un</w:t>
            </w:r>
            <w:r w:rsidRPr="00631BE4">
              <w:rPr>
                <w:rFonts w:cs="Arial"/>
                <w:color w:val="000000"/>
                <w:szCs w:val="20"/>
              </w:rPr>
              <w:t>able to relocate to a different spectrum band</w:t>
            </w:r>
            <w:r w:rsidR="00142662">
              <w:rPr>
                <w:rFonts w:cs="Arial"/>
                <w:color w:val="000000"/>
                <w:szCs w:val="20"/>
              </w:rPr>
              <w:t xml:space="preserve">, then there may be a </w:t>
            </w:r>
            <w:r w:rsidRPr="00142662">
              <w:rPr>
                <w:rFonts w:cs="Arial"/>
                <w:color w:val="000000"/>
                <w:szCs w:val="20"/>
              </w:rPr>
              <w:t>reduction in consumer surplus and in broader social net benefits.</w:t>
            </w:r>
          </w:p>
          <w:p w14:paraId="5D72F997" w14:textId="77777777" w:rsidR="00BA166C" w:rsidRPr="008523D4" w:rsidRDefault="0050043A" w:rsidP="004751DD">
            <w:pPr>
              <w:keepNext/>
              <w:keepLines/>
              <w:spacing w:after="0" w:line="240" w:lineRule="auto"/>
            </w:pPr>
            <w:r w:rsidRPr="0050043A">
              <w:rPr>
                <w:rFonts w:cs="Arial"/>
                <w:b/>
                <w:color w:val="000000"/>
                <w:szCs w:val="20"/>
              </w:rPr>
              <w:t xml:space="preserve">FSS earth receive (remote areas). </w:t>
            </w:r>
            <w:r w:rsidR="00BA166C" w:rsidRPr="0050043A">
              <w:rPr>
                <w:rFonts w:cs="Arial"/>
                <w:color w:val="000000"/>
                <w:szCs w:val="20"/>
              </w:rPr>
              <w:t>If</w:t>
            </w:r>
            <w:r w:rsidR="00BA166C" w:rsidRPr="008523D4">
              <w:rPr>
                <w:rFonts w:cs="Arial"/>
                <w:color w:val="000000"/>
                <w:szCs w:val="20"/>
              </w:rPr>
              <w:t xml:space="preserve"> the 3.6 GHz band is spectrum licensed Australia-wide, then </w:t>
            </w:r>
            <w:r w:rsidR="00BA166C" w:rsidRPr="00631BE4">
              <w:rPr>
                <w:rFonts w:cs="Arial"/>
                <w:color w:val="000000"/>
                <w:szCs w:val="20"/>
              </w:rPr>
              <w:t xml:space="preserve">Atwood Oceanics Pacific would lose access to spectrum, and these consequential costs have not been estimated. </w:t>
            </w:r>
            <w:r w:rsidR="00BA166C" w:rsidRPr="008523D4">
              <w:rPr>
                <w:rFonts w:cs="Arial"/>
                <w:color w:val="000000"/>
                <w:szCs w:val="20"/>
              </w:rPr>
              <w:t xml:space="preserve">However, this cost does not apply if the band is spectrum licensed in </w:t>
            </w:r>
            <w:r w:rsidR="004751DD">
              <w:rPr>
                <w:rFonts w:cs="Arial"/>
                <w:color w:val="000000"/>
                <w:szCs w:val="20"/>
              </w:rPr>
              <w:t>a</w:t>
            </w:r>
            <w:r w:rsidR="00BA166C" w:rsidRPr="008523D4">
              <w:rPr>
                <w:rFonts w:cs="Arial"/>
                <w:color w:val="000000"/>
                <w:szCs w:val="20"/>
              </w:rPr>
              <w:t>rea 1, 2 or 3.</w:t>
            </w:r>
            <w:r w:rsidR="00BA166C">
              <w:rPr>
                <w:rFonts w:cs="Arial"/>
                <w:color w:val="000000"/>
                <w:szCs w:val="20"/>
              </w:rPr>
              <w:t xml:space="preserve"> </w:t>
            </w:r>
          </w:p>
        </w:tc>
      </w:tr>
    </w:tbl>
    <w:p w14:paraId="46B6A981" w14:textId="77777777" w:rsidR="00BA166C" w:rsidRPr="008523D4" w:rsidRDefault="00BA166C" w:rsidP="00CA238A">
      <w:pPr>
        <w:pStyle w:val="ACMANotes"/>
        <w:keepNext/>
        <w:keepLines/>
      </w:pPr>
      <w:r w:rsidRPr="0020055D">
        <w:t xml:space="preserve">Note: </w:t>
      </w:r>
      <w:r w:rsidR="00533B01">
        <w:t>The unquantifiable costs related to Atwood Oceanics Pacific, along with $20</w:t>
      </w:r>
      <w:r w:rsidR="004751DD" w:rsidDel="004751DD">
        <w:t xml:space="preserve"> </w:t>
      </w:r>
      <w:r w:rsidR="00533B01">
        <w:sym w:font="Symbol" w:char="F02D"/>
      </w:r>
      <w:r w:rsidR="00533B01">
        <w:t xml:space="preserve">50 million of quantifiable costs for Lockheed Martin’s </w:t>
      </w:r>
      <w:r w:rsidR="00533B01" w:rsidRPr="00CA238A">
        <w:t>FSS earth receive licence in Area 3 and Australia-wide, can be disregarded when comparing benefits and costs. Both facilities will not be displaced from</w:t>
      </w:r>
      <w:r w:rsidR="00533B01">
        <w:t xml:space="preserve"> the 3.6 GHz band.</w:t>
      </w:r>
    </w:p>
    <w:p w14:paraId="68918FF4" w14:textId="77777777" w:rsidR="00CA238A" w:rsidRDefault="00CA238A" w:rsidP="00CA238A">
      <w:pPr>
        <w:pStyle w:val="ACMASpaceaftertable"/>
      </w:pPr>
    </w:p>
    <w:p w14:paraId="334C7888" w14:textId="77777777" w:rsidR="00A35F66" w:rsidRDefault="00CF4351" w:rsidP="00CF4351">
      <w:r w:rsidRPr="00720CE0">
        <w:t xml:space="preserve">It should be noted that there are no licensed point-to-multipoint services located in Area 1. When determining whether re-farming would be net beneficial, the incremental costs associated with displacing point-to-multipoint services should therefore only be compared with the increase in re-farming benefits due to extending re-farming from Area 1 to </w:t>
      </w:r>
      <w:r w:rsidR="00E25995">
        <w:t>a</w:t>
      </w:r>
      <w:r w:rsidRPr="00720CE0">
        <w:t>reas 2</w:t>
      </w:r>
      <w:r w:rsidR="00E25995">
        <w:t>–</w:t>
      </w:r>
      <w:r w:rsidRPr="00720CE0">
        <w:t>3.</w:t>
      </w:r>
      <w:r>
        <w:t xml:space="preserve"> The</w:t>
      </w:r>
      <w:r w:rsidR="00856DF5">
        <w:t xml:space="preserve"> change in quantified costs and benefits </w:t>
      </w:r>
      <w:r>
        <w:t>when expanding the geographic area are detailed in the table below.</w:t>
      </w:r>
    </w:p>
    <w:p w14:paraId="17B8BAAC" w14:textId="77777777" w:rsidR="00F93678" w:rsidRPr="008523D4" w:rsidRDefault="00F93678" w:rsidP="00E25995">
      <w:pPr>
        <w:pStyle w:val="ACMATableHeader"/>
        <w:keepNext/>
        <w:keepLines/>
        <w:spacing w:line="240" w:lineRule="atLeast"/>
      </w:pPr>
      <w:r w:rsidRPr="008523D4">
        <w:t xml:space="preserve">Summary of </w:t>
      </w:r>
      <w:r w:rsidR="000E56CF">
        <w:t xml:space="preserve">marginal quantifiable </w:t>
      </w:r>
      <w:r w:rsidRPr="008523D4">
        <w:t>economic benefits and incremental costs of re-farming the 3.6 GHz band</w:t>
      </w:r>
      <w:r w:rsidR="005E5D7B">
        <w:t xml:space="preserve"> for each area</w:t>
      </w:r>
    </w:p>
    <w:tbl>
      <w:tblPr>
        <w:tblW w:w="8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10"/>
        <w:tblDescription w:val="Summary of marginal quantifiable economic benefits and incremental costs of re-farming the 3.6 GHz band"/>
      </w:tblPr>
      <w:tblGrid>
        <w:gridCol w:w="666"/>
        <w:gridCol w:w="1503"/>
        <w:gridCol w:w="2646"/>
        <w:gridCol w:w="3402"/>
      </w:tblGrid>
      <w:tr w:rsidR="00F93678" w:rsidRPr="008523D4" w14:paraId="69A7A6BC" w14:textId="77777777" w:rsidTr="00E25995">
        <w:trPr>
          <w:trHeight w:val="315"/>
        </w:trPr>
        <w:tc>
          <w:tcPr>
            <w:tcW w:w="666" w:type="dxa"/>
            <w:shd w:val="clear" w:color="000000" w:fill="404040"/>
            <w:vAlign w:val="center"/>
            <w:hideMark/>
          </w:tcPr>
          <w:p w14:paraId="24DE13FB" w14:textId="77777777" w:rsidR="00F93678" w:rsidRPr="008523D4" w:rsidRDefault="00F93678" w:rsidP="00E25995">
            <w:pPr>
              <w:keepNext/>
              <w:keepLines/>
              <w:spacing w:after="0" w:line="240" w:lineRule="auto"/>
              <w:rPr>
                <w:rFonts w:cs="Arial"/>
                <w:b/>
                <w:bCs/>
                <w:color w:val="FFFFFF"/>
                <w:szCs w:val="20"/>
              </w:rPr>
            </w:pPr>
            <w:r w:rsidRPr="008523D4">
              <w:rPr>
                <w:rFonts w:cs="Arial"/>
                <w:b/>
                <w:bCs/>
                <w:color w:val="FFFFFF" w:themeColor="background1"/>
                <w:szCs w:val="20"/>
              </w:rPr>
              <w:t> </w:t>
            </w:r>
          </w:p>
        </w:tc>
        <w:tc>
          <w:tcPr>
            <w:tcW w:w="1503" w:type="dxa"/>
            <w:shd w:val="clear" w:color="000000" w:fill="404040"/>
            <w:vAlign w:val="center"/>
            <w:hideMark/>
          </w:tcPr>
          <w:p w14:paraId="76B14033" w14:textId="77777777" w:rsidR="00F93678" w:rsidRPr="008523D4" w:rsidRDefault="00F93678" w:rsidP="00E25995">
            <w:pPr>
              <w:keepNext/>
              <w:keepLines/>
              <w:spacing w:after="0" w:line="240" w:lineRule="auto"/>
              <w:rPr>
                <w:rFonts w:cs="Arial"/>
                <w:b/>
                <w:bCs/>
                <w:color w:val="FFFFFF"/>
                <w:szCs w:val="20"/>
              </w:rPr>
            </w:pPr>
            <w:r w:rsidRPr="008523D4">
              <w:rPr>
                <w:rFonts w:cs="Arial"/>
                <w:b/>
                <w:bCs/>
                <w:color w:val="FFFFFF"/>
                <w:szCs w:val="20"/>
              </w:rPr>
              <w:t> </w:t>
            </w:r>
          </w:p>
        </w:tc>
        <w:tc>
          <w:tcPr>
            <w:tcW w:w="2646" w:type="dxa"/>
            <w:shd w:val="clear" w:color="000000" w:fill="404040"/>
            <w:vAlign w:val="center"/>
            <w:hideMark/>
          </w:tcPr>
          <w:p w14:paraId="08F8D154" w14:textId="77777777" w:rsidR="00F93678" w:rsidRPr="008523D4" w:rsidRDefault="00F93678" w:rsidP="00E25995">
            <w:pPr>
              <w:keepNext/>
              <w:keepLines/>
              <w:spacing w:after="0" w:line="240" w:lineRule="auto"/>
              <w:rPr>
                <w:rFonts w:cs="Arial"/>
                <w:b/>
                <w:bCs/>
                <w:color w:val="FFFFFF"/>
                <w:szCs w:val="20"/>
              </w:rPr>
            </w:pPr>
            <w:r w:rsidRPr="008523D4">
              <w:rPr>
                <w:rFonts w:cs="Arial"/>
                <w:b/>
                <w:bCs/>
                <w:color w:val="FFFFFF"/>
                <w:szCs w:val="20"/>
              </w:rPr>
              <w:t xml:space="preserve">Re-farming benefits </w:t>
            </w:r>
          </w:p>
          <w:p w14:paraId="4C832D1A" w14:textId="77777777" w:rsidR="00F93678" w:rsidRPr="008523D4" w:rsidRDefault="00F93678" w:rsidP="00E25995">
            <w:pPr>
              <w:keepNext/>
              <w:keepLines/>
              <w:spacing w:after="0" w:line="240" w:lineRule="auto"/>
              <w:rPr>
                <w:rFonts w:cs="Arial"/>
                <w:b/>
                <w:bCs/>
                <w:color w:val="FFFFFF"/>
                <w:szCs w:val="20"/>
              </w:rPr>
            </w:pPr>
            <w:r w:rsidRPr="008523D4">
              <w:rPr>
                <w:rFonts w:cs="Arial"/>
                <w:b/>
                <w:bCs/>
                <w:color w:val="FFFFFF"/>
                <w:szCs w:val="20"/>
              </w:rPr>
              <w:t>($0.03–$0.625/MHz/pop)</w:t>
            </w:r>
          </w:p>
        </w:tc>
        <w:tc>
          <w:tcPr>
            <w:tcW w:w="3402" w:type="dxa"/>
            <w:shd w:val="clear" w:color="000000" w:fill="404040"/>
            <w:vAlign w:val="center"/>
            <w:hideMark/>
          </w:tcPr>
          <w:p w14:paraId="5F661104" w14:textId="77777777" w:rsidR="00F93678" w:rsidRPr="008523D4" w:rsidRDefault="00F93678" w:rsidP="00E25995">
            <w:pPr>
              <w:keepNext/>
              <w:keepLines/>
              <w:spacing w:after="0" w:line="240" w:lineRule="auto"/>
              <w:rPr>
                <w:rFonts w:cs="Arial"/>
                <w:b/>
                <w:bCs/>
                <w:color w:val="FFFFFF"/>
                <w:szCs w:val="20"/>
              </w:rPr>
            </w:pPr>
            <w:r w:rsidRPr="008523D4">
              <w:rPr>
                <w:rFonts w:cs="Arial"/>
                <w:b/>
                <w:bCs/>
                <w:color w:val="FFFFFF"/>
                <w:szCs w:val="20"/>
              </w:rPr>
              <w:t>Incremental costs</w:t>
            </w:r>
          </w:p>
        </w:tc>
      </w:tr>
      <w:tr w:rsidR="00F93678" w:rsidRPr="008523D4" w14:paraId="1796E865" w14:textId="77777777" w:rsidTr="00E25995">
        <w:trPr>
          <w:cantSplit/>
          <w:trHeight w:val="225"/>
        </w:trPr>
        <w:tc>
          <w:tcPr>
            <w:tcW w:w="666" w:type="dxa"/>
            <w:vMerge w:val="restart"/>
            <w:shd w:val="clear" w:color="auto" w:fill="FFFFFF" w:themeFill="background1"/>
            <w:textDirection w:val="btLr"/>
            <w:vAlign w:val="center"/>
            <w:hideMark/>
          </w:tcPr>
          <w:p w14:paraId="5FB463CB" w14:textId="77777777" w:rsidR="00F93678" w:rsidRPr="008523D4" w:rsidRDefault="00F93678" w:rsidP="00E25995">
            <w:pPr>
              <w:keepNext/>
              <w:keepLines/>
              <w:spacing w:after="0" w:line="240" w:lineRule="auto"/>
              <w:jc w:val="center"/>
              <w:rPr>
                <w:rFonts w:cs="Arial"/>
                <w:b/>
                <w:bCs/>
                <w:color w:val="000000"/>
                <w:szCs w:val="20"/>
              </w:rPr>
            </w:pPr>
            <w:r w:rsidRPr="008523D4">
              <w:rPr>
                <w:rFonts w:cs="Arial"/>
                <w:b/>
                <w:bCs/>
                <w:color w:val="000000"/>
                <w:szCs w:val="20"/>
              </w:rPr>
              <w:t>Quantifiable</w:t>
            </w:r>
          </w:p>
        </w:tc>
        <w:tc>
          <w:tcPr>
            <w:tcW w:w="1503" w:type="dxa"/>
            <w:shd w:val="clear" w:color="auto" w:fill="FFFFFF" w:themeFill="background1"/>
            <w:vAlign w:val="center"/>
            <w:hideMark/>
          </w:tcPr>
          <w:p w14:paraId="2665595C" w14:textId="77777777" w:rsidR="00F93678" w:rsidRPr="008523D4" w:rsidRDefault="00F93678" w:rsidP="00E25995">
            <w:pPr>
              <w:keepNext/>
              <w:keepLines/>
              <w:spacing w:after="0" w:line="240" w:lineRule="auto"/>
              <w:rPr>
                <w:rFonts w:cs="Arial"/>
                <w:b/>
                <w:bCs/>
                <w:color w:val="000000"/>
                <w:szCs w:val="20"/>
              </w:rPr>
            </w:pPr>
            <w:r w:rsidRPr="008523D4">
              <w:rPr>
                <w:rFonts w:cs="Arial"/>
                <w:b/>
                <w:bCs/>
                <w:color w:val="000000"/>
                <w:szCs w:val="20"/>
              </w:rPr>
              <w:t>Area 1</w:t>
            </w:r>
          </w:p>
        </w:tc>
        <w:tc>
          <w:tcPr>
            <w:tcW w:w="2646" w:type="dxa"/>
            <w:shd w:val="clear" w:color="auto" w:fill="FFFFFF" w:themeFill="background1"/>
            <w:vAlign w:val="center"/>
            <w:hideMark/>
          </w:tcPr>
          <w:p w14:paraId="1921E681"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$60 million–1.3 billion</w:t>
            </w:r>
          </w:p>
        </w:tc>
        <w:tc>
          <w:tcPr>
            <w:tcW w:w="3402" w:type="dxa"/>
            <w:shd w:val="clear" w:color="auto" w:fill="FFFFFF" w:themeFill="background1"/>
            <w:vAlign w:val="center"/>
            <w:hideMark/>
          </w:tcPr>
          <w:p w14:paraId="4494B2A9"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$25–30 million</w:t>
            </w:r>
          </w:p>
        </w:tc>
      </w:tr>
      <w:tr w:rsidR="00F93678" w:rsidRPr="008523D4" w14:paraId="44532120" w14:textId="77777777" w:rsidTr="00E25995">
        <w:trPr>
          <w:cantSplit/>
          <w:trHeight w:val="158"/>
        </w:trPr>
        <w:tc>
          <w:tcPr>
            <w:tcW w:w="666" w:type="dxa"/>
            <w:vMerge/>
            <w:shd w:val="clear" w:color="auto" w:fill="FFFFFF" w:themeFill="background1"/>
            <w:vAlign w:val="center"/>
            <w:hideMark/>
          </w:tcPr>
          <w:p w14:paraId="135E2CDB" w14:textId="77777777" w:rsidR="00F93678" w:rsidRPr="008523D4" w:rsidRDefault="00F93678" w:rsidP="00E25995">
            <w:pPr>
              <w:keepNext/>
              <w:keepLines/>
              <w:spacing w:after="0" w:line="240" w:lineRule="auto"/>
              <w:rPr>
                <w:rFonts w:cs="Arial"/>
                <w:b/>
                <w:bCs/>
                <w:color w:val="000000"/>
                <w:szCs w:val="20"/>
              </w:rPr>
            </w:pPr>
          </w:p>
        </w:tc>
        <w:tc>
          <w:tcPr>
            <w:tcW w:w="1503" w:type="dxa"/>
            <w:shd w:val="clear" w:color="auto" w:fill="FFFFFF" w:themeFill="background1"/>
            <w:vAlign w:val="center"/>
            <w:hideMark/>
          </w:tcPr>
          <w:p w14:paraId="1EEB8FF3" w14:textId="77777777" w:rsidR="00F93678" w:rsidRPr="008523D4" w:rsidRDefault="00F93678" w:rsidP="00E25995">
            <w:pPr>
              <w:keepNext/>
              <w:keepLines/>
              <w:spacing w:after="0" w:line="240" w:lineRule="auto"/>
              <w:rPr>
                <w:rFonts w:cs="Arial"/>
                <w:b/>
                <w:bCs/>
                <w:color w:val="000000"/>
                <w:szCs w:val="20"/>
              </w:rPr>
            </w:pPr>
            <w:r w:rsidRPr="008523D4">
              <w:rPr>
                <w:rFonts w:cs="Arial"/>
                <w:b/>
                <w:bCs/>
                <w:color w:val="000000"/>
                <w:szCs w:val="20"/>
              </w:rPr>
              <w:t>Area 2</w:t>
            </w:r>
            <w:r w:rsidR="00CF4351">
              <w:rPr>
                <w:rFonts w:cs="Arial"/>
                <w:b/>
                <w:bCs/>
                <w:color w:val="000000"/>
                <w:szCs w:val="20"/>
              </w:rPr>
              <w:t xml:space="preserve"> </w:t>
            </w:r>
          </w:p>
        </w:tc>
        <w:tc>
          <w:tcPr>
            <w:tcW w:w="2646" w:type="dxa"/>
            <w:shd w:val="clear" w:color="auto" w:fill="FFFFFF" w:themeFill="background1"/>
            <w:vAlign w:val="center"/>
            <w:hideMark/>
          </w:tcPr>
          <w:p w14:paraId="4DFE0E34"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w:t>
            </w:r>
            <w:r w:rsidR="00634738">
              <w:rPr>
                <w:rFonts w:cs="Arial"/>
                <w:color w:val="000000"/>
                <w:szCs w:val="20"/>
              </w:rPr>
              <w:t>11</w:t>
            </w:r>
            <w:r w:rsidRPr="008523D4">
              <w:rPr>
                <w:rFonts w:cs="Arial"/>
                <w:color w:val="000000"/>
                <w:szCs w:val="20"/>
              </w:rPr>
              <w:t>–</w:t>
            </w:r>
            <w:r w:rsidR="00634738">
              <w:rPr>
                <w:rFonts w:cs="Arial"/>
                <w:color w:val="000000"/>
                <w:szCs w:val="20"/>
              </w:rPr>
              <w:t>234</w:t>
            </w:r>
            <w:r w:rsidRPr="008523D4">
              <w:rPr>
                <w:rFonts w:cs="Arial"/>
                <w:color w:val="000000"/>
                <w:szCs w:val="20"/>
              </w:rPr>
              <w:t> </w:t>
            </w:r>
            <w:r w:rsidR="00634738">
              <w:rPr>
                <w:rFonts w:cs="Arial"/>
                <w:color w:val="000000"/>
                <w:szCs w:val="20"/>
              </w:rPr>
              <w:t>m</w:t>
            </w:r>
            <w:r w:rsidRPr="008523D4">
              <w:rPr>
                <w:rFonts w:cs="Arial"/>
                <w:color w:val="000000"/>
                <w:szCs w:val="20"/>
              </w:rPr>
              <w:t>illion</w:t>
            </w:r>
          </w:p>
        </w:tc>
        <w:tc>
          <w:tcPr>
            <w:tcW w:w="3402" w:type="dxa"/>
            <w:shd w:val="clear" w:color="auto" w:fill="FFFFFF" w:themeFill="background1"/>
            <w:vAlign w:val="center"/>
            <w:hideMark/>
          </w:tcPr>
          <w:p w14:paraId="2673D22F"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w:t>
            </w:r>
            <w:r w:rsidR="00634738">
              <w:rPr>
                <w:rFonts w:cs="Arial"/>
                <w:color w:val="000000"/>
                <w:szCs w:val="20"/>
              </w:rPr>
              <w:t>604,000</w:t>
            </w:r>
            <w:r w:rsidRPr="008523D4">
              <w:rPr>
                <w:rFonts w:cs="Arial"/>
                <w:color w:val="000000"/>
                <w:szCs w:val="20"/>
              </w:rPr>
              <w:t>–</w:t>
            </w:r>
            <w:r w:rsidR="00634738">
              <w:rPr>
                <w:rFonts w:cs="Arial"/>
                <w:color w:val="000000"/>
                <w:szCs w:val="20"/>
              </w:rPr>
              <w:t>29</w:t>
            </w:r>
            <w:r w:rsidRPr="008523D4">
              <w:rPr>
                <w:rFonts w:cs="Arial"/>
                <w:color w:val="000000"/>
                <w:szCs w:val="20"/>
              </w:rPr>
              <w:t> million</w:t>
            </w:r>
          </w:p>
        </w:tc>
      </w:tr>
      <w:tr w:rsidR="00F93678" w:rsidRPr="008523D4" w14:paraId="785E24ED" w14:textId="77777777" w:rsidTr="00E25995">
        <w:trPr>
          <w:cantSplit/>
          <w:trHeight w:val="220"/>
        </w:trPr>
        <w:tc>
          <w:tcPr>
            <w:tcW w:w="666" w:type="dxa"/>
            <w:vMerge/>
            <w:shd w:val="clear" w:color="auto" w:fill="FFFFFF" w:themeFill="background1"/>
            <w:vAlign w:val="center"/>
            <w:hideMark/>
          </w:tcPr>
          <w:p w14:paraId="442AB07A" w14:textId="77777777" w:rsidR="00F93678" w:rsidRPr="008523D4" w:rsidRDefault="00F93678" w:rsidP="00E25995">
            <w:pPr>
              <w:keepNext/>
              <w:keepLines/>
              <w:spacing w:after="0" w:line="240" w:lineRule="auto"/>
              <w:rPr>
                <w:rFonts w:cs="Arial"/>
                <w:b/>
                <w:bCs/>
                <w:color w:val="000000"/>
                <w:szCs w:val="20"/>
              </w:rPr>
            </w:pPr>
          </w:p>
        </w:tc>
        <w:tc>
          <w:tcPr>
            <w:tcW w:w="1503" w:type="dxa"/>
            <w:shd w:val="clear" w:color="auto" w:fill="FFFFFF" w:themeFill="background1"/>
            <w:vAlign w:val="center"/>
            <w:hideMark/>
          </w:tcPr>
          <w:p w14:paraId="34C108B8" w14:textId="77777777" w:rsidR="00F93678" w:rsidRPr="008523D4" w:rsidRDefault="00F93678" w:rsidP="00E25995">
            <w:pPr>
              <w:keepNext/>
              <w:keepLines/>
              <w:spacing w:after="0" w:line="240" w:lineRule="auto"/>
              <w:rPr>
                <w:rFonts w:cs="Arial"/>
                <w:b/>
                <w:bCs/>
                <w:color w:val="000000"/>
                <w:szCs w:val="20"/>
              </w:rPr>
            </w:pPr>
            <w:r w:rsidRPr="008523D4">
              <w:rPr>
                <w:rFonts w:cs="Arial"/>
                <w:b/>
                <w:bCs/>
                <w:color w:val="000000"/>
                <w:szCs w:val="20"/>
              </w:rPr>
              <w:t>Area 3</w:t>
            </w:r>
            <w:r w:rsidR="00CF4351">
              <w:rPr>
                <w:rFonts w:cs="Arial"/>
                <w:b/>
                <w:bCs/>
                <w:color w:val="000000"/>
                <w:szCs w:val="20"/>
              </w:rPr>
              <w:t xml:space="preserve"> </w:t>
            </w:r>
          </w:p>
        </w:tc>
        <w:tc>
          <w:tcPr>
            <w:tcW w:w="2646" w:type="dxa"/>
            <w:shd w:val="clear" w:color="auto" w:fill="FFFFFF" w:themeFill="background1"/>
            <w:vAlign w:val="center"/>
            <w:hideMark/>
          </w:tcPr>
          <w:p w14:paraId="6C7850DC"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w:t>
            </w:r>
            <w:r w:rsidR="00634738">
              <w:rPr>
                <w:rFonts w:cs="Arial"/>
                <w:color w:val="000000"/>
                <w:szCs w:val="20"/>
              </w:rPr>
              <w:t>14</w:t>
            </w:r>
            <w:r w:rsidRPr="008523D4">
              <w:rPr>
                <w:rFonts w:cs="Arial"/>
                <w:color w:val="000000"/>
                <w:szCs w:val="20"/>
              </w:rPr>
              <w:t>–</w:t>
            </w:r>
            <w:r w:rsidR="00634738">
              <w:rPr>
                <w:rFonts w:cs="Arial"/>
                <w:color w:val="000000"/>
                <w:szCs w:val="20"/>
              </w:rPr>
              <w:t>289</w:t>
            </w:r>
            <w:r w:rsidRPr="008523D4">
              <w:rPr>
                <w:rFonts w:cs="Arial"/>
                <w:color w:val="000000"/>
                <w:szCs w:val="20"/>
              </w:rPr>
              <w:t> </w:t>
            </w:r>
            <w:r w:rsidR="00634738">
              <w:rPr>
                <w:rFonts w:cs="Arial"/>
                <w:color w:val="000000"/>
                <w:szCs w:val="20"/>
              </w:rPr>
              <w:t>m</w:t>
            </w:r>
            <w:r w:rsidRPr="008523D4">
              <w:rPr>
                <w:rFonts w:cs="Arial"/>
                <w:color w:val="000000"/>
                <w:szCs w:val="20"/>
              </w:rPr>
              <w:t>illion</w:t>
            </w:r>
          </w:p>
        </w:tc>
        <w:tc>
          <w:tcPr>
            <w:tcW w:w="3402" w:type="dxa"/>
            <w:shd w:val="clear" w:color="auto" w:fill="FFFFFF" w:themeFill="background1"/>
            <w:vAlign w:val="center"/>
            <w:hideMark/>
          </w:tcPr>
          <w:p w14:paraId="5EC2F5D7"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w:t>
            </w:r>
            <w:r w:rsidR="00634738">
              <w:rPr>
                <w:rFonts w:cs="Arial"/>
                <w:color w:val="000000"/>
                <w:szCs w:val="20"/>
              </w:rPr>
              <w:t>22</w:t>
            </w:r>
            <w:r w:rsidRPr="008523D4">
              <w:rPr>
                <w:rFonts w:cs="Arial"/>
                <w:color w:val="000000"/>
                <w:szCs w:val="20"/>
              </w:rPr>
              <w:t>–</w:t>
            </w:r>
            <w:r w:rsidR="00634738">
              <w:rPr>
                <w:rFonts w:cs="Arial"/>
                <w:color w:val="000000"/>
                <w:szCs w:val="20"/>
              </w:rPr>
              <w:t>85</w:t>
            </w:r>
            <w:r w:rsidRPr="008523D4">
              <w:rPr>
                <w:rFonts w:cs="Arial"/>
                <w:color w:val="000000"/>
                <w:szCs w:val="20"/>
              </w:rPr>
              <w:t> million</w:t>
            </w:r>
          </w:p>
        </w:tc>
      </w:tr>
      <w:tr w:rsidR="00F93678" w:rsidRPr="008523D4" w14:paraId="1B5090FF" w14:textId="77777777" w:rsidTr="00E25995">
        <w:trPr>
          <w:trHeight w:hRule="exact" w:val="288"/>
        </w:trPr>
        <w:tc>
          <w:tcPr>
            <w:tcW w:w="666" w:type="dxa"/>
            <w:vMerge/>
            <w:shd w:val="clear" w:color="auto" w:fill="FFFFFF" w:themeFill="background1"/>
            <w:vAlign w:val="center"/>
            <w:hideMark/>
          </w:tcPr>
          <w:p w14:paraId="4EBB808C" w14:textId="77777777" w:rsidR="00F93678" w:rsidRPr="008523D4" w:rsidRDefault="00F93678" w:rsidP="00E25995">
            <w:pPr>
              <w:keepNext/>
              <w:keepLines/>
              <w:spacing w:after="0" w:line="240" w:lineRule="auto"/>
              <w:rPr>
                <w:rFonts w:cs="Arial"/>
                <w:b/>
                <w:bCs/>
                <w:color w:val="000000"/>
                <w:szCs w:val="20"/>
              </w:rPr>
            </w:pPr>
          </w:p>
        </w:tc>
        <w:tc>
          <w:tcPr>
            <w:tcW w:w="1503" w:type="dxa"/>
            <w:shd w:val="clear" w:color="auto" w:fill="FFFFFF" w:themeFill="background1"/>
            <w:vAlign w:val="center"/>
            <w:hideMark/>
          </w:tcPr>
          <w:p w14:paraId="0A3F5CCB" w14:textId="77777777" w:rsidR="00F93678" w:rsidRPr="008523D4" w:rsidRDefault="00434F1F" w:rsidP="00E25995">
            <w:pPr>
              <w:keepNext/>
              <w:keepLines/>
              <w:spacing w:after="0" w:line="240" w:lineRule="auto"/>
              <w:rPr>
                <w:rFonts w:cs="Arial"/>
                <w:b/>
                <w:bCs/>
                <w:color w:val="000000"/>
                <w:szCs w:val="20"/>
              </w:rPr>
            </w:pPr>
            <w:r>
              <w:rPr>
                <w:rFonts w:cs="Arial"/>
                <w:b/>
                <w:bCs/>
                <w:color w:val="000000"/>
                <w:szCs w:val="20"/>
              </w:rPr>
              <w:t>Remote areas</w:t>
            </w:r>
          </w:p>
        </w:tc>
        <w:tc>
          <w:tcPr>
            <w:tcW w:w="2646" w:type="dxa"/>
            <w:shd w:val="clear" w:color="auto" w:fill="FFFFFF" w:themeFill="background1"/>
            <w:vAlign w:val="center"/>
            <w:hideMark/>
          </w:tcPr>
          <w:p w14:paraId="3BD79ABC"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w:t>
            </w:r>
            <w:r w:rsidR="00634738">
              <w:rPr>
                <w:rFonts w:cs="Arial"/>
                <w:color w:val="000000"/>
                <w:szCs w:val="20"/>
              </w:rPr>
              <w:t>2–39</w:t>
            </w:r>
            <w:r w:rsidRPr="008523D4">
              <w:rPr>
                <w:rFonts w:cs="Arial"/>
                <w:color w:val="000000"/>
                <w:szCs w:val="20"/>
              </w:rPr>
              <w:t> </w:t>
            </w:r>
            <w:r w:rsidR="00634738">
              <w:rPr>
                <w:rFonts w:cs="Arial"/>
                <w:color w:val="000000"/>
                <w:szCs w:val="20"/>
              </w:rPr>
              <w:t>m</w:t>
            </w:r>
            <w:r w:rsidRPr="008523D4">
              <w:rPr>
                <w:rFonts w:cs="Arial"/>
                <w:color w:val="000000"/>
                <w:szCs w:val="20"/>
              </w:rPr>
              <w:t>illion</w:t>
            </w:r>
          </w:p>
        </w:tc>
        <w:tc>
          <w:tcPr>
            <w:tcW w:w="3402" w:type="dxa"/>
            <w:shd w:val="clear" w:color="auto" w:fill="FFFFFF" w:themeFill="background1"/>
            <w:vAlign w:val="center"/>
            <w:hideMark/>
          </w:tcPr>
          <w:p w14:paraId="5957E09B" w14:textId="77777777" w:rsidR="00F93678" w:rsidRPr="008523D4" w:rsidRDefault="00F93678" w:rsidP="00E25995">
            <w:pPr>
              <w:keepNext/>
              <w:keepLines/>
              <w:spacing w:after="0" w:line="240" w:lineRule="auto"/>
              <w:rPr>
                <w:rFonts w:cs="Arial"/>
                <w:color w:val="000000"/>
                <w:szCs w:val="20"/>
              </w:rPr>
            </w:pPr>
            <w:r w:rsidRPr="008523D4">
              <w:rPr>
                <w:rFonts w:cs="Arial"/>
                <w:color w:val="000000"/>
                <w:szCs w:val="20"/>
              </w:rPr>
              <w:t>$</w:t>
            </w:r>
            <w:r w:rsidR="00634738">
              <w:rPr>
                <w:rFonts w:cs="Arial"/>
                <w:color w:val="000000"/>
                <w:szCs w:val="20"/>
              </w:rPr>
              <w:t>0</w:t>
            </w:r>
            <w:r w:rsidRPr="008523D4">
              <w:rPr>
                <w:rFonts w:cs="Arial"/>
                <w:color w:val="000000"/>
                <w:szCs w:val="20"/>
              </w:rPr>
              <w:t>–</w:t>
            </w:r>
            <w:r w:rsidR="00634738">
              <w:rPr>
                <w:rFonts w:cs="Arial"/>
                <w:color w:val="000000"/>
                <w:szCs w:val="20"/>
              </w:rPr>
              <w:t>15</w:t>
            </w:r>
            <w:r w:rsidRPr="008523D4">
              <w:rPr>
                <w:rFonts w:cs="Arial"/>
                <w:color w:val="000000"/>
                <w:szCs w:val="20"/>
              </w:rPr>
              <w:t> million</w:t>
            </w:r>
          </w:p>
        </w:tc>
      </w:tr>
    </w:tbl>
    <w:p w14:paraId="7CD755AF" w14:textId="77777777" w:rsidR="00F93678" w:rsidRPr="00533B01" w:rsidRDefault="00F93678" w:rsidP="00F93678">
      <w:pPr>
        <w:pStyle w:val="ACMASpaceaftertable"/>
      </w:pPr>
    </w:p>
    <w:p w14:paraId="6BFF0C9D" w14:textId="77777777" w:rsidR="00BA166C" w:rsidRPr="00720CE0" w:rsidRDefault="00720CE0" w:rsidP="00BA166C">
      <w:r w:rsidRPr="00720CE0">
        <w:t>As t</w:t>
      </w:r>
      <w:r w:rsidR="00BA166C" w:rsidRPr="00720CE0">
        <w:t>here is strong evidence of re-farming benefits exceeding incremental costs in Area</w:t>
      </w:r>
      <w:r w:rsidRPr="00720CE0">
        <w:t> </w:t>
      </w:r>
      <w:r w:rsidR="00BA166C" w:rsidRPr="00720CE0">
        <w:t>1, the primary point of contention is therefore whether re-farming should extend out to either Area 2 or Area 3. The incre</w:t>
      </w:r>
      <w:r w:rsidR="005A396D">
        <w:t>mental</w:t>
      </w:r>
      <w:r w:rsidR="00BA166C" w:rsidRPr="00720CE0">
        <w:t xml:space="preserve"> re-farming benefits from expanding re-allocation to these area</w:t>
      </w:r>
      <w:r w:rsidR="005A396D">
        <w:t>s</w:t>
      </w:r>
      <w:r w:rsidR="00BA166C" w:rsidRPr="00720CE0">
        <w:t xml:space="preserve"> need</w:t>
      </w:r>
      <w:r w:rsidR="005A396D">
        <w:t>s</w:t>
      </w:r>
      <w:r w:rsidR="00BA166C" w:rsidRPr="00720CE0">
        <w:t xml:space="preserve"> to exceed the incremental costs that would be incurred in these areas for there to be a case for re-farming. </w:t>
      </w:r>
      <w:r w:rsidR="00533B01" w:rsidRPr="00720CE0">
        <w:t>This primarily refers to incremental costs for point-to-multipoint licences, as Lockheed Martin’s FSS earth receive licence in Area 3 is going to be protected.</w:t>
      </w:r>
    </w:p>
    <w:p w14:paraId="3293CE8F" w14:textId="77777777" w:rsidR="0050043A" w:rsidRDefault="0050043A" w:rsidP="00BA166C">
      <w:r>
        <w:t xml:space="preserve">If Area 2 was retained for site-based apparatus licensing, the licence boundaries separating </w:t>
      </w:r>
      <w:r w:rsidR="008D6799">
        <w:t xml:space="preserve">it with </w:t>
      </w:r>
      <w:r>
        <w:t>Area 1 spectrum licence</w:t>
      </w:r>
      <w:r w:rsidR="008D6799">
        <w:t>s</w:t>
      </w:r>
      <w:r>
        <w:t xml:space="preserve"> would </w:t>
      </w:r>
      <w:r w:rsidR="001C1BC7">
        <w:t xml:space="preserve">create ‘dead zones’ in </w:t>
      </w:r>
      <w:r>
        <w:t xml:space="preserve">relatively populous areas. This could </w:t>
      </w:r>
      <w:r w:rsidR="00190183">
        <w:t xml:space="preserve">substantially </w:t>
      </w:r>
      <w:r>
        <w:t>reduce the re-farming benefits of spectrum licensing</w:t>
      </w:r>
      <w:r w:rsidR="001C1BC7">
        <w:t xml:space="preserve"> in Area 1</w:t>
      </w:r>
      <w:r>
        <w:t xml:space="preserve">. The marginal increase when expanding spectrum licensing from Area 1 to Area 2 is therefore </w:t>
      </w:r>
      <w:r w:rsidR="005A396D">
        <w:t>significantly</w:t>
      </w:r>
      <w:r>
        <w:t xml:space="preserve"> greater than the figures outlined in </w:t>
      </w:r>
      <w:r w:rsidR="00077EB6">
        <w:t>T</w:t>
      </w:r>
      <w:r>
        <w:t>able</w:t>
      </w:r>
      <w:r w:rsidR="00077EB6">
        <w:t xml:space="preserve"> 10</w:t>
      </w:r>
      <w:r>
        <w:t>, as the full benefits of re-allocating Area 1 could only be realised by also re-allocating Area 2. The ACMA therefore believes there is a strong case for re-farming extending to Area 2.</w:t>
      </w:r>
    </w:p>
    <w:p w14:paraId="6B681099" w14:textId="77777777" w:rsidR="0068775B" w:rsidRDefault="0050043A" w:rsidP="00BA166C">
      <w:r>
        <w:t>In c</w:t>
      </w:r>
      <w:r w:rsidR="00BA166C" w:rsidRPr="00720CE0">
        <w:t xml:space="preserve">onsidering the potential quantifiable re-farming benefits available when expanding the re-farming area to Area 3, the loss of economic welfare resulting from </w:t>
      </w:r>
      <w:r>
        <w:t xml:space="preserve">the 80 </w:t>
      </w:r>
      <w:r w:rsidR="00BA166C" w:rsidRPr="00720CE0">
        <w:t>WISP</w:t>
      </w:r>
      <w:r>
        <w:t xml:space="preserve"> licences</w:t>
      </w:r>
      <w:r w:rsidR="00BA166C" w:rsidRPr="00720CE0">
        <w:t xml:space="preserve"> </w:t>
      </w:r>
      <w:r w:rsidR="005A396D">
        <w:t xml:space="preserve">potentially </w:t>
      </w:r>
      <w:r w:rsidR="00BA166C" w:rsidRPr="00720CE0">
        <w:t xml:space="preserve">being displaced from the 3.6 GHz band would need to be substantial. </w:t>
      </w:r>
      <w:r w:rsidR="0068775B">
        <w:t xml:space="preserve">While </w:t>
      </w:r>
      <w:r w:rsidR="0068775B" w:rsidRPr="0068775B">
        <w:t>there is some potential for unquantifiable costs to be incurred due to the displacement of incumbent point-to-multipoint licensees</w:t>
      </w:r>
      <w:r w:rsidR="0068775B">
        <w:t>, t</w:t>
      </w:r>
      <w:r w:rsidR="00BA166C" w:rsidRPr="00720CE0">
        <w:t>he ACMA expects that the potential re-farming benefits exceed the potential incremental costs</w:t>
      </w:r>
      <w:r w:rsidR="0068775B">
        <w:t xml:space="preserve"> in this region</w:t>
      </w:r>
      <w:r w:rsidR="00BA166C" w:rsidRPr="00720CE0">
        <w:t xml:space="preserve">. </w:t>
      </w:r>
      <w:r w:rsidR="0068775B" w:rsidRPr="0068775B">
        <w:t xml:space="preserve">The ACMA notes that the extended </w:t>
      </w:r>
      <w:r w:rsidR="00910D48">
        <w:rPr>
          <w:rFonts w:cs="Arial"/>
          <w:szCs w:val="20"/>
          <w:lang w:eastAsia="en-US"/>
        </w:rPr>
        <w:t>re-allocation</w:t>
      </w:r>
      <w:r w:rsidR="00910D48" w:rsidRPr="00475453">
        <w:rPr>
          <w:rFonts w:cs="Arial"/>
          <w:szCs w:val="20"/>
          <w:lang w:eastAsia="en-US"/>
        </w:rPr>
        <w:t xml:space="preserve"> </w:t>
      </w:r>
      <w:r w:rsidR="00AA6716">
        <w:t>period</w:t>
      </w:r>
      <w:r w:rsidR="0068775B" w:rsidRPr="0068775B">
        <w:t>, the availability of alternative spectrum in the 5.6 GHz band</w:t>
      </w:r>
      <w:r w:rsidR="00685DC2">
        <w:t xml:space="preserve"> and possibly the 28 GHz</w:t>
      </w:r>
      <w:r w:rsidR="0068775B" w:rsidRPr="0068775B">
        <w:t>, and the potential ability to continue accessing the band via third-party authorisation arrangement</w:t>
      </w:r>
      <w:r w:rsidR="005A396D">
        <w:t>s</w:t>
      </w:r>
      <w:r w:rsidR="0068775B" w:rsidRPr="0068775B">
        <w:t xml:space="preserve"> will provide incumbents with opportunit</w:t>
      </w:r>
      <w:r w:rsidR="005A396D">
        <w:t>ies</w:t>
      </w:r>
      <w:r w:rsidR="0068775B" w:rsidRPr="0068775B">
        <w:t xml:space="preserve"> to continue providing services. </w:t>
      </w:r>
      <w:r w:rsidR="003538A2">
        <w:t>T</w:t>
      </w:r>
      <w:r w:rsidR="0068775B" w:rsidRPr="0068775B">
        <w:t>he ACMA considers that these mitigation strategies are likely to limit the materiality of the unquantifiable costs of the re-farming of the 3.6 GHz band. This provides the ACMA with confidence that re-farming would be net beneficial in Area 3.</w:t>
      </w:r>
    </w:p>
    <w:p w14:paraId="1251B6D2" w14:textId="77777777" w:rsidR="00C850EE" w:rsidRDefault="005A396D" w:rsidP="00235F01">
      <w:r>
        <w:t>Therefore</w:t>
      </w:r>
      <w:r w:rsidR="00BA166C" w:rsidRPr="00720CE0">
        <w:t xml:space="preserve"> the ACMA </w:t>
      </w:r>
      <w:r>
        <w:t xml:space="preserve">concludes that </w:t>
      </w:r>
      <w:r w:rsidRPr="00720CE0">
        <w:t>area-wide spectrum licensing</w:t>
      </w:r>
      <w:r>
        <w:t xml:space="preserve"> is </w:t>
      </w:r>
      <w:r w:rsidRPr="008523D4">
        <w:t>the highest value use of the 3.6 GHz band</w:t>
      </w:r>
      <w:r w:rsidRPr="00720CE0">
        <w:t xml:space="preserve"> </w:t>
      </w:r>
      <w:r>
        <w:t xml:space="preserve">in </w:t>
      </w:r>
      <w:r w:rsidR="00077EB6">
        <w:t>a</w:t>
      </w:r>
      <w:r w:rsidR="00BA166C" w:rsidRPr="00720CE0">
        <w:t>rea</w:t>
      </w:r>
      <w:r>
        <w:t>s 1, 2 and</w:t>
      </w:r>
      <w:r w:rsidR="00BA166C" w:rsidRPr="00720CE0">
        <w:t> 3</w:t>
      </w:r>
      <w:r>
        <w:t>.</w:t>
      </w:r>
    </w:p>
    <w:p w14:paraId="63DF45DE" w14:textId="77777777" w:rsidR="00235F01" w:rsidRPr="00243D03" w:rsidRDefault="00235F01" w:rsidP="00235F01">
      <w:pPr>
        <w:pStyle w:val="Heading3"/>
      </w:pPr>
      <w:bookmarkStart w:id="228" w:name="_Toc496620361"/>
      <w:r w:rsidRPr="00243D03">
        <w:t>Hybrid approaches</w:t>
      </w:r>
      <w:bookmarkEnd w:id="228"/>
    </w:p>
    <w:p w14:paraId="07883C9B" w14:textId="77777777" w:rsidR="00235F01" w:rsidRPr="00243D03" w:rsidRDefault="00235F01" w:rsidP="00235F01">
      <w:r w:rsidRPr="00243D03">
        <w:t>The analysis of hybrid approaches in the HVU paper attempted to determine whether there were methods by which economic welfare derived from the 3.6 GHz band could be maximised beyond simply re-farming for area-wide spectrum licensing.</w:t>
      </w:r>
    </w:p>
    <w:p w14:paraId="1089A974" w14:textId="77777777" w:rsidR="00235F01" w:rsidRPr="00243D03" w:rsidRDefault="00235F01" w:rsidP="00235F01">
      <w:pPr>
        <w:pStyle w:val="BodySubHeader"/>
      </w:pPr>
      <w:r w:rsidRPr="00243D03">
        <w:t>Option 4a</w:t>
      </w:r>
    </w:p>
    <w:p w14:paraId="0C3681E3" w14:textId="77777777" w:rsidR="00235F01" w:rsidRPr="00243D03" w:rsidRDefault="00235F01" w:rsidP="00235F01">
      <w:r w:rsidRPr="00243D03">
        <w:t>Option 4a considered setting aside 25 MHz in the 3.6 GHz band for point-to-multipoint licensed services. Stakeholder feedback indicates that this is not enough bandwidth to allow for competitive WISP services, while a set-aside would also considerably reduce the value of the band for area-wide spectrum licensing. This option is no longer being considered and can be disregarded as part of the HVU analysis.</w:t>
      </w:r>
    </w:p>
    <w:p w14:paraId="2221A487" w14:textId="77777777" w:rsidR="00235F01" w:rsidRPr="00243D03" w:rsidRDefault="00235F01" w:rsidP="00235F01">
      <w:pPr>
        <w:pStyle w:val="BodySubHeader"/>
      </w:pPr>
      <w:r w:rsidRPr="00243D03">
        <w:t xml:space="preserve">Option 4b </w:t>
      </w:r>
    </w:p>
    <w:p w14:paraId="7FB19852" w14:textId="77777777" w:rsidR="00235F01" w:rsidRPr="00243D03" w:rsidRDefault="00235F01" w:rsidP="00235F01">
      <w:r w:rsidRPr="00243D03">
        <w:t>Option 4b considered protecting FSS earth receive services</w:t>
      </w:r>
      <w:r w:rsidR="00720CE0">
        <w:t xml:space="preserve">. These included metropolitan </w:t>
      </w:r>
      <w:r w:rsidRPr="00243D03">
        <w:t>facilities in Perth and Sydney</w:t>
      </w:r>
      <w:r w:rsidR="00720CE0">
        <w:t>, along with a regional facility in Uralla and a remote offshore facility</w:t>
      </w:r>
      <w:r w:rsidRPr="00243D03">
        <w:t>.</w:t>
      </w:r>
      <w:r w:rsidR="00720CE0">
        <w:t xml:space="preserve"> Option 4b</w:t>
      </w:r>
      <w:r w:rsidRPr="00243D03">
        <w:t xml:space="preserve"> would be pursued if the reduction in incremental costs resulting from protecting these facilities exceeded the loss of re-farming benefits from area-wide spectrum licensing extending to a smaller portion of the population.</w:t>
      </w:r>
    </w:p>
    <w:p w14:paraId="5B2D745A" w14:textId="77777777" w:rsidR="00235F01" w:rsidRDefault="00720CE0" w:rsidP="00720CE0">
      <w:pPr>
        <w:rPr>
          <w:b/>
          <w:bCs/>
          <w:color w:val="323232"/>
          <w:szCs w:val="20"/>
        </w:rPr>
      </w:pPr>
      <w:r>
        <w:t>With regard to the metropolitan facilities, s</w:t>
      </w:r>
      <w:r w:rsidR="00235F01" w:rsidRPr="00243D03">
        <w:t>takeholder feedback has indicated that Telstra and Optus’ facilities in Sydney and Perth would not have to be relocated, leading to a reduction in incremental costs of between $80 million and $200 million. The comparison table has therefore been amended as follows:</w:t>
      </w:r>
    </w:p>
    <w:p w14:paraId="79D5968E" w14:textId="77777777" w:rsidR="00235F01" w:rsidRPr="00243D03" w:rsidRDefault="00235F01" w:rsidP="00235F01">
      <w:pPr>
        <w:pStyle w:val="ACMATableHeader"/>
        <w:keepNext/>
        <w:spacing w:line="240" w:lineRule="atLeast"/>
      </w:pPr>
      <w:r w:rsidRPr="00243D03">
        <w:t>Analysis of re-farming benefits and incremental costs of protecting FSS earth receive licence locations in the 3.6 GHz band</w:t>
      </w:r>
    </w:p>
    <w:tbl>
      <w:tblPr>
        <w:tblStyle w:val="ListTable1Light"/>
        <w:tblW w:w="52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Caption w:val="Table 11"/>
        <w:tblDescription w:val="Analysis of re-farming benefits and incremental costs protecting FSS earth receive licence locations in the 3.6 GHz band"/>
      </w:tblPr>
      <w:tblGrid>
        <w:gridCol w:w="465"/>
        <w:gridCol w:w="991"/>
        <w:gridCol w:w="2245"/>
        <w:gridCol w:w="2146"/>
        <w:gridCol w:w="2271"/>
      </w:tblGrid>
      <w:tr w:rsidR="00235F01" w:rsidRPr="00243D03" w14:paraId="457EC0D8" w14:textId="77777777" w:rsidTr="00077EB6">
        <w:trPr>
          <w:cnfStyle w:val="100000000000" w:firstRow="1" w:lastRow="0" w:firstColumn="0" w:lastColumn="0" w:oddVBand="0" w:evenVBand="0" w:oddHBand="0" w:evenHBand="0" w:firstRowFirstColumn="0" w:firstRowLastColumn="0" w:lastRowFirstColumn="0" w:lastRowLastColumn="0"/>
          <w:trHeight w:val="351"/>
          <w:tblHeader/>
        </w:trPr>
        <w:tc>
          <w:tcPr>
            <w:cnfStyle w:val="001000000000" w:firstRow="0" w:lastRow="0" w:firstColumn="1" w:lastColumn="0" w:oddVBand="0" w:evenVBand="0" w:oddHBand="0" w:evenHBand="0" w:firstRowFirstColumn="0" w:firstRowLastColumn="0" w:lastRowFirstColumn="0" w:lastRowLastColumn="0"/>
            <w:tcW w:w="286" w:type="pct"/>
            <w:tcBorders>
              <w:bottom w:val="none" w:sz="0" w:space="0" w:color="auto"/>
            </w:tcBorders>
            <w:shd w:val="clear" w:color="auto" w:fill="404040" w:themeFill="text1" w:themeFillTint="BF"/>
          </w:tcPr>
          <w:p w14:paraId="11FDBB14" w14:textId="77777777" w:rsidR="00235F01" w:rsidRPr="00243D03" w:rsidRDefault="00235F01" w:rsidP="00235F01">
            <w:pPr>
              <w:pStyle w:val="TableHeading"/>
              <w:keepNext/>
              <w:jc w:val="center"/>
              <w:rPr>
                <w:b/>
                <w:color w:val="FFFFFF" w:themeColor="background1"/>
              </w:rPr>
            </w:pPr>
          </w:p>
        </w:tc>
        <w:tc>
          <w:tcPr>
            <w:tcW w:w="610" w:type="pct"/>
            <w:tcBorders>
              <w:bottom w:val="none" w:sz="0" w:space="0" w:color="auto"/>
            </w:tcBorders>
            <w:shd w:val="clear" w:color="auto" w:fill="404040" w:themeFill="text1" w:themeFillTint="BF"/>
            <w:vAlign w:val="center"/>
          </w:tcPr>
          <w:p w14:paraId="4DFE9A8C" w14:textId="77777777" w:rsidR="00235F01" w:rsidRPr="00243D03" w:rsidRDefault="00235F01" w:rsidP="00235F01">
            <w:pPr>
              <w:pStyle w:val="TableHeading"/>
              <w:keepNext/>
              <w:cnfStyle w:val="100000000000" w:firstRow="1" w:lastRow="0" w:firstColumn="0" w:lastColumn="0" w:oddVBand="0" w:evenVBand="0" w:oddHBand="0" w:evenHBand="0" w:firstRowFirstColumn="0" w:firstRowLastColumn="0" w:lastRowFirstColumn="0" w:lastRowLastColumn="0"/>
              <w:rPr>
                <w:b/>
                <w:color w:val="FFFFFF" w:themeColor="background1"/>
              </w:rPr>
            </w:pPr>
          </w:p>
        </w:tc>
        <w:tc>
          <w:tcPr>
            <w:tcW w:w="2705" w:type="pct"/>
            <w:gridSpan w:val="2"/>
            <w:tcBorders>
              <w:bottom w:val="none" w:sz="0" w:space="0" w:color="auto"/>
            </w:tcBorders>
            <w:shd w:val="clear" w:color="auto" w:fill="404040" w:themeFill="text1" w:themeFillTint="BF"/>
            <w:vAlign w:val="center"/>
          </w:tcPr>
          <w:p w14:paraId="3B7BD41C" w14:textId="77777777" w:rsidR="00235F01" w:rsidRPr="00243D03" w:rsidRDefault="00235F01" w:rsidP="00235F01">
            <w:pPr>
              <w:pStyle w:val="TableHeading"/>
              <w:keepNext/>
              <w:cnfStyle w:val="100000000000" w:firstRow="1" w:lastRow="0" w:firstColumn="0" w:lastColumn="0" w:oddVBand="0" w:evenVBand="0" w:oddHBand="0" w:evenHBand="0" w:firstRowFirstColumn="0" w:firstRowLastColumn="0" w:lastRowFirstColumn="0" w:lastRowLastColumn="0"/>
              <w:rPr>
                <w:rFonts w:cs="Arial"/>
                <w:b/>
                <w:color w:val="FFFFFF" w:themeColor="background1"/>
              </w:rPr>
            </w:pPr>
            <w:r w:rsidRPr="00243D03">
              <w:rPr>
                <w:b/>
                <w:color w:val="FFFFFF" w:themeColor="background1"/>
              </w:rPr>
              <w:t>Reduction in re-farming benefits</w:t>
            </w:r>
          </w:p>
        </w:tc>
        <w:tc>
          <w:tcPr>
            <w:tcW w:w="1399" w:type="pct"/>
            <w:vMerge w:val="restart"/>
            <w:tcBorders>
              <w:bottom w:val="none" w:sz="0" w:space="0" w:color="auto"/>
            </w:tcBorders>
            <w:shd w:val="clear" w:color="auto" w:fill="404040" w:themeFill="text1" w:themeFillTint="BF"/>
            <w:vAlign w:val="center"/>
          </w:tcPr>
          <w:p w14:paraId="18851B8D" w14:textId="77777777" w:rsidR="00235F01" w:rsidRPr="00243D03" w:rsidRDefault="00235F01" w:rsidP="00235F01">
            <w:pPr>
              <w:pStyle w:val="TableHeading"/>
              <w:keepNext/>
              <w:cnfStyle w:val="100000000000" w:firstRow="1" w:lastRow="0" w:firstColumn="0" w:lastColumn="0" w:oddVBand="0" w:evenVBand="0" w:oddHBand="0" w:evenHBand="0" w:firstRowFirstColumn="0" w:firstRowLastColumn="0" w:lastRowFirstColumn="0" w:lastRowLastColumn="0"/>
              <w:rPr>
                <w:rFonts w:cs="Arial"/>
                <w:b/>
                <w:color w:val="FFFFFF" w:themeColor="background1"/>
              </w:rPr>
            </w:pPr>
            <w:r w:rsidRPr="00243D03">
              <w:rPr>
                <w:rFonts w:cs="Arial"/>
                <w:b/>
                <w:color w:val="FFFFFF" w:themeColor="background1"/>
              </w:rPr>
              <w:t>Reduction in incremental costs</w:t>
            </w:r>
          </w:p>
        </w:tc>
      </w:tr>
      <w:tr w:rsidR="00235F01" w:rsidRPr="00243D03" w14:paraId="10B970E3" w14:textId="77777777" w:rsidTr="00077E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 w:type="pct"/>
            <w:shd w:val="clear" w:color="auto" w:fill="404040" w:themeFill="text1" w:themeFillTint="BF"/>
          </w:tcPr>
          <w:p w14:paraId="2AB90965" w14:textId="77777777" w:rsidR="00235F01" w:rsidRPr="00243D03" w:rsidRDefault="00235F01" w:rsidP="00235F01">
            <w:pPr>
              <w:pStyle w:val="TableHeading"/>
              <w:keepNext/>
              <w:rPr>
                <w:b/>
                <w:color w:val="FFFFFF" w:themeColor="background1"/>
              </w:rPr>
            </w:pPr>
          </w:p>
        </w:tc>
        <w:tc>
          <w:tcPr>
            <w:tcW w:w="610" w:type="pct"/>
            <w:shd w:val="clear" w:color="auto" w:fill="404040" w:themeFill="text1" w:themeFillTint="BF"/>
            <w:vAlign w:val="center"/>
          </w:tcPr>
          <w:p w14:paraId="17AA22E3" w14:textId="77777777" w:rsidR="00235F01" w:rsidRPr="00243D03" w:rsidRDefault="00235F01" w:rsidP="00235F01">
            <w:pPr>
              <w:pStyle w:val="TableHeading"/>
              <w:keepNext/>
              <w:cnfStyle w:val="000000100000" w:firstRow="0" w:lastRow="0" w:firstColumn="0" w:lastColumn="0" w:oddVBand="0" w:evenVBand="0" w:oddHBand="1" w:evenHBand="0" w:firstRowFirstColumn="0" w:firstRowLastColumn="0" w:lastRowFirstColumn="0" w:lastRowLastColumn="0"/>
              <w:rPr>
                <w:b w:val="0"/>
                <w:color w:val="FFFFFF" w:themeColor="background1"/>
              </w:rPr>
            </w:pPr>
          </w:p>
        </w:tc>
        <w:tc>
          <w:tcPr>
            <w:tcW w:w="1383" w:type="pct"/>
            <w:shd w:val="clear" w:color="auto" w:fill="404040" w:themeFill="text1" w:themeFillTint="BF"/>
            <w:vAlign w:val="center"/>
          </w:tcPr>
          <w:p w14:paraId="750924F8" w14:textId="77777777" w:rsidR="00235F01" w:rsidRPr="00243D03" w:rsidRDefault="00235F01" w:rsidP="00235F01">
            <w:pPr>
              <w:pStyle w:val="TableHeading"/>
              <w:keepNext/>
              <w:cnfStyle w:val="000000100000" w:firstRow="0" w:lastRow="0" w:firstColumn="0" w:lastColumn="0" w:oddVBand="0" w:evenVBand="0" w:oddHBand="1" w:evenHBand="0" w:firstRowFirstColumn="0" w:firstRowLastColumn="0" w:lastRowFirstColumn="0" w:lastRowLastColumn="0"/>
              <w:rPr>
                <w:color w:val="FFFFFF" w:themeColor="background1"/>
              </w:rPr>
            </w:pPr>
            <w:r w:rsidRPr="00243D03">
              <w:rPr>
                <w:color w:val="FFFFFF" w:themeColor="background1"/>
              </w:rPr>
              <w:t>Macro-cell case</w:t>
            </w:r>
          </w:p>
        </w:tc>
        <w:tc>
          <w:tcPr>
            <w:tcW w:w="1322" w:type="pct"/>
            <w:shd w:val="clear" w:color="auto" w:fill="404040" w:themeFill="text1" w:themeFillTint="BF"/>
            <w:vAlign w:val="center"/>
          </w:tcPr>
          <w:p w14:paraId="7ADC3B5F" w14:textId="77777777" w:rsidR="00235F01" w:rsidRPr="00243D03" w:rsidRDefault="00235F01" w:rsidP="00235F01">
            <w:pPr>
              <w:pStyle w:val="TableHeading"/>
              <w:keepNext/>
              <w:cnfStyle w:val="000000100000" w:firstRow="0" w:lastRow="0" w:firstColumn="0" w:lastColumn="0" w:oddVBand="0" w:evenVBand="0" w:oddHBand="1" w:evenHBand="0" w:firstRowFirstColumn="0" w:firstRowLastColumn="0" w:lastRowFirstColumn="0" w:lastRowLastColumn="0"/>
              <w:rPr>
                <w:color w:val="FFFFFF" w:themeColor="background1"/>
              </w:rPr>
            </w:pPr>
            <w:r w:rsidRPr="00243D03">
              <w:rPr>
                <w:rFonts w:cs="Arial"/>
                <w:color w:val="FFFFFF" w:themeColor="background1"/>
              </w:rPr>
              <w:t>Small cell case</w:t>
            </w:r>
          </w:p>
        </w:tc>
        <w:tc>
          <w:tcPr>
            <w:tcW w:w="1399" w:type="pct"/>
            <w:vMerge/>
            <w:shd w:val="clear" w:color="auto" w:fill="404040" w:themeFill="text1" w:themeFillTint="BF"/>
            <w:vAlign w:val="center"/>
          </w:tcPr>
          <w:p w14:paraId="6DDEA053" w14:textId="77777777" w:rsidR="00235F01" w:rsidRPr="00243D03" w:rsidRDefault="00235F01" w:rsidP="00235F01">
            <w:pPr>
              <w:pStyle w:val="TableHeading"/>
              <w:keepNext/>
              <w:cnfStyle w:val="000000100000" w:firstRow="0" w:lastRow="0" w:firstColumn="0" w:lastColumn="0" w:oddVBand="0" w:evenVBand="0" w:oddHBand="1" w:evenHBand="0" w:firstRowFirstColumn="0" w:firstRowLastColumn="0" w:lastRowFirstColumn="0" w:lastRowLastColumn="0"/>
              <w:rPr>
                <w:color w:val="FFFFFF" w:themeColor="background1"/>
              </w:rPr>
            </w:pPr>
          </w:p>
        </w:tc>
      </w:tr>
      <w:tr w:rsidR="00235F01" w:rsidRPr="00243D03" w14:paraId="70DE132A" w14:textId="77777777" w:rsidTr="00077EB6">
        <w:trPr>
          <w:trHeight w:val="386"/>
        </w:trPr>
        <w:tc>
          <w:tcPr>
            <w:cnfStyle w:val="001000000000" w:firstRow="0" w:lastRow="0" w:firstColumn="1" w:lastColumn="0" w:oddVBand="0" w:evenVBand="0" w:oddHBand="0" w:evenHBand="0" w:firstRowFirstColumn="0" w:firstRowLastColumn="0" w:lastRowFirstColumn="0" w:lastRowLastColumn="0"/>
            <w:tcW w:w="286" w:type="pct"/>
            <w:vMerge w:val="restart"/>
            <w:shd w:val="clear" w:color="auto" w:fill="FFFFFF" w:themeFill="background1"/>
            <w:textDirection w:val="btLr"/>
            <w:vAlign w:val="center"/>
          </w:tcPr>
          <w:p w14:paraId="352C7B20" w14:textId="77777777" w:rsidR="00235F01" w:rsidRPr="00243D03" w:rsidRDefault="00235F01" w:rsidP="00077EB6">
            <w:pPr>
              <w:pStyle w:val="TableBody"/>
              <w:ind w:left="113" w:right="113"/>
              <w:jc w:val="center"/>
            </w:pPr>
            <w:r w:rsidRPr="00243D03">
              <w:t>Quantifiable</w:t>
            </w:r>
          </w:p>
        </w:tc>
        <w:tc>
          <w:tcPr>
            <w:tcW w:w="610" w:type="pct"/>
            <w:shd w:val="clear" w:color="auto" w:fill="FFFFFF" w:themeFill="background1"/>
            <w:vAlign w:val="center"/>
          </w:tcPr>
          <w:p w14:paraId="067C391E"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rPr>
                <w:rFonts w:cs="Arial"/>
                <w:b/>
              </w:rPr>
            </w:pPr>
            <w:r w:rsidRPr="00243D03">
              <w:rPr>
                <w:rFonts w:cs="Arial"/>
                <w:b/>
              </w:rPr>
              <w:t>Sydney</w:t>
            </w:r>
          </w:p>
        </w:tc>
        <w:tc>
          <w:tcPr>
            <w:tcW w:w="1383" w:type="pct"/>
            <w:shd w:val="clear" w:color="auto" w:fill="FFFFFF" w:themeFill="background1"/>
            <w:vAlign w:val="center"/>
          </w:tcPr>
          <w:p w14:paraId="66A7FA1B" w14:textId="77777777" w:rsidR="00235F01" w:rsidRPr="00243D03" w:rsidRDefault="00235F01" w:rsidP="00077EB6">
            <w:pPr>
              <w:pStyle w:val="TableBody"/>
              <w:cnfStyle w:val="000000000000" w:firstRow="0" w:lastRow="0" w:firstColumn="0" w:lastColumn="0" w:oddVBand="0" w:evenVBand="0" w:oddHBand="0" w:evenHBand="0" w:firstRowFirstColumn="0" w:firstRowLastColumn="0" w:lastRowFirstColumn="0" w:lastRowLastColumn="0"/>
              <w:rPr>
                <w:rFonts w:cs="Arial"/>
              </w:rPr>
            </w:pPr>
            <w:r w:rsidRPr="00243D03">
              <w:rPr>
                <w:rFonts w:cs="Arial"/>
                <w:color w:val="000000"/>
              </w:rPr>
              <w:t>$8–168 million</w:t>
            </w:r>
          </w:p>
        </w:tc>
        <w:tc>
          <w:tcPr>
            <w:tcW w:w="1322" w:type="pct"/>
            <w:shd w:val="clear" w:color="auto" w:fill="FFFFFF" w:themeFill="background1"/>
            <w:vAlign w:val="center"/>
          </w:tcPr>
          <w:p w14:paraId="5532BF37" w14:textId="77777777" w:rsidR="00235F01" w:rsidRPr="00243D03" w:rsidRDefault="00235F01" w:rsidP="00077EB6">
            <w:pPr>
              <w:pStyle w:val="TableBody"/>
              <w:cnfStyle w:val="000000000000" w:firstRow="0" w:lastRow="0" w:firstColumn="0" w:lastColumn="0" w:oddVBand="0" w:evenVBand="0" w:oddHBand="0" w:evenHBand="0" w:firstRowFirstColumn="0" w:firstRowLastColumn="0" w:lastRowFirstColumn="0" w:lastRowLastColumn="0"/>
              <w:rPr>
                <w:rFonts w:cs="Arial"/>
              </w:rPr>
            </w:pPr>
            <w:r w:rsidRPr="00243D03">
              <w:rPr>
                <w:rFonts w:cs="Arial"/>
                <w:color w:val="000000"/>
              </w:rPr>
              <w:t>$0.2–5 million</w:t>
            </w:r>
          </w:p>
        </w:tc>
        <w:tc>
          <w:tcPr>
            <w:tcW w:w="1399" w:type="pct"/>
            <w:shd w:val="clear" w:color="auto" w:fill="FFFFFF" w:themeFill="background1"/>
            <w:vAlign w:val="center"/>
          </w:tcPr>
          <w:p w14:paraId="16DE7FEB"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rPr>
                <w:rFonts w:cs="Arial"/>
              </w:rPr>
            </w:pPr>
            <w:r w:rsidRPr="00243D03">
              <w:rPr>
                <w:rFonts w:cs="Arial"/>
                <w:color w:val="000000"/>
              </w:rPr>
              <w:t>$0</w:t>
            </w:r>
          </w:p>
        </w:tc>
      </w:tr>
      <w:tr w:rsidR="00235F01" w:rsidRPr="00243D03" w14:paraId="63E1D4C5" w14:textId="77777777" w:rsidTr="00077EB6">
        <w:trPr>
          <w:cnfStyle w:val="000000100000" w:firstRow="0" w:lastRow="0" w:firstColumn="0" w:lastColumn="0" w:oddVBand="0" w:evenVBand="0" w:oddHBand="1" w:evenHBand="0" w:firstRowFirstColumn="0" w:firstRowLastColumn="0" w:lastRowFirstColumn="0" w:lastRowLastColumn="0"/>
          <w:trHeight w:val="386"/>
        </w:trPr>
        <w:tc>
          <w:tcPr>
            <w:cnfStyle w:val="001000000000" w:firstRow="0" w:lastRow="0" w:firstColumn="1" w:lastColumn="0" w:oddVBand="0" w:evenVBand="0" w:oddHBand="0" w:evenHBand="0" w:firstRowFirstColumn="0" w:firstRowLastColumn="0" w:lastRowFirstColumn="0" w:lastRowLastColumn="0"/>
            <w:tcW w:w="286" w:type="pct"/>
            <w:vMerge/>
            <w:shd w:val="clear" w:color="auto" w:fill="FFFFFF" w:themeFill="background1"/>
          </w:tcPr>
          <w:p w14:paraId="12922653" w14:textId="77777777" w:rsidR="00235F01" w:rsidRPr="00243D03" w:rsidRDefault="00235F01" w:rsidP="00235F01">
            <w:pPr>
              <w:pStyle w:val="TableBody"/>
            </w:pPr>
          </w:p>
        </w:tc>
        <w:tc>
          <w:tcPr>
            <w:tcW w:w="610" w:type="pct"/>
            <w:shd w:val="clear" w:color="auto" w:fill="FFFFFF" w:themeFill="background1"/>
            <w:vAlign w:val="center"/>
          </w:tcPr>
          <w:p w14:paraId="0BD4FF91"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rPr>
                <w:rFonts w:cs="Arial"/>
                <w:b/>
              </w:rPr>
            </w:pPr>
            <w:r w:rsidRPr="00243D03">
              <w:rPr>
                <w:rFonts w:cs="Arial"/>
                <w:b/>
              </w:rPr>
              <w:t>Perth</w:t>
            </w:r>
          </w:p>
        </w:tc>
        <w:tc>
          <w:tcPr>
            <w:tcW w:w="1383" w:type="pct"/>
            <w:shd w:val="clear" w:color="auto" w:fill="FFFFFF" w:themeFill="background1"/>
            <w:vAlign w:val="center"/>
          </w:tcPr>
          <w:p w14:paraId="055D271C" w14:textId="77777777" w:rsidR="00235F01" w:rsidRPr="00243D03" w:rsidRDefault="00235F01" w:rsidP="00077EB6">
            <w:pPr>
              <w:pStyle w:val="TableBody"/>
              <w:cnfStyle w:val="000000100000" w:firstRow="0" w:lastRow="0" w:firstColumn="0" w:lastColumn="0" w:oddVBand="0" w:evenVBand="0" w:oddHBand="1" w:evenHBand="0" w:firstRowFirstColumn="0" w:firstRowLastColumn="0" w:lastRowFirstColumn="0" w:lastRowLastColumn="0"/>
              <w:rPr>
                <w:rFonts w:cs="Arial"/>
              </w:rPr>
            </w:pPr>
            <w:r w:rsidRPr="00243D03">
              <w:rPr>
                <w:rFonts w:cs="Arial"/>
                <w:color w:val="000000"/>
              </w:rPr>
              <w:t>$8–161 million</w:t>
            </w:r>
          </w:p>
        </w:tc>
        <w:tc>
          <w:tcPr>
            <w:tcW w:w="1322" w:type="pct"/>
            <w:shd w:val="clear" w:color="auto" w:fill="FFFFFF" w:themeFill="background1"/>
            <w:vAlign w:val="center"/>
          </w:tcPr>
          <w:p w14:paraId="61B210F2" w14:textId="77777777" w:rsidR="00235F01" w:rsidRPr="00243D03" w:rsidRDefault="00235F01" w:rsidP="00077EB6">
            <w:pPr>
              <w:pStyle w:val="TableBody"/>
              <w:cnfStyle w:val="000000100000" w:firstRow="0" w:lastRow="0" w:firstColumn="0" w:lastColumn="0" w:oddVBand="0" w:evenVBand="0" w:oddHBand="1" w:evenHBand="0" w:firstRowFirstColumn="0" w:firstRowLastColumn="0" w:lastRowFirstColumn="0" w:lastRowLastColumn="0"/>
              <w:rPr>
                <w:rFonts w:cs="Arial"/>
              </w:rPr>
            </w:pPr>
            <w:r w:rsidRPr="00243D03">
              <w:rPr>
                <w:rFonts w:cs="Arial"/>
                <w:color w:val="000000"/>
              </w:rPr>
              <w:t>$3–67 million</w:t>
            </w:r>
          </w:p>
        </w:tc>
        <w:tc>
          <w:tcPr>
            <w:tcW w:w="1399" w:type="pct"/>
            <w:shd w:val="clear" w:color="auto" w:fill="FFFFFF" w:themeFill="background1"/>
            <w:vAlign w:val="center"/>
          </w:tcPr>
          <w:p w14:paraId="07410177" w14:textId="77777777" w:rsidR="00235F01" w:rsidRPr="00243D03" w:rsidRDefault="00235F01" w:rsidP="00077EB6">
            <w:pPr>
              <w:pStyle w:val="TableBody"/>
              <w:cnfStyle w:val="000000100000" w:firstRow="0" w:lastRow="0" w:firstColumn="0" w:lastColumn="0" w:oddVBand="0" w:evenVBand="0" w:oddHBand="1" w:evenHBand="0" w:firstRowFirstColumn="0" w:firstRowLastColumn="0" w:lastRowFirstColumn="0" w:lastRowLastColumn="0"/>
              <w:rPr>
                <w:rFonts w:cs="Arial"/>
              </w:rPr>
            </w:pPr>
            <w:r w:rsidRPr="00243D03">
              <w:rPr>
                <w:rFonts w:cs="Arial"/>
                <w:color w:val="000000"/>
              </w:rPr>
              <w:t>$25–30 million</w:t>
            </w:r>
          </w:p>
        </w:tc>
      </w:tr>
      <w:tr w:rsidR="00235F01" w:rsidRPr="00243D03" w14:paraId="623CE403" w14:textId="77777777" w:rsidTr="00DA6020">
        <w:trPr>
          <w:trHeight w:val="386"/>
        </w:trPr>
        <w:tc>
          <w:tcPr>
            <w:cnfStyle w:val="001000000000" w:firstRow="0" w:lastRow="0" w:firstColumn="1" w:lastColumn="0" w:oddVBand="0" w:evenVBand="0" w:oddHBand="0" w:evenHBand="0" w:firstRowFirstColumn="0" w:firstRowLastColumn="0" w:lastRowFirstColumn="0" w:lastRowLastColumn="0"/>
            <w:tcW w:w="286" w:type="pct"/>
            <w:vMerge/>
            <w:shd w:val="clear" w:color="auto" w:fill="FFFFFF" w:themeFill="background1"/>
          </w:tcPr>
          <w:p w14:paraId="69AC7FA7" w14:textId="77777777" w:rsidR="00235F01" w:rsidRPr="00243D03" w:rsidRDefault="00235F01" w:rsidP="00235F01">
            <w:pPr>
              <w:pStyle w:val="TableBody"/>
            </w:pPr>
          </w:p>
        </w:tc>
        <w:tc>
          <w:tcPr>
            <w:tcW w:w="610" w:type="pct"/>
            <w:shd w:val="clear" w:color="auto" w:fill="D9D9D9" w:themeFill="background1" w:themeFillShade="D9"/>
            <w:vAlign w:val="center"/>
          </w:tcPr>
          <w:p w14:paraId="19AA0DB3" w14:textId="77777777" w:rsidR="00235F01" w:rsidRPr="00243D03" w:rsidRDefault="00235F01" w:rsidP="00235F01">
            <w:pPr>
              <w:pStyle w:val="TableBody"/>
              <w:cnfStyle w:val="000000000000" w:firstRow="0" w:lastRow="0" w:firstColumn="0" w:lastColumn="0" w:oddVBand="0" w:evenVBand="0" w:oddHBand="0" w:evenHBand="0" w:firstRowFirstColumn="0" w:firstRowLastColumn="0" w:lastRowFirstColumn="0" w:lastRowLastColumn="0"/>
              <w:rPr>
                <w:rFonts w:cs="Arial"/>
                <w:b/>
              </w:rPr>
            </w:pPr>
            <w:r w:rsidRPr="00243D03">
              <w:rPr>
                <w:rFonts w:cs="Arial"/>
                <w:b/>
              </w:rPr>
              <w:t>Total</w:t>
            </w:r>
          </w:p>
        </w:tc>
        <w:tc>
          <w:tcPr>
            <w:tcW w:w="1383" w:type="pct"/>
            <w:shd w:val="clear" w:color="auto" w:fill="D9D9D9" w:themeFill="background1" w:themeFillShade="D9"/>
            <w:vAlign w:val="center"/>
          </w:tcPr>
          <w:p w14:paraId="2BDC5250" w14:textId="77777777" w:rsidR="00235F01" w:rsidRPr="00243D03" w:rsidRDefault="00235F01" w:rsidP="00077EB6">
            <w:pPr>
              <w:pStyle w:val="TableBody"/>
              <w:cnfStyle w:val="000000000000" w:firstRow="0" w:lastRow="0" w:firstColumn="0" w:lastColumn="0" w:oddVBand="0" w:evenVBand="0" w:oddHBand="0" w:evenHBand="0" w:firstRowFirstColumn="0" w:firstRowLastColumn="0" w:lastRowFirstColumn="0" w:lastRowLastColumn="0"/>
              <w:rPr>
                <w:rFonts w:cs="Arial"/>
                <w:color w:val="000000"/>
              </w:rPr>
            </w:pPr>
            <w:r w:rsidRPr="00243D03">
              <w:rPr>
                <w:rFonts w:cs="Arial"/>
                <w:color w:val="000000"/>
              </w:rPr>
              <w:t>$16–329 million</w:t>
            </w:r>
          </w:p>
        </w:tc>
        <w:tc>
          <w:tcPr>
            <w:tcW w:w="1322" w:type="pct"/>
            <w:shd w:val="clear" w:color="auto" w:fill="D9D9D9" w:themeFill="background1" w:themeFillShade="D9"/>
            <w:vAlign w:val="center"/>
          </w:tcPr>
          <w:p w14:paraId="3E4E8913" w14:textId="77777777" w:rsidR="00235F01" w:rsidRPr="00243D03" w:rsidRDefault="00235F01" w:rsidP="00077EB6">
            <w:pPr>
              <w:pStyle w:val="TableBody"/>
              <w:cnfStyle w:val="000000000000" w:firstRow="0" w:lastRow="0" w:firstColumn="0" w:lastColumn="0" w:oddVBand="0" w:evenVBand="0" w:oddHBand="0" w:evenHBand="0" w:firstRowFirstColumn="0" w:firstRowLastColumn="0" w:lastRowFirstColumn="0" w:lastRowLastColumn="0"/>
              <w:rPr>
                <w:rFonts w:cs="Arial"/>
                <w:color w:val="000000"/>
              </w:rPr>
            </w:pPr>
            <w:r w:rsidRPr="00243D03">
              <w:rPr>
                <w:rFonts w:cs="Arial"/>
                <w:color w:val="000000"/>
              </w:rPr>
              <w:t>$3–72 million</w:t>
            </w:r>
          </w:p>
        </w:tc>
        <w:tc>
          <w:tcPr>
            <w:tcW w:w="1399" w:type="pct"/>
            <w:shd w:val="clear" w:color="auto" w:fill="D9D9D9" w:themeFill="background1" w:themeFillShade="D9"/>
            <w:vAlign w:val="center"/>
          </w:tcPr>
          <w:p w14:paraId="65ED78B7" w14:textId="77777777" w:rsidR="00235F01" w:rsidRPr="00243D03" w:rsidRDefault="00235F01" w:rsidP="00077EB6">
            <w:pPr>
              <w:pStyle w:val="TableBody"/>
              <w:cnfStyle w:val="000000000000" w:firstRow="0" w:lastRow="0" w:firstColumn="0" w:lastColumn="0" w:oddVBand="0" w:evenVBand="0" w:oddHBand="0" w:evenHBand="0" w:firstRowFirstColumn="0" w:firstRowLastColumn="0" w:lastRowFirstColumn="0" w:lastRowLastColumn="0"/>
              <w:rPr>
                <w:rFonts w:cs="Arial"/>
                <w:color w:val="000000"/>
              </w:rPr>
            </w:pPr>
            <w:r w:rsidRPr="00243D03">
              <w:rPr>
                <w:rFonts w:cs="Arial"/>
                <w:color w:val="000000"/>
              </w:rPr>
              <w:t>$25–30 million</w:t>
            </w:r>
          </w:p>
        </w:tc>
      </w:tr>
      <w:tr w:rsidR="00235F01" w:rsidRPr="00243D03" w14:paraId="4536CE1B" w14:textId="77777777" w:rsidTr="00077EB6">
        <w:trPr>
          <w:cnfStyle w:val="000000100000" w:firstRow="0" w:lastRow="0" w:firstColumn="0" w:lastColumn="0" w:oddVBand="0" w:evenVBand="0" w:oddHBand="1" w:evenHBand="0" w:firstRowFirstColumn="0" w:firstRowLastColumn="0" w:lastRowFirstColumn="0" w:lastRowLastColumn="0"/>
          <w:trHeight w:val="2845"/>
        </w:trPr>
        <w:tc>
          <w:tcPr>
            <w:cnfStyle w:val="001000000000" w:firstRow="0" w:lastRow="0" w:firstColumn="1" w:lastColumn="0" w:oddVBand="0" w:evenVBand="0" w:oddHBand="0" w:evenHBand="0" w:firstRowFirstColumn="0" w:firstRowLastColumn="0" w:lastRowFirstColumn="0" w:lastRowLastColumn="0"/>
            <w:tcW w:w="286" w:type="pct"/>
            <w:shd w:val="clear" w:color="auto" w:fill="FFFFFF" w:themeFill="background1"/>
            <w:textDirection w:val="btLr"/>
            <w:vAlign w:val="center"/>
          </w:tcPr>
          <w:p w14:paraId="550437A2" w14:textId="77777777" w:rsidR="00235F01" w:rsidRPr="00243D03" w:rsidRDefault="00235F01" w:rsidP="00DA6020">
            <w:pPr>
              <w:pStyle w:val="TableBody"/>
              <w:ind w:left="113" w:right="113"/>
              <w:jc w:val="center"/>
            </w:pPr>
            <w:r w:rsidRPr="00243D03">
              <w:t>Unquantifiable</w:t>
            </w:r>
          </w:p>
        </w:tc>
        <w:tc>
          <w:tcPr>
            <w:tcW w:w="610" w:type="pct"/>
            <w:shd w:val="clear" w:color="auto" w:fill="FFFFFF" w:themeFill="background1"/>
            <w:vAlign w:val="center"/>
          </w:tcPr>
          <w:p w14:paraId="1DD714F3" w14:textId="77777777" w:rsidR="00235F01" w:rsidRPr="00243D03" w:rsidRDefault="00235F01" w:rsidP="00235F01">
            <w:pPr>
              <w:pStyle w:val="TableBody"/>
              <w:cnfStyle w:val="000000100000" w:firstRow="0" w:lastRow="0" w:firstColumn="0" w:lastColumn="0" w:oddVBand="0" w:evenVBand="0" w:oddHBand="1" w:evenHBand="0" w:firstRowFirstColumn="0" w:firstRowLastColumn="0" w:lastRowFirstColumn="0" w:lastRowLastColumn="0"/>
            </w:pPr>
            <w:r w:rsidRPr="00243D03">
              <w:rPr>
                <w:rFonts w:cs="Arial"/>
                <w:b/>
              </w:rPr>
              <w:t>Total</w:t>
            </w:r>
          </w:p>
        </w:tc>
        <w:tc>
          <w:tcPr>
            <w:tcW w:w="1383" w:type="pct"/>
            <w:shd w:val="clear" w:color="auto" w:fill="FFFFFF" w:themeFill="background1"/>
          </w:tcPr>
          <w:p w14:paraId="5F4B729C" w14:textId="77777777" w:rsidR="00235F01" w:rsidRPr="00243D03" w:rsidRDefault="00235F01" w:rsidP="00077EB6">
            <w:pPr>
              <w:pStyle w:val="TableBody"/>
              <w:cnfStyle w:val="000000100000" w:firstRow="0" w:lastRow="0" w:firstColumn="0" w:lastColumn="0" w:oddVBand="0" w:evenVBand="0" w:oddHBand="1" w:evenHBand="0" w:firstRowFirstColumn="0" w:firstRowLastColumn="0" w:lastRowFirstColumn="0" w:lastRowLastColumn="0"/>
            </w:pPr>
            <w:r w:rsidRPr="00243D03">
              <w:t>Additional consumer surplus and broader social net benefits would be forgone if the band is not re</w:t>
            </w:r>
            <w:r w:rsidRPr="00243D03">
              <w:noBreakHyphen/>
              <w:t>farmed.</w:t>
            </w:r>
          </w:p>
        </w:tc>
        <w:tc>
          <w:tcPr>
            <w:tcW w:w="1322" w:type="pct"/>
            <w:shd w:val="clear" w:color="auto" w:fill="FFFFFF" w:themeFill="background1"/>
          </w:tcPr>
          <w:p w14:paraId="6C78BDAF" w14:textId="77777777" w:rsidR="00235F01" w:rsidRPr="00243D03" w:rsidRDefault="00235F01" w:rsidP="00CA238A">
            <w:pPr>
              <w:pStyle w:val="TableBody"/>
              <w:spacing w:after="80"/>
              <w:cnfStyle w:val="000000100000" w:firstRow="0" w:lastRow="0" w:firstColumn="0" w:lastColumn="0" w:oddVBand="0" w:evenVBand="0" w:oddHBand="1" w:evenHBand="0" w:firstRowFirstColumn="0" w:firstRowLastColumn="0" w:lastRowFirstColumn="0" w:lastRowLastColumn="0"/>
            </w:pPr>
            <w:r w:rsidRPr="00243D03">
              <w:t>Additional consumer surplus and broader social net benefits would be forgone if the band is not re-farmed.</w:t>
            </w:r>
          </w:p>
          <w:p w14:paraId="6F11DBCE" w14:textId="77777777" w:rsidR="00235F01" w:rsidRPr="00243D03" w:rsidRDefault="00235F01" w:rsidP="00077EB6">
            <w:pPr>
              <w:pStyle w:val="TableBody"/>
              <w:cnfStyle w:val="000000100000" w:firstRow="0" w:lastRow="0" w:firstColumn="0" w:lastColumn="0" w:oddVBand="0" w:evenVBand="0" w:oddHBand="1" w:evenHBand="0" w:firstRowFirstColumn="0" w:firstRowLastColumn="0" w:lastRowFirstColumn="0" w:lastRowLastColumn="0"/>
            </w:pPr>
            <w:r w:rsidRPr="00243D03">
              <w:t>There would be a substantial reduction in the value of the spectrum if it is restricted to small cell use only (rather than if it was unrestricted).</w:t>
            </w:r>
            <w:r w:rsidRPr="00243D03" w:rsidDel="0031428B">
              <w:t xml:space="preserve"> </w:t>
            </w:r>
          </w:p>
        </w:tc>
        <w:tc>
          <w:tcPr>
            <w:tcW w:w="1399" w:type="pct"/>
            <w:shd w:val="clear" w:color="auto" w:fill="FFFFFF" w:themeFill="background1"/>
          </w:tcPr>
          <w:p w14:paraId="1B2A6A25" w14:textId="77777777" w:rsidR="00235F01" w:rsidRPr="00243D03" w:rsidRDefault="00235F01" w:rsidP="00077EB6">
            <w:pPr>
              <w:pStyle w:val="TableBody"/>
              <w:cnfStyle w:val="000000100000" w:firstRow="0" w:lastRow="0" w:firstColumn="0" w:lastColumn="0" w:oddVBand="0" w:evenVBand="0" w:oddHBand="1" w:evenHBand="0" w:firstRowFirstColumn="0" w:firstRowLastColumn="0" w:lastRowFirstColumn="0" w:lastRowLastColumn="0"/>
            </w:pPr>
            <w:r w:rsidRPr="00243D03">
              <w:t>Inmarsat could retune its antennas or discontinue their FSS earth receive services. Retuning costs are unknown, while discontinuation costs would be the loss of economic welfare in moving to an alternative service. These costs would replace the quantifiable costs.</w:t>
            </w:r>
          </w:p>
        </w:tc>
      </w:tr>
    </w:tbl>
    <w:p w14:paraId="628DB248" w14:textId="77777777" w:rsidR="00235F01" w:rsidRPr="00243D03" w:rsidRDefault="00235F01" w:rsidP="00235F01">
      <w:pPr>
        <w:pStyle w:val="ACMANotes"/>
      </w:pPr>
      <w:r w:rsidRPr="00243D03">
        <w:t>Note 1: Quantifiable ranges refer to the reduction in re-farming benefits based on $/MHz/pop valuations between a lower bound of $0.03/MHz/pop and an upper bound of $0.625/MHz/pop for 15-year licences.</w:t>
      </w:r>
    </w:p>
    <w:p w14:paraId="70FD5124" w14:textId="77777777" w:rsidR="00235F01" w:rsidRPr="00243D03" w:rsidRDefault="00235F01" w:rsidP="00235F01">
      <w:pPr>
        <w:pStyle w:val="ACMANotes"/>
      </w:pPr>
      <w:r w:rsidRPr="00243D03">
        <w:t>Note 2: The maximum reduction in re-farming benefits in the small cell case, including both quantifiable and unquantifiable costs, is equal to the maximum reduction in re-farming benefits in the macro-cell case.</w:t>
      </w:r>
    </w:p>
    <w:p w14:paraId="411EBBE1" w14:textId="77777777" w:rsidR="00235F01" w:rsidRPr="00077EB6" w:rsidRDefault="00235F01" w:rsidP="00077EB6">
      <w:pPr>
        <w:pStyle w:val="ACMASpaceaftertable"/>
      </w:pPr>
    </w:p>
    <w:p w14:paraId="531A6C7F" w14:textId="77777777" w:rsidR="00235F01" w:rsidRDefault="00235F01" w:rsidP="00077EB6">
      <w:r w:rsidRPr="00243D03">
        <w:t>Stakeholder feedback also indicated that there would be a substantial difference in the value of spectrum with use restricted to small cells versus that of the same spectrum with unrestricted use. This would make the reduction in re-farming benefits in the small cell case similar in magnitude to the macro-cell case.</w:t>
      </w:r>
      <w:r w:rsidR="00720CE0">
        <w:t xml:space="preserve"> </w:t>
      </w:r>
      <w:r w:rsidRPr="00243D03">
        <w:t>As such, the ACMA expects that the reduction in re-farming benefits is likely to exceed the reduction in incremental costs in both cities under this hybrid approach.</w:t>
      </w:r>
    </w:p>
    <w:p w14:paraId="37C12219" w14:textId="77777777" w:rsidR="00235F01" w:rsidRPr="00243D03" w:rsidRDefault="00720CE0" w:rsidP="00DA6020">
      <w:pPr>
        <w:pStyle w:val="ACMASpaceaftertable"/>
      </w:pPr>
      <w:r>
        <w:t>Lockheed Martin’s regional facility in Uralla will be protected from interference, as it is estimated that the incremental costs of displacing this facility from the 3.6 GHz band would exceed the benefits of re-faming in the areas surrounding the facility. Atwood Oceanics Pacific’s remote offshore facility will be unaffected</w:t>
      </w:r>
      <w:r w:rsidR="00D15AEA">
        <w:t>,</w:t>
      </w:r>
      <w:r>
        <w:t xml:space="preserve"> as </w:t>
      </w:r>
      <w:r w:rsidR="003E10CD">
        <w:t>re</w:t>
      </w:r>
      <w:r w:rsidR="001514C6">
        <w:t>-</w:t>
      </w:r>
      <w:r w:rsidR="003E10CD">
        <w:t xml:space="preserve">farming is not proposed for remote areas. </w:t>
      </w:r>
    </w:p>
    <w:p w14:paraId="0745EA62" w14:textId="77777777" w:rsidR="00B621F2" w:rsidRDefault="00B621F2" w:rsidP="00B621F2">
      <w:pPr>
        <w:pStyle w:val="Heading1"/>
      </w:pPr>
      <w:bookmarkStart w:id="229" w:name="_Toc495935499"/>
      <w:bookmarkStart w:id="230" w:name="_Toc494375855"/>
      <w:bookmarkStart w:id="231" w:name="_Toc494378928"/>
      <w:bookmarkStart w:id="232" w:name="_Toc495935529"/>
      <w:bookmarkStart w:id="233" w:name="_Toc496620362"/>
      <w:r>
        <w:t xml:space="preserve">Annex </w:t>
      </w:r>
      <w:r w:rsidR="005430FC">
        <w:t>C</w:t>
      </w:r>
      <w:r>
        <w:t>—</w:t>
      </w:r>
      <w:r w:rsidR="008B2734">
        <w:t>Description of areas proposed for re-farming</w:t>
      </w:r>
      <w:bookmarkEnd w:id="229"/>
      <w:bookmarkEnd w:id="230"/>
      <w:bookmarkEnd w:id="231"/>
      <w:bookmarkEnd w:id="232"/>
      <w:bookmarkEnd w:id="233"/>
      <w:r>
        <w:t xml:space="preserve"> </w:t>
      </w:r>
    </w:p>
    <w:p w14:paraId="203D6827" w14:textId="77777777" w:rsidR="00B621F2" w:rsidRPr="001344BA" w:rsidRDefault="00B621F2" w:rsidP="00D15AEA">
      <w:r>
        <w:t xml:space="preserve">The ACMA has defined four geographical area for replanning in the 3.6 GHz band. These areas are </w:t>
      </w:r>
      <w:r w:rsidR="003F51CA" w:rsidRPr="001344BA">
        <w:t xml:space="preserve">defined in Table </w:t>
      </w:r>
      <w:r w:rsidR="00B460FE" w:rsidRPr="001344BA">
        <w:t>1</w:t>
      </w:r>
      <w:r w:rsidR="003C549E" w:rsidRPr="001344BA">
        <w:t>2</w:t>
      </w:r>
      <w:r w:rsidR="003F51CA" w:rsidRPr="001344BA">
        <w:t xml:space="preserve"> and </w:t>
      </w:r>
      <w:r w:rsidRPr="001344BA">
        <w:t xml:space="preserve">displayed in Figure </w:t>
      </w:r>
      <w:r w:rsidR="00423C5C" w:rsidRPr="001344BA">
        <w:t>1</w:t>
      </w:r>
      <w:r w:rsidRPr="001344BA">
        <w:t xml:space="preserve">. </w:t>
      </w:r>
      <w:r w:rsidR="00AA674F" w:rsidRPr="001344BA">
        <w:t xml:space="preserve">It is noted that the ACMA is also considering excising four small areas from the definition of </w:t>
      </w:r>
      <w:r w:rsidR="00D15AEA" w:rsidRPr="001344BA">
        <w:t>a</w:t>
      </w:r>
      <w:r w:rsidR="00AA674F" w:rsidRPr="001344BA">
        <w:t>reas 2 and 3 in this Annex.</w:t>
      </w:r>
      <w:r w:rsidR="001D018B" w:rsidRPr="001344BA">
        <w:t xml:space="preserve"> These proposed excise areas are defined in Annex D. The areas defined in Table 12 with relevant areas from Annex D excised is displayed in Figure 2. </w:t>
      </w:r>
    </w:p>
    <w:p w14:paraId="6ED15CA2" w14:textId="77777777" w:rsidR="001D018B" w:rsidRPr="001344BA" w:rsidRDefault="001D018B" w:rsidP="00D15AEA">
      <w:pPr>
        <w:spacing w:after="80"/>
      </w:pPr>
      <w:r w:rsidRPr="001344BA">
        <w:t>It is further noted that:</w:t>
      </w:r>
    </w:p>
    <w:p w14:paraId="70DBA317" w14:textId="77777777" w:rsidR="001D018B" w:rsidRPr="001344BA" w:rsidRDefault="00EC5F87" w:rsidP="00D15AEA">
      <w:pPr>
        <w:pStyle w:val="ListBullet"/>
      </w:pPr>
      <w:r w:rsidRPr="001344BA">
        <w:t>i</w:t>
      </w:r>
      <w:r w:rsidR="001D018B" w:rsidRPr="001344BA">
        <w:t>n this paper</w:t>
      </w:r>
      <w:r w:rsidR="00D15AEA" w:rsidRPr="001344BA">
        <w:t>,</w:t>
      </w:r>
      <w:r w:rsidR="001D018B" w:rsidRPr="001344BA">
        <w:t xml:space="preserve"> the combination of Area 1A and Area 1B is also referred to as Area 1</w:t>
      </w:r>
    </w:p>
    <w:p w14:paraId="350CAD74" w14:textId="77777777" w:rsidR="00B621F2" w:rsidRPr="001344BA" w:rsidRDefault="003F51CA" w:rsidP="00D15AEA">
      <w:pPr>
        <w:pStyle w:val="ListBulletLast"/>
        <w:rPr>
          <w:szCs w:val="20"/>
        </w:rPr>
      </w:pPr>
      <w:proofErr w:type="gramStart"/>
      <w:r w:rsidRPr="001344BA">
        <w:t>t</w:t>
      </w:r>
      <w:r w:rsidR="00B621F2" w:rsidRPr="001344BA">
        <w:t>he</w:t>
      </w:r>
      <w:proofErr w:type="gramEnd"/>
      <w:r w:rsidR="00B621F2" w:rsidRPr="001344BA">
        <w:t xml:space="preserv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w:t>
      </w:r>
      <w:r w:rsidR="00D15AEA" w:rsidRPr="001344BA">
        <w:t>,</w:t>
      </w:r>
      <w:r w:rsidR="00B621F2" w:rsidRPr="001344BA">
        <w:t xml:space="preserve"> </w:t>
      </w:r>
      <w:hyperlink r:id="rId50" w:history="1">
        <w:r w:rsidR="00B621F2" w:rsidRPr="001344BA">
          <w:rPr>
            <w:rStyle w:val="Hyperlink"/>
            <w:i/>
          </w:rPr>
          <w:t>The Australian spectrum map grid 2012</w:t>
        </w:r>
      </w:hyperlink>
      <w:r w:rsidR="00B621F2" w:rsidRPr="001344BA">
        <w:t>.</w:t>
      </w:r>
    </w:p>
    <w:p w14:paraId="42671DF9" w14:textId="77777777" w:rsidR="00B621F2" w:rsidRDefault="00B621F2" w:rsidP="00B621F2">
      <w:r w:rsidRPr="001344BA">
        <w:t>The HCIS coordinates in Table 1</w:t>
      </w:r>
      <w:r w:rsidR="003C549E" w:rsidRPr="001344BA">
        <w:t>2</w:t>
      </w:r>
      <w:r w:rsidRPr="001344BA">
        <w:t xml:space="preserve"> can be</w:t>
      </w:r>
      <w:r w:rsidRPr="006006B1">
        <w:t xml:space="preserve"> converted into a </w:t>
      </w:r>
      <w:proofErr w:type="spellStart"/>
      <w:r w:rsidRPr="00C650D6">
        <w:t>Placemark</w:t>
      </w:r>
      <w:proofErr w:type="spellEnd"/>
      <w:r>
        <w:t xml:space="preserve"> file (viewable in Google Earth)</w:t>
      </w:r>
      <w:r w:rsidRPr="00C650D6">
        <w:t xml:space="preserve"> </w:t>
      </w:r>
      <w:r w:rsidRPr="006006B1">
        <w:t>through a facility on the ACMA website</w:t>
      </w:r>
      <w:r>
        <w:t>:</w:t>
      </w:r>
      <w:r w:rsidRPr="00C650D6">
        <w:t xml:space="preserve"> </w:t>
      </w:r>
      <w:hyperlink r:id="rId51" w:history="1">
        <w:r w:rsidRPr="00EE7CE2">
          <w:rPr>
            <w:rStyle w:val="Hyperlink"/>
          </w:rPr>
          <w:t>www.acma.gov.au/theACMA/convert-hcis-area-description-t</w:t>
        </w:r>
        <w:r w:rsidRPr="00194C1F">
          <w:rPr>
            <w:rStyle w:val="Hyperlink"/>
          </w:rPr>
          <w:t>o-a-placemark</w:t>
        </w:r>
      </w:hyperlink>
      <w:r>
        <w:t xml:space="preserve"> </w:t>
      </w:r>
    </w:p>
    <w:p w14:paraId="08F5A357" w14:textId="77777777" w:rsidR="00B621F2" w:rsidRPr="00DA6020" w:rsidRDefault="00B621F2" w:rsidP="00D15AEA">
      <w:pPr>
        <w:pStyle w:val="ACMAFigureHeader"/>
        <w:rPr>
          <w:rFonts w:cs="Arial"/>
        </w:rPr>
      </w:pPr>
      <w:r w:rsidRPr="00DA6020">
        <w:t>3.6 GHz band geographical area</w:t>
      </w:r>
      <w:r w:rsidR="00886F3C" w:rsidRPr="00DA6020">
        <w:t>s proposed for</w:t>
      </w:r>
      <w:r w:rsidRPr="00DA6020">
        <w:t xml:space="preserve"> re-farming</w:t>
      </w:r>
      <w:r w:rsidR="001D018B" w:rsidRPr="00DA6020">
        <w:t xml:space="preserve"> without excised areas</w:t>
      </w:r>
    </w:p>
    <w:p w14:paraId="5287F7D4" w14:textId="77777777" w:rsidR="001D018B" w:rsidRDefault="00D17105" w:rsidP="00FB13E1">
      <w:r>
        <w:rPr>
          <w:noProof/>
        </w:rPr>
        <w:drawing>
          <wp:inline distT="0" distB="0" distL="0" distR="0" wp14:anchorId="47EE0A4B" wp14:editId="120DCC92">
            <wp:extent cx="4873625" cy="4295775"/>
            <wp:effectExtent l="0" t="0" r="3175" b="9525"/>
            <wp:docPr id="12" name="Picture 12" descr="3.6 GHz band geographical areas proposed for re-farming without proposed excise areas " title="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73625" cy="4295775"/>
                    </a:xfrm>
                    <a:prstGeom prst="rect">
                      <a:avLst/>
                    </a:prstGeom>
                    <a:noFill/>
                    <a:ln>
                      <a:noFill/>
                    </a:ln>
                  </pic:spPr>
                </pic:pic>
              </a:graphicData>
            </a:graphic>
          </wp:inline>
        </w:drawing>
      </w:r>
    </w:p>
    <w:p w14:paraId="453B54D6" w14:textId="77777777" w:rsidR="001D018B" w:rsidRPr="00DA6020" w:rsidRDefault="001D018B" w:rsidP="00D15AEA">
      <w:pPr>
        <w:pStyle w:val="ACMAFigureHeader"/>
        <w:rPr>
          <w:rFonts w:cs="Arial"/>
        </w:rPr>
      </w:pPr>
      <w:r w:rsidRPr="00DA6020">
        <w:t>3.6 GHz band geographical areas proposed for re-farming with excised areas</w:t>
      </w:r>
    </w:p>
    <w:p w14:paraId="103260E6" w14:textId="77777777" w:rsidR="001D018B" w:rsidRDefault="001D018B" w:rsidP="001D018B">
      <w:r>
        <w:rPr>
          <w:noProof/>
        </w:rPr>
        <w:drawing>
          <wp:inline distT="0" distB="0" distL="0" distR="0" wp14:anchorId="366DB10A" wp14:editId="292DA8B9">
            <wp:extent cx="4869180" cy="4559935"/>
            <wp:effectExtent l="0" t="0" r="7620" b="0"/>
            <wp:docPr id="15" name="Picture 15" descr="3.6 GHz band geographical areas proposed for re-farming with proposed excise areas "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69180" cy="4559935"/>
                    </a:xfrm>
                    <a:prstGeom prst="rect">
                      <a:avLst/>
                    </a:prstGeom>
                    <a:noFill/>
                    <a:ln>
                      <a:noFill/>
                    </a:ln>
                  </pic:spPr>
                </pic:pic>
              </a:graphicData>
            </a:graphic>
          </wp:inline>
        </w:drawing>
      </w:r>
    </w:p>
    <w:p w14:paraId="77BC1225" w14:textId="77777777" w:rsidR="003F51CA" w:rsidRDefault="003F51CA" w:rsidP="001D018B"/>
    <w:p w14:paraId="0511174C" w14:textId="77777777" w:rsidR="00B621F2" w:rsidRPr="00AA7C5C" w:rsidRDefault="00B621F2" w:rsidP="00D15AEA">
      <w:pPr>
        <w:pStyle w:val="ACMATableHeader"/>
      </w:pPr>
      <w:r w:rsidRPr="00D15AEA">
        <w:t>HCIS</w:t>
      </w:r>
      <w:r>
        <w:t xml:space="preserve"> description of </w:t>
      </w:r>
      <w:r w:rsidR="0093253D">
        <w:t xml:space="preserve">proposed re-farming </w:t>
      </w:r>
      <w:r>
        <w:t>areas</w:t>
      </w:r>
      <w:r w:rsidR="008D3DA6">
        <w:t xml:space="preserve"> without excised areas</w:t>
      </w:r>
    </w:p>
    <w:tbl>
      <w:tblPr>
        <w:tblStyle w:val="TableGrid"/>
        <w:tblW w:w="9676" w:type="dxa"/>
        <w:tblLayout w:type="fixed"/>
        <w:tblLook w:val="04A0" w:firstRow="1" w:lastRow="0" w:firstColumn="1" w:lastColumn="0" w:noHBand="0" w:noVBand="1"/>
        <w:tblCaption w:val="Table 12 "/>
        <w:tblDescription w:val="Table containing a descirption of the proposed areas for re-farming "/>
      </w:tblPr>
      <w:tblGrid>
        <w:gridCol w:w="1129"/>
        <w:gridCol w:w="1460"/>
        <w:gridCol w:w="7087"/>
      </w:tblGrid>
      <w:tr w:rsidR="00B621F2" w14:paraId="373B2FBA" w14:textId="77777777" w:rsidTr="00B460FE">
        <w:trPr>
          <w:cantSplit/>
          <w:tblHeader/>
        </w:trPr>
        <w:tc>
          <w:tcPr>
            <w:tcW w:w="1129" w:type="dxa"/>
            <w:shd w:val="clear" w:color="auto" w:fill="404040" w:themeFill="text1" w:themeFillTint="BF"/>
            <w:vAlign w:val="center"/>
          </w:tcPr>
          <w:p w14:paraId="7BB769D7" w14:textId="77777777" w:rsidR="00B621F2" w:rsidRPr="00C63393" w:rsidRDefault="00B621F2" w:rsidP="00746F42">
            <w:pPr>
              <w:pStyle w:val="TableHeading"/>
              <w:rPr>
                <w:color w:val="FFFFFF" w:themeColor="background1"/>
              </w:rPr>
            </w:pPr>
            <w:r w:rsidRPr="00C63393">
              <w:rPr>
                <w:color w:val="FFFFFF" w:themeColor="background1"/>
              </w:rPr>
              <w:t>Area</w:t>
            </w:r>
          </w:p>
        </w:tc>
        <w:tc>
          <w:tcPr>
            <w:tcW w:w="1460" w:type="dxa"/>
            <w:shd w:val="clear" w:color="auto" w:fill="404040" w:themeFill="text1" w:themeFillTint="BF"/>
            <w:vAlign w:val="center"/>
          </w:tcPr>
          <w:p w14:paraId="466455E4" w14:textId="77777777" w:rsidR="00B621F2" w:rsidRPr="00C63393" w:rsidRDefault="00B621F2" w:rsidP="00746F42">
            <w:pPr>
              <w:pStyle w:val="TableHeading"/>
              <w:rPr>
                <w:color w:val="FFFFFF" w:themeColor="background1"/>
              </w:rPr>
            </w:pPr>
            <w:r w:rsidRPr="00C63393">
              <w:rPr>
                <w:color w:val="FFFFFF" w:themeColor="background1"/>
              </w:rPr>
              <w:t>Sub-area name</w:t>
            </w:r>
          </w:p>
        </w:tc>
        <w:tc>
          <w:tcPr>
            <w:tcW w:w="7087" w:type="dxa"/>
            <w:shd w:val="clear" w:color="auto" w:fill="404040" w:themeFill="text1" w:themeFillTint="BF"/>
            <w:vAlign w:val="center"/>
          </w:tcPr>
          <w:p w14:paraId="123FDE2D" w14:textId="77777777" w:rsidR="00B621F2" w:rsidRPr="00C63393" w:rsidRDefault="00B621F2" w:rsidP="00746F42">
            <w:pPr>
              <w:pStyle w:val="TableHeading"/>
              <w:rPr>
                <w:color w:val="FFFFFF" w:themeColor="background1"/>
              </w:rPr>
            </w:pPr>
            <w:r w:rsidRPr="00C63393">
              <w:rPr>
                <w:color w:val="FFFFFF" w:themeColor="background1"/>
              </w:rPr>
              <w:t>HCIS</w:t>
            </w:r>
          </w:p>
        </w:tc>
      </w:tr>
      <w:tr w:rsidR="006E6E35" w14:paraId="6067567F" w14:textId="77777777" w:rsidTr="00B460FE">
        <w:trPr>
          <w:cantSplit/>
        </w:trPr>
        <w:tc>
          <w:tcPr>
            <w:tcW w:w="1129" w:type="dxa"/>
            <w:vMerge w:val="restart"/>
          </w:tcPr>
          <w:p w14:paraId="74A2C211" w14:textId="77777777" w:rsidR="006E6E35" w:rsidRDefault="006E6E35" w:rsidP="00746F42">
            <w:pPr>
              <w:pStyle w:val="TableBody"/>
            </w:pPr>
            <w:r>
              <w:t>Area 1A</w:t>
            </w:r>
          </w:p>
          <w:p w14:paraId="22FBFBAA" w14:textId="77777777" w:rsidR="006E6E35" w:rsidRDefault="006E6E35" w:rsidP="006E6E35">
            <w:pPr>
              <w:pStyle w:val="TableBody"/>
            </w:pPr>
          </w:p>
        </w:tc>
        <w:tc>
          <w:tcPr>
            <w:tcW w:w="1460" w:type="dxa"/>
          </w:tcPr>
          <w:p w14:paraId="37F27B68" w14:textId="77777777" w:rsidR="006E6E35" w:rsidRDefault="006E6E35" w:rsidP="00746F42">
            <w:pPr>
              <w:pStyle w:val="TableBody"/>
            </w:pPr>
            <w:r>
              <w:t xml:space="preserve">Adelaide </w:t>
            </w:r>
          </w:p>
        </w:tc>
        <w:tc>
          <w:tcPr>
            <w:tcW w:w="7087" w:type="dxa"/>
            <w:vAlign w:val="center"/>
          </w:tcPr>
          <w:p w14:paraId="6C7505AB" w14:textId="77777777" w:rsidR="006E6E35" w:rsidRPr="00AA7C5C" w:rsidRDefault="006E6E35" w:rsidP="00746F42">
            <w:pPr>
              <w:pStyle w:val="TableBody"/>
            </w:pPr>
            <w:r w:rsidRPr="00AA7C5C" w:rsidDel="00866481">
              <w:t>IW3O, IW3P, IW6C, IW6D, IW3J5, IW3J6, IW3J8, IW3J9, IW3K4, IW3K5, IW3K6, IW3K7, IW3K8, IW3K9, IW3L4, IW3L5, IW3L6, IW3L7, IW3L8, IW3L9, IW3N2, IW3N3, IW3N5, IW3N6, IW3N8, IW3N9, IW6B2, IW6B3, IW6B5, IW6B6, IW6B8, IW6B9, IW6F2, IW6F3, IW6F5, IW6F6, IW6G1, IW6G2, IW6G3, IW6G4, IW6G5, IW6G6, IW6H1, IW6H2, IW6H3, IW6H4, IW6H5, IW6H6</w:t>
            </w:r>
          </w:p>
        </w:tc>
      </w:tr>
      <w:tr w:rsidR="006E6E35" w14:paraId="4D9F5A90" w14:textId="77777777" w:rsidTr="00B460FE">
        <w:trPr>
          <w:cantSplit/>
        </w:trPr>
        <w:tc>
          <w:tcPr>
            <w:tcW w:w="1129" w:type="dxa"/>
            <w:vMerge/>
          </w:tcPr>
          <w:p w14:paraId="776E3D32" w14:textId="77777777" w:rsidR="006E6E35" w:rsidRDefault="006E6E35" w:rsidP="006E6E35">
            <w:pPr>
              <w:pStyle w:val="TableBody"/>
            </w:pPr>
          </w:p>
        </w:tc>
        <w:tc>
          <w:tcPr>
            <w:tcW w:w="1460" w:type="dxa"/>
          </w:tcPr>
          <w:p w14:paraId="5B2E990E" w14:textId="77777777" w:rsidR="006E6E35" w:rsidRDefault="006E6E35" w:rsidP="00746F42">
            <w:pPr>
              <w:pStyle w:val="TableBody"/>
            </w:pPr>
            <w:r>
              <w:t xml:space="preserve">Brisbane </w:t>
            </w:r>
          </w:p>
        </w:tc>
        <w:tc>
          <w:tcPr>
            <w:tcW w:w="7087" w:type="dxa"/>
            <w:vAlign w:val="center"/>
          </w:tcPr>
          <w:p w14:paraId="25B28B86" w14:textId="77777777" w:rsidR="006E6E35" w:rsidRPr="00AA7C5C" w:rsidRDefault="006E6E35" w:rsidP="00746F42">
            <w:pPr>
              <w:pStyle w:val="TableBody"/>
            </w:pPr>
            <w:r w:rsidRPr="00AA7C5C" w:rsidDel="00866481">
              <w:t>NT8K, NT8L, NT9A, NT9B, NT9E, NT9F, NT9I, NT9J, NT9M, NT9N, NU3B, NT5P8, NT5P9, NT6M7, NT6M8, NT6M9, NT6N7, NT6N8, NT6N9, NT6O7, NT6O8, NT8D2, NT8D3, NT8D5, NT8D6, NT8D8, NT8D9, NT8G7, NT8G8, NT8G9, NT8H2, NT8H3, NT8H5, NT8H6, NT8H7, NT8H8, NT8H9, NT8P1, NT8P2, NT8P3, NT8P4, NT8P5, NT8P6, NT9C1, NT9C2, NT9C4, NT9C5, NT9C7, NT9C8, NT9G1, NT9G2, NT9G4, NT9G5, NT9G7, NT9G8, NT9K1, NT9K2, NT9K4, NT9K5, NT9K7, NT9K8, NT9O1, NT9O2, NT9O4, NT9O5, NT9O7, NT9O8, NU3A2, NU3A3, NU3A5, NU3A6, NU3C1, NU3C2, NU3C4, NU3C5, NU3C7, NU3C8, NU3F1, NU3F2, NU3F3, NU3G1, NU3G2</w:t>
            </w:r>
          </w:p>
        </w:tc>
      </w:tr>
      <w:tr w:rsidR="006E6E35" w14:paraId="02B862EE" w14:textId="77777777" w:rsidTr="00B460FE">
        <w:trPr>
          <w:cantSplit/>
        </w:trPr>
        <w:tc>
          <w:tcPr>
            <w:tcW w:w="1129" w:type="dxa"/>
            <w:vMerge/>
          </w:tcPr>
          <w:p w14:paraId="756219B4" w14:textId="77777777" w:rsidR="006E6E35" w:rsidRDefault="006E6E35" w:rsidP="006E6E35">
            <w:pPr>
              <w:pStyle w:val="TableBody"/>
            </w:pPr>
          </w:p>
        </w:tc>
        <w:tc>
          <w:tcPr>
            <w:tcW w:w="1460" w:type="dxa"/>
          </w:tcPr>
          <w:p w14:paraId="4F8114F6" w14:textId="77777777" w:rsidR="006E6E35" w:rsidRDefault="006E6E35" w:rsidP="00746F42">
            <w:pPr>
              <w:pStyle w:val="TableBody"/>
            </w:pPr>
            <w:r>
              <w:t xml:space="preserve">Canberra </w:t>
            </w:r>
          </w:p>
        </w:tc>
        <w:tc>
          <w:tcPr>
            <w:tcW w:w="7087" w:type="dxa"/>
            <w:vAlign w:val="bottom"/>
          </w:tcPr>
          <w:p w14:paraId="260E03E6" w14:textId="77777777" w:rsidR="006E6E35" w:rsidRPr="00AA7C5C" w:rsidRDefault="006E6E35" w:rsidP="00746F42">
            <w:pPr>
              <w:pStyle w:val="TableBody"/>
            </w:pPr>
            <w:r w:rsidRPr="00866481">
              <w:t xml:space="preserve">MW4D3, MW4D6, MW4D9, MW4H3, MW4H6, MW4H9, MW4L3, MW5A, MW5B1, MW5B2, MW5B4, MW5B5, MW5B7, MW5B8, MW5E, MW5F1, MW5F2, MW5F4, MW5F5, MW5F7, MW5F8, MW5I1, MW5I2, MW5I3, MW5J1, </w:t>
            </w:r>
            <w:r w:rsidRPr="00AA7C5C" w:rsidDel="00866481">
              <w:t>MW5J2</w:t>
            </w:r>
          </w:p>
        </w:tc>
      </w:tr>
      <w:tr w:rsidR="006E6E35" w14:paraId="619A1A62" w14:textId="77777777" w:rsidTr="00D17105">
        <w:trPr>
          <w:cantSplit/>
          <w:trHeight w:val="1508"/>
        </w:trPr>
        <w:tc>
          <w:tcPr>
            <w:tcW w:w="1129" w:type="dxa"/>
            <w:vMerge/>
          </w:tcPr>
          <w:p w14:paraId="76B7E5CD" w14:textId="77777777" w:rsidR="006E6E35" w:rsidRDefault="006E6E35" w:rsidP="006E6E35">
            <w:pPr>
              <w:pStyle w:val="TableBody"/>
            </w:pPr>
          </w:p>
        </w:tc>
        <w:tc>
          <w:tcPr>
            <w:tcW w:w="1460" w:type="dxa"/>
          </w:tcPr>
          <w:p w14:paraId="07F7E32A" w14:textId="77777777" w:rsidR="006E6E35" w:rsidRDefault="006E6E35" w:rsidP="00746F42">
            <w:pPr>
              <w:pStyle w:val="TableBody"/>
            </w:pPr>
            <w:r>
              <w:t xml:space="preserve">Melbourne </w:t>
            </w:r>
          </w:p>
        </w:tc>
        <w:tc>
          <w:tcPr>
            <w:tcW w:w="7087" w:type="dxa"/>
          </w:tcPr>
          <w:p w14:paraId="4BD265D9" w14:textId="77777777" w:rsidR="006E6E35" w:rsidRPr="00AA7C5C" w:rsidRDefault="0090271C" w:rsidP="00746F42">
            <w:pPr>
              <w:pStyle w:val="TableBody"/>
            </w:pPr>
            <w:r w:rsidRPr="0090271C">
              <w:t>KX3J, KX3K, KX3L, KX3N, KX3O, KX3P, KX6B, KX6C, KX6D, LX1I, LX1J, LX1M, LX1N, LX4A, LX4B, KX6F1, KX6F2, KX6F3, KX6F4, KX6F5, KX6F6, KX6G1, KX6G2, KX6G3, KX6G4, KX6G5, KX6G6, KX6H1, KX6H2, KX6H3, KX6H4, KX6H5, KX6H6, LX1K1, LX1K4, LX1K7, LX1O1, LX1O4, LX1O7, LX4C1, LX4C4, LX4C7, LX4E1, LX4E2, LX4E3, LX4E4, LX4E5, LX4E6, LX4F1, LX4F2, LX4F3, LX4F4, LX4F5, LX4F6, LX4G1, LX4G</w:t>
            </w:r>
            <w:r>
              <w:t>4</w:t>
            </w:r>
          </w:p>
        </w:tc>
      </w:tr>
      <w:tr w:rsidR="006E6E35" w14:paraId="6AC19BE2" w14:textId="77777777" w:rsidTr="00B460FE">
        <w:trPr>
          <w:cantSplit/>
        </w:trPr>
        <w:tc>
          <w:tcPr>
            <w:tcW w:w="1129" w:type="dxa"/>
            <w:vMerge/>
          </w:tcPr>
          <w:p w14:paraId="6FF318A9" w14:textId="77777777" w:rsidR="006E6E35" w:rsidRDefault="006E6E35" w:rsidP="006E6E35">
            <w:pPr>
              <w:pStyle w:val="TableBody"/>
            </w:pPr>
          </w:p>
        </w:tc>
        <w:tc>
          <w:tcPr>
            <w:tcW w:w="1460" w:type="dxa"/>
          </w:tcPr>
          <w:p w14:paraId="5C05FD49" w14:textId="77777777" w:rsidR="006E6E35" w:rsidRDefault="006E6E35" w:rsidP="006E6E35">
            <w:pPr>
              <w:pStyle w:val="TableBody"/>
            </w:pPr>
            <w:r>
              <w:t xml:space="preserve">Sydney </w:t>
            </w:r>
          </w:p>
        </w:tc>
        <w:tc>
          <w:tcPr>
            <w:tcW w:w="7087" w:type="dxa"/>
            <w:vAlign w:val="center"/>
          </w:tcPr>
          <w:p w14:paraId="6CD2B6F4" w14:textId="77777777" w:rsidR="006E6E35" w:rsidRPr="00866481" w:rsidRDefault="0090271C" w:rsidP="006E6E35">
            <w:pPr>
              <w:pStyle w:val="TableBody"/>
            </w:pPr>
            <w:r w:rsidRPr="0090271C">
              <w:t>MV9K, MV9L, MV9O, MV9P, MW3D, NV7C, NV7D, NV7E, NV7F, NV7G, NV7H, NV7I, NV7J, NV7K, NV7L, NV7M, NV7N, NV7O, NV7P, NW1A, NW1B, NW1C, NW1D, MV9D9, MV9G7, MV9G8, MV9G9, MV9H3, MV9H6, MV9H7, MV9H8, MV9H9, MW3C2, MW3C3, MW3C5, MW3C6, MW3C9, NV4N6, NV4N9, NV4O4, NV4O5, NV4O6, NV4O7, NV4O8, NV4O9, NV4P4, NV4P5, NV4P6, NV4P7, NV4P8, NV4P9, NV7A7, NV7A8, NV7A9, NV7B3, NV7B6, NV7B7, NV7B8, NV7B9</w:t>
            </w:r>
          </w:p>
        </w:tc>
      </w:tr>
      <w:tr w:rsidR="00B621F2" w14:paraId="3670BD18" w14:textId="77777777" w:rsidTr="00B460FE">
        <w:trPr>
          <w:cantSplit/>
        </w:trPr>
        <w:tc>
          <w:tcPr>
            <w:tcW w:w="1129" w:type="dxa"/>
          </w:tcPr>
          <w:p w14:paraId="20862703" w14:textId="77777777" w:rsidR="00B621F2" w:rsidRDefault="006E6E35" w:rsidP="00746F42">
            <w:pPr>
              <w:pStyle w:val="TableBody"/>
            </w:pPr>
            <w:r>
              <w:t>Area 1B</w:t>
            </w:r>
          </w:p>
        </w:tc>
        <w:tc>
          <w:tcPr>
            <w:tcW w:w="1460" w:type="dxa"/>
          </w:tcPr>
          <w:p w14:paraId="559365DF" w14:textId="77777777" w:rsidR="00B621F2" w:rsidRDefault="00B621F2" w:rsidP="00746F42">
            <w:pPr>
              <w:pStyle w:val="TableBody"/>
            </w:pPr>
            <w:r>
              <w:t xml:space="preserve">Perth </w:t>
            </w:r>
          </w:p>
        </w:tc>
        <w:tc>
          <w:tcPr>
            <w:tcW w:w="7087" w:type="dxa"/>
            <w:vAlign w:val="center"/>
          </w:tcPr>
          <w:p w14:paraId="12B7F64E" w14:textId="77777777" w:rsidR="00B621F2" w:rsidRPr="00AA7C5C" w:rsidRDefault="0090271C" w:rsidP="00746F42">
            <w:pPr>
              <w:pStyle w:val="TableBody"/>
            </w:pPr>
            <w:r>
              <w:t>BV1E, BV1F, BV1G, BV1H, BV1I, BV1J, BV1K, BV1L, BV1M, BV1N, BV1O, BV1P, BV2E, BV2F, BV2I, BV2J, BV2M, BV2N, BV4A, BV4B, BV4C, BV4D, BV4E, BV4F, BV4G, BV4H, BV5A, BV5B, BV5E, BV5F, BV1A4, BV1A5, BV1A6, BV1A7, BV1A8, BV1A9, BV1B4, BV1B5, BV1B6, BV1B7, BV1B8, BV1B9, BV1C4, BV1C5, BV1C6, BV1C7, BV1C8, BV1C9, BV1D4, BV1D5, BV1D6, BV1D7, BV1D8, BV1D9, BV2A4, BV2A5, BV2A6, BV2A7, BV2A8, BV2A9, BV2B4, BV2B5, BV2B6, BV2B7, BV2B8, BV2B9, BV4I1, BV4I2, BV4I3, BV4I4, BV4I5, BV4I6, BV4J1, BV4J2, BV4J3, BV4J4, BV4J5, BV4J6, BV4K1, BV4K2, BV4K3, BV4K4, BV4K5, BV4K6, BV4L1, BV4L2, BV4L3, BV4L4, BV4L5, BV4L6, BV5I1, BV5I2, BV5I3, BV5I4, BV5I5, BV5I6, BV5J1, BV5J2, BV5J3, BV5J4, BV5J5, BV5J6</w:t>
            </w:r>
          </w:p>
        </w:tc>
      </w:tr>
      <w:tr w:rsidR="00B621F2" w14:paraId="70C83943" w14:textId="77777777" w:rsidTr="00B460FE">
        <w:trPr>
          <w:cantSplit/>
        </w:trPr>
        <w:tc>
          <w:tcPr>
            <w:tcW w:w="1129" w:type="dxa"/>
            <w:vMerge w:val="restart"/>
          </w:tcPr>
          <w:p w14:paraId="1E130262" w14:textId="77777777" w:rsidR="00B621F2" w:rsidRDefault="00B621F2" w:rsidP="00746F42">
            <w:pPr>
              <w:pStyle w:val="TableBody"/>
            </w:pPr>
            <w:r>
              <w:t>Area 2</w:t>
            </w:r>
          </w:p>
        </w:tc>
        <w:tc>
          <w:tcPr>
            <w:tcW w:w="1460" w:type="dxa"/>
          </w:tcPr>
          <w:p w14:paraId="5A4F3A13" w14:textId="77777777" w:rsidR="00B621F2" w:rsidRDefault="004406C0" w:rsidP="00746F42">
            <w:pPr>
              <w:pStyle w:val="TableBody"/>
            </w:pPr>
            <w:r w:rsidRPr="008F2EA1">
              <w:t xml:space="preserve">Adelaide </w:t>
            </w:r>
            <w:r>
              <w:t>metro plus</w:t>
            </w:r>
          </w:p>
        </w:tc>
        <w:tc>
          <w:tcPr>
            <w:tcW w:w="7087" w:type="dxa"/>
          </w:tcPr>
          <w:p w14:paraId="2C73C7E4" w14:textId="77777777" w:rsidR="00B621F2" w:rsidRPr="00AA7C5C" w:rsidRDefault="0090271C" w:rsidP="00746F42">
            <w:pPr>
              <w:pStyle w:val="TableBody"/>
            </w:pPr>
            <w:r w:rsidRPr="0090271C">
              <w:t>IW2, IW5, IW7, IW8, IW9, JW1, JW4, IV8K, IV8L, IV8N, IV8O, IV8P, IV9I, IV9J, IV9K, IV9L, IV9M, IV9N, IV9O, IV9P, IW1P, IW3A, IW3B, IW3C, IW3D, IW3E, IW3F, IW3G, IW3H, IW3I, IW3M, IW4D, IW4H, IW4K, IW4L, IW4N, IW4O, IW4P, IW6A, IW6E, IW6I, IW6J, IW6K, IW6L, IW6M, IW6N, IW6O, IW6P, JV7M, JV7N, JV7O, JV7P, JV8M, JW2A, JW2B, JW2E, JW2F, JW2G, JW2I, JW2J, JW2K, JW2M, JW2N, JW2O, JW5A, JW5B, JW5C, JW5E, JW5F, JW5I, JW5J, JW5M, JW7A, JW7B, JW7C, JW7D, JW7E, JW7F, JW7G, JW7I, IW3J1, IW3J2, IW3J3, IW3J4, IW3J7, IW3K1, IW3K2, IW3K3, IW3L1, IW3L2, IW3L3, IW3N1, IW3N4, IW3N7, IW6B1, IW6B4, IW6B7, IW6F1, IW6F4, IW6F7, IW6F8, IW6F9, IW6G7, IW6G8, IW6G9, IW6H7, IW6H8, IW6H9</w:t>
            </w:r>
          </w:p>
        </w:tc>
      </w:tr>
      <w:tr w:rsidR="00B621F2" w14:paraId="4F3604DD" w14:textId="77777777" w:rsidTr="00B460FE">
        <w:trPr>
          <w:cantSplit/>
        </w:trPr>
        <w:tc>
          <w:tcPr>
            <w:tcW w:w="1129" w:type="dxa"/>
            <w:vMerge/>
          </w:tcPr>
          <w:p w14:paraId="4C49AB76" w14:textId="77777777" w:rsidR="00B621F2" w:rsidRDefault="00B621F2" w:rsidP="00746F42">
            <w:pPr>
              <w:pStyle w:val="TableBody"/>
            </w:pPr>
          </w:p>
        </w:tc>
        <w:tc>
          <w:tcPr>
            <w:tcW w:w="1460" w:type="dxa"/>
          </w:tcPr>
          <w:p w14:paraId="4143ABE7" w14:textId="77777777" w:rsidR="00B621F2" w:rsidRDefault="004406C0" w:rsidP="00746F42">
            <w:pPr>
              <w:pStyle w:val="TableBody"/>
            </w:pPr>
            <w:r w:rsidRPr="008F2EA1">
              <w:t xml:space="preserve">Brisbane </w:t>
            </w:r>
            <w:r>
              <w:t>metro plus</w:t>
            </w:r>
            <w:r w:rsidDel="00D914E8">
              <w:t xml:space="preserve"> </w:t>
            </w:r>
          </w:p>
        </w:tc>
        <w:tc>
          <w:tcPr>
            <w:tcW w:w="7087" w:type="dxa"/>
          </w:tcPr>
          <w:p w14:paraId="5C26952F" w14:textId="77777777" w:rsidR="00B621F2" w:rsidRPr="00AA7C5C" w:rsidRDefault="0090271C" w:rsidP="00746F42">
            <w:pPr>
              <w:pStyle w:val="TableBody"/>
            </w:pPr>
            <w:r w:rsidRPr="0090271C">
              <w:t>NT4G, NT4H, NT4K, NT4L, NT4O, NT4P, NT5D, NT5E, NT5F, NT5G, NT5H, NT5I, NT5J, NT5K, NT5L, NT5M, NT5N, NT5O, NT6A, NT6B, NT6C, NT6D, NT6E, NT6F, NT6G, NT6H, NT6I, NT6J, NT6K, NT6L, NT6P, NT7C, NT7D, NT7G, NT7H, NT7K, NT7L, NT7O, NT7P, NT8A, NT8B, NT8C, NT8E, NT8F, NT8I, NT8J, NT8M, NT8N, NT8O, NT9D, NT9H, NT9L, NT9P, NU2B, NU2C, NU2D, NU2F, NU2G, NU2H, NU2L, NU3D, NU3E, NU3H, NU3I, NU3J, NU3K, NU3L, NU3M, NU3N, NU3O, NU3P, NT5P1, NT5P2, NT5P3, NT5P4, NT5P5, NT5P6, NT5P7, NT6M1, NT6M2, NT6M3, NT6M4, NT6M5, NT6M6, NT6N1, NT6N2, NT6N3, NT6N4, NT6N5, NT6N6, NT6O1, NT6O2, NT6O3, NT6O4, NT6O5, NT6O6, NT6O9, NT8D1, NT8D4, NT8D7, NT8G1, NT8G2, NT8G3, NT8G4, NT8G5, NT8G6, NT8H1, NT8H4, NT8P7, NT8P8, NT8P9, NT9C3, NT9C6, NT9C9, NT9G3, NT9G6, NT9G9, NT9K3, NT9K6, NT9K9, NT9O3, NT9O6, NT9O9, NU3A1, NU3A4, NU3A7, NU3A8, NU3A9, NU3C3, NU3C6, NU3C9, NU3F4, NU3F5, NU3F6, NU3F7, NU3F8, NU3F9, NU3G3, NU3G4, NU3G5, NU3G6, NU3G7, NU3G8, NU3G9</w:t>
            </w:r>
          </w:p>
        </w:tc>
      </w:tr>
      <w:tr w:rsidR="00B621F2" w14:paraId="4D448192" w14:textId="77777777" w:rsidTr="00B460FE">
        <w:trPr>
          <w:cantSplit/>
        </w:trPr>
        <w:tc>
          <w:tcPr>
            <w:tcW w:w="1129" w:type="dxa"/>
            <w:vMerge/>
          </w:tcPr>
          <w:p w14:paraId="6665757D" w14:textId="77777777" w:rsidR="00B621F2" w:rsidRDefault="00B621F2" w:rsidP="00746F42">
            <w:pPr>
              <w:pStyle w:val="TableBody"/>
            </w:pPr>
          </w:p>
        </w:tc>
        <w:tc>
          <w:tcPr>
            <w:tcW w:w="1460" w:type="dxa"/>
          </w:tcPr>
          <w:p w14:paraId="5D592921" w14:textId="77777777" w:rsidR="00B621F2" w:rsidRDefault="004406C0" w:rsidP="00746F42">
            <w:pPr>
              <w:pStyle w:val="TableBody"/>
            </w:pPr>
            <w:r w:rsidRPr="008F2EA1">
              <w:t xml:space="preserve">Canberra/ Sydney </w:t>
            </w:r>
            <w:r>
              <w:t>metro plus</w:t>
            </w:r>
          </w:p>
        </w:tc>
        <w:tc>
          <w:tcPr>
            <w:tcW w:w="7087" w:type="dxa"/>
          </w:tcPr>
          <w:p w14:paraId="408BC655" w14:textId="77777777" w:rsidR="00B621F2" w:rsidRPr="00AA7C5C" w:rsidRDefault="004406C0" w:rsidP="00D17105">
            <w:pPr>
              <w:pStyle w:val="TableBody"/>
            </w:pPr>
            <w:r w:rsidRPr="00B60ECF">
              <w:t xml:space="preserve">MV6, MW1, MW2, MW6, MW7, MW8, MW9, NV5, MV2P, </w:t>
            </w:r>
            <w:r w:rsidR="005264CB">
              <w:t>MV3L</w:t>
            </w:r>
            <w:r w:rsidR="00D17105">
              <w:t>,</w:t>
            </w:r>
            <w:r w:rsidR="005264CB">
              <w:t xml:space="preserve">, </w:t>
            </w:r>
            <w:r w:rsidRPr="00B60ECF">
              <w:t xml:space="preserve">MV3M, </w:t>
            </w:r>
            <w:r w:rsidR="005264CB">
              <w:t xml:space="preserve">MV3O, MV3P, </w:t>
            </w:r>
            <w:r w:rsidRPr="00B60ECF">
              <w:t>MV3N, MV5D, MV5H, MV5L, MV5P, MV8D, MV8H, MV8J, MV8K, MV8L, MV8N, MV8O, MV8P, MV9A, MV9B, MV9C, MV9E, MV9F, MV9I, MV9J, MV9M, MV9N, MW3A, MW3B, MW3E, MW3F, MW3G, MW3H, MW3I, MW3J, MW3K, MW3L, MW3M, MW3N, MW3O, MW3P, MW4A, MW4B, MW4C, MW4E, MW4F, MW4G, MW4I, MW4J, MW4K, MW4M, MW4N, MW4O, MW4P, MW5C, MW5D, MW5G, MW5H, MW5K, MW5L, MW5M, MW5N, MW5O, MW5P, MX1C, MX1D, MX1H, MX2A, MX2B, MX2C, MX2D, MX2E, MX2F, MX2G, MX2H, MX3A, MX3B, MX3C, MX3D, MX3E, MX3F, MX3G, MX3H, NV1I, NV1J, NV1K, NV1L, NV1M, NV1N, NV1O, NV1P, NV2I, NV2J, NV2K, NV2L, NV2M, NV2N, NV2O, NV2P, NV3I, NV3J, NV3K, NV3L, NV3M, NV3N, NV3O, NV3P, NV4A, NV4B, NV4C, NV4D, NV4E, NV4F, NV4G, NV4H, NV4I, NV4J, NV4K, NV4L, NV4M, NW1E, NW1F, NW1G, NW1H, NW1I, NW1J, NW1K, NW1L, NW1M, NW1N, NW1O, NW1P, MV9D1, MV9D2, MV9D3, MV9D4, MV9D5, MV9D6, MV9D7, MV9D8, MV9G1, MV9G2, MV9G3, MV9G4, MV9G5, MV9G6, MV9H1, MV9H2, MV9H4, MV9H5, MW3C1, MW3C4, MW3C7, MW3C8, MW4D1, MW4D2, MW4D4, MW4D5, MW4D7, MW4D8, MW4H1, MW4H2, MW4H4, MW4H5, MW4H7, MW4H8, MW4L1, MW4L2, MW4L4, MW4L5, MW4L6, MW4L7, MW4L8, MW4L9, MW5B3, MW5B6, MW5B9, MW5F3, MW5F6, MW5F9, MW5I4, MW5I5, MW5I6, MW5I7, MW5I8, MW5I9, MW5J3, MW5J4, MW5J5, MW5J6, MW5J7, MW5J8, MW5J9, NV4N1, NV4N2, NV4N3, NV4N4, NV4N5, NV4N7, NV4N8, NV4O1, NV4O2, NV4O3, NV4P1, NV4P2, NV4P3, NV7A1, NV7A2, NV7A3, NV7A4, NV7A5, NV7A6, NV7B1, NV7B2, NV7B4, NV7B5</w:t>
            </w:r>
          </w:p>
        </w:tc>
      </w:tr>
      <w:tr w:rsidR="00B621F2" w14:paraId="63475B6B" w14:textId="77777777" w:rsidTr="00B460FE">
        <w:trPr>
          <w:cantSplit/>
          <w:trHeight w:val="1686"/>
        </w:trPr>
        <w:tc>
          <w:tcPr>
            <w:tcW w:w="1129" w:type="dxa"/>
            <w:vMerge/>
          </w:tcPr>
          <w:p w14:paraId="582B9DF2" w14:textId="77777777" w:rsidR="00B621F2" w:rsidRDefault="00B621F2" w:rsidP="00746F42">
            <w:pPr>
              <w:pStyle w:val="TableBody"/>
            </w:pPr>
          </w:p>
        </w:tc>
        <w:tc>
          <w:tcPr>
            <w:tcW w:w="1460" w:type="dxa"/>
          </w:tcPr>
          <w:p w14:paraId="1C5739F0" w14:textId="77777777" w:rsidR="00B621F2" w:rsidRDefault="004406C0" w:rsidP="00746F42">
            <w:pPr>
              <w:pStyle w:val="TableBody"/>
            </w:pPr>
            <w:r w:rsidRPr="008F2EA1">
              <w:t xml:space="preserve">Melbourne </w:t>
            </w:r>
            <w:r>
              <w:t>metro plus</w:t>
            </w:r>
          </w:p>
        </w:tc>
        <w:tc>
          <w:tcPr>
            <w:tcW w:w="7087" w:type="dxa"/>
          </w:tcPr>
          <w:p w14:paraId="59566AAD" w14:textId="77777777" w:rsidR="00B621F2" w:rsidRPr="00AA7C5C" w:rsidRDefault="004406C0" w:rsidP="00746F42">
            <w:pPr>
              <w:pStyle w:val="TableBody"/>
            </w:pPr>
            <w:r w:rsidRPr="00B60ECF">
              <w:t>KX2, KX5, KX8, KX9, LX5, LX7, LX8, KW8H, KW8I, KW8J, KW8K, KW8L, KW8M, KW8N, KW8O, KW8P, KW9E, KW9F, KW9G, KW9H, KW9I, KW9J, KW9K, KW9L, KW9M, KW9N, KW9O, KW9P, KX1P, KX3A, KX3B, KX3C, KX3D, KX3E, KX3F, KX3G, KX3H, KX3I, KX3M, KX4D, KX4H, KX4L, KX4P, KX6A, KX6E, KX6I, KX6J, KX6K, KX6L, KX6M, KX6N, KX6O, KX6P, LW7I, LW7J, LW7M, LW7N, LW7O, LW7P, LX1A, LX1B, LX1C, LX1D, LX1E, LX1F, LX1G, LX1H, LX1L, LX1P, LX2E, LX2I, LX2M, LX2N, LX2O, LX4D, LX4H, LX4I, LX4J, LX4K, LX4L, LX4M, LX4N, LX4O, LX4P, KX6F7, KX6F8, KX6F9, KX6G7, KX6G8, KX6G9, KX6H7, KX6H8, KX6H9, LX1K2, LX1K3, LX1K5, LX1K6, LX1K8, LX1K9, LX1O2, LX1O3, LX1O5, LX1O6, LX1O8, LX1O9, LX4C2, LX4C3, LX4C5, LX4C6, LX4C8, LX4C9, LX4E7, LX4E8, LX4E9, LX4F7, LX4F8, LX4F9, LX4G2, LX4G3, LX4G5, LX4G6, LX4G7, LX4G8, LX4G9</w:t>
            </w:r>
          </w:p>
        </w:tc>
      </w:tr>
      <w:tr w:rsidR="00B621F2" w14:paraId="42D7C8A2" w14:textId="77777777" w:rsidTr="00B460FE">
        <w:trPr>
          <w:cantSplit/>
        </w:trPr>
        <w:tc>
          <w:tcPr>
            <w:tcW w:w="1129" w:type="dxa"/>
            <w:vMerge/>
          </w:tcPr>
          <w:p w14:paraId="438AF947" w14:textId="77777777" w:rsidR="00B621F2" w:rsidRDefault="00B621F2" w:rsidP="00746F42">
            <w:pPr>
              <w:pStyle w:val="TableBody"/>
            </w:pPr>
          </w:p>
        </w:tc>
        <w:tc>
          <w:tcPr>
            <w:tcW w:w="1460" w:type="dxa"/>
          </w:tcPr>
          <w:p w14:paraId="4589F7BA" w14:textId="77777777" w:rsidR="00B621F2" w:rsidRDefault="004406C0" w:rsidP="00746F42">
            <w:pPr>
              <w:pStyle w:val="TableBody"/>
            </w:pPr>
            <w:r w:rsidRPr="008F2EA1">
              <w:t xml:space="preserve">Perth </w:t>
            </w:r>
            <w:r>
              <w:t>metro plus</w:t>
            </w:r>
          </w:p>
        </w:tc>
        <w:tc>
          <w:tcPr>
            <w:tcW w:w="7087" w:type="dxa"/>
          </w:tcPr>
          <w:p w14:paraId="58F179BA" w14:textId="77777777" w:rsidR="00B621F2" w:rsidRPr="00AA7C5C" w:rsidRDefault="004406C0" w:rsidP="00746F42">
            <w:pPr>
              <w:pStyle w:val="TableBody"/>
            </w:pPr>
            <w:r w:rsidRPr="00B60ECF">
              <w:t>AU9, AV9, AW3, BU7, BU8, BV7, BV8, BW1, BW2, BW5, AU6I, AU6J, AU6K, AU6L, AU6M, AU6N, AU6O, AU6P, BU4H, BU4I, BU4J, BU4K, BU4L, BU4M, BU4N, BU4O, BU4P, BU5E, BU5F, BU5G, BU5H, BU5I, BU5J, BU5K, BU5L, BU5M, BU5N, BU5O, BU5P, BU9A, BU9B, BU9E, BU9F, BU9I, BU9J, BU9M, BU9N, BV2C, BV2D, BV2G, BV2H, BV2K, BV2L, BV2O, BV2P, BV3A, BV3B, BV3E, BV3F, BV3I, BV3J, BV3M, BV3N, BV4M, BV4N, BV4O, BV4P, BV5C, BV5D, BV5G, BV5H, BV5K, BV5L, BV5M, BV5N, BV5O, BV5P, BV6A, BV6B, BV6E, BV6F, BV6I, BV6J, BV6M, BV6N, BV9A, BV9B, BV9E, BV9F, BV9I, BV9J, BV9M, BV9N, BW3A, BV1A1, BV1A2, BV1A3, BV1B1, BV1B2, BV1B3, BV1C1, BV1C2, BV1C3, BV1D1, BV1D2, BV1D3, BV2A1, BV2A2, BV2A3, BV2B1, BV2B2, BV2B3, BV4I7, BV4I8, BV4I9, BV4J7, BV4J8, BV4J9, BV4K7, BV4K8, BV4K9, BV4L7, BV4L8, BV4L9, BV5I7, BV5I8, BV5I9, BV5J7, BV5J8, BV5J9</w:t>
            </w:r>
          </w:p>
        </w:tc>
      </w:tr>
      <w:tr w:rsidR="00B621F2" w14:paraId="631F4483" w14:textId="77777777" w:rsidTr="005264CB">
        <w:trPr>
          <w:cantSplit/>
          <w:trHeight w:val="9564"/>
        </w:trPr>
        <w:tc>
          <w:tcPr>
            <w:tcW w:w="1129" w:type="dxa"/>
          </w:tcPr>
          <w:p w14:paraId="6B38D68D" w14:textId="77777777" w:rsidR="00B621F2" w:rsidRDefault="00B621F2" w:rsidP="00746F42">
            <w:pPr>
              <w:pStyle w:val="TableBody"/>
            </w:pPr>
            <w:r>
              <w:t>Area 3</w:t>
            </w:r>
          </w:p>
        </w:tc>
        <w:tc>
          <w:tcPr>
            <w:tcW w:w="1460" w:type="dxa"/>
          </w:tcPr>
          <w:p w14:paraId="7E8BC80B" w14:textId="77777777" w:rsidR="00B621F2" w:rsidRDefault="004406C0" w:rsidP="00746F42">
            <w:pPr>
              <w:pStyle w:val="TableBody"/>
            </w:pPr>
            <w:r>
              <w:t>Regional Australia</w:t>
            </w:r>
          </w:p>
        </w:tc>
        <w:tc>
          <w:tcPr>
            <w:tcW w:w="7087" w:type="dxa"/>
          </w:tcPr>
          <w:p w14:paraId="538652B1" w14:textId="77777777" w:rsidR="00B621F2" w:rsidRPr="00AA7C5C" w:rsidRDefault="005264CB" w:rsidP="00746F42">
            <w:pPr>
              <w:pStyle w:val="TableBody"/>
            </w:pPr>
            <w:r>
              <w:t>CV, DV, KQ, KV, LR, LV, LY, MS, MT, MU, BW6, CW1, CW2, CW3, CW4, DW1, DW2, DW3, EV1, EV2, EV3, EV4, EV5, EV6, EV7, FV1, FV2, FV3, FV4, FV5, GV1, GV2, GV3, GV6, HV1, HV2, HV3, HV4, HV5, HV6, HV8, HV9, HW3, HW6, IV1, IV2, IV3, IV4, IV5, IV6, IV7, JV1, JV2, JV3, JV4, JV5, JV6, JV9, JW3, JW6, JW8, JW9, JX1, JX2, JX3, JX5, JX6, KO1, KO4, KO5, KO7, KO8, KP1, KP2, KP4, KP5, KP6, KP7, KP8, KP9, KW1, KW2, KW3, KW4, KW5, KW6, KW7, KY2, KY3, KY6, LP4, LP7, LQ1, LQ2, LQ4, LQ5, LQ7, LQ8, LW1, LW2, LW3, LW4, LW5, LW6, LW8, LW9, LX3, LX6, LX9, LZ1, LZ2, LZ3, MR1, MR4, MR5, MR7, MR8, MR9, MV1, MV4, MV7, MX4, MX7, MY1, MY4, MY7, MZ1, NS4, NS7, NS8, NS9, NT1, NT2, NT3, NU1, NU4, NU5, NU6, NU7, NU8, NU9, BV3C, BV3D, BV3G, BV3H, BV3K, BV3L, BV3O, BV3P, BV6C, BV6D, BV6G, BV6H, BV6K, BV6L, BV6O, BV6P, BV9C, BV9D, BV9G, BV9H, BV9K, BV9L, BV9O, BV9P, BW3B, BW3C, BW3D, BW3E, BW3F, BW3G, BW3H, BW3I, BW3J, BW3K, BW3L, BW3M, BW3N, BW3O, BW3P, IV8A, IV8B, IV8C, IV8D, IV8E, IV8F, IV8G, IV8H, IV8I, IV8J, IV8M, IV9A, IV9B, IV9C, IV9D, IV9E, IV9F, IV9G, IV9H, IW1A, IW1B, IW1C, IW1D, IW1E, IW1F, IW1G, IW1H, IW1I, IW1J, IW1K, IW1L, IW1M, IW1N, IW1O, IW4A, IW4B, IW4C, IW4E, IW4F, IW4G, IW4I, IW4J, IW4M, JV7A, JV7B, JV7C, JV7D, JV7E, JV7F, JV7G, JV7H, JV7I, JV7J, JV7K, JV7L, JV8A, JV8B, JV8C, JV8D, JV8E, JV8F, JV8G, JV8H, JV8I, JV8J, JV8K, JV8L, JV8N, JV8O, JV8P, JW2C, JW2D, JW2H, JW2L, JW2P, JW5D, JW5G, JW5H, JW5K, JW5L, JW5N, JW5O, JW5P, JW7H, JW7J, JW7K, JW7L, JW7M, JW7N, JW7O, JW7P, KW8A, KW8B, KW8C, KW8D, KW8E, KW8F, KW8G, KW9A, KW9B, KW9C, KW9D, KX1A, KX1B, KX1C, KX1D, KX1E, KX1F, KX1G, KX1H, KX1I, KX1J, KX1K, KX1L, KX1M, KX1N, KX1O, KX4A, KX4B, KX4C, KX4E, KX4F, KX4G, KX4I, KX4J, KX4K, KX4M, KX4N, KX4O, LW7A, LW7B, LW7C, LW7D, LW7E, LW7F, LW7G, LW7H, LW7K, LW7L, LX2A, LX2B, LX2C, LX2D, LX2F, LX2G, LX2H, LX2J, LX2K, LX2L, LX2P, MV2A, MV2B, MV2C, MV2D, MV2E, MV2F, MV2G, MV2H, MV2I, MV2J, MV2K, MV2L, MV2M, MV2N, MV2O, MV3A, MV3B, MV3C, MV3D, MV3E, MV3F, MV3G, MV3H, MV3I, MV3J, MV3K, MV5A, MV5B, MV5C, MV5E, MV5F, MV5G, MV5I, MV5J, MV5K, MV5M, MV5N, MV5O, MV8A, MV8B, MV8C, MV8E, MV8F, MV8G, MV8I, MV8M, MX1A, MX1B, MX1E, MX1F, MX1G, MX1I, MX1J, MX1K, MX1L, MX1M, MX1N, MX1O, MX1P, MX2I, MX2J, MX2K, MX2L, MX2M, MX2N, MX2O, MX2P, MX3I, MX3J, MX3K, MX3L, MX3M, MX3N, MX3O, MX3P, NT4A, NT4B, NT4C, NT4D, NT4E, NT4F, NT4I, NT4J, NT4M, NT4N, NT5A, NT5B, NT5C, NT7A, NT7B, NT7E, NT7F, NT7I, NT7J, NT7M, NT7N, NU2A, NU2E, NU2I, NU2J, NU2K, NU2M, NU2N, NU2O, NU2P, NV1A, NV1B, NV1C, NV1D, NV1E, NV1F, NV1G, NV1H, NV2A, NV2B, NV2C, NV2D, NV2E, NV2F, NV2G, NV2H, NV3A, NV3B, NV3C, NV3D, NV3E, NV3F, NV3G, NV3H</w:t>
            </w:r>
          </w:p>
        </w:tc>
      </w:tr>
    </w:tbl>
    <w:p w14:paraId="41944B3A" w14:textId="77777777" w:rsidR="000B62E7" w:rsidRDefault="000B62E7" w:rsidP="000B62E7">
      <w:pPr>
        <w:pStyle w:val="Heading1"/>
      </w:pPr>
      <w:bookmarkStart w:id="234" w:name="_Toc495935500"/>
      <w:bookmarkStart w:id="235" w:name="_Toc495935530"/>
      <w:bookmarkStart w:id="236" w:name="_Toc496620363"/>
      <w:r>
        <w:t xml:space="preserve">Annex D—Proposed </w:t>
      </w:r>
      <w:bookmarkEnd w:id="234"/>
      <w:bookmarkEnd w:id="235"/>
      <w:r w:rsidR="00531A3F">
        <w:t>excise areas</w:t>
      </w:r>
      <w:bookmarkEnd w:id="236"/>
      <w:r>
        <w:t xml:space="preserve"> </w:t>
      </w:r>
    </w:p>
    <w:p w14:paraId="7116D0A6" w14:textId="77777777" w:rsidR="000B62E7" w:rsidRPr="001344BA" w:rsidRDefault="000B62E7" w:rsidP="000B62E7">
      <w:pPr>
        <w:spacing w:after="80"/>
      </w:pPr>
      <w:r>
        <w:t xml:space="preserve">The ACMA </w:t>
      </w:r>
      <w:r w:rsidR="00531A3F">
        <w:t xml:space="preserve">is also considering excising the areas defined in this annex from the areas proposed for re-farming in Annex C. These excised areas could be used to assist in the identification of one or more </w:t>
      </w:r>
      <w:r w:rsidR="00531A3F" w:rsidRPr="001344BA">
        <w:t xml:space="preserve">potential east coast earth station protection zone(s) and to support the ongoing use of the 3.6 GHz band by the FSS earth station facility near Uralla. </w:t>
      </w:r>
      <w:r w:rsidRPr="001344BA">
        <w:t>The</w:t>
      </w:r>
      <w:r w:rsidR="0090271C" w:rsidRPr="001344BA">
        <w:t xml:space="preserve"> proposed</w:t>
      </w:r>
      <w:r w:rsidRPr="001344BA">
        <w:t xml:space="preserve"> areas are defined in Table 1</w:t>
      </w:r>
      <w:r w:rsidR="003C549E" w:rsidRPr="001344BA">
        <w:t>3</w:t>
      </w:r>
      <w:r w:rsidRPr="001344BA">
        <w:t xml:space="preserve"> and displayed in Figure </w:t>
      </w:r>
      <w:r w:rsidR="001D018B" w:rsidRPr="001344BA">
        <w:t>3</w:t>
      </w:r>
      <w:r w:rsidRPr="001344BA">
        <w:t xml:space="preserve">. </w:t>
      </w:r>
    </w:p>
    <w:p w14:paraId="134F75AE" w14:textId="77777777" w:rsidR="000B62E7" w:rsidRPr="001344BA" w:rsidRDefault="000B62E7" w:rsidP="000B62E7">
      <w:pPr>
        <w:spacing w:before="240"/>
        <w:rPr>
          <w:rFonts w:cs="Arial"/>
          <w:szCs w:val="20"/>
        </w:rPr>
      </w:pPr>
      <w:r w:rsidRPr="001344BA">
        <w:t>Note that t</w:t>
      </w:r>
      <w:r w:rsidRPr="001344BA">
        <w:rPr>
          <w:rFonts w:cs="Arial"/>
        </w:rPr>
        <w:t xml:space="preserve">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hyperlink r:id="rId54" w:history="1">
        <w:r w:rsidRPr="001344BA">
          <w:rPr>
            <w:rStyle w:val="Hyperlink"/>
            <w:rFonts w:cs="Arial"/>
            <w:i/>
          </w:rPr>
          <w:t>The Australian spectrum map grid 2012</w:t>
        </w:r>
      </w:hyperlink>
      <w:r w:rsidRPr="001344BA">
        <w:rPr>
          <w:rFonts w:cs="Arial"/>
        </w:rPr>
        <w:t>.</w:t>
      </w:r>
    </w:p>
    <w:p w14:paraId="6A6253F9" w14:textId="77777777" w:rsidR="000B62E7" w:rsidRDefault="000B62E7" w:rsidP="000B62E7">
      <w:r w:rsidRPr="001344BA">
        <w:t>The HCIS coordinates in Table 1</w:t>
      </w:r>
      <w:r w:rsidR="003C549E" w:rsidRPr="001344BA">
        <w:t>3</w:t>
      </w:r>
      <w:r w:rsidRPr="001344BA">
        <w:t xml:space="preserve"> can be converted into a </w:t>
      </w:r>
      <w:proofErr w:type="spellStart"/>
      <w:r w:rsidRPr="001344BA">
        <w:t>Placemark</w:t>
      </w:r>
      <w:proofErr w:type="spellEnd"/>
      <w:r w:rsidRPr="001344BA">
        <w:t xml:space="preserve"> file (viewable in Google Earth) through a facility on the ACMA website:</w:t>
      </w:r>
      <w:r w:rsidRPr="00C650D6">
        <w:t xml:space="preserve"> </w:t>
      </w:r>
      <w:hyperlink r:id="rId55" w:history="1">
        <w:r w:rsidRPr="00EE7CE2">
          <w:rPr>
            <w:rStyle w:val="Hyperlink"/>
          </w:rPr>
          <w:t>www.acma.gov.au/theACMA/convert-hcis-area-description-t</w:t>
        </w:r>
        <w:r w:rsidRPr="00194C1F">
          <w:rPr>
            <w:rStyle w:val="Hyperlink"/>
          </w:rPr>
          <w:t>o-a-placemark</w:t>
        </w:r>
      </w:hyperlink>
      <w:r>
        <w:t xml:space="preserve"> </w:t>
      </w:r>
      <w:bookmarkStart w:id="237" w:name="_GoBack"/>
      <w:bookmarkEnd w:id="237"/>
    </w:p>
    <w:p w14:paraId="593C6766" w14:textId="77777777" w:rsidR="000B62E7" w:rsidRDefault="000B62E7" w:rsidP="00D15AEA">
      <w:pPr>
        <w:pStyle w:val="ACMAFigureHeader"/>
        <w:rPr>
          <w:rFonts w:cs="Arial"/>
        </w:rPr>
      </w:pPr>
      <w:r>
        <w:t xml:space="preserve">Proposed </w:t>
      </w:r>
      <w:r w:rsidR="00531A3F">
        <w:t>excise</w:t>
      </w:r>
      <w:r w:rsidRPr="00E74FF9">
        <w:t xml:space="preserve"> area</w:t>
      </w:r>
      <w:r>
        <w:t xml:space="preserve">s </w:t>
      </w:r>
    </w:p>
    <w:p w14:paraId="7D579C20" w14:textId="77777777" w:rsidR="00DA6020" w:rsidRDefault="00451B37" w:rsidP="000B62E7">
      <w:r>
        <w:rPr>
          <w:noProof/>
        </w:rPr>
        <w:drawing>
          <wp:inline distT="0" distB="0" distL="0" distR="0" wp14:anchorId="57AE7DBF" wp14:editId="5C1AFF99">
            <wp:extent cx="4867275" cy="3467100"/>
            <wp:effectExtent l="0" t="0" r="9525" b="0"/>
            <wp:docPr id="10" name="Picture 10" descr="Proposed excise areas" title="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67275" cy="3467100"/>
                    </a:xfrm>
                    <a:prstGeom prst="rect">
                      <a:avLst/>
                    </a:prstGeom>
                    <a:noFill/>
                    <a:ln>
                      <a:noFill/>
                    </a:ln>
                  </pic:spPr>
                </pic:pic>
              </a:graphicData>
            </a:graphic>
          </wp:inline>
        </w:drawing>
      </w:r>
    </w:p>
    <w:p w14:paraId="250D834B" w14:textId="77777777" w:rsidR="000B62E7" w:rsidRPr="00AA7C5C" w:rsidRDefault="000B62E7" w:rsidP="00DA6020">
      <w:pPr>
        <w:pStyle w:val="ACMATableHeader"/>
        <w:keepNext/>
        <w:keepLines/>
      </w:pPr>
      <w:r>
        <w:t>HCIS description of</w:t>
      </w:r>
      <w:r w:rsidR="0093253D">
        <w:t xml:space="preserve"> proposed </w:t>
      </w:r>
      <w:r w:rsidR="00531A3F">
        <w:t>excise areas</w:t>
      </w:r>
    </w:p>
    <w:tbl>
      <w:tblPr>
        <w:tblStyle w:val="TableGrid"/>
        <w:tblW w:w="8547"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7087"/>
      </w:tblGrid>
      <w:tr w:rsidR="000B62E7" w14:paraId="416621C4" w14:textId="77777777" w:rsidTr="000B62E7">
        <w:trPr>
          <w:cantSplit/>
          <w:tblHeader/>
        </w:trPr>
        <w:tc>
          <w:tcPr>
            <w:tcW w:w="1460" w:type="dxa"/>
            <w:shd w:val="clear" w:color="auto" w:fill="404040" w:themeFill="text1" w:themeFillTint="BF"/>
            <w:vAlign w:val="center"/>
          </w:tcPr>
          <w:p w14:paraId="12729DE7" w14:textId="77777777" w:rsidR="000B62E7" w:rsidRPr="00C63393" w:rsidRDefault="000B62E7" w:rsidP="00DA6020">
            <w:pPr>
              <w:pStyle w:val="TableHeading"/>
              <w:keepNext/>
              <w:keepLines/>
              <w:rPr>
                <w:color w:val="FFFFFF" w:themeColor="background1"/>
              </w:rPr>
            </w:pPr>
            <w:r>
              <w:rPr>
                <w:color w:val="FFFFFF" w:themeColor="background1"/>
              </w:rPr>
              <w:t>A</w:t>
            </w:r>
            <w:r w:rsidRPr="00C63393">
              <w:rPr>
                <w:color w:val="FFFFFF" w:themeColor="background1"/>
              </w:rPr>
              <w:t>rea name</w:t>
            </w:r>
          </w:p>
        </w:tc>
        <w:tc>
          <w:tcPr>
            <w:tcW w:w="7087" w:type="dxa"/>
            <w:shd w:val="clear" w:color="auto" w:fill="404040" w:themeFill="text1" w:themeFillTint="BF"/>
            <w:vAlign w:val="center"/>
          </w:tcPr>
          <w:p w14:paraId="52206F99" w14:textId="77777777" w:rsidR="000B62E7" w:rsidRPr="00C63393" w:rsidRDefault="000B62E7" w:rsidP="00DA6020">
            <w:pPr>
              <w:pStyle w:val="TableHeading"/>
              <w:keepNext/>
              <w:keepLines/>
              <w:rPr>
                <w:color w:val="FFFFFF" w:themeColor="background1"/>
              </w:rPr>
            </w:pPr>
            <w:r w:rsidRPr="00C63393">
              <w:rPr>
                <w:color w:val="FFFFFF" w:themeColor="background1"/>
              </w:rPr>
              <w:t>HCIS</w:t>
            </w:r>
          </w:p>
        </w:tc>
      </w:tr>
      <w:tr w:rsidR="000B62E7" w14:paraId="7C0AD394" w14:textId="77777777" w:rsidTr="000B62E7">
        <w:trPr>
          <w:cantSplit/>
        </w:trPr>
        <w:tc>
          <w:tcPr>
            <w:tcW w:w="1460" w:type="dxa"/>
          </w:tcPr>
          <w:p w14:paraId="062A263C" w14:textId="77777777" w:rsidR="000B62E7" w:rsidRDefault="0093253D" w:rsidP="00DA6020">
            <w:pPr>
              <w:pStyle w:val="TableBody"/>
              <w:keepNext/>
              <w:keepLines/>
            </w:pPr>
            <w:r>
              <w:t>Moree</w:t>
            </w:r>
          </w:p>
        </w:tc>
        <w:tc>
          <w:tcPr>
            <w:tcW w:w="7087" w:type="dxa"/>
            <w:vAlign w:val="center"/>
          </w:tcPr>
          <w:p w14:paraId="1A0990F5" w14:textId="77777777" w:rsidR="000B62E7" w:rsidRPr="00AA7C5C" w:rsidRDefault="0093253D" w:rsidP="00DA6020">
            <w:pPr>
              <w:pStyle w:val="TableBody"/>
              <w:keepNext/>
              <w:keepLines/>
            </w:pPr>
            <w:r w:rsidRPr="0093253D">
              <w:t>MU5G, MU5H, MU5L, MU5C8, MU5C9, MU5D7, MU5D8, MU5D9, MU5K1, MU5K2, MU5K3, MU5K4, MU5K5, MU5K6, MU5K8, MU5K9, MU6A7, MU6E1, MU6E2, MU6E4, MU6E5, MU6E7, MU6E8, MU6I1, MU6I2, MU6I4, MU6I5, MU6I7</w:t>
            </w:r>
          </w:p>
        </w:tc>
      </w:tr>
      <w:tr w:rsidR="000B62E7" w14:paraId="6C53CBCC" w14:textId="77777777" w:rsidTr="000B62E7">
        <w:trPr>
          <w:cantSplit/>
        </w:trPr>
        <w:tc>
          <w:tcPr>
            <w:tcW w:w="1460" w:type="dxa"/>
          </w:tcPr>
          <w:p w14:paraId="4663C708" w14:textId="77777777" w:rsidR="000B62E7" w:rsidRDefault="0093253D" w:rsidP="00DA6020">
            <w:pPr>
              <w:pStyle w:val="TableBody"/>
              <w:keepNext/>
              <w:keepLines/>
            </w:pPr>
            <w:r>
              <w:t>Quirindi</w:t>
            </w:r>
          </w:p>
        </w:tc>
        <w:tc>
          <w:tcPr>
            <w:tcW w:w="7087" w:type="dxa"/>
            <w:vAlign w:val="center"/>
          </w:tcPr>
          <w:p w14:paraId="7CD757E4" w14:textId="77777777" w:rsidR="000B62E7" w:rsidRPr="00AA7C5C" w:rsidRDefault="0093253D" w:rsidP="00DA6020">
            <w:pPr>
              <w:pStyle w:val="TableBody"/>
              <w:keepNext/>
              <w:keepLines/>
            </w:pPr>
            <w:r w:rsidRPr="0093253D">
              <w:t>MV3G, MV3H, MV3K, MV3L, MV3C8, MV3C9, MV3D7, MV3F3, MV3F5, MV3F6, MV3F8, MV3F9, MV3J2, MV3J3, MV3J5, MV3J6, MV3J9, MV3O1, MV3O2, MV3O3, MV3P1</w:t>
            </w:r>
          </w:p>
        </w:tc>
      </w:tr>
      <w:tr w:rsidR="000B62E7" w14:paraId="7D15593D" w14:textId="77777777" w:rsidTr="000B62E7">
        <w:trPr>
          <w:cantSplit/>
        </w:trPr>
        <w:tc>
          <w:tcPr>
            <w:tcW w:w="1460" w:type="dxa"/>
          </w:tcPr>
          <w:p w14:paraId="65BE489E" w14:textId="77777777" w:rsidR="000B62E7" w:rsidRDefault="0093253D" w:rsidP="00DA6020">
            <w:pPr>
              <w:pStyle w:val="TableBody"/>
              <w:keepNext/>
              <w:keepLines/>
            </w:pPr>
            <w:r>
              <w:t>Roma</w:t>
            </w:r>
          </w:p>
        </w:tc>
        <w:tc>
          <w:tcPr>
            <w:tcW w:w="7087" w:type="dxa"/>
            <w:vAlign w:val="center"/>
          </w:tcPr>
          <w:p w14:paraId="4FF4CACF" w14:textId="77777777" w:rsidR="000B62E7" w:rsidRPr="00AA7C5C" w:rsidDel="00866481" w:rsidRDefault="0093253D" w:rsidP="00DA6020">
            <w:pPr>
              <w:pStyle w:val="TableBody"/>
              <w:keepNext/>
              <w:keepLines/>
            </w:pPr>
            <w:r w:rsidRPr="0093253D">
              <w:t>MT4H, MT4K, MT4L, MT4F9, MT4G2, MT4G3, MT4G4, MT4G5, MT4G6, MT4G7, MT4G8, MT4G9, MT4J3, MT4J6, MT4O1, MT4O2, MT4O3, MT4O6, MT4P1, MT4P2, MT4P3, MT4P4, MT4P5, MT5E4, MT5E7, MT5I1, MT5I2, MT5I4, MT5I5, MT5I7, MT5M1</w:t>
            </w:r>
          </w:p>
        </w:tc>
      </w:tr>
      <w:tr w:rsidR="00531A3F" w14:paraId="1EF16229" w14:textId="77777777" w:rsidTr="000B62E7">
        <w:trPr>
          <w:cantSplit/>
        </w:trPr>
        <w:tc>
          <w:tcPr>
            <w:tcW w:w="1460" w:type="dxa"/>
          </w:tcPr>
          <w:p w14:paraId="370D6489" w14:textId="77777777" w:rsidR="00531A3F" w:rsidRDefault="00531A3F" w:rsidP="00DA6020">
            <w:pPr>
              <w:pStyle w:val="TableBody"/>
              <w:keepNext/>
              <w:keepLines/>
            </w:pPr>
            <w:r>
              <w:t>Uralla</w:t>
            </w:r>
          </w:p>
        </w:tc>
        <w:tc>
          <w:tcPr>
            <w:tcW w:w="7087" w:type="dxa"/>
            <w:vAlign w:val="center"/>
          </w:tcPr>
          <w:p w14:paraId="17D69A7D" w14:textId="77777777" w:rsidR="00531A3F" w:rsidRPr="0093253D" w:rsidRDefault="00531A3F" w:rsidP="00DA6020">
            <w:pPr>
              <w:pStyle w:val="TableBody"/>
              <w:keepNext/>
              <w:keepLines/>
            </w:pPr>
            <w:r w:rsidRPr="00A511D3">
              <w:rPr>
                <w:rFonts w:cs="Arial"/>
                <w:szCs w:val="20"/>
                <w:lang w:eastAsia="en-US"/>
              </w:rPr>
              <w:t>NU7K4</w:t>
            </w:r>
          </w:p>
        </w:tc>
      </w:tr>
    </w:tbl>
    <w:p w14:paraId="2D4F93F1" w14:textId="77777777" w:rsidR="00E14AA6" w:rsidRPr="00FB55C6" w:rsidRDefault="00E14AA6" w:rsidP="00422354">
      <w:pPr>
        <w:pStyle w:val="Heading2"/>
        <w:keepLines/>
        <w:spacing w:after="120"/>
        <w:rPr>
          <w:szCs w:val="20"/>
          <w:lang w:val="en"/>
        </w:rPr>
      </w:pPr>
    </w:p>
    <w:sectPr w:rsidR="00E14AA6" w:rsidRPr="00FB55C6" w:rsidSect="00C77380">
      <w:headerReference w:type="even" r:id="rId57"/>
      <w:headerReference w:type="default" r:id="rId58"/>
      <w:footerReference w:type="even" r:id="rId59"/>
      <w:footerReference w:type="default" r:id="rId60"/>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27EABF" w14:textId="77777777" w:rsidR="00A0447C" w:rsidRDefault="00A0447C">
      <w:r>
        <w:separator/>
      </w:r>
    </w:p>
  </w:endnote>
  <w:endnote w:type="continuationSeparator" w:id="0">
    <w:p w14:paraId="570FA7EA" w14:textId="77777777" w:rsidR="00A0447C" w:rsidRDefault="00A0447C">
      <w:r>
        <w:continuationSeparator/>
      </w:r>
    </w:p>
  </w:endnote>
  <w:endnote w:type="continuationNotice" w:id="1">
    <w:p w14:paraId="19E3C325" w14:textId="77777777" w:rsidR="00A0447C" w:rsidRDefault="00A0447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Cambria"/>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宋体">
    <w:altName w:val="Arial Unicode MS"/>
    <w:charset w:val="86"/>
    <w:family w:val="auto"/>
    <w:pitch w:val="variable"/>
    <w:sig w:usb0="00000001" w:usb1="080E0000" w:usb2="00000010" w:usb3="00000000" w:csb0="00040000" w:csb1="00000000"/>
  </w:font>
  <w:font w:name="Futura Std Light">
    <w:altName w:val="Futura Std Light"/>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D68C50" w14:textId="77777777" w:rsidR="00772C2E" w:rsidRDefault="00772C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F18551" w14:textId="77777777" w:rsidR="00A0447C" w:rsidRPr="00A5474E" w:rsidRDefault="00A0447C" w:rsidP="00A5474E">
    <w:pPr>
      <w:pStyle w:val="Footer"/>
    </w:pPr>
    <w:r>
      <w:rPr>
        <w:noProof/>
      </w:rPr>
      <w:drawing>
        <wp:inline distT="0" distB="0" distL="0" distR="0" wp14:anchorId="02F1C8B6" wp14:editId="10AD9815">
          <wp:extent cx="3483864" cy="249613"/>
          <wp:effectExtent l="0" t="0" r="0" b="0"/>
          <wp:docPr id="14" name="Picture 1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w16se="http://schemas.microsoft.com/office/word/2015/wordml/symex" xmlns:cx1="http://schemas.microsoft.com/office/drawing/2015/9/8/chartex" xmlns:cx="http://schemas.microsoft.com/office/drawing/2014/chartex"/>
                    </a:ext>
                  </a:extLst>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5EBE60" w14:textId="77777777" w:rsidR="00772C2E" w:rsidRDefault="00772C2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133A12" w14:textId="77777777" w:rsidR="00A0447C" w:rsidRDefault="00A0447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2881BE" w14:textId="77777777" w:rsidR="00A0447C" w:rsidRDefault="00A0447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826241" w14:textId="2F7E7BEC" w:rsidR="00A0447C" w:rsidRPr="00622A3B" w:rsidRDefault="00A0447C"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56453A">
      <w:rPr>
        <w:noProof/>
        <w:color w:val="505050"/>
      </w:rPr>
      <w:t>iv</w:t>
    </w:r>
    <w:r w:rsidRPr="002E4DDC">
      <w:rPr>
        <w:color w:val="505050"/>
      </w:rPr>
      <w:fldChar w:fldCharType="end"/>
    </w:r>
  </w:p>
  <w:p w14:paraId="3D0049F4" w14:textId="77777777" w:rsidR="00A0447C" w:rsidRPr="00A5474E" w:rsidRDefault="00A0447C" w:rsidP="00A5474E">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0106F0" w14:textId="074FEF24" w:rsidR="00A0447C" w:rsidRPr="00622A3B" w:rsidRDefault="00A0447C"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56453A">
      <w:rPr>
        <w:noProof/>
        <w:color w:val="505050"/>
      </w:rPr>
      <w:t>v</w:t>
    </w:r>
    <w:r w:rsidRPr="002E4DDC">
      <w:rPr>
        <w:color w:val="505050"/>
      </w:rPr>
      <w:fldChar w:fldCharType="end"/>
    </w:r>
  </w:p>
  <w:p w14:paraId="737418F3" w14:textId="77777777" w:rsidR="00A0447C" w:rsidRPr="00A5474E" w:rsidRDefault="00A0447C" w:rsidP="00A5474E">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94128B" w14:textId="71BA6266" w:rsidR="00A0447C" w:rsidRPr="00622A3B" w:rsidRDefault="00A0447C"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56453A">
      <w:rPr>
        <w:noProof/>
        <w:color w:val="505050"/>
      </w:rPr>
      <w:t>iii</w:t>
    </w:r>
    <w:r w:rsidRPr="002E4DDC">
      <w:rPr>
        <w:color w:val="505050"/>
      </w:rPr>
      <w:fldChar w:fldCharType="end"/>
    </w:r>
  </w:p>
  <w:p w14:paraId="329814E5" w14:textId="77777777" w:rsidR="00A0447C" w:rsidRPr="00A5474E" w:rsidRDefault="00A0447C" w:rsidP="00A5474E">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D5F96" w14:textId="0C0C9340" w:rsidR="00A0447C" w:rsidRPr="00622A3B" w:rsidRDefault="00A0447C"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56453A">
      <w:rPr>
        <w:noProof/>
      </w:rPr>
      <w:t>76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3AD8D5D5" w14:textId="77777777" w:rsidR="00A0447C" w:rsidRPr="00A5474E" w:rsidRDefault="00A0447C" w:rsidP="00A5474E">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FA19CC" w14:textId="1DC7AD87" w:rsidR="00A0447C" w:rsidRPr="00622A3B" w:rsidRDefault="00A0447C"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56453A">
      <w:rPr>
        <w:noProof/>
        <w:color w:val="505050"/>
      </w:rPr>
      <w:t>77</w:t>
    </w:r>
    <w:r w:rsidRPr="00575AC5">
      <w:rPr>
        <w:color w:val="505050"/>
      </w:rPr>
      <w:fldChar w:fldCharType="end"/>
    </w:r>
  </w:p>
  <w:p w14:paraId="19BC9435" w14:textId="77777777" w:rsidR="00A0447C" w:rsidRPr="00A5474E" w:rsidRDefault="00A0447C"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5289D2" w14:textId="77777777" w:rsidR="00A0447C" w:rsidRDefault="00A0447C">
      <w:r>
        <w:separator/>
      </w:r>
    </w:p>
  </w:footnote>
  <w:footnote w:type="continuationSeparator" w:id="0">
    <w:p w14:paraId="1308DB30" w14:textId="77777777" w:rsidR="00A0447C" w:rsidRDefault="00A0447C">
      <w:r>
        <w:continuationSeparator/>
      </w:r>
    </w:p>
  </w:footnote>
  <w:footnote w:type="continuationNotice" w:id="1">
    <w:p w14:paraId="476B9817" w14:textId="77777777" w:rsidR="00A0447C" w:rsidRDefault="00A0447C">
      <w:pPr>
        <w:spacing w:after="0" w:line="240" w:lineRule="auto"/>
      </w:pPr>
    </w:p>
  </w:footnote>
  <w:footnote w:id="2">
    <w:p w14:paraId="6EB01D50" w14:textId="77777777" w:rsidR="00A0447C" w:rsidRDefault="00A0447C" w:rsidP="00222E73">
      <w:pPr>
        <w:pStyle w:val="FootnoteText"/>
        <w:spacing w:after="0"/>
      </w:pPr>
      <w:r>
        <w:rPr>
          <w:rStyle w:val="FootnoteReference"/>
        </w:rPr>
        <w:footnoteRef/>
      </w:r>
      <w:r>
        <w:t xml:space="preserve"> </w:t>
      </w:r>
      <w:r w:rsidRPr="00984F4E">
        <w:t>A map and definitions of these areas is included at Annex C.</w:t>
      </w:r>
    </w:p>
  </w:footnote>
  <w:footnote w:id="3">
    <w:p w14:paraId="5B23E55F" w14:textId="77777777" w:rsidR="007C0010" w:rsidRDefault="007C0010" w:rsidP="007C0010">
      <w:pPr>
        <w:pStyle w:val="FootnoteText"/>
        <w:spacing w:after="0"/>
      </w:pPr>
      <w:r>
        <w:rPr>
          <w:rStyle w:val="FootnoteReference"/>
        </w:rPr>
        <w:footnoteRef/>
      </w:r>
      <w:r>
        <w:t xml:space="preserve"> </w:t>
      </w:r>
      <w:r>
        <w:rPr>
          <w:i/>
        </w:rPr>
        <w:t>US is ‘the outlier on 3.5 GHz’, according to Qualcomm technical standard boss</w:t>
      </w:r>
      <w:r>
        <w:t>, Policy Tracker September 2017.</w:t>
      </w:r>
    </w:p>
  </w:footnote>
  <w:footnote w:id="4">
    <w:p w14:paraId="0B234FF9" w14:textId="36A33195" w:rsidR="007C0010" w:rsidRPr="00081D5E" w:rsidRDefault="007C0010" w:rsidP="007C0010">
      <w:pPr>
        <w:pStyle w:val="FootnoteText"/>
        <w:spacing w:after="0"/>
      </w:pPr>
      <w:r>
        <w:rPr>
          <w:rStyle w:val="FootnoteReference"/>
        </w:rPr>
        <w:footnoteRef/>
      </w:r>
      <w:r>
        <w:t xml:space="preserve"> </w:t>
      </w:r>
      <w:r w:rsidRPr="007C0010">
        <w:rPr>
          <w:i/>
        </w:rPr>
        <w:t>FCC Moves to Promote Investment in the 3.5 GHz Band</w:t>
      </w:r>
      <w:r>
        <w:t xml:space="preserve">, </w:t>
      </w:r>
      <w:hyperlink r:id="rId1" w:history="1">
        <w:r w:rsidRPr="00B35034">
          <w:rPr>
            <w:rStyle w:val="Hyperlink"/>
          </w:rPr>
          <w:t>https://www.fcc.gov/document/fcc-moves-promote-investment-35-ghz-band</w:t>
        </w:r>
      </w:hyperlink>
      <w:r>
        <w:t>.</w:t>
      </w:r>
    </w:p>
  </w:footnote>
  <w:footnote w:id="5">
    <w:p w14:paraId="228763A2" w14:textId="77777777" w:rsidR="00A0447C" w:rsidRDefault="00A0447C" w:rsidP="005D3423">
      <w:pPr>
        <w:pStyle w:val="FootnoteText"/>
        <w:spacing w:after="0"/>
      </w:pPr>
      <w:r>
        <w:rPr>
          <w:rStyle w:val="FootnoteReference"/>
        </w:rPr>
        <w:footnoteRef/>
      </w:r>
      <w:r>
        <w:t xml:space="preserve"> As per section 153G of the Act</w:t>
      </w:r>
      <w:r w:rsidRPr="003A7804">
        <w:t xml:space="preserve">, formal consultation with affected apparatus licensees is required before making a recommendation to the </w:t>
      </w:r>
      <w:r>
        <w:t>m</w:t>
      </w:r>
      <w:r w:rsidRPr="003A7804">
        <w:t>inister.</w:t>
      </w:r>
      <w:r>
        <w:t xml:space="preserve"> The recommendation to the minister is made under section 153F of the Act.</w:t>
      </w:r>
    </w:p>
  </w:footnote>
  <w:footnote w:id="6">
    <w:p w14:paraId="3F06149E" w14:textId="5C34C72A" w:rsidR="00A0447C" w:rsidRDefault="00A0447C" w:rsidP="008772B7">
      <w:pPr>
        <w:pStyle w:val="FootnoteText"/>
        <w:spacing w:after="0"/>
      </w:pPr>
      <w:r>
        <w:rPr>
          <w:rStyle w:val="FootnoteReference"/>
        </w:rPr>
        <w:footnoteRef/>
      </w:r>
      <w:r>
        <w:t xml:space="preserve"> It is noted a re-allocation process may not be required under the outcomes proposed in the Spectrum Review.</w:t>
      </w:r>
    </w:p>
  </w:footnote>
  <w:footnote w:id="7">
    <w:p w14:paraId="6751D846" w14:textId="77777777" w:rsidR="00A0447C" w:rsidRDefault="00A0447C" w:rsidP="00D12411">
      <w:pPr>
        <w:pStyle w:val="FootnoteText"/>
        <w:spacing w:after="0"/>
      </w:pPr>
      <w:r>
        <w:rPr>
          <w:rStyle w:val="FootnoteReference"/>
        </w:rPr>
        <w:footnoteRef/>
      </w:r>
      <w:r>
        <w:t xml:space="preserve"> </w:t>
      </w:r>
      <w:r w:rsidRPr="0096692D">
        <w:t>In the spectrum market, bidders exhibit increasing returns to scale across small portions of spectrum. For example, it is well understood that bidders value, say, 10 MHz of spectrum at more than double 5 MHz.</w:t>
      </w:r>
    </w:p>
  </w:footnote>
  <w:footnote w:id="8">
    <w:p w14:paraId="49E2DE54" w14:textId="77777777" w:rsidR="00A0447C" w:rsidRDefault="00A0447C" w:rsidP="001963BC">
      <w:pPr>
        <w:pStyle w:val="FootnoteText"/>
        <w:spacing w:after="0"/>
      </w:pPr>
      <w:r>
        <w:rPr>
          <w:rStyle w:val="FootnoteReference"/>
        </w:rPr>
        <w:footnoteRef/>
      </w:r>
      <w:r>
        <w:t xml:space="preserve"> </w:t>
      </w:r>
      <w:r>
        <w:rPr>
          <w:rStyle w:val="A3"/>
        </w:rPr>
        <w:t>A Neutral Host is an entity that deploys and manages specific network systems (for example, base stations or distributed antenna systems) and then leases access to one or more other operators wishing to deploy services in a specific area, building or location.</w:t>
      </w:r>
    </w:p>
  </w:footnote>
  <w:footnote w:id="9">
    <w:p w14:paraId="1F7821BF" w14:textId="77777777" w:rsidR="00A0447C" w:rsidRDefault="00A0447C" w:rsidP="008875E2">
      <w:pPr>
        <w:pStyle w:val="FootnoteText"/>
        <w:spacing w:after="0"/>
      </w:pPr>
      <w:r>
        <w:rPr>
          <w:rStyle w:val="FootnoteReference"/>
        </w:rPr>
        <w:footnoteRef/>
      </w:r>
      <w:r>
        <w:t xml:space="preserve"> Qualcomm, </w:t>
      </w:r>
      <w:hyperlink r:id="rId2" w:history="1">
        <w:r w:rsidRPr="00D54A5C">
          <w:rPr>
            <w:rStyle w:val="Hyperlink"/>
            <w:i/>
          </w:rPr>
          <w:t>Making 5G NR a reality: Leading the technology inventions for a unified, more capable 5G air interface</w:t>
        </w:r>
      </w:hyperlink>
      <w:r>
        <w:t>, December 2016.</w:t>
      </w:r>
    </w:p>
  </w:footnote>
  <w:footnote w:id="10">
    <w:p w14:paraId="5EB35F12" w14:textId="77777777" w:rsidR="00A0447C" w:rsidRDefault="00A0447C" w:rsidP="00552583">
      <w:pPr>
        <w:pStyle w:val="FootnoteText"/>
        <w:spacing w:after="0"/>
      </w:pPr>
      <w:r>
        <w:rPr>
          <w:rStyle w:val="FootnoteReference"/>
        </w:rPr>
        <w:footnoteRef/>
      </w:r>
      <w:r>
        <w:t xml:space="preserve"> In this paper, Area 1 is represented by the combination of Area 1A and Area 1B, as defined in Annex C.</w:t>
      </w:r>
    </w:p>
  </w:footnote>
  <w:footnote w:id="11">
    <w:p w14:paraId="225328B5" w14:textId="77777777" w:rsidR="00A0447C" w:rsidRDefault="00A0447C" w:rsidP="00A10ADA">
      <w:pPr>
        <w:pStyle w:val="FootnoteText"/>
        <w:spacing w:after="0"/>
      </w:pPr>
      <w:r>
        <w:rPr>
          <w:rStyle w:val="FootnoteReference"/>
        </w:rPr>
        <w:footnoteRef/>
      </w:r>
      <w:r>
        <w:t xml:space="preserve"> Qualcomm, </w:t>
      </w:r>
      <w:hyperlink r:id="rId3" w:history="1">
        <w:r w:rsidRPr="00D54A5C">
          <w:rPr>
            <w:rStyle w:val="Hyperlink"/>
            <w:i/>
          </w:rPr>
          <w:t>Making 5G NR a reality: Leading the technology inventions for a unified, more capable 5G air interface</w:t>
        </w:r>
      </w:hyperlink>
      <w:r>
        <w:t>, December 2016.</w:t>
      </w:r>
    </w:p>
  </w:footnote>
  <w:footnote w:id="12">
    <w:p w14:paraId="6B4D6232" w14:textId="77777777" w:rsidR="00A0447C" w:rsidRDefault="00A0447C" w:rsidP="00C07CBE">
      <w:pPr>
        <w:pStyle w:val="FootnoteText"/>
        <w:spacing w:after="0"/>
      </w:pPr>
      <w:r>
        <w:rPr>
          <w:rStyle w:val="FootnoteReference"/>
        </w:rPr>
        <w:footnoteRef/>
      </w:r>
      <w:r>
        <w:t xml:space="preserve"> In this paper, Area 1 is represented by the combination of Area 1A and Area 1B, as defined in Annex C.</w:t>
      </w:r>
    </w:p>
  </w:footnote>
  <w:footnote w:id="13">
    <w:p w14:paraId="12BD0C15" w14:textId="77777777" w:rsidR="00A0447C" w:rsidRPr="00DA4987" w:rsidRDefault="00A0447C" w:rsidP="00E46FB1">
      <w:pPr>
        <w:pStyle w:val="FootnoteText"/>
        <w:spacing w:after="0"/>
      </w:pPr>
      <w:r>
        <w:rPr>
          <w:rStyle w:val="FootnoteReference"/>
        </w:rPr>
        <w:footnoteRef/>
      </w:r>
      <w:r>
        <w:t xml:space="preserve"> Department of Communications and the Arts, </w:t>
      </w:r>
      <w:hyperlink r:id="rId4" w:history="1">
        <w:r w:rsidRPr="00DA4987">
          <w:rPr>
            <w:rStyle w:val="Hyperlink"/>
          </w:rPr>
          <w:t>Radiocommunications Bill 2017: a platform for the future</w:t>
        </w:r>
      </w:hyperlink>
      <w:r>
        <w:t>, May 2017, page 15.</w:t>
      </w:r>
    </w:p>
  </w:footnote>
  <w:footnote w:id="14">
    <w:p w14:paraId="7985351A" w14:textId="77777777" w:rsidR="00A0447C" w:rsidRDefault="00A0447C" w:rsidP="007A2DDD">
      <w:pPr>
        <w:pStyle w:val="FootnoteText"/>
        <w:spacing w:after="0"/>
      </w:pPr>
      <w:r>
        <w:rPr>
          <w:rStyle w:val="FootnoteReference"/>
        </w:rPr>
        <w:footnoteRef/>
      </w:r>
      <w:r>
        <w:t xml:space="preserve"> As per section 153G of the Act</w:t>
      </w:r>
      <w:r w:rsidRPr="003A7804">
        <w:t xml:space="preserve">, formal consultation with affected apparatus licensees is required before making a recommendation to the </w:t>
      </w:r>
      <w:r>
        <w:t>m</w:t>
      </w:r>
      <w:r w:rsidRPr="003A7804">
        <w:t>inister.</w:t>
      </w:r>
      <w:r>
        <w:t xml:space="preserve"> The recommendation to the minister is made under section 153F of the Act.</w:t>
      </w:r>
    </w:p>
  </w:footnote>
  <w:footnote w:id="15">
    <w:p w14:paraId="06531E7C" w14:textId="77777777" w:rsidR="00A0447C" w:rsidRDefault="00A0447C" w:rsidP="007A2DDD">
      <w:pPr>
        <w:pStyle w:val="FootnoteText"/>
        <w:spacing w:after="0"/>
      </w:pPr>
      <w:r>
        <w:rPr>
          <w:rStyle w:val="FootnoteReference"/>
        </w:rPr>
        <w:footnoteRef/>
      </w:r>
      <w:r>
        <w:t xml:space="preserve"> It is noted a re-allocation process may not be required under the outcomes proposed in the Spectrum Review.</w:t>
      </w:r>
    </w:p>
  </w:footnote>
  <w:footnote w:id="16">
    <w:p w14:paraId="03DF5A87" w14:textId="77777777" w:rsidR="00A0447C" w:rsidRDefault="00A0447C" w:rsidP="00B56F50">
      <w:pPr>
        <w:pStyle w:val="FootnoteText"/>
        <w:spacing w:after="0"/>
      </w:pPr>
      <w:r>
        <w:rPr>
          <w:rStyle w:val="FootnoteReference"/>
        </w:rPr>
        <w:footnoteRef/>
      </w:r>
      <w:r>
        <w:t xml:space="preserve"> Under section 153E of the Act, the minister has 180 days after receiving the ACMA’s recommendation to make a spectrum reallocation declaration.</w:t>
      </w:r>
    </w:p>
  </w:footnote>
  <w:footnote w:id="17">
    <w:p w14:paraId="2AA09368" w14:textId="77777777" w:rsidR="00A0447C" w:rsidRDefault="00A0447C" w:rsidP="00227574">
      <w:pPr>
        <w:pStyle w:val="FootnoteText"/>
        <w:spacing w:after="0"/>
      </w:pPr>
      <w:r>
        <w:rPr>
          <w:rStyle w:val="FootnoteReference"/>
        </w:rPr>
        <w:footnoteRef/>
      </w:r>
      <w:r>
        <w:t xml:space="preserve"> In this paper, Area 1 is represented by the combination of Area 1A and Area 1B, as defined in Annex 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5C4E91" w14:textId="77777777" w:rsidR="00772C2E" w:rsidRDefault="00772C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957E97" w14:textId="77777777" w:rsidR="00A0447C" w:rsidRPr="00A5474E" w:rsidRDefault="00A0447C" w:rsidP="00A5474E">
    <w:pPr>
      <w:pStyle w:val="Header"/>
    </w:pPr>
    <w:r>
      <w:rPr>
        <w:noProof/>
      </w:rPr>
      <w:drawing>
        <wp:inline distT="0" distB="0" distL="0" distR="0" wp14:anchorId="177F1C9C" wp14:editId="02794FA9">
          <wp:extent cx="6388100" cy="520700"/>
          <wp:effectExtent l="0" t="0" r="0" b="12700"/>
          <wp:docPr id="13" name="Picture 13"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14A434" w14:textId="77777777" w:rsidR="00A0447C" w:rsidRPr="00A5474E" w:rsidRDefault="00A0447C" w:rsidP="00594E9C">
    <w:pPr>
      <w:pStyle w:val="TOCHeading"/>
    </w:pPr>
    <w:r w:rsidRPr="0029593B">
      <w:t>Contents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F8DEBC" w14:textId="77777777" w:rsidR="00A0447C" w:rsidRDefault="00A0447C">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5CC788" w14:textId="77777777" w:rsidR="00A0447C" w:rsidRDefault="00A0447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78" w:type="dxa"/>
      <w:tblLayout w:type="fixed"/>
      <w:tblCellMar>
        <w:left w:w="0" w:type="dxa"/>
        <w:right w:w="0" w:type="dxa"/>
      </w:tblCellMar>
      <w:tblLook w:val="01E0" w:firstRow="1" w:lastRow="1" w:firstColumn="1" w:lastColumn="1" w:noHBand="0" w:noVBand="0"/>
    </w:tblPr>
    <w:tblGrid>
      <w:gridCol w:w="7678"/>
    </w:tblGrid>
    <w:tr w:rsidR="00A0447C" w14:paraId="6DA82F2D" w14:textId="77777777" w:rsidTr="009135A5">
      <w:trPr>
        <w:trHeight w:hRule="exact" w:val="988"/>
      </w:trPr>
      <w:tc>
        <w:tcPr>
          <w:tcW w:w="7678" w:type="dxa"/>
          <w:shd w:val="clear" w:color="auto" w:fill="auto"/>
        </w:tcPr>
        <w:p w14:paraId="7DF9A7D2" w14:textId="77777777" w:rsidR="00A0447C" w:rsidRDefault="00A0447C" w:rsidP="00971914">
          <w:pPr>
            <w:pStyle w:val="Header"/>
          </w:pPr>
        </w:p>
      </w:tc>
    </w:tr>
    <w:tr w:rsidR="00A0447C" w14:paraId="34F9D7B2" w14:textId="77777777" w:rsidTr="009135A5">
      <w:tc>
        <w:tcPr>
          <w:tcW w:w="7678" w:type="dxa"/>
          <w:shd w:val="clear" w:color="auto" w:fill="auto"/>
        </w:tcPr>
        <w:p w14:paraId="6826D658" w14:textId="77777777" w:rsidR="00A0447C" w:rsidRDefault="00A0447C" w:rsidP="00971914">
          <w:pPr>
            <w:pStyle w:val="GridTable31"/>
          </w:pPr>
          <w:r>
            <w:t xml:space="preserve">Contents </w:t>
          </w:r>
          <w:r w:rsidRPr="00915B1C">
            <w:rPr>
              <w:b w:val="0"/>
              <w:spacing w:val="0"/>
              <w:sz w:val="28"/>
              <w:szCs w:val="28"/>
            </w:rPr>
            <w:t>(Continued)</w:t>
          </w:r>
        </w:p>
      </w:tc>
    </w:tr>
    <w:tr w:rsidR="00A0447C" w14:paraId="4736F239" w14:textId="77777777" w:rsidTr="009135A5">
      <w:trPr>
        <w:trHeight w:val="1220"/>
      </w:trPr>
      <w:tc>
        <w:tcPr>
          <w:tcW w:w="7678" w:type="dxa"/>
          <w:shd w:val="clear" w:color="auto" w:fill="auto"/>
        </w:tcPr>
        <w:p w14:paraId="6FD48674" w14:textId="77777777" w:rsidR="00A0447C" w:rsidRDefault="00A0447C" w:rsidP="00971914"/>
      </w:tc>
    </w:tr>
  </w:tbl>
  <w:p w14:paraId="21F745B5" w14:textId="77777777" w:rsidR="00A0447C" w:rsidRDefault="00A0447C" w:rsidP="00971914">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78" w:type="dxa"/>
      <w:tblLayout w:type="fixed"/>
      <w:tblCellMar>
        <w:left w:w="0" w:type="dxa"/>
        <w:right w:w="0" w:type="dxa"/>
      </w:tblCellMar>
      <w:tblLook w:val="01E0" w:firstRow="1" w:lastRow="1" w:firstColumn="1" w:lastColumn="1" w:noHBand="0" w:noVBand="0"/>
    </w:tblPr>
    <w:tblGrid>
      <w:gridCol w:w="7678"/>
    </w:tblGrid>
    <w:tr w:rsidR="00A0447C" w14:paraId="7D962C68" w14:textId="77777777" w:rsidTr="009135A5">
      <w:trPr>
        <w:trHeight w:hRule="exact" w:val="988"/>
      </w:trPr>
      <w:tc>
        <w:tcPr>
          <w:tcW w:w="7678" w:type="dxa"/>
          <w:shd w:val="clear" w:color="auto" w:fill="auto"/>
        </w:tcPr>
        <w:p w14:paraId="17FDC5B3" w14:textId="77777777" w:rsidR="00A0447C" w:rsidRDefault="00A0447C" w:rsidP="00971914">
          <w:pPr>
            <w:pStyle w:val="Header"/>
          </w:pPr>
        </w:p>
      </w:tc>
    </w:tr>
    <w:tr w:rsidR="00A0447C" w14:paraId="7D03A5BA" w14:textId="77777777" w:rsidTr="009135A5">
      <w:tc>
        <w:tcPr>
          <w:tcW w:w="7678" w:type="dxa"/>
          <w:shd w:val="clear" w:color="auto" w:fill="auto"/>
        </w:tcPr>
        <w:p w14:paraId="05327D75" w14:textId="77777777" w:rsidR="00A0447C" w:rsidRDefault="00A0447C" w:rsidP="00971914">
          <w:pPr>
            <w:pStyle w:val="GridTable31"/>
          </w:pPr>
          <w:r>
            <w:t xml:space="preserve">Contents </w:t>
          </w:r>
          <w:r w:rsidRPr="00915B1C">
            <w:rPr>
              <w:b w:val="0"/>
              <w:spacing w:val="0"/>
              <w:sz w:val="28"/>
              <w:szCs w:val="28"/>
            </w:rPr>
            <w:t>(Continued)</w:t>
          </w:r>
        </w:p>
      </w:tc>
    </w:tr>
    <w:tr w:rsidR="00A0447C" w14:paraId="7B8387DA" w14:textId="77777777" w:rsidTr="009135A5">
      <w:trPr>
        <w:trHeight w:val="1220"/>
      </w:trPr>
      <w:tc>
        <w:tcPr>
          <w:tcW w:w="7678" w:type="dxa"/>
          <w:shd w:val="clear" w:color="auto" w:fill="auto"/>
        </w:tcPr>
        <w:p w14:paraId="0FF9C191" w14:textId="77777777" w:rsidR="00A0447C" w:rsidRDefault="00A0447C" w:rsidP="00971914"/>
      </w:tc>
    </w:tr>
  </w:tbl>
  <w:p w14:paraId="7FFFAE87" w14:textId="77777777" w:rsidR="00A0447C" w:rsidRPr="00A5474E" w:rsidRDefault="00A0447C" w:rsidP="00A5474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00A01D" w14:textId="77777777" w:rsidR="00A0447C" w:rsidRDefault="00A0447C">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D6F960" w14:textId="77777777" w:rsidR="00A0447C" w:rsidRDefault="00A0447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FE42E5A2"/>
    <w:lvl w:ilvl="0">
      <w:start w:val="1"/>
      <w:numFmt w:val="decimal"/>
      <w:lvlText w:val="%1."/>
      <w:lvlJc w:val="left"/>
      <w:pPr>
        <w:tabs>
          <w:tab w:val="num" w:pos="1492"/>
        </w:tabs>
        <w:ind w:left="1492" w:hanging="360"/>
      </w:pPr>
    </w:lvl>
  </w:abstractNum>
  <w:abstractNum w:abstractNumId="1">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nsid w:val="FFFFFF83"/>
    <w:multiLevelType w:val="singleLevel"/>
    <w:tmpl w:val="42529FE6"/>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nsid w:val="FFFFFF88"/>
    <w:multiLevelType w:val="singleLevel"/>
    <w:tmpl w:val="CD48D450"/>
    <w:lvl w:ilvl="0">
      <w:start w:val="1"/>
      <w:numFmt w:val="decimal"/>
      <w:pStyle w:val="ListNumber"/>
      <w:lvlText w:val="%1."/>
      <w:lvlJc w:val="left"/>
      <w:pPr>
        <w:ind w:left="360" w:hanging="360"/>
      </w:pPr>
      <w:rPr>
        <w:rFonts w:hint="default"/>
        <w:caps/>
        <w:sz w:val="20"/>
      </w:rPr>
    </w:lvl>
  </w:abstractNum>
  <w:abstractNum w:abstractNumId="4">
    <w:nsid w:val="FFFFFF89"/>
    <w:multiLevelType w:val="singleLevel"/>
    <w:tmpl w:val="8D465DE8"/>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nsid w:val="03766298"/>
    <w:multiLevelType w:val="hybridMultilevel"/>
    <w:tmpl w:val="0040F15C"/>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nsid w:val="06103155"/>
    <w:multiLevelType w:val="hybridMultilevel"/>
    <w:tmpl w:val="9766BD14"/>
    <w:lvl w:ilvl="0" w:tplc="30327AC4">
      <w:start w:val="16"/>
      <w:numFmt w:val="decimal"/>
      <w:lvlText w:val="%1."/>
      <w:lvlJc w:val="left"/>
      <w:pPr>
        <w:ind w:left="360" w:hanging="360"/>
      </w:pPr>
      <w:rPr>
        <w:rFonts w:hint="default"/>
        <w:b/>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86959D4"/>
    <w:multiLevelType w:val="hybridMultilevel"/>
    <w:tmpl w:val="AA620DD8"/>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nsid w:val="0E7605F0"/>
    <w:multiLevelType w:val="hybridMultilevel"/>
    <w:tmpl w:val="EAFEAC68"/>
    <w:lvl w:ilvl="0" w:tplc="55B0C494">
      <w:start w:val="4"/>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10181EB3"/>
    <w:multiLevelType w:val="hybridMultilevel"/>
    <w:tmpl w:val="EF60DEF8"/>
    <w:lvl w:ilvl="0" w:tplc="0C09000F">
      <w:start w:val="1"/>
      <w:numFmt w:val="decimal"/>
      <w:lvlText w:val="%1."/>
      <w:lvlJc w:val="left"/>
      <w:pPr>
        <w:ind w:left="360" w:hanging="360"/>
      </w:pPr>
    </w:lvl>
    <w:lvl w:ilvl="1" w:tplc="55F2986E">
      <w:start w:val="1"/>
      <w:numFmt w:val="bullet"/>
      <w:lvlText w:val=""/>
      <w:lvlJc w:val="left"/>
      <w:pPr>
        <w:ind w:left="1080" w:hanging="36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nsid w:val="109138F2"/>
    <w:multiLevelType w:val="hybridMultilevel"/>
    <w:tmpl w:val="F878BF02"/>
    <w:lvl w:ilvl="0" w:tplc="7F9CF1C8">
      <w:start w:val="1"/>
      <w:numFmt w:val="decimal"/>
      <w:lvlText w:val="%1."/>
      <w:lvlJc w:val="left"/>
      <w:pPr>
        <w:tabs>
          <w:tab w:val="num" w:pos="360"/>
        </w:tabs>
        <w:ind w:left="360" w:hanging="360"/>
      </w:pPr>
      <w:rPr>
        <w:rFonts w:ascii="Arial" w:hAnsi="Arial" w:cs="Arial" w:hint="default"/>
      </w:rPr>
    </w:lvl>
    <w:lvl w:ilvl="1" w:tplc="0C090001">
      <w:start w:val="1"/>
      <w:numFmt w:val="bullet"/>
      <w:lvlText w:val=""/>
      <w:lvlJc w:val="left"/>
      <w:pPr>
        <w:tabs>
          <w:tab w:val="num" w:pos="900"/>
        </w:tabs>
        <w:ind w:left="900" w:hanging="360"/>
      </w:pPr>
      <w:rPr>
        <w:rFonts w:ascii="Symbol" w:hAnsi="Symbol" w:hint="default"/>
      </w:rPr>
    </w:lvl>
    <w:lvl w:ilvl="2" w:tplc="0C09001B">
      <w:start w:val="1"/>
      <w:numFmt w:val="lowerRoman"/>
      <w:lvlText w:val="%3."/>
      <w:lvlJc w:val="right"/>
      <w:pPr>
        <w:tabs>
          <w:tab w:val="num" w:pos="1620"/>
        </w:tabs>
        <w:ind w:left="1620" w:hanging="180"/>
      </w:pPr>
    </w:lvl>
    <w:lvl w:ilvl="3" w:tplc="0C09000F" w:tentative="1">
      <w:start w:val="1"/>
      <w:numFmt w:val="decimal"/>
      <w:lvlText w:val="%4."/>
      <w:lvlJc w:val="left"/>
      <w:pPr>
        <w:tabs>
          <w:tab w:val="num" w:pos="2340"/>
        </w:tabs>
        <w:ind w:left="2340" w:hanging="360"/>
      </w:pPr>
    </w:lvl>
    <w:lvl w:ilvl="4" w:tplc="0C090019" w:tentative="1">
      <w:start w:val="1"/>
      <w:numFmt w:val="lowerLetter"/>
      <w:lvlText w:val="%5."/>
      <w:lvlJc w:val="left"/>
      <w:pPr>
        <w:tabs>
          <w:tab w:val="num" w:pos="3060"/>
        </w:tabs>
        <w:ind w:left="3060" w:hanging="360"/>
      </w:pPr>
    </w:lvl>
    <w:lvl w:ilvl="5" w:tplc="0C09001B" w:tentative="1">
      <w:start w:val="1"/>
      <w:numFmt w:val="lowerRoman"/>
      <w:lvlText w:val="%6."/>
      <w:lvlJc w:val="right"/>
      <w:pPr>
        <w:tabs>
          <w:tab w:val="num" w:pos="3780"/>
        </w:tabs>
        <w:ind w:left="3780" w:hanging="180"/>
      </w:pPr>
    </w:lvl>
    <w:lvl w:ilvl="6" w:tplc="0C09000F" w:tentative="1">
      <w:start w:val="1"/>
      <w:numFmt w:val="decimal"/>
      <w:lvlText w:val="%7."/>
      <w:lvlJc w:val="left"/>
      <w:pPr>
        <w:tabs>
          <w:tab w:val="num" w:pos="4500"/>
        </w:tabs>
        <w:ind w:left="4500" w:hanging="360"/>
      </w:pPr>
    </w:lvl>
    <w:lvl w:ilvl="7" w:tplc="0C090019" w:tentative="1">
      <w:start w:val="1"/>
      <w:numFmt w:val="lowerLetter"/>
      <w:lvlText w:val="%8."/>
      <w:lvlJc w:val="left"/>
      <w:pPr>
        <w:tabs>
          <w:tab w:val="num" w:pos="5220"/>
        </w:tabs>
        <w:ind w:left="5220" w:hanging="360"/>
      </w:pPr>
    </w:lvl>
    <w:lvl w:ilvl="8" w:tplc="0C09001B" w:tentative="1">
      <w:start w:val="1"/>
      <w:numFmt w:val="lowerRoman"/>
      <w:lvlText w:val="%9."/>
      <w:lvlJc w:val="right"/>
      <w:pPr>
        <w:tabs>
          <w:tab w:val="num" w:pos="5940"/>
        </w:tabs>
        <w:ind w:left="5940" w:hanging="180"/>
      </w:pPr>
    </w:lvl>
  </w:abstractNum>
  <w:abstractNum w:abstractNumId="11">
    <w:nsid w:val="12FB5BAA"/>
    <w:multiLevelType w:val="hybridMultilevel"/>
    <w:tmpl w:val="B36A55F4"/>
    <w:lvl w:ilvl="0" w:tplc="64DCD8E4">
      <w:start w:val="2"/>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1A183C93"/>
    <w:multiLevelType w:val="hybridMultilevel"/>
    <w:tmpl w:val="1BF4E8E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2562681C"/>
    <w:multiLevelType w:val="hybridMultilevel"/>
    <w:tmpl w:val="A986025C"/>
    <w:lvl w:ilvl="0" w:tplc="F2984368">
      <w:start w:val="2"/>
      <w:numFmt w:val="decimal"/>
      <w:lvlText w:val="%1."/>
      <w:lvlJc w:val="left"/>
      <w:pPr>
        <w:ind w:left="360" w:hanging="360"/>
      </w:pPr>
      <w:rPr>
        <w:rFonts w:hint="default"/>
        <w:b/>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2812711A"/>
    <w:multiLevelType w:val="hybridMultilevel"/>
    <w:tmpl w:val="9482C75A"/>
    <w:lvl w:ilvl="0" w:tplc="6100B384">
      <w:start w:val="2"/>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281D1869"/>
    <w:multiLevelType w:val="hybridMultilevel"/>
    <w:tmpl w:val="44CCDBB4"/>
    <w:lvl w:ilvl="0" w:tplc="B4DE576E">
      <w:start w:val="1"/>
      <w:numFmt w:val="decimal"/>
      <w:pStyle w:val="ACMANumberedLis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AC2039F"/>
    <w:multiLevelType w:val="hybridMultilevel"/>
    <w:tmpl w:val="1292CC3A"/>
    <w:lvl w:ilvl="0" w:tplc="73284826">
      <w:start w:val="3"/>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8">
    <w:nsid w:val="2F737D23"/>
    <w:multiLevelType w:val="hybridMultilevel"/>
    <w:tmpl w:val="E2EC1A8C"/>
    <w:lvl w:ilvl="0" w:tplc="083E91D8">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nsid w:val="37F74D7D"/>
    <w:multiLevelType w:val="hybridMultilevel"/>
    <w:tmpl w:val="E8BAB054"/>
    <w:lvl w:ilvl="0" w:tplc="AE047344">
      <w:start w:val="14"/>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38502133"/>
    <w:multiLevelType w:val="hybridMultilevel"/>
    <w:tmpl w:val="F878BF02"/>
    <w:lvl w:ilvl="0" w:tplc="7F9CF1C8">
      <w:start w:val="1"/>
      <w:numFmt w:val="decimal"/>
      <w:lvlText w:val="%1."/>
      <w:lvlJc w:val="left"/>
      <w:pPr>
        <w:tabs>
          <w:tab w:val="num" w:pos="360"/>
        </w:tabs>
        <w:ind w:left="360" w:hanging="360"/>
      </w:pPr>
      <w:rPr>
        <w:rFonts w:ascii="Arial" w:hAnsi="Arial" w:cs="Arial" w:hint="default"/>
      </w:rPr>
    </w:lvl>
    <w:lvl w:ilvl="1" w:tplc="0C090001">
      <w:start w:val="1"/>
      <w:numFmt w:val="bullet"/>
      <w:lvlText w:val=""/>
      <w:lvlJc w:val="left"/>
      <w:pPr>
        <w:tabs>
          <w:tab w:val="num" w:pos="900"/>
        </w:tabs>
        <w:ind w:left="900" w:hanging="360"/>
      </w:pPr>
      <w:rPr>
        <w:rFonts w:ascii="Symbol" w:hAnsi="Symbol" w:hint="default"/>
      </w:rPr>
    </w:lvl>
    <w:lvl w:ilvl="2" w:tplc="0C09001B">
      <w:start w:val="1"/>
      <w:numFmt w:val="lowerRoman"/>
      <w:lvlText w:val="%3."/>
      <w:lvlJc w:val="right"/>
      <w:pPr>
        <w:tabs>
          <w:tab w:val="num" w:pos="1620"/>
        </w:tabs>
        <w:ind w:left="1620" w:hanging="180"/>
      </w:pPr>
    </w:lvl>
    <w:lvl w:ilvl="3" w:tplc="0C09000F" w:tentative="1">
      <w:start w:val="1"/>
      <w:numFmt w:val="decimal"/>
      <w:lvlText w:val="%4."/>
      <w:lvlJc w:val="left"/>
      <w:pPr>
        <w:tabs>
          <w:tab w:val="num" w:pos="2340"/>
        </w:tabs>
        <w:ind w:left="2340" w:hanging="360"/>
      </w:pPr>
    </w:lvl>
    <w:lvl w:ilvl="4" w:tplc="0C090019" w:tentative="1">
      <w:start w:val="1"/>
      <w:numFmt w:val="lowerLetter"/>
      <w:lvlText w:val="%5."/>
      <w:lvlJc w:val="left"/>
      <w:pPr>
        <w:tabs>
          <w:tab w:val="num" w:pos="3060"/>
        </w:tabs>
        <w:ind w:left="3060" w:hanging="360"/>
      </w:pPr>
    </w:lvl>
    <w:lvl w:ilvl="5" w:tplc="0C09001B" w:tentative="1">
      <w:start w:val="1"/>
      <w:numFmt w:val="lowerRoman"/>
      <w:lvlText w:val="%6."/>
      <w:lvlJc w:val="right"/>
      <w:pPr>
        <w:tabs>
          <w:tab w:val="num" w:pos="3780"/>
        </w:tabs>
        <w:ind w:left="3780" w:hanging="180"/>
      </w:pPr>
    </w:lvl>
    <w:lvl w:ilvl="6" w:tplc="0C09000F" w:tentative="1">
      <w:start w:val="1"/>
      <w:numFmt w:val="decimal"/>
      <w:lvlText w:val="%7."/>
      <w:lvlJc w:val="left"/>
      <w:pPr>
        <w:tabs>
          <w:tab w:val="num" w:pos="4500"/>
        </w:tabs>
        <w:ind w:left="4500" w:hanging="360"/>
      </w:pPr>
    </w:lvl>
    <w:lvl w:ilvl="7" w:tplc="0C090019" w:tentative="1">
      <w:start w:val="1"/>
      <w:numFmt w:val="lowerLetter"/>
      <w:lvlText w:val="%8."/>
      <w:lvlJc w:val="left"/>
      <w:pPr>
        <w:tabs>
          <w:tab w:val="num" w:pos="5220"/>
        </w:tabs>
        <w:ind w:left="5220" w:hanging="360"/>
      </w:pPr>
    </w:lvl>
    <w:lvl w:ilvl="8" w:tplc="0C09001B" w:tentative="1">
      <w:start w:val="1"/>
      <w:numFmt w:val="lowerRoman"/>
      <w:lvlText w:val="%9."/>
      <w:lvlJc w:val="right"/>
      <w:pPr>
        <w:tabs>
          <w:tab w:val="num" w:pos="5940"/>
        </w:tabs>
        <w:ind w:left="5940" w:hanging="180"/>
      </w:pPr>
    </w:lvl>
  </w:abstractNum>
  <w:abstractNum w:abstractNumId="21">
    <w:nsid w:val="39AB15D8"/>
    <w:multiLevelType w:val="multilevel"/>
    <w:tmpl w:val="4D04FE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nsid w:val="3D726F62"/>
    <w:multiLevelType w:val="hybridMultilevel"/>
    <w:tmpl w:val="11A89E6E"/>
    <w:lvl w:ilvl="0" w:tplc="B400065E">
      <w:start w:val="1"/>
      <w:numFmt w:val="lowerLetter"/>
      <w:lvlText w:val="(%1)"/>
      <w:lvlJc w:val="left"/>
      <w:pPr>
        <w:ind w:left="360" w:hanging="360"/>
      </w:pPr>
      <w:rPr>
        <w:rFonts w:hint="default"/>
        <w:b w:val="0"/>
      </w:rPr>
    </w:lvl>
    <w:lvl w:ilvl="1" w:tplc="0C090019">
      <w:start w:val="1"/>
      <w:numFmt w:val="lowerLetter"/>
      <w:lvlText w:val="%2."/>
      <w:lvlJc w:val="left"/>
      <w:pPr>
        <w:ind w:left="731" w:hanging="360"/>
      </w:pPr>
    </w:lvl>
    <w:lvl w:ilvl="2" w:tplc="0C09001B" w:tentative="1">
      <w:start w:val="1"/>
      <w:numFmt w:val="lowerRoman"/>
      <w:lvlText w:val="%3."/>
      <w:lvlJc w:val="right"/>
      <w:pPr>
        <w:ind w:left="1451" w:hanging="180"/>
      </w:pPr>
    </w:lvl>
    <w:lvl w:ilvl="3" w:tplc="0C09000F" w:tentative="1">
      <w:start w:val="1"/>
      <w:numFmt w:val="decimal"/>
      <w:lvlText w:val="%4."/>
      <w:lvlJc w:val="left"/>
      <w:pPr>
        <w:ind w:left="2171" w:hanging="360"/>
      </w:pPr>
    </w:lvl>
    <w:lvl w:ilvl="4" w:tplc="0C090019" w:tentative="1">
      <w:start w:val="1"/>
      <w:numFmt w:val="lowerLetter"/>
      <w:lvlText w:val="%5."/>
      <w:lvlJc w:val="left"/>
      <w:pPr>
        <w:ind w:left="2891" w:hanging="360"/>
      </w:pPr>
    </w:lvl>
    <w:lvl w:ilvl="5" w:tplc="0C09001B" w:tentative="1">
      <w:start w:val="1"/>
      <w:numFmt w:val="lowerRoman"/>
      <w:lvlText w:val="%6."/>
      <w:lvlJc w:val="right"/>
      <w:pPr>
        <w:ind w:left="3611" w:hanging="180"/>
      </w:pPr>
    </w:lvl>
    <w:lvl w:ilvl="6" w:tplc="0C09000F" w:tentative="1">
      <w:start w:val="1"/>
      <w:numFmt w:val="decimal"/>
      <w:lvlText w:val="%7."/>
      <w:lvlJc w:val="left"/>
      <w:pPr>
        <w:ind w:left="4331" w:hanging="360"/>
      </w:pPr>
    </w:lvl>
    <w:lvl w:ilvl="7" w:tplc="0C090019" w:tentative="1">
      <w:start w:val="1"/>
      <w:numFmt w:val="lowerLetter"/>
      <w:lvlText w:val="%8."/>
      <w:lvlJc w:val="left"/>
      <w:pPr>
        <w:ind w:left="5051" w:hanging="360"/>
      </w:pPr>
    </w:lvl>
    <w:lvl w:ilvl="8" w:tplc="0C09001B" w:tentative="1">
      <w:start w:val="1"/>
      <w:numFmt w:val="lowerRoman"/>
      <w:lvlText w:val="%9."/>
      <w:lvlJc w:val="right"/>
      <w:pPr>
        <w:ind w:left="5771" w:hanging="180"/>
      </w:pPr>
    </w:lvl>
  </w:abstractNum>
  <w:abstractNum w:abstractNumId="23">
    <w:nsid w:val="42C07615"/>
    <w:multiLevelType w:val="hybridMultilevel"/>
    <w:tmpl w:val="AB404F46"/>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nsid w:val="4DE17ACC"/>
    <w:multiLevelType w:val="hybridMultilevel"/>
    <w:tmpl w:val="5C8CCC2C"/>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nsid w:val="54435807"/>
    <w:multiLevelType w:val="hybridMultilevel"/>
    <w:tmpl w:val="7ECE164A"/>
    <w:lvl w:ilvl="0" w:tplc="C400C1AE">
      <w:start w:val="8"/>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nsid w:val="55AA21F0"/>
    <w:multiLevelType w:val="hybridMultilevel"/>
    <w:tmpl w:val="893C453A"/>
    <w:lvl w:ilvl="0" w:tplc="075A84B2">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7593670"/>
    <w:multiLevelType w:val="hybridMultilevel"/>
    <w:tmpl w:val="33F007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C975912"/>
    <w:multiLevelType w:val="hybridMultilevel"/>
    <w:tmpl w:val="7E9CAEC4"/>
    <w:lvl w:ilvl="0" w:tplc="37201368">
      <w:start w:val="7"/>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16E6564"/>
    <w:multiLevelType w:val="hybridMultilevel"/>
    <w:tmpl w:val="C83C23B4"/>
    <w:lvl w:ilvl="0" w:tplc="E5CA0068">
      <w:start w:val="21"/>
      <w:numFmt w:val="decimal"/>
      <w:lvlText w:val="%1."/>
      <w:lvlJc w:val="left"/>
      <w:pPr>
        <w:ind w:left="360" w:hanging="360"/>
      </w:pPr>
      <w:rPr>
        <w:rFonts w:hint="default"/>
        <w:b/>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nsid w:val="74BD52B7"/>
    <w:multiLevelType w:val="hybridMultilevel"/>
    <w:tmpl w:val="0D608668"/>
    <w:lvl w:ilvl="0" w:tplc="A04AAC20">
      <w:start w:val="5"/>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791032AB"/>
    <w:multiLevelType w:val="hybridMultilevel"/>
    <w:tmpl w:val="2E945492"/>
    <w:lvl w:ilvl="0" w:tplc="2FFC38AE">
      <w:start w:val="1"/>
      <w:numFmt w:val="decimal"/>
      <w:lvlText w:val="%1."/>
      <w:lvlJc w:val="left"/>
      <w:pPr>
        <w:ind w:left="360" w:hanging="360"/>
      </w:pPr>
      <w:rPr>
        <w:rFonts w:hint="default"/>
        <w:b/>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nsid w:val="79F62910"/>
    <w:multiLevelType w:val="hybridMultilevel"/>
    <w:tmpl w:val="F10AA68E"/>
    <w:lvl w:ilvl="0" w:tplc="4A76FCC0">
      <w:start w:val="20"/>
      <w:numFmt w:val="decimal"/>
      <w:lvlText w:val="%1."/>
      <w:lvlJc w:val="left"/>
      <w:pPr>
        <w:ind w:left="36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nsid w:val="7A3D5771"/>
    <w:multiLevelType w:val="hybridMultilevel"/>
    <w:tmpl w:val="C95EB77C"/>
    <w:lvl w:ilvl="0" w:tplc="D1A2BFDC">
      <w:start w:val="12"/>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4"/>
  </w:num>
  <w:num w:numId="2">
    <w:abstractNumId w:val="2"/>
  </w:num>
  <w:num w:numId="3">
    <w:abstractNumId w:val="3"/>
  </w:num>
  <w:num w:numId="4">
    <w:abstractNumId w:val="1"/>
  </w:num>
  <w:num w:numId="5">
    <w:abstractNumId w:val="17"/>
  </w:num>
  <w:num w:numId="6">
    <w:abstractNumId w:val="30"/>
  </w:num>
  <w:num w:numId="7">
    <w:abstractNumId w:val="26"/>
  </w:num>
  <w:num w:numId="8">
    <w:abstractNumId w:val="29"/>
  </w:num>
  <w:num w:numId="9">
    <w:abstractNumId w:val="31"/>
  </w:num>
  <w:num w:numId="10">
    <w:abstractNumId w:val="3"/>
    <w:lvlOverride w:ilvl="0">
      <w:startOverride w:val="1"/>
    </w:lvlOverride>
  </w:num>
  <w:num w:numId="11">
    <w:abstractNumId w:val="34"/>
  </w:num>
  <w:num w:numId="12">
    <w:abstractNumId w:val="6"/>
  </w:num>
  <w:num w:numId="13">
    <w:abstractNumId w:val="32"/>
  </w:num>
  <w:num w:numId="14">
    <w:abstractNumId w:val="13"/>
  </w:num>
  <w:num w:numId="15">
    <w:abstractNumId w:val="11"/>
  </w:num>
  <w:num w:numId="16">
    <w:abstractNumId w:val="33"/>
  </w:num>
  <w:num w:numId="17">
    <w:abstractNumId w:val="35"/>
  </w:num>
  <w:num w:numId="18">
    <w:abstractNumId w:val="16"/>
  </w:num>
  <w:num w:numId="19">
    <w:abstractNumId w:val="27"/>
  </w:num>
  <w:num w:numId="20">
    <w:abstractNumId w:val="25"/>
  </w:num>
  <w:num w:numId="21">
    <w:abstractNumId w:val="28"/>
  </w:num>
  <w:num w:numId="22">
    <w:abstractNumId w:val="19"/>
  </w:num>
  <w:num w:numId="23">
    <w:abstractNumId w:val="36"/>
  </w:num>
  <w:num w:numId="24">
    <w:abstractNumId w:val="8"/>
  </w:num>
  <w:num w:numId="25">
    <w:abstractNumId w:val="18"/>
  </w:num>
  <w:num w:numId="26">
    <w:abstractNumId w:val="14"/>
  </w:num>
  <w:num w:numId="27">
    <w:abstractNumId w:val="10"/>
  </w:num>
  <w:num w:numId="28">
    <w:abstractNumId w:val="15"/>
  </w:num>
  <w:num w:numId="29">
    <w:abstractNumId w:val="24"/>
  </w:num>
  <w:num w:numId="30">
    <w:abstractNumId w:val="7"/>
  </w:num>
  <w:num w:numId="31">
    <w:abstractNumId w:val="23"/>
  </w:num>
  <w:num w:numId="32">
    <w:abstractNumId w:val="9"/>
  </w:num>
  <w:num w:numId="33">
    <w:abstractNumId w:val="22"/>
  </w:num>
  <w:num w:numId="34">
    <w:abstractNumId w:val="20"/>
  </w:num>
  <w:num w:numId="35">
    <w:abstractNumId w:val="5"/>
  </w:num>
  <w:num w:numId="36">
    <w:abstractNumId w:val="12"/>
  </w:num>
  <w:num w:numId="37">
    <w:abstractNumId w:val="2"/>
  </w:num>
  <w:num w:numId="38">
    <w:abstractNumId w:val="4"/>
  </w:num>
  <w:num w:numId="39">
    <w:abstractNumId w:val="3"/>
    <w:lvlOverride w:ilvl="0">
      <w:startOverride w:val="1"/>
    </w:lvlOverride>
  </w:num>
  <w:num w:numId="40">
    <w:abstractNumId w:val="0"/>
  </w:num>
  <w:num w:numId="41">
    <w:abstractNumId w:val="3"/>
    <w:lvlOverride w:ilvl="0">
      <w:startOverride w:val="1"/>
    </w:lvlOverride>
  </w:num>
  <w:num w:numId="42">
    <w:abstractNumId w:val="3"/>
    <w:lvlOverride w:ilvl="0">
      <w:startOverride w:val="1"/>
    </w:lvlOverride>
  </w:num>
  <w:num w:numId="43">
    <w:abstractNumId w:val="2"/>
  </w:num>
  <w:num w:numId="44">
    <w:abstractNumId w:val="21"/>
  </w:num>
  <w:num w:numId="45">
    <w:abstractNumId w:val="3"/>
    <w:lvlOverride w:ilvl="0">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removePersonalInformation/>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oNotTrackFormatting/>
  <w:defaultTabStop w:val="284"/>
  <w:evenAndOddHeaders/>
  <w:drawingGridHorizontalSpacing w:val="100"/>
  <w:displayHorizontalDrawingGridEvery w:val="2"/>
  <w:characterSpacingControl w:val="doNotCompress"/>
  <w:hdrShapeDefaults>
    <o:shapedefaults v:ext="edit" spidmax="6145">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29A5"/>
    <w:rsid w:val="000008F8"/>
    <w:rsid w:val="00002AE9"/>
    <w:rsid w:val="00002AF8"/>
    <w:rsid w:val="00003807"/>
    <w:rsid w:val="0000389A"/>
    <w:rsid w:val="00003DF1"/>
    <w:rsid w:val="000043CF"/>
    <w:rsid w:val="000043F4"/>
    <w:rsid w:val="000047E7"/>
    <w:rsid w:val="00006FB3"/>
    <w:rsid w:val="00007002"/>
    <w:rsid w:val="00010667"/>
    <w:rsid w:val="000117B5"/>
    <w:rsid w:val="00011CE3"/>
    <w:rsid w:val="00011DF9"/>
    <w:rsid w:val="00012175"/>
    <w:rsid w:val="000129D5"/>
    <w:rsid w:val="000146C2"/>
    <w:rsid w:val="00015AE7"/>
    <w:rsid w:val="000162DA"/>
    <w:rsid w:val="000164D3"/>
    <w:rsid w:val="00016E21"/>
    <w:rsid w:val="0001719C"/>
    <w:rsid w:val="0002080C"/>
    <w:rsid w:val="00023994"/>
    <w:rsid w:val="0002403D"/>
    <w:rsid w:val="00024A41"/>
    <w:rsid w:val="000256B7"/>
    <w:rsid w:val="00026BD7"/>
    <w:rsid w:val="00026F91"/>
    <w:rsid w:val="00027461"/>
    <w:rsid w:val="00027AE7"/>
    <w:rsid w:val="00030A15"/>
    <w:rsid w:val="0003218E"/>
    <w:rsid w:val="00034056"/>
    <w:rsid w:val="00034622"/>
    <w:rsid w:val="00036081"/>
    <w:rsid w:val="00036DEE"/>
    <w:rsid w:val="000414C7"/>
    <w:rsid w:val="000415C9"/>
    <w:rsid w:val="00042A02"/>
    <w:rsid w:val="00044F90"/>
    <w:rsid w:val="00045B16"/>
    <w:rsid w:val="0004618F"/>
    <w:rsid w:val="00046B64"/>
    <w:rsid w:val="00047A99"/>
    <w:rsid w:val="0005011A"/>
    <w:rsid w:val="00050251"/>
    <w:rsid w:val="0005045A"/>
    <w:rsid w:val="0005076F"/>
    <w:rsid w:val="00051C1E"/>
    <w:rsid w:val="000539F9"/>
    <w:rsid w:val="00054C27"/>
    <w:rsid w:val="00055047"/>
    <w:rsid w:val="00055EC3"/>
    <w:rsid w:val="000563CE"/>
    <w:rsid w:val="000564DD"/>
    <w:rsid w:val="00056568"/>
    <w:rsid w:val="000573A8"/>
    <w:rsid w:val="00057B77"/>
    <w:rsid w:val="00057EE4"/>
    <w:rsid w:val="0006079F"/>
    <w:rsid w:val="0006199F"/>
    <w:rsid w:val="00062A83"/>
    <w:rsid w:val="00064CE9"/>
    <w:rsid w:val="00065334"/>
    <w:rsid w:val="000659B6"/>
    <w:rsid w:val="0006722A"/>
    <w:rsid w:val="00070703"/>
    <w:rsid w:val="00070CE3"/>
    <w:rsid w:val="0007167C"/>
    <w:rsid w:val="000716B5"/>
    <w:rsid w:val="00072032"/>
    <w:rsid w:val="000729CA"/>
    <w:rsid w:val="00072B26"/>
    <w:rsid w:val="00072C5B"/>
    <w:rsid w:val="000732CF"/>
    <w:rsid w:val="0007375A"/>
    <w:rsid w:val="000746A1"/>
    <w:rsid w:val="000751CD"/>
    <w:rsid w:val="00075B96"/>
    <w:rsid w:val="0007623D"/>
    <w:rsid w:val="00077337"/>
    <w:rsid w:val="00077464"/>
    <w:rsid w:val="00077EB6"/>
    <w:rsid w:val="0008078F"/>
    <w:rsid w:val="000811BF"/>
    <w:rsid w:val="0008196A"/>
    <w:rsid w:val="000838D4"/>
    <w:rsid w:val="00083D58"/>
    <w:rsid w:val="000844D9"/>
    <w:rsid w:val="00084E8F"/>
    <w:rsid w:val="000868D9"/>
    <w:rsid w:val="00090D9B"/>
    <w:rsid w:val="00090F39"/>
    <w:rsid w:val="000915ED"/>
    <w:rsid w:val="0009209D"/>
    <w:rsid w:val="00092376"/>
    <w:rsid w:val="000929F9"/>
    <w:rsid w:val="000934ED"/>
    <w:rsid w:val="00095343"/>
    <w:rsid w:val="00095E3C"/>
    <w:rsid w:val="000960DE"/>
    <w:rsid w:val="000969BD"/>
    <w:rsid w:val="000969BF"/>
    <w:rsid w:val="00096B65"/>
    <w:rsid w:val="00096DEB"/>
    <w:rsid w:val="000A0C22"/>
    <w:rsid w:val="000A1B18"/>
    <w:rsid w:val="000A1B36"/>
    <w:rsid w:val="000A237F"/>
    <w:rsid w:val="000A2772"/>
    <w:rsid w:val="000A2F47"/>
    <w:rsid w:val="000A3A41"/>
    <w:rsid w:val="000A3B32"/>
    <w:rsid w:val="000A3C43"/>
    <w:rsid w:val="000A3C80"/>
    <w:rsid w:val="000A47DC"/>
    <w:rsid w:val="000A4A51"/>
    <w:rsid w:val="000A58B6"/>
    <w:rsid w:val="000A5D2B"/>
    <w:rsid w:val="000A5E18"/>
    <w:rsid w:val="000A665A"/>
    <w:rsid w:val="000A696A"/>
    <w:rsid w:val="000A6F7E"/>
    <w:rsid w:val="000A72E6"/>
    <w:rsid w:val="000A7559"/>
    <w:rsid w:val="000B017B"/>
    <w:rsid w:val="000B10F7"/>
    <w:rsid w:val="000B3F1D"/>
    <w:rsid w:val="000B54BC"/>
    <w:rsid w:val="000B5DE3"/>
    <w:rsid w:val="000B62E7"/>
    <w:rsid w:val="000C059F"/>
    <w:rsid w:val="000C0A57"/>
    <w:rsid w:val="000C1130"/>
    <w:rsid w:val="000C117F"/>
    <w:rsid w:val="000C230C"/>
    <w:rsid w:val="000C2A63"/>
    <w:rsid w:val="000C336C"/>
    <w:rsid w:val="000C37B0"/>
    <w:rsid w:val="000C3C11"/>
    <w:rsid w:val="000C3F3A"/>
    <w:rsid w:val="000C3F48"/>
    <w:rsid w:val="000C4A02"/>
    <w:rsid w:val="000C50BB"/>
    <w:rsid w:val="000C6AB4"/>
    <w:rsid w:val="000C6F84"/>
    <w:rsid w:val="000C70DE"/>
    <w:rsid w:val="000C743F"/>
    <w:rsid w:val="000C7B39"/>
    <w:rsid w:val="000D07A7"/>
    <w:rsid w:val="000D09C5"/>
    <w:rsid w:val="000D0C42"/>
    <w:rsid w:val="000D2529"/>
    <w:rsid w:val="000D39BB"/>
    <w:rsid w:val="000D4702"/>
    <w:rsid w:val="000D5B53"/>
    <w:rsid w:val="000D64DC"/>
    <w:rsid w:val="000D668D"/>
    <w:rsid w:val="000D71D9"/>
    <w:rsid w:val="000D76E0"/>
    <w:rsid w:val="000D7E8B"/>
    <w:rsid w:val="000E0261"/>
    <w:rsid w:val="000E0951"/>
    <w:rsid w:val="000E2110"/>
    <w:rsid w:val="000E2122"/>
    <w:rsid w:val="000E2E66"/>
    <w:rsid w:val="000E40C3"/>
    <w:rsid w:val="000E4449"/>
    <w:rsid w:val="000E45FA"/>
    <w:rsid w:val="000E56CF"/>
    <w:rsid w:val="000E5A23"/>
    <w:rsid w:val="000E6097"/>
    <w:rsid w:val="000E695A"/>
    <w:rsid w:val="000E74F5"/>
    <w:rsid w:val="000E7D2C"/>
    <w:rsid w:val="000F5BAC"/>
    <w:rsid w:val="000F68DE"/>
    <w:rsid w:val="000F7234"/>
    <w:rsid w:val="00100578"/>
    <w:rsid w:val="00101F81"/>
    <w:rsid w:val="00102E23"/>
    <w:rsid w:val="00103829"/>
    <w:rsid w:val="00105C8A"/>
    <w:rsid w:val="001104B2"/>
    <w:rsid w:val="00110C88"/>
    <w:rsid w:val="00111113"/>
    <w:rsid w:val="001117CF"/>
    <w:rsid w:val="00111E3D"/>
    <w:rsid w:val="00111FCE"/>
    <w:rsid w:val="00111FF9"/>
    <w:rsid w:val="0011233C"/>
    <w:rsid w:val="00112AF8"/>
    <w:rsid w:val="00113015"/>
    <w:rsid w:val="0011311C"/>
    <w:rsid w:val="00113975"/>
    <w:rsid w:val="00114B15"/>
    <w:rsid w:val="00116031"/>
    <w:rsid w:val="00116570"/>
    <w:rsid w:val="00117AA1"/>
    <w:rsid w:val="001202B6"/>
    <w:rsid w:val="00121D8C"/>
    <w:rsid w:val="00122355"/>
    <w:rsid w:val="00122852"/>
    <w:rsid w:val="001229A5"/>
    <w:rsid w:val="001233C5"/>
    <w:rsid w:val="00123AB1"/>
    <w:rsid w:val="0012489B"/>
    <w:rsid w:val="00124902"/>
    <w:rsid w:val="00126897"/>
    <w:rsid w:val="00127458"/>
    <w:rsid w:val="0012782C"/>
    <w:rsid w:val="00130017"/>
    <w:rsid w:val="001300B5"/>
    <w:rsid w:val="001303D1"/>
    <w:rsid w:val="00130CD4"/>
    <w:rsid w:val="00130F91"/>
    <w:rsid w:val="00131F11"/>
    <w:rsid w:val="001321BD"/>
    <w:rsid w:val="00134439"/>
    <w:rsid w:val="001344BA"/>
    <w:rsid w:val="001349ED"/>
    <w:rsid w:val="0013573E"/>
    <w:rsid w:val="0013633D"/>
    <w:rsid w:val="001363ED"/>
    <w:rsid w:val="00137424"/>
    <w:rsid w:val="0013799E"/>
    <w:rsid w:val="00137B96"/>
    <w:rsid w:val="00140175"/>
    <w:rsid w:val="00140318"/>
    <w:rsid w:val="00140DC4"/>
    <w:rsid w:val="00141AD9"/>
    <w:rsid w:val="00141E57"/>
    <w:rsid w:val="00142291"/>
    <w:rsid w:val="00142545"/>
    <w:rsid w:val="00142662"/>
    <w:rsid w:val="001427FF"/>
    <w:rsid w:val="00142C97"/>
    <w:rsid w:val="0014339D"/>
    <w:rsid w:val="001440F3"/>
    <w:rsid w:val="00145150"/>
    <w:rsid w:val="00146104"/>
    <w:rsid w:val="00146C74"/>
    <w:rsid w:val="00146CE6"/>
    <w:rsid w:val="001514C6"/>
    <w:rsid w:val="00152903"/>
    <w:rsid w:val="001537B3"/>
    <w:rsid w:val="00154AE5"/>
    <w:rsid w:val="00155000"/>
    <w:rsid w:val="0015614F"/>
    <w:rsid w:val="001564B6"/>
    <w:rsid w:val="001577C2"/>
    <w:rsid w:val="001601CA"/>
    <w:rsid w:val="0016187C"/>
    <w:rsid w:val="001633C4"/>
    <w:rsid w:val="0016458D"/>
    <w:rsid w:val="00164B66"/>
    <w:rsid w:val="001652D4"/>
    <w:rsid w:val="0016561A"/>
    <w:rsid w:val="00165EF6"/>
    <w:rsid w:val="00167337"/>
    <w:rsid w:val="001704ED"/>
    <w:rsid w:val="0017115D"/>
    <w:rsid w:val="00171591"/>
    <w:rsid w:val="00171673"/>
    <w:rsid w:val="00172BF7"/>
    <w:rsid w:val="00172FFC"/>
    <w:rsid w:val="0017377F"/>
    <w:rsid w:val="00173981"/>
    <w:rsid w:val="00174695"/>
    <w:rsid w:val="001748FD"/>
    <w:rsid w:val="00175530"/>
    <w:rsid w:val="00176CB0"/>
    <w:rsid w:val="0017719D"/>
    <w:rsid w:val="0018057A"/>
    <w:rsid w:val="001824A2"/>
    <w:rsid w:val="001825ED"/>
    <w:rsid w:val="00182882"/>
    <w:rsid w:val="00183EC1"/>
    <w:rsid w:val="00185500"/>
    <w:rsid w:val="00185750"/>
    <w:rsid w:val="00185CAB"/>
    <w:rsid w:val="00186B47"/>
    <w:rsid w:val="0018704E"/>
    <w:rsid w:val="001875B7"/>
    <w:rsid w:val="001876C7"/>
    <w:rsid w:val="00187CB3"/>
    <w:rsid w:val="00190183"/>
    <w:rsid w:val="0019050A"/>
    <w:rsid w:val="00190645"/>
    <w:rsid w:val="0019096C"/>
    <w:rsid w:val="00190C00"/>
    <w:rsid w:val="001910D4"/>
    <w:rsid w:val="001910D7"/>
    <w:rsid w:val="00191223"/>
    <w:rsid w:val="001938F8"/>
    <w:rsid w:val="00194B5E"/>
    <w:rsid w:val="001951BD"/>
    <w:rsid w:val="001954E1"/>
    <w:rsid w:val="001963BC"/>
    <w:rsid w:val="00196E1A"/>
    <w:rsid w:val="001976E3"/>
    <w:rsid w:val="001A076C"/>
    <w:rsid w:val="001A44EC"/>
    <w:rsid w:val="001A50C3"/>
    <w:rsid w:val="001A524C"/>
    <w:rsid w:val="001A57AE"/>
    <w:rsid w:val="001A6890"/>
    <w:rsid w:val="001A7ED2"/>
    <w:rsid w:val="001B03C0"/>
    <w:rsid w:val="001B20CD"/>
    <w:rsid w:val="001B54B9"/>
    <w:rsid w:val="001B58AA"/>
    <w:rsid w:val="001B5B98"/>
    <w:rsid w:val="001B60F8"/>
    <w:rsid w:val="001B7444"/>
    <w:rsid w:val="001B7E48"/>
    <w:rsid w:val="001C17CE"/>
    <w:rsid w:val="001C1BC7"/>
    <w:rsid w:val="001C238E"/>
    <w:rsid w:val="001C36CA"/>
    <w:rsid w:val="001C44D1"/>
    <w:rsid w:val="001C4507"/>
    <w:rsid w:val="001C4751"/>
    <w:rsid w:val="001C6575"/>
    <w:rsid w:val="001C663A"/>
    <w:rsid w:val="001C6AEE"/>
    <w:rsid w:val="001C7630"/>
    <w:rsid w:val="001C7F90"/>
    <w:rsid w:val="001D018B"/>
    <w:rsid w:val="001D10A8"/>
    <w:rsid w:val="001D196A"/>
    <w:rsid w:val="001D219E"/>
    <w:rsid w:val="001D27F0"/>
    <w:rsid w:val="001D5D62"/>
    <w:rsid w:val="001D665A"/>
    <w:rsid w:val="001D6ABD"/>
    <w:rsid w:val="001D6C05"/>
    <w:rsid w:val="001D6D15"/>
    <w:rsid w:val="001D6FB2"/>
    <w:rsid w:val="001E05DF"/>
    <w:rsid w:val="001E2925"/>
    <w:rsid w:val="001E3D39"/>
    <w:rsid w:val="001E46D7"/>
    <w:rsid w:val="001E794D"/>
    <w:rsid w:val="001E7E51"/>
    <w:rsid w:val="001F070A"/>
    <w:rsid w:val="001F0CC3"/>
    <w:rsid w:val="001F0D57"/>
    <w:rsid w:val="001F1F3F"/>
    <w:rsid w:val="001F230F"/>
    <w:rsid w:val="001F35A6"/>
    <w:rsid w:val="001F3E51"/>
    <w:rsid w:val="001F3FAD"/>
    <w:rsid w:val="001F54CA"/>
    <w:rsid w:val="001F5903"/>
    <w:rsid w:val="001F6340"/>
    <w:rsid w:val="001F73AF"/>
    <w:rsid w:val="001F7558"/>
    <w:rsid w:val="00200331"/>
    <w:rsid w:val="002003D9"/>
    <w:rsid w:val="00202720"/>
    <w:rsid w:val="00205B57"/>
    <w:rsid w:val="002068E8"/>
    <w:rsid w:val="00206AA4"/>
    <w:rsid w:val="00207874"/>
    <w:rsid w:val="00207AC1"/>
    <w:rsid w:val="00207E41"/>
    <w:rsid w:val="00210CDD"/>
    <w:rsid w:val="002124A5"/>
    <w:rsid w:val="00212CFC"/>
    <w:rsid w:val="002132DA"/>
    <w:rsid w:val="002136AF"/>
    <w:rsid w:val="002139D8"/>
    <w:rsid w:val="00213C1C"/>
    <w:rsid w:val="00214336"/>
    <w:rsid w:val="00214645"/>
    <w:rsid w:val="0021468C"/>
    <w:rsid w:val="00214801"/>
    <w:rsid w:val="002157E0"/>
    <w:rsid w:val="00215EDA"/>
    <w:rsid w:val="00216A57"/>
    <w:rsid w:val="00217154"/>
    <w:rsid w:val="002204EC"/>
    <w:rsid w:val="0022065F"/>
    <w:rsid w:val="002208DB"/>
    <w:rsid w:val="00221581"/>
    <w:rsid w:val="0022183C"/>
    <w:rsid w:val="00222388"/>
    <w:rsid w:val="002225FB"/>
    <w:rsid w:val="002227F0"/>
    <w:rsid w:val="00222E73"/>
    <w:rsid w:val="0022334F"/>
    <w:rsid w:val="0022412C"/>
    <w:rsid w:val="00224697"/>
    <w:rsid w:val="00224D3C"/>
    <w:rsid w:val="002254CD"/>
    <w:rsid w:val="002259E4"/>
    <w:rsid w:val="00226471"/>
    <w:rsid w:val="00226819"/>
    <w:rsid w:val="00226B02"/>
    <w:rsid w:val="00226C90"/>
    <w:rsid w:val="002273C3"/>
    <w:rsid w:val="00227574"/>
    <w:rsid w:val="002310DE"/>
    <w:rsid w:val="00231860"/>
    <w:rsid w:val="00232B72"/>
    <w:rsid w:val="00232D56"/>
    <w:rsid w:val="00232D57"/>
    <w:rsid w:val="00233101"/>
    <w:rsid w:val="00233817"/>
    <w:rsid w:val="00233CD6"/>
    <w:rsid w:val="00234097"/>
    <w:rsid w:val="00234DB8"/>
    <w:rsid w:val="00235290"/>
    <w:rsid w:val="00235F01"/>
    <w:rsid w:val="002367FF"/>
    <w:rsid w:val="00240261"/>
    <w:rsid w:val="00240CE9"/>
    <w:rsid w:val="00242370"/>
    <w:rsid w:val="00242792"/>
    <w:rsid w:val="00242F83"/>
    <w:rsid w:val="002434BA"/>
    <w:rsid w:val="0024594D"/>
    <w:rsid w:val="00246089"/>
    <w:rsid w:val="00246093"/>
    <w:rsid w:val="00246702"/>
    <w:rsid w:val="00246CFC"/>
    <w:rsid w:val="00247C59"/>
    <w:rsid w:val="00247F2E"/>
    <w:rsid w:val="0025045C"/>
    <w:rsid w:val="00250A2E"/>
    <w:rsid w:val="00250ADC"/>
    <w:rsid w:val="00250B07"/>
    <w:rsid w:val="00250CB7"/>
    <w:rsid w:val="00251968"/>
    <w:rsid w:val="00252C55"/>
    <w:rsid w:val="00253912"/>
    <w:rsid w:val="00253DD3"/>
    <w:rsid w:val="002541F0"/>
    <w:rsid w:val="00254B23"/>
    <w:rsid w:val="00257553"/>
    <w:rsid w:val="00260C68"/>
    <w:rsid w:val="00260FB2"/>
    <w:rsid w:val="0026115D"/>
    <w:rsid w:val="00262128"/>
    <w:rsid w:val="00264184"/>
    <w:rsid w:val="00265A42"/>
    <w:rsid w:val="00267463"/>
    <w:rsid w:val="00267CC6"/>
    <w:rsid w:val="00270CD3"/>
    <w:rsid w:val="00270E79"/>
    <w:rsid w:val="00271532"/>
    <w:rsid w:val="0027165D"/>
    <w:rsid w:val="00272776"/>
    <w:rsid w:val="00273ADB"/>
    <w:rsid w:val="00273CEB"/>
    <w:rsid w:val="00274A41"/>
    <w:rsid w:val="0027716E"/>
    <w:rsid w:val="00277A14"/>
    <w:rsid w:val="00277FE1"/>
    <w:rsid w:val="0028087C"/>
    <w:rsid w:val="002815EF"/>
    <w:rsid w:val="00281C89"/>
    <w:rsid w:val="00281F4D"/>
    <w:rsid w:val="00282604"/>
    <w:rsid w:val="0028282F"/>
    <w:rsid w:val="00282DDC"/>
    <w:rsid w:val="002844F0"/>
    <w:rsid w:val="00284CE1"/>
    <w:rsid w:val="002859FE"/>
    <w:rsid w:val="002870BD"/>
    <w:rsid w:val="002876C4"/>
    <w:rsid w:val="00290A62"/>
    <w:rsid w:val="00290B95"/>
    <w:rsid w:val="00290ED7"/>
    <w:rsid w:val="00291E60"/>
    <w:rsid w:val="0029293E"/>
    <w:rsid w:val="00292F73"/>
    <w:rsid w:val="0029362A"/>
    <w:rsid w:val="002939A4"/>
    <w:rsid w:val="00293A1D"/>
    <w:rsid w:val="00293EAB"/>
    <w:rsid w:val="00293FFB"/>
    <w:rsid w:val="00294BCE"/>
    <w:rsid w:val="00295288"/>
    <w:rsid w:val="00295898"/>
    <w:rsid w:val="0029593B"/>
    <w:rsid w:val="00297FC5"/>
    <w:rsid w:val="002A0417"/>
    <w:rsid w:val="002A0DE3"/>
    <w:rsid w:val="002A1689"/>
    <w:rsid w:val="002A16D8"/>
    <w:rsid w:val="002A1BC8"/>
    <w:rsid w:val="002A2BAC"/>
    <w:rsid w:val="002A37BB"/>
    <w:rsid w:val="002A3EF2"/>
    <w:rsid w:val="002A4D56"/>
    <w:rsid w:val="002A61DC"/>
    <w:rsid w:val="002A6485"/>
    <w:rsid w:val="002A6B63"/>
    <w:rsid w:val="002A777D"/>
    <w:rsid w:val="002A7824"/>
    <w:rsid w:val="002A795A"/>
    <w:rsid w:val="002B06D9"/>
    <w:rsid w:val="002B0DED"/>
    <w:rsid w:val="002B1164"/>
    <w:rsid w:val="002B17E4"/>
    <w:rsid w:val="002B19A2"/>
    <w:rsid w:val="002B2837"/>
    <w:rsid w:val="002B381A"/>
    <w:rsid w:val="002B4FCC"/>
    <w:rsid w:val="002B7174"/>
    <w:rsid w:val="002B7408"/>
    <w:rsid w:val="002B7CFD"/>
    <w:rsid w:val="002C03DE"/>
    <w:rsid w:val="002C0DF6"/>
    <w:rsid w:val="002C1363"/>
    <w:rsid w:val="002C18E5"/>
    <w:rsid w:val="002C210F"/>
    <w:rsid w:val="002C27A8"/>
    <w:rsid w:val="002C2EF9"/>
    <w:rsid w:val="002C3366"/>
    <w:rsid w:val="002C487F"/>
    <w:rsid w:val="002C5788"/>
    <w:rsid w:val="002C5FAA"/>
    <w:rsid w:val="002C7E42"/>
    <w:rsid w:val="002D0D0A"/>
    <w:rsid w:val="002D14C7"/>
    <w:rsid w:val="002D15B9"/>
    <w:rsid w:val="002D1C45"/>
    <w:rsid w:val="002D234E"/>
    <w:rsid w:val="002D35A8"/>
    <w:rsid w:val="002D3600"/>
    <w:rsid w:val="002D36CF"/>
    <w:rsid w:val="002D5009"/>
    <w:rsid w:val="002D5708"/>
    <w:rsid w:val="002D59E1"/>
    <w:rsid w:val="002D5CDA"/>
    <w:rsid w:val="002D7180"/>
    <w:rsid w:val="002D798D"/>
    <w:rsid w:val="002D7A1E"/>
    <w:rsid w:val="002E02F7"/>
    <w:rsid w:val="002E248A"/>
    <w:rsid w:val="002E29A8"/>
    <w:rsid w:val="002E3E1C"/>
    <w:rsid w:val="002E3F57"/>
    <w:rsid w:val="002E4DDC"/>
    <w:rsid w:val="002E5770"/>
    <w:rsid w:val="002E78B4"/>
    <w:rsid w:val="002E7D1F"/>
    <w:rsid w:val="002F0196"/>
    <w:rsid w:val="002F0E70"/>
    <w:rsid w:val="002F1807"/>
    <w:rsid w:val="002F2749"/>
    <w:rsid w:val="002F27FE"/>
    <w:rsid w:val="002F3550"/>
    <w:rsid w:val="002F5311"/>
    <w:rsid w:val="002F598E"/>
    <w:rsid w:val="002F5B33"/>
    <w:rsid w:val="002F6859"/>
    <w:rsid w:val="003002B2"/>
    <w:rsid w:val="00300745"/>
    <w:rsid w:val="0030125B"/>
    <w:rsid w:val="00302480"/>
    <w:rsid w:val="00303282"/>
    <w:rsid w:val="003032AA"/>
    <w:rsid w:val="0030343C"/>
    <w:rsid w:val="00305404"/>
    <w:rsid w:val="00305CA7"/>
    <w:rsid w:val="003100E7"/>
    <w:rsid w:val="0031193F"/>
    <w:rsid w:val="00313CB4"/>
    <w:rsid w:val="00315984"/>
    <w:rsid w:val="003162F0"/>
    <w:rsid w:val="003165E6"/>
    <w:rsid w:val="00317706"/>
    <w:rsid w:val="00320A51"/>
    <w:rsid w:val="003217F8"/>
    <w:rsid w:val="00321B39"/>
    <w:rsid w:val="003221CF"/>
    <w:rsid w:val="003233ED"/>
    <w:rsid w:val="0032356A"/>
    <w:rsid w:val="003243E5"/>
    <w:rsid w:val="00324D9F"/>
    <w:rsid w:val="00325C07"/>
    <w:rsid w:val="00325DB0"/>
    <w:rsid w:val="003272CD"/>
    <w:rsid w:val="00327948"/>
    <w:rsid w:val="0033000F"/>
    <w:rsid w:val="003300DC"/>
    <w:rsid w:val="00330C26"/>
    <w:rsid w:val="00330F38"/>
    <w:rsid w:val="0033158C"/>
    <w:rsid w:val="00332011"/>
    <w:rsid w:val="00332119"/>
    <w:rsid w:val="00332518"/>
    <w:rsid w:val="00332925"/>
    <w:rsid w:val="003332ED"/>
    <w:rsid w:val="00333C6D"/>
    <w:rsid w:val="00335210"/>
    <w:rsid w:val="003361FC"/>
    <w:rsid w:val="0033685F"/>
    <w:rsid w:val="003368DC"/>
    <w:rsid w:val="00336E17"/>
    <w:rsid w:val="00340228"/>
    <w:rsid w:val="0034166C"/>
    <w:rsid w:val="003418AD"/>
    <w:rsid w:val="00341A63"/>
    <w:rsid w:val="00342075"/>
    <w:rsid w:val="0034241D"/>
    <w:rsid w:val="0034262A"/>
    <w:rsid w:val="00342B73"/>
    <w:rsid w:val="00342C21"/>
    <w:rsid w:val="00343C2C"/>
    <w:rsid w:val="00345927"/>
    <w:rsid w:val="00345B8C"/>
    <w:rsid w:val="0034653F"/>
    <w:rsid w:val="0034732F"/>
    <w:rsid w:val="0034754A"/>
    <w:rsid w:val="00350584"/>
    <w:rsid w:val="00351053"/>
    <w:rsid w:val="003513A7"/>
    <w:rsid w:val="00351857"/>
    <w:rsid w:val="00351C8E"/>
    <w:rsid w:val="003538A2"/>
    <w:rsid w:val="003541B8"/>
    <w:rsid w:val="00354453"/>
    <w:rsid w:val="003552BD"/>
    <w:rsid w:val="0036027D"/>
    <w:rsid w:val="003606E8"/>
    <w:rsid w:val="003610E1"/>
    <w:rsid w:val="003615DD"/>
    <w:rsid w:val="00362741"/>
    <w:rsid w:val="003635D0"/>
    <w:rsid w:val="00363CCF"/>
    <w:rsid w:val="003671BE"/>
    <w:rsid w:val="00367243"/>
    <w:rsid w:val="00367C39"/>
    <w:rsid w:val="003715C2"/>
    <w:rsid w:val="00371756"/>
    <w:rsid w:val="00371938"/>
    <w:rsid w:val="00372485"/>
    <w:rsid w:val="00372D79"/>
    <w:rsid w:val="00373200"/>
    <w:rsid w:val="003732E4"/>
    <w:rsid w:val="00373D9F"/>
    <w:rsid w:val="003747CF"/>
    <w:rsid w:val="00375EF5"/>
    <w:rsid w:val="00376752"/>
    <w:rsid w:val="003767A5"/>
    <w:rsid w:val="003768FA"/>
    <w:rsid w:val="00376BB9"/>
    <w:rsid w:val="00377FB0"/>
    <w:rsid w:val="00381AB4"/>
    <w:rsid w:val="00383DD5"/>
    <w:rsid w:val="00384802"/>
    <w:rsid w:val="003851DB"/>
    <w:rsid w:val="00385254"/>
    <w:rsid w:val="00385477"/>
    <w:rsid w:val="0038619A"/>
    <w:rsid w:val="00390377"/>
    <w:rsid w:val="00390762"/>
    <w:rsid w:val="00392CFB"/>
    <w:rsid w:val="00392FA8"/>
    <w:rsid w:val="00393C83"/>
    <w:rsid w:val="00394DB1"/>
    <w:rsid w:val="0039504D"/>
    <w:rsid w:val="00395C18"/>
    <w:rsid w:val="003968A4"/>
    <w:rsid w:val="003968D3"/>
    <w:rsid w:val="00397F4A"/>
    <w:rsid w:val="003A1083"/>
    <w:rsid w:val="003A119B"/>
    <w:rsid w:val="003A14E0"/>
    <w:rsid w:val="003A1F32"/>
    <w:rsid w:val="003A3532"/>
    <w:rsid w:val="003A3763"/>
    <w:rsid w:val="003A3B1F"/>
    <w:rsid w:val="003A5EC2"/>
    <w:rsid w:val="003A5F5B"/>
    <w:rsid w:val="003A62C6"/>
    <w:rsid w:val="003A69F1"/>
    <w:rsid w:val="003A7427"/>
    <w:rsid w:val="003A766F"/>
    <w:rsid w:val="003A7804"/>
    <w:rsid w:val="003A789A"/>
    <w:rsid w:val="003B12EC"/>
    <w:rsid w:val="003B30DA"/>
    <w:rsid w:val="003B3BD7"/>
    <w:rsid w:val="003B3E5E"/>
    <w:rsid w:val="003B408C"/>
    <w:rsid w:val="003B551A"/>
    <w:rsid w:val="003B637D"/>
    <w:rsid w:val="003B6DF1"/>
    <w:rsid w:val="003B6F58"/>
    <w:rsid w:val="003B7572"/>
    <w:rsid w:val="003C02FF"/>
    <w:rsid w:val="003C0580"/>
    <w:rsid w:val="003C0CC6"/>
    <w:rsid w:val="003C111A"/>
    <w:rsid w:val="003C3140"/>
    <w:rsid w:val="003C451E"/>
    <w:rsid w:val="003C549E"/>
    <w:rsid w:val="003C5E6F"/>
    <w:rsid w:val="003C6035"/>
    <w:rsid w:val="003C6407"/>
    <w:rsid w:val="003C69FB"/>
    <w:rsid w:val="003C6A5D"/>
    <w:rsid w:val="003C7106"/>
    <w:rsid w:val="003C77E0"/>
    <w:rsid w:val="003C79FA"/>
    <w:rsid w:val="003C7CB9"/>
    <w:rsid w:val="003D0A18"/>
    <w:rsid w:val="003D17D7"/>
    <w:rsid w:val="003D2678"/>
    <w:rsid w:val="003D2A3E"/>
    <w:rsid w:val="003D3ACB"/>
    <w:rsid w:val="003D454D"/>
    <w:rsid w:val="003D47D9"/>
    <w:rsid w:val="003D542C"/>
    <w:rsid w:val="003D6D4D"/>
    <w:rsid w:val="003D71A3"/>
    <w:rsid w:val="003D7A63"/>
    <w:rsid w:val="003D7B99"/>
    <w:rsid w:val="003E10CD"/>
    <w:rsid w:val="003E282E"/>
    <w:rsid w:val="003E2B8A"/>
    <w:rsid w:val="003E3C70"/>
    <w:rsid w:val="003E4BF1"/>
    <w:rsid w:val="003E7778"/>
    <w:rsid w:val="003F0198"/>
    <w:rsid w:val="003F0497"/>
    <w:rsid w:val="003F05AF"/>
    <w:rsid w:val="003F10EE"/>
    <w:rsid w:val="003F16F6"/>
    <w:rsid w:val="003F25C3"/>
    <w:rsid w:val="003F3337"/>
    <w:rsid w:val="003F35FB"/>
    <w:rsid w:val="003F4DC7"/>
    <w:rsid w:val="003F51CA"/>
    <w:rsid w:val="003F5235"/>
    <w:rsid w:val="003F5D54"/>
    <w:rsid w:val="003F5F11"/>
    <w:rsid w:val="003F62B3"/>
    <w:rsid w:val="003F7690"/>
    <w:rsid w:val="00400121"/>
    <w:rsid w:val="00400763"/>
    <w:rsid w:val="004027E4"/>
    <w:rsid w:val="004028C9"/>
    <w:rsid w:val="00404670"/>
    <w:rsid w:val="00404883"/>
    <w:rsid w:val="00404DB1"/>
    <w:rsid w:val="004060BB"/>
    <w:rsid w:val="00406D84"/>
    <w:rsid w:val="00407385"/>
    <w:rsid w:val="00410146"/>
    <w:rsid w:val="0041071D"/>
    <w:rsid w:val="004117DA"/>
    <w:rsid w:val="00413029"/>
    <w:rsid w:val="00413408"/>
    <w:rsid w:val="004136E7"/>
    <w:rsid w:val="00413B5C"/>
    <w:rsid w:val="00414AFC"/>
    <w:rsid w:val="004151A7"/>
    <w:rsid w:val="00415310"/>
    <w:rsid w:val="004154BC"/>
    <w:rsid w:val="00415C24"/>
    <w:rsid w:val="00416D16"/>
    <w:rsid w:val="00417E3E"/>
    <w:rsid w:val="0042013F"/>
    <w:rsid w:val="00420561"/>
    <w:rsid w:val="00420CDF"/>
    <w:rsid w:val="00421709"/>
    <w:rsid w:val="00421D0B"/>
    <w:rsid w:val="00421E10"/>
    <w:rsid w:val="00421FA7"/>
    <w:rsid w:val="00422354"/>
    <w:rsid w:val="004233C0"/>
    <w:rsid w:val="00423763"/>
    <w:rsid w:val="00423C5C"/>
    <w:rsid w:val="00425694"/>
    <w:rsid w:val="00425CC8"/>
    <w:rsid w:val="00425CEB"/>
    <w:rsid w:val="00426A59"/>
    <w:rsid w:val="0042762F"/>
    <w:rsid w:val="00427DC7"/>
    <w:rsid w:val="00431556"/>
    <w:rsid w:val="00431613"/>
    <w:rsid w:val="00431792"/>
    <w:rsid w:val="00432821"/>
    <w:rsid w:val="0043297A"/>
    <w:rsid w:val="00432EB2"/>
    <w:rsid w:val="00433222"/>
    <w:rsid w:val="00433D68"/>
    <w:rsid w:val="00434F1F"/>
    <w:rsid w:val="00434FFC"/>
    <w:rsid w:val="00435DF1"/>
    <w:rsid w:val="0043714F"/>
    <w:rsid w:val="00437582"/>
    <w:rsid w:val="00437F49"/>
    <w:rsid w:val="004406C0"/>
    <w:rsid w:val="00440DEB"/>
    <w:rsid w:val="00441432"/>
    <w:rsid w:val="0044325D"/>
    <w:rsid w:val="0044387A"/>
    <w:rsid w:val="004438B5"/>
    <w:rsid w:val="004456B2"/>
    <w:rsid w:val="00445EF5"/>
    <w:rsid w:val="00446008"/>
    <w:rsid w:val="00446BE2"/>
    <w:rsid w:val="00447037"/>
    <w:rsid w:val="004503CA"/>
    <w:rsid w:val="0045124D"/>
    <w:rsid w:val="00451607"/>
    <w:rsid w:val="00451B37"/>
    <w:rsid w:val="00451F91"/>
    <w:rsid w:val="00453F13"/>
    <w:rsid w:val="00454596"/>
    <w:rsid w:val="0045605D"/>
    <w:rsid w:val="00456D37"/>
    <w:rsid w:val="00460698"/>
    <w:rsid w:val="00460DAB"/>
    <w:rsid w:val="00460E15"/>
    <w:rsid w:val="0046135B"/>
    <w:rsid w:val="004616F3"/>
    <w:rsid w:val="004621D6"/>
    <w:rsid w:val="004626F6"/>
    <w:rsid w:val="00463C0F"/>
    <w:rsid w:val="00464CA4"/>
    <w:rsid w:val="004654B4"/>
    <w:rsid w:val="00465F1A"/>
    <w:rsid w:val="00466AD4"/>
    <w:rsid w:val="00466C89"/>
    <w:rsid w:val="004678CB"/>
    <w:rsid w:val="00470CBC"/>
    <w:rsid w:val="00470EFE"/>
    <w:rsid w:val="0047145A"/>
    <w:rsid w:val="004718CC"/>
    <w:rsid w:val="0047270D"/>
    <w:rsid w:val="00473246"/>
    <w:rsid w:val="00473861"/>
    <w:rsid w:val="00473D31"/>
    <w:rsid w:val="004751DD"/>
    <w:rsid w:val="00475453"/>
    <w:rsid w:val="0047603C"/>
    <w:rsid w:val="0047766B"/>
    <w:rsid w:val="00477D8F"/>
    <w:rsid w:val="004813A3"/>
    <w:rsid w:val="00481676"/>
    <w:rsid w:val="00481695"/>
    <w:rsid w:val="004825B3"/>
    <w:rsid w:val="00482F09"/>
    <w:rsid w:val="00483172"/>
    <w:rsid w:val="00483841"/>
    <w:rsid w:val="00483970"/>
    <w:rsid w:val="00485735"/>
    <w:rsid w:val="0048578F"/>
    <w:rsid w:val="0048724F"/>
    <w:rsid w:val="004924F9"/>
    <w:rsid w:val="0049427E"/>
    <w:rsid w:val="00494700"/>
    <w:rsid w:val="00495241"/>
    <w:rsid w:val="0049526B"/>
    <w:rsid w:val="0049580A"/>
    <w:rsid w:val="00495992"/>
    <w:rsid w:val="00495A96"/>
    <w:rsid w:val="00495BB3"/>
    <w:rsid w:val="00496616"/>
    <w:rsid w:val="00496E6E"/>
    <w:rsid w:val="004A0203"/>
    <w:rsid w:val="004A0315"/>
    <w:rsid w:val="004A0D61"/>
    <w:rsid w:val="004A14CA"/>
    <w:rsid w:val="004A2671"/>
    <w:rsid w:val="004A28E6"/>
    <w:rsid w:val="004A2E63"/>
    <w:rsid w:val="004A488A"/>
    <w:rsid w:val="004A4F3D"/>
    <w:rsid w:val="004A52EA"/>
    <w:rsid w:val="004A56BB"/>
    <w:rsid w:val="004A57AC"/>
    <w:rsid w:val="004A66E3"/>
    <w:rsid w:val="004A798F"/>
    <w:rsid w:val="004A7B0B"/>
    <w:rsid w:val="004B021C"/>
    <w:rsid w:val="004B0A55"/>
    <w:rsid w:val="004B0BA2"/>
    <w:rsid w:val="004B10C5"/>
    <w:rsid w:val="004B1751"/>
    <w:rsid w:val="004B44DF"/>
    <w:rsid w:val="004B4F5A"/>
    <w:rsid w:val="004B5A9D"/>
    <w:rsid w:val="004B67F8"/>
    <w:rsid w:val="004C0253"/>
    <w:rsid w:val="004C0271"/>
    <w:rsid w:val="004C1490"/>
    <w:rsid w:val="004C17A5"/>
    <w:rsid w:val="004C1A59"/>
    <w:rsid w:val="004C5986"/>
    <w:rsid w:val="004C5C01"/>
    <w:rsid w:val="004C690A"/>
    <w:rsid w:val="004C7518"/>
    <w:rsid w:val="004C77E3"/>
    <w:rsid w:val="004D1193"/>
    <w:rsid w:val="004D198E"/>
    <w:rsid w:val="004D2057"/>
    <w:rsid w:val="004D2496"/>
    <w:rsid w:val="004D49B4"/>
    <w:rsid w:val="004D4E9C"/>
    <w:rsid w:val="004D56FF"/>
    <w:rsid w:val="004D6D4F"/>
    <w:rsid w:val="004D7195"/>
    <w:rsid w:val="004D7E1F"/>
    <w:rsid w:val="004E1CB8"/>
    <w:rsid w:val="004E39D3"/>
    <w:rsid w:val="004E508A"/>
    <w:rsid w:val="004E616D"/>
    <w:rsid w:val="004E626B"/>
    <w:rsid w:val="004E7D3E"/>
    <w:rsid w:val="004F061D"/>
    <w:rsid w:val="004F1BDE"/>
    <w:rsid w:val="004F2CEE"/>
    <w:rsid w:val="004F356F"/>
    <w:rsid w:val="004F361F"/>
    <w:rsid w:val="004F3F65"/>
    <w:rsid w:val="004F4E78"/>
    <w:rsid w:val="004F556E"/>
    <w:rsid w:val="004F60D6"/>
    <w:rsid w:val="004F682C"/>
    <w:rsid w:val="004F7A12"/>
    <w:rsid w:val="004F7F44"/>
    <w:rsid w:val="0050043A"/>
    <w:rsid w:val="00502670"/>
    <w:rsid w:val="00502AC8"/>
    <w:rsid w:val="005037B4"/>
    <w:rsid w:val="005042A6"/>
    <w:rsid w:val="00504466"/>
    <w:rsid w:val="0050474C"/>
    <w:rsid w:val="00504D8A"/>
    <w:rsid w:val="00505328"/>
    <w:rsid w:val="00505F98"/>
    <w:rsid w:val="00506814"/>
    <w:rsid w:val="0050682C"/>
    <w:rsid w:val="00506954"/>
    <w:rsid w:val="00507306"/>
    <w:rsid w:val="00507637"/>
    <w:rsid w:val="005079BF"/>
    <w:rsid w:val="00510E38"/>
    <w:rsid w:val="005112AD"/>
    <w:rsid w:val="00511B6E"/>
    <w:rsid w:val="00512447"/>
    <w:rsid w:val="00513060"/>
    <w:rsid w:val="00514027"/>
    <w:rsid w:val="005149A2"/>
    <w:rsid w:val="005154AD"/>
    <w:rsid w:val="00515A02"/>
    <w:rsid w:val="00517731"/>
    <w:rsid w:val="00517C6D"/>
    <w:rsid w:val="005201BA"/>
    <w:rsid w:val="005219E7"/>
    <w:rsid w:val="00521B87"/>
    <w:rsid w:val="0052221D"/>
    <w:rsid w:val="005231EC"/>
    <w:rsid w:val="0052342D"/>
    <w:rsid w:val="00524855"/>
    <w:rsid w:val="00525167"/>
    <w:rsid w:val="00525D14"/>
    <w:rsid w:val="00526020"/>
    <w:rsid w:val="005263F3"/>
    <w:rsid w:val="005264CB"/>
    <w:rsid w:val="0052696A"/>
    <w:rsid w:val="005277DB"/>
    <w:rsid w:val="00527F0D"/>
    <w:rsid w:val="00530C31"/>
    <w:rsid w:val="00531A3F"/>
    <w:rsid w:val="00531B9A"/>
    <w:rsid w:val="00531BB9"/>
    <w:rsid w:val="00531C60"/>
    <w:rsid w:val="00531C78"/>
    <w:rsid w:val="00531D15"/>
    <w:rsid w:val="0053216D"/>
    <w:rsid w:val="00532F74"/>
    <w:rsid w:val="00533455"/>
    <w:rsid w:val="00533974"/>
    <w:rsid w:val="00533B01"/>
    <w:rsid w:val="00534094"/>
    <w:rsid w:val="005347A6"/>
    <w:rsid w:val="00536FD9"/>
    <w:rsid w:val="00537269"/>
    <w:rsid w:val="00537604"/>
    <w:rsid w:val="005402D0"/>
    <w:rsid w:val="0054082C"/>
    <w:rsid w:val="00541A66"/>
    <w:rsid w:val="00541C1A"/>
    <w:rsid w:val="00541FFC"/>
    <w:rsid w:val="0054222D"/>
    <w:rsid w:val="00542377"/>
    <w:rsid w:val="005430FC"/>
    <w:rsid w:val="00543C87"/>
    <w:rsid w:val="0054501E"/>
    <w:rsid w:val="00545A86"/>
    <w:rsid w:val="00546101"/>
    <w:rsid w:val="00546201"/>
    <w:rsid w:val="00546554"/>
    <w:rsid w:val="005476EB"/>
    <w:rsid w:val="005477E0"/>
    <w:rsid w:val="00550E5E"/>
    <w:rsid w:val="00551782"/>
    <w:rsid w:val="00551796"/>
    <w:rsid w:val="00551874"/>
    <w:rsid w:val="00552147"/>
    <w:rsid w:val="00552583"/>
    <w:rsid w:val="0055309D"/>
    <w:rsid w:val="00553938"/>
    <w:rsid w:val="005540B9"/>
    <w:rsid w:val="00556B8D"/>
    <w:rsid w:val="0055720E"/>
    <w:rsid w:val="00557523"/>
    <w:rsid w:val="005613F3"/>
    <w:rsid w:val="0056244C"/>
    <w:rsid w:val="00562C48"/>
    <w:rsid w:val="00563652"/>
    <w:rsid w:val="00563EF1"/>
    <w:rsid w:val="0056453A"/>
    <w:rsid w:val="00565420"/>
    <w:rsid w:val="00566AB4"/>
    <w:rsid w:val="00567931"/>
    <w:rsid w:val="00570949"/>
    <w:rsid w:val="005709C8"/>
    <w:rsid w:val="00571659"/>
    <w:rsid w:val="00571D2B"/>
    <w:rsid w:val="005739A2"/>
    <w:rsid w:val="00574350"/>
    <w:rsid w:val="00575AC5"/>
    <w:rsid w:val="0057605D"/>
    <w:rsid w:val="00577D71"/>
    <w:rsid w:val="00581347"/>
    <w:rsid w:val="0058154D"/>
    <w:rsid w:val="00581AC9"/>
    <w:rsid w:val="00582AEE"/>
    <w:rsid w:val="00582B1C"/>
    <w:rsid w:val="00583697"/>
    <w:rsid w:val="00583998"/>
    <w:rsid w:val="00584558"/>
    <w:rsid w:val="005849F8"/>
    <w:rsid w:val="005853E0"/>
    <w:rsid w:val="005863B9"/>
    <w:rsid w:val="00590AE7"/>
    <w:rsid w:val="005910BA"/>
    <w:rsid w:val="00591211"/>
    <w:rsid w:val="00592E1F"/>
    <w:rsid w:val="005938DF"/>
    <w:rsid w:val="0059390C"/>
    <w:rsid w:val="00593964"/>
    <w:rsid w:val="00593DDE"/>
    <w:rsid w:val="00594236"/>
    <w:rsid w:val="00594E9C"/>
    <w:rsid w:val="005952D9"/>
    <w:rsid w:val="00596653"/>
    <w:rsid w:val="0059688E"/>
    <w:rsid w:val="005968F3"/>
    <w:rsid w:val="005A099B"/>
    <w:rsid w:val="005A0C91"/>
    <w:rsid w:val="005A25BB"/>
    <w:rsid w:val="005A2D9C"/>
    <w:rsid w:val="005A388B"/>
    <w:rsid w:val="005A396D"/>
    <w:rsid w:val="005A3A61"/>
    <w:rsid w:val="005A3E26"/>
    <w:rsid w:val="005A55FE"/>
    <w:rsid w:val="005A59CB"/>
    <w:rsid w:val="005A60D4"/>
    <w:rsid w:val="005A627E"/>
    <w:rsid w:val="005A6A11"/>
    <w:rsid w:val="005A7D7F"/>
    <w:rsid w:val="005B01CB"/>
    <w:rsid w:val="005B0224"/>
    <w:rsid w:val="005B0A09"/>
    <w:rsid w:val="005B11D4"/>
    <w:rsid w:val="005B1E00"/>
    <w:rsid w:val="005B3847"/>
    <w:rsid w:val="005B39E7"/>
    <w:rsid w:val="005B5090"/>
    <w:rsid w:val="005B5CBD"/>
    <w:rsid w:val="005B63F2"/>
    <w:rsid w:val="005B723F"/>
    <w:rsid w:val="005C07CB"/>
    <w:rsid w:val="005C0D90"/>
    <w:rsid w:val="005C2E34"/>
    <w:rsid w:val="005C2F91"/>
    <w:rsid w:val="005C346B"/>
    <w:rsid w:val="005C40AD"/>
    <w:rsid w:val="005C4E42"/>
    <w:rsid w:val="005C74DB"/>
    <w:rsid w:val="005D003A"/>
    <w:rsid w:val="005D245F"/>
    <w:rsid w:val="005D2502"/>
    <w:rsid w:val="005D3423"/>
    <w:rsid w:val="005D4433"/>
    <w:rsid w:val="005D47F3"/>
    <w:rsid w:val="005D49BF"/>
    <w:rsid w:val="005D4E69"/>
    <w:rsid w:val="005D5C62"/>
    <w:rsid w:val="005D673E"/>
    <w:rsid w:val="005D6F4E"/>
    <w:rsid w:val="005D7BB8"/>
    <w:rsid w:val="005E037A"/>
    <w:rsid w:val="005E0E24"/>
    <w:rsid w:val="005E0FE4"/>
    <w:rsid w:val="005E106B"/>
    <w:rsid w:val="005E137C"/>
    <w:rsid w:val="005E1600"/>
    <w:rsid w:val="005E27AC"/>
    <w:rsid w:val="005E3ACD"/>
    <w:rsid w:val="005E47ED"/>
    <w:rsid w:val="005E5CE4"/>
    <w:rsid w:val="005E5D7B"/>
    <w:rsid w:val="005E707A"/>
    <w:rsid w:val="005E7226"/>
    <w:rsid w:val="005E7A57"/>
    <w:rsid w:val="005F159C"/>
    <w:rsid w:val="005F1A1D"/>
    <w:rsid w:val="005F1AE8"/>
    <w:rsid w:val="005F24B0"/>
    <w:rsid w:val="005F2E14"/>
    <w:rsid w:val="005F5760"/>
    <w:rsid w:val="005F63A8"/>
    <w:rsid w:val="005F6479"/>
    <w:rsid w:val="005F7948"/>
    <w:rsid w:val="00601EE3"/>
    <w:rsid w:val="00602110"/>
    <w:rsid w:val="006026BB"/>
    <w:rsid w:val="006028F8"/>
    <w:rsid w:val="00604315"/>
    <w:rsid w:val="00604316"/>
    <w:rsid w:val="00604E26"/>
    <w:rsid w:val="0060512A"/>
    <w:rsid w:val="006052CF"/>
    <w:rsid w:val="00605403"/>
    <w:rsid w:val="006057B3"/>
    <w:rsid w:val="00606BDD"/>
    <w:rsid w:val="00607088"/>
    <w:rsid w:val="00607160"/>
    <w:rsid w:val="00607262"/>
    <w:rsid w:val="00607B8D"/>
    <w:rsid w:val="00610043"/>
    <w:rsid w:val="00610B88"/>
    <w:rsid w:val="00611B6E"/>
    <w:rsid w:val="00611F5C"/>
    <w:rsid w:val="0061226F"/>
    <w:rsid w:val="006123DB"/>
    <w:rsid w:val="00612591"/>
    <w:rsid w:val="0061364C"/>
    <w:rsid w:val="006136DC"/>
    <w:rsid w:val="00613EFD"/>
    <w:rsid w:val="00614463"/>
    <w:rsid w:val="00614814"/>
    <w:rsid w:val="00614CA9"/>
    <w:rsid w:val="00615B4A"/>
    <w:rsid w:val="00616E09"/>
    <w:rsid w:val="00617BA8"/>
    <w:rsid w:val="00620E14"/>
    <w:rsid w:val="00621B7A"/>
    <w:rsid w:val="00622108"/>
    <w:rsid w:val="00622A3B"/>
    <w:rsid w:val="00622EEA"/>
    <w:rsid w:val="00622FED"/>
    <w:rsid w:val="0062396C"/>
    <w:rsid w:val="00623FF9"/>
    <w:rsid w:val="00624602"/>
    <w:rsid w:val="006259EE"/>
    <w:rsid w:val="00626C4D"/>
    <w:rsid w:val="00627B5B"/>
    <w:rsid w:val="00627D4E"/>
    <w:rsid w:val="006313F7"/>
    <w:rsid w:val="00631BE4"/>
    <w:rsid w:val="00633122"/>
    <w:rsid w:val="006335FC"/>
    <w:rsid w:val="00633736"/>
    <w:rsid w:val="00633CF2"/>
    <w:rsid w:val="00634279"/>
    <w:rsid w:val="00634478"/>
    <w:rsid w:val="00634738"/>
    <w:rsid w:val="0063478C"/>
    <w:rsid w:val="006360F1"/>
    <w:rsid w:val="006366F6"/>
    <w:rsid w:val="00636750"/>
    <w:rsid w:val="00637A6A"/>
    <w:rsid w:val="00640F59"/>
    <w:rsid w:val="006411F2"/>
    <w:rsid w:val="0064121B"/>
    <w:rsid w:val="006425A9"/>
    <w:rsid w:val="00643330"/>
    <w:rsid w:val="006436DD"/>
    <w:rsid w:val="00644373"/>
    <w:rsid w:val="006446B4"/>
    <w:rsid w:val="006450DB"/>
    <w:rsid w:val="00645915"/>
    <w:rsid w:val="006459E4"/>
    <w:rsid w:val="00650BD6"/>
    <w:rsid w:val="00650E64"/>
    <w:rsid w:val="00651697"/>
    <w:rsid w:val="006519C3"/>
    <w:rsid w:val="00651FAD"/>
    <w:rsid w:val="0065224C"/>
    <w:rsid w:val="00652A25"/>
    <w:rsid w:val="00652B30"/>
    <w:rsid w:val="006531D2"/>
    <w:rsid w:val="00654997"/>
    <w:rsid w:val="00655306"/>
    <w:rsid w:val="00655EAD"/>
    <w:rsid w:val="00656345"/>
    <w:rsid w:val="006567C6"/>
    <w:rsid w:val="00656DC6"/>
    <w:rsid w:val="00660121"/>
    <w:rsid w:val="00660DE1"/>
    <w:rsid w:val="0066228E"/>
    <w:rsid w:val="00662DE4"/>
    <w:rsid w:val="00663933"/>
    <w:rsid w:val="00664110"/>
    <w:rsid w:val="00664D17"/>
    <w:rsid w:val="00665B9F"/>
    <w:rsid w:val="0066612F"/>
    <w:rsid w:val="00666520"/>
    <w:rsid w:val="00666E40"/>
    <w:rsid w:val="006673BF"/>
    <w:rsid w:val="00667B25"/>
    <w:rsid w:val="00667C5B"/>
    <w:rsid w:val="006729AE"/>
    <w:rsid w:val="0067349B"/>
    <w:rsid w:val="00674C0A"/>
    <w:rsid w:val="00674C77"/>
    <w:rsid w:val="006771EE"/>
    <w:rsid w:val="0067794E"/>
    <w:rsid w:val="00677C45"/>
    <w:rsid w:val="00680486"/>
    <w:rsid w:val="00682D31"/>
    <w:rsid w:val="00682F46"/>
    <w:rsid w:val="00683835"/>
    <w:rsid w:val="00683D2C"/>
    <w:rsid w:val="006844CE"/>
    <w:rsid w:val="00684ADF"/>
    <w:rsid w:val="00685DC2"/>
    <w:rsid w:val="006862B7"/>
    <w:rsid w:val="0068775B"/>
    <w:rsid w:val="00690341"/>
    <w:rsid w:val="00690B25"/>
    <w:rsid w:val="0069271A"/>
    <w:rsid w:val="00692CDE"/>
    <w:rsid w:val="00693073"/>
    <w:rsid w:val="006933A0"/>
    <w:rsid w:val="00695CC0"/>
    <w:rsid w:val="00695F41"/>
    <w:rsid w:val="00696396"/>
    <w:rsid w:val="006977FF"/>
    <w:rsid w:val="00697E6B"/>
    <w:rsid w:val="00697FA1"/>
    <w:rsid w:val="006A004F"/>
    <w:rsid w:val="006A01FA"/>
    <w:rsid w:val="006A0E9E"/>
    <w:rsid w:val="006A1912"/>
    <w:rsid w:val="006A25C7"/>
    <w:rsid w:val="006A2E28"/>
    <w:rsid w:val="006A4AAD"/>
    <w:rsid w:val="006A5031"/>
    <w:rsid w:val="006A51B3"/>
    <w:rsid w:val="006A520A"/>
    <w:rsid w:val="006A5640"/>
    <w:rsid w:val="006A6841"/>
    <w:rsid w:val="006A689B"/>
    <w:rsid w:val="006A6DA2"/>
    <w:rsid w:val="006A7432"/>
    <w:rsid w:val="006A7AB2"/>
    <w:rsid w:val="006B0647"/>
    <w:rsid w:val="006B16DD"/>
    <w:rsid w:val="006B1F50"/>
    <w:rsid w:val="006B288F"/>
    <w:rsid w:val="006B4A03"/>
    <w:rsid w:val="006B503F"/>
    <w:rsid w:val="006B5717"/>
    <w:rsid w:val="006B582F"/>
    <w:rsid w:val="006B66EE"/>
    <w:rsid w:val="006B6DFA"/>
    <w:rsid w:val="006B712F"/>
    <w:rsid w:val="006B7547"/>
    <w:rsid w:val="006B7E56"/>
    <w:rsid w:val="006C0CEB"/>
    <w:rsid w:val="006C0F78"/>
    <w:rsid w:val="006C144F"/>
    <w:rsid w:val="006C1EF3"/>
    <w:rsid w:val="006C224D"/>
    <w:rsid w:val="006C2969"/>
    <w:rsid w:val="006C2B1E"/>
    <w:rsid w:val="006C2D0C"/>
    <w:rsid w:val="006C3B1E"/>
    <w:rsid w:val="006C3F15"/>
    <w:rsid w:val="006C47FD"/>
    <w:rsid w:val="006C5587"/>
    <w:rsid w:val="006C642D"/>
    <w:rsid w:val="006C6ED6"/>
    <w:rsid w:val="006C70A0"/>
    <w:rsid w:val="006D1ED3"/>
    <w:rsid w:val="006D2422"/>
    <w:rsid w:val="006D27CB"/>
    <w:rsid w:val="006D2F08"/>
    <w:rsid w:val="006D3154"/>
    <w:rsid w:val="006D4AE0"/>
    <w:rsid w:val="006D55C0"/>
    <w:rsid w:val="006D576C"/>
    <w:rsid w:val="006D5865"/>
    <w:rsid w:val="006D5AED"/>
    <w:rsid w:val="006D63A2"/>
    <w:rsid w:val="006D7CF1"/>
    <w:rsid w:val="006E01DA"/>
    <w:rsid w:val="006E0544"/>
    <w:rsid w:val="006E1570"/>
    <w:rsid w:val="006E32C9"/>
    <w:rsid w:val="006E453C"/>
    <w:rsid w:val="006E4A1D"/>
    <w:rsid w:val="006E4B1B"/>
    <w:rsid w:val="006E51E1"/>
    <w:rsid w:val="006E5248"/>
    <w:rsid w:val="006E5445"/>
    <w:rsid w:val="006E5ABE"/>
    <w:rsid w:val="006E5D0C"/>
    <w:rsid w:val="006E6E35"/>
    <w:rsid w:val="006E6E74"/>
    <w:rsid w:val="006E74C0"/>
    <w:rsid w:val="006E7D93"/>
    <w:rsid w:val="006F1981"/>
    <w:rsid w:val="006F25A6"/>
    <w:rsid w:val="006F2F59"/>
    <w:rsid w:val="006F3314"/>
    <w:rsid w:val="006F5929"/>
    <w:rsid w:val="00700877"/>
    <w:rsid w:val="00700C64"/>
    <w:rsid w:val="00701580"/>
    <w:rsid w:val="00701803"/>
    <w:rsid w:val="007029A3"/>
    <w:rsid w:val="00702D99"/>
    <w:rsid w:val="00702DC9"/>
    <w:rsid w:val="00703232"/>
    <w:rsid w:val="00703969"/>
    <w:rsid w:val="0070479A"/>
    <w:rsid w:val="00704B6E"/>
    <w:rsid w:val="0070538D"/>
    <w:rsid w:val="00706E4E"/>
    <w:rsid w:val="0070791C"/>
    <w:rsid w:val="007105E8"/>
    <w:rsid w:val="00710BCB"/>
    <w:rsid w:val="00710FC4"/>
    <w:rsid w:val="00712AF5"/>
    <w:rsid w:val="0071383C"/>
    <w:rsid w:val="007141A7"/>
    <w:rsid w:val="00714DD6"/>
    <w:rsid w:val="00714F0A"/>
    <w:rsid w:val="00715708"/>
    <w:rsid w:val="00715A63"/>
    <w:rsid w:val="0071655F"/>
    <w:rsid w:val="00716863"/>
    <w:rsid w:val="007170A8"/>
    <w:rsid w:val="007178C5"/>
    <w:rsid w:val="00720CE0"/>
    <w:rsid w:val="00720E89"/>
    <w:rsid w:val="00721032"/>
    <w:rsid w:val="00721B55"/>
    <w:rsid w:val="00722079"/>
    <w:rsid w:val="00723C2A"/>
    <w:rsid w:val="00724E75"/>
    <w:rsid w:val="00724E78"/>
    <w:rsid w:val="0072581D"/>
    <w:rsid w:val="00725AEC"/>
    <w:rsid w:val="00725E63"/>
    <w:rsid w:val="00726549"/>
    <w:rsid w:val="00726CE4"/>
    <w:rsid w:val="00727CD3"/>
    <w:rsid w:val="00730685"/>
    <w:rsid w:val="007306EB"/>
    <w:rsid w:val="0073265A"/>
    <w:rsid w:val="00732C87"/>
    <w:rsid w:val="00732DF5"/>
    <w:rsid w:val="00732DFD"/>
    <w:rsid w:val="0073308E"/>
    <w:rsid w:val="00734143"/>
    <w:rsid w:val="00734A23"/>
    <w:rsid w:val="00735103"/>
    <w:rsid w:val="007360E6"/>
    <w:rsid w:val="007367CE"/>
    <w:rsid w:val="0073719D"/>
    <w:rsid w:val="00737E47"/>
    <w:rsid w:val="00740C64"/>
    <w:rsid w:val="00740C71"/>
    <w:rsid w:val="00740EAC"/>
    <w:rsid w:val="00741D7D"/>
    <w:rsid w:val="007427FE"/>
    <w:rsid w:val="007435A0"/>
    <w:rsid w:val="00743A7D"/>
    <w:rsid w:val="00744956"/>
    <w:rsid w:val="007455F5"/>
    <w:rsid w:val="00745A19"/>
    <w:rsid w:val="00745A5C"/>
    <w:rsid w:val="0074605F"/>
    <w:rsid w:val="00746708"/>
    <w:rsid w:val="00746F42"/>
    <w:rsid w:val="00747E94"/>
    <w:rsid w:val="00750210"/>
    <w:rsid w:val="00751710"/>
    <w:rsid w:val="0075279C"/>
    <w:rsid w:val="007541BB"/>
    <w:rsid w:val="00754894"/>
    <w:rsid w:val="00754EFB"/>
    <w:rsid w:val="007551F8"/>
    <w:rsid w:val="0075541C"/>
    <w:rsid w:val="00756C85"/>
    <w:rsid w:val="00760342"/>
    <w:rsid w:val="0076060F"/>
    <w:rsid w:val="00760CB2"/>
    <w:rsid w:val="00761603"/>
    <w:rsid w:val="00762577"/>
    <w:rsid w:val="00763A70"/>
    <w:rsid w:val="00765250"/>
    <w:rsid w:val="007657A9"/>
    <w:rsid w:val="00765C83"/>
    <w:rsid w:val="00766749"/>
    <w:rsid w:val="00766B4E"/>
    <w:rsid w:val="00767C1B"/>
    <w:rsid w:val="00770C0A"/>
    <w:rsid w:val="00770EF4"/>
    <w:rsid w:val="00771274"/>
    <w:rsid w:val="00771373"/>
    <w:rsid w:val="007714A9"/>
    <w:rsid w:val="00771CA2"/>
    <w:rsid w:val="00772C2E"/>
    <w:rsid w:val="00774362"/>
    <w:rsid w:val="00774F88"/>
    <w:rsid w:val="00774FDB"/>
    <w:rsid w:val="00775B7B"/>
    <w:rsid w:val="00776982"/>
    <w:rsid w:val="00776ADA"/>
    <w:rsid w:val="00776C99"/>
    <w:rsid w:val="00777336"/>
    <w:rsid w:val="00777440"/>
    <w:rsid w:val="00777833"/>
    <w:rsid w:val="00777A2A"/>
    <w:rsid w:val="00777BA2"/>
    <w:rsid w:val="00777F84"/>
    <w:rsid w:val="007802FB"/>
    <w:rsid w:val="0078092B"/>
    <w:rsid w:val="00781408"/>
    <w:rsid w:val="00781D45"/>
    <w:rsid w:val="007836C3"/>
    <w:rsid w:val="00784240"/>
    <w:rsid w:val="00784F7F"/>
    <w:rsid w:val="00785FAE"/>
    <w:rsid w:val="007861A6"/>
    <w:rsid w:val="00787E49"/>
    <w:rsid w:val="00794402"/>
    <w:rsid w:val="007947CF"/>
    <w:rsid w:val="00794CBA"/>
    <w:rsid w:val="00795BD6"/>
    <w:rsid w:val="007960E6"/>
    <w:rsid w:val="00796869"/>
    <w:rsid w:val="00796C91"/>
    <w:rsid w:val="00796F25"/>
    <w:rsid w:val="0079722C"/>
    <w:rsid w:val="007A18D4"/>
    <w:rsid w:val="007A2997"/>
    <w:rsid w:val="007A2DDD"/>
    <w:rsid w:val="007A2E98"/>
    <w:rsid w:val="007A32E7"/>
    <w:rsid w:val="007A3BA3"/>
    <w:rsid w:val="007A3D15"/>
    <w:rsid w:val="007A4673"/>
    <w:rsid w:val="007A5201"/>
    <w:rsid w:val="007A6CC0"/>
    <w:rsid w:val="007A7113"/>
    <w:rsid w:val="007A78F0"/>
    <w:rsid w:val="007A7FEC"/>
    <w:rsid w:val="007B0AD6"/>
    <w:rsid w:val="007B1499"/>
    <w:rsid w:val="007B19BE"/>
    <w:rsid w:val="007B1BBF"/>
    <w:rsid w:val="007B2960"/>
    <w:rsid w:val="007B3462"/>
    <w:rsid w:val="007B355D"/>
    <w:rsid w:val="007B3806"/>
    <w:rsid w:val="007B3D05"/>
    <w:rsid w:val="007B3E0D"/>
    <w:rsid w:val="007B4F9F"/>
    <w:rsid w:val="007B6A75"/>
    <w:rsid w:val="007B6DBF"/>
    <w:rsid w:val="007B6E50"/>
    <w:rsid w:val="007B6FE7"/>
    <w:rsid w:val="007B7980"/>
    <w:rsid w:val="007B7C03"/>
    <w:rsid w:val="007C0010"/>
    <w:rsid w:val="007C0B61"/>
    <w:rsid w:val="007C0CBB"/>
    <w:rsid w:val="007C0D0A"/>
    <w:rsid w:val="007C0D77"/>
    <w:rsid w:val="007C2DEB"/>
    <w:rsid w:val="007C3CBB"/>
    <w:rsid w:val="007C5D5A"/>
    <w:rsid w:val="007C607F"/>
    <w:rsid w:val="007C628F"/>
    <w:rsid w:val="007C6616"/>
    <w:rsid w:val="007C7727"/>
    <w:rsid w:val="007C79DD"/>
    <w:rsid w:val="007C7A8E"/>
    <w:rsid w:val="007D0458"/>
    <w:rsid w:val="007D0970"/>
    <w:rsid w:val="007D0A00"/>
    <w:rsid w:val="007D1A97"/>
    <w:rsid w:val="007D1CF3"/>
    <w:rsid w:val="007D2CD6"/>
    <w:rsid w:val="007D3063"/>
    <w:rsid w:val="007D3650"/>
    <w:rsid w:val="007D3CEB"/>
    <w:rsid w:val="007D46CA"/>
    <w:rsid w:val="007D5C77"/>
    <w:rsid w:val="007D69E9"/>
    <w:rsid w:val="007D6E05"/>
    <w:rsid w:val="007D6FAE"/>
    <w:rsid w:val="007E059D"/>
    <w:rsid w:val="007E09E3"/>
    <w:rsid w:val="007E3B07"/>
    <w:rsid w:val="007E3D10"/>
    <w:rsid w:val="007E4124"/>
    <w:rsid w:val="007E46BA"/>
    <w:rsid w:val="007E501D"/>
    <w:rsid w:val="007E534E"/>
    <w:rsid w:val="007E61A1"/>
    <w:rsid w:val="007E72A6"/>
    <w:rsid w:val="007E7666"/>
    <w:rsid w:val="007E7683"/>
    <w:rsid w:val="007F0405"/>
    <w:rsid w:val="007F1793"/>
    <w:rsid w:val="007F2B85"/>
    <w:rsid w:val="007F336B"/>
    <w:rsid w:val="007F49FA"/>
    <w:rsid w:val="007F4E5B"/>
    <w:rsid w:val="007F54C4"/>
    <w:rsid w:val="007F5988"/>
    <w:rsid w:val="007F624B"/>
    <w:rsid w:val="007F6291"/>
    <w:rsid w:val="007F6E9A"/>
    <w:rsid w:val="007F7AF8"/>
    <w:rsid w:val="00800186"/>
    <w:rsid w:val="00801917"/>
    <w:rsid w:val="008042B2"/>
    <w:rsid w:val="008044D4"/>
    <w:rsid w:val="00804D7F"/>
    <w:rsid w:val="008051A9"/>
    <w:rsid w:val="00807A4F"/>
    <w:rsid w:val="00807B1E"/>
    <w:rsid w:val="00810AB4"/>
    <w:rsid w:val="0081300A"/>
    <w:rsid w:val="00813128"/>
    <w:rsid w:val="008134D9"/>
    <w:rsid w:val="00815AFD"/>
    <w:rsid w:val="00816D6F"/>
    <w:rsid w:val="00817173"/>
    <w:rsid w:val="00817B56"/>
    <w:rsid w:val="00817E2B"/>
    <w:rsid w:val="00821879"/>
    <w:rsid w:val="00821A88"/>
    <w:rsid w:val="00823643"/>
    <w:rsid w:val="00823ABE"/>
    <w:rsid w:val="0082495D"/>
    <w:rsid w:val="00824E4B"/>
    <w:rsid w:val="00827305"/>
    <w:rsid w:val="008310F0"/>
    <w:rsid w:val="00831AC3"/>
    <w:rsid w:val="00832EE3"/>
    <w:rsid w:val="00833708"/>
    <w:rsid w:val="008338CC"/>
    <w:rsid w:val="00833C53"/>
    <w:rsid w:val="00834021"/>
    <w:rsid w:val="00834D50"/>
    <w:rsid w:val="00835DCD"/>
    <w:rsid w:val="0084062E"/>
    <w:rsid w:val="008408FF"/>
    <w:rsid w:val="00841572"/>
    <w:rsid w:val="00842BE9"/>
    <w:rsid w:val="008435A7"/>
    <w:rsid w:val="0084382A"/>
    <w:rsid w:val="00843B37"/>
    <w:rsid w:val="00845071"/>
    <w:rsid w:val="008450C6"/>
    <w:rsid w:val="00846A3B"/>
    <w:rsid w:val="00847435"/>
    <w:rsid w:val="00847674"/>
    <w:rsid w:val="00847D94"/>
    <w:rsid w:val="00850C09"/>
    <w:rsid w:val="008518AF"/>
    <w:rsid w:val="00851921"/>
    <w:rsid w:val="00851F3F"/>
    <w:rsid w:val="00854831"/>
    <w:rsid w:val="00855346"/>
    <w:rsid w:val="00855DCA"/>
    <w:rsid w:val="00856DF5"/>
    <w:rsid w:val="00856EDC"/>
    <w:rsid w:val="00860300"/>
    <w:rsid w:val="00860594"/>
    <w:rsid w:val="008623B5"/>
    <w:rsid w:val="0086279B"/>
    <w:rsid w:val="00863416"/>
    <w:rsid w:val="00863CE5"/>
    <w:rsid w:val="00865921"/>
    <w:rsid w:val="0086694A"/>
    <w:rsid w:val="00867BA0"/>
    <w:rsid w:val="00870ABA"/>
    <w:rsid w:val="008710E1"/>
    <w:rsid w:val="00871559"/>
    <w:rsid w:val="008716E5"/>
    <w:rsid w:val="00871FC8"/>
    <w:rsid w:val="00874496"/>
    <w:rsid w:val="00874603"/>
    <w:rsid w:val="008763C8"/>
    <w:rsid w:val="0087698A"/>
    <w:rsid w:val="0087699D"/>
    <w:rsid w:val="008772B7"/>
    <w:rsid w:val="00881C34"/>
    <w:rsid w:val="00881CA9"/>
    <w:rsid w:val="008826CC"/>
    <w:rsid w:val="00882F77"/>
    <w:rsid w:val="00883628"/>
    <w:rsid w:val="008840F0"/>
    <w:rsid w:val="00885305"/>
    <w:rsid w:val="008854C3"/>
    <w:rsid w:val="00885544"/>
    <w:rsid w:val="0088634E"/>
    <w:rsid w:val="008863CB"/>
    <w:rsid w:val="008869EA"/>
    <w:rsid w:val="00886F3C"/>
    <w:rsid w:val="00887462"/>
    <w:rsid w:val="008875E2"/>
    <w:rsid w:val="008913F4"/>
    <w:rsid w:val="00891C18"/>
    <w:rsid w:val="008927B9"/>
    <w:rsid w:val="00893AB8"/>
    <w:rsid w:val="008955FE"/>
    <w:rsid w:val="00895E88"/>
    <w:rsid w:val="008964FD"/>
    <w:rsid w:val="00896AA5"/>
    <w:rsid w:val="008972DB"/>
    <w:rsid w:val="00897374"/>
    <w:rsid w:val="00897D73"/>
    <w:rsid w:val="008A02E7"/>
    <w:rsid w:val="008A04C8"/>
    <w:rsid w:val="008A185B"/>
    <w:rsid w:val="008A219C"/>
    <w:rsid w:val="008A554E"/>
    <w:rsid w:val="008A6913"/>
    <w:rsid w:val="008A6F20"/>
    <w:rsid w:val="008B0A9A"/>
    <w:rsid w:val="008B0C04"/>
    <w:rsid w:val="008B2734"/>
    <w:rsid w:val="008B2DAF"/>
    <w:rsid w:val="008B3288"/>
    <w:rsid w:val="008B4AF6"/>
    <w:rsid w:val="008B5F33"/>
    <w:rsid w:val="008B68FC"/>
    <w:rsid w:val="008B70F3"/>
    <w:rsid w:val="008B7323"/>
    <w:rsid w:val="008B76DF"/>
    <w:rsid w:val="008B7757"/>
    <w:rsid w:val="008B7962"/>
    <w:rsid w:val="008B7B37"/>
    <w:rsid w:val="008C0335"/>
    <w:rsid w:val="008C05EF"/>
    <w:rsid w:val="008C0B38"/>
    <w:rsid w:val="008C10F4"/>
    <w:rsid w:val="008C1BF9"/>
    <w:rsid w:val="008C3F40"/>
    <w:rsid w:val="008C6596"/>
    <w:rsid w:val="008C65F7"/>
    <w:rsid w:val="008D0B6F"/>
    <w:rsid w:val="008D156A"/>
    <w:rsid w:val="008D2298"/>
    <w:rsid w:val="008D3DA6"/>
    <w:rsid w:val="008D4717"/>
    <w:rsid w:val="008D64D4"/>
    <w:rsid w:val="008D6799"/>
    <w:rsid w:val="008D7CAC"/>
    <w:rsid w:val="008E044E"/>
    <w:rsid w:val="008E10D9"/>
    <w:rsid w:val="008E25CD"/>
    <w:rsid w:val="008E3313"/>
    <w:rsid w:val="008E378E"/>
    <w:rsid w:val="008E4767"/>
    <w:rsid w:val="008E5CF3"/>
    <w:rsid w:val="008E6BDB"/>
    <w:rsid w:val="008E754E"/>
    <w:rsid w:val="008E7A8C"/>
    <w:rsid w:val="008E7D5B"/>
    <w:rsid w:val="008F13C0"/>
    <w:rsid w:val="008F1ABB"/>
    <w:rsid w:val="008F21EE"/>
    <w:rsid w:val="008F53E4"/>
    <w:rsid w:val="008F5D59"/>
    <w:rsid w:val="008F7292"/>
    <w:rsid w:val="008F76D3"/>
    <w:rsid w:val="00900C85"/>
    <w:rsid w:val="00901F92"/>
    <w:rsid w:val="0090271C"/>
    <w:rsid w:val="00902A03"/>
    <w:rsid w:val="00903285"/>
    <w:rsid w:val="00903728"/>
    <w:rsid w:val="0090395E"/>
    <w:rsid w:val="009062F4"/>
    <w:rsid w:val="0090673F"/>
    <w:rsid w:val="00906F40"/>
    <w:rsid w:val="00906F59"/>
    <w:rsid w:val="0090731E"/>
    <w:rsid w:val="009105D7"/>
    <w:rsid w:val="00910D48"/>
    <w:rsid w:val="00910F53"/>
    <w:rsid w:val="00911048"/>
    <w:rsid w:val="00911439"/>
    <w:rsid w:val="00912388"/>
    <w:rsid w:val="00912A66"/>
    <w:rsid w:val="00912FB9"/>
    <w:rsid w:val="009133F8"/>
    <w:rsid w:val="009135A5"/>
    <w:rsid w:val="00913DD7"/>
    <w:rsid w:val="00913FF3"/>
    <w:rsid w:val="0091419F"/>
    <w:rsid w:val="00914262"/>
    <w:rsid w:val="009150D0"/>
    <w:rsid w:val="00915B1C"/>
    <w:rsid w:val="00915D91"/>
    <w:rsid w:val="00916D9D"/>
    <w:rsid w:val="009174F3"/>
    <w:rsid w:val="00917608"/>
    <w:rsid w:val="0091797D"/>
    <w:rsid w:val="009179AF"/>
    <w:rsid w:val="009206EC"/>
    <w:rsid w:val="00923CBA"/>
    <w:rsid w:val="00924732"/>
    <w:rsid w:val="009252A9"/>
    <w:rsid w:val="00926264"/>
    <w:rsid w:val="00926703"/>
    <w:rsid w:val="009269B5"/>
    <w:rsid w:val="00927691"/>
    <w:rsid w:val="00927A5F"/>
    <w:rsid w:val="00927BDF"/>
    <w:rsid w:val="0093028D"/>
    <w:rsid w:val="00930360"/>
    <w:rsid w:val="009324B8"/>
    <w:rsid w:val="0093253D"/>
    <w:rsid w:val="00933FBE"/>
    <w:rsid w:val="00935B63"/>
    <w:rsid w:val="00937060"/>
    <w:rsid w:val="009371CA"/>
    <w:rsid w:val="0093752E"/>
    <w:rsid w:val="0094030A"/>
    <w:rsid w:val="0094078F"/>
    <w:rsid w:val="009408BC"/>
    <w:rsid w:val="00940D4D"/>
    <w:rsid w:val="00940FA3"/>
    <w:rsid w:val="00941A5D"/>
    <w:rsid w:val="00941B23"/>
    <w:rsid w:val="00941D4C"/>
    <w:rsid w:val="00941FB0"/>
    <w:rsid w:val="009426D4"/>
    <w:rsid w:val="00942B09"/>
    <w:rsid w:val="00942D8D"/>
    <w:rsid w:val="00943150"/>
    <w:rsid w:val="0094390F"/>
    <w:rsid w:val="00943942"/>
    <w:rsid w:val="00944ED1"/>
    <w:rsid w:val="00945012"/>
    <w:rsid w:val="009460C5"/>
    <w:rsid w:val="00946219"/>
    <w:rsid w:val="00947CB2"/>
    <w:rsid w:val="00947F25"/>
    <w:rsid w:val="00950159"/>
    <w:rsid w:val="009517B3"/>
    <w:rsid w:val="00951C1A"/>
    <w:rsid w:val="009543E1"/>
    <w:rsid w:val="0095490B"/>
    <w:rsid w:val="00954A75"/>
    <w:rsid w:val="00954BB3"/>
    <w:rsid w:val="00955079"/>
    <w:rsid w:val="00955B9C"/>
    <w:rsid w:val="009566C2"/>
    <w:rsid w:val="00957450"/>
    <w:rsid w:val="00957DF9"/>
    <w:rsid w:val="00960F68"/>
    <w:rsid w:val="00961A9E"/>
    <w:rsid w:val="009629B5"/>
    <w:rsid w:val="00962B16"/>
    <w:rsid w:val="00962EE9"/>
    <w:rsid w:val="00963604"/>
    <w:rsid w:val="00965B42"/>
    <w:rsid w:val="00965F7E"/>
    <w:rsid w:val="0096692D"/>
    <w:rsid w:val="00967069"/>
    <w:rsid w:val="00967438"/>
    <w:rsid w:val="00970907"/>
    <w:rsid w:val="00970B25"/>
    <w:rsid w:val="009713CF"/>
    <w:rsid w:val="00971914"/>
    <w:rsid w:val="00972227"/>
    <w:rsid w:val="00972627"/>
    <w:rsid w:val="0097347D"/>
    <w:rsid w:val="0097361A"/>
    <w:rsid w:val="0097411F"/>
    <w:rsid w:val="00974363"/>
    <w:rsid w:val="009746F4"/>
    <w:rsid w:val="0097523E"/>
    <w:rsid w:val="00975956"/>
    <w:rsid w:val="00975F55"/>
    <w:rsid w:val="00980204"/>
    <w:rsid w:val="009815C4"/>
    <w:rsid w:val="00981898"/>
    <w:rsid w:val="00981B82"/>
    <w:rsid w:val="00982D94"/>
    <w:rsid w:val="00983CE8"/>
    <w:rsid w:val="00984893"/>
    <w:rsid w:val="00984E8B"/>
    <w:rsid w:val="00984F4E"/>
    <w:rsid w:val="0098651B"/>
    <w:rsid w:val="00986678"/>
    <w:rsid w:val="00986F08"/>
    <w:rsid w:val="00987679"/>
    <w:rsid w:val="0099074C"/>
    <w:rsid w:val="0099124A"/>
    <w:rsid w:val="00991873"/>
    <w:rsid w:val="00991D05"/>
    <w:rsid w:val="00992D52"/>
    <w:rsid w:val="00992EB1"/>
    <w:rsid w:val="00994499"/>
    <w:rsid w:val="00995587"/>
    <w:rsid w:val="0099577C"/>
    <w:rsid w:val="00996EF3"/>
    <w:rsid w:val="009A025A"/>
    <w:rsid w:val="009A22C2"/>
    <w:rsid w:val="009A2687"/>
    <w:rsid w:val="009A3F4B"/>
    <w:rsid w:val="009A40B1"/>
    <w:rsid w:val="009A5018"/>
    <w:rsid w:val="009A59AE"/>
    <w:rsid w:val="009A62BB"/>
    <w:rsid w:val="009A6904"/>
    <w:rsid w:val="009B1D02"/>
    <w:rsid w:val="009B2667"/>
    <w:rsid w:val="009B4370"/>
    <w:rsid w:val="009B4E9E"/>
    <w:rsid w:val="009B5F6D"/>
    <w:rsid w:val="009B60B9"/>
    <w:rsid w:val="009B674F"/>
    <w:rsid w:val="009B7B95"/>
    <w:rsid w:val="009C1690"/>
    <w:rsid w:val="009C3AA4"/>
    <w:rsid w:val="009C456C"/>
    <w:rsid w:val="009C6881"/>
    <w:rsid w:val="009C7038"/>
    <w:rsid w:val="009C7759"/>
    <w:rsid w:val="009D043D"/>
    <w:rsid w:val="009D17C9"/>
    <w:rsid w:val="009D2010"/>
    <w:rsid w:val="009D50AB"/>
    <w:rsid w:val="009D599F"/>
    <w:rsid w:val="009D6702"/>
    <w:rsid w:val="009D6C71"/>
    <w:rsid w:val="009D78A7"/>
    <w:rsid w:val="009E0309"/>
    <w:rsid w:val="009E0631"/>
    <w:rsid w:val="009E076C"/>
    <w:rsid w:val="009E0E80"/>
    <w:rsid w:val="009E16D0"/>
    <w:rsid w:val="009E38FD"/>
    <w:rsid w:val="009E3BA2"/>
    <w:rsid w:val="009E3E28"/>
    <w:rsid w:val="009E4612"/>
    <w:rsid w:val="009E52E6"/>
    <w:rsid w:val="009E68C0"/>
    <w:rsid w:val="009E7BEB"/>
    <w:rsid w:val="009F0BA9"/>
    <w:rsid w:val="009F0F70"/>
    <w:rsid w:val="009F1267"/>
    <w:rsid w:val="009F13D6"/>
    <w:rsid w:val="009F278A"/>
    <w:rsid w:val="009F34B1"/>
    <w:rsid w:val="009F3D16"/>
    <w:rsid w:val="009F4C6B"/>
    <w:rsid w:val="009F5D7C"/>
    <w:rsid w:val="009F672E"/>
    <w:rsid w:val="009F697D"/>
    <w:rsid w:val="009F78A8"/>
    <w:rsid w:val="00A0057B"/>
    <w:rsid w:val="00A00AEA"/>
    <w:rsid w:val="00A027FF"/>
    <w:rsid w:val="00A02AA1"/>
    <w:rsid w:val="00A02AD6"/>
    <w:rsid w:val="00A032D5"/>
    <w:rsid w:val="00A04331"/>
    <w:rsid w:val="00A0447C"/>
    <w:rsid w:val="00A054BA"/>
    <w:rsid w:val="00A05FCA"/>
    <w:rsid w:val="00A07096"/>
    <w:rsid w:val="00A07318"/>
    <w:rsid w:val="00A07593"/>
    <w:rsid w:val="00A07BF8"/>
    <w:rsid w:val="00A10ADA"/>
    <w:rsid w:val="00A10DBF"/>
    <w:rsid w:val="00A11370"/>
    <w:rsid w:val="00A12438"/>
    <w:rsid w:val="00A1255D"/>
    <w:rsid w:val="00A126FA"/>
    <w:rsid w:val="00A12940"/>
    <w:rsid w:val="00A1305C"/>
    <w:rsid w:val="00A1504A"/>
    <w:rsid w:val="00A15DA6"/>
    <w:rsid w:val="00A1621F"/>
    <w:rsid w:val="00A1728C"/>
    <w:rsid w:val="00A17752"/>
    <w:rsid w:val="00A177DC"/>
    <w:rsid w:val="00A17FE2"/>
    <w:rsid w:val="00A22086"/>
    <w:rsid w:val="00A224CE"/>
    <w:rsid w:val="00A22521"/>
    <w:rsid w:val="00A22522"/>
    <w:rsid w:val="00A22FEC"/>
    <w:rsid w:val="00A2408B"/>
    <w:rsid w:val="00A24774"/>
    <w:rsid w:val="00A24AFD"/>
    <w:rsid w:val="00A24F5C"/>
    <w:rsid w:val="00A2587E"/>
    <w:rsid w:val="00A268E5"/>
    <w:rsid w:val="00A26AFA"/>
    <w:rsid w:val="00A30B22"/>
    <w:rsid w:val="00A30C6B"/>
    <w:rsid w:val="00A316ED"/>
    <w:rsid w:val="00A32EDC"/>
    <w:rsid w:val="00A32F96"/>
    <w:rsid w:val="00A335F8"/>
    <w:rsid w:val="00A33D55"/>
    <w:rsid w:val="00A35176"/>
    <w:rsid w:val="00A353CE"/>
    <w:rsid w:val="00A35F66"/>
    <w:rsid w:val="00A362DA"/>
    <w:rsid w:val="00A36BDD"/>
    <w:rsid w:val="00A37EE0"/>
    <w:rsid w:val="00A40871"/>
    <w:rsid w:val="00A40A4C"/>
    <w:rsid w:val="00A4117C"/>
    <w:rsid w:val="00A412AB"/>
    <w:rsid w:val="00A41728"/>
    <w:rsid w:val="00A4193E"/>
    <w:rsid w:val="00A438B3"/>
    <w:rsid w:val="00A439BD"/>
    <w:rsid w:val="00A440E0"/>
    <w:rsid w:val="00A442EF"/>
    <w:rsid w:val="00A443A2"/>
    <w:rsid w:val="00A44F45"/>
    <w:rsid w:val="00A46318"/>
    <w:rsid w:val="00A46D65"/>
    <w:rsid w:val="00A46FAE"/>
    <w:rsid w:val="00A47256"/>
    <w:rsid w:val="00A47FF5"/>
    <w:rsid w:val="00A505C6"/>
    <w:rsid w:val="00A50AEC"/>
    <w:rsid w:val="00A511D3"/>
    <w:rsid w:val="00A51924"/>
    <w:rsid w:val="00A51D1A"/>
    <w:rsid w:val="00A52221"/>
    <w:rsid w:val="00A52564"/>
    <w:rsid w:val="00A529A3"/>
    <w:rsid w:val="00A52D94"/>
    <w:rsid w:val="00A53FC6"/>
    <w:rsid w:val="00A5418D"/>
    <w:rsid w:val="00A5474E"/>
    <w:rsid w:val="00A56D53"/>
    <w:rsid w:val="00A5733A"/>
    <w:rsid w:val="00A579AD"/>
    <w:rsid w:val="00A57A1E"/>
    <w:rsid w:val="00A600AF"/>
    <w:rsid w:val="00A60CC3"/>
    <w:rsid w:val="00A60D81"/>
    <w:rsid w:val="00A61245"/>
    <w:rsid w:val="00A6145F"/>
    <w:rsid w:val="00A61EF1"/>
    <w:rsid w:val="00A63C62"/>
    <w:rsid w:val="00A65411"/>
    <w:rsid w:val="00A65B95"/>
    <w:rsid w:val="00A65BC5"/>
    <w:rsid w:val="00A65EF0"/>
    <w:rsid w:val="00A66CD5"/>
    <w:rsid w:val="00A6715C"/>
    <w:rsid w:val="00A70ADF"/>
    <w:rsid w:val="00A70EE3"/>
    <w:rsid w:val="00A71466"/>
    <w:rsid w:val="00A71A14"/>
    <w:rsid w:val="00A72D42"/>
    <w:rsid w:val="00A7309A"/>
    <w:rsid w:val="00A73BD7"/>
    <w:rsid w:val="00A74585"/>
    <w:rsid w:val="00A74B5E"/>
    <w:rsid w:val="00A75918"/>
    <w:rsid w:val="00A76302"/>
    <w:rsid w:val="00A76341"/>
    <w:rsid w:val="00A76B7E"/>
    <w:rsid w:val="00A810CC"/>
    <w:rsid w:val="00A81BED"/>
    <w:rsid w:val="00A81EC4"/>
    <w:rsid w:val="00A82222"/>
    <w:rsid w:val="00A822C2"/>
    <w:rsid w:val="00A82958"/>
    <w:rsid w:val="00A82EFD"/>
    <w:rsid w:val="00A83BD2"/>
    <w:rsid w:val="00A84810"/>
    <w:rsid w:val="00A84D5C"/>
    <w:rsid w:val="00A8506A"/>
    <w:rsid w:val="00A85175"/>
    <w:rsid w:val="00A9127A"/>
    <w:rsid w:val="00A9262A"/>
    <w:rsid w:val="00A92E83"/>
    <w:rsid w:val="00A93823"/>
    <w:rsid w:val="00A959BD"/>
    <w:rsid w:val="00A9628A"/>
    <w:rsid w:val="00A967FD"/>
    <w:rsid w:val="00AA04BB"/>
    <w:rsid w:val="00AA13C9"/>
    <w:rsid w:val="00AA1486"/>
    <w:rsid w:val="00AA1CB1"/>
    <w:rsid w:val="00AA20BB"/>
    <w:rsid w:val="00AA430C"/>
    <w:rsid w:val="00AA521B"/>
    <w:rsid w:val="00AA6716"/>
    <w:rsid w:val="00AA674F"/>
    <w:rsid w:val="00AA6BA1"/>
    <w:rsid w:val="00AA7FDF"/>
    <w:rsid w:val="00AB0379"/>
    <w:rsid w:val="00AB156C"/>
    <w:rsid w:val="00AB4D9E"/>
    <w:rsid w:val="00AB53A8"/>
    <w:rsid w:val="00AB66BD"/>
    <w:rsid w:val="00AB6814"/>
    <w:rsid w:val="00AB7842"/>
    <w:rsid w:val="00AC04BA"/>
    <w:rsid w:val="00AC07AD"/>
    <w:rsid w:val="00AC0A12"/>
    <w:rsid w:val="00AC0C41"/>
    <w:rsid w:val="00AC0E39"/>
    <w:rsid w:val="00AC1FD7"/>
    <w:rsid w:val="00AC2157"/>
    <w:rsid w:val="00AC26B7"/>
    <w:rsid w:val="00AC2D18"/>
    <w:rsid w:val="00AC3317"/>
    <w:rsid w:val="00AC3550"/>
    <w:rsid w:val="00AC4496"/>
    <w:rsid w:val="00AC569E"/>
    <w:rsid w:val="00AC5E79"/>
    <w:rsid w:val="00AC68EB"/>
    <w:rsid w:val="00AC7B2D"/>
    <w:rsid w:val="00AD094D"/>
    <w:rsid w:val="00AD0E4A"/>
    <w:rsid w:val="00AD1EBB"/>
    <w:rsid w:val="00AD25E5"/>
    <w:rsid w:val="00AD3082"/>
    <w:rsid w:val="00AD38B7"/>
    <w:rsid w:val="00AD4482"/>
    <w:rsid w:val="00AD4AD0"/>
    <w:rsid w:val="00AD5039"/>
    <w:rsid w:val="00AD5436"/>
    <w:rsid w:val="00AD5E2A"/>
    <w:rsid w:val="00AD5EEA"/>
    <w:rsid w:val="00AD60CD"/>
    <w:rsid w:val="00AD6C8C"/>
    <w:rsid w:val="00AD6F94"/>
    <w:rsid w:val="00AE091D"/>
    <w:rsid w:val="00AE3B60"/>
    <w:rsid w:val="00AE3F57"/>
    <w:rsid w:val="00AE53A1"/>
    <w:rsid w:val="00AE5C79"/>
    <w:rsid w:val="00AE65C2"/>
    <w:rsid w:val="00AE7174"/>
    <w:rsid w:val="00AE7F28"/>
    <w:rsid w:val="00AF1566"/>
    <w:rsid w:val="00AF189B"/>
    <w:rsid w:val="00AF2184"/>
    <w:rsid w:val="00AF2484"/>
    <w:rsid w:val="00AF26FD"/>
    <w:rsid w:val="00AF30AA"/>
    <w:rsid w:val="00AF328B"/>
    <w:rsid w:val="00AF47C3"/>
    <w:rsid w:val="00AF63E7"/>
    <w:rsid w:val="00B0021F"/>
    <w:rsid w:val="00B00A33"/>
    <w:rsid w:val="00B0165D"/>
    <w:rsid w:val="00B01C6F"/>
    <w:rsid w:val="00B01DFD"/>
    <w:rsid w:val="00B031F3"/>
    <w:rsid w:val="00B0349C"/>
    <w:rsid w:val="00B03712"/>
    <w:rsid w:val="00B040DF"/>
    <w:rsid w:val="00B04904"/>
    <w:rsid w:val="00B052A4"/>
    <w:rsid w:val="00B06381"/>
    <w:rsid w:val="00B075A5"/>
    <w:rsid w:val="00B07CDA"/>
    <w:rsid w:val="00B10F59"/>
    <w:rsid w:val="00B113E3"/>
    <w:rsid w:val="00B125DE"/>
    <w:rsid w:val="00B1297B"/>
    <w:rsid w:val="00B13139"/>
    <w:rsid w:val="00B13EEB"/>
    <w:rsid w:val="00B13FDD"/>
    <w:rsid w:val="00B1408E"/>
    <w:rsid w:val="00B142FD"/>
    <w:rsid w:val="00B147F3"/>
    <w:rsid w:val="00B14816"/>
    <w:rsid w:val="00B14C54"/>
    <w:rsid w:val="00B15CEC"/>
    <w:rsid w:val="00B15D12"/>
    <w:rsid w:val="00B16BAC"/>
    <w:rsid w:val="00B17B1B"/>
    <w:rsid w:val="00B21553"/>
    <w:rsid w:val="00B22EB2"/>
    <w:rsid w:val="00B23251"/>
    <w:rsid w:val="00B2392A"/>
    <w:rsid w:val="00B23D27"/>
    <w:rsid w:val="00B2430F"/>
    <w:rsid w:val="00B247AA"/>
    <w:rsid w:val="00B24F33"/>
    <w:rsid w:val="00B252FE"/>
    <w:rsid w:val="00B25899"/>
    <w:rsid w:val="00B2711B"/>
    <w:rsid w:val="00B27286"/>
    <w:rsid w:val="00B27442"/>
    <w:rsid w:val="00B27472"/>
    <w:rsid w:val="00B30A69"/>
    <w:rsid w:val="00B30D79"/>
    <w:rsid w:val="00B30E7C"/>
    <w:rsid w:val="00B30F41"/>
    <w:rsid w:val="00B31167"/>
    <w:rsid w:val="00B311C3"/>
    <w:rsid w:val="00B318C6"/>
    <w:rsid w:val="00B329D8"/>
    <w:rsid w:val="00B32BB9"/>
    <w:rsid w:val="00B3332F"/>
    <w:rsid w:val="00B334EB"/>
    <w:rsid w:val="00B336EA"/>
    <w:rsid w:val="00B33AE1"/>
    <w:rsid w:val="00B365D0"/>
    <w:rsid w:val="00B36F9E"/>
    <w:rsid w:val="00B37046"/>
    <w:rsid w:val="00B374B7"/>
    <w:rsid w:val="00B37C38"/>
    <w:rsid w:val="00B4096E"/>
    <w:rsid w:val="00B4288C"/>
    <w:rsid w:val="00B43262"/>
    <w:rsid w:val="00B435FF"/>
    <w:rsid w:val="00B44100"/>
    <w:rsid w:val="00B44182"/>
    <w:rsid w:val="00B445FD"/>
    <w:rsid w:val="00B447BB"/>
    <w:rsid w:val="00B45386"/>
    <w:rsid w:val="00B45585"/>
    <w:rsid w:val="00B459CF"/>
    <w:rsid w:val="00B460FE"/>
    <w:rsid w:val="00B46CBA"/>
    <w:rsid w:val="00B46F94"/>
    <w:rsid w:val="00B505AE"/>
    <w:rsid w:val="00B517D7"/>
    <w:rsid w:val="00B51954"/>
    <w:rsid w:val="00B52166"/>
    <w:rsid w:val="00B527A6"/>
    <w:rsid w:val="00B52D03"/>
    <w:rsid w:val="00B54F40"/>
    <w:rsid w:val="00B5644C"/>
    <w:rsid w:val="00B56F50"/>
    <w:rsid w:val="00B602A5"/>
    <w:rsid w:val="00B61F03"/>
    <w:rsid w:val="00B621F2"/>
    <w:rsid w:val="00B626E4"/>
    <w:rsid w:val="00B62EB1"/>
    <w:rsid w:val="00B64B0E"/>
    <w:rsid w:val="00B64B83"/>
    <w:rsid w:val="00B64C30"/>
    <w:rsid w:val="00B658F8"/>
    <w:rsid w:val="00B67FCF"/>
    <w:rsid w:val="00B700BE"/>
    <w:rsid w:val="00B70795"/>
    <w:rsid w:val="00B70807"/>
    <w:rsid w:val="00B70C78"/>
    <w:rsid w:val="00B71823"/>
    <w:rsid w:val="00B71BB2"/>
    <w:rsid w:val="00B724AB"/>
    <w:rsid w:val="00B72F4A"/>
    <w:rsid w:val="00B737A7"/>
    <w:rsid w:val="00B739F3"/>
    <w:rsid w:val="00B74C00"/>
    <w:rsid w:val="00B765EE"/>
    <w:rsid w:val="00B76693"/>
    <w:rsid w:val="00B7671C"/>
    <w:rsid w:val="00B805C4"/>
    <w:rsid w:val="00B8171F"/>
    <w:rsid w:val="00B83C27"/>
    <w:rsid w:val="00B84358"/>
    <w:rsid w:val="00B84A38"/>
    <w:rsid w:val="00B84BC3"/>
    <w:rsid w:val="00B84BDD"/>
    <w:rsid w:val="00B84DFD"/>
    <w:rsid w:val="00B8590B"/>
    <w:rsid w:val="00B85CCD"/>
    <w:rsid w:val="00B87390"/>
    <w:rsid w:val="00B92557"/>
    <w:rsid w:val="00B92812"/>
    <w:rsid w:val="00B92820"/>
    <w:rsid w:val="00B93824"/>
    <w:rsid w:val="00B9563C"/>
    <w:rsid w:val="00B9592E"/>
    <w:rsid w:val="00B95D58"/>
    <w:rsid w:val="00BA076C"/>
    <w:rsid w:val="00BA0ACC"/>
    <w:rsid w:val="00BA0F2A"/>
    <w:rsid w:val="00BA166C"/>
    <w:rsid w:val="00BA36BB"/>
    <w:rsid w:val="00BA43D6"/>
    <w:rsid w:val="00BA44E6"/>
    <w:rsid w:val="00BA5365"/>
    <w:rsid w:val="00BA72F2"/>
    <w:rsid w:val="00BA7575"/>
    <w:rsid w:val="00BB0E11"/>
    <w:rsid w:val="00BB3520"/>
    <w:rsid w:val="00BB45A1"/>
    <w:rsid w:val="00BB6554"/>
    <w:rsid w:val="00BB6653"/>
    <w:rsid w:val="00BB7686"/>
    <w:rsid w:val="00BB7F7F"/>
    <w:rsid w:val="00BC171D"/>
    <w:rsid w:val="00BC23F9"/>
    <w:rsid w:val="00BC26E9"/>
    <w:rsid w:val="00BC2B2A"/>
    <w:rsid w:val="00BC3421"/>
    <w:rsid w:val="00BC732C"/>
    <w:rsid w:val="00BC7D35"/>
    <w:rsid w:val="00BC7DED"/>
    <w:rsid w:val="00BD0056"/>
    <w:rsid w:val="00BD37C6"/>
    <w:rsid w:val="00BD48AA"/>
    <w:rsid w:val="00BD6A7C"/>
    <w:rsid w:val="00BE0308"/>
    <w:rsid w:val="00BE0827"/>
    <w:rsid w:val="00BE08DD"/>
    <w:rsid w:val="00BE0BFF"/>
    <w:rsid w:val="00BE0C77"/>
    <w:rsid w:val="00BE11C9"/>
    <w:rsid w:val="00BE1C2A"/>
    <w:rsid w:val="00BE1D1F"/>
    <w:rsid w:val="00BE2580"/>
    <w:rsid w:val="00BE266D"/>
    <w:rsid w:val="00BE3938"/>
    <w:rsid w:val="00BE425C"/>
    <w:rsid w:val="00BE45DD"/>
    <w:rsid w:val="00BE4C11"/>
    <w:rsid w:val="00BE5B67"/>
    <w:rsid w:val="00BE6169"/>
    <w:rsid w:val="00BE6867"/>
    <w:rsid w:val="00BE6BFD"/>
    <w:rsid w:val="00BE71C0"/>
    <w:rsid w:val="00BF12C5"/>
    <w:rsid w:val="00BF28B9"/>
    <w:rsid w:val="00BF5B02"/>
    <w:rsid w:val="00BF5E7D"/>
    <w:rsid w:val="00BF610C"/>
    <w:rsid w:val="00BF79FC"/>
    <w:rsid w:val="00C0060B"/>
    <w:rsid w:val="00C0094D"/>
    <w:rsid w:val="00C00CFE"/>
    <w:rsid w:val="00C00F2A"/>
    <w:rsid w:val="00C01500"/>
    <w:rsid w:val="00C01DC6"/>
    <w:rsid w:val="00C0277D"/>
    <w:rsid w:val="00C02C77"/>
    <w:rsid w:val="00C02DD5"/>
    <w:rsid w:val="00C03B40"/>
    <w:rsid w:val="00C04A46"/>
    <w:rsid w:val="00C04C87"/>
    <w:rsid w:val="00C053A1"/>
    <w:rsid w:val="00C06354"/>
    <w:rsid w:val="00C06F8B"/>
    <w:rsid w:val="00C07769"/>
    <w:rsid w:val="00C07CBE"/>
    <w:rsid w:val="00C1201C"/>
    <w:rsid w:val="00C1287B"/>
    <w:rsid w:val="00C13981"/>
    <w:rsid w:val="00C13F23"/>
    <w:rsid w:val="00C145A0"/>
    <w:rsid w:val="00C1599E"/>
    <w:rsid w:val="00C159C1"/>
    <w:rsid w:val="00C15AFD"/>
    <w:rsid w:val="00C16198"/>
    <w:rsid w:val="00C2083D"/>
    <w:rsid w:val="00C213AA"/>
    <w:rsid w:val="00C22E14"/>
    <w:rsid w:val="00C233CD"/>
    <w:rsid w:val="00C237E4"/>
    <w:rsid w:val="00C23CAE"/>
    <w:rsid w:val="00C240F3"/>
    <w:rsid w:val="00C24A53"/>
    <w:rsid w:val="00C25B8D"/>
    <w:rsid w:val="00C269D8"/>
    <w:rsid w:val="00C26C86"/>
    <w:rsid w:val="00C2714E"/>
    <w:rsid w:val="00C328E4"/>
    <w:rsid w:val="00C335A8"/>
    <w:rsid w:val="00C336C7"/>
    <w:rsid w:val="00C354B9"/>
    <w:rsid w:val="00C35B92"/>
    <w:rsid w:val="00C35F4E"/>
    <w:rsid w:val="00C36033"/>
    <w:rsid w:val="00C36BE3"/>
    <w:rsid w:val="00C37183"/>
    <w:rsid w:val="00C4032F"/>
    <w:rsid w:val="00C40BFE"/>
    <w:rsid w:val="00C41432"/>
    <w:rsid w:val="00C41A36"/>
    <w:rsid w:val="00C4200B"/>
    <w:rsid w:val="00C42348"/>
    <w:rsid w:val="00C4263A"/>
    <w:rsid w:val="00C42F64"/>
    <w:rsid w:val="00C4359D"/>
    <w:rsid w:val="00C43AC3"/>
    <w:rsid w:val="00C44047"/>
    <w:rsid w:val="00C44A60"/>
    <w:rsid w:val="00C45155"/>
    <w:rsid w:val="00C459D4"/>
    <w:rsid w:val="00C4689F"/>
    <w:rsid w:val="00C46D7A"/>
    <w:rsid w:val="00C46FA0"/>
    <w:rsid w:val="00C501E4"/>
    <w:rsid w:val="00C54247"/>
    <w:rsid w:val="00C542E9"/>
    <w:rsid w:val="00C5498F"/>
    <w:rsid w:val="00C551AD"/>
    <w:rsid w:val="00C55235"/>
    <w:rsid w:val="00C554AE"/>
    <w:rsid w:val="00C5560D"/>
    <w:rsid w:val="00C6014A"/>
    <w:rsid w:val="00C60969"/>
    <w:rsid w:val="00C648E6"/>
    <w:rsid w:val="00C64CD0"/>
    <w:rsid w:val="00C6578A"/>
    <w:rsid w:val="00C6684F"/>
    <w:rsid w:val="00C66F52"/>
    <w:rsid w:val="00C675CE"/>
    <w:rsid w:val="00C67672"/>
    <w:rsid w:val="00C70215"/>
    <w:rsid w:val="00C70E70"/>
    <w:rsid w:val="00C71565"/>
    <w:rsid w:val="00C7282B"/>
    <w:rsid w:val="00C72898"/>
    <w:rsid w:val="00C7335D"/>
    <w:rsid w:val="00C733AD"/>
    <w:rsid w:val="00C74059"/>
    <w:rsid w:val="00C74134"/>
    <w:rsid w:val="00C75E6F"/>
    <w:rsid w:val="00C75F8D"/>
    <w:rsid w:val="00C7636C"/>
    <w:rsid w:val="00C76D30"/>
    <w:rsid w:val="00C770C0"/>
    <w:rsid w:val="00C77380"/>
    <w:rsid w:val="00C80877"/>
    <w:rsid w:val="00C82BFA"/>
    <w:rsid w:val="00C82C42"/>
    <w:rsid w:val="00C82D41"/>
    <w:rsid w:val="00C83310"/>
    <w:rsid w:val="00C8377F"/>
    <w:rsid w:val="00C840DF"/>
    <w:rsid w:val="00C849B0"/>
    <w:rsid w:val="00C850EE"/>
    <w:rsid w:val="00C8550A"/>
    <w:rsid w:val="00C85677"/>
    <w:rsid w:val="00C858E3"/>
    <w:rsid w:val="00C876C5"/>
    <w:rsid w:val="00C87DBB"/>
    <w:rsid w:val="00C904E9"/>
    <w:rsid w:val="00C9126C"/>
    <w:rsid w:val="00C92AA3"/>
    <w:rsid w:val="00C9410B"/>
    <w:rsid w:val="00C944ED"/>
    <w:rsid w:val="00C94C60"/>
    <w:rsid w:val="00C94FA1"/>
    <w:rsid w:val="00C959D1"/>
    <w:rsid w:val="00C96164"/>
    <w:rsid w:val="00C963F6"/>
    <w:rsid w:val="00C97736"/>
    <w:rsid w:val="00C97AB3"/>
    <w:rsid w:val="00C97F4B"/>
    <w:rsid w:val="00CA0ED5"/>
    <w:rsid w:val="00CA22B0"/>
    <w:rsid w:val="00CA238A"/>
    <w:rsid w:val="00CA2921"/>
    <w:rsid w:val="00CA345A"/>
    <w:rsid w:val="00CA36E2"/>
    <w:rsid w:val="00CA5FD8"/>
    <w:rsid w:val="00CA63BC"/>
    <w:rsid w:val="00CA68DA"/>
    <w:rsid w:val="00CA7AA0"/>
    <w:rsid w:val="00CA7AD7"/>
    <w:rsid w:val="00CB05EA"/>
    <w:rsid w:val="00CB068C"/>
    <w:rsid w:val="00CB1191"/>
    <w:rsid w:val="00CB126E"/>
    <w:rsid w:val="00CB1E82"/>
    <w:rsid w:val="00CB31D4"/>
    <w:rsid w:val="00CB4AC8"/>
    <w:rsid w:val="00CB4BA8"/>
    <w:rsid w:val="00CB4C46"/>
    <w:rsid w:val="00CB52D7"/>
    <w:rsid w:val="00CB55E5"/>
    <w:rsid w:val="00CB5A70"/>
    <w:rsid w:val="00CB5B6E"/>
    <w:rsid w:val="00CB655C"/>
    <w:rsid w:val="00CB7161"/>
    <w:rsid w:val="00CB7B2E"/>
    <w:rsid w:val="00CC0E65"/>
    <w:rsid w:val="00CC1BC1"/>
    <w:rsid w:val="00CC3066"/>
    <w:rsid w:val="00CC3E14"/>
    <w:rsid w:val="00CC4577"/>
    <w:rsid w:val="00CC6248"/>
    <w:rsid w:val="00CC6732"/>
    <w:rsid w:val="00CC6FFD"/>
    <w:rsid w:val="00CC7261"/>
    <w:rsid w:val="00CD05B7"/>
    <w:rsid w:val="00CD0908"/>
    <w:rsid w:val="00CD3539"/>
    <w:rsid w:val="00CD3EB9"/>
    <w:rsid w:val="00CD4A64"/>
    <w:rsid w:val="00CD70D4"/>
    <w:rsid w:val="00CD7267"/>
    <w:rsid w:val="00CE0C14"/>
    <w:rsid w:val="00CE2068"/>
    <w:rsid w:val="00CE2126"/>
    <w:rsid w:val="00CE32D1"/>
    <w:rsid w:val="00CE3C96"/>
    <w:rsid w:val="00CE5181"/>
    <w:rsid w:val="00CE51A8"/>
    <w:rsid w:val="00CE65AC"/>
    <w:rsid w:val="00CE66E2"/>
    <w:rsid w:val="00CE7C08"/>
    <w:rsid w:val="00CE7E9A"/>
    <w:rsid w:val="00CF091D"/>
    <w:rsid w:val="00CF124B"/>
    <w:rsid w:val="00CF15A6"/>
    <w:rsid w:val="00CF2002"/>
    <w:rsid w:val="00CF2541"/>
    <w:rsid w:val="00CF2908"/>
    <w:rsid w:val="00CF369B"/>
    <w:rsid w:val="00CF3C04"/>
    <w:rsid w:val="00CF4351"/>
    <w:rsid w:val="00CF43DA"/>
    <w:rsid w:val="00CF4A91"/>
    <w:rsid w:val="00CF5BA2"/>
    <w:rsid w:val="00CF6576"/>
    <w:rsid w:val="00CF7199"/>
    <w:rsid w:val="00D00461"/>
    <w:rsid w:val="00D0090B"/>
    <w:rsid w:val="00D00E28"/>
    <w:rsid w:val="00D013D4"/>
    <w:rsid w:val="00D014F8"/>
    <w:rsid w:val="00D01EF3"/>
    <w:rsid w:val="00D0269E"/>
    <w:rsid w:val="00D03576"/>
    <w:rsid w:val="00D03A74"/>
    <w:rsid w:val="00D03BF6"/>
    <w:rsid w:val="00D04660"/>
    <w:rsid w:val="00D0532F"/>
    <w:rsid w:val="00D05DAE"/>
    <w:rsid w:val="00D06AE7"/>
    <w:rsid w:val="00D06B3C"/>
    <w:rsid w:val="00D070B3"/>
    <w:rsid w:val="00D07ADE"/>
    <w:rsid w:val="00D11191"/>
    <w:rsid w:val="00D115FD"/>
    <w:rsid w:val="00D12137"/>
    <w:rsid w:val="00D12411"/>
    <w:rsid w:val="00D14AAA"/>
    <w:rsid w:val="00D14C67"/>
    <w:rsid w:val="00D15576"/>
    <w:rsid w:val="00D15810"/>
    <w:rsid w:val="00D15AEA"/>
    <w:rsid w:val="00D16D4E"/>
    <w:rsid w:val="00D16FE3"/>
    <w:rsid w:val="00D17105"/>
    <w:rsid w:val="00D209EA"/>
    <w:rsid w:val="00D20E5B"/>
    <w:rsid w:val="00D22079"/>
    <w:rsid w:val="00D221BE"/>
    <w:rsid w:val="00D231FE"/>
    <w:rsid w:val="00D239DB"/>
    <w:rsid w:val="00D23B69"/>
    <w:rsid w:val="00D2446E"/>
    <w:rsid w:val="00D24AD5"/>
    <w:rsid w:val="00D24F95"/>
    <w:rsid w:val="00D24FA5"/>
    <w:rsid w:val="00D267F1"/>
    <w:rsid w:val="00D26C78"/>
    <w:rsid w:val="00D27F41"/>
    <w:rsid w:val="00D30936"/>
    <w:rsid w:val="00D31FB2"/>
    <w:rsid w:val="00D32036"/>
    <w:rsid w:val="00D325B3"/>
    <w:rsid w:val="00D32812"/>
    <w:rsid w:val="00D328BD"/>
    <w:rsid w:val="00D333B0"/>
    <w:rsid w:val="00D336E0"/>
    <w:rsid w:val="00D34981"/>
    <w:rsid w:val="00D358D9"/>
    <w:rsid w:val="00D36441"/>
    <w:rsid w:val="00D365C5"/>
    <w:rsid w:val="00D36D2E"/>
    <w:rsid w:val="00D36FEB"/>
    <w:rsid w:val="00D37B90"/>
    <w:rsid w:val="00D4064E"/>
    <w:rsid w:val="00D42E68"/>
    <w:rsid w:val="00D433AD"/>
    <w:rsid w:val="00D44330"/>
    <w:rsid w:val="00D44746"/>
    <w:rsid w:val="00D44E9B"/>
    <w:rsid w:val="00D45536"/>
    <w:rsid w:val="00D4566A"/>
    <w:rsid w:val="00D45B88"/>
    <w:rsid w:val="00D4778E"/>
    <w:rsid w:val="00D47AEB"/>
    <w:rsid w:val="00D47C99"/>
    <w:rsid w:val="00D50DB9"/>
    <w:rsid w:val="00D5161E"/>
    <w:rsid w:val="00D516EA"/>
    <w:rsid w:val="00D52057"/>
    <w:rsid w:val="00D52C43"/>
    <w:rsid w:val="00D52C48"/>
    <w:rsid w:val="00D53F1A"/>
    <w:rsid w:val="00D54769"/>
    <w:rsid w:val="00D55F42"/>
    <w:rsid w:val="00D56EA5"/>
    <w:rsid w:val="00D577FC"/>
    <w:rsid w:val="00D57815"/>
    <w:rsid w:val="00D57C8F"/>
    <w:rsid w:val="00D61234"/>
    <w:rsid w:val="00D61479"/>
    <w:rsid w:val="00D620EB"/>
    <w:rsid w:val="00D6278B"/>
    <w:rsid w:val="00D63044"/>
    <w:rsid w:val="00D64428"/>
    <w:rsid w:val="00D6458F"/>
    <w:rsid w:val="00D64CF7"/>
    <w:rsid w:val="00D6507F"/>
    <w:rsid w:val="00D65153"/>
    <w:rsid w:val="00D667A9"/>
    <w:rsid w:val="00D66C50"/>
    <w:rsid w:val="00D67451"/>
    <w:rsid w:val="00D70093"/>
    <w:rsid w:val="00D70360"/>
    <w:rsid w:val="00D705AC"/>
    <w:rsid w:val="00D71662"/>
    <w:rsid w:val="00D730BC"/>
    <w:rsid w:val="00D73912"/>
    <w:rsid w:val="00D73947"/>
    <w:rsid w:val="00D74130"/>
    <w:rsid w:val="00D74AD9"/>
    <w:rsid w:val="00D775C1"/>
    <w:rsid w:val="00D77974"/>
    <w:rsid w:val="00D77EB5"/>
    <w:rsid w:val="00D811C6"/>
    <w:rsid w:val="00D813B1"/>
    <w:rsid w:val="00D816A6"/>
    <w:rsid w:val="00D827E0"/>
    <w:rsid w:val="00D848C5"/>
    <w:rsid w:val="00D84DDE"/>
    <w:rsid w:val="00D8500B"/>
    <w:rsid w:val="00D85226"/>
    <w:rsid w:val="00D85671"/>
    <w:rsid w:val="00D8673F"/>
    <w:rsid w:val="00D87B94"/>
    <w:rsid w:val="00D87CFC"/>
    <w:rsid w:val="00D9180C"/>
    <w:rsid w:val="00D918E5"/>
    <w:rsid w:val="00D91A1A"/>
    <w:rsid w:val="00D91FC3"/>
    <w:rsid w:val="00D92C9C"/>
    <w:rsid w:val="00D92D49"/>
    <w:rsid w:val="00D92EC1"/>
    <w:rsid w:val="00D93DD7"/>
    <w:rsid w:val="00D95355"/>
    <w:rsid w:val="00D956EF"/>
    <w:rsid w:val="00D95A36"/>
    <w:rsid w:val="00D967D3"/>
    <w:rsid w:val="00D96DEA"/>
    <w:rsid w:val="00DA02FA"/>
    <w:rsid w:val="00DA0EAA"/>
    <w:rsid w:val="00DA1F3A"/>
    <w:rsid w:val="00DA2145"/>
    <w:rsid w:val="00DA2C1A"/>
    <w:rsid w:val="00DA2CCF"/>
    <w:rsid w:val="00DA33D6"/>
    <w:rsid w:val="00DA3432"/>
    <w:rsid w:val="00DA3DB6"/>
    <w:rsid w:val="00DA3F0C"/>
    <w:rsid w:val="00DA43C4"/>
    <w:rsid w:val="00DA46F3"/>
    <w:rsid w:val="00DA48E6"/>
    <w:rsid w:val="00DA4987"/>
    <w:rsid w:val="00DA4E41"/>
    <w:rsid w:val="00DA522F"/>
    <w:rsid w:val="00DA571C"/>
    <w:rsid w:val="00DA5DCA"/>
    <w:rsid w:val="00DA6020"/>
    <w:rsid w:val="00DA60B6"/>
    <w:rsid w:val="00DA6358"/>
    <w:rsid w:val="00DA644E"/>
    <w:rsid w:val="00DA6EBC"/>
    <w:rsid w:val="00DB117A"/>
    <w:rsid w:val="00DB1504"/>
    <w:rsid w:val="00DB34E4"/>
    <w:rsid w:val="00DB5173"/>
    <w:rsid w:val="00DB5B39"/>
    <w:rsid w:val="00DB5D13"/>
    <w:rsid w:val="00DB6EC4"/>
    <w:rsid w:val="00DB7240"/>
    <w:rsid w:val="00DB7760"/>
    <w:rsid w:val="00DB7873"/>
    <w:rsid w:val="00DB7DF5"/>
    <w:rsid w:val="00DC033E"/>
    <w:rsid w:val="00DC0661"/>
    <w:rsid w:val="00DC187B"/>
    <w:rsid w:val="00DC21D3"/>
    <w:rsid w:val="00DC3721"/>
    <w:rsid w:val="00DC3D35"/>
    <w:rsid w:val="00DC438F"/>
    <w:rsid w:val="00DC4BD6"/>
    <w:rsid w:val="00DC5A2B"/>
    <w:rsid w:val="00DC5B84"/>
    <w:rsid w:val="00DC5C34"/>
    <w:rsid w:val="00DC6527"/>
    <w:rsid w:val="00DC6C8A"/>
    <w:rsid w:val="00DC7D77"/>
    <w:rsid w:val="00DC7FCF"/>
    <w:rsid w:val="00DD0947"/>
    <w:rsid w:val="00DD13F3"/>
    <w:rsid w:val="00DD1B94"/>
    <w:rsid w:val="00DD2621"/>
    <w:rsid w:val="00DD289D"/>
    <w:rsid w:val="00DD554B"/>
    <w:rsid w:val="00DD5973"/>
    <w:rsid w:val="00DD73C2"/>
    <w:rsid w:val="00DD75F3"/>
    <w:rsid w:val="00DE0D2A"/>
    <w:rsid w:val="00DE11C7"/>
    <w:rsid w:val="00DE1773"/>
    <w:rsid w:val="00DE193E"/>
    <w:rsid w:val="00DE319B"/>
    <w:rsid w:val="00DE3DDE"/>
    <w:rsid w:val="00DE433D"/>
    <w:rsid w:val="00DE4906"/>
    <w:rsid w:val="00DE55AC"/>
    <w:rsid w:val="00DE5CDC"/>
    <w:rsid w:val="00DE6CD7"/>
    <w:rsid w:val="00DF0128"/>
    <w:rsid w:val="00DF0F54"/>
    <w:rsid w:val="00DF120D"/>
    <w:rsid w:val="00DF1481"/>
    <w:rsid w:val="00DF246B"/>
    <w:rsid w:val="00DF34FE"/>
    <w:rsid w:val="00DF46EF"/>
    <w:rsid w:val="00DF4D7E"/>
    <w:rsid w:val="00DF4E63"/>
    <w:rsid w:val="00DF56AA"/>
    <w:rsid w:val="00DF5B53"/>
    <w:rsid w:val="00DF64E4"/>
    <w:rsid w:val="00DF78E7"/>
    <w:rsid w:val="00DF79A9"/>
    <w:rsid w:val="00E0120E"/>
    <w:rsid w:val="00E01CC0"/>
    <w:rsid w:val="00E02A98"/>
    <w:rsid w:val="00E054A2"/>
    <w:rsid w:val="00E05A14"/>
    <w:rsid w:val="00E0601A"/>
    <w:rsid w:val="00E06E3B"/>
    <w:rsid w:val="00E06E7E"/>
    <w:rsid w:val="00E07496"/>
    <w:rsid w:val="00E07E6C"/>
    <w:rsid w:val="00E10BFF"/>
    <w:rsid w:val="00E110E0"/>
    <w:rsid w:val="00E111EE"/>
    <w:rsid w:val="00E1174B"/>
    <w:rsid w:val="00E12F52"/>
    <w:rsid w:val="00E13295"/>
    <w:rsid w:val="00E13A93"/>
    <w:rsid w:val="00E14AA6"/>
    <w:rsid w:val="00E14D10"/>
    <w:rsid w:val="00E15371"/>
    <w:rsid w:val="00E15FC7"/>
    <w:rsid w:val="00E17D25"/>
    <w:rsid w:val="00E17DD3"/>
    <w:rsid w:val="00E2013A"/>
    <w:rsid w:val="00E2057C"/>
    <w:rsid w:val="00E20844"/>
    <w:rsid w:val="00E20EE2"/>
    <w:rsid w:val="00E24104"/>
    <w:rsid w:val="00E2469F"/>
    <w:rsid w:val="00E24A32"/>
    <w:rsid w:val="00E24CE1"/>
    <w:rsid w:val="00E25995"/>
    <w:rsid w:val="00E2646E"/>
    <w:rsid w:val="00E3006E"/>
    <w:rsid w:val="00E302D0"/>
    <w:rsid w:val="00E31AF3"/>
    <w:rsid w:val="00E333B2"/>
    <w:rsid w:val="00E339C4"/>
    <w:rsid w:val="00E34230"/>
    <w:rsid w:val="00E35707"/>
    <w:rsid w:val="00E36AA1"/>
    <w:rsid w:val="00E37000"/>
    <w:rsid w:val="00E37A9B"/>
    <w:rsid w:val="00E409E6"/>
    <w:rsid w:val="00E41174"/>
    <w:rsid w:val="00E41695"/>
    <w:rsid w:val="00E41E2D"/>
    <w:rsid w:val="00E41ECB"/>
    <w:rsid w:val="00E433FE"/>
    <w:rsid w:val="00E43C92"/>
    <w:rsid w:val="00E44029"/>
    <w:rsid w:val="00E44C4C"/>
    <w:rsid w:val="00E44C9E"/>
    <w:rsid w:val="00E450DF"/>
    <w:rsid w:val="00E46887"/>
    <w:rsid w:val="00E46FB1"/>
    <w:rsid w:val="00E47824"/>
    <w:rsid w:val="00E47BDE"/>
    <w:rsid w:val="00E503DA"/>
    <w:rsid w:val="00E51237"/>
    <w:rsid w:val="00E5209F"/>
    <w:rsid w:val="00E53EC7"/>
    <w:rsid w:val="00E548FC"/>
    <w:rsid w:val="00E54FDB"/>
    <w:rsid w:val="00E5617D"/>
    <w:rsid w:val="00E563D7"/>
    <w:rsid w:val="00E576C7"/>
    <w:rsid w:val="00E57E21"/>
    <w:rsid w:val="00E627A4"/>
    <w:rsid w:val="00E62DF3"/>
    <w:rsid w:val="00E62EF3"/>
    <w:rsid w:val="00E62F51"/>
    <w:rsid w:val="00E632F0"/>
    <w:rsid w:val="00E635D8"/>
    <w:rsid w:val="00E637FF"/>
    <w:rsid w:val="00E63D56"/>
    <w:rsid w:val="00E6574F"/>
    <w:rsid w:val="00E6600A"/>
    <w:rsid w:val="00E663F4"/>
    <w:rsid w:val="00E666F2"/>
    <w:rsid w:val="00E66DD4"/>
    <w:rsid w:val="00E670A3"/>
    <w:rsid w:val="00E67DA1"/>
    <w:rsid w:val="00E70AC3"/>
    <w:rsid w:val="00E7301A"/>
    <w:rsid w:val="00E731A6"/>
    <w:rsid w:val="00E748CC"/>
    <w:rsid w:val="00E75415"/>
    <w:rsid w:val="00E77227"/>
    <w:rsid w:val="00E775B1"/>
    <w:rsid w:val="00E77AC7"/>
    <w:rsid w:val="00E807B8"/>
    <w:rsid w:val="00E809B8"/>
    <w:rsid w:val="00E8152A"/>
    <w:rsid w:val="00E8185B"/>
    <w:rsid w:val="00E837E9"/>
    <w:rsid w:val="00E841D7"/>
    <w:rsid w:val="00E848B7"/>
    <w:rsid w:val="00E8628B"/>
    <w:rsid w:val="00E87883"/>
    <w:rsid w:val="00E878F4"/>
    <w:rsid w:val="00E87B3B"/>
    <w:rsid w:val="00E90994"/>
    <w:rsid w:val="00E91F02"/>
    <w:rsid w:val="00E92F6A"/>
    <w:rsid w:val="00E935EA"/>
    <w:rsid w:val="00E93629"/>
    <w:rsid w:val="00E93663"/>
    <w:rsid w:val="00E93B5C"/>
    <w:rsid w:val="00E93F32"/>
    <w:rsid w:val="00E94313"/>
    <w:rsid w:val="00E94A67"/>
    <w:rsid w:val="00E94CEC"/>
    <w:rsid w:val="00E95807"/>
    <w:rsid w:val="00E96C63"/>
    <w:rsid w:val="00E97126"/>
    <w:rsid w:val="00E97138"/>
    <w:rsid w:val="00E97E00"/>
    <w:rsid w:val="00E97EA4"/>
    <w:rsid w:val="00EA04EF"/>
    <w:rsid w:val="00EA0C28"/>
    <w:rsid w:val="00EA2CB1"/>
    <w:rsid w:val="00EA2F72"/>
    <w:rsid w:val="00EA3057"/>
    <w:rsid w:val="00EA6B1F"/>
    <w:rsid w:val="00EA6C2C"/>
    <w:rsid w:val="00EA6F19"/>
    <w:rsid w:val="00EA7CE8"/>
    <w:rsid w:val="00EA7D21"/>
    <w:rsid w:val="00EB032C"/>
    <w:rsid w:val="00EB144D"/>
    <w:rsid w:val="00EB26D8"/>
    <w:rsid w:val="00EB373E"/>
    <w:rsid w:val="00EB43A7"/>
    <w:rsid w:val="00EB5688"/>
    <w:rsid w:val="00EB5DEE"/>
    <w:rsid w:val="00EB6088"/>
    <w:rsid w:val="00EB6DA0"/>
    <w:rsid w:val="00EB7090"/>
    <w:rsid w:val="00EB72E8"/>
    <w:rsid w:val="00EB7514"/>
    <w:rsid w:val="00EB77FE"/>
    <w:rsid w:val="00EC1BBE"/>
    <w:rsid w:val="00EC5CB5"/>
    <w:rsid w:val="00EC5CD7"/>
    <w:rsid w:val="00EC5F87"/>
    <w:rsid w:val="00EC610B"/>
    <w:rsid w:val="00EC63CB"/>
    <w:rsid w:val="00EC6FA9"/>
    <w:rsid w:val="00EC7346"/>
    <w:rsid w:val="00EC7605"/>
    <w:rsid w:val="00ED0284"/>
    <w:rsid w:val="00ED0878"/>
    <w:rsid w:val="00ED0E2C"/>
    <w:rsid w:val="00ED1B3D"/>
    <w:rsid w:val="00ED21E5"/>
    <w:rsid w:val="00ED2247"/>
    <w:rsid w:val="00ED2657"/>
    <w:rsid w:val="00ED2B52"/>
    <w:rsid w:val="00ED2DE1"/>
    <w:rsid w:val="00ED453C"/>
    <w:rsid w:val="00ED46A9"/>
    <w:rsid w:val="00ED5392"/>
    <w:rsid w:val="00EE00FC"/>
    <w:rsid w:val="00EE1C2D"/>
    <w:rsid w:val="00EE1E94"/>
    <w:rsid w:val="00EE20C0"/>
    <w:rsid w:val="00EE270D"/>
    <w:rsid w:val="00EE3D10"/>
    <w:rsid w:val="00EE4AC7"/>
    <w:rsid w:val="00EE4C93"/>
    <w:rsid w:val="00EE5FB3"/>
    <w:rsid w:val="00EE6BE8"/>
    <w:rsid w:val="00EE7F79"/>
    <w:rsid w:val="00EF1531"/>
    <w:rsid w:val="00EF2079"/>
    <w:rsid w:val="00EF26BB"/>
    <w:rsid w:val="00EF5035"/>
    <w:rsid w:val="00EF597D"/>
    <w:rsid w:val="00EF715A"/>
    <w:rsid w:val="00EF71C1"/>
    <w:rsid w:val="00F004B8"/>
    <w:rsid w:val="00F018ED"/>
    <w:rsid w:val="00F03931"/>
    <w:rsid w:val="00F046C3"/>
    <w:rsid w:val="00F046DB"/>
    <w:rsid w:val="00F04EB8"/>
    <w:rsid w:val="00F06E14"/>
    <w:rsid w:val="00F077E9"/>
    <w:rsid w:val="00F11627"/>
    <w:rsid w:val="00F11684"/>
    <w:rsid w:val="00F119D6"/>
    <w:rsid w:val="00F12895"/>
    <w:rsid w:val="00F1358B"/>
    <w:rsid w:val="00F15D15"/>
    <w:rsid w:val="00F15F44"/>
    <w:rsid w:val="00F174FD"/>
    <w:rsid w:val="00F179D4"/>
    <w:rsid w:val="00F206A0"/>
    <w:rsid w:val="00F20988"/>
    <w:rsid w:val="00F23A25"/>
    <w:rsid w:val="00F24B0F"/>
    <w:rsid w:val="00F25007"/>
    <w:rsid w:val="00F253C1"/>
    <w:rsid w:val="00F2576D"/>
    <w:rsid w:val="00F26EAB"/>
    <w:rsid w:val="00F276FF"/>
    <w:rsid w:val="00F277B2"/>
    <w:rsid w:val="00F3138B"/>
    <w:rsid w:val="00F31452"/>
    <w:rsid w:val="00F316F8"/>
    <w:rsid w:val="00F319C9"/>
    <w:rsid w:val="00F31B8E"/>
    <w:rsid w:val="00F33C56"/>
    <w:rsid w:val="00F347C7"/>
    <w:rsid w:val="00F34848"/>
    <w:rsid w:val="00F34D96"/>
    <w:rsid w:val="00F3596F"/>
    <w:rsid w:val="00F3651C"/>
    <w:rsid w:val="00F36693"/>
    <w:rsid w:val="00F36F09"/>
    <w:rsid w:val="00F400F4"/>
    <w:rsid w:val="00F40EA4"/>
    <w:rsid w:val="00F42457"/>
    <w:rsid w:val="00F42D46"/>
    <w:rsid w:val="00F43BDA"/>
    <w:rsid w:val="00F4496C"/>
    <w:rsid w:val="00F44C75"/>
    <w:rsid w:val="00F44F3A"/>
    <w:rsid w:val="00F45E60"/>
    <w:rsid w:val="00F46125"/>
    <w:rsid w:val="00F46355"/>
    <w:rsid w:val="00F4757E"/>
    <w:rsid w:val="00F478EC"/>
    <w:rsid w:val="00F51F10"/>
    <w:rsid w:val="00F52109"/>
    <w:rsid w:val="00F5273F"/>
    <w:rsid w:val="00F529A5"/>
    <w:rsid w:val="00F53314"/>
    <w:rsid w:val="00F5443D"/>
    <w:rsid w:val="00F55484"/>
    <w:rsid w:val="00F56648"/>
    <w:rsid w:val="00F567FC"/>
    <w:rsid w:val="00F60472"/>
    <w:rsid w:val="00F60544"/>
    <w:rsid w:val="00F60977"/>
    <w:rsid w:val="00F60D12"/>
    <w:rsid w:val="00F60F00"/>
    <w:rsid w:val="00F614C0"/>
    <w:rsid w:val="00F62602"/>
    <w:rsid w:val="00F63224"/>
    <w:rsid w:val="00F632C6"/>
    <w:rsid w:val="00F632E7"/>
    <w:rsid w:val="00F63D93"/>
    <w:rsid w:val="00F63E9A"/>
    <w:rsid w:val="00F641F6"/>
    <w:rsid w:val="00F65577"/>
    <w:rsid w:val="00F65B47"/>
    <w:rsid w:val="00F65B51"/>
    <w:rsid w:val="00F65D6F"/>
    <w:rsid w:val="00F65EB8"/>
    <w:rsid w:val="00F67EE1"/>
    <w:rsid w:val="00F702A6"/>
    <w:rsid w:val="00F71171"/>
    <w:rsid w:val="00F72263"/>
    <w:rsid w:val="00F729FB"/>
    <w:rsid w:val="00F72B79"/>
    <w:rsid w:val="00F74854"/>
    <w:rsid w:val="00F74E6A"/>
    <w:rsid w:val="00F7548D"/>
    <w:rsid w:val="00F76C52"/>
    <w:rsid w:val="00F804F8"/>
    <w:rsid w:val="00F830B9"/>
    <w:rsid w:val="00F83848"/>
    <w:rsid w:val="00F83BF4"/>
    <w:rsid w:val="00F841A5"/>
    <w:rsid w:val="00F84AAF"/>
    <w:rsid w:val="00F84E1B"/>
    <w:rsid w:val="00F84E82"/>
    <w:rsid w:val="00F85896"/>
    <w:rsid w:val="00F8719D"/>
    <w:rsid w:val="00F904C8"/>
    <w:rsid w:val="00F904E6"/>
    <w:rsid w:val="00F91010"/>
    <w:rsid w:val="00F918A1"/>
    <w:rsid w:val="00F91DDE"/>
    <w:rsid w:val="00F920A5"/>
    <w:rsid w:val="00F92595"/>
    <w:rsid w:val="00F93678"/>
    <w:rsid w:val="00F93DAB"/>
    <w:rsid w:val="00F94278"/>
    <w:rsid w:val="00F947E5"/>
    <w:rsid w:val="00F94B10"/>
    <w:rsid w:val="00F9515B"/>
    <w:rsid w:val="00F954E6"/>
    <w:rsid w:val="00F9660C"/>
    <w:rsid w:val="00F96D9A"/>
    <w:rsid w:val="00F97039"/>
    <w:rsid w:val="00F9704D"/>
    <w:rsid w:val="00F975E9"/>
    <w:rsid w:val="00F9785F"/>
    <w:rsid w:val="00FA048E"/>
    <w:rsid w:val="00FA0818"/>
    <w:rsid w:val="00FA1B7D"/>
    <w:rsid w:val="00FA2C57"/>
    <w:rsid w:val="00FA3A88"/>
    <w:rsid w:val="00FA4516"/>
    <w:rsid w:val="00FA459E"/>
    <w:rsid w:val="00FA77B7"/>
    <w:rsid w:val="00FB0A80"/>
    <w:rsid w:val="00FB13E1"/>
    <w:rsid w:val="00FB16CE"/>
    <w:rsid w:val="00FB1F02"/>
    <w:rsid w:val="00FB2D95"/>
    <w:rsid w:val="00FB3BDE"/>
    <w:rsid w:val="00FB3C55"/>
    <w:rsid w:val="00FB4063"/>
    <w:rsid w:val="00FB55C6"/>
    <w:rsid w:val="00FB6A4E"/>
    <w:rsid w:val="00FB6BB5"/>
    <w:rsid w:val="00FC07B9"/>
    <w:rsid w:val="00FC0BBE"/>
    <w:rsid w:val="00FC1EBD"/>
    <w:rsid w:val="00FC2AF6"/>
    <w:rsid w:val="00FC3037"/>
    <w:rsid w:val="00FC3170"/>
    <w:rsid w:val="00FC338F"/>
    <w:rsid w:val="00FC388C"/>
    <w:rsid w:val="00FC4E21"/>
    <w:rsid w:val="00FC5F6D"/>
    <w:rsid w:val="00FC68B1"/>
    <w:rsid w:val="00FC6982"/>
    <w:rsid w:val="00FC6D20"/>
    <w:rsid w:val="00FD0107"/>
    <w:rsid w:val="00FD1A1E"/>
    <w:rsid w:val="00FD2879"/>
    <w:rsid w:val="00FD2BCE"/>
    <w:rsid w:val="00FD2C2F"/>
    <w:rsid w:val="00FD2C32"/>
    <w:rsid w:val="00FD3B31"/>
    <w:rsid w:val="00FD3E8F"/>
    <w:rsid w:val="00FD5571"/>
    <w:rsid w:val="00FD595E"/>
    <w:rsid w:val="00FD695A"/>
    <w:rsid w:val="00FD6A3F"/>
    <w:rsid w:val="00FE0E8E"/>
    <w:rsid w:val="00FE1663"/>
    <w:rsid w:val="00FE1823"/>
    <w:rsid w:val="00FE1AA7"/>
    <w:rsid w:val="00FE1DC1"/>
    <w:rsid w:val="00FE2CB3"/>
    <w:rsid w:val="00FE3594"/>
    <w:rsid w:val="00FE487A"/>
    <w:rsid w:val="00FE4A29"/>
    <w:rsid w:val="00FE4BFB"/>
    <w:rsid w:val="00FE4C0D"/>
    <w:rsid w:val="00FE6882"/>
    <w:rsid w:val="00FE6A91"/>
    <w:rsid w:val="00FE6B7B"/>
    <w:rsid w:val="00FE7B09"/>
    <w:rsid w:val="00FE7CE6"/>
    <w:rsid w:val="00FF0569"/>
    <w:rsid w:val="00FF206E"/>
    <w:rsid w:val="00FF23C4"/>
    <w:rsid w:val="00FF28B3"/>
    <w:rsid w:val="00FF2BF5"/>
    <w:rsid w:val="00FF3C69"/>
    <w:rsid w:val="00FF4105"/>
    <w:rsid w:val="00FF518B"/>
    <w:rsid w:val="00FF5433"/>
    <w:rsid w:val="00FF5605"/>
    <w:rsid w:val="00FF5FF2"/>
    <w:rsid w:val="00FF6E0A"/>
    <w:rsid w:val="00FF6EE1"/>
    <w:rsid w:val="00FF78D7"/>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red,#4d4d4f"/>
    </o:shapedefaults>
    <o:shapelayout v:ext="edit">
      <o:idmap v:ext="edit" data="1"/>
    </o:shapelayout>
  </w:shapeDefaults>
  <w:decimalSymbol w:val="."/>
  <w:listSeparator w:val=","/>
  <w14:docId w14:val="712C7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4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Plain Table 1" w:uiPriority="4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5956"/>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link w:val="ListBulletChar"/>
    <w:qFormat/>
    <w:rsid w:val="00D37B90"/>
    <w:pPr>
      <w:numPr>
        <w:numId w:val="38"/>
      </w:numPr>
      <w:spacing w:after="80"/>
    </w:pPr>
  </w:style>
  <w:style w:type="paragraph" w:styleId="ListBullet2">
    <w:name w:val="List Bullet 2"/>
    <w:basedOn w:val="Normal"/>
    <w:qFormat/>
    <w:rsid w:val="00A46FAE"/>
    <w:pPr>
      <w:numPr>
        <w:numId w:val="37"/>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Style 12,(NECG) Footnote Reference,Style 124,o,fr,Style 3,Appel note de bas de p1,Appel note de bas de p2,Appel note de bas de p3,Footnote Reference/"/>
    <w:basedOn w:val="DefaultParagraphFont"/>
    <w:rsid w:val="00566AB4"/>
    <w:rPr>
      <w:rFonts w:ascii="Arial" w:hAnsi="Arial"/>
      <w:vertAlign w:val="superscript"/>
    </w:rPr>
  </w:style>
  <w:style w:type="paragraph" w:styleId="FootnoteText">
    <w:name w:val="footnote text"/>
    <w:aliases w:val="ACMA Footnote Text,footnote text,Footnote Text Char1,Footnote Text Char Char,Footnote Text Char1 Char Char,Footnote Text Char Char Char Char,Footnote Text Char1 Char Char Char Char,Footnote Text Char Char Char Char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49"/>
    <w:semiHidden/>
    <w:rsid w:val="00EE7F79"/>
    <w:pPr>
      <w:spacing w:line="240" w:lineRule="auto"/>
    </w:pPr>
    <w:rPr>
      <w:szCs w:val="20"/>
    </w:rPr>
  </w:style>
  <w:style w:type="character" w:customStyle="1" w:styleId="CommentTextChar">
    <w:name w:val="Comment Text Char"/>
    <w:basedOn w:val="DefaultParagraphFont"/>
    <w:link w:val="CommentText"/>
    <w:uiPriority w:val="49"/>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D37B90"/>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2Char">
    <w:name w:val="Heading 2 Char"/>
    <w:aliases w:val="RIS Heading 2 Char"/>
    <w:basedOn w:val="DefaultParagraphFont"/>
    <w:link w:val="Heading2"/>
    <w:rsid w:val="00C944ED"/>
    <w:rPr>
      <w:rFonts w:ascii="Arial" w:hAnsi="Arial" w:cs="Arial"/>
      <w:b/>
      <w:bCs/>
      <w:iCs/>
      <w:sz w:val="28"/>
      <w:szCs w:val="28"/>
    </w:rPr>
  </w:style>
  <w:style w:type="character" w:customStyle="1" w:styleId="Heading3Char">
    <w:name w:val="Heading 3 Char"/>
    <w:basedOn w:val="DefaultParagraphFont"/>
    <w:link w:val="Heading3"/>
    <w:rsid w:val="00C944ED"/>
    <w:rPr>
      <w:rFonts w:ascii="Arial" w:hAnsi="Arial" w:cs="Arial"/>
      <w:b/>
      <w:bCs/>
      <w:sz w:val="20"/>
      <w:szCs w:val="26"/>
    </w:rPr>
  </w:style>
  <w:style w:type="paragraph" w:customStyle="1" w:styleId="Bodysubheader0">
    <w:name w:val="Body sub header"/>
    <w:basedOn w:val="Normal"/>
    <w:next w:val="Normal"/>
    <w:rsid w:val="005D7BB8"/>
    <w:pPr>
      <w:spacing w:after="0"/>
    </w:pPr>
    <w:rPr>
      <w:b/>
      <w:i/>
    </w:rPr>
  </w:style>
  <w:style w:type="paragraph" w:customStyle="1" w:styleId="Default">
    <w:name w:val="Default"/>
    <w:rsid w:val="002D35A8"/>
    <w:pPr>
      <w:autoSpaceDE w:val="0"/>
      <w:autoSpaceDN w:val="0"/>
      <w:adjustRightInd w:val="0"/>
    </w:pPr>
    <w:rPr>
      <w:rFonts w:ascii="Calibri" w:hAnsi="Calibri" w:cs="Calibri"/>
      <w:color w:val="000000"/>
    </w:rPr>
  </w:style>
  <w:style w:type="paragraph" w:styleId="BodyText">
    <w:name w:val="Body Text"/>
    <w:basedOn w:val="Normal"/>
    <w:link w:val="BodyTextChar1"/>
    <w:autoRedefine/>
    <w:qFormat/>
    <w:rsid w:val="00DC7FCF"/>
    <w:pPr>
      <w:spacing w:before="120" w:line="320" w:lineRule="exact"/>
      <w:jc w:val="both"/>
    </w:pPr>
    <w:rPr>
      <w:rFonts w:ascii="Verdana" w:eastAsia="'宋体" w:hAnsi="Verdana" w:cs="Arial"/>
      <w:sz w:val="22"/>
      <w:szCs w:val="22"/>
    </w:rPr>
  </w:style>
  <w:style w:type="character" w:customStyle="1" w:styleId="BodyTextChar">
    <w:name w:val="Body Text Char"/>
    <w:basedOn w:val="DefaultParagraphFont"/>
    <w:semiHidden/>
    <w:rsid w:val="00DC7FCF"/>
    <w:rPr>
      <w:rFonts w:ascii="Arial" w:hAnsi="Arial"/>
      <w:sz w:val="20"/>
    </w:rPr>
  </w:style>
  <w:style w:type="character" w:customStyle="1" w:styleId="BodyTextChar1">
    <w:name w:val="Body Text Char1"/>
    <w:basedOn w:val="DefaultParagraphFont"/>
    <w:link w:val="BodyText"/>
    <w:rsid w:val="00DC7FCF"/>
    <w:rPr>
      <w:rFonts w:ascii="Verdana" w:eastAsia="'宋体" w:hAnsi="Verdana" w:cs="Arial"/>
      <w:sz w:val="22"/>
      <w:szCs w:val="22"/>
    </w:rPr>
  </w:style>
  <w:style w:type="character" w:customStyle="1" w:styleId="FootnoteTextChar">
    <w:name w:val="Footnote Text Char"/>
    <w:aliases w:val="ACMA Footnote Text Char,footnote text Char,Footnote Text Char1 Char,Footnote Text Char Char Char,Footnote Text Char1 Char Char Char,Footnote Text Char Char Char Char Char,Footnote Text Char1 Char Char Char Char Char,f Char,fn Char"/>
    <w:basedOn w:val="DefaultParagraphFont"/>
    <w:link w:val="FootnoteText"/>
    <w:rsid w:val="00465F1A"/>
    <w:rPr>
      <w:rFonts w:ascii="Arial" w:hAnsi="Arial"/>
      <w:sz w:val="16"/>
      <w:szCs w:val="16"/>
    </w:rPr>
  </w:style>
  <w:style w:type="paragraph" w:styleId="ListParagraph">
    <w:name w:val="List Paragraph"/>
    <w:basedOn w:val="Normal"/>
    <w:link w:val="ListParagraphChar"/>
    <w:uiPriority w:val="34"/>
    <w:qFormat/>
    <w:rsid w:val="00AA13C9"/>
    <w:pPr>
      <w:ind w:left="720"/>
      <w:contextualSpacing/>
    </w:pPr>
  </w:style>
  <w:style w:type="paragraph" w:styleId="NormalWeb">
    <w:name w:val="Normal (Web)"/>
    <w:basedOn w:val="Normal"/>
    <w:uiPriority w:val="99"/>
    <w:semiHidden/>
    <w:unhideWhenUsed/>
    <w:rsid w:val="00101F81"/>
    <w:pPr>
      <w:spacing w:line="240" w:lineRule="auto"/>
    </w:pPr>
    <w:rPr>
      <w:rFonts w:ascii="Times New Roman" w:hAnsi="Times New Roman"/>
      <w:sz w:val="24"/>
    </w:rPr>
  </w:style>
  <w:style w:type="paragraph" w:styleId="Revision">
    <w:name w:val="Revision"/>
    <w:hidden/>
    <w:semiHidden/>
    <w:rsid w:val="00903728"/>
    <w:rPr>
      <w:rFonts w:ascii="Arial" w:hAnsi="Arial"/>
      <w:sz w:val="20"/>
    </w:rPr>
  </w:style>
  <w:style w:type="character" w:customStyle="1" w:styleId="ListParagraphChar">
    <w:name w:val="List Paragraph Char"/>
    <w:basedOn w:val="DefaultParagraphFont"/>
    <w:link w:val="ListParagraph"/>
    <w:uiPriority w:val="34"/>
    <w:rsid w:val="005B0224"/>
    <w:rPr>
      <w:rFonts w:ascii="Arial" w:hAnsi="Arial"/>
      <w:sz w:val="20"/>
    </w:rPr>
  </w:style>
  <w:style w:type="character" w:customStyle="1" w:styleId="ListBulletChar">
    <w:name w:val="List Bullet Char"/>
    <w:basedOn w:val="DefaultParagraphFont"/>
    <w:link w:val="ListBullet"/>
    <w:rsid w:val="00B621F2"/>
    <w:rPr>
      <w:rFonts w:ascii="Arial" w:hAnsi="Arial"/>
      <w:sz w:val="20"/>
    </w:rPr>
  </w:style>
  <w:style w:type="table" w:styleId="ListTable1Light">
    <w:name w:val="List Table 1 Light"/>
    <w:basedOn w:val="TableNormal"/>
    <w:uiPriority w:val="46"/>
    <w:rsid w:val="00235F01"/>
    <w:rPr>
      <w:rFonts w:ascii="Arial" w:hAnsi="Arial"/>
      <w:sz w:val="20"/>
      <w:szCs w:val="20"/>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ACMANumberedList">
    <w:name w:val="ACMA Numbered List"/>
    <w:rsid w:val="00FE4C0D"/>
    <w:pPr>
      <w:numPr>
        <w:numId w:val="28"/>
      </w:numPr>
      <w:spacing w:before="20" w:after="20"/>
    </w:pPr>
    <w:rPr>
      <w:szCs w:val="20"/>
      <w:lang w:eastAsia="en-US"/>
    </w:rPr>
  </w:style>
  <w:style w:type="paragraph" w:customStyle="1" w:styleId="ACMABodyText">
    <w:name w:val="ACMA Body Text"/>
    <w:link w:val="ACMABodyTextChar1"/>
    <w:rsid w:val="00FE4C0D"/>
    <w:pPr>
      <w:suppressAutoHyphens/>
      <w:spacing w:before="80" w:after="120" w:line="280" w:lineRule="atLeast"/>
    </w:pPr>
    <w:rPr>
      <w:snapToGrid w:val="0"/>
      <w:szCs w:val="20"/>
      <w:lang w:eastAsia="en-US"/>
    </w:rPr>
  </w:style>
  <w:style w:type="character" w:customStyle="1" w:styleId="ACMABodyTextChar1">
    <w:name w:val="ACMA Body Text Char1"/>
    <w:basedOn w:val="DefaultParagraphFont"/>
    <w:link w:val="ACMABodyText"/>
    <w:locked/>
    <w:rsid w:val="00FE4C0D"/>
    <w:rPr>
      <w:snapToGrid w:val="0"/>
      <w:szCs w:val="20"/>
      <w:lang w:eastAsia="en-US"/>
    </w:rPr>
  </w:style>
  <w:style w:type="character" w:customStyle="1" w:styleId="A3">
    <w:name w:val="A3"/>
    <w:uiPriority w:val="99"/>
    <w:rsid w:val="00650E64"/>
    <w:rPr>
      <w:rFonts w:cs="Futura Std Light"/>
      <w:color w:val="000000"/>
      <w:sz w:val="16"/>
      <w:szCs w:val="16"/>
    </w:rPr>
  </w:style>
  <w:style w:type="table" w:styleId="PlainTable1">
    <w:name w:val="Plain Table 1"/>
    <w:basedOn w:val="TableNormal"/>
    <w:uiPriority w:val="41"/>
    <w:rsid w:val="00BB6653"/>
    <w:rPr>
      <w:sz w:val="20"/>
      <w:szCs w:val="20"/>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932159">
      <w:bodyDiv w:val="1"/>
      <w:marLeft w:val="0"/>
      <w:marRight w:val="0"/>
      <w:marTop w:val="0"/>
      <w:marBottom w:val="0"/>
      <w:divBdr>
        <w:top w:val="none" w:sz="0" w:space="0" w:color="auto"/>
        <w:left w:val="none" w:sz="0" w:space="0" w:color="auto"/>
        <w:bottom w:val="none" w:sz="0" w:space="0" w:color="auto"/>
        <w:right w:val="none" w:sz="0" w:space="0" w:color="auto"/>
      </w:divBdr>
    </w:div>
    <w:div w:id="125707696">
      <w:bodyDiv w:val="1"/>
      <w:marLeft w:val="0"/>
      <w:marRight w:val="0"/>
      <w:marTop w:val="0"/>
      <w:marBottom w:val="0"/>
      <w:divBdr>
        <w:top w:val="none" w:sz="0" w:space="0" w:color="auto"/>
        <w:left w:val="none" w:sz="0" w:space="0" w:color="auto"/>
        <w:bottom w:val="none" w:sz="0" w:space="0" w:color="auto"/>
        <w:right w:val="none" w:sz="0" w:space="0" w:color="auto"/>
      </w:divBdr>
    </w:div>
    <w:div w:id="159586353">
      <w:bodyDiv w:val="1"/>
      <w:marLeft w:val="0"/>
      <w:marRight w:val="0"/>
      <w:marTop w:val="0"/>
      <w:marBottom w:val="0"/>
      <w:divBdr>
        <w:top w:val="none" w:sz="0" w:space="0" w:color="auto"/>
        <w:left w:val="none" w:sz="0" w:space="0" w:color="auto"/>
        <w:bottom w:val="none" w:sz="0" w:space="0" w:color="auto"/>
        <w:right w:val="none" w:sz="0" w:space="0" w:color="auto"/>
      </w:divBdr>
    </w:div>
    <w:div w:id="249044959">
      <w:bodyDiv w:val="1"/>
      <w:marLeft w:val="0"/>
      <w:marRight w:val="0"/>
      <w:marTop w:val="0"/>
      <w:marBottom w:val="0"/>
      <w:divBdr>
        <w:top w:val="none" w:sz="0" w:space="0" w:color="auto"/>
        <w:left w:val="none" w:sz="0" w:space="0" w:color="auto"/>
        <w:bottom w:val="none" w:sz="0" w:space="0" w:color="auto"/>
        <w:right w:val="none" w:sz="0" w:space="0" w:color="auto"/>
      </w:divBdr>
    </w:div>
    <w:div w:id="352416141">
      <w:bodyDiv w:val="1"/>
      <w:marLeft w:val="0"/>
      <w:marRight w:val="0"/>
      <w:marTop w:val="0"/>
      <w:marBottom w:val="0"/>
      <w:divBdr>
        <w:top w:val="none" w:sz="0" w:space="0" w:color="auto"/>
        <w:left w:val="none" w:sz="0" w:space="0" w:color="auto"/>
        <w:bottom w:val="none" w:sz="0" w:space="0" w:color="auto"/>
        <w:right w:val="none" w:sz="0" w:space="0" w:color="auto"/>
      </w:divBdr>
    </w:div>
    <w:div w:id="355355284">
      <w:bodyDiv w:val="1"/>
      <w:marLeft w:val="0"/>
      <w:marRight w:val="0"/>
      <w:marTop w:val="0"/>
      <w:marBottom w:val="0"/>
      <w:divBdr>
        <w:top w:val="none" w:sz="0" w:space="0" w:color="auto"/>
        <w:left w:val="none" w:sz="0" w:space="0" w:color="auto"/>
        <w:bottom w:val="none" w:sz="0" w:space="0" w:color="auto"/>
        <w:right w:val="none" w:sz="0" w:space="0" w:color="auto"/>
      </w:divBdr>
      <w:divsChild>
        <w:div w:id="682391648">
          <w:marLeft w:val="0"/>
          <w:marRight w:val="0"/>
          <w:marTop w:val="0"/>
          <w:marBottom w:val="0"/>
          <w:divBdr>
            <w:top w:val="none" w:sz="0" w:space="0" w:color="auto"/>
            <w:left w:val="none" w:sz="0" w:space="0" w:color="auto"/>
            <w:bottom w:val="none" w:sz="0" w:space="0" w:color="auto"/>
            <w:right w:val="none" w:sz="0" w:space="0" w:color="auto"/>
          </w:divBdr>
          <w:divsChild>
            <w:div w:id="816530441">
              <w:marLeft w:val="0"/>
              <w:marRight w:val="0"/>
              <w:marTop w:val="0"/>
              <w:marBottom w:val="0"/>
              <w:divBdr>
                <w:top w:val="none" w:sz="0" w:space="0" w:color="auto"/>
                <w:left w:val="none" w:sz="0" w:space="0" w:color="auto"/>
                <w:bottom w:val="none" w:sz="0" w:space="0" w:color="auto"/>
                <w:right w:val="none" w:sz="0" w:space="0" w:color="auto"/>
              </w:divBdr>
              <w:divsChild>
                <w:div w:id="1206673386">
                  <w:marLeft w:val="0"/>
                  <w:marRight w:val="0"/>
                  <w:marTop w:val="0"/>
                  <w:marBottom w:val="0"/>
                  <w:divBdr>
                    <w:top w:val="none" w:sz="0" w:space="0" w:color="auto"/>
                    <w:left w:val="none" w:sz="0" w:space="0" w:color="auto"/>
                    <w:bottom w:val="none" w:sz="0" w:space="0" w:color="auto"/>
                    <w:right w:val="none" w:sz="0" w:space="0" w:color="auto"/>
                  </w:divBdr>
                  <w:divsChild>
                    <w:div w:id="1121341934">
                      <w:marLeft w:val="0"/>
                      <w:marRight w:val="0"/>
                      <w:marTop w:val="0"/>
                      <w:marBottom w:val="0"/>
                      <w:divBdr>
                        <w:top w:val="none" w:sz="0" w:space="0" w:color="auto"/>
                        <w:left w:val="none" w:sz="0" w:space="0" w:color="auto"/>
                        <w:bottom w:val="none" w:sz="0" w:space="0" w:color="auto"/>
                        <w:right w:val="none" w:sz="0" w:space="0" w:color="auto"/>
                      </w:divBdr>
                      <w:divsChild>
                        <w:div w:id="1165245012">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120973">
      <w:bodyDiv w:val="1"/>
      <w:marLeft w:val="0"/>
      <w:marRight w:val="0"/>
      <w:marTop w:val="0"/>
      <w:marBottom w:val="0"/>
      <w:divBdr>
        <w:top w:val="none" w:sz="0" w:space="0" w:color="auto"/>
        <w:left w:val="none" w:sz="0" w:space="0" w:color="auto"/>
        <w:bottom w:val="none" w:sz="0" w:space="0" w:color="auto"/>
        <w:right w:val="none" w:sz="0" w:space="0" w:color="auto"/>
      </w:divBdr>
    </w:div>
    <w:div w:id="533422568">
      <w:bodyDiv w:val="1"/>
      <w:marLeft w:val="0"/>
      <w:marRight w:val="0"/>
      <w:marTop w:val="0"/>
      <w:marBottom w:val="0"/>
      <w:divBdr>
        <w:top w:val="none" w:sz="0" w:space="0" w:color="auto"/>
        <w:left w:val="none" w:sz="0" w:space="0" w:color="auto"/>
        <w:bottom w:val="none" w:sz="0" w:space="0" w:color="auto"/>
        <w:right w:val="none" w:sz="0" w:space="0" w:color="auto"/>
      </w:divBdr>
    </w:div>
    <w:div w:id="537549735">
      <w:bodyDiv w:val="1"/>
      <w:marLeft w:val="0"/>
      <w:marRight w:val="0"/>
      <w:marTop w:val="0"/>
      <w:marBottom w:val="0"/>
      <w:divBdr>
        <w:top w:val="none" w:sz="0" w:space="0" w:color="auto"/>
        <w:left w:val="none" w:sz="0" w:space="0" w:color="auto"/>
        <w:bottom w:val="none" w:sz="0" w:space="0" w:color="auto"/>
        <w:right w:val="none" w:sz="0" w:space="0" w:color="auto"/>
      </w:divBdr>
    </w:div>
    <w:div w:id="553858685">
      <w:bodyDiv w:val="1"/>
      <w:marLeft w:val="0"/>
      <w:marRight w:val="0"/>
      <w:marTop w:val="0"/>
      <w:marBottom w:val="0"/>
      <w:divBdr>
        <w:top w:val="none" w:sz="0" w:space="0" w:color="auto"/>
        <w:left w:val="none" w:sz="0" w:space="0" w:color="auto"/>
        <w:bottom w:val="none" w:sz="0" w:space="0" w:color="auto"/>
        <w:right w:val="none" w:sz="0" w:space="0" w:color="auto"/>
      </w:divBdr>
    </w:div>
    <w:div w:id="569311695">
      <w:bodyDiv w:val="1"/>
      <w:marLeft w:val="0"/>
      <w:marRight w:val="0"/>
      <w:marTop w:val="0"/>
      <w:marBottom w:val="0"/>
      <w:divBdr>
        <w:top w:val="none" w:sz="0" w:space="0" w:color="auto"/>
        <w:left w:val="none" w:sz="0" w:space="0" w:color="auto"/>
        <w:bottom w:val="none" w:sz="0" w:space="0" w:color="auto"/>
        <w:right w:val="none" w:sz="0" w:space="0" w:color="auto"/>
      </w:divBdr>
    </w:div>
    <w:div w:id="642320153">
      <w:bodyDiv w:val="1"/>
      <w:marLeft w:val="0"/>
      <w:marRight w:val="0"/>
      <w:marTop w:val="0"/>
      <w:marBottom w:val="0"/>
      <w:divBdr>
        <w:top w:val="none" w:sz="0" w:space="0" w:color="auto"/>
        <w:left w:val="none" w:sz="0" w:space="0" w:color="auto"/>
        <w:bottom w:val="none" w:sz="0" w:space="0" w:color="auto"/>
        <w:right w:val="none" w:sz="0" w:space="0" w:color="auto"/>
      </w:divBdr>
    </w:div>
    <w:div w:id="709840188">
      <w:bodyDiv w:val="1"/>
      <w:marLeft w:val="0"/>
      <w:marRight w:val="0"/>
      <w:marTop w:val="0"/>
      <w:marBottom w:val="0"/>
      <w:divBdr>
        <w:top w:val="none" w:sz="0" w:space="0" w:color="auto"/>
        <w:left w:val="none" w:sz="0" w:space="0" w:color="auto"/>
        <w:bottom w:val="none" w:sz="0" w:space="0" w:color="auto"/>
        <w:right w:val="none" w:sz="0" w:space="0" w:color="auto"/>
      </w:divBdr>
    </w:div>
    <w:div w:id="761490488">
      <w:bodyDiv w:val="1"/>
      <w:marLeft w:val="0"/>
      <w:marRight w:val="0"/>
      <w:marTop w:val="0"/>
      <w:marBottom w:val="0"/>
      <w:divBdr>
        <w:top w:val="none" w:sz="0" w:space="0" w:color="auto"/>
        <w:left w:val="none" w:sz="0" w:space="0" w:color="auto"/>
        <w:bottom w:val="none" w:sz="0" w:space="0" w:color="auto"/>
        <w:right w:val="none" w:sz="0" w:space="0" w:color="auto"/>
      </w:divBdr>
    </w:div>
    <w:div w:id="774910275">
      <w:bodyDiv w:val="1"/>
      <w:marLeft w:val="0"/>
      <w:marRight w:val="0"/>
      <w:marTop w:val="0"/>
      <w:marBottom w:val="0"/>
      <w:divBdr>
        <w:top w:val="none" w:sz="0" w:space="0" w:color="auto"/>
        <w:left w:val="none" w:sz="0" w:space="0" w:color="auto"/>
        <w:bottom w:val="none" w:sz="0" w:space="0" w:color="auto"/>
        <w:right w:val="none" w:sz="0" w:space="0" w:color="auto"/>
      </w:divBdr>
    </w:div>
    <w:div w:id="827936123">
      <w:bodyDiv w:val="1"/>
      <w:marLeft w:val="0"/>
      <w:marRight w:val="0"/>
      <w:marTop w:val="0"/>
      <w:marBottom w:val="0"/>
      <w:divBdr>
        <w:top w:val="none" w:sz="0" w:space="0" w:color="auto"/>
        <w:left w:val="none" w:sz="0" w:space="0" w:color="auto"/>
        <w:bottom w:val="none" w:sz="0" w:space="0" w:color="auto"/>
        <w:right w:val="none" w:sz="0" w:space="0" w:color="auto"/>
      </w:divBdr>
      <w:divsChild>
        <w:div w:id="1412896951">
          <w:marLeft w:val="0"/>
          <w:marRight w:val="0"/>
          <w:marTop w:val="0"/>
          <w:marBottom w:val="0"/>
          <w:divBdr>
            <w:top w:val="none" w:sz="0" w:space="0" w:color="auto"/>
            <w:left w:val="none" w:sz="0" w:space="0" w:color="auto"/>
            <w:bottom w:val="none" w:sz="0" w:space="0" w:color="auto"/>
            <w:right w:val="none" w:sz="0" w:space="0" w:color="auto"/>
          </w:divBdr>
          <w:divsChild>
            <w:div w:id="2081904652">
              <w:marLeft w:val="0"/>
              <w:marRight w:val="0"/>
              <w:marTop w:val="0"/>
              <w:marBottom w:val="0"/>
              <w:divBdr>
                <w:top w:val="none" w:sz="0" w:space="0" w:color="auto"/>
                <w:left w:val="none" w:sz="0" w:space="0" w:color="auto"/>
                <w:bottom w:val="none" w:sz="0" w:space="0" w:color="auto"/>
                <w:right w:val="none" w:sz="0" w:space="0" w:color="auto"/>
              </w:divBdr>
              <w:divsChild>
                <w:div w:id="183860029">
                  <w:marLeft w:val="0"/>
                  <w:marRight w:val="0"/>
                  <w:marTop w:val="0"/>
                  <w:marBottom w:val="0"/>
                  <w:divBdr>
                    <w:top w:val="none" w:sz="0" w:space="0" w:color="auto"/>
                    <w:left w:val="none" w:sz="0" w:space="0" w:color="auto"/>
                    <w:bottom w:val="none" w:sz="0" w:space="0" w:color="auto"/>
                    <w:right w:val="none" w:sz="0" w:space="0" w:color="auto"/>
                  </w:divBdr>
                  <w:divsChild>
                    <w:div w:id="1488785736">
                      <w:marLeft w:val="0"/>
                      <w:marRight w:val="0"/>
                      <w:marTop w:val="0"/>
                      <w:marBottom w:val="0"/>
                      <w:divBdr>
                        <w:top w:val="none" w:sz="0" w:space="0" w:color="auto"/>
                        <w:left w:val="none" w:sz="0" w:space="0" w:color="auto"/>
                        <w:bottom w:val="none" w:sz="0" w:space="0" w:color="auto"/>
                        <w:right w:val="none" w:sz="0" w:space="0" w:color="auto"/>
                      </w:divBdr>
                      <w:divsChild>
                        <w:div w:id="122548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4735299">
      <w:bodyDiv w:val="1"/>
      <w:marLeft w:val="0"/>
      <w:marRight w:val="0"/>
      <w:marTop w:val="0"/>
      <w:marBottom w:val="0"/>
      <w:divBdr>
        <w:top w:val="none" w:sz="0" w:space="0" w:color="auto"/>
        <w:left w:val="none" w:sz="0" w:space="0" w:color="auto"/>
        <w:bottom w:val="none" w:sz="0" w:space="0" w:color="auto"/>
        <w:right w:val="none" w:sz="0" w:space="0" w:color="auto"/>
      </w:divBdr>
    </w:div>
    <w:div w:id="921524977">
      <w:bodyDiv w:val="1"/>
      <w:marLeft w:val="0"/>
      <w:marRight w:val="0"/>
      <w:marTop w:val="0"/>
      <w:marBottom w:val="0"/>
      <w:divBdr>
        <w:top w:val="none" w:sz="0" w:space="0" w:color="auto"/>
        <w:left w:val="none" w:sz="0" w:space="0" w:color="auto"/>
        <w:bottom w:val="none" w:sz="0" w:space="0" w:color="auto"/>
        <w:right w:val="none" w:sz="0" w:space="0" w:color="auto"/>
      </w:divBdr>
    </w:div>
    <w:div w:id="1289508083">
      <w:bodyDiv w:val="1"/>
      <w:marLeft w:val="0"/>
      <w:marRight w:val="0"/>
      <w:marTop w:val="0"/>
      <w:marBottom w:val="0"/>
      <w:divBdr>
        <w:top w:val="none" w:sz="0" w:space="0" w:color="auto"/>
        <w:left w:val="none" w:sz="0" w:space="0" w:color="auto"/>
        <w:bottom w:val="none" w:sz="0" w:space="0" w:color="auto"/>
        <w:right w:val="none" w:sz="0" w:space="0" w:color="auto"/>
      </w:divBdr>
    </w:div>
    <w:div w:id="1300112580">
      <w:bodyDiv w:val="1"/>
      <w:marLeft w:val="0"/>
      <w:marRight w:val="0"/>
      <w:marTop w:val="0"/>
      <w:marBottom w:val="0"/>
      <w:divBdr>
        <w:top w:val="none" w:sz="0" w:space="0" w:color="auto"/>
        <w:left w:val="none" w:sz="0" w:space="0" w:color="auto"/>
        <w:bottom w:val="none" w:sz="0" w:space="0" w:color="auto"/>
        <w:right w:val="none" w:sz="0" w:space="0" w:color="auto"/>
      </w:divBdr>
      <w:divsChild>
        <w:div w:id="1461461823">
          <w:marLeft w:val="0"/>
          <w:marRight w:val="0"/>
          <w:marTop w:val="0"/>
          <w:marBottom w:val="0"/>
          <w:divBdr>
            <w:top w:val="none" w:sz="0" w:space="0" w:color="auto"/>
            <w:left w:val="none" w:sz="0" w:space="0" w:color="auto"/>
            <w:bottom w:val="none" w:sz="0" w:space="0" w:color="auto"/>
            <w:right w:val="none" w:sz="0" w:space="0" w:color="auto"/>
          </w:divBdr>
          <w:divsChild>
            <w:div w:id="646007645">
              <w:marLeft w:val="0"/>
              <w:marRight w:val="0"/>
              <w:marTop w:val="0"/>
              <w:marBottom w:val="0"/>
              <w:divBdr>
                <w:top w:val="none" w:sz="0" w:space="0" w:color="auto"/>
                <w:left w:val="none" w:sz="0" w:space="0" w:color="auto"/>
                <w:bottom w:val="none" w:sz="0" w:space="0" w:color="auto"/>
                <w:right w:val="none" w:sz="0" w:space="0" w:color="auto"/>
              </w:divBdr>
              <w:divsChild>
                <w:div w:id="1354258502">
                  <w:marLeft w:val="0"/>
                  <w:marRight w:val="0"/>
                  <w:marTop w:val="0"/>
                  <w:marBottom w:val="0"/>
                  <w:divBdr>
                    <w:top w:val="none" w:sz="0" w:space="0" w:color="auto"/>
                    <w:left w:val="none" w:sz="0" w:space="0" w:color="auto"/>
                    <w:bottom w:val="none" w:sz="0" w:space="0" w:color="auto"/>
                    <w:right w:val="none" w:sz="0" w:space="0" w:color="auto"/>
                  </w:divBdr>
                  <w:divsChild>
                    <w:div w:id="1480997317">
                      <w:marLeft w:val="0"/>
                      <w:marRight w:val="0"/>
                      <w:marTop w:val="0"/>
                      <w:marBottom w:val="0"/>
                      <w:divBdr>
                        <w:top w:val="none" w:sz="0" w:space="0" w:color="auto"/>
                        <w:left w:val="none" w:sz="0" w:space="0" w:color="auto"/>
                        <w:bottom w:val="none" w:sz="0" w:space="0" w:color="auto"/>
                        <w:right w:val="none" w:sz="0" w:space="0" w:color="auto"/>
                      </w:divBdr>
                      <w:divsChild>
                        <w:div w:id="181202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4043811">
      <w:bodyDiv w:val="1"/>
      <w:marLeft w:val="0"/>
      <w:marRight w:val="0"/>
      <w:marTop w:val="0"/>
      <w:marBottom w:val="0"/>
      <w:divBdr>
        <w:top w:val="none" w:sz="0" w:space="0" w:color="auto"/>
        <w:left w:val="none" w:sz="0" w:space="0" w:color="auto"/>
        <w:bottom w:val="none" w:sz="0" w:space="0" w:color="auto"/>
        <w:right w:val="none" w:sz="0" w:space="0" w:color="auto"/>
      </w:divBdr>
    </w:div>
    <w:div w:id="1333409759">
      <w:bodyDiv w:val="1"/>
      <w:marLeft w:val="0"/>
      <w:marRight w:val="0"/>
      <w:marTop w:val="0"/>
      <w:marBottom w:val="0"/>
      <w:divBdr>
        <w:top w:val="none" w:sz="0" w:space="0" w:color="auto"/>
        <w:left w:val="none" w:sz="0" w:space="0" w:color="auto"/>
        <w:bottom w:val="none" w:sz="0" w:space="0" w:color="auto"/>
        <w:right w:val="none" w:sz="0" w:space="0" w:color="auto"/>
      </w:divBdr>
    </w:div>
    <w:div w:id="1388528073">
      <w:bodyDiv w:val="1"/>
      <w:marLeft w:val="0"/>
      <w:marRight w:val="0"/>
      <w:marTop w:val="0"/>
      <w:marBottom w:val="0"/>
      <w:divBdr>
        <w:top w:val="none" w:sz="0" w:space="0" w:color="auto"/>
        <w:left w:val="none" w:sz="0" w:space="0" w:color="auto"/>
        <w:bottom w:val="none" w:sz="0" w:space="0" w:color="auto"/>
        <w:right w:val="none" w:sz="0" w:space="0" w:color="auto"/>
      </w:divBdr>
    </w:div>
    <w:div w:id="1438334093">
      <w:bodyDiv w:val="1"/>
      <w:marLeft w:val="0"/>
      <w:marRight w:val="0"/>
      <w:marTop w:val="0"/>
      <w:marBottom w:val="0"/>
      <w:divBdr>
        <w:top w:val="none" w:sz="0" w:space="0" w:color="auto"/>
        <w:left w:val="none" w:sz="0" w:space="0" w:color="auto"/>
        <w:bottom w:val="none" w:sz="0" w:space="0" w:color="auto"/>
        <w:right w:val="none" w:sz="0" w:space="0" w:color="auto"/>
      </w:divBdr>
    </w:div>
    <w:div w:id="1487865121">
      <w:bodyDiv w:val="1"/>
      <w:marLeft w:val="0"/>
      <w:marRight w:val="0"/>
      <w:marTop w:val="0"/>
      <w:marBottom w:val="0"/>
      <w:divBdr>
        <w:top w:val="none" w:sz="0" w:space="0" w:color="auto"/>
        <w:left w:val="none" w:sz="0" w:space="0" w:color="auto"/>
        <w:bottom w:val="none" w:sz="0" w:space="0" w:color="auto"/>
        <w:right w:val="none" w:sz="0" w:space="0" w:color="auto"/>
      </w:divBdr>
    </w:div>
    <w:div w:id="1509558910">
      <w:bodyDiv w:val="1"/>
      <w:marLeft w:val="0"/>
      <w:marRight w:val="0"/>
      <w:marTop w:val="0"/>
      <w:marBottom w:val="0"/>
      <w:divBdr>
        <w:top w:val="none" w:sz="0" w:space="0" w:color="auto"/>
        <w:left w:val="none" w:sz="0" w:space="0" w:color="auto"/>
        <w:bottom w:val="none" w:sz="0" w:space="0" w:color="auto"/>
        <w:right w:val="none" w:sz="0" w:space="0" w:color="auto"/>
      </w:divBdr>
    </w:div>
    <w:div w:id="1523977353">
      <w:bodyDiv w:val="1"/>
      <w:marLeft w:val="0"/>
      <w:marRight w:val="0"/>
      <w:marTop w:val="0"/>
      <w:marBottom w:val="0"/>
      <w:divBdr>
        <w:top w:val="none" w:sz="0" w:space="0" w:color="auto"/>
        <w:left w:val="none" w:sz="0" w:space="0" w:color="auto"/>
        <w:bottom w:val="none" w:sz="0" w:space="0" w:color="auto"/>
        <w:right w:val="none" w:sz="0" w:space="0" w:color="auto"/>
      </w:divBdr>
    </w:div>
    <w:div w:id="1558124707">
      <w:bodyDiv w:val="1"/>
      <w:marLeft w:val="0"/>
      <w:marRight w:val="0"/>
      <w:marTop w:val="0"/>
      <w:marBottom w:val="0"/>
      <w:divBdr>
        <w:top w:val="none" w:sz="0" w:space="0" w:color="auto"/>
        <w:left w:val="none" w:sz="0" w:space="0" w:color="auto"/>
        <w:bottom w:val="none" w:sz="0" w:space="0" w:color="auto"/>
        <w:right w:val="none" w:sz="0" w:space="0" w:color="auto"/>
      </w:divBdr>
    </w:div>
    <w:div w:id="1632396814">
      <w:bodyDiv w:val="1"/>
      <w:marLeft w:val="0"/>
      <w:marRight w:val="0"/>
      <w:marTop w:val="0"/>
      <w:marBottom w:val="0"/>
      <w:divBdr>
        <w:top w:val="none" w:sz="0" w:space="0" w:color="auto"/>
        <w:left w:val="none" w:sz="0" w:space="0" w:color="auto"/>
        <w:bottom w:val="none" w:sz="0" w:space="0" w:color="auto"/>
        <w:right w:val="none" w:sz="0" w:space="0" w:color="auto"/>
      </w:divBdr>
    </w:div>
    <w:div w:id="1640762717">
      <w:bodyDiv w:val="1"/>
      <w:marLeft w:val="0"/>
      <w:marRight w:val="0"/>
      <w:marTop w:val="0"/>
      <w:marBottom w:val="0"/>
      <w:divBdr>
        <w:top w:val="none" w:sz="0" w:space="0" w:color="auto"/>
        <w:left w:val="none" w:sz="0" w:space="0" w:color="auto"/>
        <w:bottom w:val="none" w:sz="0" w:space="0" w:color="auto"/>
        <w:right w:val="none" w:sz="0" w:space="0" w:color="auto"/>
      </w:divBdr>
    </w:div>
    <w:div w:id="1649743275">
      <w:bodyDiv w:val="1"/>
      <w:marLeft w:val="0"/>
      <w:marRight w:val="0"/>
      <w:marTop w:val="0"/>
      <w:marBottom w:val="0"/>
      <w:divBdr>
        <w:top w:val="none" w:sz="0" w:space="0" w:color="auto"/>
        <w:left w:val="none" w:sz="0" w:space="0" w:color="auto"/>
        <w:bottom w:val="none" w:sz="0" w:space="0" w:color="auto"/>
        <w:right w:val="none" w:sz="0" w:space="0" w:color="auto"/>
      </w:divBdr>
      <w:divsChild>
        <w:div w:id="1917862185">
          <w:marLeft w:val="0"/>
          <w:marRight w:val="0"/>
          <w:marTop w:val="0"/>
          <w:marBottom w:val="0"/>
          <w:divBdr>
            <w:top w:val="none" w:sz="0" w:space="0" w:color="auto"/>
            <w:left w:val="none" w:sz="0" w:space="0" w:color="auto"/>
            <w:bottom w:val="none" w:sz="0" w:space="0" w:color="auto"/>
            <w:right w:val="none" w:sz="0" w:space="0" w:color="auto"/>
          </w:divBdr>
          <w:divsChild>
            <w:div w:id="1081759169">
              <w:marLeft w:val="0"/>
              <w:marRight w:val="0"/>
              <w:marTop w:val="0"/>
              <w:marBottom w:val="0"/>
              <w:divBdr>
                <w:top w:val="none" w:sz="0" w:space="0" w:color="auto"/>
                <w:left w:val="none" w:sz="0" w:space="0" w:color="auto"/>
                <w:bottom w:val="none" w:sz="0" w:space="0" w:color="auto"/>
                <w:right w:val="none" w:sz="0" w:space="0" w:color="auto"/>
              </w:divBdr>
              <w:divsChild>
                <w:div w:id="1779371584">
                  <w:marLeft w:val="0"/>
                  <w:marRight w:val="0"/>
                  <w:marTop w:val="0"/>
                  <w:marBottom w:val="0"/>
                  <w:divBdr>
                    <w:top w:val="none" w:sz="0" w:space="0" w:color="auto"/>
                    <w:left w:val="none" w:sz="0" w:space="0" w:color="auto"/>
                    <w:bottom w:val="none" w:sz="0" w:space="0" w:color="auto"/>
                    <w:right w:val="none" w:sz="0" w:space="0" w:color="auto"/>
                  </w:divBdr>
                  <w:divsChild>
                    <w:div w:id="127403778">
                      <w:marLeft w:val="0"/>
                      <w:marRight w:val="0"/>
                      <w:marTop w:val="0"/>
                      <w:marBottom w:val="0"/>
                      <w:divBdr>
                        <w:top w:val="none" w:sz="0" w:space="0" w:color="auto"/>
                        <w:left w:val="none" w:sz="0" w:space="0" w:color="auto"/>
                        <w:bottom w:val="none" w:sz="0" w:space="0" w:color="auto"/>
                        <w:right w:val="none" w:sz="0" w:space="0" w:color="auto"/>
                      </w:divBdr>
                      <w:divsChild>
                        <w:div w:id="1941793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3868770">
      <w:bodyDiv w:val="1"/>
      <w:marLeft w:val="0"/>
      <w:marRight w:val="0"/>
      <w:marTop w:val="0"/>
      <w:marBottom w:val="0"/>
      <w:divBdr>
        <w:top w:val="none" w:sz="0" w:space="0" w:color="auto"/>
        <w:left w:val="none" w:sz="0" w:space="0" w:color="auto"/>
        <w:bottom w:val="none" w:sz="0" w:space="0" w:color="auto"/>
        <w:right w:val="none" w:sz="0" w:space="0" w:color="auto"/>
      </w:divBdr>
    </w:div>
    <w:div w:id="1722896157">
      <w:bodyDiv w:val="1"/>
      <w:marLeft w:val="0"/>
      <w:marRight w:val="0"/>
      <w:marTop w:val="0"/>
      <w:marBottom w:val="0"/>
      <w:divBdr>
        <w:top w:val="none" w:sz="0" w:space="0" w:color="auto"/>
        <w:left w:val="none" w:sz="0" w:space="0" w:color="auto"/>
        <w:bottom w:val="none" w:sz="0" w:space="0" w:color="auto"/>
        <w:right w:val="none" w:sz="0" w:space="0" w:color="auto"/>
      </w:divBdr>
    </w:div>
    <w:div w:id="1828546316">
      <w:bodyDiv w:val="1"/>
      <w:marLeft w:val="0"/>
      <w:marRight w:val="0"/>
      <w:marTop w:val="0"/>
      <w:marBottom w:val="0"/>
      <w:divBdr>
        <w:top w:val="none" w:sz="0" w:space="0" w:color="auto"/>
        <w:left w:val="none" w:sz="0" w:space="0" w:color="auto"/>
        <w:bottom w:val="none" w:sz="0" w:space="0" w:color="auto"/>
        <w:right w:val="none" w:sz="0" w:space="0" w:color="auto"/>
      </w:divBdr>
    </w:div>
    <w:div w:id="1854957463">
      <w:bodyDiv w:val="1"/>
      <w:marLeft w:val="0"/>
      <w:marRight w:val="0"/>
      <w:marTop w:val="0"/>
      <w:marBottom w:val="0"/>
      <w:divBdr>
        <w:top w:val="none" w:sz="0" w:space="0" w:color="auto"/>
        <w:left w:val="none" w:sz="0" w:space="0" w:color="auto"/>
        <w:bottom w:val="none" w:sz="0" w:space="0" w:color="auto"/>
        <w:right w:val="none" w:sz="0" w:space="0" w:color="auto"/>
      </w:divBdr>
    </w:div>
    <w:div w:id="2138061323">
      <w:bodyDiv w:val="1"/>
      <w:marLeft w:val="0"/>
      <w:marRight w:val="0"/>
      <w:marTop w:val="0"/>
      <w:marBottom w:val="0"/>
      <w:divBdr>
        <w:top w:val="none" w:sz="0" w:space="0" w:color="auto"/>
        <w:left w:val="none" w:sz="0" w:space="0" w:color="auto"/>
        <w:bottom w:val="none" w:sz="0" w:space="0" w:color="auto"/>
        <w:right w:val="none" w:sz="0" w:space="0" w:color="auto"/>
      </w:divBdr>
    </w:div>
    <w:div w:id="2143499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4.xml"/><Relationship Id="rId26" Type="http://schemas.openxmlformats.org/officeDocument/2006/relationships/footer" Target="footer8.xml"/><Relationship Id="rId39" Type="http://schemas.openxmlformats.org/officeDocument/2006/relationships/hyperlink" Target="http://www.acma.gov.au/~/media/Spectrum%20Engineering/Regulation/pdf/Embargo%20No%2049.pdf" TargetMode="External"/><Relationship Id="rId21" Type="http://schemas.openxmlformats.org/officeDocument/2006/relationships/footer" Target="footer5.xml"/><Relationship Id="rId34" Type="http://schemas.openxmlformats.org/officeDocument/2006/relationships/hyperlink" Target="https://www.communications.gov.au/have-your-say/consultation-new-spectrum-legislation%20" TargetMode="External"/><Relationship Id="rId42" Type="http://schemas.openxmlformats.org/officeDocument/2006/relationships/hyperlink" Target="http://www.acma.gov.au/Industry/Spectrum/Spectrum-projects/Mobile-broadband/mobile-broadband-strategy-and-work-plan" TargetMode="External"/><Relationship Id="rId47" Type="http://schemas.openxmlformats.org/officeDocument/2006/relationships/hyperlink" Target="http://en.wikipedia.org/wiki/Wireless" TargetMode="External"/><Relationship Id="rId50" Type="http://schemas.openxmlformats.org/officeDocument/2006/relationships/hyperlink" Target="http://www.acma.gov.au/Industry/Spectrum/Spectrum-planning/About-spectrum-planning/technical-framework-3_4-ghz" TargetMode="External"/><Relationship Id="rId55" Type="http://schemas.openxmlformats.org/officeDocument/2006/relationships/hyperlink" Target="http://www.acma.gov.au/theACMA/convert-hcis-area-description-to-a-placemark"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creativecommons.org/licenses/by/3.0/au/" TargetMode="External"/><Relationship Id="rId20" Type="http://schemas.openxmlformats.org/officeDocument/2006/relationships/footer" Target="footer4.xml"/><Relationship Id="rId29" Type="http://schemas.openxmlformats.org/officeDocument/2006/relationships/hyperlink" Target="https://www.acma.gov.au/Industry/Spectrum/Radiocomms-licensing/Spectrum-licences/spectrum_24" TargetMode="External"/><Relationship Id="rId41" Type="http://schemas.openxmlformats.org/officeDocument/2006/relationships/hyperlink" Target="http://www.wia.org.au/members/bandplans/data/documents/Australian%20Band%20Plans%20160211.pdf" TargetMode="External"/><Relationship Id="rId54" Type="http://schemas.openxmlformats.org/officeDocument/2006/relationships/hyperlink" Target="http://www.acma.gov.au/Industry/Spectrum/Spectrum-planning/About-spectrum-planning/technical-framework-3_4-ghz"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hyperlink" Target="http://www.acma.gov.au/theACMA/future-use-of-the-1_5-ghz-and-3_6-ghz-bands" TargetMode="External"/><Relationship Id="rId37" Type="http://schemas.openxmlformats.org/officeDocument/2006/relationships/hyperlink" Target="http://www.acma.gov.au/Industry/Spectrum/Spectrum-projects/Mobile-broadband/five-year-spectrum-outlook-2016-20" TargetMode="External"/><Relationship Id="rId40" Type="http://schemas.openxmlformats.org/officeDocument/2006/relationships/hyperlink" Target="http://www.acma.gov.au/Industry/Spectrum/Spectrum-planning/Space-systems-regulation/rali-fx3-appendix-1" TargetMode="External"/><Relationship Id="rId45" Type="http://schemas.openxmlformats.org/officeDocument/2006/relationships/hyperlink" Target="http://archive.acma.gov.au/webwr/_assets/main/lib410188/australian_spectrum_map_grid_28feb2012.docx" TargetMode="External"/><Relationship Id="rId53" Type="http://schemas.openxmlformats.org/officeDocument/2006/relationships/image" Target="media/image5.png"/><Relationship Id="rId58"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7.xml"/><Relationship Id="rId28" Type="http://schemas.openxmlformats.org/officeDocument/2006/relationships/hyperlink" Target="http://www.acma.gov.au/Industry/Spectrum/Spectrum-projects/Mobile-broadband/mobile-broadband-strategy-and-work-plan" TargetMode="External"/><Relationship Id="rId36" Type="http://schemas.openxmlformats.org/officeDocument/2006/relationships/hyperlink" Target="http://www.acma.gov.au/Industry/Spectrum/Spectrum-projects/Mobile-broadband/mobile-broadband-strategy-and-work-plan" TargetMode="External"/><Relationship Id="rId49" Type="http://schemas.openxmlformats.org/officeDocument/2006/relationships/hyperlink" Target="http://www.acma.gov.au/theACMA/About/The-ACMA-story/Facilitating/decisionmaking-process-fyso-25-1" TargetMode="External"/><Relationship Id="rId57" Type="http://schemas.openxmlformats.org/officeDocument/2006/relationships/header" Target="header8.xml"/><Relationship Id="rId61"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hyperlink" Target="http://www.acma.gov.au/theACMA/future-approach-to-the-3_6-ghz-band" TargetMode="External"/><Relationship Id="rId44" Type="http://schemas.openxmlformats.org/officeDocument/2006/relationships/hyperlink" Target="https://www.acma.gov.au/Industry/Spectrum/Radiocomms-licensing/Spectrum-licences/spectrum_22-1" TargetMode="External"/><Relationship Id="rId52" Type="http://schemas.openxmlformats.org/officeDocument/2006/relationships/image" Target="media/image4.png"/><Relationship Id="rId60"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i.creativecommons.org/l/by/3.0/88x31.png" TargetMode="External"/><Relationship Id="rId22" Type="http://schemas.openxmlformats.org/officeDocument/2006/relationships/header" Target="header6.xml"/><Relationship Id="rId27" Type="http://schemas.openxmlformats.org/officeDocument/2006/relationships/hyperlink" Target="http://www.acma.gov.au/sitecore/content/Home/theACMA/future-use-of-the-1_5-ghz-and-3_6-ghz-bands" TargetMode="External"/><Relationship Id="rId30" Type="http://schemas.openxmlformats.org/officeDocument/2006/relationships/hyperlink" Target="https://www.acma.gov.au/Industry/Spectrum/Radiocomms-licensing/Spectrum-licences/spectrum_22-1" TargetMode="External"/><Relationship Id="rId35" Type="http://schemas.openxmlformats.org/officeDocument/2006/relationships/hyperlink" Target="mailto:spectrumreform@communications.gov.au" TargetMode="External"/><Relationship Id="rId43" Type="http://schemas.openxmlformats.org/officeDocument/2006/relationships/hyperlink" Target="https://www.acma.gov.au/Industry/Spectrum/Radiocomms-licensing/Spectrum-licences/spectrum_24" TargetMode="External"/><Relationship Id="rId48" Type="http://schemas.openxmlformats.org/officeDocument/2006/relationships/hyperlink" Target="http://www.acma.gov.au/Industry/Spectrum/Spectrum-projects/Mobile-broadband/mobile-broadband-strategy-and-work-plan" TargetMode="External"/><Relationship Id="rId56" Type="http://schemas.openxmlformats.org/officeDocument/2006/relationships/image" Target="media/image6.png"/><Relationship Id="rId8" Type="http://schemas.openxmlformats.org/officeDocument/2006/relationships/header" Target="header1.xml"/><Relationship Id="rId51" Type="http://schemas.openxmlformats.org/officeDocument/2006/relationships/hyperlink" Target="http://www.acma.gov.au/theACMA/convert-hcis-area-description-to-a-placemark"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mailto:candinfo@acma.gov.au" TargetMode="External"/><Relationship Id="rId25" Type="http://schemas.openxmlformats.org/officeDocument/2006/relationships/footer" Target="footer7.xml"/><Relationship Id="rId33" Type="http://schemas.openxmlformats.org/officeDocument/2006/relationships/hyperlink" Target="http://www.acma.gov.au/Industry/Spectrum/Spectrum-projects/Mobile-broadband/mobile-broadband-strategy-and-work-plan" TargetMode="External"/><Relationship Id="rId38" Type="http://schemas.openxmlformats.org/officeDocument/2006/relationships/hyperlink" Target="http://www.acma.gov.au/Industry/Spectrum/Spectrum-projects/Mobile-broadband/mobile-broadband-strategy-and-work-plan" TargetMode="External"/><Relationship Id="rId46" Type="http://schemas.openxmlformats.org/officeDocument/2006/relationships/hyperlink" Target="http://www.acma.gov.au/Industry/Spectrum/Spectrum-planning/Current-APs-info-and-resources/3-4-ghz-auction-2000-applicant-information-package" TargetMode="External"/><Relationship Id="rId59" Type="http://schemas.openxmlformats.org/officeDocument/2006/relationships/footer" Target="footer9.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s://www.google.com.au/url?sa=t&amp;rct=j&amp;q=&amp;esrc=s&amp;source=web&amp;cd=6&amp;cad=rja&amp;uact=8&amp;ved=0ahUKEwjv-a_ZysHUAhXIGJQKHRWJCXMQFgg9MAU&amp;url=https%3A%2F%2Fwww.qualcomm.com%2Fmedia%2Fdocuments%2Ffiles%2Fqualcomm-5g-vision-presentation.pdf&amp;usg=AFQjCNEiUSNnoJOnJIaLb1qB454-TsDCjA" TargetMode="External"/><Relationship Id="rId2" Type="http://schemas.openxmlformats.org/officeDocument/2006/relationships/hyperlink" Target="https://www.google.com.au/url?sa=t&amp;rct=j&amp;q=&amp;esrc=s&amp;source=web&amp;cd=6&amp;cad=rja&amp;uact=8&amp;ved=0ahUKEwjv-a_ZysHUAhXIGJQKHRWJCXMQFgg9MAU&amp;url=https%3A%2F%2Fwww.qualcomm.com%2Fmedia%2Fdocuments%2Ffiles%2Fqualcomm-5g-vision-presentation.pdf&amp;usg=AFQjCNEiUSNnoJOnJIaLb1qB454-TsDCjA" TargetMode="External"/><Relationship Id="rId1" Type="http://schemas.openxmlformats.org/officeDocument/2006/relationships/hyperlink" Target="https://www.fcc.gov/document/fcc-moves-promote-investment-35-ghz-band" TargetMode="External"/><Relationship Id="rId4" Type="http://schemas.openxmlformats.org/officeDocument/2006/relationships/hyperlink" Target="https://www.communications.gov.au/file/26981/download?token=Ens8e53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E17E7A-C677-46ED-B988-3AF062411B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83</Pages>
  <Words>35080</Words>
  <Characters>199956</Characters>
  <Application>Microsoft Office Word</Application>
  <DocSecurity>0</DocSecurity>
  <Lines>1666</Lines>
  <Paragraphs>469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234567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2017-10-25T04:55:00Z</dcterms:created>
  <dcterms:modified xsi:type="dcterms:W3CDTF">2017-10-25T05:16:00Z</dcterms:modified>
  <cp:category/>
</cp:coreProperties>
</file>