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jc w:val="center"/>
        <w:rPr>
          <w:sz w:val="24"/>
          <w:lang w:val="en-US"/>
        </w:rPr>
      </w:pPr>
      <w:r>
        <w:rPr>
          <w:sz w:val="24"/>
          <w:lang w:val="en-US"/>
        </w:rPr>
        <w:t>Intel response to ACMA consultation on “Future use of the 3.6 GHz band”</w:t>
      </w:r>
    </w:p>
    <w:p>
      <w:pPr>
        <w:rPr>
          <w:lang w:val="en-US"/>
        </w:rPr>
      </w:pPr>
    </w:p>
    <w:p>
      <w:pPr>
        <w:pStyle w:val="ListNumber"/>
      </w:pPr>
      <w:r>
        <w:t xml:space="preserve">Should the 3.6 GHz band be progressed from the </w:t>
      </w:r>
      <w:r>
        <w:rPr>
          <w:i/>
        </w:rPr>
        <w:t>preliminary replanning</w:t>
      </w:r>
      <w:r>
        <w:t xml:space="preserve"> stage to the </w:t>
      </w:r>
      <w:r>
        <w:rPr>
          <w:i/>
        </w:rPr>
        <w:t>re-farming</w:t>
      </w:r>
      <w:r>
        <w:t xml:space="preserve"> stage in the ACMA’s process for considering additional spectrum for MBB services? Why/Why not?</w:t>
      </w:r>
    </w:p>
    <w:p>
      <w:pPr>
        <w:pStyle w:val="ListNumber"/>
        <w:numPr>
          <w:ilvl w:val="0"/>
          <w:numId w:val="0"/>
        </w:numPr>
        <w:ind w:left="360"/>
        <w:rPr>
          <w:b/>
          <w:color w:val="5B9BD5" w:themeColor="accent1"/>
        </w:rPr>
      </w:pPr>
      <w:r>
        <w:rPr>
          <w:b/>
          <w:color w:val="5B9BD5" w:themeColor="accent1"/>
        </w:rPr>
        <w:t>Intel response:</w:t>
      </w:r>
    </w:p>
    <w:p>
      <w:pPr>
        <w:pStyle w:val="ListNumber"/>
        <w:numPr>
          <w:ilvl w:val="0"/>
          <w:numId w:val="0"/>
        </w:numPr>
        <w:ind w:left="360"/>
        <w:rPr>
          <w:color w:val="5B9BD5" w:themeColor="accent1"/>
        </w:rPr>
      </w:pPr>
      <w:r>
        <w:rPr>
          <w:color w:val="5B9BD5" w:themeColor="accent1"/>
        </w:rPr>
        <w:t>Intel strongly encourages ACMA to progress the 3.6 GHz band from the preliminary replanning stage to the re-farming stage. Following on from the decisions of WRC-15 to substantially broaden the spectrum identification for IMT in this frequency range, a number of countries and regions across the world are now moving forward in designating and making available parts of the 3.3-3.8 GHz frequency range for MBB services to enable 5G deployments.</w:t>
      </w:r>
    </w:p>
    <w:p>
      <w:pPr>
        <w:pStyle w:val="ListNumber"/>
        <w:numPr>
          <w:ilvl w:val="0"/>
          <w:numId w:val="0"/>
        </w:numPr>
        <w:ind w:left="360"/>
        <w:rPr>
          <w:color w:val="5B9BD5" w:themeColor="accent1"/>
        </w:rPr>
      </w:pPr>
      <w:r>
        <w:rPr>
          <w:color w:val="5B9BD5" w:themeColor="accent1"/>
        </w:rPr>
        <w:t>Europe has identified the 3400-3800 MHz band as a primary band suitable for the introduction of 5G-based services in Europe even before the year 2020 and is currently developing the technical conditions to be finalised by mid-2018 so that counties can proceed with making the band available in a way that is suitable for early 5G deployments. Africa is currently working on making the 3300-3600 MHz band available for MBB services to enable both LTE and 5G deployments across the continent. The Middle East and Northern Africa region is already supporting the 3400-3600 MHz band for IMT and is currently considering the 3600-3800 MHz band as well, for which the ASMG has issued a questionnaire to assess the current usage in the region.</w:t>
      </w:r>
    </w:p>
    <w:p>
      <w:pPr>
        <w:pStyle w:val="ListNumber"/>
        <w:numPr>
          <w:ilvl w:val="0"/>
          <w:numId w:val="0"/>
        </w:numPr>
        <w:ind w:left="360"/>
        <w:rPr>
          <w:color w:val="5B9BD5" w:themeColor="accent1"/>
        </w:rPr>
      </w:pPr>
      <w:r>
        <w:rPr>
          <w:color w:val="5B9BD5" w:themeColor="accent1"/>
        </w:rPr>
        <w:t>In the Americas, a number of countries are currently working on making spectrum in the 3300-3700 MHz band available for IMT and CITEL has recently adopted a Recommendation on “</w:t>
      </w:r>
      <w:r>
        <w:rPr>
          <w:i/>
          <w:color w:val="5B9BD5" w:themeColor="accent1"/>
        </w:rPr>
        <w:t>Frequency arrangements for the terrestrial component of IMT in the bands 3300-3400 MHz, 3400-3600 MHz and 3600-3700 MHz, or combinations thereof</w:t>
      </w:r>
      <w:r>
        <w:rPr>
          <w:color w:val="5B9BD5" w:themeColor="accent1"/>
        </w:rPr>
        <w:t>”.</w:t>
      </w:r>
    </w:p>
    <w:p>
      <w:pPr>
        <w:pStyle w:val="ListNumber"/>
        <w:numPr>
          <w:ilvl w:val="0"/>
          <w:numId w:val="0"/>
        </w:numPr>
        <w:ind w:left="360"/>
        <w:rPr>
          <w:color w:val="5B9BD5" w:themeColor="accent1"/>
        </w:rPr>
      </w:pPr>
      <w:r>
        <w:rPr>
          <w:color w:val="5B9BD5" w:themeColor="accent1"/>
        </w:rPr>
        <w:t>In the Asia-Pacific region, India is in the process of updating the National Frequency Allocation Plan to include identification of the 3300-3600 MHz band for IMT. The Republic of Korea plans to auction the 3400-3700 MHz band in 2018 or 2019. Japan is already using the 3400-3600 MHz band for IMT and the 3600-4200 MHz band has been decided by the Ministry of Internal Affairs and Communications of Japan for 5G trials starting from April 2017. In China, the MIIT is currently consulting on allocating the 3300-3600 and 4800-5000 MHz bands for 5G.</w:t>
      </w:r>
    </w:p>
    <w:p>
      <w:pPr>
        <w:pStyle w:val="ListNumber"/>
        <w:numPr>
          <w:ilvl w:val="0"/>
          <w:numId w:val="0"/>
        </w:numPr>
        <w:ind w:left="360"/>
        <w:rPr>
          <w:color w:val="5B9BD5" w:themeColor="accent1"/>
        </w:rPr>
      </w:pPr>
      <w:r>
        <w:rPr>
          <w:color w:val="5B9BD5" w:themeColor="accent1"/>
        </w:rPr>
        <w:t>With all this momentum developing globally for the 3.3-3.8 GHz frequency range</w:t>
      </w:r>
      <w:r>
        <w:rPr>
          <w:rStyle w:val="FootnoteReference"/>
          <w:color w:val="5B9BD5" w:themeColor="accent1"/>
        </w:rPr>
        <w:footnoteReference w:id="1"/>
      </w:r>
      <w:r>
        <w:rPr>
          <w:color w:val="5B9BD5" w:themeColor="accent1"/>
        </w:rPr>
        <w:t>, now is the right time for ACMA to take the next step to make spectrum in that range available for 5G in Australia. We understand that this consultation is limited to the 3575-3700 MHz band and consideration of possible changes (including reconfiguration) of planning and licensing arrangements in the 3400–3575 MHz band is outside the scope of the consultation as spectrum in the 3400–3575 MHz band is already subject to a combination of apparatus and spectrum licensing in metropolitan and regional areas.</w:t>
      </w:r>
    </w:p>
    <w:p>
      <w:pPr>
        <w:pStyle w:val="ListNumber"/>
        <w:numPr>
          <w:ilvl w:val="0"/>
          <w:numId w:val="0"/>
        </w:numPr>
        <w:ind w:left="360"/>
        <w:rPr>
          <w:color w:val="5B9BD5" w:themeColor="accent1"/>
          <w:lang w:val="en-GB"/>
        </w:rPr>
      </w:pPr>
      <w:r>
        <w:rPr>
          <w:color w:val="5B9BD5" w:themeColor="accent1"/>
        </w:rPr>
        <w:t xml:space="preserve">However, we would like to point out in this context that in order to reach the full benefits of 5G in mid-band spectrum like the 3.3-3.8 GHz frequency range, band arrangements that enable 100 MHz wide channels will be required. Whilst not delaying the process of re-farming of the 3.6 GHz band as set out in this consultation, we believe it is important for ACMA to also address the possibility of enabling such wider channels in this spectrum range to facilitate the development of 5G. In Europe, CEPT is currently addressing a similar issue by developing </w:t>
      </w:r>
      <w:r>
        <w:rPr>
          <w:color w:val="5B9BD5" w:themeColor="accent1"/>
          <w:lang w:val="en-GB"/>
        </w:rPr>
        <w:t>guidance to administrations for defragmenting the existing authorizations in the 3.4-3.8 GHz band as set out in item A.2 of the CEPT Roadmap for 5G</w:t>
      </w:r>
      <w:r>
        <w:rPr>
          <w:rStyle w:val="FootnoteReference"/>
          <w:color w:val="5B9BD5" w:themeColor="accent1"/>
          <w:lang w:val="en-GB"/>
        </w:rPr>
        <w:footnoteReference w:id="2"/>
      </w:r>
      <w:r>
        <w:rPr>
          <w:color w:val="5B9BD5" w:themeColor="accent1"/>
          <w:lang w:val="en-GB"/>
        </w:rPr>
        <w:t>. Another possibility to enable sufficiently wide channels for 5G that could be considered further by ACMA in the future, would be to open up the 3700-3800 MHz band for MBB services to further align with the spectrum situation in Europe, Japan and potentially other countries as outlined above.</w:t>
      </w:r>
    </w:p>
    <w:p>
      <w:pPr>
        <w:pStyle w:val="ListNumber"/>
        <w:numPr>
          <w:ilvl w:val="0"/>
          <w:numId w:val="0"/>
        </w:numPr>
        <w:ind w:left="360"/>
      </w:pPr>
    </w:p>
    <w:p>
      <w:pPr>
        <w:pStyle w:val="ListNumber"/>
      </w:pPr>
      <w:r>
        <w:t>Do the areas identified in this analysis cover the likely areas of high demand for access to the 3.6 GHz band? Would smaller or larger areas be more appropriate? Why?</w:t>
      </w:r>
    </w:p>
    <w:p>
      <w:pPr>
        <w:pStyle w:val="ListNumber"/>
        <w:numPr>
          <w:ilvl w:val="0"/>
          <w:numId w:val="0"/>
        </w:numPr>
        <w:ind w:left="360"/>
        <w:rPr>
          <w:b/>
          <w:color w:val="5B9BD5" w:themeColor="accent1"/>
        </w:rPr>
      </w:pPr>
      <w:r>
        <w:rPr>
          <w:b/>
          <w:color w:val="5B9BD5" w:themeColor="accent1"/>
        </w:rPr>
        <w:t>Intel response:</w:t>
      </w:r>
    </w:p>
    <w:p>
      <w:pPr>
        <w:pStyle w:val="ListNumber"/>
        <w:numPr>
          <w:ilvl w:val="0"/>
          <w:numId w:val="0"/>
        </w:numPr>
        <w:ind w:left="360"/>
        <w:rPr>
          <w:color w:val="5B9BD5" w:themeColor="accent1"/>
        </w:rPr>
      </w:pPr>
      <w:r>
        <w:rPr>
          <w:color w:val="5B9BD5" w:themeColor="accent1"/>
        </w:rPr>
        <w:lastRenderedPageBreak/>
        <w:t>We agree that Area 3 as defined by ACMA represents the most likely areas for high demand for access to the 3.6 GHz band for 5G/MBB services. Limiting the re-farming of the 3.6 GHz band for MBB services to this area will also facilitate the continued use of the band by incumbents like FSS earth stations outside of this area without the need to develop sharing arrangements.</w:t>
      </w:r>
    </w:p>
    <w:p>
      <w:pPr>
        <w:pStyle w:val="ListNumber"/>
        <w:numPr>
          <w:ilvl w:val="0"/>
          <w:numId w:val="0"/>
        </w:numPr>
        <w:ind w:left="360"/>
      </w:pPr>
    </w:p>
    <w:p>
      <w:pPr>
        <w:pStyle w:val="ListNumber"/>
      </w:pPr>
      <w:r>
        <w:t>If any part of the 3.6 GHz band is re-allocated for the issue of spectrum licences is seven years a suitable re-allocation period? If not, what period of time would be appropriate?</w:t>
      </w:r>
    </w:p>
    <w:p>
      <w:pPr>
        <w:pStyle w:val="ListNumber"/>
        <w:numPr>
          <w:ilvl w:val="0"/>
          <w:numId w:val="0"/>
        </w:numPr>
        <w:ind w:left="360"/>
        <w:rPr>
          <w:b/>
          <w:color w:val="5B9BD5" w:themeColor="accent1"/>
        </w:rPr>
      </w:pPr>
      <w:r>
        <w:rPr>
          <w:b/>
          <w:color w:val="5B9BD5" w:themeColor="accent1"/>
        </w:rPr>
        <w:t>Intel response:</w:t>
      </w:r>
    </w:p>
    <w:p>
      <w:pPr>
        <w:pStyle w:val="ListNumber"/>
        <w:numPr>
          <w:ilvl w:val="0"/>
          <w:numId w:val="0"/>
        </w:numPr>
        <w:ind w:left="360"/>
        <w:rPr>
          <w:color w:val="5B9BD5" w:themeColor="accent1"/>
        </w:rPr>
      </w:pPr>
      <w:r>
        <w:rPr>
          <w:color w:val="5B9BD5" w:themeColor="accent1"/>
        </w:rPr>
        <w:t>We understand the need for a suitable re-allocation period but would like to suggest that the required time should be assessed on a case-by-case basis in order to minimise the transition time and enable wide channel 5G/MBB usage as early as possible, taking into account that many other countries and regions are looking at 5G deployments in the 3.3-3.8 GHz range in the 2020 timeframe.</w:t>
      </w:r>
    </w:p>
    <w:p>
      <w:pPr>
        <w:pStyle w:val="ListNumber"/>
        <w:numPr>
          <w:ilvl w:val="0"/>
          <w:numId w:val="0"/>
        </w:numPr>
        <w:ind w:left="360"/>
      </w:pPr>
    </w:p>
    <w:p>
      <w:pPr>
        <w:pStyle w:val="ListNumber"/>
      </w:pPr>
      <w:r>
        <w:t>Should different re-allocation periods be considered for different areas? For example, should a longer period be considered for services outside Area 1?</w:t>
      </w:r>
    </w:p>
    <w:p>
      <w:pPr>
        <w:pStyle w:val="ListNumber"/>
        <w:numPr>
          <w:ilvl w:val="0"/>
          <w:numId w:val="0"/>
        </w:numPr>
        <w:ind w:left="360"/>
        <w:rPr>
          <w:b/>
          <w:color w:val="5B9BD5" w:themeColor="accent1"/>
        </w:rPr>
      </w:pPr>
      <w:r>
        <w:rPr>
          <w:b/>
          <w:color w:val="5B9BD5" w:themeColor="accent1"/>
        </w:rPr>
        <w:t>Intel response:</w:t>
      </w:r>
    </w:p>
    <w:p>
      <w:pPr>
        <w:pStyle w:val="ListNumber"/>
        <w:numPr>
          <w:ilvl w:val="0"/>
          <w:numId w:val="0"/>
        </w:numPr>
        <w:ind w:left="360"/>
        <w:rPr>
          <w:color w:val="5B9BD5" w:themeColor="accent1"/>
        </w:rPr>
      </w:pPr>
      <w:r>
        <w:rPr>
          <w:color w:val="5B9BD5" w:themeColor="accent1"/>
        </w:rPr>
        <w:t>As stated in our response to Question 3 above, we believe it is important to assess the required re-allocation periods on a case-by-case basis and ensure that they are as long as required in each specific case but also as short as possible in order to facilitate early 5G deployment possibilities in as many areas as possible to align with 5G rollout plans for the 3.3-3.8 GHz range globally.</w:t>
      </w:r>
    </w:p>
    <w:p>
      <w:pPr>
        <w:pStyle w:val="ListNumber"/>
        <w:numPr>
          <w:ilvl w:val="0"/>
          <w:numId w:val="0"/>
        </w:numPr>
        <w:ind w:left="360"/>
      </w:pPr>
    </w:p>
    <w:p>
      <w:pPr>
        <w:pStyle w:val="ListNumber"/>
      </w:pPr>
      <w:r>
        <w:t>Are these guidelines appropriate? Why?</w:t>
      </w:r>
    </w:p>
    <w:p>
      <w:pPr>
        <w:pStyle w:val="ListNumber"/>
        <w:numPr>
          <w:ilvl w:val="0"/>
          <w:numId w:val="0"/>
        </w:numPr>
        <w:ind w:left="360"/>
        <w:rPr>
          <w:b/>
          <w:color w:val="5B9BD5" w:themeColor="accent1"/>
        </w:rPr>
      </w:pPr>
      <w:r>
        <w:rPr>
          <w:b/>
          <w:color w:val="5B9BD5" w:themeColor="accent1"/>
        </w:rPr>
        <w:t>NO INTEL RESPONSE</w:t>
      </w:r>
    </w:p>
    <w:p>
      <w:pPr>
        <w:pStyle w:val="ListNumber"/>
        <w:numPr>
          <w:ilvl w:val="0"/>
          <w:numId w:val="0"/>
        </w:numPr>
        <w:ind w:left="360"/>
      </w:pPr>
    </w:p>
    <w:p>
      <w:pPr>
        <w:pStyle w:val="ListNumber"/>
      </w:pPr>
      <w:r>
        <w:t>Are there any other issues that affect the usability of an area-wide licence that should be taken into account when defining the licence area?</w:t>
      </w:r>
    </w:p>
    <w:p>
      <w:pPr>
        <w:pStyle w:val="ListNumber"/>
        <w:numPr>
          <w:ilvl w:val="0"/>
          <w:numId w:val="0"/>
        </w:numPr>
        <w:ind w:left="360"/>
        <w:rPr>
          <w:b/>
          <w:color w:val="5B9BD5" w:themeColor="accent1"/>
        </w:rPr>
      </w:pPr>
      <w:r>
        <w:rPr>
          <w:b/>
          <w:color w:val="5B9BD5" w:themeColor="accent1"/>
        </w:rPr>
        <w:t>NO INTEL RESPONSE</w:t>
      </w:r>
    </w:p>
    <w:p>
      <w:pPr>
        <w:pStyle w:val="ListNumber"/>
        <w:numPr>
          <w:ilvl w:val="0"/>
          <w:numId w:val="0"/>
        </w:numPr>
        <w:ind w:left="360"/>
      </w:pPr>
    </w:p>
    <w:p>
      <w:pPr>
        <w:pStyle w:val="ListNumber"/>
      </w:pPr>
      <w:r>
        <w:t>If point-to-point licences are affected by replanning activities in the 3.6 GHz band, are the options identified for point-to-point licences suitable? Are there any alternative options that should be considered?</w:t>
      </w:r>
    </w:p>
    <w:p>
      <w:pPr>
        <w:pStyle w:val="ListNumber"/>
        <w:numPr>
          <w:ilvl w:val="0"/>
          <w:numId w:val="0"/>
        </w:numPr>
        <w:ind w:left="360"/>
        <w:rPr>
          <w:b/>
          <w:color w:val="5B9BD5" w:themeColor="accent1"/>
        </w:rPr>
      </w:pPr>
      <w:r>
        <w:rPr>
          <w:b/>
          <w:color w:val="5B9BD5" w:themeColor="accent1"/>
        </w:rPr>
        <w:t>NO INTEL RESPONSE</w:t>
      </w:r>
    </w:p>
    <w:p>
      <w:pPr>
        <w:pStyle w:val="ListNumber"/>
        <w:numPr>
          <w:ilvl w:val="0"/>
          <w:numId w:val="0"/>
        </w:numPr>
        <w:ind w:left="360"/>
      </w:pPr>
    </w:p>
    <w:p>
      <w:pPr>
        <w:pStyle w:val="ListNumber"/>
      </w:pPr>
      <w:r>
        <w:t>Is the 5.6 GHz band a viable option for wireless broadband systems?</w:t>
      </w:r>
    </w:p>
    <w:p>
      <w:pPr>
        <w:pStyle w:val="ListNumber"/>
        <w:numPr>
          <w:ilvl w:val="0"/>
          <w:numId w:val="0"/>
        </w:numPr>
        <w:ind w:left="360"/>
        <w:rPr>
          <w:color w:val="5B9BD5" w:themeColor="accent1"/>
        </w:rPr>
      </w:pPr>
      <w:r>
        <w:rPr>
          <w:b/>
          <w:color w:val="5B9BD5" w:themeColor="accent1"/>
        </w:rPr>
        <w:t>NO INTEL RESPONSE</w:t>
      </w:r>
    </w:p>
    <w:p>
      <w:pPr>
        <w:pStyle w:val="ListNumber"/>
        <w:numPr>
          <w:ilvl w:val="0"/>
          <w:numId w:val="0"/>
        </w:numPr>
        <w:ind w:left="360"/>
      </w:pPr>
    </w:p>
    <w:p>
      <w:pPr>
        <w:pStyle w:val="ListNumber"/>
      </w:pPr>
      <w:r>
        <w:t>Under what circumstances should apparatus- and class-licensed arrangements be considered for the 5.6 GHz band?</w:t>
      </w:r>
    </w:p>
    <w:p>
      <w:pPr>
        <w:pStyle w:val="ListNumber"/>
        <w:numPr>
          <w:ilvl w:val="0"/>
          <w:numId w:val="0"/>
        </w:numPr>
        <w:ind w:left="360"/>
        <w:rPr>
          <w:color w:val="5B9BD5" w:themeColor="accent1"/>
        </w:rPr>
      </w:pPr>
      <w:r>
        <w:rPr>
          <w:b/>
          <w:color w:val="5B9BD5" w:themeColor="accent1"/>
        </w:rPr>
        <w:t>NO INTEL RESPONSE</w:t>
      </w:r>
    </w:p>
    <w:p>
      <w:pPr>
        <w:pStyle w:val="ListNumber"/>
        <w:numPr>
          <w:ilvl w:val="0"/>
          <w:numId w:val="0"/>
        </w:numPr>
        <w:ind w:left="360"/>
      </w:pPr>
    </w:p>
    <w:p>
      <w:pPr>
        <w:pStyle w:val="ListNumber"/>
      </w:pPr>
      <w:r>
        <w:t>If apparatus licensing arrangements are developed for wireless broadband systems in the 5.6 GHz band, are the notional arrangements proposed in Appendix 3 suitable?</w:t>
      </w:r>
    </w:p>
    <w:p>
      <w:pPr>
        <w:pStyle w:val="ListNumber"/>
        <w:numPr>
          <w:ilvl w:val="0"/>
          <w:numId w:val="0"/>
        </w:numPr>
        <w:ind w:left="360"/>
        <w:rPr>
          <w:color w:val="5B9BD5" w:themeColor="accent1"/>
        </w:rPr>
      </w:pPr>
      <w:r>
        <w:rPr>
          <w:b/>
          <w:color w:val="5B9BD5" w:themeColor="accent1"/>
        </w:rPr>
        <w:t>NO INTEL RESPONSE</w:t>
      </w:r>
    </w:p>
    <w:p>
      <w:pPr>
        <w:pStyle w:val="ListNumber"/>
        <w:numPr>
          <w:ilvl w:val="0"/>
          <w:numId w:val="0"/>
        </w:numPr>
        <w:ind w:left="360"/>
      </w:pPr>
    </w:p>
    <w:p>
      <w:pPr>
        <w:pStyle w:val="ListNumber"/>
      </w:pPr>
      <w:r>
        <w:t>If point-to-multipoint licences are affected by replanning activities in the 3.6 GHz band, are the alternative options identified suitable? Are there any alternative options that should be considered?</w:t>
      </w:r>
    </w:p>
    <w:p>
      <w:pPr>
        <w:pStyle w:val="ListNumber"/>
        <w:numPr>
          <w:ilvl w:val="0"/>
          <w:numId w:val="0"/>
        </w:numPr>
        <w:ind w:left="360"/>
        <w:rPr>
          <w:color w:val="5B9BD5" w:themeColor="accent1"/>
        </w:rPr>
      </w:pPr>
      <w:r>
        <w:rPr>
          <w:b/>
          <w:color w:val="5B9BD5" w:themeColor="accent1"/>
        </w:rPr>
        <w:t>NO INTEL RESPONSE</w:t>
      </w:r>
    </w:p>
    <w:p>
      <w:pPr>
        <w:pStyle w:val="ListNumber"/>
        <w:numPr>
          <w:ilvl w:val="0"/>
          <w:numId w:val="0"/>
        </w:numPr>
        <w:ind w:left="360"/>
      </w:pPr>
    </w:p>
    <w:p>
      <w:pPr>
        <w:pStyle w:val="ListNumber"/>
      </w:pPr>
      <w:r>
        <w:t>The ACMA seeks comment on the suitability of the current west coast earth station protection zone located near Mingenew, WA, for long-term satellite service use. Are the current regulatory arrangements effective?</w:t>
      </w:r>
    </w:p>
    <w:p>
      <w:pPr>
        <w:pStyle w:val="ListNumber"/>
        <w:numPr>
          <w:ilvl w:val="0"/>
          <w:numId w:val="0"/>
        </w:numPr>
        <w:ind w:left="360"/>
        <w:rPr>
          <w:color w:val="5B9BD5" w:themeColor="accent1"/>
        </w:rPr>
      </w:pPr>
      <w:r>
        <w:rPr>
          <w:b/>
          <w:color w:val="5B9BD5" w:themeColor="accent1"/>
        </w:rPr>
        <w:t>NO INTEL RESPONSE</w:t>
      </w:r>
    </w:p>
    <w:p>
      <w:pPr>
        <w:pStyle w:val="ListNumber"/>
        <w:numPr>
          <w:ilvl w:val="0"/>
          <w:numId w:val="0"/>
        </w:numPr>
        <w:ind w:left="360"/>
      </w:pPr>
    </w:p>
    <w:p>
      <w:pPr>
        <w:pStyle w:val="ListNumber"/>
      </w:pPr>
      <w:r>
        <w:t xml:space="preserve">In the event FSS earth stations are affected by replanning activities in the 3.6 GHz band, the ACMA seeks comment on: </w:t>
      </w:r>
    </w:p>
    <w:p>
      <w:pPr>
        <w:pStyle w:val="ListNumber2"/>
        <w:ind w:hanging="419"/>
      </w:pPr>
      <w:r>
        <w:t>Any issues surrounding the development and establishment of an east coast earth station protection zone; particularly on what factors would be necessary to make it an attractive option for earth station operations.</w:t>
      </w:r>
    </w:p>
    <w:p>
      <w:pPr>
        <w:pStyle w:val="ListNumber2"/>
        <w:ind w:hanging="419"/>
      </w:pPr>
      <w:r>
        <w:rPr>
          <w:rFonts w:cstheme="minorBidi"/>
          <w:szCs w:val="22"/>
        </w:rPr>
        <w:t>Whether</w:t>
      </w:r>
      <w:r>
        <w:t xml:space="preserve"> there are any views on potential candidate locations to consider.</w:t>
      </w:r>
    </w:p>
    <w:p>
      <w:pPr>
        <w:pStyle w:val="ListNumber2"/>
        <w:ind w:hanging="419"/>
      </w:pPr>
      <w:r>
        <w:rPr>
          <w:rFonts w:cstheme="minorBidi"/>
          <w:szCs w:val="22"/>
        </w:rPr>
        <w:t>Whether there should there be more than one earth station protection zone on the east an</w:t>
      </w:r>
      <w:r>
        <w:t>d west coasts of Australia.</w:t>
      </w:r>
    </w:p>
    <w:p>
      <w:pPr>
        <w:pStyle w:val="ListNumber2"/>
        <w:ind w:hanging="419"/>
      </w:pPr>
      <w:r>
        <w:t>If the identification of a central Australia earth station zone should be considered.</w:t>
      </w:r>
    </w:p>
    <w:p>
      <w:pPr>
        <w:pStyle w:val="ListNumber2"/>
        <w:numPr>
          <w:ilvl w:val="0"/>
          <w:numId w:val="0"/>
        </w:numPr>
        <w:ind w:left="426"/>
      </w:pPr>
      <w:r>
        <w:rPr>
          <w:b/>
          <w:color w:val="5B9BD5" w:themeColor="accent1"/>
        </w:rPr>
        <w:t>NO INTEL RESPONSE</w:t>
      </w:r>
    </w:p>
    <w:p>
      <w:pPr>
        <w:pStyle w:val="ListNumber2"/>
        <w:numPr>
          <w:ilvl w:val="0"/>
          <w:numId w:val="0"/>
        </w:numPr>
        <w:ind w:left="426"/>
      </w:pPr>
    </w:p>
    <w:p>
      <w:pPr>
        <w:pStyle w:val="ListNumber"/>
      </w:pPr>
      <w:r>
        <w:t>Are the approaches for amateurs, radiolocation services, class licensed devices and TVRO systems suitable?</w:t>
      </w:r>
    </w:p>
    <w:p>
      <w:pPr>
        <w:pStyle w:val="ListNumber"/>
        <w:numPr>
          <w:ilvl w:val="0"/>
          <w:numId w:val="0"/>
        </w:numPr>
        <w:ind w:left="360"/>
        <w:rPr>
          <w:color w:val="5B9BD5" w:themeColor="accent1"/>
        </w:rPr>
      </w:pPr>
      <w:r>
        <w:rPr>
          <w:b/>
          <w:color w:val="5B9BD5" w:themeColor="accent1"/>
        </w:rPr>
        <w:t>NO INTEL RESPONSE</w:t>
      </w:r>
    </w:p>
    <w:p>
      <w:pPr>
        <w:pStyle w:val="ListNumber"/>
        <w:numPr>
          <w:ilvl w:val="0"/>
          <w:numId w:val="0"/>
        </w:numPr>
        <w:ind w:left="360"/>
        <w:rPr>
          <w:color w:val="5B9BD5" w:themeColor="accent1"/>
        </w:rPr>
      </w:pPr>
    </w:p>
    <w:p>
      <w:pPr>
        <w:pStyle w:val="ListNumber"/>
      </w:pPr>
      <w:r>
        <w:t xml:space="preserve">Are there any other options for incumbent services, not identified in this paper, which should be considered? </w:t>
      </w:r>
    </w:p>
    <w:p>
      <w:pPr>
        <w:pStyle w:val="ListNumber"/>
        <w:numPr>
          <w:ilvl w:val="0"/>
          <w:numId w:val="0"/>
        </w:numPr>
        <w:ind w:left="360"/>
        <w:rPr>
          <w:color w:val="5B9BD5" w:themeColor="accent1"/>
        </w:rPr>
      </w:pPr>
      <w:r>
        <w:rPr>
          <w:b/>
          <w:color w:val="5B9BD5" w:themeColor="accent1"/>
        </w:rPr>
        <w:t>NO INTEL RESPONSE</w:t>
      </w:r>
    </w:p>
    <w:p>
      <w:pPr>
        <w:pStyle w:val="ListNumber"/>
        <w:numPr>
          <w:ilvl w:val="0"/>
          <w:numId w:val="0"/>
        </w:numPr>
        <w:ind w:left="360"/>
        <w:rPr>
          <w:color w:val="5B9BD5" w:themeColor="accent1"/>
        </w:rPr>
      </w:pPr>
    </w:p>
    <w:p>
      <w:pPr>
        <w:pStyle w:val="ListNumber"/>
      </w:pPr>
      <w:r>
        <w:t>Should any of the sharing arrangements discussed in this section be considered for implementation in the 3.6 GHz band? Why or why not?</w:t>
      </w:r>
    </w:p>
    <w:p>
      <w:pPr>
        <w:pStyle w:val="ListNumber"/>
        <w:numPr>
          <w:ilvl w:val="0"/>
          <w:numId w:val="0"/>
        </w:numPr>
        <w:ind w:left="360"/>
        <w:rPr>
          <w:b/>
          <w:color w:val="5B9BD5" w:themeColor="accent1"/>
        </w:rPr>
      </w:pPr>
      <w:r>
        <w:rPr>
          <w:b/>
          <w:color w:val="5B9BD5" w:themeColor="accent1"/>
        </w:rPr>
        <w:t>Intel response:</w:t>
      </w:r>
    </w:p>
    <w:p>
      <w:pPr>
        <w:pStyle w:val="ListNumber"/>
        <w:numPr>
          <w:ilvl w:val="0"/>
          <w:numId w:val="0"/>
        </w:numPr>
        <w:ind w:left="360"/>
        <w:rPr>
          <w:color w:val="5B9BD5" w:themeColor="accent1"/>
        </w:rPr>
      </w:pPr>
      <w:r>
        <w:rPr>
          <w:color w:val="5B9BD5" w:themeColor="accent1"/>
        </w:rPr>
        <w:t>We do not see the need to implement the sharing arrangements discussed in the consultation paper when progressing the re-farming of the 3.6 GHz and in Area 3 as outlined by ACMA in Option 3c. Both CBRS and LSA are sharing solutions that were developed to address a very specific coexistence issue in a certain country / region and this is not comparable with the situation for the 3.6 GHz band in Australia as outline in the ACMA consultation document.</w:t>
      </w:r>
    </w:p>
    <w:p>
      <w:pPr>
        <w:pStyle w:val="ListNumber"/>
        <w:numPr>
          <w:ilvl w:val="0"/>
          <w:numId w:val="0"/>
        </w:numPr>
        <w:ind w:left="360"/>
        <w:rPr>
          <w:rFonts w:cs="Arial"/>
          <w:color w:val="5B9BD5" w:themeColor="accent1"/>
        </w:rPr>
      </w:pPr>
      <w:r>
        <w:rPr>
          <w:color w:val="5B9BD5" w:themeColor="accent1"/>
        </w:rPr>
        <w:t xml:space="preserve">It is obvious from the ACMA’s Highest Value Use Assessment that a </w:t>
      </w:r>
      <w:r>
        <w:rPr>
          <w:rFonts w:cs="Arial"/>
          <w:color w:val="5B9BD5" w:themeColor="accent1"/>
        </w:rPr>
        <w:t>re-farming for area-wide licensing to occur across Area 3 maximises the overall economic welfare, as the potential re-farming benefits from selecting this geographic area option are significantly greater than the incremental costs that would be incurred.</w:t>
      </w:r>
    </w:p>
    <w:p>
      <w:pPr>
        <w:pStyle w:val="ListNumber"/>
        <w:numPr>
          <w:ilvl w:val="0"/>
          <w:numId w:val="0"/>
        </w:numPr>
        <w:ind w:left="360"/>
        <w:rPr>
          <w:rFonts w:cs="Arial"/>
          <w:color w:val="5B9BD5" w:themeColor="accent1"/>
        </w:rPr>
      </w:pPr>
      <w:r>
        <w:rPr>
          <w:rFonts w:cs="Arial"/>
          <w:color w:val="5B9BD5" w:themeColor="accent1"/>
        </w:rPr>
        <w:t>A re-farming of the 3.6 GHz band for MBB services in Area 3 will enable the continued use of the band in significant parts of Australia outside of Area 3 under realistic usage and coexistence conditions. This, together with the possibility of re-locating certain users to the 5.6 GHz band results in a situation where no sharing arrangements need to be put in place for the MBB service in the Area 3 as sufficient alternatives are available for the continued operation of the other services. Not only are sharing arrangements not required, they would also reduce (most likely to a significant extent) the economic benefits of using the band for MBB services and would thus materially reduce the overall economic welfare of the regulatory solution.</w:t>
      </w:r>
    </w:p>
    <w:p>
      <w:pPr>
        <w:pStyle w:val="ListNumber"/>
        <w:numPr>
          <w:ilvl w:val="0"/>
          <w:numId w:val="0"/>
        </w:numPr>
        <w:ind w:left="360"/>
        <w:rPr>
          <w:color w:val="5B9BD5" w:themeColor="accent1"/>
        </w:rPr>
      </w:pPr>
      <w:r>
        <w:rPr>
          <w:color w:val="5B9BD5" w:themeColor="accent1"/>
        </w:rPr>
        <w:t xml:space="preserve">Furthermore, taking into account the considerable interest and momentum that we see globally for 5G deployments in the 3.3-3.8 GHz range, we believe that a “us-it-or-share-it” approach is not practicable as we expect extensive 5G deployments across the vast majority of Area 3 over the next couple of years which will not leave sufficient room for a possible continued use by incumbent services. These should instead be moved into regions outside of Area 3 and/or into the 5.6 GHz band to facilitate most spectrally-efficient 5G deployments in contiguous areas (within Area 3) and to ensure that the option that maximises the </w:t>
      </w:r>
      <w:r>
        <w:rPr>
          <w:rFonts w:cs="Arial"/>
          <w:color w:val="5B9BD5" w:themeColor="accent1"/>
        </w:rPr>
        <w:t>increase in overall economic welfare materialises.</w:t>
      </w:r>
    </w:p>
    <w:p>
      <w:pPr>
        <w:pStyle w:val="ListNumber"/>
        <w:numPr>
          <w:ilvl w:val="0"/>
          <w:numId w:val="0"/>
        </w:numPr>
        <w:ind w:left="360"/>
        <w:rPr>
          <w:color w:val="5B9BD5" w:themeColor="accent1"/>
        </w:rPr>
      </w:pPr>
    </w:p>
    <w:p>
      <w:pPr>
        <w:pStyle w:val="ListNumber"/>
      </w:pPr>
      <w:r>
        <w:t xml:space="preserve">Are there any other sharing arrangements that should be considered? </w:t>
      </w:r>
    </w:p>
    <w:p>
      <w:pPr>
        <w:pStyle w:val="ListNumber"/>
        <w:numPr>
          <w:ilvl w:val="0"/>
          <w:numId w:val="0"/>
        </w:numPr>
        <w:ind w:left="360"/>
        <w:rPr>
          <w:b/>
          <w:color w:val="5B9BD5" w:themeColor="accent1"/>
        </w:rPr>
      </w:pPr>
      <w:r>
        <w:rPr>
          <w:b/>
          <w:color w:val="5B9BD5" w:themeColor="accent1"/>
        </w:rPr>
        <w:t>Intel response:</w:t>
      </w:r>
    </w:p>
    <w:p>
      <w:pPr>
        <w:pStyle w:val="ListNumber"/>
        <w:numPr>
          <w:ilvl w:val="0"/>
          <w:numId w:val="0"/>
        </w:numPr>
        <w:ind w:left="360"/>
        <w:rPr>
          <w:color w:val="5B9BD5" w:themeColor="accent1"/>
        </w:rPr>
      </w:pPr>
      <w:r>
        <w:rPr>
          <w:color w:val="5B9BD5" w:themeColor="accent1"/>
        </w:rPr>
        <w:t>As outlined in our response to Question 16 above, we do not see the need for any sharing arrangements to be considered when ACMA is moving forward with the re-farming of the 3.6 GHz band for MBB services in Area 3.</w:t>
      </w:r>
    </w:p>
    <w:p>
      <w:pPr>
        <w:pStyle w:val="ListNumber"/>
        <w:numPr>
          <w:ilvl w:val="0"/>
          <w:numId w:val="0"/>
        </w:numPr>
        <w:ind w:left="360"/>
        <w:rPr>
          <w:color w:val="5B9BD5" w:themeColor="accent1"/>
        </w:rPr>
      </w:pPr>
    </w:p>
    <w:p>
      <w:pPr>
        <w:pStyle w:val="ListNumber"/>
      </w:pPr>
      <w:r>
        <w:t>Are there any other replanning options that should be considered?</w:t>
      </w:r>
    </w:p>
    <w:p>
      <w:pPr>
        <w:pStyle w:val="ListNumber"/>
        <w:numPr>
          <w:ilvl w:val="0"/>
          <w:numId w:val="0"/>
        </w:numPr>
        <w:ind w:left="360"/>
        <w:rPr>
          <w:color w:val="5B9BD5" w:themeColor="accent1"/>
        </w:rPr>
      </w:pPr>
      <w:r>
        <w:rPr>
          <w:b/>
          <w:color w:val="5B9BD5" w:themeColor="accent1"/>
        </w:rPr>
        <w:t>NO INTEL RESPONSE</w:t>
      </w:r>
    </w:p>
    <w:p>
      <w:pPr>
        <w:pStyle w:val="ListNumber"/>
        <w:numPr>
          <w:ilvl w:val="0"/>
          <w:numId w:val="0"/>
        </w:numPr>
        <w:ind w:left="360"/>
        <w:rPr>
          <w:color w:val="5B9BD5" w:themeColor="accent1"/>
        </w:rPr>
      </w:pPr>
    </w:p>
    <w:p>
      <w:pPr>
        <w:pStyle w:val="ListNumber"/>
      </w:pPr>
      <w:r>
        <w:t>Which replanning option should be implemented in the band? Why?</w:t>
      </w:r>
    </w:p>
    <w:p>
      <w:pPr>
        <w:pStyle w:val="ListNumber"/>
        <w:numPr>
          <w:ilvl w:val="0"/>
          <w:numId w:val="0"/>
        </w:numPr>
        <w:ind w:left="360"/>
        <w:rPr>
          <w:color w:val="5B9BD5" w:themeColor="accent1"/>
        </w:rPr>
      </w:pPr>
      <w:r>
        <w:rPr>
          <w:b/>
          <w:color w:val="5B9BD5" w:themeColor="accent1"/>
        </w:rPr>
        <w:t>NO INTEL RESPONSE</w:t>
      </w:r>
    </w:p>
    <w:p>
      <w:pPr>
        <w:pStyle w:val="ListNumber"/>
        <w:numPr>
          <w:ilvl w:val="0"/>
          <w:numId w:val="0"/>
        </w:numPr>
        <w:ind w:left="360"/>
        <w:rPr>
          <w:color w:val="5B9BD5" w:themeColor="accent1"/>
        </w:rPr>
      </w:pPr>
    </w:p>
    <w:p>
      <w:pPr>
        <w:pStyle w:val="ListNumber"/>
      </w:pPr>
      <w:r>
        <w:t xml:space="preserve">In the event an area-wide licensing option is implemented, in which of the defined areas (that is, Area 1, 2, 3 and Australia-wide as defined in Appendix 6) should these arrangements be implemented? Are the current area definitions appropriate? If not, what area should be defined? </w:t>
      </w:r>
    </w:p>
    <w:p>
      <w:pPr>
        <w:pStyle w:val="ListNumber"/>
        <w:numPr>
          <w:ilvl w:val="0"/>
          <w:numId w:val="0"/>
        </w:numPr>
        <w:ind w:left="360"/>
        <w:rPr>
          <w:b/>
          <w:color w:val="5B9BD5" w:themeColor="accent1"/>
        </w:rPr>
      </w:pPr>
      <w:r>
        <w:rPr>
          <w:b/>
          <w:color w:val="5B9BD5" w:themeColor="accent1"/>
        </w:rPr>
        <w:t>Intel response:</w:t>
      </w:r>
    </w:p>
    <w:p>
      <w:pPr>
        <w:pStyle w:val="ListNumber"/>
        <w:numPr>
          <w:ilvl w:val="0"/>
          <w:numId w:val="0"/>
        </w:numPr>
        <w:ind w:left="360"/>
        <w:rPr>
          <w:color w:val="5B9BD5" w:themeColor="accent1"/>
        </w:rPr>
      </w:pPr>
      <w:r>
        <w:rPr>
          <w:color w:val="5B9BD5" w:themeColor="accent1"/>
        </w:rPr>
        <w:t>As outlined in our responses to the various Questions above, we are of the view that Area 3 as defined in the ACMA consultation document addresses the most likely area of high demand for 5G/MBB services and we support the concept of Option 3c to re-allocate the 3.6 GHz band in Area 3 for the issue of spectrum licences.</w:t>
      </w:r>
    </w:p>
    <w:p>
      <w:pPr>
        <w:pStyle w:val="ListNumber"/>
        <w:numPr>
          <w:ilvl w:val="0"/>
          <w:numId w:val="0"/>
        </w:numPr>
        <w:ind w:left="360"/>
        <w:rPr>
          <w:color w:val="5B9BD5" w:themeColor="accent1"/>
        </w:rPr>
      </w:pPr>
    </w:p>
    <w:p>
      <w:pPr>
        <w:pStyle w:val="ListNumber"/>
      </w:pPr>
      <w:r>
        <w:t>If Option 4a is implemented, what frequencies and areas should be re-allocated for the issue of spectrum licences? How much spectrum should remain subject to site-based apparatus licensing arrangements? Should different amounts be considered in different areas?</w:t>
      </w:r>
    </w:p>
    <w:p>
      <w:pPr>
        <w:pStyle w:val="ListNumber"/>
        <w:numPr>
          <w:ilvl w:val="0"/>
          <w:numId w:val="0"/>
        </w:numPr>
        <w:ind w:left="360"/>
        <w:rPr>
          <w:color w:val="5B9BD5" w:themeColor="accent1"/>
        </w:rPr>
      </w:pPr>
      <w:r>
        <w:rPr>
          <w:b/>
          <w:color w:val="5B9BD5" w:themeColor="accent1"/>
        </w:rPr>
        <w:t>NO INTEL RESPONSE</w:t>
      </w:r>
    </w:p>
    <w:p>
      <w:pPr>
        <w:pStyle w:val="ListNumber"/>
        <w:numPr>
          <w:ilvl w:val="0"/>
          <w:numId w:val="0"/>
        </w:numPr>
        <w:ind w:left="360"/>
        <w:rPr>
          <w:color w:val="5B9BD5" w:themeColor="accent1"/>
        </w:rPr>
      </w:pPr>
    </w:p>
    <w:p>
      <w:pPr>
        <w:pStyle w:val="ListNumber"/>
      </w:pPr>
      <w:r>
        <w:t>If Option 4b is implemented, what frequencies and areas (that is, incumbent apparatus licence services) should remain subject to site-based apparatus licensing arrangements?</w:t>
      </w:r>
    </w:p>
    <w:p>
      <w:pPr>
        <w:pStyle w:val="ListNumber"/>
        <w:numPr>
          <w:ilvl w:val="0"/>
          <w:numId w:val="0"/>
        </w:numPr>
        <w:ind w:left="360"/>
        <w:rPr>
          <w:color w:val="5B9BD5" w:themeColor="accent1"/>
        </w:rPr>
      </w:pPr>
      <w:r>
        <w:rPr>
          <w:b/>
          <w:color w:val="5B9BD5" w:themeColor="accent1"/>
        </w:rPr>
        <w:t>NO INTEL RESPONSE</w:t>
      </w:r>
    </w:p>
    <w:p>
      <w:pPr>
        <w:pStyle w:val="ListNumber"/>
        <w:numPr>
          <w:ilvl w:val="0"/>
          <w:numId w:val="0"/>
        </w:numPr>
        <w:ind w:left="360"/>
        <w:rPr>
          <w:color w:val="5B9BD5" w:themeColor="accent1"/>
        </w:rPr>
      </w:pPr>
      <w:bookmarkStart w:id="0" w:name="_GoBack"/>
      <w:bookmarkEnd w:id="0"/>
    </w:p>
    <w:p>
      <w:pPr>
        <w:pStyle w:val="ListNumber"/>
      </w:pPr>
      <w:r>
        <w:t>Comment is sought on the ACMA’s preferred option (Option 3c) for the 3.6 GHz band.</w:t>
      </w:r>
    </w:p>
    <w:p>
      <w:pPr>
        <w:pStyle w:val="ListNumber"/>
        <w:numPr>
          <w:ilvl w:val="0"/>
          <w:numId w:val="0"/>
        </w:numPr>
        <w:ind w:left="360"/>
        <w:rPr>
          <w:b/>
          <w:color w:val="5B9BD5" w:themeColor="accent1"/>
        </w:rPr>
      </w:pPr>
      <w:r>
        <w:rPr>
          <w:b/>
          <w:color w:val="5B9BD5" w:themeColor="accent1"/>
        </w:rPr>
        <w:t>Intel response:</w:t>
      </w:r>
    </w:p>
    <w:p>
      <w:pPr>
        <w:pStyle w:val="ListNumber"/>
        <w:numPr>
          <w:ilvl w:val="0"/>
          <w:numId w:val="0"/>
        </w:numPr>
        <w:ind w:left="360"/>
        <w:rPr>
          <w:color w:val="5B9BD5" w:themeColor="accent1"/>
        </w:rPr>
      </w:pPr>
      <w:r>
        <w:rPr>
          <w:color w:val="5B9BD5" w:themeColor="accent1"/>
        </w:rPr>
        <w:t xml:space="preserve">We agree with the ACMA’s conclusion and support Option 3c as the preferred option for the 3.6 GHz band to realise the highest value use for this and enable the band for a timely deployment of 5G systems in line with developments in other countries and regions globally as outlined in our responses to the various Questions above. </w:t>
      </w:r>
    </w:p>
    <w:p>
      <w:pPr>
        <w:rPr>
          <w:lang w:val="en-AU"/>
        </w:rPr>
      </w:pPr>
    </w:p>
    <w:sectPr>
      <w:pgSz w:w="11906" w:h="16838"/>
      <w:pgMar w:top="709"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separator/>
      </w:r>
    </w:p>
  </w:footnote>
  <w:footnote w:type="continuationSeparator" w:id="0">
    <w:p>
      <w:pPr>
        <w:spacing w:after="0" w:line="240" w:lineRule="auto"/>
      </w:pPr>
      <w:r>
        <w:continuationSeparator/>
      </w:r>
    </w:p>
  </w:footnote>
  <w:footnote w:id="1">
    <w:p>
      <w:pPr>
        <w:pStyle w:val="FootnoteText"/>
        <w:rPr>
          <w:lang w:val="en-US"/>
        </w:rPr>
      </w:pPr>
      <w:r>
        <w:rPr>
          <w:rStyle w:val="FootnoteReference"/>
        </w:rPr>
        <w:footnoteRef/>
      </w:r>
      <w:r>
        <w:rPr>
          <w:lang w:val="en-US"/>
        </w:rPr>
        <w:t xml:space="preserve"> For further details see the White Paper „“The future of IMT in the 3300-4200 MHz frequency range” as recently published by the Global mobile Suppliers Association (GSA) – </w:t>
      </w:r>
      <w:hyperlink r:id="rId1" w:history="1">
        <w:r>
          <w:rPr>
            <w:rStyle w:val="Hyperlink"/>
            <w:lang w:val="en-US"/>
          </w:rPr>
          <w:t>www.gsacom.com</w:t>
        </w:r>
      </w:hyperlink>
      <w:r>
        <w:rPr>
          <w:lang w:val="en-US"/>
        </w:rPr>
        <w:t xml:space="preserve"> </w:t>
      </w:r>
    </w:p>
  </w:footnote>
  <w:footnote w:id="2">
    <w:p>
      <w:pPr>
        <w:pStyle w:val="FootnoteText"/>
        <w:rPr>
          <w:lang w:val="en-US"/>
        </w:rPr>
      </w:pPr>
      <w:r>
        <w:rPr>
          <w:rStyle w:val="FootnoteReference"/>
        </w:rPr>
        <w:footnoteRef/>
      </w:r>
      <w:r>
        <w:rPr>
          <w:lang w:val="en-US"/>
        </w:rPr>
        <w:t xml:space="preserve"> See </w:t>
      </w:r>
      <w:hyperlink r:id="rId2" w:history="1">
        <w:r>
          <w:rPr>
            <w:rStyle w:val="Hyperlink"/>
            <w:lang w:val="en-US"/>
          </w:rPr>
          <w:t>https://cept.org/ecc/topics/spectrum-for-wireless-broadband-5g</w:t>
        </w:r>
      </w:hyperlink>
      <w:r>
        <w:rPr>
          <w:lang w:val="en-US"/>
        </w:rPr>
        <w:t xml:space="preserve"> for further details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F27AC532"/>
    <w:lvl w:ilvl="0">
      <w:start w:val="1"/>
      <w:numFmt w:val="lowerLetter"/>
      <w:pStyle w:val="ListNumber2"/>
      <w:lvlText w:val="%1."/>
      <w:lvlJc w:val="left"/>
      <w:pPr>
        <w:ind w:left="360" w:hanging="360"/>
      </w:pPr>
      <w:rPr>
        <w:rFonts w:ascii="Arial" w:eastAsia="Times New Roman" w:hAnsi="Arial" w:cs="Times New Roman"/>
      </w:rPr>
    </w:lvl>
  </w:abstractNum>
  <w:abstractNum w:abstractNumId="1" w15:restartNumberingAfterBreak="0">
    <w:nsid w:val="FFFFFF88"/>
    <w:multiLevelType w:val="singleLevel"/>
    <w:tmpl w:val="01EE8612"/>
    <w:lvl w:ilvl="0">
      <w:start w:val="1"/>
      <w:numFmt w:val="decimal"/>
      <w:pStyle w:val="ListNumber"/>
      <w:lvlText w:val="%1."/>
      <w:lvlJc w:val="left"/>
      <w:pPr>
        <w:ind w:left="360" w:hanging="360"/>
      </w:pPr>
      <w:rPr>
        <w:rFonts w:hint="default"/>
        <w:caps/>
        <w:sz w:val="20"/>
      </w:r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8"/>
  <w:doNotDisplayPageBoundaries/>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5298A73-C15C-4FCA-BA11-EBFE6CD5E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qFormat="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Number">
    <w:name w:val="List Number"/>
    <w:basedOn w:val="Normal"/>
    <w:qFormat/>
    <w:pPr>
      <w:numPr>
        <w:numId w:val="1"/>
      </w:numPr>
      <w:spacing w:after="80" w:line="240" w:lineRule="atLeast"/>
    </w:pPr>
    <w:rPr>
      <w:rFonts w:ascii="Arial" w:eastAsia="Times New Roman" w:hAnsi="Arial" w:cs="Times New Roman"/>
      <w:sz w:val="20"/>
      <w:szCs w:val="24"/>
      <w:lang w:val="en-AU" w:eastAsia="en-AU"/>
    </w:rPr>
  </w:style>
  <w:style w:type="paragraph" w:styleId="ListNumber2">
    <w:name w:val="List Number 2"/>
    <w:basedOn w:val="Normal"/>
    <w:qFormat/>
    <w:pPr>
      <w:numPr>
        <w:numId w:val="2"/>
      </w:numPr>
      <w:spacing w:after="80" w:line="240" w:lineRule="atLeast"/>
      <w:ind w:left="845" w:hanging="544"/>
    </w:pPr>
    <w:rPr>
      <w:rFonts w:ascii="Arial" w:eastAsia="Times New Roman" w:hAnsi="Arial" w:cs="Times New Roman"/>
      <w:sz w:val="20"/>
      <w:szCs w:val="24"/>
      <w:lang w:val="en-AU" w:eastAsia="en-AU"/>
    </w:rPr>
  </w:style>
  <w:style w:type="character" w:styleId="Hyperlink">
    <w:name w:val="Hyperlink"/>
    <w:basedOn w:val="DefaultParagraphFont"/>
    <w:uiPriority w:val="99"/>
    <w:qFormat/>
    <w:rPr>
      <w:color w:val="0000FF"/>
      <w:u w:val="single"/>
    </w:rPr>
  </w:style>
  <w:style w:type="character" w:styleId="FollowedHyperlink">
    <w:name w:val="FollowedHyperlink"/>
    <w:basedOn w:val="DefaultParagraphFont"/>
    <w:uiPriority w:val="99"/>
    <w:semiHidden/>
    <w:unhideWhenUsed/>
    <w:rPr>
      <w:color w:val="954F72" w:themeColor="followedHyperlink"/>
      <w:u w:val="single"/>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customStyle="1" w:styleId="FootnoteTextChar">
    <w:name w:val="Footnote Text Char"/>
    <w:basedOn w:val="DefaultParagraphFont"/>
    <w:link w:val="FootnoteText"/>
    <w:uiPriority w:val="99"/>
    <w:semiHidden/>
    <w:rPr>
      <w:sz w:val="20"/>
      <w:szCs w:val="20"/>
    </w:rPr>
  </w:style>
  <w:style w:type="character" w:styleId="FootnoteReference">
    <w:name w:val="footnote reference"/>
    <w:basedOn w:val="DefaultParagraphFont"/>
    <w:uiPriority w:val="99"/>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3014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cept.org/ecc/topics/spectrum-for-wireless-broadband-5g" TargetMode="External"/><Relationship Id="rId1" Type="http://schemas.openxmlformats.org/officeDocument/2006/relationships/hyperlink" Target="http://www.gsacom.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D922B896673C3B4CAC6395581CF998E6" ma:contentTypeVersion="8" ma:contentTypeDescription="Create a new document." ma:contentTypeScope="" ma:versionID="f23df6dd90b35ef5a7fe3922e93e7337">
  <xsd:schema xmlns:xsd="http://www.w3.org/2001/XMLSchema" xmlns:xs="http://www.w3.org/2001/XMLSchema" xmlns:p="http://schemas.microsoft.com/office/2006/metadata/properties" xmlns:ns2="1d983eb4-33f7-44b0-aea1-cbdcf0c55136" targetNamespace="http://schemas.microsoft.com/office/2006/metadata/properties" ma:root="true" ma:fieldsID="85ca1f7d1e1b38634bae0caaff15e10b" ns2:_="">
    <xsd:import namespace="1d983eb4-33f7-44b0-aea1-cbdcf0c55136"/>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983eb4-33f7-44b0-aea1-cbdcf0c551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1d983eb4-33f7-44b0-aea1-cbdcf0c55136">3NE2HDV7HD6D-128-773</_dlc_DocId>
    <_dlc_DocIdUrl xmlns="1d983eb4-33f7-44b0-aea1-cbdcf0c55136">
      <Url>http://collaboration/organisation/cid/speb/sp/_layouts/15/DocIdRedir.aspx?ID=3NE2HDV7HD6D-128-773</Url>
      <Description>3NE2HDV7HD6D-128-773</Description>
    </_dlc_DocIdUrl>
  </documentManagement>
</p:properties>
</file>

<file path=customXml/itemProps1.xml><?xml version="1.0" encoding="utf-8"?>
<ds:datastoreItem xmlns:ds="http://schemas.openxmlformats.org/officeDocument/2006/customXml" ds:itemID="{174E77D8-E6B0-4AAE-B68F-E928D3204E01}">
  <ds:schemaRefs>
    <ds:schemaRef ds:uri="http://schemas.openxmlformats.org/officeDocument/2006/bibliography"/>
  </ds:schemaRefs>
</ds:datastoreItem>
</file>

<file path=customXml/itemProps2.xml><?xml version="1.0" encoding="utf-8"?>
<ds:datastoreItem xmlns:ds="http://schemas.openxmlformats.org/officeDocument/2006/customXml" ds:itemID="{8FD8557C-B1A7-4B05-AAE0-B3A9F1CED2B3}"/>
</file>

<file path=customXml/itemProps3.xml><?xml version="1.0" encoding="utf-8"?>
<ds:datastoreItem xmlns:ds="http://schemas.openxmlformats.org/officeDocument/2006/customXml" ds:itemID="{156939CB-F114-4340-ACCB-0F9FB6C1C2FA}"/>
</file>

<file path=customXml/itemProps4.xml><?xml version="1.0" encoding="utf-8"?>
<ds:datastoreItem xmlns:ds="http://schemas.openxmlformats.org/officeDocument/2006/customXml" ds:itemID="{5052A241-8B6E-41B3-906C-F86FE9EFC389}"/>
</file>

<file path=customXml/itemProps5.xml><?xml version="1.0" encoding="utf-8"?>
<ds:datastoreItem xmlns:ds="http://schemas.openxmlformats.org/officeDocument/2006/customXml" ds:itemID="{F37A06F7-F86F-4ED7-83C3-E8A73A765ED6}"/>
</file>

<file path=docProps/app.xml><?xml version="1.0" encoding="utf-8"?>
<Properties xmlns="http://schemas.openxmlformats.org/officeDocument/2006/extended-properties" xmlns:vt="http://schemas.openxmlformats.org/officeDocument/2006/docPropsVTypes">
  <Template>Normal</Template>
  <TotalTime>0</TotalTime>
  <Pages>4</Pages>
  <Words>1666</Words>
  <Characters>10496</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Intel Corporation</Company>
  <LinksUpToDate>false</LinksUpToDate>
  <CharactersWithSpaces>12138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Kraemer</dc:creator>
  <cp:keywords/>
  <dc:description/>
  <cp:lastModifiedBy>Michael Kraemer</cp:lastModifiedBy>
  <cp:revision>3</cp:revision>
  <dcterms:created xsi:type="dcterms:W3CDTF">2017-08-07T13:01:00Z</dcterms:created>
  <dcterms:modified xsi:type="dcterms:W3CDTF">2017-08-07T13:03:00Z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0x010100D922B896673C3B4CAC6395581CF998E6</vt:lpwstr>
  </property>
  <property fmtid="{D5CDD505-2E9C-101B-9397-08002B2CF9AE}" pid="3" name="_dlc_DocIdItemGuid">
    <vt:lpwstr>6b6bb6aa-8e3f-4ad6-845f-b5b48d831811</vt:lpwstr>
  </property>
</Properties>
</file>