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7FA" w:rsidRPr="00216248" w:rsidRDefault="00F947FA" w:rsidP="00EA322B">
      <w:pPr>
        <w:pStyle w:val="Default"/>
        <w:jc w:val="center"/>
        <w:rPr>
          <w:b/>
          <w:sz w:val="28"/>
          <w:szCs w:val="28"/>
        </w:rPr>
      </w:pPr>
      <w:r w:rsidRPr="00216248">
        <w:rPr>
          <w:b/>
          <w:sz w:val="28"/>
          <w:szCs w:val="28"/>
        </w:rPr>
        <w:t>Submission to the Australian</w:t>
      </w:r>
      <w:r w:rsidR="00C70F46" w:rsidRPr="00216248">
        <w:rPr>
          <w:b/>
          <w:sz w:val="28"/>
          <w:szCs w:val="28"/>
        </w:rPr>
        <w:t xml:space="preserve"> </w:t>
      </w:r>
      <w:r w:rsidRPr="00216248">
        <w:rPr>
          <w:b/>
          <w:sz w:val="28"/>
          <w:szCs w:val="28"/>
        </w:rPr>
        <w:t>Communications and Media Authority</w:t>
      </w:r>
    </w:p>
    <w:p w:rsidR="006548A5" w:rsidRPr="00C12D38" w:rsidRDefault="00FF1F9A" w:rsidP="00EA322B">
      <w:pPr>
        <w:pStyle w:val="Default"/>
        <w:jc w:val="center"/>
        <w:rPr>
          <w:b/>
          <w:sz w:val="32"/>
          <w:szCs w:val="32"/>
        </w:rPr>
      </w:pPr>
      <w:r w:rsidRPr="00C12D38">
        <w:rPr>
          <w:b/>
          <w:sz w:val="32"/>
          <w:szCs w:val="32"/>
        </w:rPr>
        <w:t xml:space="preserve"> </w:t>
      </w:r>
    </w:p>
    <w:p w:rsidR="00216248" w:rsidRPr="00216248" w:rsidRDefault="008101A4" w:rsidP="001443BE">
      <w:pPr>
        <w:pStyle w:val="Default"/>
        <w:jc w:val="center"/>
        <w:rPr>
          <w:b/>
          <w:sz w:val="32"/>
          <w:szCs w:val="32"/>
          <w:lang w:eastAsia="zh-CN"/>
        </w:rPr>
      </w:pPr>
      <w:r w:rsidRPr="00216248">
        <w:rPr>
          <w:b/>
          <w:sz w:val="32"/>
          <w:szCs w:val="32"/>
          <w:lang w:eastAsia="zh-CN"/>
        </w:rPr>
        <w:t xml:space="preserve">Future use of the 3.6 GHz band </w:t>
      </w:r>
    </w:p>
    <w:p w:rsidR="001443BE" w:rsidRPr="00216248" w:rsidRDefault="0033573C" w:rsidP="001443BE">
      <w:pPr>
        <w:pStyle w:val="Default"/>
        <w:jc w:val="center"/>
        <w:rPr>
          <w:b/>
          <w:lang w:eastAsia="zh-CN"/>
        </w:rPr>
      </w:pPr>
      <w:r w:rsidRPr="00216248">
        <w:rPr>
          <w:b/>
          <w:lang w:eastAsia="zh-CN"/>
        </w:rPr>
        <w:t>Options</w:t>
      </w:r>
      <w:r w:rsidR="008101A4" w:rsidRPr="00216248">
        <w:rPr>
          <w:b/>
          <w:lang w:eastAsia="zh-CN"/>
        </w:rPr>
        <w:t xml:space="preserve"> paper</w:t>
      </w:r>
      <w:r w:rsidR="00216248" w:rsidRPr="00216248">
        <w:rPr>
          <w:b/>
          <w:lang w:eastAsia="zh-CN"/>
        </w:rPr>
        <w:t xml:space="preserve"> and</w:t>
      </w:r>
      <w:r w:rsidR="00216248">
        <w:rPr>
          <w:b/>
          <w:lang w:eastAsia="zh-CN"/>
        </w:rPr>
        <w:t xml:space="preserve"> </w:t>
      </w:r>
      <w:r w:rsidR="00216248" w:rsidRPr="00216248">
        <w:rPr>
          <w:b/>
          <w:lang w:eastAsia="zh-CN"/>
        </w:rPr>
        <w:t>Highest value use assessment-Quantitative analysis</w:t>
      </w:r>
    </w:p>
    <w:p w:rsidR="00FC3408" w:rsidRDefault="00FC3408" w:rsidP="00C25854">
      <w:pPr>
        <w:autoSpaceDE w:val="0"/>
        <w:autoSpaceDN w:val="0"/>
        <w:adjustRightInd w:val="0"/>
        <w:spacing w:before="0" w:after="0"/>
        <w:ind w:left="0"/>
        <w:rPr>
          <w:rFonts w:cs="Arial"/>
          <w:b/>
          <w:color w:val="000000" w:themeColor="text1"/>
          <w:sz w:val="24"/>
          <w:szCs w:val="24"/>
        </w:rPr>
      </w:pPr>
    </w:p>
    <w:p w:rsidR="008101A4" w:rsidRDefault="008101A4" w:rsidP="00EA322B">
      <w:pPr>
        <w:autoSpaceDE w:val="0"/>
        <w:autoSpaceDN w:val="0"/>
        <w:adjustRightInd w:val="0"/>
        <w:spacing w:before="0" w:after="0"/>
        <w:ind w:left="0"/>
        <w:rPr>
          <w:rFonts w:cs="Arial"/>
          <w:bCs/>
          <w:color w:val="000000" w:themeColor="text1"/>
        </w:rPr>
      </w:pPr>
    </w:p>
    <w:p w:rsidR="00216248" w:rsidRDefault="00216248" w:rsidP="00EA322B">
      <w:pPr>
        <w:autoSpaceDE w:val="0"/>
        <w:autoSpaceDN w:val="0"/>
        <w:adjustRightInd w:val="0"/>
        <w:spacing w:before="0" w:after="0"/>
        <w:ind w:left="0"/>
        <w:rPr>
          <w:rFonts w:cs="Arial"/>
          <w:b/>
          <w:bCs/>
          <w:color w:val="000000" w:themeColor="text1"/>
        </w:rPr>
      </w:pPr>
    </w:p>
    <w:p w:rsidR="00216248" w:rsidRPr="00F85AC8" w:rsidRDefault="00465235" w:rsidP="00F85AC8">
      <w:pPr>
        <w:ind w:left="0"/>
        <w:rPr>
          <w:b/>
          <w:highlight w:val="lightGray"/>
        </w:rPr>
      </w:pPr>
      <w:r>
        <w:rPr>
          <w:b/>
          <w:highlight w:val="lightGray"/>
        </w:rPr>
        <w:t>INTRODUCTION</w:t>
      </w:r>
    </w:p>
    <w:p w:rsidR="00216248" w:rsidRDefault="00216248" w:rsidP="00EA322B">
      <w:pPr>
        <w:autoSpaceDE w:val="0"/>
        <w:autoSpaceDN w:val="0"/>
        <w:adjustRightInd w:val="0"/>
        <w:spacing w:before="0" w:after="0"/>
        <w:ind w:left="0"/>
        <w:rPr>
          <w:rFonts w:cs="Arial"/>
          <w:bCs/>
          <w:color w:val="000000" w:themeColor="text1"/>
        </w:rPr>
      </w:pPr>
    </w:p>
    <w:p w:rsidR="00B52291" w:rsidRPr="00C91276" w:rsidRDefault="00FF1F9A" w:rsidP="00EA322B">
      <w:pPr>
        <w:autoSpaceDE w:val="0"/>
        <w:autoSpaceDN w:val="0"/>
        <w:adjustRightInd w:val="0"/>
        <w:spacing w:before="0" w:after="0"/>
        <w:ind w:left="0"/>
        <w:rPr>
          <w:rFonts w:cs="Arial"/>
          <w:bCs/>
          <w:color w:val="000000" w:themeColor="text1"/>
        </w:rPr>
      </w:pPr>
      <w:r w:rsidRPr="00C70F46">
        <w:rPr>
          <w:rFonts w:cs="Arial"/>
          <w:bCs/>
          <w:color w:val="000000" w:themeColor="text1"/>
        </w:rPr>
        <w:t>Huawei</w:t>
      </w:r>
      <w:r w:rsidR="00F947FA" w:rsidRPr="00C70F46">
        <w:rPr>
          <w:rFonts w:cs="Arial"/>
          <w:bCs/>
          <w:color w:val="000000" w:themeColor="text1"/>
        </w:rPr>
        <w:t xml:space="preserve"> </w:t>
      </w:r>
      <w:r w:rsidR="00164072" w:rsidRPr="00C70F46">
        <w:rPr>
          <w:rFonts w:cs="Arial"/>
          <w:bCs/>
          <w:color w:val="000000" w:themeColor="text1"/>
        </w:rPr>
        <w:t>w</w:t>
      </w:r>
      <w:r w:rsidRPr="00C70F46">
        <w:rPr>
          <w:rFonts w:cs="Arial"/>
          <w:bCs/>
          <w:color w:val="000000" w:themeColor="text1"/>
        </w:rPr>
        <w:t xml:space="preserve">elcomes the opportunity </w:t>
      </w:r>
      <w:r w:rsidR="00164072" w:rsidRPr="00C70F46">
        <w:rPr>
          <w:rFonts w:cs="Arial"/>
          <w:bCs/>
          <w:color w:val="000000" w:themeColor="text1"/>
        </w:rPr>
        <w:t>to make this submission to the Australian Communications and Media Authority (ACMA) in response to its</w:t>
      </w:r>
      <w:r w:rsidR="00F947FA" w:rsidRPr="00C70F46">
        <w:rPr>
          <w:rFonts w:cs="Arial"/>
          <w:bCs/>
          <w:color w:val="000000" w:themeColor="text1"/>
        </w:rPr>
        <w:t xml:space="preserve"> </w:t>
      </w:r>
      <w:r w:rsidR="005A326F" w:rsidRPr="00C91276">
        <w:rPr>
          <w:rFonts w:cs="Arial"/>
          <w:bCs/>
          <w:color w:val="000000" w:themeColor="text1"/>
        </w:rPr>
        <w:t>Future use of the 3.6 GHz band</w:t>
      </w:r>
      <w:r w:rsidR="005A326F" w:rsidRPr="00C91276">
        <w:rPr>
          <w:rFonts w:cs="Arial"/>
          <w:bCs/>
          <w:i/>
          <w:color w:val="000000" w:themeColor="text1"/>
        </w:rPr>
        <w:t>.</w:t>
      </w:r>
    </w:p>
    <w:p w:rsidR="00164072" w:rsidRDefault="00164072" w:rsidP="00EA322B">
      <w:pPr>
        <w:autoSpaceDE w:val="0"/>
        <w:autoSpaceDN w:val="0"/>
        <w:adjustRightInd w:val="0"/>
        <w:spacing w:before="0" w:after="0"/>
        <w:ind w:left="0"/>
        <w:rPr>
          <w:rFonts w:cs="Arial"/>
          <w:bCs/>
          <w:color w:val="000000" w:themeColor="text1"/>
        </w:rPr>
      </w:pPr>
    </w:p>
    <w:p w:rsidR="00862B24" w:rsidRDefault="00216248" w:rsidP="00EA322B">
      <w:pPr>
        <w:autoSpaceDE w:val="0"/>
        <w:autoSpaceDN w:val="0"/>
        <w:adjustRightInd w:val="0"/>
        <w:spacing w:before="0" w:after="0"/>
        <w:ind w:left="0"/>
        <w:rPr>
          <w:rFonts w:cs="Arial"/>
          <w:bCs/>
          <w:color w:val="000000" w:themeColor="text1"/>
        </w:rPr>
      </w:pPr>
      <w:r>
        <w:rPr>
          <w:rFonts w:cs="Arial"/>
          <w:bCs/>
          <w:color w:val="000000" w:themeColor="text1"/>
        </w:rPr>
        <w:t>Huawei applauds the ACMA for</w:t>
      </w:r>
      <w:r w:rsidR="00D63DF2">
        <w:rPr>
          <w:rFonts w:cs="Arial"/>
          <w:bCs/>
          <w:color w:val="000000" w:themeColor="text1"/>
        </w:rPr>
        <w:t xml:space="preserve"> its </w:t>
      </w:r>
      <w:r w:rsidR="007623A1">
        <w:rPr>
          <w:rFonts w:cs="Arial"/>
          <w:bCs/>
          <w:color w:val="000000" w:themeColor="text1"/>
        </w:rPr>
        <w:t xml:space="preserve">very </w:t>
      </w:r>
      <w:r w:rsidR="00D63DF2">
        <w:rPr>
          <w:rFonts w:cs="Arial"/>
          <w:bCs/>
          <w:color w:val="000000" w:themeColor="text1"/>
        </w:rPr>
        <w:t>comprehensive assessment</w:t>
      </w:r>
      <w:r w:rsidR="007623A1">
        <w:rPr>
          <w:rFonts w:cs="Arial"/>
          <w:bCs/>
          <w:color w:val="000000" w:themeColor="text1"/>
        </w:rPr>
        <w:t>s</w:t>
      </w:r>
      <w:r w:rsidR="00D63DF2">
        <w:rPr>
          <w:rFonts w:cs="Arial"/>
          <w:bCs/>
          <w:color w:val="000000" w:themeColor="text1"/>
        </w:rPr>
        <w:t xml:space="preserve"> </w:t>
      </w:r>
      <w:r w:rsidR="00A602BD">
        <w:rPr>
          <w:rFonts w:cs="Arial"/>
          <w:bCs/>
          <w:color w:val="000000" w:themeColor="text1"/>
        </w:rPr>
        <w:t>on</w:t>
      </w:r>
      <w:r w:rsidR="007623A1">
        <w:rPr>
          <w:rFonts w:cs="Arial"/>
          <w:bCs/>
          <w:color w:val="000000" w:themeColor="text1"/>
        </w:rPr>
        <w:t xml:space="preserve"> </w:t>
      </w:r>
      <w:r w:rsidR="00D63DF2">
        <w:rPr>
          <w:rFonts w:cs="Arial"/>
          <w:bCs/>
          <w:color w:val="000000" w:themeColor="text1"/>
        </w:rPr>
        <w:t>the highest value use of the 3575-3700 MHz (3.6 GHz band),</w:t>
      </w:r>
      <w:r w:rsidR="007623A1">
        <w:rPr>
          <w:rFonts w:cs="Arial"/>
          <w:bCs/>
          <w:color w:val="000000" w:themeColor="text1"/>
        </w:rPr>
        <w:t xml:space="preserve"> </w:t>
      </w:r>
      <w:r w:rsidR="00D63DF2">
        <w:rPr>
          <w:rFonts w:cs="Arial"/>
          <w:bCs/>
          <w:color w:val="000000" w:themeColor="text1"/>
        </w:rPr>
        <w:t xml:space="preserve">and representing </w:t>
      </w:r>
      <w:r w:rsidR="007623A1">
        <w:rPr>
          <w:rFonts w:cs="Arial"/>
          <w:bCs/>
          <w:color w:val="000000" w:themeColor="text1"/>
        </w:rPr>
        <w:t>detail</w:t>
      </w:r>
      <w:r w:rsidR="00A602BD">
        <w:rPr>
          <w:rFonts w:cs="Arial"/>
          <w:bCs/>
          <w:color w:val="000000" w:themeColor="text1"/>
        </w:rPr>
        <w:t>ed analyse</w:t>
      </w:r>
      <w:r w:rsidR="007623A1">
        <w:rPr>
          <w:rFonts w:cs="Arial"/>
          <w:bCs/>
          <w:color w:val="000000" w:themeColor="text1"/>
        </w:rPr>
        <w:t>s and effect</w:t>
      </w:r>
      <w:r w:rsidR="00A602BD">
        <w:rPr>
          <w:rFonts w:cs="Arial"/>
          <w:bCs/>
          <w:color w:val="000000" w:themeColor="text1"/>
        </w:rPr>
        <w:t>s</w:t>
      </w:r>
      <w:r w:rsidR="007623A1">
        <w:rPr>
          <w:rFonts w:cs="Arial"/>
          <w:bCs/>
          <w:color w:val="000000" w:themeColor="text1"/>
        </w:rPr>
        <w:t xml:space="preserve"> to incumbents for each option </w:t>
      </w:r>
      <w:r w:rsidR="00A602BD">
        <w:rPr>
          <w:rFonts w:cs="Arial"/>
          <w:bCs/>
          <w:color w:val="000000" w:themeColor="text1"/>
        </w:rPr>
        <w:t>as well as</w:t>
      </w:r>
      <w:r w:rsidR="007623A1">
        <w:rPr>
          <w:rFonts w:cs="Arial"/>
          <w:bCs/>
          <w:color w:val="000000" w:themeColor="text1"/>
        </w:rPr>
        <w:t xml:space="preserve"> alternative solutions and mitigation considerations </w:t>
      </w:r>
      <w:r w:rsidR="00D63DF2">
        <w:rPr>
          <w:rFonts w:cs="Arial"/>
          <w:bCs/>
          <w:color w:val="000000" w:themeColor="text1"/>
        </w:rPr>
        <w:t>for the next steps</w:t>
      </w:r>
      <w:r w:rsidR="000578B9">
        <w:rPr>
          <w:rFonts w:cs="Arial"/>
          <w:bCs/>
          <w:color w:val="000000" w:themeColor="text1"/>
        </w:rPr>
        <w:t xml:space="preserve">, </w:t>
      </w:r>
      <w:r w:rsidR="007623A1">
        <w:rPr>
          <w:rFonts w:cs="Arial"/>
          <w:bCs/>
          <w:color w:val="000000" w:themeColor="text1"/>
        </w:rPr>
        <w:t>ensur</w:t>
      </w:r>
      <w:r w:rsidR="000578B9">
        <w:rPr>
          <w:rFonts w:cs="Arial"/>
          <w:bCs/>
          <w:color w:val="000000" w:themeColor="text1"/>
        </w:rPr>
        <w:t>ing</w:t>
      </w:r>
      <w:r w:rsidR="007623A1">
        <w:rPr>
          <w:rFonts w:cs="Arial"/>
          <w:bCs/>
          <w:color w:val="000000" w:themeColor="text1"/>
        </w:rPr>
        <w:t xml:space="preserve"> </w:t>
      </w:r>
      <w:r w:rsidR="00D63DF2">
        <w:rPr>
          <w:rFonts w:cs="Arial"/>
          <w:bCs/>
          <w:color w:val="000000" w:themeColor="text1"/>
        </w:rPr>
        <w:t>the future optimal use of the 3.6 GHz band in Australia</w:t>
      </w:r>
      <w:r w:rsidR="007623A1">
        <w:rPr>
          <w:rFonts w:cs="Arial"/>
          <w:bCs/>
          <w:color w:val="000000" w:themeColor="text1"/>
        </w:rPr>
        <w:t>.</w:t>
      </w:r>
    </w:p>
    <w:p w:rsidR="00465235" w:rsidRDefault="00465235" w:rsidP="00EA322B">
      <w:pPr>
        <w:autoSpaceDE w:val="0"/>
        <w:autoSpaceDN w:val="0"/>
        <w:adjustRightInd w:val="0"/>
        <w:spacing w:before="0" w:after="0"/>
        <w:ind w:left="0"/>
        <w:rPr>
          <w:rFonts w:cs="Arial"/>
          <w:bCs/>
          <w:color w:val="000000" w:themeColor="text1"/>
        </w:rPr>
      </w:pPr>
    </w:p>
    <w:p w:rsidR="00465235" w:rsidRPr="000B41FC" w:rsidRDefault="00634CEB" w:rsidP="00EA322B">
      <w:pPr>
        <w:autoSpaceDE w:val="0"/>
        <w:autoSpaceDN w:val="0"/>
        <w:adjustRightInd w:val="0"/>
        <w:spacing w:before="0" w:after="0"/>
        <w:ind w:left="0"/>
        <w:rPr>
          <w:rFonts w:cs="Arial"/>
          <w:bCs/>
        </w:rPr>
      </w:pPr>
      <w:r w:rsidRPr="000B41FC">
        <w:rPr>
          <w:rFonts w:cs="Arial"/>
          <w:bCs/>
        </w:rPr>
        <w:t>We are well aware of and appreciate</w:t>
      </w:r>
      <w:r w:rsidR="00465235" w:rsidRPr="000B41FC">
        <w:rPr>
          <w:rFonts w:cs="Arial"/>
          <w:bCs/>
        </w:rPr>
        <w:t xml:space="preserve"> the work undertaken by the ACMA during this process and the difficulties in trying to balance the </w:t>
      </w:r>
      <w:r w:rsidRPr="000B41FC">
        <w:rPr>
          <w:rFonts w:cs="Arial"/>
          <w:bCs/>
        </w:rPr>
        <w:t xml:space="preserve">wide range of </w:t>
      </w:r>
      <w:r w:rsidR="00465235" w:rsidRPr="000B41FC">
        <w:rPr>
          <w:rFonts w:cs="Arial"/>
          <w:bCs/>
        </w:rPr>
        <w:t>needs and requirements of</w:t>
      </w:r>
      <w:r w:rsidRPr="000B41FC">
        <w:rPr>
          <w:rFonts w:cs="Arial"/>
          <w:bCs/>
        </w:rPr>
        <w:t xml:space="preserve"> the sp</w:t>
      </w:r>
      <w:r w:rsidR="00F504CD" w:rsidRPr="000B41FC">
        <w:rPr>
          <w:rFonts w:cs="Arial"/>
          <w:bCs/>
        </w:rPr>
        <w:t>ectrum demands</w:t>
      </w:r>
      <w:r w:rsidR="00465235" w:rsidRPr="000B41FC">
        <w:rPr>
          <w:rFonts w:cs="Arial"/>
          <w:bCs/>
        </w:rPr>
        <w:t xml:space="preserve"> of sectors and industries.</w:t>
      </w:r>
    </w:p>
    <w:p w:rsidR="00216248" w:rsidRDefault="00216248" w:rsidP="00EA322B">
      <w:pPr>
        <w:autoSpaceDE w:val="0"/>
        <w:autoSpaceDN w:val="0"/>
        <w:adjustRightInd w:val="0"/>
        <w:spacing w:before="0" w:after="0"/>
        <w:ind w:left="0"/>
        <w:rPr>
          <w:rFonts w:cs="Arial"/>
          <w:bCs/>
          <w:color w:val="000000" w:themeColor="text1"/>
        </w:rPr>
      </w:pPr>
    </w:p>
    <w:p w:rsidR="000578B9" w:rsidRPr="000B41FC" w:rsidRDefault="000578B9" w:rsidP="00EA322B">
      <w:pPr>
        <w:autoSpaceDE w:val="0"/>
        <w:autoSpaceDN w:val="0"/>
        <w:adjustRightInd w:val="0"/>
        <w:spacing w:before="0" w:after="0"/>
        <w:ind w:left="0"/>
        <w:rPr>
          <w:rFonts w:cs="Arial"/>
          <w:bCs/>
        </w:rPr>
      </w:pPr>
      <w:r w:rsidRPr="000B41FC">
        <w:rPr>
          <w:rFonts w:cs="Arial"/>
          <w:bCs/>
        </w:rPr>
        <w:t>Huawei supports the ACMA</w:t>
      </w:r>
      <w:r w:rsidR="00A602BD" w:rsidRPr="000B41FC">
        <w:rPr>
          <w:rFonts w:cs="Arial"/>
          <w:bCs/>
        </w:rPr>
        <w:t>’s continued development</w:t>
      </w:r>
      <w:r w:rsidRPr="000B41FC">
        <w:rPr>
          <w:rFonts w:cs="Arial"/>
          <w:bCs/>
        </w:rPr>
        <w:t xml:space="preserve"> policies and regulatory frameworks in facilitating industry with efficient spectrum planning </w:t>
      </w:r>
      <w:r w:rsidR="00C91276" w:rsidRPr="000B41FC">
        <w:rPr>
          <w:rFonts w:cs="Arial"/>
          <w:bCs/>
        </w:rPr>
        <w:t xml:space="preserve">for </w:t>
      </w:r>
      <w:r w:rsidRPr="000B41FC">
        <w:rPr>
          <w:rFonts w:cs="Arial"/>
          <w:bCs/>
        </w:rPr>
        <w:t>the nation</w:t>
      </w:r>
      <w:r w:rsidR="00402C28" w:rsidRPr="000B41FC">
        <w:rPr>
          <w:rFonts w:cs="Arial"/>
          <w:bCs/>
        </w:rPr>
        <w:t>al</w:t>
      </w:r>
      <w:r w:rsidRPr="000B41FC">
        <w:rPr>
          <w:rFonts w:cs="Arial"/>
          <w:bCs/>
        </w:rPr>
        <w:t xml:space="preserve"> </w:t>
      </w:r>
      <w:r w:rsidR="00402C28" w:rsidRPr="000B41FC">
        <w:rPr>
          <w:rFonts w:cs="Arial"/>
          <w:bCs/>
        </w:rPr>
        <w:t xml:space="preserve">requirements while harmonising </w:t>
      </w:r>
      <w:r w:rsidRPr="000B41FC">
        <w:rPr>
          <w:rFonts w:cs="Arial"/>
          <w:bCs/>
        </w:rPr>
        <w:t xml:space="preserve">with international and regional </w:t>
      </w:r>
      <w:r w:rsidR="00402C28" w:rsidRPr="000B41FC">
        <w:rPr>
          <w:rFonts w:cs="Arial"/>
          <w:bCs/>
        </w:rPr>
        <w:t xml:space="preserve">directions and developments in </w:t>
      </w:r>
      <w:r w:rsidR="00F504CD" w:rsidRPr="000B41FC">
        <w:rPr>
          <w:rFonts w:cs="Arial"/>
          <w:bCs/>
        </w:rPr>
        <w:t>making Australia a leader in global mobile economies</w:t>
      </w:r>
      <w:r w:rsidR="00402C28" w:rsidRPr="000B41FC">
        <w:rPr>
          <w:rFonts w:cs="Arial"/>
          <w:bCs/>
        </w:rPr>
        <w:t xml:space="preserve">. </w:t>
      </w:r>
    </w:p>
    <w:p w:rsidR="000578B9" w:rsidRDefault="000578B9" w:rsidP="00EA322B">
      <w:pPr>
        <w:autoSpaceDE w:val="0"/>
        <w:autoSpaceDN w:val="0"/>
        <w:adjustRightInd w:val="0"/>
        <w:spacing w:before="0" w:after="0"/>
        <w:ind w:left="0"/>
        <w:rPr>
          <w:rFonts w:cs="Arial"/>
          <w:bCs/>
          <w:color w:val="000000" w:themeColor="text1"/>
        </w:rPr>
      </w:pPr>
    </w:p>
    <w:p w:rsidR="000578B9" w:rsidRDefault="000578B9" w:rsidP="000578B9">
      <w:pPr>
        <w:ind w:left="0"/>
        <w:rPr>
          <w:i/>
        </w:rPr>
      </w:pPr>
      <w:r>
        <w:t xml:space="preserve">Huawei looks forward </w:t>
      </w:r>
      <w:r w:rsidR="00A602BD">
        <w:t xml:space="preserve">to </w:t>
      </w:r>
      <w:r>
        <w:t xml:space="preserve">further engagements </w:t>
      </w:r>
      <w:r w:rsidR="00A602BD">
        <w:t>and</w:t>
      </w:r>
      <w:r>
        <w:t xml:space="preserve"> collaborations with the ACMA for this important matter of spectrum management and work programs. Please do not hesitate to contact us </w:t>
      </w:r>
      <w:r w:rsidR="00C91276">
        <w:t>via</w:t>
      </w:r>
      <w:r>
        <w:t xml:space="preserve"> email at </w:t>
      </w:r>
      <w:hyperlink r:id="rId8" w:history="1">
        <w:r w:rsidRPr="00CF104E">
          <w:rPr>
            <w:rStyle w:val="Hyperlink"/>
          </w:rPr>
          <w:t>tintin.madayag@huawei.com</w:t>
        </w:r>
      </w:hyperlink>
      <w:r>
        <w:t xml:space="preserve"> if you have any queries to our points in this submission. </w:t>
      </w:r>
      <w:r w:rsidRPr="00E82040">
        <w:rPr>
          <w:i/>
        </w:rPr>
        <w:t xml:space="preserve"> </w:t>
      </w:r>
    </w:p>
    <w:p w:rsidR="000578B9" w:rsidRDefault="000578B9" w:rsidP="000578B9">
      <w:pPr>
        <w:ind w:left="0"/>
        <w:rPr>
          <w:i/>
        </w:rPr>
      </w:pPr>
    </w:p>
    <w:p w:rsidR="000578B9" w:rsidRPr="00881906" w:rsidRDefault="000578B9" w:rsidP="000578B9">
      <w:pPr>
        <w:ind w:left="0"/>
        <w:rPr>
          <w:b/>
        </w:rPr>
      </w:pPr>
      <w:r w:rsidRPr="00881906">
        <w:rPr>
          <w:b/>
        </w:rPr>
        <w:t>Huawei Technologies (Australia)</w:t>
      </w:r>
    </w:p>
    <w:p w:rsidR="00C91276" w:rsidRDefault="00C91276" w:rsidP="000578B9">
      <w:pPr>
        <w:ind w:left="0"/>
      </w:pPr>
      <w:r>
        <w:t>Level 6, Tower B</w:t>
      </w:r>
    </w:p>
    <w:p w:rsidR="000578B9" w:rsidRDefault="000578B9" w:rsidP="000578B9">
      <w:pPr>
        <w:ind w:left="0"/>
      </w:pPr>
      <w:r>
        <w:t xml:space="preserve">799 Pacific Highway, </w:t>
      </w:r>
    </w:p>
    <w:p w:rsidR="000578B9" w:rsidRDefault="000578B9" w:rsidP="000578B9">
      <w:pPr>
        <w:ind w:left="0"/>
      </w:pPr>
      <w:r>
        <w:t>Chatswood NSW 2067</w:t>
      </w:r>
    </w:p>
    <w:p w:rsidR="000578B9" w:rsidRDefault="000578B9" w:rsidP="000578B9">
      <w:pPr>
        <w:ind w:left="0"/>
      </w:pPr>
    </w:p>
    <w:p w:rsidR="00F80CB5" w:rsidRDefault="00F80CB5" w:rsidP="000578B9">
      <w:pPr>
        <w:ind w:left="0"/>
      </w:pPr>
    </w:p>
    <w:p w:rsidR="000578B9" w:rsidRDefault="000578B9" w:rsidP="00EA322B">
      <w:pPr>
        <w:autoSpaceDE w:val="0"/>
        <w:autoSpaceDN w:val="0"/>
        <w:adjustRightInd w:val="0"/>
        <w:spacing w:before="0" w:after="0"/>
        <w:ind w:left="0"/>
        <w:rPr>
          <w:rFonts w:cs="Arial"/>
          <w:bCs/>
          <w:color w:val="000000" w:themeColor="text1"/>
        </w:rPr>
      </w:pPr>
    </w:p>
    <w:p w:rsidR="00C91276" w:rsidRDefault="00C91276">
      <w:pPr>
        <w:spacing w:before="0" w:after="200" w:line="276" w:lineRule="auto"/>
        <w:ind w:left="0"/>
        <w:jc w:val="left"/>
        <w:rPr>
          <w:rFonts w:cs="Arial"/>
          <w:bCs/>
          <w:color w:val="000000" w:themeColor="text1"/>
        </w:rPr>
      </w:pPr>
      <w:r>
        <w:rPr>
          <w:rFonts w:cs="Arial"/>
          <w:bCs/>
          <w:color w:val="000000" w:themeColor="text1"/>
        </w:rPr>
        <w:br w:type="page"/>
      </w:r>
    </w:p>
    <w:p w:rsidR="00216248" w:rsidRDefault="00216248" w:rsidP="00EA322B">
      <w:pPr>
        <w:autoSpaceDE w:val="0"/>
        <w:autoSpaceDN w:val="0"/>
        <w:adjustRightInd w:val="0"/>
        <w:spacing w:before="0" w:after="0"/>
        <w:ind w:left="0"/>
        <w:rPr>
          <w:rFonts w:cs="Arial"/>
          <w:bCs/>
          <w:color w:val="000000" w:themeColor="text1"/>
        </w:rPr>
      </w:pPr>
    </w:p>
    <w:p w:rsidR="00465960" w:rsidRPr="00F504CD" w:rsidRDefault="00465960">
      <w:pPr>
        <w:spacing w:before="0" w:after="200" w:line="276" w:lineRule="auto"/>
        <w:ind w:left="0"/>
        <w:jc w:val="left"/>
        <w:rPr>
          <w:b/>
          <w:highlight w:val="lightGray"/>
        </w:rPr>
      </w:pPr>
      <w:r w:rsidRPr="00F504CD">
        <w:rPr>
          <w:b/>
          <w:highlight w:val="lightGray"/>
        </w:rPr>
        <w:t xml:space="preserve">GENERAL </w:t>
      </w:r>
      <w:r w:rsidR="00F504CD" w:rsidRPr="00F504CD">
        <w:rPr>
          <w:b/>
          <w:highlight w:val="lightGray"/>
        </w:rPr>
        <w:t>INFORMATION ON</w:t>
      </w:r>
      <w:r w:rsidRPr="00F504CD">
        <w:rPr>
          <w:b/>
          <w:highlight w:val="lightGray"/>
        </w:rPr>
        <w:t xml:space="preserve"> FREQUENCY ARRANGEMENTS</w:t>
      </w:r>
      <w:r w:rsidR="00420F48" w:rsidRPr="00F504CD">
        <w:rPr>
          <w:b/>
          <w:highlight w:val="lightGray"/>
        </w:rPr>
        <w:t xml:space="preserve"> FOR 3300-4200 MHZ </w:t>
      </w:r>
      <w:r w:rsidR="0030564F" w:rsidRPr="00F504CD">
        <w:rPr>
          <w:b/>
          <w:highlight w:val="lightGray"/>
        </w:rPr>
        <w:t xml:space="preserve"> </w:t>
      </w:r>
    </w:p>
    <w:p w:rsidR="00AF007B" w:rsidRPr="006B5682" w:rsidRDefault="00465960" w:rsidP="006B5682">
      <w:pPr>
        <w:pStyle w:val="ListParagraph"/>
        <w:numPr>
          <w:ilvl w:val="0"/>
          <w:numId w:val="14"/>
        </w:numPr>
        <w:autoSpaceDE w:val="0"/>
        <w:autoSpaceDN w:val="0"/>
        <w:adjustRightInd w:val="0"/>
        <w:spacing w:before="0" w:after="0"/>
        <w:rPr>
          <w:rFonts w:cs="Arial"/>
          <w:bCs/>
          <w:color w:val="000000" w:themeColor="text1"/>
        </w:rPr>
      </w:pPr>
      <w:r w:rsidRPr="006B5682">
        <w:rPr>
          <w:rFonts w:cs="Arial"/>
          <w:bCs/>
          <w:color w:val="000000" w:themeColor="text1"/>
        </w:rPr>
        <w:t xml:space="preserve">3GPP </w:t>
      </w:r>
      <w:r w:rsidR="00AF007B" w:rsidRPr="006B5682">
        <w:rPr>
          <w:rFonts w:cs="Arial"/>
          <w:bCs/>
          <w:color w:val="000000" w:themeColor="text1"/>
        </w:rPr>
        <w:t>LTE and its evolution</w:t>
      </w:r>
    </w:p>
    <w:p w:rsidR="00AF007B" w:rsidRDefault="00AF007B" w:rsidP="00AF007B">
      <w:pPr>
        <w:autoSpaceDE w:val="0"/>
        <w:autoSpaceDN w:val="0"/>
        <w:adjustRightInd w:val="0"/>
        <w:spacing w:before="0" w:after="0"/>
        <w:ind w:left="0"/>
        <w:rPr>
          <w:rFonts w:cs="Arial"/>
          <w:bCs/>
          <w:color w:val="000000" w:themeColor="text1"/>
        </w:rPr>
      </w:pPr>
    </w:p>
    <w:p w:rsidR="0020754E" w:rsidRDefault="00AF007B" w:rsidP="00BD21CD">
      <w:pPr>
        <w:autoSpaceDE w:val="0"/>
        <w:autoSpaceDN w:val="0"/>
        <w:adjustRightInd w:val="0"/>
        <w:spacing w:before="0" w:after="0"/>
        <w:ind w:left="0"/>
        <w:jc w:val="left"/>
      </w:pPr>
      <w:r>
        <w:rPr>
          <w:rFonts w:cs="Arial"/>
          <w:bCs/>
          <w:color w:val="000000" w:themeColor="text1"/>
        </w:rPr>
        <w:t xml:space="preserve">3GPP </w:t>
      </w:r>
      <w:r w:rsidR="00465960" w:rsidRPr="00AF007B">
        <w:rPr>
          <w:rFonts w:cs="Arial"/>
          <w:bCs/>
          <w:color w:val="000000" w:themeColor="text1"/>
        </w:rPr>
        <w:t xml:space="preserve">has already specified the </w:t>
      </w:r>
      <w:r>
        <w:rPr>
          <w:rFonts w:cs="Arial"/>
          <w:bCs/>
          <w:color w:val="000000" w:themeColor="text1"/>
        </w:rPr>
        <w:t xml:space="preserve">LTE </w:t>
      </w:r>
      <w:r w:rsidR="00465960" w:rsidRPr="00AF007B">
        <w:rPr>
          <w:rFonts w:cs="Arial"/>
          <w:bCs/>
          <w:color w:val="000000" w:themeColor="text1"/>
        </w:rPr>
        <w:t>channel arrangement</w:t>
      </w:r>
      <w:r>
        <w:rPr>
          <w:rFonts w:cs="Arial"/>
          <w:bCs/>
          <w:color w:val="000000" w:themeColor="text1"/>
        </w:rPr>
        <w:t>s</w:t>
      </w:r>
      <w:r w:rsidR="00465960" w:rsidRPr="00AF007B">
        <w:rPr>
          <w:rFonts w:cs="Arial"/>
          <w:bCs/>
          <w:color w:val="000000" w:themeColor="text1"/>
        </w:rPr>
        <w:t xml:space="preserve"> and the</w:t>
      </w:r>
      <w:r>
        <w:rPr>
          <w:rFonts w:cs="Arial"/>
          <w:bCs/>
          <w:color w:val="000000" w:themeColor="text1"/>
        </w:rPr>
        <w:t xml:space="preserve"> required Transmitter/Receiver</w:t>
      </w:r>
      <w:r w:rsidR="00465960" w:rsidRPr="00AF007B">
        <w:rPr>
          <w:rFonts w:cs="Arial"/>
          <w:bCs/>
          <w:color w:val="000000" w:themeColor="text1"/>
        </w:rPr>
        <w:t xml:space="preserve"> characteristics for </w:t>
      </w:r>
      <w:r>
        <w:rPr>
          <w:rFonts w:cs="Arial"/>
          <w:bCs/>
          <w:color w:val="000000" w:themeColor="text1"/>
        </w:rPr>
        <w:t>operating bands in the 3400-3800 MHz range</w:t>
      </w:r>
      <w:r w:rsidR="00465960" w:rsidRPr="00AF007B">
        <w:rPr>
          <w:rFonts w:cs="Arial"/>
          <w:bCs/>
          <w:color w:val="000000" w:themeColor="text1"/>
        </w:rPr>
        <w:t>.</w:t>
      </w:r>
      <w:r>
        <w:rPr>
          <w:rFonts w:cs="Arial"/>
          <w:bCs/>
          <w:color w:val="000000" w:themeColor="text1"/>
        </w:rPr>
        <w:t xml:space="preserve">  The industry is also currently working with 3GPP for a new LTE band in the 3300-3400 MHz with a target completion date of March 2018.</w:t>
      </w:r>
      <w:r w:rsidR="00C52E31">
        <w:rPr>
          <w:rFonts w:cs="Arial"/>
          <w:bCs/>
          <w:color w:val="000000" w:themeColor="text1"/>
        </w:rPr>
        <w:t xml:space="preserve"> </w:t>
      </w:r>
      <w:r w:rsidR="008F7CB0">
        <w:rPr>
          <w:rFonts w:cs="Arial"/>
          <w:bCs/>
          <w:color w:val="000000" w:themeColor="text1"/>
        </w:rPr>
        <w:t>(Reference: 3GPP RP-171506</w:t>
      </w:r>
      <w:r w:rsidR="00764D05">
        <w:rPr>
          <w:rFonts w:cs="Arial"/>
          <w:bCs/>
          <w:color w:val="000000" w:themeColor="text1"/>
        </w:rPr>
        <w:t>;</w:t>
      </w:r>
      <w:r w:rsidR="00BD21CD">
        <w:rPr>
          <w:rFonts w:cs="Arial"/>
          <w:bCs/>
          <w:color w:val="000000" w:themeColor="text1"/>
        </w:rPr>
        <w:t xml:space="preserve"> </w:t>
      </w:r>
      <w:hyperlink r:id="rId9" w:history="1">
        <w:r w:rsidR="00C52E31" w:rsidRPr="0020754E">
          <w:rPr>
            <w:rStyle w:val="Hyperlink"/>
            <w:rFonts w:cs="Arial"/>
            <w:bCs/>
          </w:rPr>
          <w:t>http://www.3gpp.org/ftp/TSG_RAN/TSG_RAN/TSGR_75/Tdoclist/History/</w:t>
        </w:r>
      </w:hyperlink>
      <w:r w:rsidR="0020754E">
        <w:rPr>
          <w:rFonts w:cs="Arial"/>
          <w:bCs/>
        </w:rPr>
        <w:t>)</w:t>
      </w:r>
    </w:p>
    <w:p w:rsidR="008F7CB0" w:rsidRDefault="008F7CB0" w:rsidP="00AF007B">
      <w:pPr>
        <w:autoSpaceDE w:val="0"/>
        <w:autoSpaceDN w:val="0"/>
        <w:adjustRightInd w:val="0"/>
        <w:spacing w:before="0" w:after="0"/>
        <w:ind w:left="0"/>
        <w:rPr>
          <w:rFonts w:cs="Arial"/>
          <w:bCs/>
          <w:color w:val="000000" w:themeColor="text1"/>
        </w:rPr>
      </w:pPr>
    </w:p>
    <w:p w:rsidR="0030381A" w:rsidRDefault="00A9164B" w:rsidP="00AF007B">
      <w:pPr>
        <w:autoSpaceDE w:val="0"/>
        <w:autoSpaceDN w:val="0"/>
        <w:adjustRightInd w:val="0"/>
        <w:spacing w:before="0" w:after="0"/>
        <w:ind w:left="0"/>
        <w:rPr>
          <w:rFonts w:cs="Arial"/>
          <w:bCs/>
          <w:color w:val="000000" w:themeColor="text1"/>
        </w:rPr>
      </w:pPr>
      <w:r>
        <w:rPr>
          <w:rFonts w:cs="Arial"/>
          <w:bCs/>
          <w:color w:val="000000" w:themeColor="text1"/>
        </w:rPr>
        <w:t>T</w:t>
      </w:r>
      <w:r w:rsidR="00C70A62">
        <w:rPr>
          <w:rFonts w:cs="Arial"/>
          <w:bCs/>
          <w:color w:val="000000" w:themeColor="text1"/>
        </w:rPr>
        <w:t xml:space="preserve">he work items recently approved by the TSG WG4 do not specify for country </w:t>
      </w:r>
      <w:r w:rsidR="00F504CD">
        <w:rPr>
          <w:rFonts w:cs="Arial"/>
          <w:bCs/>
          <w:color w:val="000000" w:themeColor="text1"/>
        </w:rPr>
        <w:t>or</w:t>
      </w:r>
      <w:r w:rsidR="00C70A62">
        <w:rPr>
          <w:rFonts w:cs="Arial"/>
          <w:bCs/>
          <w:color w:val="000000" w:themeColor="text1"/>
        </w:rPr>
        <w:t xml:space="preserve"> region. </w:t>
      </w:r>
      <w:r w:rsidR="0030381A">
        <w:rPr>
          <w:rFonts w:cs="Arial"/>
          <w:bCs/>
          <w:color w:val="000000" w:themeColor="text1"/>
        </w:rPr>
        <w:t>Equipment operating in any of the</w:t>
      </w:r>
      <w:r w:rsidR="00F504CD">
        <w:rPr>
          <w:rFonts w:cs="Arial"/>
          <w:bCs/>
          <w:color w:val="000000" w:themeColor="text1"/>
        </w:rPr>
        <w:t>se</w:t>
      </w:r>
      <w:r w:rsidR="0030381A">
        <w:rPr>
          <w:rFonts w:cs="Arial"/>
          <w:bCs/>
          <w:color w:val="000000" w:themeColor="text1"/>
        </w:rPr>
        <w:t xml:space="preserve"> bands could be used in any countries where the regulations are compatible with the 3GPP technical characteristics </w:t>
      </w:r>
      <w:r w:rsidR="00C70A62">
        <w:rPr>
          <w:rFonts w:cs="Arial"/>
          <w:bCs/>
          <w:color w:val="000000" w:themeColor="text1"/>
        </w:rPr>
        <w:t xml:space="preserve">and </w:t>
      </w:r>
      <w:r w:rsidR="0030381A">
        <w:rPr>
          <w:rFonts w:cs="Arial"/>
          <w:bCs/>
          <w:color w:val="000000" w:themeColor="text1"/>
        </w:rPr>
        <w:t xml:space="preserve">the mobile use </w:t>
      </w:r>
      <w:r w:rsidR="00C70A62">
        <w:rPr>
          <w:rFonts w:cs="Arial"/>
          <w:bCs/>
          <w:color w:val="000000" w:themeColor="text1"/>
        </w:rPr>
        <w:t>has been</w:t>
      </w:r>
      <w:r w:rsidR="0030381A">
        <w:rPr>
          <w:rFonts w:cs="Arial"/>
          <w:bCs/>
          <w:color w:val="000000" w:themeColor="text1"/>
        </w:rPr>
        <w:t xml:space="preserve"> authorised by</w:t>
      </w:r>
      <w:r w:rsidR="00EE0D4D">
        <w:rPr>
          <w:rFonts w:cs="Arial"/>
          <w:bCs/>
          <w:color w:val="000000" w:themeColor="text1"/>
        </w:rPr>
        <w:t xml:space="preserve"> the</w:t>
      </w:r>
      <w:r w:rsidR="0030381A">
        <w:rPr>
          <w:rFonts w:cs="Arial"/>
          <w:bCs/>
          <w:color w:val="000000" w:themeColor="text1"/>
        </w:rPr>
        <w:t xml:space="preserve"> respective nation regulator.</w:t>
      </w:r>
    </w:p>
    <w:p w:rsidR="00420F48" w:rsidRDefault="00420F48" w:rsidP="00AF007B">
      <w:pPr>
        <w:autoSpaceDE w:val="0"/>
        <w:autoSpaceDN w:val="0"/>
        <w:adjustRightInd w:val="0"/>
        <w:spacing w:before="0" w:after="0"/>
        <w:ind w:left="0"/>
        <w:rPr>
          <w:rFonts w:cs="Arial"/>
          <w:bCs/>
          <w:color w:val="000000" w:themeColor="text1"/>
        </w:rPr>
      </w:pPr>
    </w:p>
    <w:p w:rsidR="00420F48" w:rsidRDefault="00420F48" w:rsidP="00AF007B">
      <w:pPr>
        <w:autoSpaceDE w:val="0"/>
        <w:autoSpaceDN w:val="0"/>
        <w:adjustRightInd w:val="0"/>
        <w:spacing w:before="0" w:after="0"/>
        <w:ind w:left="0"/>
        <w:rPr>
          <w:rFonts w:cs="Arial"/>
          <w:bCs/>
          <w:color w:val="000000" w:themeColor="text1"/>
        </w:rPr>
      </w:pPr>
      <w:r w:rsidRPr="00420F48">
        <w:rPr>
          <w:noProof/>
          <w:lang w:eastAsia="en-GB"/>
        </w:rPr>
        <w:drawing>
          <wp:inline distT="0" distB="0" distL="0" distR="0">
            <wp:extent cx="5679017" cy="152400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690109" cy="1526977"/>
                    </a:xfrm>
                    <a:prstGeom prst="rect">
                      <a:avLst/>
                    </a:prstGeom>
                    <a:noFill/>
                    <a:ln w="9525">
                      <a:noFill/>
                      <a:miter lim="800000"/>
                      <a:headEnd/>
                      <a:tailEnd/>
                    </a:ln>
                  </pic:spPr>
                </pic:pic>
              </a:graphicData>
            </a:graphic>
          </wp:inline>
        </w:drawing>
      </w:r>
    </w:p>
    <w:p w:rsidR="0030381A" w:rsidRDefault="0030381A" w:rsidP="00AF007B">
      <w:pPr>
        <w:autoSpaceDE w:val="0"/>
        <w:autoSpaceDN w:val="0"/>
        <w:adjustRightInd w:val="0"/>
        <w:spacing w:before="0" w:after="0"/>
        <w:ind w:left="0"/>
        <w:rPr>
          <w:rFonts w:cs="Arial"/>
          <w:bCs/>
          <w:color w:val="000000" w:themeColor="text1"/>
        </w:rPr>
      </w:pPr>
    </w:p>
    <w:p w:rsidR="0030381A" w:rsidRDefault="0030381A" w:rsidP="006B5682">
      <w:pPr>
        <w:pStyle w:val="ListParagraph"/>
        <w:numPr>
          <w:ilvl w:val="0"/>
          <w:numId w:val="15"/>
        </w:numPr>
        <w:autoSpaceDE w:val="0"/>
        <w:autoSpaceDN w:val="0"/>
        <w:adjustRightInd w:val="0"/>
        <w:spacing w:before="0" w:after="0"/>
        <w:rPr>
          <w:rFonts w:cs="Arial"/>
          <w:bCs/>
          <w:color w:val="000000" w:themeColor="text1"/>
        </w:rPr>
      </w:pPr>
      <w:r>
        <w:rPr>
          <w:rFonts w:cs="Arial"/>
          <w:bCs/>
          <w:color w:val="000000" w:themeColor="text1"/>
        </w:rPr>
        <w:t>3GPP 5G New Radio (NR)</w:t>
      </w:r>
    </w:p>
    <w:p w:rsidR="0030381A" w:rsidRDefault="0030381A" w:rsidP="0030381A">
      <w:pPr>
        <w:autoSpaceDE w:val="0"/>
        <w:autoSpaceDN w:val="0"/>
        <w:adjustRightInd w:val="0"/>
        <w:spacing w:before="0" w:after="0"/>
        <w:ind w:left="0"/>
        <w:rPr>
          <w:rFonts w:cs="Arial"/>
          <w:bCs/>
          <w:color w:val="000000" w:themeColor="text1"/>
        </w:rPr>
      </w:pPr>
    </w:p>
    <w:p w:rsidR="0030381A" w:rsidRDefault="0030381A" w:rsidP="00BD21CD">
      <w:pPr>
        <w:autoSpaceDE w:val="0"/>
        <w:autoSpaceDN w:val="0"/>
        <w:adjustRightInd w:val="0"/>
        <w:spacing w:before="0" w:after="0"/>
        <w:ind w:left="0"/>
        <w:jc w:val="left"/>
        <w:rPr>
          <w:rFonts w:cs="Arial"/>
          <w:bCs/>
          <w:color w:val="000000" w:themeColor="text1"/>
        </w:rPr>
      </w:pPr>
      <w:r>
        <w:rPr>
          <w:rFonts w:cs="Arial"/>
          <w:bCs/>
          <w:color w:val="000000" w:themeColor="text1"/>
        </w:rPr>
        <w:t xml:space="preserve">3GPP has also started </w:t>
      </w:r>
      <w:r w:rsidR="00F504CD">
        <w:rPr>
          <w:rFonts w:cs="Arial"/>
          <w:bCs/>
          <w:color w:val="000000" w:themeColor="text1"/>
        </w:rPr>
        <w:t>specifying details for</w:t>
      </w:r>
      <w:r>
        <w:rPr>
          <w:rFonts w:cs="Arial"/>
          <w:bCs/>
          <w:color w:val="000000" w:themeColor="text1"/>
        </w:rPr>
        <w:t xml:space="preserve"> 5G NR bands including t</w:t>
      </w:r>
      <w:r w:rsidR="00EE0D4D">
        <w:rPr>
          <w:rFonts w:cs="Arial"/>
          <w:bCs/>
          <w:color w:val="000000" w:themeColor="text1"/>
        </w:rPr>
        <w:t xml:space="preserve">he large </w:t>
      </w:r>
      <w:r w:rsidR="00F504CD">
        <w:rPr>
          <w:rFonts w:cs="Arial"/>
          <w:bCs/>
          <w:color w:val="000000" w:themeColor="text1"/>
        </w:rPr>
        <w:t>band</w:t>
      </w:r>
      <w:r w:rsidR="00EE0D4D">
        <w:rPr>
          <w:rFonts w:cs="Arial"/>
          <w:bCs/>
          <w:color w:val="000000" w:themeColor="text1"/>
        </w:rPr>
        <w:t xml:space="preserve"> of 3300-4200 MHz. </w:t>
      </w:r>
      <w:r>
        <w:rPr>
          <w:rFonts w:cs="Arial"/>
          <w:bCs/>
          <w:color w:val="000000" w:themeColor="text1"/>
        </w:rPr>
        <w:t>The standardisation of 5G NR bands is expected to be completed by June 2018 within the 3GPP Release 15.</w:t>
      </w:r>
      <w:r w:rsidR="007F4FC4">
        <w:rPr>
          <w:rFonts w:cs="Arial"/>
          <w:bCs/>
          <w:color w:val="000000" w:themeColor="text1"/>
        </w:rPr>
        <w:t xml:space="preserve"> (Reference: 3GPP RP-170847 New Work Item Description, March 2017; 3GPP TR38.802 v14.0.0 Technical Report, March 2017</w:t>
      </w:r>
      <w:r w:rsidR="00BD21CD">
        <w:rPr>
          <w:rFonts w:cs="Arial"/>
          <w:bCs/>
          <w:color w:val="000000" w:themeColor="text1"/>
        </w:rPr>
        <w:t xml:space="preserve">; </w:t>
      </w:r>
      <w:hyperlink r:id="rId11" w:history="1">
        <w:r w:rsidR="00BD21CD" w:rsidRPr="0020754E">
          <w:rPr>
            <w:rStyle w:val="Hyperlink"/>
            <w:rFonts w:cs="Arial"/>
            <w:bCs/>
          </w:rPr>
          <w:t>http://www.3gpp.org/ftp/TSG_RAN/TSG_RAN/TSGR_75/Tdoclist/History/</w:t>
        </w:r>
      </w:hyperlink>
      <w:r w:rsidR="00BD21CD">
        <w:rPr>
          <w:rFonts w:cs="Arial"/>
          <w:bCs/>
          <w:color w:val="000000" w:themeColor="text1"/>
        </w:rPr>
        <w:t>)</w:t>
      </w:r>
    </w:p>
    <w:p w:rsidR="00C70A62" w:rsidRPr="0030381A" w:rsidRDefault="00C70A62" w:rsidP="0030381A">
      <w:pPr>
        <w:autoSpaceDE w:val="0"/>
        <w:autoSpaceDN w:val="0"/>
        <w:adjustRightInd w:val="0"/>
        <w:spacing w:before="0" w:after="0"/>
        <w:ind w:left="0"/>
        <w:rPr>
          <w:rFonts w:cs="Arial"/>
          <w:bCs/>
          <w:color w:val="000000" w:themeColor="text1"/>
        </w:rPr>
      </w:pPr>
    </w:p>
    <w:p w:rsidR="00C70A62" w:rsidRDefault="00C70A62">
      <w:pPr>
        <w:spacing w:before="0" w:after="200" w:line="276" w:lineRule="auto"/>
        <w:ind w:left="0"/>
        <w:jc w:val="left"/>
        <w:rPr>
          <w:b/>
          <w:highlight w:val="lightGray"/>
        </w:rPr>
      </w:pPr>
      <w:r w:rsidRPr="00C70A62">
        <w:rPr>
          <w:noProof/>
          <w:lang w:eastAsia="en-GB"/>
        </w:rPr>
        <w:drawing>
          <wp:inline distT="0" distB="0" distL="0" distR="0">
            <wp:extent cx="5600700" cy="123825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600700" cy="1238250"/>
                    </a:xfrm>
                    <a:prstGeom prst="rect">
                      <a:avLst/>
                    </a:prstGeom>
                    <a:noFill/>
                    <a:ln w="9525">
                      <a:noFill/>
                      <a:miter lim="800000"/>
                      <a:headEnd/>
                      <a:tailEnd/>
                    </a:ln>
                  </pic:spPr>
                </pic:pic>
              </a:graphicData>
            </a:graphic>
          </wp:inline>
        </w:drawing>
      </w:r>
    </w:p>
    <w:p w:rsidR="008F7CB0" w:rsidRDefault="0027458F" w:rsidP="006B5682">
      <w:pPr>
        <w:pStyle w:val="ListParagraph"/>
        <w:numPr>
          <w:ilvl w:val="0"/>
          <w:numId w:val="16"/>
        </w:numPr>
        <w:autoSpaceDE w:val="0"/>
        <w:autoSpaceDN w:val="0"/>
        <w:adjustRightInd w:val="0"/>
        <w:spacing w:before="0" w:after="0"/>
        <w:rPr>
          <w:rFonts w:cs="Arial"/>
          <w:bCs/>
          <w:color w:val="000000" w:themeColor="text1"/>
        </w:rPr>
      </w:pPr>
      <w:r>
        <w:rPr>
          <w:rFonts w:cs="Arial"/>
          <w:bCs/>
          <w:color w:val="000000" w:themeColor="text1"/>
        </w:rPr>
        <w:t xml:space="preserve">Australian Radio Spectrum Plan Jan 2017 </w:t>
      </w:r>
    </w:p>
    <w:p w:rsidR="00747878" w:rsidRPr="00E66CF0" w:rsidRDefault="00747878" w:rsidP="00E66CF0">
      <w:pPr>
        <w:autoSpaceDE w:val="0"/>
        <w:autoSpaceDN w:val="0"/>
        <w:adjustRightInd w:val="0"/>
        <w:spacing w:before="0" w:after="0"/>
        <w:ind w:left="0"/>
        <w:rPr>
          <w:rFonts w:cs="Arial"/>
          <w:bCs/>
          <w:color w:val="000000" w:themeColor="text1"/>
        </w:rPr>
      </w:pPr>
    </w:p>
    <w:p w:rsidR="00BD21CD" w:rsidRDefault="001518CE" w:rsidP="00BD21CD">
      <w:pPr>
        <w:autoSpaceDE w:val="0"/>
        <w:autoSpaceDN w:val="0"/>
        <w:adjustRightInd w:val="0"/>
        <w:spacing w:before="0" w:after="0"/>
        <w:ind w:left="0"/>
        <w:jc w:val="left"/>
        <w:rPr>
          <w:rFonts w:cs="Arial"/>
          <w:lang w:val="en-AU"/>
        </w:rPr>
      </w:pPr>
      <w:r w:rsidRPr="00E66CF0">
        <w:rPr>
          <w:rFonts w:cs="Arial"/>
          <w:bCs/>
          <w:color w:val="000000" w:themeColor="text1"/>
        </w:rPr>
        <w:t>Australian allocations are broadly aligned with the International Telecommunication Union (ITU) Radio</w:t>
      </w:r>
      <w:r w:rsidRPr="00E66CF0">
        <w:rPr>
          <w:rFonts w:cs="Arial"/>
          <w:lang w:val="en-AU"/>
        </w:rPr>
        <w:t xml:space="preserve"> regulation</w:t>
      </w:r>
      <w:r w:rsidR="00747878" w:rsidRPr="00E66CF0">
        <w:rPr>
          <w:rFonts w:cs="Arial"/>
          <w:lang w:val="en-AU"/>
        </w:rPr>
        <w:t>s</w:t>
      </w:r>
      <w:r w:rsidRPr="00E66CF0">
        <w:rPr>
          <w:rFonts w:cs="Arial"/>
          <w:lang w:val="en-AU"/>
        </w:rPr>
        <w:t xml:space="preserve"> requirements for Region 3 with </w:t>
      </w:r>
      <w:r w:rsidR="00747878" w:rsidRPr="00E66CF0">
        <w:rPr>
          <w:rFonts w:cs="Arial"/>
          <w:lang w:val="en-AU"/>
        </w:rPr>
        <w:t xml:space="preserve">very </w:t>
      </w:r>
      <w:r w:rsidRPr="00E66CF0">
        <w:rPr>
          <w:rFonts w:cs="Arial"/>
          <w:lang w:val="en-AU"/>
        </w:rPr>
        <w:t>few variation</w:t>
      </w:r>
      <w:r w:rsidR="00747878" w:rsidRPr="00E66CF0">
        <w:rPr>
          <w:rFonts w:cs="Arial"/>
          <w:lang w:val="en-AU"/>
        </w:rPr>
        <w:t>s</w:t>
      </w:r>
      <w:r w:rsidRPr="00E66CF0">
        <w:rPr>
          <w:rFonts w:cs="Arial"/>
          <w:lang w:val="en-AU"/>
        </w:rPr>
        <w:t xml:space="preserve"> </w:t>
      </w:r>
      <w:r w:rsidR="00F504CD" w:rsidRPr="00E66CF0">
        <w:rPr>
          <w:rFonts w:cs="Arial"/>
          <w:lang w:val="en-AU"/>
        </w:rPr>
        <w:t>within</w:t>
      </w:r>
      <w:r w:rsidRPr="00E66CF0">
        <w:rPr>
          <w:rFonts w:cs="Arial"/>
          <w:lang w:val="en-AU"/>
        </w:rPr>
        <w:t xml:space="preserve"> the 3300-4200 MHz range.</w:t>
      </w:r>
      <w:r w:rsidR="00C47298" w:rsidRPr="00E66CF0">
        <w:rPr>
          <w:rFonts w:cs="Arial"/>
          <w:lang w:val="en-AU"/>
        </w:rPr>
        <w:t xml:space="preserve"> (Reference: Australian Radio Spectrum Plan 2017 - with general information</w:t>
      </w:r>
      <w:r w:rsidR="00BD21CD">
        <w:rPr>
          <w:rFonts w:cs="Arial"/>
          <w:lang w:val="en-AU"/>
        </w:rPr>
        <w:t xml:space="preserve">; </w:t>
      </w:r>
      <w:hyperlink r:id="rId13" w:history="1">
        <w:r w:rsidR="00BD21CD" w:rsidRPr="0020754E">
          <w:rPr>
            <w:rStyle w:val="Hyperlink"/>
            <w:rFonts w:cs="Arial"/>
            <w:lang w:val="en-AU"/>
          </w:rPr>
          <w:t>http://www.acma.gov.au/~/media/Spectrum%20Engineering/Information/pdf/ARSP%202017%20-%20with%20general%20information%20pdf.pdf</w:t>
        </w:r>
      </w:hyperlink>
      <w:r w:rsidR="00BD21CD">
        <w:rPr>
          <w:rFonts w:cs="Arial"/>
          <w:lang w:val="en-AU"/>
        </w:rPr>
        <w:t>)</w:t>
      </w:r>
    </w:p>
    <w:p w:rsidR="005B0DC0" w:rsidRDefault="005B0DC0" w:rsidP="00BD21CD">
      <w:pPr>
        <w:autoSpaceDE w:val="0"/>
        <w:autoSpaceDN w:val="0"/>
        <w:adjustRightInd w:val="0"/>
        <w:spacing w:before="0" w:after="0"/>
        <w:ind w:left="0"/>
        <w:jc w:val="left"/>
        <w:rPr>
          <w:rFonts w:cs="Arial"/>
          <w:lang w:val="en-AU"/>
        </w:rPr>
      </w:pPr>
    </w:p>
    <w:p w:rsidR="005B0DC0" w:rsidRDefault="00F504CD">
      <w:pPr>
        <w:spacing w:before="0" w:after="200" w:line="276" w:lineRule="auto"/>
        <w:ind w:left="0"/>
        <w:jc w:val="left"/>
        <w:rPr>
          <w:b/>
          <w:highlight w:val="lightGray"/>
        </w:rPr>
      </w:pPr>
      <w:r>
        <w:rPr>
          <w:rFonts w:cs="Arial"/>
          <w:lang w:val="en-AU"/>
        </w:rPr>
        <w:t xml:space="preserve">The </w:t>
      </w:r>
      <w:r w:rsidR="00747878">
        <w:rPr>
          <w:rFonts w:cs="Arial"/>
          <w:lang w:val="en-AU"/>
        </w:rPr>
        <w:t xml:space="preserve">table </w:t>
      </w:r>
      <w:r>
        <w:rPr>
          <w:rFonts w:cs="Arial"/>
          <w:lang w:val="en-AU"/>
        </w:rPr>
        <w:t xml:space="preserve">below </w:t>
      </w:r>
      <w:r w:rsidR="00747878">
        <w:rPr>
          <w:rFonts w:cs="Arial"/>
          <w:lang w:val="en-AU"/>
        </w:rPr>
        <w:t>shows the frequency allocations of ITU Radio regulations and the corresponding Australian allocations.</w:t>
      </w:r>
      <w:r w:rsidR="00C47298">
        <w:rPr>
          <w:rFonts w:cs="Arial"/>
          <w:lang w:val="en-AU"/>
        </w:rPr>
        <w:t xml:space="preserve"> The diagram beside </w:t>
      </w:r>
      <w:r>
        <w:rPr>
          <w:rFonts w:cs="Arial"/>
          <w:lang w:val="en-AU"/>
        </w:rPr>
        <w:t xml:space="preserve">the </w:t>
      </w:r>
      <w:r w:rsidR="00C47298">
        <w:rPr>
          <w:rFonts w:cs="Arial"/>
          <w:lang w:val="en-AU"/>
        </w:rPr>
        <w:t xml:space="preserve">table </w:t>
      </w:r>
      <w:r>
        <w:rPr>
          <w:rFonts w:cs="Arial"/>
          <w:lang w:val="en-AU"/>
        </w:rPr>
        <w:t>describes</w:t>
      </w:r>
      <w:r w:rsidR="00C47298">
        <w:rPr>
          <w:rFonts w:cs="Arial"/>
          <w:lang w:val="en-AU"/>
        </w:rPr>
        <w:t xml:space="preserve"> the range of 3.5 GHz band and 3.6 GHz band.  We also understand that the best use of 3.5 GHz band has been considered by the ACMA and will </w:t>
      </w:r>
      <w:r>
        <w:rPr>
          <w:rFonts w:cs="Arial"/>
          <w:lang w:val="en-AU"/>
        </w:rPr>
        <w:t>be investigated</w:t>
      </w:r>
      <w:r w:rsidR="005E44CC">
        <w:rPr>
          <w:rFonts w:cs="Arial"/>
          <w:lang w:val="en-AU"/>
        </w:rPr>
        <w:t xml:space="preserve"> </w:t>
      </w:r>
      <w:r w:rsidR="00C47298">
        <w:rPr>
          <w:rFonts w:cs="Arial"/>
          <w:lang w:val="en-AU"/>
        </w:rPr>
        <w:t xml:space="preserve">followed by re-farming of </w:t>
      </w:r>
      <w:r>
        <w:rPr>
          <w:rFonts w:cs="Arial"/>
          <w:lang w:val="en-AU"/>
        </w:rPr>
        <w:t xml:space="preserve">the </w:t>
      </w:r>
      <w:r w:rsidR="00C47298">
        <w:rPr>
          <w:rFonts w:cs="Arial"/>
          <w:lang w:val="en-AU"/>
        </w:rPr>
        <w:t xml:space="preserve">3.6 GHz band.  </w:t>
      </w:r>
    </w:p>
    <w:p w:rsidR="00C47298" w:rsidRDefault="00AA298E">
      <w:pPr>
        <w:spacing w:before="0" w:after="200" w:line="276" w:lineRule="auto"/>
        <w:ind w:left="0"/>
        <w:jc w:val="left"/>
        <w:rPr>
          <w:b/>
          <w:highlight w:val="lightGray"/>
        </w:rPr>
      </w:pPr>
      <w:r w:rsidRPr="00AA298E">
        <w:rPr>
          <w:noProof/>
          <w:lang w:eastAsia="en-GB"/>
        </w:rPr>
        <w:lastRenderedPageBreak/>
        <w:drawing>
          <wp:inline distT="0" distB="0" distL="0" distR="0">
            <wp:extent cx="5731510" cy="3151378"/>
            <wp:effectExtent l="19050" t="0" r="254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731510" cy="3151378"/>
                    </a:xfrm>
                    <a:prstGeom prst="rect">
                      <a:avLst/>
                    </a:prstGeom>
                    <a:noFill/>
                    <a:ln w="9525">
                      <a:noFill/>
                      <a:miter lim="800000"/>
                      <a:headEnd/>
                      <a:tailEnd/>
                    </a:ln>
                  </pic:spPr>
                </pic:pic>
              </a:graphicData>
            </a:graphic>
          </wp:inline>
        </w:drawing>
      </w:r>
    </w:p>
    <w:p w:rsidR="00CA3A6C" w:rsidRPr="0020754E" w:rsidRDefault="00C411D8" w:rsidP="00CA3A6C">
      <w:pPr>
        <w:spacing w:before="0" w:after="200" w:line="276" w:lineRule="auto"/>
        <w:ind w:left="0"/>
        <w:jc w:val="left"/>
        <w:rPr>
          <w:rFonts w:cs="Arial"/>
          <w:lang w:val="en-AU"/>
        </w:rPr>
      </w:pPr>
      <w:r w:rsidRPr="0020754E">
        <w:rPr>
          <w:rFonts w:cs="Arial"/>
          <w:kern w:val="0"/>
          <w:lang w:eastAsia="en-US"/>
        </w:rPr>
        <w:t>The r</w:t>
      </w:r>
      <w:r w:rsidR="00CA3A6C" w:rsidRPr="0020754E">
        <w:rPr>
          <w:rFonts w:cs="Arial"/>
          <w:kern w:val="0"/>
          <w:lang w:eastAsia="en-US"/>
        </w:rPr>
        <w:t xml:space="preserve">adio spectrum is a critical and valuable asset to support growth and jobs in Australia. With </w:t>
      </w:r>
      <w:r w:rsidRPr="0020754E">
        <w:rPr>
          <w:rFonts w:cs="Arial"/>
          <w:kern w:val="0"/>
          <w:lang w:eastAsia="en-US"/>
        </w:rPr>
        <w:t>increasing</w:t>
      </w:r>
      <w:r w:rsidR="00CA3A6C" w:rsidRPr="0020754E">
        <w:rPr>
          <w:rFonts w:cs="Arial"/>
          <w:kern w:val="0"/>
          <w:lang w:eastAsia="en-US"/>
        </w:rPr>
        <w:t xml:space="preserve"> radio spectrum </w:t>
      </w:r>
      <w:r w:rsidRPr="0020754E">
        <w:rPr>
          <w:rFonts w:cs="Arial"/>
          <w:kern w:val="0"/>
          <w:lang w:eastAsia="en-US"/>
        </w:rPr>
        <w:t>demand</w:t>
      </w:r>
      <w:r w:rsidR="00CA3A6C" w:rsidRPr="0020754E">
        <w:rPr>
          <w:rFonts w:cs="Arial"/>
          <w:kern w:val="0"/>
          <w:lang w:eastAsia="en-US"/>
        </w:rPr>
        <w:t>, for example, accelerat</w:t>
      </w:r>
      <w:r w:rsidRPr="0020754E">
        <w:rPr>
          <w:rFonts w:cs="Arial"/>
          <w:kern w:val="0"/>
          <w:lang w:eastAsia="en-US"/>
        </w:rPr>
        <w:t>ed</w:t>
      </w:r>
      <w:r w:rsidR="00CA3A6C" w:rsidRPr="0020754E">
        <w:rPr>
          <w:rFonts w:cs="Arial"/>
          <w:kern w:val="0"/>
          <w:lang w:eastAsia="en-US"/>
        </w:rPr>
        <w:t xml:space="preserve"> growth in wireless data </w:t>
      </w:r>
      <w:r w:rsidR="00CA3A6C" w:rsidRPr="0020754E">
        <w:rPr>
          <w:rFonts w:cs="Arial"/>
          <w:lang w:val="en-AU"/>
        </w:rPr>
        <w:t xml:space="preserve">traffic generated by smart phones, tablets, and other portable Internet access devices, it is necessary to use this unique resource as efficiently as possible. </w:t>
      </w:r>
    </w:p>
    <w:p w:rsidR="008854D1" w:rsidRPr="00CA3A6C" w:rsidRDefault="008854D1">
      <w:pPr>
        <w:spacing w:before="0" w:after="200" w:line="276" w:lineRule="auto"/>
        <w:ind w:left="0"/>
        <w:jc w:val="left"/>
        <w:rPr>
          <w:rFonts w:cs="Arial"/>
          <w:lang w:val="en-AU"/>
        </w:rPr>
      </w:pPr>
      <w:r w:rsidRPr="00CA3A6C">
        <w:rPr>
          <w:rFonts w:cs="Arial"/>
          <w:lang w:val="en-AU"/>
        </w:rPr>
        <w:t xml:space="preserve">The entire spectrum range of 3300-4200 MHz will not be identified for MBB globally, </w:t>
      </w:r>
      <w:r w:rsidR="00F504CD" w:rsidRPr="00CA3A6C">
        <w:rPr>
          <w:rFonts w:cs="Arial"/>
          <w:lang w:val="en-AU"/>
        </w:rPr>
        <w:t xml:space="preserve">and </w:t>
      </w:r>
      <w:r w:rsidR="005C6A4C" w:rsidRPr="00CA3A6C">
        <w:rPr>
          <w:rFonts w:cs="Arial"/>
          <w:lang w:val="en-AU"/>
        </w:rPr>
        <w:t>can be different from country to country</w:t>
      </w:r>
      <w:r w:rsidR="00CD6CBE" w:rsidRPr="00CA3A6C">
        <w:rPr>
          <w:rFonts w:cs="Arial"/>
          <w:lang w:val="en-AU"/>
        </w:rPr>
        <w:t>, including Australia,</w:t>
      </w:r>
      <w:r w:rsidR="005C6A4C" w:rsidRPr="00CA3A6C">
        <w:rPr>
          <w:rFonts w:cs="Arial"/>
          <w:lang w:val="en-AU"/>
        </w:rPr>
        <w:t xml:space="preserve"> depending on the local conditions</w:t>
      </w:r>
      <w:r w:rsidRPr="00CA3A6C">
        <w:rPr>
          <w:rFonts w:cs="Arial"/>
          <w:lang w:val="en-AU"/>
        </w:rPr>
        <w:t>.</w:t>
      </w:r>
      <w:r w:rsidR="005C6A4C" w:rsidRPr="00CA3A6C">
        <w:rPr>
          <w:rFonts w:cs="Arial"/>
          <w:lang w:val="en-AU"/>
        </w:rPr>
        <w:t xml:space="preserve"> I</w:t>
      </w:r>
      <w:r w:rsidRPr="00CA3A6C">
        <w:rPr>
          <w:rFonts w:cs="Arial"/>
          <w:lang w:val="en-AU"/>
        </w:rPr>
        <w:t>t is important to</w:t>
      </w:r>
      <w:r w:rsidR="005C6A4C" w:rsidRPr="00CA3A6C">
        <w:rPr>
          <w:rFonts w:cs="Arial"/>
          <w:lang w:val="en-AU"/>
        </w:rPr>
        <w:t xml:space="preserve"> define spectrum policies and actions, described below,</w:t>
      </w:r>
      <w:r w:rsidRPr="0020754E">
        <w:rPr>
          <w:rFonts w:cs="Arial"/>
          <w:lang w:val="en-AU"/>
        </w:rPr>
        <w:t xml:space="preserve"> to</w:t>
      </w:r>
      <w:r w:rsidR="00A168B2" w:rsidRPr="0020754E">
        <w:rPr>
          <w:rFonts w:cs="Arial"/>
          <w:lang w:val="en-AU"/>
        </w:rPr>
        <w:t xml:space="preserve"> utilise the spectrum efficiently and to</w:t>
      </w:r>
      <w:r w:rsidRPr="00CA3A6C">
        <w:rPr>
          <w:rFonts w:cs="Arial"/>
          <w:lang w:val="en-AU"/>
        </w:rPr>
        <w:t xml:space="preserve"> benefit from the economies of scale deriving from the ecosystem that will be developed </w:t>
      </w:r>
      <w:r w:rsidR="008936FF" w:rsidRPr="00CA3A6C">
        <w:rPr>
          <w:rFonts w:cs="Arial"/>
          <w:lang w:val="en-AU"/>
        </w:rPr>
        <w:t>in</w:t>
      </w:r>
      <w:r w:rsidRPr="00CA3A6C">
        <w:rPr>
          <w:rFonts w:cs="Arial"/>
          <w:lang w:val="en-AU"/>
        </w:rPr>
        <w:t xml:space="preserve"> the range</w:t>
      </w:r>
      <w:r w:rsidR="005C6A4C" w:rsidRPr="00CA3A6C">
        <w:rPr>
          <w:rFonts w:cs="Arial"/>
          <w:lang w:val="en-AU"/>
        </w:rPr>
        <w:t xml:space="preserve"> (3300-4200 MHz). </w:t>
      </w:r>
    </w:p>
    <w:p w:rsidR="005C6A4C" w:rsidRPr="0020754E" w:rsidRDefault="005C6A4C" w:rsidP="006B5682">
      <w:pPr>
        <w:pStyle w:val="ListParagraph"/>
        <w:numPr>
          <w:ilvl w:val="0"/>
          <w:numId w:val="12"/>
        </w:numPr>
        <w:autoSpaceDE w:val="0"/>
        <w:autoSpaceDN w:val="0"/>
        <w:adjustRightInd w:val="0"/>
        <w:spacing w:before="0" w:after="0"/>
        <w:rPr>
          <w:rFonts w:cs="Arial"/>
          <w:bCs/>
        </w:rPr>
      </w:pPr>
      <w:r w:rsidRPr="006B5682">
        <w:rPr>
          <w:rFonts w:cs="Arial"/>
          <w:bCs/>
          <w:color w:val="000000" w:themeColor="text1"/>
        </w:rPr>
        <w:t>To address current spectrum fragmentation</w:t>
      </w:r>
      <w:r w:rsidR="006B5682" w:rsidRPr="006B5682">
        <w:rPr>
          <w:rFonts w:cs="Arial"/>
          <w:bCs/>
          <w:color w:val="000000" w:themeColor="text1"/>
        </w:rPr>
        <w:t>s</w:t>
      </w:r>
      <w:r w:rsidRPr="006B5682">
        <w:rPr>
          <w:rFonts w:cs="Arial"/>
          <w:bCs/>
          <w:color w:val="000000" w:themeColor="text1"/>
        </w:rPr>
        <w:t xml:space="preserve"> including trading of existing licences</w:t>
      </w:r>
      <w:r w:rsidR="00ED42FA">
        <w:rPr>
          <w:rFonts w:cs="Arial"/>
          <w:bCs/>
          <w:color w:val="000000" w:themeColor="text1"/>
        </w:rPr>
        <w:t>,</w:t>
      </w:r>
      <w:r w:rsidR="00DD73B8">
        <w:rPr>
          <w:rFonts w:cs="Arial"/>
          <w:bCs/>
          <w:color w:val="000000" w:themeColor="text1"/>
        </w:rPr>
        <w:t xml:space="preserve"> </w:t>
      </w:r>
      <w:r w:rsidR="00DD73B8" w:rsidRPr="0020754E">
        <w:rPr>
          <w:rFonts w:cs="Arial"/>
          <w:bCs/>
        </w:rPr>
        <w:t>optimising spectrum allocation and licensing</w:t>
      </w:r>
    </w:p>
    <w:p w:rsidR="006B5682" w:rsidRPr="0020754E" w:rsidRDefault="006B5682" w:rsidP="006B5682">
      <w:pPr>
        <w:autoSpaceDE w:val="0"/>
        <w:autoSpaceDN w:val="0"/>
        <w:adjustRightInd w:val="0"/>
        <w:spacing w:before="0" w:after="0"/>
        <w:ind w:left="0"/>
        <w:rPr>
          <w:rFonts w:cs="Arial"/>
          <w:bCs/>
        </w:rPr>
      </w:pPr>
    </w:p>
    <w:p w:rsidR="00A168B2" w:rsidRPr="0020754E" w:rsidRDefault="00A168B2" w:rsidP="006B5682">
      <w:pPr>
        <w:pStyle w:val="ListParagraph"/>
        <w:numPr>
          <w:ilvl w:val="0"/>
          <w:numId w:val="11"/>
        </w:numPr>
        <w:spacing w:before="0" w:after="200" w:line="276" w:lineRule="auto"/>
        <w:jc w:val="left"/>
        <w:rPr>
          <w:rFonts w:cs="Arial"/>
          <w:lang w:val="en-AU"/>
        </w:rPr>
      </w:pPr>
      <w:r w:rsidRPr="0020754E">
        <w:rPr>
          <w:rFonts w:cs="Arial"/>
          <w:lang w:val="en-AU"/>
        </w:rPr>
        <w:t>To align with 3GPP frequency bands- LTE-A Band42 (3400-3600 MHz), Band 43 (3600-3800 MHz) and 5G NR bands</w:t>
      </w:r>
      <w:r w:rsidR="006B5682" w:rsidRPr="0020754E">
        <w:rPr>
          <w:rFonts w:cs="Arial"/>
          <w:lang w:val="en-AU"/>
        </w:rPr>
        <w:t xml:space="preserve"> (3300-3800 MHz; 3600-4200 MHz and/or 3300-4200 MHz)</w:t>
      </w:r>
      <w:r w:rsidR="00CA3A6C" w:rsidRPr="0020754E">
        <w:rPr>
          <w:rFonts w:cs="Arial"/>
          <w:lang w:val="en-AU"/>
        </w:rPr>
        <w:t xml:space="preserve"> as to </w:t>
      </w:r>
      <w:r w:rsidR="00ED42FA" w:rsidRPr="0020754E">
        <w:rPr>
          <w:rFonts w:cs="Arial"/>
          <w:lang w:val="en-AU"/>
        </w:rPr>
        <w:t xml:space="preserve">lead to a </w:t>
      </w:r>
      <w:r w:rsidR="00CA3A6C" w:rsidRPr="0020754E">
        <w:rPr>
          <w:rFonts w:cs="Arial"/>
          <w:lang w:val="en-AU"/>
        </w:rPr>
        <w:t xml:space="preserve">harmonised spectrum and its use for MBB services </w:t>
      </w:r>
    </w:p>
    <w:p w:rsidR="006B5682" w:rsidRDefault="008936FF" w:rsidP="006B5682">
      <w:pPr>
        <w:spacing w:before="0" w:after="200" w:line="276" w:lineRule="auto"/>
        <w:ind w:left="360"/>
        <w:jc w:val="left"/>
        <w:rPr>
          <w:rFonts w:cs="Arial"/>
          <w:color w:val="0033CC"/>
          <w:lang w:val="en-AU"/>
        </w:rPr>
      </w:pPr>
      <w:r w:rsidRPr="0020754E">
        <w:rPr>
          <w:rFonts w:cs="Arial"/>
          <w:lang w:val="en-AU"/>
        </w:rPr>
        <w:t>T</w:t>
      </w:r>
      <w:r w:rsidR="00E609FF" w:rsidRPr="0020754E">
        <w:rPr>
          <w:rFonts w:cs="Arial"/>
          <w:lang w:val="en-AU"/>
        </w:rPr>
        <w:t>his frequency harmonisation requirement</w:t>
      </w:r>
      <w:r w:rsidR="00ED42FA" w:rsidRPr="0020754E">
        <w:rPr>
          <w:rFonts w:cs="Arial"/>
          <w:lang w:val="en-AU"/>
        </w:rPr>
        <w:t>,</w:t>
      </w:r>
      <w:r w:rsidR="00E609FF" w:rsidRPr="0020754E">
        <w:rPr>
          <w:rFonts w:cs="Arial"/>
          <w:lang w:val="en-AU"/>
        </w:rPr>
        <w:t xml:space="preserve"> as stated above</w:t>
      </w:r>
      <w:r w:rsidRPr="0020754E">
        <w:rPr>
          <w:rFonts w:cs="Arial"/>
          <w:lang w:val="en-AU"/>
        </w:rPr>
        <w:t xml:space="preserve"> in the</w:t>
      </w:r>
      <w:r w:rsidR="00CA3A6C" w:rsidRPr="0020754E">
        <w:rPr>
          <w:rFonts w:cs="Arial"/>
          <w:lang w:val="en-AU"/>
        </w:rPr>
        <w:t xml:space="preserve"> ACMA’s</w:t>
      </w:r>
      <w:r w:rsidR="00E609FF" w:rsidRPr="0020754E">
        <w:rPr>
          <w:rFonts w:cs="Arial"/>
          <w:lang w:val="en-AU"/>
        </w:rPr>
        <w:t xml:space="preserve"> spectrum </w:t>
      </w:r>
      <w:r w:rsidRPr="0020754E">
        <w:rPr>
          <w:rFonts w:cs="Arial"/>
          <w:lang w:val="en-AU"/>
        </w:rPr>
        <w:t>planning and allocations</w:t>
      </w:r>
      <w:r w:rsidR="00ED42FA" w:rsidRPr="0020754E">
        <w:rPr>
          <w:rFonts w:cs="Arial"/>
          <w:lang w:val="en-AU"/>
        </w:rPr>
        <w:t>,</w:t>
      </w:r>
      <w:r w:rsidRPr="0020754E">
        <w:rPr>
          <w:rFonts w:cs="Arial"/>
          <w:lang w:val="en-AU"/>
        </w:rPr>
        <w:t xml:space="preserve"> </w:t>
      </w:r>
      <w:r w:rsidR="00E609FF" w:rsidRPr="0020754E">
        <w:rPr>
          <w:rFonts w:cs="Arial"/>
          <w:lang w:val="en-AU"/>
        </w:rPr>
        <w:t xml:space="preserve">is vitally important </w:t>
      </w:r>
      <w:r w:rsidR="00AE4801" w:rsidRPr="0020754E">
        <w:rPr>
          <w:rFonts w:cs="Arial"/>
          <w:lang w:val="en-AU"/>
        </w:rPr>
        <w:t xml:space="preserve">because devices and UEs </w:t>
      </w:r>
      <w:r w:rsidR="00ED42FA" w:rsidRPr="0020754E">
        <w:rPr>
          <w:rFonts w:cs="Arial"/>
          <w:lang w:val="en-AU"/>
        </w:rPr>
        <w:t>used</w:t>
      </w:r>
      <w:r w:rsidR="00AE4801" w:rsidRPr="0020754E">
        <w:rPr>
          <w:rFonts w:cs="Arial"/>
          <w:lang w:val="en-AU"/>
        </w:rPr>
        <w:t xml:space="preserve"> commercially</w:t>
      </w:r>
      <w:r w:rsidR="00E609FF" w:rsidRPr="0020754E">
        <w:rPr>
          <w:rFonts w:cs="Arial"/>
          <w:lang w:val="en-AU"/>
        </w:rPr>
        <w:t xml:space="preserve"> in Australia </w:t>
      </w:r>
      <w:r w:rsidRPr="0020754E">
        <w:rPr>
          <w:rFonts w:cs="Arial"/>
          <w:lang w:val="en-AU"/>
        </w:rPr>
        <w:t xml:space="preserve">will </w:t>
      </w:r>
      <w:r w:rsidR="00AE4801" w:rsidRPr="0020754E">
        <w:rPr>
          <w:rFonts w:cs="Arial"/>
          <w:lang w:val="en-AU"/>
        </w:rPr>
        <w:t xml:space="preserve">have </w:t>
      </w:r>
      <w:r w:rsidR="00E609FF" w:rsidRPr="0020754E">
        <w:rPr>
          <w:rFonts w:cs="Arial"/>
          <w:lang w:val="en-AU"/>
        </w:rPr>
        <w:t>the same</w:t>
      </w:r>
      <w:r w:rsidR="00AE4801" w:rsidRPr="0020754E">
        <w:rPr>
          <w:rFonts w:cs="Arial"/>
          <w:lang w:val="en-AU"/>
        </w:rPr>
        <w:t xml:space="preserve"> specifications</w:t>
      </w:r>
      <w:r w:rsidR="00E609FF" w:rsidRPr="0020754E">
        <w:rPr>
          <w:rFonts w:cs="Arial"/>
          <w:lang w:val="en-AU"/>
        </w:rPr>
        <w:t xml:space="preserve"> as </w:t>
      </w:r>
      <w:r w:rsidR="00ED42FA" w:rsidRPr="0020754E">
        <w:rPr>
          <w:rFonts w:cs="Arial"/>
          <w:lang w:val="en-AU"/>
        </w:rPr>
        <w:t>other</w:t>
      </w:r>
      <w:r w:rsidR="00E609FF" w:rsidRPr="0020754E">
        <w:rPr>
          <w:rFonts w:cs="Arial"/>
          <w:lang w:val="en-AU"/>
        </w:rPr>
        <w:t xml:space="preserve"> regions</w:t>
      </w:r>
      <w:r w:rsidR="004730EE" w:rsidRPr="0020754E">
        <w:rPr>
          <w:rFonts w:cs="Arial"/>
          <w:lang w:val="en-AU"/>
        </w:rPr>
        <w:t>, reducing costs</w:t>
      </w:r>
      <w:r w:rsidR="0020754E">
        <w:rPr>
          <w:rFonts w:cs="Arial"/>
          <w:lang w:val="en-AU"/>
        </w:rPr>
        <w:t>.</w:t>
      </w:r>
    </w:p>
    <w:p w:rsidR="007820B8" w:rsidRDefault="007820B8" w:rsidP="006B5682">
      <w:pPr>
        <w:pStyle w:val="ListParagraph"/>
        <w:numPr>
          <w:ilvl w:val="0"/>
          <w:numId w:val="12"/>
        </w:numPr>
        <w:autoSpaceDE w:val="0"/>
        <w:autoSpaceDN w:val="0"/>
        <w:adjustRightInd w:val="0"/>
        <w:spacing w:before="0" w:after="0"/>
        <w:rPr>
          <w:rFonts w:cs="Arial"/>
          <w:bCs/>
          <w:color w:val="000000" w:themeColor="text1"/>
        </w:rPr>
      </w:pPr>
      <w:r w:rsidRPr="006B5682">
        <w:rPr>
          <w:rFonts w:cs="Arial"/>
          <w:bCs/>
          <w:color w:val="000000" w:themeColor="text1"/>
        </w:rPr>
        <w:t xml:space="preserve">To define auction rules, to allow operators to access the wide blocks of contiguous </w:t>
      </w:r>
      <w:r w:rsidR="00053F5D" w:rsidRPr="006B5682">
        <w:rPr>
          <w:rFonts w:cs="Arial"/>
          <w:bCs/>
          <w:color w:val="000000" w:themeColor="text1"/>
        </w:rPr>
        <w:t xml:space="preserve">unpaired </w:t>
      </w:r>
      <w:r w:rsidRPr="006B5682">
        <w:rPr>
          <w:rFonts w:cs="Arial"/>
          <w:bCs/>
          <w:color w:val="000000" w:themeColor="text1"/>
        </w:rPr>
        <w:t>spectrum in the order of 100 MHz or more</w:t>
      </w:r>
    </w:p>
    <w:p w:rsidR="006B5682" w:rsidRPr="006B5682" w:rsidRDefault="006B5682" w:rsidP="006B5682">
      <w:pPr>
        <w:pStyle w:val="ListParagraph"/>
        <w:autoSpaceDE w:val="0"/>
        <w:autoSpaceDN w:val="0"/>
        <w:adjustRightInd w:val="0"/>
        <w:spacing w:before="0" w:after="0"/>
        <w:ind w:left="360"/>
        <w:rPr>
          <w:rFonts w:cs="Arial"/>
          <w:bCs/>
          <w:color w:val="000000" w:themeColor="text1"/>
        </w:rPr>
      </w:pPr>
    </w:p>
    <w:p w:rsidR="007820B8" w:rsidRDefault="007820B8" w:rsidP="006B5682">
      <w:pPr>
        <w:pStyle w:val="ListParagraph"/>
        <w:numPr>
          <w:ilvl w:val="0"/>
          <w:numId w:val="12"/>
        </w:numPr>
        <w:autoSpaceDE w:val="0"/>
        <w:autoSpaceDN w:val="0"/>
        <w:adjustRightInd w:val="0"/>
        <w:spacing w:before="0" w:after="0"/>
        <w:rPr>
          <w:rFonts w:cs="Arial"/>
          <w:bCs/>
          <w:color w:val="000000" w:themeColor="text1"/>
        </w:rPr>
      </w:pPr>
      <w:r w:rsidRPr="006B5682">
        <w:rPr>
          <w:rFonts w:cs="Arial"/>
          <w:bCs/>
          <w:color w:val="000000" w:themeColor="text1"/>
        </w:rPr>
        <w:t>To define plans to relocate incumbents to other frequency band</w:t>
      </w:r>
      <w:r w:rsidR="00CD6CBE" w:rsidRPr="006B5682">
        <w:rPr>
          <w:rFonts w:cs="Arial"/>
          <w:bCs/>
          <w:color w:val="000000" w:themeColor="text1"/>
        </w:rPr>
        <w:t>s</w:t>
      </w:r>
      <w:r w:rsidRPr="006B5682">
        <w:rPr>
          <w:rFonts w:cs="Arial"/>
          <w:bCs/>
          <w:color w:val="000000" w:themeColor="text1"/>
        </w:rPr>
        <w:t>, including sharing in the short term to avoid delays in the allocation process</w:t>
      </w:r>
    </w:p>
    <w:p w:rsidR="006B5682" w:rsidRPr="006B5682" w:rsidRDefault="006B5682" w:rsidP="006B5682">
      <w:pPr>
        <w:autoSpaceDE w:val="0"/>
        <w:autoSpaceDN w:val="0"/>
        <w:adjustRightInd w:val="0"/>
        <w:spacing w:before="0" w:after="0"/>
        <w:ind w:left="0"/>
        <w:rPr>
          <w:rFonts w:cs="Arial"/>
          <w:bCs/>
          <w:color w:val="000000" w:themeColor="text1"/>
        </w:rPr>
      </w:pPr>
    </w:p>
    <w:p w:rsidR="00C245D2" w:rsidRDefault="00C245D2">
      <w:pPr>
        <w:spacing w:before="0" w:after="200" w:line="276" w:lineRule="auto"/>
        <w:ind w:left="0"/>
        <w:jc w:val="left"/>
        <w:rPr>
          <w:rFonts w:cs="Arial"/>
          <w:lang w:val="en-AU"/>
        </w:rPr>
      </w:pPr>
      <w:r>
        <w:rPr>
          <w:rFonts w:cs="Arial"/>
          <w:lang w:val="en-AU"/>
        </w:rPr>
        <w:br w:type="page"/>
      </w:r>
    </w:p>
    <w:p w:rsidR="00BD21CD" w:rsidRPr="00BD21CD" w:rsidRDefault="00BD21CD" w:rsidP="00BD21CD">
      <w:pPr>
        <w:pStyle w:val="ListParagraph"/>
        <w:autoSpaceDE w:val="0"/>
        <w:autoSpaceDN w:val="0"/>
        <w:adjustRightInd w:val="0"/>
        <w:spacing w:before="0" w:after="200" w:line="276" w:lineRule="auto"/>
        <w:ind w:left="360"/>
        <w:jc w:val="left"/>
        <w:rPr>
          <w:rFonts w:cs="Arial"/>
          <w:lang w:val="en-AU"/>
        </w:rPr>
      </w:pPr>
    </w:p>
    <w:p w:rsidR="001443BE" w:rsidRDefault="005D1D95" w:rsidP="005D1D95">
      <w:pPr>
        <w:ind w:left="0"/>
        <w:rPr>
          <w:b/>
        </w:rPr>
      </w:pPr>
      <w:r w:rsidRPr="005D1D95">
        <w:rPr>
          <w:b/>
          <w:highlight w:val="lightGray"/>
        </w:rPr>
        <w:t>O</w:t>
      </w:r>
      <w:r w:rsidR="00C51431">
        <w:rPr>
          <w:b/>
          <w:highlight w:val="lightGray"/>
        </w:rPr>
        <w:t>PTIONS PAPER QUESTIONS AND OUR RESPONSES</w:t>
      </w:r>
    </w:p>
    <w:p w:rsidR="005D1D95" w:rsidRPr="005D1D95" w:rsidRDefault="005D1D95" w:rsidP="005D1D95">
      <w:pPr>
        <w:ind w:left="0"/>
        <w:rPr>
          <w:b/>
        </w:rPr>
      </w:pPr>
    </w:p>
    <w:p w:rsidR="009F1C0D" w:rsidRPr="009F1C0D" w:rsidRDefault="009F1C0D" w:rsidP="00420F48">
      <w:pPr>
        <w:pStyle w:val="ListNumber"/>
        <w:numPr>
          <w:ilvl w:val="0"/>
          <w:numId w:val="3"/>
        </w:numPr>
        <w:rPr>
          <w:b/>
          <w:lang w:eastAsia="zh-CN"/>
        </w:rPr>
      </w:pPr>
      <w:r w:rsidRPr="009F1C0D">
        <w:rPr>
          <w:b/>
        </w:rPr>
        <w:t xml:space="preserve">Should the 3.6 GHz band be progressed from the </w:t>
      </w:r>
      <w:r w:rsidRPr="009F1C0D">
        <w:rPr>
          <w:b/>
          <w:i/>
        </w:rPr>
        <w:t>preliminary replanning</w:t>
      </w:r>
      <w:r w:rsidRPr="009F1C0D">
        <w:rPr>
          <w:b/>
        </w:rPr>
        <w:t xml:space="preserve"> stage to the </w:t>
      </w:r>
      <w:r w:rsidRPr="009F1C0D">
        <w:rPr>
          <w:b/>
          <w:i/>
        </w:rPr>
        <w:t>re-farming</w:t>
      </w:r>
      <w:r w:rsidRPr="009F1C0D">
        <w:rPr>
          <w:b/>
        </w:rPr>
        <w:t xml:space="preserve"> stage in the ACMA’s process for considering additional spectrum for MBB services? Why/Why not?</w:t>
      </w:r>
    </w:p>
    <w:p w:rsidR="006773D3" w:rsidRDefault="006773D3" w:rsidP="000B421C">
      <w:pPr>
        <w:pStyle w:val="ListNumber"/>
        <w:numPr>
          <w:ilvl w:val="0"/>
          <w:numId w:val="0"/>
        </w:numPr>
        <w:ind w:left="360"/>
        <w:jc w:val="both"/>
        <w:rPr>
          <w:u w:val="single"/>
          <w:lang w:val="en-US"/>
        </w:rPr>
      </w:pPr>
    </w:p>
    <w:p w:rsidR="000B421C" w:rsidRPr="000B421C" w:rsidRDefault="000B421C" w:rsidP="000B421C">
      <w:pPr>
        <w:pStyle w:val="ListNumber"/>
        <w:numPr>
          <w:ilvl w:val="0"/>
          <w:numId w:val="0"/>
        </w:numPr>
        <w:ind w:left="360"/>
        <w:jc w:val="both"/>
        <w:rPr>
          <w:u w:val="single"/>
          <w:lang w:val="en-US"/>
        </w:rPr>
      </w:pPr>
      <w:r w:rsidRPr="000B421C">
        <w:rPr>
          <w:u w:val="single"/>
          <w:lang w:val="en-US"/>
        </w:rPr>
        <w:t>Huawei’s response:</w:t>
      </w:r>
    </w:p>
    <w:p w:rsidR="0046271D" w:rsidRPr="00677D27" w:rsidRDefault="0008116A" w:rsidP="00420F48">
      <w:pPr>
        <w:pStyle w:val="ListNumber"/>
        <w:numPr>
          <w:ilvl w:val="0"/>
          <w:numId w:val="6"/>
        </w:numPr>
        <w:jc w:val="both"/>
        <w:rPr>
          <w:lang w:val="en-US"/>
        </w:rPr>
      </w:pPr>
      <w:r w:rsidRPr="00677D27">
        <w:rPr>
          <w:lang w:val="en-US"/>
        </w:rPr>
        <w:t>It is t</w:t>
      </w:r>
      <w:r w:rsidR="00606EC8" w:rsidRPr="00677D27">
        <w:rPr>
          <w:lang w:val="en-US"/>
        </w:rPr>
        <w:t>he best compromise frequency band for 5G capacity and coverage requirement</w:t>
      </w:r>
      <w:r w:rsidR="0046271D" w:rsidRPr="00677D27">
        <w:rPr>
          <w:lang w:val="en-US"/>
        </w:rPr>
        <w:t xml:space="preserve"> </w:t>
      </w:r>
      <w:r w:rsidR="0046271D" w:rsidRPr="00677D27">
        <w:t xml:space="preserve">with respect to intended usage scenarios for IMT 2020 </w:t>
      </w:r>
      <w:r w:rsidR="00975CE0" w:rsidRPr="00677D27">
        <w:t>and beyond, defined by the ITU-R</w:t>
      </w:r>
    </w:p>
    <w:p w:rsidR="00606EC8" w:rsidRPr="00677D27" w:rsidRDefault="0046271D" w:rsidP="0046271D">
      <w:pPr>
        <w:pStyle w:val="ListNumber"/>
        <w:numPr>
          <w:ilvl w:val="0"/>
          <w:numId w:val="0"/>
        </w:numPr>
        <w:ind w:left="720"/>
        <w:jc w:val="both"/>
      </w:pPr>
      <w:r w:rsidRPr="00677D27">
        <w:t>(Reference: ITU-R M.2083-0 (09/2015) - ‘IMT Vision</w:t>
      </w:r>
      <w:r w:rsidR="00C96176" w:rsidRPr="00677D27">
        <w:t xml:space="preserve"> </w:t>
      </w:r>
      <w:r w:rsidRPr="00677D27">
        <w:t>- Framework and overall objectives of the future development of IMT for 2020 and beyond’</w:t>
      </w:r>
      <w:r w:rsidR="009D018D">
        <w:t>;</w:t>
      </w:r>
      <w:r w:rsidRPr="00677D27">
        <w:t xml:space="preserve"> </w:t>
      </w:r>
      <w:hyperlink r:id="rId15" w:history="1">
        <w:r w:rsidRPr="00677D27">
          <w:rPr>
            <w:rStyle w:val="Hyperlink"/>
            <w:color w:val="0033CC"/>
          </w:rPr>
          <w:t>http://www.itu.int/dms_pubrec/itu-r/rec/m/R-REC-M.2083-0-201509-I!!PDF-E.pdf</w:t>
        </w:r>
      </w:hyperlink>
      <w:r w:rsidRPr="00677D27">
        <w:t>)</w:t>
      </w:r>
    </w:p>
    <w:p w:rsidR="00A424D2" w:rsidRPr="00677D27" w:rsidRDefault="0008116A" w:rsidP="00420F48">
      <w:pPr>
        <w:pStyle w:val="ListNumber"/>
        <w:numPr>
          <w:ilvl w:val="0"/>
          <w:numId w:val="6"/>
        </w:numPr>
        <w:jc w:val="both"/>
        <w:rPr>
          <w:lang w:val="en-US"/>
        </w:rPr>
      </w:pPr>
      <w:r w:rsidRPr="00677D27">
        <w:rPr>
          <w:lang w:val="en-US"/>
        </w:rPr>
        <w:t>It has t</w:t>
      </w:r>
      <w:r w:rsidR="00A424D2" w:rsidRPr="00677D27">
        <w:rPr>
          <w:lang w:val="en-US"/>
        </w:rPr>
        <w:t>he largest contiguous frequency range potentially available for MBB below 6 GHz for all regions – Region1, 2 and 3 includes Australia</w:t>
      </w:r>
    </w:p>
    <w:p w:rsidR="00A424D2" w:rsidRPr="00677D27" w:rsidRDefault="00A424D2" w:rsidP="00420F48">
      <w:pPr>
        <w:pStyle w:val="ListNumber"/>
        <w:numPr>
          <w:ilvl w:val="0"/>
          <w:numId w:val="6"/>
        </w:numPr>
        <w:jc w:val="both"/>
        <w:rPr>
          <w:lang w:val="en-US"/>
        </w:rPr>
      </w:pPr>
      <w:r w:rsidRPr="00677D27">
        <w:rPr>
          <w:lang w:val="en-US"/>
        </w:rPr>
        <w:t xml:space="preserve">Equipment </w:t>
      </w:r>
      <w:r w:rsidR="00975CE0" w:rsidRPr="00677D27">
        <w:rPr>
          <w:lang w:val="en-US"/>
        </w:rPr>
        <w:t>is available</w:t>
      </w:r>
      <w:r w:rsidRPr="00677D27">
        <w:rPr>
          <w:lang w:val="en-US"/>
        </w:rPr>
        <w:t xml:space="preserve"> in the 3400-3800 MHz range</w:t>
      </w:r>
    </w:p>
    <w:p w:rsidR="00A424D2" w:rsidRPr="00677D27" w:rsidRDefault="00A424D2" w:rsidP="00A424D2">
      <w:pPr>
        <w:pStyle w:val="ListNumber"/>
        <w:numPr>
          <w:ilvl w:val="0"/>
          <w:numId w:val="0"/>
        </w:numPr>
        <w:ind w:left="720"/>
        <w:jc w:val="both"/>
        <w:rPr>
          <w:lang w:val="en-US"/>
        </w:rPr>
      </w:pPr>
      <w:r w:rsidRPr="00677D27">
        <w:rPr>
          <w:lang w:val="en-US"/>
        </w:rPr>
        <w:t>LTE-TDD networks and devices</w:t>
      </w:r>
      <w:r w:rsidR="00975CE0" w:rsidRPr="00677D27">
        <w:rPr>
          <w:lang w:val="en-US"/>
        </w:rPr>
        <w:t>,</w:t>
      </w:r>
      <w:r w:rsidRPr="00677D27">
        <w:rPr>
          <w:lang w:val="en-US"/>
        </w:rPr>
        <w:t xml:space="preserve"> including smartphones</w:t>
      </w:r>
      <w:r w:rsidR="00975CE0" w:rsidRPr="00677D27">
        <w:rPr>
          <w:lang w:val="en-US"/>
        </w:rPr>
        <w:t>,</w:t>
      </w:r>
      <w:r w:rsidRPr="00677D27">
        <w:rPr>
          <w:lang w:val="en-US"/>
        </w:rPr>
        <w:t xml:space="preserve"> are</w:t>
      </w:r>
      <w:r w:rsidR="00B76A9C" w:rsidRPr="00677D27">
        <w:rPr>
          <w:lang w:val="en-US"/>
        </w:rPr>
        <w:t xml:space="preserve"> now</w:t>
      </w:r>
      <w:r w:rsidRPr="00677D27">
        <w:rPr>
          <w:lang w:val="en-US"/>
        </w:rPr>
        <w:t xml:space="preserve"> commercially available in the 3600-3800 MHz band (3GPP band 43)</w:t>
      </w:r>
      <w:r w:rsidR="00B76A9C" w:rsidRPr="00677D27">
        <w:rPr>
          <w:lang w:val="en-US"/>
        </w:rPr>
        <w:t>. The first 5G trials in various portion of the 3400-4200 MHz range will start at the end of 2017. GSA expects commercial readiness of the 5G-NR ecosystem in 2018, targeting bro</w:t>
      </w:r>
      <w:r w:rsidR="00975CE0" w:rsidRPr="00677D27">
        <w:rPr>
          <w:lang w:val="en-US"/>
        </w:rPr>
        <w:t>a</w:t>
      </w:r>
      <w:r w:rsidR="00B76A9C" w:rsidRPr="00677D27">
        <w:rPr>
          <w:lang w:val="en-US"/>
        </w:rPr>
        <w:t>der commercialisation from 2019.</w:t>
      </w:r>
    </w:p>
    <w:p w:rsidR="00B76A9C" w:rsidRPr="00677D27" w:rsidRDefault="00B76A9C" w:rsidP="00A424D2">
      <w:pPr>
        <w:pStyle w:val="ListNumber"/>
        <w:numPr>
          <w:ilvl w:val="0"/>
          <w:numId w:val="0"/>
        </w:numPr>
        <w:ind w:left="720"/>
        <w:jc w:val="both"/>
        <w:rPr>
          <w:lang w:val="en-US"/>
        </w:rPr>
      </w:pPr>
      <w:r w:rsidRPr="00677D27">
        <w:rPr>
          <w:lang w:val="en-US"/>
        </w:rPr>
        <w:t>(Reference: GSA report – The future of IMT in the 3300-4200 MHz Frequency Range</w:t>
      </w:r>
      <w:r w:rsidR="009D018D">
        <w:rPr>
          <w:lang w:val="en-US"/>
        </w:rPr>
        <w:t>;</w:t>
      </w:r>
      <w:r w:rsidRPr="00677D27">
        <w:rPr>
          <w:lang w:val="en-US"/>
        </w:rPr>
        <w:t xml:space="preserve"> </w:t>
      </w:r>
      <w:hyperlink r:id="rId16" w:history="1">
        <w:r w:rsidRPr="00677D27">
          <w:rPr>
            <w:rStyle w:val="Hyperlink"/>
            <w:lang w:val="en-US"/>
          </w:rPr>
          <w:t>https://gsacom.com/</w:t>
        </w:r>
      </w:hyperlink>
      <w:r w:rsidRPr="00677D27">
        <w:rPr>
          <w:lang w:val="en-US"/>
        </w:rPr>
        <w:t>)</w:t>
      </w:r>
    </w:p>
    <w:p w:rsidR="0046271D" w:rsidRDefault="00C96176" w:rsidP="00420F48">
      <w:pPr>
        <w:pStyle w:val="ListNumber"/>
        <w:numPr>
          <w:ilvl w:val="0"/>
          <w:numId w:val="6"/>
        </w:numPr>
        <w:jc w:val="both"/>
        <w:rPr>
          <w:i/>
          <w:lang w:val="en-US"/>
        </w:rPr>
      </w:pPr>
      <w:r w:rsidRPr="00677D27">
        <w:rPr>
          <w:lang w:val="en-US"/>
        </w:rPr>
        <w:t>Regulation and standardization</w:t>
      </w:r>
      <w:r w:rsidR="00397388" w:rsidRPr="00677D27">
        <w:rPr>
          <w:lang w:val="en-US"/>
        </w:rPr>
        <w:t xml:space="preserve"> </w:t>
      </w:r>
      <w:r w:rsidR="009A5CE7" w:rsidRPr="00677D27">
        <w:rPr>
          <w:lang w:val="en-US"/>
        </w:rPr>
        <w:t>timeline</w:t>
      </w:r>
      <w:r w:rsidR="00397388" w:rsidRPr="00677D27">
        <w:rPr>
          <w:lang w:val="en-US"/>
        </w:rPr>
        <w:t>s</w:t>
      </w:r>
      <w:r w:rsidR="00875A21" w:rsidRPr="00677D27">
        <w:rPr>
          <w:lang w:val="en-US"/>
        </w:rPr>
        <w:t xml:space="preserve"> </w:t>
      </w:r>
      <w:r w:rsidR="009A5CE7" w:rsidRPr="00677D27">
        <w:rPr>
          <w:lang w:val="en-US"/>
        </w:rPr>
        <w:t xml:space="preserve"> </w:t>
      </w:r>
    </w:p>
    <w:p w:rsidR="00244219" w:rsidRDefault="00244219" w:rsidP="004D0F2F">
      <w:pPr>
        <w:pStyle w:val="ListNumber"/>
        <w:numPr>
          <w:ilvl w:val="0"/>
          <w:numId w:val="0"/>
        </w:numPr>
        <w:ind w:left="1080"/>
        <w:jc w:val="both"/>
        <w:rPr>
          <w:i/>
          <w:lang w:val="en-US"/>
        </w:rPr>
      </w:pPr>
    </w:p>
    <w:p w:rsidR="00244219" w:rsidRPr="007F7C4C" w:rsidRDefault="00366D6E" w:rsidP="00244219">
      <w:pPr>
        <w:pStyle w:val="ListNumber"/>
        <w:numPr>
          <w:ilvl w:val="0"/>
          <w:numId w:val="0"/>
        </w:numPr>
        <w:jc w:val="both"/>
        <w:rPr>
          <w:i/>
          <w:lang w:val="en-US"/>
        </w:rPr>
      </w:pPr>
      <w:r w:rsidRPr="00366D6E">
        <w:rPr>
          <w:noProof/>
          <w:lang w:val="en-GB" w:eastAsia="en-GB"/>
        </w:rPr>
        <w:drawing>
          <wp:inline distT="0" distB="0" distL="0" distR="0">
            <wp:extent cx="5657850" cy="2228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657850" cy="2228850"/>
                    </a:xfrm>
                    <a:prstGeom prst="rect">
                      <a:avLst/>
                    </a:prstGeom>
                    <a:noFill/>
                    <a:ln w="9525">
                      <a:noFill/>
                      <a:miter lim="800000"/>
                      <a:headEnd/>
                      <a:tailEnd/>
                    </a:ln>
                  </pic:spPr>
                </pic:pic>
              </a:graphicData>
            </a:graphic>
          </wp:inline>
        </w:drawing>
      </w:r>
    </w:p>
    <w:p w:rsidR="00244219" w:rsidRDefault="00244219" w:rsidP="00244219">
      <w:pPr>
        <w:pStyle w:val="ListNumber"/>
        <w:numPr>
          <w:ilvl w:val="0"/>
          <w:numId w:val="0"/>
        </w:numPr>
        <w:jc w:val="both"/>
        <w:rPr>
          <w:i/>
          <w:lang w:val="en-US"/>
        </w:rPr>
      </w:pPr>
    </w:p>
    <w:p w:rsidR="0093100E" w:rsidRPr="00677D27" w:rsidRDefault="006777E2" w:rsidP="00975CE0">
      <w:pPr>
        <w:pStyle w:val="ListNumber"/>
        <w:numPr>
          <w:ilvl w:val="0"/>
          <w:numId w:val="0"/>
        </w:numPr>
        <w:ind w:left="426"/>
        <w:rPr>
          <w:lang w:val="en-US"/>
        </w:rPr>
      </w:pPr>
      <w:r w:rsidRPr="00677D27">
        <w:rPr>
          <w:lang w:val="en-US"/>
        </w:rPr>
        <w:t>With above</w:t>
      </w:r>
      <w:r w:rsidRPr="00677D27">
        <w:rPr>
          <w:lang w:val="en-GB"/>
        </w:rPr>
        <w:t xml:space="preserve"> </w:t>
      </w:r>
      <w:r w:rsidR="00B76A9C" w:rsidRPr="00677D27">
        <w:rPr>
          <w:lang w:val="en-GB"/>
        </w:rPr>
        <w:t>eviden</w:t>
      </w:r>
      <w:r w:rsidR="009A7F6E" w:rsidRPr="00677D27">
        <w:rPr>
          <w:lang w:val="en-GB"/>
        </w:rPr>
        <w:t>ce</w:t>
      </w:r>
      <w:r w:rsidR="0008116A" w:rsidRPr="00677D27">
        <w:rPr>
          <w:lang w:val="en-GB"/>
        </w:rPr>
        <w:t xml:space="preserve"> of</w:t>
      </w:r>
      <w:r w:rsidR="009A7F6E" w:rsidRPr="00677D27">
        <w:rPr>
          <w:lang w:val="en-GB"/>
        </w:rPr>
        <w:t xml:space="preserve"> band </w:t>
      </w:r>
      <w:r w:rsidRPr="00677D27">
        <w:rPr>
          <w:lang w:val="en-GB"/>
        </w:rPr>
        <w:t>harmonis</w:t>
      </w:r>
      <w:r w:rsidR="007F7C4C" w:rsidRPr="00677D27">
        <w:rPr>
          <w:lang w:val="en-GB"/>
        </w:rPr>
        <w:t>ation</w:t>
      </w:r>
      <w:r w:rsidR="007F7C4C" w:rsidRPr="00677D27">
        <w:rPr>
          <w:lang w:val="en-US"/>
        </w:rPr>
        <w:t xml:space="preserve"> appr</w:t>
      </w:r>
      <w:r w:rsidR="009A5CE7" w:rsidRPr="00677D27">
        <w:rPr>
          <w:lang w:val="en-US"/>
        </w:rPr>
        <w:t xml:space="preserve">oaches and </w:t>
      </w:r>
      <w:r w:rsidR="009A7F6E" w:rsidRPr="00677D27">
        <w:rPr>
          <w:lang w:val="en-US"/>
        </w:rPr>
        <w:t xml:space="preserve">development of </w:t>
      </w:r>
      <w:r w:rsidR="00397388" w:rsidRPr="00677D27">
        <w:rPr>
          <w:lang w:val="en-US"/>
        </w:rPr>
        <w:t xml:space="preserve">global standardisation, </w:t>
      </w:r>
      <w:r w:rsidR="007F7C4C" w:rsidRPr="00677D27">
        <w:rPr>
          <w:lang w:val="en-US"/>
        </w:rPr>
        <w:t xml:space="preserve">Huawei </w:t>
      </w:r>
      <w:r w:rsidR="00606EC8" w:rsidRPr="00677D27">
        <w:rPr>
          <w:lang w:val="en-US"/>
        </w:rPr>
        <w:t>beli</w:t>
      </w:r>
      <w:r w:rsidR="00244219" w:rsidRPr="00677D27">
        <w:rPr>
          <w:lang w:val="en-US"/>
        </w:rPr>
        <w:t>e</w:t>
      </w:r>
      <w:r w:rsidR="00606EC8" w:rsidRPr="00677D27">
        <w:rPr>
          <w:lang w:val="en-US"/>
        </w:rPr>
        <w:t xml:space="preserve">ves that it is </w:t>
      </w:r>
      <w:r w:rsidR="00975CE0" w:rsidRPr="00677D27">
        <w:rPr>
          <w:lang w:val="en-US"/>
        </w:rPr>
        <w:t>the right time</w:t>
      </w:r>
      <w:r w:rsidR="00606EC8" w:rsidRPr="00677D27">
        <w:rPr>
          <w:lang w:val="en-US"/>
        </w:rPr>
        <w:t xml:space="preserve"> for the 3.6 GHz band to be progressed from the preliminary re</w:t>
      </w:r>
      <w:r w:rsidR="0008116A" w:rsidRPr="00677D27">
        <w:rPr>
          <w:lang w:val="en-US"/>
        </w:rPr>
        <w:t>-</w:t>
      </w:r>
      <w:r w:rsidR="00606EC8" w:rsidRPr="00677D27">
        <w:rPr>
          <w:lang w:val="en-US"/>
        </w:rPr>
        <w:t xml:space="preserve">planning stage to the re-farming stage </w:t>
      </w:r>
      <w:r w:rsidR="00244219" w:rsidRPr="00677D27">
        <w:rPr>
          <w:lang w:val="en-US"/>
        </w:rPr>
        <w:t xml:space="preserve">in Australia </w:t>
      </w:r>
      <w:r w:rsidR="00606EC8" w:rsidRPr="00677D27">
        <w:rPr>
          <w:lang w:val="en-US"/>
        </w:rPr>
        <w:t>for considering additional spectrum for MBB service</w:t>
      </w:r>
      <w:r w:rsidR="00975CE0" w:rsidRPr="00677D27">
        <w:rPr>
          <w:lang w:val="en-US"/>
        </w:rPr>
        <w:t>s</w:t>
      </w:r>
      <w:r w:rsidR="00606EC8" w:rsidRPr="00677D27">
        <w:rPr>
          <w:lang w:val="en-US"/>
        </w:rPr>
        <w:t xml:space="preserve">.  </w:t>
      </w:r>
    </w:p>
    <w:p w:rsidR="001F4A24" w:rsidRPr="001F4A24" w:rsidRDefault="00407CEB" w:rsidP="00606EC8">
      <w:pPr>
        <w:pStyle w:val="ListNumber"/>
        <w:numPr>
          <w:ilvl w:val="0"/>
          <w:numId w:val="0"/>
        </w:numPr>
        <w:ind w:left="1080"/>
        <w:jc w:val="both"/>
        <w:rPr>
          <w:lang w:val="en-US"/>
        </w:rPr>
      </w:pPr>
      <w:r>
        <w:rPr>
          <w:i/>
          <w:lang w:val="en-US"/>
        </w:rPr>
        <w:t xml:space="preserve"> </w:t>
      </w:r>
      <w:r w:rsidR="0093100E">
        <w:rPr>
          <w:i/>
          <w:lang w:val="en-US"/>
        </w:rPr>
        <w:t xml:space="preserve"> </w:t>
      </w:r>
    </w:p>
    <w:p w:rsidR="006773D3" w:rsidRDefault="006773D3">
      <w:pPr>
        <w:spacing w:before="0" w:after="200" w:line="276" w:lineRule="auto"/>
        <w:ind w:left="0"/>
        <w:jc w:val="left"/>
        <w:rPr>
          <w:b/>
          <w:kern w:val="0"/>
          <w:szCs w:val="24"/>
          <w:lang w:val="en-AU" w:eastAsia="en-AU"/>
        </w:rPr>
      </w:pPr>
      <w:r>
        <w:rPr>
          <w:b/>
        </w:rPr>
        <w:br w:type="page"/>
      </w:r>
    </w:p>
    <w:p w:rsidR="009F1C0D" w:rsidRPr="009F1C0D" w:rsidRDefault="009F1C0D" w:rsidP="00420F48">
      <w:pPr>
        <w:pStyle w:val="ListNumber"/>
        <w:numPr>
          <w:ilvl w:val="0"/>
          <w:numId w:val="3"/>
        </w:numPr>
        <w:rPr>
          <w:b/>
          <w:lang w:eastAsia="zh-CN"/>
        </w:rPr>
      </w:pPr>
      <w:r w:rsidRPr="009F1C0D">
        <w:rPr>
          <w:b/>
        </w:rPr>
        <w:t>Do the areas identified in this analysis cover the likely areas of high demand for access to the 3.6 GHz band? Would smaller or larger areas be more appropriate? Why?</w:t>
      </w:r>
    </w:p>
    <w:p w:rsidR="001443BE" w:rsidRDefault="001443BE" w:rsidP="00AB7ACA">
      <w:pPr>
        <w:pStyle w:val="ListNumber"/>
        <w:numPr>
          <w:ilvl w:val="0"/>
          <w:numId w:val="0"/>
        </w:numPr>
        <w:rPr>
          <w:highlight w:val="lightGray"/>
        </w:rPr>
      </w:pPr>
    </w:p>
    <w:p w:rsidR="001E2B28" w:rsidRDefault="001E2B28" w:rsidP="00677D27">
      <w:pPr>
        <w:pStyle w:val="ListNumber"/>
        <w:numPr>
          <w:ilvl w:val="0"/>
          <w:numId w:val="0"/>
        </w:numPr>
        <w:ind w:left="360"/>
        <w:rPr>
          <w:u w:val="single"/>
          <w:lang w:val="en-US"/>
        </w:rPr>
      </w:pPr>
      <w:r w:rsidRPr="000B421C">
        <w:rPr>
          <w:u w:val="single"/>
          <w:lang w:val="en-US"/>
        </w:rPr>
        <w:t>Huawei’s response:</w:t>
      </w:r>
    </w:p>
    <w:p w:rsidR="000846C9" w:rsidRPr="00677D27" w:rsidRDefault="005C4309" w:rsidP="00677D27">
      <w:pPr>
        <w:pStyle w:val="ListNumber"/>
        <w:numPr>
          <w:ilvl w:val="0"/>
          <w:numId w:val="0"/>
        </w:numPr>
        <w:ind w:left="360"/>
      </w:pPr>
      <w:r w:rsidRPr="00677D27">
        <w:t>T</w:t>
      </w:r>
      <w:r w:rsidR="000846C9" w:rsidRPr="00677D27">
        <w:t>he most likely areas of high demand for 5G services and</w:t>
      </w:r>
      <w:r w:rsidRPr="00677D27">
        <w:t xml:space="preserve"> the</w:t>
      </w:r>
      <w:r w:rsidR="000846C9" w:rsidRPr="00677D27">
        <w:t xml:space="preserve"> initial network deployment will be at major metro and major regional population centres. </w:t>
      </w:r>
    </w:p>
    <w:p w:rsidR="00611F06" w:rsidRPr="00677D27" w:rsidRDefault="005E3CCE" w:rsidP="00677D27">
      <w:pPr>
        <w:autoSpaceDE w:val="0"/>
        <w:autoSpaceDN w:val="0"/>
        <w:adjustRightInd w:val="0"/>
        <w:spacing w:before="0" w:after="0"/>
        <w:ind w:left="360"/>
        <w:rPr>
          <w:rFonts w:cs="Arial"/>
          <w:bCs/>
          <w:color w:val="000000" w:themeColor="text1"/>
        </w:rPr>
      </w:pPr>
      <w:r w:rsidRPr="00677D27">
        <w:rPr>
          <w:rFonts w:cs="Arial"/>
          <w:bCs/>
          <w:color w:val="000000" w:themeColor="text1"/>
        </w:rPr>
        <w:t xml:space="preserve">The most suitable path toward 5G for existing mobile network providers, as well as </w:t>
      </w:r>
      <w:r w:rsidR="00611F06" w:rsidRPr="00677D27">
        <w:rPr>
          <w:rFonts w:cs="Arial"/>
          <w:bCs/>
          <w:color w:val="000000" w:themeColor="text1"/>
        </w:rPr>
        <w:t xml:space="preserve">one of </w:t>
      </w:r>
      <w:r w:rsidRPr="00677D27">
        <w:rPr>
          <w:rFonts w:cs="Arial"/>
          <w:bCs/>
          <w:color w:val="000000" w:themeColor="text1"/>
        </w:rPr>
        <w:t xml:space="preserve">the 5G </w:t>
      </w:r>
      <w:r w:rsidR="00576750" w:rsidRPr="00677D27">
        <w:rPr>
          <w:rFonts w:cs="Arial"/>
          <w:bCs/>
          <w:color w:val="000000" w:themeColor="text1"/>
        </w:rPr>
        <w:t>ra</w:t>
      </w:r>
      <w:r w:rsidRPr="00677D27">
        <w:rPr>
          <w:rFonts w:cs="Arial"/>
          <w:bCs/>
          <w:color w:val="000000" w:themeColor="text1"/>
        </w:rPr>
        <w:t>dio access roadmap in 3GPP</w:t>
      </w:r>
      <w:r w:rsidR="00611F06" w:rsidRPr="00677D27">
        <w:rPr>
          <w:rFonts w:cs="Arial"/>
          <w:bCs/>
          <w:color w:val="000000" w:themeColor="text1"/>
        </w:rPr>
        <w:t xml:space="preserve">, </w:t>
      </w:r>
      <w:r w:rsidR="00C74276" w:rsidRPr="00677D27">
        <w:rPr>
          <w:rFonts w:cs="Arial"/>
          <w:bCs/>
          <w:color w:val="000000" w:themeColor="text1"/>
        </w:rPr>
        <w:t>will be</w:t>
      </w:r>
      <w:r w:rsidRPr="00677D27">
        <w:rPr>
          <w:rFonts w:cs="Arial"/>
          <w:bCs/>
          <w:color w:val="000000" w:themeColor="text1"/>
        </w:rPr>
        <w:t xml:space="preserve"> based on the L</w:t>
      </w:r>
      <w:r w:rsidR="006A0268" w:rsidRPr="00677D27">
        <w:rPr>
          <w:rFonts w:cs="Arial"/>
          <w:bCs/>
          <w:color w:val="000000" w:themeColor="text1"/>
        </w:rPr>
        <w:t xml:space="preserve">ong </w:t>
      </w:r>
      <w:r w:rsidRPr="00677D27">
        <w:rPr>
          <w:rFonts w:cs="Arial"/>
          <w:bCs/>
          <w:color w:val="000000" w:themeColor="text1"/>
        </w:rPr>
        <w:t>T</w:t>
      </w:r>
      <w:r w:rsidR="006A0268" w:rsidRPr="00677D27">
        <w:rPr>
          <w:rFonts w:cs="Arial"/>
          <w:bCs/>
          <w:color w:val="000000" w:themeColor="text1"/>
        </w:rPr>
        <w:t xml:space="preserve">erm </w:t>
      </w:r>
      <w:r w:rsidRPr="00677D27">
        <w:rPr>
          <w:rFonts w:cs="Arial"/>
          <w:bCs/>
          <w:color w:val="000000" w:themeColor="text1"/>
        </w:rPr>
        <w:t>Evolution</w:t>
      </w:r>
      <w:r w:rsidR="006A0268" w:rsidRPr="00677D27">
        <w:rPr>
          <w:rFonts w:cs="Arial"/>
          <w:bCs/>
          <w:color w:val="000000" w:themeColor="text1"/>
        </w:rPr>
        <w:t xml:space="preserve"> (LTE)</w:t>
      </w:r>
      <w:r w:rsidRPr="00677D27">
        <w:rPr>
          <w:rFonts w:cs="Arial"/>
          <w:bCs/>
          <w:color w:val="000000" w:themeColor="text1"/>
        </w:rPr>
        <w:t xml:space="preserve">. </w:t>
      </w:r>
    </w:p>
    <w:p w:rsidR="0088105B" w:rsidRPr="00677D27" w:rsidRDefault="0088105B" w:rsidP="00677D27">
      <w:pPr>
        <w:autoSpaceDE w:val="0"/>
        <w:autoSpaceDN w:val="0"/>
        <w:adjustRightInd w:val="0"/>
        <w:spacing w:before="0" w:after="0"/>
        <w:ind w:left="360"/>
        <w:rPr>
          <w:rFonts w:cs="Arial"/>
          <w:bCs/>
          <w:color w:val="000000" w:themeColor="text1"/>
        </w:rPr>
      </w:pPr>
    </w:p>
    <w:p w:rsidR="006A0268" w:rsidRPr="00677D27" w:rsidRDefault="00AA6B20" w:rsidP="00677D27">
      <w:pPr>
        <w:autoSpaceDE w:val="0"/>
        <w:autoSpaceDN w:val="0"/>
        <w:adjustRightInd w:val="0"/>
        <w:spacing w:before="0" w:after="0"/>
        <w:ind w:left="360"/>
        <w:rPr>
          <w:rFonts w:cs="Arial"/>
          <w:bCs/>
          <w:color w:val="000000" w:themeColor="text1"/>
        </w:rPr>
      </w:pPr>
      <w:r w:rsidRPr="00677D27">
        <w:rPr>
          <w:rFonts w:cs="Arial"/>
          <w:bCs/>
          <w:color w:val="000000" w:themeColor="text1"/>
        </w:rPr>
        <w:t>The existing lower frequencie</w:t>
      </w:r>
      <w:r w:rsidR="006A0268" w:rsidRPr="00677D27">
        <w:rPr>
          <w:rFonts w:cs="Arial"/>
          <w:bCs/>
          <w:color w:val="000000" w:themeColor="text1"/>
        </w:rPr>
        <w:t xml:space="preserve">s </w:t>
      </w:r>
      <w:r w:rsidR="0006662A" w:rsidRPr="00677D27">
        <w:rPr>
          <w:rFonts w:cs="Arial"/>
          <w:bCs/>
          <w:color w:val="000000" w:themeColor="text1"/>
        </w:rPr>
        <w:t>(e.g</w:t>
      </w:r>
      <w:r w:rsidRPr="00677D27">
        <w:rPr>
          <w:rFonts w:cs="Arial"/>
          <w:bCs/>
          <w:color w:val="000000" w:themeColor="text1"/>
        </w:rPr>
        <w:t>.</w:t>
      </w:r>
      <w:r w:rsidR="0006662A" w:rsidRPr="00677D27">
        <w:rPr>
          <w:rFonts w:cs="Arial"/>
          <w:bCs/>
          <w:color w:val="000000" w:themeColor="text1"/>
        </w:rPr>
        <w:t xml:space="preserve"> 1800, 900, 700 MHz)</w:t>
      </w:r>
      <w:r w:rsidRPr="00677D27">
        <w:rPr>
          <w:rFonts w:cs="Arial"/>
          <w:bCs/>
          <w:color w:val="000000" w:themeColor="text1"/>
        </w:rPr>
        <w:t xml:space="preserve"> in combination with 3.6 GHz will provide </w:t>
      </w:r>
      <w:r w:rsidR="00C74276" w:rsidRPr="00677D27">
        <w:rPr>
          <w:rFonts w:cs="Arial"/>
          <w:bCs/>
          <w:color w:val="000000" w:themeColor="text1"/>
        </w:rPr>
        <w:t xml:space="preserve">benefits for the reuse of the existing infrastructure in areas where dense networks are deployed. 3GPP </w:t>
      </w:r>
      <w:r w:rsidRPr="00677D27">
        <w:rPr>
          <w:rFonts w:cs="Arial"/>
          <w:bCs/>
          <w:color w:val="000000" w:themeColor="text1"/>
        </w:rPr>
        <w:t>LTE- Advanced Pro</w:t>
      </w:r>
      <w:r w:rsidR="00611F06" w:rsidRPr="00677D27">
        <w:rPr>
          <w:rFonts w:cs="Arial"/>
          <w:bCs/>
          <w:color w:val="000000" w:themeColor="text1"/>
        </w:rPr>
        <w:t xml:space="preserve"> </w:t>
      </w:r>
      <w:r w:rsidR="00576750" w:rsidRPr="00677D27">
        <w:rPr>
          <w:rFonts w:cs="Arial"/>
          <w:bCs/>
          <w:color w:val="000000" w:themeColor="text1"/>
        </w:rPr>
        <w:t xml:space="preserve">has introduced </w:t>
      </w:r>
      <w:r w:rsidR="005E3CCE" w:rsidRPr="00677D27">
        <w:rPr>
          <w:rFonts w:cs="Arial"/>
          <w:bCs/>
          <w:color w:val="000000" w:themeColor="text1"/>
        </w:rPr>
        <w:t>further</w:t>
      </w:r>
      <w:r w:rsidR="00C74276" w:rsidRPr="00677D27">
        <w:rPr>
          <w:rFonts w:cs="Arial"/>
          <w:bCs/>
          <w:color w:val="000000" w:themeColor="text1"/>
        </w:rPr>
        <w:t xml:space="preserve"> enhancements</w:t>
      </w:r>
      <w:r w:rsidR="005E3CCE" w:rsidRPr="00677D27">
        <w:rPr>
          <w:rFonts w:cs="Arial"/>
          <w:bCs/>
          <w:color w:val="000000" w:themeColor="text1"/>
        </w:rPr>
        <w:t xml:space="preserve"> </w:t>
      </w:r>
      <w:r w:rsidR="00C74276" w:rsidRPr="00677D27">
        <w:rPr>
          <w:rFonts w:cs="Arial"/>
          <w:bCs/>
          <w:color w:val="000000" w:themeColor="text1"/>
        </w:rPr>
        <w:t>for</w:t>
      </w:r>
      <w:r w:rsidR="00611F06" w:rsidRPr="00677D27">
        <w:rPr>
          <w:rFonts w:cs="Arial"/>
          <w:bCs/>
          <w:color w:val="000000" w:themeColor="text1"/>
        </w:rPr>
        <w:t xml:space="preserve"> </w:t>
      </w:r>
      <w:r w:rsidR="005E3CCE" w:rsidRPr="00677D27">
        <w:rPr>
          <w:rFonts w:cs="Arial"/>
          <w:bCs/>
          <w:color w:val="000000" w:themeColor="text1"/>
        </w:rPr>
        <w:t>spect</w:t>
      </w:r>
      <w:r w:rsidR="00611F06" w:rsidRPr="00677D27">
        <w:rPr>
          <w:rFonts w:cs="Arial"/>
          <w:bCs/>
          <w:color w:val="000000" w:themeColor="text1"/>
        </w:rPr>
        <w:t>rum</w:t>
      </w:r>
      <w:r w:rsidR="005E3CCE" w:rsidRPr="00677D27">
        <w:rPr>
          <w:rFonts w:cs="Arial"/>
          <w:bCs/>
          <w:color w:val="000000" w:themeColor="text1"/>
        </w:rPr>
        <w:t xml:space="preserve"> efficiency, </w:t>
      </w:r>
      <w:r w:rsidR="00611F06" w:rsidRPr="00677D27">
        <w:rPr>
          <w:rFonts w:cs="Arial"/>
          <w:bCs/>
          <w:color w:val="000000" w:themeColor="text1"/>
        </w:rPr>
        <w:t xml:space="preserve">link reliability, </w:t>
      </w:r>
      <w:r w:rsidR="00C74276" w:rsidRPr="00677D27">
        <w:rPr>
          <w:rFonts w:cs="Arial"/>
          <w:bCs/>
          <w:color w:val="000000" w:themeColor="text1"/>
        </w:rPr>
        <w:t xml:space="preserve">additional </w:t>
      </w:r>
      <w:r w:rsidR="00611F06" w:rsidRPr="00677D27">
        <w:rPr>
          <w:rFonts w:cs="Arial"/>
          <w:bCs/>
          <w:color w:val="000000" w:themeColor="text1"/>
        </w:rPr>
        <w:t xml:space="preserve">coverage, </w:t>
      </w:r>
      <w:r w:rsidR="005E3CCE" w:rsidRPr="00677D27">
        <w:rPr>
          <w:rFonts w:cs="Arial"/>
          <w:bCs/>
          <w:color w:val="000000" w:themeColor="text1"/>
        </w:rPr>
        <w:t xml:space="preserve">peak </w:t>
      </w:r>
      <w:r w:rsidR="00611F06" w:rsidRPr="00677D27">
        <w:rPr>
          <w:rFonts w:cs="Arial"/>
          <w:bCs/>
          <w:color w:val="000000" w:themeColor="text1"/>
        </w:rPr>
        <w:t xml:space="preserve">throughput </w:t>
      </w:r>
      <w:r w:rsidR="005E3CCE" w:rsidRPr="00677D27">
        <w:rPr>
          <w:rFonts w:cs="Arial"/>
          <w:bCs/>
          <w:color w:val="000000" w:themeColor="text1"/>
        </w:rPr>
        <w:t>speeds</w:t>
      </w:r>
      <w:r w:rsidR="00611F06" w:rsidRPr="00677D27">
        <w:rPr>
          <w:rFonts w:cs="Arial"/>
          <w:bCs/>
          <w:color w:val="000000" w:themeColor="text1"/>
        </w:rPr>
        <w:t>,</w:t>
      </w:r>
      <w:r w:rsidR="005E3CCE" w:rsidRPr="00677D27">
        <w:rPr>
          <w:rFonts w:cs="Arial"/>
          <w:bCs/>
          <w:color w:val="000000" w:themeColor="text1"/>
        </w:rPr>
        <w:t xml:space="preserve"> </w:t>
      </w:r>
      <w:r w:rsidR="00DD24E8" w:rsidRPr="00677D27">
        <w:rPr>
          <w:rFonts w:cs="Arial"/>
          <w:bCs/>
          <w:color w:val="000000" w:themeColor="text1"/>
        </w:rPr>
        <w:t>and cell</w:t>
      </w:r>
      <w:r w:rsidR="005E3CCE" w:rsidRPr="00677D27">
        <w:rPr>
          <w:rFonts w:cs="Arial"/>
          <w:bCs/>
          <w:color w:val="000000" w:themeColor="text1"/>
        </w:rPr>
        <w:t xml:space="preserve"> capacity</w:t>
      </w:r>
      <w:r w:rsidR="00611F06" w:rsidRPr="00677D27">
        <w:rPr>
          <w:rFonts w:cs="Arial"/>
          <w:bCs/>
          <w:color w:val="000000" w:themeColor="text1"/>
        </w:rPr>
        <w:t xml:space="preserve"> </w:t>
      </w:r>
      <w:r w:rsidR="00576750" w:rsidRPr="00677D27">
        <w:rPr>
          <w:rFonts w:cs="Arial"/>
          <w:bCs/>
          <w:color w:val="000000" w:themeColor="text1"/>
        </w:rPr>
        <w:t>with</w:t>
      </w:r>
      <w:r w:rsidR="00611F06" w:rsidRPr="00677D27">
        <w:rPr>
          <w:rFonts w:cs="Arial"/>
          <w:bCs/>
          <w:color w:val="000000" w:themeColor="text1"/>
        </w:rPr>
        <w:t xml:space="preserve"> </w:t>
      </w:r>
      <w:r w:rsidR="00C74276" w:rsidRPr="00677D27">
        <w:rPr>
          <w:rFonts w:cs="Arial"/>
          <w:bCs/>
          <w:color w:val="000000" w:themeColor="text1"/>
        </w:rPr>
        <w:t xml:space="preserve">an </w:t>
      </w:r>
      <w:r w:rsidR="00611F06" w:rsidRPr="00677D27">
        <w:rPr>
          <w:rFonts w:cs="Arial"/>
          <w:bCs/>
          <w:color w:val="000000" w:themeColor="text1"/>
        </w:rPr>
        <w:t>adoption</w:t>
      </w:r>
      <w:r w:rsidR="00576750" w:rsidRPr="00677D27">
        <w:rPr>
          <w:rFonts w:cs="Arial"/>
          <w:bCs/>
          <w:color w:val="000000" w:themeColor="text1"/>
        </w:rPr>
        <w:t xml:space="preserve"> of</w:t>
      </w:r>
      <w:r w:rsidR="00611F06" w:rsidRPr="00677D27">
        <w:rPr>
          <w:rFonts w:cs="Arial"/>
          <w:bCs/>
          <w:color w:val="000000" w:themeColor="text1"/>
        </w:rPr>
        <w:t xml:space="preserve"> M</w:t>
      </w:r>
      <w:r w:rsidR="006A0268" w:rsidRPr="00677D27">
        <w:rPr>
          <w:rFonts w:cs="Arial"/>
          <w:bCs/>
          <w:color w:val="000000" w:themeColor="text1"/>
        </w:rPr>
        <w:t>assive</w:t>
      </w:r>
      <w:r w:rsidR="005E3CCE" w:rsidRPr="00677D27">
        <w:rPr>
          <w:rFonts w:cs="Arial"/>
          <w:bCs/>
          <w:color w:val="000000" w:themeColor="text1"/>
        </w:rPr>
        <w:t xml:space="preserve"> M</w:t>
      </w:r>
      <w:r w:rsidR="006A0268" w:rsidRPr="00677D27">
        <w:rPr>
          <w:rFonts w:cs="Arial"/>
          <w:bCs/>
          <w:color w:val="000000" w:themeColor="text1"/>
        </w:rPr>
        <w:t xml:space="preserve">ultiple Input </w:t>
      </w:r>
      <w:r w:rsidR="00611F06" w:rsidRPr="00677D27">
        <w:rPr>
          <w:rFonts w:cs="Arial"/>
          <w:bCs/>
          <w:color w:val="000000" w:themeColor="text1"/>
        </w:rPr>
        <w:t>M</w:t>
      </w:r>
      <w:r w:rsidR="006A0268" w:rsidRPr="00677D27">
        <w:rPr>
          <w:rFonts w:cs="Arial"/>
          <w:bCs/>
          <w:color w:val="000000" w:themeColor="text1"/>
        </w:rPr>
        <w:t xml:space="preserve">ultiple </w:t>
      </w:r>
      <w:r w:rsidR="00611F06" w:rsidRPr="00677D27">
        <w:rPr>
          <w:rFonts w:cs="Arial"/>
          <w:bCs/>
          <w:color w:val="000000" w:themeColor="text1"/>
        </w:rPr>
        <w:t>O</w:t>
      </w:r>
      <w:r w:rsidR="006A0268" w:rsidRPr="00677D27">
        <w:rPr>
          <w:rFonts w:cs="Arial"/>
          <w:bCs/>
          <w:color w:val="000000" w:themeColor="text1"/>
        </w:rPr>
        <w:t>utput</w:t>
      </w:r>
      <w:r w:rsidR="00C74276" w:rsidRPr="00677D27">
        <w:rPr>
          <w:rFonts w:cs="Arial"/>
          <w:bCs/>
          <w:color w:val="000000" w:themeColor="text1"/>
        </w:rPr>
        <w:t xml:space="preserve"> technology</w:t>
      </w:r>
      <w:r w:rsidR="005E3CCE" w:rsidRPr="00677D27">
        <w:rPr>
          <w:rFonts w:cs="Arial"/>
          <w:bCs/>
          <w:color w:val="000000" w:themeColor="text1"/>
        </w:rPr>
        <w:t>, Carrier Aggregations an</w:t>
      </w:r>
      <w:r w:rsidR="006A0268" w:rsidRPr="00677D27">
        <w:rPr>
          <w:rFonts w:cs="Arial"/>
          <w:bCs/>
          <w:color w:val="000000" w:themeColor="text1"/>
        </w:rPr>
        <w:t>d high order modulation.</w:t>
      </w:r>
    </w:p>
    <w:p w:rsidR="0088105B" w:rsidRPr="00677D27" w:rsidRDefault="0088105B" w:rsidP="00677D27">
      <w:pPr>
        <w:pStyle w:val="ListNumber"/>
        <w:numPr>
          <w:ilvl w:val="0"/>
          <w:numId w:val="0"/>
        </w:numPr>
        <w:ind w:left="360"/>
      </w:pPr>
    </w:p>
    <w:p w:rsidR="00576750" w:rsidRPr="00677D27" w:rsidRDefault="001A00C2" w:rsidP="00677D27">
      <w:pPr>
        <w:pStyle w:val="ListNumber"/>
        <w:numPr>
          <w:ilvl w:val="0"/>
          <w:numId w:val="0"/>
        </w:numPr>
        <w:ind w:left="360"/>
      </w:pPr>
      <w:r w:rsidRPr="00677D27">
        <w:t>Huawei currently believes that</w:t>
      </w:r>
      <w:r w:rsidR="00C74276" w:rsidRPr="00677D27">
        <w:t xml:space="preserve"> the areas identified in this analysis cover the likely areas of high demand for 3.6 GHz band access.  It is important to note that the ACMA</w:t>
      </w:r>
      <w:r w:rsidRPr="00677D27">
        <w:t>’s framework</w:t>
      </w:r>
      <w:r w:rsidR="00C74276" w:rsidRPr="00677D27">
        <w:t xml:space="preserve"> should </w:t>
      </w:r>
      <w:r w:rsidR="00975CE0" w:rsidRPr="00677D27">
        <w:t xml:space="preserve">also </w:t>
      </w:r>
      <w:r w:rsidR="00C74276" w:rsidRPr="00677D27">
        <w:t>embrace</w:t>
      </w:r>
      <w:r w:rsidR="00EC4440" w:rsidRPr="00677D27">
        <w:t xml:space="preserve"> innovation and the latest development of 3GPP regarding the characteristic</w:t>
      </w:r>
      <w:r w:rsidRPr="00677D27">
        <w:t>s</w:t>
      </w:r>
      <w:r w:rsidR="00EC4440" w:rsidRPr="00677D27">
        <w:t xml:space="preserve"> of advanced antenna systems</w:t>
      </w:r>
      <w:r w:rsidR="00975CE0" w:rsidRPr="00677D27">
        <w:t>,</w:t>
      </w:r>
      <w:r w:rsidR="00EC4440" w:rsidRPr="00677D27">
        <w:t xml:space="preserve"> such as concerning unwanted emissions. </w:t>
      </w:r>
      <w:r w:rsidR="00C74276" w:rsidRPr="00677D27">
        <w:t xml:space="preserve">  </w:t>
      </w:r>
    </w:p>
    <w:p w:rsidR="00AB7ACA" w:rsidRDefault="00AB7ACA" w:rsidP="001443BE">
      <w:pPr>
        <w:ind w:left="284"/>
        <w:rPr>
          <w:i/>
        </w:rPr>
      </w:pPr>
    </w:p>
    <w:p w:rsidR="009F1C0D" w:rsidRPr="009F1C0D" w:rsidRDefault="009F1C0D" w:rsidP="00420F48">
      <w:pPr>
        <w:pStyle w:val="ListNumber"/>
        <w:numPr>
          <w:ilvl w:val="0"/>
          <w:numId w:val="3"/>
        </w:numPr>
        <w:rPr>
          <w:b/>
        </w:rPr>
      </w:pPr>
      <w:r w:rsidRPr="009F1C0D">
        <w:rPr>
          <w:b/>
        </w:rPr>
        <w:t>If any part of the 3.6 GHz band is re-allocated for the issue of spectrum licences is seven years a suitable re-allocation period? If not, what period of time would be appropriate?</w:t>
      </w:r>
    </w:p>
    <w:p w:rsidR="002410E2" w:rsidRDefault="002410E2" w:rsidP="00AE0D5B">
      <w:pPr>
        <w:pStyle w:val="ListNumber"/>
        <w:numPr>
          <w:ilvl w:val="0"/>
          <w:numId w:val="0"/>
        </w:numPr>
        <w:ind w:left="360"/>
        <w:rPr>
          <w:i/>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2E6872" w:rsidRPr="00677D27" w:rsidRDefault="00E62C9C" w:rsidP="001E2B28">
      <w:pPr>
        <w:pStyle w:val="ListNumber"/>
        <w:numPr>
          <w:ilvl w:val="0"/>
          <w:numId w:val="0"/>
        </w:numPr>
        <w:ind w:left="360"/>
        <w:rPr>
          <w:rFonts w:cs="Arial"/>
          <w:bCs/>
          <w:color w:val="000000" w:themeColor="text1"/>
        </w:rPr>
      </w:pPr>
      <w:r w:rsidRPr="001E2B28">
        <w:rPr>
          <w:lang w:val="en-US"/>
        </w:rPr>
        <w:t>Huawei suggests for</w:t>
      </w:r>
      <w:r w:rsidRPr="00677D27">
        <w:rPr>
          <w:rFonts w:cs="Arial"/>
          <w:bCs/>
          <w:color w:val="000000" w:themeColor="text1"/>
        </w:rPr>
        <w:t xml:space="preserve"> a suitable re-allocation period </w:t>
      </w:r>
      <w:r w:rsidR="0074614E" w:rsidRPr="00677D27">
        <w:rPr>
          <w:rFonts w:cs="Arial"/>
          <w:bCs/>
          <w:color w:val="000000" w:themeColor="text1"/>
        </w:rPr>
        <w:t xml:space="preserve">to be considered </w:t>
      </w:r>
      <w:r w:rsidR="001A00C2" w:rsidRPr="00677D27">
        <w:rPr>
          <w:rFonts w:cs="Arial"/>
          <w:bCs/>
          <w:color w:val="000000" w:themeColor="text1"/>
        </w:rPr>
        <w:t xml:space="preserve">on a </w:t>
      </w:r>
      <w:r w:rsidRPr="00677D27">
        <w:rPr>
          <w:rFonts w:cs="Arial"/>
          <w:bCs/>
          <w:color w:val="000000" w:themeColor="text1"/>
        </w:rPr>
        <w:t xml:space="preserve">case by case basis </w:t>
      </w:r>
      <w:r w:rsidR="00D67618" w:rsidRPr="00677D27">
        <w:rPr>
          <w:rFonts w:cs="Arial"/>
          <w:bCs/>
          <w:color w:val="000000" w:themeColor="text1"/>
        </w:rPr>
        <w:t xml:space="preserve">as </w:t>
      </w:r>
      <w:r w:rsidR="001A00C2" w:rsidRPr="00677D27">
        <w:rPr>
          <w:rFonts w:cs="Arial"/>
          <w:bCs/>
          <w:color w:val="000000" w:themeColor="text1"/>
        </w:rPr>
        <w:t xml:space="preserve">to </w:t>
      </w:r>
      <w:r w:rsidR="00332B5D" w:rsidRPr="00677D27">
        <w:rPr>
          <w:rFonts w:cs="Arial"/>
          <w:bCs/>
          <w:color w:val="000000" w:themeColor="text1"/>
        </w:rPr>
        <w:t>be defined f</w:t>
      </w:r>
      <w:r w:rsidR="00D67618" w:rsidRPr="00677D27">
        <w:rPr>
          <w:rFonts w:cs="Arial"/>
          <w:bCs/>
          <w:color w:val="000000" w:themeColor="text1"/>
        </w:rPr>
        <w:t>or different incumbent services and</w:t>
      </w:r>
      <w:r w:rsidR="00332B5D" w:rsidRPr="00677D27">
        <w:rPr>
          <w:rFonts w:cs="Arial"/>
          <w:bCs/>
          <w:color w:val="000000" w:themeColor="text1"/>
        </w:rPr>
        <w:t xml:space="preserve"> different geographical area</w:t>
      </w:r>
      <w:r w:rsidR="00D67618" w:rsidRPr="00677D27">
        <w:rPr>
          <w:rFonts w:cs="Arial"/>
          <w:bCs/>
          <w:color w:val="000000" w:themeColor="text1"/>
        </w:rPr>
        <w:t>s</w:t>
      </w:r>
      <w:r w:rsidR="00332B5D" w:rsidRPr="00677D27">
        <w:rPr>
          <w:rFonts w:cs="Arial"/>
          <w:bCs/>
          <w:color w:val="000000" w:themeColor="text1"/>
        </w:rPr>
        <w:t>.</w:t>
      </w:r>
    </w:p>
    <w:p w:rsidR="0088105B" w:rsidRPr="00677D27" w:rsidRDefault="0088105B" w:rsidP="0088105B">
      <w:pPr>
        <w:autoSpaceDE w:val="0"/>
        <w:autoSpaceDN w:val="0"/>
        <w:adjustRightInd w:val="0"/>
        <w:spacing w:before="0" w:after="0"/>
        <w:ind w:left="426"/>
        <w:rPr>
          <w:rFonts w:cs="Arial"/>
          <w:bCs/>
          <w:color w:val="000000" w:themeColor="text1"/>
        </w:rPr>
      </w:pPr>
    </w:p>
    <w:p w:rsidR="00AE0D5B" w:rsidRPr="0088105B" w:rsidRDefault="002E6872" w:rsidP="0088105B">
      <w:pPr>
        <w:autoSpaceDE w:val="0"/>
        <w:autoSpaceDN w:val="0"/>
        <w:adjustRightInd w:val="0"/>
        <w:spacing w:before="0" w:after="0"/>
        <w:ind w:left="426"/>
        <w:rPr>
          <w:rFonts w:cs="Arial"/>
          <w:bCs/>
          <w:i/>
          <w:color w:val="000000" w:themeColor="text1"/>
        </w:rPr>
      </w:pPr>
      <w:r w:rsidRPr="00677D27">
        <w:rPr>
          <w:rFonts w:cs="Arial"/>
          <w:bCs/>
          <w:color w:val="000000" w:themeColor="text1"/>
        </w:rPr>
        <w:t>In case of a need for flexible coordination between new MBB service</w:t>
      </w:r>
      <w:r w:rsidR="00D67618" w:rsidRPr="00677D27">
        <w:rPr>
          <w:rFonts w:cs="Arial"/>
          <w:bCs/>
          <w:color w:val="000000" w:themeColor="text1"/>
        </w:rPr>
        <w:t>s</w:t>
      </w:r>
      <w:r w:rsidRPr="00677D27">
        <w:rPr>
          <w:rFonts w:cs="Arial"/>
          <w:bCs/>
          <w:color w:val="000000" w:themeColor="text1"/>
        </w:rPr>
        <w:t xml:space="preserve"> and incumbents, in a transition period or to protect an existing service, a license shared access approach</w:t>
      </w:r>
      <w:r w:rsidR="00D67618" w:rsidRPr="00677D27">
        <w:rPr>
          <w:rFonts w:cs="Arial"/>
          <w:bCs/>
          <w:color w:val="000000" w:themeColor="text1"/>
        </w:rPr>
        <w:t>,</w:t>
      </w:r>
      <w:r w:rsidRPr="00677D27">
        <w:rPr>
          <w:rFonts w:cs="Arial"/>
          <w:bCs/>
          <w:color w:val="000000" w:themeColor="text1"/>
        </w:rPr>
        <w:t xml:space="preserve"> or similar</w:t>
      </w:r>
      <w:r w:rsidR="00D67618" w:rsidRPr="00677D27">
        <w:rPr>
          <w:rFonts w:cs="Arial"/>
          <w:bCs/>
          <w:color w:val="000000" w:themeColor="text1"/>
        </w:rPr>
        <w:t>,</w:t>
      </w:r>
      <w:r w:rsidRPr="00677D27">
        <w:rPr>
          <w:rFonts w:cs="Arial"/>
          <w:bCs/>
          <w:color w:val="000000" w:themeColor="text1"/>
        </w:rPr>
        <w:t xml:space="preserve"> may be considered. This </w:t>
      </w:r>
      <w:r w:rsidR="00D67618" w:rsidRPr="00677D27">
        <w:rPr>
          <w:rFonts w:cs="Arial"/>
          <w:bCs/>
          <w:color w:val="000000" w:themeColor="text1"/>
        </w:rPr>
        <w:t xml:space="preserve">allows </w:t>
      </w:r>
      <w:r w:rsidRPr="00677D27">
        <w:rPr>
          <w:rFonts w:cs="Arial"/>
          <w:bCs/>
          <w:color w:val="000000" w:themeColor="text1"/>
        </w:rPr>
        <w:t>for initial 5G deployment areas – hotspots and dense urban while protecting certain location of remaining incumbents.</w:t>
      </w:r>
      <w:r w:rsidRPr="0088105B">
        <w:rPr>
          <w:rFonts w:cs="Arial"/>
          <w:bCs/>
          <w:i/>
          <w:color w:val="000000" w:themeColor="text1"/>
        </w:rPr>
        <w:t xml:space="preserve">   </w:t>
      </w:r>
      <w:r w:rsidR="00332B5D" w:rsidRPr="0088105B">
        <w:rPr>
          <w:rFonts w:cs="Arial"/>
          <w:bCs/>
          <w:i/>
          <w:color w:val="000000" w:themeColor="text1"/>
        </w:rPr>
        <w:t xml:space="preserve"> </w:t>
      </w:r>
    </w:p>
    <w:p w:rsidR="001443BE" w:rsidRDefault="001443BE" w:rsidP="001443BE">
      <w:pPr>
        <w:pStyle w:val="ListNumber"/>
        <w:numPr>
          <w:ilvl w:val="0"/>
          <w:numId w:val="0"/>
        </w:numPr>
      </w:pPr>
    </w:p>
    <w:p w:rsidR="000846C9" w:rsidRDefault="000846C9" w:rsidP="00420F48">
      <w:pPr>
        <w:pStyle w:val="ListNumber"/>
        <w:numPr>
          <w:ilvl w:val="0"/>
          <w:numId w:val="3"/>
        </w:numPr>
        <w:rPr>
          <w:b/>
        </w:rPr>
      </w:pPr>
      <w:r w:rsidRPr="000846C9">
        <w:rPr>
          <w:b/>
        </w:rPr>
        <w:t>Should different re-allocation periods be considered for different areas? For example, should a longer period be considered for services outside Area 1?</w:t>
      </w:r>
    </w:p>
    <w:p w:rsidR="009F0D26" w:rsidRPr="000846C9" w:rsidRDefault="009F0D26" w:rsidP="009F0D26">
      <w:pPr>
        <w:pStyle w:val="ListNumber"/>
        <w:numPr>
          <w:ilvl w:val="0"/>
          <w:numId w:val="0"/>
        </w:numPr>
        <w:ind w:left="360" w:hanging="360"/>
        <w:rPr>
          <w:b/>
        </w:rPr>
      </w:pPr>
    </w:p>
    <w:p w:rsidR="001E2B28" w:rsidRDefault="001E2B28" w:rsidP="006773D3">
      <w:pPr>
        <w:pStyle w:val="ListNumber"/>
        <w:numPr>
          <w:ilvl w:val="0"/>
          <w:numId w:val="0"/>
        </w:numPr>
        <w:ind w:left="360"/>
        <w:rPr>
          <w:u w:val="single"/>
          <w:lang w:val="en-US"/>
        </w:rPr>
      </w:pPr>
      <w:r w:rsidRPr="000B421C">
        <w:rPr>
          <w:u w:val="single"/>
          <w:lang w:val="en-US"/>
        </w:rPr>
        <w:t>Huawei’s response:</w:t>
      </w:r>
    </w:p>
    <w:p w:rsidR="0088105B" w:rsidRPr="00FC23B0" w:rsidRDefault="008735CB" w:rsidP="006773D3">
      <w:pPr>
        <w:autoSpaceDE w:val="0"/>
        <w:autoSpaceDN w:val="0"/>
        <w:adjustRightInd w:val="0"/>
        <w:spacing w:before="0" w:after="0"/>
        <w:ind w:left="360"/>
        <w:rPr>
          <w:rFonts w:cs="Arial"/>
          <w:b/>
          <w:bCs/>
          <w:color w:val="000000" w:themeColor="text1"/>
        </w:rPr>
      </w:pPr>
      <w:r w:rsidRPr="00FC23B0">
        <w:rPr>
          <w:rFonts w:cs="Arial"/>
          <w:bCs/>
          <w:color w:val="000000" w:themeColor="text1"/>
        </w:rPr>
        <w:t>Huawei supports the ACMA</w:t>
      </w:r>
      <w:r w:rsidR="00D67618" w:rsidRPr="00FC23B0">
        <w:rPr>
          <w:rFonts w:cs="Arial"/>
          <w:bCs/>
          <w:color w:val="000000" w:themeColor="text1"/>
        </w:rPr>
        <w:t>’s consideration</w:t>
      </w:r>
      <w:r w:rsidRPr="00FC23B0">
        <w:rPr>
          <w:rFonts w:cs="Arial"/>
          <w:bCs/>
          <w:color w:val="000000" w:themeColor="text1"/>
        </w:rPr>
        <w:t xml:space="preserve"> for </w:t>
      </w:r>
      <w:r w:rsidR="00D67618" w:rsidRPr="00FC23B0">
        <w:rPr>
          <w:rFonts w:cs="Arial"/>
          <w:bCs/>
          <w:color w:val="000000" w:themeColor="text1"/>
        </w:rPr>
        <w:t xml:space="preserve">a </w:t>
      </w:r>
      <w:r w:rsidRPr="00FC23B0">
        <w:rPr>
          <w:rFonts w:cs="Arial"/>
          <w:bCs/>
          <w:color w:val="000000" w:themeColor="text1"/>
        </w:rPr>
        <w:t>re-allocation period for incumbents and new users as outlined on Page 24 and 25 of “</w:t>
      </w:r>
      <w:r w:rsidR="0033573C" w:rsidRPr="00FC23B0">
        <w:rPr>
          <w:rFonts w:cs="Arial"/>
          <w:bCs/>
          <w:color w:val="000000" w:themeColor="text1"/>
        </w:rPr>
        <w:t>Options</w:t>
      </w:r>
      <w:r w:rsidRPr="00FC23B0">
        <w:rPr>
          <w:rFonts w:cs="Arial"/>
          <w:bCs/>
          <w:color w:val="000000" w:themeColor="text1"/>
        </w:rPr>
        <w:t xml:space="preserve"> paper”.  As commented above, </w:t>
      </w:r>
      <w:r w:rsidRPr="00FC23B0">
        <w:rPr>
          <w:rFonts w:cs="Arial"/>
          <w:b/>
          <w:bCs/>
          <w:color w:val="000000" w:themeColor="text1"/>
        </w:rPr>
        <w:t>different re-allocation period</w:t>
      </w:r>
      <w:r w:rsidR="00D67618" w:rsidRPr="00FC23B0">
        <w:rPr>
          <w:rFonts w:cs="Arial"/>
          <w:b/>
          <w:bCs/>
          <w:color w:val="000000" w:themeColor="text1"/>
        </w:rPr>
        <w:t>s</w:t>
      </w:r>
      <w:r w:rsidRPr="00FC23B0">
        <w:rPr>
          <w:rFonts w:cs="Arial"/>
          <w:b/>
          <w:bCs/>
          <w:color w:val="000000" w:themeColor="text1"/>
        </w:rPr>
        <w:t xml:space="preserve"> </w:t>
      </w:r>
      <w:r w:rsidR="00D67618" w:rsidRPr="00FC23B0">
        <w:rPr>
          <w:rFonts w:cs="Arial"/>
          <w:b/>
          <w:bCs/>
          <w:color w:val="000000" w:themeColor="text1"/>
        </w:rPr>
        <w:t>are</w:t>
      </w:r>
      <w:r w:rsidRPr="00FC23B0">
        <w:rPr>
          <w:rFonts w:cs="Arial"/>
          <w:b/>
          <w:bCs/>
          <w:color w:val="000000" w:themeColor="text1"/>
        </w:rPr>
        <w:t xml:space="preserve"> to be considered </w:t>
      </w:r>
      <w:r w:rsidR="00D67618" w:rsidRPr="00FC23B0">
        <w:rPr>
          <w:rFonts w:cs="Arial"/>
          <w:b/>
          <w:bCs/>
          <w:color w:val="000000" w:themeColor="text1"/>
        </w:rPr>
        <w:t xml:space="preserve">differently </w:t>
      </w:r>
      <w:r w:rsidRPr="00FC23B0">
        <w:rPr>
          <w:rFonts w:cs="Arial"/>
          <w:b/>
          <w:bCs/>
          <w:color w:val="000000" w:themeColor="text1"/>
        </w:rPr>
        <w:t>for different area</w:t>
      </w:r>
      <w:r w:rsidR="009F0D26" w:rsidRPr="00FC23B0">
        <w:rPr>
          <w:rFonts w:cs="Arial"/>
          <w:b/>
          <w:bCs/>
          <w:color w:val="000000" w:themeColor="text1"/>
        </w:rPr>
        <w:t>s</w:t>
      </w:r>
      <w:r w:rsidR="00250BF4" w:rsidRPr="00FC23B0">
        <w:rPr>
          <w:rFonts w:cs="Arial"/>
          <w:b/>
          <w:bCs/>
          <w:color w:val="000000" w:themeColor="text1"/>
        </w:rPr>
        <w:t xml:space="preserve"> and service</w:t>
      </w:r>
      <w:r w:rsidR="00D67618" w:rsidRPr="00FC23B0">
        <w:rPr>
          <w:rFonts w:cs="Arial"/>
          <w:b/>
          <w:bCs/>
          <w:color w:val="000000" w:themeColor="text1"/>
        </w:rPr>
        <w:t>s</w:t>
      </w:r>
      <w:r w:rsidRPr="00FC23B0">
        <w:rPr>
          <w:rFonts w:cs="Arial"/>
          <w:b/>
          <w:bCs/>
          <w:color w:val="000000" w:themeColor="text1"/>
        </w:rPr>
        <w:t xml:space="preserve"> </w:t>
      </w:r>
      <w:r w:rsidR="00D67618" w:rsidRPr="00FC23B0">
        <w:rPr>
          <w:rFonts w:cs="Arial"/>
          <w:b/>
          <w:bCs/>
          <w:color w:val="000000" w:themeColor="text1"/>
        </w:rPr>
        <w:t xml:space="preserve">on a </w:t>
      </w:r>
      <w:r w:rsidRPr="00FC23B0">
        <w:rPr>
          <w:rFonts w:cs="Arial"/>
          <w:b/>
          <w:bCs/>
          <w:color w:val="000000" w:themeColor="text1"/>
        </w:rPr>
        <w:t>case by case basis.</w:t>
      </w:r>
    </w:p>
    <w:p w:rsidR="00C423C1" w:rsidRPr="0088105B" w:rsidRDefault="008735CB" w:rsidP="006773D3">
      <w:pPr>
        <w:autoSpaceDE w:val="0"/>
        <w:autoSpaceDN w:val="0"/>
        <w:adjustRightInd w:val="0"/>
        <w:spacing w:before="0" w:after="0"/>
        <w:ind w:left="360"/>
        <w:rPr>
          <w:rFonts w:cs="Arial"/>
          <w:bCs/>
          <w:i/>
          <w:color w:val="000000" w:themeColor="text1"/>
        </w:rPr>
      </w:pPr>
      <w:r w:rsidRPr="0088105B">
        <w:rPr>
          <w:rFonts w:cs="Arial"/>
          <w:bCs/>
          <w:i/>
          <w:color w:val="000000" w:themeColor="text1"/>
        </w:rPr>
        <w:t xml:space="preserve">   </w:t>
      </w:r>
    </w:p>
    <w:p w:rsidR="00C423C1" w:rsidRPr="00FC23B0" w:rsidRDefault="00C423C1" w:rsidP="006773D3">
      <w:pPr>
        <w:autoSpaceDE w:val="0"/>
        <w:autoSpaceDN w:val="0"/>
        <w:adjustRightInd w:val="0"/>
        <w:spacing w:before="0" w:after="0"/>
        <w:ind w:left="360"/>
      </w:pPr>
      <w:r w:rsidRPr="00FC23B0">
        <w:rPr>
          <w:rFonts w:cs="Arial"/>
          <w:bCs/>
          <w:color w:val="000000" w:themeColor="text1"/>
        </w:rPr>
        <w:t xml:space="preserve">One of the studies </w:t>
      </w:r>
      <w:r w:rsidR="00D67618" w:rsidRPr="00FC23B0">
        <w:rPr>
          <w:rFonts w:cs="Arial"/>
          <w:bCs/>
          <w:color w:val="000000" w:themeColor="text1"/>
        </w:rPr>
        <w:t xml:space="preserve">that </w:t>
      </w:r>
      <w:r w:rsidRPr="00FC23B0">
        <w:rPr>
          <w:rFonts w:cs="Arial"/>
          <w:bCs/>
          <w:color w:val="000000" w:themeColor="text1"/>
        </w:rPr>
        <w:t>quantifies the economic benefits that would derive</w:t>
      </w:r>
      <w:r w:rsidRPr="00FC23B0">
        <w:t xml:space="preserve"> </w:t>
      </w:r>
      <w:r w:rsidRPr="00FC23B0">
        <w:rPr>
          <w:u w:val="single"/>
        </w:rPr>
        <w:t>from the earlier availability of the 3400-4200 MHz band</w:t>
      </w:r>
      <w:r w:rsidRPr="00FC23B0">
        <w:t xml:space="preserve"> shows the early availability of </w:t>
      </w:r>
      <w:r w:rsidR="00F76D0A" w:rsidRPr="00FC23B0">
        <w:t>said band</w:t>
      </w:r>
      <w:r w:rsidRPr="00FC23B0">
        <w:t xml:space="preserve"> will yield significant net benefits as these could offer </w:t>
      </w:r>
      <w:r w:rsidR="00F76D0A" w:rsidRPr="00FC23B0">
        <w:t>the</w:t>
      </w:r>
      <w:r w:rsidRPr="00FC23B0">
        <w:t xml:space="preserve"> MBB use</w:t>
      </w:r>
      <w:r w:rsidR="00397388" w:rsidRPr="00FC23B0">
        <w:t>,</w:t>
      </w:r>
      <w:r w:rsidRPr="00FC23B0">
        <w:t xml:space="preserve"> </w:t>
      </w:r>
      <w:r w:rsidR="00F76D0A" w:rsidRPr="00FC23B0">
        <w:t xml:space="preserve">required </w:t>
      </w:r>
      <w:r w:rsidRPr="00FC23B0">
        <w:t>for mobile data traffic growth.</w:t>
      </w:r>
    </w:p>
    <w:p w:rsidR="009A6713" w:rsidRPr="00FC23B0" w:rsidRDefault="00C423C1" w:rsidP="006773D3">
      <w:pPr>
        <w:pStyle w:val="ListNumber"/>
        <w:numPr>
          <w:ilvl w:val="0"/>
          <w:numId w:val="0"/>
        </w:numPr>
        <w:ind w:left="360"/>
      </w:pPr>
      <w:r w:rsidRPr="00FC23B0">
        <w:t>(Reference:</w:t>
      </w:r>
      <w:r w:rsidR="009A6713" w:rsidRPr="00FC23B0">
        <w:t xml:space="preserve"> Use of 3300-4200 MHz spectrum for mobile broadband in cities London and Shenzhen, prepared by Plum consulting for GSMA and Huawei</w:t>
      </w:r>
      <w:r w:rsidR="009D018D">
        <w:t xml:space="preserve">; </w:t>
      </w:r>
      <w:hyperlink r:id="rId18" w:history="1">
        <w:r w:rsidR="00250BF4" w:rsidRPr="00FC23B0">
          <w:rPr>
            <w:rStyle w:val="Hyperlink"/>
          </w:rPr>
          <w:t>https://www.gsma.com/newsroom/press-release/new-gsma-report-reveals-economic-benefits-of-c-band-spectrum-for-mobile-broadband/</w:t>
        </w:r>
      </w:hyperlink>
      <w:r w:rsidR="00250BF4" w:rsidRPr="00FC23B0">
        <w:t>)</w:t>
      </w:r>
    </w:p>
    <w:p w:rsidR="000846C9" w:rsidRDefault="00C423C1" w:rsidP="000846C9">
      <w:pPr>
        <w:pStyle w:val="ListNumber"/>
        <w:numPr>
          <w:ilvl w:val="0"/>
          <w:numId w:val="0"/>
        </w:numPr>
        <w:ind w:left="360"/>
        <w:rPr>
          <w:i/>
        </w:rPr>
      </w:pPr>
      <w:r>
        <w:rPr>
          <w:i/>
        </w:rPr>
        <w:t xml:space="preserve">  </w:t>
      </w:r>
      <w:r w:rsidR="008735CB">
        <w:rPr>
          <w:i/>
        </w:rPr>
        <w:t xml:space="preserve">  </w:t>
      </w:r>
    </w:p>
    <w:p w:rsidR="001E2B28" w:rsidRDefault="001E2B28"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Are these guidelines appropriate? Why?</w:t>
      </w:r>
    </w:p>
    <w:p w:rsidR="00933F0B" w:rsidRDefault="00933F0B" w:rsidP="000846C9">
      <w:pPr>
        <w:pStyle w:val="ListNumber"/>
        <w:numPr>
          <w:ilvl w:val="0"/>
          <w:numId w:val="0"/>
        </w:numPr>
        <w:ind w:left="284"/>
        <w:rPr>
          <w:i/>
          <w:color w:val="0070C0"/>
        </w:rPr>
      </w:pPr>
    </w:p>
    <w:p w:rsidR="001E2B28" w:rsidRDefault="001E2B28" w:rsidP="006773D3">
      <w:pPr>
        <w:pStyle w:val="ListNumber"/>
        <w:numPr>
          <w:ilvl w:val="0"/>
          <w:numId w:val="0"/>
        </w:numPr>
        <w:ind w:left="360"/>
        <w:rPr>
          <w:u w:val="single"/>
          <w:lang w:val="en-US"/>
        </w:rPr>
      </w:pPr>
      <w:r w:rsidRPr="000B421C">
        <w:rPr>
          <w:u w:val="single"/>
          <w:lang w:val="en-US"/>
        </w:rPr>
        <w:t>Huawei’s response:</w:t>
      </w:r>
    </w:p>
    <w:p w:rsidR="0088105B" w:rsidRPr="00AE2F5D" w:rsidRDefault="00FC48BB" w:rsidP="006773D3">
      <w:pPr>
        <w:autoSpaceDE w:val="0"/>
        <w:autoSpaceDN w:val="0"/>
        <w:adjustRightInd w:val="0"/>
        <w:spacing w:before="0" w:after="0"/>
        <w:ind w:left="360"/>
        <w:rPr>
          <w:rFonts w:cs="Arial"/>
          <w:bCs/>
          <w:color w:val="000000" w:themeColor="text1"/>
        </w:rPr>
      </w:pPr>
      <w:r w:rsidRPr="00AE2F5D">
        <w:rPr>
          <w:rFonts w:cs="Arial"/>
          <w:bCs/>
          <w:color w:val="000000" w:themeColor="text1"/>
        </w:rPr>
        <w:t>Huawei appreciates the ACMA’s consideration</w:t>
      </w:r>
      <w:r w:rsidR="00A821A7" w:rsidRPr="00AE2F5D">
        <w:rPr>
          <w:rFonts w:cs="Arial"/>
          <w:bCs/>
          <w:color w:val="000000" w:themeColor="text1"/>
        </w:rPr>
        <w:t xml:space="preserve"> of</w:t>
      </w:r>
      <w:r w:rsidR="00D074A5" w:rsidRPr="00AE2F5D">
        <w:rPr>
          <w:rFonts w:cs="Arial"/>
          <w:bCs/>
          <w:color w:val="000000" w:themeColor="text1"/>
        </w:rPr>
        <w:t xml:space="preserve"> the</w:t>
      </w:r>
      <w:r w:rsidR="00A821A7" w:rsidRPr="00AE2F5D">
        <w:rPr>
          <w:rFonts w:cs="Arial"/>
          <w:bCs/>
          <w:color w:val="000000" w:themeColor="text1"/>
        </w:rPr>
        <w:t xml:space="preserve"> issues currently </w:t>
      </w:r>
      <w:r w:rsidR="00100DB0" w:rsidRPr="00AE2F5D">
        <w:rPr>
          <w:rFonts w:cs="Arial"/>
          <w:bCs/>
          <w:color w:val="000000" w:themeColor="text1"/>
        </w:rPr>
        <w:t>faced</w:t>
      </w:r>
      <w:r w:rsidRPr="00AE2F5D">
        <w:rPr>
          <w:rFonts w:cs="Arial"/>
          <w:bCs/>
          <w:color w:val="000000" w:themeColor="text1"/>
        </w:rPr>
        <w:t xml:space="preserve"> by different licensees of adjacent geographical areas</w:t>
      </w:r>
      <w:r w:rsidR="00E617D2" w:rsidRPr="00AE2F5D">
        <w:rPr>
          <w:rFonts w:cs="Arial"/>
          <w:bCs/>
          <w:color w:val="000000" w:themeColor="text1"/>
        </w:rPr>
        <w:t xml:space="preserve"> </w:t>
      </w:r>
      <w:r w:rsidR="00A821A7" w:rsidRPr="00AE2F5D">
        <w:rPr>
          <w:rFonts w:cs="Arial"/>
          <w:bCs/>
          <w:color w:val="000000" w:themeColor="text1"/>
        </w:rPr>
        <w:t>for</w:t>
      </w:r>
      <w:r w:rsidR="00E617D2" w:rsidRPr="00AE2F5D">
        <w:rPr>
          <w:rFonts w:cs="Arial"/>
          <w:bCs/>
          <w:color w:val="000000" w:themeColor="text1"/>
        </w:rPr>
        <w:t xml:space="preserve"> interference and unwanted </w:t>
      </w:r>
      <w:r w:rsidR="00032B06" w:rsidRPr="00AE2F5D">
        <w:rPr>
          <w:rFonts w:cs="Arial"/>
          <w:bCs/>
          <w:color w:val="000000" w:themeColor="text1"/>
        </w:rPr>
        <w:t>emission</w:t>
      </w:r>
      <w:r w:rsidR="00A821A7" w:rsidRPr="00AE2F5D">
        <w:rPr>
          <w:rFonts w:cs="Arial"/>
          <w:bCs/>
          <w:color w:val="000000" w:themeColor="text1"/>
        </w:rPr>
        <w:t xml:space="preserve"> resolution</w:t>
      </w:r>
      <w:r w:rsidR="00621C37" w:rsidRPr="00AE2F5D">
        <w:rPr>
          <w:rFonts w:cs="Arial"/>
          <w:bCs/>
          <w:color w:val="000000" w:themeColor="text1"/>
        </w:rPr>
        <w:t>.</w:t>
      </w:r>
    </w:p>
    <w:p w:rsidR="00B462D6" w:rsidRPr="00AE2F5D" w:rsidRDefault="00621C37" w:rsidP="006773D3">
      <w:pPr>
        <w:autoSpaceDE w:val="0"/>
        <w:autoSpaceDN w:val="0"/>
        <w:adjustRightInd w:val="0"/>
        <w:spacing w:before="0" w:after="0"/>
        <w:ind w:left="360"/>
        <w:rPr>
          <w:rFonts w:cs="Arial"/>
          <w:bCs/>
          <w:color w:val="000000" w:themeColor="text1"/>
        </w:rPr>
      </w:pPr>
      <w:r w:rsidRPr="00AE2F5D">
        <w:rPr>
          <w:rFonts w:cs="Arial"/>
          <w:bCs/>
          <w:color w:val="000000" w:themeColor="text1"/>
        </w:rPr>
        <w:t xml:space="preserve"> </w:t>
      </w:r>
    </w:p>
    <w:p w:rsidR="00BB1E75" w:rsidRPr="00AE2F5D" w:rsidRDefault="00621C37" w:rsidP="006773D3">
      <w:pPr>
        <w:autoSpaceDE w:val="0"/>
        <w:autoSpaceDN w:val="0"/>
        <w:adjustRightInd w:val="0"/>
        <w:spacing w:before="0" w:after="0"/>
        <w:ind w:left="360"/>
      </w:pPr>
      <w:r w:rsidRPr="00AE2F5D">
        <w:rPr>
          <w:rFonts w:cs="Arial"/>
          <w:bCs/>
          <w:color w:val="000000" w:themeColor="text1"/>
        </w:rPr>
        <w:t xml:space="preserve">Huawei has </w:t>
      </w:r>
      <w:r w:rsidR="00D074A5" w:rsidRPr="00AE2F5D">
        <w:rPr>
          <w:rFonts w:cs="Arial"/>
          <w:bCs/>
          <w:color w:val="000000" w:themeColor="text1"/>
        </w:rPr>
        <w:t xml:space="preserve">recently </w:t>
      </w:r>
      <w:r w:rsidRPr="00AE2F5D">
        <w:rPr>
          <w:rFonts w:cs="Arial"/>
          <w:bCs/>
          <w:color w:val="000000" w:themeColor="text1"/>
        </w:rPr>
        <w:t>witnessed that licensees were</w:t>
      </w:r>
      <w:r w:rsidRPr="00AE2F5D">
        <w:t xml:space="preserve"> unable to meet the relevant boundary emissions and interference limits </w:t>
      </w:r>
      <w:r w:rsidR="00FC48BB" w:rsidRPr="00AE2F5D">
        <w:t xml:space="preserve">even </w:t>
      </w:r>
      <w:r w:rsidR="00100DB0" w:rsidRPr="00AE2F5D">
        <w:t xml:space="preserve">with </w:t>
      </w:r>
      <w:r w:rsidRPr="00AE2F5D">
        <w:t>the use of techniques such as adjusting antenna</w:t>
      </w:r>
      <w:r w:rsidR="00100DB0" w:rsidRPr="00AE2F5D">
        <w:t>e</w:t>
      </w:r>
      <w:r w:rsidRPr="00AE2F5D">
        <w:t xml:space="preserve"> heights, lowering EIRPs, adjusting antenna</w:t>
      </w:r>
      <w:r w:rsidR="00100DB0" w:rsidRPr="00AE2F5D">
        <w:t>e</w:t>
      </w:r>
      <w:r w:rsidRPr="00AE2F5D">
        <w:t xml:space="preserve"> down tilt, </w:t>
      </w:r>
      <w:r w:rsidR="00BB1E75" w:rsidRPr="00AE2F5D">
        <w:t xml:space="preserve">shielding with terrain, </w:t>
      </w:r>
      <w:r w:rsidR="00100DB0" w:rsidRPr="00AE2F5D">
        <w:t>and additional sector</w:t>
      </w:r>
      <w:r w:rsidR="00BB1E75" w:rsidRPr="00AE2F5D">
        <w:t xml:space="preserve"> planning. </w:t>
      </w:r>
      <w:r w:rsidR="00530E28" w:rsidRPr="00AE2F5D">
        <w:t xml:space="preserve">In some scenarios, </w:t>
      </w:r>
      <w:r w:rsidR="00BB1E75" w:rsidRPr="00AE2F5D">
        <w:t xml:space="preserve">licensees </w:t>
      </w:r>
      <w:r w:rsidR="00530E28" w:rsidRPr="00AE2F5D">
        <w:t xml:space="preserve">will need to switch off the newly built </w:t>
      </w:r>
      <w:r w:rsidR="00BB1E75" w:rsidRPr="00AE2F5D">
        <w:t>sites</w:t>
      </w:r>
      <w:r w:rsidR="00FC48BB" w:rsidRPr="00AE2F5D">
        <w:t xml:space="preserve"> </w:t>
      </w:r>
      <w:r w:rsidR="00100DB0" w:rsidRPr="00AE2F5D">
        <w:t xml:space="preserve">close to the licence boundary. </w:t>
      </w:r>
      <w:r w:rsidR="00530E28" w:rsidRPr="00AE2F5D">
        <w:t>This has led licensees losing their investment</w:t>
      </w:r>
      <w:r w:rsidR="00100DB0" w:rsidRPr="00AE2F5D">
        <w:t>s</w:t>
      </w:r>
      <w:r w:rsidR="00530E28" w:rsidRPr="00AE2F5D">
        <w:t xml:space="preserve"> as well as </w:t>
      </w:r>
      <w:r w:rsidR="00100DB0" w:rsidRPr="00AE2F5D">
        <w:t>reduced coverage for</w:t>
      </w:r>
      <w:r w:rsidR="00032B06" w:rsidRPr="00AE2F5D">
        <w:t xml:space="preserve"> </w:t>
      </w:r>
      <w:r w:rsidR="00530E28" w:rsidRPr="00AE2F5D">
        <w:t>user</w:t>
      </w:r>
      <w:r w:rsidR="00032B06" w:rsidRPr="00AE2F5D">
        <w:t>s</w:t>
      </w:r>
      <w:r w:rsidR="00530E28" w:rsidRPr="00AE2F5D">
        <w:t xml:space="preserve"> depending</w:t>
      </w:r>
      <w:r w:rsidR="007D6039" w:rsidRPr="00AE2F5D">
        <w:t xml:space="preserve"> </w:t>
      </w:r>
      <w:r w:rsidR="00100DB0" w:rsidRPr="00AE2F5D">
        <w:t xml:space="preserve">on </w:t>
      </w:r>
      <w:r w:rsidR="007D6039" w:rsidRPr="00AE2F5D">
        <w:t>the</w:t>
      </w:r>
      <w:r w:rsidR="00032B06" w:rsidRPr="00AE2F5D">
        <w:t>ir</w:t>
      </w:r>
      <w:r w:rsidR="007D6039" w:rsidRPr="00AE2F5D">
        <w:t xml:space="preserve"> location</w:t>
      </w:r>
      <w:r w:rsidR="00032B06" w:rsidRPr="00AE2F5D">
        <w:t>s</w:t>
      </w:r>
      <w:r w:rsidR="007D6039" w:rsidRPr="00AE2F5D">
        <w:t xml:space="preserve"> and</w:t>
      </w:r>
      <w:r w:rsidR="00530E28" w:rsidRPr="00AE2F5D">
        <w:t xml:space="preserve"> </w:t>
      </w:r>
      <w:r w:rsidR="007D6039" w:rsidRPr="00AE2F5D">
        <w:t>size of geographical dead zone</w:t>
      </w:r>
      <w:r w:rsidR="00032B06" w:rsidRPr="00AE2F5D">
        <w:t>s</w:t>
      </w:r>
      <w:r w:rsidR="007D6039" w:rsidRPr="00AE2F5D">
        <w:t>.</w:t>
      </w:r>
      <w:r w:rsidR="00530E28" w:rsidRPr="00AE2F5D">
        <w:t xml:space="preserve">   </w:t>
      </w:r>
    </w:p>
    <w:p w:rsidR="00BB1E75" w:rsidRPr="00AE2F5D" w:rsidRDefault="00BB1E75" w:rsidP="006773D3">
      <w:pPr>
        <w:pStyle w:val="ListNumber"/>
        <w:numPr>
          <w:ilvl w:val="0"/>
          <w:numId w:val="0"/>
        </w:numPr>
        <w:ind w:left="360"/>
        <w:rPr>
          <w:color w:val="0070C0"/>
        </w:rPr>
      </w:pPr>
    </w:p>
    <w:p w:rsidR="00032B06" w:rsidRPr="00AE2F5D" w:rsidRDefault="00BB1E75" w:rsidP="006773D3">
      <w:pPr>
        <w:pStyle w:val="ListNumber"/>
        <w:numPr>
          <w:ilvl w:val="0"/>
          <w:numId w:val="0"/>
        </w:numPr>
        <w:ind w:left="360"/>
      </w:pPr>
      <w:r w:rsidRPr="00AE2F5D">
        <w:t>Huawei support</w:t>
      </w:r>
      <w:r w:rsidR="00B462D6" w:rsidRPr="00AE2F5D">
        <w:t xml:space="preserve">s </w:t>
      </w:r>
      <w:r w:rsidR="00A821A7" w:rsidRPr="00AE2F5D">
        <w:t xml:space="preserve">ACMA’s </w:t>
      </w:r>
      <w:r w:rsidRPr="00AE2F5D">
        <w:t>guidelines</w:t>
      </w:r>
      <w:r w:rsidR="00B462D6" w:rsidRPr="00AE2F5D">
        <w:t xml:space="preserve"> which have been</w:t>
      </w:r>
      <w:r w:rsidR="00530E28" w:rsidRPr="00AE2F5D">
        <w:t xml:space="preserve"> taken into account in</w:t>
      </w:r>
      <w:r w:rsidR="00D074A5" w:rsidRPr="00AE2F5D">
        <w:t xml:space="preserve"> assessing potential areas for replanning in the 3.6 GHz band. </w:t>
      </w:r>
      <w:r w:rsidR="00032B06" w:rsidRPr="00AE2F5D">
        <w:t>T</w:t>
      </w:r>
      <w:r w:rsidR="00D074A5" w:rsidRPr="00AE2F5D">
        <w:t xml:space="preserve">hese </w:t>
      </w:r>
      <w:r w:rsidR="00A821A7" w:rsidRPr="00AE2F5D">
        <w:t xml:space="preserve">stated </w:t>
      </w:r>
      <w:r w:rsidR="00D074A5" w:rsidRPr="00AE2F5D">
        <w:t xml:space="preserve">three (3) guidelines </w:t>
      </w:r>
      <w:r w:rsidR="00032B06" w:rsidRPr="00AE2F5D">
        <w:t>will greatly assist licensees</w:t>
      </w:r>
      <w:r w:rsidR="00B462D6" w:rsidRPr="00AE2F5D">
        <w:t xml:space="preserve"> in resolving </w:t>
      </w:r>
      <w:r w:rsidR="00A821A7" w:rsidRPr="00AE2F5D">
        <w:t xml:space="preserve">the </w:t>
      </w:r>
      <w:r w:rsidR="00B462D6" w:rsidRPr="00AE2F5D">
        <w:t>geographical boundary issues by</w:t>
      </w:r>
      <w:r w:rsidR="00032B06" w:rsidRPr="00AE2F5D">
        <w:t xml:space="preserve">: </w:t>
      </w:r>
    </w:p>
    <w:p w:rsidR="0088105B" w:rsidRPr="00AE2F5D" w:rsidRDefault="0088105B" w:rsidP="006773D3">
      <w:pPr>
        <w:pStyle w:val="ListNumber"/>
        <w:numPr>
          <w:ilvl w:val="0"/>
          <w:numId w:val="0"/>
        </w:numPr>
        <w:ind w:left="360"/>
      </w:pPr>
    </w:p>
    <w:p w:rsidR="00032B06" w:rsidRPr="00AE2F5D" w:rsidRDefault="00032B06" w:rsidP="006773D3">
      <w:pPr>
        <w:pStyle w:val="ListNumber"/>
        <w:numPr>
          <w:ilvl w:val="0"/>
          <w:numId w:val="6"/>
        </w:numPr>
      </w:pPr>
      <w:r w:rsidRPr="00AE2F5D">
        <w:t>Minimis</w:t>
      </w:r>
      <w:r w:rsidR="00B462D6" w:rsidRPr="00AE2F5D">
        <w:t>ing</w:t>
      </w:r>
      <w:r w:rsidRPr="00AE2F5D">
        <w:t xml:space="preserve"> dead zones </w:t>
      </w:r>
      <w:r w:rsidR="00B462D6" w:rsidRPr="00AE2F5D">
        <w:t xml:space="preserve">as </w:t>
      </w:r>
      <w:r w:rsidR="00D074A5" w:rsidRPr="00AE2F5D">
        <w:t>appropriate geographical lots</w:t>
      </w:r>
      <w:r w:rsidR="00F71CDE" w:rsidRPr="00AE2F5D">
        <w:t xml:space="preserve"> </w:t>
      </w:r>
      <w:r w:rsidR="00A821A7" w:rsidRPr="00AE2F5D">
        <w:t xml:space="preserve">are to </w:t>
      </w:r>
      <w:r w:rsidRPr="00AE2F5D">
        <w:t xml:space="preserve">be defined with </w:t>
      </w:r>
      <w:r w:rsidR="00F71CDE" w:rsidRPr="00AE2F5D">
        <w:t>larger metropolitan</w:t>
      </w:r>
      <w:r w:rsidR="00100DB0" w:rsidRPr="00AE2F5D">
        <w:t xml:space="preserve"> </w:t>
      </w:r>
      <w:r w:rsidR="00A821A7" w:rsidRPr="00AE2F5D">
        <w:t xml:space="preserve">high demand </w:t>
      </w:r>
      <w:r w:rsidR="00F71CDE" w:rsidRPr="00AE2F5D">
        <w:t>areas</w:t>
      </w:r>
      <w:r w:rsidR="00A821A7" w:rsidRPr="00AE2F5D">
        <w:t xml:space="preserve"> </w:t>
      </w:r>
    </w:p>
    <w:p w:rsidR="00032B06" w:rsidRPr="0088105B" w:rsidRDefault="00032B06" w:rsidP="006773D3">
      <w:pPr>
        <w:pStyle w:val="ListNumber"/>
        <w:numPr>
          <w:ilvl w:val="0"/>
          <w:numId w:val="6"/>
        </w:numPr>
        <w:rPr>
          <w:i/>
        </w:rPr>
      </w:pPr>
      <w:r w:rsidRPr="00AE2F5D">
        <w:t>Provid</w:t>
      </w:r>
      <w:r w:rsidR="00B462D6" w:rsidRPr="00AE2F5D">
        <w:t>ing</w:t>
      </w:r>
      <w:r w:rsidR="00100DB0" w:rsidRPr="00AE2F5D">
        <w:t xml:space="preserve"> a long term plan</w:t>
      </w:r>
      <w:r w:rsidRPr="00AE2F5D">
        <w:t xml:space="preserve"> </w:t>
      </w:r>
      <w:r w:rsidR="00A821A7" w:rsidRPr="00AE2F5D">
        <w:t>with</w:t>
      </w:r>
      <w:r w:rsidRPr="00AE2F5D">
        <w:t xml:space="preserve"> a certainty for investment </w:t>
      </w:r>
      <w:r w:rsidR="00B462D6" w:rsidRPr="00AE2F5D">
        <w:t>at</w:t>
      </w:r>
      <w:r w:rsidRPr="00AE2F5D">
        <w:t xml:space="preserve"> high value use of the spectrum as </w:t>
      </w:r>
      <w:r w:rsidR="00E617D2" w:rsidRPr="00AE2F5D">
        <w:t xml:space="preserve">spectrum </w:t>
      </w:r>
      <w:r w:rsidRPr="00AE2F5D">
        <w:t xml:space="preserve">allocation will be </w:t>
      </w:r>
      <w:r w:rsidR="00B462D6" w:rsidRPr="00AE2F5D">
        <w:t xml:space="preserve">done </w:t>
      </w:r>
      <w:r w:rsidR="00E617D2" w:rsidRPr="00AE2F5D">
        <w:t>simultaneously across the entire</w:t>
      </w:r>
      <w:r w:rsidRPr="00AE2F5D">
        <w:t xml:space="preserve"> areas</w:t>
      </w:r>
    </w:p>
    <w:p w:rsidR="00BE3628" w:rsidRDefault="00BE3628" w:rsidP="000846C9">
      <w:pPr>
        <w:pStyle w:val="ListNumber"/>
        <w:numPr>
          <w:ilvl w:val="0"/>
          <w:numId w:val="0"/>
        </w:numPr>
        <w:ind w:left="284"/>
      </w:pPr>
    </w:p>
    <w:p w:rsidR="000846C9" w:rsidRPr="000846C9" w:rsidRDefault="000846C9" w:rsidP="00420F48">
      <w:pPr>
        <w:pStyle w:val="ListNumber"/>
        <w:numPr>
          <w:ilvl w:val="0"/>
          <w:numId w:val="3"/>
        </w:numPr>
        <w:rPr>
          <w:b/>
        </w:rPr>
      </w:pPr>
      <w:r w:rsidRPr="000846C9">
        <w:rPr>
          <w:b/>
        </w:rPr>
        <w:t>Are there any other issues that affect the usability of an area-wide licence that should be taken into account when defining the licence area?</w:t>
      </w:r>
    </w:p>
    <w:p w:rsidR="000846C9" w:rsidRDefault="000846C9" w:rsidP="000846C9">
      <w:pPr>
        <w:pStyle w:val="ListNumber"/>
        <w:numPr>
          <w:ilvl w:val="0"/>
          <w:numId w:val="0"/>
        </w:numPr>
        <w:ind w:left="360"/>
        <w:rPr>
          <w:i/>
          <w:color w:val="0070C0"/>
        </w:rPr>
      </w:pPr>
    </w:p>
    <w:p w:rsidR="001E2B28" w:rsidRDefault="001E2B28" w:rsidP="00B06F2B">
      <w:pPr>
        <w:pStyle w:val="ListNumber"/>
        <w:numPr>
          <w:ilvl w:val="0"/>
          <w:numId w:val="0"/>
        </w:numPr>
        <w:ind w:left="360"/>
        <w:rPr>
          <w:u w:val="single"/>
          <w:lang w:val="en-US"/>
        </w:rPr>
      </w:pPr>
      <w:r w:rsidRPr="000B421C">
        <w:rPr>
          <w:u w:val="single"/>
          <w:lang w:val="en-US"/>
        </w:rPr>
        <w:t>Huawei’s response:</w:t>
      </w:r>
    </w:p>
    <w:p w:rsidR="00D50979" w:rsidRPr="00D13E40" w:rsidRDefault="00D50979" w:rsidP="00B06F2B">
      <w:pPr>
        <w:autoSpaceDE w:val="0"/>
        <w:autoSpaceDN w:val="0"/>
        <w:adjustRightInd w:val="0"/>
        <w:spacing w:before="0" w:after="0"/>
        <w:ind w:left="360"/>
        <w:rPr>
          <w:rFonts w:cs="Arial"/>
          <w:bCs/>
          <w:lang w:val="en-AU"/>
        </w:rPr>
      </w:pPr>
      <w:r w:rsidRPr="00D13E40">
        <w:rPr>
          <w:rFonts w:cs="Arial"/>
          <w:bCs/>
          <w:lang w:val="en-AU"/>
        </w:rPr>
        <w:t>ACMA</w:t>
      </w:r>
      <w:r w:rsidR="003D2143" w:rsidRPr="00D13E40">
        <w:rPr>
          <w:rFonts w:cs="Arial"/>
          <w:bCs/>
          <w:lang w:val="en-AU"/>
        </w:rPr>
        <w:t>’s</w:t>
      </w:r>
      <w:r w:rsidRPr="00D13E40">
        <w:rPr>
          <w:rFonts w:cs="Arial"/>
          <w:bCs/>
          <w:lang w:val="en-AU"/>
        </w:rPr>
        <w:t xml:space="preserve"> </w:t>
      </w:r>
      <w:r w:rsidR="003D2143" w:rsidRPr="00D13E40">
        <w:rPr>
          <w:rFonts w:cs="Arial"/>
          <w:bCs/>
          <w:lang w:val="en-AU"/>
        </w:rPr>
        <w:t>O</w:t>
      </w:r>
      <w:r w:rsidRPr="00D13E40">
        <w:rPr>
          <w:rFonts w:cs="Arial"/>
          <w:bCs/>
          <w:lang w:val="en-AU"/>
        </w:rPr>
        <w:t>ptions paper rightly identifies that the geographic extent of</w:t>
      </w:r>
      <w:r w:rsidR="0006339B" w:rsidRPr="00D13E40">
        <w:rPr>
          <w:rFonts w:cs="Arial"/>
          <w:bCs/>
          <w:lang w:val="en-AU"/>
        </w:rPr>
        <w:t xml:space="preserve"> dead zones can be considerable</w:t>
      </w:r>
      <w:r w:rsidRPr="00D13E40">
        <w:rPr>
          <w:rFonts w:cs="Arial"/>
          <w:bCs/>
          <w:lang w:val="en-AU"/>
        </w:rPr>
        <w:t xml:space="preserve"> and</w:t>
      </w:r>
      <w:r w:rsidR="0006339B" w:rsidRPr="00D13E40">
        <w:rPr>
          <w:rFonts w:cs="Arial"/>
          <w:bCs/>
          <w:lang w:val="en-AU"/>
        </w:rPr>
        <w:t>,</w:t>
      </w:r>
      <w:r w:rsidRPr="00D13E40">
        <w:rPr>
          <w:rFonts w:cs="Arial"/>
          <w:bCs/>
          <w:lang w:val="en-AU"/>
        </w:rPr>
        <w:t xml:space="preserve"> in our experience</w:t>
      </w:r>
      <w:r w:rsidR="0006339B" w:rsidRPr="00D13E40">
        <w:rPr>
          <w:rFonts w:cs="Arial"/>
          <w:bCs/>
          <w:lang w:val="en-AU"/>
        </w:rPr>
        <w:t>,</w:t>
      </w:r>
      <w:r w:rsidRPr="00D13E40">
        <w:rPr>
          <w:rFonts w:cs="Arial"/>
          <w:bCs/>
          <w:lang w:val="en-AU"/>
        </w:rPr>
        <w:t xml:space="preserve"> it is not always possible to implement mitigation techniques. At times networ</w:t>
      </w:r>
      <w:r w:rsidR="0006339B" w:rsidRPr="00D13E40">
        <w:rPr>
          <w:rFonts w:cs="Arial"/>
          <w:bCs/>
          <w:lang w:val="en-AU"/>
        </w:rPr>
        <w:t>k operators with an adjacency</w:t>
      </w:r>
      <w:r w:rsidRPr="00D13E40">
        <w:rPr>
          <w:rFonts w:cs="Arial"/>
          <w:bCs/>
          <w:lang w:val="en-AU"/>
        </w:rPr>
        <w:t xml:space="preserve"> do not reach an agreement on coordination at the boundary and hence they must revert to the baseline which is very restrictive. </w:t>
      </w:r>
    </w:p>
    <w:p w:rsidR="00D50979" w:rsidRPr="00D13E40" w:rsidRDefault="00D50979" w:rsidP="00B06F2B">
      <w:pPr>
        <w:autoSpaceDE w:val="0"/>
        <w:autoSpaceDN w:val="0"/>
        <w:adjustRightInd w:val="0"/>
        <w:spacing w:before="0" w:after="0"/>
        <w:ind w:left="360"/>
        <w:rPr>
          <w:rFonts w:cs="Arial"/>
          <w:bCs/>
          <w:lang w:val="en-AU"/>
        </w:rPr>
      </w:pPr>
    </w:p>
    <w:p w:rsidR="00D50979" w:rsidRPr="00D13E40" w:rsidRDefault="00D50979" w:rsidP="00B06F2B">
      <w:pPr>
        <w:autoSpaceDE w:val="0"/>
        <w:autoSpaceDN w:val="0"/>
        <w:adjustRightInd w:val="0"/>
        <w:spacing w:before="0" w:after="0"/>
        <w:ind w:left="360"/>
        <w:rPr>
          <w:rFonts w:cs="Arial"/>
          <w:bCs/>
          <w:color w:val="0033CC"/>
          <w:lang w:val="en-AU"/>
        </w:rPr>
      </w:pPr>
      <w:r w:rsidRPr="00D13E40">
        <w:rPr>
          <w:rFonts w:cs="Arial"/>
          <w:bCs/>
          <w:lang w:val="en-AU"/>
        </w:rPr>
        <w:t xml:space="preserve">Huawei considers dead zones </w:t>
      </w:r>
      <w:r w:rsidR="0006339B" w:rsidRPr="00D13E40">
        <w:rPr>
          <w:rFonts w:cs="Arial"/>
          <w:bCs/>
          <w:lang w:val="en-AU"/>
        </w:rPr>
        <w:t>to be a significant economic loss</w:t>
      </w:r>
      <w:r w:rsidRPr="00D13E40">
        <w:rPr>
          <w:rFonts w:cs="Arial"/>
          <w:bCs/>
          <w:lang w:val="en-AU"/>
        </w:rPr>
        <w:t xml:space="preserve"> and that the benefits of releasing spectrum regionally (in terms of flexibility) outweigh this loss. In practice, we expect that Australian operators are likely to</w:t>
      </w:r>
      <w:r w:rsidR="0006339B" w:rsidRPr="00D13E40">
        <w:rPr>
          <w:rFonts w:cs="Arial"/>
          <w:bCs/>
          <w:lang w:val="en-AU"/>
        </w:rPr>
        <w:t xml:space="preserve"> bid for spectrum in all regions,</w:t>
      </w:r>
      <w:r w:rsidRPr="00D13E40">
        <w:rPr>
          <w:rFonts w:cs="Arial"/>
          <w:bCs/>
          <w:lang w:val="en-AU"/>
        </w:rPr>
        <w:t xml:space="preserve"> hence the benefits of regional allocations will be limited. </w:t>
      </w:r>
      <w:r w:rsidRPr="00D13E40">
        <w:rPr>
          <w:rFonts w:cs="Arial"/>
          <w:bCs/>
          <w:color w:val="0033CC"/>
          <w:lang w:val="en-AU"/>
        </w:rPr>
        <w:t xml:space="preserve"> </w:t>
      </w:r>
    </w:p>
    <w:p w:rsidR="00193A89" w:rsidRPr="00D13E40" w:rsidRDefault="00193A89" w:rsidP="00B06F2B">
      <w:pPr>
        <w:autoSpaceDE w:val="0"/>
        <w:autoSpaceDN w:val="0"/>
        <w:adjustRightInd w:val="0"/>
        <w:spacing w:before="0" w:after="0"/>
        <w:ind w:left="360"/>
        <w:rPr>
          <w:rFonts w:cs="Arial"/>
          <w:bCs/>
          <w:color w:val="0033CC"/>
          <w:lang w:val="en-AU"/>
        </w:rPr>
      </w:pPr>
    </w:p>
    <w:p w:rsidR="00B462D6" w:rsidRPr="00D13E40" w:rsidRDefault="00FC28A1" w:rsidP="00B06F2B">
      <w:pPr>
        <w:autoSpaceDE w:val="0"/>
        <w:autoSpaceDN w:val="0"/>
        <w:adjustRightInd w:val="0"/>
        <w:spacing w:before="0" w:after="0"/>
        <w:ind w:left="360"/>
        <w:rPr>
          <w:rFonts w:cs="Arial"/>
          <w:bCs/>
          <w:color w:val="000000" w:themeColor="text1"/>
        </w:rPr>
      </w:pPr>
      <w:r w:rsidRPr="00D13E40">
        <w:rPr>
          <w:rFonts w:cs="Arial"/>
          <w:bCs/>
          <w:color w:val="000000" w:themeColor="text1"/>
        </w:rPr>
        <w:t xml:space="preserve">In general, </w:t>
      </w:r>
      <w:r w:rsidR="00A821A7" w:rsidRPr="00D13E40">
        <w:rPr>
          <w:rFonts w:cs="Arial"/>
          <w:bCs/>
          <w:color w:val="000000" w:themeColor="text1"/>
        </w:rPr>
        <w:t>Huawei will encourage</w:t>
      </w:r>
      <w:r w:rsidR="008B5236" w:rsidRPr="00D13E40">
        <w:rPr>
          <w:rFonts w:cs="Arial"/>
          <w:bCs/>
          <w:color w:val="000000" w:themeColor="text1"/>
        </w:rPr>
        <w:t xml:space="preserve"> the ACMA to c</w:t>
      </w:r>
      <w:r w:rsidR="000B1B73" w:rsidRPr="00D13E40">
        <w:rPr>
          <w:rFonts w:cs="Arial"/>
          <w:bCs/>
          <w:color w:val="000000" w:themeColor="text1"/>
        </w:rPr>
        <w:t xml:space="preserve">ontinue with </w:t>
      </w:r>
      <w:r w:rsidR="008B5236" w:rsidRPr="00D13E40">
        <w:rPr>
          <w:rFonts w:cs="Arial"/>
          <w:bCs/>
          <w:color w:val="000000" w:themeColor="text1"/>
        </w:rPr>
        <w:t xml:space="preserve">a </w:t>
      </w:r>
      <w:r w:rsidRPr="00D13E40">
        <w:rPr>
          <w:rFonts w:cs="Arial"/>
          <w:bCs/>
          <w:color w:val="000000" w:themeColor="text1"/>
        </w:rPr>
        <w:t xml:space="preserve">regular </w:t>
      </w:r>
      <w:r w:rsidR="008B5236" w:rsidRPr="00D13E40">
        <w:rPr>
          <w:rFonts w:cs="Arial"/>
          <w:bCs/>
          <w:color w:val="000000" w:themeColor="text1"/>
        </w:rPr>
        <w:t xml:space="preserve">review of </w:t>
      </w:r>
      <w:r w:rsidR="000B1B73" w:rsidRPr="00D13E40">
        <w:rPr>
          <w:rFonts w:cs="Arial"/>
          <w:bCs/>
          <w:color w:val="000000" w:themeColor="text1"/>
        </w:rPr>
        <w:t>the existing spectrum licensing technical framework</w:t>
      </w:r>
      <w:r w:rsidR="008B5236" w:rsidRPr="00D13E40">
        <w:rPr>
          <w:rFonts w:cs="Arial"/>
          <w:bCs/>
          <w:color w:val="000000" w:themeColor="text1"/>
        </w:rPr>
        <w:t xml:space="preserve"> </w:t>
      </w:r>
      <w:r w:rsidRPr="00D13E40">
        <w:rPr>
          <w:rFonts w:cs="Arial"/>
          <w:bCs/>
          <w:color w:val="000000" w:themeColor="text1"/>
        </w:rPr>
        <w:t xml:space="preserve">to propose changes </w:t>
      </w:r>
      <w:r w:rsidR="008B5236" w:rsidRPr="00D13E40">
        <w:rPr>
          <w:rFonts w:cs="Arial"/>
          <w:bCs/>
          <w:color w:val="000000" w:themeColor="text1"/>
        </w:rPr>
        <w:t>as required and when required for national constraints and international obligations.</w:t>
      </w:r>
    </w:p>
    <w:p w:rsidR="002F5045" w:rsidRPr="00D13E40" w:rsidRDefault="002F5045" w:rsidP="00B06F2B">
      <w:pPr>
        <w:autoSpaceDE w:val="0"/>
        <w:autoSpaceDN w:val="0"/>
        <w:adjustRightInd w:val="0"/>
        <w:spacing w:before="0" w:after="0"/>
        <w:ind w:left="360"/>
        <w:rPr>
          <w:rFonts w:cs="Arial"/>
          <w:bCs/>
          <w:color w:val="000000" w:themeColor="text1"/>
        </w:rPr>
      </w:pPr>
    </w:p>
    <w:p w:rsidR="00DA70A4" w:rsidRPr="00D13E40" w:rsidRDefault="00FC28A1" w:rsidP="00B06F2B">
      <w:pPr>
        <w:autoSpaceDE w:val="0"/>
        <w:autoSpaceDN w:val="0"/>
        <w:adjustRightInd w:val="0"/>
        <w:spacing w:before="0" w:after="0"/>
        <w:ind w:left="360"/>
        <w:rPr>
          <w:rFonts w:cs="Arial"/>
          <w:bCs/>
          <w:color w:val="000000" w:themeColor="text1"/>
        </w:rPr>
      </w:pPr>
      <w:r w:rsidRPr="00D13E40">
        <w:rPr>
          <w:rFonts w:cs="Arial"/>
          <w:bCs/>
          <w:color w:val="000000" w:themeColor="text1"/>
        </w:rPr>
        <w:t>As for this 3.6 GHz Time Division Duplex</w:t>
      </w:r>
      <w:r w:rsidR="002E3AC4" w:rsidRPr="00D13E40">
        <w:rPr>
          <w:rFonts w:cs="Arial"/>
          <w:bCs/>
          <w:color w:val="000000" w:themeColor="text1"/>
        </w:rPr>
        <w:t>ing</w:t>
      </w:r>
      <w:r w:rsidRPr="00D13E40">
        <w:rPr>
          <w:rFonts w:cs="Arial"/>
          <w:bCs/>
          <w:color w:val="000000" w:themeColor="text1"/>
        </w:rPr>
        <w:t xml:space="preserve"> (TDD) band, the ACMA may </w:t>
      </w:r>
      <w:r w:rsidR="000B1B73" w:rsidRPr="00D13E40">
        <w:rPr>
          <w:rFonts w:cs="Arial"/>
          <w:bCs/>
          <w:color w:val="000000" w:themeColor="text1"/>
        </w:rPr>
        <w:t xml:space="preserve">also </w:t>
      </w:r>
      <w:r w:rsidRPr="00D13E40">
        <w:rPr>
          <w:rFonts w:cs="Arial"/>
          <w:bCs/>
          <w:color w:val="000000" w:themeColor="text1"/>
        </w:rPr>
        <w:t xml:space="preserve">wish to </w:t>
      </w:r>
      <w:r w:rsidR="002F5045" w:rsidRPr="00D13E40">
        <w:rPr>
          <w:rFonts w:cs="Arial"/>
          <w:bCs/>
          <w:color w:val="000000" w:themeColor="text1"/>
        </w:rPr>
        <w:t>review</w:t>
      </w:r>
      <w:r w:rsidR="0073599A" w:rsidRPr="00D13E40">
        <w:rPr>
          <w:rFonts w:cs="Arial"/>
          <w:bCs/>
          <w:color w:val="000000" w:themeColor="text1"/>
        </w:rPr>
        <w:t xml:space="preserve"> 3GPP Band 43 (as well as Band 42) operating band parameters</w:t>
      </w:r>
      <w:r w:rsidR="00100DB0" w:rsidRPr="00D13E40">
        <w:rPr>
          <w:rFonts w:cs="Arial"/>
          <w:bCs/>
          <w:color w:val="000000" w:themeColor="text1"/>
        </w:rPr>
        <w:t>, including</w:t>
      </w:r>
      <w:r w:rsidR="0073599A" w:rsidRPr="00D13E40">
        <w:rPr>
          <w:rFonts w:cs="Arial"/>
          <w:bCs/>
          <w:color w:val="000000" w:themeColor="text1"/>
        </w:rPr>
        <w:t xml:space="preserve"> User Equipment (UE) specific and Base Station (BS) specific</w:t>
      </w:r>
      <w:r w:rsidR="006654E7" w:rsidRPr="00D13E40">
        <w:rPr>
          <w:rFonts w:cs="Arial"/>
          <w:bCs/>
          <w:color w:val="000000" w:themeColor="text1"/>
        </w:rPr>
        <w:t xml:space="preserve">, to add </w:t>
      </w:r>
      <w:r w:rsidR="002F5045" w:rsidRPr="00D13E40">
        <w:rPr>
          <w:rFonts w:cs="Arial"/>
          <w:bCs/>
          <w:color w:val="000000" w:themeColor="text1"/>
        </w:rPr>
        <w:t>and</w:t>
      </w:r>
      <w:r w:rsidR="006654E7" w:rsidRPr="00D13E40">
        <w:rPr>
          <w:rFonts w:cs="Arial"/>
          <w:bCs/>
          <w:color w:val="000000" w:themeColor="text1"/>
        </w:rPr>
        <w:t xml:space="preserve"> to </w:t>
      </w:r>
      <w:r w:rsidR="002F5045" w:rsidRPr="00D13E40">
        <w:rPr>
          <w:rFonts w:cs="Arial"/>
          <w:bCs/>
          <w:color w:val="000000" w:themeColor="text1"/>
        </w:rPr>
        <w:t xml:space="preserve">update </w:t>
      </w:r>
      <w:r w:rsidR="0073599A" w:rsidRPr="00D13E40">
        <w:rPr>
          <w:rFonts w:cs="Arial"/>
          <w:bCs/>
          <w:color w:val="000000" w:themeColor="text1"/>
        </w:rPr>
        <w:t>for national deployment requirements</w:t>
      </w:r>
      <w:r w:rsidR="00024E69" w:rsidRPr="00D13E40">
        <w:rPr>
          <w:rFonts w:cs="Arial"/>
          <w:bCs/>
          <w:color w:val="000000" w:themeColor="text1"/>
        </w:rPr>
        <w:t xml:space="preserve">. </w:t>
      </w:r>
      <w:r w:rsidR="00397CA9" w:rsidRPr="00D13E40">
        <w:rPr>
          <w:rFonts w:cs="Arial"/>
          <w:bCs/>
          <w:color w:val="000000" w:themeColor="text1"/>
        </w:rPr>
        <w:t>The ACMA may also wish to</w:t>
      </w:r>
      <w:r w:rsidR="00024E69" w:rsidRPr="00D13E40">
        <w:rPr>
          <w:rFonts w:cs="Arial"/>
          <w:bCs/>
          <w:color w:val="000000" w:themeColor="text1"/>
        </w:rPr>
        <w:t xml:space="preserve"> consider </w:t>
      </w:r>
      <w:r w:rsidR="00397CA9" w:rsidRPr="00D13E40">
        <w:rPr>
          <w:rFonts w:cs="Arial"/>
          <w:bCs/>
          <w:color w:val="000000" w:themeColor="text1"/>
        </w:rPr>
        <w:t xml:space="preserve">for its regulatory framework </w:t>
      </w:r>
      <w:r w:rsidR="00024E69" w:rsidRPr="00D13E40">
        <w:rPr>
          <w:rFonts w:cs="Arial"/>
          <w:bCs/>
          <w:color w:val="000000" w:themeColor="text1"/>
        </w:rPr>
        <w:t xml:space="preserve">innovations </w:t>
      </w:r>
      <w:r w:rsidR="00397CA9" w:rsidRPr="00D13E40">
        <w:rPr>
          <w:rFonts w:cs="Arial"/>
          <w:bCs/>
          <w:color w:val="000000" w:themeColor="text1"/>
        </w:rPr>
        <w:t xml:space="preserve">made by global </w:t>
      </w:r>
      <w:r w:rsidR="0073599A" w:rsidRPr="00D13E40">
        <w:rPr>
          <w:rFonts w:cs="Arial"/>
          <w:bCs/>
          <w:color w:val="000000" w:themeColor="text1"/>
        </w:rPr>
        <w:t>technical specification group</w:t>
      </w:r>
      <w:r w:rsidR="00397CA9" w:rsidRPr="00D13E40">
        <w:rPr>
          <w:rFonts w:cs="Arial"/>
          <w:bCs/>
          <w:color w:val="000000" w:themeColor="text1"/>
        </w:rPr>
        <w:t>s that have</w:t>
      </w:r>
      <w:r w:rsidR="0073599A" w:rsidRPr="00D13E40">
        <w:rPr>
          <w:rFonts w:cs="Arial"/>
          <w:bCs/>
          <w:color w:val="000000" w:themeColor="text1"/>
        </w:rPr>
        <w:t xml:space="preserve"> been completed </w:t>
      </w:r>
      <w:r w:rsidR="00024E69" w:rsidRPr="00D13E40">
        <w:rPr>
          <w:rFonts w:cs="Arial"/>
          <w:bCs/>
          <w:color w:val="000000" w:themeColor="text1"/>
        </w:rPr>
        <w:t xml:space="preserve">for </w:t>
      </w:r>
      <w:r w:rsidR="0073599A" w:rsidRPr="00D13E40">
        <w:rPr>
          <w:rFonts w:cs="Arial"/>
          <w:bCs/>
          <w:color w:val="000000" w:themeColor="text1"/>
        </w:rPr>
        <w:t>specification</w:t>
      </w:r>
      <w:r w:rsidR="002E3AC4" w:rsidRPr="00D13E40">
        <w:rPr>
          <w:rFonts w:cs="Arial"/>
          <w:bCs/>
          <w:color w:val="000000" w:themeColor="text1"/>
        </w:rPr>
        <w:t xml:space="preserve">s </w:t>
      </w:r>
      <w:r w:rsidR="00024E69" w:rsidRPr="00D13E40">
        <w:rPr>
          <w:rFonts w:cs="Arial"/>
          <w:bCs/>
          <w:color w:val="000000" w:themeColor="text1"/>
        </w:rPr>
        <w:t>required for</w:t>
      </w:r>
      <w:r w:rsidR="002E3AC4" w:rsidRPr="00D13E40">
        <w:rPr>
          <w:rFonts w:cs="Arial"/>
          <w:bCs/>
          <w:color w:val="000000" w:themeColor="text1"/>
        </w:rPr>
        <w:t xml:space="preserve"> end to end ecosystems and </w:t>
      </w:r>
      <w:r w:rsidR="000B1B73" w:rsidRPr="00D13E40">
        <w:rPr>
          <w:rFonts w:cs="Arial"/>
          <w:bCs/>
          <w:color w:val="000000" w:themeColor="text1"/>
        </w:rPr>
        <w:t>services</w:t>
      </w:r>
      <w:r w:rsidR="002E3AC4" w:rsidRPr="00D13E40">
        <w:rPr>
          <w:rFonts w:cs="Arial"/>
          <w:bCs/>
          <w:color w:val="000000" w:themeColor="text1"/>
        </w:rPr>
        <w:t>.</w:t>
      </w:r>
    </w:p>
    <w:p w:rsidR="00DA70A4" w:rsidRPr="00D13E40" w:rsidRDefault="00DA70A4" w:rsidP="00B06F2B">
      <w:pPr>
        <w:autoSpaceDE w:val="0"/>
        <w:autoSpaceDN w:val="0"/>
        <w:adjustRightInd w:val="0"/>
        <w:spacing w:before="0" w:after="0"/>
        <w:ind w:left="360"/>
        <w:rPr>
          <w:rFonts w:cs="Arial"/>
          <w:bCs/>
          <w:color w:val="000000" w:themeColor="text1"/>
        </w:rPr>
      </w:pPr>
    </w:p>
    <w:p w:rsidR="00F8499C" w:rsidRPr="00D13E40" w:rsidRDefault="00051EBC" w:rsidP="00B06F2B">
      <w:pPr>
        <w:autoSpaceDE w:val="0"/>
        <w:autoSpaceDN w:val="0"/>
        <w:adjustRightInd w:val="0"/>
        <w:spacing w:before="0" w:after="0"/>
        <w:ind w:left="360"/>
        <w:rPr>
          <w:rFonts w:cs="Arial"/>
          <w:bCs/>
          <w:color w:val="000000" w:themeColor="text1"/>
        </w:rPr>
      </w:pPr>
      <w:r w:rsidRPr="00D13E40">
        <w:rPr>
          <w:rFonts w:cs="Arial"/>
          <w:bCs/>
          <w:color w:val="000000" w:themeColor="text1"/>
        </w:rPr>
        <w:t xml:space="preserve">One of the benefits of </w:t>
      </w:r>
      <w:r w:rsidR="0042428B" w:rsidRPr="00D13E40">
        <w:rPr>
          <w:rFonts w:cs="Arial"/>
          <w:bCs/>
          <w:color w:val="000000" w:themeColor="text1"/>
        </w:rPr>
        <w:t xml:space="preserve">the </w:t>
      </w:r>
      <w:r w:rsidRPr="00D13E40">
        <w:rPr>
          <w:rFonts w:cs="Arial"/>
          <w:bCs/>
          <w:color w:val="000000" w:themeColor="text1"/>
        </w:rPr>
        <w:t>Time Divi</w:t>
      </w:r>
      <w:r w:rsidR="0042428B" w:rsidRPr="00D13E40">
        <w:rPr>
          <w:rFonts w:cs="Arial"/>
          <w:bCs/>
          <w:color w:val="000000" w:themeColor="text1"/>
        </w:rPr>
        <w:t>sion Duplex (TDD) Access scheme</w:t>
      </w:r>
      <w:r w:rsidRPr="00D13E40">
        <w:rPr>
          <w:rFonts w:cs="Arial"/>
          <w:bCs/>
          <w:color w:val="000000" w:themeColor="text1"/>
        </w:rPr>
        <w:t xml:space="preserve"> is </w:t>
      </w:r>
      <w:r w:rsidR="00F8499C" w:rsidRPr="00D13E40">
        <w:rPr>
          <w:rFonts w:cs="Arial"/>
          <w:bCs/>
          <w:color w:val="000000" w:themeColor="text1"/>
        </w:rPr>
        <w:t xml:space="preserve">an </w:t>
      </w:r>
      <w:r w:rsidR="00BB11DD" w:rsidRPr="00D13E40">
        <w:rPr>
          <w:rFonts w:cs="Arial"/>
          <w:bCs/>
          <w:color w:val="000000" w:themeColor="text1"/>
        </w:rPr>
        <w:t xml:space="preserve">adoption of </w:t>
      </w:r>
      <w:r w:rsidRPr="00D13E40">
        <w:rPr>
          <w:rFonts w:cs="Arial"/>
          <w:bCs/>
          <w:color w:val="000000" w:themeColor="text1"/>
        </w:rPr>
        <w:t xml:space="preserve">common synchronisation and alignment of Uplink/Downlink transmissions, which can be </w:t>
      </w:r>
      <w:r w:rsidR="00BB11DD" w:rsidRPr="00D13E40">
        <w:rPr>
          <w:rFonts w:cs="Arial"/>
          <w:bCs/>
          <w:color w:val="000000" w:themeColor="text1"/>
        </w:rPr>
        <w:t>implemented</w:t>
      </w:r>
      <w:r w:rsidRPr="00D13E40">
        <w:rPr>
          <w:rFonts w:cs="Arial"/>
          <w:bCs/>
          <w:color w:val="000000" w:themeColor="text1"/>
        </w:rPr>
        <w:t xml:space="preserve"> between operators in the same areas (that means</w:t>
      </w:r>
      <w:r w:rsidR="00BB11DD" w:rsidRPr="00D13E40">
        <w:rPr>
          <w:rFonts w:cs="Arial"/>
          <w:bCs/>
          <w:color w:val="000000" w:themeColor="text1"/>
        </w:rPr>
        <w:t>, this can be applied for</w:t>
      </w:r>
      <w:r w:rsidRPr="00D13E40">
        <w:rPr>
          <w:rFonts w:cs="Arial"/>
          <w:bCs/>
          <w:color w:val="000000" w:themeColor="text1"/>
        </w:rPr>
        <w:t xml:space="preserve"> a dead zone</w:t>
      </w:r>
      <w:r w:rsidR="00BB11DD" w:rsidRPr="00D13E40">
        <w:rPr>
          <w:rFonts w:cs="Arial"/>
          <w:bCs/>
          <w:color w:val="000000" w:themeColor="text1"/>
        </w:rPr>
        <w:t xml:space="preserve"> of</w:t>
      </w:r>
      <w:r w:rsidRPr="00D13E40">
        <w:rPr>
          <w:rFonts w:cs="Arial"/>
          <w:bCs/>
          <w:color w:val="000000" w:themeColor="text1"/>
        </w:rPr>
        <w:t xml:space="preserve"> geographical </w:t>
      </w:r>
      <w:r w:rsidR="00BB11DD" w:rsidRPr="00D13E40">
        <w:rPr>
          <w:rFonts w:cs="Arial"/>
          <w:bCs/>
          <w:color w:val="000000" w:themeColor="text1"/>
        </w:rPr>
        <w:t xml:space="preserve">boundary </w:t>
      </w:r>
      <w:r w:rsidR="0042428B" w:rsidRPr="00D13E40">
        <w:rPr>
          <w:rFonts w:cs="Arial"/>
          <w:bCs/>
          <w:color w:val="000000" w:themeColor="text1"/>
        </w:rPr>
        <w:t>area</w:t>
      </w:r>
      <w:r w:rsidRPr="00D13E40">
        <w:rPr>
          <w:rFonts w:cs="Arial"/>
          <w:bCs/>
          <w:color w:val="000000" w:themeColor="text1"/>
        </w:rPr>
        <w:t>)</w:t>
      </w:r>
      <w:r w:rsidR="0042428B" w:rsidRPr="00D13E40">
        <w:rPr>
          <w:rFonts w:cs="Arial"/>
          <w:bCs/>
          <w:color w:val="000000" w:themeColor="text1"/>
        </w:rPr>
        <w:t>.</w:t>
      </w:r>
      <w:r w:rsidRPr="00D13E40">
        <w:rPr>
          <w:rFonts w:cs="Arial"/>
          <w:bCs/>
          <w:color w:val="000000" w:themeColor="text1"/>
        </w:rPr>
        <w:t xml:space="preserve"> TDD allows for the maximum use of valuable spectrum </w:t>
      </w:r>
      <w:r w:rsidR="002E2B12" w:rsidRPr="00D13E40">
        <w:rPr>
          <w:rFonts w:cs="Arial"/>
          <w:bCs/>
          <w:color w:val="000000" w:themeColor="text1"/>
        </w:rPr>
        <w:t xml:space="preserve">resources, as it does not require guard bands within the band.  This benefit has </w:t>
      </w:r>
      <w:r w:rsidR="00F8499C" w:rsidRPr="00D13E40">
        <w:rPr>
          <w:rFonts w:cs="Arial"/>
          <w:bCs/>
          <w:color w:val="000000" w:themeColor="text1"/>
        </w:rPr>
        <w:t xml:space="preserve">already </w:t>
      </w:r>
      <w:r w:rsidR="002E2B12" w:rsidRPr="00D13E40">
        <w:rPr>
          <w:rFonts w:cs="Arial"/>
          <w:bCs/>
          <w:color w:val="000000" w:themeColor="text1"/>
        </w:rPr>
        <w:t>be</w:t>
      </w:r>
      <w:r w:rsidR="00F8499C" w:rsidRPr="00D13E40">
        <w:rPr>
          <w:rFonts w:cs="Arial"/>
          <w:bCs/>
          <w:color w:val="000000" w:themeColor="text1"/>
        </w:rPr>
        <w:t xml:space="preserve">en proven with today commercial </w:t>
      </w:r>
      <w:r w:rsidR="002E2B12" w:rsidRPr="00D13E40">
        <w:rPr>
          <w:rFonts w:cs="Arial"/>
          <w:bCs/>
          <w:color w:val="000000" w:themeColor="text1"/>
        </w:rPr>
        <w:t>TDD network</w:t>
      </w:r>
      <w:r w:rsidR="00BB11DD" w:rsidRPr="00D13E40">
        <w:rPr>
          <w:rFonts w:cs="Arial"/>
          <w:bCs/>
          <w:color w:val="000000" w:themeColor="text1"/>
        </w:rPr>
        <w:t xml:space="preserve">s. </w:t>
      </w:r>
    </w:p>
    <w:p w:rsidR="00CE72BB" w:rsidRPr="00D13E40" w:rsidRDefault="00CE72BB" w:rsidP="00B06F2B">
      <w:pPr>
        <w:autoSpaceDE w:val="0"/>
        <w:autoSpaceDN w:val="0"/>
        <w:adjustRightInd w:val="0"/>
        <w:spacing w:before="0" w:after="0"/>
        <w:ind w:left="360"/>
        <w:rPr>
          <w:rFonts w:cs="Arial"/>
          <w:bCs/>
          <w:color w:val="000000" w:themeColor="text1"/>
        </w:rPr>
      </w:pPr>
    </w:p>
    <w:p w:rsidR="00CE72BB" w:rsidRPr="00D13E40" w:rsidRDefault="00FB4881" w:rsidP="00B06F2B">
      <w:pPr>
        <w:autoSpaceDE w:val="0"/>
        <w:autoSpaceDN w:val="0"/>
        <w:adjustRightInd w:val="0"/>
        <w:spacing w:before="0" w:after="0"/>
        <w:ind w:left="360"/>
        <w:rPr>
          <w:rFonts w:cs="Arial"/>
          <w:bCs/>
          <w:color w:val="000000" w:themeColor="text1"/>
        </w:rPr>
      </w:pPr>
      <w:r w:rsidRPr="00D13E40">
        <w:rPr>
          <w:rFonts w:cs="Arial"/>
          <w:bCs/>
          <w:color w:val="000000" w:themeColor="text1"/>
        </w:rPr>
        <w:t xml:space="preserve">Additionally, </w:t>
      </w:r>
      <w:r w:rsidR="008B3F07" w:rsidRPr="00D13E40">
        <w:rPr>
          <w:rFonts w:cs="Arial"/>
          <w:bCs/>
          <w:color w:val="000000" w:themeColor="text1"/>
        </w:rPr>
        <w:t xml:space="preserve">beam forming and </w:t>
      </w:r>
      <w:r w:rsidR="00CE72BB" w:rsidRPr="00D13E40">
        <w:rPr>
          <w:rFonts w:cs="Arial"/>
          <w:bCs/>
          <w:color w:val="000000" w:themeColor="text1"/>
        </w:rPr>
        <w:t xml:space="preserve">massive Multiple </w:t>
      </w:r>
      <w:r w:rsidR="00E66CF0" w:rsidRPr="00D13E40">
        <w:rPr>
          <w:rFonts w:cs="Arial"/>
          <w:bCs/>
          <w:color w:val="000000" w:themeColor="text1"/>
        </w:rPr>
        <w:t>in</w:t>
      </w:r>
      <w:r w:rsidR="00CE72BB" w:rsidRPr="00D13E40">
        <w:rPr>
          <w:rFonts w:cs="Arial"/>
          <w:bCs/>
          <w:color w:val="000000" w:themeColor="text1"/>
        </w:rPr>
        <w:t xml:space="preserve"> Multiple </w:t>
      </w:r>
      <w:r w:rsidR="00E66CF0" w:rsidRPr="00D13E40">
        <w:rPr>
          <w:rFonts w:cs="Arial"/>
          <w:bCs/>
          <w:color w:val="000000" w:themeColor="text1"/>
        </w:rPr>
        <w:t>out</w:t>
      </w:r>
      <w:r w:rsidR="00CE72BB" w:rsidRPr="00D13E40">
        <w:rPr>
          <w:rFonts w:cs="Arial"/>
          <w:bCs/>
          <w:color w:val="000000" w:themeColor="text1"/>
        </w:rPr>
        <w:t xml:space="preserve"> (MIMO) technolog</w:t>
      </w:r>
      <w:r w:rsidR="008B3F07" w:rsidRPr="00D13E40">
        <w:rPr>
          <w:rFonts w:cs="Arial"/>
          <w:bCs/>
          <w:color w:val="000000" w:themeColor="text1"/>
        </w:rPr>
        <w:t>ies</w:t>
      </w:r>
      <w:r w:rsidR="00CE72BB" w:rsidRPr="00D13E40">
        <w:rPr>
          <w:rFonts w:cs="Arial"/>
          <w:bCs/>
          <w:color w:val="000000" w:themeColor="text1"/>
        </w:rPr>
        <w:t xml:space="preserve"> will effectively manage both interference and total emitted radio power</w:t>
      </w:r>
      <w:r w:rsidR="0042428B" w:rsidRPr="00D13E40">
        <w:rPr>
          <w:rFonts w:cs="Arial"/>
          <w:bCs/>
          <w:color w:val="000000" w:themeColor="text1"/>
        </w:rPr>
        <w:t>,</w:t>
      </w:r>
      <w:r w:rsidR="00CE72BB" w:rsidRPr="00D13E40">
        <w:rPr>
          <w:rFonts w:cs="Arial"/>
          <w:bCs/>
          <w:color w:val="000000" w:themeColor="text1"/>
        </w:rPr>
        <w:t xml:space="preserve"> thus achieving a smaller dead zone.</w:t>
      </w:r>
    </w:p>
    <w:p w:rsidR="000500A0" w:rsidRDefault="000500A0" w:rsidP="00B06F2B">
      <w:pPr>
        <w:autoSpaceDE w:val="0"/>
        <w:autoSpaceDN w:val="0"/>
        <w:adjustRightInd w:val="0"/>
        <w:spacing w:before="0" w:after="0"/>
        <w:ind w:left="360"/>
        <w:rPr>
          <w:rFonts w:cs="Arial"/>
          <w:bCs/>
          <w:i/>
          <w:color w:val="000000" w:themeColor="text1"/>
        </w:rPr>
      </w:pPr>
    </w:p>
    <w:p w:rsidR="00EC41A6" w:rsidRPr="00D13E40" w:rsidRDefault="00EC41A6" w:rsidP="00B06F2B">
      <w:pPr>
        <w:autoSpaceDE w:val="0"/>
        <w:autoSpaceDN w:val="0"/>
        <w:adjustRightInd w:val="0"/>
        <w:spacing w:before="0" w:after="0"/>
        <w:ind w:left="360"/>
        <w:jc w:val="left"/>
        <w:rPr>
          <w:rFonts w:cs="Arial"/>
          <w:bCs/>
        </w:rPr>
      </w:pPr>
      <w:r w:rsidRPr="00D13E40">
        <w:rPr>
          <w:rFonts w:cs="Arial"/>
          <w:bCs/>
        </w:rPr>
        <w:t xml:space="preserve">The other </w:t>
      </w:r>
      <w:r w:rsidR="00AD589F" w:rsidRPr="00D13E40">
        <w:rPr>
          <w:rFonts w:cs="Arial"/>
          <w:bCs/>
        </w:rPr>
        <w:t xml:space="preserve">feasible </w:t>
      </w:r>
      <w:r w:rsidRPr="00D13E40">
        <w:rPr>
          <w:rFonts w:cs="Arial"/>
          <w:bCs/>
        </w:rPr>
        <w:t>solution</w:t>
      </w:r>
      <w:r w:rsidR="00D640E4" w:rsidRPr="00D13E40">
        <w:rPr>
          <w:rFonts w:cs="Arial"/>
          <w:bCs/>
        </w:rPr>
        <w:t>,</w:t>
      </w:r>
      <w:r w:rsidRPr="00D13E40">
        <w:rPr>
          <w:rFonts w:cs="Arial"/>
          <w:bCs/>
        </w:rPr>
        <w:t xml:space="preserve"> which is </w:t>
      </w:r>
      <w:r w:rsidR="00AD589F" w:rsidRPr="00D13E40">
        <w:rPr>
          <w:rFonts w:cs="Arial"/>
          <w:bCs/>
        </w:rPr>
        <w:t xml:space="preserve">also </w:t>
      </w:r>
      <w:r w:rsidRPr="00D13E40">
        <w:rPr>
          <w:rFonts w:cs="Arial"/>
          <w:bCs/>
        </w:rPr>
        <w:t>o</w:t>
      </w:r>
      <w:r w:rsidR="002A3113" w:rsidRPr="00D13E40">
        <w:rPr>
          <w:rFonts w:cs="Arial"/>
          <w:bCs/>
        </w:rPr>
        <w:t>ne of the 5G New Radio (NR) technical specifications Huawei</w:t>
      </w:r>
      <w:r w:rsidR="00D640E4" w:rsidRPr="00D13E40">
        <w:rPr>
          <w:rFonts w:cs="Arial"/>
          <w:bCs/>
        </w:rPr>
        <w:t>’s</w:t>
      </w:r>
      <w:r w:rsidR="002A3113" w:rsidRPr="00D13E40">
        <w:rPr>
          <w:rFonts w:cs="Arial"/>
          <w:bCs/>
        </w:rPr>
        <w:t xml:space="preserve"> R&amp;D team has been working very closely with 3GPP and </w:t>
      </w:r>
      <w:r w:rsidR="001645F2" w:rsidRPr="00D13E40">
        <w:rPr>
          <w:rFonts w:cs="Arial"/>
          <w:bCs/>
        </w:rPr>
        <w:t xml:space="preserve">the </w:t>
      </w:r>
      <w:r w:rsidR="002A3113" w:rsidRPr="00D13E40">
        <w:rPr>
          <w:rFonts w:cs="Arial"/>
          <w:bCs/>
        </w:rPr>
        <w:t>industry</w:t>
      </w:r>
      <w:r w:rsidR="00D640E4" w:rsidRPr="00D13E40">
        <w:rPr>
          <w:rFonts w:cs="Arial"/>
          <w:bCs/>
        </w:rPr>
        <w:t xml:space="preserve"> in developing</w:t>
      </w:r>
      <w:r w:rsidR="002A3113" w:rsidRPr="00D13E40">
        <w:rPr>
          <w:rFonts w:cs="Arial"/>
          <w:bCs/>
        </w:rPr>
        <w:t xml:space="preserve">, is called “UL and DL decoupling”. </w:t>
      </w:r>
      <w:r w:rsidR="001645F2" w:rsidRPr="00D13E40">
        <w:rPr>
          <w:rFonts w:cs="Arial"/>
          <w:bCs/>
        </w:rPr>
        <w:t>Specifications of t</w:t>
      </w:r>
      <w:r w:rsidR="002A3113" w:rsidRPr="00D13E40">
        <w:rPr>
          <w:rFonts w:cs="Arial"/>
          <w:bCs/>
        </w:rPr>
        <w:t>his work item</w:t>
      </w:r>
      <w:r w:rsidR="001645F2" w:rsidRPr="00D13E40">
        <w:rPr>
          <w:rFonts w:cs="Arial"/>
          <w:bCs/>
        </w:rPr>
        <w:t xml:space="preserve"> are</w:t>
      </w:r>
      <w:r w:rsidR="006E5436" w:rsidRPr="00D13E40">
        <w:rPr>
          <w:rFonts w:cs="Arial"/>
          <w:bCs/>
        </w:rPr>
        <w:t xml:space="preserve"> now</w:t>
      </w:r>
      <w:r w:rsidR="002A3113" w:rsidRPr="00D13E40">
        <w:rPr>
          <w:rFonts w:cs="Arial"/>
          <w:bCs/>
        </w:rPr>
        <w:t xml:space="preserve"> included under </w:t>
      </w:r>
      <w:r w:rsidR="001645F2" w:rsidRPr="00D13E40">
        <w:rPr>
          <w:rFonts w:cs="Arial"/>
          <w:bCs/>
        </w:rPr>
        <w:t xml:space="preserve">3GPP </w:t>
      </w:r>
      <w:r w:rsidR="002A3113" w:rsidRPr="00D13E40">
        <w:rPr>
          <w:rFonts w:cs="Arial"/>
          <w:bCs/>
        </w:rPr>
        <w:t>Release 15</w:t>
      </w:r>
      <w:r w:rsidR="00D640E4" w:rsidRPr="00D13E40">
        <w:rPr>
          <w:rFonts w:cs="Arial"/>
          <w:bCs/>
        </w:rPr>
        <w:t>,</w:t>
      </w:r>
      <w:r w:rsidR="002A3113" w:rsidRPr="00D13E40">
        <w:rPr>
          <w:rFonts w:cs="Arial"/>
          <w:bCs/>
        </w:rPr>
        <w:t xml:space="preserve"> </w:t>
      </w:r>
      <w:r w:rsidR="006E5436" w:rsidRPr="00D13E40">
        <w:rPr>
          <w:rFonts w:cs="Arial"/>
          <w:bCs/>
        </w:rPr>
        <w:t>to be</w:t>
      </w:r>
      <w:r w:rsidR="001645F2" w:rsidRPr="00D13E40">
        <w:rPr>
          <w:rFonts w:cs="Arial"/>
          <w:bCs/>
        </w:rPr>
        <w:t xml:space="preserve"> a one of the</w:t>
      </w:r>
      <w:r w:rsidR="002A3113" w:rsidRPr="00D13E40">
        <w:rPr>
          <w:rFonts w:cs="Arial"/>
          <w:bCs/>
        </w:rPr>
        <w:t xml:space="preserve"> fundamental techniques </w:t>
      </w:r>
      <w:r w:rsidR="001645F2" w:rsidRPr="00D13E40">
        <w:rPr>
          <w:rFonts w:cs="Arial"/>
          <w:bCs/>
        </w:rPr>
        <w:t>f</w:t>
      </w:r>
      <w:r w:rsidR="002A3113" w:rsidRPr="00D13E40">
        <w:rPr>
          <w:rFonts w:cs="Arial"/>
          <w:bCs/>
        </w:rPr>
        <w:t xml:space="preserve">or NR. With this </w:t>
      </w:r>
      <w:r w:rsidR="001645F2" w:rsidRPr="00D13E40">
        <w:rPr>
          <w:rFonts w:cs="Arial"/>
          <w:bCs/>
        </w:rPr>
        <w:t>capability</w:t>
      </w:r>
      <w:r w:rsidR="002A3113" w:rsidRPr="00D13E40">
        <w:rPr>
          <w:rFonts w:cs="Arial"/>
          <w:bCs/>
        </w:rPr>
        <w:t xml:space="preserve">, </w:t>
      </w:r>
      <w:r w:rsidR="001645F2" w:rsidRPr="00D13E40">
        <w:rPr>
          <w:rFonts w:cs="Arial"/>
          <w:bCs/>
        </w:rPr>
        <w:t xml:space="preserve">as shown </w:t>
      </w:r>
      <w:r w:rsidR="00D640E4" w:rsidRPr="00D13E40">
        <w:rPr>
          <w:rFonts w:cs="Arial"/>
          <w:bCs/>
        </w:rPr>
        <w:t xml:space="preserve">in the </w:t>
      </w:r>
      <w:r w:rsidR="001645F2" w:rsidRPr="00D13E40">
        <w:rPr>
          <w:rFonts w:cs="Arial"/>
          <w:bCs/>
        </w:rPr>
        <w:t xml:space="preserve">below diagram, </w:t>
      </w:r>
      <w:r w:rsidR="002A3113" w:rsidRPr="00D13E40">
        <w:rPr>
          <w:rFonts w:cs="Arial"/>
          <w:bCs/>
        </w:rPr>
        <w:t>the</w:t>
      </w:r>
      <w:r w:rsidR="001645F2" w:rsidRPr="00D13E40">
        <w:rPr>
          <w:rFonts w:cs="Arial"/>
          <w:bCs/>
        </w:rPr>
        <w:t xml:space="preserve"> </w:t>
      </w:r>
      <w:r w:rsidR="002A3113" w:rsidRPr="00D13E40">
        <w:rPr>
          <w:rFonts w:cs="Arial"/>
          <w:bCs/>
        </w:rPr>
        <w:t>coverage of C</w:t>
      </w:r>
      <w:r w:rsidR="001645F2" w:rsidRPr="00D13E40">
        <w:rPr>
          <w:rFonts w:cs="Arial"/>
          <w:bCs/>
        </w:rPr>
        <w:t>-band (3.5 GHz and 3.6 GHz) will be extended by</w:t>
      </w:r>
      <w:r w:rsidR="00FB4881" w:rsidRPr="00D13E40">
        <w:rPr>
          <w:rFonts w:cs="Arial"/>
          <w:bCs/>
        </w:rPr>
        <w:t xml:space="preserve"> </w:t>
      </w:r>
      <w:r w:rsidR="006E5436" w:rsidRPr="00D13E40">
        <w:rPr>
          <w:rFonts w:cs="Arial"/>
          <w:bCs/>
        </w:rPr>
        <w:t>deploying</w:t>
      </w:r>
      <w:r w:rsidRPr="00D13E40">
        <w:rPr>
          <w:rFonts w:cs="Arial"/>
          <w:bCs/>
        </w:rPr>
        <w:t xml:space="preserve"> </w:t>
      </w:r>
      <w:r w:rsidR="001645F2" w:rsidRPr="00D13E40">
        <w:rPr>
          <w:rFonts w:cs="Arial"/>
          <w:bCs/>
        </w:rPr>
        <w:t>w</w:t>
      </w:r>
      <w:r w:rsidR="00FB4881" w:rsidRPr="00D13E40">
        <w:rPr>
          <w:rFonts w:cs="Arial"/>
          <w:bCs/>
        </w:rPr>
        <w:t xml:space="preserve">ith other </w:t>
      </w:r>
      <w:r w:rsidR="001645F2" w:rsidRPr="00D13E40">
        <w:rPr>
          <w:rFonts w:cs="Arial"/>
          <w:bCs/>
        </w:rPr>
        <w:t xml:space="preserve">5G NR </w:t>
      </w:r>
      <w:r w:rsidR="00FB4881" w:rsidRPr="00D13E40">
        <w:rPr>
          <w:rFonts w:cs="Arial"/>
          <w:bCs/>
        </w:rPr>
        <w:t>bands</w:t>
      </w:r>
      <w:r w:rsidR="001645F2" w:rsidRPr="00D13E40">
        <w:rPr>
          <w:rFonts w:cs="Arial"/>
          <w:bCs/>
        </w:rPr>
        <w:t xml:space="preserve"> such as 700 MHz and 1800 MHz.</w:t>
      </w:r>
      <w:r w:rsidR="006E5436" w:rsidRPr="00D13E40">
        <w:rPr>
          <w:rFonts w:cs="Arial"/>
          <w:bCs/>
        </w:rPr>
        <w:t xml:space="preserve"> This technique may be deployed by licensees at needed geographical locations including at the geographical boundary</w:t>
      </w:r>
      <w:r w:rsidR="00AD589F" w:rsidRPr="00D13E40">
        <w:rPr>
          <w:rFonts w:cs="Arial"/>
          <w:bCs/>
        </w:rPr>
        <w:t xml:space="preserve"> where</w:t>
      </w:r>
      <w:r w:rsidR="006E5436" w:rsidRPr="00D13E40">
        <w:rPr>
          <w:rFonts w:cs="Arial"/>
          <w:bCs/>
        </w:rPr>
        <w:t xml:space="preserve"> the coverage issue can be resolved. </w:t>
      </w:r>
      <w:r w:rsidR="00200BFA" w:rsidRPr="00D13E40">
        <w:rPr>
          <w:rFonts w:cs="Arial"/>
          <w:bCs/>
        </w:rPr>
        <w:t xml:space="preserve">(Reference: 3GPP Release 15 </w:t>
      </w:r>
      <w:r w:rsidR="00881EE6" w:rsidRPr="00D13E40">
        <w:rPr>
          <w:rFonts w:cs="Arial"/>
          <w:bCs/>
        </w:rPr>
        <w:t>studies and work items page</w:t>
      </w:r>
      <w:r w:rsidR="00200BFA" w:rsidRPr="00D13E40">
        <w:rPr>
          <w:rFonts w:cs="Arial"/>
          <w:bCs/>
        </w:rPr>
        <w:t>;</w:t>
      </w:r>
      <w:r w:rsidRPr="00D13E40">
        <w:rPr>
          <w:rFonts w:cs="Arial"/>
          <w:bCs/>
        </w:rPr>
        <w:t xml:space="preserve"> </w:t>
      </w:r>
      <w:hyperlink r:id="rId19" w:history="1">
        <w:r w:rsidRPr="00D13E40">
          <w:rPr>
            <w:rStyle w:val="Hyperlink"/>
            <w:rFonts w:cs="Arial"/>
            <w:bCs/>
          </w:rPr>
          <w:t>http://www.3gpp.org/release-15</w:t>
        </w:r>
      </w:hyperlink>
      <w:r w:rsidRPr="00D13E40">
        <w:rPr>
          <w:rFonts w:cs="Arial"/>
          <w:bCs/>
        </w:rPr>
        <w:t>)</w:t>
      </w:r>
      <w:r w:rsidR="006E5436" w:rsidRPr="00D13E40">
        <w:rPr>
          <w:rFonts w:cs="Arial"/>
          <w:bCs/>
        </w:rPr>
        <w:t xml:space="preserve"> </w:t>
      </w:r>
    </w:p>
    <w:p w:rsidR="006E5436" w:rsidRDefault="006E5436" w:rsidP="0088105B">
      <w:pPr>
        <w:autoSpaceDE w:val="0"/>
        <w:autoSpaceDN w:val="0"/>
        <w:adjustRightInd w:val="0"/>
        <w:spacing w:before="0" w:after="0"/>
        <w:ind w:left="426"/>
        <w:rPr>
          <w:rFonts w:cs="Arial"/>
          <w:bCs/>
          <w:i/>
          <w:color w:val="0033CC"/>
        </w:rPr>
      </w:pPr>
    </w:p>
    <w:p w:rsidR="002A3113" w:rsidRPr="00FB4881" w:rsidRDefault="002A3113" w:rsidP="0088105B">
      <w:pPr>
        <w:autoSpaceDE w:val="0"/>
        <w:autoSpaceDN w:val="0"/>
        <w:adjustRightInd w:val="0"/>
        <w:spacing w:before="0" w:after="0"/>
        <w:ind w:left="426"/>
        <w:rPr>
          <w:rFonts w:cs="Arial"/>
          <w:bCs/>
          <w:i/>
          <w:color w:val="0033CC"/>
        </w:rPr>
      </w:pPr>
      <w:r>
        <w:rPr>
          <w:rFonts w:cs="Arial"/>
          <w:bCs/>
          <w:i/>
          <w:noProof/>
          <w:color w:val="0033CC"/>
          <w:lang w:eastAsia="en-GB"/>
        </w:rPr>
        <w:drawing>
          <wp:inline distT="0" distB="0" distL="0" distR="0">
            <wp:extent cx="5560484" cy="2827866"/>
            <wp:effectExtent l="19050" t="0" r="2116"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568113" cy="2831746"/>
                    </a:xfrm>
                    <a:prstGeom prst="rect">
                      <a:avLst/>
                    </a:prstGeom>
                    <a:noFill/>
                    <a:ln w="9525">
                      <a:noFill/>
                      <a:miter lim="800000"/>
                      <a:headEnd/>
                      <a:tailEnd/>
                    </a:ln>
                  </pic:spPr>
                </pic:pic>
              </a:graphicData>
            </a:graphic>
          </wp:inline>
        </w:drawing>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If point-to-point licences are affected by replanning activities in the 3.6 GHz band, are the options identified for point-to-point licences suitable? Are there any alternative options that should be considered?</w:t>
      </w:r>
    </w:p>
    <w:p w:rsidR="00F41461" w:rsidRPr="00B06F2B" w:rsidRDefault="00F41461" w:rsidP="000846C9">
      <w:pPr>
        <w:pStyle w:val="ListNumber"/>
        <w:numPr>
          <w:ilvl w:val="0"/>
          <w:numId w:val="0"/>
        </w:numPr>
        <w:ind w:left="360"/>
        <w:rPr>
          <w:color w:val="000000" w:themeColor="text1"/>
        </w:rPr>
      </w:pPr>
    </w:p>
    <w:p w:rsidR="001E2B28" w:rsidRDefault="001E2B28" w:rsidP="000846C9">
      <w:pPr>
        <w:pStyle w:val="ListNumber"/>
        <w:numPr>
          <w:ilvl w:val="0"/>
          <w:numId w:val="0"/>
        </w:numPr>
        <w:ind w:left="360"/>
        <w:rPr>
          <w:u w:val="single"/>
          <w:lang w:val="en-US"/>
        </w:rPr>
      </w:pPr>
      <w:r w:rsidRPr="000B421C">
        <w:rPr>
          <w:u w:val="single"/>
          <w:lang w:val="en-US"/>
        </w:rPr>
        <w:t>Huawei’s response:</w:t>
      </w:r>
    </w:p>
    <w:p w:rsidR="000846C9" w:rsidRPr="00D13E40" w:rsidRDefault="00F42C5A" w:rsidP="000846C9">
      <w:pPr>
        <w:pStyle w:val="ListNumber"/>
        <w:numPr>
          <w:ilvl w:val="0"/>
          <w:numId w:val="0"/>
        </w:numPr>
        <w:ind w:left="360"/>
      </w:pPr>
      <w:r w:rsidRPr="00D13E40">
        <w:t xml:space="preserve">The options identified for point-to-point licences are suitable. It is noted that there are only a small number of point-to-point licences and mostly are located in regional areas of Australia. For dense area new </w:t>
      </w:r>
      <w:proofErr w:type="spellStart"/>
      <w:r w:rsidRPr="00D13E40">
        <w:t>MBB</w:t>
      </w:r>
      <w:proofErr w:type="spellEnd"/>
      <w:r w:rsidRPr="00D13E40">
        <w:t xml:space="preserve"> deployment,</w:t>
      </w:r>
      <w:r w:rsidR="00785D28" w:rsidRPr="00D13E40">
        <w:t xml:space="preserve"> reallocation</w:t>
      </w:r>
      <w:r w:rsidRPr="00D13E40">
        <w:t xml:space="preserve"> </w:t>
      </w:r>
      <w:r w:rsidR="000F2E9B">
        <w:t>of</w:t>
      </w:r>
      <w:r w:rsidRPr="00D13E40">
        <w:t xml:space="preserve"> point-to-point service is necessary.   </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Is the 5.6 GHz band a viable option for wireless broadband systems?</w:t>
      </w:r>
    </w:p>
    <w:p w:rsidR="0088105B" w:rsidRPr="00B06F2B" w:rsidRDefault="0088105B" w:rsidP="00B06F2B">
      <w:pPr>
        <w:pStyle w:val="ListNumber"/>
        <w:numPr>
          <w:ilvl w:val="0"/>
          <w:numId w:val="0"/>
        </w:numPr>
        <w:ind w:left="360"/>
      </w:pPr>
    </w:p>
    <w:p w:rsidR="001E2B28" w:rsidRDefault="001E2B28" w:rsidP="00933F0B">
      <w:pPr>
        <w:pStyle w:val="ListNumber"/>
        <w:numPr>
          <w:ilvl w:val="0"/>
          <w:numId w:val="0"/>
        </w:numPr>
        <w:ind w:left="426"/>
        <w:rPr>
          <w:u w:val="single"/>
          <w:lang w:val="en-US"/>
        </w:rPr>
      </w:pPr>
      <w:r w:rsidRPr="000B421C">
        <w:rPr>
          <w:u w:val="single"/>
          <w:lang w:val="en-US"/>
        </w:rPr>
        <w:t>Huawei’s response:</w:t>
      </w:r>
    </w:p>
    <w:p w:rsidR="00933F0B" w:rsidRPr="00D13E40" w:rsidRDefault="00933F0B" w:rsidP="00933F0B">
      <w:pPr>
        <w:pStyle w:val="ListNumber"/>
        <w:numPr>
          <w:ilvl w:val="0"/>
          <w:numId w:val="0"/>
        </w:numPr>
        <w:ind w:left="426"/>
      </w:pPr>
      <w:r w:rsidRPr="00D13E40">
        <w:t>Huawei will not comment on this question.</w:t>
      </w:r>
    </w:p>
    <w:p w:rsidR="00360D5C" w:rsidRDefault="00360D5C" w:rsidP="00B06F2B">
      <w:pPr>
        <w:pStyle w:val="ListNumber"/>
        <w:numPr>
          <w:ilvl w:val="0"/>
          <w:numId w:val="0"/>
        </w:numPr>
        <w:ind w:left="360"/>
      </w:pPr>
    </w:p>
    <w:p w:rsidR="00107DB2" w:rsidRDefault="00107DB2">
      <w:pPr>
        <w:spacing w:before="0" w:after="200" w:line="276" w:lineRule="auto"/>
        <w:ind w:left="0"/>
        <w:jc w:val="left"/>
        <w:rPr>
          <w:b/>
          <w:kern w:val="0"/>
          <w:szCs w:val="24"/>
          <w:lang w:val="en-AU" w:eastAsia="en-AU"/>
        </w:rPr>
      </w:pPr>
      <w:r>
        <w:rPr>
          <w:b/>
        </w:rPr>
        <w:br w:type="page"/>
      </w:r>
    </w:p>
    <w:p w:rsidR="000846C9" w:rsidRPr="000846C9" w:rsidRDefault="000846C9" w:rsidP="00420F48">
      <w:pPr>
        <w:pStyle w:val="ListNumber"/>
        <w:numPr>
          <w:ilvl w:val="0"/>
          <w:numId w:val="3"/>
        </w:numPr>
        <w:rPr>
          <w:b/>
        </w:rPr>
      </w:pPr>
      <w:r w:rsidRPr="000846C9">
        <w:rPr>
          <w:b/>
        </w:rPr>
        <w:t>Under what circumstances should apparatus- and class-licensed arrangements be considered for the 5.6 GHz band?</w:t>
      </w:r>
    </w:p>
    <w:p w:rsidR="00933F0B" w:rsidRDefault="00933F0B" w:rsidP="00B06F2B">
      <w:pPr>
        <w:pStyle w:val="ListNumber"/>
        <w:numPr>
          <w:ilvl w:val="0"/>
          <w:numId w:val="0"/>
        </w:numPr>
        <w:ind w:left="360"/>
        <w:rPr>
          <w:i/>
        </w:rPr>
      </w:pPr>
    </w:p>
    <w:p w:rsidR="001E2B28" w:rsidRDefault="001E2B28" w:rsidP="00933F0B">
      <w:pPr>
        <w:pStyle w:val="ListNumber"/>
        <w:numPr>
          <w:ilvl w:val="0"/>
          <w:numId w:val="0"/>
        </w:numPr>
        <w:ind w:left="426"/>
        <w:rPr>
          <w:u w:val="single"/>
          <w:lang w:val="en-US"/>
        </w:rPr>
      </w:pPr>
      <w:r w:rsidRPr="000B421C">
        <w:rPr>
          <w:u w:val="single"/>
          <w:lang w:val="en-US"/>
        </w:rPr>
        <w:t>Huawei’s response:</w:t>
      </w:r>
    </w:p>
    <w:p w:rsidR="00933F0B" w:rsidRPr="00D13E40" w:rsidRDefault="00933F0B" w:rsidP="00933F0B">
      <w:pPr>
        <w:pStyle w:val="ListNumber"/>
        <w:numPr>
          <w:ilvl w:val="0"/>
          <w:numId w:val="0"/>
        </w:numPr>
        <w:ind w:left="426"/>
      </w:pPr>
      <w:r w:rsidRPr="00D13E40">
        <w:t>Huawei will not comment on this question.</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If apparatus licensing arrangements are developed for wireless broadband systems in the 5.6 GHz band, are the notional arrangements proposed in Appendix 3 suitable?</w:t>
      </w:r>
    </w:p>
    <w:p w:rsidR="00933F0B" w:rsidRDefault="00933F0B" w:rsidP="00933F0B">
      <w:pPr>
        <w:pStyle w:val="ListNumber"/>
        <w:numPr>
          <w:ilvl w:val="0"/>
          <w:numId w:val="0"/>
        </w:numPr>
        <w:ind w:left="426"/>
        <w:rPr>
          <w:i/>
        </w:rPr>
      </w:pPr>
    </w:p>
    <w:p w:rsidR="001E2B28" w:rsidRDefault="001E2B28" w:rsidP="00933F0B">
      <w:pPr>
        <w:pStyle w:val="ListNumber"/>
        <w:numPr>
          <w:ilvl w:val="0"/>
          <w:numId w:val="0"/>
        </w:numPr>
        <w:ind w:left="426"/>
        <w:rPr>
          <w:u w:val="single"/>
          <w:lang w:val="en-US"/>
        </w:rPr>
      </w:pPr>
      <w:r w:rsidRPr="000B421C">
        <w:rPr>
          <w:u w:val="single"/>
          <w:lang w:val="en-US"/>
        </w:rPr>
        <w:t>Huawei’s response:</w:t>
      </w:r>
    </w:p>
    <w:p w:rsidR="00933F0B" w:rsidRPr="00D13E40" w:rsidRDefault="00933F0B" w:rsidP="00933F0B">
      <w:pPr>
        <w:pStyle w:val="ListNumber"/>
        <w:numPr>
          <w:ilvl w:val="0"/>
          <w:numId w:val="0"/>
        </w:numPr>
        <w:ind w:left="426"/>
      </w:pPr>
      <w:r w:rsidRPr="00D13E40">
        <w:t>Huawei will not comment on this question.</w:t>
      </w:r>
    </w:p>
    <w:p w:rsidR="00360D5C" w:rsidRDefault="00360D5C"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If point-to-multipoint licences are affected by replanning activities in the 3.6 GHz band, are the alternative options identified suitable? Are there any alternative options that should be considered?</w:t>
      </w:r>
    </w:p>
    <w:p w:rsidR="00933F0B" w:rsidRDefault="00933F0B" w:rsidP="000846C9">
      <w:pPr>
        <w:pStyle w:val="ListNumber"/>
        <w:numPr>
          <w:ilvl w:val="0"/>
          <w:numId w:val="0"/>
        </w:numPr>
        <w:ind w:left="360"/>
        <w:rPr>
          <w:i/>
          <w:color w:val="0070C0"/>
        </w:rPr>
      </w:pPr>
    </w:p>
    <w:p w:rsidR="001E2B28" w:rsidRDefault="001E2B28" w:rsidP="000846C9">
      <w:pPr>
        <w:pStyle w:val="ListNumber"/>
        <w:numPr>
          <w:ilvl w:val="0"/>
          <w:numId w:val="0"/>
        </w:numPr>
        <w:ind w:left="360"/>
        <w:rPr>
          <w:u w:val="single"/>
          <w:lang w:val="en-US"/>
        </w:rPr>
      </w:pPr>
      <w:r w:rsidRPr="000B421C">
        <w:rPr>
          <w:u w:val="single"/>
          <w:lang w:val="en-US"/>
        </w:rPr>
        <w:t>Huawei’s response:</w:t>
      </w:r>
    </w:p>
    <w:p w:rsidR="000846C9" w:rsidRPr="00753209" w:rsidRDefault="00933F0B" w:rsidP="000846C9">
      <w:pPr>
        <w:pStyle w:val="ListNumber"/>
        <w:numPr>
          <w:ilvl w:val="0"/>
          <w:numId w:val="0"/>
        </w:numPr>
        <w:ind w:left="360"/>
        <w:rPr>
          <w:color w:val="0070C0"/>
        </w:rPr>
      </w:pPr>
      <w:r w:rsidRPr="00753209">
        <w:t>Huawei will not comment on this question.</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The ACMA seeks comment on the suitability of the current west coast earth station protection zone located near Mingenew, WA, for long-term satellite service use. Are the current regulatory arrangements effective?</w:t>
      </w:r>
    </w:p>
    <w:p w:rsidR="00F41461" w:rsidRDefault="00F41461" w:rsidP="000846C9">
      <w:pPr>
        <w:pStyle w:val="ListNumber"/>
        <w:numPr>
          <w:ilvl w:val="0"/>
          <w:numId w:val="0"/>
        </w:numPr>
        <w:ind w:left="360"/>
        <w:rPr>
          <w:i/>
          <w:color w:val="000000" w:themeColor="text1"/>
        </w:rPr>
      </w:pPr>
    </w:p>
    <w:p w:rsidR="00677D27" w:rsidRPr="00677D27" w:rsidRDefault="00677D27" w:rsidP="000846C9">
      <w:pPr>
        <w:pStyle w:val="ListNumber"/>
        <w:numPr>
          <w:ilvl w:val="0"/>
          <w:numId w:val="0"/>
        </w:numPr>
        <w:ind w:left="360"/>
        <w:rPr>
          <w:color w:val="000000" w:themeColor="text1"/>
        </w:rPr>
      </w:pPr>
      <w:r w:rsidRPr="00677D27">
        <w:rPr>
          <w:color w:val="000000" w:themeColor="text1"/>
          <w:u w:val="single"/>
        </w:rPr>
        <w:t>Huawei’s response</w:t>
      </w:r>
      <w:r w:rsidRPr="00677D27">
        <w:rPr>
          <w:color w:val="000000" w:themeColor="text1"/>
        </w:rPr>
        <w:t>:</w:t>
      </w:r>
    </w:p>
    <w:p w:rsidR="000846C9" w:rsidRPr="00B06F2B" w:rsidRDefault="003346E8" w:rsidP="000846C9">
      <w:pPr>
        <w:pStyle w:val="ListNumber"/>
        <w:numPr>
          <w:ilvl w:val="0"/>
          <w:numId w:val="0"/>
        </w:numPr>
        <w:ind w:left="360"/>
      </w:pPr>
      <w:r w:rsidRPr="00677D27">
        <w:t xml:space="preserve">Huawei supports the ACMA’s </w:t>
      </w:r>
      <w:r w:rsidR="005A0644" w:rsidRPr="00677D27">
        <w:t xml:space="preserve">effective </w:t>
      </w:r>
      <w:r w:rsidRPr="00677D27">
        <w:t xml:space="preserve">proposal of </w:t>
      </w:r>
      <w:r w:rsidR="00A0235C" w:rsidRPr="00677D27">
        <w:t xml:space="preserve">relocating the </w:t>
      </w:r>
      <w:r w:rsidRPr="00677D27">
        <w:t xml:space="preserve">FSS </w:t>
      </w:r>
      <w:r w:rsidR="005A0644" w:rsidRPr="00677D27">
        <w:t xml:space="preserve">earth stations in </w:t>
      </w:r>
      <w:r w:rsidR="001209A3" w:rsidRPr="00677D27">
        <w:t>Western Au</w:t>
      </w:r>
      <w:r w:rsidR="005A0644" w:rsidRPr="00677D27">
        <w:t>stralia</w:t>
      </w:r>
      <w:r w:rsidR="00785D28" w:rsidRPr="00677D27">
        <w:t xml:space="preserve"> </w:t>
      </w:r>
      <w:r w:rsidR="00A0235C" w:rsidRPr="00677D27">
        <w:t>to the area</w:t>
      </w:r>
      <w:r w:rsidR="005A0644" w:rsidRPr="00677D27">
        <w:t xml:space="preserve"> around Mingenew</w:t>
      </w:r>
      <w:r w:rsidR="001209A3" w:rsidRPr="00677D27">
        <w:t xml:space="preserve"> where</w:t>
      </w:r>
      <w:r w:rsidR="005A0644" w:rsidRPr="00677D27">
        <w:t xml:space="preserve"> an earth station protection zone</w:t>
      </w:r>
      <w:r w:rsidR="001209A3" w:rsidRPr="00677D27">
        <w:t xml:space="preserve"> has b</w:t>
      </w:r>
      <w:r w:rsidR="00785D28" w:rsidRPr="00677D27">
        <w:t xml:space="preserve">een established. This </w:t>
      </w:r>
      <w:r w:rsidR="001209A3" w:rsidRPr="00677D27">
        <w:t>arrangement will</w:t>
      </w:r>
      <w:r w:rsidR="005A0644" w:rsidRPr="00677D27">
        <w:t xml:space="preserve"> provide </w:t>
      </w:r>
      <w:r w:rsidR="001209A3" w:rsidRPr="00677D27">
        <w:t xml:space="preserve">a </w:t>
      </w:r>
      <w:r w:rsidR="005A0644" w:rsidRPr="00677D27">
        <w:t xml:space="preserve">long-term certainty for space and satellite operations </w:t>
      </w:r>
      <w:r w:rsidR="001209A3" w:rsidRPr="00677D27">
        <w:t>while</w:t>
      </w:r>
      <w:r w:rsidR="005A0644" w:rsidRPr="00677D27">
        <w:t xml:space="preserve"> </w:t>
      </w:r>
      <w:r w:rsidR="001209A3" w:rsidRPr="00677D27">
        <w:t>freeing up</w:t>
      </w:r>
      <w:r w:rsidR="005A0644" w:rsidRPr="00677D27">
        <w:t xml:space="preserve"> new MBB services in </w:t>
      </w:r>
      <w:r w:rsidR="001209A3" w:rsidRPr="00677D27">
        <w:t xml:space="preserve">highly </w:t>
      </w:r>
      <w:r w:rsidR="005A0644" w:rsidRPr="00677D27">
        <w:t>populated areas.</w:t>
      </w:r>
      <w:r w:rsidR="005A0644" w:rsidRPr="00B06F2B">
        <w:t xml:space="preserve">  </w:t>
      </w:r>
    </w:p>
    <w:p w:rsidR="000846C9" w:rsidRPr="00B06F2B"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 xml:space="preserve">In the event FSS earth stations are affected by replanning activities in the 3.6 GHz band, the ACMA seeks comment on: </w:t>
      </w:r>
    </w:p>
    <w:p w:rsidR="000846C9" w:rsidRDefault="000846C9" w:rsidP="00420F48">
      <w:pPr>
        <w:pStyle w:val="ListNumber2"/>
        <w:numPr>
          <w:ilvl w:val="0"/>
          <w:numId w:val="5"/>
        </w:numPr>
        <w:rPr>
          <w:b/>
        </w:rPr>
      </w:pPr>
      <w:r w:rsidRPr="000846C9">
        <w:rPr>
          <w:b/>
        </w:rPr>
        <w:t>Any issues surrounding the development and establishment of an east coast earth station protection zone; particularly on what factors would be necessary to make it an attractive option for earth station operations.</w:t>
      </w:r>
    </w:p>
    <w:p w:rsidR="00A77B55" w:rsidRDefault="00A77B55" w:rsidP="00A77B55">
      <w:pPr>
        <w:pStyle w:val="ListNumber2"/>
        <w:numPr>
          <w:ilvl w:val="0"/>
          <w:numId w:val="0"/>
        </w:numPr>
        <w:ind w:left="643"/>
        <w:rPr>
          <w:b/>
        </w:rPr>
      </w:pPr>
    </w:p>
    <w:p w:rsidR="001E2B28" w:rsidRDefault="001E2B28" w:rsidP="001E2B28">
      <w:pPr>
        <w:pStyle w:val="ListNumber"/>
        <w:numPr>
          <w:ilvl w:val="0"/>
          <w:numId w:val="0"/>
        </w:numPr>
        <w:ind w:left="643"/>
        <w:rPr>
          <w:u w:val="single"/>
          <w:lang w:val="en-US"/>
        </w:rPr>
      </w:pPr>
      <w:r w:rsidRPr="000B421C">
        <w:rPr>
          <w:u w:val="single"/>
          <w:lang w:val="en-US"/>
        </w:rPr>
        <w:t>Huawei’s response:</w:t>
      </w:r>
    </w:p>
    <w:p w:rsidR="00D90E5D" w:rsidRPr="00753209" w:rsidRDefault="00D65A24" w:rsidP="00D65A24">
      <w:pPr>
        <w:pStyle w:val="ListNumber2"/>
        <w:numPr>
          <w:ilvl w:val="0"/>
          <w:numId w:val="0"/>
        </w:numPr>
        <w:ind w:left="643"/>
        <w:jc w:val="left"/>
      </w:pPr>
      <w:r w:rsidRPr="00753209">
        <w:t>A</w:t>
      </w:r>
      <w:r w:rsidR="00D90E5D" w:rsidRPr="00753209">
        <w:t xml:space="preserve"> </w:t>
      </w:r>
      <w:r w:rsidR="00A77B55" w:rsidRPr="00753209">
        <w:t xml:space="preserve">practical solution for </w:t>
      </w:r>
      <w:r w:rsidR="00D90E5D" w:rsidRPr="00753209">
        <w:t>earth station</w:t>
      </w:r>
      <w:r w:rsidR="00161968" w:rsidRPr="00753209">
        <w:t xml:space="preserve"> operation is</w:t>
      </w:r>
      <w:r w:rsidR="00D90E5D" w:rsidRPr="00753209">
        <w:t xml:space="preserve"> important</w:t>
      </w:r>
      <w:r w:rsidR="00A77B55" w:rsidRPr="00753209">
        <w:t xml:space="preserve"> in order to </w:t>
      </w:r>
      <w:r w:rsidR="002078B0" w:rsidRPr="00753209">
        <w:t xml:space="preserve">swiftly </w:t>
      </w:r>
      <w:r w:rsidR="00A77B55" w:rsidRPr="00753209">
        <w:t xml:space="preserve">progress </w:t>
      </w:r>
      <w:r w:rsidR="00E949C0" w:rsidRPr="00753209">
        <w:t>the</w:t>
      </w:r>
      <w:r w:rsidR="00A77B55" w:rsidRPr="00753209">
        <w:t xml:space="preserve"> deployment of new</w:t>
      </w:r>
      <w:r w:rsidR="002078B0" w:rsidRPr="00753209">
        <w:t xml:space="preserve"> entrant</w:t>
      </w:r>
      <w:r w:rsidR="00A77B55" w:rsidRPr="00753209">
        <w:t xml:space="preserve"> MBB service</w:t>
      </w:r>
      <w:r w:rsidR="00D90E5D" w:rsidRPr="00753209">
        <w:t xml:space="preserve"> at high population dense area.</w:t>
      </w:r>
    </w:p>
    <w:p w:rsidR="006F3FE0" w:rsidRPr="00753209" w:rsidRDefault="006F3FE0" w:rsidP="00D65A24">
      <w:pPr>
        <w:pStyle w:val="ListNumber2"/>
        <w:numPr>
          <w:ilvl w:val="0"/>
          <w:numId w:val="0"/>
        </w:numPr>
        <w:ind w:left="643"/>
        <w:jc w:val="left"/>
      </w:pPr>
    </w:p>
    <w:p w:rsidR="00D3729D" w:rsidRPr="00753209" w:rsidRDefault="006F3FE0" w:rsidP="006F3FE0">
      <w:pPr>
        <w:pStyle w:val="ListNumber2"/>
        <w:numPr>
          <w:ilvl w:val="0"/>
          <w:numId w:val="0"/>
        </w:numPr>
        <w:ind w:left="643"/>
        <w:jc w:val="left"/>
      </w:pPr>
      <w:r w:rsidRPr="00753209">
        <w:t xml:space="preserve">ITU-R has </w:t>
      </w:r>
      <w:r w:rsidR="00A0235C" w:rsidRPr="00753209">
        <w:t>conducted</w:t>
      </w:r>
      <w:r w:rsidRPr="00753209">
        <w:t xml:space="preserve"> a compatibility analysis of sharing scenario of FSS earth station and LTE-A mobile services.  (References: 1 Sharing studies between IMT Advanced systems and geostationary satellite networks in the fixed-satellite service in the 3400-4200 and 4500-4800 MHz frequency bands</w:t>
      </w:r>
      <w:r w:rsidR="009D018D">
        <w:t>;</w:t>
      </w:r>
      <w:r w:rsidRPr="00753209">
        <w:t xml:space="preserve"> </w:t>
      </w:r>
      <w:hyperlink r:id="rId21" w:history="1">
        <w:r w:rsidRPr="00753209">
          <w:rPr>
            <w:color w:val="0033CC"/>
            <w:u w:val="single"/>
          </w:rPr>
          <w:t>http://www.itu.int/pub/R-REP-M.2109</w:t>
        </w:r>
      </w:hyperlink>
      <w:r w:rsidRPr="00753209">
        <w:t>; 2.Sharing studies between International Mobile Telecommunication-Advanced systems and geostationary satellite networks in the fixed-satellite service in the 3 400-4 200 MHz and 4 500-4 800 MHz frequency bands in the W</w:t>
      </w:r>
      <w:r w:rsidR="00D3729D" w:rsidRPr="00753209">
        <w:t>RC study cycle leading to WRC-15</w:t>
      </w:r>
      <w:r w:rsidR="009D018D">
        <w:t>;</w:t>
      </w:r>
      <w:r w:rsidR="00D3729D" w:rsidRPr="00753209">
        <w:t xml:space="preserve"> </w:t>
      </w:r>
      <w:r w:rsidRPr="00753209">
        <w:t xml:space="preserve"> </w:t>
      </w:r>
      <w:hyperlink r:id="rId22" w:history="1">
        <w:r w:rsidRPr="00753209">
          <w:rPr>
            <w:color w:val="0033CC"/>
            <w:u w:val="single"/>
          </w:rPr>
          <w:t>http://www.itu.int/pub/R-REP-S.2368</w:t>
        </w:r>
      </w:hyperlink>
      <w:r w:rsidR="00D3729D" w:rsidRPr="00753209">
        <w:t>)</w:t>
      </w:r>
    </w:p>
    <w:p w:rsidR="006F3FE0" w:rsidRPr="00753209" w:rsidRDefault="006F3FE0" w:rsidP="006F3FE0">
      <w:pPr>
        <w:pStyle w:val="ListNumber2"/>
        <w:numPr>
          <w:ilvl w:val="0"/>
          <w:numId w:val="0"/>
        </w:numPr>
        <w:ind w:left="643"/>
        <w:jc w:val="left"/>
      </w:pPr>
      <w:r w:rsidRPr="00753209">
        <w:t xml:space="preserve">  </w:t>
      </w:r>
    </w:p>
    <w:p w:rsidR="006F3FE0" w:rsidRPr="00753209" w:rsidRDefault="006F3FE0" w:rsidP="006F3FE0">
      <w:pPr>
        <w:pStyle w:val="ListNumber2"/>
        <w:numPr>
          <w:ilvl w:val="0"/>
          <w:numId w:val="0"/>
        </w:numPr>
        <w:ind w:left="643"/>
        <w:jc w:val="left"/>
        <w:rPr>
          <w:u w:val="single"/>
        </w:rPr>
      </w:pPr>
      <w:r w:rsidRPr="00753209">
        <w:t xml:space="preserve">The results from </w:t>
      </w:r>
      <w:r w:rsidR="00A0235C" w:rsidRPr="00753209">
        <w:t>the above studies shows that</w:t>
      </w:r>
      <w:r w:rsidRPr="00753209">
        <w:t xml:space="preserve"> the required separation distances are quite sensitive to a number of parameters and scenarios assumptions made such as the earth station horizontal antenna angle, terrain model, clutter, shielding capability and output power of interfered/interfering base station.  </w:t>
      </w:r>
      <w:r w:rsidR="00A0235C" w:rsidRPr="00753209">
        <w:t>T</w:t>
      </w:r>
      <w:r w:rsidRPr="00753209">
        <w:t xml:space="preserve">hus, </w:t>
      </w:r>
      <w:r w:rsidRPr="00753209">
        <w:rPr>
          <w:u w:val="single"/>
        </w:rPr>
        <w:t xml:space="preserve">the separation distance or guard band cannot be used for all deployment scenarios and it is to be </w:t>
      </w:r>
      <w:r w:rsidR="00942037" w:rsidRPr="00753209">
        <w:rPr>
          <w:u w:val="single"/>
        </w:rPr>
        <w:t xml:space="preserve">determined </w:t>
      </w:r>
      <w:r w:rsidRPr="00753209">
        <w:rPr>
          <w:u w:val="single"/>
        </w:rPr>
        <w:t>on a case by case basis with close collaborations.</w:t>
      </w:r>
    </w:p>
    <w:p w:rsidR="006F3FE0" w:rsidRPr="00753209" w:rsidRDefault="006F3FE0" w:rsidP="006F3FE0">
      <w:pPr>
        <w:pStyle w:val="ListNumber2"/>
        <w:numPr>
          <w:ilvl w:val="0"/>
          <w:numId w:val="0"/>
        </w:numPr>
        <w:ind w:left="643"/>
        <w:jc w:val="left"/>
      </w:pPr>
    </w:p>
    <w:p w:rsidR="006F3FE0" w:rsidRPr="00753209" w:rsidRDefault="006F3FE0" w:rsidP="006F3FE0">
      <w:pPr>
        <w:pStyle w:val="ListNumber2"/>
        <w:numPr>
          <w:ilvl w:val="0"/>
          <w:numId w:val="0"/>
        </w:numPr>
        <w:ind w:left="643"/>
        <w:jc w:val="left"/>
      </w:pPr>
      <w:r w:rsidRPr="00753209">
        <w:t>It is important to note that the above mentioned IT</w:t>
      </w:r>
      <w:r w:rsidR="00411B49" w:rsidRPr="00753209">
        <w:t>U</w:t>
      </w:r>
      <w:r w:rsidRPr="00753209">
        <w:t xml:space="preserve">-R studies </w:t>
      </w:r>
      <w:r w:rsidR="00942037" w:rsidRPr="00753209">
        <w:t xml:space="preserve">were </w:t>
      </w:r>
      <w:r w:rsidRPr="00753209">
        <w:t>performed in 2007 and 2015 World Radio Conference</w:t>
      </w:r>
      <w:r w:rsidR="00942037" w:rsidRPr="00753209">
        <w:t xml:space="preserve"> and</w:t>
      </w:r>
      <w:r w:rsidRPr="00753209">
        <w:t xml:space="preserve"> did not include analysis of</w:t>
      </w:r>
      <w:r w:rsidR="00942037" w:rsidRPr="00753209">
        <w:t xml:space="preserve"> a</w:t>
      </w:r>
      <w:r w:rsidRPr="00753209">
        <w:t xml:space="preserve"> base station with massive MIMO. Such technology can </w:t>
      </w:r>
      <w:r w:rsidR="00942037" w:rsidRPr="00753209">
        <w:t>enhance</w:t>
      </w:r>
      <w:r w:rsidRPr="00753209">
        <w:t xml:space="preserve"> efficient mitigation technique</w:t>
      </w:r>
      <w:r w:rsidR="00942037" w:rsidRPr="00753209">
        <w:t>s</w:t>
      </w:r>
      <w:r w:rsidRPr="00753209">
        <w:t xml:space="preserve"> for avoiding signal transmitting to the direction of</w:t>
      </w:r>
      <w:r w:rsidR="00942037" w:rsidRPr="00753209">
        <w:t xml:space="preserve"> the</w:t>
      </w:r>
      <w:r w:rsidRPr="00753209">
        <w:t xml:space="preserve"> interfered receiver.</w:t>
      </w:r>
    </w:p>
    <w:p w:rsidR="00D90E5D" w:rsidRPr="00753209" w:rsidRDefault="00D90E5D" w:rsidP="00D65A24">
      <w:pPr>
        <w:pStyle w:val="ListNumber2"/>
        <w:numPr>
          <w:ilvl w:val="0"/>
          <w:numId w:val="0"/>
        </w:numPr>
        <w:ind w:left="643"/>
        <w:jc w:val="left"/>
      </w:pPr>
    </w:p>
    <w:p w:rsidR="002078B0" w:rsidRPr="00753209" w:rsidRDefault="002078B0" w:rsidP="00D65A24">
      <w:pPr>
        <w:pStyle w:val="ListNumber2"/>
        <w:numPr>
          <w:ilvl w:val="0"/>
          <w:numId w:val="0"/>
        </w:numPr>
        <w:ind w:left="643"/>
        <w:jc w:val="left"/>
      </w:pPr>
      <w:r w:rsidRPr="00753209">
        <w:t>Huawei is in favour for the ACMA’s development of an east coast earth station protection zone, in providing long-term security to satellite industry while enabling spectrum in more populous areas to reach its highest value use.</w:t>
      </w:r>
    </w:p>
    <w:p w:rsidR="002078B0" w:rsidRPr="00753209" w:rsidRDefault="002078B0" w:rsidP="00D65A24">
      <w:pPr>
        <w:pStyle w:val="ListNumber2"/>
        <w:numPr>
          <w:ilvl w:val="0"/>
          <w:numId w:val="0"/>
        </w:numPr>
        <w:ind w:left="643"/>
        <w:jc w:val="left"/>
      </w:pPr>
    </w:p>
    <w:p w:rsidR="006231C6" w:rsidRDefault="00942037" w:rsidP="00DD7952">
      <w:pPr>
        <w:pStyle w:val="ListNumber2"/>
        <w:numPr>
          <w:ilvl w:val="0"/>
          <w:numId w:val="0"/>
        </w:numPr>
        <w:ind w:left="643"/>
        <w:jc w:val="left"/>
        <w:rPr>
          <w:i/>
        </w:rPr>
      </w:pPr>
      <w:r w:rsidRPr="00753209">
        <w:t>Huawei suggests</w:t>
      </w:r>
      <w:r w:rsidR="001903FF" w:rsidRPr="00753209">
        <w:t xml:space="preserve"> the ACMA </w:t>
      </w:r>
      <w:r w:rsidRPr="00753209">
        <w:t>sets requirement guidelines for</w:t>
      </w:r>
      <w:r w:rsidR="001903FF" w:rsidRPr="00753209">
        <w:t xml:space="preserve"> operat</w:t>
      </w:r>
      <w:r w:rsidR="00DD7952" w:rsidRPr="00753209">
        <w:t>ing</w:t>
      </w:r>
      <w:r w:rsidR="001903FF" w:rsidRPr="00753209">
        <w:t xml:space="preserve"> parameters and </w:t>
      </w:r>
      <w:r w:rsidR="00DD7952" w:rsidRPr="00753209">
        <w:t xml:space="preserve">a technical </w:t>
      </w:r>
      <w:r w:rsidR="001903FF" w:rsidRPr="00753209">
        <w:t xml:space="preserve">guideline for </w:t>
      </w:r>
      <w:r w:rsidR="00DD7952" w:rsidRPr="00753209">
        <w:t xml:space="preserve">FSS </w:t>
      </w:r>
      <w:r w:rsidR="001903FF" w:rsidRPr="00753209">
        <w:t>protection zon</w:t>
      </w:r>
      <w:r w:rsidR="00DD7952" w:rsidRPr="00753209">
        <w:t>e</w:t>
      </w:r>
      <w:r w:rsidRPr="00753209">
        <w:t>s</w:t>
      </w:r>
      <w:r w:rsidR="00DD7952" w:rsidRPr="00753209">
        <w:t>. The protection zone calculations are to be carried out with more detailed parameters including propagation and terrain data.</w:t>
      </w:r>
    </w:p>
    <w:p w:rsidR="00FE021D" w:rsidRDefault="00FE021D" w:rsidP="00DD7952">
      <w:pPr>
        <w:pStyle w:val="ListNumber2"/>
        <w:numPr>
          <w:ilvl w:val="0"/>
          <w:numId w:val="0"/>
        </w:numPr>
        <w:ind w:left="643"/>
        <w:jc w:val="left"/>
        <w:rPr>
          <w:i/>
        </w:rPr>
      </w:pPr>
    </w:p>
    <w:p w:rsidR="00222224" w:rsidRPr="00753209" w:rsidRDefault="00FE021D" w:rsidP="00222224">
      <w:pPr>
        <w:pStyle w:val="ListNumber2"/>
        <w:numPr>
          <w:ilvl w:val="0"/>
          <w:numId w:val="0"/>
        </w:numPr>
        <w:ind w:left="643"/>
        <w:jc w:val="left"/>
        <w:rPr>
          <w:rStyle w:val="HTMLCite"/>
          <w:i w:val="0"/>
        </w:rPr>
      </w:pPr>
      <w:r w:rsidRPr="00753209">
        <w:t>Furthermore, Mr. Joe Guan, Spectrum Policy Regulatory Affairs Advisor of GSMA</w:t>
      </w:r>
      <w:r w:rsidR="00D640E4" w:rsidRPr="00753209">
        <w:t>,</w:t>
      </w:r>
      <w:r w:rsidRPr="00753209">
        <w:t xml:space="preserve"> has reported a case study in November 2013</w:t>
      </w:r>
      <w:r w:rsidR="00222224">
        <w:t xml:space="preserve">.  (Reference: </w:t>
      </w:r>
      <w:r w:rsidRPr="00753209">
        <w:t>Benefits of C-Band R</w:t>
      </w:r>
      <w:r w:rsidR="00222224">
        <w:t xml:space="preserve">eallocation to Mobile in APAC; </w:t>
      </w:r>
      <w:hyperlink r:id="rId23" w:history="1">
        <w:r w:rsidR="00222224" w:rsidRPr="00222224">
          <w:rPr>
            <w:rStyle w:val="Hyperlink"/>
          </w:rPr>
          <w:t>https://www.itu.int/dms_pub/itu-r/oth/0c/06/R0C060000550012PDFE.pdf</w:t>
        </w:r>
      </w:hyperlink>
      <w:r w:rsidR="00222224" w:rsidRPr="00753209">
        <w:rPr>
          <w:rStyle w:val="HTMLCite"/>
          <w:i w:val="0"/>
        </w:rPr>
        <w:t>)</w:t>
      </w:r>
    </w:p>
    <w:p w:rsidR="0029350A" w:rsidRPr="00753209" w:rsidRDefault="00FE021D" w:rsidP="00222224">
      <w:pPr>
        <w:pStyle w:val="ListNumber2"/>
        <w:numPr>
          <w:ilvl w:val="0"/>
          <w:numId w:val="0"/>
        </w:numPr>
        <w:ind w:left="643"/>
        <w:jc w:val="left"/>
        <w:rPr>
          <w:rStyle w:val="HTMLCite"/>
          <w:i w:val="0"/>
        </w:rPr>
      </w:pPr>
      <w:r w:rsidRPr="00753209">
        <w:t xml:space="preserve">The report stated that the existing C-band satellite services moving to higher bands (Ku band 12-18 GHz) and (Ka band 26-40 GHz) </w:t>
      </w:r>
      <w:r w:rsidR="00E00876" w:rsidRPr="00753209">
        <w:t>have</w:t>
      </w:r>
      <w:r w:rsidRPr="00753209">
        <w:t xml:space="preserve"> higher bandwidth/throughput and cost effectiveness. </w:t>
      </w:r>
    </w:p>
    <w:p w:rsidR="00881EE6" w:rsidRPr="00753209" w:rsidRDefault="00881EE6" w:rsidP="00DD7952">
      <w:pPr>
        <w:pStyle w:val="ListNumber2"/>
        <w:numPr>
          <w:ilvl w:val="0"/>
          <w:numId w:val="0"/>
        </w:numPr>
        <w:ind w:left="643"/>
        <w:jc w:val="left"/>
        <w:rPr>
          <w:rStyle w:val="HTMLCite"/>
          <w:i w:val="0"/>
        </w:rPr>
      </w:pPr>
    </w:p>
    <w:p w:rsidR="00E00876" w:rsidRPr="00753209" w:rsidRDefault="00E00876" w:rsidP="00DD7952">
      <w:pPr>
        <w:pStyle w:val="ListNumber2"/>
        <w:numPr>
          <w:ilvl w:val="0"/>
          <w:numId w:val="0"/>
        </w:numPr>
        <w:ind w:left="643"/>
        <w:jc w:val="left"/>
        <w:rPr>
          <w:rStyle w:val="HTMLCite"/>
          <w:i w:val="0"/>
        </w:rPr>
      </w:pPr>
      <w:r w:rsidRPr="00753209">
        <w:rPr>
          <w:rStyle w:val="HTMLCite"/>
          <w:i w:val="0"/>
        </w:rPr>
        <w:t>The report also included rain fading dB for required availability of service. Under this study,</w:t>
      </w:r>
      <w:r w:rsidR="00985A7F" w:rsidRPr="00753209">
        <w:rPr>
          <w:rStyle w:val="HTMLCite"/>
          <w:i w:val="0"/>
        </w:rPr>
        <w:t xml:space="preserve"> this</w:t>
      </w:r>
      <w:r w:rsidRPr="00753209">
        <w:rPr>
          <w:rStyle w:val="HTMLCite"/>
          <w:i w:val="0"/>
        </w:rPr>
        <w:t xml:space="preserve"> can be overcome by the today’s satellite technologies such as spot beams, adaptive coding</w:t>
      </w:r>
      <w:r w:rsidR="00BB031D" w:rsidRPr="00753209">
        <w:rPr>
          <w:rStyle w:val="HTMLCite"/>
          <w:i w:val="0"/>
        </w:rPr>
        <w:t xml:space="preserve">, </w:t>
      </w:r>
      <w:r w:rsidRPr="00753209">
        <w:rPr>
          <w:rStyle w:val="HTMLCite"/>
          <w:i w:val="0"/>
        </w:rPr>
        <w:t xml:space="preserve">modulations and uplink power control for non critical satellite services. </w:t>
      </w:r>
    </w:p>
    <w:p w:rsidR="006E1D0A" w:rsidRPr="00753209" w:rsidRDefault="006E1D0A" w:rsidP="00DD7952">
      <w:pPr>
        <w:pStyle w:val="ListNumber2"/>
        <w:numPr>
          <w:ilvl w:val="0"/>
          <w:numId w:val="0"/>
        </w:numPr>
        <w:ind w:left="643"/>
        <w:jc w:val="left"/>
        <w:rPr>
          <w:rFonts w:cs="Arial"/>
        </w:rPr>
      </w:pPr>
    </w:p>
    <w:p w:rsidR="00BB031D" w:rsidRPr="00B06F2B" w:rsidRDefault="00BB031D" w:rsidP="00B06F2B">
      <w:pPr>
        <w:pStyle w:val="ListNumber"/>
        <w:numPr>
          <w:ilvl w:val="0"/>
          <w:numId w:val="0"/>
        </w:numPr>
        <w:ind w:left="643"/>
      </w:pPr>
      <w:r w:rsidRPr="00753209">
        <w:rPr>
          <w:rFonts w:cs="Arial"/>
        </w:rPr>
        <w:t xml:space="preserve">Huawei will encourage the ACMA </w:t>
      </w:r>
      <w:r w:rsidR="00985A7F" w:rsidRPr="00753209">
        <w:rPr>
          <w:rFonts w:cs="Arial"/>
        </w:rPr>
        <w:t>to</w:t>
      </w:r>
      <w:r w:rsidRPr="00753209">
        <w:rPr>
          <w:rFonts w:cs="Arial"/>
        </w:rPr>
        <w:t xml:space="preserve"> explore this option with </w:t>
      </w:r>
      <w:r w:rsidR="00985A7F" w:rsidRPr="00753209">
        <w:rPr>
          <w:rFonts w:cs="Arial"/>
        </w:rPr>
        <w:t xml:space="preserve">the </w:t>
      </w:r>
      <w:r w:rsidRPr="00753209">
        <w:rPr>
          <w:rFonts w:cs="Arial"/>
        </w:rPr>
        <w:t>Ku/Ka band, where feasible for FSS to clear the band</w:t>
      </w:r>
      <w:r w:rsidR="00AD32D7" w:rsidRPr="00753209">
        <w:rPr>
          <w:rFonts w:cs="Arial"/>
        </w:rPr>
        <w:t>/lessen</w:t>
      </w:r>
      <w:r w:rsidRPr="00753209">
        <w:rPr>
          <w:rFonts w:cs="Arial"/>
        </w:rPr>
        <w:t xml:space="preserve"> protection zone</w:t>
      </w:r>
      <w:r w:rsidR="00AD32D7" w:rsidRPr="00753209">
        <w:rPr>
          <w:rFonts w:cs="Arial"/>
        </w:rPr>
        <w:t>s</w:t>
      </w:r>
      <w:r w:rsidRPr="00B06F2B">
        <w:t xml:space="preserve">. </w:t>
      </w:r>
    </w:p>
    <w:p w:rsidR="000A0C4C" w:rsidRPr="00B06F2B" w:rsidRDefault="00A77B55" w:rsidP="00B06F2B">
      <w:pPr>
        <w:pStyle w:val="ListNumber"/>
        <w:numPr>
          <w:ilvl w:val="0"/>
          <w:numId w:val="0"/>
        </w:numPr>
        <w:ind w:left="360"/>
      </w:pPr>
      <w:r w:rsidRPr="00B06F2B">
        <w:t xml:space="preserve"> </w:t>
      </w:r>
    </w:p>
    <w:p w:rsidR="000846C9" w:rsidRDefault="000846C9" w:rsidP="00420F48">
      <w:pPr>
        <w:pStyle w:val="ListNumber2"/>
        <w:numPr>
          <w:ilvl w:val="0"/>
          <w:numId w:val="5"/>
        </w:numPr>
        <w:rPr>
          <w:b/>
        </w:rPr>
      </w:pPr>
      <w:r w:rsidRPr="000846C9">
        <w:rPr>
          <w:rFonts w:cstheme="minorBidi"/>
          <w:b/>
          <w:szCs w:val="22"/>
        </w:rPr>
        <w:t>Whether</w:t>
      </w:r>
      <w:r w:rsidRPr="000846C9">
        <w:rPr>
          <w:b/>
        </w:rPr>
        <w:t xml:space="preserve"> there are any views on potential candidate locations to consider.</w:t>
      </w:r>
    </w:p>
    <w:p w:rsidR="00161968" w:rsidRDefault="00161968" w:rsidP="00161968">
      <w:pPr>
        <w:pStyle w:val="ListNumber2"/>
        <w:numPr>
          <w:ilvl w:val="0"/>
          <w:numId w:val="0"/>
        </w:numPr>
        <w:ind w:left="643" w:hanging="360"/>
        <w:rPr>
          <w:b/>
        </w:rPr>
      </w:pPr>
    </w:p>
    <w:p w:rsidR="001E2B28" w:rsidRDefault="001E2B28" w:rsidP="00B06F2B">
      <w:pPr>
        <w:pStyle w:val="ListNumber"/>
        <w:numPr>
          <w:ilvl w:val="0"/>
          <w:numId w:val="0"/>
        </w:numPr>
        <w:ind w:left="643"/>
        <w:rPr>
          <w:u w:val="single"/>
          <w:lang w:val="en-US"/>
        </w:rPr>
      </w:pPr>
      <w:r w:rsidRPr="000B421C">
        <w:rPr>
          <w:u w:val="single"/>
          <w:lang w:val="en-US"/>
        </w:rPr>
        <w:t>Huawei’s response:</w:t>
      </w:r>
    </w:p>
    <w:p w:rsidR="001A1D20" w:rsidRPr="00753209" w:rsidRDefault="008A6DEC" w:rsidP="00B06F2B">
      <w:pPr>
        <w:pStyle w:val="ListNumber"/>
        <w:numPr>
          <w:ilvl w:val="0"/>
          <w:numId w:val="0"/>
        </w:numPr>
        <w:ind w:left="643"/>
      </w:pPr>
      <w:r w:rsidRPr="00753209">
        <w:t>As per the ACMA’s assessme</w:t>
      </w:r>
      <w:r w:rsidR="001A1D20" w:rsidRPr="00753209">
        <w:t xml:space="preserve">nt which </w:t>
      </w:r>
      <w:r w:rsidR="00942037" w:rsidRPr="00753209">
        <w:t>is</w:t>
      </w:r>
      <w:r w:rsidRPr="00753209">
        <w:t xml:space="preserve"> presente</w:t>
      </w:r>
      <w:r w:rsidR="00987EA9" w:rsidRPr="00753209">
        <w:t>d and summarised</w:t>
      </w:r>
      <w:r w:rsidRPr="00753209">
        <w:t xml:space="preserve"> in Appendix 5</w:t>
      </w:r>
      <w:r w:rsidR="001A1D20" w:rsidRPr="00753209">
        <w:t xml:space="preserve"> of </w:t>
      </w:r>
      <w:r w:rsidR="0033573C" w:rsidRPr="00753209">
        <w:t>Options</w:t>
      </w:r>
      <w:r w:rsidR="001A1D20" w:rsidRPr="00753209">
        <w:t xml:space="preserve"> paper</w:t>
      </w:r>
      <w:r w:rsidRPr="00753209">
        <w:t>,</w:t>
      </w:r>
      <w:r w:rsidR="00987EA9" w:rsidRPr="00753209">
        <w:t xml:space="preserve"> </w:t>
      </w:r>
      <w:r w:rsidR="001A1D20" w:rsidRPr="00753209">
        <w:t xml:space="preserve">the </w:t>
      </w:r>
      <w:r w:rsidR="00987EA9" w:rsidRPr="00753209">
        <w:t xml:space="preserve">Site near Moree stands out to be a suitable option to be considered </w:t>
      </w:r>
      <w:r w:rsidR="001A1D20" w:rsidRPr="00753209">
        <w:t>for</w:t>
      </w:r>
      <w:r w:rsidR="00A62894" w:rsidRPr="00753209">
        <w:t xml:space="preserve"> an establishment for</w:t>
      </w:r>
      <w:r w:rsidR="00987EA9" w:rsidRPr="00753209">
        <w:t xml:space="preserve"> east cost FSS protection zone a</w:t>
      </w:r>
      <w:r w:rsidRPr="00753209">
        <w:t>mong four (4) potential sites</w:t>
      </w:r>
      <w:r w:rsidR="00987EA9" w:rsidRPr="00753209">
        <w:t>.</w:t>
      </w:r>
      <w:r w:rsidR="001A1D20" w:rsidRPr="00753209">
        <w:t xml:space="preserve"> Huawei is in agreement with th</w:t>
      </w:r>
      <w:r w:rsidR="00A62894" w:rsidRPr="00753209">
        <w:t>e ACMA that more analysis of this</w:t>
      </w:r>
      <w:r w:rsidR="001A1D20" w:rsidRPr="00753209">
        <w:t xml:space="preserve"> location would be required </w:t>
      </w:r>
      <w:r w:rsidR="00A62894" w:rsidRPr="00753209">
        <w:t xml:space="preserve">before </w:t>
      </w:r>
      <w:r w:rsidR="001A1D20" w:rsidRPr="00753209">
        <w:t>a definite decision.</w:t>
      </w:r>
    </w:p>
    <w:p w:rsidR="00161968" w:rsidRPr="00B06F2B" w:rsidRDefault="00987EA9" w:rsidP="00B06F2B">
      <w:pPr>
        <w:pStyle w:val="ListNumber"/>
        <w:numPr>
          <w:ilvl w:val="0"/>
          <w:numId w:val="0"/>
        </w:numPr>
        <w:ind w:left="643"/>
      </w:pPr>
      <w:r w:rsidRPr="00B06F2B">
        <w:t xml:space="preserve">  </w:t>
      </w:r>
    </w:p>
    <w:p w:rsidR="000846C9" w:rsidRDefault="000846C9" w:rsidP="00420F48">
      <w:pPr>
        <w:pStyle w:val="ListNumber2"/>
        <w:numPr>
          <w:ilvl w:val="0"/>
          <w:numId w:val="5"/>
        </w:numPr>
        <w:rPr>
          <w:b/>
        </w:rPr>
      </w:pPr>
      <w:r w:rsidRPr="000846C9">
        <w:rPr>
          <w:rFonts w:cstheme="minorBidi"/>
          <w:b/>
          <w:szCs w:val="22"/>
        </w:rPr>
        <w:t>Whether there should there be more than one earth station protection zone on the east an</w:t>
      </w:r>
      <w:r w:rsidRPr="000846C9">
        <w:rPr>
          <w:b/>
        </w:rPr>
        <w:t>d west coasts of Australia.</w:t>
      </w:r>
    </w:p>
    <w:p w:rsidR="00667EC3" w:rsidRDefault="00667EC3" w:rsidP="00987EA9">
      <w:pPr>
        <w:pStyle w:val="ListNumber2"/>
        <w:numPr>
          <w:ilvl w:val="0"/>
          <w:numId w:val="0"/>
        </w:numPr>
        <w:ind w:left="643"/>
        <w:rPr>
          <w:rFonts w:cstheme="minorBidi"/>
          <w:i/>
          <w:color w:val="000000" w:themeColor="text1"/>
          <w:szCs w:val="22"/>
        </w:rPr>
      </w:pPr>
    </w:p>
    <w:p w:rsidR="001E2B28" w:rsidRDefault="001E2B28" w:rsidP="001E2B28">
      <w:pPr>
        <w:pStyle w:val="ListNumber"/>
        <w:numPr>
          <w:ilvl w:val="0"/>
          <w:numId w:val="0"/>
        </w:numPr>
        <w:ind w:left="643"/>
        <w:rPr>
          <w:u w:val="single"/>
          <w:lang w:val="en-US"/>
        </w:rPr>
      </w:pPr>
      <w:r w:rsidRPr="000B421C">
        <w:rPr>
          <w:u w:val="single"/>
          <w:lang w:val="en-US"/>
        </w:rPr>
        <w:t>Huawei’s response:</w:t>
      </w:r>
    </w:p>
    <w:p w:rsidR="00987EA9" w:rsidRPr="00B06F2B" w:rsidRDefault="00987EA9" w:rsidP="00B06F2B">
      <w:pPr>
        <w:pStyle w:val="ListNumber"/>
        <w:numPr>
          <w:ilvl w:val="0"/>
          <w:numId w:val="0"/>
        </w:numPr>
        <w:ind w:left="643"/>
      </w:pPr>
      <w:r w:rsidRPr="00753209">
        <w:rPr>
          <w:rFonts w:cstheme="minorBidi"/>
          <w:color w:val="000000" w:themeColor="text1"/>
          <w:szCs w:val="22"/>
        </w:rPr>
        <w:t xml:space="preserve">Huawei </w:t>
      </w:r>
      <w:r w:rsidR="00930908" w:rsidRPr="00753209">
        <w:rPr>
          <w:rFonts w:cstheme="minorBidi"/>
          <w:color w:val="000000" w:themeColor="text1"/>
          <w:szCs w:val="22"/>
        </w:rPr>
        <w:t>will not</w:t>
      </w:r>
      <w:r w:rsidRPr="00753209">
        <w:rPr>
          <w:rFonts w:cstheme="minorBidi"/>
          <w:color w:val="000000" w:themeColor="text1"/>
          <w:szCs w:val="22"/>
        </w:rPr>
        <w:t xml:space="preserve"> comment on this question.</w:t>
      </w:r>
    </w:p>
    <w:p w:rsidR="00987EA9" w:rsidRPr="00B06F2B" w:rsidRDefault="00987EA9" w:rsidP="00B06F2B">
      <w:pPr>
        <w:pStyle w:val="ListNumber"/>
        <w:numPr>
          <w:ilvl w:val="0"/>
          <w:numId w:val="0"/>
        </w:numPr>
        <w:ind w:left="643"/>
      </w:pPr>
      <w:r w:rsidRPr="00B06F2B">
        <w:t xml:space="preserve"> </w:t>
      </w:r>
    </w:p>
    <w:p w:rsidR="000846C9" w:rsidRPr="000846C9" w:rsidRDefault="000846C9" w:rsidP="00420F48">
      <w:pPr>
        <w:pStyle w:val="ListNumber2"/>
        <w:numPr>
          <w:ilvl w:val="0"/>
          <w:numId w:val="5"/>
        </w:numPr>
        <w:rPr>
          <w:b/>
        </w:rPr>
      </w:pPr>
      <w:r w:rsidRPr="000846C9">
        <w:rPr>
          <w:b/>
        </w:rPr>
        <w:t>If the identification of a central Australia earth station zone should be considered.</w:t>
      </w:r>
    </w:p>
    <w:p w:rsidR="000846C9" w:rsidRDefault="000846C9" w:rsidP="000846C9">
      <w:pPr>
        <w:pStyle w:val="ListNumber2"/>
        <w:numPr>
          <w:ilvl w:val="0"/>
          <w:numId w:val="0"/>
        </w:numPr>
        <w:ind w:left="426"/>
      </w:pPr>
    </w:p>
    <w:p w:rsidR="001E2B28" w:rsidRDefault="001E2B28" w:rsidP="001E2B28">
      <w:pPr>
        <w:pStyle w:val="ListNumber"/>
        <w:numPr>
          <w:ilvl w:val="0"/>
          <w:numId w:val="0"/>
        </w:numPr>
        <w:ind w:left="643"/>
        <w:rPr>
          <w:u w:val="single"/>
          <w:lang w:val="en-US"/>
        </w:rPr>
      </w:pPr>
      <w:r w:rsidRPr="000B421C">
        <w:rPr>
          <w:u w:val="single"/>
          <w:lang w:val="en-US"/>
        </w:rPr>
        <w:t>Huawei’s response:</w:t>
      </w:r>
    </w:p>
    <w:p w:rsidR="00987EA9" w:rsidRPr="00753209" w:rsidRDefault="00987EA9" w:rsidP="00987EA9">
      <w:pPr>
        <w:pStyle w:val="ListNumber2"/>
        <w:numPr>
          <w:ilvl w:val="0"/>
          <w:numId w:val="0"/>
        </w:numPr>
        <w:ind w:left="643"/>
        <w:rPr>
          <w:rFonts w:cstheme="minorBidi"/>
          <w:color w:val="000000" w:themeColor="text1"/>
          <w:szCs w:val="22"/>
        </w:rPr>
      </w:pPr>
      <w:r w:rsidRPr="00753209">
        <w:rPr>
          <w:rFonts w:cstheme="minorBidi"/>
          <w:color w:val="000000" w:themeColor="text1"/>
          <w:szCs w:val="22"/>
        </w:rPr>
        <w:t xml:space="preserve">Huawei </w:t>
      </w:r>
      <w:r w:rsidR="00930908" w:rsidRPr="00753209">
        <w:rPr>
          <w:rFonts w:cstheme="minorBidi"/>
          <w:color w:val="000000" w:themeColor="text1"/>
          <w:szCs w:val="22"/>
        </w:rPr>
        <w:t xml:space="preserve">will not </w:t>
      </w:r>
      <w:r w:rsidRPr="00753209">
        <w:rPr>
          <w:rFonts w:cstheme="minorBidi"/>
          <w:color w:val="000000" w:themeColor="text1"/>
          <w:szCs w:val="22"/>
        </w:rPr>
        <w:t>comment on this question.</w:t>
      </w:r>
    </w:p>
    <w:p w:rsidR="00987EA9" w:rsidRDefault="00987EA9" w:rsidP="00987EA9">
      <w:pPr>
        <w:pStyle w:val="ListNumber2"/>
        <w:numPr>
          <w:ilvl w:val="0"/>
          <w:numId w:val="0"/>
        </w:numPr>
        <w:ind w:left="709"/>
      </w:pPr>
    </w:p>
    <w:p w:rsidR="000846C9" w:rsidRPr="000846C9" w:rsidRDefault="000846C9" w:rsidP="00420F48">
      <w:pPr>
        <w:pStyle w:val="ListNumber"/>
        <w:numPr>
          <w:ilvl w:val="0"/>
          <w:numId w:val="3"/>
        </w:numPr>
        <w:rPr>
          <w:b/>
        </w:rPr>
      </w:pPr>
      <w:r w:rsidRPr="000846C9">
        <w:rPr>
          <w:b/>
        </w:rPr>
        <w:t>Are the approaches for amateurs, radiolocation services, class licensed devices and TVRO systems suitable?</w:t>
      </w:r>
    </w:p>
    <w:p w:rsidR="00F41461" w:rsidRDefault="00F41461" w:rsidP="000846C9">
      <w:pPr>
        <w:pStyle w:val="ListNumber"/>
        <w:numPr>
          <w:ilvl w:val="0"/>
          <w:numId w:val="0"/>
        </w:numPr>
        <w:ind w:left="360"/>
        <w:rPr>
          <w:i/>
          <w:color w:val="000000" w:themeColor="text1"/>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0846C9" w:rsidRPr="00753209" w:rsidRDefault="00E57AF1" w:rsidP="00E57AF1">
      <w:pPr>
        <w:pStyle w:val="ListNumber"/>
        <w:numPr>
          <w:ilvl w:val="0"/>
          <w:numId w:val="0"/>
        </w:numPr>
        <w:ind w:left="360"/>
      </w:pPr>
      <w:r w:rsidRPr="00753209">
        <w:t>The approach and a</w:t>
      </w:r>
      <w:r w:rsidR="003665C9" w:rsidRPr="00753209">
        <w:t xml:space="preserve"> mitigation technique consideration for TVRO and an alternative ATV frequency option w</w:t>
      </w:r>
      <w:r w:rsidR="00083262" w:rsidRPr="00753209">
        <w:t xml:space="preserve">ith 3300-3320/3360-3380 MHz, </w:t>
      </w:r>
      <w:r w:rsidRPr="00753209">
        <w:t xml:space="preserve">is </w:t>
      </w:r>
      <w:r w:rsidR="00083262" w:rsidRPr="00753209">
        <w:t>considered</w:t>
      </w:r>
      <w:r w:rsidR="003665C9" w:rsidRPr="00753209">
        <w:t xml:space="preserve"> suitable</w:t>
      </w:r>
      <w:r w:rsidRPr="00753209">
        <w:t xml:space="preserve">. </w:t>
      </w:r>
      <w:r w:rsidR="00040E26" w:rsidRPr="00753209">
        <w:t>We</w:t>
      </w:r>
      <w:r w:rsidRPr="00753209">
        <w:t xml:space="preserve"> </w:t>
      </w:r>
      <w:r w:rsidR="00040E26" w:rsidRPr="00753209">
        <w:t>also have</w:t>
      </w:r>
      <w:r w:rsidRPr="00753209">
        <w:t xml:space="preserve"> noted the information provided on page 34 of Options paper with regard to arrangements and options of incumbent services for Amateur service, Radiolocation service, and Class-licensed devices.</w:t>
      </w:r>
      <w:r w:rsidR="00F40629" w:rsidRPr="00753209">
        <w:t xml:space="preserve"> </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 xml:space="preserve">Are there any other options for incumbent services, not identified in this paper, which should be considered? </w:t>
      </w:r>
    </w:p>
    <w:p w:rsidR="00667EC3" w:rsidRDefault="00667EC3" w:rsidP="000846C9">
      <w:pPr>
        <w:pStyle w:val="ListNumber"/>
        <w:numPr>
          <w:ilvl w:val="0"/>
          <w:numId w:val="0"/>
        </w:numPr>
        <w:ind w:left="360"/>
        <w:rPr>
          <w:rFonts w:cstheme="minorBidi"/>
          <w:i/>
          <w:color w:val="000000" w:themeColor="text1"/>
          <w:szCs w:val="22"/>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0846C9" w:rsidRPr="00753209" w:rsidRDefault="00F41461" w:rsidP="000846C9">
      <w:pPr>
        <w:pStyle w:val="ListNumber"/>
        <w:numPr>
          <w:ilvl w:val="0"/>
          <w:numId w:val="0"/>
        </w:numPr>
        <w:ind w:left="360"/>
        <w:rPr>
          <w:rFonts w:cstheme="minorBidi"/>
          <w:color w:val="000000" w:themeColor="text1"/>
          <w:szCs w:val="22"/>
        </w:rPr>
      </w:pPr>
      <w:r w:rsidRPr="00753209">
        <w:rPr>
          <w:rFonts w:cstheme="minorBidi"/>
          <w:color w:val="000000" w:themeColor="text1"/>
          <w:szCs w:val="22"/>
        </w:rPr>
        <w:t>Huawei will not comment on this question.</w:t>
      </w:r>
    </w:p>
    <w:p w:rsidR="00F41461" w:rsidRDefault="00F41461"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Should any of the sharing arrangements discussed in this section be considered for implementation in the 3.6 GHz band? Why or why not?</w:t>
      </w:r>
    </w:p>
    <w:p w:rsidR="00833448" w:rsidRDefault="00833448" w:rsidP="00250EAD">
      <w:pPr>
        <w:pStyle w:val="ListNumber"/>
        <w:numPr>
          <w:ilvl w:val="0"/>
          <w:numId w:val="0"/>
        </w:numPr>
        <w:ind w:left="360"/>
        <w:rPr>
          <w:i/>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88105B" w:rsidRPr="00753209" w:rsidRDefault="00250EAD" w:rsidP="001E2B28">
      <w:pPr>
        <w:pStyle w:val="ListNumber2"/>
        <w:numPr>
          <w:ilvl w:val="0"/>
          <w:numId w:val="0"/>
        </w:numPr>
        <w:ind w:left="360"/>
        <w:jc w:val="left"/>
      </w:pPr>
      <w:r w:rsidRPr="00753209">
        <w:rPr>
          <w:b/>
        </w:rPr>
        <w:t>Where feasible, an option of relocating incumbent services and providing an exclusive licence to MBB imp</w:t>
      </w:r>
      <w:r w:rsidR="00ED2620" w:rsidRPr="00753209">
        <w:rPr>
          <w:b/>
        </w:rPr>
        <w:t xml:space="preserve">lementation in the 3.6 GHz band is </w:t>
      </w:r>
      <w:r w:rsidR="007734FE" w:rsidRPr="00753209">
        <w:rPr>
          <w:b/>
        </w:rPr>
        <w:t>preferred</w:t>
      </w:r>
      <w:r w:rsidRPr="00753209">
        <w:rPr>
          <w:b/>
        </w:rPr>
        <w:t>.</w:t>
      </w:r>
      <w:r w:rsidR="00833448" w:rsidRPr="00753209">
        <w:t xml:space="preserve">  </w:t>
      </w:r>
      <w:r w:rsidR="0088105B" w:rsidRPr="00753209">
        <w:t>This band</w:t>
      </w:r>
      <w:r w:rsidR="007734FE" w:rsidRPr="00753209">
        <w:t xml:space="preserve"> is highly valuable and important for</w:t>
      </w:r>
      <w:r w:rsidR="00833448" w:rsidRPr="00753209">
        <w:t xml:space="preserve"> long-term investment</w:t>
      </w:r>
      <w:r w:rsidR="00271430" w:rsidRPr="00753209">
        <w:t xml:space="preserve"> of licensees</w:t>
      </w:r>
      <w:r w:rsidR="00833448" w:rsidRPr="00753209">
        <w:t xml:space="preserve"> as well as to guarantee the delivery of 5G carrier grade services.</w:t>
      </w:r>
    </w:p>
    <w:p w:rsidR="00250EAD" w:rsidRDefault="00833448" w:rsidP="001E2B28">
      <w:pPr>
        <w:pStyle w:val="ListNumber2"/>
        <w:numPr>
          <w:ilvl w:val="0"/>
          <w:numId w:val="0"/>
        </w:numPr>
        <w:ind w:left="360"/>
        <w:jc w:val="left"/>
        <w:rPr>
          <w:i/>
        </w:rPr>
      </w:pPr>
      <w:r>
        <w:rPr>
          <w:i/>
        </w:rPr>
        <w:t xml:space="preserve">  </w:t>
      </w:r>
      <w:r w:rsidR="00250EAD" w:rsidRPr="00250EAD">
        <w:rPr>
          <w:i/>
        </w:rPr>
        <w:t xml:space="preserve">  </w:t>
      </w:r>
    </w:p>
    <w:p w:rsidR="0088105B" w:rsidRPr="00753209" w:rsidRDefault="007734FE" w:rsidP="001E2B28">
      <w:pPr>
        <w:pStyle w:val="ListNumber2"/>
        <w:numPr>
          <w:ilvl w:val="0"/>
          <w:numId w:val="0"/>
        </w:numPr>
        <w:ind w:left="360"/>
        <w:jc w:val="left"/>
      </w:pPr>
      <w:r w:rsidRPr="00753209">
        <w:t>If this is not viable, then, o</w:t>
      </w:r>
      <w:r w:rsidR="00F1321F" w:rsidRPr="00753209">
        <w:t xml:space="preserve">n </w:t>
      </w:r>
      <w:r w:rsidRPr="00753209">
        <w:t xml:space="preserve">a </w:t>
      </w:r>
      <w:r w:rsidR="00F1321F" w:rsidRPr="00753209">
        <w:t>case by case basis</w:t>
      </w:r>
      <w:r w:rsidR="00833448" w:rsidRPr="00753209">
        <w:t xml:space="preserve">, the reallocation to </w:t>
      </w:r>
      <w:r w:rsidRPr="00753209">
        <w:t>other</w:t>
      </w:r>
      <w:r w:rsidR="00833448" w:rsidRPr="00753209">
        <w:t xml:space="preserve"> bands/ relocating to a different location</w:t>
      </w:r>
      <w:r w:rsidR="00F1321F" w:rsidRPr="00753209">
        <w:t xml:space="preserve"> for i</w:t>
      </w:r>
      <w:r w:rsidR="00D4219D" w:rsidRPr="00753209">
        <w:t>ncumbent service</w:t>
      </w:r>
      <w:r w:rsidRPr="00753209">
        <w:t>s</w:t>
      </w:r>
      <w:r w:rsidR="00D4219D" w:rsidRPr="00753209">
        <w:t xml:space="preserve"> is not feasible;</w:t>
      </w:r>
      <w:r w:rsidR="00F1321F" w:rsidRPr="00753209">
        <w:t xml:space="preserve"> </w:t>
      </w:r>
      <w:r w:rsidR="00D4219D" w:rsidRPr="00753209">
        <w:t>thus sharing with incumbent</w:t>
      </w:r>
      <w:r w:rsidRPr="00753209">
        <w:t>s is inevitable and</w:t>
      </w:r>
      <w:r w:rsidR="00D4219D" w:rsidRPr="00753209">
        <w:t xml:space="preserve"> </w:t>
      </w:r>
      <w:r w:rsidR="00F1321F" w:rsidRPr="00753209">
        <w:t xml:space="preserve">an alternative approach for </w:t>
      </w:r>
      <w:r w:rsidR="00250EAD" w:rsidRPr="00753209">
        <w:t>sharing</w:t>
      </w:r>
      <w:r w:rsidR="00F1321F" w:rsidRPr="00753209">
        <w:t xml:space="preserve"> arrangement</w:t>
      </w:r>
      <w:r w:rsidRPr="00753209">
        <w:t>s</w:t>
      </w:r>
      <w:r w:rsidR="00D4219D" w:rsidRPr="00753209">
        <w:t xml:space="preserve"> could</w:t>
      </w:r>
      <w:r w:rsidR="00F1321F" w:rsidRPr="00753209">
        <w:t xml:space="preserve"> be considered.</w:t>
      </w:r>
      <w:r w:rsidR="009379B3" w:rsidRPr="00753209">
        <w:t xml:space="preserve"> </w:t>
      </w:r>
      <w:r w:rsidR="0029025F" w:rsidRPr="00753209">
        <w:t>Importantly, t</w:t>
      </w:r>
      <w:r w:rsidR="009379B3" w:rsidRPr="00753209">
        <w:t>he sharing arrangement(s) will require technology development to regulatory support (in all aspects)</w:t>
      </w:r>
      <w:r w:rsidR="00D3729D" w:rsidRPr="00753209">
        <w:t>.</w:t>
      </w:r>
    </w:p>
    <w:p w:rsidR="00F1321F" w:rsidRPr="00753209" w:rsidRDefault="00F1321F" w:rsidP="001E2B28">
      <w:pPr>
        <w:pStyle w:val="ListNumber2"/>
        <w:numPr>
          <w:ilvl w:val="0"/>
          <w:numId w:val="0"/>
        </w:numPr>
        <w:ind w:left="360"/>
        <w:jc w:val="left"/>
      </w:pPr>
    </w:p>
    <w:p w:rsidR="00D3729D" w:rsidRPr="00753209" w:rsidRDefault="004B5CE5" w:rsidP="001E2B28">
      <w:pPr>
        <w:pStyle w:val="ListNumber2"/>
        <w:numPr>
          <w:ilvl w:val="0"/>
          <w:numId w:val="0"/>
        </w:numPr>
        <w:ind w:left="360"/>
        <w:jc w:val="left"/>
      </w:pPr>
      <w:r w:rsidRPr="00753209">
        <w:t>As already analysed by the ACMA, t</w:t>
      </w:r>
      <w:r w:rsidR="00F1321F" w:rsidRPr="00753209">
        <w:t xml:space="preserve">he sharing developments in </w:t>
      </w:r>
      <w:r w:rsidR="00ED2620" w:rsidRPr="00753209">
        <w:t xml:space="preserve">the </w:t>
      </w:r>
      <w:r w:rsidR="00F1321F" w:rsidRPr="00753209">
        <w:t>US a</w:t>
      </w:r>
      <w:r w:rsidRPr="00753209">
        <w:t>s well as in Europe will allow new entrants to use the spectrum while protecting incumbents.</w:t>
      </w:r>
    </w:p>
    <w:p w:rsidR="00D71CCB" w:rsidRPr="00753209" w:rsidRDefault="004B5CE5" w:rsidP="001E2B28">
      <w:pPr>
        <w:pStyle w:val="ListNumber2"/>
        <w:numPr>
          <w:ilvl w:val="0"/>
          <w:numId w:val="0"/>
        </w:numPr>
        <w:ind w:left="360"/>
        <w:jc w:val="left"/>
      </w:pPr>
      <w:r w:rsidRPr="00753209">
        <w:t xml:space="preserve"> </w:t>
      </w:r>
    </w:p>
    <w:p w:rsidR="004B5CE5" w:rsidRPr="00753209" w:rsidRDefault="00ED2620" w:rsidP="001E2B28">
      <w:pPr>
        <w:pStyle w:val="ListNumber2"/>
        <w:numPr>
          <w:ilvl w:val="0"/>
          <w:numId w:val="0"/>
        </w:numPr>
        <w:ind w:left="360"/>
        <w:jc w:val="left"/>
      </w:pPr>
      <w:r w:rsidRPr="00753209">
        <w:t xml:space="preserve">The </w:t>
      </w:r>
      <w:r w:rsidR="004B5CE5" w:rsidRPr="00753209">
        <w:t xml:space="preserve">Citizen Broadband Radio Service (CBRS) in </w:t>
      </w:r>
      <w:r w:rsidRPr="00753209">
        <w:t>the US</w:t>
      </w:r>
      <w:r w:rsidR="00D71CCB" w:rsidRPr="00753209">
        <w:t xml:space="preserve"> </w:t>
      </w:r>
      <w:r w:rsidRPr="00753209">
        <w:t>consists of</w:t>
      </w:r>
      <w:r w:rsidR="00D71CCB" w:rsidRPr="00753209">
        <w:t xml:space="preserve"> three</w:t>
      </w:r>
      <w:r w:rsidRPr="00753209">
        <w:t xml:space="preserve"> </w:t>
      </w:r>
      <w:r w:rsidR="00D71CCB" w:rsidRPr="00753209">
        <w:t>(3) tiered users to support shared access to the band with Tier 1: Incumbent Users; Tier 2: Priority Access Licences; and Tier 3: General Authorised Access.</w:t>
      </w:r>
    </w:p>
    <w:p w:rsidR="0088105B" w:rsidRPr="00753209" w:rsidRDefault="0088105B" w:rsidP="001E2B28">
      <w:pPr>
        <w:pStyle w:val="ListNumber2"/>
        <w:numPr>
          <w:ilvl w:val="0"/>
          <w:numId w:val="0"/>
        </w:numPr>
        <w:ind w:left="360"/>
        <w:jc w:val="left"/>
      </w:pPr>
    </w:p>
    <w:p w:rsidR="00D71CCB" w:rsidRPr="00753209" w:rsidRDefault="00D71CCB" w:rsidP="001E2B28">
      <w:pPr>
        <w:pStyle w:val="ListNumber2"/>
        <w:numPr>
          <w:ilvl w:val="0"/>
          <w:numId w:val="0"/>
        </w:numPr>
        <w:ind w:left="360"/>
        <w:jc w:val="left"/>
      </w:pPr>
      <w:r w:rsidRPr="00753209">
        <w:t xml:space="preserve">Licensed Shared Access (LSA) in Europe, developed by Electronic Communications Committee (ECC) has two (2) approaches as </w:t>
      </w:r>
      <w:r w:rsidR="007B59A1" w:rsidRPr="00753209">
        <w:t xml:space="preserve">described </w:t>
      </w:r>
      <w:r w:rsidRPr="00753209">
        <w:t>below</w:t>
      </w:r>
      <w:r w:rsidR="007B59A1" w:rsidRPr="00753209">
        <w:t>.  It also provides a guidance to implement the LAS framework at the national level where appropriate.</w:t>
      </w:r>
      <w:r w:rsidR="0088105B" w:rsidRPr="00753209">
        <w:t xml:space="preserve"> </w:t>
      </w:r>
      <w:r w:rsidRPr="00753209">
        <w:t>(Reference: ECC Report 254 Operational guideli</w:t>
      </w:r>
      <w:r w:rsidR="007B59A1" w:rsidRPr="00753209">
        <w:t>n</w:t>
      </w:r>
      <w:r w:rsidRPr="00753209">
        <w:t xml:space="preserve">es to support ECC framework in the 3600-3800 MHz range for sharing with Fixed </w:t>
      </w:r>
      <w:r w:rsidR="009D018D">
        <w:t>Service/Fixed Satellite Service;</w:t>
      </w:r>
      <w:r w:rsidRPr="00753209">
        <w:t xml:space="preserve">  </w:t>
      </w:r>
      <w:hyperlink r:id="rId24" w:history="1">
        <w:r w:rsidR="00ED2620" w:rsidRPr="00753209">
          <w:rPr>
            <w:rStyle w:val="Hyperlink"/>
          </w:rPr>
          <w:t>http://www.erodocdb.dk/Docs/doc98/official/pdf/ECCREP254.PDF</w:t>
        </w:r>
      </w:hyperlink>
      <w:r w:rsidR="00ED2620" w:rsidRPr="00753209">
        <w:t xml:space="preserve"> </w:t>
      </w:r>
      <w:r w:rsidRPr="00753209">
        <w:t>)</w:t>
      </w:r>
    </w:p>
    <w:p w:rsidR="00D71CCB" w:rsidRPr="00753209" w:rsidRDefault="00D71CCB" w:rsidP="001E2B28">
      <w:pPr>
        <w:pStyle w:val="ListNumber2"/>
        <w:numPr>
          <w:ilvl w:val="0"/>
          <w:numId w:val="0"/>
        </w:numPr>
        <w:ind w:left="360"/>
        <w:jc w:val="left"/>
        <w:rPr>
          <w:color w:val="000000" w:themeColor="text1"/>
        </w:rPr>
      </w:pPr>
    </w:p>
    <w:p w:rsidR="00D71CCB" w:rsidRPr="00753209" w:rsidRDefault="00D71CCB" w:rsidP="00A40398">
      <w:pPr>
        <w:pStyle w:val="ListNumber"/>
        <w:numPr>
          <w:ilvl w:val="0"/>
          <w:numId w:val="17"/>
        </w:numPr>
        <w:ind w:left="720"/>
      </w:pPr>
      <w:r w:rsidRPr="00753209">
        <w:t xml:space="preserve">Approach A: Specifying the maximum permitted interference powers or electric field strengths at the FS/FSS receivers and allowing full flexibility to the mobile operators to comply with the specified limits. These may be expressed in terms of protection zones. </w:t>
      </w:r>
    </w:p>
    <w:p w:rsidR="00D71CCB" w:rsidRPr="00753209" w:rsidRDefault="00D71CCB" w:rsidP="00A40398">
      <w:pPr>
        <w:pStyle w:val="ListNumber"/>
        <w:numPr>
          <w:ilvl w:val="0"/>
          <w:numId w:val="0"/>
        </w:numPr>
        <w:ind w:left="720"/>
      </w:pPr>
    </w:p>
    <w:p w:rsidR="00D71CCB" w:rsidRPr="00753209" w:rsidRDefault="00D71CCB" w:rsidP="00A40398">
      <w:pPr>
        <w:pStyle w:val="ListNumber"/>
        <w:numPr>
          <w:ilvl w:val="0"/>
          <w:numId w:val="17"/>
        </w:numPr>
        <w:ind w:left="720"/>
      </w:pPr>
      <w:r w:rsidRPr="00753209">
        <w:t xml:space="preserve"> Approach B: Specifying explicit restrictions on the frequency, or geographic location, or the equi</w:t>
      </w:r>
      <w:r w:rsidR="005046C8" w:rsidRPr="00753209">
        <w:t>valent isotropic radiated power (</w:t>
      </w:r>
      <w:r w:rsidRPr="00753209">
        <w:t xml:space="preserve">EIRP) levels (or a combination thereof) for the MBB deployments. These restrictions can be expressed in terms of exclusion zones and/or restriction zones. </w:t>
      </w:r>
    </w:p>
    <w:p w:rsidR="00D71CCB" w:rsidRPr="00753209" w:rsidRDefault="00D71CCB" w:rsidP="00D3729D">
      <w:pPr>
        <w:pStyle w:val="ListNumber2"/>
        <w:numPr>
          <w:ilvl w:val="0"/>
          <w:numId w:val="0"/>
        </w:numPr>
        <w:ind w:left="426"/>
        <w:jc w:val="left"/>
        <w:rPr>
          <w:color w:val="000000" w:themeColor="text1"/>
        </w:rPr>
      </w:pPr>
    </w:p>
    <w:p w:rsidR="00140A35" w:rsidRPr="00753209" w:rsidRDefault="009379B3" w:rsidP="001E2B28">
      <w:pPr>
        <w:pStyle w:val="ListNumber2"/>
        <w:numPr>
          <w:ilvl w:val="0"/>
          <w:numId w:val="0"/>
        </w:numPr>
        <w:ind w:left="360"/>
        <w:jc w:val="left"/>
      </w:pPr>
      <w:r w:rsidRPr="00753209">
        <w:t xml:space="preserve">Huawei would suggest the ACMA not to implement </w:t>
      </w:r>
      <w:r w:rsidR="00517AF6" w:rsidRPr="00753209">
        <w:t xml:space="preserve">the </w:t>
      </w:r>
      <w:r w:rsidR="00C96E90" w:rsidRPr="00753209">
        <w:t xml:space="preserve">three </w:t>
      </w:r>
      <w:r w:rsidR="00517AF6" w:rsidRPr="00753209">
        <w:t xml:space="preserve">(3) </w:t>
      </w:r>
      <w:r w:rsidR="00C96E90" w:rsidRPr="00753209">
        <w:t xml:space="preserve">tiered or </w:t>
      </w:r>
      <w:r w:rsidRPr="00753209">
        <w:t>mu</w:t>
      </w:r>
      <w:r w:rsidR="00517AF6" w:rsidRPr="00753209">
        <w:t xml:space="preserve">lti-tiered sharing arrangement </w:t>
      </w:r>
      <w:r w:rsidRPr="00753209">
        <w:t xml:space="preserve">in Australia </w:t>
      </w:r>
      <w:r w:rsidR="00517AF6" w:rsidRPr="00753209">
        <w:t xml:space="preserve">yet as </w:t>
      </w:r>
      <w:r w:rsidRPr="00753209">
        <w:t xml:space="preserve">to avoid </w:t>
      </w:r>
      <w:r w:rsidR="00271430" w:rsidRPr="00753209">
        <w:t xml:space="preserve">a more </w:t>
      </w:r>
      <w:r w:rsidRPr="00753209">
        <w:t>complex sharing scenari</w:t>
      </w:r>
      <w:r w:rsidR="0029025F" w:rsidRPr="00753209">
        <w:t>o to manage</w:t>
      </w:r>
      <w:r w:rsidRPr="00753209">
        <w:t xml:space="preserve"> </w:t>
      </w:r>
      <w:r w:rsidR="00517AF6" w:rsidRPr="00753209">
        <w:t>in</w:t>
      </w:r>
      <w:r w:rsidRPr="00753209">
        <w:t xml:space="preserve"> this early development stage </w:t>
      </w:r>
      <w:r w:rsidR="00C96E90" w:rsidRPr="00753209">
        <w:t>of</w:t>
      </w:r>
      <w:r w:rsidRPr="00753209">
        <w:t xml:space="preserve"> adopt</w:t>
      </w:r>
      <w:r w:rsidR="00C96E90" w:rsidRPr="00753209">
        <w:t xml:space="preserve">ion </w:t>
      </w:r>
      <w:r w:rsidR="0029025F" w:rsidRPr="00753209">
        <w:t>for</w:t>
      </w:r>
      <w:r w:rsidR="00C96E90" w:rsidRPr="00753209">
        <w:t xml:space="preserve"> </w:t>
      </w:r>
      <w:r w:rsidR="00271430" w:rsidRPr="00753209">
        <w:t xml:space="preserve">spectrum </w:t>
      </w:r>
      <w:r w:rsidRPr="00753209">
        <w:t>sharing arrangements.</w:t>
      </w:r>
    </w:p>
    <w:p w:rsidR="00C96E90" w:rsidRPr="00753209" w:rsidRDefault="009379B3" w:rsidP="001E2B28">
      <w:pPr>
        <w:pStyle w:val="ListNumber2"/>
        <w:numPr>
          <w:ilvl w:val="0"/>
          <w:numId w:val="0"/>
        </w:numPr>
        <w:ind w:left="360"/>
        <w:jc w:val="left"/>
      </w:pPr>
      <w:r w:rsidRPr="00753209">
        <w:t xml:space="preserve"> </w:t>
      </w:r>
      <w:r w:rsidR="00C96E90" w:rsidRPr="00753209">
        <w:t xml:space="preserve"> </w:t>
      </w:r>
    </w:p>
    <w:p w:rsidR="004B5CE5" w:rsidRDefault="00C96E90" w:rsidP="001E2B28">
      <w:pPr>
        <w:pStyle w:val="ListNumber2"/>
        <w:numPr>
          <w:ilvl w:val="0"/>
          <w:numId w:val="0"/>
        </w:numPr>
        <w:ind w:left="360"/>
        <w:jc w:val="left"/>
        <w:rPr>
          <w:i/>
        </w:rPr>
      </w:pPr>
      <w:r w:rsidRPr="00753209">
        <w:t xml:space="preserve">With a range of </w:t>
      </w:r>
      <w:r w:rsidR="005046C8" w:rsidRPr="00753209">
        <w:t xml:space="preserve">tight </w:t>
      </w:r>
      <w:r w:rsidRPr="00753209">
        <w:t xml:space="preserve">regulatory frameworks, </w:t>
      </w:r>
      <w:r w:rsidR="00517AF6" w:rsidRPr="00753209">
        <w:t xml:space="preserve">the </w:t>
      </w:r>
      <w:r w:rsidRPr="00753209">
        <w:t xml:space="preserve">LSA </w:t>
      </w:r>
      <w:r w:rsidR="005046C8" w:rsidRPr="00753209">
        <w:t>would</w:t>
      </w:r>
      <w:r w:rsidRPr="00753209">
        <w:t xml:space="preserve"> be one of </w:t>
      </w:r>
      <w:r w:rsidR="00517AF6" w:rsidRPr="00753209">
        <w:t xml:space="preserve">the </w:t>
      </w:r>
      <w:r w:rsidRPr="00753209">
        <w:t>possible approaches to implement (</w:t>
      </w:r>
      <w:r w:rsidR="00596A1C" w:rsidRPr="00753209">
        <w:t xml:space="preserve">a specific implementation of </w:t>
      </w:r>
      <w:r w:rsidRPr="00753209">
        <w:t>database</w:t>
      </w:r>
      <w:r w:rsidR="00596A1C" w:rsidRPr="00753209">
        <w:t xml:space="preserve"> assisted</w:t>
      </w:r>
      <w:r w:rsidRPr="00753209">
        <w:t xml:space="preserve"> sharing</w:t>
      </w:r>
      <w:r w:rsidR="00596A1C" w:rsidRPr="00753209">
        <w:t xml:space="preserve"> between a licensee and incumbents</w:t>
      </w:r>
      <w:r w:rsidRPr="00753209">
        <w:t xml:space="preserve">). </w:t>
      </w:r>
      <w:r w:rsidR="005046C8" w:rsidRPr="00753209">
        <w:t xml:space="preserve">It is important to acknowledge the difficulties that arise with even </w:t>
      </w:r>
      <w:r w:rsidRPr="00753209">
        <w:t xml:space="preserve">two (2) tiered sharing opportunities before considering three </w:t>
      </w:r>
      <w:r w:rsidR="005046C8" w:rsidRPr="00753209">
        <w:t xml:space="preserve">(3) </w:t>
      </w:r>
      <w:r w:rsidRPr="00753209">
        <w:t xml:space="preserve">or more tiered sharing regulatory frameworks. </w:t>
      </w:r>
      <w:r>
        <w:rPr>
          <w:i/>
        </w:rPr>
        <w:t xml:space="preserve"> </w:t>
      </w:r>
    </w:p>
    <w:p w:rsidR="00F1321F" w:rsidRDefault="004B5CE5" w:rsidP="00F1321F">
      <w:pPr>
        <w:pStyle w:val="ListNumber"/>
        <w:numPr>
          <w:ilvl w:val="0"/>
          <w:numId w:val="0"/>
        </w:numPr>
        <w:ind w:left="360"/>
        <w:rPr>
          <w:i/>
        </w:rPr>
      </w:pPr>
      <w:r>
        <w:rPr>
          <w:i/>
        </w:rPr>
        <w:t xml:space="preserve"> </w:t>
      </w:r>
      <w:r w:rsidR="00F1321F">
        <w:rPr>
          <w:i/>
        </w:rPr>
        <w:t xml:space="preserve">   </w:t>
      </w:r>
    </w:p>
    <w:p w:rsidR="000846C9" w:rsidRDefault="000846C9" w:rsidP="00420F48">
      <w:pPr>
        <w:pStyle w:val="ListNumber"/>
        <w:numPr>
          <w:ilvl w:val="0"/>
          <w:numId w:val="3"/>
        </w:numPr>
        <w:rPr>
          <w:b/>
        </w:rPr>
      </w:pPr>
      <w:r w:rsidRPr="000846C9">
        <w:rPr>
          <w:b/>
        </w:rPr>
        <w:t xml:space="preserve">Are there any other sharing arrangements that should be considered? </w:t>
      </w:r>
    </w:p>
    <w:p w:rsidR="00CB5728" w:rsidRDefault="00CB5728" w:rsidP="00CB5728">
      <w:pPr>
        <w:pStyle w:val="ListNumber2"/>
        <w:numPr>
          <w:ilvl w:val="0"/>
          <w:numId w:val="0"/>
        </w:numPr>
        <w:ind w:left="426"/>
        <w:jc w:val="left"/>
        <w:rPr>
          <w:i/>
          <w:color w:val="000000" w:themeColor="text1"/>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CB5728" w:rsidRPr="00753209" w:rsidRDefault="00CD4210" w:rsidP="001E2B28">
      <w:pPr>
        <w:pStyle w:val="ListNumber2"/>
        <w:numPr>
          <w:ilvl w:val="0"/>
          <w:numId w:val="0"/>
        </w:numPr>
        <w:ind w:left="360"/>
        <w:jc w:val="left"/>
      </w:pPr>
      <w:r w:rsidRPr="00753209">
        <w:t>Huawei does</w:t>
      </w:r>
      <w:r w:rsidR="00CB5728" w:rsidRPr="00753209">
        <w:t xml:space="preserve"> not think </w:t>
      </w:r>
      <w:r w:rsidRPr="00753209">
        <w:t xml:space="preserve">that </w:t>
      </w:r>
      <w:r w:rsidR="00CB5728" w:rsidRPr="00753209">
        <w:t xml:space="preserve">there are </w:t>
      </w:r>
      <w:r w:rsidRPr="00753209">
        <w:t xml:space="preserve">any </w:t>
      </w:r>
      <w:r w:rsidR="00CB5728" w:rsidRPr="00753209">
        <w:t xml:space="preserve">other sharing arrangements that could be relevant for this band. </w:t>
      </w:r>
    </w:p>
    <w:p w:rsidR="00CB5728" w:rsidRPr="006F3FE0" w:rsidRDefault="00CB5728" w:rsidP="00CB5728">
      <w:pPr>
        <w:pStyle w:val="ListNumber2"/>
        <w:numPr>
          <w:ilvl w:val="0"/>
          <w:numId w:val="0"/>
        </w:numPr>
        <w:ind w:left="426"/>
        <w:jc w:val="left"/>
        <w:rPr>
          <w:i/>
          <w:color w:val="000000" w:themeColor="text1"/>
        </w:rPr>
      </w:pPr>
      <w:r>
        <w:rPr>
          <w:i/>
          <w:color w:val="000000" w:themeColor="text1"/>
        </w:rPr>
        <w:t xml:space="preserve"> </w:t>
      </w:r>
    </w:p>
    <w:p w:rsidR="000846C9" w:rsidRPr="000846C9" w:rsidRDefault="000846C9" w:rsidP="00420F48">
      <w:pPr>
        <w:pStyle w:val="ListNumber"/>
        <w:numPr>
          <w:ilvl w:val="0"/>
          <w:numId w:val="3"/>
        </w:numPr>
        <w:rPr>
          <w:b/>
        </w:rPr>
      </w:pPr>
      <w:r w:rsidRPr="000846C9">
        <w:rPr>
          <w:b/>
        </w:rPr>
        <w:t>Are there any other replanning options that should be considered?</w:t>
      </w:r>
    </w:p>
    <w:p w:rsidR="00DF386A" w:rsidRDefault="00DF386A" w:rsidP="000846C9">
      <w:pPr>
        <w:pStyle w:val="ListNumber"/>
        <w:numPr>
          <w:ilvl w:val="0"/>
          <w:numId w:val="0"/>
        </w:numPr>
        <w:ind w:left="360"/>
        <w:rPr>
          <w:i/>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0846C9" w:rsidRPr="00753209" w:rsidRDefault="00DF386A" w:rsidP="000846C9">
      <w:pPr>
        <w:pStyle w:val="ListNumber"/>
        <w:numPr>
          <w:ilvl w:val="0"/>
          <w:numId w:val="0"/>
        </w:numPr>
        <w:ind w:left="360"/>
      </w:pPr>
      <w:r w:rsidRPr="00753209">
        <w:t>The current presented options for replanning the 3.6 GHz band are sufficient to address</w:t>
      </w:r>
      <w:r w:rsidR="00E2008A" w:rsidRPr="00753209">
        <w:t xml:space="preserve"> the</w:t>
      </w:r>
      <w:r w:rsidRPr="00753209">
        <w:t xml:space="preserve"> considered issues.</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Which replanning option should be implemented in the band? Why?</w:t>
      </w:r>
    </w:p>
    <w:p w:rsidR="000846C9" w:rsidRPr="00223986" w:rsidRDefault="000846C9" w:rsidP="000846C9">
      <w:pPr>
        <w:pStyle w:val="ListNumber"/>
        <w:numPr>
          <w:ilvl w:val="0"/>
          <w:numId w:val="0"/>
        </w:numPr>
        <w:ind w:left="360"/>
        <w:rPr>
          <w:i/>
          <w:color w:val="0033CC"/>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223986" w:rsidRPr="00753209" w:rsidRDefault="00223986" w:rsidP="00223986">
      <w:pPr>
        <w:pStyle w:val="ListNumber"/>
        <w:numPr>
          <w:ilvl w:val="0"/>
          <w:numId w:val="0"/>
        </w:numPr>
        <w:ind w:left="360"/>
      </w:pPr>
      <w:r w:rsidRPr="00753209">
        <w:t xml:space="preserve">Huawei’s current view is that Option 3c should be implemented in the band. </w:t>
      </w:r>
    </w:p>
    <w:p w:rsidR="0052380D" w:rsidRPr="00223986" w:rsidRDefault="00223986" w:rsidP="00223986">
      <w:pPr>
        <w:pStyle w:val="ListNumber"/>
        <w:numPr>
          <w:ilvl w:val="0"/>
          <w:numId w:val="0"/>
        </w:numPr>
        <w:ind w:left="360"/>
        <w:rPr>
          <w:i/>
          <w:color w:val="0033CC"/>
        </w:rPr>
      </w:pPr>
      <w:r w:rsidRPr="00753209">
        <w:t xml:space="preserve">We agree with the ACMA´s assessment of the benefits and costs of the different options. We also agree that spectrum licensing is necessary to deploy 4.5G and 5G MBB </w:t>
      </w:r>
      <w:r w:rsidR="00985A7F" w:rsidRPr="00753209">
        <w:t>in</w:t>
      </w:r>
      <w:r w:rsidRPr="00753209">
        <w:t xml:space="preserve"> high demand urban and suburban areas, whereas apparatus licensing could be sufficient for low demand areas. We emphasise that the 3.6 GHz low band is very vital for 4.5G and 5G MBB deployments to provide mobile coverage and capacity, including connecting remote unconnected areas and people.</w:t>
      </w:r>
      <w:r w:rsidR="007B32E3" w:rsidRPr="00223986">
        <w:rPr>
          <w:i/>
          <w:color w:val="0033CC"/>
        </w:rPr>
        <w:t xml:space="preserve"> </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In the event an area-wide licensing option is implemented, in which of the defined areas (that is, Area 1, 2, 3 and Australia-wide as defined in Appendix 6) should these arrangements be implemented? Are the current area definitions appropriate? If not, what area should be defined?</w:t>
      </w:r>
    </w:p>
    <w:p w:rsidR="000846C9" w:rsidRDefault="000846C9" w:rsidP="000846C9">
      <w:pPr>
        <w:pStyle w:val="ListNumber"/>
        <w:numPr>
          <w:ilvl w:val="0"/>
          <w:numId w:val="0"/>
        </w:numPr>
        <w:ind w:left="360"/>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0846C9" w:rsidRPr="00753209" w:rsidRDefault="008F14DF" w:rsidP="000846C9">
      <w:pPr>
        <w:pStyle w:val="ListNumber"/>
        <w:numPr>
          <w:ilvl w:val="0"/>
          <w:numId w:val="0"/>
        </w:numPr>
        <w:ind w:left="360"/>
      </w:pPr>
      <w:r w:rsidRPr="00753209">
        <w:t xml:space="preserve">In the event an area-wide licensing option </w:t>
      </w:r>
      <w:r w:rsidR="00A20250" w:rsidRPr="00753209">
        <w:t>is</w:t>
      </w:r>
      <w:r w:rsidRPr="00753209">
        <w:t xml:space="preserve"> considered, Area</w:t>
      </w:r>
      <w:r w:rsidR="00374138" w:rsidRPr="00753209">
        <w:t xml:space="preserve"> 3</w:t>
      </w:r>
      <w:r w:rsidRPr="00753209">
        <w:t xml:space="preserve"> </w:t>
      </w:r>
      <w:r w:rsidR="00A20250" w:rsidRPr="00753209">
        <w:t>should</w:t>
      </w:r>
      <w:r w:rsidRPr="00753209">
        <w:t xml:space="preserve"> be implemented.  In </w:t>
      </w:r>
      <w:r w:rsidR="00A20250" w:rsidRPr="00753209">
        <w:t xml:space="preserve">the </w:t>
      </w:r>
      <w:r w:rsidRPr="00753209">
        <w:t>long-term, Australian-wide spectrum licensing arrangement</w:t>
      </w:r>
      <w:r w:rsidR="00A20250" w:rsidRPr="00753209">
        <w:t>s</w:t>
      </w:r>
      <w:r w:rsidR="00AE180A" w:rsidRPr="00753209">
        <w:t xml:space="preserve"> </w:t>
      </w:r>
      <w:r w:rsidR="0079079A" w:rsidRPr="00753209">
        <w:t xml:space="preserve">may become relevant </w:t>
      </w:r>
      <w:r w:rsidR="00AE180A" w:rsidRPr="00753209">
        <w:t xml:space="preserve">to deploy 5G services </w:t>
      </w:r>
      <w:r w:rsidR="00A20250" w:rsidRPr="00753209">
        <w:t>beyond A</w:t>
      </w:r>
      <w:r w:rsidR="00AE180A" w:rsidRPr="00753209">
        <w:t>rea 3</w:t>
      </w:r>
      <w:r w:rsidR="00C44CA6" w:rsidRPr="00753209">
        <w:t>, including rural areas,</w:t>
      </w:r>
      <w:r w:rsidR="00AE180A" w:rsidRPr="00753209">
        <w:t xml:space="preserve"> when</w:t>
      </w:r>
      <w:r w:rsidR="0079079A" w:rsidRPr="00753209">
        <w:t xml:space="preserve"> </w:t>
      </w:r>
      <w:r w:rsidR="00AE180A" w:rsidRPr="00753209">
        <w:t xml:space="preserve">5G technology and its </w:t>
      </w:r>
      <w:r w:rsidR="00C44CA6" w:rsidRPr="00753209">
        <w:t>applications</w:t>
      </w:r>
      <w:r w:rsidR="00AE180A" w:rsidRPr="00753209">
        <w:t xml:space="preserve"> develop further </w:t>
      </w:r>
      <w:r w:rsidR="00C44CA6" w:rsidRPr="00753209">
        <w:t>in the future</w:t>
      </w:r>
      <w:r w:rsidR="00AE180A" w:rsidRPr="00753209">
        <w:t xml:space="preserve">. </w:t>
      </w:r>
    </w:p>
    <w:p w:rsidR="00AE180A" w:rsidRDefault="00AE180A"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If Option 4a is implemented, what frequencies and areas should be re-allocated for the issue of spectrum licences? How much spectrum should remain subject to site-based apparatus licensing arrangements? Should different amounts be considered in different areas?</w:t>
      </w:r>
    </w:p>
    <w:p w:rsidR="000846C9" w:rsidRDefault="000846C9" w:rsidP="000846C9">
      <w:pPr>
        <w:pStyle w:val="ListNumber"/>
        <w:numPr>
          <w:ilvl w:val="0"/>
          <w:numId w:val="0"/>
        </w:numPr>
        <w:ind w:left="360"/>
        <w:rPr>
          <w:i/>
          <w:color w:val="0070C0"/>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571B8E" w:rsidRPr="00753209" w:rsidRDefault="00571B8E" w:rsidP="000846C9">
      <w:pPr>
        <w:pStyle w:val="ListNumber"/>
        <w:numPr>
          <w:ilvl w:val="0"/>
          <w:numId w:val="0"/>
        </w:numPr>
        <w:ind w:left="360"/>
      </w:pPr>
      <w:r w:rsidRPr="00753209">
        <w:t>Huawei</w:t>
      </w:r>
      <w:r w:rsidR="00C44CA6" w:rsidRPr="00753209">
        <w:t xml:space="preserve"> does</w:t>
      </w:r>
      <w:r w:rsidRPr="00753209">
        <w:t xml:space="preserve"> not recommend the ACMA to adopt and implement this option.</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If Option 4b is implemented, what frequencies and areas (that is, incumbent apparatus licence services) should remain subject to site-based apparatus licensing arrangements?</w:t>
      </w:r>
    </w:p>
    <w:p w:rsidR="00323749" w:rsidRPr="00753209" w:rsidRDefault="00323749" w:rsidP="000846C9">
      <w:pPr>
        <w:pStyle w:val="ListNumber"/>
        <w:numPr>
          <w:ilvl w:val="0"/>
          <w:numId w:val="0"/>
        </w:numPr>
        <w:ind w:left="360"/>
        <w:rPr>
          <w:color w:val="0033CC"/>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323749" w:rsidRPr="00753209" w:rsidRDefault="00323749" w:rsidP="000846C9">
      <w:pPr>
        <w:pStyle w:val="ListNumber"/>
        <w:numPr>
          <w:ilvl w:val="0"/>
          <w:numId w:val="0"/>
        </w:numPr>
        <w:ind w:left="360"/>
      </w:pPr>
      <w:r w:rsidRPr="00753209">
        <w:t xml:space="preserve">Huawei </w:t>
      </w:r>
      <w:r w:rsidR="00C44CA6" w:rsidRPr="00753209">
        <w:t>does</w:t>
      </w:r>
      <w:r w:rsidR="00571B8E" w:rsidRPr="00753209">
        <w:t xml:space="preserve"> </w:t>
      </w:r>
      <w:r w:rsidRPr="00753209">
        <w:t xml:space="preserve">not recommend </w:t>
      </w:r>
      <w:r w:rsidR="00571B8E" w:rsidRPr="00753209">
        <w:t xml:space="preserve">the ACMA </w:t>
      </w:r>
      <w:r w:rsidRPr="00753209">
        <w:t xml:space="preserve">to adopt and implement this option.   </w:t>
      </w:r>
    </w:p>
    <w:p w:rsidR="000846C9" w:rsidRDefault="000846C9" w:rsidP="000846C9">
      <w:pPr>
        <w:pStyle w:val="ListNumber"/>
        <w:numPr>
          <w:ilvl w:val="0"/>
          <w:numId w:val="0"/>
        </w:numPr>
        <w:ind w:left="360"/>
      </w:pPr>
    </w:p>
    <w:p w:rsidR="000846C9" w:rsidRPr="000846C9" w:rsidRDefault="000846C9" w:rsidP="00420F48">
      <w:pPr>
        <w:pStyle w:val="ListNumber"/>
        <w:numPr>
          <w:ilvl w:val="0"/>
          <w:numId w:val="3"/>
        </w:numPr>
        <w:rPr>
          <w:b/>
        </w:rPr>
      </w:pPr>
      <w:r w:rsidRPr="000846C9">
        <w:rPr>
          <w:b/>
        </w:rPr>
        <w:t>Comment is sought on the ACMA’s preferred option (Option 3c) for the 3.6 GHz band.</w:t>
      </w:r>
    </w:p>
    <w:p w:rsidR="000846C9" w:rsidRDefault="000846C9" w:rsidP="000846C9">
      <w:pPr>
        <w:pStyle w:val="ListNumber"/>
        <w:numPr>
          <w:ilvl w:val="0"/>
          <w:numId w:val="0"/>
        </w:numPr>
        <w:ind w:left="360"/>
        <w:rPr>
          <w:i/>
          <w:color w:val="0070C0"/>
        </w:rPr>
      </w:pP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A42857" w:rsidRPr="00753209" w:rsidRDefault="00EC163F" w:rsidP="00374138">
      <w:pPr>
        <w:pStyle w:val="ListNumber"/>
        <w:numPr>
          <w:ilvl w:val="0"/>
          <w:numId w:val="0"/>
        </w:numPr>
        <w:ind w:left="360"/>
      </w:pPr>
      <w:r w:rsidRPr="00753209">
        <w:t xml:space="preserve">It is an option with a spectrum licence arrangement for MBB service in Area 3 (will be issued for a maximum of 15 years) and new site based apparatus licence </w:t>
      </w:r>
      <w:r w:rsidR="00AA7650" w:rsidRPr="00753209">
        <w:t>arrangement</w:t>
      </w:r>
      <w:r w:rsidR="00C44CA6" w:rsidRPr="00753209">
        <w:t>s</w:t>
      </w:r>
      <w:r w:rsidR="00AA7650" w:rsidRPr="00753209">
        <w:t xml:space="preserve"> </w:t>
      </w:r>
      <w:r w:rsidRPr="00753209">
        <w:t>for</w:t>
      </w:r>
      <w:r w:rsidR="00982B2D" w:rsidRPr="00753209">
        <w:t xml:space="preserve"> both wireless broadband service</w:t>
      </w:r>
      <w:r w:rsidR="00C44CA6" w:rsidRPr="00753209">
        <w:t>s</w:t>
      </w:r>
      <w:r w:rsidR="00982B2D" w:rsidRPr="00753209">
        <w:t xml:space="preserve"> and MBB service</w:t>
      </w:r>
      <w:r w:rsidR="00C44CA6" w:rsidRPr="00753209">
        <w:t>s</w:t>
      </w:r>
      <w:r w:rsidRPr="00753209">
        <w:t xml:space="preserve"> outside Area 3.</w:t>
      </w:r>
      <w:r w:rsidR="00576F89" w:rsidRPr="00753209">
        <w:t xml:space="preserve"> </w:t>
      </w:r>
      <w:r w:rsidR="00A42857" w:rsidRPr="00753209">
        <w:t xml:space="preserve"> </w:t>
      </w:r>
    </w:p>
    <w:p w:rsidR="00A42857" w:rsidRPr="00753209" w:rsidRDefault="00A42857" w:rsidP="00374138">
      <w:pPr>
        <w:pStyle w:val="ListNumber"/>
        <w:numPr>
          <w:ilvl w:val="0"/>
          <w:numId w:val="0"/>
        </w:numPr>
        <w:ind w:left="360"/>
      </w:pPr>
    </w:p>
    <w:p w:rsidR="00AA7650" w:rsidRPr="00753209" w:rsidRDefault="00A42857" w:rsidP="00374138">
      <w:pPr>
        <w:pStyle w:val="ListNumber"/>
        <w:numPr>
          <w:ilvl w:val="0"/>
          <w:numId w:val="0"/>
        </w:numPr>
        <w:ind w:left="360"/>
      </w:pPr>
      <w:r w:rsidRPr="00753209">
        <w:t>Area 3 covers almost all high demand areas of 3.6 GHz band</w:t>
      </w:r>
      <w:r w:rsidR="00AA7650" w:rsidRPr="00753209">
        <w:t xml:space="preserve"> with </w:t>
      </w:r>
      <w:r w:rsidR="00AA7650" w:rsidRPr="00753209">
        <w:rPr>
          <w:u w:val="single"/>
        </w:rPr>
        <w:t>exception</w:t>
      </w:r>
      <w:r w:rsidR="00C44CA6" w:rsidRPr="00753209">
        <w:rPr>
          <w:u w:val="single"/>
        </w:rPr>
        <w:t xml:space="preserve"> </w:t>
      </w:r>
      <w:r w:rsidR="00C44CA6" w:rsidRPr="00753209">
        <w:t>to</w:t>
      </w:r>
      <w:r w:rsidR="00AA7650" w:rsidRPr="00753209">
        <w:t xml:space="preserve"> Peth (to avoid the issue of spectrum licences around the earth station protection zone near Mingenew).</w:t>
      </w:r>
      <w:r w:rsidR="00B640D0" w:rsidRPr="00753209">
        <w:t xml:space="preserve"> The area surrounding the earth station at Uralla, NSW is also excluded from </w:t>
      </w:r>
      <w:r w:rsidR="00685EFD" w:rsidRPr="00753209">
        <w:t xml:space="preserve">re-allocation for </w:t>
      </w:r>
      <w:r w:rsidR="00B640D0" w:rsidRPr="00753209">
        <w:t>spectrum licensing</w:t>
      </w:r>
      <w:r w:rsidR="00685EFD" w:rsidRPr="00753209">
        <w:t xml:space="preserve"> and suitable coordination would be required to manage interference. It also </w:t>
      </w:r>
      <w:r w:rsidR="00C44CA6" w:rsidRPr="00753209">
        <w:t>has</w:t>
      </w:r>
      <w:r w:rsidR="00685EFD" w:rsidRPr="00753209">
        <w:t xml:space="preserve"> a long-term geographical relocation of </w:t>
      </w:r>
      <w:r w:rsidR="00AD32D7" w:rsidRPr="00753209">
        <w:t xml:space="preserve">existing Area 3 </w:t>
      </w:r>
      <w:r w:rsidR="00685EFD" w:rsidRPr="00753209">
        <w:t>earth stations in regional/remote area (location would need to be decided) if they wish to continue operating in 3.6 GHz.</w:t>
      </w:r>
      <w:r w:rsidR="00B640D0" w:rsidRPr="00753209">
        <w:t xml:space="preserve"> </w:t>
      </w:r>
    </w:p>
    <w:p w:rsidR="00576F89" w:rsidRPr="00753209" w:rsidRDefault="00AA7650" w:rsidP="00374138">
      <w:pPr>
        <w:pStyle w:val="ListNumber"/>
        <w:numPr>
          <w:ilvl w:val="0"/>
          <w:numId w:val="0"/>
        </w:numPr>
        <w:ind w:left="360"/>
      </w:pPr>
      <w:r w:rsidRPr="00753209">
        <w:t xml:space="preserve"> </w:t>
      </w:r>
      <w:r w:rsidR="00A42857" w:rsidRPr="00753209">
        <w:t xml:space="preserve">  </w:t>
      </w:r>
    </w:p>
    <w:p w:rsidR="00576F89" w:rsidRPr="00753209" w:rsidRDefault="00A42857" w:rsidP="00374138">
      <w:pPr>
        <w:pStyle w:val="ListNumber"/>
        <w:numPr>
          <w:ilvl w:val="0"/>
          <w:numId w:val="0"/>
        </w:numPr>
        <w:ind w:left="360"/>
      </w:pPr>
      <w:r w:rsidRPr="00753209">
        <w:t>Under this option, i</w:t>
      </w:r>
      <w:r w:rsidR="00576F89" w:rsidRPr="00753209">
        <w:t>ncumbent apparatus licensees deployed inside Area 3 would be required to relocate by the end of re-allocation period</w:t>
      </w:r>
      <w:r w:rsidR="004F0619" w:rsidRPr="00753209">
        <w:t xml:space="preserve"> (transition period)</w:t>
      </w:r>
      <w:r w:rsidRPr="00753209">
        <w:t>.</w:t>
      </w:r>
      <w:r w:rsidR="004F0619" w:rsidRPr="00753209">
        <w:t xml:space="preserve"> Point-to-multipoint services</w:t>
      </w:r>
      <w:r w:rsidR="00C44CA6" w:rsidRPr="00753209">
        <w:t xml:space="preserve"> would be relocated to the</w:t>
      </w:r>
      <w:r w:rsidR="004F0619" w:rsidRPr="00753209">
        <w:t xml:space="preserve"> 5610-5650 MHz band </w:t>
      </w:r>
      <w:r w:rsidR="00C44CA6" w:rsidRPr="00753209">
        <w:t>in regional and remote areas initially,</w:t>
      </w:r>
      <w:r w:rsidR="004F0619" w:rsidRPr="00753209">
        <w:t xml:space="preserve"> with consideration of release in metro areas</w:t>
      </w:r>
      <w:r w:rsidR="00C44CA6" w:rsidRPr="00753209">
        <w:t xml:space="preserve"> at a later date</w:t>
      </w:r>
      <w:r w:rsidR="004F0619" w:rsidRPr="00753209">
        <w:t>.</w:t>
      </w:r>
    </w:p>
    <w:p w:rsidR="00576F89" w:rsidRPr="00753209" w:rsidRDefault="00576F89" w:rsidP="00374138">
      <w:pPr>
        <w:pStyle w:val="ListNumber"/>
        <w:numPr>
          <w:ilvl w:val="0"/>
          <w:numId w:val="0"/>
        </w:numPr>
        <w:ind w:left="360"/>
      </w:pPr>
    </w:p>
    <w:p w:rsidR="00EC163F" w:rsidRPr="00B874E9" w:rsidRDefault="00576F89" w:rsidP="00374138">
      <w:pPr>
        <w:pStyle w:val="ListNumber"/>
        <w:numPr>
          <w:ilvl w:val="0"/>
          <w:numId w:val="0"/>
        </w:numPr>
        <w:ind w:left="360"/>
        <w:rPr>
          <w:i/>
        </w:rPr>
      </w:pPr>
      <w:r w:rsidRPr="00753209">
        <w:t>This option</w:t>
      </w:r>
      <w:r w:rsidR="00AD32D7" w:rsidRPr="00753209">
        <w:t xml:space="preserve">, </w:t>
      </w:r>
      <w:r w:rsidRPr="00753209">
        <w:t>Option 3c</w:t>
      </w:r>
      <w:r w:rsidR="00C44CA6" w:rsidRPr="00753209">
        <w:t>,</w:t>
      </w:r>
      <w:r w:rsidRPr="00753209">
        <w:t xml:space="preserve"> is the most viable and practical option </w:t>
      </w:r>
      <w:r w:rsidR="00AD32D7" w:rsidRPr="00753209">
        <w:t xml:space="preserve">for </w:t>
      </w:r>
      <w:r w:rsidRPr="00753209">
        <w:t xml:space="preserve">the current foreseen issues </w:t>
      </w:r>
      <w:r w:rsidR="00AD32D7" w:rsidRPr="00753209">
        <w:t>in</w:t>
      </w:r>
      <w:r w:rsidR="00223986" w:rsidRPr="00753209">
        <w:t xml:space="preserve"> 3.6 GHz band spectrum,</w:t>
      </w:r>
      <w:r w:rsidR="00AD32D7" w:rsidRPr="00753209">
        <w:t xml:space="preserve"> to be </w:t>
      </w:r>
      <w:r w:rsidRPr="00753209">
        <w:t>re-farm</w:t>
      </w:r>
      <w:r w:rsidR="00AD32D7" w:rsidRPr="00753209">
        <w:t xml:space="preserve">ed </w:t>
      </w:r>
      <w:r w:rsidR="00223986" w:rsidRPr="00753209">
        <w:t xml:space="preserve">for </w:t>
      </w:r>
      <w:r w:rsidRPr="00753209">
        <w:t>reallocat</w:t>
      </w:r>
      <w:r w:rsidR="00AD32D7" w:rsidRPr="00753209">
        <w:t>ing to MBB services</w:t>
      </w:r>
      <w:r w:rsidRPr="00753209">
        <w:t xml:space="preserve"> for Australia. </w:t>
      </w:r>
      <w:r w:rsidR="00EC163F" w:rsidRPr="00753209">
        <w:t xml:space="preserve"> </w:t>
      </w:r>
    </w:p>
    <w:p w:rsidR="00A2543E" w:rsidRDefault="00A2543E" w:rsidP="00FD3FD3">
      <w:pPr>
        <w:pStyle w:val="ListNumber"/>
        <w:numPr>
          <w:ilvl w:val="0"/>
          <w:numId w:val="0"/>
        </w:numPr>
        <w:ind w:left="360"/>
        <w:rPr>
          <w:i/>
        </w:rPr>
      </w:pPr>
    </w:p>
    <w:p w:rsidR="00352CB6" w:rsidRDefault="00180392" w:rsidP="00374138">
      <w:pPr>
        <w:spacing w:before="0" w:after="200" w:line="276" w:lineRule="auto"/>
        <w:ind w:left="0"/>
        <w:jc w:val="left"/>
        <w:rPr>
          <w:i/>
        </w:rPr>
      </w:pPr>
      <w:r>
        <w:rPr>
          <w:b/>
          <w:highlight w:val="lightGray"/>
        </w:rPr>
        <w:br w:type="page"/>
      </w:r>
      <w:r w:rsidR="005D1D95" w:rsidRPr="005D1D95">
        <w:rPr>
          <w:b/>
          <w:highlight w:val="lightGray"/>
        </w:rPr>
        <w:t>H</w:t>
      </w:r>
      <w:r w:rsidR="007A6912">
        <w:rPr>
          <w:b/>
          <w:highlight w:val="lightGray"/>
        </w:rPr>
        <w:t>IGHEST VALUE USE ASSESSMENT</w:t>
      </w:r>
      <w:r w:rsidR="005D1D95" w:rsidRPr="005D1D95">
        <w:rPr>
          <w:b/>
          <w:highlight w:val="lightGray"/>
        </w:rPr>
        <w:t>- Q</w:t>
      </w:r>
      <w:r w:rsidR="007A6912">
        <w:rPr>
          <w:b/>
          <w:highlight w:val="lightGray"/>
        </w:rPr>
        <w:t>UANTITATIVE ANALYSIS QUESTIONS AND OUR RESPONSES</w:t>
      </w:r>
      <w:r w:rsidR="00E82040">
        <w:rPr>
          <w:i/>
        </w:rPr>
        <w:t xml:space="preserve"> </w:t>
      </w:r>
    </w:p>
    <w:p w:rsidR="00352CB6" w:rsidRDefault="00352CB6" w:rsidP="008C04B9">
      <w:pPr>
        <w:ind w:left="0"/>
        <w:rPr>
          <w:i/>
        </w:rPr>
      </w:pPr>
    </w:p>
    <w:p w:rsidR="000642D9" w:rsidRPr="002512E5" w:rsidRDefault="005F27A9" w:rsidP="00420F48">
      <w:pPr>
        <w:pStyle w:val="ListNumber"/>
        <w:numPr>
          <w:ilvl w:val="0"/>
          <w:numId w:val="8"/>
        </w:numPr>
        <w:spacing w:after="240"/>
        <w:ind w:left="357" w:hanging="357"/>
        <w:rPr>
          <w:b/>
        </w:rPr>
      </w:pPr>
      <w:r w:rsidRPr="002512E5">
        <w:rPr>
          <w:b/>
        </w:rPr>
        <w:t>Are there any general economic impacts that should be included but are not currently included in the method to determine highest value use?</w:t>
      </w: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2512E5" w:rsidRPr="00753209" w:rsidRDefault="00A90837" w:rsidP="00A90837">
      <w:pPr>
        <w:pStyle w:val="ListNumber"/>
        <w:numPr>
          <w:ilvl w:val="0"/>
          <w:numId w:val="0"/>
        </w:numPr>
        <w:spacing w:after="240"/>
        <w:ind w:left="360"/>
      </w:pPr>
      <w:r w:rsidRPr="00753209">
        <w:t xml:space="preserve">Huawei commends </w:t>
      </w:r>
      <w:r w:rsidR="00494642" w:rsidRPr="00753209">
        <w:t xml:space="preserve">the </w:t>
      </w:r>
      <w:r w:rsidRPr="00753209">
        <w:t>ACMA for conducting a value assessment of the re-farming of the 3.6 GHz band. We recognise that quantification is difficult and very sensitive to the assumptions, which in turn are subject to a great deal of uncertainty. However we agree with the ACMA that, to the extent possible, the broader economic impacts should be accounted for.</w:t>
      </w:r>
    </w:p>
    <w:p w:rsidR="00A90837" w:rsidRPr="00753209" w:rsidRDefault="00A90837" w:rsidP="00A90837">
      <w:pPr>
        <w:pStyle w:val="ListNumber"/>
        <w:numPr>
          <w:ilvl w:val="0"/>
          <w:numId w:val="0"/>
        </w:numPr>
        <w:spacing w:after="240"/>
        <w:ind w:left="360"/>
      </w:pPr>
      <w:r w:rsidRPr="00753209">
        <w:t>Huawei would like to emphasise the significant and direct contribution of mobile broadband to the economy. Some highlights of this can be found in the 2017 GSMA Mobile Economy Report for the Asia Pacific region which found that mobile technologies and services generated 5.2% of GDP in Asia-Pacific, a contribution that amounted to around USD1.3 trillion of economic value. The mobile industry supported 16 million jobs in 2016 in the region, including workers directly employed by the industry and jobs in support of the economic activity generated by the sector. The mobile industry also makes a substantial contribution to the funding of the states, with approximately USD166 billion raised in 2016 in taxes.</w:t>
      </w:r>
    </w:p>
    <w:p w:rsidR="00A90837" w:rsidRPr="00753209" w:rsidRDefault="00A90837" w:rsidP="00A90837">
      <w:pPr>
        <w:pStyle w:val="ListNumber"/>
        <w:numPr>
          <w:ilvl w:val="0"/>
          <w:numId w:val="0"/>
        </w:numPr>
        <w:spacing w:after="240"/>
        <w:ind w:left="360"/>
      </w:pPr>
      <w:r w:rsidRPr="00753209">
        <w:t>Mobile services are also an engine for growth, with an econometric study commissioned by the GSMA in 2012 concluding that a doubling of mobile data use leads to an increase in GDP per capita of 0.5 percentage points.</w:t>
      </w:r>
      <w:r w:rsidR="00B11CEE" w:rsidRPr="00753209">
        <w:t xml:space="preserve">(Reference: </w:t>
      </w:r>
      <w:r w:rsidR="009E031A" w:rsidRPr="00753209">
        <w:t xml:space="preserve">Report from Deloitte for GSMA, </w:t>
      </w:r>
      <w:r w:rsidR="00B11CEE" w:rsidRPr="00753209">
        <w:t>What is the impact of mobile telephony on economic growth?</w:t>
      </w:r>
      <w:r w:rsidR="009D018D">
        <w:t>,</w:t>
      </w:r>
      <w:r w:rsidR="009E031A" w:rsidRPr="00753209">
        <w:t xml:space="preserve"> </w:t>
      </w:r>
      <w:r w:rsidR="00B11CEE" w:rsidRPr="00753209">
        <w:t>November 2012</w:t>
      </w:r>
      <w:r w:rsidR="009D018D">
        <w:t>;</w:t>
      </w:r>
      <w:r w:rsidR="00B11CEE" w:rsidRPr="00753209">
        <w:t xml:space="preserve"> </w:t>
      </w:r>
      <w:hyperlink r:id="rId25" w:history="1">
        <w:r w:rsidR="00B11CEE" w:rsidRPr="00222224">
          <w:rPr>
            <w:rStyle w:val="Hyperlink"/>
          </w:rPr>
          <w:t>https://www.gsma.com/publicpolicy/wp-content/uploads/2012/11/gsma-deloitte-impact-mobile-telephony-economic-growth.pdf</w:t>
        </w:r>
      </w:hyperlink>
      <w:r w:rsidR="00B11CEE" w:rsidRPr="00753209">
        <w:t>)</w:t>
      </w:r>
    </w:p>
    <w:p w:rsidR="005F27A9" w:rsidRPr="00753209" w:rsidRDefault="00A90837" w:rsidP="00A90837">
      <w:pPr>
        <w:pStyle w:val="ListNumber"/>
        <w:numPr>
          <w:ilvl w:val="0"/>
          <w:numId w:val="0"/>
        </w:numPr>
        <w:spacing w:after="240"/>
        <w:ind w:left="360"/>
      </w:pPr>
      <w:r w:rsidRPr="00753209">
        <w:t>In addition, mobile broadband creates significant broader social value, beyond the private value for consumers and providers of the service or the taxes that the industry pays. Typical sources of social value associated with mobile include access, inclusion and quality of life. Mobile Broadband can support remote education and facilitates access to information and culture to residents of rural areas. It also aids the elderly and those from disadvantaged social groups by improving their connection with relatives and care workers. Mobile Broadband can also improve the quality of life of citizens by supporting eHealth technologies, empowering the disabled, and facilitating a better work-life balance (for example, allowing parents of young children to work from home).</w:t>
      </w:r>
    </w:p>
    <w:p w:rsidR="006738A0" w:rsidRPr="00B06F2B" w:rsidRDefault="002512E5" w:rsidP="00A90837">
      <w:pPr>
        <w:pStyle w:val="ListNumber"/>
        <w:numPr>
          <w:ilvl w:val="0"/>
          <w:numId w:val="0"/>
        </w:numPr>
        <w:spacing w:after="240"/>
        <w:ind w:left="360"/>
      </w:pPr>
      <w:r w:rsidRPr="00753209">
        <w:t>In summary, mobile broadband is a major contributor to welfare in modern society. This is clear from its direct contribution to the wealth of nations, the jobs it creates and the taxes its pays. It is also clear from it is contribution to better connected, informed and empowered citizens.</w:t>
      </w:r>
    </w:p>
    <w:p w:rsidR="005F27A9" w:rsidRPr="002512E5" w:rsidRDefault="005F27A9" w:rsidP="00420F48">
      <w:pPr>
        <w:pStyle w:val="ListNumber"/>
        <w:numPr>
          <w:ilvl w:val="0"/>
          <w:numId w:val="8"/>
        </w:numPr>
        <w:spacing w:after="240"/>
        <w:ind w:left="357" w:hanging="357"/>
        <w:rPr>
          <w:b/>
        </w:rPr>
      </w:pPr>
      <w:r w:rsidRPr="002512E5">
        <w:rPr>
          <w:b/>
        </w:rPr>
        <w:t>Are there any other spectrum valuations (for example, domestic or international auction prices or re-issue prices) that should be considered as a guide to the value of the 3.6 GHz band?</w:t>
      </w: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5B008C" w:rsidRPr="00753209" w:rsidRDefault="005B008C" w:rsidP="005B008C">
      <w:pPr>
        <w:pStyle w:val="ListNumber"/>
        <w:numPr>
          <w:ilvl w:val="0"/>
          <w:numId w:val="0"/>
        </w:numPr>
        <w:spacing w:after="240"/>
        <w:ind w:left="360"/>
      </w:pPr>
      <w:r w:rsidRPr="00753209">
        <w:t>Several countries have released spectrum in the 3400-3800 MHz range in the last 10 years through a competitive award. Italy, Romania and Ireland held auctions in 2008, 2015 and May 2017 respectively. Of these awards, we believe the Irish one to be the most relevant for Australia. The technologies available and the expected uses at the time of the Italian and Romanian awards were different from those available today and in the coming years. In particular, the 3400-3800 MHz spectrum has been used in Europe for fixed wireless access using 4G or WiMax technologies until now, but 5G mobile broadband will be deployed under the Irish licenses (and the Australian licenses).</w:t>
      </w:r>
    </w:p>
    <w:p w:rsidR="005B008C" w:rsidRPr="00753209" w:rsidRDefault="005B008C" w:rsidP="005B008C">
      <w:pPr>
        <w:pStyle w:val="ListNumber"/>
        <w:numPr>
          <w:ilvl w:val="0"/>
          <w:numId w:val="0"/>
        </w:numPr>
        <w:spacing w:after="240"/>
        <w:ind w:left="360"/>
      </w:pPr>
      <w:r w:rsidRPr="00753209">
        <w:t>The Irish award has made available 350 MHz in the 3400-3800 MHz block. (</w:t>
      </w:r>
      <w:r w:rsidR="00DD24E8" w:rsidRPr="00753209">
        <w:t>The</w:t>
      </w:r>
      <w:r w:rsidRPr="00753209">
        <w:t xml:space="preserve"> lower 3400-3410 MHz is left out as guard</w:t>
      </w:r>
      <w:r w:rsidR="00494642" w:rsidRPr="00753209">
        <w:t xml:space="preserve"> </w:t>
      </w:r>
      <w:r w:rsidRPr="00753209">
        <w:t xml:space="preserve">band, and the 3435-3475 MHz block is preserved for State Services). The award released spectrum in 9 non-overlapping regions. There were 5 companies that obtained spectrum in the award: Imagine, Airspan, Vodafone, Three and Meteor Mobile. These companies will pay in excess of €78m for the rights of use, split in €60.5 million in upfront fees and €17.7 million in spectrum usage fees, which will be paid in annual instalments over the 15 year duration of the licences.(Reference: Results of the 3.6 GHz Band Spectrum Award, </w:t>
      </w:r>
      <w:proofErr w:type="spellStart"/>
      <w:r w:rsidRPr="00753209">
        <w:t>ComReg</w:t>
      </w:r>
      <w:proofErr w:type="spellEnd"/>
      <w:r w:rsidRPr="00753209">
        <w:t xml:space="preserve"> Document 17/38</w:t>
      </w:r>
      <w:r w:rsidR="009D018D">
        <w:t>;</w:t>
      </w:r>
      <w:r w:rsidRPr="00753209">
        <w:t xml:space="preserve"> </w:t>
      </w:r>
      <w:hyperlink r:id="rId26" w:history="1">
        <w:r w:rsidRPr="00753209">
          <w:rPr>
            <w:rStyle w:val="Hyperlink"/>
          </w:rPr>
          <w:t>https://www.comreg.ie/media/dlm_uploads/2017/05/ComReg-1738.pdf</w:t>
        </w:r>
      </w:hyperlink>
      <w:r w:rsidRPr="00753209">
        <w:t>)</w:t>
      </w:r>
    </w:p>
    <w:p w:rsidR="005B008C" w:rsidRPr="00753209" w:rsidRDefault="005B008C" w:rsidP="005B008C">
      <w:pPr>
        <w:pStyle w:val="ListNumber"/>
        <w:numPr>
          <w:ilvl w:val="0"/>
          <w:numId w:val="0"/>
        </w:numPr>
        <w:spacing w:after="240"/>
        <w:ind w:left="360"/>
      </w:pPr>
      <w:r w:rsidRPr="00753209">
        <w:t xml:space="preserve">Using these numbers, the average price paid per MHz per population for a 15 year licence is EUR 0.0486/MHz/pop which translates to AUD0.07/MHz/pop using the current exchange rate. This is on the low side of the range that </w:t>
      </w:r>
      <w:r w:rsidR="00494642" w:rsidRPr="00753209">
        <w:t xml:space="preserve">the </w:t>
      </w:r>
      <w:r w:rsidRPr="00753209">
        <w:t>ACMA has proposed in the consultation ($0.03 to $0.625 / MHz/pop) and in our view a better representation of the value that operators are likely to put in this band.</w:t>
      </w:r>
    </w:p>
    <w:p w:rsidR="005F27A9" w:rsidRDefault="005F27A9" w:rsidP="00420F48">
      <w:pPr>
        <w:pStyle w:val="ListNumber"/>
        <w:numPr>
          <w:ilvl w:val="0"/>
          <w:numId w:val="8"/>
        </w:numPr>
        <w:spacing w:after="240"/>
        <w:ind w:left="357" w:hanging="357"/>
        <w:rPr>
          <w:b/>
        </w:rPr>
      </w:pPr>
      <w:r w:rsidRPr="000642D9">
        <w:rPr>
          <w:b/>
        </w:rPr>
        <w:t>Is the range of $/MHz/pop values suitable for this analysis, or is there a case to narrow or broaden the range?</w:t>
      </w:r>
    </w:p>
    <w:p w:rsidR="001E2B28" w:rsidRDefault="001E2B28" w:rsidP="001E2B28">
      <w:pPr>
        <w:pStyle w:val="ListNumber"/>
        <w:numPr>
          <w:ilvl w:val="0"/>
          <w:numId w:val="0"/>
        </w:numPr>
        <w:ind w:left="360"/>
        <w:rPr>
          <w:u w:val="single"/>
          <w:lang w:val="en-US"/>
        </w:rPr>
      </w:pPr>
      <w:r w:rsidRPr="000B421C">
        <w:rPr>
          <w:u w:val="single"/>
          <w:lang w:val="en-US"/>
        </w:rPr>
        <w:t>Huawei’s response:</w:t>
      </w:r>
    </w:p>
    <w:p w:rsidR="00FC5B39" w:rsidRPr="00753209" w:rsidRDefault="001F77A3" w:rsidP="001F77A3">
      <w:pPr>
        <w:pStyle w:val="ListNumber"/>
        <w:numPr>
          <w:ilvl w:val="0"/>
          <w:numId w:val="0"/>
        </w:numPr>
        <w:spacing w:after="240"/>
        <w:ind w:left="360"/>
        <w:rPr>
          <w:lang w:val="en-GB"/>
        </w:rPr>
      </w:pPr>
      <w:r w:rsidRPr="00753209">
        <w:rPr>
          <w:lang w:val="en-GB"/>
        </w:rPr>
        <w:t>The outcome of the Irish award gives us with an up to date valuation of $0.07/MHz/pop for a 15 year licence for spectrum in this range, made available for mobile broadband. In our view, this is more likely to be closer to reality than older valuations or valuations for other bands. Therefore we think there is a case to narrow the range by removing the lowest valuation i.e. $0.03/MHz/pop and the valuations above $0.2/MHz/pop.</w:t>
      </w:r>
    </w:p>
    <w:p w:rsidR="001F77A3" w:rsidRDefault="005F27A9" w:rsidP="00420F48">
      <w:pPr>
        <w:pStyle w:val="ListNumber"/>
        <w:numPr>
          <w:ilvl w:val="0"/>
          <w:numId w:val="8"/>
        </w:numPr>
        <w:spacing w:after="240"/>
        <w:ind w:left="357" w:hanging="357"/>
        <w:rPr>
          <w:b/>
        </w:rPr>
      </w:pPr>
      <w:r w:rsidRPr="000642D9">
        <w:rPr>
          <w:b/>
        </w:rPr>
        <w:t>Would there be a change in the quality of services that could be provided by WISPs with the 5.6 GHz band compared with the incumbent 3.6 GHz band services?</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5F27A9" w:rsidRPr="00753209" w:rsidRDefault="00E75689" w:rsidP="00F0013A">
      <w:pPr>
        <w:pStyle w:val="ListNumber"/>
        <w:numPr>
          <w:ilvl w:val="0"/>
          <w:numId w:val="0"/>
        </w:numPr>
        <w:spacing w:after="240"/>
        <w:ind w:left="360"/>
      </w:pPr>
      <w:r w:rsidRPr="00753209">
        <w:t>Huawei will not comment for this question.</w:t>
      </w:r>
    </w:p>
    <w:p w:rsidR="005F27A9" w:rsidRDefault="005F27A9" w:rsidP="00420F48">
      <w:pPr>
        <w:pStyle w:val="ListNumber"/>
        <w:numPr>
          <w:ilvl w:val="0"/>
          <w:numId w:val="8"/>
        </w:numPr>
        <w:spacing w:after="240"/>
        <w:ind w:left="357" w:hanging="357"/>
        <w:rPr>
          <w:b/>
        </w:rPr>
      </w:pPr>
      <w:r w:rsidRPr="000642D9">
        <w:rPr>
          <w:b/>
        </w:rPr>
        <w:t>What alternative internet services could regional consumers access (excluding NBN Sky Muster services) if WISPs are unable to provide their fixed wireless broadband services?</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506BE5" w:rsidRPr="00753209" w:rsidRDefault="00506BE5" w:rsidP="00506BE5">
      <w:pPr>
        <w:pStyle w:val="ListNumber"/>
        <w:numPr>
          <w:ilvl w:val="0"/>
          <w:numId w:val="0"/>
        </w:numPr>
        <w:spacing w:after="240"/>
        <w:ind w:left="360"/>
        <w:rPr>
          <w:lang w:val="en-GB"/>
        </w:rPr>
      </w:pPr>
      <w:r w:rsidRPr="00753209">
        <w:rPr>
          <w:lang w:val="en-GB"/>
        </w:rPr>
        <w:t xml:space="preserve">Mobile wireless broadband could be considered as </w:t>
      </w:r>
      <w:r w:rsidR="0093024D" w:rsidRPr="00753209">
        <w:rPr>
          <w:lang w:val="en-GB"/>
        </w:rPr>
        <w:t>an alternative internet service</w:t>
      </w:r>
      <w:r w:rsidRPr="00753209">
        <w:rPr>
          <w:lang w:val="en-GB"/>
        </w:rPr>
        <w:t>.</w:t>
      </w:r>
      <w:r w:rsidR="00074FAB" w:rsidRPr="00753209">
        <w:rPr>
          <w:lang w:val="en-GB"/>
        </w:rPr>
        <w:t xml:space="preserve"> Fixed Wireless Access and Smart Home is one of the application examples for 5G operating in 3300-4200 MHz.</w:t>
      </w:r>
      <w:r w:rsidR="00CB16CF" w:rsidRPr="00753209">
        <w:rPr>
          <w:lang w:val="en-GB"/>
        </w:rPr>
        <w:t xml:space="preserve"> </w:t>
      </w:r>
    </w:p>
    <w:p w:rsidR="005F27A9" w:rsidRDefault="005F27A9" w:rsidP="00420F48">
      <w:pPr>
        <w:pStyle w:val="ListNumber"/>
        <w:numPr>
          <w:ilvl w:val="0"/>
          <w:numId w:val="8"/>
        </w:numPr>
        <w:spacing w:after="240"/>
        <w:ind w:left="357" w:hanging="357"/>
        <w:rPr>
          <w:b/>
        </w:rPr>
      </w:pPr>
      <w:r w:rsidRPr="000642D9">
        <w:rPr>
          <w:b/>
        </w:rPr>
        <w:t xml:space="preserve">How could the loss of point-to-multipoint licences in the 3.6 GHz band affect regular business operations for non-WISP licensees? </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4400BB" w:rsidRPr="00753209" w:rsidRDefault="00E75689" w:rsidP="00F0013A">
      <w:pPr>
        <w:pStyle w:val="ListNumber"/>
        <w:numPr>
          <w:ilvl w:val="0"/>
          <w:numId w:val="0"/>
        </w:numPr>
        <w:spacing w:after="240"/>
        <w:ind w:left="360"/>
      </w:pPr>
      <w:r w:rsidRPr="00753209">
        <w:t>Huawei will not comment for this question.</w:t>
      </w:r>
    </w:p>
    <w:p w:rsidR="005F27A9" w:rsidRDefault="005F27A9" w:rsidP="00420F48">
      <w:pPr>
        <w:pStyle w:val="ListNumber"/>
        <w:numPr>
          <w:ilvl w:val="0"/>
          <w:numId w:val="8"/>
        </w:numPr>
        <w:spacing w:after="240"/>
        <w:ind w:left="357" w:hanging="357"/>
        <w:rPr>
          <w:b/>
        </w:rPr>
      </w:pPr>
      <w:r w:rsidRPr="000642D9">
        <w:rPr>
          <w:b/>
        </w:rPr>
        <w:t>Are the applicable costs for equipment replacement and re-tuning for point-to-multipoint licences suitable? If not, what cost ranges should be applied?</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4400BB" w:rsidRPr="00753209" w:rsidRDefault="00E75689" w:rsidP="00F0013A">
      <w:pPr>
        <w:pStyle w:val="ListNumber"/>
        <w:numPr>
          <w:ilvl w:val="0"/>
          <w:numId w:val="0"/>
        </w:numPr>
        <w:spacing w:after="240"/>
        <w:ind w:left="360"/>
        <w:rPr>
          <w:lang w:val="en-GB"/>
        </w:rPr>
      </w:pPr>
      <w:r w:rsidRPr="00753209">
        <w:rPr>
          <w:lang w:val="en-GB"/>
        </w:rPr>
        <w:t>Huawei will not comment for this question.</w:t>
      </w:r>
    </w:p>
    <w:p w:rsidR="00B06F2B" w:rsidRDefault="00B06F2B">
      <w:pPr>
        <w:spacing w:before="0" w:after="200" w:line="276" w:lineRule="auto"/>
        <w:ind w:left="0"/>
        <w:jc w:val="left"/>
        <w:rPr>
          <w:b/>
          <w:kern w:val="0"/>
          <w:szCs w:val="24"/>
          <w:lang w:val="en-AU" w:eastAsia="en-AU"/>
        </w:rPr>
      </w:pPr>
      <w:r>
        <w:rPr>
          <w:b/>
        </w:rPr>
        <w:br w:type="page"/>
      </w:r>
    </w:p>
    <w:p w:rsidR="005F27A9" w:rsidRDefault="005F27A9" w:rsidP="00420F48">
      <w:pPr>
        <w:pStyle w:val="ListNumber"/>
        <w:numPr>
          <w:ilvl w:val="0"/>
          <w:numId w:val="8"/>
        </w:numPr>
        <w:spacing w:after="240"/>
        <w:ind w:left="357" w:hanging="357"/>
        <w:rPr>
          <w:b/>
        </w:rPr>
      </w:pPr>
      <w:r w:rsidRPr="000642D9">
        <w:rPr>
          <w:b/>
        </w:rPr>
        <w:t>Are there any additional costs (applicable under a Total Welfare Standard) that have not been considered in this analysis?</w:t>
      </w:r>
    </w:p>
    <w:p w:rsidR="00F0013A" w:rsidRDefault="00F0013A" w:rsidP="00B06F2B">
      <w:pPr>
        <w:pStyle w:val="ListNumber"/>
        <w:numPr>
          <w:ilvl w:val="0"/>
          <w:numId w:val="0"/>
        </w:numPr>
        <w:ind w:left="360"/>
        <w:rPr>
          <w:u w:val="single"/>
          <w:lang w:val="en-US"/>
        </w:rPr>
      </w:pPr>
      <w:r w:rsidRPr="000B421C">
        <w:rPr>
          <w:u w:val="single"/>
          <w:lang w:val="en-US"/>
        </w:rPr>
        <w:t>Huawei’s response:</w:t>
      </w:r>
    </w:p>
    <w:p w:rsidR="00976223" w:rsidRPr="00753209" w:rsidRDefault="009F10AA" w:rsidP="00976223">
      <w:pPr>
        <w:pStyle w:val="ListNumber"/>
        <w:numPr>
          <w:ilvl w:val="0"/>
          <w:numId w:val="0"/>
        </w:numPr>
        <w:spacing w:after="240"/>
        <w:ind w:left="357"/>
      </w:pPr>
      <w:r w:rsidRPr="00753209">
        <w:t xml:space="preserve">The ACMA </w:t>
      </w:r>
      <w:r w:rsidR="00535273" w:rsidRPr="00753209">
        <w:t>has already</w:t>
      </w:r>
      <w:r w:rsidRPr="00753209">
        <w:t xml:space="preserve"> pointed out that the cost</w:t>
      </w:r>
      <w:r w:rsidR="00535273" w:rsidRPr="00753209">
        <w:t>,</w:t>
      </w:r>
      <w:r w:rsidRPr="00753209">
        <w:t xml:space="preserve"> particularly in variable output cases, may not be able to </w:t>
      </w:r>
      <w:r w:rsidR="00535273" w:rsidRPr="00753209">
        <w:t>be quantified</w:t>
      </w:r>
      <w:r w:rsidRPr="00753209">
        <w:t xml:space="preserve">. </w:t>
      </w:r>
    </w:p>
    <w:p w:rsidR="008D10CB" w:rsidRPr="00753209" w:rsidRDefault="009F10AA" w:rsidP="00976223">
      <w:pPr>
        <w:pStyle w:val="ListNumber"/>
        <w:numPr>
          <w:ilvl w:val="0"/>
          <w:numId w:val="0"/>
        </w:numPr>
        <w:spacing w:after="240"/>
        <w:ind w:left="357"/>
      </w:pPr>
      <w:r w:rsidRPr="00753209">
        <w:t>Additionally to the current</w:t>
      </w:r>
      <w:r w:rsidR="00CF43CE" w:rsidRPr="00753209">
        <w:t xml:space="preserve"> estimated re-farming benefits</w:t>
      </w:r>
      <w:r w:rsidRPr="00753209">
        <w:t xml:space="preserve"> which </w:t>
      </w:r>
      <w:r w:rsidR="00CF43CE" w:rsidRPr="00753209">
        <w:t>were</w:t>
      </w:r>
      <w:r w:rsidRPr="00753209">
        <w:t xml:space="preserve"> derived from potential users</w:t>
      </w:r>
      <w:r w:rsidR="00CF43CE" w:rsidRPr="00753209">
        <w:t xml:space="preserve"> of MBB</w:t>
      </w:r>
      <w:r w:rsidRPr="00753209">
        <w:t>, there will be other indirect effects over</w:t>
      </w:r>
      <w:r w:rsidR="00CF43CE" w:rsidRPr="00753209">
        <w:t xml:space="preserve"> the nation</w:t>
      </w:r>
      <w:r w:rsidR="00535273" w:rsidRPr="00753209">
        <w:t>’s</w:t>
      </w:r>
      <w:r w:rsidR="00CF43CE" w:rsidRPr="00753209">
        <w:t xml:space="preserve"> economy. These include</w:t>
      </w:r>
      <w:r w:rsidR="008D10CB" w:rsidRPr="00753209">
        <w:t>:</w:t>
      </w:r>
    </w:p>
    <w:p w:rsidR="004758B3" w:rsidRPr="00753209" w:rsidRDefault="004758B3" w:rsidP="006738A0">
      <w:pPr>
        <w:pStyle w:val="ListNumber"/>
        <w:numPr>
          <w:ilvl w:val="0"/>
          <w:numId w:val="6"/>
        </w:numPr>
        <w:spacing w:after="240"/>
      </w:pPr>
      <w:r w:rsidRPr="00753209">
        <w:t>Employment and New business creatio</w:t>
      </w:r>
      <w:r w:rsidR="00535273" w:rsidRPr="00753209">
        <w:t>n</w:t>
      </w:r>
    </w:p>
    <w:p w:rsidR="006738A0" w:rsidRPr="00753209" w:rsidRDefault="006738A0" w:rsidP="004758B3">
      <w:pPr>
        <w:pStyle w:val="ListNumber"/>
        <w:numPr>
          <w:ilvl w:val="0"/>
          <w:numId w:val="6"/>
        </w:numPr>
        <w:spacing w:after="240"/>
      </w:pPr>
      <w:r w:rsidRPr="00753209">
        <w:t xml:space="preserve">Government Income (Spectrum licences proceedings; Additional tax income from increased economic activity such as corporate taxes, value added taxes) </w:t>
      </w:r>
    </w:p>
    <w:p w:rsidR="00CF43CE" w:rsidRPr="00753209" w:rsidRDefault="00910DB7" w:rsidP="004758B3">
      <w:pPr>
        <w:pStyle w:val="ListNumber"/>
        <w:numPr>
          <w:ilvl w:val="0"/>
          <w:numId w:val="6"/>
        </w:numPr>
        <w:spacing w:after="240"/>
      </w:pPr>
      <w:r w:rsidRPr="00753209">
        <w:t>Multiplier effect on wider econom</w:t>
      </w:r>
      <w:r w:rsidR="006738A0" w:rsidRPr="00753209">
        <w:t>y</w:t>
      </w:r>
    </w:p>
    <w:p w:rsidR="006738A0" w:rsidRDefault="006738A0" w:rsidP="006738A0">
      <w:pPr>
        <w:pStyle w:val="ListNumber"/>
        <w:numPr>
          <w:ilvl w:val="0"/>
          <w:numId w:val="0"/>
        </w:numPr>
        <w:spacing w:after="240"/>
        <w:ind w:left="360"/>
        <w:rPr>
          <w:i/>
          <w:color w:val="0070C0"/>
        </w:rPr>
      </w:pPr>
      <w:r w:rsidRPr="00753209">
        <w:t xml:space="preserve">(Reference: Asia Pacific Mobile Observatory, Driving Economic and Social Development through Mobile Broadband, Studied by AT Kearney in 2011; </w:t>
      </w:r>
      <w:hyperlink r:id="rId27" w:history="1">
        <w:r w:rsidRPr="00753209">
          <w:rPr>
            <w:rStyle w:val="Hyperlink"/>
          </w:rPr>
          <w:t>https://www.gsma.com/publicpolicy/wp-content/uploads/2012/03/amofullwebfinal.pdf</w:t>
        </w:r>
      </w:hyperlink>
      <w:r w:rsidRPr="00753209">
        <w:t>)</w:t>
      </w:r>
    </w:p>
    <w:p w:rsidR="005F27A9" w:rsidRDefault="005F27A9" w:rsidP="00420F48">
      <w:pPr>
        <w:pStyle w:val="ListNumber"/>
        <w:numPr>
          <w:ilvl w:val="0"/>
          <w:numId w:val="8"/>
        </w:numPr>
        <w:spacing w:after="240"/>
        <w:ind w:left="357" w:hanging="357"/>
        <w:rPr>
          <w:b/>
        </w:rPr>
      </w:pPr>
      <w:r w:rsidRPr="000642D9">
        <w:rPr>
          <w:b/>
        </w:rPr>
        <w:t>If the 3.6 GHz band is re-farmed, what is the extent to which a longer re-allocation period would reduce incremental costs under a TWS?</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5D7E89" w:rsidRPr="00753209" w:rsidRDefault="00244FF5" w:rsidP="00244FF5">
      <w:pPr>
        <w:pStyle w:val="ListNumber"/>
        <w:numPr>
          <w:ilvl w:val="0"/>
          <w:numId w:val="0"/>
        </w:numPr>
        <w:spacing w:after="240"/>
        <w:ind w:left="360"/>
      </w:pPr>
      <w:r w:rsidRPr="00753209">
        <w:t>Huawei will not comment on this question.</w:t>
      </w:r>
    </w:p>
    <w:p w:rsidR="005F27A9" w:rsidRDefault="005F27A9" w:rsidP="00420F48">
      <w:pPr>
        <w:pStyle w:val="ListNumber"/>
        <w:numPr>
          <w:ilvl w:val="0"/>
          <w:numId w:val="8"/>
        </w:numPr>
        <w:spacing w:after="240"/>
        <w:ind w:left="357" w:hanging="357"/>
        <w:rPr>
          <w:b/>
        </w:rPr>
      </w:pPr>
      <w:r w:rsidRPr="000642D9">
        <w:rPr>
          <w:b/>
        </w:rPr>
        <w:t xml:space="preserve">Is the cost range for the relocation of all C-band licences from an FSS earth station facility suitable for this analysis? </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035A64" w:rsidRPr="00753209" w:rsidRDefault="00035A64" w:rsidP="00F0013A">
      <w:pPr>
        <w:pStyle w:val="ListNumber"/>
        <w:numPr>
          <w:ilvl w:val="0"/>
          <w:numId w:val="0"/>
        </w:numPr>
        <w:spacing w:after="240"/>
        <w:ind w:left="360"/>
        <w:rPr>
          <w:lang w:val="en-GB"/>
        </w:rPr>
      </w:pPr>
      <w:r w:rsidRPr="00753209">
        <w:rPr>
          <w:lang w:val="en-GB"/>
        </w:rPr>
        <w:t xml:space="preserve">Huawei is not in a position to comment on the cost range analysed </w:t>
      </w:r>
      <w:r w:rsidR="0093024D" w:rsidRPr="00753209">
        <w:rPr>
          <w:lang w:val="en-GB"/>
        </w:rPr>
        <w:t xml:space="preserve">by the ACMA </w:t>
      </w:r>
      <w:r w:rsidRPr="00753209">
        <w:rPr>
          <w:lang w:val="en-GB"/>
        </w:rPr>
        <w:t>for the relocation of all C band licences from an FSS earth station facility. However, we wish to provide a reference, one of the studies prepared by Frontier Economics Pty. Ltd</w:t>
      </w:r>
      <w:r w:rsidR="00DD24E8" w:rsidRPr="00753209">
        <w:rPr>
          <w:lang w:val="en-GB"/>
        </w:rPr>
        <w:t>,</w:t>
      </w:r>
      <w:r w:rsidRPr="00753209">
        <w:rPr>
          <w:lang w:val="en-GB"/>
        </w:rPr>
        <w:t xml:space="preserve"> Australia for the GSM</w:t>
      </w:r>
      <w:r w:rsidR="00CD3B0A" w:rsidRPr="00753209">
        <w:rPr>
          <w:lang w:val="en-GB"/>
        </w:rPr>
        <w:t>A</w:t>
      </w:r>
      <w:r w:rsidRPr="00753209">
        <w:rPr>
          <w:lang w:val="en-GB"/>
        </w:rPr>
        <w:t>. (Reference: Economic assessment of C-band re-allocation</w:t>
      </w:r>
      <w:r w:rsidR="009D018D">
        <w:rPr>
          <w:lang w:val="en-GB"/>
        </w:rPr>
        <w:t>;</w:t>
      </w:r>
      <w:r w:rsidRPr="00753209">
        <w:t xml:space="preserve"> </w:t>
      </w:r>
      <w:hyperlink r:id="rId28" w:history="1">
        <w:r w:rsidRPr="00222224">
          <w:rPr>
            <w:rStyle w:val="Hyperlink"/>
            <w:lang w:val="en-GB"/>
          </w:rPr>
          <w:t>https://www.gsma.com/spectrum/wp-content/uploads/2014/11/GSMA.-Frontier-report-on-Economic-assessment-of-C-band-re-allocation-2014.pdf</w:t>
        </w:r>
      </w:hyperlink>
      <w:r w:rsidRPr="00753209">
        <w:rPr>
          <w:lang w:val="en-GB"/>
        </w:rPr>
        <w:t>)</w:t>
      </w:r>
    </w:p>
    <w:p w:rsidR="00B63FEB" w:rsidRPr="00753209" w:rsidRDefault="006578D1" w:rsidP="00F0013A">
      <w:pPr>
        <w:pStyle w:val="ListNumber"/>
        <w:numPr>
          <w:ilvl w:val="0"/>
          <w:numId w:val="0"/>
        </w:numPr>
        <w:spacing w:after="240"/>
        <w:ind w:left="360"/>
        <w:rPr>
          <w:color w:val="FF0000"/>
          <w:lang w:val="en-GB"/>
        </w:rPr>
      </w:pPr>
      <w:r w:rsidRPr="00753209">
        <w:rPr>
          <w:lang w:val="en-GB"/>
        </w:rPr>
        <w:t xml:space="preserve">We recognise that the cost estimation model of Frontier is </w:t>
      </w:r>
      <w:r w:rsidR="0093024D" w:rsidRPr="00753209">
        <w:rPr>
          <w:lang w:val="en-GB"/>
        </w:rPr>
        <w:t xml:space="preserve">based on some </w:t>
      </w:r>
      <w:r w:rsidRPr="00753209">
        <w:rPr>
          <w:lang w:val="en-GB"/>
        </w:rPr>
        <w:t>assumptions</w:t>
      </w:r>
      <w:r w:rsidR="0093024D" w:rsidRPr="00753209">
        <w:rPr>
          <w:lang w:val="en-GB"/>
        </w:rPr>
        <w:t>,</w:t>
      </w:r>
      <w:r w:rsidRPr="00753209">
        <w:rPr>
          <w:lang w:val="en-GB"/>
        </w:rPr>
        <w:t xml:space="preserve"> </w:t>
      </w:r>
      <w:r w:rsidR="00A4482F" w:rsidRPr="00753209">
        <w:rPr>
          <w:lang w:val="en-GB"/>
        </w:rPr>
        <w:t xml:space="preserve">including </w:t>
      </w:r>
      <w:r w:rsidRPr="00753209">
        <w:rPr>
          <w:lang w:val="en-GB"/>
        </w:rPr>
        <w:t>the main usages of satellite industry from Northern Sky Research (NSR</w:t>
      </w:r>
      <w:r w:rsidR="00A4482F" w:rsidRPr="00753209">
        <w:rPr>
          <w:lang w:val="en-GB"/>
        </w:rPr>
        <w:t>) and some cost savings arising from using shared facilities.  The result from their cost estimation for Australia is from PPP USD 11 million to PPP USD 43 million.</w:t>
      </w:r>
    </w:p>
    <w:p w:rsidR="005D1D95" w:rsidRDefault="005F27A9" w:rsidP="00420F48">
      <w:pPr>
        <w:pStyle w:val="ListNumber"/>
        <w:numPr>
          <w:ilvl w:val="0"/>
          <w:numId w:val="8"/>
        </w:numPr>
        <w:spacing w:after="240"/>
        <w:ind w:left="357" w:hanging="357"/>
        <w:rPr>
          <w:b/>
        </w:rPr>
      </w:pPr>
      <w:r w:rsidRPr="000642D9">
        <w:rPr>
          <w:b/>
        </w:rPr>
        <w:t xml:space="preserve"> Are the applicable costs for equipment replacement and re-tuning for point-to-point licences suitable? If not, what cost ranges should be applied?</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4477C9" w:rsidRPr="00753209" w:rsidRDefault="00E75689" w:rsidP="004477C9">
      <w:pPr>
        <w:pStyle w:val="ListNumber"/>
        <w:numPr>
          <w:ilvl w:val="0"/>
          <w:numId w:val="0"/>
        </w:numPr>
        <w:spacing w:after="240"/>
        <w:ind w:left="360"/>
        <w:rPr>
          <w:lang w:val="en-GB"/>
        </w:rPr>
      </w:pPr>
      <w:r w:rsidRPr="00753209">
        <w:rPr>
          <w:lang w:val="en-GB"/>
        </w:rPr>
        <w:t>Huawei will not comment on this question</w:t>
      </w:r>
      <w:r w:rsidR="004477C9" w:rsidRPr="00753209">
        <w:rPr>
          <w:lang w:val="en-GB"/>
        </w:rPr>
        <w:t>.</w:t>
      </w:r>
    </w:p>
    <w:p w:rsidR="00B06F2B" w:rsidRDefault="00B06F2B">
      <w:pPr>
        <w:spacing w:before="0" w:after="200" w:line="276" w:lineRule="auto"/>
        <w:ind w:left="0"/>
        <w:jc w:val="left"/>
        <w:rPr>
          <w:b/>
          <w:bCs/>
          <w:kern w:val="0"/>
          <w:szCs w:val="24"/>
          <w:lang w:val="en-AU" w:eastAsia="en-AU"/>
        </w:rPr>
      </w:pPr>
      <w:r>
        <w:rPr>
          <w:b/>
          <w:bCs/>
        </w:rPr>
        <w:br w:type="page"/>
      </w:r>
    </w:p>
    <w:p w:rsidR="005F27A9" w:rsidRDefault="005F27A9" w:rsidP="00420F48">
      <w:pPr>
        <w:pStyle w:val="ListNumber"/>
        <w:numPr>
          <w:ilvl w:val="0"/>
          <w:numId w:val="8"/>
        </w:numPr>
        <w:spacing w:after="240"/>
        <w:ind w:left="357" w:hanging="357"/>
        <w:rPr>
          <w:b/>
          <w:bCs/>
        </w:rPr>
      </w:pPr>
      <w:r w:rsidRPr="000642D9">
        <w:rPr>
          <w:b/>
          <w:bCs/>
        </w:rPr>
        <w:t>To what extent would 3.6 GHz band spectrum be less valuable if it was restricted to small cell use only?</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1F77A3" w:rsidRPr="00753209" w:rsidRDefault="001F77A3" w:rsidP="001F77A3">
      <w:pPr>
        <w:pStyle w:val="ListNumber"/>
        <w:numPr>
          <w:ilvl w:val="0"/>
          <w:numId w:val="0"/>
        </w:numPr>
        <w:spacing w:after="240"/>
        <w:ind w:left="360"/>
        <w:rPr>
          <w:lang w:val="en-GB"/>
        </w:rPr>
      </w:pPr>
      <w:r w:rsidRPr="00753209">
        <w:rPr>
          <w:lang w:val="en-GB"/>
        </w:rPr>
        <w:t>Huawei is not in a position to comment on the quantitative loss of value that results from a restriction to small cell use only, however we believe this loss could be significant. Huawei believes operators are likely to use this band for mobile broadband in urban and suburban areas initially, with the objective of adding a high data rate overlay</w:t>
      </w:r>
      <w:r w:rsidR="00E4680B" w:rsidRPr="00753209">
        <w:rPr>
          <w:lang w:val="en-GB"/>
        </w:rPr>
        <w:t xml:space="preserve"> </w:t>
      </w:r>
      <w:r w:rsidRPr="00753209">
        <w:rPr>
          <w:lang w:val="en-GB"/>
        </w:rPr>
        <w:t>to existing LTE networks.</w:t>
      </w:r>
    </w:p>
    <w:p w:rsidR="001F77A3" w:rsidRPr="00753209" w:rsidRDefault="001F77A3" w:rsidP="001F77A3">
      <w:pPr>
        <w:pStyle w:val="ListNumber"/>
        <w:numPr>
          <w:ilvl w:val="0"/>
          <w:numId w:val="0"/>
        </w:numPr>
        <w:spacing w:after="240"/>
        <w:ind w:left="360"/>
        <w:rPr>
          <w:lang w:val="en-GB"/>
        </w:rPr>
      </w:pPr>
      <w:r w:rsidRPr="00753209">
        <w:rPr>
          <w:lang w:val="en-GB"/>
        </w:rPr>
        <w:t xml:space="preserve">Huawei and the rest of the industry are working hard to reach 5G coverage footprints in the 3.6 GHz band that are similar to those attained by LTE in lower bands such as the 1.8 GHz band. This is achievable in the downlink direction by means of massive MIMO antennas, but not in the uplink where there are no benefits from MIMO at the transmitter. As a result, we expect that this band will be deployed initially at existing sites, where the uplink from existing LTE deployments can be used at locations close to the cell edge. This approach would let </w:t>
      </w:r>
      <w:r w:rsidR="00494642" w:rsidRPr="00753209">
        <w:rPr>
          <w:lang w:val="en-GB"/>
        </w:rPr>
        <w:t>Mobile Network Operators</w:t>
      </w:r>
      <w:r w:rsidRPr="00753209">
        <w:rPr>
          <w:lang w:val="en-GB"/>
        </w:rPr>
        <w:t xml:space="preserve"> significantly enhance the capacity and data rates in the downlink without having to deploy new sites – they will upgrade existing sites with the new technology – but maintaining the coverage footprint. </w:t>
      </w:r>
    </w:p>
    <w:p w:rsidR="001F77A3" w:rsidRPr="00753209" w:rsidRDefault="001F77A3" w:rsidP="001F77A3">
      <w:pPr>
        <w:pStyle w:val="ListNumber"/>
        <w:numPr>
          <w:ilvl w:val="0"/>
          <w:numId w:val="0"/>
        </w:numPr>
        <w:spacing w:after="240"/>
        <w:ind w:left="360"/>
        <w:rPr>
          <w:lang w:val="en-GB"/>
        </w:rPr>
      </w:pPr>
      <w:r w:rsidRPr="00753209">
        <w:rPr>
          <w:lang w:val="en-GB"/>
        </w:rPr>
        <w:t xml:space="preserve">If the MBB use is restricted to small cells, then re-using existing sites alone would not be sufficient to provide the benefits of 5G at all locations that have 4G coverage today. </w:t>
      </w:r>
      <w:r w:rsidR="00494642" w:rsidRPr="00753209">
        <w:rPr>
          <w:lang w:val="en-GB"/>
        </w:rPr>
        <w:t>Mobile Network Operators</w:t>
      </w:r>
      <w:r w:rsidRPr="00753209">
        <w:rPr>
          <w:lang w:val="en-GB"/>
        </w:rPr>
        <w:t xml:space="preserve"> would have to deploy new sites to maintain the same level of coverage. This would greatly increase their costs and the complexity of the network and would, from our perspective, a disincentive to deploy 5G in this band in the areas subject to restriction.</w:t>
      </w:r>
    </w:p>
    <w:p w:rsidR="005F27A9" w:rsidRPr="005F27A9" w:rsidRDefault="005F27A9" w:rsidP="00420F48">
      <w:pPr>
        <w:pStyle w:val="ListNumber"/>
        <w:numPr>
          <w:ilvl w:val="0"/>
          <w:numId w:val="8"/>
        </w:numPr>
        <w:spacing w:after="240"/>
        <w:ind w:left="357" w:hanging="357"/>
        <w:rPr>
          <w:bCs/>
        </w:rPr>
      </w:pPr>
      <w:r w:rsidRPr="000642D9">
        <w:rPr>
          <w:b/>
          <w:bCs/>
        </w:rPr>
        <w:t>What kind of differences in value would there be for 3.6 GHz band spectrum in regional or remote areas when compared with metropolitan areas?</w:t>
      </w:r>
    </w:p>
    <w:p w:rsidR="00F0013A" w:rsidRDefault="00F0013A" w:rsidP="00F0013A">
      <w:pPr>
        <w:pStyle w:val="ListNumber"/>
        <w:numPr>
          <w:ilvl w:val="0"/>
          <w:numId w:val="0"/>
        </w:numPr>
        <w:ind w:left="360"/>
        <w:rPr>
          <w:u w:val="single"/>
          <w:lang w:val="en-US"/>
        </w:rPr>
      </w:pPr>
      <w:r w:rsidRPr="000B421C">
        <w:rPr>
          <w:u w:val="single"/>
          <w:lang w:val="en-US"/>
        </w:rPr>
        <w:t>Huawei’s response:</w:t>
      </w:r>
    </w:p>
    <w:p w:rsidR="00A12491" w:rsidRPr="00753209" w:rsidRDefault="00A12491" w:rsidP="00A12491">
      <w:pPr>
        <w:pStyle w:val="ListNumber"/>
        <w:numPr>
          <w:ilvl w:val="0"/>
          <w:numId w:val="0"/>
        </w:numPr>
        <w:spacing w:after="240"/>
        <w:ind w:left="360"/>
        <w:rPr>
          <w:lang w:val="en-GB"/>
        </w:rPr>
      </w:pPr>
      <w:r w:rsidRPr="00753209">
        <w:rPr>
          <w:lang w:val="en-GB"/>
        </w:rPr>
        <w:t>We believe that spectrum in rural or remote areas is normally less valuable that in urban areas as the population to be served is smaller and the area to be covered is larger (hence there is less opportunity for profit for the operator). However, re</w:t>
      </w:r>
      <w:r w:rsidR="009F2BAA" w:rsidRPr="00753209">
        <w:rPr>
          <w:lang w:val="en-GB"/>
        </w:rPr>
        <w:t>gional</w:t>
      </w:r>
      <w:r w:rsidRPr="00753209">
        <w:rPr>
          <w:lang w:val="en-GB"/>
        </w:rPr>
        <w:t xml:space="preserve"> and remote areas can still be a business opportunity for operators. For instance, Fixed Wireless Access is a service more commonly provided in non-urban areas and can be profitable. Another source of value comes from providing mobile service along motorways or rail lines. Finally, rural coverage has, in some cases, been used by operators as a marketing tool and a way to differentiate</w:t>
      </w:r>
      <w:r w:rsidR="0093024D" w:rsidRPr="00753209">
        <w:rPr>
          <w:lang w:val="en-GB"/>
        </w:rPr>
        <w:t xml:space="preserve"> themselves</w:t>
      </w:r>
      <w:r w:rsidRPr="00753209">
        <w:rPr>
          <w:lang w:val="en-GB"/>
        </w:rPr>
        <w:t xml:space="preserve"> from </w:t>
      </w:r>
      <w:r w:rsidR="009F2BAA" w:rsidRPr="00753209">
        <w:rPr>
          <w:lang w:val="en-GB"/>
        </w:rPr>
        <w:t>competitors</w:t>
      </w:r>
      <w:r w:rsidRPr="00753209">
        <w:rPr>
          <w:lang w:val="en-GB"/>
        </w:rPr>
        <w:t>.</w:t>
      </w:r>
    </w:p>
    <w:p w:rsidR="00411B49" w:rsidRPr="0020754E" w:rsidRDefault="0093024D" w:rsidP="00411B49">
      <w:pPr>
        <w:pStyle w:val="ListNumber"/>
        <w:numPr>
          <w:ilvl w:val="0"/>
          <w:numId w:val="0"/>
        </w:numPr>
        <w:spacing w:after="240"/>
        <w:ind w:left="360"/>
        <w:rPr>
          <w:i/>
          <w:lang w:val="en-GB"/>
        </w:rPr>
      </w:pPr>
      <w:r w:rsidRPr="00753209">
        <w:rPr>
          <w:lang w:val="en-GB"/>
        </w:rPr>
        <w:t>A</w:t>
      </w:r>
      <w:r w:rsidR="00A12491" w:rsidRPr="00753209">
        <w:rPr>
          <w:lang w:val="en-GB"/>
        </w:rPr>
        <w:t xml:space="preserve"> data point that the ACMA might find useful is the relation between the amounts bid for urban and for rural licences in the Irish auction. </w:t>
      </w:r>
      <w:r w:rsidR="00494642" w:rsidRPr="00753209">
        <w:rPr>
          <w:lang w:val="en-GB"/>
        </w:rPr>
        <w:t>The operator “</w:t>
      </w:r>
      <w:r w:rsidR="00A12491" w:rsidRPr="00753209">
        <w:rPr>
          <w:lang w:val="en-GB"/>
        </w:rPr>
        <w:t>Imagine Communications</w:t>
      </w:r>
      <w:r w:rsidR="00494642" w:rsidRPr="00753209">
        <w:rPr>
          <w:lang w:val="en-GB"/>
        </w:rPr>
        <w:t>”</w:t>
      </w:r>
      <w:r w:rsidR="00A12491" w:rsidRPr="00753209">
        <w:rPr>
          <w:lang w:val="en-GB"/>
        </w:rPr>
        <w:t xml:space="preserve"> only bid for – and obtained – licences in the four rural regions of the Irish auction, for a total of 60 MHz in each. Imagine paid EUR0.053/MHz/pop for the 15 years licences, whereas the average of the auction (the average of the prices paid by all winning bidders for urban and rural licences) was EUR0.048/MHz/pop, which is slightly lower. Therefore Imagine, which is a WISP in Ireland, seems to put more value in access to this band in rural areas than M</w:t>
      </w:r>
      <w:r w:rsidR="00494642" w:rsidRPr="00753209">
        <w:rPr>
          <w:lang w:val="en-GB"/>
        </w:rPr>
        <w:t xml:space="preserve">obile </w:t>
      </w:r>
      <w:r w:rsidR="00A12491" w:rsidRPr="00753209">
        <w:rPr>
          <w:lang w:val="en-GB"/>
        </w:rPr>
        <w:t>N</w:t>
      </w:r>
      <w:r w:rsidR="00494642" w:rsidRPr="00753209">
        <w:rPr>
          <w:lang w:val="en-GB"/>
        </w:rPr>
        <w:t>etwork Operator</w:t>
      </w:r>
      <w:r w:rsidR="00A12491" w:rsidRPr="00753209">
        <w:rPr>
          <w:lang w:val="en-GB"/>
        </w:rPr>
        <w:t xml:space="preserve">s put in access at urban and rural combined. </w:t>
      </w:r>
      <w:r w:rsidR="00411B49" w:rsidRPr="00753209">
        <w:rPr>
          <w:lang w:val="en-GB"/>
        </w:rPr>
        <w:t>However, i</w:t>
      </w:r>
      <w:r w:rsidR="00A12491" w:rsidRPr="00753209">
        <w:rPr>
          <w:lang w:val="en-GB"/>
        </w:rPr>
        <w:t>t is worth noting that the total population in the four Irish regions identified as “rural” is higher than the population of urban areas, and the geographical size of Ireland is small compared to Australia.</w:t>
      </w:r>
      <w:r w:rsidR="00411B49" w:rsidRPr="00753209">
        <w:rPr>
          <w:lang w:val="en-GB"/>
        </w:rPr>
        <w:t xml:space="preserve"> These considerations might explain Imagine</w:t>
      </w:r>
      <w:r w:rsidR="0020754E" w:rsidRPr="00753209">
        <w:rPr>
          <w:lang w:val="en-GB"/>
        </w:rPr>
        <w:t xml:space="preserve"> Communications</w:t>
      </w:r>
      <w:r w:rsidR="00411B49" w:rsidRPr="00753209">
        <w:rPr>
          <w:lang w:val="en-GB"/>
        </w:rPr>
        <w:t>´ higher valuation.</w:t>
      </w:r>
    </w:p>
    <w:p w:rsidR="000642D9" w:rsidRPr="00A12491" w:rsidRDefault="000642D9" w:rsidP="00A12491">
      <w:pPr>
        <w:pStyle w:val="ListNumber"/>
        <w:numPr>
          <w:ilvl w:val="0"/>
          <w:numId w:val="0"/>
        </w:numPr>
        <w:spacing w:after="240"/>
        <w:ind w:left="360"/>
        <w:rPr>
          <w:i/>
          <w:color w:val="0033CC"/>
          <w:lang w:val="en-GB"/>
        </w:rPr>
      </w:pPr>
      <w:r w:rsidRPr="00A12491">
        <w:rPr>
          <w:i/>
          <w:color w:val="0033CC"/>
          <w:lang w:val="en-GB"/>
        </w:rPr>
        <w:br w:type="page"/>
      </w:r>
    </w:p>
    <w:p w:rsidR="005D1D95" w:rsidRDefault="00C91276" w:rsidP="00C91276">
      <w:pPr>
        <w:ind w:left="0"/>
        <w:jc w:val="left"/>
        <w:rPr>
          <w:rFonts w:cs="Arial"/>
          <w:color w:val="333333"/>
        </w:rPr>
      </w:pPr>
      <w:r w:rsidRPr="000E1F96">
        <w:rPr>
          <w:rStyle w:val="Strong"/>
          <w:rFonts w:cs="Arial"/>
          <w:color w:val="333333"/>
        </w:rPr>
        <w:t>About Huawei</w:t>
      </w:r>
      <w:r w:rsidRPr="000E1F96">
        <w:rPr>
          <w:rFonts w:cs="Arial"/>
          <w:color w:val="333333"/>
        </w:rPr>
        <w:br/>
      </w:r>
    </w:p>
    <w:p w:rsidR="005D1D95" w:rsidRDefault="00C91276" w:rsidP="005D1D95">
      <w:pPr>
        <w:ind w:left="0"/>
        <w:rPr>
          <w:rFonts w:cs="Arial"/>
          <w:color w:val="333333"/>
        </w:rPr>
      </w:pPr>
      <w:r w:rsidRPr="000E1F96">
        <w:rPr>
          <w:rFonts w:cs="Arial"/>
          <w:color w:val="333333"/>
        </w:rPr>
        <w:t xml:space="preserve">Huawei is a leading global information and communications technology (ICT) solutions provider. Through our dedication to customer-centric innovation and strong partnerships, we have established end-to-end advantages in telecom networks, devices and cloud computing. We are committed to creating maximum value for telecom operators, enterprises and consumers by providing competitive solutions and services. Our products and solutions have been deployed in over 140 countries, serving more than one-third of the world’s population. </w:t>
      </w:r>
    </w:p>
    <w:p w:rsidR="005D1D95" w:rsidRDefault="005D1D95" w:rsidP="005D1D95">
      <w:pPr>
        <w:ind w:left="0"/>
        <w:rPr>
          <w:rFonts w:cs="Arial"/>
          <w:color w:val="333333"/>
        </w:rPr>
      </w:pPr>
    </w:p>
    <w:p w:rsidR="00C91276" w:rsidRDefault="00C91276" w:rsidP="005D1D95">
      <w:pPr>
        <w:ind w:left="0"/>
        <w:rPr>
          <w:rFonts w:cs="Arial"/>
        </w:rPr>
      </w:pPr>
      <w:r w:rsidRPr="000E1F96">
        <w:rPr>
          <w:rFonts w:cs="Arial"/>
          <w:color w:val="333333"/>
        </w:rPr>
        <w:t xml:space="preserve">For more information, visit Huawei online: </w:t>
      </w:r>
      <w:hyperlink r:id="rId29" w:tgtFrame="_blank" w:history="1">
        <w:r w:rsidRPr="00FA4601">
          <w:rPr>
            <w:rFonts w:cs="Arial"/>
          </w:rPr>
          <w:t>www.huawei.com</w:t>
        </w:r>
      </w:hyperlink>
      <w:r w:rsidRPr="00FA4601">
        <w:rPr>
          <w:rFonts w:cs="Arial"/>
        </w:rPr>
        <w:t>.</w:t>
      </w:r>
    </w:p>
    <w:p w:rsidR="001C568C" w:rsidRPr="00FA4601" w:rsidRDefault="001C568C" w:rsidP="000E1F96">
      <w:pPr>
        <w:ind w:left="0"/>
        <w:jc w:val="left"/>
        <w:rPr>
          <w:rFonts w:cs="Arial"/>
        </w:rPr>
      </w:pPr>
    </w:p>
    <w:sectPr w:rsidR="001C568C" w:rsidRPr="00FA4601" w:rsidSect="004B45C2">
      <w:headerReference w:type="default" r:id="rId30"/>
      <w:footerReference w:type="default" r:id="rId31"/>
      <w:pgSz w:w="11906" w:h="16838"/>
      <w:pgMar w:top="1440" w:right="1440" w:bottom="1440" w:left="1440"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49A" w:rsidRDefault="0000349A" w:rsidP="00181056">
      <w:pPr>
        <w:spacing w:before="0" w:after="0"/>
      </w:pPr>
      <w:r>
        <w:separator/>
      </w:r>
    </w:p>
  </w:endnote>
  <w:endnote w:type="continuationSeparator" w:id="0">
    <w:p w:rsidR="0000349A" w:rsidRDefault="0000349A" w:rsidP="0018105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5D" w:rsidRDefault="00AE2F5D">
    <w:pPr>
      <w:pStyle w:val="Footer"/>
    </w:pPr>
    <w:r>
      <w:t xml:space="preserve"> Page </w:t>
    </w:r>
    <w:sdt>
      <w:sdtPr>
        <w:id w:val="481174461"/>
        <w:docPartObj>
          <w:docPartGallery w:val="Page Numbers (Bottom of Page)"/>
          <w:docPartUnique/>
        </w:docPartObj>
      </w:sdtPr>
      <w:sdtContent>
        <w:fldSimple w:instr=" PAGE   \* MERGEFORMAT ">
          <w:r w:rsidR="000F2E9B">
            <w:rPr>
              <w:noProof/>
            </w:rPr>
            <w:t>1</w:t>
          </w:r>
        </w:fldSimple>
      </w:sdtContent>
    </w:sdt>
  </w:p>
  <w:p w:rsidR="00AE2F5D" w:rsidRDefault="00AE2F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49A" w:rsidRDefault="0000349A" w:rsidP="00F90409">
      <w:pPr>
        <w:spacing w:before="0" w:after="0"/>
        <w:ind w:left="0"/>
      </w:pPr>
      <w:r>
        <w:separator/>
      </w:r>
    </w:p>
  </w:footnote>
  <w:footnote w:type="continuationSeparator" w:id="0">
    <w:p w:rsidR="0000349A" w:rsidRDefault="0000349A" w:rsidP="00181056">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6"/>
      <w:gridCol w:w="7439"/>
      <w:gridCol w:w="315"/>
    </w:tblGrid>
    <w:tr w:rsidR="00AE2F5D" w:rsidTr="00F947FA">
      <w:trPr>
        <w:trHeight w:val="1211"/>
      </w:trPr>
      <w:tc>
        <w:tcPr>
          <w:tcW w:w="0" w:type="auto"/>
          <w:vAlign w:val="center"/>
        </w:tcPr>
        <w:p w:rsidR="00AE2F5D" w:rsidRPr="000C0BB9" w:rsidRDefault="00AE2F5D" w:rsidP="00663D30">
          <w:pPr>
            <w:pStyle w:val="Header"/>
            <w:ind w:left="0"/>
            <w:jc w:val="left"/>
            <w:rPr>
              <w:noProof/>
              <w:lang w:eastAsia="en-GB"/>
            </w:rPr>
          </w:pPr>
          <w:r w:rsidRPr="00663D30">
            <w:rPr>
              <w:noProof/>
              <w:lang w:eastAsia="en-GB"/>
            </w:rPr>
            <w:drawing>
              <wp:inline distT="0" distB="0" distL="0" distR="0">
                <wp:extent cx="658283" cy="658283"/>
                <wp:effectExtent l="19050" t="0" r="8467" b="0"/>
                <wp:docPr id="1" name="Picture 2" descr="Nouveau logo Huaw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au logo Huawei"/>
                        <pic:cNvPicPr>
                          <a:picLocks noChangeAspect="1" noChangeArrowheads="1"/>
                        </pic:cNvPicPr>
                      </pic:nvPicPr>
                      <pic:blipFill>
                        <a:blip r:embed="rId1"/>
                        <a:srcRect/>
                        <a:stretch>
                          <a:fillRect/>
                        </a:stretch>
                      </pic:blipFill>
                      <pic:spPr bwMode="auto">
                        <a:xfrm>
                          <a:off x="0" y="0"/>
                          <a:ext cx="655481" cy="655481"/>
                        </a:xfrm>
                        <a:prstGeom prst="rect">
                          <a:avLst/>
                        </a:prstGeom>
                        <a:noFill/>
                        <a:ln w="9525">
                          <a:noFill/>
                          <a:miter lim="800000"/>
                          <a:headEnd/>
                          <a:tailEnd/>
                        </a:ln>
                      </pic:spPr>
                    </pic:pic>
                  </a:graphicData>
                </a:graphic>
              </wp:inline>
            </w:drawing>
          </w:r>
        </w:p>
      </w:tc>
      <w:tc>
        <w:tcPr>
          <w:tcW w:w="0" w:type="auto"/>
          <w:vAlign w:val="center"/>
        </w:tcPr>
        <w:p w:rsidR="00AE2F5D" w:rsidRDefault="00AE2F5D" w:rsidP="00F947FA">
          <w:pPr>
            <w:pStyle w:val="Footer"/>
            <w:ind w:firstLineChars="50" w:firstLine="90"/>
            <w:jc w:val="both"/>
            <w:rPr>
              <w:szCs w:val="18"/>
              <w:lang w:val="en-GB"/>
            </w:rPr>
          </w:pPr>
          <w:r>
            <w:rPr>
              <w:szCs w:val="18"/>
              <w:lang w:val="en-GB"/>
            </w:rPr>
            <w:t xml:space="preserve">                        </w:t>
          </w:r>
          <w:r w:rsidRPr="00B52291">
            <w:rPr>
              <w:szCs w:val="18"/>
              <w:lang w:val="en-GB"/>
            </w:rPr>
            <w:t xml:space="preserve">Huawei </w:t>
          </w:r>
          <w:r>
            <w:rPr>
              <w:szCs w:val="18"/>
              <w:lang w:val="en-GB"/>
            </w:rPr>
            <w:t>submission</w:t>
          </w:r>
          <w:r w:rsidRPr="00B52291">
            <w:rPr>
              <w:szCs w:val="18"/>
              <w:lang w:val="en-GB"/>
            </w:rPr>
            <w:t xml:space="preserve"> to </w:t>
          </w:r>
          <w:r>
            <w:rPr>
              <w:szCs w:val="18"/>
              <w:lang w:val="en-GB"/>
            </w:rPr>
            <w:t>the ACMA – August 2017</w:t>
          </w:r>
        </w:p>
        <w:p w:rsidR="00AE2F5D" w:rsidRDefault="00AE2F5D" w:rsidP="00F947FA">
          <w:pPr>
            <w:pStyle w:val="Footer"/>
            <w:ind w:firstLineChars="50" w:firstLine="90"/>
            <w:jc w:val="both"/>
            <w:rPr>
              <w:szCs w:val="18"/>
              <w:lang w:val="en-GB"/>
            </w:rPr>
          </w:pPr>
        </w:p>
        <w:p w:rsidR="00AE2F5D" w:rsidRDefault="00AE2F5D" w:rsidP="00F947FA">
          <w:pPr>
            <w:pStyle w:val="Footer"/>
            <w:ind w:firstLineChars="50" w:firstLine="90"/>
            <w:jc w:val="both"/>
            <w:rPr>
              <w:b/>
              <w:szCs w:val="18"/>
              <w:lang w:val="en-GB"/>
            </w:rPr>
          </w:pPr>
          <w:r>
            <w:rPr>
              <w:b/>
              <w:szCs w:val="18"/>
              <w:lang w:val="en-GB"/>
            </w:rPr>
            <w:t xml:space="preserve">                                    Future use of the 3.6 GHz band</w:t>
          </w:r>
        </w:p>
        <w:p w:rsidR="00AE2F5D" w:rsidRPr="001443BE" w:rsidRDefault="00AE2F5D" w:rsidP="00F947FA">
          <w:pPr>
            <w:pStyle w:val="Footer"/>
            <w:ind w:firstLineChars="50" w:firstLine="90"/>
            <w:jc w:val="both"/>
            <w:rPr>
              <w:szCs w:val="18"/>
              <w:lang w:val="en-GB"/>
            </w:rPr>
          </w:pPr>
          <w:r>
            <w:rPr>
              <w:szCs w:val="18"/>
              <w:lang w:val="en-GB"/>
            </w:rPr>
            <w:t xml:space="preserve">                 </w:t>
          </w:r>
        </w:p>
        <w:p w:rsidR="00AE2F5D" w:rsidRDefault="00AE2F5D" w:rsidP="00F947FA">
          <w:pPr>
            <w:pStyle w:val="Footer"/>
            <w:ind w:firstLineChars="50" w:firstLine="90"/>
            <w:jc w:val="both"/>
            <w:rPr>
              <w:szCs w:val="18"/>
              <w:lang w:val="en-GB"/>
            </w:rPr>
          </w:pPr>
        </w:p>
      </w:tc>
      <w:tc>
        <w:tcPr>
          <w:tcW w:w="0" w:type="auto"/>
          <w:vAlign w:val="center"/>
        </w:tcPr>
        <w:p w:rsidR="00AE2F5D" w:rsidRDefault="00AE2F5D" w:rsidP="00F63F01">
          <w:pPr>
            <w:pStyle w:val="ListParagraph"/>
            <w:spacing w:before="0" w:after="0"/>
            <w:ind w:left="34"/>
            <w:jc w:val="center"/>
          </w:pPr>
        </w:p>
      </w:tc>
    </w:tr>
  </w:tbl>
  <w:p w:rsidR="00AE2F5D" w:rsidRDefault="00AE2F5D" w:rsidP="00935ABA">
    <w:pPr>
      <w:pStyle w:val="Header"/>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4FC4988"/>
    <w:lvl w:ilvl="0">
      <w:start w:val="1"/>
      <w:numFmt w:val="decimal"/>
      <w:pStyle w:val="ListNumber2"/>
      <w:lvlText w:val="%1."/>
      <w:lvlJc w:val="left"/>
      <w:pPr>
        <w:tabs>
          <w:tab w:val="num" w:pos="643"/>
        </w:tabs>
        <w:ind w:left="643" w:hanging="360"/>
      </w:pPr>
    </w:lvl>
  </w:abstractNum>
  <w:abstractNum w:abstractNumId="1">
    <w:nsid w:val="FFFFFF88"/>
    <w:multiLevelType w:val="singleLevel"/>
    <w:tmpl w:val="5DB0C104"/>
    <w:lvl w:ilvl="0">
      <w:start w:val="1"/>
      <w:numFmt w:val="decimal"/>
      <w:lvlText w:val="%1."/>
      <w:lvlJc w:val="left"/>
      <w:pPr>
        <w:ind w:left="360" w:hanging="360"/>
      </w:pPr>
      <w:rPr>
        <w:rFonts w:hint="default"/>
        <w:caps/>
        <w:sz w:val="20"/>
      </w:rPr>
    </w:lvl>
  </w:abstractNum>
  <w:abstractNum w:abstractNumId="2">
    <w:nsid w:val="0A9D6D00"/>
    <w:multiLevelType w:val="hybridMultilevel"/>
    <w:tmpl w:val="B0D20D6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F335272"/>
    <w:multiLevelType w:val="hybridMultilevel"/>
    <w:tmpl w:val="3A84669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06650B6"/>
    <w:multiLevelType w:val="hybridMultilevel"/>
    <w:tmpl w:val="32D22BE6"/>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46A5264"/>
    <w:multiLevelType w:val="hybridMultilevel"/>
    <w:tmpl w:val="0002C97E"/>
    <w:lvl w:ilvl="0" w:tplc="E21CE462">
      <w:start w:val="1"/>
      <w:numFmt w:val="decimal"/>
      <w:pStyle w:val="ListNumber"/>
      <w:lvlText w:val="%1."/>
      <w:lvlJc w:val="left"/>
      <w:pPr>
        <w:ind w:left="360" w:hanging="360"/>
      </w:pPr>
      <w:rPr>
        <w:rFonts w:hint="default"/>
        <w:caps/>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1D0219"/>
    <w:multiLevelType w:val="hybridMultilevel"/>
    <w:tmpl w:val="65F00E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A71152B"/>
    <w:multiLevelType w:val="hybridMultilevel"/>
    <w:tmpl w:val="AAEEE49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E2A6585"/>
    <w:multiLevelType w:val="hybridMultilevel"/>
    <w:tmpl w:val="F092D73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3384E18"/>
    <w:multiLevelType w:val="hybridMultilevel"/>
    <w:tmpl w:val="6C44F95A"/>
    <w:lvl w:ilvl="0" w:tplc="04090001">
      <w:start w:val="1"/>
      <w:numFmt w:val="bullet"/>
      <w:lvlText w:val=""/>
      <w:lvlJc w:val="left"/>
      <w:pPr>
        <w:ind w:left="25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1">
    <w:nsid w:val="26F406DA"/>
    <w:multiLevelType w:val="hybridMultilevel"/>
    <w:tmpl w:val="DFF44802"/>
    <w:lvl w:ilvl="0" w:tplc="04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13D1E5E"/>
    <w:multiLevelType w:val="hybridMultilevel"/>
    <w:tmpl w:val="604CB82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3C70F5"/>
    <w:multiLevelType w:val="hybridMultilevel"/>
    <w:tmpl w:val="8D30026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1EE0F6F"/>
    <w:multiLevelType w:val="hybridMultilevel"/>
    <w:tmpl w:val="76507EF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6">
    <w:nsid w:val="646A74C5"/>
    <w:multiLevelType w:val="hybridMultilevel"/>
    <w:tmpl w:val="18D886E8"/>
    <w:lvl w:ilvl="0" w:tplc="6D5868E0">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12E33E4"/>
    <w:multiLevelType w:val="hybridMultilevel"/>
    <w:tmpl w:val="BECE5CD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4AE029C"/>
    <w:multiLevelType w:val="hybridMultilevel"/>
    <w:tmpl w:val="8F7630E0"/>
    <w:lvl w:ilvl="0" w:tplc="04090019">
      <w:start w:val="1"/>
      <w:numFmt w:val="lowerLetter"/>
      <w:lvlText w:val="%1."/>
      <w:lvlJc w:val="left"/>
      <w:pPr>
        <w:ind w:left="643" w:hanging="360"/>
      </w:p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9">
    <w:nsid w:val="7CA76EDE"/>
    <w:multiLevelType w:val="hybridMultilevel"/>
    <w:tmpl w:val="08A4BA8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lvlOverride w:ilvl="0">
      <w:startOverride w:val="1"/>
    </w:lvlOverride>
  </w:num>
  <w:num w:numId="4">
    <w:abstractNumId w:val="0"/>
  </w:num>
  <w:num w:numId="5">
    <w:abstractNumId w:val="18"/>
  </w:num>
  <w:num w:numId="6">
    <w:abstractNumId w:val="7"/>
  </w:num>
  <w:num w:numId="7">
    <w:abstractNumId w:val="5"/>
  </w:num>
  <w:num w:numId="8">
    <w:abstractNumId w:val="16"/>
  </w:num>
  <w:num w:numId="9">
    <w:abstractNumId w:val="6"/>
  </w:num>
  <w:num w:numId="10">
    <w:abstractNumId w:val="11"/>
  </w:num>
  <w:num w:numId="11">
    <w:abstractNumId w:val="13"/>
  </w:num>
  <w:num w:numId="12">
    <w:abstractNumId w:val="8"/>
  </w:num>
  <w:num w:numId="13">
    <w:abstractNumId w:val="17"/>
  </w:num>
  <w:num w:numId="14">
    <w:abstractNumId w:val="2"/>
  </w:num>
  <w:num w:numId="15">
    <w:abstractNumId w:val="3"/>
  </w:num>
  <w:num w:numId="16">
    <w:abstractNumId w:val="14"/>
  </w:num>
  <w:num w:numId="17">
    <w:abstractNumId w:val="10"/>
  </w:num>
  <w:num w:numId="18">
    <w:abstractNumId w:val="19"/>
  </w:num>
  <w:num w:numId="19">
    <w:abstractNumId w:val="12"/>
  </w:num>
  <w:num w:numId="20">
    <w:abstractNumId w:val="6"/>
  </w:num>
  <w:num w:numId="21">
    <w:abstractNumId w:val="9"/>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hyphenationZone w:val="283"/>
  <w:drawingGridHorizontalSpacing w:val="100"/>
  <w:displayHorizontalDrawingGridEvery w:val="2"/>
  <w:characterSpacingControl w:val="doNotCompress"/>
  <w:hdrShapeDefaults>
    <o:shapedefaults v:ext="edit" spidmax="166913"/>
  </w:hdrShapeDefaults>
  <w:footnotePr>
    <w:footnote w:id="-1"/>
    <w:footnote w:id="0"/>
  </w:footnotePr>
  <w:endnotePr>
    <w:endnote w:id="-1"/>
    <w:endnote w:id="0"/>
  </w:endnotePr>
  <w:compat>
    <w:useFELayout/>
  </w:compat>
  <w:rsids>
    <w:rsidRoot w:val="00181056"/>
    <w:rsid w:val="0000153E"/>
    <w:rsid w:val="0000349A"/>
    <w:rsid w:val="00007514"/>
    <w:rsid w:val="00012E87"/>
    <w:rsid w:val="00015028"/>
    <w:rsid w:val="00023251"/>
    <w:rsid w:val="00023D70"/>
    <w:rsid w:val="0002441B"/>
    <w:rsid w:val="00024E69"/>
    <w:rsid w:val="00027F0E"/>
    <w:rsid w:val="00032B06"/>
    <w:rsid w:val="0003367D"/>
    <w:rsid w:val="00035A64"/>
    <w:rsid w:val="00035C8B"/>
    <w:rsid w:val="00035DD0"/>
    <w:rsid w:val="00040E26"/>
    <w:rsid w:val="00044ACC"/>
    <w:rsid w:val="000500A0"/>
    <w:rsid w:val="00050DAA"/>
    <w:rsid w:val="00051EBC"/>
    <w:rsid w:val="00053F5D"/>
    <w:rsid w:val="00055F06"/>
    <w:rsid w:val="000578B9"/>
    <w:rsid w:val="0006339B"/>
    <w:rsid w:val="000642D9"/>
    <w:rsid w:val="0006662A"/>
    <w:rsid w:val="0007154A"/>
    <w:rsid w:val="00072697"/>
    <w:rsid w:val="000749D6"/>
    <w:rsid w:val="00074FAB"/>
    <w:rsid w:val="0007505B"/>
    <w:rsid w:val="00075243"/>
    <w:rsid w:val="0008116A"/>
    <w:rsid w:val="00081F53"/>
    <w:rsid w:val="0008325A"/>
    <w:rsid w:val="00083262"/>
    <w:rsid w:val="000846C9"/>
    <w:rsid w:val="00084B80"/>
    <w:rsid w:val="00087EE4"/>
    <w:rsid w:val="000907D7"/>
    <w:rsid w:val="000914C2"/>
    <w:rsid w:val="00092941"/>
    <w:rsid w:val="000941B1"/>
    <w:rsid w:val="00097E2D"/>
    <w:rsid w:val="000A0C4C"/>
    <w:rsid w:val="000A4CEF"/>
    <w:rsid w:val="000B04E6"/>
    <w:rsid w:val="000B1B73"/>
    <w:rsid w:val="000B1C46"/>
    <w:rsid w:val="000B2A66"/>
    <w:rsid w:val="000B41FC"/>
    <w:rsid w:val="000B421C"/>
    <w:rsid w:val="000B62D4"/>
    <w:rsid w:val="000B6DB6"/>
    <w:rsid w:val="000C0BB9"/>
    <w:rsid w:val="000C4F29"/>
    <w:rsid w:val="000C691A"/>
    <w:rsid w:val="000C6FA5"/>
    <w:rsid w:val="000C7F9C"/>
    <w:rsid w:val="000E0F68"/>
    <w:rsid w:val="000E1F96"/>
    <w:rsid w:val="000E2EED"/>
    <w:rsid w:val="000E5B34"/>
    <w:rsid w:val="000F0834"/>
    <w:rsid w:val="000F2E9B"/>
    <w:rsid w:val="000F7DD9"/>
    <w:rsid w:val="00100C78"/>
    <w:rsid w:val="00100DB0"/>
    <w:rsid w:val="001012AF"/>
    <w:rsid w:val="00102228"/>
    <w:rsid w:val="001061A6"/>
    <w:rsid w:val="00107DB2"/>
    <w:rsid w:val="001114B0"/>
    <w:rsid w:val="0011408E"/>
    <w:rsid w:val="00116F3E"/>
    <w:rsid w:val="00117377"/>
    <w:rsid w:val="0012064D"/>
    <w:rsid w:val="001209A3"/>
    <w:rsid w:val="00120EDD"/>
    <w:rsid w:val="00133F93"/>
    <w:rsid w:val="00134302"/>
    <w:rsid w:val="00136ABB"/>
    <w:rsid w:val="00136F3E"/>
    <w:rsid w:val="001400EB"/>
    <w:rsid w:val="00140A35"/>
    <w:rsid w:val="00140B9A"/>
    <w:rsid w:val="00142C0F"/>
    <w:rsid w:val="001443BE"/>
    <w:rsid w:val="00145724"/>
    <w:rsid w:val="0014679B"/>
    <w:rsid w:val="001518CE"/>
    <w:rsid w:val="00155B44"/>
    <w:rsid w:val="00156D1C"/>
    <w:rsid w:val="00161968"/>
    <w:rsid w:val="00162021"/>
    <w:rsid w:val="001635B4"/>
    <w:rsid w:val="00164072"/>
    <w:rsid w:val="001645F2"/>
    <w:rsid w:val="00173A32"/>
    <w:rsid w:val="00174EFC"/>
    <w:rsid w:val="00175A09"/>
    <w:rsid w:val="00180392"/>
    <w:rsid w:val="00181056"/>
    <w:rsid w:val="0018110E"/>
    <w:rsid w:val="001832BA"/>
    <w:rsid w:val="00187EEF"/>
    <w:rsid w:val="001903FF"/>
    <w:rsid w:val="00193A89"/>
    <w:rsid w:val="00195E5E"/>
    <w:rsid w:val="00196BEF"/>
    <w:rsid w:val="001A00C2"/>
    <w:rsid w:val="001A14AD"/>
    <w:rsid w:val="001A19A9"/>
    <w:rsid w:val="001A1D20"/>
    <w:rsid w:val="001A315E"/>
    <w:rsid w:val="001A3E0A"/>
    <w:rsid w:val="001A7CCF"/>
    <w:rsid w:val="001C3240"/>
    <w:rsid w:val="001C568C"/>
    <w:rsid w:val="001D496A"/>
    <w:rsid w:val="001D6CB2"/>
    <w:rsid w:val="001D7AD8"/>
    <w:rsid w:val="001E2B28"/>
    <w:rsid w:val="001E3FF5"/>
    <w:rsid w:val="001E4A2D"/>
    <w:rsid w:val="001E501B"/>
    <w:rsid w:val="001E56E0"/>
    <w:rsid w:val="001F2F6F"/>
    <w:rsid w:val="001F4A24"/>
    <w:rsid w:val="001F5FCF"/>
    <w:rsid w:val="001F77A3"/>
    <w:rsid w:val="001F7EF1"/>
    <w:rsid w:val="002004CD"/>
    <w:rsid w:val="00200BFA"/>
    <w:rsid w:val="00202D1F"/>
    <w:rsid w:val="00202F6A"/>
    <w:rsid w:val="002031A0"/>
    <w:rsid w:val="002055DF"/>
    <w:rsid w:val="0020754E"/>
    <w:rsid w:val="002078B0"/>
    <w:rsid w:val="0021060B"/>
    <w:rsid w:val="00210C80"/>
    <w:rsid w:val="00216248"/>
    <w:rsid w:val="002216E2"/>
    <w:rsid w:val="00222224"/>
    <w:rsid w:val="0022280A"/>
    <w:rsid w:val="002233EC"/>
    <w:rsid w:val="00223986"/>
    <w:rsid w:val="002262D6"/>
    <w:rsid w:val="002273BA"/>
    <w:rsid w:val="002361A5"/>
    <w:rsid w:val="002410E2"/>
    <w:rsid w:val="00244219"/>
    <w:rsid w:val="00244FF5"/>
    <w:rsid w:val="00250BF4"/>
    <w:rsid w:val="00250EAD"/>
    <w:rsid w:val="002512E5"/>
    <w:rsid w:val="00252E23"/>
    <w:rsid w:val="00253E1F"/>
    <w:rsid w:val="002607DC"/>
    <w:rsid w:val="00260802"/>
    <w:rsid w:val="0026377A"/>
    <w:rsid w:val="00266735"/>
    <w:rsid w:val="00266AD2"/>
    <w:rsid w:val="00270CD4"/>
    <w:rsid w:val="00271430"/>
    <w:rsid w:val="0027458F"/>
    <w:rsid w:val="002768A8"/>
    <w:rsid w:val="00281835"/>
    <w:rsid w:val="00281EFA"/>
    <w:rsid w:val="00282E2B"/>
    <w:rsid w:val="002847F9"/>
    <w:rsid w:val="0029025F"/>
    <w:rsid w:val="00290736"/>
    <w:rsid w:val="00292809"/>
    <w:rsid w:val="002928C1"/>
    <w:rsid w:val="0029350A"/>
    <w:rsid w:val="002977BF"/>
    <w:rsid w:val="002A0DEC"/>
    <w:rsid w:val="002A0FB8"/>
    <w:rsid w:val="002A1986"/>
    <w:rsid w:val="002A3113"/>
    <w:rsid w:val="002A3A7B"/>
    <w:rsid w:val="002A4005"/>
    <w:rsid w:val="002A52E6"/>
    <w:rsid w:val="002A72E3"/>
    <w:rsid w:val="002B0F53"/>
    <w:rsid w:val="002B1899"/>
    <w:rsid w:val="002B6DDA"/>
    <w:rsid w:val="002C2A06"/>
    <w:rsid w:val="002C6069"/>
    <w:rsid w:val="002C776D"/>
    <w:rsid w:val="002D10A1"/>
    <w:rsid w:val="002D1562"/>
    <w:rsid w:val="002D27DF"/>
    <w:rsid w:val="002D5151"/>
    <w:rsid w:val="002D76F2"/>
    <w:rsid w:val="002E1E21"/>
    <w:rsid w:val="002E2B12"/>
    <w:rsid w:val="002E3AC4"/>
    <w:rsid w:val="002E6872"/>
    <w:rsid w:val="002F5045"/>
    <w:rsid w:val="002F704C"/>
    <w:rsid w:val="0030381A"/>
    <w:rsid w:val="0030564F"/>
    <w:rsid w:val="00307CBC"/>
    <w:rsid w:val="00311BEF"/>
    <w:rsid w:val="00311EE3"/>
    <w:rsid w:val="00312EA4"/>
    <w:rsid w:val="00315382"/>
    <w:rsid w:val="00323749"/>
    <w:rsid w:val="00324113"/>
    <w:rsid w:val="00326848"/>
    <w:rsid w:val="00326B56"/>
    <w:rsid w:val="0033034C"/>
    <w:rsid w:val="00332B5D"/>
    <w:rsid w:val="00333653"/>
    <w:rsid w:val="003346E8"/>
    <w:rsid w:val="0033573C"/>
    <w:rsid w:val="00341D92"/>
    <w:rsid w:val="003457C0"/>
    <w:rsid w:val="00347458"/>
    <w:rsid w:val="00347943"/>
    <w:rsid w:val="00352CB6"/>
    <w:rsid w:val="003579CC"/>
    <w:rsid w:val="00360D5C"/>
    <w:rsid w:val="0036469A"/>
    <w:rsid w:val="003665C9"/>
    <w:rsid w:val="00366635"/>
    <w:rsid w:val="00366794"/>
    <w:rsid w:val="00366D6E"/>
    <w:rsid w:val="00374138"/>
    <w:rsid w:val="00374F73"/>
    <w:rsid w:val="00375019"/>
    <w:rsid w:val="00377DE1"/>
    <w:rsid w:val="00377F01"/>
    <w:rsid w:val="00380688"/>
    <w:rsid w:val="0038074D"/>
    <w:rsid w:val="00381B3A"/>
    <w:rsid w:val="003826E4"/>
    <w:rsid w:val="00384183"/>
    <w:rsid w:val="00385653"/>
    <w:rsid w:val="0039063A"/>
    <w:rsid w:val="00393AD9"/>
    <w:rsid w:val="00397388"/>
    <w:rsid w:val="00397CA9"/>
    <w:rsid w:val="003A34FE"/>
    <w:rsid w:val="003A3CE4"/>
    <w:rsid w:val="003B2861"/>
    <w:rsid w:val="003B5A9B"/>
    <w:rsid w:val="003B7E2C"/>
    <w:rsid w:val="003C1E1A"/>
    <w:rsid w:val="003C52A5"/>
    <w:rsid w:val="003D1BA7"/>
    <w:rsid w:val="003D2143"/>
    <w:rsid w:val="003D2DF1"/>
    <w:rsid w:val="003D30C8"/>
    <w:rsid w:val="003E1A2F"/>
    <w:rsid w:val="003E5D1B"/>
    <w:rsid w:val="003F0D20"/>
    <w:rsid w:val="003F1ADD"/>
    <w:rsid w:val="003F20AC"/>
    <w:rsid w:val="003F285E"/>
    <w:rsid w:val="00402C28"/>
    <w:rsid w:val="00405327"/>
    <w:rsid w:val="0040685E"/>
    <w:rsid w:val="00407CEB"/>
    <w:rsid w:val="00411B49"/>
    <w:rsid w:val="00420F48"/>
    <w:rsid w:val="0042428B"/>
    <w:rsid w:val="00426F13"/>
    <w:rsid w:val="00434F88"/>
    <w:rsid w:val="00436FF8"/>
    <w:rsid w:val="00437A13"/>
    <w:rsid w:val="004400BB"/>
    <w:rsid w:val="004434B6"/>
    <w:rsid w:val="00445664"/>
    <w:rsid w:val="0044576A"/>
    <w:rsid w:val="004477C9"/>
    <w:rsid w:val="00452C64"/>
    <w:rsid w:val="0045344B"/>
    <w:rsid w:val="00453E23"/>
    <w:rsid w:val="00457AF6"/>
    <w:rsid w:val="00460644"/>
    <w:rsid w:val="00461905"/>
    <w:rsid w:val="0046271D"/>
    <w:rsid w:val="00462A99"/>
    <w:rsid w:val="00465235"/>
    <w:rsid w:val="00465960"/>
    <w:rsid w:val="00470BAB"/>
    <w:rsid w:val="004730EE"/>
    <w:rsid w:val="004758B3"/>
    <w:rsid w:val="00485A57"/>
    <w:rsid w:val="0048690B"/>
    <w:rsid w:val="00490561"/>
    <w:rsid w:val="004907EF"/>
    <w:rsid w:val="00492E30"/>
    <w:rsid w:val="00494642"/>
    <w:rsid w:val="00494717"/>
    <w:rsid w:val="004A1A3C"/>
    <w:rsid w:val="004A2183"/>
    <w:rsid w:val="004A34AF"/>
    <w:rsid w:val="004A3BAC"/>
    <w:rsid w:val="004A4C5F"/>
    <w:rsid w:val="004B4587"/>
    <w:rsid w:val="004B45C2"/>
    <w:rsid w:val="004B5CE5"/>
    <w:rsid w:val="004B74ED"/>
    <w:rsid w:val="004C43FC"/>
    <w:rsid w:val="004C792C"/>
    <w:rsid w:val="004D0F2F"/>
    <w:rsid w:val="004D1B6C"/>
    <w:rsid w:val="004D47A5"/>
    <w:rsid w:val="004D5081"/>
    <w:rsid w:val="004D6014"/>
    <w:rsid w:val="004E311C"/>
    <w:rsid w:val="004E4C67"/>
    <w:rsid w:val="004E532C"/>
    <w:rsid w:val="004E6BB2"/>
    <w:rsid w:val="004F0619"/>
    <w:rsid w:val="004F0826"/>
    <w:rsid w:val="004F0CC8"/>
    <w:rsid w:val="004F3307"/>
    <w:rsid w:val="005046C8"/>
    <w:rsid w:val="00506305"/>
    <w:rsid w:val="00506BE5"/>
    <w:rsid w:val="00510C09"/>
    <w:rsid w:val="00511A17"/>
    <w:rsid w:val="00515BDA"/>
    <w:rsid w:val="00516EC7"/>
    <w:rsid w:val="00517365"/>
    <w:rsid w:val="00517AF6"/>
    <w:rsid w:val="0052380D"/>
    <w:rsid w:val="005272F1"/>
    <w:rsid w:val="00527FC9"/>
    <w:rsid w:val="00530E28"/>
    <w:rsid w:val="005324A2"/>
    <w:rsid w:val="0053252E"/>
    <w:rsid w:val="00532970"/>
    <w:rsid w:val="00535273"/>
    <w:rsid w:val="0053649A"/>
    <w:rsid w:val="0053696D"/>
    <w:rsid w:val="00536C12"/>
    <w:rsid w:val="005374F2"/>
    <w:rsid w:val="005378DB"/>
    <w:rsid w:val="0054531C"/>
    <w:rsid w:val="00553FC9"/>
    <w:rsid w:val="00553FE3"/>
    <w:rsid w:val="00560B1F"/>
    <w:rsid w:val="00563A90"/>
    <w:rsid w:val="005663D8"/>
    <w:rsid w:val="00567632"/>
    <w:rsid w:val="00571B8E"/>
    <w:rsid w:val="005722AD"/>
    <w:rsid w:val="005726F6"/>
    <w:rsid w:val="00574BBF"/>
    <w:rsid w:val="00576750"/>
    <w:rsid w:val="00576F89"/>
    <w:rsid w:val="00581704"/>
    <w:rsid w:val="00581DDC"/>
    <w:rsid w:val="005902B4"/>
    <w:rsid w:val="00590B51"/>
    <w:rsid w:val="00595D68"/>
    <w:rsid w:val="00596A1C"/>
    <w:rsid w:val="005A0644"/>
    <w:rsid w:val="005A2993"/>
    <w:rsid w:val="005A326F"/>
    <w:rsid w:val="005A482B"/>
    <w:rsid w:val="005A584D"/>
    <w:rsid w:val="005B008C"/>
    <w:rsid w:val="005B0C51"/>
    <w:rsid w:val="005B0DC0"/>
    <w:rsid w:val="005B115E"/>
    <w:rsid w:val="005B601A"/>
    <w:rsid w:val="005B7258"/>
    <w:rsid w:val="005B7D5F"/>
    <w:rsid w:val="005C3B14"/>
    <w:rsid w:val="005C4309"/>
    <w:rsid w:val="005C462F"/>
    <w:rsid w:val="005C63E1"/>
    <w:rsid w:val="005C645B"/>
    <w:rsid w:val="005C6A4C"/>
    <w:rsid w:val="005D0DA0"/>
    <w:rsid w:val="005D1D95"/>
    <w:rsid w:val="005D6033"/>
    <w:rsid w:val="005D6694"/>
    <w:rsid w:val="005D7E89"/>
    <w:rsid w:val="005D7F9A"/>
    <w:rsid w:val="005E2D3A"/>
    <w:rsid w:val="005E3CCE"/>
    <w:rsid w:val="005E3DA1"/>
    <w:rsid w:val="005E44CC"/>
    <w:rsid w:val="005E5652"/>
    <w:rsid w:val="005F1660"/>
    <w:rsid w:val="005F27A9"/>
    <w:rsid w:val="005F2819"/>
    <w:rsid w:val="005F3702"/>
    <w:rsid w:val="005F571C"/>
    <w:rsid w:val="00602F3A"/>
    <w:rsid w:val="00606EC8"/>
    <w:rsid w:val="00611F06"/>
    <w:rsid w:val="006145CF"/>
    <w:rsid w:val="00614D4D"/>
    <w:rsid w:val="00620DBE"/>
    <w:rsid w:val="00621759"/>
    <w:rsid w:val="00621C37"/>
    <w:rsid w:val="006231C6"/>
    <w:rsid w:val="00623382"/>
    <w:rsid w:val="00627A63"/>
    <w:rsid w:val="00627C2A"/>
    <w:rsid w:val="00634530"/>
    <w:rsid w:val="00634CEB"/>
    <w:rsid w:val="0063519A"/>
    <w:rsid w:val="0064571F"/>
    <w:rsid w:val="006461E2"/>
    <w:rsid w:val="00646686"/>
    <w:rsid w:val="006533D0"/>
    <w:rsid w:val="00653565"/>
    <w:rsid w:val="006548A5"/>
    <w:rsid w:val="0065594B"/>
    <w:rsid w:val="006578D1"/>
    <w:rsid w:val="00663D30"/>
    <w:rsid w:val="006654E7"/>
    <w:rsid w:val="0066661A"/>
    <w:rsid w:val="00666B3F"/>
    <w:rsid w:val="00667EC3"/>
    <w:rsid w:val="00671AD4"/>
    <w:rsid w:val="00672B69"/>
    <w:rsid w:val="006738A0"/>
    <w:rsid w:val="00675DDC"/>
    <w:rsid w:val="006773D3"/>
    <w:rsid w:val="006777E2"/>
    <w:rsid w:val="00677D27"/>
    <w:rsid w:val="006815AA"/>
    <w:rsid w:val="00685EFD"/>
    <w:rsid w:val="006870E7"/>
    <w:rsid w:val="00690119"/>
    <w:rsid w:val="00696A0A"/>
    <w:rsid w:val="006A0268"/>
    <w:rsid w:val="006A7015"/>
    <w:rsid w:val="006B0D04"/>
    <w:rsid w:val="006B4094"/>
    <w:rsid w:val="006B5682"/>
    <w:rsid w:val="006B5C15"/>
    <w:rsid w:val="006B5DDC"/>
    <w:rsid w:val="006B7646"/>
    <w:rsid w:val="006C08D4"/>
    <w:rsid w:val="006C3B3B"/>
    <w:rsid w:val="006C5BC1"/>
    <w:rsid w:val="006C7D81"/>
    <w:rsid w:val="006D18C8"/>
    <w:rsid w:val="006D20C8"/>
    <w:rsid w:val="006D3EE2"/>
    <w:rsid w:val="006E013C"/>
    <w:rsid w:val="006E1D0A"/>
    <w:rsid w:val="006E23EC"/>
    <w:rsid w:val="006E2403"/>
    <w:rsid w:val="006E2911"/>
    <w:rsid w:val="006E3DDC"/>
    <w:rsid w:val="006E4F14"/>
    <w:rsid w:val="006E5436"/>
    <w:rsid w:val="006E6EFB"/>
    <w:rsid w:val="006E7B09"/>
    <w:rsid w:val="006F22BF"/>
    <w:rsid w:val="006F3BF6"/>
    <w:rsid w:val="006F3FE0"/>
    <w:rsid w:val="006F5E7B"/>
    <w:rsid w:val="006F657E"/>
    <w:rsid w:val="006F6D28"/>
    <w:rsid w:val="00701553"/>
    <w:rsid w:val="00702C16"/>
    <w:rsid w:val="00703A8E"/>
    <w:rsid w:val="00707598"/>
    <w:rsid w:val="00710462"/>
    <w:rsid w:val="007122A4"/>
    <w:rsid w:val="007130C8"/>
    <w:rsid w:val="0071461E"/>
    <w:rsid w:val="00717AA3"/>
    <w:rsid w:val="00723C3F"/>
    <w:rsid w:val="00725493"/>
    <w:rsid w:val="00731E02"/>
    <w:rsid w:val="007328AC"/>
    <w:rsid w:val="00733C3F"/>
    <w:rsid w:val="0073599A"/>
    <w:rsid w:val="00740DAB"/>
    <w:rsid w:val="0074198D"/>
    <w:rsid w:val="0074226C"/>
    <w:rsid w:val="00743497"/>
    <w:rsid w:val="00743703"/>
    <w:rsid w:val="0074472E"/>
    <w:rsid w:val="0074476C"/>
    <w:rsid w:val="00744FEF"/>
    <w:rsid w:val="0074614E"/>
    <w:rsid w:val="00747878"/>
    <w:rsid w:val="00752123"/>
    <w:rsid w:val="00752450"/>
    <w:rsid w:val="00753209"/>
    <w:rsid w:val="00757220"/>
    <w:rsid w:val="00760963"/>
    <w:rsid w:val="007623A1"/>
    <w:rsid w:val="00762C54"/>
    <w:rsid w:val="00764AE4"/>
    <w:rsid w:val="00764D05"/>
    <w:rsid w:val="00771A97"/>
    <w:rsid w:val="007734FE"/>
    <w:rsid w:val="00776AA7"/>
    <w:rsid w:val="00777742"/>
    <w:rsid w:val="007811AB"/>
    <w:rsid w:val="00781DFE"/>
    <w:rsid w:val="007820B8"/>
    <w:rsid w:val="00785D28"/>
    <w:rsid w:val="007866BA"/>
    <w:rsid w:val="0079079A"/>
    <w:rsid w:val="00790C92"/>
    <w:rsid w:val="00794436"/>
    <w:rsid w:val="00795120"/>
    <w:rsid w:val="007A0143"/>
    <w:rsid w:val="007A0A63"/>
    <w:rsid w:val="007A1B3B"/>
    <w:rsid w:val="007A371A"/>
    <w:rsid w:val="007A49BF"/>
    <w:rsid w:val="007A5377"/>
    <w:rsid w:val="007A6912"/>
    <w:rsid w:val="007B07ED"/>
    <w:rsid w:val="007B2F24"/>
    <w:rsid w:val="007B32E3"/>
    <w:rsid w:val="007B4C35"/>
    <w:rsid w:val="007B59A1"/>
    <w:rsid w:val="007C0F49"/>
    <w:rsid w:val="007C1EB0"/>
    <w:rsid w:val="007C1FD7"/>
    <w:rsid w:val="007C3641"/>
    <w:rsid w:val="007C382B"/>
    <w:rsid w:val="007C661C"/>
    <w:rsid w:val="007D012D"/>
    <w:rsid w:val="007D6039"/>
    <w:rsid w:val="007E1041"/>
    <w:rsid w:val="007E1FF2"/>
    <w:rsid w:val="007E4BAF"/>
    <w:rsid w:val="007F11E8"/>
    <w:rsid w:val="007F1213"/>
    <w:rsid w:val="007F1F76"/>
    <w:rsid w:val="007F2931"/>
    <w:rsid w:val="007F4623"/>
    <w:rsid w:val="007F4F7F"/>
    <w:rsid w:val="007F4FC4"/>
    <w:rsid w:val="007F52C3"/>
    <w:rsid w:val="007F7967"/>
    <w:rsid w:val="007F7C4C"/>
    <w:rsid w:val="007F7C4E"/>
    <w:rsid w:val="00804E90"/>
    <w:rsid w:val="008101A4"/>
    <w:rsid w:val="0082052C"/>
    <w:rsid w:val="008213C6"/>
    <w:rsid w:val="00824302"/>
    <w:rsid w:val="00833448"/>
    <w:rsid w:val="00833F32"/>
    <w:rsid w:val="00836140"/>
    <w:rsid w:val="008461A4"/>
    <w:rsid w:val="0084675C"/>
    <w:rsid w:val="00853D2A"/>
    <w:rsid w:val="00861D84"/>
    <w:rsid w:val="00862B24"/>
    <w:rsid w:val="008656C7"/>
    <w:rsid w:val="0086579B"/>
    <w:rsid w:val="008668EE"/>
    <w:rsid w:val="00867D45"/>
    <w:rsid w:val="008735CB"/>
    <w:rsid w:val="00874722"/>
    <w:rsid w:val="00875A21"/>
    <w:rsid w:val="00876FDF"/>
    <w:rsid w:val="0088065D"/>
    <w:rsid w:val="0088105B"/>
    <w:rsid w:val="00881906"/>
    <w:rsid w:val="00881EE6"/>
    <w:rsid w:val="00882EB7"/>
    <w:rsid w:val="008854D1"/>
    <w:rsid w:val="00887A25"/>
    <w:rsid w:val="008936FF"/>
    <w:rsid w:val="008954F2"/>
    <w:rsid w:val="008958B6"/>
    <w:rsid w:val="00895C16"/>
    <w:rsid w:val="00897C41"/>
    <w:rsid w:val="00897F1F"/>
    <w:rsid w:val="008A21E2"/>
    <w:rsid w:val="008A3400"/>
    <w:rsid w:val="008A536F"/>
    <w:rsid w:val="008A6DEC"/>
    <w:rsid w:val="008B1584"/>
    <w:rsid w:val="008B3F07"/>
    <w:rsid w:val="008B3FAD"/>
    <w:rsid w:val="008B5236"/>
    <w:rsid w:val="008B6991"/>
    <w:rsid w:val="008C04B9"/>
    <w:rsid w:val="008C1047"/>
    <w:rsid w:val="008C2C77"/>
    <w:rsid w:val="008C5A4B"/>
    <w:rsid w:val="008D10CB"/>
    <w:rsid w:val="008D4998"/>
    <w:rsid w:val="008E0557"/>
    <w:rsid w:val="008E163A"/>
    <w:rsid w:val="008E3CBF"/>
    <w:rsid w:val="008E44F7"/>
    <w:rsid w:val="008F14DF"/>
    <w:rsid w:val="008F4458"/>
    <w:rsid w:val="008F609C"/>
    <w:rsid w:val="008F66DC"/>
    <w:rsid w:val="008F7C9D"/>
    <w:rsid w:val="008F7CB0"/>
    <w:rsid w:val="00900B60"/>
    <w:rsid w:val="00903213"/>
    <w:rsid w:val="0090358E"/>
    <w:rsid w:val="009066CD"/>
    <w:rsid w:val="00910C6F"/>
    <w:rsid w:val="00910DB7"/>
    <w:rsid w:val="00920374"/>
    <w:rsid w:val="009300F2"/>
    <w:rsid w:val="0093024D"/>
    <w:rsid w:val="00930908"/>
    <w:rsid w:val="0093100E"/>
    <w:rsid w:val="00931C3B"/>
    <w:rsid w:val="00932F7A"/>
    <w:rsid w:val="00933F0B"/>
    <w:rsid w:val="00935ABA"/>
    <w:rsid w:val="009366A7"/>
    <w:rsid w:val="009379B3"/>
    <w:rsid w:val="009408A5"/>
    <w:rsid w:val="00942037"/>
    <w:rsid w:val="00942275"/>
    <w:rsid w:val="00943959"/>
    <w:rsid w:val="00950D2B"/>
    <w:rsid w:val="00955F37"/>
    <w:rsid w:val="00956A2C"/>
    <w:rsid w:val="00960967"/>
    <w:rsid w:val="00963CA3"/>
    <w:rsid w:val="00964029"/>
    <w:rsid w:val="00970B5D"/>
    <w:rsid w:val="00970DE6"/>
    <w:rsid w:val="00971278"/>
    <w:rsid w:val="00971FF2"/>
    <w:rsid w:val="009723D4"/>
    <w:rsid w:val="00975CE0"/>
    <w:rsid w:val="00976223"/>
    <w:rsid w:val="00982074"/>
    <w:rsid w:val="00982B2D"/>
    <w:rsid w:val="00985108"/>
    <w:rsid w:val="00985A7F"/>
    <w:rsid w:val="00987EA9"/>
    <w:rsid w:val="009905D4"/>
    <w:rsid w:val="0099182B"/>
    <w:rsid w:val="009929F2"/>
    <w:rsid w:val="00996024"/>
    <w:rsid w:val="009A2B9C"/>
    <w:rsid w:val="009A2C4D"/>
    <w:rsid w:val="009A4D44"/>
    <w:rsid w:val="009A504C"/>
    <w:rsid w:val="009A5A79"/>
    <w:rsid w:val="009A5CE7"/>
    <w:rsid w:val="009A6713"/>
    <w:rsid w:val="009A7F6E"/>
    <w:rsid w:val="009B0730"/>
    <w:rsid w:val="009B27D9"/>
    <w:rsid w:val="009B37CB"/>
    <w:rsid w:val="009B7F7C"/>
    <w:rsid w:val="009C45B2"/>
    <w:rsid w:val="009C5916"/>
    <w:rsid w:val="009C67A0"/>
    <w:rsid w:val="009D018D"/>
    <w:rsid w:val="009E031A"/>
    <w:rsid w:val="009E0811"/>
    <w:rsid w:val="009E3492"/>
    <w:rsid w:val="009E42B9"/>
    <w:rsid w:val="009F0505"/>
    <w:rsid w:val="009F0D26"/>
    <w:rsid w:val="009F10AA"/>
    <w:rsid w:val="009F1C0D"/>
    <w:rsid w:val="009F2342"/>
    <w:rsid w:val="009F2BAA"/>
    <w:rsid w:val="009F7CBE"/>
    <w:rsid w:val="00A0235C"/>
    <w:rsid w:val="00A06C2A"/>
    <w:rsid w:val="00A12491"/>
    <w:rsid w:val="00A15EBC"/>
    <w:rsid w:val="00A1631F"/>
    <w:rsid w:val="00A168B2"/>
    <w:rsid w:val="00A17EC3"/>
    <w:rsid w:val="00A20250"/>
    <w:rsid w:val="00A20359"/>
    <w:rsid w:val="00A21499"/>
    <w:rsid w:val="00A2151F"/>
    <w:rsid w:val="00A21522"/>
    <w:rsid w:val="00A21708"/>
    <w:rsid w:val="00A23739"/>
    <w:rsid w:val="00A23FAD"/>
    <w:rsid w:val="00A2543E"/>
    <w:rsid w:val="00A272A6"/>
    <w:rsid w:val="00A4036A"/>
    <w:rsid w:val="00A40398"/>
    <w:rsid w:val="00A41310"/>
    <w:rsid w:val="00A41F86"/>
    <w:rsid w:val="00A424D2"/>
    <w:rsid w:val="00A42857"/>
    <w:rsid w:val="00A4482F"/>
    <w:rsid w:val="00A46C43"/>
    <w:rsid w:val="00A5162B"/>
    <w:rsid w:val="00A579BF"/>
    <w:rsid w:val="00A57C79"/>
    <w:rsid w:val="00A602BD"/>
    <w:rsid w:val="00A62894"/>
    <w:rsid w:val="00A66A51"/>
    <w:rsid w:val="00A70793"/>
    <w:rsid w:val="00A709F7"/>
    <w:rsid w:val="00A746C5"/>
    <w:rsid w:val="00A76AFF"/>
    <w:rsid w:val="00A77B55"/>
    <w:rsid w:val="00A8183D"/>
    <w:rsid w:val="00A821A7"/>
    <w:rsid w:val="00A8323E"/>
    <w:rsid w:val="00A86F3F"/>
    <w:rsid w:val="00A90837"/>
    <w:rsid w:val="00A9164B"/>
    <w:rsid w:val="00A92C7C"/>
    <w:rsid w:val="00A96AA9"/>
    <w:rsid w:val="00AA1685"/>
    <w:rsid w:val="00AA1EDC"/>
    <w:rsid w:val="00AA298E"/>
    <w:rsid w:val="00AA2A6A"/>
    <w:rsid w:val="00AA49B4"/>
    <w:rsid w:val="00AA6791"/>
    <w:rsid w:val="00AA6B20"/>
    <w:rsid w:val="00AA7650"/>
    <w:rsid w:val="00AA7E6B"/>
    <w:rsid w:val="00AB61FC"/>
    <w:rsid w:val="00AB7ACA"/>
    <w:rsid w:val="00AC03E6"/>
    <w:rsid w:val="00AC0556"/>
    <w:rsid w:val="00AC1860"/>
    <w:rsid w:val="00AC2643"/>
    <w:rsid w:val="00AC283C"/>
    <w:rsid w:val="00AC348E"/>
    <w:rsid w:val="00AC7D24"/>
    <w:rsid w:val="00AD32D7"/>
    <w:rsid w:val="00AD589F"/>
    <w:rsid w:val="00AD6077"/>
    <w:rsid w:val="00AD7235"/>
    <w:rsid w:val="00AD7780"/>
    <w:rsid w:val="00AE0D5B"/>
    <w:rsid w:val="00AE0F37"/>
    <w:rsid w:val="00AE180A"/>
    <w:rsid w:val="00AE2F5D"/>
    <w:rsid w:val="00AE326A"/>
    <w:rsid w:val="00AE4801"/>
    <w:rsid w:val="00AE643B"/>
    <w:rsid w:val="00AF007B"/>
    <w:rsid w:val="00AF1ACF"/>
    <w:rsid w:val="00AF335C"/>
    <w:rsid w:val="00AF441F"/>
    <w:rsid w:val="00AF5BBB"/>
    <w:rsid w:val="00AF6B9E"/>
    <w:rsid w:val="00B01B6C"/>
    <w:rsid w:val="00B048AE"/>
    <w:rsid w:val="00B06F2B"/>
    <w:rsid w:val="00B06F70"/>
    <w:rsid w:val="00B11CEE"/>
    <w:rsid w:val="00B16C62"/>
    <w:rsid w:val="00B223DE"/>
    <w:rsid w:val="00B27B77"/>
    <w:rsid w:val="00B31959"/>
    <w:rsid w:val="00B374BA"/>
    <w:rsid w:val="00B462D6"/>
    <w:rsid w:val="00B52291"/>
    <w:rsid w:val="00B5409B"/>
    <w:rsid w:val="00B54B79"/>
    <w:rsid w:val="00B57E9F"/>
    <w:rsid w:val="00B6180A"/>
    <w:rsid w:val="00B63FEB"/>
    <w:rsid w:val="00B640D0"/>
    <w:rsid w:val="00B67973"/>
    <w:rsid w:val="00B70687"/>
    <w:rsid w:val="00B7278D"/>
    <w:rsid w:val="00B75A3B"/>
    <w:rsid w:val="00B75DBB"/>
    <w:rsid w:val="00B76A9C"/>
    <w:rsid w:val="00B822CB"/>
    <w:rsid w:val="00B8281C"/>
    <w:rsid w:val="00B874E9"/>
    <w:rsid w:val="00B951F2"/>
    <w:rsid w:val="00BA18C0"/>
    <w:rsid w:val="00BA461B"/>
    <w:rsid w:val="00BA5027"/>
    <w:rsid w:val="00BA78FA"/>
    <w:rsid w:val="00BA7B11"/>
    <w:rsid w:val="00BB031D"/>
    <w:rsid w:val="00BB11DD"/>
    <w:rsid w:val="00BB1C54"/>
    <w:rsid w:val="00BB1E75"/>
    <w:rsid w:val="00BB22DA"/>
    <w:rsid w:val="00BB2339"/>
    <w:rsid w:val="00BB4F4B"/>
    <w:rsid w:val="00BB5215"/>
    <w:rsid w:val="00BB6301"/>
    <w:rsid w:val="00BB74BD"/>
    <w:rsid w:val="00BB7D5D"/>
    <w:rsid w:val="00BC3C58"/>
    <w:rsid w:val="00BC71A0"/>
    <w:rsid w:val="00BD12A2"/>
    <w:rsid w:val="00BD1CA5"/>
    <w:rsid w:val="00BD21CD"/>
    <w:rsid w:val="00BD4D3B"/>
    <w:rsid w:val="00BE2B64"/>
    <w:rsid w:val="00BE2D3E"/>
    <w:rsid w:val="00BE3628"/>
    <w:rsid w:val="00BE6EB3"/>
    <w:rsid w:val="00BF0243"/>
    <w:rsid w:val="00BF080C"/>
    <w:rsid w:val="00BF2391"/>
    <w:rsid w:val="00BF32FD"/>
    <w:rsid w:val="00BF3FA0"/>
    <w:rsid w:val="00C004F6"/>
    <w:rsid w:val="00C05CB3"/>
    <w:rsid w:val="00C077DC"/>
    <w:rsid w:val="00C10719"/>
    <w:rsid w:val="00C1164C"/>
    <w:rsid w:val="00C12D38"/>
    <w:rsid w:val="00C20D3C"/>
    <w:rsid w:val="00C2349A"/>
    <w:rsid w:val="00C2351E"/>
    <w:rsid w:val="00C245D2"/>
    <w:rsid w:val="00C2470E"/>
    <w:rsid w:val="00C252A5"/>
    <w:rsid w:val="00C25854"/>
    <w:rsid w:val="00C273B7"/>
    <w:rsid w:val="00C275DA"/>
    <w:rsid w:val="00C35F0F"/>
    <w:rsid w:val="00C411D8"/>
    <w:rsid w:val="00C423C1"/>
    <w:rsid w:val="00C4325A"/>
    <w:rsid w:val="00C4387E"/>
    <w:rsid w:val="00C44C03"/>
    <w:rsid w:val="00C44CA6"/>
    <w:rsid w:val="00C46D6B"/>
    <w:rsid w:val="00C47298"/>
    <w:rsid w:val="00C51431"/>
    <w:rsid w:val="00C52E31"/>
    <w:rsid w:val="00C53C9E"/>
    <w:rsid w:val="00C57295"/>
    <w:rsid w:val="00C57875"/>
    <w:rsid w:val="00C60DEF"/>
    <w:rsid w:val="00C61BF7"/>
    <w:rsid w:val="00C61F27"/>
    <w:rsid w:val="00C7005F"/>
    <w:rsid w:val="00C700D8"/>
    <w:rsid w:val="00C70A62"/>
    <w:rsid w:val="00C70F46"/>
    <w:rsid w:val="00C74276"/>
    <w:rsid w:val="00C7546C"/>
    <w:rsid w:val="00C75603"/>
    <w:rsid w:val="00C81F83"/>
    <w:rsid w:val="00C83843"/>
    <w:rsid w:val="00C83F21"/>
    <w:rsid w:val="00C87E52"/>
    <w:rsid w:val="00C901E6"/>
    <w:rsid w:val="00C90291"/>
    <w:rsid w:val="00C91276"/>
    <w:rsid w:val="00C91DDE"/>
    <w:rsid w:val="00C92282"/>
    <w:rsid w:val="00C96176"/>
    <w:rsid w:val="00C96E90"/>
    <w:rsid w:val="00CA3A6C"/>
    <w:rsid w:val="00CA3AE2"/>
    <w:rsid w:val="00CA3EA4"/>
    <w:rsid w:val="00CA4EAC"/>
    <w:rsid w:val="00CA59F6"/>
    <w:rsid w:val="00CB001F"/>
    <w:rsid w:val="00CB16CF"/>
    <w:rsid w:val="00CB2DD4"/>
    <w:rsid w:val="00CB497F"/>
    <w:rsid w:val="00CB51F1"/>
    <w:rsid w:val="00CB5728"/>
    <w:rsid w:val="00CB5DB6"/>
    <w:rsid w:val="00CC149D"/>
    <w:rsid w:val="00CC2039"/>
    <w:rsid w:val="00CC4D13"/>
    <w:rsid w:val="00CC5B65"/>
    <w:rsid w:val="00CC5D87"/>
    <w:rsid w:val="00CC5E45"/>
    <w:rsid w:val="00CD120E"/>
    <w:rsid w:val="00CD3B0A"/>
    <w:rsid w:val="00CD4210"/>
    <w:rsid w:val="00CD4FAC"/>
    <w:rsid w:val="00CD6CBE"/>
    <w:rsid w:val="00CE2D24"/>
    <w:rsid w:val="00CE4DB2"/>
    <w:rsid w:val="00CE72BB"/>
    <w:rsid w:val="00CE76C5"/>
    <w:rsid w:val="00CE7E91"/>
    <w:rsid w:val="00CF0CB4"/>
    <w:rsid w:val="00CF43CE"/>
    <w:rsid w:val="00CF5A6B"/>
    <w:rsid w:val="00CF7219"/>
    <w:rsid w:val="00D016A7"/>
    <w:rsid w:val="00D03297"/>
    <w:rsid w:val="00D05A99"/>
    <w:rsid w:val="00D074A5"/>
    <w:rsid w:val="00D1143D"/>
    <w:rsid w:val="00D133EF"/>
    <w:rsid w:val="00D135A9"/>
    <w:rsid w:val="00D13E40"/>
    <w:rsid w:val="00D20A55"/>
    <w:rsid w:val="00D23338"/>
    <w:rsid w:val="00D326DA"/>
    <w:rsid w:val="00D349E7"/>
    <w:rsid w:val="00D3729D"/>
    <w:rsid w:val="00D3742C"/>
    <w:rsid w:val="00D4219D"/>
    <w:rsid w:val="00D434EB"/>
    <w:rsid w:val="00D44DC5"/>
    <w:rsid w:val="00D4585F"/>
    <w:rsid w:val="00D46BDE"/>
    <w:rsid w:val="00D46C4B"/>
    <w:rsid w:val="00D50979"/>
    <w:rsid w:val="00D51C27"/>
    <w:rsid w:val="00D521A4"/>
    <w:rsid w:val="00D53B36"/>
    <w:rsid w:val="00D55144"/>
    <w:rsid w:val="00D63DF2"/>
    <w:rsid w:val="00D640E4"/>
    <w:rsid w:val="00D65A24"/>
    <w:rsid w:val="00D67618"/>
    <w:rsid w:val="00D706AA"/>
    <w:rsid w:val="00D70AFC"/>
    <w:rsid w:val="00D70B82"/>
    <w:rsid w:val="00D71CCB"/>
    <w:rsid w:val="00D73F9A"/>
    <w:rsid w:val="00D75B91"/>
    <w:rsid w:val="00D76CAA"/>
    <w:rsid w:val="00D80327"/>
    <w:rsid w:val="00D85C12"/>
    <w:rsid w:val="00D90E5D"/>
    <w:rsid w:val="00D91298"/>
    <w:rsid w:val="00D92CD7"/>
    <w:rsid w:val="00D93CEE"/>
    <w:rsid w:val="00DA0A85"/>
    <w:rsid w:val="00DA1F34"/>
    <w:rsid w:val="00DA62CD"/>
    <w:rsid w:val="00DA70A4"/>
    <w:rsid w:val="00DB00B7"/>
    <w:rsid w:val="00DB1568"/>
    <w:rsid w:val="00DB39F9"/>
    <w:rsid w:val="00DB5B61"/>
    <w:rsid w:val="00DB766A"/>
    <w:rsid w:val="00DB7E77"/>
    <w:rsid w:val="00DC6694"/>
    <w:rsid w:val="00DC68B6"/>
    <w:rsid w:val="00DD1D29"/>
    <w:rsid w:val="00DD24E8"/>
    <w:rsid w:val="00DD73B8"/>
    <w:rsid w:val="00DD7952"/>
    <w:rsid w:val="00DE130A"/>
    <w:rsid w:val="00DE4524"/>
    <w:rsid w:val="00DF32A5"/>
    <w:rsid w:val="00DF368A"/>
    <w:rsid w:val="00DF386A"/>
    <w:rsid w:val="00DF4F0A"/>
    <w:rsid w:val="00E00876"/>
    <w:rsid w:val="00E04AA4"/>
    <w:rsid w:val="00E0646B"/>
    <w:rsid w:val="00E10024"/>
    <w:rsid w:val="00E11847"/>
    <w:rsid w:val="00E2008A"/>
    <w:rsid w:val="00E255B4"/>
    <w:rsid w:val="00E26822"/>
    <w:rsid w:val="00E274C4"/>
    <w:rsid w:val="00E31085"/>
    <w:rsid w:val="00E337A7"/>
    <w:rsid w:val="00E44C6B"/>
    <w:rsid w:val="00E457AF"/>
    <w:rsid w:val="00E4680B"/>
    <w:rsid w:val="00E47750"/>
    <w:rsid w:val="00E527B3"/>
    <w:rsid w:val="00E54A64"/>
    <w:rsid w:val="00E567A9"/>
    <w:rsid w:val="00E56F36"/>
    <w:rsid w:val="00E57AF1"/>
    <w:rsid w:val="00E57E14"/>
    <w:rsid w:val="00E57E8E"/>
    <w:rsid w:val="00E609FF"/>
    <w:rsid w:val="00E617D2"/>
    <w:rsid w:val="00E62C9C"/>
    <w:rsid w:val="00E6470B"/>
    <w:rsid w:val="00E65EB0"/>
    <w:rsid w:val="00E66CF0"/>
    <w:rsid w:val="00E73153"/>
    <w:rsid w:val="00E7448B"/>
    <w:rsid w:val="00E75689"/>
    <w:rsid w:val="00E800CD"/>
    <w:rsid w:val="00E82040"/>
    <w:rsid w:val="00E85572"/>
    <w:rsid w:val="00E920D0"/>
    <w:rsid w:val="00E949C0"/>
    <w:rsid w:val="00EA01B2"/>
    <w:rsid w:val="00EA1A5D"/>
    <w:rsid w:val="00EA322B"/>
    <w:rsid w:val="00EB72DE"/>
    <w:rsid w:val="00EB7F54"/>
    <w:rsid w:val="00EC09DA"/>
    <w:rsid w:val="00EC163F"/>
    <w:rsid w:val="00EC41A6"/>
    <w:rsid w:val="00EC4440"/>
    <w:rsid w:val="00EC6181"/>
    <w:rsid w:val="00ED1CFD"/>
    <w:rsid w:val="00ED21A3"/>
    <w:rsid w:val="00ED2620"/>
    <w:rsid w:val="00ED42FA"/>
    <w:rsid w:val="00ED6D27"/>
    <w:rsid w:val="00EE0D4D"/>
    <w:rsid w:val="00EE57CE"/>
    <w:rsid w:val="00EE5ED0"/>
    <w:rsid w:val="00EE720E"/>
    <w:rsid w:val="00EE72EE"/>
    <w:rsid w:val="00EF59BE"/>
    <w:rsid w:val="00F0013A"/>
    <w:rsid w:val="00F04998"/>
    <w:rsid w:val="00F05B9F"/>
    <w:rsid w:val="00F05DA6"/>
    <w:rsid w:val="00F05DDC"/>
    <w:rsid w:val="00F12234"/>
    <w:rsid w:val="00F12FC0"/>
    <w:rsid w:val="00F1321F"/>
    <w:rsid w:val="00F14BDC"/>
    <w:rsid w:val="00F22062"/>
    <w:rsid w:val="00F317FE"/>
    <w:rsid w:val="00F333DF"/>
    <w:rsid w:val="00F40629"/>
    <w:rsid w:val="00F41461"/>
    <w:rsid w:val="00F42C5A"/>
    <w:rsid w:val="00F43D0A"/>
    <w:rsid w:val="00F47312"/>
    <w:rsid w:val="00F504CD"/>
    <w:rsid w:val="00F609DA"/>
    <w:rsid w:val="00F612C1"/>
    <w:rsid w:val="00F6163A"/>
    <w:rsid w:val="00F6193E"/>
    <w:rsid w:val="00F61C48"/>
    <w:rsid w:val="00F63F01"/>
    <w:rsid w:val="00F64C19"/>
    <w:rsid w:val="00F6756C"/>
    <w:rsid w:val="00F71CDE"/>
    <w:rsid w:val="00F74DF5"/>
    <w:rsid w:val="00F74F36"/>
    <w:rsid w:val="00F76D0A"/>
    <w:rsid w:val="00F7715D"/>
    <w:rsid w:val="00F779BD"/>
    <w:rsid w:val="00F77C8B"/>
    <w:rsid w:val="00F80CB5"/>
    <w:rsid w:val="00F8499C"/>
    <w:rsid w:val="00F84FB1"/>
    <w:rsid w:val="00F85AC8"/>
    <w:rsid w:val="00F86657"/>
    <w:rsid w:val="00F90409"/>
    <w:rsid w:val="00F91CD4"/>
    <w:rsid w:val="00F92A04"/>
    <w:rsid w:val="00F93500"/>
    <w:rsid w:val="00F947FA"/>
    <w:rsid w:val="00FA0737"/>
    <w:rsid w:val="00FA4601"/>
    <w:rsid w:val="00FA4646"/>
    <w:rsid w:val="00FB2604"/>
    <w:rsid w:val="00FB39C0"/>
    <w:rsid w:val="00FB4881"/>
    <w:rsid w:val="00FB6C50"/>
    <w:rsid w:val="00FC0E38"/>
    <w:rsid w:val="00FC23B0"/>
    <w:rsid w:val="00FC28A1"/>
    <w:rsid w:val="00FC3408"/>
    <w:rsid w:val="00FC48BB"/>
    <w:rsid w:val="00FC5B39"/>
    <w:rsid w:val="00FC7794"/>
    <w:rsid w:val="00FD231C"/>
    <w:rsid w:val="00FD3FD3"/>
    <w:rsid w:val="00FD4993"/>
    <w:rsid w:val="00FD4EFB"/>
    <w:rsid w:val="00FD5993"/>
    <w:rsid w:val="00FD641C"/>
    <w:rsid w:val="00FD68EA"/>
    <w:rsid w:val="00FD7D02"/>
    <w:rsid w:val="00FD7EF9"/>
    <w:rsid w:val="00FE021D"/>
    <w:rsid w:val="00FE6827"/>
    <w:rsid w:val="00FF155C"/>
    <w:rsid w:val="00FF1DB4"/>
    <w:rsid w:val="00FF1F9A"/>
    <w:rsid w:val="00FF2CAA"/>
    <w:rsid w:val="00FF3645"/>
    <w:rsid w:val="00FF3FF7"/>
    <w:rsid w:val="00FF440F"/>
    <w:rsid w:val="00FF791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6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056"/>
    <w:pPr>
      <w:spacing w:before="80" w:after="80" w:line="240" w:lineRule="auto"/>
      <w:ind w:left="1134"/>
      <w:jc w:val="both"/>
    </w:pPr>
    <w:rPr>
      <w:rFonts w:ascii="Arial" w:hAnsi="Arial" w:cs="Times New Roman"/>
      <w:kern w:val="2"/>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uiPriority w:val="99"/>
    <w:rsid w:val="00181056"/>
    <w:pPr>
      <w:tabs>
        <w:tab w:val="center" w:pos="4153"/>
        <w:tab w:val="right" w:pos="8306"/>
      </w:tabs>
      <w:spacing w:after="0" w:line="240" w:lineRule="auto"/>
      <w:jc w:val="center"/>
    </w:pPr>
    <w:rPr>
      <w:rFonts w:ascii="Arial" w:hAnsi="Arial" w:cs="Times New Roman"/>
      <w:sz w:val="18"/>
      <w:szCs w:val="20"/>
      <w:lang w:val="en-US" w:eastAsia="zh-CN"/>
    </w:rPr>
  </w:style>
  <w:style w:type="character" w:customStyle="1" w:styleId="FooterChar">
    <w:name w:val="Footer Char"/>
    <w:basedOn w:val="DefaultParagraphFont"/>
    <w:link w:val="Footer"/>
    <w:uiPriority w:val="99"/>
    <w:rsid w:val="00181056"/>
    <w:rPr>
      <w:rFonts w:ascii="Arial" w:eastAsiaTheme="minorEastAsia" w:hAnsi="Arial" w:cs="Times New Roman"/>
      <w:sz w:val="18"/>
      <w:szCs w:val="20"/>
      <w:lang w:val="en-US" w:eastAsia="zh-CN"/>
    </w:rPr>
  </w:style>
  <w:style w:type="paragraph" w:styleId="Header">
    <w:name w:val="header"/>
    <w:basedOn w:val="Normal"/>
    <w:link w:val="HeaderChar"/>
    <w:uiPriority w:val="99"/>
    <w:unhideWhenUsed/>
    <w:rsid w:val="00181056"/>
    <w:pPr>
      <w:tabs>
        <w:tab w:val="center" w:pos="4513"/>
        <w:tab w:val="right" w:pos="9026"/>
      </w:tabs>
      <w:spacing w:before="0" w:after="0"/>
    </w:pPr>
  </w:style>
  <w:style w:type="character" w:customStyle="1" w:styleId="HeaderChar">
    <w:name w:val="Header Char"/>
    <w:basedOn w:val="DefaultParagraphFont"/>
    <w:link w:val="Header"/>
    <w:uiPriority w:val="99"/>
    <w:rsid w:val="00181056"/>
    <w:rPr>
      <w:rFonts w:ascii="Arial" w:eastAsiaTheme="minorEastAsia" w:hAnsi="Arial" w:cs="Times New Roman"/>
      <w:kern w:val="2"/>
      <w:sz w:val="20"/>
      <w:szCs w:val="20"/>
      <w:lang w:val="en-US" w:eastAsia="zh-CN"/>
    </w:rPr>
  </w:style>
  <w:style w:type="paragraph" w:styleId="BalloonText">
    <w:name w:val="Balloon Text"/>
    <w:basedOn w:val="Normal"/>
    <w:link w:val="BalloonTextChar"/>
    <w:uiPriority w:val="99"/>
    <w:semiHidden/>
    <w:unhideWhenUsed/>
    <w:rsid w:val="001810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056"/>
    <w:rPr>
      <w:rFonts w:ascii="Tahoma" w:eastAsiaTheme="minorEastAsia" w:hAnsi="Tahoma" w:cs="Tahoma"/>
      <w:kern w:val="2"/>
      <w:sz w:val="16"/>
      <w:szCs w:val="16"/>
      <w:lang w:val="en-US" w:eastAsia="zh-CN"/>
    </w:rPr>
  </w:style>
  <w:style w:type="character" w:styleId="PageNumber">
    <w:name w:val="page number"/>
    <w:basedOn w:val="DefaultParagraphFont"/>
    <w:rsid w:val="00181056"/>
  </w:style>
  <w:style w:type="paragraph" w:styleId="ListParagraph">
    <w:name w:val="List Paragraph"/>
    <w:basedOn w:val="Normal"/>
    <w:uiPriority w:val="34"/>
    <w:qFormat/>
    <w:rsid w:val="00D46C4B"/>
    <w:pPr>
      <w:ind w:left="720"/>
      <w:contextualSpacing/>
    </w:pPr>
  </w:style>
  <w:style w:type="table" w:styleId="TableGrid">
    <w:name w:val="Table Grid"/>
    <w:basedOn w:val="TableNormal"/>
    <w:uiPriority w:val="59"/>
    <w:rsid w:val="00935A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0BB9"/>
    <w:pPr>
      <w:autoSpaceDE w:val="0"/>
      <w:autoSpaceDN w:val="0"/>
      <w:adjustRightInd w:val="0"/>
      <w:spacing w:after="0" w:line="240" w:lineRule="auto"/>
    </w:pPr>
    <w:rPr>
      <w:rFonts w:ascii="Arial" w:hAnsi="Arial" w:cs="Arial"/>
      <w:color w:val="000000"/>
      <w:sz w:val="24"/>
      <w:szCs w:val="24"/>
    </w:rPr>
  </w:style>
  <w:style w:type="paragraph" w:styleId="CommentText">
    <w:name w:val="annotation text"/>
    <w:basedOn w:val="Normal"/>
    <w:link w:val="CommentTextChar"/>
    <w:uiPriority w:val="99"/>
    <w:unhideWhenUsed/>
    <w:rsid w:val="00AF441F"/>
    <w:pPr>
      <w:spacing w:before="0" w:after="0"/>
      <w:ind w:left="0"/>
      <w:jc w:val="left"/>
    </w:pPr>
    <w:rPr>
      <w:rFonts w:cstheme="minorBidi"/>
      <w:kern w:val="0"/>
      <w:sz w:val="22"/>
      <w:szCs w:val="22"/>
      <w:lang w:eastAsia="en-US"/>
    </w:rPr>
  </w:style>
  <w:style w:type="character" w:customStyle="1" w:styleId="CommentTextChar">
    <w:name w:val="Comment Text Char"/>
    <w:basedOn w:val="DefaultParagraphFont"/>
    <w:link w:val="CommentText"/>
    <w:uiPriority w:val="99"/>
    <w:rsid w:val="00AF441F"/>
    <w:rPr>
      <w:rFonts w:ascii="Arial" w:eastAsiaTheme="minorEastAsia" w:hAnsi="Arial"/>
    </w:rPr>
  </w:style>
  <w:style w:type="character" w:customStyle="1" w:styleId="def">
    <w:name w:val="def"/>
    <w:basedOn w:val="DefaultParagraphFont"/>
    <w:rsid w:val="000E5B34"/>
  </w:style>
  <w:style w:type="character" w:styleId="CommentReference">
    <w:name w:val="annotation reference"/>
    <w:basedOn w:val="DefaultParagraphFont"/>
    <w:uiPriority w:val="99"/>
    <w:semiHidden/>
    <w:unhideWhenUsed/>
    <w:rsid w:val="00AF441F"/>
    <w:rPr>
      <w:sz w:val="16"/>
      <w:szCs w:val="16"/>
    </w:rPr>
  </w:style>
  <w:style w:type="paragraph" w:styleId="CommentSubject">
    <w:name w:val="annotation subject"/>
    <w:basedOn w:val="CommentText"/>
    <w:next w:val="CommentText"/>
    <w:link w:val="CommentSubjectChar"/>
    <w:uiPriority w:val="99"/>
    <w:semiHidden/>
    <w:unhideWhenUsed/>
    <w:rsid w:val="00AF441F"/>
    <w:pPr>
      <w:spacing w:before="80" w:after="80"/>
      <w:ind w:left="1134"/>
      <w:jc w:val="both"/>
    </w:pPr>
    <w:rPr>
      <w:rFonts w:cs="Times New Roman"/>
      <w:b/>
      <w:bCs/>
      <w:kern w:val="2"/>
      <w:sz w:val="20"/>
      <w:szCs w:val="20"/>
      <w:lang w:eastAsia="zh-CN"/>
    </w:rPr>
  </w:style>
  <w:style w:type="character" w:customStyle="1" w:styleId="CommentSubjectChar">
    <w:name w:val="Comment Subject Char"/>
    <w:basedOn w:val="CommentTextChar"/>
    <w:link w:val="CommentSubject"/>
    <w:uiPriority w:val="99"/>
    <w:semiHidden/>
    <w:rsid w:val="00AF441F"/>
    <w:rPr>
      <w:rFonts w:ascii="Arial" w:hAnsi="Arial" w:cs="Times New Roman"/>
      <w:b/>
      <w:bCs/>
      <w:kern w:val="2"/>
      <w:sz w:val="20"/>
      <w:szCs w:val="20"/>
      <w:lang w:eastAsia="zh-CN"/>
    </w:rPr>
  </w:style>
  <w:style w:type="paragraph" w:styleId="Revision">
    <w:name w:val="Revision"/>
    <w:hidden/>
    <w:uiPriority w:val="99"/>
    <w:semiHidden/>
    <w:rsid w:val="00AF441F"/>
    <w:pPr>
      <w:spacing w:after="0" w:line="240" w:lineRule="auto"/>
    </w:pPr>
    <w:rPr>
      <w:rFonts w:ascii="Arial" w:hAnsi="Arial" w:cs="Times New Roman"/>
      <w:kern w:val="2"/>
      <w:sz w:val="20"/>
      <w:szCs w:val="20"/>
      <w:lang w:eastAsia="zh-CN"/>
    </w:rPr>
  </w:style>
  <w:style w:type="paragraph" w:customStyle="1" w:styleId="Style1">
    <w:name w:val="Style1"/>
    <w:basedOn w:val="CommentText"/>
    <w:link w:val="Style1Char"/>
    <w:qFormat/>
    <w:rsid w:val="00AF441F"/>
  </w:style>
  <w:style w:type="character" w:customStyle="1" w:styleId="Style1Char">
    <w:name w:val="Style1 Char"/>
    <w:basedOn w:val="CommentTextChar"/>
    <w:link w:val="Style1"/>
    <w:rsid w:val="00AF441F"/>
  </w:style>
  <w:style w:type="paragraph" w:styleId="EndnoteText">
    <w:name w:val="endnote text"/>
    <w:basedOn w:val="Normal"/>
    <w:link w:val="EndnoteTextChar"/>
    <w:uiPriority w:val="99"/>
    <w:semiHidden/>
    <w:unhideWhenUsed/>
    <w:rsid w:val="002D1562"/>
    <w:pPr>
      <w:spacing w:before="0" w:after="0"/>
    </w:pPr>
  </w:style>
  <w:style w:type="character" w:customStyle="1" w:styleId="EndnoteTextChar">
    <w:name w:val="Endnote Text Char"/>
    <w:basedOn w:val="DefaultParagraphFont"/>
    <w:link w:val="EndnoteText"/>
    <w:uiPriority w:val="99"/>
    <w:semiHidden/>
    <w:rsid w:val="002D1562"/>
    <w:rPr>
      <w:rFonts w:ascii="Arial" w:eastAsiaTheme="minorEastAsia" w:hAnsi="Arial" w:cs="Times New Roman"/>
      <w:kern w:val="2"/>
      <w:sz w:val="20"/>
      <w:szCs w:val="20"/>
      <w:lang w:eastAsia="zh-CN"/>
    </w:rPr>
  </w:style>
  <w:style w:type="character" w:styleId="EndnoteReference">
    <w:name w:val="endnote reference"/>
    <w:basedOn w:val="DefaultParagraphFont"/>
    <w:uiPriority w:val="99"/>
    <w:semiHidden/>
    <w:unhideWhenUsed/>
    <w:rsid w:val="002D1562"/>
    <w:rPr>
      <w:vertAlign w:val="superscript"/>
    </w:rPr>
  </w:style>
  <w:style w:type="paragraph" w:styleId="FootnoteText">
    <w:name w:val="footnote text"/>
    <w:basedOn w:val="Normal"/>
    <w:link w:val="FootnoteTextChar"/>
    <w:uiPriority w:val="99"/>
    <w:semiHidden/>
    <w:unhideWhenUsed/>
    <w:rsid w:val="002D1562"/>
    <w:pPr>
      <w:spacing w:before="0" w:after="0"/>
    </w:pPr>
  </w:style>
  <w:style w:type="character" w:customStyle="1" w:styleId="FootnoteTextChar">
    <w:name w:val="Footnote Text Char"/>
    <w:basedOn w:val="DefaultParagraphFont"/>
    <w:link w:val="FootnoteText"/>
    <w:uiPriority w:val="99"/>
    <w:semiHidden/>
    <w:rsid w:val="002D1562"/>
    <w:rPr>
      <w:rFonts w:ascii="Arial" w:eastAsiaTheme="minorEastAsia" w:hAnsi="Arial" w:cs="Times New Roman"/>
      <w:kern w:val="2"/>
      <w:sz w:val="20"/>
      <w:szCs w:val="20"/>
      <w:lang w:eastAsia="zh-CN"/>
    </w:rPr>
  </w:style>
  <w:style w:type="character" w:styleId="FootnoteReference">
    <w:name w:val="footnote reference"/>
    <w:aliases w:val="ECC Footnote number"/>
    <w:basedOn w:val="DefaultParagraphFont"/>
    <w:uiPriority w:val="99"/>
    <w:unhideWhenUsed/>
    <w:rsid w:val="002D1562"/>
    <w:rPr>
      <w:vertAlign w:val="superscript"/>
    </w:rPr>
  </w:style>
  <w:style w:type="paragraph" w:customStyle="1" w:styleId="Headingb">
    <w:name w:val="Heading_b"/>
    <w:basedOn w:val="Normal"/>
    <w:next w:val="Normal"/>
    <w:qFormat/>
    <w:rsid w:val="00C2351E"/>
    <w:pPr>
      <w:tabs>
        <w:tab w:val="left" w:pos="1134"/>
        <w:tab w:val="left" w:pos="1871"/>
        <w:tab w:val="left" w:pos="2268"/>
      </w:tabs>
      <w:overflowPunct w:val="0"/>
      <w:autoSpaceDE w:val="0"/>
      <w:autoSpaceDN w:val="0"/>
      <w:adjustRightInd w:val="0"/>
      <w:spacing w:before="160" w:after="0"/>
      <w:ind w:left="0"/>
      <w:jc w:val="left"/>
      <w:textAlignment w:val="baseline"/>
    </w:pPr>
    <w:rPr>
      <w:rFonts w:ascii="Times New Roman Bold" w:eastAsia="Times New Roman" w:hAnsi="Times New Roman Bold" w:cs="Times New Roman Bold"/>
      <w:b/>
      <w:kern w:val="0"/>
      <w:sz w:val="24"/>
      <w:lang w:val="fr-CH" w:eastAsia="en-US"/>
    </w:rPr>
  </w:style>
  <w:style w:type="paragraph" w:customStyle="1" w:styleId="Figuretitle">
    <w:name w:val="Figure_title"/>
    <w:basedOn w:val="Normal"/>
    <w:next w:val="Normal"/>
    <w:rsid w:val="00C2351E"/>
    <w:pPr>
      <w:keepNext/>
      <w:keepLines/>
      <w:tabs>
        <w:tab w:val="left" w:pos="1134"/>
        <w:tab w:val="left" w:pos="1871"/>
        <w:tab w:val="left" w:pos="2268"/>
      </w:tabs>
      <w:overflowPunct w:val="0"/>
      <w:autoSpaceDE w:val="0"/>
      <w:autoSpaceDN w:val="0"/>
      <w:adjustRightInd w:val="0"/>
      <w:spacing w:before="0" w:after="480"/>
      <w:ind w:left="0"/>
      <w:jc w:val="center"/>
      <w:textAlignment w:val="baseline"/>
    </w:pPr>
    <w:rPr>
      <w:rFonts w:ascii="Times New Roman Bold" w:eastAsia="Times New Roman" w:hAnsi="Times New Roman Bold"/>
      <w:b/>
      <w:kern w:val="0"/>
      <w:lang w:eastAsia="en-US"/>
    </w:rPr>
  </w:style>
  <w:style w:type="paragraph" w:customStyle="1" w:styleId="FigureNo">
    <w:name w:val="Figure_No"/>
    <w:basedOn w:val="Normal"/>
    <w:next w:val="Normal"/>
    <w:rsid w:val="00C2351E"/>
    <w:pPr>
      <w:keepNext/>
      <w:keepLines/>
      <w:tabs>
        <w:tab w:val="left" w:pos="1134"/>
        <w:tab w:val="left" w:pos="1871"/>
        <w:tab w:val="left" w:pos="2268"/>
      </w:tabs>
      <w:overflowPunct w:val="0"/>
      <w:autoSpaceDE w:val="0"/>
      <w:autoSpaceDN w:val="0"/>
      <w:adjustRightInd w:val="0"/>
      <w:spacing w:before="480" w:after="120"/>
      <w:ind w:left="0"/>
      <w:jc w:val="center"/>
      <w:textAlignment w:val="baseline"/>
    </w:pPr>
    <w:rPr>
      <w:rFonts w:ascii="Times New Roman" w:eastAsia="Times New Roman" w:hAnsi="Times New Roman"/>
      <w:caps/>
      <w:kern w:val="0"/>
      <w:lang w:eastAsia="en-US"/>
    </w:rPr>
  </w:style>
  <w:style w:type="character" w:styleId="PlaceholderText">
    <w:name w:val="Placeholder Text"/>
    <w:basedOn w:val="DefaultParagraphFont"/>
    <w:uiPriority w:val="99"/>
    <w:semiHidden/>
    <w:rsid w:val="00AD6077"/>
    <w:rPr>
      <w:color w:val="808080"/>
    </w:rPr>
  </w:style>
  <w:style w:type="paragraph" w:customStyle="1" w:styleId="ECCBulletsLv1">
    <w:name w:val="ECC Bullets Lv1"/>
    <w:basedOn w:val="Normal"/>
    <w:qFormat/>
    <w:rsid w:val="00F14BDC"/>
    <w:pPr>
      <w:numPr>
        <w:numId w:val="1"/>
      </w:numPr>
      <w:tabs>
        <w:tab w:val="left" w:pos="340"/>
      </w:tabs>
      <w:spacing w:before="60" w:after="0"/>
      <w:ind w:left="340" w:hanging="340"/>
    </w:pPr>
    <w:rPr>
      <w:rFonts w:eastAsia="Calibri"/>
      <w:kern w:val="0"/>
      <w:szCs w:val="22"/>
      <w:lang w:eastAsia="en-US"/>
    </w:rPr>
  </w:style>
  <w:style w:type="paragraph" w:customStyle="1" w:styleId="ECCLetteredList">
    <w:name w:val="ECC Lettered List"/>
    <w:qFormat/>
    <w:rsid w:val="00F14BDC"/>
    <w:pPr>
      <w:numPr>
        <w:ilvl w:val="1"/>
        <w:numId w:val="2"/>
      </w:numPr>
      <w:spacing w:before="240" w:after="0" w:line="240" w:lineRule="auto"/>
      <w:jc w:val="both"/>
    </w:pPr>
    <w:rPr>
      <w:rFonts w:ascii="Arial" w:eastAsia="Times New Roman" w:hAnsi="Arial" w:cs="Times New Roman"/>
      <w:sz w:val="20"/>
      <w:szCs w:val="20"/>
      <w:lang w:val="da-DK"/>
    </w:rPr>
  </w:style>
  <w:style w:type="character" w:customStyle="1" w:styleId="ECCHLsubscript">
    <w:name w:val="ECC HL subscript"/>
    <w:uiPriority w:val="1"/>
    <w:rsid w:val="00F14BDC"/>
    <w:rPr>
      <w:vertAlign w:val="subscript"/>
    </w:rPr>
  </w:style>
  <w:style w:type="character" w:customStyle="1" w:styleId="ECCParagraph">
    <w:name w:val="ECC Paragraph"/>
    <w:basedOn w:val="DefaultParagraphFont"/>
    <w:uiPriority w:val="1"/>
    <w:qFormat/>
    <w:rsid w:val="00F14BDC"/>
    <w:rPr>
      <w:rFonts w:ascii="Arial" w:hAnsi="Arial"/>
      <w:noProof w:val="0"/>
      <w:sz w:val="20"/>
      <w:bdr w:val="none" w:sz="0" w:space="0" w:color="auto"/>
      <w:lang w:val="en-GB"/>
    </w:rPr>
  </w:style>
  <w:style w:type="character" w:styleId="Emphasis">
    <w:name w:val="Emphasis"/>
    <w:aliases w:val="ECC HL italics"/>
    <w:uiPriority w:val="20"/>
    <w:qFormat/>
    <w:rsid w:val="001E501B"/>
    <w:rPr>
      <w:i/>
    </w:rPr>
  </w:style>
  <w:style w:type="paragraph" w:customStyle="1" w:styleId="ACMAReportSubTitle">
    <w:name w:val="ACMA_ReportSubTitle"/>
    <w:basedOn w:val="Normal"/>
    <w:qFormat/>
    <w:rsid w:val="001443BE"/>
    <w:pPr>
      <w:spacing w:before="0" w:after="200" w:line="560" w:lineRule="exact"/>
      <w:ind w:left="0"/>
      <w:jc w:val="left"/>
    </w:pPr>
    <w:rPr>
      <w:color w:val="323232"/>
      <w:spacing w:val="-28"/>
      <w:kern w:val="0"/>
      <w:sz w:val="53"/>
      <w:szCs w:val="24"/>
      <w:lang w:val="en-AU" w:eastAsia="en-AU"/>
    </w:rPr>
  </w:style>
  <w:style w:type="paragraph" w:customStyle="1" w:styleId="ACMAReportTitle">
    <w:name w:val="ACMA_ReportTitle"/>
    <w:basedOn w:val="Normal"/>
    <w:qFormat/>
    <w:rsid w:val="001443BE"/>
    <w:pPr>
      <w:spacing w:before="0" w:after="0" w:line="560" w:lineRule="exact"/>
      <w:ind w:left="0"/>
      <w:jc w:val="left"/>
    </w:pPr>
    <w:rPr>
      <w:b/>
      <w:spacing w:val="-28"/>
      <w:kern w:val="0"/>
      <w:sz w:val="53"/>
      <w:szCs w:val="24"/>
      <w:lang w:val="en-AU" w:eastAsia="en-AU"/>
    </w:rPr>
  </w:style>
  <w:style w:type="paragraph" w:customStyle="1" w:styleId="BodySubHeader">
    <w:name w:val="BodySubHeader"/>
    <w:basedOn w:val="Normal"/>
    <w:next w:val="Normal"/>
    <w:qFormat/>
    <w:rsid w:val="001443BE"/>
    <w:pPr>
      <w:spacing w:before="120" w:after="0" w:line="240" w:lineRule="atLeast"/>
      <w:ind w:left="0"/>
      <w:jc w:val="left"/>
    </w:pPr>
    <w:rPr>
      <w:b/>
      <w:i/>
      <w:kern w:val="0"/>
      <w:szCs w:val="24"/>
      <w:lang w:val="en-AU" w:eastAsia="en-AU"/>
    </w:rPr>
  </w:style>
  <w:style w:type="paragraph" w:styleId="ListNumber">
    <w:name w:val="List Number"/>
    <w:basedOn w:val="Normal"/>
    <w:qFormat/>
    <w:rsid w:val="001443BE"/>
    <w:pPr>
      <w:numPr>
        <w:numId w:val="9"/>
      </w:numPr>
      <w:spacing w:before="0" w:line="240" w:lineRule="atLeast"/>
      <w:jc w:val="left"/>
    </w:pPr>
    <w:rPr>
      <w:kern w:val="0"/>
      <w:szCs w:val="24"/>
      <w:lang w:val="en-AU" w:eastAsia="en-AU"/>
    </w:rPr>
  </w:style>
  <w:style w:type="character" w:styleId="Hyperlink">
    <w:name w:val="Hyperlink"/>
    <w:basedOn w:val="DefaultParagraphFont"/>
    <w:uiPriority w:val="99"/>
    <w:unhideWhenUsed/>
    <w:rsid w:val="001F4A24"/>
    <w:rPr>
      <w:color w:val="0000FF" w:themeColor="hyperlink"/>
      <w:u w:val="single"/>
    </w:rPr>
  </w:style>
  <w:style w:type="character" w:styleId="FollowedHyperlink">
    <w:name w:val="FollowedHyperlink"/>
    <w:basedOn w:val="DefaultParagraphFont"/>
    <w:uiPriority w:val="99"/>
    <w:semiHidden/>
    <w:unhideWhenUsed/>
    <w:rsid w:val="00DC68B6"/>
    <w:rPr>
      <w:color w:val="800080" w:themeColor="followedHyperlink"/>
      <w:u w:val="single"/>
    </w:rPr>
  </w:style>
  <w:style w:type="paragraph" w:customStyle="1" w:styleId="ACMAInstructions">
    <w:name w:val="ACMA_Instructions"/>
    <w:basedOn w:val="Normal"/>
    <w:qFormat/>
    <w:rsid w:val="000846C9"/>
    <w:pPr>
      <w:spacing w:before="0" w:after="200" w:line="240" w:lineRule="atLeast"/>
      <w:ind w:left="0"/>
      <w:jc w:val="left"/>
    </w:pPr>
    <w:rPr>
      <w:rFonts w:eastAsia="Times New Roman" w:cs="Arial"/>
      <w:b/>
      <w:vanish/>
      <w:kern w:val="0"/>
      <w:sz w:val="24"/>
      <w:szCs w:val="24"/>
      <w:lang w:val="en-AU" w:eastAsia="en-AU"/>
    </w:rPr>
  </w:style>
  <w:style w:type="paragraph" w:styleId="ListNumber2">
    <w:name w:val="List Number 2"/>
    <w:basedOn w:val="Normal"/>
    <w:uiPriority w:val="99"/>
    <w:unhideWhenUsed/>
    <w:rsid w:val="000846C9"/>
    <w:pPr>
      <w:numPr>
        <w:numId w:val="4"/>
      </w:numPr>
      <w:contextualSpacing/>
    </w:pPr>
  </w:style>
  <w:style w:type="character" w:styleId="Strong">
    <w:name w:val="Strong"/>
    <w:basedOn w:val="DefaultParagraphFont"/>
    <w:uiPriority w:val="22"/>
    <w:qFormat/>
    <w:rsid w:val="009A6713"/>
    <w:rPr>
      <w:b/>
      <w:bCs/>
    </w:rPr>
  </w:style>
  <w:style w:type="paragraph" w:styleId="NormalWeb">
    <w:name w:val="Normal (Web)"/>
    <w:basedOn w:val="Normal"/>
    <w:uiPriority w:val="99"/>
    <w:semiHidden/>
    <w:unhideWhenUsed/>
    <w:rsid w:val="003457C0"/>
    <w:pPr>
      <w:spacing w:before="100" w:beforeAutospacing="1" w:after="100" w:afterAutospacing="1"/>
      <w:ind w:left="0"/>
      <w:jc w:val="left"/>
    </w:pPr>
    <w:rPr>
      <w:rFonts w:ascii="Times New Roman" w:eastAsia="Times New Roman" w:hAnsi="Times New Roman"/>
      <w:kern w:val="0"/>
      <w:sz w:val="24"/>
      <w:szCs w:val="24"/>
      <w:lang w:eastAsia="en-GB"/>
    </w:rPr>
  </w:style>
  <w:style w:type="character" w:styleId="HTMLCite">
    <w:name w:val="HTML Cite"/>
    <w:basedOn w:val="DefaultParagraphFont"/>
    <w:uiPriority w:val="99"/>
    <w:semiHidden/>
    <w:unhideWhenUsed/>
    <w:rsid w:val="006E1D0A"/>
    <w:rPr>
      <w:i/>
      <w:iCs/>
    </w:rPr>
  </w:style>
</w:styles>
</file>

<file path=word/webSettings.xml><?xml version="1.0" encoding="utf-8"?>
<w:webSettings xmlns:r="http://schemas.openxmlformats.org/officeDocument/2006/relationships" xmlns:w="http://schemas.openxmlformats.org/wordprocessingml/2006/main">
  <w:divs>
    <w:div w:id="807623774">
      <w:bodyDiv w:val="1"/>
      <w:marLeft w:val="0"/>
      <w:marRight w:val="0"/>
      <w:marTop w:val="0"/>
      <w:marBottom w:val="0"/>
      <w:divBdr>
        <w:top w:val="none" w:sz="0" w:space="0" w:color="auto"/>
        <w:left w:val="none" w:sz="0" w:space="0" w:color="auto"/>
        <w:bottom w:val="none" w:sz="0" w:space="0" w:color="auto"/>
        <w:right w:val="none" w:sz="0" w:space="0" w:color="auto"/>
      </w:divBdr>
    </w:div>
    <w:div w:id="822896682">
      <w:bodyDiv w:val="1"/>
      <w:marLeft w:val="0"/>
      <w:marRight w:val="0"/>
      <w:marTop w:val="0"/>
      <w:marBottom w:val="0"/>
      <w:divBdr>
        <w:top w:val="none" w:sz="0" w:space="0" w:color="auto"/>
        <w:left w:val="none" w:sz="0" w:space="0" w:color="auto"/>
        <w:bottom w:val="none" w:sz="0" w:space="0" w:color="auto"/>
        <w:right w:val="none" w:sz="0" w:space="0" w:color="auto"/>
      </w:divBdr>
    </w:div>
    <w:div w:id="1194610986">
      <w:bodyDiv w:val="1"/>
      <w:marLeft w:val="0"/>
      <w:marRight w:val="0"/>
      <w:marTop w:val="0"/>
      <w:marBottom w:val="0"/>
      <w:divBdr>
        <w:top w:val="none" w:sz="0" w:space="0" w:color="auto"/>
        <w:left w:val="none" w:sz="0" w:space="0" w:color="auto"/>
        <w:bottom w:val="none" w:sz="0" w:space="0" w:color="auto"/>
        <w:right w:val="none" w:sz="0" w:space="0" w:color="auto"/>
      </w:divBdr>
    </w:div>
    <w:div w:id="1314871563">
      <w:bodyDiv w:val="1"/>
      <w:marLeft w:val="0"/>
      <w:marRight w:val="0"/>
      <w:marTop w:val="0"/>
      <w:marBottom w:val="0"/>
      <w:divBdr>
        <w:top w:val="none" w:sz="0" w:space="0" w:color="auto"/>
        <w:left w:val="none" w:sz="0" w:space="0" w:color="auto"/>
        <w:bottom w:val="none" w:sz="0" w:space="0" w:color="auto"/>
        <w:right w:val="none" w:sz="0" w:space="0" w:color="auto"/>
      </w:divBdr>
    </w:div>
    <w:div w:id="1377390850">
      <w:bodyDiv w:val="1"/>
      <w:marLeft w:val="0"/>
      <w:marRight w:val="0"/>
      <w:marTop w:val="0"/>
      <w:marBottom w:val="0"/>
      <w:divBdr>
        <w:top w:val="none" w:sz="0" w:space="0" w:color="auto"/>
        <w:left w:val="none" w:sz="0" w:space="0" w:color="auto"/>
        <w:bottom w:val="none" w:sz="0" w:space="0" w:color="auto"/>
        <w:right w:val="none" w:sz="0" w:space="0" w:color="auto"/>
      </w:divBdr>
    </w:div>
    <w:div w:id="1528640776">
      <w:bodyDiv w:val="1"/>
      <w:marLeft w:val="0"/>
      <w:marRight w:val="0"/>
      <w:marTop w:val="0"/>
      <w:marBottom w:val="0"/>
      <w:divBdr>
        <w:top w:val="none" w:sz="0" w:space="0" w:color="auto"/>
        <w:left w:val="none" w:sz="0" w:space="0" w:color="auto"/>
        <w:bottom w:val="none" w:sz="0" w:space="0" w:color="auto"/>
        <w:right w:val="none" w:sz="0" w:space="0" w:color="auto"/>
      </w:divBdr>
    </w:div>
    <w:div w:id="1530099889">
      <w:bodyDiv w:val="1"/>
      <w:marLeft w:val="0"/>
      <w:marRight w:val="0"/>
      <w:marTop w:val="0"/>
      <w:marBottom w:val="0"/>
      <w:divBdr>
        <w:top w:val="none" w:sz="0" w:space="0" w:color="auto"/>
        <w:left w:val="none" w:sz="0" w:space="0" w:color="auto"/>
        <w:bottom w:val="none" w:sz="0" w:space="0" w:color="auto"/>
        <w:right w:val="none" w:sz="0" w:space="0" w:color="auto"/>
      </w:divBdr>
    </w:div>
    <w:div w:id="1545679618">
      <w:bodyDiv w:val="1"/>
      <w:marLeft w:val="0"/>
      <w:marRight w:val="0"/>
      <w:marTop w:val="0"/>
      <w:marBottom w:val="0"/>
      <w:divBdr>
        <w:top w:val="none" w:sz="0" w:space="0" w:color="auto"/>
        <w:left w:val="none" w:sz="0" w:space="0" w:color="auto"/>
        <w:bottom w:val="none" w:sz="0" w:space="0" w:color="auto"/>
        <w:right w:val="none" w:sz="0" w:space="0" w:color="auto"/>
      </w:divBdr>
    </w:div>
    <w:div w:id="1664312854">
      <w:bodyDiv w:val="1"/>
      <w:marLeft w:val="0"/>
      <w:marRight w:val="0"/>
      <w:marTop w:val="0"/>
      <w:marBottom w:val="0"/>
      <w:divBdr>
        <w:top w:val="none" w:sz="0" w:space="0" w:color="auto"/>
        <w:left w:val="none" w:sz="0" w:space="0" w:color="auto"/>
        <w:bottom w:val="none" w:sz="0" w:space="0" w:color="auto"/>
        <w:right w:val="none" w:sz="0" w:space="0" w:color="auto"/>
      </w:divBdr>
    </w:div>
    <w:div w:id="1757748598">
      <w:bodyDiv w:val="1"/>
      <w:marLeft w:val="0"/>
      <w:marRight w:val="0"/>
      <w:marTop w:val="0"/>
      <w:marBottom w:val="0"/>
      <w:divBdr>
        <w:top w:val="none" w:sz="0" w:space="0" w:color="auto"/>
        <w:left w:val="none" w:sz="0" w:space="0" w:color="auto"/>
        <w:bottom w:val="none" w:sz="0" w:space="0" w:color="auto"/>
        <w:right w:val="none" w:sz="0" w:space="0" w:color="auto"/>
      </w:divBdr>
      <w:divsChild>
        <w:div w:id="1960604435">
          <w:marLeft w:val="0"/>
          <w:marRight w:val="0"/>
          <w:marTop w:val="0"/>
          <w:marBottom w:val="0"/>
          <w:divBdr>
            <w:top w:val="none" w:sz="0" w:space="0" w:color="auto"/>
            <w:left w:val="none" w:sz="0" w:space="0" w:color="auto"/>
            <w:bottom w:val="none" w:sz="0" w:space="0" w:color="auto"/>
            <w:right w:val="none" w:sz="0" w:space="0" w:color="auto"/>
          </w:divBdr>
        </w:div>
        <w:div w:id="1197889030">
          <w:marLeft w:val="0"/>
          <w:marRight w:val="0"/>
          <w:marTop w:val="0"/>
          <w:marBottom w:val="0"/>
          <w:divBdr>
            <w:top w:val="none" w:sz="0" w:space="0" w:color="auto"/>
            <w:left w:val="none" w:sz="0" w:space="0" w:color="auto"/>
            <w:bottom w:val="none" w:sz="0" w:space="0" w:color="auto"/>
            <w:right w:val="none" w:sz="0" w:space="0" w:color="auto"/>
          </w:divBdr>
        </w:div>
        <w:div w:id="958536220">
          <w:marLeft w:val="0"/>
          <w:marRight w:val="0"/>
          <w:marTop w:val="0"/>
          <w:marBottom w:val="0"/>
          <w:divBdr>
            <w:top w:val="none" w:sz="0" w:space="0" w:color="auto"/>
            <w:left w:val="none" w:sz="0" w:space="0" w:color="auto"/>
            <w:bottom w:val="none" w:sz="0" w:space="0" w:color="auto"/>
            <w:right w:val="none" w:sz="0" w:space="0" w:color="auto"/>
          </w:divBdr>
        </w:div>
        <w:div w:id="919216882">
          <w:marLeft w:val="0"/>
          <w:marRight w:val="0"/>
          <w:marTop w:val="0"/>
          <w:marBottom w:val="0"/>
          <w:divBdr>
            <w:top w:val="none" w:sz="0" w:space="0" w:color="auto"/>
            <w:left w:val="none" w:sz="0" w:space="0" w:color="auto"/>
            <w:bottom w:val="none" w:sz="0" w:space="0" w:color="auto"/>
            <w:right w:val="none" w:sz="0" w:space="0" w:color="auto"/>
          </w:divBdr>
        </w:div>
        <w:div w:id="1128819952">
          <w:marLeft w:val="0"/>
          <w:marRight w:val="0"/>
          <w:marTop w:val="0"/>
          <w:marBottom w:val="0"/>
          <w:divBdr>
            <w:top w:val="none" w:sz="0" w:space="0" w:color="auto"/>
            <w:left w:val="none" w:sz="0" w:space="0" w:color="auto"/>
            <w:bottom w:val="none" w:sz="0" w:space="0" w:color="auto"/>
            <w:right w:val="none" w:sz="0" w:space="0" w:color="auto"/>
          </w:divBdr>
        </w:div>
      </w:divsChild>
    </w:div>
    <w:div w:id="197475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ma.gov.au/~/media/Spectrum%20Engineering/Information/pdf/ARSP%202017%20-%20with%20general%20information%20pdf.pdf" TargetMode="External"/><Relationship Id="rId18" Type="http://schemas.openxmlformats.org/officeDocument/2006/relationships/hyperlink" Target="https://www.gsma.com/newsroom/press-release/new-gsma-report-reveals-economic-benefits-of-c-band-spectrum-for-mobile-broadband/" TargetMode="External"/><Relationship Id="rId26" Type="http://schemas.openxmlformats.org/officeDocument/2006/relationships/hyperlink" Target="https://www.comreg.ie/media/dlm_uploads/2017/05/ComReg-1738.pdf" TargetMode="External"/><Relationship Id="rId21" Type="http://schemas.openxmlformats.org/officeDocument/2006/relationships/hyperlink" Target="http://www.itu.int/pub/R-REP-M.2109" TargetMode="Externa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yperlink" Target="https://www.gsma.com/publicpolicy/wp-content/uploads/2012/11/gsma-deloitte-impact-mobile-telephony-economic-growth.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sacom.com/" TargetMode="External"/><Relationship Id="rId20" Type="http://schemas.openxmlformats.org/officeDocument/2006/relationships/image" Target="media/image5.png"/><Relationship Id="rId29" Type="http://schemas.openxmlformats.org/officeDocument/2006/relationships/hyperlink" Target="http://www.huawei.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3gpp.org/ftp/TSG_RAN/TSG_RAN/TSGR_75/Tdoclist/History/" TargetMode="External"/><Relationship Id="rId24" Type="http://schemas.openxmlformats.org/officeDocument/2006/relationships/hyperlink" Target="http://www.erodocdb.dk/Docs/doc98/official/pdf/ECCREP254.PDF" TargetMode="External"/><Relationship Id="rId32" Type="http://schemas.openxmlformats.org/officeDocument/2006/relationships/fontTable" Target="fontTable.xml"/><Relationship Id="rId37"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http://www.itu.int/dms_pubrec/itu-r/rec/m/R-REC-M.2083-0-201509-I!!PDF-E.pdf" TargetMode="External"/><Relationship Id="rId23" Type="http://schemas.openxmlformats.org/officeDocument/2006/relationships/hyperlink" Target="https://www.itu.int/dms_pub/itu-r/oth/0c/06/R0C060000550012PDFE.pdf" TargetMode="External"/><Relationship Id="rId28" Type="http://schemas.openxmlformats.org/officeDocument/2006/relationships/hyperlink" Target="https://www.gsma.com/spectrum/wp-content/uploads/2014/11/GSMA.-Frontier-report-on-Economic-assessment-of-C-band-re-allocation-2014.pdf" TargetMode="External"/><Relationship Id="rId36"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hyperlink" Target="http://www.3gpp.org/release-15"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3gpp.org/ftp/TSG_RAN/TSG_RAN/TSGR_75/Tdoclist/History/" TargetMode="External"/><Relationship Id="rId14" Type="http://schemas.openxmlformats.org/officeDocument/2006/relationships/image" Target="media/image3.png"/><Relationship Id="rId22" Type="http://schemas.openxmlformats.org/officeDocument/2006/relationships/hyperlink" Target="http://www.itu.int/pub/R-REP-S.2368" TargetMode="External"/><Relationship Id="rId27" Type="http://schemas.openxmlformats.org/officeDocument/2006/relationships/hyperlink" Target="https://www.gsma.com/publicpolicy/wp-content/uploads/2012/03/amofullwebfinal.pdf" TargetMode="External"/><Relationship Id="rId30" Type="http://schemas.openxmlformats.org/officeDocument/2006/relationships/header" Target="header1.xml"/><Relationship Id="rId35" Type="http://schemas.openxmlformats.org/officeDocument/2006/relationships/customXml" Target="../customXml/item3.xml"/><Relationship Id="rId8" Type="http://schemas.openxmlformats.org/officeDocument/2006/relationships/hyperlink" Target="mailto:tintin.madayag@huawei.com"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3NE2HDV7HD6D-128-838</_dlc_DocId>
    <_dlc_DocIdUrl xmlns="1d983eb4-33f7-44b0-aea1-cbdcf0c55136">
      <Url>http://collaboration/organisation/cid/speb/sp/_layouts/15/DocIdRedir.aspx?ID=3NE2HDV7HD6D-128-838</Url>
      <Description>3NE2HDV7HD6D-128-838</Description>
    </_dlc_DocIdUrl>
  </documentManagement>
</p:properties>
</file>

<file path=customXml/itemProps1.xml><?xml version="1.0" encoding="utf-8"?>
<ds:datastoreItem xmlns:ds="http://schemas.openxmlformats.org/officeDocument/2006/customXml" ds:itemID="{BEEBA56A-C568-4677-A355-097F325A815F}">
  <ds:schemaRefs>
    <ds:schemaRef ds:uri="http://schemas.openxmlformats.org/officeDocument/2006/bibliography"/>
  </ds:schemaRefs>
</ds:datastoreItem>
</file>

<file path=customXml/itemProps2.xml><?xml version="1.0" encoding="utf-8"?>
<ds:datastoreItem xmlns:ds="http://schemas.openxmlformats.org/officeDocument/2006/customXml" ds:itemID="{BEB17C71-CB7A-43F2-B529-108D652CCF5D}"/>
</file>

<file path=customXml/itemProps3.xml><?xml version="1.0" encoding="utf-8"?>
<ds:datastoreItem xmlns:ds="http://schemas.openxmlformats.org/officeDocument/2006/customXml" ds:itemID="{99892848-8289-4358-A44F-7F7917FA00A6}"/>
</file>

<file path=customXml/itemProps4.xml><?xml version="1.0" encoding="utf-8"?>
<ds:datastoreItem xmlns:ds="http://schemas.openxmlformats.org/officeDocument/2006/customXml" ds:itemID="{6727145B-1A37-416C-ADF2-754FE032F2DE}"/>
</file>

<file path=customXml/itemProps5.xml><?xml version="1.0" encoding="utf-8"?>
<ds:datastoreItem xmlns:ds="http://schemas.openxmlformats.org/officeDocument/2006/customXml" ds:itemID="{D2CCCDC7-F001-459F-9128-F45C8376A6C8}"/>
</file>

<file path=docProps/app.xml><?xml version="1.0" encoding="utf-8"?>
<Properties xmlns="http://schemas.openxmlformats.org/officeDocument/2006/extended-properties" xmlns:vt="http://schemas.openxmlformats.org/officeDocument/2006/docPropsVTypes">
  <Template>Normal</Template>
  <TotalTime>5</TotalTime>
  <Pages>17</Pages>
  <Words>6247</Words>
  <Characters>35609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41773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Tintin Madayag</dc:creator>
  <cp:lastModifiedBy>t00342770</cp:lastModifiedBy>
  <cp:revision>2</cp:revision>
  <cp:lastPrinted>2017-08-07T00:48:00Z</cp:lastPrinted>
  <dcterms:created xsi:type="dcterms:W3CDTF">2017-08-11T04:27:00Z</dcterms:created>
  <dcterms:modified xsi:type="dcterms:W3CDTF">2017-08-11T04:27:00Z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(2)6jHJ2x/TXFZMDvS5XIMGddyIWlECcBbVdrPhdKqLCW6fd31NrErRBORorxhm9cADcs0hhy9q
rm7a20Yt7jUqOUkAfQt5YXI7ZGsA4/oRzNQsU+TNiaB1BpUxo9xreIYftElOok7ays56gLtU
sGy+A3eH5OBCfM5jZM0kyYag660FIG8VnZKOO6hYQRzvmgBaMYI8ZHp5q70F5JbXGtEPz072
behkKVeBXTFJdA90Az</vt:lpwstr>
  </property>
  <property fmtid="{D5CDD505-2E9C-101B-9397-08002B2CF9AE}" pid="3" name="_2015_ms_pID_7253431">
    <vt:lpwstr>aFEJBNgQWQDGn4OY++dgUs82tE4Tuj92vZSnwE8ZabEylcKkQUkgem
jAhvCPL4o+q4N+BsABgz2pGgo11jPw0KKMguYMP4u6VpltlXZEPimPFbfzp0Tb2uAsXLFCUB
Ee+zu7ZG6fxhPp1ozbi7Wg+r2SZMLwZRe5/3TFcBZTG6Gg==</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1502425372</vt:lpwstr>
  </property>
  <property fmtid="{D5CDD505-2E9C-101B-9397-08002B2CF9AE}" pid="8" name="ContentTypeId">
    <vt:lpwstr>0x010100D922B896673C3B4CAC6395581CF998E6</vt:lpwstr>
  </property>
  <property fmtid="{D5CDD505-2E9C-101B-9397-08002B2CF9AE}" pid="9" name="_dlc_DocIdItemGuid">
    <vt:lpwstr>4f8f878a-fd16-4682-9ba9-a89d7faa8619</vt:lpwstr>
  </property>
</Properties>
</file>