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104F5" w14:textId="77777777" w:rsidR="008869C4" w:rsidRDefault="008869C4" w:rsidP="008869C4">
      <w:pPr>
        <w:pStyle w:val="NoSpacing"/>
        <w:jc w:val="right"/>
      </w:pPr>
      <w:bookmarkStart w:id="0" w:name="_GoBack"/>
      <w:bookmarkEnd w:id="0"/>
      <w:r w:rsidRPr="00A532DA">
        <w:rPr>
          <w:noProof/>
          <w:lang w:eastAsia="en-SG"/>
        </w:rPr>
        <w:drawing>
          <wp:inline distT="0" distB="0" distL="0" distR="0" wp14:anchorId="66C9C40D" wp14:editId="6573062E">
            <wp:extent cx="2435552" cy="51997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_logo_(2012).sv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5757" cy="520021"/>
                    </a:xfrm>
                    <a:prstGeom prst="rect">
                      <a:avLst/>
                    </a:prstGeom>
                  </pic:spPr>
                </pic:pic>
              </a:graphicData>
            </a:graphic>
          </wp:inline>
        </w:drawing>
      </w:r>
    </w:p>
    <w:p w14:paraId="3657EEAB" w14:textId="77777777" w:rsidR="008869C4" w:rsidRDefault="008869C4" w:rsidP="008869C4">
      <w:pPr>
        <w:pStyle w:val="NoSpacing"/>
        <w:jc w:val="right"/>
      </w:pPr>
      <w:r>
        <w:t>Microsoft Australia</w:t>
      </w:r>
    </w:p>
    <w:p w14:paraId="666BD5EC" w14:textId="77777777" w:rsidR="00382CA4" w:rsidRDefault="00382CA4" w:rsidP="00382CA4">
      <w:pPr>
        <w:pStyle w:val="NoSpacing"/>
        <w:jc w:val="right"/>
      </w:pPr>
      <w:r>
        <w:t>Sydney (Head Office)</w:t>
      </w:r>
    </w:p>
    <w:p w14:paraId="51FA9EF1" w14:textId="77777777" w:rsidR="00382CA4" w:rsidRDefault="00382CA4" w:rsidP="00382CA4">
      <w:pPr>
        <w:pStyle w:val="NoSpacing"/>
        <w:jc w:val="right"/>
      </w:pPr>
      <w:r>
        <w:t>1 Epping Road</w:t>
      </w:r>
    </w:p>
    <w:p w14:paraId="16B06616" w14:textId="77777777" w:rsidR="00382CA4" w:rsidRDefault="00382CA4" w:rsidP="00382CA4">
      <w:pPr>
        <w:pStyle w:val="NoSpacing"/>
        <w:jc w:val="right"/>
      </w:pPr>
      <w:r>
        <w:t>North Ryde, NSW 2113</w:t>
      </w:r>
    </w:p>
    <w:p w14:paraId="08490800" w14:textId="77777777" w:rsidR="008869C4" w:rsidRDefault="008869C4" w:rsidP="008869C4">
      <w:pPr>
        <w:pStyle w:val="NoSpacing"/>
        <w:jc w:val="right"/>
      </w:pPr>
    </w:p>
    <w:p w14:paraId="74C4AFB4" w14:textId="77777777" w:rsidR="008869C4" w:rsidRDefault="008869C4" w:rsidP="008869C4">
      <w:pPr>
        <w:pStyle w:val="NoSpacing"/>
        <w:jc w:val="right"/>
      </w:pPr>
      <w:r>
        <w:t>4 August 2017</w:t>
      </w:r>
    </w:p>
    <w:p w14:paraId="38958613" w14:textId="77777777" w:rsidR="00382CA4" w:rsidRDefault="00382CA4" w:rsidP="008869C4">
      <w:pPr>
        <w:pStyle w:val="NoSpacing"/>
        <w:jc w:val="right"/>
      </w:pPr>
    </w:p>
    <w:p w14:paraId="5B456024" w14:textId="77777777" w:rsidR="00686E20" w:rsidRDefault="008869C4" w:rsidP="008869C4">
      <w:pPr>
        <w:pStyle w:val="NoSpacing"/>
      </w:pPr>
      <w:r>
        <w:t>The Manager, Spectrum Planning Section</w:t>
      </w:r>
    </w:p>
    <w:p w14:paraId="0F862BBC" w14:textId="77777777" w:rsidR="008869C4" w:rsidRDefault="008869C4" w:rsidP="008869C4">
      <w:pPr>
        <w:pStyle w:val="NoSpacing"/>
      </w:pPr>
      <w:r>
        <w:t>Spectrum Planning and Engineering Branch</w:t>
      </w:r>
    </w:p>
    <w:p w14:paraId="294878EE" w14:textId="77777777" w:rsidR="008869C4" w:rsidRDefault="008869C4" w:rsidP="008869C4">
      <w:pPr>
        <w:pStyle w:val="NoSpacing"/>
      </w:pPr>
      <w:r>
        <w:t>Communications Infrastructure Division</w:t>
      </w:r>
    </w:p>
    <w:p w14:paraId="5C540DB0" w14:textId="77777777" w:rsidR="008869C4" w:rsidRDefault="008869C4" w:rsidP="008869C4">
      <w:pPr>
        <w:pStyle w:val="NoSpacing"/>
      </w:pPr>
      <w:r>
        <w:t>PO Box 78, Belconnen, ACT 2616</w:t>
      </w:r>
    </w:p>
    <w:p w14:paraId="1F9E00DE" w14:textId="77777777" w:rsidR="008869C4" w:rsidRDefault="008869C4" w:rsidP="008869C4">
      <w:pPr>
        <w:pStyle w:val="NoSpacing"/>
      </w:pPr>
    </w:p>
    <w:p w14:paraId="0B93F5A8" w14:textId="77777777" w:rsidR="008869C4" w:rsidRPr="00F91A25" w:rsidRDefault="006B2300" w:rsidP="008869C4">
      <w:pPr>
        <w:pStyle w:val="NoSpacing"/>
        <w:rPr>
          <w:b/>
        </w:rPr>
      </w:pPr>
      <w:r>
        <w:rPr>
          <w:b/>
        </w:rPr>
        <w:t>Microsoft Response to the Future approach</w:t>
      </w:r>
      <w:r w:rsidR="008869C4" w:rsidRPr="00F91A25">
        <w:rPr>
          <w:b/>
        </w:rPr>
        <w:t xml:space="preserve"> of the 3.6 GHz band</w:t>
      </w:r>
      <w:r>
        <w:rPr>
          <w:b/>
        </w:rPr>
        <w:t xml:space="preserve"> consultation </w:t>
      </w:r>
    </w:p>
    <w:p w14:paraId="4643D991" w14:textId="77777777" w:rsidR="008869C4" w:rsidRDefault="008869C4" w:rsidP="008869C4">
      <w:pPr>
        <w:pStyle w:val="NoSpacing"/>
      </w:pPr>
    </w:p>
    <w:p w14:paraId="33FE579C" w14:textId="19A8B798" w:rsidR="006B2300" w:rsidRDefault="006B2300" w:rsidP="008869C4">
      <w:pPr>
        <w:pStyle w:val="NoSpacing"/>
      </w:pPr>
      <w:r>
        <w:t xml:space="preserve">Microsoft </w:t>
      </w:r>
      <w:r w:rsidR="006040CA">
        <w:t>appreciates the opportunity</w:t>
      </w:r>
      <w:r>
        <w:t xml:space="preserve"> to respond to the Australian Communications and Media Authority (ACMA)’s request for feedback on its consultation package on its future approach to the 3.6 GHz band. </w:t>
      </w:r>
      <w:r w:rsidR="000D1F9D">
        <w:t>Microsoft commends the ACMA for its</w:t>
      </w:r>
      <w:r w:rsidR="0003299B">
        <w:t xml:space="preserve"> leadership and</w:t>
      </w:r>
      <w:r w:rsidR="000D1F9D">
        <w:t xml:space="preserve"> vision in planning for Australia’s futu</w:t>
      </w:r>
      <w:r w:rsidR="004D194A">
        <w:t>re digital and spectrum needs through</w:t>
      </w:r>
      <w:r w:rsidR="000D1F9D">
        <w:t xml:space="preserve"> its mobile broadband strategy</w:t>
      </w:r>
      <w:r w:rsidR="000613DB">
        <w:t xml:space="preserve"> and related plans</w:t>
      </w:r>
      <w:r w:rsidR="007E688F">
        <w:t>.</w:t>
      </w:r>
      <w:r w:rsidR="000D641F">
        <w:t xml:space="preserve"> </w:t>
      </w:r>
    </w:p>
    <w:p w14:paraId="3F73BD89" w14:textId="77777777" w:rsidR="004D194A" w:rsidRDefault="004D194A" w:rsidP="008869C4">
      <w:pPr>
        <w:pStyle w:val="NoSpacing"/>
      </w:pPr>
    </w:p>
    <w:p w14:paraId="6DD94CDF" w14:textId="3B2BE68B" w:rsidR="00413D4C" w:rsidRDefault="00572B31" w:rsidP="008869C4">
      <w:pPr>
        <w:pStyle w:val="NoSpacing"/>
      </w:pPr>
      <w:r>
        <w:t xml:space="preserve">There has been an explosive growth of wireless data traffic and the ensuing heightened demand on spectrum resources. </w:t>
      </w:r>
      <w:r w:rsidR="007E688F">
        <w:t>Microsoft believes that the</w:t>
      </w:r>
      <w:r>
        <w:t>se developments</w:t>
      </w:r>
      <w:r w:rsidR="007E688F">
        <w:t xml:space="preserve"> mandate a </w:t>
      </w:r>
      <w:r w:rsidR="005B4026">
        <w:t>significant</w:t>
      </w:r>
      <w:r w:rsidR="007E688F">
        <w:t xml:space="preserve"> shift in spectrum management policies and practices, away from a predominantly exclusive licensing regime to a modernized policy framework that balances both licensed and license-exempt spectrum access</w:t>
      </w:r>
      <w:r w:rsidR="006C52DD">
        <w:t xml:space="preserve"> and </w:t>
      </w:r>
      <w:r w:rsidR="00C620A7">
        <w:t>facilitates</w:t>
      </w:r>
      <w:r w:rsidR="007E688F">
        <w:t xml:space="preserve"> spectrum sharing in both categories</w:t>
      </w:r>
      <w:r w:rsidR="006C52DD">
        <w:t xml:space="preserve"> of access</w:t>
      </w:r>
      <w:r w:rsidR="007E688F">
        <w:t xml:space="preserve">. </w:t>
      </w:r>
      <w:r w:rsidR="000649F3">
        <w:t>While w</w:t>
      </w:r>
      <w:r w:rsidR="006C52DD">
        <w:t xml:space="preserve">e believe that licensed spectrum will continue to play a dominant and important role in </w:t>
      </w:r>
      <w:r w:rsidR="00C620A7">
        <w:t xml:space="preserve">the 5G </w:t>
      </w:r>
      <w:r w:rsidR="006C52DD">
        <w:t>wireless network buildout, under the existing carriers</w:t>
      </w:r>
      <w:r>
        <w:t>’</w:t>
      </w:r>
      <w:r w:rsidR="006C52DD">
        <w:t xml:space="preserve"> business model</w:t>
      </w:r>
      <w:r>
        <w:t>s</w:t>
      </w:r>
      <w:r w:rsidR="000649F3">
        <w:t>,</w:t>
      </w:r>
      <w:r w:rsidR="000D641F">
        <w:t xml:space="preserve"> </w:t>
      </w:r>
      <w:r w:rsidR="000649F3">
        <w:t>w</w:t>
      </w:r>
      <w:r w:rsidR="00C620A7">
        <w:t xml:space="preserve">e also believe that the </w:t>
      </w:r>
      <w:r>
        <w:t xml:space="preserve">anticipated </w:t>
      </w:r>
      <w:r w:rsidR="00C620A7">
        <w:t xml:space="preserve">demand from 5G networking </w:t>
      </w:r>
      <w:r>
        <w:t xml:space="preserve">will require </w:t>
      </w:r>
      <w:r w:rsidR="00C620A7">
        <w:t xml:space="preserve">a </w:t>
      </w:r>
      <w:r>
        <w:t>significant</w:t>
      </w:r>
      <w:r w:rsidR="00C620A7">
        <w:t xml:space="preserve"> </w:t>
      </w:r>
      <w:r>
        <w:t>expansion of</w:t>
      </w:r>
      <w:r w:rsidR="00C620A7">
        <w:t xml:space="preserve"> the</w:t>
      </w:r>
      <w:r>
        <w:t xml:space="preserve"> available</w:t>
      </w:r>
      <w:r w:rsidR="00C620A7">
        <w:t xml:space="preserve"> license-exempt spectrum across low (sub 1 GHz), mid</w:t>
      </w:r>
      <w:r>
        <w:t xml:space="preserve"> (1-7</w:t>
      </w:r>
      <w:r w:rsidR="00C620A7">
        <w:t xml:space="preserve"> GHz), and high</w:t>
      </w:r>
      <w:r>
        <w:t xml:space="preserve"> (above 7</w:t>
      </w:r>
      <w:r w:rsidR="00C620A7">
        <w:t xml:space="preserve"> GHz) bands, in order to satisfy the</w:t>
      </w:r>
      <w:r>
        <w:t xml:space="preserve"> projected increases in</w:t>
      </w:r>
      <w:r w:rsidR="00C620A7">
        <w:t xml:space="preserve"> bandwidth consumption, especially at the network edges</w:t>
      </w:r>
      <w:r>
        <w:t>. This will serve</w:t>
      </w:r>
      <w:r w:rsidR="006040CA">
        <w:t xml:space="preserve"> as a complement to licensed spectrum access</w:t>
      </w:r>
      <w:r w:rsidR="00C620A7">
        <w:t>.</w:t>
      </w:r>
      <w:r w:rsidR="000D641F">
        <w:t xml:space="preserve"> </w:t>
      </w:r>
      <w:r w:rsidR="006C52DD">
        <w:t xml:space="preserve"> </w:t>
      </w:r>
    </w:p>
    <w:p w14:paraId="7D87A768" w14:textId="77777777" w:rsidR="006F3192" w:rsidRDefault="006F3192" w:rsidP="008869C4">
      <w:pPr>
        <w:pStyle w:val="NoSpacing"/>
      </w:pPr>
    </w:p>
    <w:p w14:paraId="11D37E47" w14:textId="73D67645" w:rsidR="00FE6D73" w:rsidRDefault="006C52DD" w:rsidP="005A7498">
      <w:pPr>
        <w:pStyle w:val="NoSpacing"/>
      </w:pPr>
      <w:r>
        <w:t>As exemplified by Wi-Fi</w:t>
      </w:r>
      <w:r w:rsidR="00572B31" w:rsidRPr="00572B31">
        <w:rPr>
          <w:vertAlign w:val="superscript"/>
        </w:rPr>
        <w:t>®</w:t>
      </w:r>
      <w:r w:rsidR="000649F3" w:rsidRPr="000649F3">
        <w:rPr>
          <w:vertAlign w:val="superscript"/>
        </w:rPr>
        <w:footnoteReference w:id="1"/>
      </w:r>
      <w:r>
        <w:t xml:space="preserve">, the license-exempt ecosystem </w:t>
      </w:r>
      <w:r w:rsidR="00187BAB">
        <w:t xml:space="preserve">spurs competition by lowering barriers to entry, </w:t>
      </w:r>
      <w:r w:rsidR="00FA1F81">
        <w:t xml:space="preserve">allowing </w:t>
      </w:r>
      <w:r w:rsidR="00FE6D73">
        <w:t xml:space="preserve">a larger number of participants individually to make smaller investments, and </w:t>
      </w:r>
      <w:r w:rsidR="00FA1F81">
        <w:t xml:space="preserve">introducing </w:t>
      </w:r>
      <w:r w:rsidR="00FE6D73">
        <w:t>new products and services quickly and affordably.</w:t>
      </w:r>
      <w:r w:rsidR="006F3192">
        <w:t xml:space="preserve"> </w:t>
      </w:r>
      <w:r w:rsidR="00413D4C">
        <w:t>N</w:t>
      </w:r>
      <w:r w:rsidR="00FE6D73">
        <w:t xml:space="preserve">umerous studies have shown that opening </w:t>
      </w:r>
      <w:r w:rsidR="00572B31">
        <w:t xml:space="preserve">a portion of </w:t>
      </w:r>
      <w:r w:rsidR="00FE6D73">
        <w:t>spectrum for license-exempt access can bring about greater economic value in terms of consumer surplus.</w:t>
      </w:r>
      <w:r w:rsidR="00FE6D73">
        <w:rPr>
          <w:rStyle w:val="FootnoteReference"/>
        </w:rPr>
        <w:footnoteReference w:id="2"/>
      </w:r>
      <w:r w:rsidR="00FE6D73">
        <w:t xml:space="preserve"> A vibrant Wi-Fi ecosystem is a great example of such economic value and Wi-Fi has become a major on-ramp to the Internet for a majority of the population worldwide. </w:t>
      </w:r>
      <w:r w:rsidR="004E1559">
        <w:t xml:space="preserve">License-exempt spectrum is also </w:t>
      </w:r>
      <w:r w:rsidR="004E1559">
        <w:lastRenderedPageBreak/>
        <w:t>expected to play a major role in connecti</w:t>
      </w:r>
      <w:r w:rsidR="000649F3">
        <w:t>ng the Internet of Things (IoT) for smart city applications.</w:t>
      </w:r>
    </w:p>
    <w:p w14:paraId="12032871" w14:textId="77777777" w:rsidR="0012225A" w:rsidRDefault="0012225A" w:rsidP="008869C4">
      <w:pPr>
        <w:pStyle w:val="NoSpacing"/>
      </w:pPr>
    </w:p>
    <w:p w14:paraId="72CEC1B1" w14:textId="7CF52FBB" w:rsidR="0042614A" w:rsidRDefault="00F5094B" w:rsidP="009E60C0">
      <w:pPr>
        <w:pStyle w:val="NoSpacing"/>
      </w:pPr>
      <w:r>
        <w:t xml:space="preserve">In general, Microsoft </w:t>
      </w:r>
      <w:r w:rsidR="006F3192">
        <w:t>believe</w:t>
      </w:r>
      <w:r>
        <w:t>s that spectrum sharing</w:t>
      </w:r>
      <w:r w:rsidR="006F3192">
        <w:t xml:space="preserve"> is key </w:t>
      </w:r>
      <w:r>
        <w:t xml:space="preserve">to </w:t>
      </w:r>
      <w:r w:rsidR="006F3192">
        <w:t xml:space="preserve">making spectrum more abundant, more efficient, and more </w:t>
      </w:r>
      <w:r w:rsidR="00572B31">
        <w:t xml:space="preserve">affordable for 5G and beyond. </w:t>
      </w:r>
      <w:r w:rsidR="006F3192">
        <w:t xml:space="preserve">We commend </w:t>
      </w:r>
      <w:r w:rsidR="00572B31">
        <w:t xml:space="preserve">the </w:t>
      </w:r>
      <w:r w:rsidR="006F3192">
        <w:t>ACMA for considering the options for both licensed and license-exempt access, as well as opportunities for spectrum sharing in its consultation on the 3.6 GHz and 5.6 GHz bands.</w:t>
      </w:r>
      <w:r w:rsidR="000D641F">
        <w:t xml:space="preserve"> </w:t>
      </w:r>
      <w:r w:rsidR="006F3192">
        <w:t xml:space="preserve"> </w:t>
      </w:r>
      <w:r w:rsidR="0048477A">
        <w:t>We have therefore focused</w:t>
      </w:r>
      <w:r w:rsidR="0048477A" w:rsidRPr="009777DF">
        <w:t xml:space="preserve"> our responses </w:t>
      </w:r>
      <w:r w:rsidR="0048477A">
        <w:t xml:space="preserve">on </w:t>
      </w:r>
      <w:r w:rsidR="0048477A" w:rsidRPr="009777DF">
        <w:t xml:space="preserve">questions </w:t>
      </w:r>
      <w:r w:rsidR="0048477A">
        <w:t>8</w:t>
      </w:r>
      <w:r w:rsidR="0048477A" w:rsidRPr="004D194A">
        <w:t>–</w:t>
      </w:r>
      <w:r w:rsidR="00F43EAD">
        <w:t xml:space="preserve">10, and </w:t>
      </w:r>
      <w:r w:rsidR="0048477A">
        <w:t xml:space="preserve">17 </w:t>
      </w:r>
      <w:r w:rsidR="0048477A" w:rsidRPr="009777DF">
        <w:t>in this public consultation</w:t>
      </w:r>
      <w:r w:rsidR="0042614A">
        <w:t xml:space="preserve"> and recommend:</w:t>
      </w:r>
    </w:p>
    <w:p w14:paraId="1F9E9DDE" w14:textId="314F9794" w:rsidR="0042614A" w:rsidRDefault="00F5094B" w:rsidP="0042614A">
      <w:pPr>
        <w:pStyle w:val="NoSpacing"/>
        <w:numPr>
          <w:ilvl w:val="0"/>
          <w:numId w:val="7"/>
        </w:numPr>
      </w:pPr>
      <w:r>
        <w:t xml:space="preserve">ACMA authorize </w:t>
      </w:r>
      <w:r w:rsidRPr="00F5094B">
        <w:t xml:space="preserve">license-exempt </w:t>
      </w:r>
      <w:r>
        <w:t xml:space="preserve">use </w:t>
      </w:r>
      <w:r w:rsidRPr="00F5094B">
        <w:t>(class-licensed LIPD)</w:t>
      </w:r>
      <w:r>
        <w:t xml:space="preserve"> in the </w:t>
      </w:r>
      <w:r w:rsidR="0008757A">
        <w:t xml:space="preserve">5.6 GHz band </w:t>
      </w:r>
      <w:r>
        <w:t xml:space="preserve">to </w:t>
      </w:r>
      <w:r w:rsidR="001E64C3">
        <w:t xml:space="preserve">help </w:t>
      </w:r>
      <w:r>
        <w:t>meet Australia</w:t>
      </w:r>
      <w:r w:rsidR="001E64C3">
        <w:t>n</w:t>
      </w:r>
      <w:r>
        <w:t xml:space="preserve">’s </w:t>
      </w:r>
      <w:r w:rsidR="001E64C3">
        <w:t xml:space="preserve">seemingly insatiable appetite for accessing </w:t>
      </w:r>
      <w:r>
        <w:t>data</w:t>
      </w:r>
      <w:r w:rsidR="001E64C3">
        <w:t xml:space="preserve"> over their portable Wi-Fi</w:t>
      </w:r>
      <w:r w:rsidR="001E64C3">
        <w:rPr>
          <w:rFonts w:cstheme="minorHAnsi"/>
          <w:vertAlign w:val="superscript"/>
        </w:rPr>
        <w:t xml:space="preserve"> </w:t>
      </w:r>
      <w:r w:rsidR="001E64C3">
        <w:rPr>
          <w:rFonts w:cstheme="minorHAnsi"/>
        </w:rPr>
        <w:t xml:space="preserve">enabled </w:t>
      </w:r>
      <w:r w:rsidR="001E64C3">
        <w:t>devices</w:t>
      </w:r>
      <w:r w:rsidR="0042614A">
        <w:t>; and</w:t>
      </w:r>
    </w:p>
    <w:p w14:paraId="273F422C" w14:textId="461B54FA" w:rsidR="0048477A" w:rsidRDefault="009F75C8" w:rsidP="0042614A">
      <w:pPr>
        <w:pStyle w:val="NoSpacing"/>
        <w:numPr>
          <w:ilvl w:val="0"/>
          <w:numId w:val="7"/>
        </w:numPr>
      </w:pPr>
      <w:r>
        <w:t>further</w:t>
      </w:r>
      <w:r w:rsidR="0008757A">
        <w:t xml:space="preserve"> co</w:t>
      </w:r>
      <w:r w:rsidR="0042614A">
        <w:t>nsideration of opening the VHF/</w:t>
      </w:r>
      <w:r w:rsidR="0008757A">
        <w:t>U</w:t>
      </w:r>
      <w:r w:rsidR="0042614A">
        <w:t>H</w:t>
      </w:r>
      <w:r w:rsidR="0008757A">
        <w:t>F TV bands for license-exempt (class-licensed) access, as an additional venue to migrate the point-to-multipoint wireless ISP operations</w:t>
      </w:r>
      <w:r w:rsidR="0048477A">
        <w:t xml:space="preserve"> in </w:t>
      </w:r>
      <w:r w:rsidR="0020290F">
        <w:t xml:space="preserve">regional and </w:t>
      </w:r>
      <w:r w:rsidR="0048477A">
        <w:t>rural areas</w:t>
      </w:r>
      <w:r w:rsidR="00F43EAD">
        <w:t>.</w:t>
      </w:r>
    </w:p>
    <w:p w14:paraId="76E8F537" w14:textId="77777777" w:rsidR="0048477A" w:rsidRDefault="0048477A" w:rsidP="009E60C0">
      <w:pPr>
        <w:pStyle w:val="NoSpacing"/>
      </w:pPr>
    </w:p>
    <w:p w14:paraId="1E3325A9" w14:textId="2F13A777" w:rsidR="009949E8" w:rsidRDefault="009949E8" w:rsidP="009E60C0">
      <w:pPr>
        <w:pStyle w:val="NoSpacing"/>
      </w:pPr>
      <w:r w:rsidRPr="009777DF">
        <w:t xml:space="preserve">If you </w:t>
      </w:r>
      <w:r w:rsidR="0020290F">
        <w:t>need</w:t>
      </w:r>
      <w:r w:rsidR="0020290F" w:rsidRPr="009777DF">
        <w:t xml:space="preserve"> </w:t>
      </w:r>
      <w:r w:rsidRPr="009777DF">
        <w:t>clarifications</w:t>
      </w:r>
      <w:r w:rsidR="0020290F">
        <w:t>,</w:t>
      </w:r>
      <w:r w:rsidRPr="009777DF">
        <w:t xml:space="preserve"> please do not hesitate to contact us.</w:t>
      </w:r>
    </w:p>
    <w:p w14:paraId="2B38771F" w14:textId="77777777" w:rsidR="009949E8" w:rsidRDefault="009949E8" w:rsidP="008869C4">
      <w:pPr>
        <w:pStyle w:val="NoSpacing"/>
      </w:pPr>
    </w:p>
    <w:p w14:paraId="303EB8FA" w14:textId="77777777" w:rsidR="00382CA4" w:rsidRDefault="00382CA4" w:rsidP="00382CA4">
      <w:pPr>
        <w:pStyle w:val="NoSpacing"/>
      </w:pPr>
      <w:r>
        <w:t>Yours sincerely,</w:t>
      </w:r>
    </w:p>
    <w:p w14:paraId="714B2B0E" w14:textId="77777777" w:rsidR="00382CA4" w:rsidRDefault="00382CA4" w:rsidP="00382CA4">
      <w:pPr>
        <w:pStyle w:val="NoSpacing"/>
      </w:pPr>
    </w:p>
    <w:p w14:paraId="6BBFA8ED" w14:textId="77777777" w:rsidR="00382CA4" w:rsidRDefault="00382CA4" w:rsidP="00382CA4">
      <w:pPr>
        <w:pStyle w:val="NoSpacing"/>
      </w:pPr>
      <w:r>
        <w:t>David Masters</w:t>
      </w:r>
    </w:p>
    <w:p w14:paraId="32C07B38" w14:textId="77777777" w:rsidR="00382CA4" w:rsidRDefault="00382CA4" w:rsidP="00382CA4">
      <w:pPr>
        <w:pStyle w:val="NoSpacing"/>
      </w:pPr>
      <w:r>
        <w:t>Corporate Affairs Manager, Australia</w:t>
      </w:r>
    </w:p>
    <w:p w14:paraId="1D43D535" w14:textId="77777777" w:rsidR="00382CA4" w:rsidRDefault="0017009D" w:rsidP="00382CA4">
      <w:pPr>
        <w:pStyle w:val="NoSpacing"/>
      </w:pPr>
      <w:hyperlink r:id="rId9" w:history="1">
        <w:r w:rsidR="00382CA4" w:rsidRPr="00152E3C">
          <w:rPr>
            <w:rStyle w:val="Hyperlink"/>
          </w:rPr>
          <w:t>damaster@microsoft.com</w:t>
        </w:r>
      </w:hyperlink>
      <w:r w:rsidR="00382CA4">
        <w:t xml:space="preserve"> </w:t>
      </w:r>
    </w:p>
    <w:p w14:paraId="4E571F21" w14:textId="77777777" w:rsidR="00382CA4" w:rsidRPr="00382CA4" w:rsidRDefault="00382CA4" w:rsidP="00382CA4">
      <w:pPr>
        <w:pStyle w:val="NoSpacing"/>
      </w:pPr>
    </w:p>
    <w:p w14:paraId="7F521CC3" w14:textId="77777777" w:rsidR="00382CA4" w:rsidRPr="00382CA4" w:rsidRDefault="00382CA4" w:rsidP="00382CA4">
      <w:pPr>
        <w:pStyle w:val="NoSpacing"/>
        <w:rPr>
          <w:b/>
        </w:rPr>
      </w:pPr>
      <w:r w:rsidRPr="00382CA4">
        <w:rPr>
          <w:b/>
        </w:rPr>
        <w:t>About Microsoft Australia</w:t>
      </w:r>
    </w:p>
    <w:p w14:paraId="0C2654A3" w14:textId="77777777" w:rsidR="00382CA4" w:rsidRDefault="00382CA4" w:rsidP="00382CA4">
      <w:pPr>
        <w:pStyle w:val="NoSpacing"/>
      </w:pPr>
      <w:r w:rsidRPr="00382CA4">
        <w:t>Established in 1985, Microsoft Australia is the Australian subsidiary of Microsoft Corp. (Nasdaq "MSFT"), the worldwide leader in software, services, devices and solutions that help people and businesses realise their full potential.</w:t>
      </w:r>
    </w:p>
    <w:p w14:paraId="3589A4FE" w14:textId="77777777" w:rsidR="00382CA4" w:rsidRPr="00382CA4" w:rsidRDefault="00382CA4" w:rsidP="00382CA4">
      <w:pPr>
        <w:pStyle w:val="NoSpacing"/>
      </w:pPr>
    </w:p>
    <w:p w14:paraId="7C8B6B74" w14:textId="77777777" w:rsidR="00382CA4" w:rsidRDefault="00382CA4" w:rsidP="00382CA4">
      <w:pPr>
        <w:pStyle w:val="NoSpacing"/>
      </w:pPr>
      <w:r w:rsidRPr="00382CA4">
        <w:t>Headquartered in Sydney, Microsoft Australia has seven regional offices across the country. Woven throughout daily life, whether it be work or play, Microsoft technologies enable millions of Australian partners and customers to innovate in new ways.</w:t>
      </w:r>
    </w:p>
    <w:p w14:paraId="0BA6306A" w14:textId="77777777" w:rsidR="00382CA4" w:rsidRDefault="0017009D" w:rsidP="00382CA4">
      <w:pPr>
        <w:pStyle w:val="NoSpacing"/>
        <w:pBdr>
          <w:bottom w:val="single" w:sz="6" w:space="1" w:color="auto"/>
        </w:pBdr>
      </w:pPr>
      <w:hyperlink r:id="rId10" w:history="1">
        <w:r w:rsidR="00382CA4" w:rsidRPr="00152E3C">
          <w:rPr>
            <w:rStyle w:val="Hyperlink"/>
          </w:rPr>
          <w:t>https://www.microsoft.com/en-au</w:t>
        </w:r>
      </w:hyperlink>
      <w:r w:rsidR="00382CA4">
        <w:t xml:space="preserve"> </w:t>
      </w:r>
    </w:p>
    <w:p w14:paraId="019BFBF3" w14:textId="77777777" w:rsidR="00382CA4" w:rsidRDefault="00382CA4" w:rsidP="00382CA4">
      <w:pPr>
        <w:pStyle w:val="NoSpacing"/>
        <w:pBdr>
          <w:bottom w:val="single" w:sz="6" w:space="1" w:color="auto"/>
        </w:pBdr>
      </w:pPr>
    </w:p>
    <w:p w14:paraId="581D378C" w14:textId="77777777" w:rsidR="00382CA4" w:rsidRPr="00382CA4" w:rsidRDefault="00382CA4" w:rsidP="00382CA4">
      <w:pPr>
        <w:pStyle w:val="NoSpacing"/>
      </w:pPr>
    </w:p>
    <w:p w14:paraId="73E8DE62" w14:textId="77777777" w:rsidR="00382CA4" w:rsidRDefault="00382CA4" w:rsidP="008869C4">
      <w:pPr>
        <w:pStyle w:val="NoSpacing"/>
      </w:pPr>
    </w:p>
    <w:p w14:paraId="47A849D1" w14:textId="77777777" w:rsidR="008869C4" w:rsidRDefault="008869C4">
      <w:r>
        <w:br w:type="page"/>
      </w:r>
    </w:p>
    <w:sdt>
      <w:sdtPr>
        <w:rPr>
          <w:rFonts w:asciiTheme="minorHAnsi" w:eastAsiaTheme="minorHAnsi" w:hAnsiTheme="minorHAnsi" w:cstheme="minorBidi"/>
          <w:b w:val="0"/>
          <w:bCs w:val="0"/>
          <w:color w:val="auto"/>
          <w:sz w:val="22"/>
          <w:szCs w:val="22"/>
        </w:rPr>
        <w:id w:val="1355920826"/>
        <w:docPartObj>
          <w:docPartGallery w:val="Table of Contents"/>
          <w:docPartUnique/>
        </w:docPartObj>
      </w:sdtPr>
      <w:sdtEndPr>
        <w:rPr>
          <w:noProof/>
        </w:rPr>
      </w:sdtEndPr>
      <w:sdtContent>
        <w:p w14:paraId="1E24A647" w14:textId="77777777" w:rsidR="00F91A25" w:rsidRDefault="00F91A25">
          <w:pPr>
            <w:pStyle w:val="TOCHeading"/>
          </w:pPr>
          <w:r>
            <w:t>Contents</w:t>
          </w:r>
        </w:p>
        <w:p w14:paraId="2ED314E0" w14:textId="04EA191E" w:rsidR="00D4668F" w:rsidRDefault="00F91A25">
          <w:pPr>
            <w:pStyle w:val="TOC2"/>
            <w:rPr>
              <w:rFonts w:eastAsiaTheme="minorEastAsia"/>
              <w:noProof/>
              <w:lang w:eastAsia="en-SG"/>
            </w:rPr>
          </w:pPr>
          <w:r>
            <w:fldChar w:fldCharType="begin"/>
          </w:r>
          <w:r>
            <w:instrText xml:space="preserve"> TOC \o "1-3" \h \z \u </w:instrText>
          </w:r>
          <w:r>
            <w:fldChar w:fldCharType="separate"/>
          </w:r>
          <w:hyperlink w:anchor="_Toc488943269" w:history="1">
            <w:r w:rsidR="00D4668F" w:rsidRPr="0055241C">
              <w:rPr>
                <w:rStyle w:val="Hyperlink"/>
                <w:noProof/>
              </w:rPr>
              <w:t>Question 8: Is the 5.6 GHz band a viable option for wireless broadband systems?</w:t>
            </w:r>
            <w:r w:rsidR="00D4668F">
              <w:rPr>
                <w:noProof/>
                <w:webHidden/>
              </w:rPr>
              <w:tab/>
            </w:r>
            <w:r w:rsidR="00D4668F">
              <w:rPr>
                <w:noProof/>
                <w:webHidden/>
              </w:rPr>
              <w:fldChar w:fldCharType="begin"/>
            </w:r>
            <w:r w:rsidR="00D4668F">
              <w:rPr>
                <w:noProof/>
                <w:webHidden/>
              </w:rPr>
              <w:instrText xml:space="preserve"> PAGEREF _Toc488943269 \h </w:instrText>
            </w:r>
            <w:r w:rsidR="00D4668F">
              <w:rPr>
                <w:noProof/>
                <w:webHidden/>
              </w:rPr>
            </w:r>
            <w:r w:rsidR="00D4668F">
              <w:rPr>
                <w:noProof/>
                <w:webHidden/>
              </w:rPr>
              <w:fldChar w:fldCharType="separate"/>
            </w:r>
            <w:r w:rsidR="00F20EF4">
              <w:rPr>
                <w:noProof/>
                <w:webHidden/>
              </w:rPr>
              <w:t>4</w:t>
            </w:r>
            <w:r w:rsidR="00D4668F">
              <w:rPr>
                <w:noProof/>
                <w:webHidden/>
              </w:rPr>
              <w:fldChar w:fldCharType="end"/>
            </w:r>
          </w:hyperlink>
        </w:p>
        <w:p w14:paraId="72D4B162" w14:textId="52C459AB" w:rsidR="00D4668F" w:rsidRDefault="0017009D">
          <w:pPr>
            <w:pStyle w:val="TOC2"/>
            <w:rPr>
              <w:rFonts w:eastAsiaTheme="minorEastAsia"/>
              <w:noProof/>
              <w:lang w:eastAsia="en-SG"/>
            </w:rPr>
          </w:pPr>
          <w:hyperlink w:anchor="_Toc488943270" w:history="1">
            <w:r w:rsidR="00D4668F" w:rsidRPr="0055241C">
              <w:rPr>
                <w:rStyle w:val="Hyperlink"/>
                <w:noProof/>
              </w:rPr>
              <w:t>Question 9: Under what circumstances should apparatus- and class-licensed arrangements be considered for the 5.6 GHz band?</w:t>
            </w:r>
            <w:r w:rsidR="00D4668F">
              <w:rPr>
                <w:noProof/>
                <w:webHidden/>
              </w:rPr>
              <w:tab/>
            </w:r>
            <w:r w:rsidR="00D4668F">
              <w:rPr>
                <w:noProof/>
                <w:webHidden/>
              </w:rPr>
              <w:fldChar w:fldCharType="begin"/>
            </w:r>
            <w:r w:rsidR="00D4668F">
              <w:rPr>
                <w:noProof/>
                <w:webHidden/>
              </w:rPr>
              <w:instrText xml:space="preserve"> PAGEREF _Toc488943270 \h </w:instrText>
            </w:r>
            <w:r w:rsidR="00D4668F">
              <w:rPr>
                <w:noProof/>
                <w:webHidden/>
              </w:rPr>
            </w:r>
            <w:r w:rsidR="00D4668F">
              <w:rPr>
                <w:noProof/>
                <w:webHidden/>
              </w:rPr>
              <w:fldChar w:fldCharType="separate"/>
            </w:r>
            <w:r w:rsidR="00F20EF4">
              <w:rPr>
                <w:noProof/>
                <w:webHidden/>
              </w:rPr>
              <w:t>5</w:t>
            </w:r>
            <w:r w:rsidR="00D4668F">
              <w:rPr>
                <w:noProof/>
                <w:webHidden/>
              </w:rPr>
              <w:fldChar w:fldCharType="end"/>
            </w:r>
          </w:hyperlink>
        </w:p>
        <w:p w14:paraId="64A5FEE6" w14:textId="0AF45785" w:rsidR="00D4668F" w:rsidRDefault="0017009D">
          <w:pPr>
            <w:pStyle w:val="TOC2"/>
            <w:rPr>
              <w:rFonts w:eastAsiaTheme="minorEastAsia"/>
              <w:noProof/>
              <w:lang w:eastAsia="en-SG"/>
            </w:rPr>
          </w:pPr>
          <w:hyperlink w:anchor="_Toc488943271" w:history="1">
            <w:r w:rsidR="00D4668F" w:rsidRPr="0055241C">
              <w:rPr>
                <w:rStyle w:val="Hyperlink"/>
                <w:noProof/>
              </w:rPr>
              <w:t>Question 10: If apparatus licensing arrangements are developed for wireless broadband systems in the 5.6 GHz band, are the notional arrangements proposed in Appendix 3 suitable?</w:t>
            </w:r>
            <w:r w:rsidR="00D4668F">
              <w:rPr>
                <w:noProof/>
                <w:webHidden/>
              </w:rPr>
              <w:tab/>
            </w:r>
            <w:r w:rsidR="00D4668F">
              <w:rPr>
                <w:noProof/>
                <w:webHidden/>
              </w:rPr>
              <w:fldChar w:fldCharType="begin"/>
            </w:r>
            <w:r w:rsidR="00D4668F">
              <w:rPr>
                <w:noProof/>
                <w:webHidden/>
              </w:rPr>
              <w:instrText xml:space="preserve"> PAGEREF _Toc488943271 \h </w:instrText>
            </w:r>
            <w:r w:rsidR="00D4668F">
              <w:rPr>
                <w:noProof/>
                <w:webHidden/>
              </w:rPr>
            </w:r>
            <w:r w:rsidR="00D4668F">
              <w:rPr>
                <w:noProof/>
                <w:webHidden/>
              </w:rPr>
              <w:fldChar w:fldCharType="separate"/>
            </w:r>
            <w:r w:rsidR="00F20EF4">
              <w:rPr>
                <w:noProof/>
                <w:webHidden/>
              </w:rPr>
              <w:t>5</w:t>
            </w:r>
            <w:r w:rsidR="00D4668F">
              <w:rPr>
                <w:noProof/>
                <w:webHidden/>
              </w:rPr>
              <w:fldChar w:fldCharType="end"/>
            </w:r>
          </w:hyperlink>
        </w:p>
        <w:p w14:paraId="4F30B8F6" w14:textId="3601BDC8" w:rsidR="00D4668F" w:rsidRDefault="0017009D">
          <w:pPr>
            <w:pStyle w:val="TOC2"/>
            <w:rPr>
              <w:rFonts w:eastAsiaTheme="minorEastAsia"/>
              <w:noProof/>
              <w:lang w:eastAsia="en-SG"/>
            </w:rPr>
          </w:pPr>
          <w:hyperlink w:anchor="_Toc488943272" w:history="1">
            <w:r w:rsidR="00D4668F" w:rsidRPr="0055241C">
              <w:rPr>
                <w:rStyle w:val="Hyperlink"/>
                <w:noProof/>
              </w:rPr>
              <w:t>Question 17: Are there any other sharing arrangements that should be considered?</w:t>
            </w:r>
            <w:r w:rsidR="00D4668F">
              <w:rPr>
                <w:noProof/>
                <w:webHidden/>
              </w:rPr>
              <w:tab/>
            </w:r>
            <w:r w:rsidR="00D4668F">
              <w:rPr>
                <w:noProof/>
                <w:webHidden/>
              </w:rPr>
              <w:fldChar w:fldCharType="begin"/>
            </w:r>
            <w:r w:rsidR="00D4668F">
              <w:rPr>
                <w:noProof/>
                <w:webHidden/>
              </w:rPr>
              <w:instrText xml:space="preserve"> PAGEREF _Toc488943272 \h </w:instrText>
            </w:r>
            <w:r w:rsidR="00D4668F">
              <w:rPr>
                <w:noProof/>
                <w:webHidden/>
              </w:rPr>
            </w:r>
            <w:r w:rsidR="00D4668F">
              <w:rPr>
                <w:noProof/>
                <w:webHidden/>
              </w:rPr>
              <w:fldChar w:fldCharType="separate"/>
            </w:r>
            <w:r w:rsidR="00F20EF4">
              <w:rPr>
                <w:noProof/>
                <w:webHidden/>
              </w:rPr>
              <w:t>6</w:t>
            </w:r>
            <w:r w:rsidR="00D4668F">
              <w:rPr>
                <w:noProof/>
                <w:webHidden/>
              </w:rPr>
              <w:fldChar w:fldCharType="end"/>
            </w:r>
          </w:hyperlink>
        </w:p>
        <w:p w14:paraId="15152FDC" w14:textId="77777777" w:rsidR="00F91A25" w:rsidRDefault="00F91A25">
          <w:r>
            <w:rPr>
              <w:b/>
              <w:bCs/>
              <w:noProof/>
            </w:rPr>
            <w:fldChar w:fldCharType="end"/>
          </w:r>
        </w:p>
      </w:sdtContent>
    </w:sdt>
    <w:p w14:paraId="68D9BFE5" w14:textId="77777777" w:rsidR="008869C4" w:rsidRDefault="008869C4">
      <w:r>
        <w:br w:type="page"/>
      </w:r>
    </w:p>
    <w:p w14:paraId="04A39E25" w14:textId="77777777" w:rsidR="008869C4" w:rsidRDefault="008869C4" w:rsidP="00B6072B">
      <w:pPr>
        <w:pStyle w:val="Heading2"/>
      </w:pPr>
      <w:bookmarkStart w:id="1" w:name="_Toc488943269"/>
      <w:r>
        <w:lastRenderedPageBreak/>
        <w:t>Question 8</w:t>
      </w:r>
      <w:r w:rsidR="00B6072B">
        <w:t>: Is the 5.6 GHz band a viable option for wireless broadband systems?</w:t>
      </w:r>
      <w:bookmarkEnd w:id="1"/>
    </w:p>
    <w:p w14:paraId="13F69EC7" w14:textId="77777777" w:rsidR="009949E8" w:rsidRDefault="009949E8" w:rsidP="005A7498">
      <w:pPr>
        <w:pStyle w:val="NoSpacing"/>
        <w:rPr>
          <w:lang w:val="en-AU"/>
        </w:rPr>
      </w:pPr>
    </w:p>
    <w:p w14:paraId="76453B77" w14:textId="4C08B4EC" w:rsidR="00205F2D" w:rsidRDefault="0020290F" w:rsidP="00953B5C">
      <w:pPr>
        <w:pStyle w:val="NoSpacing"/>
        <w:rPr>
          <w:lang w:val="en-AU"/>
        </w:rPr>
      </w:pPr>
      <w:r>
        <w:rPr>
          <w:lang w:val="en-AU"/>
        </w:rPr>
        <w:t>With the proliferation of IEEE 802.11n and 802.11ac Wi-Fi in consumer and enterprise IT devices, th</w:t>
      </w:r>
      <w:r w:rsidR="00070FDB">
        <w:rPr>
          <w:lang w:val="en-AU"/>
        </w:rPr>
        <w:t xml:space="preserve">e 5 GHz band is already playing an indispensable role as part of the wireless broadband </w:t>
      </w:r>
      <w:r w:rsidR="002210E9">
        <w:rPr>
          <w:lang w:val="en-AU"/>
        </w:rPr>
        <w:t>eco</w:t>
      </w:r>
      <w:r w:rsidR="00070FDB">
        <w:rPr>
          <w:lang w:val="en-AU"/>
        </w:rPr>
        <w:t xml:space="preserve">system. </w:t>
      </w:r>
      <w:r>
        <w:rPr>
          <w:lang w:val="en-AU"/>
        </w:rPr>
        <w:t xml:space="preserve">In fact, similar to the traditional 2.4 GHz Wi-Fi </w:t>
      </w:r>
      <w:r w:rsidR="00E3798B">
        <w:rPr>
          <w:lang w:val="en-AU"/>
        </w:rPr>
        <w:t xml:space="preserve">band </w:t>
      </w:r>
      <w:r>
        <w:rPr>
          <w:lang w:val="en-AU"/>
        </w:rPr>
        <w:t>used by earlier edit</w:t>
      </w:r>
      <w:r w:rsidR="00E3798B">
        <w:rPr>
          <w:lang w:val="en-AU"/>
        </w:rPr>
        <w:t>i</w:t>
      </w:r>
      <w:r>
        <w:rPr>
          <w:lang w:val="en-AU"/>
        </w:rPr>
        <w:t>ons of 802.11 technologies, Wi-Fi in the 5 GHz band is expected to be</w:t>
      </w:r>
      <w:r w:rsidR="009F75C8">
        <w:rPr>
          <w:lang w:val="en-AU"/>
        </w:rPr>
        <w:t>come</w:t>
      </w:r>
      <w:r>
        <w:rPr>
          <w:lang w:val="en-AU"/>
        </w:rPr>
        <w:t xml:space="preserve"> increasingly overcrowded and will run short of spectrum</w:t>
      </w:r>
      <w:r w:rsidR="00E3798B">
        <w:rPr>
          <w:lang w:val="en-AU"/>
        </w:rPr>
        <w:t xml:space="preserve"> in </w:t>
      </w:r>
      <w:r w:rsidR="004C3305">
        <w:rPr>
          <w:lang w:val="en-AU"/>
        </w:rPr>
        <w:t>2025</w:t>
      </w:r>
      <w:r w:rsidR="003356BB">
        <w:rPr>
          <w:lang w:val="en-AU"/>
        </w:rPr>
        <w:t xml:space="preserve"> in several regions of the world</w:t>
      </w:r>
      <w:r w:rsidR="00C800BC">
        <w:rPr>
          <w:lang w:val="en-AU"/>
        </w:rPr>
        <w:t>,</w:t>
      </w:r>
      <w:r>
        <w:rPr>
          <w:lang w:val="en-AU"/>
        </w:rPr>
        <w:t xml:space="preserve"> according to a Wi-Fi Alliance study</w:t>
      </w:r>
      <w:r w:rsidR="00C800BC">
        <w:rPr>
          <w:lang w:val="en-AU"/>
        </w:rPr>
        <w:t>.</w:t>
      </w:r>
      <w:r>
        <w:rPr>
          <w:rStyle w:val="FootnoteReference"/>
          <w:lang w:val="en-AU"/>
        </w:rPr>
        <w:footnoteReference w:id="3"/>
      </w:r>
      <w:r>
        <w:rPr>
          <w:lang w:val="en-AU"/>
        </w:rPr>
        <w:t xml:space="preserve"> </w:t>
      </w:r>
      <w:r w:rsidR="002210E9">
        <w:rPr>
          <w:lang w:val="en-AU"/>
        </w:rPr>
        <w:t>The availability of additional Wi-Fi spectrum will allow for larger channel sizes</w:t>
      </w:r>
      <w:r w:rsidR="00BE627F">
        <w:rPr>
          <w:lang w:val="en-AU"/>
        </w:rPr>
        <w:t xml:space="preserve"> and gre</w:t>
      </w:r>
      <w:r w:rsidR="00CC538D">
        <w:rPr>
          <w:lang w:val="en-AU"/>
        </w:rPr>
        <w:t>ater data speed delivered to</w:t>
      </w:r>
      <w:r w:rsidR="00BE627F">
        <w:rPr>
          <w:lang w:val="en-AU"/>
        </w:rPr>
        <w:t xml:space="preserve"> device</w:t>
      </w:r>
      <w:r w:rsidR="00CC538D">
        <w:rPr>
          <w:lang w:val="en-AU"/>
        </w:rPr>
        <w:t>s</w:t>
      </w:r>
      <w:r w:rsidR="00BE627F">
        <w:rPr>
          <w:lang w:val="en-AU"/>
        </w:rPr>
        <w:t>.</w:t>
      </w:r>
      <w:r w:rsidR="002210E9">
        <w:rPr>
          <w:lang w:val="en-AU"/>
        </w:rPr>
        <w:t xml:space="preserve"> </w:t>
      </w:r>
    </w:p>
    <w:p w14:paraId="64345582" w14:textId="77777777" w:rsidR="00650C2C" w:rsidRDefault="00650C2C" w:rsidP="00953B5C">
      <w:pPr>
        <w:pStyle w:val="NoSpacing"/>
        <w:rPr>
          <w:lang w:val="en-AU"/>
        </w:rPr>
      </w:pPr>
    </w:p>
    <w:p w14:paraId="3CDA0C07" w14:textId="19B30C94" w:rsidR="007E7DE6" w:rsidRDefault="00A14580" w:rsidP="00953B5C">
      <w:pPr>
        <w:pStyle w:val="NoSpacing"/>
        <w:rPr>
          <w:lang w:val="en-AU"/>
        </w:rPr>
      </w:pPr>
      <w:r>
        <w:rPr>
          <w:lang w:val="en-AU"/>
        </w:rPr>
        <w:t xml:space="preserve">In such a context, </w:t>
      </w:r>
      <w:r w:rsidR="00BE627F">
        <w:rPr>
          <w:lang w:val="en-AU"/>
        </w:rPr>
        <w:t xml:space="preserve">allowing license-exempt access to </w:t>
      </w:r>
      <w:r>
        <w:rPr>
          <w:lang w:val="en-AU"/>
        </w:rPr>
        <w:t xml:space="preserve">the 5.6 GHz band, </w:t>
      </w:r>
      <w:r w:rsidR="00E3798B">
        <w:rPr>
          <w:lang w:val="en-AU"/>
        </w:rPr>
        <w:t>represents a rather cru</w:t>
      </w:r>
      <w:r w:rsidR="00CC538D">
        <w:rPr>
          <w:lang w:val="en-AU"/>
        </w:rPr>
        <w:t xml:space="preserve">cial addition to enable more 80 MHz and 160 </w:t>
      </w:r>
      <w:r w:rsidR="00E3798B">
        <w:rPr>
          <w:lang w:val="en-AU"/>
        </w:rPr>
        <w:t xml:space="preserve">MHz wide channels </w:t>
      </w:r>
      <w:r w:rsidR="00BE627F">
        <w:rPr>
          <w:lang w:val="en-AU"/>
        </w:rPr>
        <w:t xml:space="preserve">for </w:t>
      </w:r>
      <w:r w:rsidR="00E3798B">
        <w:rPr>
          <w:lang w:val="en-AU"/>
        </w:rPr>
        <w:t xml:space="preserve">gigabit Wi-Fi operations. </w:t>
      </w:r>
      <w:r w:rsidR="007E7DE6">
        <w:rPr>
          <w:lang w:val="en-AU"/>
        </w:rPr>
        <w:t>Specifically, license-exempt access to the 5.6 GHz band will allow for one additional 160 MHz channel or one additional 80 MHz channel or two additional 40 MHz channels or three additional 20 MHz channels.</w:t>
      </w:r>
      <w:r w:rsidR="007E7DE6">
        <w:rPr>
          <w:rStyle w:val="FootnoteReference"/>
          <w:lang w:val="en-AU"/>
        </w:rPr>
        <w:footnoteReference w:id="4"/>
      </w:r>
    </w:p>
    <w:p w14:paraId="3F822096" w14:textId="77777777" w:rsidR="00BA125D" w:rsidRDefault="00BA125D" w:rsidP="00953B5C">
      <w:pPr>
        <w:pStyle w:val="NoSpacing"/>
        <w:rPr>
          <w:lang w:val="en-AU"/>
        </w:rPr>
      </w:pPr>
    </w:p>
    <w:p w14:paraId="4E417CBB" w14:textId="57F40324" w:rsidR="00953B5C" w:rsidRPr="00C800BC" w:rsidRDefault="00953B5C" w:rsidP="00205F2D">
      <w:pPr>
        <w:pStyle w:val="NoSpacing"/>
      </w:pPr>
      <w:r>
        <w:t xml:space="preserve">Globally, regulators are expanding access and channels within the 5 GHz band to allow for more license-exempt use in metro areas to support mobile broadband deployments, and in rural areas to expand access. For example, within the last five years, both the US and UK regulators have moved to expand access in the 5 GHz band to support license-exempt Wi-Fi use. </w:t>
      </w:r>
    </w:p>
    <w:p w14:paraId="415ADF1C" w14:textId="745C395A" w:rsidR="00953B5C" w:rsidRDefault="00953B5C" w:rsidP="00C800BC">
      <w:pPr>
        <w:pStyle w:val="NoSpacing"/>
        <w:numPr>
          <w:ilvl w:val="0"/>
          <w:numId w:val="6"/>
        </w:numPr>
      </w:pPr>
      <w:r>
        <w:t xml:space="preserve">The Federal Communications Commission (FCC) in 2014 amended rules to allow for an additional 100 MHz of spectrum for </w:t>
      </w:r>
      <w:r w:rsidR="00170331">
        <w:t xml:space="preserve">outdoor </w:t>
      </w:r>
      <w:r>
        <w:t>license-exempt use in the 5 GHz band.</w:t>
      </w:r>
      <w:r>
        <w:rPr>
          <w:rStyle w:val="FootnoteReference"/>
        </w:rPr>
        <w:footnoteReference w:id="5"/>
      </w:r>
      <w:r>
        <w:t xml:space="preserve"> </w:t>
      </w:r>
    </w:p>
    <w:p w14:paraId="562E1275" w14:textId="357FB0A6" w:rsidR="00953B5C" w:rsidRDefault="00953B5C" w:rsidP="00C800BC">
      <w:pPr>
        <w:pStyle w:val="NoSpacing"/>
        <w:numPr>
          <w:ilvl w:val="0"/>
          <w:numId w:val="6"/>
        </w:numPr>
      </w:pPr>
      <w:r>
        <w:t>In March 2017, Ofcom in the UK also announced it would expand the 5 GHz Wi-Fi band with an additional 125 MHz of spectrum in the 5.8 GHz band to support rising demand for higher Wi-Fi bandwidth.</w:t>
      </w:r>
      <w:r>
        <w:rPr>
          <w:rStyle w:val="FootnoteReference"/>
        </w:rPr>
        <w:footnoteReference w:id="6"/>
      </w:r>
      <w:r>
        <w:t xml:space="preserve"> </w:t>
      </w:r>
    </w:p>
    <w:p w14:paraId="734DD41D" w14:textId="77777777" w:rsidR="00953B5C" w:rsidRDefault="00953B5C" w:rsidP="00953B5C">
      <w:pPr>
        <w:pStyle w:val="NoSpacing"/>
        <w:rPr>
          <w:lang w:val="en-AU"/>
        </w:rPr>
      </w:pPr>
    </w:p>
    <w:p w14:paraId="11B0F072" w14:textId="281CCC2B" w:rsidR="00D4668F" w:rsidRPr="00D4668F" w:rsidRDefault="00D4668F" w:rsidP="00D4668F">
      <w:pPr>
        <w:pStyle w:val="NoSpacing"/>
        <w:rPr>
          <w:lang w:val="en-AU"/>
        </w:rPr>
      </w:pPr>
      <w:r w:rsidRPr="00D4668F">
        <w:rPr>
          <w:lang w:val="en-AU"/>
        </w:rPr>
        <w:t xml:space="preserve">And as noted by the ACMA consultation paper in Appendix 3, most countries (including Europe and the US) utilise the 5.6 GHz band in their general authorization regimes for uses such as Wi-Fi, on the condition they employ the use of Dynamic Frequency Selection (DFS) so it can protect weather radars sharing the band. Microsoft believes a similar approach will be successful in Australia. Australia (and New Zealand) already requires DFS capabilities for short range devices operations in the 5.250 – 5.350 GHz and 5.470 – 5.725 GHz frequency bands. Under the applicable radio standard (AS/NZS 4268), devices can comply with either the European (EN 301 893) or the United States’ (FCC Part 15.407(h)(2)) procedures for </w:t>
      </w:r>
      <w:r w:rsidRPr="00D4668F">
        <w:rPr>
          <w:lang w:val="en-AU"/>
        </w:rPr>
        <w:lastRenderedPageBreak/>
        <w:t>evaluating DFS capabilities, allowing them to be used without interfering with incumbent weather rada</w:t>
      </w:r>
      <w:r w:rsidR="00CC538D">
        <w:rPr>
          <w:lang w:val="en-AU"/>
        </w:rPr>
        <w:t>rs</w:t>
      </w:r>
      <w:r w:rsidRPr="00D4668F">
        <w:rPr>
          <w:lang w:val="en-AU"/>
        </w:rPr>
        <w:t xml:space="preserve">. </w:t>
      </w:r>
    </w:p>
    <w:p w14:paraId="7C871819" w14:textId="77777777" w:rsidR="00D4668F" w:rsidRDefault="00D4668F" w:rsidP="00953B5C">
      <w:pPr>
        <w:pStyle w:val="NoSpacing"/>
        <w:rPr>
          <w:lang w:val="en-AU"/>
        </w:rPr>
      </w:pPr>
    </w:p>
    <w:p w14:paraId="7735E7A5" w14:textId="3F20DBC3" w:rsidR="009949E8" w:rsidRDefault="00E3798B" w:rsidP="00953B5C">
      <w:pPr>
        <w:pStyle w:val="NoSpacing"/>
        <w:pBdr>
          <w:bottom w:val="single" w:sz="6" w:space="1" w:color="auto"/>
        </w:pBdr>
        <w:rPr>
          <w:lang w:val="en-AU"/>
        </w:rPr>
      </w:pPr>
      <w:r>
        <w:rPr>
          <w:lang w:val="en-AU"/>
        </w:rPr>
        <w:t>It is essential that Australia align and harmonize with this global trend</w:t>
      </w:r>
      <w:r w:rsidR="00953B5C">
        <w:rPr>
          <w:lang w:val="en-AU"/>
        </w:rPr>
        <w:t xml:space="preserve"> by adding the 5.6 GHz band to the rest of the 5 GHz Wi-Fi channel raster,</w:t>
      </w:r>
      <w:r>
        <w:rPr>
          <w:lang w:val="en-AU"/>
        </w:rPr>
        <w:t xml:space="preserve"> in order to take advantage of broad device </w:t>
      </w:r>
      <w:r w:rsidR="00953B5C">
        <w:rPr>
          <w:lang w:val="en-AU"/>
        </w:rPr>
        <w:t>economies and compatibilities, and to be well prepared for the expected wireless data growth.</w:t>
      </w:r>
      <w:r w:rsidR="000D641F">
        <w:rPr>
          <w:lang w:val="en-AU"/>
        </w:rPr>
        <w:t xml:space="preserve"> </w:t>
      </w:r>
    </w:p>
    <w:p w14:paraId="54C02CEE" w14:textId="77777777" w:rsidR="00BA125D" w:rsidRDefault="00BA125D" w:rsidP="00E976E5">
      <w:pPr>
        <w:pStyle w:val="NoSpacing"/>
        <w:rPr>
          <w:lang w:val="en-AU"/>
        </w:rPr>
      </w:pPr>
    </w:p>
    <w:p w14:paraId="4078778C" w14:textId="77777777" w:rsidR="008869C4" w:rsidRDefault="008869C4" w:rsidP="008869C4">
      <w:pPr>
        <w:pStyle w:val="Heading2"/>
      </w:pPr>
      <w:bookmarkStart w:id="2" w:name="_Toc488943270"/>
      <w:r>
        <w:t>Question 9</w:t>
      </w:r>
      <w:r w:rsidR="00B6072B">
        <w:t>: Under what circumstances should apparatus- and class-licensed arrangements be considered for the 5.6 GHz band?</w:t>
      </w:r>
      <w:bookmarkEnd w:id="2"/>
    </w:p>
    <w:p w14:paraId="688F1B89" w14:textId="77777777" w:rsidR="00B1123B" w:rsidRDefault="00B1123B" w:rsidP="00B1123B">
      <w:pPr>
        <w:pStyle w:val="NoSpacing"/>
      </w:pPr>
    </w:p>
    <w:p w14:paraId="05EA5D18" w14:textId="1ACF2383" w:rsidR="009F75C8" w:rsidRDefault="002E5A0E" w:rsidP="00BC7D64">
      <w:pPr>
        <w:tabs>
          <w:tab w:val="left" w:pos="3840"/>
        </w:tabs>
      </w:pPr>
      <w:r>
        <w:t xml:space="preserve">To support future wireless broadband and 5G deployments, </w:t>
      </w:r>
      <w:r w:rsidR="00953B5C">
        <w:t xml:space="preserve">and to align with the global trend, </w:t>
      </w:r>
      <w:r w:rsidR="00B1123B">
        <w:t xml:space="preserve">Microsoft </w:t>
      </w:r>
      <w:r w:rsidR="00953B5C">
        <w:t xml:space="preserve">highly recommends that </w:t>
      </w:r>
      <w:r w:rsidR="00B1123B">
        <w:t xml:space="preserve">the ACMA consider the 5.6 GHz band for inclusion </w:t>
      </w:r>
      <w:r w:rsidR="00CC538D">
        <w:t>for</w:t>
      </w:r>
      <w:r w:rsidR="00FA2196">
        <w:t xml:space="preserve"> </w:t>
      </w:r>
      <w:r w:rsidR="00B1123B">
        <w:t>low interference potential devices (LIPD) class-licensed operations</w:t>
      </w:r>
      <w:r>
        <w:t xml:space="preserve">. </w:t>
      </w:r>
      <w:r w:rsidR="00B1123B">
        <w:t>Including the 5.6 GHz band into the Wi-Fi raster</w:t>
      </w:r>
      <w:r w:rsidR="00CE3927">
        <w:t xml:space="preserve"> immediately allows for </w:t>
      </w:r>
      <w:r w:rsidR="007E7DE6">
        <w:t xml:space="preserve">an </w:t>
      </w:r>
      <w:r w:rsidR="00CE3927">
        <w:t>additional</w:t>
      </w:r>
      <w:r w:rsidR="00B1123B">
        <w:t xml:space="preserve"> 80 MHz </w:t>
      </w:r>
      <w:r w:rsidR="007E7DE6">
        <w:t xml:space="preserve">or </w:t>
      </w:r>
      <w:r w:rsidR="00B1123B">
        <w:t xml:space="preserve">160 MHz channel that may be used for </w:t>
      </w:r>
      <w:r w:rsidR="00E21D46">
        <w:t xml:space="preserve">gigabit </w:t>
      </w:r>
      <w:r w:rsidR="00B1123B">
        <w:t>Wi-Fi applications</w:t>
      </w:r>
      <w:r w:rsidR="00FA1F81">
        <w:t xml:space="preserve">. </w:t>
      </w:r>
      <w:r w:rsidR="006361C0">
        <w:t>Such capabilities could be used for cellular offloading by carriers</w:t>
      </w:r>
      <w:r w:rsidR="00CD4AEC">
        <w:t>, for nom</w:t>
      </w:r>
      <w:r w:rsidR="007E7DE6">
        <w:t>a</w:t>
      </w:r>
      <w:r w:rsidR="00CD4AEC">
        <w:t>dic use by consumers,</w:t>
      </w:r>
      <w:r w:rsidR="006361C0">
        <w:t xml:space="preserve"> or for alternative high-speed broadband access offerings by Wireless ISPs</w:t>
      </w:r>
      <w:r w:rsidR="001E31DE">
        <w:t xml:space="preserve"> (WISPs)</w:t>
      </w:r>
      <w:r w:rsidR="006361C0">
        <w:t xml:space="preserve">. </w:t>
      </w:r>
      <w:r w:rsidR="001E31DE">
        <w:t xml:space="preserve">The use of DFS in such devices operating in the 5.6 GHz band will be able to </w:t>
      </w:r>
      <w:r w:rsidR="00D4668F">
        <w:t xml:space="preserve">protect </w:t>
      </w:r>
      <w:r w:rsidR="007E7DE6">
        <w:t>meteorological radars operating in the 5.6 GHz band from harmful interference.</w:t>
      </w:r>
    </w:p>
    <w:p w14:paraId="3B961123" w14:textId="695B1967" w:rsidR="00F50C1D" w:rsidRDefault="001E31DE" w:rsidP="00BC7D64">
      <w:pPr>
        <w:pBdr>
          <w:bottom w:val="single" w:sz="6" w:space="1" w:color="auto"/>
        </w:pBdr>
        <w:tabs>
          <w:tab w:val="left" w:pos="3840"/>
        </w:tabs>
      </w:pPr>
      <w:r>
        <w:t>Around the world,</w:t>
      </w:r>
      <w:r w:rsidR="00BC7D64">
        <w:t xml:space="preserve"> national regulators are moving towards opening more spectrum for license-exempt use for the 5 GHz and other bands such as the TV White Space (TVWS) UHF and VHF bands, 900 MHz, </w:t>
      </w:r>
      <w:r w:rsidR="00070FDB">
        <w:t xml:space="preserve">6 GHz, </w:t>
      </w:r>
      <w:r w:rsidR="00BC7D64">
        <w:t>and 60 GHz band amongst others to support user demand for more bandwidth for a range of operations in</w:t>
      </w:r>
      <w:r>
        <w:t xml:space="preserve">cluding </w:t>
      </w:r>
      <w:r w:rsidR="00BC7D64">
        <w:t>IoT applications and expanding Wi-</w:t>
      </w:r>
      <w:r w:rsidR="00D4668F">
        <w:t xml:space="preserve">Fi access. Microsoft </w:t>
      </w:r>
      <w:r w:rsidR="006361C0">
        <w:t xml:space="preserve">urges </w:t>
      </w:r>
      <w:r w:rsidR="00BC7D64">
        <w:t xml:space="preserve">the ACMA to consider including the 5.6 GHz band </w:t>
      </w:r>
      <w:r w:rsidR="00CC538D">
        <w:t xml:space="preserve">into the Wi-Fi raster </w:t>
      </w:r>
      <w:r w:rsidR="00BC7D64">
        <w:t>for class-licensed operat</w:t>
      </w:r>
      <w:r w:rsidR="00E50EBC">
        <w:t>ions, and</w:t>
      </w:r>
      <w:r>
        <w:t xml:space="preserve"> to</w:t>
      </w:r>
      <w:r w:rsidR="00E50EBC">
        <w:t xml:space="preserve"> also look towards opening more spectrum for class-licensed operations in other bands to support future IoT and smart city applications, and mobile broadband deployments.</w:t>
      </w:r>
      <w:r w:rsidR="00BC7D64">
        <w:tab/>
      </w:r>
    </w:p>
    <w:p w14:paraId="3B931309" w14:textId="77777777" w:rsidR="001E31DE" w:rsidRDefault="001E31DE" w:rsidP="00CC538D">
      <w:pPr>
        <w:pStyle w:val="NoSpacing"/>
      </w:pPr>
    </w:p>
    <w:p w14:paraId="071C3CF1" w14:textId="77777777" w:rsidR="008869C4" w:rsidRDefault="008869C4" w:rsidP="008869C4">
      <w:pPr>
        <w:pStyle w:val="Heading2"/>
      </w:pPr>
      <w:bookmarkStart w:id="3" w:name="_Toc488943271"/>
      <w:r>
        <w:t>Question 10</w:t>
      </w:r>
      <w:r w:rsidR="00B6072B">
        <w:t>: If apparatus licensing arrangements are developed for wireless broadband systems in the 5.6 GHz band, are the notional arrangements proposed in Appendix 3 suitable?</w:t>
      </w:r>
      <w:bookmarkEnd w:id="3"/>
    </w:p>
    <w:p w14:paraId="615AB022" w14:textId="77777777" w:rsidR="00B1123B" w:rsidRDefault="00B1123B" w:rsidP="008869C4">
      <w:pPr>
        <w:pStyle w:val="NoSpacing"/>
        <w:rPr>
          <w:rFonts w:eastAsia="Times New Roman"/>
          <w:lang w:val="en-AU"/>
        </w:rPr>
      </w:pPr>
    </w:p>
    <w:p w14:paraId="6F23E63C" w14:textId="247F6DD6" w:rsidR="00B1123B" w:rsidRDefault="00FA2196" w:rsidP="008869C4">
      <w:pPr>
        <w:pStyle w:val="NoSpacing"/>
        <w:rPr>
          <w:rFonts w:eastAsia="Times New Roman"/>
        </w:rPr>
      </w:pPr>
      <w:r>
        <w:rPr>
          <w:rFonts w:eastAsia="Times New Roman"/>
          <w:lang w:val="en-AU"/>
        </w:rPr>
        <w:t xml:space="preserve">Microsoft does not encourage the ACMA to issue apparatus licences for wireless broadband systems in the 5.6 GHz band but instead allocate the 5.6 GHz band </w:t>
      </w:r>
      <w:r w:rsidR="00F20EF4">
        <w:rPr>
          <w:rFonts w:eastAsia="Times New Roman"/>
        </w:rPr>
        <w:t>for</w:t>
      </w:r>
      <w:r w:rsidRPr="00FA2196">
        <w:rPr>
          <w:rFonts w:eastAsia="Times New Roman"/>
        </w:rPr>
        <w:t xml:space="preserve"> low interference potential devices (LIPD) class-licensed operations in support of wireless broadband and 5G deployments.</w:t>
      </w:r>
      <w:r>
        <w:rPr>
          <w:rFonts w:eastAsia="Times New Roman"/>
        </w:rPr>
        <w:t xml:space="preserve"> This allows for </w:t>
      </w:r>
      <w:r w:rsidR="00D275A7">
        <w:rPr>
          <w:rFonts w:eastAsia="Times New Roman"/>
        </w:rPr>
        <w:t xml:space="preserve">carriers and WISPs to use the </w:t>
      </w:r>
      <w:r>
        <w:rPr>
          <w:rFonts w:eastAsia="Times New Roman"/>
        </w:rPr>
        <w:t xml:space="preserve">additional 80 MHz </w:t>
      </w:r>
      <w:r w:rsidR="007E7DE6">
        <w:rPr>
          <w:rFonts w:eastAsia="Times New Roman"/>
        </w:rPr>
        <w:t xml:space="preserve">or </w:t>
      </w:r>
      <w:r>
        <w:rPr>
          <w:rFonts w:eastAsia="Times New Roman"/>
        </w:rPr>
        <w:t>160 MHz channel to provide gigabit data rates</w:t>
      </w:r>
      <w:r w:rsidR="00D275A7">
        <w:rPr>
          <w:rFonts w:eastAsia="Times New Roman"/>
        </w:rPr>
        <w:t xml:space="preserve"> </w:t>
      </w:r>
      <w:r w:rsidR="004C05E7">
        <w:rPr>
          <w:rFonts w:eastAsia="Times New Roman"/>
        </w:rPr>
        <w:t>in</w:t>
      </w:r>
      <w:r w:rsidR="00D275A7">
        <w:rPr>
          <w:rFonts w:eastAsia="Times New Roman"/>
        </w:rPr>
        <w:t xml:space="preserve"> support </w:t>
      </w:r>
      <w:r w:rsidR="004C05E7">
        <w:rPr>
          <w:rFonts w:eastAsia="Times New Roman"/>
        </w:rPr>
        <w:t xml:space="preserve">of </w:t>
      </w:r>
      <w:r w:rsidR="00D275A7">
        <w:rPr>
          <w:rFonts w:eastAsia="Times New Roman"/>
        </w:rPr>
        <w:t>their</w:t>
      </w:r>
      <w:r w:rsidR="004C05E7">
        <w:rPr>
          <w:rFonts w:eastAsia="Times New Roman"/>
        </w:rPr>
        <w:t xml:space="preserve"> respective</w:t>
      </w:r>
      <w:r w:rsidR="00D275A7">
        <w:rPr>
          <w:rFonts w:eastAsia="Times New Roman"/>
        </w:rPr>
        <w:t xml:space="preserve"> wireless broadband </w:t>
      </w:r>
      <w:r w:rsidR="004C05E7">
        <w:rPr>
          <w:rFonts w:eastAsia="Times New Roman"/>
        </w:rPr>
        <w:t>offerings</w:t>
      </w:r>
      <w:r>
        <w:rPr>
          <w:rFonts w:eastAsia="Times New Roman"/>
        </w:rPr>
        <w:t xml:space="preserve">. </w:t>
      </w:r>
    </w:p>
    <w:p w14:paraId="226DECEC" w14:textId="77777777" w:rsidR="00D4668F" w:rsidRDefault="00D4668F" w:rsidP="008869C4">
      <w:pPr>
        <w:pStyle w:val="NoSpacing"/>
        <w:rPr>
          <w:rFonts w:eastAsia="Times New Roman"/>
        </w:rPr>
      </w:pPr>
    </w:p>
    <w:p w14:paraId="6BED35E7" w14:textId="7100236E" w:rsidR="00ED1B0A" w:rsidRDefault="00645C37" w:rsidP="004C05E7">
      <w:pPr>
        <w:pStyle w:val="NoSpacing"/>
        <w:pBdr>
          <w:bottom w:val="single" w:sz="6" w:space="1" w:color="auto"/>
        </w:pBdr>
      </w:pPr>
      <w:r>
        <w:lastRenderedPageBreak/>
        <w:t>There are</w:t>
      </w:r>
      <w:r w:rsidR="005A5CCB">
        <w:t xml:space="preserve"> currently</w:t>
      </w:r>
      <w:r>
        <w:t xml:space="preserve"> no point-to-point or point-to-multipoint licensees in Area 1</w:t>
      </w:r>
      <w:r w:rsidR="00ED1B0A">
        <w:t xml:space="preserve"> nationwide</w:t>
      </w:r>
      <w:r>
        <w:t xml:space="preserve">, where there is the most intensive Wi-Fi use and where the additional 5.6 GHz license-exempt capacity would be fully utilized, particularly during the busy hours of the day. </w:t>
      </w:r>
      <w:r w:rsidR="005A5CCB">
        <w:t>Moving further away from metro areas into</w:t>
      </w:r>
      <w:r w:rsidR="00ED1B0A">
        <w:t xml:space="preserve"> Areas 2 and 3, there is </w:t>
      </w:r>
      <w:r w:rsidR="005A5CCB">
        <w:t xml:space="preserve">likely less intensive </w:t>
      </w:r>
      <w:r w:rsidR="00ED1B0A">
        <w:t>5 GHz Wi-Fi usage</w:t>
      </w:r>
      <w:r w:rsidR="005B46C7">
        <w:t xml:space="preserve"> today</w:t>
      </w:r>
      <w:r w:rsidR="005A5CCB">
        <w:t xml:space="preserve"> as compared to within Area</w:t>
      </w:r>
      <w:r w:rsidR="00EF1FB6">
        <w:t xml:space="preserve"> </w:t>
      </w:r>
      <w:r w:rsidR="005A5CCB">
        <w:t>1.</w:t>
      </w:r>
      <w:r w:rsidR="00ED1B0A">
        <w:t xml:space="preserve"> </w:t>
      </w:r>
      <w:r w:rsidR="005A5CCB">
        <w:t>However</w:t>
      </w:r>
      <w:r w:rsidR="00FA1F81">
        <w:t>,</w:t>
      </w:r>
      <w:r w:rsidR="005A5CCB">
        <w:t xml:space="preserve"> </w:t>
      </w:r>
      <w:r w:rsidR="005B46C7">
        <w:t xml:space="preserve">the </w:t>
      </w:r>
      <w:r w:rsidR="00EF1FB6">
        <w:t>continued growth in mobile data</w:t>
      </w:r>
      <w:r w:rsidR="005B46C7">
        <w:t xml:space="preserve"> </w:t>
      </w:r>
      <w:r w:rsidR="005A5CCB">
        <w:t>will likely lead to greater demands for additional Wi-Fi spectrum in Area 2 and 3 communities. Thus</w:t>
      </w:r>
      <w:r w:rsidR="00FA1F81">
        <w:t>,</w:t>
      </w:r>
      <w:r w:rsidR="005A5CCB">
        <w:t xml:space="preserve"> ACMA could run the risk of relocating license</w:t>
      </w:r>
      <w:r w:rsidR="00FA1F81">
        <w:t>e</w:t>
      </w:r>
      <w:r w:rsidR="005A5CCB">
        <w:t xml:space="preserve">s </w:t>
      </w:r>
      <w:r w:rsidR="005B46C7">
        <w:t>from the 3.6 GHz band to the 5.6 GHz</w:t>
      </w:r>
      <w:r w:rsidR="00E52B8A">
        <w:t xml:space="preserve"> band in the near term</w:t>
      </w:r>
      <w:r w:rsidR="005B46C7">
        <w:t xml:space="preserve">, only to have to </w:t>
      </w:r>
      <w:r w:rsidR="00EF1FB6">
        <w:t xml:space="preserve">relocate </w:t>
      </w:r>
      <w:r w:rsidR="00FA1F81">
        <w:t xml:space="preserve">these same licensees a few years later </w:t>
      </w:r>
      <w:r w:rsidR="00EF1FB6">
        <w:t>to accommodate rising demands for Wi-Fi spectrum</w:t>
      </w:r>
      <w:r w:rsidR="005B46C7">
        <w:t>.</w:t>
      </w:r>
    </w:p>
    <w:p w14:paraId="6AA6D1E3" w14:textId="77777777" w:rsidR="00645C37" w:rsidRDefault="00645C37" w:rsidP="004C05E7">
      <w:pPr>
        <w:pStyle w:val="NoSpacing"/>
        <w:pBdr>
          <w:bottom w:val="single" w:sz="6" w:space="1" w:color="auto"/>
        </w:pBdr>
      </w:pPr>
    </w:p>
    <w:p w14:paraId="7712D981" w14:textId="77777777" w:rsidR="00B727C8" w:rsidRDefault="00B727C8" w:rsidP="008869C4">
      <w:pPr>
        <w:pStyle w:val="NoSpacing"/>
        <w:rPr>
          <w:rFonts w:eastAsia="Times New Roman"/>
          <w:lang w:val="en-AU"/>
        </w:rPr>
      </w:pPr>
    </w:p>
    <w:p w14:paraId="4DEE3B99" w14:textId="77777777" w:rsidR="008869C4" w:rsidRPr="008869C4" w:rsidRDefault="008869C4" w:rsidP="008869C4">
      <w:pPr>
        <w:pStyle w:val="Heading2"/>
      </w:pPr>
      <w:bookmarkStart w:id="4" w:name="_Toc488943272"/>
      <w:r>
        <w:t>Question 17</w:t>
      </w:r>
      <w:r w:rsidR="00B6072B">
        <w:t>: Are there any other sharing arrangements that should be considered?</w:t>
      </w:r>
      <w:bookmarkEnd w:id="4"/>
      <w:r w:rsidR="00B6072B">
        <w:t xml:space="preserve"> </w:t>
      </w:r>
    </w:p>
    <w:p w14:paraId="6D8A5182" w14:textId="77777777" w:rsidR="00AB1A64" w:rsidRDefault="00AB1A64" w:rsidP="008869C4">
      <w:pPr>
        <w:pStyle w:val="NoSpacing"/>
        <w:rPr>
          <w:rFonts w:eastAsia="Times New Roman"/>
          <w:lang w:val="en-AU"/>
        </w:rPr>
      </w:pPr>
    </w:p>
    <w:p w14:paraId="2564DD50" w14:textId="476B30DF" w:rsidR="00AB1A64" w:rsidRDefault="000649F3" w:rsidP="008869C4">
      <w:pPr>
        <w:pStyle w:val="NoSpacing"/>
        <w:rPr>
          <w:rFonts w:eastAsia="Times New Roman"/>
          <w:lang w:val="en-AU"/>
        </w:rPr>
      </w:pPr>
      <w:r>
        <w:rPr>
          <w:rFonts w:eastAsia="Times New Roman"/>
          <w:lang w:val="en-AU"/>
        </w:rPr>
        <w:t>While a</w:t>
      </w:r>
      <w:r w:rsidR="00AB1A64">
        <w:rPr>
          <w:rFonts w:eastAsia="Times New Roman"/>
          <w:lang w:val="en-AU"/>
        </w:rPr>
        <w:t xml:space="preserve">cknowledging that the National Broadband Network (NBN) is aiming to provide </w:t>
      </w:r>
      <w:r>
        <w:rPr>
          <w:rFonts w:eastAsia="Times New Roman"/>
          <w:lang w:val="en-AU"/>
        </w:rPr>
        <w:t>universal connectivity</w:t>
      </w:r>
      <w:r w:rsidR="00AB1A64">
        <w:rPr>
          <w:rFonts w:eastAsia="Times New Roman"/>
          <w:lang w:val="en-AU"/>
        </w:rPr>
        <w:t xml:space="preserve"> in Australia, </w:t>
      </w:r>
      <w:r w:rsidR="00CE3927">
        <w:rPr>
          <w:rFonts w:eastAsia="Times New Roman"/>
          <w:lang w:val="en-AU"/>
        </w:rPr>
        <w:t>Microsoft suggests</w:t>
      </w:r>
      <w:r w:rsidR="00D713F9">
        <w:rPr>
          <w:rFonts w:eastAsia="Times New Roman"/>
          <w:lang w:val="en-AU"/>
        </w:rPr>
        <w:t xml:space="preserve"> that</w:t>
      </w:r>
      <w:r w:rsidR="00CE3927">
        <w:rPr>
          <w:rFonts w:eastAsia="Times New Roman"/>
          <w:lang w:val="en-AU"/>
        </w:rPr>
        <w:t xml:space="preserve"> the ACMA consider the</w:t>
      </w:r>
      <w:r w:rsidR="00C6799D">
        <w:rPr>
          <w:rFonts w:eastAsia="Times New Roman"/>
          <w:lang w:val="en-AU"/>
        </w:rPr>
        <w:t xml:space="preserve"> use of dynamic s</w:t>
      </w:r>
      <w:r w:rsidR="001F3843">
        <w:rPr>
          <w:rFonts w:eastAsia="Times New Roman"/>
          <w:lang w:val="en-AU"/>
        </w:rPr>
        <w:t xml:space="preserve">haring options in the </w:t>
      </w:r>
      <w:r w:rsidR="00AF08A3">
        <w:rPr>
          <w:rFonts w:eastAsia="Times New Roman"/>
          <w:lang w:val="en-AU"/>
        </w:rPr>
        <w:t xml:space="preserve">TVWS </w:t>
      </w:r>
      <w:r w:rsidR="001F3843">
        <w:rPr>
          <w:rFonts w:eastAsia="Times New Roman"/>
          <w:lang w:val="en-AU"/>
        </w:rPr>
        <w:t>bands</w:t>
      </w:r>
      <w:r w:rsidR="00D713F9">
        <w:rPr>
          <w:rFonts w:eastAsia="Times New Roman"/>
          <w:lang w:val="en-AU"/>
        </w:rPr>
        <w:t xml:space="preserve"> (470 MHz to 698 MHz)</w:t>
      </w:r>
      <w:r w:rsidR="001F3843">
        <w:rPr>
          <w:rFonts w:eastAsia="Times New Roman"/>
          <w:lang w:val="en-AU"/>
        </w:rPr>
        <w:t xml:space="preserve"> to help migrate part of the point-to-multipoint WISP operations, especially for rural services</w:t>
      </w:r>
      <w:r w:rsidR="00B6372C">
        <w:rPr>
          <w:rFonts w:eastAsia="Times New Roman"/>
          <w:lang w:val="en-AU"/>
        </w:rPr>
        <w:t xml:space="preserve"> (Area 4)</w:t>
      </w:r>
      <w:r w:rsidR="001F3843">
        <w:rPr>
          <w:rFonts w:eastAsia="Times New Roman"/>
          <w:lang w:val="en-AU"/>
        </w:rPr>
        <w:t xml:space="preserve">. </w:t>
      </w:r>
    </w:p>
    <w:p w14:paraId="5770C851" w14:textId="77777777" w:rsidR="00AB1A64" w:rsidRDefault="00AB1A64" w:rsidP="008869C4">
      <w:pPr>
        <w:pStyle w:val="NoSpacing"/>
        <w:rPr>
          <w:rFonts w:eastAsia="Times New Roman"/>
          <w:lang w:val="en-AU"/>
        </w:rPr>
      </w:pPr>
    </w:p>
    <w:p w14:paraId="1CC1A69E" w14:textId="517C3994" w:rsidR="00AB1A64" w:rsidRDefault="008F4798" w:rsidP="008869C4">
      <w:pPr>
        <w:pStyle w:val="NoSpacing"/>
        <w:rPr>
          <w:rFonts w:eastAsia="Times New Roman"/>
          <w:lang w:val="en-AU"/>
        </w:rPr>
      </w:pPr>
      <w:r>
        <w:rPr>
          <w:rFonts w:eastAsia="Times New Roman"/>
          <w:lang w:val="en-AU"/>
        </w:rPr>
        <w:t>U</w:t>
      </w:r>
      <w:r w:rsidR="001F3843">
        <w:rPr>
          <w:rFonts w:eastAsia="Times New Roman"/>
          <w:lang w:val="en-AU"/>
        </w:rPr>
        <w:t xml:space="preserve">nused TV channels are </w:t>
      </w:r>
      <w:r w:rsidR="00EB6803">
        <w:rPr>
          <w:rFonts w:eastAsia="Times New Roman"/>
          <w:lang w:val="en-AU"/>
        </w:rPr>
        <w:t xml:space="preserve">not only </w:t>
      </w:r>
      <w:r>
        <w:rPr>
          <w:rFonts w:eastAsia="Times New Roman"/>
          <w:lang w:val="en-AU"/>
        </w:rPr>
        <w:t>plentifu</w:t>
      </w:r>
      <w:r w:rsidR="00EB6803">
        <w:rPr>
          <w:rFonts w:eastAsia="Times New Roman"/>
          <w:lang w:val="en-AU"/>
        </w:rPr>
        <w:t>l in rural and remote areas, but</w:t>
      </w:r>
      <w:r>
        <w:rPr>
          <w:rFonts w:eastAsia="Times New Roman"/>
          <w:lang w:val="en-AU"/>
        </w:rPr>
        <w:t xml:space="preserve"> the</w:t>
      </w:r>
      <w:r w:rsidR="001F3843">
        <w:rPr>
          <w:rFonts w:eastAsia="Times New Roman"/>
          <w:lang w:val="en-AU"/>
        </w:rPr>
        <w:t xml:space="preserve"> long-range propagation</w:t>
      </w:r>
      <w:r>
        <w:rPr>
          <w:rFonts w:eastAsia="Times New Roman"/>
          <w:lang w:val="en-AU"/>
        </w:rPr>
        <w:t xml:space="preserve"> characteristics</w:t>
      </w:r>
      <w:r w:rsidR="001F3843">
        <w:rPr>
          <w:rFonts w:eastAsia="Times New Roman"/>
          <w:lang w:val="en-AU"/>
        </w:rPr>
        <w:t xml:space="preserve"> and lower path loss</w:t>
      </w:r>
      <w:r>
        <w:rPr>
          <w:rFonts w:eastAsia="Times New Roman"/>
          <w:lang w:val="en-AU"/>
        </w:rPr>
        <w:t xml:space="preserve"> of radiofrequencies in the band, make</w:t>
      </w:r>
      <w:r w:rsidR="001F3843">
        <w:rPr>
          <w:rFonts w:eastAsia="Times New Roman"/>
          <w:lang w:val="en-AU"/>
        </w:rPr>
        <w:t xml:space="preserve"> them ideal for </w:t>
      </w:r>
      <w:r w:rsidR="00AF08A3">
        <w:rPr>
          <w:rFonts w:eastAsia="Times New Roman"/>
          <w:lang w:val="en-AU"/>
        </w:rPr>
        <w:t xml:space="preserve">rural connectivity. </w:t>
      </w:r>
      <w:r w:rsidR="00AB1A64">
        <w:rPr>
          <w:rFonts w:eastAsia="Times New Roman"/>
          <w:lang w:val="en-AU"/>
        </w:rPr>
        <w:t>These frequencies open up opportunities for wider propagation of NBN satellite services in remote areas or particular service delivery scenarios such as health and education.</w:t>
      </w:r>
    </w:p>
    <w:p w14:paraId="4391F54C" w14:textId="77777777" w:rsidR="00AB1A64" w:rsidRDefault="00AB1A64" w:rsidP="008869C4">
      <w:pPr>
        <w:pStyle w:val="NoSpacing"/>
        <w:rPr>
          <w:rFonts w:eastAsia="Times New Roman"/>
          <w:lang w:val="en-AU"/>
        </w:rPr>
      </w:pPr>
    </w:p>
    <w:p w14:paraId="5F91C443" w14:textId="0DB1FA09" w:rsidR="00E675EA" w:rsidRDefault="00BA125D" w:rsidP="008869C4">
      <w:pPr>
        <w:pStyle w:val="NoSpacing"/>
        <w:rPr>
          <w:rFonts w:eastAsia="Times New Roman"/>
          <w:lang w:val="en-AU"/>
        </w:rPr>
      </w:pPr>
      <w:r>
        <w:rPr>
          <w:rFonts w:eastAsia="Times New Roman"/>
          <w:lang w:val="en-AU"/>
        </w:rPr>
        <w:t>We recently published findings from the Boston Consulting Group (BCG) which concluded that TVWS radios are the most cost-effective ways to connect rural areas with population densities of between 2 and 200 people per square mile.</w:t>
      </w:r>
      <w:r w:rsidR="00AB1A64" w:rsidRPr="00AB1A64">
        <w:rPr>
          <w:rFonts w:eastAsia="Times New Roman"/>
          <w:vertAlign w:val="superscript"/>
          <w:lang w:val="en-AU"/>
        </w:rPr>
        <w:footnoteReference w:id="7"/>
      </w:r>
      <w:r>
        <w:rPr>
          <w:rFonts w:eastAsia="Times New Roman"/>
          <w:lang w:val="en-AU"/>
        </w:rPr>
        <w:t xml:space="preserve"> As such</w:t>
      </w:r>
      <w:r w:rsidR="00EB6803" w:rsidRPr="00EB6803">
        <w:rPr>
          <w:rFonts w:eastAsia="Times New Roman"/>
          <w:lang w:val="en-AU"/>
        </w:rPr>
        <w:t>, TVWS bands when used together with fixed wireless and satellite services, not only help reduce capital and operating costs compared to fibre or LTE fixed wireless technologies, but also represent the best approach to reach underser</w:t>
      </w:r>
      <w:r w:rsidR="00EB6803">
        <w:rPr>
          <w:rFonts w:eastAsia="Times New Roman"/>
          <w:lang w:val="en-AU"/>
        </w:rPr>
        <w:t xml:space="preserve">ved rural communities. </w:t>
      </w:r>
      <w:r w:rsidR="00E675EA">
        <w:rPr>
          <w:rFonts w:eastAsia="Times New Roman"/>
          <w:lang w:val="en-AU"/>
        </w:rPr>
        <w:t xml:space="preserve">When used on a </w:t>
      </w:r>
      <w:r w:rsidR="00C6799D">
        <w:rPr>
          <w:rFonts w:eastAsia="Times New Roman"/>
          <w:lang w:val="en-AU"/>
        </w:rPr>
        <w:t>dynamic spectrum</w:t>
      </w:r>
      <w:r w:rsidR="00E675EA">
        <w:rPr>
          <w:rFonts w:eastAsia="Times New Roman"/>
          <w:lang w:val="en-AU"/>
        </w:rPr>
        <w:t xml:space="preserve"> access basis, such devices operate on a secondary basis in accordance with a set of restrictions (including maximum power levels, antenna heights, </w:t>
      </w:r>
      <w:r w:rsidR="00774C25">
        <w:rPr>
          <w:rFonts w:eastAsia="Times New Roman"/>
          <w:lang w:val="en-AU"/>
        </w:rPr>
        <w:t xml:space="preserve">channel sizes etc.) so as to avoid interference with primary users. In a number of countries including </w:t>
      </w:r>
      <w:r w:rsidR="00774C25">
        <w:t xml:space="preserve">Canada, Singapore, United Kingdom, United States, and South Korea, national regulators </w:t>
      </w:r>
      <w:r w:rsidR="00C6799D">
        <w:t xml:space="preserve">have already established regulatory frameworks for license-exempt use of TVWS bands on a dynamic spectrum sharing arrangement. </w:t>
      </w:r>
    </w:p>
    <w:p w14:paraId="76233925" w14:textId="77777777" w:rsidR="00CE3927" w:rsidRDefault="00CE3927" w:rsidP="008869C4">
      <w:pPr>
        <w:pStyle w:val="NoSpacing"/>
        <w:rPr>
          <w:rFonts w:eastAsia="Times New Roman"/>
          <w:lang w:val="en-AU"/>
        </w:rPr>
      </w:pPr>
    </w:p>
    <w:p w14:paraId="4054357B" w14:textId="35E3C712" w:rsidR="00CE3927" w:rsidRDefault="00C6799D" w:rsidP="008869C4">
      <w:pPr>
        <w:pStyle w:val="NoSpacing"/>
        <w:rPr>
          <w:rFonts w:eastAsia="Times New Roman"/>
          <w:lang w:val="en-AU"/>
        </w:rPr>
      </w:pPr>
      <w:r>
        <w:rPr>
          <w:rFonts w:eastAsia="Times New Roman"/>
          <w:lang w:val="en-AU"/>
        </w:rPr>
        <w:t>We suggest that e</w:t>
      </w:r>
      <w:r w:rsidR="008F4798">
        <w:rPr>
          <w:rFonts w:eastAsia="Times New Roman"/>
          <w:lang w:val="en-AU"/>
        </w:rPr>
        <w:t xml:space="preserve">mploying a class-licensed </w:t>
      </w:r>
      <w:r>
        <w:rPr>
          <w:rFonts w:eastAsia="Times New Roman"/>
          <w:lang w:val="en-AU"/>
        </w:rPr>
        <w:t>d</w:t>
      </w:r>
      <w:r w:rsidR="008F4798">
        <w:rPr>
          <w:rFonts w:eastAsia="Times New Roman"/>
          <w:lang w:val="en-AU"/>
        </w:rPr>
        <w:t xml:space="preserve">ynamic </w:t>
      </w:r>
      <w:r>
        <w:rPr>
          <w:rFonts w:eastAsia="Times New Roman"/>
          <w:lang w:val="en-AU"/>
        </w:rPr>
        <w:t>spectrum s</w:t>
      </w:r>
      <w:r w:rsidR="008F4798">
        <w:rPr>
          <w:rFonts w:eastAsia="Times New Roman"/>
          <w:lang w:val="en-AU"/>
        </w:rPr>
        <w:t xml:space="preserve">haring approach </w:t>
      </w:r>
      <w:r w:rsidR="00ED1F53">
        <w:rPr>
          <w:rFonts w:eastAsia="Times New Roman"/>
          <w:lang w:val="en-AU"/>
        </w:rPr>
        <w:t xml:space="preserve">to support and supplement </w:t>
      </w:r>
      <w:r w:rsidR="00ED1F53" w:rsidRPr="00ED1F53">
        <w:rPr>
          <w:rFonts w:eastAsia="Times New Roman"/>
          <w:lang w:val="en-AU"/>
        </w:rPr>
        <w:t>point-to-multipoint WISP operations</w:t>
      </w:r>
      <w:r w:rsidR="00ED1F53">
        <w:rPr>
          <w:rFonts w:eastAsia="Times New Roman"/>
          <w:lang w:val="en-AU"/>
        </w:rPr>
        <w:t xml:space="preserve"> will </w:t>
      </w:r>
      <w:r>
        <w:rPr>
          <w:rFonts w:eastAsia="Times New Roman"/>
          <w:lang w:val="en-AU"/>
        </w:rPr>
        <w:t xml:space="preserve">not only </w:t>
      </w:r>
      <w:r w:rsidR="00ED1F53">
        <w:rPr>
          <w:rFonts w:eastAsia="Times New Roman"/>
          <w:lang w:val="en-AU"/>
        </w:rPr>
        <w:t>help manage re</w:t>
      </w:r>
      <w:r w:rsidR="00FA1F81">
        <w:rPr>
          <w:rFonts w:eastAsia="Times New Roman"/>
          <w:lang w:val="en-AU"/>
        </w:rPr>
        <w:t>-</w:t>
      </w:r>
      <w:r w:rsidR="00ED1F53">
        <w:rPr>
          <w:rFonts w:eastAsia="Times New Roman"/>
          <w:lang w:val="en-AU"/>
        </w:rPr>
        <w:t>farming the 3.6 MHz band for 5G and future mo</w:t>
      </w:r>
      <w:r>
        <w:rPr>
          <w:rFonts w:eastAsia="Times New Roman"/>
          <w:lang w:val="en-AU"/>
        </w:rPr>
        <w:t>bile broadband deployment by</w:t>
      </w:r>
      <w:r w:rsidR="00ED1F53">
        <w:rPr>
          <w:rFonts w:eastAsia="Times New Roman"/>
          <w:lang w:val="en-AU"/>
        </w:rPr>
        <w:t xml:space="preserve"> ensuring WISP</w:t>
      </w:r>
      <w:r w:rsidR="002B09DB">
        <w:rPr>
          <w:rFonts w:eastAsia="Times New Roman"/>
          <w:lang w:val="en-AU"/>
        </w:rPr>
        <w:t>s</w:t>
      </w:r>
      <w:r w:rsidR="00E66C85">
        <w:rPr>
          <w:rFonts w:eastAsia="Times New Roman"/>
          <w:lang w:val="en-AU"/>
        </w:rPr>
        <w:t xml:space="preserve"> are able to continue operations with minimal disruptions</w:t>
      </w:r>
      <w:r>
        <w:rPr>
          <w:rFonts w:eastAsia="Times New Roman"/>
          <w:lang w:val="en-AU"/>
        </w:rPr>
        <w:t xml:space="preserve">, but </w:t>
      </w:r>
      <w:r w:rsidR="00321DEE">
        <w:rPr>
          <w:rFonts w:eastAsia="Times New Roman"/>
          <w:lang w:val="en-AU"/>
        </w:rPr>
        <w:t xml:space="preserve">it </w:t>
      </w:r>
      <w:r>
        <w:rPr>
          <w:rFonts w:eastAsia="Times New Roman"/>
          <w:lang w:val="en-AU"/>
        </w:rPr>
        <w:t xml:space="preserve">may </w:t>
      </w:r>
      <w:r w:rsidR="00BF4D96">
        <w:rPr>
          <w:rFonts w:eastAsia="Times New Roman"/>
          <w:lang w:val="en-AU"/>
        </w:rPr>
        <w:t>also</w:t>
      </w:r>
      <w:r>
        <w:rPr>
          <w:rFonts w:eastAsia="Times New Roman"/>
          <w:lang w:val="en-AU"/>
        </w:rPr>
        <w:t xml:space="preserve"> reduce capital and operation costs for WISPs</w:t>
      </w:r>
      <w:r w:rsidR="00E66C85">
        <w:rPr>
          <w:rFonts w:eastAsia="Times New Roman"/>
          <w:lang w:val="en-AU"/>
        </w:rPr>
        <w:t xml:space="preserve">. </w:t>
      </w:r>
      <w:r>
        <w:rPr>
          <w:rFonts w:eastAsia="Times New Roman"/>
          <w:lang w:val="en-AU"/>
        </w:rPr>
        <w:t>This</w:t>
      </w:r>
      <w:r w:rsidR="00E675EA">
        <w:rPr>
          <w:rFonts w:eastAsia="Times New Roman"/>
          <w:lang w:val="en-AU"/>
        </w:rPr>
        <w:t xml:space="preserve"> class-licensed approach </w:t>
      </w:r>
      <w:r w:rsidR="00F04511">
        <w:rPr>
          <w:rFonts w:eastAsia="Times New Roman"/>
          <w:lang w:val="en-AU"/>
        </w:rPr>
        <w:t xml:space="preserve">allows </w:t>
      </w:r>
      <w:r w:rsidR="00E675EA">
        <w:rPr>
          <w:rFonts w:eastAsia="Times New Roman"/>
          <w:lang w:val="en-AU"/>
        </w:rPr>
        <w:t xml:space="preserve">WISPs </w:t>
      </w:r>
      <w:r w:rsidR="00F04511">
        <w:rPr>
          <w:rFonts w:eastAsia="Times New Roman"/>
          <w:lang w:val="en-AU"/>
        </w:rPr>
        <w:t xml:space="preserve">to reduce capital outlay </w:t>
      </w:r>
      <w:r w:rsidR="00F04511">
        <w:rPr>
          <w:rFonts w:eastAsia="Times New Roman"/>
          <w:lang w:val="en-AU"/>
        </w:rPr>
        <w:lastRenderedPageBreak/>
        <w:t xml:space="preserve">on spectrum </w:t>
      </w:r>
      <w:r w:rsidR="00E675EA">
        <w:rPr>
          <w:rFonts w:eastAsia="Times New Roman"/>
          <w:lang w:val="en-AU"/>
        </w:rPr>
        <w:t>licenses and</w:t>
      </w:r>
      <w:r>
        <w:rPr>
          <w:rFonts w:eastAsia="Times New Roman"/>
          <w:lang w:val="en-AU"/>
        </w:rPr>
        <w:t xml:space="preserve"> </w:t>
      </w:r>
      <w:r w:rsidR="00F04511">
        <w:rPr>
          <w:rFonts w:eastAsia="Times New Roman"/>
          <w:lang w:val="en-AU"/>
        </w:rPr>
        <w:t>enables more</w:t>
      </w:r>
      <w:r w:rsidR="00E675EA">
        <w:rPr>
          <w:rFonts w:eastAsia="Times New Roman"/>
          <w:lang w:val="en-AU"/>
        </w:rPr>
        <w:t xml:space="preserve"> efficient use of unused frequencies in the TVWS bands</w:t>
      </w:r>
      <w:r>
        <w:rPr>
          <w:rFonts w:eastAsia="Times New Roman"/>
          <w:lang w:val="en-AU"/>
        </w:rPr>
        <w:t xml:space="preserve"> for </w:t>
      </w:r>
      <w:r w:rsidR="00F04511">
        <w:rPr>
          <w:rFonts w:eastAsia="Times New Roman"/>
          <w:lang w:val="en-AU"/>
        </w:rPr>
        <w:t>broadband connectivity</w:t>
      </w:r>
      <w:r>
        <w:rPr>
          <w:rFonts w:eastAsia="Times New Roman"/>
          <w:lang w:val="en-AU"/>
        </w:rPr>
        <w:t>.</w:t>
      </w:r>
      <w:r w:rsidR="000D641F">
        <w:rPr>
          <w:rFonts w:eastAsia="Times New Roman"/>
          <w:lang w:val="en-AU"/>
        </w:rPr>
        <w:t xml:space="preserve"> </w:t>
      </w:r>
      <w:r w:rsidR="00ED1F53">
        <w:rPr>
          <w:rFonts w:eastAsia="Times New Roman"/>
          <w:lang w:val="en-AU"/>
        </w:rPr>
        <w:t xml:space="preserve"> </w:t>
      </w:r>
    </w:p>
    <w:p w14:paraId="79947F08" w14:textId="77777777" w:rsidR="008F4798" w:rsidRDefault="008F4798" w:rsidP="008869C4">
      <w:pPr>
        <w:pStyle w:val="NoSpacing"/>
        <w:rPr>
          <w:rFonts w:eastAsia="Times New Roman"/>
          <w:lang w:val="en-AU"/>
        </w:rPr>
      </w:pPr>
    </w:p>
    <w:p w14:paraId="50DA3D75" w14:textId="39593498" w:rsidR="00C6799D" w:rsidRDefault="008F4798" w:rsidP="00E66C85">
      <w:pPr>
        <w:pStyle w:val="NoSpacing"/>
        <w:rPr>
          <w:rFonts w:eastAsia="Times New Roman"/>
          <w:lang w:val="en-AU"/>
        </w:rPr>
      </w:pPr>
      <w:r>
        <w:rPr>
          <w:rFonts w:eastAsia="Times New Roman"/>
          <w:lang w:val="en-AU"/>
        </w:rPr>
        <w:t xml:space="preserve">Microsoft </w:t>
      </w:r>
      <w:r w:rsidR="00E13530">
        <w:rPr>
          <w:rFonts w:eastAsia="Times New Roman"/>
          <w:lang w:val="en-AU"/>
        </w:rPr>
        <w:t>has been at the forefront of TVWS innovation and use since 200</w:t>
      </w:r>
      <w:r w:rsidR="00F04511">
        <w:rPr>
          <w:rFonts w:eastAsia="Times New Roman"/>
          <w:lang w:val="en-AU"/>
        </w:rPr>
        <w:t>6</w:t>
      </w:r>
      <w:r w:rsidR="00E13530">
        <w:rPr>
          <w:rFonts w:eastAsia="Times New Roman"/>
          <w:lang w:val="en-AU"/>
        </w:rPr>
        <w:t>, and has considerable experience working with industry consortiums and regulators worldwide to leverage TVWS technologies to expand Internet access and connectivity. We have deployed more than 20 TVWS projects worldwide th</w:t>
      </w:r>
      <w:r w:rsidR="00E66C85">
        <w:rPr>
          <w:rFonts w:eastAsia="Times New Roman"/>
          <w:lang w:val="en-AU"/>
        </w:rPr>
        <w:t>at have served 185,000 users.</w:t>
      </w:r>
      <w:r w:rsidR="00E13530">
        <w:rPr>
          <w:rFonts w:eastAsia="Times New Roman"/>
          <w:lang w:val="en-AU"/>
        </w:rPr>
        <w:t xml:space="preserve"> </w:t>
      </w:r>
      <w:r w:rsidR="00C6799D">
        <w:rPr>
          <w:rFonts w:eastAsia="Times New Roman"/>
          <w:lang w:val="en-AU"/>
        </w:rPr>
        <w:t xml:space="preserve">Most recently Microsoft has </w:t>
      </w:r>
      <w:r w:rsidR="00BF4D96">
        <w:rPr>
          <w:rFonts w:eastAsia="Times New Roman"/>
          <w:lang w:val="en-AU"/>
        </w:rPr>
        <w:t xml:space="preserve">proposed </w:t>
      </w:r>
      <w:r w:rsidR="00AE6F97">
        <w:rPr>
          <w:rFonts w:eastAsia="Times New Roman"/>
          <w:lang w:val="en-AU"/>
        </w:rPr>
        <w:t>a “Rural Broadband Strategy”</w:t>
      </w:r>
      <w:r w:rsidR="00F04511">
        <w:rPr>
          <w:rFonts w:eastAsia="Times New Roman"/>
          <w:lang w:val="en-AU"/>
        </w:rPr>
        <w:t xml:space="preserve"> in the US</w:t>
      </w:r>
      <w:r w:rsidR="00AE6F97">
        <w:rPr>
          <w:rFonts w:eastAsia="Times New Roman"/>
          <w:lang w:val="en-AU"/>
        </w:rPr>
        <w:t xml:space="preserve"> to connect 23.4 million Americans in rural communities</w:t>
      </w:r>
      <w:r w:rsidR="00EF5DDA">
        <w:rPr>
          <w:rFonts w:eastAsia="Times New Roman"/>
          <w:lang w:val="en-AU"/>
        </w:rPr>
        <w:t xml:space="preserve"> who currently lack</w:t>
      </w:r>
      <w:r w:rsidR="000A4258">
        <w:rPr>
          <w:rFonts w:eastAsia="Times New Roman"/>
          <w:lang w:val="en-AU"/>
        </w:rPr>
        <w:t xml:space="preserve"> broadband access,</w:t>
      </w:r>
      <w:r w:rsidR="00AE6F97">
        <w:rPr>
          <w:rFonts w:eastAsia="Times New Roman"/>
          <w:lang w:val="en-AU"/>
        </w:rPr>
        <w:t xml:space="preserve"> through the use of TVWS technologies</w:t>
      </w:r>
      <w:r w:rsidR="00F04511">
        <w:rPr>
          <w:rFonts w:eastAsia="Times New Roman"/>
          <w:lang w:val="en-AU"/>
        </w:rPr>
        <w:t>, in conjunction with a number of other connectivity technologies</w:t>
      </w:r>
      <w:r w:rsidR="00AE6F97">
        <w:rPr>
          <w:rFonts w:eastAsia="Times New Roman"/>
          <w:lang w:val="en-AU"/>
        </w:rPr>
        <w:t>.</w:t>
      </w:r>
      <w:r w:rsidR="00AE6F97">
        <w:rPr>
          <w:rStyle w:val="FootnoteReference"/>
          <w:rFonts w:eastAsia="Times New Roman"/>
          <w:lang w:val="en-AU"/>
        </w:rPr>
        <w:footnoteReference w:id="8"/>
      </w:r>
    </w:p>
    <w:p w14:paraId="5F748C8A" w14:textId="77777777" w:rsidR="00C6799D" w:rsidRDefault="00C6799D" w:rsidP="00E66C85">
      <w:pPr>
        <w:pStyle w:val="NoSpacing"/>
        <w:rPr>
          <w:rFonts w:eastAsia="Times New Roman"/>
          <w:lang w:val="en-AU"/>
        </w:rPr>
      </w:pPr>
    </w:p>
    <w:p w14:paraId="15407E93" w14:textId="153AE132" w:rsidR="00E66C85" w:rsidRPr="00E66C85" w:rsidRDefault="00BF4D96" w:rsidP="00E66C85">
      <w:pPr>
        <w:pStyle w:val="NoSpacing"/>
        <w:rPr>
          <w:rFonts w:eastAsia="Times New Roman"/>
          <w:lang w:val="en-AU"/>
        </w:rPr>
      </w:pPr>
      <w:r>
        <w:rPr>
          <w:rFonts w:eastAsia="Times New Roman"/>
          <w:lang w:val="en-AU"/>
        </w:rPr>
        <w:t xml:space="preserve">Microsoft </w:t>
      </w:r>
      <w:r w:rsidR="00E66C85">
        <w:rPr>
          <w:rFonts w:eastAsia="Times New Roman"/>
          <w:lang w:val="en-AU"/>
        </w:rPr>
        <w:t xml:space="preserve">would welcome the opportunity to provide further support and share resources on Dynamic Spectrum and TVWS technologies with the ACMA. </w:t>
      </w:r>
    </w:p>
    <w:p w14:paraId="66448B37" w14:textId="77777777" w:rsidR="008F4798" w:rsidRDefault="00E13530" w:rsidP="008869C4">
      <w:pPr>
        <w:pStyle w:val="NoSpacing"/>
        <w:pBdr>
          <w:bottom w:val="single" w:sz="6" w:space="1" w:color="auto"/>
        </w:pBdr>
        <w:rPr>
          <w:rFonts w:eastAsia="Times New Roman"/>
          <w:lang w:val="en-AU"/>
        </w:rPr>
      </w:pPr>
      <w:r>
        <w:rPr>
          <w:rFonts w:eastAsia="Times New Roman"/>
          <w:lang w:val="en-AU"/>
        </w:rPr>
        <w:t xml:space="preserve"> </w:t>
      </w:r>
    </w:p>
    <w:p w14:paraId="6E9DB790" w14:textId="77777777" w:rsidR="000F38D4" w:rsidRDefault="000F38D4" w:rsidP="008869C4">
      <w:pPr>
        <w:pStyle w:val="NoSpacing"/>
        <w:rPr>
          <w:rFonts w:eastAsia="Times New Roman"/>
          <w:lang w:val="en-AU"/>
        </w:rPr>
      </w:pPr>
    </w:p>
    <w:p w14:paraId="3397EF72" w14:textId="77777777" w:rsidR="00F91A25" w:rsidRDefault="00F91A25" w:rsidP="008869C4">
      <w:pPr>
        <w:pStyle w:val="NoSpacing"/>
      </w:pPr>
    </w:p>
    <w:sectPr w:rsidR="00F91A25" w:rsidSect="00382CA4">
      <w:foot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936DB" w14:textId="77777777" w:rsidR="0017009D" w:rsidRDefault="0017009D" w:rsidP="00382CA4">
      <w:pPr>
        <w:spacing w:after="0" w:line="240" w:lineRule="auto"/>
      </w:pPr>
      <w:r>
        <w:separator/>
      </w:r>
    </w:p>
    <w:p w14:paraId="04CA455C" w14:textId="77777777" w:rsidR="0017009D" w:rsidRDefault="0017009D"/>
  </w:endnote>
  <w:endnote w:type="continuationSeparator" w:id="0">
    <w:p w14:paraId="728A9E28" w14:textId="77777777" w:rsidR="0017009D" w:rsidRDefault="0017009D" w:rsidP="00382CA4">
      <w:pPr>
        <w:spacing w:after="0" w:line="240" w:lineRule="auto"/>
      </w:pPr>
      <w:r>
        <w:continuationSeparator/>
      </w:r>
    </w:p>
    <w:p w14:paraId="4AE26C14" w14:textId="77777777" w:rsidR="0017009D" w:rsidRDefault="001700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1672972"/>
      <w:docPartObj>
        <w:docPartGallery w:val="Page Numbers (Bottom of Page)"/>
        <w:docPartUnique/>
      </w:docPartObj>
    </w:sdtPr>
    <w:sdtEndPr/>
    <w:sdtContent>
      <w:sdt>
        <w:sdtPr>
          <w:id w:val="-1669238322"/>
          <w:docPartObj>
            <w:docPartGallery w:val="Page Numbers (Top of Page)"/>
            <w:docPartUnique/>
          </w:docPartObj>
        </w:sdtPr>
        <w:sdtEndPr/>
        <w:sdtContent>
          <w:p w14:paraId="34190AD5" w14:textId="068C1BFA" w:rsidR="007E7DE6" w:rsidRDefault="007E7DE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8339A">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8339A">
              <w:rPr>
                <w:b/>
                <w:bCs/>
                <w:noProof/>
              </w:rPr>
              <w:t>7</w:t>
            </w:r>
            <w:r>
              <w:rPr>
                <w:b/>
                <w:bCs/>
                <w:sz w:val="24"/>
                <w:szCs w:val="24"/>
              </w:rPr>
              <w:fldChar w:fldCharType="end"/>
            </w:r>
          </w:p>
        </w:sdtContent>
      </w:sdt>
    </w:sdtContent>
  </w:sdt>
  <w:p w14:paraId="3FC14F8A" w14:textId="77777777" w:rsidR="007E7DE6" w:rsidRDefault="007E7DE6">
    <w:pPr>
      <w:pStyle w:val="Footer"/>
    </w:pPr>
  </w:p>
  <w:p w14:paraId="761549E1" w14:textId="77777777" w:rsidR="007E7DE6" w:rsidRDefault="007E7D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597BA" w14:textId="77777777" w:rsidR="0017009D" w:rsidRDefault="0017009D" w:rsidP="00382CA4">
      <w:pPr>
        <w:spacing w:after="0" w:line="240" w:lineRule="auto"/>
      </w:pPr>
      <w:r>
        <w:separator/>
      </w:r>
    </w:p>
  </w:footnote>
  <w:footnote w:type="continuationSeparator" w:id="0">
    <w:p w14:paraId="57EC2D8E" w14:textId="77777777" w:rsidR="0017009D" w:rsidRDefault="0017009D" w:rsidP="00382CA4">
      <w:pPr>
        <w:spacing w:after="0" w:line="240" w:lineRule="auto"/>
      </w:pPr>
      <w:r>
        <w:continuationSeparator/>
      </w:r>
    </w:p>
    <w:p w14:paraId="1A9C8B49" w14:textId="77777777" w:rsidR="0017009D" w:rsidRDefault="0017009D"/>
  </w:footnote>
  <w:footnote w:id="1">
    <w:p w14:paraId="1310B67B" w14:textId="77777777" w:rsidR="000649F3" w:rsidRPr="00C800BC" w:rsidRDefault="000649F3" w:rsidP="000649F3">
      <w:pPr>
        <w:pStyle w:val="FootnoteText"/>
        <w:rPr>
          <w:sz w:val="18"/>
          <w:szCs w:val="18"/>
          <w:lang w:val="en-US"/>
        </w:rPr>
      </w:pPr>
      <w:r w:rsidRPr="00C800BC">
        <w:rPr>
          <w:rStyle w:val="FootnoteReference"/>
          <w:sz w:val="18"/>
          <w:szCs w:val="18"/>
        </w:rPr>
        <w:footnoteRef/>
      </w:r>
      <w:r w:rsidRPr="00C800BC">
        <w:rPr>
          <w:sz w:val="18"/>
          <w:szCs w:val="18"/>
        </w:rPr>
        <w:t xml:space="preserve"> </w:t>
      </w:r>
      <w:r w:rsidRPr="00C800BC">
        <w:rPr>
          <w:sz w:val="18"/>
          <w:szCs w:val="18"/>
          <w:lang w:val="en-US"/>
        </w:rPr>
        <w:t>Wi-Fi is a registered trademark of the Wi-Fi Alliance</w:t>
      </w:r>
    </w:p>
  </w:footnote>
  <w:footnote w:id="2">
    <w:p w14:paraId="123A22B0" w14:textId="77777777" w:rsidR="007E7DE6" w:rsidRPr="00C800BC" w:rsidRDefault="007E7DE6" w:rsidP="005A7498">
      <w:pPr>
        <w:pStyle w:val="NoSpacing"/>
        <w:rPr>
          <w:sz w:val="18"/>
          <w:szCs w:val="18"/>
        </w:rPr>
      </w:pPr>
      <w:r w:rsidRPr="00C800BC">
        <w:rPr>
          <w:rStyle w:val="FootnoteReference"/>
          <w:sz w:val="18"/>
          <w:szCs w:val="18"/>
        </w:rPr>
        <w:footnoteRef/>
      </w:r>
      <w:r w:rsidRPr="00C800BC">
        <w:rPr>
          <w:sz w:val="18"/>
          <w:szCs w:val="18"/>
        </w:rPr>
        <w:t xml:space="preserve"> Telecom Advisory Services, LLC (2014) Assessment of the Economic Value of Unlicensed Spectrum in the United States, </w:t>
      </w:r>
      <w:hyperlink r:id="rId1" w:history="1">
        <w:r w:rsidRPr="00C800BC">
          <w:rPr>
            <w:rStyle w:val="Hyperlink"/>
            <w:sz w:val="18"/>
            <w:szCs w:val="18"/>
          </w:rPr>
          <w:t>https://pdfs.semanticscholar.org/5d81/ff994b7cbc9ccc0d067f1e102b0409755bbb.pdf</w:t>
        </w:r>
      </w:hyperlink>
      <w:r w:rsidRPr="00C800BC">
        <w:rPr>
          <w:sz w:val="18"/>
          <w:szCs w:val="18"/>
        </w:rPr>
        <w:t xml:space="preserve"> </w:t>
      </w:r>
    </w:p>
  </w:footnote>
  <w:footnote w:id="3">
    <w:p w14:paraId="6DEEDC0C" w14:textId="418CB651" w:rsidR="007E7DE6" w:rsidRPr="00C800BC" w:rsidRDefault="007E7DE6">
      <w:pPr>
        <w:pStyle w:val="FootnoteText"/>
        <w:rPr>
          <w:sz w:val="18"/>
          <w:szCs w:val="18"/>
        </w:rPr>
      </w:pPr>
      <w:r w:rsidRPr="00C800BC">
        <w:rPr>
          <w:rStyle w:val="FootnoteReference"/>
          <w:sz w:val="18"/>
          <w:szCs w:val="18"/>
        </w:rPr>
        <w:footnoteRef/>
      </w:r>
      <w:r w:rsidRPr="00C800BC">
        <w:rPr>
          <w:sz w:val="18"/>
          <w:szCs w:val="18"/>
        </w:rPr>
        <w:t xml:space="preserve"> </w:t>
      </w:r>
      <w:r w:rsidR="00C800BC" w:rsidRPr="00C800BC">
        <w:rPr>
          <w:sz w:val="18"/>
          <w:szCs w:val="18"/>
        </w:rPr>
        <w:t xml:space="preserve">The regions studied were China, the US, and Europe. </w:t>
      </w:r>
      <w:r w:rsidRPr="00C800BC">
        <w:rPr>
          <w:sz w:val="18"/>
          <w:szCs w:val="18"/>
          <w:lang w:val="en-US"/>
        </w:rPr>
        <w:t>Wi-Fi Alliance</w:t>
      </w:r>
      <w:r w:rsidR="00C800BC" w:rsidRPr="00C800BC">
        <w:rPr>
          <w:sz w:val="18"/>
          <w:szCs w:val="18"/>
          <w:lang w:val="en-US"/>
        </w:rPr>
        <w:t xml:space="preserve"> (2017)</w:t>
      </w:r>
      <w:r w:rsidRPr="00C800BC">
        <w:rPr>
          <w:sz w:val="18"/>
          <w:szCs w:val="18"/>
          <w:lang w:val="en-US"/>
        </w:rPr>
        <w:t xml:space="preserve"> Additional unlicensed spectrum needed to deliver future Wi-Fi® connectivity, </w:t>
      </w:r>
      <w:hyperlink r:id="rId2" w:history="1">
        <w:r w:rsidRPr="00C800BC">
          <w:rPr>
            <w:rStyle w:val="Hyperlink"/>
            <w:sz w:val="18"/>
            <w:szCs w:val="18"/>
            <w:lang w:val="en-US"/>
          </w:rPr>
          <w:t>https://www.wi-fi.org/news-events/newsroom/additional-unlicensed-spectrum-needed-to-deliver-future-wi-fi-connectivity</w:t>
        </w:r>
      </w:hyperlink>
      <w:r w:rsidRPr="00C800BC">
        <w:rPr>
          <w:sz w:val="18"/>
          <w:szCs w:val="18"/>
          <w:lang w:val="en-US"/>
        </w:rPr>
        <w:t xml:space="preserve"> </w:t>
      </w:r>
      <w:r w:rsidRPr="00C800BC">
        <w:rPr>
          <w:sz w:val="18"/>
          <w:szCs w:val="18"/>
        </w:rPr>
        <w:t xml:space="preserve">  </w:t>
      </w:r>
    </w:p>
  </w:footnote>
  <w:footnote w:id="4">
    <w:p w14:paraId="52D61DE0" w14:textId="2E0DE283" w:rsidR="007E7DE6" w:rsidRPr="00C800BC" w:rsidRDefault="007E7DE6">
      <w:pPr>
        <w:pStyle w:val="FootnoteText"/>
        <w:rPr>
          <w:sz w:val="18"/>
          <w:szCs w:val="18"/>
          <w:lang w:val="en-US"/>
        </w:rPr>
      </w:pPr>
      <w:r w:rsidRPr="00C800BC">
        <w:rPr>
          <w:rStyle w:val="FootnoteReference"/>
          <w:sz w:val="18"/>
          <w:szCs w:val="18"/>
        </w:rPr>
        <w:footnoteRef/>
      </w:r>
      <w:r w:rsidRPr="00C800BC">
        <w:rPr>
          <w:sz w:val="18"/>
          <w:szCs w:val="18"/>
        </w:rPr>
        <w:t xml:space="preserve"> </w:t>
      </w:r>
      <w:r w:rsidRPr="00C800BC">
        <w:rPr>
          <w:sz w:val="18"/>
          <w:szCs w:val="18"/>
          <w:lang w:val="en-US"/>
        </w:rPr>
        <w:t xml:space="preserve">ACMA </w:t>
      </w:r>
      <w:r w:rsidR="005A5CCB">
        <w:rPr>
          <w:sz w:val="18"/>
          <w:szCs w:val="18"/>
          <w:lang w:val="en-US"/>
        </w:rPr>
        <w:t xml:space="preserve">(2017) 3.6 GHz Band Options Paper, Figure 11. </w:t>
      </w:r>
      <w:hyperlink r:id="rId3" w:history="1">
        <w:r w:rsidR="005A5CCB" w:rsidRPr="00B77BC3">
          <w:rPr>
            <w:rStyle w:val="Hyperlink"/>
            <w:sz w:val="18"/>
            <w:szCs w:val="18"/>
            <w:lang w:val="en-US"/>
          </w:rPr>
          <w:t>http://www.acma.gov.au/theACMA/~/media/8C4B47BE6C4B48EC860D24B8ED058D31.ashx</w:t>
        </w:r>
      </w:hyperlink>
      <w:r w:rsidR="005A5CCB">
        <w:rPr>
          <w:sz w:val="18"/>
          <w:szCs w:val="18"/>
          <w:lang w:val="en-US"/>
        </w:rPr>
        <w:t xml:space="preserve"> </w:t>
      </w:r>
    </w:p>
  </w:footnote>
  <w:footnote w:id="5">
    <w:p w14:paraId="4086F1D0" w14:textId="77777777" w:rsidR="007E7DE6" w:rsidRPr="00C800BC" w:rsidRDefault="007E7DE6" w:rsidP="00953B5C">
      <w:pPr>
        <w:pStyle w:val="FootnoteText"/>
        <w:rPr>
          <w:sz w:val="18"/>
          <w:szCs w:val="18"/>
          <w:lang w:val="en-US"/>
        </w:rPr>
      </w:pPr>
      <w:r w:rsidRPr="00C800BC">
        <w:rPr>
          <w:rStyle w:val="FootnoteReference"/>
          <w:sz w:val="18"/>
          <w:szCs w:val="18"/>
        </w:rPr>
        <w:footnoteRef/>
      </w:r>
      <w:r w:rsidRPr="00C800BC">
        <w:rPr>
          <w:sz w:val="18"/>
          <w:szCs w:val="18"/>
        </w:rPr>
        <w:t xml:space="preserve"> </w:t>
      </w:r>
      <w:r w:rsidRPr="00C800BC">
        <w:rPr>
          <w:sz w:val="18"/>
          <w:szCs w:val="18"/>
          <w:lang w:val="en-US"/>
        </w:rPr>
        <w:t xml:space="preserve">FCC (2014) FCC Increases 5GHz Spectrum for Wi-Fi, Other Unlicensed Uses, </w:t>
      </w:r>
      <w:hyperlink r:id="rId4" w:history="1">
        <w:r w:rsidRPr="00C800BC">
          <w:rPr>
            <w:rStyle w:val="Hyperlink"/>
            <w:sz w:val="18"/>
            <w:szCs w:val="18"/>
            <w:lang w:val="en-US"/>
          </w:rPr>
          <w:t>https://www.fcc.gov/document/fcc-increases-5ghz-spectrum-wi-fi-other-unlicensed-uses</w:t>
        </w:r>
      </w:hyperlink>
      <w:r w:rsidRPr="00C800BC">
        <w:rPr>
          <w:sz w:val="18"/>
          <w:szCs w:val="18"/>
          <w:lang w:val="en-US"/>
        </w:rPr>
        <w:t xml:space="preserve"> </w:t>
      </w:r>
    </w:p>
  </w:footnote>
  <w:footnote w:id="6">
    <w:p w14:paraId="13F79434" w14:textId="77777777" w:rsidR="007E7DE6" w:rsidRPr="00C800BC" w:rsidRDefault="007E7DE6" w:rsidP="00953B5C">
      <w:pPr>
        <w:pStyle w:val="FootnoteText"/>
        <w:rPr>
          <w:sz w:val="18"/>
          <w:szCs w:val="18"/>
          <w:lang w:val="en-US"/>
        </w:rPr>
      </w:pPr>
      <w:r w:rsidRPr="00C800BC">
        <w:rPr>
          <w:rStyle w:val="FootnoteReference"/>
          <w:sz w:val="18"/>
          <w:szCs w:val="18"/>
        </w:rPr>
        <w:footnoteRef/>
      </w:r>
      <w:r w:rsidRPr="00C800BC">
        <w:rPr>
          <w:sz w:val="18"/>
          <w:szCs w:val="18"/>
        </w:rPr>
        <w:t xml:space="preserve"> </w:t>
      </w:r>
      <w:r w:rsidRPr="00C800BC">
        <w:rPr>
          <w:sz w:val="18"/>
          <w:szCs w:val="18"/>
          <w:lang w:val="en-US"/>
        </w:rPr>
        <w:t xml:space="preserve">Ofcom (2017) Improving spectrum access for consumers in the 5 GHz band, </w:t>
      </w:r>
      <w:hyperlink r:id="rId5" w:history="1">
        <w:r w:rsidRPr="00C800BC">
          <w:rPr>
            <w:rStyle w:val="Hyperlink"/>
            <w:sz w:val="18"/>
            <w:szCs w:val="18"/>
            <w:lang w:val="en-US"/>
          </w:rPr>
          <w:t>https://www.ofcom.org.uk/consultations-and-statements/category-1/5-GHz-Wi-Fi</w:t>
        </w:r>
      </w:hyperlink>
      <w:r w:rsidRPr="00C800BC">
        <w:rPr>
          <w:sz w:val="18"/>
          <w:szCs w:val="18"/>
          <w:lang w:val="en-US"/>
        </w:rPr>
        <w:t xml:space="preserve"> </w:t>
      </w:r>
    </w:p>
  </w:footnote>
  <w:footnote w:id="7">
    <w:p w14:paraId="3AACE11E" w14:textId="77777777" w:rsidR="00AB1A64" w:rsidRPr="00C800BC" w:rsidRDefault="00AB1A64" w:rsidP="00AB1A64">
      <w:pPr>
        <w:pStyle w:val="FootnoteText"/>
        <w:rPr>
          <w:sz w:val="18"/>
          <w:szCs w:val="18"/>
        </w:rPr>
      </w:pPr>
      <w:r w:rsidRPr="00C800BC">
        <w:rPr>
          <w:rStyle w:val="FootnoteReference"/>
          <w:sz w:val="18"/>
          <w:szCs w:val="18"/>
        </w:rPr>
        <w:footnoteRef/>
      </w:r>
      <w:r w:rsidRPr="00C800BC">
        <w:rPr>
          <w:sz w:val="18"/>
          <w:szCs w:val="18"/>
        </w:rPr>
        <w:t xml:space="preserve"> </w:t>
      </w:r>
      <w:r w:rsidRPr="00C800BC">
        <w:rPr>
          <w:sz w:val="18"/>
          <w:szCs w:val="18"/>
          <w:lang w:val="en-US"/>
        </w:rPr>
        <w:t xml:space="preserve">Microsoft (2017) A Rural Broadband Strategy, Connecting Rural America to New Opportunities, </w:t>
      </w:r>
      <w:hyperlink r:id="rId6" w:history="1">
        <w:r w:rsidRPr="00C800BC">
          <w:rPr>
            <w:rStyle w:val="Hyperlink"/>
            <w:sz w:val="18"/>
            <w:szCs w:val="18"/>
            <w:lang w:val="en-US"/>
          </w:rPr>
          <w:t>https://msblob.blob.core.windows.net/ncmedia/2017/07/Rural-Broadband-Strategy-Microsoft-Whitepaper-FINAL-7-10-17.pdf</w:t>
        </w:r>
      </w:hyperlink>
    </w:p>
  </w:footnote>
  <w:footnote w:id="8">
    <w:p w14:paraId="5B7706F3" w14:textId="77777777" w:rsidR="007E7DE6" w:rsidRPr="00C800BC" w:rsidRDefault="007E7DE6">
      <w:pPr>
        <w:pStyle w:val="FootnoteText"/>
        <w:rPr>
          <w:sz w:val="18"/>
          <w:szCs w:val="18"/>
          <w:lang w:val="en-US"/>
        </w:rPr>
      </w:pPr>
      <w:r w:rsidRPr="00C800BC">
        <w:rPr>
          <w:rStyle w:val="FootnoteReference"/>
          <w:sz w:val="18"/>
          <w:szCs w:val="18"/>
        </w:rPr>
        <w:footnoteRef/>
      </w:r>
      <w:r w:rsidRPr="00C800BC">
        <w:rPr>
          <w:sz w:val="18"/>
          <w:szCs w:val="18"/>
        </w:rPr>
        <w:t xml:space="preserve"> </w:t>
      </w:r>
      <w:r w:rsidRPr="00C800BC">
        <w:rPr>
          <w:sz w:val="18"/>
          <w:szCs w:val="18"/>
          <w:lang w:val="en-US"/>
        </w:rPr>
        <w:t xml:space="preserve">Microsoft (2017) A Rural Broadband Strategy, Connecting Rural America to New Opportunities, </w:t>
      </w:r>
      <w:hyperlink r:id="rId7" w:history="1">
        <w:r w:rsidRPr="00C800BC">
          <w:rPr>
            <w:rStyle w:val="Hyperlink"/>
            <w:sz w:val="18"/>
            <w:szCs w:val="18"/>
            <w:lang w:val="en-US"/>
          </w:rPr>
          <w:t>https://msblob.blob.core.windows.net/ncmedia/2017/07/Rural-Broadband-Strategy-Microsoft-Whitepaper-FINAL-7-10-17.pdf</w:t>
        </w:r>
      </w:hyperlink>
      <w:r w:rsidRPr="00C800BC">
        <w:rPr>
          <w:sz w:val="18"/>
          <w:szCs w:val="18"/>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935E5"/>
    <w:multiLevelType w:val="multilevel"/>
    <w:tmpl w:val="96605F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A82183C"/>
    <w:multiLevelType w:val="hybridMultilevel"/>
    <w:tmpl w:val="C0588E34"/>
    <w:lvl w:ilvl="0" w:tplc="48090005">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53745EE1"/>
    <w:multiLevelType w:val="multilevel"/>
    <w:tmpl w:val="525849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C6C62FA"/>
    <w:multiLevelType w:val="hybridMultilevel"/>
    <w:tmpl w:val="BE5C875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68140CA4"/>
    <w:multiLevelType w:val="multilevel"/>
    <w:tmpl w:val="2D86F3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95C2F04"/>
    <w:multiLevelType w:val="hybridMultilevel"/>
    <w:tmpl w:val="755CEA1A"/>
    <w:lvl w:ilvl="0" w:tplc="22349B9E">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6A4E0E5B"/>
    <w:multiLevelType w:val="multilevel"/>
    <w:tmpl w:val="E72C14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9C4"/>
    <w:rsid w:val="0001512F"/>
    <w:rsid w:val="0003299B"/>
    <w:rsid w:val="000613DB"/>
    <w:rsid w:val="000649F3"/>
    <w:rsid w:val="00070FDB"/>
    <w:rsid w:val="000740A8"/>
    <w:rsid w:val="0008757A"/>
    <w:rsid w:val="000A4258"/>
    <w:rsid w:val="000D1F9D"/>
    <w:rsid w:val="000D641F"/>
    <w:rsid w:val="000F38D4"/>
    <w:rsid w:val="0012225A"/>
    <w:rsid w:val="0014664B"/>
    <w:rsid w:val="0017009D"/>
    <w:rsid w:val="00170331"/>
    <w:rsid w:val="00187BAB"/>
    <w:rsid w:val="0019448E"/>
    <w:rsid w:val="001C26DB"/>
    <w:rsid w:val="001D5714"/>
    <w:rsid w:val="001E31DE"/>
    <w:rsid w:val="001E64C3"/>
    <w:rsid w:val="001F3843"/>
    <w:rsid w:val="0020290F"/>
    <w:rsid w:val="00202C9B"/>
    <w:rsid w:val="00205F2D"/>
    <w:rsid w:val="002152E1"/>
    <w:rsid w:val="002210E9"/>
    <w:rsid w:val="002234B2"/>
    <w:rsid w:val="00231E8F"/>
    <w:rsid w:val="002463F4"/>
    <w:rsid w:val="00285083"/>
    <w:rsid w:val="002A64A5"/>
    <w:rsid w:val="002B09DB"/>
    <w:rsid w:val="002B6A91"/>
    <w:rsid w:val="002D4843"/>
    <w:rsid w:val="002E5A0E"/>
    <w:rsid w:val="00321DEE"/>
    <w:rsid w:val="00326A0D"/>
    <w:rsid w:val="003356BB"/>
    <w:rsid w:val="003505EE"/>
    <w:rsid w:val="003744AA"/>
    <w:rsid w:val="00382CA4"/>
    <w:rsid w:val="00384178"/>
    <w:rsid w:val="003A4BE6"/>
    <w:rsid w:val="00413D4C"/>
    <w:rsid w:val="0042614A"/>
    <w:rsid w:val="0044094D"/>
    <w:rsid w:val="00460266"/>
    <w:rsid w:val="0048477A"/>
    <w:rsid w:val="004C05E7"/>
    <w:rsid w:val="004C3305"/>
    <w:rsid w:val="004D194A"/>
    <w:rsid w:val="004D237C"/>
    <w:rsid w:val="004E1559"/>
    <w:rsid w:val="004F20C8"/>
    <w:rsid w:val="005157D0"/>
    <w:rsid w:val="00564739"/>
    <w:rsid w:val="00572B31"/>
    <w:rsid w:val="005A5CCB"/>
    <w:rsid w:val="005A7498"/>
    <w:rsid w:val="005B4026"/>
    <w:rsid w:val="005B46C7"/>
    <w:rsid w:val="006040CA"/>
    <w:rsid w:val="006361C0"/>
    <w:rsid w:val="00645C37"/>
    <w:rsid w:val="00650C2C"/>
    <w:rsid w:val="00686E20"/>
    <w:rsid w:val="006B2300"/>
    <w:rsid w:val="006B47A1"/>
    <w:rsid w:val="006C52DD"/>
    <w:rsid w:val="006D5220"/>
    <w:rsid w:val="006F3192"/>
    <w:rsid w:val="00734DF5"/>
    <w:rsid w:val="00740151"/>
    <w:rsid w:val="00774C25"/>
    <w:rsid w:val="00775070"/>
    <w:rsid w:val="0078721C"/>
    <w:rsid w:val="007B0772"/>
    <w:rsid w:val="007B44AE"/>
    <w:rsid w:val="007E3A58"/>
    <w:rsid w:val="007E688F"/>
    <w:rsid w:val="007E7DE6"/>
    <w:rsid w:val="00822EE4"/>
    <w:rsid w:val="00824A98"/>
    <w:rsid w:val="00866C15"/>
    <w:rsid w:val="008869C4"/>
    <w:rsid w:val="008E09F1"/>
    <w:rsid w:val="008F4798"/>
    <w:rsid w:val="0091034B"/>
    <w:rsid w:val="00943CD1"/>
    <w:rsid w:val="00953B5C"/>
    <w:rsid w:val="00965AEA"/>
    <w:rsid w:val="009949E8"/>
    <w:rsid w:val="009C3E49"/>
    <w:rsid w:val="009E60C0"/>
    <w:rsid w:val="009F5818"/>
    <w:rsid w:val="009F75C8"/>
    <w:rsid w:val="00A14580"/>
    <w:rsid w:val="00A71B76"/>
    <w:rsid w:val="00AA61ED"/>
    <w:rsid w:val="00AB1A64"/>
    <w:rsid w:val="00AE6F97"/>
    <w:rsid w:val="00AF08A3"/>
    <w:rsid w:val="00B1123B"/>
    <w:rsid w:val="00B262C9"/>
    <w:rsid w:val="00B6072B"/>
    <w:rsid w:val="00B6372C"/>
    <w:rsid w:val="00B727C8"/>
    <w:rsid w:val="00BA125D"/>
    <w:rsid w:val="00BC7D64"/>
    <w:rsid w:val="00BE627F"/>
    <w:rsid w:val="00BF4D96"/>
    <w:rsid w:val="00C02387"/>
    <w:rsid w:val="00C6114C"/>
    <w:rsid w:val="00C620A7"/>
    <w:rsid w:val="00C6799D"/>
    <w:rsid w:val="00C800BC"/>
    <w:rsid w:val="00CC1860"/>
    <w:rsid w:val="00CC538D"/>
    <w:rsid w:val="00CD4AEC"/>
    <w:rsid w:val="00CE3927"/>
    <w:rsid w:val="00D148E8"/>
    <w:rsid w:val="00D275A7"/>
    <w:rsid w:val="00D4668F"/>
    <w:rsid w:val="00D65671"/>
    <w:rsid w:val="00D713F9"/>
    <w:rsid w:val="00D904E8"/>
    <w:rsid w:val="00DB14D7"/>
    <w:rsid w:val="00DC1870"/>
    <w:rsid w:val="00DE2002"/>
    <w:rsid w:val="00DE2B8C"/>
    <w:rsid w:val="00DF567F"/>
    <w:rsid w:val="00E0077D"/>
    <w:rsid w:val="00E13530"/>
    <w:rsid w:val="00E21D46"/>
    <w:rsid w:val="00E3798B"/>
    <w:rsid w:val="00E50EBC"/>
    <w:rsid w:val="00E52B8A"/>
    <w:rsid w:val="00E57F58"/>
    <w:rsid w:val="00E66C85"/>
    <w:rsid w:val="00E675EA"/>
    <w:rsid w:val="00E976E5"/>
    <w:rsid w:val="00EB6803"/>
    <w:rsid w:val="00ED1B0A"/>
    <w:rsid w:val="00ED1F53"/>
    <w:rsid w:val="00ED56ED"/>
    <w:rsid w:val="00EF1FB6"/>
    <w:rsid w:val="00EF5DDA"/>
    <w:rsid w:val="00F04511"/>
    <w:rsid w:val="00F20EF4"/>
    <w:rsid w:val="00F43EAD"/>
    <w:rsid w:val="00F5094B"/>
    <w:rsid w:val="00F50C1D"/>
    <w:rsid w:val="00F55BAF"/>
    <w:rsid w:val="00F5739C"/>
    <w:rsid w:val="00F8339A"/>
    <w:rsid w:val="00F91A25"/>
    <w:rsid w:val="00FA1F81"/>
    <w:rsid w:val="00FA2196"/>
    <w:rsid w:val="00FB7979"/>
    <w:rsid w:val="00FD0896"/>
    <w:rsid w:val="00FE6D73"/>
    <w:rsid w:val="00FE6FBA"/>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4C897"/>
  <w15:docId w15:val="{F656AD03-21F6-411E-8623-26D22F15D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69C4"/>
  </w:style>
  <w:style w:type="paragraph" w:styleId="Heading1">
    <w:name w:val="heading 1"/>
    <w:basedOn w:val="Normal"/>
    <w:next w:val="Normal"/>
    <w:link w:val="Heading1Char"/>
    <w:uiPriority w:val="9"/>
    <w:qFormat/>
    <w:rsid w:val="008869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869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869C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0077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0077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0077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0077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0077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0077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9C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869C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869C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0077D"/>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unhideWhenUsed/>
    <w:rsid w:val="00E0077D"/>
    <w:pPr>
      <w:spacing w:after="100"/>
    </w:pPr>
  </w:style>
  <w:style w:type="paragraph" w:styleId="TOC2">
    <w:name w:val="toc 2"/>
    <w:basedOn w:val="Normal"/>
    <w:next w:val="Normal"/>
    <w:autoRedefine/>
    <w:uiPriority w:val="39"/>
    <w:unhideWhenUsed/>
    <w:rsid w:val="00DC1870"/>
    <w:pPr>
      <w:tabs>
        <w:tab w:val="right" w:leader="dot" w:pos="9016"/>
      </w:tabs>
      <w:spacing w:after="100"/>
    </w:pPr>
  </w:style>
  <w:style w:type="paragraph" w:styleId="TOC3">
    <w:name w:val="toc 3"/>
    <w:basedOn w:val="Normal"/>
    <w:next w:val="Normal"/>
    <w:autoRedefine/>
    <w:uiPriority w:val="39"/>
    <w:unhideWhenUsed/>
    <w:rsid w:val="00E0077D"/>
    <w:pPr>
      <w:spacing w:after="100"/>
      <w:ind w:left="440"/>
    </w:pPr>
  </w:style>
  <w:style w:type="character" w:styleId="Strong">
    <w:name w:val="Strong"/>
    <w:basedOn w:val="DefaultParagraphFont"/>
    <w:uiPriority w:val="22"/>
    <w:qFormat/>
    <w:rsid w:val="00E0077D"/>
    <w:rPr>
      <w:b/>
      <w:bCs/>
    </w:rPr>
  </w:style>
  <w:style w:type="paragraph" w:styleId="NoSpacing">
    <w:name w:val="No Spacing"/>
    <w:link w:val="NoSpacingChar"/>
    <w:uiPriority w:val="1"/>
    <w:qFormat/>
    <w:rsid w:val="00E0077D"/>
    <w:pPr>
      <w:spacing w:after="0" w:line="240" w:lineRule="auto"/>
    </w:pPr>
  </w:style>
  <w:style w:type="character" w:customStyle="1" w:styleId="NoSpacingChar">
    <w:name w:val="No Spacing Char"/>
    <w:basedOn w:val="DefaultParagraphFont"/>
    <w:link w:val="NoSpacing"/>
    <w:uiPriority w:val="1"/>
    <w:rsid w:val="00E0077D"/>
  </w:style>
  <w:style w:type="paragraph" w:styleId="ListParagraph">
    <w:name w:val="List Paragraph"/>
    <w:basedOn w:val="Normal"/>
    <w:uiPriority w:val="34"/>
    <w:qFormat/>
    <w:rsid w:val="008869C4"/>
    <w:pPr>
      <w:ind w:left="720"/>
      <w:contextualSpacing/>
    </w:pPr>
  </w:style>
  <w:style w:type="paragraph" w:styleId="Quote">
    <w:name w:val="Quote"/>
    <w:basedOn w:val="Normal"/>
    <w:next w:val="Normal"/>
    <w:link w:val="QuoteChar"/>
    <w:uiPriority w:val="29"/>
    <w:qFormat/>
    <w:rsid w:val="00E0077D"/>
    <w:rPr>
      <w:i/>
      <w:iCs/>
      <w:color w:val="000000" w:themeColor="text1"/>
    </w:rPr>
  </w:style>
  <w:style w:type="character" w:customStyle="1" w:styleId="QuoteChar">
    <w:name w:val="Quote Char"/>
    <w:basedOn w:val="DefaultParagraphFont"/>
    <w:link w:val="Quote"/>
    <w:uiPriority w:val="29"/>
    <w:rsid w:val="00E0077D"/>
    <w:rPr>
      <w:i/>
      <w:iCs/>
      <w:color w:val="000000" w:themeColor="text1"/>
    </w:rPr>
  </w:style>
  <w:style w:type="paragraph" w:styleId="TOCHeading">
    <w:name w:val="TOC Heading"/>
    <w:basedOn w:val="Heading1"/>
    <w:next w:val="Normal"/>
    <w:uiPriority w:val="39"/>
    <w:semiHidden/>
    <w:unhideWhenUsed/>
    <w:qFormat/>
    <w:rsid w:val="00E0077D"/>
    <w:pPr>
      <w:outlineLvl w:val="9"/>
    </w:pPr>
  </w:style>
  <w:style w:type="character" w:customStyle="1" w:styleId="Heading5Char">
    <w:name w:val="Heading 5 Char"/>
    <w:basedOn w:val="DefaultParagraphFont"/>
    <w:link w:val="Heading5"/>
    <w:uiPriority w:val="9"/>
    <w:semiHidden/>
    <w:rsid w:val="00E0077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0077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0077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0077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0077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E0077D"/>
    <w:pPr>
      <w:spacing w:after="200" w:line="240" w:lineRule="auto"/>
    </w:pPr>
    <w:rPr>
      <w:b/>
      <w:bCs/>
      <w:color w:val="4F81BD" w:themeColor="accent1"/>
      <w:sz w:val="18"/>
      <w:szCs w:val="18"/>
    </w:rPr>
  </w:style>
  <w:style w:type="paragraph" w:styleId="Title">
    <w:name w:val="Title"/>
    <w:basedOn w:val="Normal"/>
    <w:next w:val="Normal"/>
    <w:link w:val="TitleChar"/>
    <w:uiPriority w:val="10"/>
    <w:qFormat/>
    <w:rsid w:val="00E007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077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077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0077D"/>
    <w:rPr>
      <w:rFonts w:asciiTheme="majorHAnsi" w:eastAsiaTheme="majorEastAsia" w:hAnsiTheme="majorHAnsi" w:cstheme="majorBidi"/>
      <w:i/>
      <w:iCs/>
      <w:color w:val="4F81BD" w:themeColor="accent1"/>
      <w:spacing w:val="15"/>
      <w:sz w:val="24"/>
      <w:szCs w:val="24"/>
    </w:rPr>
  </w:style>
  <w:style w:type="character" w:styleId="Emphasis">
    <w:name w:val="Emphasis"/>
    <w:uiPriority w:val="20"/>
    <w:qFormat/>
    <w:rsid w:val="00E0077D"/>
    <w:rPr>
      <w:i/>
      <w:iCs/>
    </w:rPr>
  </w:style>
  <w:style w:type="paragraph" w:styleId="IntenseQuote">
    <w:name w:val="Intense Quote"/>
    <w:basedOn w:val="Normal"/>
    <w:next w:val="Normal"/>
    <w:link w:val="IntenseQuoteChar"/>
    <w:uiPriority w:val="30"/>
    <w:qFormat/>
    <w:rsid w:val="00E0077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077D"/>
    <w:rPr>
      <w:b/>
      <w:bCs/>
      <w:i/>
      <w:iCs/>
      <w:color w:val="4F81BD" w:themeColor="accent1"/>
    </w:rPr>
  </w:style>
  <w:style w:type="character" w:styleId="SubtleEmphasis">
    <w:name w:val="Subtle Emphasis"/>
    <w:uiPriority w:val="19"/>
    <w:qFormat/>
    <w:rsid w:val="00E0077D"/>
    <w:rPr>
      <w:i/>
      <w:iCs/>
      <w:color w:val="808080" w:themeColor="text1" w:themeTint="7F"/>
    </w:rPr>
  </w:style>
  <w:style w:type="character" w:styleId="IntenseEmphasis">
    <w:name w:val="Intense Emphasis"/>
    <w:uiPriority w:val="21"/>
    <w:qFormat/>
    <w:rsid w:val="00E0077D"/>
    <w:rPr>
      <w:b/>
      <w:bCs/>
      <w:i/>
      <w:iCs/>
      <w:color w:val="4F81BD" w:themeColor="accent1"/>
    </w:rPr>
  </w:style>
  <w:style w:type="character" w:styleId="SubtleReference">
    <w:name w:val="Subtle Reference"/>
    <w:uiPriority w:val="31"/>
    <w:qFormat/>
    <w:rsid w:val="00E0077D"/>
    <w:rPr>
      <w:smallCaps/>
      <w:color w:val="C0504D" w:themeColor="accent2"/>
      <w:u w:val="single"/>
    </w:rPr>
  </w:style>
  <w:style w:type="character" w:styleId="IntenseReference">
    <w:name w:val="Intense Reference"/>
    <w:uiPriority w:val="32"/>
    <w:qFormat/>
    <w:rsid w:val="00E0077D"/>
    <w:rPr>
      <w:b/>
      <w:bCs/>
      <w:smallCaps/>
      <w:color w:val="C0504D" w:themeColor="accent2"/>
      <w:spacing w:val="5"/>
      <w:u w:val="single"/>
    </w:rPr>
  </w:style>
  <w:style w:type="character" w:styleId="BookTitle">
    <w:name w:val="Book Title"/>
    <w:uiPriority w:val="33"/>
    <w:qFormat/>
    <w:rsid w:val="00E0077D"/>
    <w:rPr>
      <w:b/>
      <w:bCs/>
      <w:smallCaps/>
      <w:spacing w:val="5"/>
    </w:rPr>
  </w:style>
  <w:style w:type="paragraph" w:styleId="FootnoteText">
    <w:name w:val="footnote text"/>
    <w:link w:val="FootnoteTextChar"/>
    <w:autoRedefine/>
    <w:uiPriority w:val="99"/>
    <w:unhideWhenUsed/>
    <w:qFormat/>
    <w:rsid w:val="00E0077D"/>
    <w:pPr>
      <w:spacing w:after="0" w:line="240" w:lineRule="auto"/>
    </w:pPr>
    <w:rPr>
      <w:color w:val="000000" w:themeColor="text1"/>
      <w:sz w:val="20"/>
      <w:szCs w:val="20"/>
      <w:shd w:val="clear" w:color="auto" w:fill="FFFFFF" w:themeFill="background1"/>
    </w:rPr>
  </w:style>
  <w:style w:type="character" w:customStyle="1" w:styleId="FootnoteTextChar">
    <w:name w:val="Footnote Text Char"/>
    <w:basedOn w:val="DefaultParagraphFont"/>
    <w:link w:val="FootnoteText"/>
    <w:uiPriority w:val="99"/>
    <w:rsid w:val="00E0077D"/>
    <w:rPr>
      <w:color w:val="000000" w:themeColor="text1"/>
      <w:sz w:val="20"/>
      <w:szCs w:val="20"/>
    </w:rPr>
  </w:style>
  <w:style w:type="paragraph" w:styleId="BalloonText">
    <w:name w:val="Balloon Text"/>
    <w:basedOn w:val="Normal"/>
    <w:link w:val="BalloonTextChar"/>
    <w:uiPriority w:val="99"/>
    <w:semiHidden/>
    <w:unhideWhenUsed/>
    <w:rsid w:val="008869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9C4"/>
    <w:rPr>
      <w:rFonts w:ascii="Tahoma" w:hAnsi="Tahoma" w:cs="Tahoma"/>
      <w:sz w:val="16"/>
      <w:szCs w:val="16"/>
    </w:rPr>
  </w:style>
  <w:style w:type="character" w:styleId="Hyperlink">
    <w:name w:val="Hyperlink"/>
    <w:basedOn w:val="DefaultParagraphFont"/>
    <w:uiPriority w:val="99"/>
    <w:unhideWhenUsed/>
    <w:rsid w:val="00F91A25"/>
    <w:rPr>
      <w:color w:val="0000FF" w:themeColor="hyperlink"/>
      <w:u w:val="single"/>
    </w:rPr>
  </w:style>
  <w:style w:type="paragraph" w:styleId="Header">
    <w:name w:val="header"/>
    <w:basedOn w:val="Normal"/>
    <w:link w:val="HeaderChar"/>
    <w:uiPriority w:val="99"/>
    <w:unhideWhenUsed/>
    <w:rsid w:val="00382C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2CA4"/>
  </w:style>
  <w:style w:type="paragraph" w:styleId="Footer">
    <w:name w:val="footer"/>
    <w:basedOn w:val="Normal"/>
    <w:link w:val="FooterChar"/>
    <w:uiPriority w:val="99"/>
    <w:unhideWhenUsed/>
    <w:rsid w:val="00382C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2CA4"/>
  </w:style>
  <w:style w:type="character" w:styleId="FootnoteReference">
    <w:name w:val="footnote reference"/>
    <w:basedOn w:val="DefaultParagraphFont"/>
    <w:uiPriority w:val="99"/>
    <w:semiHidden/>
    <w:unhideWhenUsed/>
    <w:rsid w:val="00FE6D73"/>
    <w:rPr>
      <w:vertAlign w:val="superscript"/>
    </w:rPr>
  </w:style>
  <w:style w:type="character" w:styleId="CommentReference">
    <w:name w:val="annotation reference"/>
    <w:basedOn w:val="DefaultParagraphFont"/>
    <w:uiPriority w:val="99"/>
    <w:semiHidden/>
    <w:unhideWhenUsed/>
    <w:rsid w:val="00C6799D"/>
    <w:rPr>
      <w:sz w:val="16"/>
      <w:szCs w:val="16"/>
    </w:rPr>
  </w:style>
  <w:style w:type="paragraph" w:styleId="CommentText">
    <w:name w:val="annotation text"/>
    <w:basedOn w:val="Normal"/>
    <w:link w:val="CommentTextChar"/>
    <w:uiPriority w:val="99"/>
    <w:semiHidden/>
    <w:unhideWhenUsed/>
    <w:rsid w:val="00C6799D"/>
    <w:pPr>
      <w:spacing w:line="240" w:lineRule="auto"/>
    </w:pPr>
    <w:rPr>
      <w:sz w:val="20"/>
      <w:szCs w:val="20"/>
    </w:rPr>
  </w:style>
  <w:style w:type="character" w:customStyle="1" w:styleId="CommentTextChar">
    <w:name w:val="Comment Text Char"/>
    <w:basedOn w:val="DefaultParagraphFont"/>
    <w:link w:val="CommentText"/>
    <w:uiPriority w:val="99"/>
    <w:semiHidden/>
    <w:rsid w:val="00C6799D"/>
    <w:rPr>
      <w:sz w:val="20"/>
      <w:szCs w:val="20"/>
    </w:rPr>
  </w:style>
  <w:style w:type="paragraph" w:styleId="CommentSubject">
    <w:name w:val="annotation subject"/>
    <w:basedOn w:val="CommentText"/>
    <w:next w:val="CommentText"/>
    <w:link w:val="CommentSubjectChar"/>
    <w:uiPriority w:val="99"/>
    <w:semiHidden/>
    <w:unhideWhenUsed/>
    <w:rsid w:val="00C6799D"/>
    <w:rPr>
      <w:b/>
      <w:bCs/>
    </w:rPr>
  </w:style>
  <w:style w:type="character" w:customStyle="1" w:styleId="CommentSubjectChar">
    <w:name w:val="Comment Subject Char"/>
    <w:basedOn w:val="CommentTextChar"/>
    <w:link w:val="CommentSubject"/>
    <w:uiPriority w:val="99"/>
    <w:semiHidden/>
    <w:rsid w:val="00C6799D"/>
    <w:rPr>
      <w:b/>
      <w:bCs/>
      <w:sz w:val="20"/>
      <w:szCs w:val="20"/>
    </w:rPr>
  </w:style>
  <w:style w:type="character" w:styleId="FollowedHyperlink">
    <w:name w:val="FollowedHyperlink"/>
    <w:basedOn w:val="DefaultParagraphFont"/>
    <w:uiPriority w:val="99"/>
    <w:semiHidden/>
    <w:unhideWhenUsed/>
    <w:rsid w:val="00AE6F97"/>
    <w:rPr>
      <w:color w:val="800080" w:themeColor="followedHyperlink"/>
      <w:u w:val="single"/>
    </w:rPr>
  </w:style>
  <w:style w:type="character" w:customStyle="1" w:styleId="Mention1">
    <w:name w:val="Mention1"/>
    <w:basedOn w:val="DefaultParagraphFont"/>
    <w:uiPriority w:val="99"/>
    <w:semiHidden/>
    <w:unhideWhenUsed/>
    <w:rsid w:val="00A14580"/>
    <w:rPr>
      <w:color w:val="2B579A"/>
      <w:shd w:val="clear" w:color="auto" w:fill="E6E6E6"/>
    </w:rPr>
  </w:style>
  <w:style w:type="paragraph" w:styleId="Revision">
    <w:name w:val="Revision"/>
    <w:hidden/>
    <w:uiPriority w:val="99"/>
    <w:semiHidden/>
    <w:rsid w:val="00572B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18929">
      <w:bodyDiv w:val="1"/>
      <w:marLeft w:val="0"/>
      <w:marRight w:val="0"/>
      <w:marTop w:val="0"/>
      <w:marBottom w:val="0"/>
      <w:divBdr>
        <w:top w:val="none" w:sz="0" w:space="0" w:color="auto"/>
        <w:left w:val="none" w:sz="0" w:space="0" w:color="auto"/>
        <w:bottom w:val="none" w:sz="0" w:space="0" w:color="auto"/>
        <w:right w:val="none" w:sz="0" w:space="0" w:color="auto"/>
      </w:divBdr>
      <w:divsChild>
        <w:div w:id="1352605928">
          <w:marLeft w:val="0"/>
          <w:marRight w:val="0"/>
          <w:marTop w:val="0"/>
          <w:marBottom w:val="0"/>
          <w:divBdr>
            <w:top w:val="none" w:sz="0" w:space="0" w:color="auto"/>
            <w:left w:val="none" w:sz="0" w:space="0" w:color="auto"/>
            <w:bottom w:val="none" w:sz="0" w:space="0" w:color="auto"/>
            <w:right w:val="none" w:sz="0" w:space="0" w:color="auto"/>
          </w:divBdr>
        </w:div>
      </w:divsChild>
    </w:div>
    <w:div w:id="217864121">
      <w:bodyDiv w:val="1"/>
      <w:marLeft w:val="0"/>
      <w:marRight w:val="0"/>
      <w:marTop w:val="0"/>
      <w:marBottom w:val="0"/>
      <w:divBdr>
        <w:top w:val="none" w:sz="0" w:space="0" w:color="auto"/>
        <w:left w:val="none" w:sz="0" w:space="0" w:color="auto"/>
        <w:bottom w:val="none" w:sz="0" w:space="0" w:color="auto"/>
        <w:right w:val="none" w:sz="0" w:space="0" w:color="auto"/>
      </w:divBdr>
    </w:div>
    <w:div w:id="428236238">
      <w:bodyDiv w:val="1"/>
      <w:marLeft w:val="0"/>
      <w:marRight w:val="0"/>
      <w:marTop w:val="0"/>
      <w:marBottom w:val="0"/>
      <w:divBdr>
        <w:top w:val="none" w:sz="0" w:space="0" w:color="auto"/>
        <w:left w:val="none" w:sz="0" w:space="0" w:color="auto"/>
        <w:bottom w:val="none" w:sz="0" w:space="0" w:color="auto"/>
        <w:right w:val="none" w:sz="0" w:space="0" w:color="auto"/>
      </w:divBdr>
    </w:div>
    <w:div w:id="440995186">
      <w:bodyDiv w:val="1"/>
      <w:marLeft w:val="0"/>
      <w:marRight w:val="0"/>
      <w:marTop w:val="0"/>
      <w:marBottom w:val="0"/>
      <w:divBdr>
        <w:top w:val="none" w:sz="0" w:space="0" w:color="auto"/>
        <w:left w:val="none" w:sz="0" w:space="0" w:color="auto"/>
        <w:bottom w:val="none" w:sz="0" w:space="0" w:color="auto"/>
        <w:right w:val="none" w:sz="0" w:space="0" w:color="auto"/>
      </w:divBdr>
    </w:div>
    <w:div w:id="481970985">
      <w:bodyDiv w:val="1"/>
      <w:marLeft w:val="0"/>
      <w:marRight w:val="0"/>
      <w:marTop w:val="0"/>
      <w:marBottom w:val="0"/>
      <w:divBdr>
        <w:top w:val="none" w:sz="0" w:space="0" w:color="auto"/>
        <w:left w:val="none" w:sz="0" w:space="0" w:color="auto"/>
        <w:bottom w:val="none" w:sz="0" w:space="0" w:color="auto"/>
        <w:right w:val="none" w:sz="0" w:space="0" w:color="auto"/>
      </w:divBdr>
    </w:div>
    <w:div w:id="528031828">
      <w:bodyDiv w:val="1"/>
      <w:marLeft w:val="0"/>
      <w:marRight w:val="0"/>
      <w:marTop w:val="0"/>
      <w:marBottom w:val="0"/>
      <w:divBdr>
        <w:top w:val="none" w:sz="0" w:space="0" w:color="auto"/>
        <w:left w:val="none" w:sz="0" w:space="0" w:color="auto"/>
        <w:bottom w:val="none" w:sz="0" w:space="0" w:color="auto"/>
        <w:right w:val="none" w:sz="0" w:space="0" w:color="auto"/>
      </w:divBdr>
    </w:div>
    <w:div w:id="1152679140">
      <w:bodyDiv w:val="1"/>
      <w:marLeft w:val="0"/>
      <w:marRight w:val="0"/>
      <w:marTop w:val="0"/>
      <w:marBottom w:val="0"/>
      <w:divBdr>
        <w:top w:val="none" w:sz="0" w:space="0" w:color="auto"/>
        <w:left w:val="none" w:sz="0" w:space="0" w:color="auto"/>
        <w:bottom w:val="none" w:sz="0" w:space="0" w:color="auto"/>
        <w:right w:val="none" w:sz="0" w:space="0" w:color="auto"/>
      </w:divBdr>
    </w:div>
    <w:div w:id="1241214454">
      <w:bodyDiv w:val="1"/>
      <w:marLeft w:val="0"/>
      <w:marRight w:val="0"/>
      <w:marTop w:val="0"/>
      <w:marBottom w:val="0"/>
      <w:divBdr>
        <w:top w:val="none" w:sz="0" w:space="0" w:color="auto"/>
        <w:left w:val="none" w:sz="0" w:space="0" w:color="auto"/>
        <w:bottom w:val="none" w:sz="0" w:space="0" w:color="auto"/>
        <w:right w:val="none" w:sz="0" w:space="0" w:color="auto"/>
      </w:divBdr>
    </w:div>
    <w:div w:id="1669557235">
      <w:bodyDiv w:val="1"/>
      <w:marLeft w:val="0"/>
      <w:marRight w:val="0"/>
      <w:marTop w:val="0"/>
      <w:marBottom w:val="0"/>
      <w:divBdr>
        <w:top w:val="none" w:sz="0" w:space="0" w:color="auto"/>
        <w:left w:val="none" w:sz="0" w:space="0" w:color="auto"/>
        <w:bottom w:val="none" w:sz="0" w:space="0" w:color="auto"/>
        <w:right w:val="none" w:sz="0" w:space="0" w:color="auto"/>
      </w:divBdr>
    </w:div>
    <w:div w:id="1792554712">
      <w:bodyDiv w:val="1"/>
      <w:marLeft w:val="0"/>
      <w:marRight w:val="0"/>
      <w:marTop w:val="0"/>
      <w:marBottom w:val="0"/>
      <w:divBdr>
        <w:top w:val="none" w:sz="0" w:space="0" w:color="auto"/>
        <w:left w:val="none" w:sz="0" w:space="0" w:color="auto"/>
        <w:bottom w:val="none" w:sz="0" w:space="0" w:color="auto"/>
        <w:right w:val="none" w:sz="0" w:space="0" w:color="auto"/>
      </w:divBdr>
    </w:div>
    <w:div w:id="201733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www.microsoft.com/en-au" TargetMode="External"/><Relationship Id="rId4" Type="http://schemas.openxmlformats.org/officeDocument/2006/relationships/settings" Target="settings.xml"/><Relationship Id="rId9" Type="http://schemas.openxmlformats.org/officeDocument/2006/relationships/hyperlink" Target="mailto:damaster@microsoft.com"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www.acma.gov.au/theACMA/~/media/8C4B47BE6C4B48EC860D24B8ED058D31.ashx" TargetMode="External"/><Relationship Id="rId7" Type="http://schemas.openxmlformats.org/officeDocument/2006/relationships/hyperlink" Target="https://msblob.blob.core.windows.net/ncmedia/2017/07/Rural-Broadband-Strategy-Microsoft-Whitepaper-FINAL-7-10-17.pdf" TargetMode="External"/><Relationship Id="rId2" Type="http://schemas.openxmlformats.org/officeDocument/2006/relationships/hyperlink" Target="https://www.wi-fi.org/news-events/newsroom/additional-unlicensed-spectrum-needed-to-deliver-future-wi-fi-connectivity" TargetMode="External"/><Relationship Id="rId1" Type="http://schemas.openxmlformats.org/officeDocument/2006/relationships/hyperlink" Target="https://pdfs.semanticscholar.org/5d81/ff994b7cbc9ccc0d067f1e102b0409755bbb.pdf" TargetMode="External"/><Relationship Id="rId6" Type="http://schemas.openxmlformats.org/officeDocument/2006/relationships/hyperlink" Target="https://msblob.blob.core.windows.net/ncmedia/2017/07/Rural-Broadband-Strategy-Microsoft-Whitepaper-FINAL-7-10-17.pdf" TargetMode="External"/><Relationship Id="rId5" Type="http://schemas.openxmlformats.org/officeDocument/2006/relationships/hyperlink" Target="https://www.ofcom.org.uk/consultations-and-statements/category-1/5-GHz-Wi-Fi" TargetMode="External"/><Relationship Id="rId4" Type="http://schemas.openxmlformats.org/officeDocument/2006/relationships/hyperlink" Target="https://www.fcc.gov/document/fcc-increases-5ghz-spectrum-wi-fi-other-unlicensed-u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3NE2HDV7HD6D-128-771</_dlc_DocId>
    <_dlc_DocIdUrl xmlns="1d983eb4-33f7-44b0-aea1-cbdcf0c55136">
      <Url>http://collaboration/organisation/cid/speb/sp/_layouts/15/DocIdRedir.aspx?ID=3NE2HDV7HD6D-128-771</Url>
      <Description>3NE2HDV7HD6D-128-771</Description>
    </_dlc_DocIdUrl>
  </documentManagement>
</p:properties>
</file>

<file path=customXml/itemProps1.xml><?xml version="1.0" encoding="utf-8"?>
<ds:datastoreItem xmlns:ds="http://schemas.openxmlformats.org/officeDocument/2006/customXml" ds:itemID="{B648AA9B-F925-4BB8-928E-27D76D2F6C97}">
  <ds:schemaRefs>
    <ds:schemaRef ds:uri="http://schemas.openxmlformats.org/officeDocument/2006/bibliography"/>
  </ds:schemaRefs>
</ds:datastoreItem>
</file>

<file path=customXml/itemProps2.xml><?xml version="1.0" encoding="utf-8"?>
<ds:datastoreItem xmlns:ds="http://schemas.openxmlformats.org/officeDocument/2006/customXml" ds:itemID="{AFD7D060-492E-4B1F-B618-C3E879DFA430}"/>
</file>

<file path=customXml/itemProps3.xml><?xml version="1.0" encoding="utf-8"?>
<ds:datastoreItem xmlns:ds="http://schemas.openxmlformats.org/officeDocument/2006/customXml" ds:itemID="{E1B27F57-CED1-4F60-BFB3-F0544D14D81C}"/>
</file>

<file path=customXml/itemProps4.xml><?xml version="1.0" encoding="utf-8"?>
<ds:datastoreItem xmlns:ds="http://schemas.openxmlformats.org/officeDocument/2006/customXml" ds:itemID="{7111A661-263F-40D6-A30D-CC425A562283}"/>
</file>

<file path=customXml/itemProps5.xml><?xml version="1.0" encoding="utf-8"?>
<ds:datastoreItem xmlns:ds="http://schemas.openxmlformats.org/officeDocument/2006/customXml" ds:itemID="{22195C0A-9EF9-4C58-9A5B-F38F24E4340E}"/>
</file>

<file path=docProps/app.xml><?xml version="1.0" encoding="utf-8"?>
<Properties xmlns="http://schemas.openxmlformats.org/officeDocument/2006/extended-properties" xmlns:vt="http://schemas.openxmlformats.org/officeDocument/2006/docPropsVTypes">
  <Template>Normal.dotm</Template>
  <TotalTime>0</TotalTime>
  <Pages>7</Pages>
  <Words>2063</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Khoo</dc:creator>
  <cp:lastModifiedBy>David Masters (CELA)</cp:lastModifiedBy>
  <cp:revision>2</cp:revision>
  <cp:lastPrinted>2017-07-28T21:15:00Z</cp:lastPrinted>
  <dcterms:created xsi:type="dcterms:W3CDTF">2017-08-06T10:11:00Z</dcterms:created>
  <dcterms:modified xsi:type="dcterms:W3CDTF">2017-08-06T10:11:00Z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11650d3c-d0a8-41f5-a3ba-cbaaf3b15d5b</vt:lpwstr>
  </property>
  <property fmtid="{D5CDD505-2E9C-101B-9397-08002B2CF9AE}" pid="3" name="ContentTypeId">
    <vt:lpwstr>0x010100D922B896673C3B4CAC6395581CF998E6</vt:lpwstr>
  </property>
</Properties>
</file>