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47CFF" w14:textId="3BCFC44F" w:rsidR="00B726CA" w:rsidRDefault="00B726CA" w:rsidP="00431926">
      <w:pPr>
        <w:pStyle w:val="Reporttitle"/>
        <w:spacing w:after="200"/>
      </w:pPr>
      <w:r>
        <w:t>Update to Foreign Space Object</w:t>
      </w:r>
      <w:r w:rsidR="00B76F81">
        <w:t xml:space="preserve">s </w:t>
      </w:r>
      <w:r>
        <w:t>Determination</w:t>
      </w:r>
    </w:p>
    <w:p w14:paraId="3383A618" w14:textId="5FB07774" w:rsidR="00B726CA" w:rsidRDefault="00B726CA" w:rsidP="00431926">
      <w:pPr>
        <w:pStyle w:val="Reportdate"/>
      </w:pPr>
      <w:r>
        <w:t>October 2019</w:t>
      </w:r>
    </w:p>
    <w:p w14:paraId="1774AB04" w14:textId="1DB59638" w:rsidR="00B34145" w:rsidRDefault="00B34145" w:rsidP="00B34145"/>
    <w:p w14:paraId="71D16AE1" w14:textId="58F11B9B" w:rsidR="0028172A" w:rsidRPr="00BC2353" w:rsidRDefault="0028172A" w:rsidP="00BC2353">
      <w:pPr>
        <w:pStyle w:val="ACMACorporateAddresses"/>
        <w:sectPr w:rsidR="0028172A" w:rsidRPr="00BC2353" w:rsidSect="0021426C">
          <w:headerReference w:type="default" r:id="rId8"/>
          <w:footerReference w:type="default" r:id="rId9"/>
          <w:headerReference w:type="first" r:id="rId10"/>
          <w:pgSz w:w="11906" w:h="16838" w:code="9"/>
          <w:pgMar w:top="3924" w:right="992" w:bottom="1440" w:left="1134" w:header="709" w:footer="454" w:gutter="0"/>
          <w:cols w:space="708"/>
          <w:docGrid w:linePitch="360"/>
        </w:sectPr>
      </w:pPr>
    </w:p>
    <w:p w14:paraId="09FE1CF2" w14:textId="77777777" w:rsidR="0005011A" w:rsidRPr="00F44F3A" w:rsidRDefault="0005011A" w:rsidP="00FC07B9">
      <w:pPr>
        <w:pStyle w:val="ACMACorporateAddressHeader"/>
      </w:pPr>
      <w:r w:rsidRPr="00F44F3A">
        <w:lastRenderedPageBreak/>
        <w:t>Canberra</w:t>
      </w:r>
    </w:p>
    <w:p w14:paraId="74A93645" w14:textId="77777777" w:rsidR="0005011A" w:rsidRPr="00FC07B9" w:rsidRDefault="0005011A" w:rsidP="00FC07B9">
      <w:pPr>
        <w:pStyle w:val="ACMACorporateAddresses"/>
      </w:pPr>
      <w:r w:rsidRPr="00FC07B9">
        <w:t xml:space="preserve">Red Building </w:t>
      </w:r>
      <w:r w:rsidRPr="00FC07B9">
        <w:br/>
        <w:t>Benjamin Offices</w:t>
      </w:r>
      <w:r w:rsidRPr="00FC07B9">
        <w:br/>
        <w:t xml:space="preserve">Chan Street </w:t>
      </w:r>
      <w:r w:rsidRPr="00FC07B9">
        <w:br/>
        <w:t>Belconnen ACT</w:t>
      </w:r>
    </w:p>
    <w:p w14:paraId="1A93E46A" w14:textId="77777777" w:rsidR="0005011A" w:rsidRPr="00FC07B9" w:rsidRDefault="0005011A" w:rsidP="00FC07B9">
      <w:pPr>
        <w:pStyle w:val="ACMACorporateAddresses"/>
      </w:pPr>
      <w:r w:rsidRPr="00FC07B9">
        <w:t>PO Box 78</w:t>
      </w:r>
      <w:r w:rsidRPr="00FC07B9">
        <w:br/>
        <w:t>Belconnen ACT 2616</w:t>
      </w:r>
    </w:p>
    <w:p w14:paraId="36AE66FD" w14:textId="77777777" w:rsidR="00FE1823" w:rsidRPr="00FC07B9" w:rsidRDefault="0005011A" w:rsidP="00FC07B9">
      <w:pPr>
        <w:pStyle w:val="ACMACorporateAddresses"/>
      </w:pPr>
      <w:r w:rsidRPr="00FC07B9">
        <w:t>T</w:t>
      </w:r>
      <w:r w:rsidR="00537604" w:rsidRPr="00FC07B9">
        <w:tab/>
      </w:r>
      <w:r w:rsidRPr="00FC07B9">
        <w:t>+61 2 6219 5555</w:t>
      </w:r>
      <w:r w:rsidRPr="00FC07B9">
        <w:br/>
        <w:t>F</w:t>
      </w:r>
      <w:r w:rsidR="00537604" w:rsidRPr="00FC07B9">
        <w:tab/>
      </w:r>
      <w:r w:rsidRPr="00FC07B9">
        <w:t>+61 2 6219 5353</w:t>
      </w:r>
    </w:p>
    <w:p w14:paraId="5BB1BF64" w14:textId="77777777" w:rsidR="0005011A" w:rsidRPr="00F44F3A" w:rsidRDefault="0005011A" w:rsidP="00FC07B9">
      <w:pPr>
        <w:pStyle w:val="ACMACorporateAddressHeader"/>
      </w:pPr>
      <w:r w:rsidRPr="00F44F3A">
        <w:t>Melbourne</w:t>
      </w:r>
    </w:p>
    <w:p w14:paraId="4D08441B" w14:textId="77777777" w:rsidR="0005011A" w:rsidRPr="00F44F3A" w:rsidRDefault="0005011A" w:rsidP="00FC07B9">
      <w:pPr>
        <w:pStyle w:val="ACMACorporateAddresses"/>
      </w:pPr>
      <w:r w:rsidRPr="00F44F3A">
        <w:t xml:space="preserve">Level 32 </w:t>
      </w:r>
      <w:r w:rsidRPr="00F44F3A">
        <w:br/>
        <w:t>Melbourne Central Tower</w:t>
      </w:r>
      <w:r w:rsidRPr="00F44F3A">
        <w:br/>
        <w:t xml:space="preserve">360 Elizabeth Street </w:t>
      </w:r>
      <w:r w:rsidR="008C10F4" w:rsidRPr="00F44F3A">
        <w:br/>
      </w:r>
      <w:r w:rsidRPr="00F44F3A">
        <w:t>Melbourne VIC</w:t>
      </w:r>
    </w:p>
    <w:p w14:paraId="5129A569" w14:textId="77777777" w:rsidR="0005011A" w:rsidRPr="00F44F3A" w:rsidRDefault="0005011A" w:rsidP="00FC07B9">
      <w:pPr>
        <w:pStyle w:val="ACMACorporateAddresses"/>
      </w:pPr>
      <w:r w:rsidRPr="00F44F3A">
        <w:t>PO Box 13112</w:t>
      </w:r>
      <w:r w:rsidRPr="00F44F3A">
        <w:br/>
        <w:t xml:space="preserve">Law Courts </w:t>
      </w:r>
      <w:r w:rsidRPr="00F44F3A">
        <w:br/>
        <w:t>Melbourne VIC 8010</w:t>
      </w:r>
    </w:p>
    <w:p w14:paraId="45BB92AC" w14:textId="77777777" w:rsidR="0005011A" w:rsidRPr="00F44F3A" w:rsidRDefault="0005011A" w:rsidP="00FC07B9">
      <w:pPr>
        <w:pStyle w:val="ACMACorporateAddresses"/>
      </w:pPr>
      <w:r w:rsidRPr="00F44F3A">
        <w:t>T</w:t>
      </w:r>
      <w:r w:rsidR="00140318" w:rsidRPr="00F44F3A">
        <w:tab/>
      </w:r>
      <w:r w:rsidRPr="00F44F3A">
        <w:t>+61 3 9963 6800</w:t>
      </w:r>
      <w:r w:rsidRPr="00F44F3A">
        <w:br/>
        <w:t>F</w:t>
      </w:r>
      <w:r w:rsidR="00140318" w:rsidRPr="00F44F3A">
        <w:tab/>
      </w:r>
      <w:r w:rsidRPr="00F44F3A">
        <w:t>+61 3 9963 6899</w:t>
      </w:r>
    </w:p>
    <w:p w14:paraId="47F6AF0B" w14:textId="77777777" w:rsidR="0005011A" w:rsidRPr="00F44F3A" w:rsidRDefault="0005011A" w:rsidP="00FC07B9">
      <w:pPr>
        <w:pStyle w:val="ACMACorporateAddressHeader"/>
      </w:pPr>
      <w:r w:rsidRPr="00F44F3A">
        <w:t>Sydney</w:t>
      </w:r>
    </w:p>
    <w:p w14:paraId="5DA61BAD" w14:textId="77777777" w:rsidR="0005011A" w:rsidRPr="00F44F3A" w:rsidRDefault="0005011A" w:rsidP="00FC07B9">
      <w:pPr>
        <w:pStyle w:val="ACMACorporateAddresses"/>
      </w:pPr>
      <w:r w:rsidRPr="00F44F3A">
        <w:t xml:space="preserve">Level 5 </w:t>
      </w:r>
      <w:r w:rsidRPr="00F44F3A">
        <w:br/>
        <w:t>The Bay Centre</w:t>
      </w:r>
      <w:r w:rsidRPr="00F44F3A">
        <w:br/>
        <w:t xml:space="preserve">65 Pirrama Road </w:t>
      </w:r>
      <w:r w:rsidRPr="00F44F3A">
        <w:br/>
        <w:t>Pyrmont NSW</w:t>
      </w:r>
    </w:p>
    <w:p w14:paraId="48809E27" w14:textId="77777777" w:rsidR="0005011A" w:rsidRPr="00F44F3A" w:rsidRDefault="0005011A" w:rsidP="00FC07B9">
      <w:pPr>
        <w:pStyle w:val="ACMACorporateAddresses"/>
      </w:pPr>
      <w:r w:rsidRPr="00F44F3A">
        <w:t>PO Box Q500</w:t>
      </w:r>
      <w:r w:rsidRPr="00F44F3A">
        <w:br/>
        <w:t xml:space="preserve">Queen Victoria Building </w:t>
      </w:r>
      <w:r w:rsidRPr="00F44F3A">
        <w:br/>
        <w:t>NSW 1230</w:t>
      </w:r>
    </w:p>
    <w:p w14:paraId="09402400" w14:textId="77777777" w:rsidR="0005011A" w:rsidRPr="00F44F3A" w:rsidRDefault="0005011A" w:rsidP="00FC07B9">
      <w:pPr>
        <w:pStyle w:val="ACMACorporateAddresses"/>
      </w:pPr>
      <w:r w:rsidRPr="00F44F3A">
        <w:t>T</w:t>
      </w:r>
      <w:r w:rsidR="00140318" w:rsidRPr="00F44F3A">
        <w:tab/>
      </w:r>
      <w:r w:rsidRPr="00F44F3A">
        <w:t>+61 2 9334 7700</w:t>
      </w:r>
      <w:r w:rsidR="00140318" w:rsidRPr="00F44F3A">
        <w:t xml:space="preserve"> or</w:t>
      </w:r>
      <w:r w:rsidRPr="00F44F3A">
        <w:t xml:space="preserve"> 1800 226 667</w:t>
      </w:r>
      <w:r w:rsidRPr="00F44F3A">
        <w:br/>
        <w:t>F</w:t>
      </w:r>
      <w:r w:rsidR="00140318" w:rsidRPr="00F44F3A">
        <w:tab/>
      </w:r>
      <w:r w:rsidRPr="00F44F3A">
        <w:t>+61 2 9334 7799</w:t>
      </w:r>
    </w:p>
    <w:p w14:paraId="7CB1C1B4" w14:textId="77777777" w:rsidR="00140318" w:rsidRPr="006D46E5" w:rsidRDefault="00140318" w:rsidP="00FC07B9">
      <w:pPr>
        <w:pStyle w:val="ACMACopyrightHeader"/>
      </w:pPr>
      <w:r w:rsidRPr="00140318">
        <w:t>Copyright notice</w:t>
      </w:r>
    </w:p>
    <w:p w14:paraId="4A610EF3" w14:textId="77777777" w:rsidR="00140318" w:rsidRPr="006D46E5" w:rsidRDefault="00623FF9" w:rsidP="00623FF9">
      <w:pPr>
        <w:pStyle w:val="ACMACClogo"/>
      </w:pPr>
      <w:r w:rsidRPr="00623FF9">
        <w:rPr>
          <w:noProof/>
        </w:rPr>
        <w:drawing>
          <wp:inline distT="0" distB="0" distL="0" distR="0" wp14:anchorId="771EB82A" wp14:editId="708C2AF3">
            <wp:extent cx="838200" cy="295275"/>
            <wp:effectExtent l="0" t="0" r="0" b="0"/>
            <wp:docPr id="1" name="Picture 1" title="Creative Commons log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y">
                      <a:hlinkClick r:id="rId11"/>
                    </pic:cNvPr>
                    <pic:cNvPicPr>
                      <a:picLocks noChangeAspect="1" noChangeArrowheads="1"/>
                    </pic:cNvPicPr>
                  </pic:nvPicPr>
                  <pic:blipFill>
                    <a:blip r:embed="rId12" cstate="print"/>
                    <a:srcRect/>
                    <a:stretch>
                      <a:fillRect/>
                    </a:stretch>
                  </pic:blipFill>
                  <pic:spPr bwMode="auto">
                    <a:xfrm>
                      <a:off x="0" y="0"/>
                      <a:ext cx="838200" cy="295275"/>
                    </a:xfrm>
                    <a:prstGeom prst="rect">
                      <a:avLst/>
                    </a:prstGeom>
                    <a:noFill/>
                  </pic:spPr>
                </pic:pic>
              </a:graphicData>
            </a:graphic>
          </wp:inline>
        </w:drawing>
      </w:r>
    </w:p>
    <w:p w14:paraId="08876429" w14:textId="77777777" w:rsidR="00AA2DE5" w:rsidRDefault="004A2BB1" w:rsidP="00AA2DE5">
      <w:pPr>
        <w:pStyle w:val="ACMACorporateAddresses"/>
        <w:rPr>
          <w:rStyle w:val="Hyperlink"/>
        </w:rPr>
      </w:pPr>
      <w:hyperlink r:id="rId13" w:history="1">
        <w:r w:rsidR="00AA2DE5">
          <w:rPr>
            <w:rStyle w:val="Hyperlink"/>
          </w:rPr>
          <w:t>https://creativecommons.org/licenses/by/4.0/</w:t>
        </w:r>
      </w:hyperlink>
    </w:p>
    <w:p w14:paraId="4D1A313D" w14:textId="77777777" w:rsidR="00AA2DE5" w:rsidRDefault="00AA2DE5" w:rsidP="00AA2DE5">
      <w:pPr>
        <w:pStyle w:val="ACMACorporateAddresses"/>
      </w:pPr>
      <w:proofErr w:type="gramStart"/>
      <w:r>
        <w:t>With the exception of</w:t>
      </w:r>
      <w:proofErr w:type="gramEnd"/>
      <w:r>
        <w:t xml:space="preserve"> coats of arms, logos, emblems, images, other third-party material or devices protected by a trademark, this content is made available under the terms of the Creative Commons Attribution 4.0 International (CC BY 4.0) licence. </w:t>
      </w:r>
    </w:p>
    <w:p w14:paraId="00DFE1C8" w14:textId="77777777" w:rsidR="00AA2DE5" w:rsidRDefault="00AA2DE5" w:rsidP="00AA2DE5">
      <w:pPr>
        <w:pStyle w:val="ACMACorporateAddresses"/>
      </w:pPr>
      <w:r>
        <w:t>We request attribution as © Commonwealth of Australia (Australian Communications and Media Authority) 201</w:t>
      </w:r>
      <w:r w:rsidR="000245E5">
        <w:t>9</w:t>
      </w:r>
      <w:r>
        <w:t>.</w:t>
      </w:r>
    </w:p>
    <w:p w14:paraId="27E5695C" w14:textId="77777777" w:rsidR="00AA2DE5" w:rsidRDefault="00AA2DE5" w:rsidP="00AA2DE5">
      <w:pPr>
        <w:pStyle w:val="ACMACorporateAddresses"/>
      </w:pPr>
      <w:r>
        <w:t>All other rights are reserved.</w:t>
      </w:r>
    </w:p>
    <w:p w14:paraId="2707AEA3" w14:textId="77777777" w:rsidR="00AA2DE5" w:rsidRDefault="00AA2DE5" w:rsidP="00AA2DE5">
      <w:pPr>
        <w:pStyle w:val="ACMACorporateAddresses"/>
      </w:pPr>
      <w:r>
        <w:t xml:space="preserve">The Australian Communications and Media Authority has undertaken reasonable enquiries to identify material owned by third parties and secure permission for its reproduction. Permission may need to be obtained from third parties to re-use their material. </w:t>
      </w:r>
    </w:p>
    <w:p w14:paraId="6CC37BBD" w14:textId="77777777" w:rsidR="00AA2DE5" w:rsidRDefault="00AA2DE5" w:rsidP="00AA2DE5">
      <w:pPr>
        <w:pStyle w:val="ACMACorporateAddresses"/>
      </w:pPr>
      <w:r>
        <w:t>Written enquiries may be sent to:</w:t>
      </w:r>
    </w:p>
    <w:p w14:paraId="226F0606" w14:textId="77777777" w:rsidR="00AA2DE5" w:rsidRDefault="00AA2DE5" w:rsidP="00AA2DE5">
      <w:pPr>
        <w:pStyle w:val="ACMACorporateAddresses"/>
        <w:rPr>
          <w:rStyle w:val="Hyperlink"/>
        </w:rPr>
      </w:pPr>
      <w:r>
        <w:t xml:space="preserve">Manager, Editorial </w:t>
      </w:r>
      <w:r w:rsidR="000245E5">
        <w:t>Services</w:t>
      </w:r>
      <w:r>
        <w:br/>
        <w:t>PO Box 13112</w:t>
      </w:r>
      <w:r>
        <w:br/>
        <w:t>Law Courts</w:t>
      </w:r>
      <w:r>
        <w:br/>
        <w:t>Melbourne VIC 8010</w:t>
      </w:r>
      <w:r>
        <w:br/>
        <w:t xml:space="preserve">Email: </w:t>
      </w:r>
      <w:hyperlink r:id="rId14" w:history="1">
        <w:r>
          <w:rPr>
            <w:rStyle w:val="Hyperlink"/>
          </w:rPr>
          <w:t>info@acma.gov.au</w:t>
        </w:r>
      </w:hyperlink>
    </w:p>
    <w:p w14:paraId="1846D5E5" w14:textId="77777777" w:rsidR="00D16FE3" w:rsidRDefault="00D16FE3" w:rsidP="00D16FE3">
      <w:pPr>
        <w:pStyle w:val="ACMACorporateAddresses"/>
        <w:rPr>
          <w:rStyle w:val="Hyperlink"/>
        </w:rPr>
      </w:pPr>
    </w:p>
    <w:p w14:paraId="70887121" w14:textId="77777777" w:rsidR="00D16FE3" w:rsidRPr="00D16FE3" w:rsidRDefault="00D16FE3" w:rsidP="00D16FE3">
      <w:pPr>
        <w:pStyle w:val="ACMACorporateAddresses"/>
        <w:sectPr w:rsidR="00D16FE3" w:rsidRPr="00D16FE3">
          <w:headerReference w:type="even" r:id="rId15"/>
          <w:headerReference w:type="default" r:id="rId16"/>
          <w:footerReference w:type="even" r:id="rId17"/>
          <w:footerReference w:type="default" r:id="rId18"/>
          <w:pgSz w:w="11906" w:h="16838" w:code="9"/>
          <w:pgMar w:top="3924" w:right="1797" w:bottom="697" w:left="1134" w:header="709" w:footer="119" w:gutter="0"/>
          <w:cols w:space="708"/>
          <w:docGrid w:linePitch="360"/>
        </w:sectPr>
      </w:pPr>
    </w:p>
    <w:p w14:paraId="6DB9AFD7" w14:textId="1F155344" w:rsidR="00C735DE" w:rsidRDefault="00C65F61">
      <w:pPr>
        <w:pStyle w:val="TOC1"/>
        <w:rPr>
          <w:rFonts w:asciiTheme="minorHAnsi" w:eastAsiaTheme="minorEastAsia" w:hAnsiTheme="minorHAnsi" w:cstheme="minorBidi"/>
          <w:b w:val="0"/>
          <w:spacing w:val="0"/>
          <w:sz w:val="22"/>
          <w:szCs w:val="22"/>
        </w:rPr>
      </w:pPr>
      <w:r>
        <w:rPr>
          <w:rFonts w:cs="Arial"/>
          <w:b w:val="0"/>
        </w:rPr>
        <w:lastRenderedPageBreak/>
        <w:fldChar w:fldCharType="begin"/>
      </w:r>
      <w:r>
        <w:rPr>
          <w:rFonts w:cs="Arial"/>
          <w:b w:val="0"/>
        </w:rPr>
        <w:instrText xml:space="preserve"> TOC \o "1-2" \t "Exec summary heading,1" </w:instrText>
      </w:r>
      <w:r>
        <w:rPr>
          <w:rFonts w:cs="Arial"/>
          <w:b w:val="0"/>
        </w:rPr>
        <w:fldChar w:fldCharType="separate"/>
      </w:r>
      <w:r w:rsidR="00C735DE">
        <w:t>Executive summary</w:t>
      </w:r>
      <w:r w:rsidR="00C735DE">
        <w:tab/>
      </w:r>
      <w:r w:rsidR="00C735DE">
        <w:fldChar w:fldCharType="begin"/>
      </w:r>
      <w:r w:rsidR="00C735DE">
        <w:instrText xml:space="preserve"> PAGEREF _Toc22212556 \h </w:instrText>
      </w:r>
      <w:r w:rsidR="00C735DE">
        <w:fldChar w:fldCharType="separate"/>
      </w:r>
      <w:r w:rsidR="00C735DE">
        <w:t>1</w:t>
      </w:r>
      <w:r w:rsidR="00C735DE">
        <w:fldChar w:fldCharType="end"/>
      </w:r>
    </w:p>
    <w:p w14:paraId="079BCF6F" w14:textId="5686F503" w:rsidR="00C735DE" w:rsidRDefault="00C735DE">
      <w:pPr>
        <w:pStyle w:val="TOC1"/>
        <w:rPr>
          <w:rFonts w:asciiTheme="minorHAnsi" w:eastAsiaTheme="minorEastAsia" w:hAnsiTheme="minorHAnsi" w:cstheme="minorBidi"/>
          <w:b w:val="0"/>
          <w:spacing w:val="0"/>
          <w:sz w:val="22"/>
          <w:szCs w:val="22"/>
        </w:rPr>
      </w:pPr>
      <w:r>
        <w:t>Issue for comment</w:t>
      </w:r>
      <w:r>
        <w:tab/>
      </w:r>
      <w:r>
        <w:fldChar w:fldCharType="begin"/>
      </w:r>
      <w:r>
        <w:instrText xml:space="preserve"> PAGEREF _Toc22212557 \h </w:instrText>
      </w:r>
      <w:r>
        <w:fldChar w:fldCharType="separate"/>
      </w:r>
      <w:r>
        <w:t>2</w:t>
      </w:r>
      <w:r>
        <w:fldChar w:fldCharType="end"/>
      </w:r>
    </w:p>
    <w:p w14:paraId="7F718068" w14:textId="1D2EB88F" w:rsidR="00C735DE" w:rsidRDefault="00C735DE">
      <w:pPr>
        <w:pStyle w:val="TOC1"/>
        <w:rPr>
          <w:rFonts w:asciiTheme="minorHAnsi" w:eastAsiaTheme="minorEastAsia" w:hAnsiTheme="minorHAnsi" w:cstheme="minorBidi"/>
          <w:b w:val="0"/>
          <w:spacing w:val="0"/>
          <w:sz w:val="22"/>
          <w:szCs w:val="22"/>
        </w:rPr>
      </w:pPr>
      <w:r>
        <w:t>Introduction</w:t>
      </w:r>
      <w:r>
        <w:tab/>
      </w:r>
      <w:r>
        <w:fldChar w:fldCharType="begin"/>
      </w:r>
      <w:r>
        <w:instrText xml:space="preserve"> PAGEREF _Toc22212558 \h </w:instrText>
      </w:r>
      <w:r>
        <w:fldChar w:fldCharType="separate"/>
      </w:r>
      <w:r>
        <w:t>3</w:t>
      </w:r>
      <w:r>
        <w:fldChar w:fldCharType="end"/>
      </w:r>
    </w:p>
    <w:p w14:paraId="405800A1" w14:textId="702A1C77" w:rsidR="00C735DE" w:rsidRDefault="00C735DE">
      <w:pPr>
        <w:pStyle w:val="TOC2"/>
        <w:rPr>
          <w:rFonts w:asciiTheme="minorHAnsi" w:eastAsiaTheme="minorEastAsia" w:hAnsiTheme="minorHAnsi" w:cstheme="minorBidi"/>
          <w:spacing w:val="0"/>
          <w:sz w:val="22"/>
          <w:szCs w:val="22"/>
        </w:rPr>
      </w:pPr>
      <w:r>
        <w:t>Radiocommunications licensing</w:t>
      </w:r>
      <w:r>
        <w:tab/>
      </w:r>
      <w:r>
        <w:fldChar w:fldCharType="begin"/>
      </w:r>
      <w:r>
        <w:instrText xml:space="preserve"> PAGEREF _Toc22212559 \h </w:instrText>
      </w:r>
      <w:r>
        <w:fldChar w:fldCharType="separate"/>
      </w:r>
      <w:r>
        <w:t>3</w:t>
      </w:r>
      <w:r>
        <w:fldChar w:fldCharType="end"/>
      </w:r>
    </w:p>
    <w:p w14:paraId="0B1CFB3B" w14:textId="4AB16AEE" w:rsidR="00C735DE" w:rsidRDefault="00C735DE">
      <w:pPr>
        <w:pStyle w:val="TOC2"/>
        <w:rPr>
          <w:rFonts w:asciiTheme="minorHAnsi" w:eastAsiaTheme="minorEastAsia" w:hAnsiTheme="minorHAnsi" w:cstheme="minorBidi"/>
          <w:spacing w:val="0"/>
          <w:sz w:val="22"/>
          <w:szCs w:val="22"/>
        </w:rPr>
      </w:pPr>
      <w:r>
        <w:t>Licensing of space-based communication systems</w:t>
      </w:r>
      <w:r>
        <w:tab/>
      </w:r>
      <w:r>
        <w:fldChar w:fldCharType="begin"/>
      </w:r>
      <w:r>
        <w:instrText xml:space="preserve"> PAGEREF _Toc22212560 \h </w:instrText>
      </w:r>
      <w:r>
        <w:fldChar w:fldCharType="separate"/>
      </w:r>
      <w:r>
        <w:t>4</w:t>
      </w:r>
      <w:r>
        <w:fldChar w:fldCharType="end"/>
      </w:r>
    </w:p>
    <w:p w14:paraId="71DEB8A2" w14:textId="4C561277" w:rsidR="00C735DE" w:rsidRDefault="00C735DE">
      <w:pPr>
        <w:pStyle w:val="TOC2"/>
        <w:rPr>
          <w:rFonts w:asciiTheme="minorHAnsi" w:eastAsiaTheme="minorEastAsia" w:hAnsiTheme="minorHAnsi" w:cstheme="minorBidi"/>
          <w:spacing w:val="0"/>
          <w:sz w:val="22"/>
          <w:szCs w:val="22"/>
        </w:rPr>
      </w:pPr>
      <w:r>
        <w:t>Foreign Space Objects Determination</w:t>
      </w:r>
      <w:r>
        <w:tab/>
      </w:r>
      <w:r>
        <w:fldChar w:fldCharType="begin"/>
      </w:r>
      <w:r>
        <w:instrText xml:space="preserve"> PAGEREF _Toc22212561 \h </w:instrText>
      </w:r>
      <w:r>
        <w:fldChar w:fldCharType="separate"/>
      </w:r>
      <w:r>
        <w:t>4</w:t>
      </w:r>
      <w:r>
        <w:fldChar w:fldCharType="end"/>
      </w:r>
    </w:p>
    <w:p w14:paraId="085E1385" w14:textId="371C9B94" w:rsidR="00C735DE" w:rsidRDefault="00C735DE">
      <w:pPr>
        <w:pStyle w:val="TOC1"/>
        <w:rPr>
          <w:rFonts w:asciiTheme="minorHAnsi" w:eastAsiaTheme="minorEastAsia" w:hAnsiTheme="minorHAnsi" w:cstheme="minorBidi"/>
          <w:b w:val="0"/>
          <w:spacing w:val="0"/>
          <w:sz w:val="22"/>
          <w:szCs w:val="22"/>
        </w:rPr>
      </w:pPr>
      <w:r>
        <w:t>Proposed amendments to the Foreign Space Objects Determination</w:t>
      </w:r>
      <w:r>
        <w:tab/>
      </w:r>
      <w:r>
        <w:fldChar w:fldCharType="begin"/>
      </w:r>
      <w:r>
        <w:instrText xml:space="preserve"> PAGEREF _Toc22212562 \h </w:instrText>
      </w:r>
      <w:r>
        <w:fldChar w:fldCharType="separate"/>
      </w:r>
      <w:r>
        <w:t>5</w:t>
      </w:r>
      <w:r>
        <w:fldChar w:fldCharType="end"/>
      </w:r>
    </w:p>
    <w:p w14:paraId="1C1F81C0" w14:textId="2F183A6B" w:rsidR="00C735DE" w:rsidRDefault="00C735DE">
      <w:pPr>
        <w:pStyle w:val="TOC1"/>
        <w:rPr>
          <w:rFonts w:asciiTheme="minorHAnsi" w:eastAsiaTheme="minorEastAsia" w:hAnsiTheme="minorHAnsi" w:cstheme="minorBidi"/>
          <w:b w:val="0"/>
          <w:spacing w:val="0"/>
          <w:sz w:val="22"/>
          <w:szCs w:val="22"/>
        </w:rPr>
      </w:pPr>
      <w:r>
        <w:t>Overview of satellite operators</w:t>
      </w:r>
      <w:r>
        <w:tab/>
      </w:r>
      <w:r>
        <w:fldChar w:fldCharType="begin"/>
      </w:r>
      <w:r>
        <w:instrText xml:space="preserve"> PAGEREF _Toc22212563 \h </w:instrText>
      </w:r>
      <w:r>
        <w:fldChar w:fldCharType="separate"/>
      </w:r>
      <w:r>
        <w:t>6</w:t>
      </w:r>
      <w:r>
        <w:fldChar w:fldCharType="end"/>
      </w:r>
    </w:p>
    <w:p w14:paraId="7FC17192" w14:textId="09122AF0" w:rsidR="00C735DE" w:rsidRDefault="00C735DE">
      <w:pPr>
        <w:pStyle w:val="TOC2"/>
        <w:rPr>
          <w:rFonts w:asciiTheme="minorHAnsi" w:eastAsiaTheme="minorEastAsia" w:hAnsiTheme="minorHAnsi" w:cstheme="minorBidi"/>
          <w:spacing w:val="0"/>
          <w:sz w:val="22"/>
          <w:szCs w:val="22"/>
        </w:rPr>
      </w:pPr>
      <w:r>
        <w:t>Kepler Communications</w:t>
      </w:r>
      <w:r>
        <w:tab/>
      </w:r>
      <w:r>
        <w:fldChar w:fldCharType="begin"/>
      </w:r>
      <w:r>
        <w:instrText xml:space="preserve"> PAGEREF _Toc22212564 \h </w:instrText>
      </w:r>
      <w:r>
        <w:fldChar w:fldCharType="separate"/>
      </w:r>
      <w:r>
        <w:t>6</w:t>
      </w:r>
      <w:r>
        <w:fldChar w:fldCharType="end"/>
      </w:r>
    </w:p>
    <w:p w14:paraId="3B2EF18A" w14:textId="380E5DBA" w:rsidR="00C735DE" w:rsidRDefault="00C735DE">
      <w:pPr>
        <w:pStyle w:val="TOC2"/>
        <w:rPr>
          <w:rFonts w:asciiTheme="minorHAnsi" w:eastAsiaTheme="minorEastAsia" w:hAnsiTheme="minorHAnsi" w:cstheme="minorBidi"/>
          <w:spacing w:val="0"/>
          <w:sz w:val="22"/>
          <w:szCs w:val="22"/>
        </w:rPr>
      </w:pPr>
      <w:r>
        <w:t>SpaceX</w:t>
      </w:r>
      <w:r>
        <w:tab/>
      </w:r>
      <w:r>
        <w:tab/>
      </w:r>
      <w:r>
        <w:fldChar w:fldCharType="begin"/>
      </w:r>
      <w:r>
        <w:instrText xml:space="preserve"> PAGEREF _Toc22212565 \h </w:instrText>
      </w:r>
      <w:r>
        <w:fldChar w:fldCharType="separate"/>
      </w:r>
      <w:r>
        <w:t>6</w:t>
      </w:r>
      <w:r>
        <w:fldChar w:fldCharType="end"/>
      </w:r>
    </w:p>
    <w:p w14:paraId="12F50C95" w14:textId="759D6693" w:rsidR="00C735DE" w:rsidRDefault="00C735DE">
      <w:pPr>
        <w:pStyle w:val="TOC2"/>
        <w:rPr>
          <w:rFonts w:asciiTheme="minorHAnsi" w:eastAsiaTheme="minorEastAsia" w:hAnsiTheme="minorHAnsi" w:cstheme="minorBidi"/>
          <w:spacing w:val="0"/>
          <w:sz w:val="22"/>
          <w:szCs w:val="22"/>
        </w:rPr>
      </w:pPr>
      <w:r>
        <w:t>Swarm Technologies</w:t>
      </w:r>
      <w:r>
        <w:tab/>
      </w:r>
      <w:r>
        <w:fldChar w:fldCharType="begin"/>
      </w:r>
      <w:r>
        <w:instrText xml:space="preserve"> PAGEREF _Toc22212566 \h </w:instrText>
      </w:r>
      <w:r>
        <w:fldChar w:fldCharType="separate"/>
      </w:r>
      <w:r>
        <w:t>6</w:t>
      </w:r>
      <w:r>
        <w:fldChar w:fldCharType="end"/>
      </w:r>
    </w:p>
    <w:p w14:paraId="5DF0749D" w14:textId="440F9EFF" w:rsidR="00C735DE" w:rsidRDefault="00C735DE">
      <w:pPr>
        <w:pStyle w:val="TOC2"/>
        <w:rPr>
          <w:rFonts w:asciiTheme="minorHAnsi" w:eastAsiaTheme="minorEastAsia" w:hAnsiTheme="minorHAnsi" w:cstheme="minorBidi"/>
          <w:spacing w:val="0"/>
          <w:sz w:val="22"/>
          <w:szCs w:val="22"/>
        </w:rPr>
      </w:pPr>
      <w:r>
        <w:t>ITU satellite filings</w:t>
      </w:r>
      <w:r>
        <w:tab/>
      </w:r>
      <w:r w:rsidR="00F23A8C">
        <w:t>7</w:t>
      </w:r>
    </w:p>
    <w:p w14:paraId="6CB6859F" w14:textId="0B917ADB" w:rsidR="00C735DE" w:rsidRDefault="00C735DE">
      <w:pPr>
        <w:pStyle w:val="TOC1"/>
        <w:rPr>
          <w:rFonts w:asciiTheme="minorHAnsi" w:eastAsiaTheme="minorEastAsia" w:hAnsiTheme="minorHAnsi" w:cstheme="minorBidi"/>
          <w:b w:val="0"/>
          <w:spacing w:val="0"/>
          <w:sz w:val="22"/>
          <w:szCs w:val="22"/>
        </w:rPr>
      </w:pPr>
      <w:r>
        <w:t>Invitation to comment</w:t>
      </w:r>
      <w:r>
        <w:tab/>
      </w:r>
      <w:r>
        <w:fldChar w:fldCharType="begin"/>
      </w:r>
      <w:r>
        <w:instrText xml:space="preserve"> PAGEREF _Toc22212568 \h </w:instrText>
      </w:r>
      <w:r>
        <w:fldChar w:fldCharType="separate"/>
      </w:r>
      <w:r>
        <w:t>8</w:t>
      </w:r>
      <w:r>
        <w:fldChar w:fldCharType="end"/>
      </w:r>
    </w:p>
    <w:p w14:paraId="313115C1" w14:textId="6232204F" w:rsidR="00C735DE" w:rsidRDefault="00C735DE">
      <w:pPr>
        <w:pStyle w:val="TOC2"/>
        <w:rPr>
          <w:rFonts w:asciiTheme="minorHAnsi" w:eastAsiaTheme="minorEastAsia" w:hAnsiTheme="minorHAnsi" w:cstheme="minorBidi"/>
          <w:spacing w:val="0"/>
          <w:sz w:val="22"/>
          <w:szCs w:val="22"/>
        </w:rPr>
      </w:pPr>
      <w:r>
        <w:t>Making a submission</w:t>
      </w:r>
      <w:r>
        <w:tab/>
      </w:r>
      <w:r>
        <w:fldChar w:fldCharType="begin"/>
      </w:r>
      <w:r>
        <w:instrText xml:space="preserve"> PAGEREF _Toc22212569 \h </w:instrText>
      </w:r>
      <w:r>
        <w:fldChar w:fldCharType="separate"/>
      </w:r>
      <w:r>
        <w:t>8</w:t>
      </w:r>
      <w:r>
        <w:fldChar w:fldCharType="end"/>
      </w:r>
    </w:p>
    <w:p w14:paraId="13D4E72C" w14:textId="44E7050D" w:rsidR="004D56FF" w:rsidRPr="000D76E0" w:rsidRDefault="00C65F61">
      <w:pPr>
        <w:rPr>
          <w:rFonts w:cs="Arial"/>
        </w:rPr>
        <w:sectPr w:rsidR="004D56FF" w:rsidRPr="000D76E0" w:rsidSect="00C77380">
          <w:headerReference w:type="even" r:id="rId19"/>
          <w:headerReference w:type="default" r:id="rId20"/>
          <w:footerReference w:type="even" r:id="rId21"/>
          <w:footerReference w:type="default" r:id="rId22"/>
          <w:footerReference w:type="first" r:id="rId23"/>
          <w:pgSz w:w="11906" w:h="16838" w:code="9"/>
          <w:pgMar w:top="3646" w:right="3101" w:bottom="1134" w:left="1134" w:header="709" w:footer="119" w:gutter="0"/>
          <w:cols w:space="708"/>
          <w:titlePg/>
          <w:docGrid w:linePitch="360"/>
        </w:sectPr>
      </w:pPr>
      <w:r>
        <w:rPr>
          <w:rFonts w:cs="Arial"/>
          <w:b/>
          <w:noProof/>
          <w:spacing w:val="-14"/>
          <w:sz w:val="28"/>
        </w:rPr>
        <w:fldChar w:fldCharType="end"/>
      </w:r>
    </w:p>
    <w:p w14:paraId="69B545AB" w14:textId="77777777" w:rsidR="009D6C71" w:rsidRPr="009174F3" w:rsidRDefault="009D6C71" w:rsidP="009174F3">
      <w:pPr>
        <w:pStyle w:val="Execsummaryheading"/>
      </w:pPr>
      <w:bookmarkStart w:id="0" w:name="_Toc16685778"/>
      <w:bookmarkStart w:id="1" w:name="_Toc22212556"/>
      <w:r w:rsidRPr="009174F3">
        <w:lastRenderedPageBreak/>
        <w:t>Executive summary</w:t>
      </w:r>
      <w:bookmarkEnd w:id="0"/>
      <w:bookmarkEnd w:id="1"/>
    </w:p>
    <w:p w14:paraId="4907B287" w14:textId="171B54BA" w:rsidR="00B34145" w:rsidRDefault="00B34145" w:rsidP="00B34145">
      <w:pPr>
        <w:spacing w:after="160" w:line="256" w:lineRule="auto"/>
        <w:rPr>
          <w:rFonts w:eastAsiaTheme="minorHAnsi" w:cs="Arial"/>
          <w:szCs w:val="20"/>
        </w:rPr>
      </w:pPr>
      <w:bookmarkStart w:id="2" w:name="_Toc433122125"/>
      <w:bookmarkStart w:id="3" w:name="_Toc16685779"/>
      <w:r>
        <w:rPr>
          <w:rFonts w:eastAsiaTheme="minorHAnsi" w:cs="Arial"/>
          <w:szCs w:val="20"/>
        </w:rPr>
        <w:t xml:space="preserve">Three new foreign satellite operators—Kepler Communications (Canada), SpaceX </w:t>
      </w:r>
      <w:r w:rsidR="0001762B">
        <w:rPr>
          <w:rFonts w:eastAsiaTheme="minorHAnsi" w:cs="Arial"/>
          <w:szCs w:val="20"/>
        </w:rPr>
        <w:t xml:space="preserve">Systems </w:t>
      </w:r>
      <w:r>
        <w:rPr>
          <w:rFonts w:eastAsiaTheme="minorHAnsi" w:cs="Arial"/>
          <w:szCs w:val="20"/>
        </w:rPr>
        <w:t xml:space="preserve">(USA) and Swarm Technologies (USA)—are preparing to provide </w:t>
      </w:r>
      <w:r w:rsidR="006A1BD2">
        <w:rPr>
          <w:rFonts w:cs="Arial"/>
        </w:rPr>
        <w:t>satellite-based communication services in Australia</w:t>
      </w:r>
      <w:r w:rsidR="00786160">
        <w:rPr>
          <w:rFonts w:cs="Arial"/>
        </w:rPr>
        <w:t xml:space="preserve"> such as satellite </w:t>
      </w:r>
      <w:r w:rsidR="00040BE0" w:rsidRPr="00040BE0">
        <w:rPr>
          <w:rFonts w:cs="Arial"/>
        </w:rPr>
        <w:t xml:space="preserve">broadband </w:t>
      </w:r>
      <w:r w:rsidR="00786160">
        <w:rPr>
          <w:rFonts w:cs="Arial"/>
        </w:rPr>
        <w:t xml:space="preserve">services (SpaceX), </w:t>
      </w:r>
      <w:r>
        <w:rPr>
          <w:rFonts w:eastAsiaTheme="minorHAnsi" w:cs="Arial"/>
          <w:szCs w:val="20"/>
        </w:rPr>
        <w:t xml:space="preserve">internet of things (IoT) </w:t>
      </w:r>
      <w:r w:rsidR="00786160">
        <w:rPr>
          <w:rFonts w:eastAsiaTheme="minorHAnsi" w:cs="Arial"/>
          <w:szCs w:val="20"/>
        </w:rPr>
        <w:t>(Kepler and Swarm) and store and forward data services (Kepler)</w:t>
      </w:r>
      <w:r w:rsidR="00A55E71">
        <w:rPr>
          <w:rFonts w:eastAsiaTheme="minorHAnsi" w:cs="Arial"/>
          <w:szCs w:val="20"/>
        </w:rPr>
        <w:t xml:space="preserve">. </w:t>
      </w:r>
      <w:r>
        <w:rPr>
          <w:rFonts w:eastAsiaTheme="minorHAnsi" w:cs="Arial"/>
          <w:szCs w:val="20"/>
        </w:rPr>
        <w:t>These operators have approached the A</w:t>
      </w:r>
      <w:r w:rsidR="007969AD">
        <w:rPr>
          <w:rFonts w:eastAsiaTheme="minorHAnsi" w:cs="Arial"/>
          <w:szCs w:val="20"/>
        </w:rPr>
        <w:t>ustralian Communications and Media Authority (A</w:t>
      </w:r>
      <w:r>
        <w:rPr>
          <w:rFonts w:eastAsiaTheme="minorHAnsi" w:cs="Arial"/>
          <w:szCs w:val="20"/>
        </w:rPr>
        <w:t>CMA</w:t>
      </w:r>
      <w:r w:rsidR="007969AD">
        <w:rPr>
          <w:rFonts w:eastAsiaTheme="minorHAnsi" w:cs="Arial"/>
          <w:szCs w:val="20"/>
        </w:rPr>
        <w:t>)</w:t>
      </w:r>
      <w:r>
        <w:rPr>
          <w:rFonts w:eastAsiaTheme="minorHAnsi" w:cs="Arial"/>
          <w:szCs w:val="20"/>
        </w:rPr>
        <w:t xml:space="preserve"> to commence the regulatory approvals process to eventually obtain space apparatus licences to operate in Australia. </w:t>
      </w:r>
    </w:p>
    <w:p w14:paraId="6CF02C42" w14:textId="69743141" w:rsidR="00A176DC" w:rsidRDefault="00A176DC" w:rsidP="00B34145">
      <w:pPr>
        <w:spacing w:after="160" w:line="256" w:lineRule="auto"/>
        <w:rPr>
          <w:rFonts w:eastAsiaTheme="minorHAnsi" w:cs="Arial"/>
          <w:szCs w:val="20"/>
        </w:rPr>
      </w:pPr>
      <w:r>
        <w:rPr>
          <w:rFonts w:eastAsiaTheme="minorHAnsi" w:cs="Arial"/>
          <w:szCs w:val="20"/>
        </w:rPr>
        <w:t xml:space="preserve">These operators are seeking access to frequencies specified in the </w:t>
      </w:r>
      <w:hyperlink r:id="rId24" w:history="1">
        <w:r w:rsidRPr="008A23B2">
          <w:rPr>
            <w:rStyle w:val="Hyperlink"/>
            <w:rFonts w:eastAsiaTheme="minorHAnsi" w:cs="Arial"/>
            <w:szCs w:val="20"/>
          </w:rPr>
          <w:t>Radiocommunications (Communication with Space Object) Class Licence 2015</w:t>
        </w:r>
      </w:hyperlink>
      <w:r>
        <w:rPr>
          <w:rFonts w:eastAsiaTheme="minorHAnsi" w:cs="Arial"/>
          <w:i/>
          <w:iCs/>
          <w:szCs w:val="20"/>
        </w:rPr>
        <w:t xml:space="preserve"> </w:t>
      </w:r>
      <w:r>
        <w:rPr>
          <w:rFonts w:eastAsiaTheme="minorHAnsi" w:cs="Arial"/>
          <w:szCs w:val="20"/>
        </w:rPr>
        <w:t>(</w:t>
      </w:r>
      <w:r w:rsidR="00957B3E">
        <w:rPr>
          <w:rFonts w:eastAsiaTheme="minorHAnsi" w:cs="Arial"/>
          <w:szCs w:val="20"/>
        </w:rPr>
        <w:t>Co</w:t>
      </w:r>
      <w:r w:rsidR="006A1BD2">
        <w:rPr>
          <w:rFonts w:eastAsiaTheme="minorHAnsi" w:cs="Arial"/>
          <w:szCs w:val="20"/>
        </w:rPr>
        <w:t xml:space="preserve">mmunication with </w:t>
      </w:r>
      <w:r>
        <w:rPr>
          <w:rFonts w:eastAsiaTheme="minorHAnsi" w:cs="Arial"/>
          <w:szCs w:val="20"/>
        </w:rPr>
        <w:t>Space Object Class Licence).</w:t>
      </w:r>
    </w:p>
    <w:p w14:paraId="4758AF5F" w14:textId="74A779AB" w:rsidR="00B34145" w:rsidRDefault="00B34145" w:rsidP="00B34145">
      <w:pPr>
        <w:spacing w:after="160" w:line="256" w:lineRule="auto"/>
        <w:rPr>
          <w:rFonts w:eastAsiaTheme="minorHAnsi" w:cs="Arial"/>
          <w:szCs w:val="20"/>
        </w:rPr>
      </w:pPr>
      <w:r>
        <w:rPr>
          <w:rFonts w:eastAsiaTheme="minorHAnsi" w:cs="Arial"/>
          <w:szCs w:val="20"/>
        </w:rPr>
        <w:t xml:space="preserve">Under the </w:t>
      </w:r>
      <w:hyperlink r:id="rId25" w:history="1">
        <w:r w:rsidRPr="000735A9">
          <w:rPr>
            <w:rStyle w:val="Hyperlink"/>
            <w:rFonts w:eastAsiaTheme="minorHAnsi" w:cs="Arial"/>
            <w:i/>
            <w:iCs/>
            <w:szCs w:val="20"/>
          </w:rPr>
          <w:t>Radiocommunications Act 1992</w:t>
        </w:r>
      </w:hyperlink>
      <w:r>
        <w:rPr>
          <w:rFonts w:eastAsiaTheme="minorHAnsi" w:cs="Arial"/>
          <w:szCs w:val="20"/>
        </w:rPr>
        <w:t xml:space="preserve"> </w:t>
      </w:r>
      <w:r w:rsidR="00957B3E">
        <w:rPr>
          <w:rFonts w:eastAsiaTheme="minorHAnsi" w:cs="Arial"/>
          <w:szCs w:val="20"/>
        </w:rPr>
        <w:t xml:space="preserve">(Radiocommunications Act), </w:t>
      </w:r>
      <w:r>
        <w:rPr>
          <w:rFonts w:eastAsiaTheme="minorHAnsi" w:cs="Arial"/>
          <w:szCs w:val="20"/>
        </w:rPr>
        <w:t xml:space="preserve">a foreign satellite operator must first be included in the </w:t>
      </w:r>
      <w:hyperlink r:id="rId26" w:history="1">
        <w:r w:rsidRPr="008A23B2">
          <w:rPr>
            <w:rStyle w:val="Hyperlink"/>
            <w:rFonts w:eastAsiaTheme="minorHAnsi" w:cs="Arial"/>
            <w:szCs w:val="20"/>
          </w:rPr>
          <w:t>Radiocommunications (Foreign Space Objects) Determination 2014</w:t>
        </w:r>
      </w:hyperlink>
      <w:r>
        <w:rPr>
          <w:rFonts w:eastAsiaTheme="minorHAnsi" w:cs="Arial"/>
          <w:szCs w:val="20"/>
        </w:rPr>
        <w:t xml:space="preserve"> </w:t>
      </w:r>
      <w:r w:rsidR="00C7639C">
        <w:rPr>
          <w:rFonts w:eastAsiaTheme="minorHAnsi" w:cs="Arial"/>
          <w:szCs w:val="20"/>
        </w:rPr>
        <w:t xml:space="preserve">(Foreign Space Objects Determination) </w:t>
      </w:r>
      <w:r>
        <w:rPr>
          <w:rFonts w:eastAsiaTheme="minorHAnsi" w:cs="Arial"/>
          <w:szCs w:val="20"/>
        </w:rPr>
        <w:t xml:space="preserve">before </w:t>
      </w:r>
      <w:r w:rsidR="00A176DC">
        <w:rPr>
          <w:rFonts w:eastAsiaTheme="minorHAnsi" w:cs="Arial"/>
          <w:szCs w:val="20"/>
        </w:rPr>
        <w:t xml:space="preserve">its </w:t>
      </w:r>
      <w:r>
        <w:rPr>
          <w:rFonts w:eastAsiaTheme="minorHAnsi" w:cs="Arial"/>
          <w:szCs w:val="20"/>
        </w:rPr>
        <w:t xml:space="preserve">satellite network can be licensed to operate in specific shared satellite radiofrequency bands listed in the </w:t>
      </w:r>
      <w:r w:rsidR="00B0526C">
        <w:rPr>
          <w:rFonts w:eastAsiaTheme="minorHAnsi" w:cs="Arial"/>
          <w:szCs w:val="20"/>
        </w:rPr>
        <w:t xml:space="preserve">Communication with </w:t>
      </w:r>
      <w:r w:rsidR="00A176DC">
        <w:rPr>
          <w:rFonts w:eastAsiaTheme="minorHAnsi" w:cs="Arial"/>
          <w:szCs w:val="20"/>
        </w:rPr>
        <w:t>S</w:t>
      </w:r>
      <w:r>
        <w:rPr>
          <w:rFonts w:eastAsiaTheme="minorHAnsi" w:cs="Arial"/>
          <w:szCs w:val="20"/>
        </w:rPr>
        <w:t xml:space="preserve">pace </w:t>
      </w:r>
      <w:r w:rsidR="00A176DC">
        <w:rPr>
          <w:rFonts w:eastAsiaTheme="minorHAnsi" w:cs="Arial"/>
          <w:szCs w:val="20"/>
        </w:rPr>
        <w:t>O</w:t>
      </w:r>
      <w:r>
        <w:rPr>
          <w:rFonts w:eastAsiaTheme="minorHAnsi" w:cs="Arial"/>
          <w:szCs w:val="20"/>
        </w:rPr>
        <w:t xml:space="preserve">bject </w:t>
      </w:r>
      <w:r w:rsidR="00A176DC">
        <w:rPr>
          <w:rFonts w:eastAsiaTheme="minorHAnsi" w:cs="Arial"/>
          <w:szCs w:val="20"/>
        </w:rPr>
        <w:t>C</w:t>
      </w:r>
      <w:r>
        <w:rPr>
          <w:rFonts w:eastAsiaTheme="minorHAnsi" w:cs="Arial"/>
          <w:szCs w:val="20"/>
        </w:rPr>
        <w:t xml:space="preserve">lass </w:t>
      </w:r>
      <w:r w:rsidR="00A176DC">
        <w:rPr>
          <w:rFonts w:eastAsiaTheme="minorHAnsi" w:cs="Arial"/>
          <w:szCs w:val="20"/>
        </w:rPr>
        <w:t>L</w:t>
      </w:r>
      <w:r>
        <w:rPr>
          <w:rFonts w:eastAsiaTheme="minorHAnsi" w:cs="Arial"/>
          <w:szCs w:val="20"/>
        </w:rPr>
        <w:t xml:space="preserve">icence. Inclusion in the determination does not </w:t>
      </w:r>
      <w:r w:rsidR="007848D7">
        <w:rPr>
          <w:rFonts w:eastAsiaTheme="minorHAnsi" w:cs="Arial"/>
          <w:szCs w:val="20"/>
        </w:rPr>
        <w:t>confer a right on that entity to obtain</w:t>
      </w:r>
      <w:r>
        <w:rPr>
          <w:rFonts w:eastAsiaTheme="minorHAnsi" w:cs="Arial"/>
          <w:szCs w:val="20"/>
        </w:rPr>
        <w:t xml:space="preserve"> a license, </w:t>
      </w:r>
      <w:r w:rsidR="007848D7">
        <w:rPr>
          <w:rFonts w:eastAsiaTheme="minorHAnsi" w:cs="Arial"/>
          <w:szCs w:val="20"/>
        </w:rPr>
        <w:t xml:space="preserve">rather </w:t>
      </w:r>
      <w:r>
        <w:rPr>
          <w:rFonts w:eastAsiaTheme="minorHAnsi" w:cs="Arial"/>
          <w:szCs w:val="20"/>
        </w:rPr>
        <w:t>it is</w:t>
      </w:r>
      <w:r w:rsidR="00C7639C">
        <w:rPr>
          <w:rFonts w:eastAsiaTheme="minorHAnsi" w:cs="Arial"/>
          <w:szCs w:val="20"/>
        </w:rPr>
        <w:t xml:space="preserve"> a </w:t>
      </w:r>
      <w:r>
        <w:rPr>
          <w:rFonts w:eastAsiaTheme="minorHAnsi" w:cs="Arial"/>
          <w:szCs w:val="20"/>
        </w:rPr>
        <w:t>prerequisite before a space apparatus licence can be issued.</w:t>
      </w:r>
    </w:p>
    <w:p w14:paraId="304CB08C" w14:textId="285BCA8E" w:rsidR="00B34145" w:rsidRDefault="00B34145" w:rsidP="00B34145">
      <w:pPr>
        <w:spacing w:after="160" w:line="256" w:lineRule="auto"/>
        <w:rPr>
          <w:rFonts w:eastAsiaTheme="minorHAnsi" w:cs="Arial"/>
          <w:szCs w:val="20"/>
        </w:rPr>
      </w:pPr>
      <w:r>
        <w:rPr>
          <w:rFonts w:eastAsiaTheme="minorHAnsi" w:cs="Arial"/>
          <w:szCs w:val="20"/>
        </w:rPr>
        <w:t>The ACMA proposes to amend Schedule 1 of the Foreign Space Object</w:t>
      </w:r>
      <w:r w:rsidR="00C7639C">
        <w:rPr>
          <w:rFonts w:eastAsiaTheme="minorHAnsi" w:cs="Arial"/>
          <w:szCs w:val="20"/>
        </w:rPr>
        <w:t>s</w:t>
      </w:r>
      <w:r>
        <w:rPr>
          <w:rFonts w:eastAsiaTheme="minorHAnsi" w:cs="Arial"/>
          <w:szCs w:val="20"/>
        </w:rPr>
        <w:t xml:space="preserve"> Determination to include </w:t>
      </w:r>
      <w:r w:rsidR="007848D7">
        <w:rPr>
          <w:rFonts w:eastAsiaTheme="minorHAnsi" w:cs="Arial"/>
          <w:szCs w:val="20"/>
        </w:rPr>
        <w:t xml:space="preserve">these foreign </w:t>
      </w:r>
      <w:r w:rsidR="007E5585">
        <w:rPr>
          <w:rFonts w:eastAsiaTheme="minorHAnsi" w:cs="Arial"/>
          <w:szCs w:val="20"/>
        </w:rPr>
        <w:t xml:space="preserve">satellite </w:t>
      </w:r>
      <w:r w:rsidR="007848D7">
        <w:rPr>
          <w:rFonts w:eastAsiaTheme="minorHAnsi" w:cs="Arial"/>
          <w:szCs w:val="20"/>
        </w:rPr>
        <w:t>operators</w:t>
      </w:r>
      <w:r>
        <w:rPr>
          <w:rFonts w:eastAsiaTheme="minorHAnsi" w:cs="Arial"/>
          <w:szCs w:val="20"/>
        </w:rPr>
        <w:t xml:space="preserve">. </w:t>
      </w:r>
    </w:p>
    <w:p w14:paraId="0CA8E3B4" w14:textId="0A7260E8" w:rsidR="00104A7B" w:rsidRDefault="00104A7B" w:rsidP="00104A7B">
      <w:pPr>
        <w:rPr>
          <w:rFonts w:ascii="Calibri" w:hAnsi="Calibri"/>
        </w:rPr>
      </w:pPr>
      <w:r>
        <w:t xml:space="preserve">The ACMA outlined its intention to update the Foreign Space Objects Determination in response to industry requests in the </w:t>
      </w:r>
      <w:hyperlink r:id="rId27" w:history="1">
        <w:r w:rsidRPr="008C606F">
          <w:rPr>
            <w:rStyle w:val="Hyperlink"/>
            <w:i/>
            <w:iCs/>
          </w:rPr>
          <w:t>Five-year spectrum outlook 2019–23</w:t>
        </w:r>
      </w:hyperlink>
      <w:r>
        <w:t>. The ACMA encourages organisations planning new satellite communication systems to contact the ACMA to discuss whether such updates are required and if so, their timing.</w:t>
      </w:r>
    </w:p>
    <w:p w14:paraId="64767CD4" w14:textId="68CC6D36" w:rsidR="00104A7B" w:rsidRDefault="00104A7B" w:rsidP="00B34145">
      <w:pPr>
        <w:spacing w:after="160" w:line="256" w:lineRule="auto"/>
        <w:rPr>
          <w:rFonts w:eastAsiaTheme="minorHAnsi" w:cs="Arial"/>
          <w:szCs w:val="20"/>
        </w:rPr>
      </w:pPr>
    </w:p>
    <w:p w14:paraId="0586AD27" w14:textId="77777777" w:rsidR="00104A7B" w:rsidRDefault="00104A7B" w:rsidP="00B34145">
      <w:pPr>
        <w:spacing w:after="160" w:line="256" w:lineRule="auto"/>
        <w:rPr>
          <w:rFonts w:eastAsiaTheme="minorHAnsi" w:cs="Arial"/>
          <w:szCs w:val="20"/>
        </w:rPr>
      </w:pPr>
    </w:p>
    <w:p w14:paraId="3C7FE877" w14:textId="40451B6B" w:rsidR="00715722" w:rsidRDefault="00715722" w:rsidP="00715722">
      <w:pPr>
        <w:pStyle w:val="Heading1"/>
      </w:pPr>
      <w:bookmarkStart w:id="4" w:name="_Toc22212557"/>
      <w:r>
        <w:lastRenderedPageBreak/>
        <w:t>Issue for comment</w:t>
      </w:r>
      <w:bookmarkEnd w:id="2"/>
      <w:bookmarkEnd w:id="3"/>
      <w:bookmarkEnd w:id="4"/>
    </w:p>
    <w:p w14:paraId="64074DF3" w14:textId="77777777" w:rsidR="00B34145" w:rsidRPr="008736B5" w:rsidRDefault="00B34145" w:rsidP="00B34145">
      <w:pPr>
        <w:spacing w:after="80"/>
        <w:rPr>
          <w:rFonts w:cs="Arial"/>
          <w:i/>
        </w:rPr>
      </w:pPr>
      <w:bookmarkStart w:id="5" w:name="_Hlk20815334"/>
      <w:bookmarkStart w:id="6" w:name="_Toc16685780"/>
      <w:r w:rsidRPr="00190673">
        <w:rPr>
          <w:rFonts w:cs="Arial"/>
        </w:rPr>
        <w:t xml:space="preserve">The ACMA invites comments on the </w:t>
      </w:r>
      <w:r>
        <w:t>proposed amendment to Schedule 1 of the Foreign Space Objects Determination to include the following entities as owners, controllers or operators of foreign space objects:</w:t>
      </w:r>
    </w:p>
    <w:p w14:paraId="074644B0" w14:textId="77777777" w:rsidR="00B34145" w:rsidRPr="0079215D" w:rsidRDefault="00B34145" w:rsidP="004D6878">
      <w:pPr>
        <w:pStyle w:val="Bulletlevel1"/>
      </w:pPr>
      <w:bookmarkStart w:id="7" w:name="_Hlk21519812"/>
      <w:r w:rsidRPr="0079215D">
        <w:t>Kepler Communications Inc. (incorporated in Canada)</w:t>
      </w:r>
    </w:p>
    <w:bookmarkEnd w:id="7"/>
    <w:p w14:paraId="2DC5CC83" w14:textId="57F39792" w:rsidR="00B34145" w:rsidRPr="0079215D" w:rsidRDefault="00BC2353">
      <w:pPr>
        <w:pStyle w:val="Bulletlevel1"/>
      </w:pPr>
      <w:r>
        <w:t xml:space="preserve">SpaceX </w:t>
      </w:r>
      <w:r w:rsidR="008C606F">
        <w:t>Services,</w:t>
      </w:r>
      <w:r>
        <w:t xml:space="preserve"> Inc</w:t>
      </w:r>
      <w:r w:rsidR="00B34145" w:rsidRPr="0079215D">
        <w:t>. (incorporated in the United States of America)</w:t>
      </w:r>
    </w:p>
    <w:p w14:paraId="18437663" w14:textId="16239AF5" w:rsidR="00B34145" w:rsidRDefault="00B34145" w:rsidP="008C606F">
      <w:pPr>
        <w:pStyle w:val="Bulletlevel1"/>
      </w:pPr>
      <w:r w:rsidRPr="0079215D">
        <w:t>Swarm Technologies</w:t>
      </w:r>
      <w:r w:rsidRPr="0079215D" w:rsidDel="00FC330F">
        <w:t>,</w:t>
      </w:r>
      <w:r w:rsidRPr="0079215D">
        <w:t xml:space="preserve"> Inc. (incorporated in the United States of </w:t>
      </w:r>
      <w:bookmarkEnd w:id="5"/>
      <w:r w:rsidRPr="0079215D">
        <w:t>America)</w:t>
      </w:r>
      <w:r w:rsidR="004D6878">
        <w:t>.</w:t>
      </w:r>
    </w:p>
    <w:p w14:paraId="082DC81C" w14:textId="1D04BCC7" w:rsidR="005E250B" w:rsidRPr="00C35CCE" w:rsidRDefault="006A57F8" w:rsidP="005E250B">
      <w:pPr>
        <w:pStyle w:val="Heading1"/>
      </w:pPr>
      <w:bookmarkStart w:id="8" w:name="_Toc22212558"/>
      <w:bookmarkEnd w:id="6"/>
      <w:r>
        <w:lastRenderedPageBreak/>
        <w:t>Introduction</w:t>
      </w:r>
      <w:bookmarkEnd w:id="8"/>
    </w:p>
    <w:p w14:paraId="4F1922A5" w14:textId="6A0A12F3" w:rsidR="006A57F8" w:rsidRDefault="006A57F8" w:rsidP="00B34145">
      <w:pPr>
        <w:rPr>
          <w:rFonts w:cs="Arial"/>
        </w:rPr>
      </w:pPr>
      <w:bookmarkStart w:id="9" w:name="_Toc16685794"/>
      <w:r>
        <w:rPr>
          <w:rFonts w:cs="Arial"/>
        </w:rPr>
        <w:t>The ACMA has been approached by three foreign satellite operators</w:t>
      </w:r>
      <w:r w:rsidR="0089779A">
        <w:rPr>
          <w:rFonts w:eastAsiaTheme="minorHAnsi" w:cs="Arial"/>
          <w:szCs w:val="20"/>
        </w:rPr>
        <w:t>—Kepler Communications (Canada), SpaceX (USA) and Swarm Technologies (USA)—</w:t>
      </w:r>
      <w:r>
        <w:rPr>
          <w:rFonts w:cs="Arial"/>
        </w:rPr>
        <w:t xml:space="preserve">who are </w:t>
      </w:r>
      <w:r w:rsidR="0089779A">
        <w:rPr>
          <w:rFonts w:cs="Arial"/>
        </w:rPr>
        <w:t>preparing</w:t>
      </w:r>
      <w:r>
        <w:rPr>
          <w:rFonts w:cs="Arial"/>
        </w:rPr>
        <w:t xml:space="preserve"> to deliver satellite-based communication services in Australia. These operators are seeking regulatory approval to operate their services in Australia in accordance with the provisions of the</w:t>
      </w:r>
      <w:r w:rsidR="00B06A25">
        <w:rPr>
          <w:rFonts w:cs="Arial"/>
        </w:rPr>
        <w:t xml:space="preserve"> Rad</w:t>
      </w:r>
      <w:r w:rsidR="00C7639C">
        <w:rPr>
          <w:rFonts w:cs="Arial"/>
        </w:rPr>
        <w:t>io</w:t>
      </w:r>
      <w:r w:rsidR="00B06A25">
        <w:rPr>
          <w:rFonts w:cs="Arial"/>
        </w:rPr>
        <w:t>comm</w:t>
      </w:r>
      <w:r w:rsidR="00C7639C">
        <w:rPr>
          <w:rFonts w:cs="Arial"/>
        </w:rPr>
        <w:t>unications</w:t>
      </w:r>
      <w:r w:rsidR="00B06A25">
        <w:rPr>
          <w:rFonts w:cs="Arial"/>
        </w:rPr>
        <w:t xml:space="preserve"> Act</w:t>
      </w:r>
      <w:r w:rsidR="0089779A">
        <w:rPr>
          <w:rFonts w:cs="Arial"/>
          <w:i/>
          <w:iCs/>
        </w:rPr>
        <w:t xml:space="preserve">. </w:t>
      </w:r>
    </w:p>
    <w:p w14:paraId="0E1595E9" w14:textId="5C8C54D9" w:rsidR="00431926" w:rsidRDefault="00431926" w:rsidP="00E7618E">
      <w:pPr>
        <w:pStyle w:val="Paragraphbeforelist"/>
      </w:pPr>
      <w:r>
        <w:t>Th</w:t>
      </w:r>
      <w:r w:rsidR="004429C4">
        <w:t>is</w:t>
      </w:r>
      <w:r>
        <w:t xml:space="preserve"> paper</w:t>
      </w:r>
      <w:r w:rsidR="0089779A">
        <w:t xml:space="preserve"> </w:t>
      </w:r>
      <w:r w:rsidR="006406B4">
        <w:t>presents</w:t>
      </w:r>
      <w:r>
        <w:t>:</w:t>
      </w:r>
    </w:p>
    <w:p w14:paraId="7CB17482" w14:textId="66110351" w:rsidR="004429C4" w:rsidRDefault="0089779A" w:rsidP="00E7618E">
      <w:pPr>
        <w:pStyle w:val="Bulletlevel1"/>
      </w:pPr>
      <w:r>
        <w:t xml:space="preserve">an introduction to the </w:t>
      </w:r>
      <w:r w:rsidR="00431926">
        <w:t xml:space="preserve">Australian </w:t>
      </w:r>
      <w:r>
        <w:t>ra</w:t>
      </w:r>
      <w:r w:rsidR="00431926">
        <w:t>diocommunications licensing regime</w:t>
      </w:r>
      <w:r w:rsidR="004429C4">
        <w:t>, as it applies to space-based communication systems and foreign space objects</w:t>
      </w:r>
    </w:p>
    <w:p w14:paraId="4CCC7541" w14:textId="7019FDC7" w:rsidR="0089779A" w:rsidRDefault="004429C4" w:rsidP="004429C4">
      <w:pPr>
        <w:pStyle w:val="Bulletlevel1"/>
      </w:pPr>
      <w:r>
        <w:t>proposed regulatory amendments</w:t>
      </w:r>
    </w:p>
    <w:p w14:paraId="763E7EF4" w14:textId="5617B570" w:rsidR="004429C4" w:rsidRDefault="004429C4" w:rsidP="004429C4">
      <w:pPr>
        <w:pStyle w:val="Bulletlevel1"/>
      </w:pPr>
      <w:r>
        <w:t>an overview of the satellite operators</w:t>
      </w:r>
      <w:r w:rsidR="005E6838">
        <w:t xml:space="preserve"> and their proposed services</w:t>
      </w:r>
      <w:r w:rsidR="00B614E7">
        <w:t>.</w:t>
      </w:r>
    </w:p>
    <w:p w14:paraId="13A0F603" w14:textId="48DE34F2" w:rsidR="006A57F8" w:rsidRDefault="00B06A25" w:rsidP="00B06A25">
      <w:pPr>
        <w:pStyle w:val="Heading2"/>
      </w:pPr>
      <w:bookmarkStart w:id="10" w:name="_Toc22212559"/>
      <w:r>
        <w:t>Radiocommunications licensing</w:t>
      </w:r>
      <w:bookmarkEnd w:id="10"/>
    </w:p>
    <w:p w14:paraId="52A07803" w14:textId="55C2679C" w:rsidR="00B06A25" w:rsidRDefault="00B06A25" w:rsidP="00E7618E">
      <w:pPr>
        <w:pStyle w:val="Paragraph"/>
      </w:pPr>
      <w:r w:rsidRPr="00400A41">
        <w:t>The Radiocommunications Act prohibits the operation of a radiocommunications device in Australia</w:t>
      </w:r>
      <w:r w:rsidR="00D27630">
        <w:t>,</w:t>
      </w:r>
      <w:r w:rsidRPr="00400A41">
        <w:t xml:space="preserve"> unless authorised by a relevant licence issued by the ACMA.</w:t>
      </w:r>
      <w:r>
        <w:t xml:space="preserve"> The ACMA’s licensing arrangements authorise the use of the spectrum by </w:t>
      </w:r>
      <w:proofErr w:type="gramStart"/>
      <w:r>
        <w:t>particular persons</w:t>
      </w:r>
      <w:proofErr w:type="gramEnd"/>
      <w:r>
        <w:t xml:space="preserve"> or devices, within the parameters set out by the planning framework. </w:t>
      </w:r>
    </w:p>
    <w:p w14:paraId="7128EF1E" w14:textId="370A9F05" w:rsidR="00B06A25" w:rsidRDefault="00C7639C" w:rsidP="00E7618E">
      <w:pPr>
        <w:pStyle w:val="Paragraph"/>
      </w:pPr>
      <w:r>
        <w:t>Parts 3.2</w:t>
      </w:r>
      <w:r w:rsidR="00D27630">
        <w:t>–</w:t>
      </w:r>
      <w:r>
        <w:t>3.4 of t</w:t>
      </w:r>
      <w:r w:rsidR="00B06A25">
        <w:t>he Radiocommunications Act define three types of licences</w:t>
      </w:r>
      <w:r w:rsidR="00D27630">
        <w:t>:</w:t>
      </w:r>
      <w:r w:rsidR="00B06A25">
        <w:t xml:space="preserve"> </w:t>
      </w:r>
      <w:r w:rsidR="00C26322">
        <w:t>s</w:t>
      </w:r>
      <w:r w:rsidR="00B06A25">
        <w:t xml:space="preserve">pectrum, apparatus and class licence. </w:t>
      </w:r>
    </w:p>
    <w:p w14:paraId="4A6A3E8B" w14:textId="53910CD9" w:rsidR="00B06A25" w:rsidRDefault="00B06A25" w:rsidP="00E7618E">
      <w:pPr>
        <w:pStyle w:val="Paragraph"/>
      </w:pPr>
      <w:r w:rsidRPr="00FC330F">
        <w:rPr>
          <w:i/>
        </w:rPr>
        <w:t>Spectrum licences</w:t>
      </w:r>
      <w:r>
        <w:t xml:space="preserve"> </w:t>
      </w:r>
      <w:r w:rsidR="00050917" w:rsidRPr="00872271">
        <w:t xml:space="preserve">authorise the use </w:t>
      </w:r>
      <w:r w:rsidR="00050917">
        <w:t xml:space="preserve">of a </w:t>
      </w:r>
      <w:r w:rsidR="00050917" w:rsidRPr="00872271">
        <w:t xml:space="preserve">specified frequency </w:t>
      </w:r>
      <w:r w:rsidR="00050917">
        <w:t>range</w:t>
      </w:r>
      <w:r w:rsidR="00050917" w:rsidRPr="00872271">
        <w:t xml:space="preserve"> anywhere within the geographic and frequency boundaries of the spectrum space. </w:t>
      </w:r>
      <w:r w:rsidR="00050917">
        <w:t xml:space="preserve">While the technical framework for the spectrum band may be optimised for a particular use, licensees are free to operate radiocommunications devices in this spectrum space for any service that satisfies the conditions of the licence and technical framework for the band. </w:t>
      </w:r>
      <w:r w:rsidR="00050917" w:rsidRPr="00872271">
        <w:t xml:space="preserve">Spectrum licences are </w:t>
      </w:r>
      <w:r w:rsidR="00050917">
        <w:t xml:space="preserve">generally </w:t>
      </w:r>
      <w:r w:rsidR="00050917" w:rsidRPr="00872271">
        <w:t>tradeable</w:t>
      </w:r>
      <w:r w:rsidR="00050917">
        <w:t xml:space="preserve"> in full or in part. </w:t>
      </w:r>
      <w:r>
        <w:t xml:space="preserve">Spectrum licences are most commonly used to authorise </w:t>
      </w:r>
      <w:r w:rsidR="009E4F4E">
        <w:t>wide</w:t>
      </w:r>
      <w:r w:rsidR="00DA2643">
        <w:t>-</w:t>
      </w:r>
      <w:r w:rsidR="009E4F4E">
        <w:t>area wireless broadband</w:t>
      </w:r>
      <w:r w:rsidR="002E35A4">
        <w:t xml:space="preserve"> services</w:t>
      </w:r>
      <w:r w:rsidR="009E4F4E">
        <w:t xml:space="preserve"> such as </w:t>
      </w:r>
      <w:r>
        <w:t xml:space="preserve">mobile phone </w:t>
      </w:r>
      <w:r w:rsidR="00491FB7">
        <w:t xml:space="preserve">and fixed wireless broadband </w:t>
      </w:r>
      <w:r>
        <w:t xml:space="preserve">services. Spectrum licences are issued using a price-based method, through auction, tender or pre-determined or pre-negotiated price, for a period of up to 15 years. </w:t>
      </w:r>
    </w:p>
    <w:p w14:paraId="68EE4305" w14:textId="58074B83" w:rsidR="00B06A25" w:rsidRDefault="00B06A25" w:rsidP="00E7618E">
      <w:pPr>
        <w:pStyle w:val="Paragraph"/>
      </w:pPr>
      <w:r w:rsidRPr="00FC330F">
        <w:rPr>
          <w:i/>
        </w:rPr>
        <w:t>Apparatus licences</w:t>
      </w:r>
      <w:r>
        <w:t xml:space="preserve"> </w:t>
      </w:r>
      <w:r w:rsidR="00050917">
        <w:t xml:space="preserve">are a type of individual licence that may be issued to a person to authorise the operation of a radiocommunications device. Most commonly they </w:t>
      </w:r>
      <w:r w:rsidR="00050917" w:rsidRPr="00872271">
        <w:t xml:space="preserve">authorise the licensee to use a specified device in a specified frequency </w:t>
      </w:r>
      <w:r w:rsidR="00050917">
        <w:t>range</w:t>
      </w:r>
      <w:r w:rsidR="00050917" w:rsidRPr="00872271">
        <w:t>, generally at a specified location</w:t>
      </w:r>
      <w:r w:rsidR="00050917">
        <w:t xml:space="preserve"> and for a </w:t>
      </w:r>
      <w:proofErr w:type="gramStart"/>
      <w:r w:rsidR="00050917">
        <w:t>particular type of service</w:t>
      </w:r>
      <w:proofErr w:type="gramEnd"/>
      <w:r w:rsidR="00050917" w:rsidRPr="00872271">
        <w:t xml:space="preserve">. Apparatus licences are the most common </w:t>
      </w:r>
      <w:r w:rsidR="00C26322">
        <w:t>type</w:t>
      </w:r>
      <w:r w:rsidR="00050917" w:rsidRPr="00872271">
        <w:t xml:space="preserve"> of licence issued by the ACMA</w:t>
      </w:r>
      <w:r w:rsidR="007969AD">
        <w:t>.</w:t>
      </w:r>
    </w:p>
    <w:p w14:paraId="178DFF92" w14:textId="2AE8B5B6" w:rsidR="00B06A25" w:rsidRDefault="00B06A25" w:rsidP="00E7618E">
      <w:pPr>
        <w:pStyle w:val="Paragraph"/>
      </w:pPr>
      <w:r w:rsidRPr="00FC330F">
        <w:rPr>
          <w:i/>
        </w:rPr>
        <w:t>Class licences</w:t>
      </w:r>
      <w:r>
        <w:t xml:space="preserve"> </w:t>
      </w:r>
      <w:r w:rsidR="00050917" w:rsidRPr="00872271">
        <w:t xml:space="preserve">provide broad spectrum access arrangements that are open to all users and </w:t>
      </w:r>
      <w:r w:rsidR="00050917">
        <w:t xml:space="preserve">generally </w:t>
      </w:r>
      <w:r w:rsidR="00050917" w:rsidRPr="00872271">
        <w:t xml:space="preserve">operate on the basis that users are not provided with protection from interference. </w:t>
      </w:r>
      <w:r w:rsidR="00050917">
        <w:t xml:space="preserve">They </w:t>
      </w:r>
      <w:r w:rsidR="00050917" w:rsidRPr="007C42CA">
        <w:t xml:space="preserve">are </w:t>
      </w:r>
      <w:r w:rsidR="00050917">
        <w:t xml:space="preserve">made by way of legislative instrument, authorising anyone who complies with the requirements of that instrument to operate a </w:t>
      </w:r>
      <w:proofErr w:type="gramStart"/>
      <w:r w:rsidR="00050917">
        <w:t>particular radiocommunications</w:t>
      </w:r>
      <w:proofErr w:type="gramEnd"/>
      <w:r w:rsidR="00050917">
        <w:t xml:space="preserve"> device </w:t>
      </w:r>
      <w:r w:rsidR="00050917" w:rsidRPr="007C42CA">
        <w:t xml:space="preserve">without the need to apply to the ACMA </w:t>
      </w:r>
      <w:r w:rsidR="00050917">
        <w:t>or be issued an individual licence.</w:t>
      </w:r>
      <w:r w:rsidR="00050917" w:rsidRPr="007C42CA">
        <w:t xml:space="preserve"> These </w:t>
      </w:r>
      <w:r w:rsidR="00050917">
        <w:t>requirements</w:t>
      </w:r>
      <w:r w:rsidR="00050917" w:rsidRPr="007C42CA">
        <w:t xml:space="preserve"> </w:t>
      </w:r>
      <w:r w:rsidR="00050917">
        <w:t xml:space="preserve">may relate to the type of radiocommunications device that can be used, the technical parameters that apply and for what purposes it may be operated. Class licences </w:t>
      </w:r>
      <w:r>
        <w:t>authorise users to operate devices (such Wi-Fi networks, Bluetooth devices and some satellite user terminals), provided the device complies with the licence conditions. Class licences establish parts of the spectrum as commons, do not involve licence fees and provide users with no protection from interference.</w:t>
      </w:r>
    </w:p>
    <w:p w14:paraId="3D9234F8" w14:textId="0437DB6B" w:rsidR="00B06A25" w:rsidRDefault="00B06A25" w:rsidP="00E7618E">
      <w:pPr>
        <w:pStyle w:val="Paragraph"/>
      </w:pPr>
      <w:r w:rsidRPr="00BE081A">
        <w:lastRenderedPageBreak/>
        <w:t xml:space="preserve">The ACMA maintains a </w:t>
      </w:r>
      <w:r w:rsidRPr="009C6B6F">
        <w:t xml:space="preserve">public </w:t>
      </w:r>
      <w:hyperlink r:id="rId28" w:history="1">
        <w:r w:rsidRPr="00B06A25">
          <w:rPr>
            <w:rStyle w:val="Hyperlink"/>
          </w:rPr>
          <w:t>register of radiocommunications licences</w:t>
        </w:r>
      </w:hyperlink>
      <w:r w:rsidRPr="00BE081A">
        <w:t xml:space="preserve">, which includes frequency registrations for most apparatus and spectrum licences. </w:t>
      </w:r>
    </w:p>
    <w:p w14:paraId="2B1C6565" w14:textId="406B7F33" w:rsidR="006A57F8" w:rsidRDefault="006A57F8" w:rsidP="00B34145">
      <w:pPr>
        <w:pStyle w:val="Heading2"/>
      </w:pPr>
      <w:bookmarkStart w:id="11" w:name="_Toc22212560"/>
      <w:bookmarkStart w:id="12" w:name="_Toc508118820"/>
      <w:bookmarkStart w:id="13" w:name="_Toc20494210"/>
      <w:bookmarkStart w:id="14" w:name="_Toc348105635"/>
      <w:bookmarkStart w:id="15" w:name="_Toc442879668"/>
      <w:r>
        <w:t>Licensing of space-based communication systems</w:t>
      </w:r>
      <w:bookmarkEnd w:id="11"/>
    </w:p>
    <w:p w14:paraId="1095CA56" w14:textId="7DBC93E0" w:rsidR="004429C4" w:rsidRDefault="004429C4" w:rsidP="005E6838">
      <w:pPr>
        <w:pStyle w:val="Paragraph"/>
      </w:pPr>
      <w:r w:rsidRPr="00BE081A">
        <w:t>A</w:t>
      </w:r>
      <w:r>
        <w:t>s for all other types of radiocommunications, a</w:t>
      </w:r>
      <w:r w:rsidRPr="00BE081A">
        <w:t xml:space="preserve"> space-based radiocommunications </w:t>
      </w:r>
      <w:r>
        <w:t>system</w:t>
      </w:r>
      <w:r w:rsidRPr="00BE081A">
        <w:t xml:space="preserve"> </w:t>
      </w:r>
      <w:r>
        <w:t>may not</w:t>
      </w:r>
      <w:r w:rsidRPr="00BE081A">
        <w:t xml:space="preserve"> be operated in Australia without a licence.</w:t>
      </w:r>
      <w:r>
        <w:t xml:space="preserve"> In general, there are two broad options for licensing of space systems in Australia.</w:t>
      </w:r>
    </w:p>
    <w:p w14:paraId="5D800634" w14:textId="56D9FEDE" w:rsidR="004429C4" w:rsidRDefault="004429C4" w:rsidP="005E6838">
      <w:pPr>
        <w:pStyle w:val="Paragraph"/>
      </w:pPr>
      <w:r>
        <w:t>The first option requires o</w:t>
      </w:r>
      <w:r w:rsidRPr="0079655E">
        <w:t xml:space="preserve">perators </w:t>
      </w:r>
      <w:r>
        <w:t xml:space="preserve">to obtain apparatus </w:t>
      </w:r>
      <w:r w:rsidRPr="0079655E">
        <w:t>licence</w:t>
      </w:r>
      <w:r>
        <w:t>s</w:t>
      </w:r>
      <w:r w:rsidRPr="0079655E">
        <w:t xml:space="preserve"> </w:t>
      </w:r>
      <w:r>
        <w:t xml:space="preserve">for </w:t>
      </w:r>
      <w:r w:rsidRPr="0079655E">
        <w:t>each of their earth stations individually</w:t>
      </w:r>
      <w:r>
        <w:t xml:space="preserve">: </w:t>
      </w:r>
      <w:r w:rsidRPr="0079655E">
        <w:t xml:space="preserve">an </w:t>
      </w:r>
      <w:r w:rsidRPr="00FC330F">
        <w:rPr>
          <w:i/>
        </w:rPr>
        <w:t>earth licence</w:t>
      </w:r>
      <w:r w:rsidRPr="0079655E">
        <w:t xml:space="preserve"> for the uplink and an </w:t>
      </w:r>
      <w:r w:rsidRPr="00FC330F">
        <w:rPr>
          <w:i/>
        </w:rPr>
        <w:t>earth receive licence</w:t>
      </w:r>
      <w:r w:rsidRPr="0079655E">
        <w:t xml:space="preserve"> for the downlink.</w:t>
      </w:r>
      <w:r>
        <w:t xml:space="preserve"> Under this approach, a licence is not required for the space stations aboard a satellite. </w:t>
      </w:r>
    </w:p>
    <w:p w14:paraId="137AE53D" w14:textId="5C62014D" w:rsidR="004429C4" w:rsidRDefault="004429C4" w:rsidP="00CB55A4">
      <w:pPr>
        <w:pStyle w:val="Paragraph"/>
      </w:pPr>
      <w:r>
        <w:t xml:space="preserve">The second option involves a combination of apparatus and class licences. In certain bands specified in the </w:t>
      </w:r>
      <w:r w:rsidR="00B0526C">
        <w:rPr>
          <w:rFonts w:eastAsiaTheme="minorHAnsi"/>
          <w:szCs w:val="20"/>
        </w:rPr>
        <w:t>Communication</w:t>
      </w:r>
      <w:r w:rsidR="00840CFE">
        <w:rPr>
          <w:rFonts w:eastAsiaTheme="minorHAnsi"/>
          <w:szCs w:val="20"/>
        </w:rPr>
        <w:t xml:space="preserve"> with</w:t>
      </w:r>
      <w:r w:rsidR="00B0526C">
        <w:rPr>
          <w:rFonts w:eastAsiaTheme="minorHAnsi"/>
          <w:szCs w:val="20"/>
        </w:rPr>
        <w:t xml:space="preserve"> </w:t>
      </w:r>
      <w:r w:rsidRPr="007F306B">
        <w:t>Space Object Class Licence</w:t>
      </w:r>
      <w:r>
        <w:t xml:space="preserve">, </w:t>
      </w:r>
      <w:r w:rsidR="000566C8">
        <w:t xml:space="preserve">it requires </w:t>
      </w:r>
      <w:r>
        <w:t xml:space="preserve">operators </w:t>
      </w:r>
      <w:r w:rsidR="000566C8">
        <w:t xml:space="preserve">to </w:t>
      </w:r>
      <w:r w:rsidR="00B0526C">
        <w:t xml:space="preserve">obtain a </w:t>
      </w:r>
      <w:r>
        <w:t xml:space="preserve">licence </w:t>
      </w:r>
      <w:r w:rsidR="00B0526C">
        <w:t xml:space="preserve">for </w:t>
      </w:r>
      <w:r>
        <w:t xml:space="preserve">the space stations aboard a satellite with a </w:t>
      </w:r>
      <w:r w:rsidRPr="00FC330F">
        <w:rPr>
          <w:i/>
        </w:rPr>
        <w:t>space licence</w:t>
      </w:r>
      <w:r w:rsidRPr="00D7793A">
        <w:rPr>
          <w:iCs/>
        </w:rPr>
        <w:t xml:space="preserve"> </w:t>
      </w:r>
      <w:r>
        <w:t xml:space="preserve">for the downlink and a </w:t>
      </w:r>
      <w:r w:rsidRPr="00FC330F">
        <w:rPr>
          <w:i/>
        </w:rPr>
        <w:t>space receive licence</w:t>
      </w:r>
      <w:r>
        <w:t xml:space="preserve"> for the uplink. Earth stations in the network are then automatically authorised collectively under </w:t>
      </w:r>
      <w:bookmarkStart w:id="16" w:name="_Hlk347270"/>
      <w:r>
        <w:t>the</w:t>
      </w:r>
      <w:bookmarkEnd w:id="16"/>
      <w:r>
        <w:t xml:space="preserve"> </w:t>
      </w:r>
      <w:r w:rsidR="004A2BB1">
        <w:t xml:space="preserve">Communication with </w:t>
      </w:r>
      <w:r w:rsidRPr="007F306B">
        <w:t>Space Object Class Licence</w:t>
      </w:r>
      <w:r>
        <w:t>. This</w:t>
      </w:r>
      <w:r w:rsidRPr="009E3086">
        <w:t xml:space="preserve"> ap</w:t>
      </w:r>
      <w:bookmarkStart w:id="17" w:name="_GoBack"/>
      <w:bookmarkEnd w:id="17"/>
      <w:r w:rsidRPr="009E3086">
        <w:t xml:space="preserve">proach is typically used </w:t>
      </w:r>
      <w:r>
        <w:t>for</w:t>
      </w:r>
      <w:r w:rsidRPr="009E3086">
        <w:t xml:space="preserve"> satellite systems with numerous or ubiquitous earth stations. </w:t>
      </w:r>
      <w:r>
        <w:t>It</w:t>
      </w:r>
      <w:r w:rsidRPr="009E3086">
        <w:t xml:space="preserve"> provides an efficient means of licensing </w:t>
      </w:r>
      <w:proofErr w:type="gramStart"/>
      <w:r w:rsidRPr="009E3086">
        <w:t>a large number of</w:t>
      </w:r>
      <w:proofErr w:type="gramEnd"/>
      <w:r w:rsidRPr="009E3086">
        <w:t xml:space="preserve"> earth stations, avoiding the need to obtain a licence for every earth station in a satellite system.</w:t>
      </w:r>
      <w:r>
        <w:t xml:space="preserve"> </w:t>
      </w:r>
    </w:p>
    <w:p w14:paraId="3458A616" w14:textId="17F8995B" w:rsidR="005E6838" w:rsidRPr="006A57F8" w:rsidRDefault="005E6838" w:rsidP="005E6838">
      <w:pPr>
        <w:pStyle w:val="Paragraph"/>
      </w:pPr>
      <w:r>
        <w:t xml:space="preserve">A key requirement irrespective of which approach to licensing is used is that the satellite system must </w:t>
      </w:r>
      <w:r w:rsidR="00A7354B">
        <w:t xml:space="preserve">normally </w:t>
      </w:r>
      <w:r>
        <w:t xml:space="preserve">be filed with the International Telecommunication Union (ITU) by the ACMA or equivalent national administration of an ITU member state.  </w:t>
      </w:r>
    </w:p>
    <w:p w14:paraId="650D5D78" w14:textId="19B2711E" w:rsidR="00B06A25" w:rsidRPr="0008053E" w:rsidRDefault="0008053E" w:rsidP="005E6838">
      <w:pPr>
        <w:pStyle w:val="Paragraph"/>
      </w:pPr>
      <w:r>
        <w:t xml:space="preserve">If an operator wishes to licence a satellite system under the second option, the controlling business entity must first be included in either the </w:t>
      </w:r>
      <w:hyperlink r:id="rId29" w:history="1">
        <w:r w:rsidRPr="00957B3E">
          <w:rPr>
            <w:rStyle w:val="Hyperlink"/>
          </w:rPr>
          <w:t>Radiocommunications (Australian Space Objects) Determination 2014</w:t>
        </w:r>
      </w:hyperlink>
      <w:r w:rsidRPr="00D7793A">
        <w:t xml:space="preserve"> </w:t>
      </w:r>
      <w:r>
        <w:t>or</w:t>
      </w:r>
      <w:r w:rsidR="00C26322">
        <w:t> </w:t>
      </w:r>
      <w:r w:rsidR="00631A7F">
        <w:t>the Foreign Space Objects Determination</w:t>
      </w:r>
      <w:r>
        <w:t>.</w:t>
      </w:r>
      <w:r w:rsidR="005E6838">
        <w:t xml:space="preserve"> The three </w:t>
      </w:r>
      <w:r w:rsidR="009261EA">
        <w:t xml:space="preserve">foreign </w:t>
      </w:r>
      <w:r w:rsidR="005E6838">
        <w:t>satellite operators that are the subject of this paper are seeking authorisation under these arrangements.</w:t>
      </w:r>
      <w:r>
        <w:t xml:space="preserve"> </w:t>
      </w:r>
    </w:p>
    <w:p w14:paraId="038A496A" w14:textId="5458E05A" w:rsidR="00B34145" w:rsidRPr="00151162" w:rsidRDefault="00B34145" w:rsidP="00B34145">
      <w:pPr>
        <w:pStyle w:val="Heading2"/>
      </w:pPr>
      <w:bookmarkStart w:id="18" w:name="_Toc22212561"/>
      <w:r w:rsidRPr="00151162">
        <w:t>Foreign Space Objects Determination</w:t>
      </w:r>
      <w:bookmarkEnd w:id="12"/>
      <w:bookmarkEnd w:id="13"/>
      <w:bookmarkEnd w:id="18"/>
    </w:p>
    <w:p w14:paraId="6B2F1CC8" w14:textId="54849847" w:rsidR="00B34145" w:rsidRPr="0013458E" w:rsidRDefault="00B34145" w:rsidP="00B34145">
      <w:r>
        <w:rPr>
          <w:rFonts w:eastAsiaTheme="minorHAnsi" w:cs="Arial"/>
          <w:szCs w:val="20"/>
        </w:rPr>
        <w:t>The Foreign Space Objects Determination is a legislative instrument made by the ACMA that extends application of the Rad</w:t>
      </w:r>
      <w:r w:rsidR="007969AD">
        <w:rPr>
          <w:rFonts w:eastAsiaTheme="minorHAnsi" w:cs="Arial"/>
          <w:szCs w:val="20"/>
        </w:rPr>
        <w:t>iocommunications</w:t>
      </w:r>
      <w:r>
        <w:rPr>
          <w:rFonts w:eastAsiaTheme="minorHAnsi" w:cs="Arial"/>
          <w:szCs w:val="20"/>
        </w:rPr>
        <w:t xml:space="preserve"> Act to space objects owned, controlled or operated by foreign business entities listed in the determination. This has the effect of requiring radiocommunication between these space objects and earth stations inside Australia to be authorised by a licence issued by the ACMA.</w:t>
      </w:r>
      <w:r w:rsidRPr="0013458E">
        <w:t xml:space="preserve"> </w:t>
      </w:r>
    </w:p>
    <w:p w14:paraId="73C7D75D" w14:textId="7DD2B029" w:rsidR="005E6838" w:rsidRDefault="00E7618E" w:rsidP="00B34145">
      <w:pPr>
        <w:spacing w:after="160" w:line="256" w:lineRule="auto"/>
        <w:rPr>
          <w:rFonts w:eastAsiaTheme="minorHAnsi" w:cs="Arial"/>
          <w:szCs w:val="20"/>
        </w:rPr>
      </w:pPr>
      <w:r>
        <w:rPr>
          <w:rFonts w:eastAsiaTheme="minorHAnsi" w:cs="Arial"/>
          <w:szCs w:val="20"/>
        </w:rPr>
        <w:t>A</w:t>
      </w:r>
      <w:r w:rsidRPr="00E7618E">
        <w:rPr>
          <w:rFonts w:eastAsiaTheme="minorHAnsi" w:cs="Arial"/>
          <w:szCs w:val="20"/>
        </w:rPr>
        <w:t xml:space="preserve"> foreign satellite operator must first be included in </w:t>
      </w:r>
      <w:r>
        <w:rPr>
          <w:rFonts w:eastAsiaTheme="minorHAnsi" w:cs="Arial"/>
          <w:szCs w:val="20"/>
        </w:rPr>
        <w:t>Schedule 1 of the Foreign Space Objects Determination</w:t>
      </w:r>
      <w:r w:rsidRPr="00E7618E">
        <w:rPr>
          <w:rFonts w:eastAsiaTheme="minorHAnsi" w:cs="Arial"/>
          <w:szCs w:val="20"/>
        </w:rPr>
        <w:t xml:space="preserve"> before a satellite network can be licensed to operate in specific shared satellite radiofrequency bands listed in the </w:t>
      </w:r>
      <w:r w:rsidR="00B0526C">
        <w:rPr>
          <w:rFonts w:eastAsiaTheme="minorHAnsi" w:cs="Arial"/>
          <w:szCs w:val="20"/>
        </w:rPr>
        <w:t xml:space="preserve">Communications with </w:t>
      </w:r>
      <w:r w:rsidRPr="00E7618E">
        <w:rPr>
          <w:rFonts w:eastAsiaTheme="minorHAnsi" w:cs="Arial"/>
          <w:szCs w:val="20"/>
        </w:rPr>
        <w:t>Space Object Class Licence</w:t>
      </w:r>
      <w:r>
        <w:rPr>
          <w:rFonts w:eastAsiaTheme="minorHAnsi" w:cs="Arial"/>
          <w:szCs w:val="20"/>
        </w:rPr>
        <w:t>.</w:t>
      </w:r>
    </w:p>
    <w:p w14:paraId="0970041E" w14:textId="20657FEB" w:rsidR="00B34145" w:rsidRPr="00130540" w:rsidRDefault="00B34145" w:rsidP="00B34145">
      <w:pPr>
        <w:spacing w:after="160" w:line="256" w:lineRule="auto"/>
        <w:rPr>
          <w:rFonts w:eastAsiaTheme="minorHAnsi" w:cs="Arial"/>
          <w:szCs w:val="20"/>
        </w:rPr>
      </w:pPr>
      <w:r>
        <w:rPr>
          <w:rFonts w:eastAsiaTheme="minorHAnsi" w:cs="Arial"/>
          <w:szCs w:val="20"/>
        </w:rPr>
        <w:t xml:space="preserve">Inclusion of an entity in the Foreign Space Objects Determination does not confer a right on that entity to </w:t>
      </w:r>
      <w:r w:rsidR="00E7618E">
        <w:rPr>
          <w:rFonts w:eastAsiaTheme="minorHAnsi" w:cs="Arial"/>
          <w:szCs w:val="20"/>
        </w:rPr>
        <w:t xml:space="preserve">obtain </w:t>
      </w:r>
      <w:r>
        <w:rPr>
          <w:rFonts w:eastAsiaTheme="minorHAnsi" w:cs="Arial"/>
          <w:szCs w:val="20"/>
        </w:rPr>
        <w:t xml:space="preserve">a licence nor operate in frequency bands identified in the space object class licence. Rather, it </w:t>
      </w:r>
      <w:r w:rsidR="00C7639C">
        <w:rPr>
          <w:rFonts w:eastAsiaTheme="minorHAnsi" w:cs="Arial"/>
          <w:szCs w:val="20"/>
        </w:rPr>
        <w:t xml:space="preserve">is </w:t>
      </w:r>
      <w:proofErr w:type="gramStart"/>
      <w:r>
        <w:rPr>
          <w:rFonts w:eastAsiaTheme="minorHAnsi" w:cs="Arial"/>
          <w:szCs w:val="20"/>
        </w:rPr>
        <w:t>a necessary prerequisite</w:t>
      </w:r>
      <w:proofErr w:type="gramEnd"/>
      <w:r>
        <w:rPr>
          <w:rFonts w:eastAsiaTheme="minorHAnsi" w:cs="Arial"/>
          <w:szCs w:val="20"/>
        </w:rPr>
        <w:t xml:space="preserve"> that must be in place before a space apparatus licence can be issued.</w:t>
      </w:r>
    </w:p>
    <w:p w14:paraId="295AB643" w14:textId="2B6DEB4D" w:rsidR="00B34145" w:rsidRPr="0059502C" w:rsidRDefault="00431926" w:rsidP="005E6838">
      <w:pPr>
        <w:rPr>
          <w:rFonts w:cs="Arial"/>
        </w:rPr>
      </w:pPr>
      <w:r w:rsidRPr="00431926">
        <w:rPr>
          <w:rFonts w:cs="Arial"/>
        </w:rPr>
        <w:t xml:space="preserve">Before varying the Foreign Space Objects Determination, the ACMA must undertake </w:t>
      </w:r>
      <w:r w:rsidR="0059502C">
        <w:rPr>
          <w:rFonts w:cs="Arial"/>
        </w:rPr>
        <w:t xml:space="preserve">consultation in accordance with the requirements of the </w:t>
      </w:r>
      <w:r w:rsidR="0059502C">
        <w:rPr>
          <w:rFonts w:cs="Arial"/>
          <w:i/>
          <w:iCs/>
        </w:rPr>
        <w:t>Legislation Act 2003</w:t>
      </w:r>
      <w:r w:rsidR="0059502C">
        <w:rPr>
          <w:rFonts w:cs="Arial"/>
        </w:rPr>
        <w:t>.</w:t>
      </w:r>
    </w:p>
    <w:p w14:paraId="0AF2CA72" w14:textId="524E2692" w:rsidR="00EA3707" w:rsidRDefault="00C13DBF" w:rsidP="00152D53">
      <w:pPr>
        <w:pStyle w:val="Heading1"/>
      </w:pPr>
      <w:bookmarkStart w:id="19" w:name="_Toc22212562"/>
      <w:r>
        <w:lastRenderedPageBreak/>
        <w:t>Proposed amendments to the Foreign Space Objects Determination</w:t>
      </w:r>
      <w:bookmarkEnd w:id="19"/>
    </w:p>
    <w:p w14:paraId="33665084" w14:textId="77777777" w:rsidR="0065160E" w:rsidRDefault="0065160E" w:rsidP="00C32755">
      <w:pPr>
        <w:spacing w:after="80"/>
      </w:pPr>
      <w:r>
        <w:t>The ACMA proposes to amend the Foreign Space Objects Determination to include the following three foreign commercial business entities in Schedule 1:</w:t>
      </w:r>
    </w:p>
    <w:p w14:paraId="204610BC" w14:textId="0D8CCBFF" w:rsidR="0065160E" w:rsidRDefault="0065160E" w:rsidP="00906052">
      <w:pPr>
        <w:pStyle w:val="Bulletlevel1"/>
      </w:pPr>
      <w:r>
        <w:t>Kepler Communications Inc. (incorporated in Canada)</w:t>
      </w:r>
    </w:p>
    <w:p w14:paraId="3AFCAF66" w14:textId="6DAA5075" w:rsidR="0065160E" w:rsidRDefault="0065160E">
      <w:pPr>
        <w:pStyle w:val="Bulletlevel1"/>
      </w:pPr>
      <w:r>
        <w:t>Space</w:t>
      </w:r>
      <w:r w:rsidR="00762F5E">
        <w:t xml:space="preserve">X </w:t>
      </w:r>
      <w:r w:rsidR="00C26322">
        <w:t xml:space="preserve">Services, </w:t>
      </w:r>
      <w:r w:rsidR="00762F5E">
        <w:t>Inc</w:t>
      </w:r>
      <w:r>
        <w:t>. (incorporated in the United States of America)</w:t>
      </w:r>
    </w:p>
    <w:p w14:paraId="120E85F6" w14:textId="7342A175" w:rsidR="00C13DBF" w:rsidRDefault="0065160E" w:rsidP="0065160E">
      <w:pPr>
        <w:pStyle w:val="Bulletlevel1last"/>
      </w:pPr>
      <w:r w:rsidRPr="0065160E">
        <w:t>Swarm Technologies</w:t>
      </w:r>
      <w:r w:rsidRPr="0065160E" w:rsidDel="00FC330F">
        <w:t>,</w:t>
      </w:r>
      <w:r w:rsidRPr="0065160E">
        <w:t xml:space="preserve"> Inc. (incorporated in the United States of America)</w:t>
      </w:r>
      <w:r w:rsidR="00906052">
        <w:t>.</w:t>
      </w:r>
    </w:p>
    <w:p w14:paraId="67334322" w14:textId="541B75F4" w:rsidR="0065160E" w:rsidRDefault="001D2E0C" w:rsidP="0065160E">
      <w:pPr>
        <w:pStyle w:val="Paragraph"/>
      </w:pPr>
      <w:r>
        <w:t xml:space="preserve">The proposed draft </w:t>
      </w:r>
      <w:r w:rsidRPr="00C26322">
        <w:t>Radiocommunications (Foreign Space Objects) Amendment Determination 201</w:t>
      </w:r>
      <w:r w:rsidR="00C7639C" w:rsidRPr="00C26322">
        <w:t>9</w:t>
      </w:r>
      <w:r w:rsidRPr="00C26322">
        <w:t xml:space="preserve"> (No. 1</w:t>
      </w:r>
      <w:r w:rsidRPr="00CE0C63">
        <w:rPr>
          <w:i/>
          <w:iCs/>
        </w:rPr>
        <w:t>)</w:t>
      </w:r>
      <w:r>
        <w:t xml:space="preserve"> (Amendment Determination) would give effect to this amendment if enacted by the ACMA. </w:t>
      </w:r>
    </w:p>
    <w:p w14:paraId="44B11F96" w14:textId="05561CE8" w:rsidR="001D2E0C" w:rsidRPr="001D2E0C" w:rsidRDefault="001D2E0C" w:rsidP="0065160E">
      <w:pPr>
        <w:pStyle w:val="Paragraph"/>
      </w:pPr>
      <w:r>
        <w:t>We invite comment on the</w:t>
      </w:r>
      <w:r w:rsidR="00F67DC8">
        <w:t xml:space="preserve"> proposed draft</w:t>
      </w:r>
      <w:r>
        <w:t xml:space="preserve"> Amendment Determination </w:t>
      </w:r>
      <w:r w:rsidR="00F67DC8">
        <w:t>from interested parties.</w:t>
      </w:r>
    </w:p>
    <w:p w14:paraId="180EE722" w14:textId="587EC313" w:rsidR="00B34145" w:rsidRDefault="00C13DBF" w:rsidP="00EA3707">
      <w:pPr>
        <w:pStyle w:val="Heading1"/>
      </w:pPr>
      <w:bookmarkStart w:id="20" w:name="_Toc22212563"/>
      <w:r>
        <w:lastRenderedPageBreak/>
        <w:t>Overview of satellite operators</w:t>
      </w:r>
      <w:bookmarkEnd w:id="20"/>
    </w:p>
    <w:p w14:paraId="0EC5BF13" w14:textId="77777777" w:rsidR="00B34145" w:rsidRPr="00E42168" w:rsidRDefault="00B34145" w:rsidP="00B534BD">
      <w:pPr>
        <w:pStyle w:val="Heading2"/>
      </w:pPr>
      <w:bookmarkStart w:id="21" w:name="_Toc22212564"/>
      <w:r>
        <w:t>Kepler Communications</w:t>
      </w:r>
      <w:bookmarkEnd w:id="21"/>
    </w:p>
    <w:p w14:paraId="692D7694" w14:textId="2D0F81FA" w:rsidR="00BA1BD6" w:rsidRDefault="00B34145" w:rsidP="00B534BD">
      <w:pPr>
        <w:pStyle w:val="Paragraph"/>
      </w:pPr>
      <w:r>
        <w:t>Kepler Communications Inc. is a privately held company based in Toronto, Canada.</w:t>
      </w:r>
      <w:r w:rsidR="00BA1BD6">
        <w:t xml:space="preserve"> </w:t>
      </w:r>
      <w:r>
        <w:t>Kepler is deploying a constellation of satellites in low-earth orbit (LEO) to</w:t>
      </w:r>
      <w:r w:rsidR="00FE39EC" w:rsidRPr="00FE39EC">
        <w:t xml:space="preserve"> provide multi-service infrastructure capable of supporting non-real-time data connectivity to assets outside cellular network coverage, and to provide a platform for low-data rate communications with remote (IoT) devices</w:t>
      </w:r>
      <w:r>
        <w:t xml:space="preserve">. It will also operate as a real-time relay network for in-space orbital assets. </w:t>
      </w:r>
    </w:p>
    <w:p w14:paraId="133F3272" w14:textId="037D6237" w:rsidR="00163AD8" w:rsidRDefault="00B34145" w:rsidP="00B534BD">
      <w:pPr>
        <w:pStyle w:val="Paragraph"/>
      </w:pPr>
      <w:r>
        <w:t>Kepler’s service will be facilitated by communication with fixed customer antennas capable of tracking Kepler satellites in LEO. Kepler utili</w:t>
      </w:r>
      <w:r w:rsidR="00BA1BD6">
        <w:t>s</w:t>
      </w:r>
      <w:r>
        <w:t>es active beam steering (downlink) and dynamic spectrum spreading to minimi</w:t>
      </w:r>
      <w:r w:rsidR="00BA1BD6">
        <w:t>s</w:t>
      </w:r>
      <w:r>
        <w:t>e interference with other systems operating in its frequency bands.</w:t>
      </w:r>
      <w:r w:rsidR="00F54407">
        <w:t xml:space="preserve"> </w:t>
      </w:r>
      <w:r w:rsidR="00CC5C57">
        <w:t>ITU satellite filings supporting the</w:t>
      </w:r>
      <w:r w:rsidR="00F54407">
        <w:t xml:space="preserve"> Kepler system </w:t>
      </w:r>
      <w:r w:rsidR="00CC5C57">
        <w:t xml:space="preserve">includes the </w:t>
      </w:r>
      <w:r w:rsidR="00F54407">
        <w:t>frequency bands 1980</w:t>
      </w:r>
      <w:r w:rsidR="00073367">
        <w:t>–</w:t>
      </w:r>
      <w:r w:rsidR="00F54407">
        <w:t>2010 MHz</w:t>
      </w:r>
      <w:r w:rsidR="00CC5C57">
        <w:t xml:space="preserve">, </w:t>
      </w:r>
      <w:r w:rsidR="00F54407">
        <w:t>2170</w:t>
      </w:r>
      <w:r w:rsidR="00073367">
        <w:t>–</w:t>
      </w:r>
      <w:r w:rsidR="00F54407">
        <w:t>2</w:t>
      </w:r>
      <w:r w:rsidR="00CC5C57">
        <w:t>2</w:t>
      </w:r>
      <w:r w:rsidR="00F54407">
        <w:t>00 MHz</w:t>
      </w:r>
      <w:r w:rsidR="00CC5C57">
        <w:t>, 10.7</w:t>
      </w:r>
      <w:r w:rsidR="00073367">
        <w:t>–</w:t>
      </w:r>
      <w:r w:rsidR="00CC5C57">
        <w:t>12.7 GHz and 14</w:t>
      </w:r>
      <w:r w:rsidR="00073367">
        <w:t>–</w:t>
      </w:r>
      <w:r w:rsidR="00CC5C57">
        <w:t>14.5 GHz.</w:t>
      </w:r>
    </w:p>
    <w:p w14:paraId="5DA45DAB" w14:textId="005C7CB7" w:rsidR="00B34145" w:rsidRPr="00E42168" w:rsidRDefault="00B34145" w:rsidP="00B534BD">
      <w:pPr>
        <w:pStyle w:val="Heading2"/>
      </w:pPr>
      <w:bookmarkStart w:id="22" w:name="_Toc22212565"/>
      <w:r w:rsidRPr="00E42168">
        <w:t>SpaceX</w:t>
      </w:r>
      <w:bookmarkEnd w:id="22"/>
    </w:p>
    <w:p w14:paraId="09DF9FD9" w14:textId="39DD7A10" w:rsidR="00B34145" w:rsidRDefault="00B34145" w:rsidP="00BC2353">
      <w:r>
        <w:t>Space Exploration Technologies Corp., trading as SpaceX,</w:t>
      </w:r>
      <w:r w:rsidR="00C34DC5">
        <w:t xml:space="preserve"> </w:t>
      </w:r>
      <w:r>
        <w:t>is a private US aerospace</w:t>
      </w:r>
      <w:r w:rsidR="00BA1BD6">
        <w:t xml:space="preserve"> </w:t>
      </w:r>
      <w:r>
        <w:t xml:space="preserve">manufacturer and space transportation services company headquartered in Hawthorne, California. </w:t>
      </w:r>
      <w:r w:rsidR="00E80FE3">
        <w:t>T</w:t>
      </w:r>
      <w:r w:rsidR="00EB2DCE">
        <w:t xml:space="preserve">he corporation </w:t>
      </w:r>
      <w:r>
        <w:t xml:space="preserve">plans to deploy a constellation of LEO satellites (known as </w:t>
      </w:r>
      <w:proofErr w:type="spellStart"/>
      <w:r>
        <w:t>Starlink</w:t>
      </w:r>
      <w:proofErr w:type="spellEnd"/>
      <w:r>
        <w:t xml:space="preserve">) for the purpose of providing broadband </w:t>
      </w:r>
      <w:r w:rsidR="00091626">
        <w:t xml:space="preserve">connectivity </w:t>
      </w:r>
      <w:r>
        <w:t>around the world.</w:t>
      </w:r>
      <w:r w:rsidR="00CC5C57">
        <w:t xml:space="preserve"> ITU satellite filings supporting </w:t>
      </w:r>
      <w:proofErr w:type="spellStart"/>
      <w:r w:rsidR="00CC5C57">
        <w:t>Starlink</w:t>
      </w:r>
      <w:proofErr w:type="spellEnd"/>
      <w:r w:rsidR="00CC5C57">
        <w:t xml:space="preserve"> include the frequency bands 10.7</w:t>
      </w:r>
      <w:r w:rsidR="00073367">
        <w:t>–</w:t>
      </w:r>
      <w:r w:rsidR="00CC5C57">
        <w:t>12.7 GHz, 14</w:t>
      </w:r>
      <w:r w:rsidR="00073367">
        <w:t>–</w:t>
      </w:r>
      <w:r w:rsidR="00CC5C57">
        <w:t>14.5 GHz, 17.8</w:t>
      </w:r>
      <w:r w:rsidR="00073367">
        <w:t>–</w:t>
      </w:r>
      <w:r w:rsidR="00CC5C57">
        <w:t>18.55 GHz, 18.8</w:t>
      </w:r>
      <w:r w:rsidR="00073367">
        <w:t>–</w:t>
      </w:r>
      <w:r w:rsidR="00CC5C57">
        <w:t>19.3 GHz, 27.5</w:t>
      </w:r>
      <w:r w:rsidR="00073367">
        <w:t>–</w:t>
      </w:r>
      <w:r w:rsidR="00CC5C57">
        <w:t>29.1 GHz and 29.5</w:t>
      </w:r>
      <w:r w:rsidR="00073367">
        <w:t>–</w:t>
      </w:r>
      <w:r w:rsidR="00CC5C57">
        <w:t>30 GHz.</w:t>
      </w:r>
    </w:p>
    <w:p w14:paraId="2CDDBF94" w14:textId="514009E1" w:rsidR="00B34145" w:rsidRDefault="00B34145" w:rsidP="00BC2353">
      <w:r>
        <w:t>For efficiency and</w:t>
      </w:r>
      <w:r w:rsidR="00C34DC5">
        <w:t xml:space="preserve"> </w:t>
      </w:r>
      <w:r>
        <w:t xml:space="preserve">the flexibility to share the use of spectrum, </w:t>
      </w:r>
      <w:proofErr w:type="spellStart"/>
      <w:r>
        <w:t>Starlink</w:t>
      </w:r>
      <w:proofErr w:type="spellEnd"/>
      <w:r>
        <w:t xml:space="preserve"> will feature phased-array technology and advanced beamforming. </w:t>
      </w:r>
    </w:p>
    <w:p w14:paraId="0E5BDF62" w14:textId="00A07E79" w:rsidR="00B34145" w:rsidRDefault="00CE0C63">
      <w:r>
        <w:t xml:space="preserve">SpaceX </w:t>
      </w:r>
      <w:r w:rsidR="00826990">
        <w:t xml:space="preserve">Services, </w:t>
      </w:r>
      <w:r>
        <w:t>Inc.,</w:t>
      </w:r>
      <w:r w:rsidR="00163AD8">
        <w:t xml:space="preserve"> a subsidiary of SpaceX,</w:t>
      </w:r>
      <w:r>
        <w:t xml:space="preserve"> is proposed for inclusion in the Foreign Space Objects Determination as the operator and licensee of the satellites.</w:t>
      </w:r>
    </w:p>
    <w:p w14:paraId="759575BC" w14:textId="4BC0D151" w:rsidR="00B34145" w:rsidRDefault="00B34145" w:rsidP="00B534BD">
      <w:pPr>
        <w:pStyle w:val="Heading2"/>
      </w:pPr>
      <w:bookmarkStart w:id="23" w:name="_Toc22212566"/>
      <w:r w:rsidRPr="00E42168">
        <w:t>Swarm Technologies</w:t>
      </w:r>
      <w:bookmarkEnd w:id="23"/>
    </w:p>
    <w:p w14:paraId="01D2A3EA" w14:textId="20C7E677" w:rsidR="00B34145" w:rsidRDefault="00B34145" w:rsidP="00B534BD">
      <w:pPr>
        <w:pStyle w:val="Paragraph"/>
      </w:pPr>
      <w:r>
        <w:t>Swarm Technologies</w:t>
      </w:r>
      <w:r w:rsidR="00826990">
        <w:t>,</w:t>
      </w:r>
      <w:r>
        <w:t xml:space="preserve"> </w:t>
      </w:r>
      <w:r w:rsidR="00CE0C63">
        <w:t xml:space="preserve">Inc. </w:t>
      </w:r>
      <w:r>
        <w:t xml:space="preserve">is a </w:t>
      </w:r>
      <w:r w:rsidR="00163AD8">
        <w:t xml:space="preserve">US </w:t>
      </w:r>
      <w:r>
        <w:t xml:space="preserve">satellite company based in Mountain View, California. </w:t>
      </w:r>
    </w:p>
    <w:p w14:paraId="3D0A545B" w14:textId="2FE12206" w:rsidR="00A55E71" w:rsidRDefault="00B34145" w:rsidP="00B534BD">
      <w:pPr>
        <w:pStyle w:val="Paragraph"/>
      </w:pPr>
      <w:r>
        <w:t>Swarm plans to deploy a constellation of LEO satellites to provide mobile-satellite services that will offer two-way connectivity for IoT and machine-to-machine sensors.</w:t>
      </w:r>
      <w:r w:rsidR="00EB2DCE">
        <w:t xml:space="preserve"> </w:t>
      </w:r>
      <w:r>
        <w:t>The small two-way communications satellites will be using VHF-band frequencies in the 137–138 MHz band for downlink and in the 148–149.95 MHz band for uplink.</w:t>
      </w:r>
      <w:r w:rsidR="00EB2DCE">
        <w:t xml:space="preserve"> </w:t>
      </w:r>
      <w:r>
        <w:t>The proposed constellation comprises 150 satellites with deployment altitudes ranging from 400 to 550 k</w:t>
      </w:r>
      <w:r w:rsidR="005B4B08">
        <w:t>ilometres</w:t>
      </w:r>
      <w:r>
        <w:t xml:space="preserve">. </w:t>
      </w:r>
    </w:p>
    <w:p w14:paraId="5A86205E" w14:textId="7C7106D0" w:rsidR="00B34145" w:rsidRDefault="00163AD8" w:rsidP="00957B3E">
      <w:pPr>
        <w:pStyle w:val="Heading2"/>
        <w:keepLines/>
      </w:pPr>
      <w:bookmarkStart w:id="24" w:name="_Toc22212567"/>
      <w:r>
        <w:lastRenderedPageBreak/>
        <w:t>ITU satellite filings</w:t>
      </w:r>
      <w:bookmarkEnd w:id="24"/>
    </w:p>
    <w:p w14:paraId="26F42CC3" w14:textId="0AD7F377" w:rsidR="00163AD8" w:rsidRDefault="00163AD8" w:rsidP="00957B3E">
      <w:pPr>
        <w:pStyle w:val="Paragraph"/>
        <w:keepNext/>
        <w:keepLines/>
      </w:pPr>
      <w:r>
        <w:t>The following table displays the relevant ITU satellite filings for each operator’s satellite network.</w:t>
      </w:r>
    </w:p>
    <w:tbl>
      <w:tblPr>
        <w:tblStyle w:val="ACMAtablestyle"/>
        <w:tblW w:w="0" w:type="auto"/>
        <w:tblLook w:val="04A0" w:firstRow="1" w:lastRow="0" w:firstColumn="1" w:lastColumn="0" w:noHBand="0" w:noVBand="1"/>
      </w:tblPr>
      <w:tblGrid>
        <w:gridCol w:w="2122"/>
        <w:gridCol w:w="4677"/>
      </w:tblGrid>
      <w:tr w:rsidR="00CC5C57" w:rsidRPr="00AD287B" w14:paraId="4F5715DE" w14:textId="77777777" w:rsidTr="00A55E71">
        <w:trPr>
          <w:cnfStyle w:val="100000000000" w:firstRow="1" w:lastRow="0" w:firstColumn="0" w:lastColumn="0" w:oddVBand="0" w:evenVBand="0" w:oddHBand="0" w:evenHBand="0" w:firstRowFirstColumn="0" w:firstRowLastColumn="0" w:lastRowFirstColumn="0" w:lastRowLastColumn="0"/>
          <w:cantSplit/>
        </w:trPr>
        <w:tc>
          <w:tcPr>
            <w:tcW w:w="2122" w:type="dxa"/>
          </w:tcPr>
          <w:p w14:paraId="23A19E89" w14:textId="47488E58" w:rsidR="00CC5C57" w:rsidRPr="00AD287B" w:rsidRDefault="00CC5C57" w:rsidP="00957B3E">
            <w:pPr>
              <w:pStyle w:val="Tableheaderrow"/>
              <w:keepNext/>
              <w:keepLines/>
            </w:pPr>
            <w:r w:rsidRPr="00AD287B">
              <w:t>Operator</w:t>
            </w:r>
          </w:p>
        </w:tc>
        <w:tc>
          <w:tcPr>
            <w:tcW w:w="4677" w:type="dxa"/>
          </w:tcPr>
          <w:p w14:paraId="0A4BBD59" w14:textId="0C06A4E0" w:rsidR="00CC5C57" w:rsidRPr="00AD287B" w:rsidRDefault="00CC5C57" w:rsidP="00957B3E">
            <w:pPr>
              <w:pStyle w:val="Tableheaderrow"/>
              <w:keepNext/>
              <w:keepLines/>
            </w:pPr>
            <w:r w:rsidRPr="00AD287B">
              <w:t>ITU satellite filing</w:t>
            </w:r>
            <w:r>
              <w:t>s</w:t>
            </w:r>
          </w:p>
        </w:tc>
      </w:tr>
      <w:tr w:rsidR="00CC5C57" w14:paraId="17A3F33C" w14:textId="77777777" w:rsidTr="00A55E71">
        <w:trPr>
          <w:cnfStyle w:val="000000100000" w:firstRow="0" w:lastRow="0" w:firstColumn="0" w:lastColumn="0" w:oddVBand="0" w:evenVBand="0" w:oddHBand="1" w:evenHBand="0" w:firstRowFirstColumn="0" w:firstRowLastColumn="0" w:lastRowFirstColumn="0" w:lastRowLastColumn="0"/>
          <w:cantSplit/>
        </w:trPr>
        <w:tc>
          <w:tcPr>
            <w:tcW w:w="2122" w:type="dxa"/>
          </w:tcPr>
          <w:p w14:paraId="5AEEC781" w14:textId="323F04F7" w:rsidR="00CC5C57" w:rsidRDefault="00CC5C57" w:rsidP="00957B3E">
            <w:pPr>
              <w:pStyle w:val="TableBody"/>
              <w:keepNext/>
              <w:keepLines/>
            </w:pPr>
            <w:r>
              <w:t>Kepler</w:t>
            </w:r>
          </w:p>
        </w:tc>
        <w:tc>
          <w:tcPr>
            <w:tcW w:w="4677" w:type="dxa"/>
          </w:tcPr>
          <w:p w14:paraId="1B738B05" w14:textId="77777777" w:rsidR="00CC5C57" w:rsidRDefault="00CC5C57" w:rsidP="00957B3E">
            <w:pPr>
              <w:pStyle w:val="TableBody"/>
              <w:keepNext/>
              <w:keepLines/>
            </w:pPr>
            <w:r>
              <w:t>KELYPSIS</w:t>
            </w:r>
          </w:p>
          <w:p w14:paraId="1568823F" w14:textId="0AF09CD6" w:rsidR="00CC5C57" w:rsidRDefault="00CC5C57" w:rsidP="00957B3E">
            <w:pPr>
              <w:pStyle w:val="TableBody"/>
              <w:keepNext/>
              <w:keepLines/>
            </w:pPr>
            <w:r>
              <w:t>MULTUS</w:t>
            </w:r>
          </w:p>
        </w:tc>
      </w:tr>
      <w:tr w:rsidR="00CC5C57" w14:paraId="00618396" w14:textId="77777777" w:rsidTr="00A55E71">
        <w:trPr>
          <w:cnfStyle w:val="000000010000" w:firstRow="0" w:lastRow="0" w:firstColumn="0" w:lastColumn="0" w:oddVBand="0" w:evenVBand="0" w:oddHBand="0" w:evenHBand="1" w:firstRowFirstColumn="0" w:firstRowLastColumn="0" w:lastRowFirstColumn="0" w:lastRowLastColumn="0"/>
          <w:cantSplit/>
        </w:trPr>
        <w:tc>
          <w:tcPr>
            <w:tcW w:w="2122" w:type="dxa"/>
          </w:tcPr>
          <w:p w14:paraId="07B6FEB8" w14:textId="34DBB51B" w:rsidR="00CC5C57" w:rsidRDefault="00CC5C57" w:rsidP="00957B3E">
            <w:pPr>
              <w:pStyle w:val="TableBody"/>
              <w:keepNext/>
              <w:keepLines/>
            </w:pPr>
            <w:r>
              <w:t>SpaceX</w:t>
            </w:r>
          </w:p>
        </w:tc>
        <w:tc>
          <w:tcPr>
            <w:tcW w:w="4677" w:type="dxa"/>
          </w:tcPr>
          <w:p w14:paraId="54A86767" w14:textId="3E42BA7A" w:rsidR="00CC5C57" w:rsidRDefault="00CC5C57" w:rsidP="00957B3E">
            <w:pPr>
              <w:pStyle w:val="TableBody"/>
              <w:keepNext/>
              <w:keepLines/>
            </w:pPr>
            <w:r>
              <w:t>STEAM-1</w:t>
            </w:r>
          </w:p>
          <w:p w14:paraId="5B93C843" w14:textId="77777777" w:rsidR="00CC5C57" w:rsidRDefault="00CC5C57" w:rsidP="00957B3E">
            <w:pPr>
              <w:pStyle w:val="TableBody"/>
              <w:keepNext/>
              <w:keepLines/>
            </w:pPr>
            <w:r>
              <w:t>STEAM-2</w:t>
            </w:r>
          </w:p>
          <w:p w14:paraId="4F76971E" w14:textId="2077EA4D" w:rsidR="00CC5C57" w:rsidRDefault="00CC5C57" w:rsidP="00957B3E">
            <w:pPr>
              <w:pStyle w:val="TableBody"/>
              <w:keepNext/>
              <w:keepLines/>
            </w:pPr>
            <w:r>
              <w:t>STEAM-2B</w:t>
            </w:r>
          </w:p>
          <w:p w14:paraId="13903F81" w14:textId="244E6D9A" w:rsidR="00CC5C57" w:rsidRDefault="00CC5C57" w:rsidP="00957B3E">
            <w:pPr>
              <w:pStyle w:val="TableBody"/>
              <w:keepNext/>
              <w:keepLines/>
            </w:pPr>
            <w:r>
              <w:t>USASAT-NGSO-3A-R</w:t>
            </w:r>
          </w:p>
          <w:p w14:paraId="1FE0F708" w14:textId="3B5FDA3B" w:rsidR="00CC5C57" w:rsidRDefault="00CC5C57" w:rsidP="00957B3E">
            <w:pPr>
              <w:pStyle w:val="TableBody"/>
              <w:keepNext/>
              <w:keepLines/>
            </w:pPr>
            <w:r>
              <w:t>USASAT-NGSO-3B-R</w:t>
            </w:r>
          </w:p>
          <w:p w14:paraId="1471A61B" w14:textId="77777777" w:rsidR="00CC5C57" w:rsidRDefault="00CC5C57" w:rsidP="00957B3E">
            <w:pPr>
              <w:pStyle w:val="TableBody"/>
              <w:keepNext/>
              <w:keepLines/>
            </w:pPr>
            <w:r>
              <w:t>USASAT-NGSO-3C</w:t>
            </w:r>
          </w:p>
          <w:p w14:paraId="66FE1620" w14:textId="77777777" w:rsidR="00CC5C57" w:rsidRDefault="00CC5C57" w:rsidP="00957B3E">
            <w:pPr>
              <w:pStyle w:val="TableBody"/>
              <w:keepNext/>
              <w:keepLines/>
            </w:pPr>
            <w:r>
              <w:t>USASAT-NGSO-3D</w:t>
            </w:r>
          </w:p>
          <w:p w14:paraId="3CA3ABEE" w14:textId="77777777" w:rsidR="00CC5C57" w:rsidRDefault="00CC5C57" w:rsidP="00957B3E">
            <w:pPr>
              <w:pStyle w:val="TableBody"/>
              <w:keepNext/>
              <w:keepLines/>
            </w:pPr>
            <w:r>
              <w:t>USASAT-NGSO-3E</w:t>
            </w:r>
          </w:p>
          <w:p w14:paraId="06A83CF7" w14:textId="77777777" w:rsidR="00CC5C57" w:rsidRDefault="00CC5C57" w:rsidP="00957B3E">
            <w:pPr>
              <w:pStyle w:val="TableBody"/>
              <w:keepNext/>
              <w:keepLines/>
            </w:pPr>
            <w:r>
              <w:t>USASAT-NGSO-3F</w:t>
            </w:r>
          </w:p>
          <w:p w14:paraId="2C061B51" w14:textId="77777777" w:rsidR="00CC5C57" w:rsidRDefault="00CC5C57" w:rsidP="00957B3E">
            <w:pPr>
              <w:pStyle w:val="TableBody"/>
              <w:keepNext/>
              <w:keepLines/>
            </w:pPr>
            <w:r>
              <w:t>USASAT-NGSO-3G</w:t>
            </w:r>
          </w:p>
          <w:p w14:paraId="0152C4DA" w14:textId="77777777" w:rsidR="00CC5C57" w:rsidRDefault="00CC5C57" w:rsidP="00957B3E">
            <w:pPr>
              <w:pStyle w:val="TableBody"/>
              <w:keepNext/>
              <w:keepLines/>
            </w:pPr>
            <w:r>
              <w:t>USASAT-NGSO-3H</w:t>
            </w:r>
          </w:p>
          <w:p w14:paraId="5F568B2D" w14:textId="77777777" w:rsidR="00CC5C57" w:rsidRDefault="00CC5C57" w:rsidP="00957B3E">
            <w:pPr>
              <w:pStyle w:val="TableBody"/>
              <w:keepNext/>
              <w:keepLines/>
            </w:pPr>
            <w:r>
              <w:t>USASAT-NGSO-3I</w:t>
            </w:r>
          </w:p>
          <w:p w14:paraId="16262F18" w14:textId="77777777" w:rsidR="00CC5C57" w:rsidRDefault="00CC5C57" w:rsidP="00957B3E">
            <w:pPr>
              <w:pStyle w:val="TableBody"/>
              <w:keepNext/>
              <w:keepLines/>
            </w:pPr>
            <w:r>
              <w:t>USASAT-NGSO-3J</w:t>
            </w:r>
          </w:p>
          <w:p w14:paraId="51E96051" w14:textId="77777777" w:rsidR="00CC5C57" w:rsidRDefault="00CC5C57" w:rsidP="00957B3E">
            <w:pPr>
              <w:pStyle w:val="TableBody"/>
              <w:keepNext/>
              <w:keepLines/>
            </w:pPr>
            <w:r>
              <w:t>USASAT-NGSO-3K</w:t>
            </w:r>
          </w:p>
          <w:p w14:paraId="0120F0E6" w14:textId="77777777" w:rsidR="00CC5C57" w:rsidRDefault="00CC5C57" w:rsidP="00957B3E">
            <w:pPr>
              <w:pStyle w:val="TableBody"/>
              <w:keepNext/>
              <w:keepLines/>
            </w:pPr>
            <w:r>
              <w:t>USASAT-NGSO-3L</w:t>
            </w:r>
          </w:p>
          <w:p w14:paraId="67C6697D" w14:textId="77777777" w:rsidR="00CC5C57" w:rsidRDefault="00CC5C57" w:rsidP="00957B3E">
            <w:pPr>
              <w:pStyle w:val="TableBody"/>
              <w:keepNext/>
              <w:keepLines/>
            </w:pPr>
            <w:r>
              <w:t>MICROSAT-2</w:t>
            </w:r>
          </w:p>
          <w:p w14:paraId="12569BFC" w14:textId="41C9DA9F" w:rsidR="00CC5C57" w:rsidRDefault="00CC5C57" w:rsidP="00957B3E">
            <w:pPr>
              <w:pStyle w:val="TableBody"/>
              <w:keepNext/>
              <w:keepLines/>
            </w:pPr>
            <w:r>
              <w:t>MICROSAT-2-KU</w:t>
            </w:r>
          </w:p>
        </w:tc>
      </w:tr>
      <w:tr w:rsidR="00CC5C57" w14:paraId="52A81244" w14:textId="77777777" w:rsidTr="00A55E71">
        <w:trPr>
          <w:cnfStyle w:val="000000100000" w:firstRow="0" w:lastRow="0" w:firstColumn="0" w:lastColumn="0" w:oddVBand="0" w:evenVBand="0" w:oddHBand="1" w:evenHBand="0" w:firstRowFirstColumn="0" w:firstRowLastColumn="0" w:lastRowFirstColumn="0" w:lastRowLastColumn="0"/>
          <w:cantSplit/>
        </w:trPr>
        <w:tc>
          <w:tcPr>
            <w:tcW w:w="2122" w:type="dxa"/>
          </w:tcPr>
          <w:p w14:paraId="3801AFD7" w14:textId="4967A6C9" w:rsidR="00CC5C57" w:rsidRDefault="00CC5C57" w:rsidP="00957B3E">
            <w:pPr>
              <w:pStyle w:val="TableBody"/>
              <w:keepNext/>
              <w:keepLines/>
            </w:pPr>
            <w:r>
              <w:t>Swarm</w:t>
            </w:r>
          </w:p>
        </w:tc>
        <w:tc>
          <w:tcPr>
            <w:tcW w:w="4677" w:type="dxa"/>
          </w:tcPr>
          <w:p w14:paraId="33C3943D" w14:textId="13024304" w:rsidR="00CC5C57" w:rsidRDefault="00CC5C57" w:rsidP="00957B3E">
            <w:pPr>
              <w:pStyle w:val="TableBody"/>
              <w:keepNext/>
              <w:keepLines/>
            </w:pPr>
            <w:r w:rsidRPr="00164BC2">
              <w:t>USASAT-NGSO-7</w:t>
            </w:r>
          </w:p>
        </w:tc>
      </w:tr>
    </w:tbl>
    <w:p w14:paraId="24ECD1AD" w14:textId="77777777" w:rsidR="00163AD8" w:rsidRPr="00163AD8" w:rsidRDefault="00163AD8" w:rsidP="00B534BD">
      <w:pPr>
        <w:pStyle w:val="Paragraph"/>
      </w:pPr>
    </w:p>
    <w:p w14:paraId="737DCBDA" w14:textId="77777777" w:rsidR="006C1631" w:rsidRDefault="006C1631" w:rsidP="006C1631">
      <w:pPr>
        <w:pStyle w:val="Heading1"/>
      </w:pPr>
      <w:bookmarkStart w:id="25" w:name="_Toc22212568"/>
      <w:bookmarkEnd w:id="14"/>
      <w:bookmarkEnd w:id="15"/>
      <w:r>
        <w:lastRenderedPageBreak/>
        <w:t>Invitation to comment</w:t>
      </w:r>
      <w:bookmarkEnd w:id="9"/>
      <w:bookmarkEnd w:id="25"/>
    </w:p>
    <w:p w14:paraId="3C026F32" w14:textId="77777777" w:rsidR="006C1631" w:rsidRDefault="006C1631" w:rsidP="006C1631">
      <w:pPr>
        <w:pStyle w:val="Heading2"/>
      </w:pPr>
      <w:bookmarkStart w:id="26" w:name="_Toc433122131"/>
      <w:bookmarkStart w:id="27" w:name="_Toc348105637"/>
      <w:bookmarkStart w:id="28" w:name="_Toc300909556"/>
      <w:bookmarkStart w:id="29" w:name="_Toc298924673"/>
      <w:bookmarkStart w:id="30" w:name="_Toc16685795"/>
      <w:bookmarkStart w:id="31" w:name="_Toc22212569"/>
      <w:bookmarkStart w:id="32" w:name="_Toc348105638"/>
      <w:bookmarkStart w:id="33" w:name="_Toc300909557"/>
      <w:bookmarkStart w:id="34" w:name="_Toc298924674"/>
      <w:bookmarkStart w:id="35" w:name="_Toc274296357"/>
      <w:r>
        <w:t>Making a submission</w:t>
      </w:r>
      <w:bookmarkEnd w:id="26"/>
      <w:bookmarkEnd w:id="27"/>
      <w:bookmarkEnd w:id="28"/>
      <w:bookmarkEnd w:id="29"/>
      <w:bookmarkEnd w:id="30"/>
      <w:bookmarkEnd w:id="31"/>
    </w:p>
    <w:p w14:paraId="44709486" w14:textId="77777777" w:rsidR="006C1631" w:rsidRDefault="006C1631" w:rsidP="006C1631">
      <w:r>
        <w:t xml:space="preserve">The ACMA invites comments on the issues set out in this discussion paper. </w:t>
      </w:r>
    </w:p>
    <w:p w14:paraId="2DFEBDD6" w14:textId="77777777" w:rsidR="0070133D" w:rsidRDefault="004A2BB1" w:rsidP="0070133D">
      <w:pPr>
        <w:pStyle w:val="Bulletlevel1"/>
      </w:pPr>
      <w:hyperlink r:id="rId30" w:history="1">
        <w:r w:rsidR="0070133D">
          <w:rPr>
            <w:rStyle w:val="Hyperlink"/>
          </w:rPr>
          <w:t>Online submissions</w:t>
        </w:r>
      </w:hyperlink>
      <w:r w:rsidR="0070133D">
        <w:t xml:space="preserve"> can be made via the comment function or by </w:t>
      </w:r>
      <w:r w:rsidR="0070133D" w:rsidRPr="0070133D">
        <w:t>uploading</w:t>
      </w:r>
      <w:r w:rsidR="0070133D">
        <w:t xml:space="preserve"> a document. Submissions in Microsoft Word or Rich Text Format are preferred.</w:t>
      </w:r>
    </w:p>
    <w:p w14:paraId="20C57676" w14:textId="77777777" w:rsidR="006C1631" w:rsidRDefault="006C1631" w:rsidP="0070133D">
      <w:pPr>
        <w:pStyle w:val="Bulletlevel1"/>
      </w:pPr>
      <w:r>
        <w:t xml:space="preserve">Submissions by post can be sent to: </w:t>
      </w:r>
    </w:p>
    <w:p w14:paraId="78CBBB8D" w14:textId="77777777" w:rsidR="005575CC" w:rsidRPr="005575CC" w:rsidRDefault="005575CC" w:rsidP="005575CC">
      <w:pPr>
        <w:tabs>
          <w:tab w:val="num" w:pos="295"/>
        </w:tabs>
        <w:spacing w:after="0"/>
        <w:ind w:left="295"/>
        <w:rPr>
          <w:szCs w:val="20"/>
        </w:rPr>
      </w:pPr>
      <w:r w:rsidRPr="005575CC">
        <w:rPr>
          <w:szCs w:val="20"/>
        </w:rPr>
        <w:t>The Manager</w:t>
      </w:r>
    </w:p>
    <w:p w14:paraId="3AE6FAD9" w14:textId="77777777" w:rsidR="005575CC" w:rsidRPr="005575CC" w:rsidRDefault="005575CC" w:rsidP="005575CC">
      <w:pPr>
        <w:tabs>
          <w:tab w:val="num" w:pos="295"/>
        </w:tabs>
        <w:spacing w:after="0"/>
        <w:ind w:left="295"/>
        <w:rPr>
          <w:szCs w:val="20"/>
        </w:rPr>
      </w:pPr>
      <w:r w:rsidRPr="005575CC">
        <w:rPr>
          <w:szCs w:val="20"/>
        </w:rPr>
        <w:t>Space Systems</w:t>
      </w:r>
    </w:p>
    <w:p w14:paraId="4A321C97" w14:textId="5DA2AFCD" w:rsidR="005575CC" w:rsidRPr="005575CC" w:rsidRDefault="005575CC" w:rsidP="005575CC">
      <w:pPr>
        <w:tabs>
          <w:tab w:val="num" w:pos="295"/>
        </w:tabs>
        <w:spacing w:after="0"/>
        <w:ind w:left="295"/>
        <w:rPr>
          <w:szCs w:val="20"/>
        </w:rPr>
      </w:pPr>
      <w:r w:rsidRPr="005575CC">
        <w:rPr>
          <w:szCs w:val="20"/>
        </w:rPr>
        <w:t xml:space="preserve">Spectrum </w:t>
      </w:r>
      <w:r w:rsidR="00AD66C2">
        <w:rPr>
          <w:szCs w:val="20"/>
        </w:rPr>
        <w:t>P</w:t>
      </w:r>
      <w:r w:rsidRPr="005575CC">
        <w:rPr>
          <w:szCs w:val="20"/>
        </w:rPr>
        <w:t>lanning and Engineering Branch</w:t>
      </w:r>
    </w:p>
    <w:p w14:paraId="7F7FAAD0" w14:textId="77777777" w:rsidR="005575CC" w:rsidRPr="005575CC" w:rsidRDefault="005575CC" w:rsidP="005575CC">
      <w:pPr>
        <w:tabs>
          <w:tab w:val="num" w:pos="295"/>
        </w:tabs>
        <w:spacing w:after="0"/>
        <w:ind w:left="295"/>
        <w:rPr>
          <w:szCs w:val="20"/>
        </w:rPr>
      </w:pPr>
      <w:r w:rsidRPr="005575CC">
        <w:rPr>
          <w:szCs w:val="20"/>
        </w:rPr>
        <w:t>Australian Communications and Media Authority</w:t>
      </w:r>
    </w:p>
    <w:p w14:paraId="5FC8E539" w14:textId="77777777" w:rsidR="005575CC" w:rsidRPr="005575CC" w:rsidRDefault="005575CC" w:rsidP="005575CC">
      <w:pPr>
        <w:tabs>
          <w:tab w:val="num" w:pos="295"/>
        </w:tabs>
        <w:spacing w:after="0"/>
        <w:ind w:left="295"/>
        <w:rPr>
          <w:szCs w:val="20"/>
        </w:rPr>
      </w:pPr>
      <w:r w:rsidRPr="005575CC">
        <w:rPr>
          <w:szCs w:val="20"/>
        </w:rPr>
        <w:t>PO Box 78</w:t>
      </w:r>
    </w:p>
    <w:p w14:paraId="5E0C2EEC" w14:textId="77777777" w:rsidR="00AD66C2" w:rsidRDefault="005575CC" w:rsidP="00B534BD">
      <w:pPr>
        <w:ind w:firstLine="284"/>
        <w:rPr>
          <w:szCs w:val="20"/>
        </w:rPr>
      </w:pPr>
      <w:r w:rsidRPr="005575CC">
        <w:rPr>
          <w:szCs w:val="20"/>
        </w:rPr>
        <w:t>Belconnen ACT 2616</w:t>
      </w:r>
    </w:p>
    <w:p w14:paraId="0EAADCB5" w14:textId="05B123E8" w:rsidR="006C1631" w:rsidRDefault="006C1631" w:rsidP="006C1631">
      <w:r>
        <w:t xml:space="preserve">The closing date for submissions is COB, </w:t>
      </w:r>
      <w:r w:rsidR="00533C35" w:rsidRPr="00533C35">
        <w:t xml:space="preserve">19 November </w:t>
      </w:r>
      <w:r w:rsidRPr="00533C35">
        <w:t>20</w:t>
      </w:r>
      <w:r w:rsidR="00533C35" w:rsidRPr="00533C35">
        <w:t>19</w:t>
      </w:r>
      <w:r w:rsidRPr="00533C35">
        <w:t>.</w:t>
      </w:r>
    </w:p>
    <w:p w14:paraId="4BE1CD9E" w14:textId="37C3CBEC" w:rsidR="006C1631" w:rsidRDefault="006C1631" w:rsidP="006C1631">
      <w:pPr>
        <w:rPr>
          <w:szCs w:val="20"/>
        </w:rPr>
      </w:pPr>
      <w:r>
        <w:t xml:space="preserve">Consultation enquiries can be emailed </w:t>
      </w:r>
      <w:r>
        <w:rPr>
          <w:szCs w:val="20"/>
        </w:rPr>
        <w:t>to</w:t>
      </w:r>
      <w:r w:rsidR="00AD66C2">
        <w:rPr>
          <w:szCs w:val="20"/>
        </w:rPr>
        <w:t xml:space="preserve"> </w:t>
      </w:r>
      <w:hyperlink r:id="rId31" w:history="1">
        <w:r w:rsidR="005575CC" w:rsidRPr="00957B3E">
          <w:rPr>
            <w:rStyle w:val="Hyperlink"/>
            <w:szCs w:val="20"/>
          </w:rPr>
          <w:t>satellite</w:t>
        </w:r>
        <w:r w:rsidR="00B76F81" w:rsidRPr="00957B3E">
          <w:rPr>
            <w:rStyle w:val="Hyperlink"/>
            <w:szCs w:val="20"/>
          </w:rPr>
          <w:t>.coordination@acma.gov.au</w:t>
        </w:r>
      </w:hyperlink>
      <w:r>
        <w:rPr>
          <w:szCs w:val="20"/>
        </w:rPr>
        <w:t>.</w:t>
      </w:r>
    </w:p>
    <w:p w14:paraId="3099F347" w14:textId="77777777" w:rsidR="006C1631" w:rsidRDefault="006C1631" w:rsidP="005B2F0D">
      <w:pPr>
        <w:pStyle w:val="Heading4"/>
      </w:pPr>
      <w:bookmarkStart w:id="36" w:name="_Toc348105639"/>
      <w:bookmarkStart w:id="37" w:name="_Toc300909558"/>
      <w:bookmarkEnd w:id="32"/>
      <w:bookmarkEnd w:id="33"/>
      <w:r>
        <w:t xml:space="preserve">Publication of </w:t>
      </w:r>
      <w:r w:rsidRPr="005B2F0D">
        <w:t>submissions</w:t>
      </w:r>
      <w:bookmarkEnd w:id="34"/>
      <w:bookmarkEnd w:id="35"/>
      <w:bookmarkEnd w:id="36"/>
      <w:bookmarkEnd w:id="37"/>
    </w:p>
    <w:p w14:paraId="1D16AC35" w14:textId="77777777" w:rsidR="006C1631" w:rsidRDefault="006C1631" w:rsidP="006C1631">
      <w:bookmarkStart w:id="38" w:name="_Toc348105640"/>
      <w:bookmarkStart w:id="39" w:name="_Toc300909559"/>
      <w:bookmarkStart w:id="40" w:name="_Toc265246234"/>
      <w:r>
        <w:t>The ACMA publishes submissions on our website</w:t>
      </w:r>
      <w:r>
        <w:rPr>
          <w:rFonts w:cs="Arial"/>
        </w:rPr>
        <w:t>, including personal information (such as names and contact details)</w:t>
      </w:r>
      <w:r>
        <w:t xml:space="preserve">, except for information that you have claimed (and we have accepted) is confidential. </w:t>
      </w:r>
    </w:p>
    <w:p w14:paraId="09D936B0" w14:textId="77777777" w:rsidR="006C1631" w:rsidRDefault="006C1631" w:rsidP="006C1631">
      <w:r>
        <w:t>Confidential information will not be published or otherwise released unless required or authorised by law.</w:t>
      </w:r>
    </w:p>
    <w:p w14:paraId="6D13B1B6" w14:textId="77777777" w:rsidR="006C1631" w:rsidRDefault="006C1631" w:rsidP="005B2F0D">
      <w:pPr>
        <w:pStyle w:val="Heading4"/>
      </w:pPr>
      <w:r>
        <w:t>Privacy</w:t>
      </w:r>
    </w:p>
    <w:p w14:paraId="279580AA" w14:textId="77777777" w:rsidR="006C1631" w:rsidRDefault="004A2BB1" w:rsidP="005B2F0D">
      <w:pPr>
        <w:pStyle w:val="Paragraph"/>
      </w:pPr>
      <w:hyperlink r:id="rId32" w:history="1">
        <w:r w:rsidR="006C1631">
          <w:rPr>
            <w:rStyle w:val="Hyperlink"/>
            <w:i/>
          </w:rPr>
          <w:t>Privacy and consultation</w:t>
        </w:r>
      </w:hyperlink>
      <w:r w:rsidR="006C1631">
        <w:t xml:space="preserve"> </w:t>
      </w:r>
      <w:proofErr w:type="gramStart"/>
      <w:r w:rsidR="006C1631">
        <w:t>provides</w:t>
      </w:r>
      <w:proofErr w:type="gramEnd"/>
      <w:r w:rsidR="006C1631">
        <w:t xml:space="preserve"> information about the ACMA’s collection of personal information during consultation and how we handle that information.</w:t>
      </w:r>
    </w:p>
    <w:bookmarkEnd w:id="38"/>
    <w:bookmarkEnd w:id="39"/>
    <w:bookmarkEnd w:id="40"/>
    <w:p w14:paraId="2D75C2D0" w14:textId="17A7CE57" w:rsidR="00A4193E" w:rsidRDefault="006C1631" w:rsidP="005B2F0D">
      <w:pPr>
        <w:pStyle w:val="Paragraph"/>
      </w:pPr>
      <w:r>
        <w:t xml:space="preserve">Information on the </w:t>
      </w:r>
      <w:r>
        <w:rPr>
          <w:i/>
        </w:rPr>
        <w:t xml:space="preserve">Privacy Act 1988 </w:t>
      </w:r>
      <w:r>
        <w:t xml:space="preserve">and the ACMA’s privacy policy (including how to access or correct personal information, how to make a privacy complaint and how we will deal with the complaint) is available at </w:t>
      </w:r>
      <w:hyperlink r:id="rId33" w:tooltip="ACMA Privacy Policy" w:history="1">
        <w:r>
          <w:rPr>
            <w:rStyle w:val="Hyperlink"/>
          </w:rPr>
          <w:t>acma.gov.au/</w:t>
        </w:r>
        <w:proofErr w:type="spellStart"/>
        <w:r>
          <w:rPr>
            <w:rStyle w:val="Hyperlink"/>
          </w:rPr>
          <w:t>privacypolicy</w:t>
        </w:r>
        <w:proofErr w:type="spellEnd"/>
      </w:hyperlink>
      <w:r>
        <w:t>.</w:t>
      </w:r>
      <w:r w:rsidR="00A4193E">
        <w:t xml:space="preserve"> </w:t>
      </w:r>
    </w:p>
    <w:p w14:paraId="1BA397E1" w14:textId="6E065605" w:rsidR="00CC5C57" w:rsidRDefault="00CC5C57" w:rsidP="005B2F0D">
      <w:pPr>
        <w:pStyle w:val="Paragraph"/>
      </w:pPr>
    </w:p>
    <w:p w14:paraId="6319FD7E" w14:textId="11B8E417" w:rsidR="00FF3C69" w:rsidRDefault="00FF3C69" w:rsidP="00A55E71">
      <w:pPr>
        <w:keepNext/>
        <w:widowControl w:val="0"/>
        <w:spacing w:after="360" w:line="550" w:lineRule="exact"/>
        <w:outlineLvl w:val="0"/>
      </w:pPr>
    </w:p>
    <w:sectPr w:rsidR="00FF3C69" w:rsidSect="00C77380">
      <w:headerReference w:type="even" r:id="rId34"/>
      <w:headerReference w:type="default" r:id="rId35"/>
      <w:footerReference w:type="even" r:id="rId36"/>
      <w:footerReference w:type="default" r:id="rId37"/>
      <w:pgSz w:w="11906" w:h="16838" w:code="9"/>
      <w:pgMar w:top="1945" w:right="3101" w:bottom="1134" w:left="1134" w:header="709" w:footer="11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D333C" w14:textId="77777777" w:rsidR="00073AFA" w:rsidRDefault="00073AFA">
      <w:r>
        <w:separator/>
      </w:r>
    </w:p>
  </w:endnote>
  <w:endnote w:type="continuationSeparator" w:id="0">
    <w:p w14:paraId="1D29DA3B" w14:textId="77777777" w:rsidR="00073AFA" w:rsidRDefault="00073AFA">
      <w:r>
        <w:continuationSeparator/>
      </w:r>
    </w:p>
  </w:endnote>
  <w:endnote w:type="continuationNotice" w:id="1">
    <w:p w14:paraId="1ADEF3AF" w14:textId="77777777" w:rsidR="00073AFA" w:rsidRDefault="00073A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NeueLT Std Lt">
    <w:altName w:val="Arial"/>
    <w:panose1 w:val="020B0403020202020204"/>
    <w:charset w:val="00"/>
    <w:family w:val="swiss"/>
    <w:notTrueType/>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BA237" w14:textId="77777777" w:rsidR="00073AFA" w:rsidRDefault="00073AFA" w:rsidP="005E250B">
    <w:pPr>
      <w:pStyle w:val="Footer"/>
      <w:jc w:val="right"/>
    </w:pPr>
    <w:r w:rsidRPr="005E250B">
      <w:rPr>
        <w:noProof/>
        <w:vertAlign w:val="subscript"/>
      </w:rPr>
      <w:drawing>
        <wp:inline distT="0" distB="0" distL="0" distR="0" wp14:anchorId="15152320" wp14:editId="66F14323">
          <wp:extent cx="1066800" cy="277368"/>
          <wp:effectExtent l="0" t="0" r="0" b="0"/>
          <wp:docPr id="10" name="Picture 10" descr="acma.gov.au">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ma.gov.au">
                    <a:hlinkClick r:id="rId1"/>
                  </pic:cNvPr>
                  <pic:cNvPicPr/>
                </pic:nvPicPr>
                <pic:blipFill>
                  <a:blip r:embed="rId2"/>
                  <a:stretch>
                    <a:fillRect/>
                  </a:stretch>
                </pic:blipFill>
                <pic:spPr>
                  <a:xfrm>
                    <a:off x="0" y="0"/>
                    <a:ext cx="1133985" cy="29483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2AE1F" w14:textId="77777777" w:rsidR="00073AFA" w:rsidRDefault="00073A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3983F" w14:textId="77777777" w:rsidR="00073AFA" w:rsidRDefault="00073A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DC976" w14:textId="77777777" w:rsidR="00073AFA" w:rsidRPr="00622A3B" w:rsidRDefault="00073AFA" w:rsidP="00971914">
    <w:pPr>
      <w:pStyle w:val="Footer"/>
      <w:framePr w:w="1334" w:h="357" w:hRule="exact" w:vSpace="425" w:wrap="around" w:vAnchor="page" w:hAnchor="page" w:x="1156" w:y="16166"/>
      <w:pBdr>
        <w:top w:val="single" w:sz="4" w:space="1" w:color="auto"/>
      </w:pBdr>
      <w:tabs>
        <w:tab w:val="clear" w:pos="113"/>
        <w:tab w:val="left" w:pos="284"/>
      </w:tabs>
      <w:rPr>
        <w:rFonts w:cs="Arial"/>
      </w:rPr>
    </w:pPr>
    <w:r w:rsidRPr="00622A3B">
      <w:rPr>
        <w:rFonts w:cs="Arial"/>
        <w:b/>
        <w:noProof/>
        <w:spacing w:val="-16"/>
        <w:sz w:val="20"/>
        <w:szCs w:val="20"/>
      </w:rPr>
      <w:t>a</w:t>
    </w:r>
    <w:r w:rsidRPr="00622A3B">
      <w:rPr>
        <w:rFonts w:cs="Arial"/>
        <w:b/>
        <w:noProof/>
        <w:spacing w:val="-15"/>
        <w:sz w:val="20"/>
        <w:szCs w:val="20"/>
      </w:rPr>
      <w:t>c</w:t>
    </w:r>
    <w:r w:rsidRPr="00622A3B">
      <w:rPr>
        <w:rFonts w:cs="Arial"/>
        <w:b/>
        <w:noProof/>
        <w:spacing w:val="-16"/>
        <w:sz w:val="20"/>
        <w:szCs w:val="20"/>
      </w:rPr>
      <w:t>m</w:t>
    </w:r>
    <w:r w:rsidRPr="00622A3B">
      <w:rPr>
        <w:rFonts w:cs="Arial"/>
        <w:b/>
        <w:noProof/>
        <w:spacing w:val="-14"/>
        <w:sz w:val="20"/>
        <w:szCs w:val="20"/>
      </w:rPr>
      <w:t>a</w:t>
    </w:r>
    <w:r w:rsidRPr="0094078F">
      <w:rPr>
        <w:rFonts w:cs="Arial"/>
      </w:rPr>
      <w:tab/>
    </w:r>
    <w:r>
      <w:rPr>
        <w:rFonts w:cs="Arial"/>
      </w:rPr>
      <w:t xml:space="preserve"> </w:t>
    </w:r>
    <w:r w:rsidRPr="00622A3B">
      <w:rPr>
        <w:rFonts w:cs="Arial"/>
      </w:rPr>
      <w:t>|</w:t>
    </w:r>
    <w:r>
      <w:tab/>
    </w:r>
    <w:r w:rsidRPr="002E4DDC">
      <w:rPr>
        <w:color w:val="505050"/>
      </w:rPr>
      <w:fldChar w:fldCharType="begin"/>
    </w:r>
    <w:r w:rsidRPr="002E4DDC">
      <w:rPr>
        <w:color w:val="505050"/>
      </w:rPr>
      <w:instrText xml:space="preserve"> PAGE  \* roman  \* MERGEFORMAT </w:instrText>
    </w:r>
    <w:r w:rsidRPr="002E4DDC">
      <w:rPr>
        <w:color w:val="505050"/>
      </w:rPr>
      <w:fldChar w:fldCharType="separate"/>
    </w:r>
    <w:r>
      <w:rPr>
        <w:noProof/>
        <w:color w:val="505050"/>
      </w:rPr>
      <w:t>iv</w:t>
    </w:r>
    <w:r w:rsidRPr="002E4DDC">
      <w:rPr>
        <w:color w:val="505050"/>
      </w:rPr>
      <w:fldChar w:fldCharType="end"/>
    </w:r>
  </w:p>
  <w:p w14:paraId="2E16816B" w14:textId="77777777" w:rsidR="00073AFA" w:rsidRPr="00A5474E" w:rsidRDefault="00073AFA" w:rsidP="00A547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79AEB" w14:textId="77777777" w:rsidR="00073AFA" w:rsidRPr="00622A3B" w:rsidRDefault="00073AFA" w:rsidP="00971914">
    <w:pPr>
      <w:pStyle w:val="Footer"/>
      <w:framePr w:w="1334" w:h="357" w:hRule="exact" w:vSpace="425" w:wrap="around" w:vAnchor="page" w:hAnchor="page" w:x="7335" w:y="16166"/>
      <w:pBdr>
        <w:top w:val="single" w:sz="4" w:space="1" w:color="auto"/>
      </w:pBdr>
      <w:tabs>
        <w:tab w:val="clear" w:pos="113"/>
        <w:tab w:val="left" w:pos="284"/>
      </w:tabs>
      <w:jc w:val="right"/>
      <w:rPr>
        <w:rFonts w:cs="Arial"/>
      </w:rPr>
    </w:pPr>
    <w:r w:rsidRPr="00622A3B">
      <w:rPr>
        <w:rFonts w:cs="Arial"/>
        <w:b/>
        <w:noProof/>
        <w:spacing w:val="-16"/>
        <w:sz w:val="20"/>
        <w:szCs w:val="20"/>
      </w:rPr>
      <w:t>a</w:t>
    </w:r>
    <w:r w:rsidRPr="00622A3B">
      <w:rPr>
        <w:rFonts w:cs="Arial"/>
        <w:b/>
        <w:noProof/>
        <w:spacing w:val="-15"/>
        <w:sz w:val="20"/>
        <w:szCs w:val="20"/>
      </w:rPr>
      <w:t>c</w:t>
    </w:r>
    <w:r w:rsidRPr="00622A3B">
      <w:rPr>
        <w:rFonts w:cs="Arial"/>
        <w:b/>
        <w:noProof/>
        <w:spacing w:val="-16"/>
        <w:sz w:val="20"/>
        <w:szCs w:val="20"/>
      </w:rPr>
      <w:t>m</w:t>
    </w:r>
    <w:r w:rsidRPr="00622A3B">
      <w:rPr>
        <w:rFonts w:cs="Arial"/>
        <w:b/>
        <w:noProof/>
        <w:spacing w:val="-14"/>
        <w:sz w:val="20"/>
        <w:szCs w:val="20"/>
      </w:rPr>
      <w:t>a</w:t>
    </w:r>
    <w:r w:rsidRPr="0094078F">
      <w:rPr>
        <w:rFonts w:cs="Arial"/>
      </w:rPr>
      <w:tab/>
    </w:r>
    <w:r>
      <w:rPr>
        <w:rFonts w:cs="Arial"/>
      </w:rPr>
      <w:t xml:space="preserve"> </w:t>
    </w:r>
    <w:r w:rsidRPr="00622A3B">
      <w:rPr>
        <w:rFonts w:cs="Arial"/>
      </w:rPr>
      <w:t>|</w:t>
    </w:r>
    <w:r>
      <w:tab/>
    </w:r>
    <w:r w:rsidRPr="002E4DDC">
      <w:rPr>
        <w:color w:val="505050"/>
      </w:rPr>
      <w:fldChar w:fldCharType="begin"/>
    </w:r>
    <w:r w:rsidRPr="002E4DDC">
      <w:rPr>
        <w:color w:val="505050"/>
      </w:rPr>
      <w:instrText xml:space="preserve"> PAGE  \* roman  \* MERGEFORMAT </w:instrText>
    </w:r>
    <w:r w:rsidRPr="002E4DDC">
      <w:rPr>
        <w:color w:val="505050"/>
      </w:rPr>
      <w:fldChar w:fldCharType="separate"/>
    </w:r>
    <w:r>
      <w:rPr>
        <w:noProof/>
        <w:color w:val="505050"/>
      </w:rPr>
      <w:t>v</w:t>
    </w:r>
    <w:r w:rsidRPr="002E4DDC">
      <w:rPr>
        <w:color w:val="505050"/>
      </w:rPr>
      <w:fldChar w:fldCharType="end"/>
    </w:r>
  </w:p>
  <w:p w14:paraId="069F06E3" w14:textId="77777777" w:rsidR="00073AFA" w:rsidRPr="00A5474E" w:rsidRDefault="00073AFA" w:rsidP="00A547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134E9" w14:textId="77777777" w:rsidR="00073AFA" w:rsidRPr="00622A3B" w:rsidRDefault="00073AFA" w:rsidP="0094078F">
    <w:pPr>
      <w:pStyle w:val="Footer"/>
      <w:framePr w:w="1334" w:h="357" w:hRule="exact" w:vSpace="425" w:wrap="around" w:vAnchor="page" w:hAnchor="page" w:x="7335" w:y="16166"/>
      <w:pBdr>
        <w:top w:val="single" w:sz="4" w:space="1" w:color="auto"/>
      </w:pBdr>
      <w:tabs>
        <w:tab w:val="clear" w:pos="113"/>
        <w:tab w:val="left" w:pos="284"/>
      </w:tabs>
      <w:jc w:val="right"/>
      <w:rPr>
        <w:rFonts w:cs="Arial"/>
      </w:rPr>
    </w:pPr>
    <w:r w:rsidRPr="00622A3B">
      <w:rPr>
        <w:rFonts w:cs="Arial"/>
        <w:b/>
        <w:noProof/>
        <w:spacing w:val="-16"/>
        <w:sz w:val="20"/>
        <w:szCs w:val="20"/>
      </w:rPr>
      <w:t>a</w:t>
    </w:r>
    <w:r w:rsidRPr="00622A3B">
      <w:rPr>
        <w:rFonts w:cs="Arial"/>
        <w:b/>
        <w:noProof/>
        <w:spacing w:val="-15"/>
        <w:sz w:val="20"/>
        <w:szCs w:val="20"/>
      </w:rPr>
      <w:t>c</w:t>
    </w:r>
    <w:r w:rsidRPr="00622A3B">
      <w:rPr>
        <w:rFonts w:cs="Arial"/>
        <w:b/>
        <w:noProof/>
        <w:spacing w:val="-16"/>
        <w:sz w:val="20"/>
        <w:szCs w:val="20"/>
      </w:rPr>
      <w:t>m</w:t>
    </w:r>
    <w:r w:rsidRPr="00622A3B">
      <w:rPr>
        <w:rFonts w:cs="Arial"/>
        <w:b/>
        <w:noProof/>
        <w:spacing w:val="-14"/>
        <w:sz w:val="20"/>
        <w:szCs w:val="20"/>
      </w:rPr>
      <w:t>a</w:t>
    </w:r>
    <w:r w:rsidRPr="0094078F">
      <w:rPr>
        <w:rFonts w:cs="Arial"/>
      </w:rPr>
      <w:tab/>
    </w:r>
    <w:r>
      <w:rPr>
        <w:rFonts w:cs="Arial"/>
      </w:rPr>
      <w:t xml:space="preserve"> </w:t>
    </w:r>
    <w:r w:rsidRPr="00622A3B">
      <w:rPr>
        <w:rFonts w:cs="Arial"/>
      </w:rPr>
      <w:t>|</w:t>
    </w:r>
    <w:r>
      <w:tab/>
    </w:r>
    <w:r w:rsidRPr="002E4DDC">
      <w:rPr>
        <w:color w:val="505050"/>
      </w:rPr>
      <w:fldChar w:fldCharType="begin"/>
    </w:r>
    <w:r w:rsidRPr="002E4DDC">
      <w:rPr>
        <w:color w:val="505050"/>
      </w:rPr>
      <w:instrText xml:space="preserve"> PAGE  \* roman  \* MERGEFORMAT </w:instrText>
    </w:r>
    <w:r w:rsidRPr="002E4DDC">
      <w:rPr>
        <w:color w:val="505050"/>
      </w:rPr>
      <w:fldChar w:fldCharType="separate"/>
    </w:r>
    <w:r>
      <w:rPr>
        <w:noProof/>
        <w:color w:val="505050"/>
      </w:rPr>
      <w:t>iii</w:t>
    </w:r>
    <w:r w:rsidRPr="002E4DDC">
      <w:rPr>
        <w:color w:val="505050"/>
      </w:rPr>
      <w:fldChar w:fldCharType="end"/>
    </w:r>
  </w:p>
  <w:p w14:paraId="00E7D598" w14:textId="77777777" w:rsidR="00073AFA" w:rsidRPr="00A5474E" w:rsidRDefault="00073AFA" w:rsidP="00A547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14B46" w14:textId="77777777" w:rsidR="00073AFA" w:rsidRPr="00622A3B" w:rsidRDefault="00073AFA" w:rsidP="00B43262">
    <w:pPr>
      <w:pStyle w:val="FooterLeft"/>
      <w:framePr w:wrap="around" w:x="1141" w:y="16166"/>
      <w:tabs>
        <w:tab w:val="clear" w:pos="113"/>
        <w:tab w:val="right" w:pos="397"/>
      </w:tabs>
    </w:pPr>
    <w:r w:rsidRPr="00575AC5">
      <w:fldChar w:fldCharType="begin"/>
    </w:r>
    <w:r w:rsidRPr="00575AC5">
      <w:instrText xml:space="preserve"> PAGE  \* Arabic  \* MERGEFORMAT </w:instrText>
    </w:r>
    <w:r w:rsidRPr="00575AC5">
      <w:fldChar w:fldCharType="separate"/>
    </w:r>
    <w:r>
      <w:rPr>
        <w:noProof/>
      </w:rPr>
      <w:t>6</w:t>
    </w:r>
    <w:r w:rsidRPr="00575AC5">
      <w:fldChar w:fldCharType="end"/>
    </w:r>
    <w:r w:rsidRPr="0094078F">
      <w:tab/>
    </w:r>
    <w:r w:rsidRPr="00622A3B">
      <w:t>|</w:t>
    </w:r>
    <w:r>
      <w:tab/>
    </w:r>
    <w:r w:rsidRPr="00622A3B">
      <w:rPr>
        <w:b/>
        <w:noProof/>
        <w:spacing w:val="-16"/>
        <w:sz w:val="20"/>
        <w:szCs w:val="20"/>
      </w:rPr>
      <w:t>a</w:t>
    </w:r>
    <w:r w:rsidRPr="00622A3B">
      <w:rPr>
        <w:b/>
        <w:noProof/>
        <w:spacing w:val="-15"/>
        <w:sz w:val="20"/>
        <w:szCs w:val="20"/>
      </w:rPr>
      <w:t>c</w:t>
    </w:r>
    <w:r w:rsidRPr="00622A3B">
      <w:rPr>
        <w:b/>
        <w:noProof/>
        <w:spacing w:val="-16"/>
        <w:sz w:val="20"/>
        <w:szCs w:val="20"/>
      </w:rPr>
      <w:t>m</w:t>
    </w:r>
    <w:r w:rsidRPr="00622A3B">
      <w:rPr>
        <w:b/>
        <w:noProof/>
        <w:spacing w:val="-14"/>
        <w:sz w:val="20"/>
        <w:szCs w:val="20"/>
      </w:rPr>
      <w:t>a</w:t>
    </w:r>
  </w:p>
  <w:p w14:paraId="78015EE5" w14:textId="77777777" w:rsidR="00073AFA" w:rsidRPr="00A5474E" w:rsidRDefault="00073AFA" w:rsidP="00A547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DE948" w14:textId="77777777" w:rsidR="00073AFA" w:rsidRPr="00622A3B" w:rsidRDefault="00073AFA" w:rsidP="00447037">
    <w:pPr>
      <w:pStyle w:val="Footer"/>
      <w:framePr w:w="1440" w:h="357" w:hRule="exact" w:vSpace="425" w:wrap="around" w:vAnchor="page" w:hAnchor="page" w:x="7335" w:y="16166"/>
      <w:pBdr>
        <w:top w:val="single" w:sz="4" w:space="1" w:color="auto"/>
      </w:pBdr>
      <w:tabs>
        <w:tab w:val="clear" w:pos="113"/>
        <w:tab w:val="left" w:pos="397"/>
      </w:tabs>
      <w:jc w:val="right"/>
      <w:rPr>
        <w:rFonts w:cs="Arial"/>
      </w:rPr>
    </w:pPr>
    <w:r w:rsidRPr="00622A3B">
      <w:rPr>
        <w:rFonts w:cs="Arial"/>
        <w:b/>
        <w:noProof/>
        <w:spacing w:val="-16"/>
        <w:sz w:val="20"/>
        <w:szCs w:val="20"/>
      </w:rPr>
      <w:t>a</w:t>
    </w:r>
    <w:r w:rsidRPr="00622A3B">
      <w:rPr>
        <w:rFonts w:cs="Arial"/>
        <w:b/>
        <w:noProof/>
        <w:spacing w:val="-15"/>
        <w:sz w:val="20"/>
        <w:szCs w:val="20"/>
      </w:rPr>
      <w:t>c</w:t>
    </w:r>
    <w:r w:rsidRPr="00622A3B">
      <w:rPr>
        <w:rFonts w:cs="Arial"/>
        <w:b/>
        <w:noProof/>
        <w:spacing w:val="-16"/>
        <w:sz w:val="20"/>
        <w:szCs w:val="20"/>
      </w:rPr>
      <w:t>m</w:t>
    </w:r>
    <w:r w:rsidRPr="00622A3B">
      <w:rPr>
        <w:rFonts w:cs="Arial"/>
        <w:b/>
        <w:noProof/>
        <w:spacing w:val="-14"/>
        <w:sz w:val="20"/>
        <w:szCs w:val="20"/>
      </w:rPr>
      <w:t>a</w:t>
    </w:r>
    <w:r w:rsidRPr="0094078F">
      <w:rPr>
        <w:rFonts w:cs="Arial"/>
      </w:rPr>
      <w:tab/>
    </w:r>
    <w:r>
      <w:rPr>
        <w:rFonts w:cs="Arial"/>
      </w:rPr>
      <w:t xml:space="preserve"> </w:t>
    </w:r>
    <w:r w:rsidRPr="00622A3B">
      <w:rPr>
        <w:rFonts w:cs="Arial"/>
      </w:rPr>
      <w:t>|</w:t>
    </w:r>
    <w:r>
      <w:tab/>
    </w:r>
    <w:r w:rsidRPr="00575AC5">
      <w:rPr>
        <w:color w:val="505050"/>
      </w:rPr>
      <w:fldChar w:fldCharType="begin"/>
    </w:r>
    <w:r w:rsidRPr="00575AC5">
      <w:rPr>
        <w:color w:val="505050"/>
      </w:rPr>
      <w:instrText xml:space="preserve"> PAGE  \* Arabic  \* MERGEFORMAT </w:instrText>
    </w:r>
    <w:r w:rsidRPr="00575AC5">
      <w:rPr>
        <w:color w:val="505050"/>
      </w:rPr>
      <w:fldChar w:fldCharType="separate"/>
    </w:r>
    <w:r>
      <w:rPr>
        <w:noProof/>
        <w:color w:val="505050"/>
      </w:rPr>
      <w:t>1</w:t>
    </w:r>
    <w:r w:rsidRPr="00575AC5">
      <w:rPr>
        <w:color w:val="505050"/>
      </w:rPr>
      <w:fldChar w:fldCharType="end"/>
    </w:r>
  </w:p>
  <w:p w14:paraId="2DDB6818" w14:textId="77777777" w:rsidR="00073AFA" w:rsidRPr="00A5474E" w:rsidRDefault="00073AFA" w:rsidP="00A54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B8238" w14:textId="77777777" w:rsidR="00073AFA" w:rsidRDefault="00073AFA">
      <w:r>
        <w:separator/>
      </w:r>
    </w:p>
  </w:footnote>
  <w:footnote w:type="continuationSeparator" w:id="0">
    <w:p w14:paraId="76197E1C" w14:textId="77777777" w:rsidR="00073AFA" w:rsidRDefault="00073AFA">
      <w:r>
        <w:continuationSeparator/>
      </w:r>
    </w:p>
  </w:footnote>
  <w:footnote w:type="continuationNotice" w:id="1">
    <w:p w14:paraId="0CE9FFF4" w14:textId="77777777" w:rsidR="00073AFA" w:rsidRDefault="00073A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C6931" w14:textId="77777777" w:rsidR="00073AFA" w:rsidRPr="00A5474E" w:rsidRDefault="00073AFA" w:rsidP="00A5474E">
    <w:pPr>
      <w:pStyle w:val="Header"/>
    </w:pPr>
    <w:r>
      <w:rPr>
        <w:noProof/>
      </w:rPr>
      <w:drawing>
        <wp:inline distT="0" distB="0" distL="0" distR="0" wp14:anchorId="035FE4BC" wp14:editId="10D6A218">
          <wp:extent cx="6210300" cy="571134"/>
          <wp:effectExtent l="0" t="0" r="0" b="0"/>
          <wp:docPr id="9" name="Picture 9" descr="AC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ussion-paper-header-block.pdf"/>
                  <pic:cNvPicPr/>
                </pic:nvPicPr>
                <pic:blipFill>
                  <a:blip r:embed="rId1"/>
                  <a:stretch>
                    <a:fillRect/>
                  </a:stretch>
                </pic:blipFill>
                <pic:spPr>
                  <a:xfrm>
                    <a:off x="0" y="0"/>
                    <a:ext cx="6210300" cy="57113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98E6D" w14:textId="77777777" w:rsidR="00073AFA" w:rsidRPr="00A5474E" w:rsidRDefault="00073AFA" w:rsidP="00594E9C">
    <w:pPr>
      <w:pStyle w:val="TOCHeading"/>
    </w:pPr>
    <w:r w:rsidRPr="0029593B">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2A0DA" w14:textId="77777777" w:rsidR="00073AFA" w:rsidRDefault="00073A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CE3E8" w14:textId="77777777" w:rsidR="00073AFA" w:rsidRDefault="00073A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678" w:type="dxa"/>
      <w:tblLayout w:type="fixed"/>
      <w:tblCellMar>
        <w:left w:w="0" w:type="dxa"/>
        <w:right w:w="0" w:type="dxa"/>
      </w:tblCellMar>
      <w:tblLook w:val="01E0" w:firstRow="1" w:lastRow="1" w:firstColumn="1" w:lastColumn="1" w:noHBand="0" w:noVBand="0"/>
    </w:tblPr>
    <w:tblGrid>
      <w:gridCol w:w="7678"/>
    </w:tblGrid>
    <w:tr w:rsidR="00073AFA" w14:paraId="6D22C78E" w14:textId="77777777" w:rsidTr="009E546F">
      <w:trPr>
        <w:trHeight w:hRule="exact" w:val="988"/>
      </w:trPr>
      <w:tc>
        <w:tcPr>
          <w:tcW w:w="7678" w:type="dxa"/>
          <w:shd w:val="clear" w:color="auto" w:fill="auto"/>
        </w:tcPr>
        <w:p w14:paraId="15A4C4E8" w14:textId="77777777" w:rsidR="00073AFA" w:rsidRDefault="00073AFA" w:rsidP="00971914">
          <w:pPr>
            <w:pStyle w:val="Header"/>
          </w:pPr>
        </w:p>
      </w:tc>
    </w:tr>
    <w:tr w:rsidR="00073AFA" w14:paraId="5EA517B4" w14:textId="77777777" w:rsidTr="009E546F">
      <w:tc>
        <w:tcPr>
          <w:tcW w:w="7678" w:type="dxa"/>
          <w:shd w:val="clear" w:color="auto" w:fill="auto"/>
        </w:tcPr>
        <w:p w14:paraId="6A4E732B" w14:textId="77777777" w:rsidR="00073AFA" w:rsidRDefault="00073AFA" w:rsidP="00971914">
          <w:pPr>
            <w:pStyle w:val="GridTable31"/>
          </w:pPr>
          <w:r>
            <w:t xml:space="preserve">Contents </w:t>
          </w:r>
          <w:r w:rsidRPr="00915B1C">
            <w:rPr>
              <w:b w:val="0"/>
              <w:spacing w:val="0"/>
              <w:sz w:val="28"/>
              <w:szCs w:val="28"/>
            </w:rPr>
            <w:t>(Continued)</w:t>
          </w:r>
        </w:p>
      </w:tc>
    </w:tr>
    <w:tr w:rsidR="00073AFA" w14:paraId="3F5C1DDE" w14:textId="77777777" w:rsidTr="009E546F">
      <w:trPr>
        <w:trHeight w:val="1220"/>
      </w:trPr>
      <w:tc>
        <w:tcPr>
          <w:tcW w:w="7678" w:type="dxa"/>
          <w:shd w:val="clear" w:color="auto" w:fill="auto"/>
        </w:tcPr>
        <w:p w14:paraId="7E8B417C" w14:textId="77777777" w:rsidR="00073AFA" w:rsidRDefault="00073AFA" w:rsidP="00971914"/>
      </w:tc>
    </w:tr>
  </w:tbl>
  <w:p w14:paraId="4BF2B62C" w14:textId="77777777" w:rsidR="00073AFA" w:rsidRDefault="00073AFA" w:rsidP="009719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678" w:type="dxa"/>
      <w:tblLayout w:type="fixed"/>
      <w:tblCellMar>
        <w:left w:w="0" w:type="dxa"/>
        <w:right w:w="0" w:type="dxa"/>
      </w:tblCellMar>
      <w:tblLook w:val="01E0" w:firstRow="1" w:lastRow="1" w:firstColumn="1" w:lastColumn="1" w:noHBand="0" w:noVBand="0"/>
    </w:tblPr>
    <w:tblGrid>
      <w:gridCol w:w="7678"/>
    </w:tblGrid>
    <w:tr w:rsidR="00073AFA" w14:paraId="533890C8" w14:textId="77777777" w:rsidTr="009E546F">
      <w:trPr>
        <w:trHeight w:hRule="exact" w:val="988"/>
      </w:trPr>
      <w:tc>
        <w:tcPr>
          <w:tcW w:w="7678" w:type="dxa"/>
          <w:shd w:val="clear" w:color="auto" w:fill="auto"/>
        </w:tcPr>
        <w:p w14:paraId="722D6996" w14:textId="77777777" w:rsidR="00073AFA" w:rsidRDefault="00073AFA" w:rsidP="00971914">
          <w:pPr>
            <w:pStyle w:val="Header"/>
          </w:pPr>
        </w:p>
      </w:tc>
    </w:tr>
    <w:tr w:rsidR="00073AFA" w14:paraId="62420963" w14:textId="77777777" w:rsidTr="009E546F">
      <w:tc>
        <w:tcPr>
          <w:tcW w:w="7678" w:type="dxa"/>
          <w:shd w:val="clear" w:color="auto" w:fill="auto"/>
        </w:tcPr>
        <w:p w14:paraId="3C173B13" w14:textId="77777777" w:rsidR="00073AFA" w:rsidRDefault="00073AFA" w:rsidP="00971914">
          <w:pPr>
            <w:pStyle w:val="GridTable31"/>
          </w:pPr>
          <w:r>
            <w:t xml:space="preserve">Contents </w:t>
          </w:r>
          <w:r w:rsidRPr="00915B1C">
            <w:rPr>
              <w:b w:val="0"/>
              <w:spacing w:val="0"/>
              <w:sz w:val="28"/>
              <w:szCs w:val="28"/>
            </w:rPr>
            <w:t>(Continued)</w:t>
          </w:r>
        </w:p>
      </w:tc>
    </w:tr>
    <w:tr w:rsidR="00073AFA" w14:paraId="3207E297" w14:textId="77777777" w:rsidTr="009E546F">
      <w:trPr>
        <w:trHeight w:val="1220"/>
      </w:trPr>
      <w:tc>
        <w:tcPr>
          <w:tcW w:w="7678" w:type="dxa"/>
          <w:shd w:val="clear" w:color="auto" w:fill="auto"/>
        </w:tcPr>
        <w:p w14:paraId="1A6F11BB" w14:textId="77777777" w:rsidR="00073AFA" w:rsidRDefault="00073AFA" w:rsidP="00971914"/>
      </w:tc>
    </w:tr>
  </w:tbl>
  <w:p w14:paraId="738C8269" w14:textId="77777777" w:rsidR="00073AFA" w:rsidRPr="00A5474E" w:rsidRDefault="00073AFA" w:rsidP="00A547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7444A" w14:textId="77777777" w:rsidR="00073AFA" w:rsidRDefault="00073A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D507C" w14:textId="77777777" w:rsidR="00073AFA" w:rsidRDefault="00073A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75F22F60"/>
    <w:lvl w:ilvl="0">
      <w:start w:val="1"/>
      <w:numFmt w:val="lowerRoman"/>
      <w:pStyle w:val="ListNumber2"/>
      <w:lvlText w:val="%1."/>
      <w:lvlJc w:val="right"/>
      <w:pPr>
        <w:ind w:left="717" w:hanging="360"/>
      </w:pPr>
      <w:rPr>
        <w:rFonts w:hint="default"/>
      </w:rPr>
    </w:lvl>
  </w:abstractNum>
  <w:abstractNum w:abstractNumId="1" w15:restartNumberingAfterBreak="0">
    <w:nsid w:val="FFFFFF83"/>
    <w:multiLevelType w:val="singleLevel"/>
    <w:tmpl w:val="909E78BC"/>
    <w:lvl w:ilvl="0">
      <w:start w:val="1"/>
      <w:numFmt w:val="bullet"/>
      <w:pStyle w:val="Bulletlevel2"/>
      <w:lvlText w:val="&gt;"/>
      <w:lvlJc w:val="left"/>
      <w:pPr>
        <w:tabs>
          <w:tab w:val="num" w:pos="845"/>
        </w:tabs>
        <w:ind w:left="845" w:hanging="544"/>
      </w:pPr>
      <w:rPr>
        <w:rFonts w:ascii="HelveticaNeueLT Std Lt" w:hAnsi="HelveticaNeueLT Std Lt" w:hint="default"/>
        <w:sz w:val="20"/>
      </w:rPr>
    </w:lvl>
  </w:abstractNum>
  <w:abstractNum w:abstractNumId="2" w15:restartNumberingAfterBreak="0">
    <w:nsid w:val="FFFFFF88"/>
    <w:multiLevelType w:val="singleLevel"/>
    <w:tmpl w:val="51B60EB2"/>
    <w:lvl w:ilvl="0">
      <w:start w:val="1"/>
      <w:numFmt w:val="decimal"/>
      <w:pStyle w:val="ListNumber"/>
      <w:lvlText w:val="%1."/>
      <w:lvlJc w:val="left"/>
      <w:pPr>
        <w:ind w:left="360" w:hanging="360"/>
      </w:pPr>
      <w:rPr>
        <w:rFonts w:hint="default"/>
        <w:b w:val="0"/>
        <w:bCs/>
        <w:caps/>
        <w:sz w:val="20"/>
      </w:rPr>
    </w:lvl>
  </w:abstractNum>
  <w:abstractNum w:abstractNumId="3" w15:restartNumberingAfterBreak="0">
    <w:nsid w:val="FFFFFF89"/>
    <w:multiLevelType w:val="singleLevel"/>
    <w:tmpl w:val="14A41EB4"/>
    <w:lvl w:ilvl="0">
      <w:start w:val="1"/>
      <w:numFmt w:val="bullet"/>
      <w:pStyle w:val="Bulletlevel1"/>
      <w:lvlText w:val="&gt;"/>
      <w:lvlJc w:val="left"/>
      <w:pPr>
        <w:tabs>
          <w:tab w:val="num" w:pos="295"/>
        </w:tabs>
        <w:ind w:left="295" w:hanging="295"/>
      </w:pPr>
      <w:rPr>
        <w:rFonts w:ascii="HelveticaNeueLT Std Lt" w:hAnsi="HelveticaNeueLT Std Lt" w:hint="default"/>
        <w:sz w:val="20"/>
      </w:rPr>
    </w:lvl>
  </w:abstractNum>
  <w:abstractNum w:abstractNumId="4" w15:restartNumberingAfterBreak="0">
    <w:nsid w:val="02AF1222"/>
    <w:multiLevelType w:val="hybridMultilevel"/>
    <w:tmpl w:val="BC6E3CC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7C268C"/>
    <w:multiLevelType w:val="hybridMultilevel"/>
    <w:tmpl w:val="E0A6CA9A"/>
    <w:lvl w:ilvl="0" w:tplc="44EEC084">
      <w:start w:val="1"/>
      <w:numFmt w:val="bullet"/>
      <w:lvlText w:val="&gt;"/>
      <w:lvlJc w:val="left"/>
      <w:pPr>
        <w:ind w:left="720" w:hanging="360"/>
      </w:pPr>
      <w:rPr>
        <w:rFonts w:ascii="HelveticaNeueLT Std" w:hAnsi="HelveticaNeueLT Std"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155776"/>
    <w:multiLevelType w:val="hybridMultilevel"/>
    <w:tmpl w:val="DAB6F8DE"/>
    <w:lvl w:ilvl="0" w:tplc="0F7ED96E">
      <w:numFmt w:val="bullet"/>
      <w:lvlText w:val=""/>
      <w:lvlJc w:val="left"/>
      <w:pPr>
        <w:ind w:left="655" w:hanging="360"/>
      </w:pPr>
      <w:rPr>
        <w:rFonts w:ascii="Wingdings" w:eastAsia="Times New Roman" w:hAnsi="Wingdings" w:cs="Times New Roman" w:hint="default"/>
      </w:rPr>
    </w:lvl>
    <w:lvl w:ilvl="1" w:tplc="0C090003" w:tentative="1">
      <w:start w:val="1"/>
      <w:numFmt w:val="bullet"/>
      <w:lvlText w:val="o"/>
      <w:lvlJc w:val="left"/>
      <w:pPr>
        <w:ind w:left="1375" w:hanging="360"/>
      </w:pPr>
      <w:rPr>
        <w:rFonts w:ascii="Courier New" w:hAnsi="Courier New" w:cs="Courier New" w:hint="default"/>
      </w:rPr>
    </w:lvl>
    <w:lvl w:ilvl="2" w:tplc="0C090005" w:tentative="1">
      <w:start w:val="1"/>
      <w:numFmt w:val="bullet"/>
      <w:lvlText w:val=""/>
      <w:lvlJc w:val="left"/>
      <w:pPr>
        <w:ind w:left="2095" w:hanging="360"/>
      </w:pPr>
      <w:rPr>
        <w:rFonts w:ascii="Wingdings" w:hAnsi="Wingdings" w:hint="default"/>
      </w:rPr>
    </w:lvl>
    <w:lvl w:ilvl="3" w:tplc="0C090001" w:tentative="1">
      <w:start w:val="1"/>
      <w:numFmt w:val="bullet"/>
      <w:lvlText w:val=""/>
      <w:lvlJc w:val="left"/>
      <w:pPr>
        <w:ind w:left="2815" w:hanging="360"/>
      </w:pPr>
      <w:rPr>
        <w:rFonts w:ascii="Symbol" w:hAnsi="Symbol" w:hint="default"/>
      </w:rPr>
    </w:lvl>
    <w:lvl w:ilvl="4" w:tplc="0C090003" w:tentative="1">
      <w:start w:val="1"/>
      <w:numFmt w:val="bullet"/>
      <w:lvlText w:val="o"/>
      <w:lvlJc w:val="left"/>
      <w:pPr>
        <w:ind w:left="3535" w:hanging="360"/>
      </w:pPr>
      <w:rPr>
        <w:rFonts w:ascii="Courier New" w:hAnsi="Courier New" w:cs="Courier New" w:hint="default"/>
      </w:rPr>
    </w:lvl>
    <w:lvl w:ilvl="5" w:tplc="0C090005" w:tentative="1">
      <w:start w:val="1"/>
      <w:numFmt w:val="bullet"/>
      <w:lvlText w:val=""/>
      <w:lvlJc w:val="left"/>
      <w:pPr>
        <w:ind w:left="4255" w:hanging="360"/>
      </w:pPr>
      <w:rPr>
        <w:rFonts w:ascii="Wingdings" w:hAnsi="Wingdings" w:hint="default"/>
      </w:rPr>
    </w:lvl>
    <w:lvl w:ilvl="6" w:tplc="0C090001" w:tentative="1">
      <w:start w:val="1"/>
      <w:numFmt w:val="bullet"/>
      <w:lvlText w:val=""/>
      <w:lvlJc w:val="left"/>
      <w:pPr>
        <w:ind w:left="4975" w:hanging="360"/>
      </w:pPr>
      <w:rPr>
        <w:rFonts w:ascii="Symbol" w:hAnsi="Symbol" w:hint="default"/>
      </w:rPr>
    </w:lvl>
    <w:lvl w:ilvl="7" w:tplc="0C090003" w:tentative="1">
      <w:start w:val="1"/>
      <w:numFmt w:val="bullet"/>
      <w:lvlText w:val="o"/>
      <w:lvlJc w:val="left"/>
      <w:pPr>
        <w:ind w:left="5695" w:hanging="360"/>
      </w:pPr>
      <w:rPr>
        <w:rFonts w:ascii="Courier New" w:hAnsi="Courier New" w:cs="Courier New" w:hint="default"/>
      </w:rPr>
    </w:lvl>
    <w:lvl w:ilvl="8" w:tplc="0C090005" w:tentative="1">
      <w:start w:val="1"/>
      <w:numFmt w:val="bullet"/>
      <w:lvlText w:val=""/>
      <w:lvlJc w:val="left"/>
      <w:pPr>
        <w:ind w:left="6415" w:hanging="360"/>
      </w:pPr>
      <w:rPr>
        <w:rFonts w:ascii="Wingdings" w:hAnsi="Wingdings" w:hint="default"/>
      </w:rPr>
    </w:lvl>
  </w:abstractNum>
  <w:abstractNum w:abstractNumId="7" w15:restartNumberingAfterBreak="0">
    <w:nsid w:val="2AFD6626"/>
    <w:multiLevelType w:val="hybridMultilevel"/>
    <w:tmpl w:val="FF308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301DD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9" w15:restartNumberingAfterBreak="0">
    <w:nsid w:val="55AA21F0"/>
    <w:multiLevelType w:val="hybridMultilevel"/>
    <w:tmpl w:val="9B5CB936"/>
    <w:lvl w:ilvl="0" w:tplc="CCA08FFA">
      <w:start w:val="1"/>
      <w:numFmt w:val="decimal"/>
      <w:pStyle w:val="ACMATableHeader"/>
      <w:lvlText w:val="Table %1:"/>
      <w:lvlJc w:val="left"/>
      <w:pPr>
        <w:tabs>
          <w:tab w:val="num" w:pos="964"/>
        </w:tabs>
        <w:ind w:left="964" w:hanging="9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C30333"/>
    <w:multiLevelType w:val="hybridMultilevel"/>
    <w:tmpl w:val="A5FC2D54"/>
    <w:lvl w:ilvl="0" w:tplc="65EA47EC">
      <w:start w:val="1"/>
      <w:numFmt w:val="decimal"/>
      <w:pStyle w:val="Captionfigure"/>
      <w:lvlText w:val="Figure %1:"/>
      <w:lvlJc w:val="left"/>
      <w:pPr>
        <w:tabs>
          <w:tab w:val="num" w:pos="1021"/>
        </w:tabs>
        <w:ind w:left="1021" w:hanging="102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071478"/>
    <w:multiLevelType w:val="hybridMultilevel"/>
    <w:tmpl w:val="16D2B96E"/>
    <w:lvl w:ilvl="0" w:tplc="3A9CF91A">
      <w:start w:val="1"/>
      <w:numFmt w:val="decimal"/>
      <w:pStyle w:val="ACMAFigureHeader"/>
      <w:lvlText w:val="Figure %1: "/>
      <w:lvlJc w:val="left"/>
      <w:pPr>
        <w:tabs>
          <w:tab w:val="num" w:pos="1021"/>
        </w:tabs>
        <w:ind w:left="1021" w:hanging="102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757AE6"/>
    <w:multiLevelType w:val="hybridMultilevel"/>
    <w:tmpl w:val="4BAEE1E2"/>
    <w:lvl w:ilvl="0" w:tplc="0DA4929C">
      <w:start w:val="1"/>
      <w:numFmt w:val="decimal"/>
      <w:pStyle w:val="Caption"/>
      <w:lvlText w:val="Table %1:"/>
      <w:lvlJc w:val="left"/>
      <w:pPr>
        <w:tabs>
          <w:tab w:val="num" w:pos="964"/>
        </w:tabs>
        <w:ind w:left="964" w:hanging="9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8"/>
  </w:num>
  <w:num w:numId="6">
    <w:abstractNumId w:val="11"/>
  </w:num>
  <w:num w:numId="7">
    <w:abstractNumId w:val="9"/>
  </w:num>
  <w:num w:numId="8">
    <w:abstractNumId w:val="10"/>
  </w:num>
  <w:num w:numId="9">
    <w:abstractNumId w:val="12"/>
  </w:num>
  <w:num w:numId="10">
    <w:abstractNumId w:val="5"/>
  </w:num>
  <w:num w:numId="11">
    <w:abstractNumId w:val="4"/>
  </w:num>
  <w:num w:numId="12">
    <w:abstractNumId w:val="3"/>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7"/>
  </w:num>
  <w:num w:numId="17">
    <w:abstractNumId w:val="6"/>
  </w:num>
  <w:num w:numId="1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284"/>
  <w:evenAndOddHeaders/>
  <w:drawingGridHorizontalSpacing w:val="100"/>
  <w:displayHorizontalDrawingGridEvery w:val="2"/>
  <w:characterSpacingControl w:val="doNotCompress"/>
  <w:hdrShapeDefaults>
    <o:shapedefaults v:ext="edit" spidmax="18433">
      <o:colormru v:ext="edit" colors="red,#4d4d4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145"/>
    <w:rsid w:val="000016A8"/>
    <w:rsid w:val="00010667"/>
    <w:rsid w:val="000129D5"/>
    <w:rsid w:val="00015AE7"/>
    <w:rsid w:val="00016E21"/>
    <w:rsid w:val="0001719C"/>
    <w:rsid w:val="0001762B"/>
    <w:rsid w:val="0002224E"/>
    <w:rsid w:val="0002250E"/>
    <w:rsid w:val="000245E5"/>
    <w:rsid w:val="00026F91"/>
    <w:rsid w:val="00032621"/>
    <w:rsid w:val="00036A8F"/>
    <w:rsid w:val="00040BE0"/>
    <w:rsid w:val="0004764C"/>
    <w:rsid w:val="0005011A"/>
    <w:rsid w:val="0005045A"/>
    <w:rsid w:val="00050917"/>
    <w:rsid w:val="00051C1E"/>
    <w:rsid w:val="000539F9"/>
    <w:rsid w:val="00054C27"/>
    <w:rsid w:val="00055EC3"/>
    <w:rsid w:val="000563CE"/>
    <w:rsid w:val="000566C8"/>
    <w:rsid w:val="000659B6"/>
    <w:rsid w:val="0006686F"/>
    <w:rsid w:val="0006722A"/>
    <w:rsid w:val="000732CF"/>
    <w:rsid w:val="00073367"/>
    <w:rsid w:val="00073AFA"/>
    <w:rsid w:val="00075B96"/>
    <w:rsid w:val="0008053E"/>
    <w:rsid w:val="0008196A"/>
    <w:rsid w:val="000915ED"/>
    <w:rsid w:val="00091626"/>
    <w:rsid w:val="0009209D"/>
    <w:rsid w:val="0009463C"/>
    <w:rsid w:val="000969BD"/>
    <w:rsid w:val="000969BF"/>
    <w:rsid w:val="000A0C22"/>
    <w:rsid w:val="000A1400"/>
    <w:rsid w:val="000A3C43"/>
    <w:rsid w:val="000A4A51"/>
    <w:rsid w:val="000A5D2B"/>
    <w:rsid w:val="000B4664"/>
    <w:rsid w:val="000B5DE3"/>
    <w:rsid w:val="000C0A57"/>
    <w:rsid w:val="000C220F"/>
    <w:rsid w:val="000C230C"/>
    <w:rsid w:val="000C6AB4"/>
    <w:rsid w:val="000D71D9"/>
    <w:rsid w:val="000D76E0"/>
    <w:rsid w:val="000D7E8B"/>
    <w:rsid w:val="000E4449"/>
    <w:rsid w:val="000E6097"/>
    <w:rsid w:val="000F0184"/>
    <w:rsid w:val="00103829"/>
    <w:rsid w:val="00104A7B"/>
    <w:rsid w:val="00110B82"/>
    <w:rsid w:val="00111FCE"/>
    <w:rsid w:val="001229A5"/>
    <w:rsid w:val="0012489B"/>
    <w:rsid w:val="00130017"/>
    <w:rsid w:val="00130F91"/>
    <w:rsid w:val="00132215"/>
    <w:rsid w:val="001349ED"/>
    <w:rsid w:val="00137424"/>
    <w:rsid w:val="00140318"/>
    <w:rsid w:val="00141AD9"/>
    <w:rsid w:val="00146CE6"/>
    <w:rsid w:val="00152903"/>
    <w:rsid w:val="00152D53"/>
    <w:rsid w:val="001539C0"/>
    <w:rsid w:val="00153FD5"/>
    <w:rsid w:val="0015614F"/>
    <w:rsid w:val="001577C2"/>
    <w:rsid w:val="001633C4"/>
    <w:rsid w:val="00163AD8"/>
    <w:rsid w:val="00164BC2"/>
    <w:rsid w:val="001704D5"/>
    <w:rsid w:val="00171591"/>
    <w:rsid w:val="00173981"/>
    <w:rsid w:val="0017719D"/>
    <w:rsid w:val="00183FD7"/>
    <w:rsid w:val="00185CAB"/>
    <w:rsid w:val="001875B7"/>
    <w:rsid w:val="00187CB3"/>
    <w:rsid w:val="0019050A"/>
    <w:rsid w:val="001910D4"/>
    <w:rsid w:val="001976E3"/>
    <w:rsid w:val="001A44EC"/>
    <w:rsid w:val="001B58AA"/>
    <w:rsid w:val="001B7E48"/>
    <w:rsid w:val="001C17CE"/>
    <w:rsid w:val="001C36CA"/>
    <w:rsid w:val="001C44D1"/>
    <w:rsid w:val="001C6AEE"/>
    <w:rsid w:val="001C7630"/>
    <w:rsid w:val="001D2E0C"/>
    <w:rsid w:val="001D6D15"/>
    <w:rsid w:val="001F7558"/>
    <w:rsid w:val="00201EE2"/>
    <w:rsid w:val="00205B57"/>
    <w:rsid w:val="0021426C"/>
    <w:rsid w:val="002157E0"/>
    <w:rsid w:val="00216193"/>
    <w:rsid w:val="00216A57"/>
    <w:rsid w:val="00217448"/>
    <w:rsid w:val="0022334F"/>
    <w:rsid w:val="00226819"/>
    <w:rsid w:val="00233101"/>
    <w:rsid w:val="00233817"/>
    <w:rsid w:val="002367FF"/>
    <w:rsid w:val="00240CE9"/>
    <w:rsid w:val="002434BA"/>
    <w:rsid w:val="00246089"/>
    <w:rsid w:val="00246093"/>
    <w:rsid w:val="00246702"/>
    <w:rsid w:val="00247C59"/>
    <w:rsid w:val="00247F2E"/>
    <w:rsid w:val="00250ADC"/>
    <w:rsid w:val="00250B07"/>
    <w:rsid w:val="00257553"/>
    <w:rsid w:val="00260FB2"/>
    <w:rsid w:val="00262128"/>
    <w:rsid w:val="0027165D"/>
    <w:rsid w:val="00273CEB"/>
    <w:rsid w:val="0028172A"/>
    <w:rsid w:val="00281C89"/>
    <w:rsid w:val="0028282F"/>
    <w:rsid w:val="0029593B"/>
    <w:rsid w:val="00297FC5"/>
    <w:rsid w:val="002A0417"/>
    <w:rsid w:val="002A16D8"/>
    <w:rsid w:val="002A1BC8"/>
    <w:rsid w:val="002A3EF2"/>
    <w:rsid w:val="002B0DED"/>
    <w:rsid w:val="002B19A2"/>
    <w:rsid w:val="002B381A"/>
    <w:rsid w:val="002B39C4"/>
    <w:rsid w:val="002B4FCC"/>
    <w:rsid w:val="002B7408"/>
    <w:rsid w:val="002B7CFD"/>
    <w:rsid w:val="002C210F"/>
    <w:rsid w:val="002D3600"/>
    <w:rsid w:val="002E35A4"/>
    <w:rsid w:val="002E4DDC"/>
    <w:rsid w:val="002E79AA"/>
    <w:rsid w:val="00302480"/>
    <w:rsid w:val="00302758"/>
    <w:rsid w:val="003165E6"/>
    <w:rsid w:val="003215B5"/>
    <w:rsid w:val="003221CF"/>
    <w:rsid w:val="003233ED"/>
    <w:rsid w:val="00324D9F"/>
    <w:rsid w:val="00325AC8"/>
    <w:rsid w:val="00327948"/>
    <w:rsid w:val="0033000F"/>
    <w:rsid w:val="00332011"/>
    <w:rsid w:val="00332518"/>
    <w:rsid w:val="003325C6"/>
    <w:rsid w:val="00332925"/>
    <w:rsid w:val="003332ED"/>
    <w:rsid w:val="003368DC"/>
    <w:rsid w:val="00345927"/>
    <w:rsid w:val="00350584"/>
    <w:rsid w:val="00351857"/>
    <w:rsid w:val="003545E8"/>
    <w:rsid w:val="0036005F"/>
    <w:rsid w:val="003610E1"/>
    <w:rsid w:val="003671BE"/>
    <w:rsid w:val="00372485"/>
    <w:rsid w:val="00373200"/>
    <w:rsid w:val="00375EF5"/>
    <w:rsid w:val="003767A5"/>
    <w:rsid w:val="00381D15"/>
    <w:rsid w:val="00385254"/>
    <w:rsid w:val="003933E8"/>
    <w:rsid w:val="00394031"/>
    <w:rsid w:val="003A04DB"/>
    <w:rsid w:val="003A5F5B"/>
    <w:rsid w:val="003A789A"/>
    <w:rsid w:val="003B12EC"/>
    <w:rsid w:val="003C77E0"/>
    <w:rsid w:val="003D17D7"/>
    <w:rsid w:val="003D2678"/>
    <w:rsid w:val="003D58B8"/>
    <w:rsid w:val="003D71A3"/>
    <w:rsid w:val="003E2B8A"/>
    <w:rsid w:val="003F10EE"/>
    <w:rsid w:val="003F16F6"/>
    <w:rsid w:val="003F4DC7"/>
    <w:rsid w:val="003F5235"/>
    <w:rsid w:val="004027E4"/>
    <w:rsid w:val="0041071D"/>
    <w:rsid w:val="00414AFC"/>
    <w:rsid w:val="004151A7"/>
    <w:rsid w:val="00415310"/>
    <w:rsid w:val="00421709"/>
    <w:rsid w:val="00423763"/>
    <w:rsid w:val="00426BCF"/>
    <w:rsid w:val="0042762F"/>
    <w:rsid w:val="00427DC7"/>
    <w:rsid w:val="00431613"/>
    <w:rsid w:val="00431792"/>
    <w:rsid w:val="00431926"/>
    <w:rsid w:val="0043297A"/>
    <w:rsid w:val="00432EB2"/>
    <w:rsid w:val="0043714F"/>
    <w:rsid w:val="004429C4"/>
    <w:rsid w:val="004438B5"/>
    <w:rsid w:val="00447037"/>
    <w:rsid w:val="0045124D"/>
    <w:rsid w:val="00454596"/>
    <w:rsid w:val="0045605D"/>
    <w:rsid w:val="0046135B"/>
    <w:rsid w:val="00461D47"/>
    <w:rsid w:val="004718CC"/>
    <w:rsid w:val="00481695"/>
    <w:rsid w:val="00491FB7"/>
    <w:rsid w:val="00495A96"/>
    <w:rsid w:val="00495BB3"/>
    <w:rsid w:val="004A2BB1"/>
    <w:rsid w:val="004A56BB"/>
    <w:rsid w:val="004A70D6"/>
    <w:rsid w:val="004B1751"/>
    <w:rsid w:val="004C0253"/>
    <w:rsid w:val="004D56FF"/>
    <w:rsid w:val="004D6878"/>
    <w:rsid w:val="004E295F"/>
    <w:rsid w:val="004E39D3"/>
    <w:rsid w:val="004E40FF"/>
    <w:rsid w:val="004E508A"/>
    <w:rsid w:val="004E616D"/>
    <w:rsid w:val="004F1BDE"/>
    <w:rsid w:val="004F2CEE"/>
    <w:rsid w:val="004F556E"/>
    <w:rsid w:val="004F591C"/>
    <w:rsid w:val="004F7F44"/>
    <w:rsid w:val="005037B4"/>
    <w:rsid w:val="005079BF"/>
    <w:rsid w:val="0051269A"/>
    <w:rsid w:val="005219E7"/>
    <w:rsid w:val="00531B9A"/>
    <w:rsid w:val="00531D15"/>
    <w:rsid w:val="00533042"/>
    <w:rsid w:val="00533C35"/>
    <w:rsid w:val="00537604"/>
    <w:rsid w:val="00542377"/>
    <w:rsid w:val="005476EB"/>
    <w:rsid w:val="00551782"/>
    <w:rsid w:val="005575CC"/>
    <w:rsid w:val="00563EF1"/>
    <w:rsid w:val="00566AB4"/>
    <w:rsid w:val="00573812"/>
    <w:rsid w:val="00575AC5"/>
    <w:rsid w:val="0057605D"/>
    <w:rsid w:val="00581347"/>
    <w:rsid w:val="00581AC9"/>
    <w:rsid w:val="00584090"/>
    <w:rsid w:val="005849F8"/>
    <w:rsid w:val="005938DF"/>
    <w:rsid w:val="00594E9C"/>
    <w:rsid w:val="0059502C"/>
    <w:rsid w:val="005A099B"/>
    <w:rsid w:val="005A2D9C"/>
    <w:rsid w:val="005A4011"/>
    <w:rsid w:val="005A55FE"/>
    <w:rsid w:val="005A6A11"/>
    <w:rsid w:val="005B2F0D"/>
    <w:rsid w:val="005B4B08"/>
    <w:rsid w:val="005D2502"/>
    <w:rsid w:val="005D40BB"/>
    <w:rsid w:val="005D47F3"/>
    <w:rsid w:val="005D49BF"/>
    <w:rsid w:val="005D4AA5"/>
    <w:rsid w:val="005D6F4E"/>
    <w:rsid w:val="005D7C73"/>
    <w:rsid w:val="005E250B"/>
    <w:rsid w:val="005E3ACD"/>
    <w:rsid w:val="005E6838"/>
    <w:rsid w:val="005E7226"/>
    <w:rsid w:val="005E7A57"/>
    <w:rsid w:val="005F24B0"/>
    <w:rsid w:val="00604315"/>
    <w:rsid w:val="00604E26"/>
    <w:rsid w:val="0060523F"/>
    <w:rsid w:val="006052CF"/>
    <w:rsid w:val="00607B8D"/>
    <w:rsid w:val="00610133"/>
    <w:rsid w:val="00611F5C"/>
    <w:rsid w:val="00615EDD"/>
    <w:rsid w:val="00616E09"/>
    <w:rsid w:val="00622A3B"/>
    <w:rsid w:val="00622EEA"/>
    <w:rsid w:val="0062396C"/>
    <w:rsid w:val="00623FF9"/>
    <w:rsid w:val="00627D4E"/>
    <w:rsid w:val="00631A7F"/>
    <w:rsid w:val="00632B89"/>
    <w:rsid w:val="0063346D"/>
    <w:rsid w:val="00634478"/>
    <w:rsid w:val="006406B4"/>
    <w:rsid w:val="00644373"/>
    <w:rsid w:val="00645915"/>
    <w:rsid w:val="00646CC4"/>
    <w:rsid w:val="0065160E"/>
    <w:rsid w:val="006519C3"/>
    <w:rsid w:val="00652B30"/>
    <w:rsid w:val="00656345"/>
    <w:rsid w:val="00656DC6"/>
    <w:rsid w:val="00660EC6"/>
    <w:rsid w:val="006627AA"/>
    <w:rsid w:val="00664110"/>
    <w:rsid w:val="00664D17"/>
    <w:rsid w:val="00666520"/>
    <w:rsid w:val="00667C5B"/>
    <w:rsid w:val="00683FB1"/>
    <w:rsid w:val="006845D7"/>
    <w:rsid w:val="00691EB8"/>
    <w:rsid w:val="00692CDE"/>
    <w:rsid w:val="00693073"/>
    <w:rsid w:val="006977FF"/>
    <w:rsid w:val="006A01FA"/>
    <w:rsid w:val="006A0E9E"/>
    <w:rsid w:val="006A1BD2"/>
    <w:rsid w:val="006A25C7"/>
    <w:rsid w:val="006A4AAD"/>
    <w:rsid w:val="006A57F8"/>
    <w:rsid w:val="006A6DA2"/>
    <w:rsid w:val="006A7AB2"/>
    <w:rsid w:val="006B52DE"/>
    <w:rsid w:val="006B5717"/>
    <w:rsid w:val="006B582F"/>
    <w:rsid w:val="006B5EB2"/>
    <w:rsid w:val="006C0CEB"/>
    <w:rsid w:val="006C1631"/>
    <w:rsid w:val="006C3B1E"/>
    <w:rsid w:val="006C47FD"/>
    <w:rsid w:val="006C5C19"/>
    <w:rsid w:val="006C70A0"/>
    <w:rsid w:val="006D27CB"/>
    <w:rsid w:val="006D2F08"/>
    <w:rsid w:val="006D576C"/>
    <w:rsid w:val="006D5865"/>
    <w:rsid w:val="006E4B1B"/>
    <w:rsid w:val="006E5445"/>
    <w:rsid w:val="006E7D93"/>
    <w:rsid w:val="0070133D"/>
    <w:rsid w:val="007029A3"/>
    <w:rsid w:val="00706E4E"/>
    <w:rsid w:val="0070791C"/>
    <w:rsid w:val="0071383C"/>
    <w:rsid w:val="007141A7"/>
    <w:rsid w:val="00715722"/>
    <w:rsid w:val="00715BAF"/>
    <w:rsid w:val="00721032"/>
    <w:rsid w:val="00721B55"/>
    <w:rsid w:val="00726CE4"/>
    <w:rsid w:val="00730FFE"/>
    <w:rsid w:val="00734143"/>
    <w:rsid w:val="00737E47"/>
    <w:rsid w:val="00740EAC"/>
    <w:rsid w:val="00744956"/>
    <w:rsid w:val="00745A5C"/>
    <w:rsid w:val="0074605F"/>
    <w:rsid w:val="00747E94"/>
    <w:rsid w:val="00754C83"/>
    <w:rsid w:val="00761E5C"/>
    <w:rsid w:val="00762F5E"/>
    <w:rsid w:val="00765DF8"/>
    <w:rsid w:val="00766749"/>
    <w:rsid w:val="00767C1B"/>
    <w:rsid w:val="00770478"/>
    <w:rsid w:val="00770B3F"/>
    <w:rsid w:val="007714A9"/>
    <w:rsid w:val="00774F88"/>
    <w:rsid w:val="00774FDB"/>
    <w:rsid w:val="00777BA2"/>
    <w:rsid w:val="00781408"/>
    <w:rsid w:val="007848D7"/>
    <w:rsid w:val="00784F7F"/>
    <w:rsid w:val="00786160"/>
    <w:rsid w:val="007878BD"/>
    <w:rsid w:val="007969AD"/>
    <w:rsid w:val="00796F25"/>
    <w:rsid w:val="007A2E98"/>
    <w:rsid w:val="007A3BA3"/>
    <w:rsid w:val="007A6CC0"/>
    <w:rsid w:val="007A7FEC"/>
    <w:rsid w:val="007B0247"/>
    <w:rsid w:val="007B1499"/>
    <w:rsid w:val="007B1BBF"/>
    <w:rsid w:val="007B2960"/>
    <w:rsid w:val="007B355D"/>
    <w:rsid w:val="007B7980"/>
    <w:rsid w:val="007C0DEF"/>
    <w:rsid w:val="007C13D0"/>
    <w:rsid w:val="007C5D5A"/>
    <w:rsid w:val="007C607F"/>
    <w:rsid w:val="007C79DD"/>
    <w:rsid w:val="007D1A97"/>
    <w:rsid w:val="007D2CD6"/>
    <w:rsid w:val="007D3063"/>
    <w:rsid w:val="007D3CEB"/>
    <w:rsid w:val="007E5585"/>
    <w:rsid w:val="007E7683"/>
    <w:rsid w:val="007F49FA"/>
    <w:rsid w:val="007F54C4"/>
    <w:rsid w:val="007F6E9A"/>
    <w:rsid w:val="00800CCD"/>
    <w:rsid w:val="008044D4"/>
    <w:rsid w:val="00810AB4"/>
    <w:rsid w:val="00817B56"/>
    <w:rsid w:val="00821A88"/>
    <w:rsid w:val="0082322E"/>
    <w:rsid w:val="0082495D"/>
    <w:rsid w:val="00824C80"/>
    <w:rsid w:val="00826990"/>
    <w:rsid w:val="00831AC3"/>
    <w:rsid w:val="00835DE5"/>
    <w:rsid w:val="00836FCE"/>
    <w:rsid w:val="008408FF"/>
    <w:rsid w:val="00840CFE"/>
    <w:rsid w:val="00851F3F"/>
    <w:rsid w:val="00856EDC"/>
    <w:rsid w:val="008623B5"/>
    <w:rsid w:val="008633B9"/>
    <w:rsid w:val="00870ABA"/>
    <w:rsid w:val="008710E1"/>
    <w:rsid w:val="008716E5"/>
    <w:rsid w:val="00881CA9"/>
    <w:rsid w:val="008821CF"/>
    <w:rsid w:val="00883628"/>
    <w:rsid w:val="00885544"/>
    <w:rsid w:val="0088634E"/>
    <w:rsid w:val="00890AB9"/>
    <w:rsid w:val="00893AB8"/>
    <w:rsid w:val="0089779A"/>
    <w:rsid w:val="008A04C8"/>
    <w:rsid w:val="008A1C7A"/>
    <w:rsid w:val="008A23B2"/>
    <w:rsid w:val="008A6913"/>
    <w:rsid w:val="008B70F3"/>
    <w:rsid w:val="008B71C4"/>
    <w:rsid w:val="008B76DF"/>
    <w:rsid w:val="008C10F4"/>
    <w:rsid w:val="008C606F"/>
    <w:rsid w:val="008C65F7"/>
    <w:rsid w:val="008E4767"/>
    <w:rsid w:val="008E7A8C"/>
    <w:rsid w:val="0090203B"/>
    <w:rsid w:val="00903285"/>
    <w:rsid w:val="00906052"/>
    <w:rsid w:val="00906F40"/>
    <w:rsid w:val="0090731E"/>
    <w:rsid w:val="00915B1C"/>
    <w:rsid w:val="009174F3"/>
    <w:rsid w:val="0091797D"/>
    <w:rsid w:val="00923CBA"/>
    <w:rsid w:val="009261EA"/>
    <w:rsid w:val="00926703"/>
    <w:rsid w:val="00927691"/>
    <w:rsid w:val="00927A5F"/>
    <w:rsid w:val="00930510"/>
    <w:rsid w:val="00935B63"/>
    <w:rsid w:val="00936E95"/>
    <w:rsid w:val="0094078F"/>
    <w:rsid w:val="00940FA3"/>
    <w:rsid w:val="00941FB0"/>
    <w:rsid w:val="009426D4"/>
    <w:rsid w:val="00947F25"/>
    <w:rsid w:val="00950159"/>
    <w:rsid w:val="0095490B"/>
    <w:rsid w:val="00957B3E"/>
    <w:rsid w:val="00960A33"/>
    <w:rsid w:val="00971914"/>
    <w:rsid w:val="00974363"/>
    <w:rsid w:val="00981898"/>
    <w:rsid w:val="0099577C"/>
    <w:rsid w:val="009A021C"/>
    <w:rsid w:val="009A25CC"/>
    <w:rsid w:val="009B24A5"/>
    <w:rsid w:val="009B2601"/>
    <w:rsid w:val="009B4E9E"/>
    <w:rsid w:val="009C1690"/>
    <w:rsid w:val="009C6881"/>
    <w:rsid w:val="009C7759"/>
    <w:rsid w:val="009D043D"/>
    <w:rsid w:val="009D07C8"/>
    <w:rsid w:val="009D4C85"/>
    <w:rsid w:val="009D6C71"/>
    <w:rsid w:val="009E0631"/>
    <w:rsid w:val="009E16D0"/>
    <w:rsid w:val="009E2051"/>
    <w:rsid w:val="009E38FD"/>
    <w:rsid w:val="009E4F4E"/>
    <w:rsid w:val="009E546F"/>
    <w:rsid w:val="009F13D6"/>
    <w:rsid w:val="009F4C6B"/>
    <w:rsid w:val="009F78A8"/>
    <w:rsid w:val="00A02AD6"/>
    <w:rsid w:val="00A07096"/>
    <w:rsid w:val="00A07318"/>
    <w:rsid w:val="00A11370"/>
    <w:rsid w:val="00A176DC"/>
    <w:rsid w:val="00A224CE"/>
    <w:rsid w:val="00A22522"/>
    <w:rsid w:val="00A24AFD"/>
    <w:rsid w:val="00A24F5C"/>
    <w:rsid w:val="00A32F96"/>
    <w:rsid w:val="00A40871"/>
    <w:rsid w:val="00A412AB"/>
    <w:rsid w:val="00A4193E"/>
    <w:rsid w:val="00A440E0"/>
    <w:rsid w:val="00A442EF"/>
    <w:rsid w:val="00A51D1A"/>
    <w:rsid w:val="00A5418D"/>
    <w:rsid w:val="00A5474E"/>
    <w:rsid w:val="00A55E71"/>
    <w:rsid w:val="00A64234"/>
    <w:rsid w:val="00A70ADF"/>
    <w:rsid w:val="00A71466"/>
    <w:rsid w:val="00A7354B"/>
    <w:rsid w:val="00A74B5E"/>
    <w:rsid w:val="00A81BED"/>
    <w:rsid w:val="00A81EC4"/>
    <w:rsid w:val="00A824E8"/>
    <w:rsid w:val="00A967FD"/>
    <w:rsid w:val="00AA17F2"/>
    <w:rsid w:val="00AA2DE5"/>
    <w:rsid w:val="00AB156C"/>
    <w:rsid w:val="00AB6814"/>
    <w:rsid w:val="00AC04BA"/>
    <w:rsid w:val="00AC0E39"/>
    <w:rsid w:val="00AD287B"/>
    <w:rsid w:val="00AD3082"/>
    <w:rsid w:val="00AD32B4"/>
    <w:rsid w:val="00AD4AD0"/>
    <w:rsid w:val="00AD5436"/>
    <w:rsid w:val="00AD60CD"/>
    <w:rsid w:val="00AD66C2"/>
    <w:rsid w:val="00AD6C8C"/>
    <w:rsid w:val="00AE091D"/>
    <w:rsid w:val="00AE3B60"/>
    <w:rsid w:val="00AE53A1"/>
    <w:rsid w:val="00AF2484"/>
    <w:rsid w:val="00AF63E7"/>
    <w:rsid w:val="00AF6E17"/>
    <w:rsid w:val="00B0165D"/>
    <w:rsid w:val="00B01B60"/>
    <w:rsid w:val="00B031F3"/>
    <w:rsid w:val="00B0526C"/>
    <w:rsid w:val="00B052A4"/>
    <w:rsid w:val="00B06A25"/>
    <w:rsid w:val="00B125DE"/>
    <w:rsid w:val="00B13FDD"/>
    <w:rsid w:val="00B22EB2"/>
    <w:rsid w:val="00B27442"/>
    <w:rsid w:val="00B31167"/>
    <w:rsid w:val="00B329D8"/>
    <w:rsid w:val="00B32BB9"/>
    <w:rsid w:val="00B33AE1"/>
    <w:rsid w:val="00B34145"/>
    <w:rsid w:val="00B35D0A"/>
    <w:rsid w:val="00B37C38"/>
    <w:rsid w:val="00B4288C"/>
    <w:rsid w:val="00B43262"/>
    <w:rsid w:val="00B44100"/>
    <w:rsid w:val="00B46CBA"/>
    <w:rsid w:val="00B46F94"/>
    <w:rsid w:val="00B534BD"/>
    <w:rsid w:val="00B6003C"/>
    <w:rsid w:val="00B614E7"/>
    <w:rsid w:val="00B61F03"/>
    <w:rsid w:val="00B626E4"/>
    <w:rsid w:val="00B66AFF"/>
    <w:rsid w:val="00B726CA"/>
    <w:rsid w:val="00B72F4A"/>
    <w:rsid w:val="00B76F81"/>
    <w:rsid w:val="00B83C27"/>
    <w:rsid w:val="00B84BC3"/>
    <w:rsid w:val="00B84BDD"/>
    <w:rsid w:val="00B92812"/>
    <w:rsid w:val="00BA1BD6"/>
    <w:rsid w:val="00BB45A1"/>
    <w:rsid w:val="00BB7686"/>
    <w:rsid w:val="00BB7802"/>
    <w:rsid w:val="00BC2353"/>
    <w:rsid w:val="00BC23F9"/>
    <w:rsid w:val="00BC3421"/>
    <w:rsid w:val="00BC732C"/>
    <w:rsid w:val="00BD0434"/>
    <w:rsid w:val="00BD4421"/>
    <w:rsid w:val="00BE2580"/>
    <w:rsid w:val="00BE266D"/>
    <w:rsid w:val="00BE3938"/>
    <w:rsid w:val="00BE4C11"/>
    <w:rsid w:val="00BE71C0"/>
    <w:rsid w:val="00BF610C"/>
    <w:rsid w:val="00C0060B"/>
    <w:rsid w:val="00C01A6C"/>
    <w:rsid w:val="00C0277D"/>
    <w:rsid w:val="00C02F26"/>
    <w:rsid w:val="00C053A1"/>
    <w:rsid w:val="00C13DBF"/>
    <w:rsid w:val="00C16198"/>
    <w:rsid w:val="00C2083D"/>
    <w:rsid w:val="00C24A53"/>
    <w:rsid w:val="00C261BB"/>
    <w:rsid w:val="00C26322"/>
    <w:rsid w:val="00C32755"/>
    <w:rsid w:val="00C34A05"/>
    <w:rsid w:val="00C34DC5"/>
    <w:rsid w:val="00C35CCE"/>
    <w:rsid w:val="00C4032F"/>
    <w:rsid w:val="00C44047"/>
    <w:rsid w:val="00C45155"/>
    <w:rsid w:val="00C5498F"/>
    <w:rsid w:val="00C55235"/>
    <w:rsid w:val="00C64CD0"/>
    <w:rsid w:val="00C65C1D"/>
    <w:rsid w:val="00C65F61"/>
    <w:rsid w:val="00C6684F"/>
    <w:rsid w:val="00C70E70"/>
    <w:rsid w:val="00C735DE"/>
    <w:rsid w:val="00C75F8D"/>
    <w:rsid w:val="00C7639C"/>
    <w:rsid w:val="00C77380"/>
    <w:rsid w:val="00C87E8A"/>
    <w:rsid w:val="00C913D6"/>
    <w:rsid w:val="00C969FA"/>
    <w:rsid w:val="00C97736"/>
    <w:rsid w:val="00CA345A"/>
    <w:rsid w:val="00CB1E82"/>
    <w:rsid w:val="00CB4BA8"/>
    <w:rsid w:val="00CB52D7"/>
    <w:rsid w:val="00CB55A4"/>
    <w:rsid w:val="00CC5C57"/>
    <w:rsid w:val="00CC6732"/>
    <w:rsid w:val="00CD1328"/>
    <w:rsid w:val="00CD6ACF"/>
    <w:rsid w:val="00CE0C63"/>
    <w:rsid w:val="00CE3C96"/>
    <w:rsid w:val="00CE51A8"/>
    <w:rsid w:val="00CF369B"/>
    <w:rsid w:val="00D00E28"/>
    <w:rsid w:val="00D0269E"/>
    <w:rsid w:val="00D05D6C"/>
    <w:rsid w:val="00D15810"/>
    <w:rsid w:val="00D16D4E"/>
    <w:rsid w:val="00D16FE3"/>
    <w:rsid w:val="00D27630"/>
    <w:rsid w:val="00D27F41"/>
    <w:rsid w:val="00D36441"/>
    <w:rsid w:val="00D4064E"/>
    <w:rsid w:val="00D44E9B"/>
    <w:rsid w:val="00D47AEB"/>
    <w:rsid w:val="00D50DB9"/>
    <w:rsid w:val="00D51302"/>
    <w:rsid w:val="00D52C43"/>
    <w:rsid w:val="00D61243"/>
    <w:rsid w:val="00D61A7B"/>
    <w:rsid w:val="00D6507F"/>
    <w:rsid w:val="00D730BC"/>
    <w:rsid w:val="00D73912"/>
    <w:rsid w:val="00D7793A"/>
    <w:rsid w:val="00D85226"/>
    <w:rsid w:val="00D87B94"/>
    <w:rsid w:val="00D92D49"/>
    <w:rsid w:val="00D92EC1"/>
    <w:rsid w:val="00D96DEA"/>
    <w:rsid w:val="00DA2643"/>
    <w:rsid w:val="00DA4E41"/>
    <w:rsid w:val="00DB117A"/>
    <w:rsid w:val="00DB5173"/>
    <w:rsid w:val="00DB7873"/>
    <w:rsid w:val="00DC187B"/>
    <w:rsid w:val="00DD1A43"/>
    <w:rsid w:val="00DD73C2"/>
    <w:rsid w:val="00DE319B"/>
    <w:rsid w:val="00DF34FE"/>
    <w:rsid w:val="00DF56AA"/>
    <w:rsid w:val="00DF56AF"/>
    <w:rsid w:val="00DF78E7"/>
    <w:rsid w:val="00E110E0"/>
    <w:rsid w:val="00E15371"/>
    <w:rsid w:val="00E214CE"/>
    <w:rsid w:val="00E24104"/>
    <w:rsid w:val="00E302D0"/>
    <w:rsid w:val="00E35707"/>
    <w:rsid w:val="00E36AA1"/>
    <w:rsid w:val="00E41ECB"/>
    <w:rsid w:val="00E42676"/>
    <w:rsid w:val="00E4450C"/>
    <w:rsid w:val="00E54FDB"/>
    <w:rsid w:val="00E5617D"/>
    <w:rsid w:val="00E563D7"/>
    <w:rsid w:val="00E663F4"/>
    <w:rsid w:val="00E666F2"/>
    <w:rsid w:val="00E66DD4"/>
    <w:rsid w:val="00E71872"/>
    <w:rsid w:val="00E71C96"/>
    <w:rsid w:val="00E748CC"/>
    <w:rsid w:val="00E75415"/>
    <w:rsid w:val="00E7618E"/>
    <w:rsid w:val="00E775B1"/>
    <w:rsid w:val="00E80FE3"/>
    <w:rsid w:val="00E810A7"/>
    <w:rsid w:val="00E8152A"/>
    <w:rsid w:val="00E868EA"/>
    <w:rsid w:val="00E93629"/>
    <w:rsid w:val="00E93B5C"/>
    <w:rsid w:val="00E94CEC"/>
    <w:rsid w:val="00EA04EF"/>
    <w:rsid w:val="00EA3707"/>
    <w:rsid w:val="00EA6C79"/>
    <w:rsid w:val="00EA6F19"/>
    <w:rsid w:val="00EB2DCE"/>
    <w:rsid w:val="00EB7090"/>
    <w:rsid w:val="00EC1BBE"/>
    <w:rsid w:val="00EC2B68"/>
    <w:rsid w:val="00EC3AEF"/>
    <w:rsid w:val="00EC5CD7"/>
    <w:rsid w:val="00EE5FB3"/>
    <w:rsid w:val="00EE7F79"/>
    <w:rsid w:val="00EF3A64"/>
    <w:rsid w:val="00EF715A"/>
    <w:rsid w:val="00F05D1B"/>
    <w:rsid w:val="00F06E14"/>
    <w:rsid w:val="00F179D4"/>
    <w:rsid w:val="00F22A23"/>
    <w:rsid w:val="00F23A8C"/>
    <w:rsid w:val="00F33C56"/>
    <w:rsid w:val="00F347C7"/>
    <w:rsid w:val="00F34848"/>
    <w:rsid w:val="00F42D46"/>
    <w:rsid w:val="00F4496C"/>
    <w:rsid w:val="00F44F3A"/>
    <w:rsid w:val="00F51F10"/>
    <w:rsid w:val="00F529A5"/>
    <w:rsid w:val="00F5310D"/>
    <w:rsid w:val="00F54407"/>
    <w:rsid w:val="00F60F00"/>
    <w:rsid w:val="00F614C0"/>
    <w:rsid w:val="00F67DC8"/>
    <w:rsid w:val="00F83848"/>
    <w:rsid w:val="00F975E9"/>
    <w:rsid w:val="00FA1B7D"/>
    <w:rsid w:val="00FC07B9"/>
    <w:rsid w:val="00FC330F"/>
    <w:rsid w:val="00FC4E21"/>
    <w:rsid w:val="00FC5F6D"/>
    <w:rsid w:val="00FD0107"/>
    <w:rsid w:val="00FD2C2F"/>
    <w:rsid w:val="00FD3B31"/>
    <w:rsid w:val="00FE1823"/>
    <w:rsid w:val="00FE39EC"/>
    <w:rsid w:val="00FE487A"/>
    <w:rsid w:val="00FF0569"/>
    <w:rsid w:val="00FF206E"/>
    <w:rsid w:val="00FF3C69"/>
    <w:rsid w:val="00FF6E0A"/>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colormru v:ext="edit" colors="red,#4d4d4f"/>
    </o:shapedefaults>
    <o:shapelayout v:ext="edit">
      <o:idmap v:ext="edit" data="1"/>
    </o:shapelayout>
  </w:shapeDefaults>
  <w:decimalSymbol w:val="."/>
  <w:listSeparator w:val=","/>
  <w14:docId w14:val="664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AU" w:eastAsia="en-AU" w:bidi="ar-SA"/>
      </w:rPr>
    </w:rPrDefault>
    <w:pPrDefault/>
  </w:docDefaults>
  <w:latentStyles w:defLockedState="0" w:defUIPriority="0" w:defSemiHidden="0" w:defUnhideWhenUsed="0" w:defQFormat="0" w:count="377">
    <w:lsdException w:name="Normal" w:qFormat="1"/>
    <w:lsdException w:name="heading 1" w:uiPriority="1" w:qFormat="1"/>
    <w:lsdException w:name="heading 2" w:uiPriority="1" w:qFormat="1"/>
    <w:lsdException w:name="heading 3" w:uiPriority="2" w:qFormat="1"/>
    <w:lsdException w:name="heading 4" w:uiPriority="2"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qFormat="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semiHidden/>
    <w:qFormat/>
    <w:rsid w:val="00EA6C79"/>
    <w:pPr>
      <w:spacing w:after="240" w:line="240" w:lineRule="atLeast"/>
    </w:pPr>
    <w:rPr>
      <w:rFonts w:ascii="Arial" w:hAnsi="Arial"/>
      <w:sz w:val="20"/>
    </w:rPr>
  </w:style>
  <w:style w:type="paragraph" w:styleId="Heading1">
    <w:name w:val="heading 1"/>
    <w:basedOn w:val="Normal"/>
    <w:next w:val="Normal"/>
    <w:link w:val="Heading1Char"/>
    <w:uiPriority w:val="1"/>
    <w:qFormat/>
    <w:rsid w:val="00C55235"/>
    <w:pPr>
      <w:keepNext/>
      <w:pageBreakBefore/>
      <w:widowControl w:val="0"/>
      <w:spacing w:after="360" w:line="550" w:lineRule="exact"/>
      <w:outlineLvl w:val="0"/>
    </w:pPr>
    <w:rPr>
      <w:rFonts w:cs="Arial"/>
      <w:bCs/>
      <w:color w:val="323232"/>
      <w:kern w:val="32"/>
      <w:sz w:val="53"/>
      <w:szCs w:val="32"/>
    </w:rPr>
  </w:style>
  <w:style w:type="paragraph" w:styleId="Heading2">
    <w:name w:val="heading 2"/>
    <w:basedOn w:val="Normal"/>
    <w:next w:val="Paragraph"/>
    <w:link w:val="Heading2Char"/>
    <w:uiPriority w:val="1"/>
    <w:qFormat/>
    <w:rsid w:val="00C55235"/>
    <w:pPr>
      <w:keepNext/>
      <w:spacing w:before="320" w:after="60"/>
      <w:outlineLvl w:val="1"/>
    </w:pPr>
    <w:rPr>
      <w:rFonts w:cs="Arial"/>
      <w:b/>
      <w:bCs/>
      <w:iCs/>
      <w:sz w:val="28"/>
      <w:szCs w:val="28"/>
    </w:rPr>
  </w:style>
  <w:style w:type="paragraph" w:styleId="Heading3">
    <w:name w:val="heading 3"/>
    <w:basedOn w:val="Normal"/>
    <w:next w:val="Normal"/>
    <w:link w:val="Heading3Char"/>
    <w:uiPriority w:val="2"/>
    <w:qFormat/>
    <w:rsid w:val="00C55235"/>
    <w:pPr>
      <w:keepNext/>
      <w:spacing w:before="60" w:after="60"/>
      <w:outlineLvl w:val="2"/>
    </w:pPr>
    <w:rPr>
      <w:rFonts w:cs="Arial"/>
      <w:b/>
      <w:bCs/>
      <w:szCs w:val="26"/>
    </w:rPr>
  </w:style>
  <w:style w:type="paragraph" w:styleId="Heading4">
    <w:name w:val="heading 4"/>
    <w:basedOn w:val="BodySubHeader"/>
    <w:next w:val="Normal"/>
    <w:uiPriority w:val="2"/>
    <w:qFormat/>
    <w:rsid w:val="005B2F0D"/>
    <w:pPr>
      <w:outlineLvl w:val="3"/>
    </w:pPr>
    <w:rPr>
      <w:rFonts w:cs="Arial"/>
    </w:rPr>
  </w:style>
  <w:style w:type="paragraph" w:styleId="Heading5">
    <w:name w:val="heading 5"/>
    <w:basedOn w:val="Normal"/>
    <w:next w:val="Normal"/>
    <w:semiHidden/>
    <w:qFormat/>
    <w:rsid w:val="00AD5436"/>
    <w:pPr>
      <w:numPr>
        <w:ilvl w:val="4"/>
        <w:numId w:val="5"/>
      </w:numPr>
      <w:spacing w:before="240" w:after="60"/>
      <w:outlineLvl w:val="4"/>
    </w:pPr>
    <w:rPr>
      <w:b/>
      <w:bCs/>
      <w:i/>
      <w:iCs/>
      <w:sz w:val="26"/>
      <w:szCs w:val="26"/>
    </w:rPr>
  </w:style>
  <w:style w:type="paragraph" w:styleId="Heading6">
    <w:name w:val="heading 6"/>
    <w:basedOn w:val="Normal"/>
    <w:next w:val="Normal"/>
    <w:semiHidden/>
    <w:qFormat/>
    <w:rsid w:val="00AD5436"/>
    <w:pPr>
      <w:numPr>
        <w:ilvl w:val="5"/>
        <w:numId w:val="5"/>
      </w:numPr>
      <w:spacing w:before="240" w:after="60"/>
      <w:outlineLvl w:val="5"/>
    </w:pPr>
    <w:rPr>
      <w:rFonts w:ascii="Times New Roman" w:hAnsi="Times New Roman"/>
      <w:b/>
      <w:bCs/>
      <w:sz w:val="22"/>
      <w:szCs w:val="22"/>
    </w:rPr>
  </w:style>
  <w:style w:type="paragraph" w:styleId="Heading7">
    <w:name w:val="heading 7"/>
    <w:basedOn w:val="Normal"/>
    <w:next w:val="Normal"/>
    <w:semiHidden/>
    <w:qFormat/>
    <w:rsid w:val="00AD5436"/>
    <w:pPr>
      <w:numPr>
        <w:ilvl w:val="6"/>
        <w:numId w:val="5"/>
      </w:numPr>
      <w:spacing w:before="240" w:after="60"/>
      <w:outlineLvl w:val="6"/>
    </w:pPr>
    <w:rPr>
      <w:rFonts w:ascii="Times New Roman" w:hAnsi="Times New Roman"/>
      <w:sz w:val="24"/>
    </w:rPr>
  </w:style>
  <w:style w:type="paragraph" w:styleId="Heading8">
    <w:name w:val="heading 8"/>
    <w:basedOn w:val="Normal"/>
    <w:next w:val="Normal"/>
    <w:semiHidden/>
    <w:qFormat/>
    <w:rsid w:val="00AD5436"/>
    <w:pPr>
      <w:numPr>
        <w:ilvl w:val="7"/>
        <w:numId w:val="5"/>
      </w:numPr>
      <w:spacing w:before="240" w:after="60"/>
      <w:outlineLvl w:val="7"/>
    </w:pPr>
    <w:rPr>
      <w:rFonts w:ascii="Times New Roman" w:hAnsi="Times New Roman"/>
      <w:i/>
      <w:iCs/>
      <w:sz w:val="24"/>
    </w:rPr>
  </w:style>
  <w:style w:type="paragraph" w:styleId="Heading9">
    <w:name w:val="heading 9"/>
    <w:basedOn w:val="Normal"/>
    <w:next w:val="Normal"/>
    <w:semiHidden/>
    <w:qFormat/>
    <w:rsid w:val="00AD5436"/>
    <w:pPr>
      <w:numPr>
        <w:ilvl w:val="8"/>
        <w:numId w:val="5"/>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70791C"/>
    <w:pPr>
      <w:tabs>
        <w:tab w:val="center" w:pos="4153"/>
        <w:tab w:val="right" w:pos="8306"/>
      </w:tabs>
      <w:spacing w:line="240" w:lineRule="auto"/>
    </w:pPr>
    <w:rPr>
      <w:sz w:val="16"/>
    </w:rPr>
  </w:style>
  <w:style w:type="paragraph" w:styleId="Footer">
    <w:name w:val="footer"/>
    <w:basedOn w:val="Normal"/>
    <w:link w:val="FooterChar"/>
    <w:semiHidden/>
    <w:qFormat/>
    <w:rsid w:val="0094078F"/>
    <w:pPr>
      <w:tabs>
        <w:tab w:val="right" w:pos="113"/>
      </w:tabs>
      <w:spacing w:line="240" w:lineRule="auto"/>
    </w:pPr>
    <w:rPr>
      <w:color w:val="323232"/>
      <w:sz w:val="16"/>
    </w:rPr>
  </w:style>
  <w:style w:type="character" w:customStyle="1" w:styleId="FooterChar">
    <w:name w:val="Footer Char"/>
    <w:basedOn w:val="DefaultParagraphFont"/>
    <w:link w:val="Footer"/>
    <w:semiHidden/>
    <w:rsid w:val="00EC2B68"/>
    <w:rPr>
      <w:rFonts w:ascii="Arial" w:hAnsi="Arial"/>
      <w:color w:val="323232"/>
      <w:sz w:val="16"/>
    </w:rPr>
  </w:style>
  <w:style w:type="paragraph" w:customStyle="1" w:styleId="Reporttitle">
    <w:name w:val="Report title"/>
    <w:basedOn w:val="Normal"/>
    <w:uiPriority w:val="19"/>
    <w:qFormat/>
    <w:rsid w:val="00A51D1A"/>
    <w:pPr>
      <w:spacing w:after="0" w:line="560" w:lineRule="exact"/>
    </w:pPr>
    <w:rPr>
      <w:b/>
      <w:spacing w:val="-28"/>
      <w:sz w:val="53"/>
    </w:rPr>
  </w:style>
  <w:style w:type="paragraph" w:customStyle="1" w:styleId="Reportsubtitle">
    <w:name w:val="Report subtitle"/>
    <w:basedOn w:val="Normal"/>
    <w:uiPriority w:val="20"/>
    <w:qFormat/>
    <w:rsid w:val="00950159"/>
    <w:pPr>
      <w:spacing w:after="200" w:line="560" w:lineRule="exact"/>
    </w:pPr>
    <w:rPr>
      <w:color w:val="323232"/>
      <w:spacing w:val="-28"/>
      <w:sz w:val="53"/>
    </w:rPr>
  </w:style>
  <w:style w:type="table" w:styleId="TableGrid">
    <w:name w:val="Table Grid"/>
    <w:basedOn w:val="TableNormal"/>
    <w:uiPriority w:val="59"/>
    <w:rsid w:val="00226819"/>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date">
    <w:name w:val="Report date"/>
    <w:basedOn w:val="Reportsubtitle"/>
    <w:uiPriority w:val="21"/>
    <w:qFormat/>
    <w:rsid w:val="00950159"/>
    <w:pPr>
      <w:spacing w:after="1200" w:line="240" w:lineRule="auto"/>
    </w:pPr>
    <w:rPr>
      <w:caps/>
      <w:spacing w:val="-10"/>
      <w:sz w:val="20"/>
    </w:rPr>
  </w:style>
  <w:style w:type="paragraph" w:customStyle="1" w:styleId="Tableheaderrow">
    <w:name w:val="Table header row"/>
    <w:basedOn w:val="Normal"/>
    <w:uiPriority w:val="14"/>
    <w:qFormat/>
    <w:rsid w:val="00774FDB"/>
    <w:pPr>
      <w:spacing w:after="0"/>
    </w:pPr>
    <w:rPr>
      <w:b/>
    </w:rPr>
  </w:style>
  <w:style w:type="paragraph" w:customStyle="1" w:styleId="PageNumber">
    <w:name w:val="PageNumber"/>
    <w:basedOn w:val="Normal"/>
    <w:semiHidden/>
    <w:rsid w:val="0070791C"/>
    <w:pPr>
      <w:spacing w:line="240" w:lineRule="auto"/>
    </w:pPr>
    <w:rPr>
      <w:sz w:val="16"/>
    </w:rPr>
  </w:style>
  <w:style w:type="paragraph" w:customStyle="1" w:styleId="Copyright">
    <w:name w:val="Copyright"/>
    <w:basedOn w:val="Normal"/>
    <w:semiHidden/>
    <w:rsid w:val="00454596"/>
    <w:pPr>
      <w:spacing w:line="160" w:lineRule="exact"/>
    </w:pPr>
    <w:rPr>
      <w:color w:val="4D4D4F"/>
      <w:sz w:val="13"/>
    </w:rPr>
  </w:style>
  <w:style w:type="paragraph" w:styleId="TOCHeading">
    <w:name w:val="TOC Heading"/>
    <w:basedOn w:val="Normal"/>
    <w:semiHidden/>
    <w:qFormat/>
    <w:rsid w:val="00950159"/>
    <w:pPr>
      <w:spacing w:before="1200" w:line="240" w:lineRule="auto"/>
    </w:pPr>
    <w:rPr>
      <w:b/>
      <w:color w:val="323232"/>
      <w:spacing w:val="-28"/>
      <w:sz w:val="53"/>
    </w:rPr>
  </w:style>
  <w:style w:type="paragraph" w:styleId="Caption">
    <w:name w:val="caption"/>
    <w:aliases w:val="Caption table"/>
    <w:basedOn w:val="Normal"/>
    <w:next w:val="Normal"/>
    <w:semiHidden/>
    <w:qFormat/>
    <w:rsid w:val="00E8152A"/>
    <w:pPr>
      <w:numPr>
        <w:numId w:val="9"/>
      </w:numPr>
      <w:spacing w:after="0"/>
    </w:pPr>
    <w:rPr>
      <w:b/>
      <w:bCs/>
      <w:color w:val="323232"/>
      <w:szCs w:val="20"/>
    </w:rPr>
  </w:style>
  <w:style w:type="paragraph" w:customStyle="1" w:styleId="BodySubHeader">
    <w:name w:val="BodySubHeader"/>
    <w:basedOn w:val="Normal"/>
    <w:next w:val="Normal"/>
    <w:semiHidden/>
    <w:rsid w:val="00146CE6"/>
    <w:pPr>
      <w:spacing w:before="240" w:after="0"/>
    </w:pPr>
    <w:rPr>
      <w:b/>
      <w:i/>
    </w:rPr>
  </w:style>
  <w:style w:type="paragraph" w:styleId="ListNumber">
    <w:name w:val="List Number"/>
    <w:basedOn w:val="Normal"/>
    <w:semiHidden/>
    <w:qFormat/>
    <w:rsid w:val="00C24A53"/>
    <w:pPr>
      <w:numPr>
        <w:numId w:val="3"/>
      </w:numPr>
      <w:spacing w:after="80"/>
    </w:pPr>
  </w:style>
  <w:style w:type="paragraph" w:styleId="ListNumber2">
    <w:name w:val="List Number 2"/>
    <w:basedOn w:val="Normal"/>
    <w:semiHidden/>
    <w:qFormat/>
    <w:rsid w:val="004A70D6"/>
    <w:pPr>
      <w:numPr>
        <w:numId w:val="4"/>
      </w:numPr>
      <w:spacing w:after="80"/>
      <w:ind w:left="828" w:hanging="357"/>
    </w:pPr>
  </w:style>
  <w:style w:type="paragraph" w:customStyle="1" w:styleId="URLEmail">
    <w:name w:val="URL/Email"/>
    <w:basedOn w:val="Normal"/>
    <w:semiHidden/>
    <w:rsid w:val="00302480"/>
    <w:rPr>
      <w:color w:val="4D4D4F"/>
      <w:spacing w:val="4"/>
    </w:rPr>
  </w:style>
  <w:style w:type="paragraph" w:customStyle="1" w:styleId="Execsummaryheading">
    <w:name w:val="Exec summary heading"/>
    <w:basedOn w:val="Normal"/>
    <w:uiPriority w:val="22"/>
    <w:qFormat/>
    <w:rsid w:val="006B52DE"/>
    <w:pPr>
      <w:pageBreakBefore/>
      <w:spacing w:after="1440" w:line="550" w:lineRule="exact"/>
    </w:pPr>
    <w:rPr>
      <w:b/>
      <w:color w:val="323232"/>
      <w:spacing w:val="-18"/>
      <w:sz w:val="53"/>
    </w:rPr>
  </w:style>
  <w:style w:type="character" w:styleId="PageNumber0">
    <w:name w:val="page number"/>
    <w:basedOn w:val="DefaultParagraphFont"/>
    <w:semiHidden/>
    <w:rsid w:val="00542377"/>
  </w:style>
  <w:style w:type="paragraph" w:styleId="ListContinue5">
    <w:name w:val="List Continue 5"/>
    <w:basedOn w:val="Normal"/>
    <w:semiHidden/>
    <w:rsid w:val="00EC2B68"/>
    <w:pPr>
      <w:spacing w:after="120"/>
      <w:ind w:left="1415"/>
      <w:contextualSpacing/>
    </w:pPr>
  </w:style>
  <w:style w:type="paragraph" w:customStyle="1" w:styleId="Paragraphbeforelist">
    <w:name w:val="Paragraph before list"/>
    <w:basedOn w:val="Paragraph"/>
    <w:uiPriority w:val="4"/>
    <w:qFormat/>
    <w:rsid w:val="00C87E8A"/>
    <w:pPr>
      <w:spacing w:after="80"/>
    </w:pPr>
  </w:style>
  <w:style w:type="paragraph" w:styleId="TOC1">
    <w:name w:val="toc 1"/>
    <w:basedOn w:val="Normal"/>
    <w:next w:val="Normal"/>
    <w:uiPriority w:val="39"/>
    <w:qFormat/>
    <w:rsid w:val="007A6CC0"/>
    <w:pPr>
      <w:tabs>
        <w:tab w:val="right" w:pos="7660"/>
      </w:tabs>
      <w:spacing w:before="280" w:after="80" w:line="320" w:lineRule="exact"/>
      <w:ind w:right="851"/>
    </w:pPr>
    <w:rPr>
      <w:b/>
      <w:noProof/>
      <w:spacing w:val="-14"/>
      <w:sz w:val="28"/>
    </w:rPr>
  </w:style>
  <w:style w:type="paragraph" w:styleId="TOC2">
    <w:name w:val="toc 2"/>
    <w:basedOn w:val="Normal"/>
    <w:next w:val="Normal"/>
    <w:uiPriority w:val="39"/>
    <w:qFormat/>
    <w:rsid w:val="007A6CC0"/>
    <w:pPr>
      <w:tabs>
        <w:tab w:val="right" w:pos="7660"/>
      </w:tabs>
      <w:spacing w:after="80" w:line="300" w:lineRule="exact"/>
      <w:ind w:left="885" w:hanging="885"/>
    </w:pPr>
    <w:rPr>
      <w:noProof/>
      <w:spacing w:val="-14"/>
      <w:sz w:val="26"/>
      <w:szCs w:val="26"/>
    </w:rPr>
  </w:style>
  <w:style w:type="paragraph" w:styleId="TableofFigures">
    <w:name w:val="table of figures"/>
    <w:basedOn w:val="Normal"/>
    <w:next w:val="Normal"/>
    <w:semiHidden/>
    <w:rsid w:val="00AD3082"/>
    <w:pPr>
      <w:tabs>
        <w:tab w:val="right" w:pos="7615"/>
      </w:tabs>
      <w:spacing w:line="320" w:lineRule="exact"/>
    </w:pPr>
    <w:rPr>
      <w:noProof/>
      <w:color w:val="808285"/>
      <w:sz w:val="28"/>
    </w:rPr>
  </w:style>
  <w:style w:type="paragraph" w:styleId="TOC3">
    <w:name w:val="toc 3"/>
    <w:basedOn w:val="Normal"/>
    <w:next w:val="Normal"/>
    <w:uiPriority w:val="39"/>
    <w:qFormat/>
    <w:rsid w:val="007A6CC0"/>
    <w:pPr>
      <w:tabs>
        <w:tab w:val="right" w:pos="7661"/>
      </w:tabs>
      <w:spacing w:after="80" w:line="240" w:lineRule="auto"/>
    </w:pPr>
    <w:rPr>
      <w:noProof/>
      <w:sz w:val="22"/>
      <w:szCs w:val="22"/>
    </w:rPr>
  </w:style>
  <w:style w:type="character" w:styleId="Hyperlink">
    <w:name w:val="Hyperlink"/>
    <w:basedOn w:val="DefaultParagraphFont"/>
    <w:uiPriority w:val="99"/>
    <w:qFormat/>
    <w:rsid w:val="00C35CCE"/>
    <w:rPr>
      <w:color w:val="0000FF"/>
      <w:u w:val="single" w:color="0000FF"/>
    </w:rPr>
  </w:style>
  <w:style w:type="character" w:styleId="FootnoteReference">
    <w:name w:val="footnote reference"/>
    <w:basedOn w:val="DefaultParagraphFont"/>
    <w:uiPriority w:val="99"/>
    <w:semiHidden/>
    <w:rsid w:val="00566AB4"/>
    <w:rPr>
      <w:rFonts w:ascii="Arial" w:hAnsi="Arial"/>
      <w:vertAlign w:val="superscript"/>
    </w:rPr>
  </w:style>
  <w:style w:type="paragraph" w:styleId="FootnoteText">
    <w:name w:val="footnote text"/>
    <w:aliases w:val="Footnote text"/>
    <w:basedOn w:val="Normal"/>
    <w:link w:val="FootnoteTextChar"/>
    <w:uiPriority w:val="99"/>
    <w:rsid w:val="00D61243"/>
    <w:pPr>
      <w:spacing w:after="0"/>
    </w:pPr>
    <w:rPr>
      <w:sz w:val="16"/>
      <w:szCs w:val="16"/>
    </w:rPr>
  </w:style>
  <w:style w:type="paragraph" w:customStyle="1" w:styleId="TableBody">
    <w:name w:val="Table Body"/>
    <w:basedOn w:val="Normal"/>
    <w:uiPriority w:val="15"/>
    <w:qFormat/>
    <w:rsid w:val="00774FDB"/>
    <w:pPr>
      <w:spacing w:after="0" w:line="240" w:lineRule="auto"/>
    </w:pPr>
  </w:style>
  <w:style w:type="character" w:styleId="CommentReference">
    <w:name w:val="annotation reference"/>
    <w:basedOn w:val="DefaultParagraphFont"/>
    <w:uiPriority w:val="99"/>
    <w:semiHidden/>
    <w:rsid w:val="00EE7F79"/>
    <w:rPr>
      <w:sz w:val="16"/>
      <w:szCs w:val="16"/>
    </w:rPr>
  </w:style>
  <w:style w:type="paragraph" w:styleId="CommentText">
    <w:name w:val="annotation text"/>
    <w:basedOn w:val="Normal"/>
    <w:link w:val="CommentTextChar"/>
    <w:uiPriority w:val="99"/>
    <w:semiHidden/>
    <w:rsid w:val="00EE7F79"/>
    <w:pPr>
      <w:spacing w:line="240" w:lineRule="auto"/>
    </w:pPr>
    <w:rPr>
      <w:szCs w:val="20"/>
    </w:rPr>
  </w:style>
  <w:style w:type="character" w:customStyle="1" w:styleId="CommentTextChar">
    <w:name w:val="Comment Text Char"/>
    <w:basedOn w:val="DefaultParagraphFont"/>
    <w:link w:val="CommentText"/>
    <w:uiPriority w:val="99"/>
    <w:semiHidden/>
    <w:rsid w:val="00EE7F79"/>
    <w:rPr>
      <w:rFonts w:ascii="Arial" w:hAnsi="Arial"/>
    </w:rPr>
  </w:style>
  <w:style w:type="paragraph" w:styleId="CommentSubject">
    <w:name w:val="annotation subject"/>
    <w:basedOn w:val="CommentText"/>
    <w:next w:val="CommentText"/>
    <w:link w:val="CommentSubjectChar"/>
    <w:semiHidden/>
    <w:rsid w:val="00EE7F79"/>
    <w:rPr>
      <w:b/>
      <w:bCs/>
    </w:rPr>
  </w:style>
  <w:style w:type="character" w:customStyle="1" w:styleId="CommentSubjectChar">
    <w:name w:val="Comment Subject Char"/>
    <w:basedOn w:val="CommentTextChar"/>
    <w:link w:val="CommentSubject"/>
    <w:semiHidden/>
    <w:rsid w:val="00EE7F79"/>
    <w:rPr>
      <w:rFonts w:ascii="Arial" w:hAnsi="Arial"/>
      <w:b/>
      <w:bCs/>
    </w:rPr>
  </w:style>
  <w:style w:type="character" w:styleId="FollowedHyperlink">
    <w:name w:val="FollowedHyperlink"/>
    <w:basedOn w:val="DefaultParagraphFont"/>
    <w:semiHidden/>
    <w:rsid w:val="00F60F00"/>
    <w:rPr>
      <w:color w:val="800080" w:themeColor="followedHyperlink"/>
      <w:u w:val="single"/>
    </w:rPr>
  </w:style>
  <w:style w:type="character" w:styleId="PlaceholderText">
    <w:name w:val="Placeholder Text"/>
    <w:basedOn w:val="DefaultParagraphFont"/>
    <w:uiPriority w:val="99"/>
    <w:semiHidden/>
    <w:rsid w:val="00C97736"/>
    <w:rPr>
      <w:color w:val="808080"/>
    </w:rPr>
  </w:style>
  <w:style w:type="paragraph" w:customStyle="1" w:styleId="ACMAInstructions">
    <w:name w:val="ACMA_Instructions"/>
    <w:basedOn w:val="Normal"/>
    <w:semiHidden/>
    <w:unhideWhenUsed/>
    <w:qFormat/>
    <w:rsid w:val="00BF610C"/>
    <w:pPr>
      <w:spacing w:after="200"/>
    </w:pPr>
    <w:rPr>
      <w:rFonts w:cs="Arial"/>
      <w:b/>
      <w:vanish/>
      <w:sz w:val="24"/>
    </w:rPr>
  </w:style>
  <w:style w:type="paragraph" w:customStyle="1" w:styleId="CorporateAddresses">
    <w:name w:val="Corporate Addresses"/>
    <w:basedOn w:val="Normal"/>
    <w:semiHidden/>
    <w:rsid w:val="0005011A"/>
    <w:pPr>
      <w:spacing w:line="140" w:lineRule="exact"/>
    </w:pPr>
    <w:rPr>
      <w:color w:val="4D4D4F"/>
      <w:sz w:val="13"/>
    </w:rPr>
  </w:style>
  <w:style w:type="paragraph" w:customStyle="1" w:styleId="Bulletlevel1">
    <w:name w:val="Bullet level 1"/>
    <w:basedOn w:val="Normal"/>
    <w:uiPriority w:val="5"/>
    <w:qFormat/>
    <w:rsid w:val="00431926"/>
    <w:pPr>
      <w:numPr>
        <w:numId w:val="1"/>
      </w:numPr>
      <w:spacing w:after="80"/>
    </w:pPr>
    <w:rPr>
      <w:rFonts w:cs="Arial"/>
    </w:rPr>
  </w:style>
  <w:style w:type="paragraph" w:customStyle="1" w:styleId="ACMACorporateAddressHeader">
    <w:name w:val="ACMA_CorporateAddressHeader"/>
    <w:basedOn w:val="Normal"/>
    <w:next w:val="ACMACorporateAddresses"/>
    <w:semiHidden/>
    <w:unhideWhenUsed/>
    <w:qFormat/>
    <w:rsid w:val="00FC07B9"/>
    <w:pPr>
      <w:tabs>
        <w:tab w:val="left" w:pos="142"/>
      </w:tabs>
      <w:spacing w:before="240" w:after="0" w:line="140" w:lineRule="exact"/>
    </w:pPr>
    <w:rPr>
      <w:b/>
      <w:sz w:val="13"/>
    </w:rPr>
  </w:style>
  <w:style w:type="paragraph" w:customStyle="1" w:styleId="ACMACorporateAddresses">
    <w:name w:val="ACMA_CorporateAddresses"/>
    <w:basedOn w:val="ACMACorporateAddressHeader"/>
    <w:semiHidden/>
    <w:unhideWhenUsed/>
    <w:qFormat/>
    <w:rsid w:val="00FC07B9"/>
    <w:pPr>
      <w:spacing w:before="0" w:after="120"/>
    </w:pPr>
    <w:rPr>
      <w:b w:val="0"/>
    </w:rPr>
  </w:style>
  <w:style w:type="paragraph" w:customStyle="1" w:styleId="ACMACopyrightHeader">
    <w:name w:val="ACMA_CopyrightHeader"/>
    <w:basedOn w:val="ACMACorporateAddressHeader"/>
    <w:semiHidden/>
    <w:unhideWhenUsed/>
    <w:qFormat/>
    <w:rsid w:val="00950159"/>
    <w:pPr>
      <w:spacing w:before="3000"/>
    </w:pPr>
  </w:style>
  <w:style w:type="paragraph" w:customStyle="1" w:styleId="ACMACClogo">
    <w:name w:val="ACMA_CClogo"/>
    <w:semiHidden/>
    <w:unhideWhenUsed/>
    <w:qFormat/>
    <w:rsid w:val="00623FF9"/>
    <w:pPr>
      <w:spacing w:before="160" w:after="120"/>
    </w:pPr>
    <w:rPr>
      <w:rFonts w:ascii="Arial" w:hAnsi="Arial"/>
      <w:b/>
      <w:sz w:val="13"/>
    </w:rPr>
  </w:style>
  <w:style w:type="paragraph" w:customStyle="1" w:styleId="ListBulletLast">
    <w:name w:val="List Bullet Last"/>
    <w:basedOn w:val="Normal"/>
    <w:semiHidden/>
    <w:qFormat/>
    <w:rsid w:val="00431926"/>
    <w:pPr>
      <w:tabs>
        <w:tab w:val="num" w:pos="295"/>
      </w:tabs>
      <w:ind w:left="295" w:hanging="295"/>
    </w:pPr>
    <w:rPr>
      <w:rFonts w:cs="Arial"/>
    </w:rPr>
  </w:style>
  <w:style w:type="paragraph" w:customStyle="1" w:styleId="ListNumberLast">
    <w:name w:val="List Number Last"/>
    <w:basedOn w:val="ListNumber"/>
    <w:semiHidden/>
    <w:qFormat/>
    <w:rsid w:val="00C16198"/>
    <w:pPr>
      <w:spacing w:after="240"/>
      <w:ind w:left="357" w:hanging="357"/>
    </w:pPr>
    <w:rPr>
      <w:rFonts w:cs="Arial"/>
    </w:rPr>
  </w:style>
  <w:style w:type="paragraph" w:customStyle="1" w:styleId="ACMATableHeader">
    <w:name w:val="ACMA_TableHeader"/>
    <w:semiHidden/>
    <w:qFormat/>
    <w:rsid w:val="003F10EE"/>
    <w:pPr>
      <w:numPr>
        <w:numId w:val="7"/>
      </w:numPr>
      <w:spacing w:after="160"/>
    </w:pPr>
    <w:rPr>
      <w:rFonts w:ascii="Arial" w:hAnsi="Arial"/>
      <w:b/>
      <w:bCs/>
      <w:color w:val="323232"/>
      <w:sz w:val="20"/>
      <w:szCs w:val="20"/>
    </w:rPr>
  </w:style>
  <w:style w:type="paragraph" w:customStyle="1" w:styleId="ACMANotes">
    <w:name w:val="ACMA_Notes"/>
    <w:semiHidden/>
    <w:rsid w:val="00FF206E"/>
    <w:pPr>
      <w:spacing w:before="80"/>
    </w:pPr>
    <w:rPr>
      <w:rFonts w:ascii="Arial" w:hAnsi="Arial" w:cs="Arial"/>
      <w:i/>
      <w:sz w:val="16"/>
    </w:rPr>
  </w:style>
  <w:style w:type="paragraph" w:customStyle="1" w:styleId="Numberlistlevel1">
    <w:name w:val="Number list level 1"/>
    <w:basedOn w:val="ListNumber"/>
    <w:uiPriority w:val="9"/>
    <w:qFormat/>
    <w:rsid w:val="004A70D6"/>
  </w:style>
  <w:style w:type="character" w:styleId="Emphasis">
    <w:name w:val="Emphasis"/>
    <w:basedOn w:val="DefaultParagraphFont"/>
    <w:semiHidden/>
    <w:qFormat/>
    <w:rsid w:val="006D576C"/>
    <w:rPr>
      <w:i/>
      <w:iCs/>
    </w:rPr>
  </w:style>
  <w:style w:type="paragraph" w:customStyle="1" w:styleId="ListNumber2Last">
    <w:name w:val="List Number 2 Last"/>
    <w:basedOn w:val="ListNumber2"/>
    <w:semiHidden/>
    <w:qFormat/>
    <w:rsid w:val="00E35707"/>
    <w:pPr>
      <w:spacing w:after="240"/>
      <w:ind w:left="907"/>
    </w:pPr>
    <w:rPr>
      <w:rFonts w:cs="Arial"/>
    </w:rPr>
  </w:style>
  <w:style w:type="paragraph" w:customStyle="1" w:styleId="Spaceaftertable">
    <w:name w:val="Space after table"/>
    <w:basedOn w:val="Normal"/>
    <w:uiPriority w:val="99"/>
    <w:qFormat/>
    <w:rsid w:val="00C2083D"/>
    <w:rPr>
      <w:rFonts w:cs="Arial"/>
    </w:rPr>
  </w:style>
  <w:style w:type="paragraph" w:customStyle="1" w:styleId="FooterLeft">
    <w:name w:val="Footer Left"/>
    <w:basedOn w:val="Footer"/>
    <w:semiHidden/>
    <w:qFormat/>
    <w:rsid w:val="00950159"/>
    <w:pPr>
      <w:framePr w:w="1440" w:h="357" w:hRule="exact" w:vSpace="425" w:wrap="around" w:vAnchor="page" w:hAnchor="page" w:x="935" w:y="15871"/>
      <w:pBdr>
        <w:top w:val="single" w:sz="4" w:space="1" w:color="auto"/>
      </w:pBdr>
    </w:pPr>
    <w:rPr>
      <w:rFonts w:cs="Arial"/>
    </w:rPr>
  </w:style>
  <w:style w:type="paragraph" w:customStyle="1" w:styleId="ACMAFigureHeader">
    <w:name w:val="ACMA_FigureHeader"/>
    <w:semiHidden/>
    <w:qFormat/>
    <w:rsid w:val="003F10EE"/>
    <w:pPr>
      <w:numPr>
        <w:numId w:val="6"/>
      </w:numPr>
      <w:spacing w:after="160"/>
    </w:pPr>
    <w:rPr>
      <w:rFonts w:ascii="Arial" w:hAnsi="Arial"/>
      <w:b/>
      <w:bCs/>
      <w:color w:val="323232"/>
      <w:sz w:val="20"/>
      <w:szCs w:val="20"/>
    </w:rPr>
  </w:style>
  <w:style w:type="paragraph" w:customStyle="1" w:styleId="Captionfigure">
    <w:name w:val="Caption figure"/>
    <w:basedOn w:val="Caption"/>
    <w:semiHidden/>
    <w:qFormat/>
    <w:rsid w:val="00E8152A"/>
    <w:pPr>
      <w:keepNext/>
      <w:numPr>
        <w:numId w:val="8"/>
      </w:numPr>
    </w:pPr>
    <w:rPr>
      <w:rFonts w:cs="Arial"/>
    </w:rPr>
  </w:style>
  <w:style w:type="paragraph" w:customStyle="1" w:styleId="GridTable31">
    <w:name w:val="Grid Table 31"/>
    <w:basedOn w:val="Normal"/>
    <w:semiHidden/>
    <w:qFormat/>
    <w:rsid w:val="00971914"/>
    <w:pPr>
      <w:spacing w:after="0" w:line="240" w:lineRule="auto"/>
    </w:pPr>
    <w:rPr>
      <w:b/>
      <w:color w:val="4D4D4F"/>
      <w:spacing w:val="-28"/>
      <w:sz w:val="53"/>
    </w:rPr>
  </w:style>
  <w:style w:type="character" w:customStyle="1" w:styleId="HeaderChar">
    <w:name w:val="Header Char"/>
    <w:link w:val="Header"/>
    <w:semiHidden/>
    <w:rsid w:val="00971914"/>
    <w:rPr>
      <w:rFonts w:ascii="Arial" w:hAnsi="Arial"/>
      <w:sz w:val="16"/>
    </w:rPr>
  </w:style>
  <w:style w:type="character" w:customStyle="1" w:styleId="Heading1Char">
    <w:name w:val="Heading 1 Char"/>
    <w:basedOn w:val="DefaultParagraphFont"/>
    <w:link w:val="Heading1"/>
    <w:uiPriority w:val="1"/>
    <w:rsid w:val="00F5310D"/>
    <w:rPr>
      <w:rFonts w:ascii="Arial" w:hAnsi="Arial" w:cs="Arial"/>
      <w:bCs/>
      <w:color w:val="323232"/>
      <w:kern w:val="32"/>
      <w:sz w:val="53"/>
      <w:szCs w:val="32"/>
    </w:rPr>
  </w:style>
  <w:style w:type="character" w:customStyle="1" w:styleId="Heading2Char">
    <w:name w:val="Heading 2 Char"/>
    <w:basedOn w:val="DefaultParagraphFont"/>
    <w:link w:val="Heading2"/>
    <w:uiPriority w:val="1"/>
    <w:rsid w:val="00800CCD"/>
    <w:rPr>
      <w:rFonts w:ascii="Arial" w:hAnsi="Arial" w:cs="Arial"/>
      <w:b/>
      <w:bCs/>
      <w:iCs/>
      <w:sz w:val="28"/>
      <w:szCs w:val="28"/>
    </w:rPr>
  </w:style>
  <w:style w:type="character" w:styleId="UnresolvedMention">
    <w:name w:val="Unresolved Mention"/>
    <w:basedOn w:val="DefaultParagraphFont"/>
    <w:uiPriority w:val="99"/>
    <w:semiHidden/>
    <w:unhideWhenUsed/>
    <w:rsid w:val="006B52DE"/>
    <w:rPr>
      <w:color w:val="605E5C"/>
      <w:shd w:val="clear" w:color="auto" w:fill="E1DFDD"/>
    </w:rPr>
  </w:style>
  <w:style w:type="character" w:customStyle="1" w:styleId="Heading3Char">
    <w:name w:val="Heading 3 Char"/>
    <w:basedOn w:val="DefaultParagraphFont"/>
    <w:link w:val="Heading3"/>
    <w:uiPriority w:val="2"/>
    <w:rsid w:val="00800CCD"/>
    <w:rPr>
      <w:rFonts w:ascii="Arial" w:hAnsi="Arial" w:cs="Arial"/>
      <w:b/>
      <w:bCs/>
      <w:sz w:val="20"/>
      <w:szCs w:val="26"/>
    </w:rPr>
  </w:style>
  <w:style w:type="paragraph" w:customStyle="1" w:styleId="Paragraph">
    <w:name w:val="Paragraph"/>
    <w:basedOn w:val="Normal"/>
    <w:qFormat/>
    <w:rsid w:val="00A824E8"/>
    <w:rPr>
      <w:rFonts w:cs="Arial"/>
    </w:rPr>
  </w:style>
  <w:style w:type="paragraph" w:customStyle="1" w:styleId="Bulletlevel2">
    <w:name w:val="Bullet level 2"/>
    <w:basedOn w:val="Normal"/>
    <w:uiPriority w:val="7"/>
    <w:qFormat/>
    <w:rsid w:val="00B06A25"/>
    <w:pPr>
      <w:numPr>
        <w:numId w:val="2"/>
      </w:numPr>
      <w:spacing w:after="80"/>
    </w:pPr>
    <w:rPr>
      <w:rFonts w:cs="Arial"/>
    </w:rPr>
  </w:style>
  <w:style w:type="paragraph" w:customStyle="1" w:styleId="Bulletlevel1last">
    <w:name w:val="Bullet level 1 last"/>
    <w:basedOn w:val="Bulletlevel1"/>
    <w:uiPriority w:val="6"/>
    <w:qFormat/>
    <w:rsid w:val="0065160E"/>
    <w:pPr>
      <w:spacing w:after="240"/>
    </w:pPr>
  </w:style>
  <w:style w:type="paragraph" w:customStyle="1" w:styleId="Numberlistlevel2">
    <w:name w:val="Number list level 2"/>
    <w:basedOn w:val="ListNumber2"/>
    <w:uiPriority w:val="11"/>
    <w:qFormat/>
    <w:rsid w:val="004A70D6"/>
  </w:style>
  <w:style w:type="paragraph" w:customStyle="1" w:styleId="Numberlistlast">
    <w:name w:val="Number list last"/>
    <w:basedOn w:val="ListNumberLast"/>
    <w:uiPriority w:val="10"/>
    <w:qFormat/>
    <w:rsid w:val="004A70D6"/>
  </w:style>
  <w:style w:type="paragraph" w:customStyle="1" w:styleId="Numberlistlevel2last">
    <w:name w:val="Number list level 2 last"/>
    <w:basedOn w:val="Numberlistlevel2"/>
    <w:uiPriority w:val="12"/>
    <w:qFormat/>
    <w:rsid w:val="004A70D6"/>
    <w:pPr>
      <w:spacing w:after="240"/>
    </w:pPr>
  </w:style>
  <w:style w:type="paragraph" w:customStyle="1" w:styleId="Bulletlevel2last">
    <w:name w:val="Bullet level 2 last"/>
    <w:basedOn w:val="Bulletlevel2"/>
    <w:uiPriority w:val="8"/>
    <w:qFormat/>
    <w:rsid w:val="004A70D6"/>
    <w:pPr>
      <w:spacing w:after="240"/>
    </w:pPr>
  </w:style>
  <w:style w:type="table" w:customStyle="1" w:styleId="ACMAtablestyle">
    <w:name w:val="ACMA table style"/>
    <w:basedOn w:val="TableNormal"/>
    <w:uiPriority w:val="99"/>
    <w:rsid w:val="0063346D"/>
    <w:rPr>
      <w:rFonts w:ascii="Arial" w:hAnsi="Arial"/>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rFonts w:ascii="Arial" w:hAnsi="Arial"/>
        <w:b w:val="0"/>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nil"/>
          <w:insideV w:val="nil"/>
        </w:tcBorders>
        <w:shd w:val="clear" w:color="auto" w:fill="404040" w:themeFill="text1" w:themeFillTint="BF"/>
      </w:tcPr>
    </w:tblStylePr>
    <w:tblStylePr w:type="band1Horz">
      <w:rPr>
        <w:rFonts w:ascii="Arial" w:hAnsi="Arial"/>
        <w:sz w:val="20"/>
      </w:rPr>
      <w:tblPr/>
      <w:tcPr>
        <w:shd w:val="clear" w:color="auto" w:fill="F2F2F2" w:themeFill="background1" w:themeFillShade="F2"/>
      </w:tcPr>
    </w:tblStylePr>
    <w:tblStylePr w:type="band2Horz">
      <w:rPr>
        <w:rFonts w:ascii="Arial" w:hAnsi="Arial"/>
        <w:sz w:val="20"/>
      </w:rPr>
    </w:tblStylePr>
  </w:style>
  <w:style w:type="paragraph" w:customStyle="1" w:styleId="Tableheading">
    <w:name w:val="Table heading"/>
    <w:basedOn w:val="ACMATableHeader"/>
    <w:next w:val="Paragraph"/>
    <w:uiPriority w:val="13"/>
    <w:qFormat/>
    <w:rsid w:val="0063346D"/>
    <w:pPr>
      <w:keepNext/>
      <w:spacing w:line="240" w:lineRule="atLeast"/>
    </w:pPr>
  </w:style>
  <w:style w:type="paragraph" w:customStyle="1" w:styleId="Tableorfigurenote">
    <w:name w:val="Table or figure note"/>
    <w:basedOn w:val="ACMANotes"/>
    <w:uiPriority w:val="17"/>
    <w:qFormat/>
    <w:rsid w:val="00930510"/>
    <w:pPr>
      <w:spacing w:after="240"/>
    </w:pPr>
  </w:style>
  <w:style w:type="paragraph" w:customStyle="1" w:styleId="Figureheading">
    <w:name w:val="Figure heading"/>
    <w:basedOn w:val="ACMAFigureHeader"/>
    <w:next w:val="Paragraph"/>
    <w:uiPriority w:val="16"/>
    <w:qFormat/>
    <w:rsid w:val="0063346D"/>
    <w:pPr>
      <w:keepNext/>
      <w:spacing w:line="240" w:lineRule="atLeast"/>
    </w:pPr>
  </w:style>
  <w:style w:type="paragraph" w:customStyle="1" w:styleId="Tableorfigurenotemultiple">
    <w:name w:val="Table or figure note multiple"/>
    <w:basedOn w:val="Tableorfigurenote"/>
    <w:uiPriority w:val="18"/>
    <w:qFormat/>
    <w:rsid w:val="00930510"/>
    <w:pPr>
      <w:spacing w:after="80"/>
    </w:pPr>
  </w:style>
  <w:style w:type="paragraph" w:styleId="BalloonText">
    <w:name w:val="Balloon Text"/>
    <w:basedOn w:val="Normal"/>
    <w:link w:val="BalloonTextChar"/>
    <w:semiHidden/>
    <w:unhideWhenUsed/>
    <w:rsid w:val="00393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33E8"/>
    <w:rPr>
      <w:rFonts w:ascii="Segoe UI" w:hAnsi="Segoe UI" w:cs="Segoe UI"/>
      <w:sz w:val="18"/>
      <w:szCs w:val="18"/>
    </w:rPr>
  </w:style>
  <w:style w:type="paragraph" w:customStyle="1" w:styleId="Note">
    <w:name w:val="Note"/>
    <w:basedOn w:val="ACMANotes"/>
    <w:uiPriority w:val="23"/>
    <w:semiHidden/>
    <w:qFormat/>
    <w:rsid w:val="00D61243"/>
  </w:style>
  <w:style w:type="character" w:customStyle="1" w:styleId="FootnoteTextChar">
    <w:name w:val="Footnote Text Char"/>
    <w:aliases w:val="Footnote text Char"/>
    <w:basedOn w:val="DefaultParagraphFont"/>
    <w:link w:val="FootnoteText"/>
    <w:uiPriority w:val="99"/>
    <w:rsid w:val="004429C4"/>
    <w:rPr>
      <w:rFonts w:ascii="Arial" w:hAnsi="Arial"/>
      <w:sz w:val="16"/>
      <w:szCs w:val="16"/>
    </w:rPr>
  </w:style>
  <w:style w:type="paragraph" w:styleId="Revision">
    <w:name w:val="Revision"/>
    <w:hidden/>
    <w:semiHidden/>
    <w:rsid w:val="00CE0C63"/>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784553">
      <w:bodyDiv w:val="1"/>
      <w:marLeft w:val="0"/>
      <w:marRight w:val="0"/>
      <w:marTop w:val="0"/>
      <w:marBottom w:val="0"/>
      <w:divBdr>
        <w:top w:val="none" w:sz="0" w:space="0" w:color="auto"/>
        <w:left w:val="none" w:sz="0" w:space="0" w:color="auto"/>
        <w:bottom w:val="none" w:sz="0" w:space="0" w:color="auto"/>
        <w:right w:val="none" w:sz="0" w:space="0" w:color="auto"/>
      </w:divBdr>
    </w:div>
    <w:div w:id="881133795">
      <w:bodyDiv w:val="1"/>
      <w:marLeft w:val="0"/>
      <w:marRight w:val="0"/>
      <w:marTop w:val="0"/>
      <w:marBottom w:val="0"/>
      <w:divBdr>
        <w:top w:val="none" w:sz="0" w:space="0" w:color="auto"/>
        <w:left w:val="none" w:sz="0" w:space="0" w:color="auto"/>
        <w:bottom w:val="none" w:sz="0" w:space="0" w:color="auto"/>
        <w:right w:val="none" w:sz="0" w:space="0" w:color="auto"/>
      </w:divBdr>
    </w:div>
    <w:div w:id="1409771268">
      <w:bodyDiv w:val="1"/>
      <w:marLeft w:val="0"/>
      <w:marRight w:val="0"/>
      <w:marTop w:val="0"/>
      <w:marBottom w:val="0"/>
      <w:divBdr>
        <w:top w:val="none" w:sz="0" w:space="0" w:color="auto"/>
        <w:left w:val="none" w:sz="0" w:space="0" w:color="auto"/>
        <w:bottom w:val="none" w:sz="0" w:space="0" w:color="auto"/>
        <w:right w:val="none" w:sz="0" w:space="0" w:color="auto"/>
      </w:divBdr>
    </w:div>
    <w:div w:id="1566910818">
      <w:bodyDiv w:val="1"/>
      <w:marLeft w:val="0"/>
      <w:marRight w:val="0"/>
      <w:marTop w:val="0"/>
      <w:marBottom w:val="0"/>
      <w:divBdr>
        <w:top w:val="none" w:sz="0" w:space="0" w:color="auto"/>
        <w:left w:val="none" w:sz="0" w:space="0" w:color="auto"/>
        <w:bottom w:val="none" w:sz="0" w:space="0" w:color="auto"/>
        <w:right w:val="none" w:sz="0" w:space="0" w:color="auto"/>
      </w:divBdr>
    </w:div>
    <w:div w:id="192591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reativecommons.org/licenses/by/4.0/" TargetMode="External"/><Relationship Id="rId18" Type="http://schemas.openxmlformats.org/officeDocument/2006/relationships/footer" Target="footer3.xml"/><Relationship Id="rId26" Type="http://schemas.openxmlformats.org/officeDocument/2006/relationships/hyperlink" Target="https://www.legislation.gov.au/Details/F2018C00058"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yperlink" Target="https://www.legislation.gov.au/Details/C2019C00262" TargetMode="External"/><Relationship Id="rId33" Type="http://schemas.openxmlformats.org/officeDocument/2006/relationships/hyperlink" Target="http://www.acma.gov.au/privacypolicy"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https://www.legislation.gov.au/Details/F2014L015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creativecommons.org/l/by/3.0/88x31.png" TargetMode="External"/><Relationship Id="rId24" Type="http://schemas.openxmlformats.org/officeDocument/2006/relationships/hyperlink" Target="https://www.legislation.gov.au/Details/F2015L01486" TargetMode="External"/><Relationship Id="rId32" Type="http://schemas.openxmlformats.org/officeDocument/2006/relationships/hyperlink" Target="https://www.acma.gov.au/theACMA/About/Corporate/Accountability/privacy-and-consultations" TargetMode="External"/><Relationship Id="rId37"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yperlink" Target="https://web.acma.gov.au/rrl/register_search.main_page" TargetMode="Externa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mailto:satellite.coordination@acma.gov.a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nfo@acma.gov.au" TargetMode="External"/><Relationship Id="rId22" Type="http://schemas.openxmlformats.org/officeDocument/2006/relationships/footer" Target="footer5.xml"/><Relationship Id="rId27" Type="http://schemas.openxmlformats.org/officeDocument/2006/relationships/hyperlink" Target="https://www.acma.gov.au/Industry/Spectrum/Spectrum-projects/5-Year-Spectrum-Outlook/five-year-spectrum-outlook" TargetMode="External"/><Relationship Id="rId30" Type="http://schemas.openxmlformats.org/officeDocument/2006/relationships/hyperlink" Target="http://www.acma.gov.au/theACMA/Consultations/Consultations" TargetMode="External"/><Relationship Id="rId35" Type="http://schemas.openxmlformats.org/officeDocument/2006/relationships/header" Target="header8.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acm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5B3F5-F2A2-45BA-922C-F453E891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2455</Words>
  <Characters>13996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2019-10-17T03:03:00Z</dcterms:created>
  <dcterms:modified xsi:type="dcterms:W3CDTF">2019-10-20T22:54:00Z</dcterms:modified>
  <cp:category/>
</cp:coreProperties>
</file>