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4CFF592" w14:textId="5BD6E3F4" w:rsidR="00F06E14" w:rsidRPr="00A51D1A" w:rsidRDefault="00D26C78" w:rsidP="00A51D1A">
      <w:pPr>
        <w:pStyle w:val="ACMAReportTitle"/>
      </w:pPr>
      <w:r>
        <w:t>Beyond 2020</w:t>
      </w:r>
      <w:r w:rsidR="00265A42">
        <w:t>—</w:t>
      </w:r>
    </w:p>
    <w:p w14:paraId="690CE7EF" w14:textId="098E77C2" w:rsidR="00F06E14" w:rsidRDefault="00D26C78" w:rsidP="00F06E14">
      <w:pPr>
        <w:pStyle w:val="ACMAReportSubTitle"/>
      </w:pPr>
      <w:r>
        <w:t>Summary of</w:t>
      </w:r>
      <w:r w:rsidR="00607088">
        <w:t xml:space="preserve"> and response to</w:t>
      </w:r>
      <w:r>
        <w:t xml:space="preserve"> submissions</w:t>
      </w:r>
    </w:p>
    <w:p w14:paraId="2F2AAC71" w14:textId="003EBEAC" w:rsidR="00F06E14" w:rsidRDefault="00891C18" w:rsidP="00D47AEB">
      <w:pPr>
        <w:pStyle w:val="ACMAReportDate"/>
        <w:spacing w:after="720"/>
      </w:pPr>
      <w:r>
        <w:t>February</w:t>
      </w:r>
      <w:r w:rsidR="00D26C78">
        <w:t xml:space="preserve"> 201</w:t>
      </w:r>
      <w:r w:rsidR="00607088">
        <w:t>6</w:t>
      </w:r>
    </w:p>
    <w:p w14:paraId="25E926E9" w14:textId="74C02B62" w:rsidR="00C97736" w:rsidRPr="000D76E0" w:rsidRDefault="00C97736" w:rsidP="0041071D">
      <w:pPr>
        <w:rPr>
          <w:rFonts w:cs="Arial"/>
        </w:rPr>
      </w:pPr>
    </w:p>
    <w:p w14:paraId="7C867FF9" w14:textId="77777777" w:rsidR="00C97736" w:rsidRPr="000D76E0" w:rsidRDefault="00C97736" w:rsidP="0041071D">
      <w:pPr>
        <w:rPr>
          <w:rFonts w:cs="Arial"/>
        </w:rPr>
        <w:sectPr w:rsidR="00C97736" w:rsidRPr="000D76E0" w:rsidSect="004F556E">
          <w:headerReference w:type="even" r:id="rId8"/>
          <w:headerReference w:type="default" r:id="rId9"/>
          <w:footerReference w:type="even" r:id="rId10"/>
          <w:footerReference w:type="default" r:id="rId11"/>
          <w:headerReference w:type="first" r:id="rId12"/>
          <w:footerReference w:type="first" r:id="rId13"/>
          <w:pgSz w:w="11906" w:h="16838" w:code="9"/>
          <w:pgMar w:top="3924" w:right="1797" w:bottom="1440" w:left="1134" w:header="709" w:footer="454" w:gutter="0"/>
          <w:cols w:space="708"/>
          <w:docGrid w:linePitch="360"/>
        </w:sectPr>
      </w:pPr>
    </w:p>
    <w:p w14:paraId="4EE870A9" w14:textId="77777777" w:rsidR="0005011A" w:rsidRPr="00F44F3A" w:rsidRDefault="0005011A" w:rsidP="00FC07B9">
      <w:pPr>
        <w:pStyle w:val="ACMACorporateAddressHeader"/>
      </w:pPr>
      <w:r w:rsidRPr="00F44F3A">
        <w:lastRenderedPageBreak/>
        <w:t>Canberra</w:t>
      </w:r>
    </w:p>
    <w:p w14:paraId="4636F150"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44D475CF" w14:textId="77777777" w:rsidR="0005011A" w:rsidRPr="00FC07B9" w:rsidRDefault="0005011A" w:rsidP="00FC07B9">
      <w:pPr>
        <w:pStyle w:val="ACMACorporateAddresses"/>
      </w:pPr>
      <w:r w:rsidRPr="00FC07B9">
        <w:t>PO Box 78</w:t>
      </w:r>
      <w:r w:rsidRPr="00FC07B9">
        <w:br/>
        <w:t>Belconnen ACT 2616</w:t>
      </w:r>
    </w:p>
    <w:p w14:paraId="25B867AF"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2E6E641D" w14:textId="77777777" w:rsidR="0005011A" w:rsidRPr="00F44F3A" w:rsidRDefault="0005011A" w:rsidP="00FC07B9">
      <w:pPr>
        <w:pStyle w:val="ACMACorporateAddressHeader"/>
      </w:pPr>
      <w:r w:rsidRPr="00F44F3A">
        <w:t>Melbourne</w:t>
      </w:r>
    </w:p>
    <w:p w14:paraId="5C038792"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0E74E07B"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34D48C80"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591EDEB8" w14:textId="77777777" w:rsidR="0005011A" w:rsidRPr="00F44F3A" w:rsidRDefault="0005011A" w:rsidP="00FC07B9">
      <w:pPr>
        <w:pStyle w:val="ACMACorporateAddressHeader"/>
      </w:pPr>
      <w:r w:rsidRPr="00F44F3A">
        <w:t>Sydney</w:t>
      </w:r>
    </w:p>
    <w:p w14:paraId="105318FB"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5EF20A62"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06852A19"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3DACA20D" w14:textId="77777777" w:rsidR="00140318" w:rsidRPr="006D46E5" w:rsidRDefault="00140318" w:rsidP="00FC07B9">
      <w:pPr>
        <w:pStyle w:val="ACMACopyrightHeader"/>
      </w:pPr>
      <w:r w:rsidRPr="00140318">
        <w:t>Copyright notice</w:t>
      </w:r>
    </w:p>
    <w:p w14:paraId="22D1A391" w14:textId="77777777" w:rsidR="00140318" w:rsidRPr="006D46E5" w:rsidRDefault="00623FF9" w:rsidP="00623FF9">
      <w:pPr>
        <w:pStyle w:val="ACMACClogo"/>
      </w:pPr>
      <w:r w:rsidRPr="00623FF9">
        <w:rPr>
          <w:noProof/>
        </w:rPr>
        <w:drawing>
          <wp:inline distT="0" distB="0" distL="0" distR="0" wp14:anchorId="5195D4C5" wp14:editId="7C107A1B">
            <wp:extent cx="838200" cy="295275"/>
            <wp:effectExtent l="0" t="0" r="0" b="0"/>
            <wp:docPr id="1" name="Picture 1" title="Creative Commons logo">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4"/>
                    </pic:cNvPr>
                    <pic:cNvPicPr>
                      <a:picLocks noChangeAspect="1" noChangeArrowheads="1"/>
                    </pic:cNvPicPr>
                  </pic:nvPicPr>
                  <pic:blipFill>
                    <a:blip r:embed="rId15" cstate="print"/>
                    <a:srcRect/>
                    <a:stretch>
                      <a:fillRect/>
                    </a:stretch>
                  </pic:blipFill>
                  <pic:spPr bwMode="auto">
                    <a:xfrm>
                      <a:off x="0" y="0"/>
                      <a:ext cx="838200" cy="295275"/>
                    </a:xfrm>
                    <a:prstGeom prst="rect">
                      <a:avLst/>
                    </a:prstGeom>
                    <a:noFill/>
                  </pic:spPr>
                </pic:pic>
              </a:graphicData>
            </a:graphic>
          </wp:inline>
        </w:drawing>
      </w:r>
    </w:p>
    <w:p w14:paraId="5F7CB928" w14:textId="77777777" w:rsidR="00140318" w:rsidRPr="00431792" w:rsidRDefault="002B7174" w:rsidP="00FC07B9">
      <w:pPr>
        <w:pStyle w:val="ACMACorporateAddresses"/>
        <w:rPr>
          <w:rStyle w:val="Hyperlink"/>
        </w:rPr>
      </w:pPr>
      <w:hyperlink r:id="rId16" w:tooltip="Creative Commons Licenses" w:history="1">
        <w:r w:rsidR="00140318" w:rsidRPr="00431792">
          <w:rPr>
            <w:rStyle w:val="Hyperlink"/>
          </w:rPr>
          <w:t>http://creativecommons.org/licenses/by/3.0/au/</w:t>
        </w:r>
      </w:hyperlink>
    </w:p>
    <w:p w14:paraId="4ED8184F" w14:textId="77777777" w:rsidR="00140318" w:rsidRPr="006D46E5" w:rsidRDefault="00140318" w:rsidP="00FC07B9">
      <w:pPr>
        <w:pStyle w:val="ACMACorporateAddresses"/>
      </w:pPr>
      <w:r w:rsidRPr="006D46E5">
        <w:t xml:space="preserve">With the exception of coats of arms, logos, emblems, images, other third-party material or devices protected by a trademark, this content is licensed under the Creative Commons Australia Attribution 3.0 Licence. </w:t>
      </w:r>
    </w:p>
    <w:p w14:paraId="5329744D" w14:textId="54DC63C8" w:rsidR="00140318" w:rsidRPr="006D46E5" w:rsidRDefault="00140318" w:rsidP="00FC07B9">
      <w:pPr>
        <w:pStyle w:val="ACMACorporateAddresses"/>
      </w:pPr>
      <w:r w:rsidRPr="006D46E5">
        <w:t>We request attribution as: © Commonwealth of Australia (Australian Communic</w:t>
      </w:r>
      <w:r w:rsidR="008408FF">
        <w:t>ations and Media Authority) 201</w:t>
      </w:r>
      <w:r w:rsidR="00607088">
        <w:t>6</w:t>
      </w:r>
      <w:r w:rsidRPr="006D46E5">
        <w:t>.</w:t>
      </w:r>
    </w:p>
    <w:p w14:paraId="785F937F" w14:textId="77777777" w:rsidR="00140318" w:rsidRPr="006D46E5" w:rsidRDefault="00140318" w:rsidP="00FC07B9">
      <w:pPr>
        <w:pStyle w:val="ACMACorporateAddresses"/>
      </w:pPr>
      <w:r>
        <w:t>All other rights are reserved.</w:t>
      </w:r>
    </w:p>
    <w:p w14:paraId="05AA7410" w14:textId="77777777" w:rsidR="00140318" w:rsidRPr="006D46E5" w:rsidRDefault="00140318" w:rsidP="00FC07B9">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77334647" w14:textId="77777777" w:rsidR="00140318" w:rsidRPr="006D46E5" w:rsidRDefault="00140318" w:rsidP="00FC07B9">
      <w:pPr>
        <w:pStyle w:val="ACMACorporateAddresses"/>
      </w:pPr>
      <w:r w:rsidRPr="006D46E5">
        <w:t>Written enquiries may be sent to:</w:t>
      </w:r>
    </w:p>
    <w:p w14:paraId="051C020A" w14:textId="77777777" w:rsidR="00D16FE3" w:rsidRDefault="00140318" w:rsidP="00D16FE3">
      <w:pPr>
        <w:pStyle w:val="ACMACorporateAddresses"/>
        <w:rPr>
          <w:rStyle w:val="Hyperlink"/>
        </w:rPr>
      </w:pPr>
      <w:r w:rsidRPr="006D46E5">
        <w:t>Manager, Editorial and Design</w:t>
      </w:r>
      <w:r w:rsidR="00623FF9">
        <w:br/>
      </w:r>
      <w:r w:rsidRPr="006D46E5">
        <w:t>PO Box 13112</w:t>
      </w:r>
      <w:r w:rsidR="00623FF9">
        <w:br/>
      </w:r>
      <w:r w:rsidRPr="006D46E5">
        <w:t>Law Courts</w:t>
      </w:r>
      <w:r w:rsidR="00623FF9">
        <w:br/>
      </w:r>
      <w:r w:rsidRPr="006D46E5">
        <w:t>Melbourne VIC 8010</w:t>
      </w:r>
      <w:r w:rsidR="00623FF9">
        <w:br/>
      </w:r>
      <w:r w:rsidRPr="006D46E5">
        <w:t>Tel: 03 9963 6968</w:t>
      </w:r>
      <w:r w:rsidR="00623FF9">
        <w:br/>
      </w:r>
      <w:r w:rsidRPr="006D46E5">
        <w:t xml:space="preserve">Email: </w:t>
      </w:r>
      <w:hyperlink r:id="rId17" w:history="1">
        <w:r w:rsidRPr="00431792">
          <w:rPr>
            <w:rStyle w:val="Hyperlink"/>
          </w:rPr>
          <w:t>candinfo@acma.gov.au</w:t>
        </w:r>
      </w:hyperlink>
    </w:p>
    <w:p w14:paraId="1E86F102" w14:textId="77777777" w:rsidR="00D16FE3" w:rsidRDefault="00D16FE3" w:rsidP="00D16FE3">
      <w:pPr>
        <w:pStyle w:val="ACMACorporateAddresses"/>
        <w:rPr>
          <w:rStyle w:val="Hyperlink"/>
        </w:rPr>
      </w:pPr>
    </w:p>
    <w:p w14:paraId="39D8961F" w14:textId="77777777" w:rsidR="00D16FE3" w:rsidRPr="00D16FE3" w:rsidRDefault="00D16FE3" w:rsidP="00D16FE3">
      <w:pPr>
        <w:pStyle w:val="ACMACorporateAddresses"/>
        <w:sectPr w:rsidR="00D16FE3" w:rsidRPr="00D16FE3">
          <w:headerReference w:type="even" r:id="rId18"/>
          <w:headerReference w:type="default" r:id="rId19"/>
          <w:footerReference w:type="even" r:id="rId20"/>
          <w:footerReference w:type="default" r:id="rId21"/>
          <w:pgSz w:w="11906" w:h="16838" w:code="9"/>
          <w:pgMar w:top="3924" w:right="1797" w:bottom="697" w:left="1134" w:header="709" w:footer="119" w:gutter="0"/>
          <w:cols w:space="708"/>
          <w:docGrid w:linePitch="360"/>
        </w:sectPr>
      </w:pPr>
    </w:p>
    <w:p w14:paraId="5BD1DD3F" w14:textId="77777777" w:rsidR="004A2671" w:rsidRDefault="00912A66">
      <w:pPr>
        <w:pStyle w:val="TOC1"/>
        <w:tabs>
          <w:tab w:val="left" w:pos="885"/>
        </w:tabs>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\h \z \t "ACMA_ExecSummaryHeading,1" </w:instrText>
      </w:r>
      <w:bookmarkStart w:id="0" w:name="_GoBack"/>
      <w:bookmarkEnd w:id="0"/>
      <w:r>
        <w:rPr>
          <w:rFonts w:cs="Arial"/>
          <w:b w:val="0"/>
        </w:rPr>
        <w:fldChar w:fldCharType="separate"/>
      </w:r>
      <w:hyperlink w:anchor="_Toc443910646" w:history="1">
        <w:r w:rsidR="004A2671" w:rsidRPr="00F52618">
          <w:rPr>
            <w:rStyle w:val="Hyperlink"/>
          </w:rPr>
          <w:t>1</w:t>
        </w:r>
        <w:r w:rsidR="004A2671">
          <w:rPr>
            <w:rFonts w:asciiTheme="minorHAnsi" w:eastAsiaTheme="minorEastAsia" w:hAnsiTheme="minorHAnsi" w:cstheme="minorBidi"/>
            <w:b w:val="0"/>
            <w:spacing w:val="0"/>
            <w:sz w:val="22"/>
            <w:szCs w:val="22"/>
          </w:rPr>
          <w:tab/>
        </w:r>
        <w:r w:rsidR="004A2671" w:rsidRPr="00F52618">
          <w:rPr>
            <w:rStyle w:val="Hyperlink"/>
          </w:rPr>
          <w:t>Introduction</w:t>
        </w:r>
        <w:r w:rsidR="004A2671">
          <w:rPr>
            <w:webHidden/>
          </w:rPr>
          <w:tab/>
        </w:r>
        <w:r w:rsidR="004A2671">
          <w:rPr>
            <w:webHidden/>
          </w:rPr>
          <w:fldChar w:fldCharType="begin"/>
        </w:r>
        <w:r w:rsidR="004A2671">
          <w:rPr>
            <w:webHidden/>
          </w:rPr>
          <w:instrText xml:space="preserve"> PAGEREF _Toc443910646 \h </w:instrText>
        </w:r>
        <w:r w:rsidR="004A2671">
          <w:rPr>
            <w:webHidden/>
          </w:rPr>
        </w:r>
        <w:r w:rsidR="004A2671">
          <w:rPr>
            <w:webHidden/>
          </w:rPr>
          <w:fldChar w:fldCharType="separate"/>
        </w:r>
        <w:r w:rsidR="00185750">
          <w:rPr>
            <w:webHidden/>
          </w:rPr>
          <w:t>1</w:t>
        </w:r>
        <w:r w:rsidR="004A2671">
          <w:rPr>
            <w:webHidden/>
          </w:rPr>
          <w:fldChar w:fldCharType="end"/>
        </w:r>
      </w:hyperlink>
    </w:p>
    <w:p w14:paraId="1D219DB2" w14:textId="77777777" w:rsidR="004A2671" w:rsidRDefault="002B7174">
      <w:pPr>
        <w:pStyle w:val="TOC1"/>
        <w:tabs>
          <w:tab w:val="left" w:pos="885"/>
        </w:tabs>
        <w:rPr>
          <w:rFonts w:asciiTheme="minorHAnsi" w:eastAsiaTheme="minorEastAsia" w:hAnsiTheme="minorHAnsi" w:cstheme="minorBidi"/>
          <w:b w:val="0"/>
          <w:spacing w:val="0"/>
          <w:sz w:val="22"/>
          <w:szCs w:val="22"/>
        </w:rPr>
      </w:pPr>
      <w:hyperlink w:anchor="_Toc443910647" w:history="1">
        <w:r w:rsidR="004A2671" w:rsidRPr="00F52618">
          <w:rPr>
            <w:rStyle w:val="Hyperlink"/>
          </w:rPr>
          <w:t>2</w:t>
        </w:r>
        <w:r w:rsidR="004A2671">
          <w:rPr>
            <w:rFonts w:asciiTheme="minorHAnsi" w:eastAsiaTheme="minorEastAsia" w:hAnsiTheme="minorHAnsi" w:cstheme="minorBidi"/>
            <w:b w:val="0"/>
            <w:spacing w:val="0"/>
            <w:sz w:val="22"/>
            <w:szCs w:val="22"/>
          </w:rPr>
          <w:tab/>
        </w:r>
        <w:r w:rsidR="004A2671" w:rsidRPr="00F52618">
          <w:rPr>
            <w:rStyle w:val="Hyperlink"/>
          </w:rPr>
          <w:t>Summary of individual submissions</w:t>
        </w:r>
        <w:r w:rsidR="004A2671">
          <w:rPr>
            <w:webHidden/>
          </w:rPr>
          <w:tab/>
        </w:r>
        <w:r w:rsidR="004A2671">
          <w:rPr>
            <w:webHidden/>
          </w:rPr>
          <w:fldChar w:fldCharType="begin"/>
        </w:r>
        <w:r w:rsidR="004A2671">
          <w:rPr>
            <w:webHidden/>
          </w:rPr>
          <w:instrText xml:space="preserve"> PAGEREF _Toc443910647 \h </w:instrText>
        </w:r>
        <w:r w:rsidR="004A2671">
          <w:rPr>
            <w:webHidden/>
          </w:rPr>
        </w:r>
        <w:r w:rsidR="004A2671">
          <w:rPr>
            <w:webHidden/>
          </w:rPr>
          <w:fldChar w:fldCharType="separate"/>
        </w:r>
        <w:r w:rsidR="00185750">
          <w:rPr>
            <w:webHidden/>
          </w:rPr>
          <w:t>2</w:t>
        </w:r>
        <w:r w:rsidR="004A2671">
          <w:rPr>
            <w:webHidden/>
          </w:rPr>
          <w:fldChar w:fldCharType="end"/>
        </w:r>
      </w:hyperlink>
    </w:p>
    <w:p w14:paraId="2DAB670B" w14:textId="77777777" w:rsidR="004A2671" w:rsidRDefault="002B7174">
      <w:pPr>
        <w:pStyle w:val="TOC2"/>
        <w:rPr>
          <w:rFonts w:asciiTheme="minorHAnsi" w:eastAsiaTheme="minorEastAsia" w:hAnsiTheme="minorHAnsi" w:cstheme="minorBidi"/>
          <w:spacing w:val="0"/>
          <w:sz w:val="22"/>
          <w:szCs w:val="22"/>
        </w:rPr>
      </w:pPr>
      <w:hyperlink w:anchor="_Toc443910648" w:history="1">
        <w:r w:rsidR="004A2671" w:rsidRPr="00F52618">
          <w:rPr>
            <w:rStyle w:val="Hyperlink"/>
          </w:rPr>
          <w:t>Alcatel-Lucent</w:t>
        </w:r>
        <w:r w:rsidR="004A2671">
          <w:rPr>
            <w:webHidden/>
          </w:rPr>
          <w:tab/>
        </w:r>
        <w:r w:rsidR="004A2671">
          <w:rPr>
            <w:webHidden/>
          </w:rPr>
          <w:fldChar w:fldCharType="begin"/>
        </w:r>
        <w:r w:rsidR="004A2671">
          <w:rPr>
            <w:webHidden/>
          </w:rPr>
          <w:instrText xml:space="preserve"> PAGEREF _Toc443910648 \h </w:instrText>
        </w:r>
        <w:r w:rsidR="004A2671">
          <w:rPr>
            <w:webHidden/>
          </w:rPr>
        </w:r>
        <w:r w:rsidR="004A2671">
          <w:rPr>
            <w:webHidden/>
          </w:rPr>
          <w:fldChar w:fldCharType="separate"/>
        </w:r>
        <w:r w:rsidR="00185750">
          <w:rPr>
            <w:webHidden/>
          </w:rPr>
          <w:t>2</w:t>
        </w:r>
        <w:r w:rsidR="004A2671">
          <w:rPr>
            <w:webHidden/>
          </w:rPr>
          <w:fldChar w:fldCharType="end"/>
        </w:r>
      </w:hyperlink>
    </w:p>
    <w:p w14:paraId="239CDF60" w14:textId="77777777" w:rsidR="004A2671" w:rsidRDefault="002B7174">
      <w:pPr>
        <w:pStyle w:val="TOC2"/>
        <w:rPr>
          <w:rFonts w:asciiTheme="minorHAnsi" w:eastAsiaTheme="minorEastAsia" w:hAnsiTheme="minorHAnsi" w:cstheme="minorBidi"/>
          <w:spacing w:val="0"/>
          <w:sz w:val="22"/>
          <w:szCs w:val="22"/>
        </w:rPr>
      </w:pPr>
      <w:hyperlink w:anchor="_Toc443910649" w:history="1">
        <w:r w:rsidR="004A2671" w:rsidRPr="00F52618">
          <w:rPr>
            <w:rStyle w:val="Hyperlink"/>
          </w:rPr>
          <w:t>Australian Mobile Telecommunications Association (AMTA)</w:t>
        </w:r>
        <w:r w:rsidR="004A2671">
          <w:rPr>
            <w:webHidden/>
          </w:rPr>
          <w:tab/>
        </w:r>
        <w:r w:rsidR="004A2671">
          <w:rPr>
            <w:webHidden/>
          </w:rPr>
          <w:fldChar w:fldCharType="begin"/>
        </w:r>
        <w:r w:rsidR="004A2671">
          <w:rPr>
            <w:webHidden/>
          </w:rPr>
          <w:instrText xml:space="preserve"> PAGEREF _Toc443910649 \h </w:instrText>
        </w:r>
        <w:r w:rsidR="004A2671">
          <w:rPr>
            <w:webHidden/>
          </w:rPr>
        </w:r>
        <w:r w:rsidR="004A2671">
          <w:rPr>
            <w:webHidden/>
          </w:rPr>
          <w:fldChar w:fldCharType="separate"/>
        </w:r>
        <w:r w:rsidR="00185750">
          <w:rPr>
            <w:webHidden/>
          </w:rPr>
          <w:t>2</w:t>
        </w:r>
        <w:r w:rsidR="004A2671">
          <w:rPr>
            <w:webHidden/>
          </w:rPr>
          <w:fldChar w:fldCharType="end"/>
        </w:r>
      </w:hyperlink>
    </w:p>
    <w:p w14:paraId="54321933" w14:textId="77777777" w:rsidR="004A2671" w:rsidRDefault="002B7174">
      <w:pPr>
        <w:pStyle w:val="TOC2"/>
        <w:rPr>
          <w:rFonts w:asciiTheme="minorHAnsi" w:eastAsiaTheme="minorEastAsia" w:hAnsiTheme="minorHAnsi" w:cstheme="minorBidi"/>
          <w:spacing w:val="0"/>
          <w:sz w:val="22"/>
          <w:szCs w:val="22"/>
        </w:rPr>
      </w:pPr>
      <w:hyperlink w:anchor="_Toc443910650" w:history="1">
        <w:r w:rsidR="004A2671" w:rsidRPr="00F52618">
          <w:rPr>
            <w:rStyle w:val="Hyperlink"/>
          </w:rPr>
          <w:t>Australian Subscription Television and Radio Association (ASTRA)</w:t>
        </w:r>
        <w:r w:rsidR="004A2671">
          <w:rPr>
            <w:webHidden/>
          </w:rPr>
          <w:tab/>
        </w:r>
        <w:r w:rsidR="004A2671">
          <w:rPr>
            <w:webHidden/>
          </w:rPr>
          <w:fldChar w:fldCharType="begin"/>
        </w:r>
        <w:r w:rsidR="004A2671">
          <w:rPr>
            <w:webHidden/>
          </w:rPr>
          <w:instrText xml:space="preserve"> PAGEREF _Toc443910650 \h </w:instrText>
        </w:r>
        <w:r w:rsidR="004A2671">
          <w:rPr>
            <w:webHidden/>
          </w:rPr>
        </w:r>
        <w:r w:rsidR="004A2671">
          <w:rPr>
            <w:webHidden/>
          </w:rPr>
          <w:fldChar w:fldCharType="separate"/>
        </w:r>
        <w:r w:rsidR="00185750">
          <w:rPr>
            <w:webHidden/>
          </w:rPr>
          <w:t>3</w:t>
        </w:r>
        <w:r w:rsidR="004A2671">
          <w:rPr>
            <w:webHidden/>
          </w:rPr>
          <w:fldChar w:fldCharType="end"/>
        </w:r>
      </w:hyperlink>
    </w:p>
    <w:p w14:paraId="20FDA3A1" w14:textId="77777777" w:rsidR="004A2671" w:rsidRDefault="002B7174">
      <w:pPr>
        <w:pStyle w:val="TOC2"/>
        <w:rPr>
          <w:rFonts w:asciiTheme="minorHAnsi" w:eastAsiaTheme="minorEastAsia" w:hAnsiTheme="minorHAnsi" w:cstheme="minorBidi"/>
          <w:spacing w:val="0"/>
          <w:sz w:val="22"/>
          <w:szCs w:val="22"/>
        </w:rPr>
      </w:pPr>
      <w:hyperlink w:anchor="_Toc443910651" w:history="1">
        <w:r w:rsidR="004A2671" w:rsidRPr="00F52618">
          <w:rPr>
            <w:rStyle w:val="Hyperlink"/>
            <w:lang w:val="en"/>
          </w:rPr>
          <w:t>Bureau of Meteorology (BoM)</w:t>
        </w:r>
        <w:r w:rsidR="004A2671">
          <w:rPr>
            <w:webHidden/>
          </w:rPr>
          <w:tab/>
        </w:r>
        <w:r w:rsidR="004A2671">
          <w:rPr>
            <w:webHidden/>
          </w:rPr>
          <w:fldChar w:fldCharType="begin"/>
        </w:r>
        <w:r w:rsidR="004A2671">
          <w:rPr>
            <w:webHidden/>
          </w:rPr>
          <w:instrText xml:space="preserve"> PAGEREF _Toc443910651 \h </w:instrText>
        </w:r>
        <w:r w:rsidR="004A2671">
          <w:rPr>
            <w:webHidden/>
          </w:rPr>
        </w:r>
        <w:r w:rsidR="004A2671">
          <w:rPr>
            <w:webHidden/>
          </w:rPr>
          <w:fldChar w:fldCharType="separate"/>
        </w:r>
        <w:r w:rsidR="00185750">
          <w:rPr>
            <w:webHidden/>
          </w:rPr>
          <w:t>3</w:t>
        </w:r>
        <w:r w:rsidR="004A2671">
          <w:rPr>
            <w:webHidden/>
          </w:rPr>
          <w:fldChar w:fldCharType="end"/>
        </w:r>
      </w:hyperlink>
    </w:p>
    <w:p w14:paraId="3D7B12C2" w14:textId="77777777" w:rsidR="004A2671" w:rsidRDefault="002B7174">
      <w:pPr>
        <w:pStyle w:val="TOC2"/>
        <w:rPr>
          <w:rFonts w:asciiTheme="minorHAnsi" w:eastAsiaTheme="minorEastAsia" w:hAnsiTheme="minorHAnsi" w:cstheme="minorBidi"/>
          <w:spacing w:val="0"/>
          <w:sz w:val="22"/>
          <w:szCs w:val="22"/>
        </w:rPr>
      </w:pPr>
      <w:hyperlink w:anchor="_Toc443910652" w:history="1">
        <w:r w:rsidR="004A2671" w:rsidRPr="00F52618">
          <w:rPr>
            <w:rStyle w:val="Hyperlink"/>
            <w:lang w:val="en"/>
          </w:rPr>
          <w:t>Communications Alliance</w:t>
        </w:r>
        <w:r w:rsidR="004A2671">
          <w:rPr>
            <w:webHidden/>
          </w:rPr>
          <w:tab/>
        </w:r>
        <w:r w:rsidR="004A2671">
          <w:rPr>
            <w:webHidden/>
          </w:rPr>
          <w:fldChar w:fldCharType="begin"/>
        </w:r>
        <w:r w:rsidR="004A2671">
          <w:rPr>
            <w:webHidden/>
          </w:rPr>
          <w:instrText xml:space="preserve"> PAGEREF _Toc443910652 \h </w:instrText>
        </w:r>
        <w:r w:rsidR="004A2671">
          <w:rPr>
            <w:webHidden/>
          </w:rPr>
        </w:r>
        <w:r w:rsidR="004A2671">
          <w:rPr>
            <w:webHidden/>
          </w:rPr>
          <w:fldChar w:fldCharType="separate"/>
        </w:r>
        <w:r w:rsidR="00185750">
          <w:rPr>
            <w:webHidden/>
          </w:rPr>
          <w:t>3</w:t>
        </w:r>
        <w:r w:rsidR="004A2671">
          <w:rPr>
            <w:webHidden/>
          </w:rPr>
          <w:fldChar w:fldCharType="end"/>
        </w:r>
      </w:hyperlink>
    </w:p>
    <w:p w14:paraId="358B69F4" w14:textId="77777777" w:rsidR="004A2671" w:rsidRDefault="002B7174">
      <w:pPr>
        <w:pStyle w:val="TOC3"/>
        <w:rPr>
          <w:rFonts w:asciiTheme="minorHAnsi" w:eastAsiaTheme="minorEastAsia" w:hAnsiTheme="minorHAnsi" w:cstheme="minorBidi"/>
        </w:rPr>
      </w:pPr>
      <w:hyperlink w:anchor="_Toc443910653" w:history="1">
        <w:r w:rsidR="004A2671" w:rsidRPr="00F52618">
          <w:rPr>
            <w:rStyle w:val="Hyperlink"/>
          </w:rPr>
          <w:t>Supplementary submission from the Satellite Services Working Group (SSWG) of Communications Alliance</w:t>
        </w:r>
        <w:r w:rsidR="004A2671">
          <w:rPr>
            <w:webHidden/>
          </w:rPr>
          <w:tab/>
        </w:r>
        <w:r w:rsidR="004A2671">
          <w:rPr>
            <w:webHidden/>
          </w:rPr>
          <w:fldChar w:fldCharType="begin"/>
        </w:r>
        <w:r w:rsidR="004A2671">
          <w:rPr>
            <w:webHidden/>
          </w:rPr>
          <w:instrText xml:space="preserve"> PAGEREF _Toc443910653 \h </w:instrText>
        </w:r>
        <w:r w:rsidR="004A2671">
          <w:rPr>
            <w:webHidden/>
          </w:rPr>
        </w:r>
        <w:r w:rsidR="004A2671">
          <w:rPr>
            <w:webHidden/>
          </w:rPr>
          <w:fldChar w:fldCharType="separate"/>
        </w:r>
        <w:r w:rsidR="00185750">
          <w:rPr>
            <w:webHidden/>
          </w:rPr>
          <w:t>4</w:t>
        </w:r>
        <w:r w:rsidR="004A2671">
          <w:rPr>
            <w:webHidden/>
          </w:rPr>
          <w:fldChar w:fldCharType="end"/>
        </w:r>
      </w:hyperlink>
    </w:p>
    <w:p w14:paraId="406C8870" w14:textId="36794510" w:rsidR="004A2671" w:rsidRDefault="002B7174">
      <w:pPr>
        <w:pStyle w:val="TOC2"/>
        <w:rPr>
          <w:rFonts w:asciiTheme="minorHAnsi" w:eastAsiaTheme="minorEastAsia" w:hAnsiTheme="minorHAnsi" w:cstheme="minorBidi"/>
          <w:spacing w:val="0"/>
          <w:sz w:val="22"/>
          <w:szCs w:val="22"/>
        </w:rPr>
      </w:pPr>
      <w:hyperlink w:anchor="_Toc443910654" w:history="1">
        <w:r w:rsidR="004A2671" w:rsidRPr="00F52618">
          <w:rPr>
            <w:rStyle w:val="Hyperlink"/>
            <w:lang w:val="en"/>
          </w:rPr>
          <w:t>Defence</w:t>
        </w:r>
        <w:r w:rsidR="004A2671">
          <w:rPr>
            <w:rStyle w:val="Hyperlink"/>
            <w:lang w:val="en"/>
          </w:rPr>
          <w:tab/>
        </w:r>
        <w:r w:rsidR="004A2671">
          <w:rPr>
            <w:webHidden/>
          </w:rPr>
          <w:tab/>
        </w:r>
        <w:r w:rsidR="004A2671">
          <w:rPr>
            <w:webHidden/>
          </w:rPr>
          <w:fldChar w:fldCharType="begin"/>
        </w:r>
        <w:r w:rsidR="004A2671">
          <w:rPr>
            <w:webHidden/>
          </w:rPr>
          <w:instrText xml:space="preserve"> PAGEREF _Toc443910654 \h </w:instrText>
        </w:r>
        <w:r w:rsidR="004A2671">
          <w:rPr>
            <w:webHidden/>
          </w:rPr>
        </w:r>
        <w:r w:rsidR="004A2671">
          <w:rPr>
            <w:webHidden/>
          </w:rPr>
          <w:fldChar w:fldCharType="separate"/>
        </w:r>
        <w:r w:rsidR="00185750">
          <w:rPr>
            <w:webHidden/>
          </w:rPr>
          <w:t>4</w:t>
        </w:r>
        <w:r w:rsidR="004A2671">
          <w:rPr>
            <w:webHidden/>
          </w:rPr>
          <w:fldChar w:fldCharType="end"/>
        </w:r>
      </w:hyperlink>
    </w:p>
    <w:p w14:paraId="1EBAFF84" w14:textId="3148EB09" w:rsidR="004A2671" w:rsidRDefault="002B7174">
      <w:pPr>
        <w:pStyle w:val="TOC2"/>
        <w:rPr>
          <w:rFonts w:asciiTheme="minorHAnsi" w:eastAsiaTheme="minorEastAsia" w:hAnsiTheme="minorHAnsi" w:cstheme="minorBidi"/>
          <w:spacing w:val="0"/>
          <w:sz w:val="22"/>
          <w:szCs w:val="22"/>
        </w:rPr>
      </w:pPr>
      <w:hyperlink w:anchor="_Toc443910655" w:history="1">
        <w:r w:rsidR="004A2671" w:rsidRPr="00F52618">
          <w:rPr>
            <w:rStyle w:val="Hyperlink"/>
            <w:lang w:val="en"/>
          </w:rPr>
          <w:t>Foxtel</w:t>
        </w:r>
        <w:r w:rsidR="004A2671">
          <w:rPr>
            <w:webHidden/>
          </w:rPr>
          <w:tab/>
        </w:r>
        <w:r w:rsidR="004A2671">
          <w:rPr>
            <w:webHidden/>
          </w:rPr>
          <w:tab/>
        </w:r>
        <w:r w:rsidR="004A2671">
          <w:rPr>
            <w:webHidden/>
          </w:rPr>
          <w:fldChar w:fldCharType="begin"/>
        </w:r>
        <w:r w:rsidR="004A2671">
          <w:rPr>
            <w:webHidden/>
          </w:rPr>
          <w:instrText xml:space="preserve"> PAGEREF _Toc443910655 \h </w:instrText>
        </w:r>
        <w:r w:rsidR="004A2671">
          <w:rPr>
            <w:webHidden/>
          </w:rPr>
        </w:r>
        <w:r w:rsidR="004A2671">
          <w:rPr>
            <w:webHidden/>
          </w:rPr>
          <w:fldChar w:fldCharType="separate"/>
        </w:r>
        <w:r w:rsidR="00185750">
          <w:rPr>
            <w:webHidden/>
          </w:rPr>
          <w:t>4</w:t>
        </w:r>
        <w:r w:rsidR="004A2671">
          <w:rPr>
            <w:webHidden/>
          </w:rPr>
          <w:fldChar w:fldCharType="end"/>
        </w:r>
      </w:hyperlink>
    </w:p>
    <w:p w14:paraId="06E921BB" w14:textId="77777777" w:rsidR="004A2671" w:rsidRDefault="002B7174">
      <w:pPr>
        <w:pStyle w:val="TOC2"/>
        <w:rPr>
          <w:rFonts w:asciiTheme="minorHAnsi" w:eastAsiaTheme="minorEastAsia" w:hAnsiTheme="minorHAnsi" w:cstheme="minorBidi"/>
          <w:spacing w:val="0"/>
          <w:sz w:val="22"/>
          <w:szCs w:val="22"/>
        </w:rPr>
      </w:pPr>
      <w:hyperlink w:anchor="_Toc443910656" w:history="1">
        <w:r w:rsidR="004A2671" w:rsidRPr="00F52618">
          <w:rPr>
            <w:rStyle w:val="Hyperlink"/>
            <w:lang w:val="en"/>
          </w:rPr>
          <w:t>Global VSat Forum (GVF)</w:t>
        </w:r>
        <w:r w:rsidR="004A2671">
          <w:rPr>
            <w:webHidden/>
          </w:rPr>
          <w:tab/>
        </w:r>
        <w:r w:rsidR="004A2671">
          <w:rPr>
            <w:webHidden/>
          </w:rPr>
          <w:fldChar w:fldCharType="begin"/>
        </w:r>
        <w:r w:rsidR="004A2671">
          <w:rPr>
            <w:webHidden/>
          </w:rPr>
          <w:instrText xml:space="preserve"> PAGEREF _Toc443910656 \h </w:instrText>
        </w:r>
        <w:r w:rsidR="004A2671">
          <w:rPr>
            <w:webHidden/>
          </w:rPr>
        </w:r>
        <w:r w:rsidR="004A2671">
          <w:rPr>
            <w:webHidden/>
          </w:rPr>
          <w:fldChar w:fldCharType="separate"/>
        </w:r>
        <w:r w:rsidR="00185750">
          <w:rPr>
            <w:webHidden/>
          </w:rPr>
          <w:t>4</w:t>
        </w:r>
        <w:r w:rsidR="004A2671">
          <w:rPr>
            <w:webHidden/>
          </w:rPr>
          <w:fldChar w:fldCharType="end"/>
        </w:r>
      </w:hyperlink>
    </w:p>
    <w:p w14:paraId="38BFADF1" w14:textId="556D9568" w:rsidR="004A2671" w:rsidRDefault="002B7174">
      <w:pPr>
        <w:pStyle w:val="TOC2"/>
        <w:rPr>
          <w:rFonts w:asciiTheme="minorHAnsi" w:eastAsiaTheme="minorEastAsia" w:hAnsiTheme="minorHAnsi" w:cstheme="minorBidi"/>
          <w:spacing w:val="0"/>
          <w:sz w:val="22"/>
          <w:szCs w:val="22"/>
        </w:rPr>
      </w:pPr>
      <w:hyperlink w:anchor="_Toc443910657" w:history="1">
        <w:r w:rsidR="004A2671" w:rsidRPr="00F52618">
          <w:rPr>
            <w:rStyle w:val="Hyperlink"/>
          </w:rPr>
          <w:t>GSMA</w:t>
        </w:r>
        <w:r w:rsidR="004A2671">
          <w:rPr>
            <w:webHidden/>
          </w:rPr>
          <w:tab/>
        </w:r>
        <w:r w:rsidR="004A2671">
          <w:rPr>
            <w:webHidden/>
          </w:rPr>
          <w:tab/>
        </w:r>
        <w:r w:rsidR="004A2671">
          <w:rPr>
            <w:webHidden/>
          </w:rPr>
          <w:fldChar w:fldCharType="begin"/>
        </w:r>
        <w:r w:rsidR="004A2671">
          <w:rPr>
            <w:webHidden/>
          </w:rPr>
          <w:instrText xml:space="preserve"> PAGEREF _Toc443910657 \h </w:instrText>
        </w:r>
        <w:r w:rsidR="004A2671">
          <w:rPr>
            <w:webHidden/>
          </w:rPr>
        </w:r>
        <w:r w:rsidR="004A2671">
          <w:rPr>
            <w:webHidden/>
          </w:rPr>
          <w:fldChar w:fldCharType="separate"/>
        </w:r>
        <w:r w:rsidR="00185750">
          <w:rPr>
            <w:webHidden/>
          </w:rPr>
          <w:t>4</w:t>
        </w:r>
        <w:r w:rsidR="004A2671">
          <w:rPr>
            <w:webHidden/>
          </w:rPr>
          <w:fldChar w:fldCharType="end"/>
        </w:r>
      </w:hyperlink>
    </w:p>
    <w:p w14:paraId="2C80DA6F" w14:textId="77777777" w:rsidR="004A2671" w:rsidRDefault="002B7174">
      <w:pPr>
        <w:pStyle w:val="TOC2"/>
        <w:rPr>
          <w:rFonts w:asciiTheme="minorHAnsi" w:eastAsiaTheme="minorEastAsia" w:hAnsiTheme="minorHAnsi" w:cstheme="minorBidi"/>
          <w:spacing w:val="0"/>
          <w:sz w:val="22"/>
          <w:szCs w:val="22"/>
        </w:rPr>
      </w:pPr>
      <w:hyperlink w:anchor="_Toc443910658" w:history="1">
        <w:r w:rsidR="004A2671" w:rsidRPr="00F52618">
          <w:rPr>
            <w:rStyle w:val="Hyperlink"/>
          </w:rPr>
          <w:t>Inmarsat</w:t>
        </w:r>
        <w:r w:rsidR="004A2671">
          <w:rPr>
            <w:webHidden/>
          </w:rPr>
          <w:tab/>
        </w:r>
        <w:r w:rsidR="004A2671">
          <w:rPr>
            <w:webHidden/>
          </w:rPr>
          <w:fldChar w:fldCharType="begin"/>
        </w:r>
        <w:r w:rsidR="004A2671">
          <w:rPr>
            <w:webHidden/>
          </w:rPr>
          <w:instrText xml:space="preserve"> PAGEREF _Toc443910658 \h </w:instrText>
        </w:r>
        <w:r w:rsidR="004A2671">
          <w:rPr>
            <w:webHidden/>
          </w:rPr>
        </w:r>
        <w:r w:rsidR="004A2671">
          <w:rPr>
            <w:webHidden/>
          </w:rPr>
          <w:fldChar w:fldCharType="separate"/>
        </w:r>
        <w:r w:rsidR="00185750">
          <w:rPr>
            <w:webHidden/>
          </w:rPr>
          <w:t>5</w:t>
        </w:r>
        <w:r w:rsidR="004A2671">
          <w:rPr>
            <w:webHidden/>
          </w:rPr>
          <w:fldChar w:fldCharType="end"/>
        </w:r>
      </w:hyperlink>
    </w:p>
    <w:p w14:paraId="66488CAB" w14:textId="77777777" w:rsidR="004A2671" w:rsidRDefault="002B7174">
      <w:pPr>
        <w:pStyle w:val="TOC2"/>
        <w:rPr>
          <w:rFonts w:asciiTheme="minorHAnsi" w:eastAsiaTheme="minorEastAsia" w:hAnsiTheme="minorHAnsi" w:cstheme="minorBidi"/>
          <w:spacing w:val="0"/>
          <w:sz w:val="22"/>
          <w:szCs w:val="22"/>
        </w:rPr>
      </w:pPr>
      <w:hyperlink w:anchor="_Toc443910659" w:history="1">
        <w:r w:rsidR="004A2671" w:rsidRPr="00F52618">
          <w:rPr>
            <w:rStyle w:val="Hyperlink"/>
          </w:rPr>
          <w:t>Madhulika Tripathi</w:t>
        </w:r>
        <w:r w:rsidR="004A2671">
          <w:rPr>
            <w:webHidden/>
          </w:rPr>
          <w:tab/>
        </w:r>
        <w:r w:rsidR="004A2671">
          <w:rPr>
            <w:webHidden/>
          </w:rPr>
          <w:fldChar w:fldCharType="begin"/>
        </w:r>
        <w:r w:rsidR="004A2671">
          <w:rPr>
            <w:webHidden/>
          </w:rPr>
          <w:instrText xml:space="preserve"> PAGEREF _Toc443910659 \h </w:instrText>
        </w:r>
        <w:r w:rsidR="004A2671">
          <w:rPr>
            <w:webHidden/>
          </w:rPr>
        </w:r>
        <w:r w:rsidR="004A2671">
          <w:rPr>
            <w:webHidden/>
          </w:rPr>
          <w:fldChar w:fldCharType="separate"/>
        </w:r>
        <w:r w:rsidR="00185750">
          <w:rPr>
            <w:webHidden/>
          </w:rPr>
          <w:t>5</w:t>
        </w:r>
        <w:r w:rsidR="004A2671">
          <w:rPr>
            <w:webHidden/>
          </w:rPr>
          <w:fldChar w:fldCharType="end"/>
        </w:r>
      </w:hyperlink>
    </w:p>
    <w:p w14:paraId="08496CBE" w14:textId="77777777" w:rsidR="004A2671" w:rsidRDefault="002B7174">
      <w:pPr>
        <w:pStyle w:val="TOC2"/>
        <w:rPr>
          <w:rFonts w:asciiTheme="minorHAnsi" w:eastAsiaTheme="minorEastAsia" w:hAnsiTheme="minorHAnsi" w:cstheme="minorBidi"/>
          <w:spacing w:val="0"/>
          <w:sz w:val="22"/>
          <w:szCs w:val="22"/>
        </w:rPr>
      </w:pPr>
      <w:hyperlink w:anchor="_Toc443910660" w:history="1">
        <w:r w:rsidR="004A2671" w:rsidRPr="00F52618">
          <w:rPr>
            <w:rStyle w:val="Hyperlink"/>
          </w:rPr>
          <w:t>Mississippi Consulting</w:t>
        </w:r>
        <w:r w:rsidR="004A2671">
          <w:rPr>
            <w:webHidden/>
          </w:rPr>
          <w:tab/>
        </w:r>
        <w:r w:rsidR="004A2671">
          <w:rPr>
            <w:webHidden/>
          </w:rPr>
          <w:fldChar w:fldCharType="begin"/>
        </w:r>
        <w:r w:rsidR="004A2671">
          <w:rPr>
            <w:webHidden/>
          </w:rPr>
          <w:instrText xml:space="preserve"> PAGEREF _Toc443910660 \h </w:instrText>
        </w:r>
        <w:r w:rsidR="004A2671">
          <w:rPr>
            <w:webHidden/>
          </w:rPr>
        </w:r>
        <w:r w:rsidR="004A2671">
          <w:rPr>
            <w:webHidden/>
          </w:rPr>
          <w:fldChar w:fldCharType="separate"/>
        </w:r>
        <w:r w:rsidR="00185750">
          <w:rPr>
            <w:webHidden/>
          </w:rPr>
          <w:t>5</w:t>
        </w:r>
        <w:r w:rsidR="004A2671">
          <w:rPr>
            <w:webHidden/>
          </w:rPr>
          <w:fldChar w:fldCharType="end"/>
        </w:r>
      </w:hyperlink>
    </w:p>
    <w:p w14:paraId="03DD68BA" w14:textId="68098827" w:rsidR="004A2671" w:rsidRDefault="002B7174">
      <w:pPr>
        <w:pStyle w:val="TOC2"/>
        <w:rPr>
          <w:rFonts w:asciiTheme="minorHAnsi" w:eastAsiaTheme="minorEastAsia" w:hAnsiTheme="minorHAnsi" w:cstheme="minorBidi"/>
          <w:spacing w:val="0"/>
          <w:sz w:val="22"/>
          <w:szCs w:val="22"/>
        </w:rPr>
      </w:pPr>
      <w:hyperlink w:anchor="_Toc443910661" w:history="1">
        <w:r w:rsidR="004A2671" w:rsidRPr="00F52618">
          <w:rPr>
            <w:rStyle w:val="Hyperlink"/>
          </w:rPr>
          <w:t>nbn</w:t>
        </w:r>
        <w:r w:rsidR="004A2671">
          <w:rPr>
            <w:webHidden/>
          </w:rPr>
          <w:tab/>
        </w:r>
        <w:r w:rsidR="004A2671">
          <w:rPr>
            <w:webHidden/>
          </w:rPr>
          <w:tab/>
        </w:r>
        <w:r w:rsidR="004A2671">
          <w:rPr>
            <w:webHidden/>
          </w:rPr>
          <w:fldChar w:fldCharType="begin"/>
        </w:r>
        <w:r w:rsidR="004A2671">
          <w:rPr>
            <w:webHidden/>
          </w:rPr>
          <w:instrText xml:space="preserve"> PAGEREF _Toc443910661 \h </w:instrText>
        </w:r>
        <w:r w:rsidR="004A2671">
          <w:rPr>
            <w:webHidden/>
          </w:rPr>
        </w:r>
        <w:r w:rsidR="004A2671">
          <w:rPr>
            <w:webHidden/>
          </w:rPr>
          <w:fldChar w:fldCharType="separate"/>
        </w:r>
        <w:r w:rsidR="00185750">
          <w:rPr>
            <w:webHidden/>
          </w:rPr>
          <w:t>5</w:t>
        </w:r>
        <w:r w:rsidR="004A2671">
          <w:rPr>
            <w:webHidden/>
          </w:rPr>
          <w:fldChar w:fldCharType="end"/>
        </w:r>
      </w:hyperlink>
    </w:p>
    <w:p w14:paraId="600767C8" w14:textId="77777777" w:rsidR="004A2671" w:rsidRDefault="002B7174">
      <w:pPr>
        <w:pStyle w:val="TOC2"/>
        <w:rPr>
          <w:rFonts w:asciiTheme="minorHAnsi" w:eastAsiaTheme="minorEastAsia" w:hAnsiTheme="minorHAnsi" w:cstheme="minorBidi"/>
          <w:spacing w:val="0"/>
          <w:sz w:val="22"/>
          <w:szCs w:val="22"/>
        </w:rPr>
      </w:pPr>
      <w:hyperlink w:anchor="_Toc443910662" w:history="1">
        <w:r w:rsidR="004A2671" w:rsidRPr="00F52618">
          <w:rPr>
            <w:rStyle w:val="Hyperlink"/>
          </w:rPr>
          <w:t>Omnispace Australia</w:t>
        </w:r>
        <w:r w:rsidR="004A2671">
          <w:rPr>
            <w:webHidden/>
          </w:rPr>
          <w:tab/>
        </w:r>
        <w:r w:rsidR="004A2671">
          <w:rPr>
            <w:webHidden/>
          </w:rPr>
          <w:fldChar w:fldCharType="begin"/>
        </w:r>
        <w:r w:rsidR="004A2671">
          <w:rPr>
            <w:webHidden/>
          </w:rPr>
          <w:instrText xml:space="preserve"> PAGEREF _Toc443910662 \h </w:instrText>
        </w:r>
        <w:r w:rsidR="004A2671">
          <w:rPr>
            <w:webHidden/>
          </w:rPr>
        </w:r>
        <w:r w:rsidR="004A2671">
          <w:rPr>
            <w:webHidden/>
          </w:rPr>
          <w:fldChar w:fldCharType="separate"/>
        </w:r>
        <w:r w:rsidR="00185750">
          <w:rPr>
            <w:webHidden/>
          </w:rPr>
          <w:t>5</w:t>
        </w:r>
        <w:r w:rsidR="004A2671">
          <w:rPr>
            <w:webHidden/>
          </w:rPr>
          <w:fldChar w:fldCharType="end"/>
        </w:r>
      </w:hyperlink>
    </w:p>
    <w:p w14:paraId="1725570C" w14:textId="50B9240C" w:rsidR="004A2671" w:rsidRDefault="002B7174">
      <w:pPr>
        <w:pStyle w:val="TOC2"/>
        <w:rPr>
          <w:rFonts w:asciiTheme="minorHAnsi" w:eastAsiaTheme="minorEastAsia" w:hAnsiTheme="minorHAnsi" w:cstheme="minorBidi"/>
          <w:spacing w:val="0"/>
          <w:sz w:val="22"/>
          <w:szCs w:val="22"/>
        </w:rPr>
      </w:pPr>
      <w:hyperlink w:anchor="_Toc443910663" w:history="1">
        <w:r w:rsidR="004A2671" w:rsidRPr="00F52618">
          <w:rPr>
            <w:rStyle w:val="Hyperlink"/>
          </w:rPr>
          <w:t>Optus</w:t>
        </w:r>
        <w:r w:rsidR="004A2671">
          <w:rPr>
            <w:webHidden/>
          </w:rPr>
          <w:tab/>
        </w:r>
        <w:r w:rsidR="004A2671">
          <w:rPr>
            <w:webHidden/>
          </w:rPr>
          <w:tab/>
        </w:r>
        <w:r w:rsidR="004A2671">
          <w:rPr>
            <w:webHidden/>
          </w:rPr>
          <w:fldChar w:fldCharType="begin"/>
        </w:r>
        <w:r w:rsidR="004A2671">
          <w:rPr>
            <w:webHidden/>
          </w:rPr>
          <w:instrText xml:space="preserve"> PAGEREF _Toc443910663 \h </w:instrText>
        </w:r>
        <w:r w:rsidR="004A2671">
          <w:rPr>
            <w:webHidden/>
          </w:rPr>
        </w:r>
        <w:r w:rsidR="004A2671">
          <w:rPr>
            <w:webHidden/>
          </w:rPr>
          <w:fldChar w:fldCharType="separate"/>
        </w:r>
        <w:r w:rsidR="00185750">
          <w:rPr>
            <w:webHidden/>
          </w:rPr>
          <w:t>6</w:t>
        </w:r>
        <w:r w:rsidR="004A2671">
          <w:rPr>
            <w:webHidden/>
          </w:rPr>
          <w:fldChar w:fldCharType="end"/>
        </w:r>
      </w:hyperlink>
    </w:p>
    <w:p w14:paraId="0E8936B6" w14:textId="77777777" w:rsidR="004A2671" w:rsidRDefault="002B7174">
      <w:pPr>
        <w:pStyle w:val="TOC2"/>
        <w:rPr>
          <w:rFonts w:asciiTheme="minorHAnsi" w:eastAsiaTheme="minorEastAsia" w:hAnsiTheme="minorHAnsi" w:cstheme="minorBidi"/>
          <w:spacing w:val="0"/>
          <w:sz w:val="22"/>
          <w:szCs w:val="22"/>
        </w:rPr>
      </w:pPr>
      <w:hyperlink w:anchor="_Toc443910664" w:history="1">
        <w:r w:rsidR="004A2671" w:rsidRPr="00F52618">
          <w:rPr>
            <w:rStyle w:val="Hyperlink"/>
          </w:rPr>
          <w:t>Taggle Systems</w:t>
        </w:r>
        <w:r w:rsidR="004A2671">
          <w:rPr>
            <w:webHidden/>
          </w:rPr>
          <w:tab/>
        </w:r>
        <w:r w:rsidR="004A2671">
          <w:rPr>
            <w:webHidden/>
          </w:rPr>
          <w:fldChar w:fldCharType="begin"/>
        </w:r>
        <w:r w:rsidR="004A2671">
          <w:rPr>
            <w:webHidden/>
          </w:rPr>
          <w:instrText xml:space="preserve"> PAGEREF _Toc443910664 \h </w:instrText>
        </w:r>
        <w:r w:rsidR="004A2671">
          <w:rPr>
            <w:webHidden/>
          </w:rPr>
        </w:r>
        <w:r w:rsidR="004A2671">
          <w:rPr>
            <w:webHidden/>
          </w:rPr>
          <w:fldChar w:fldCharType="separate"/>
        </w:r>
        <w:r w:rsidR="00185750">
          <w:rPr>
            <w:webHidden/>
          </w:rPr>
          <w:t>6</w:t>
        </w:r>
        <w:r w:rsidR="004A2671">
          <w:rPr>
            <w:webHidden/>
          </w:rPr>
          <w:fldChar w:fldCharType="end"/>
        </w:r>
      </w:hyperlink>
    </w:p>
    <w:p w14:paraId="4104A54E" w14:textId="69A8BF11" w:rsidR="004A2671" w:rsidRDefault="002B7174">
      <w:pPr>
        <w:pStyle w:val="TOC2"/>
        <w:rPr>
          <w:rFonts w:asciiTheme="minorHAnsi" w:eastAsiaTheme="minorEastAsia" w:hAnsiTheme="minorHAnsi" w:cstheme="minorBidi"/>
          <w:spacing w:val="0"/>
          <w:sz w:val="22"/>
          <w:szCs w:val="22"/>
        </w:rPr>
      </w:pPr>
      <w:hyperlink w:anchor="_Toc443910665" w:history="1">
        <w:r w:rsidR="004A2671" w:rsidRPr="00F52618">
          <w:rPr>
            <w:rStyle w:val="Hyperlink"/>
          </w:rPr>
          <w:t>Telstra</w:t>
        </w:r>
        <w:r w:rsidR="004A2671">
          <w:rPr>
            <w:webHidden/>
          </w:rPr>
          <w:tab/>
        </w:r>
        <w:r w:rsidR="004A2671">
          <w:rPr>
            <w:webHidden/>
          </w:rPr>
          <w:tab/>
        </w:r>
        <w:r w:rsidR="004A2671">
          <w:rPr>
            <w:webHidden/>
          </w:rPr>
          <w:fldChar w:fldCharType="begin"/>
        </w:r>
        <w:r w:rsidR="004A2671">
          <w:rPr>
            <w:webHidden/>
          </w:rPr>
          <w:instrText xml:space="preserve"> PAGEREF _Toc443910665 \h </w:instrText>
        </w:r>
        <w:r w:rsidR="004A2671">
          <w:rPr>
            <w:webHidden/>
          </w:rPr>
        </w:r>
        <w:r w:rsidR="004A2671">
          <w:rPr>
            <w:webHidden/>
          </w:rPr>
          <w:fldChar w:fldCharType="separate"/>
        </w:r>
        <w:r w:rsidR="00185750">
          <w:rPr>
            <w:webHidden/>
          </w:rPr>
          <w:t>6</w:t>
        </w:r>
        <w:r w:rsidR="004A2671">
          <w:rPr>
            <w:webHidden/>
          </w:rPr>
          <w:fldChar w:fldCharType="end"/>
        </w:r>
      </w:hyperlink>
    </w:p>
    <w:p w14:paraId="6A467C39" w14:textId="77777777" w:rsidR="004A2671" w:rsidRDefault="002B7174">
      <w:pPr>
        <w:pStyle w:val="TOC1"/>
        <w:tabs>
          <w:tab w:val="left" w:pos="885"/>
        </w:tabs>
        <w:rPr>
          <w:rFonts w:asciiTheme="minorHAnsi" w:eastAsiaTheme="minorEastAsia" w:hAnsiTheme="minorHAnsi" w:cstheme="minorBidi"/>
          <w:b w:val="0"/>
          <w:spacing w:val="0"/>
          <w:sz w:val="22"/>
          <w:szCs w:val="22"/>
        </w:rPr>
      </w:pPr>
      <w:hyperlink w:anchor="_Toc443910666" w:history="1">
        <w:r w:rsidR="004A2671" w:rsidRPr="00F52618">
          <w:rPr>
            <w:rStyle w:val="Hyperlink"/>
          </w:rPr>
          <w:t>3</w:t>
        </w:r>
        <w:r w:rsidR="004A2671">
          <w:rPr>
            <w:rFonts w:asciiTheme="minorHAnsi" w:eastAsiaTheme="minorEastAsia" w:hAnsiTheme="minorHAnsi" w:cstheme="minorBidi"/>
            <w:b w:val="0"/>
            <w:spacing w:val="0"/>
            <w:sz w:val="22"/>
            <w:szCs w:val="22"/>
          </w:rPr>
          <w:tab/>
        </w:r>
        <w:r w:rsidR="004A2671" w:rsidRPr="00F52618">
          <w:rPr>
            <w:rStyle w:val="Hyperlink"/>
          </w:rPr>
          <w:t>Summary and response by issue</w:t>
        </w:r>
        <w:r w:rsidR="004A2671">
          <w:rPr>
            <w:webHidden/>
          </w:rPr>
          <w:tab/>
        </w:r>
        <w:r w:rsidR="004A2671">
          <w:rPr>
            <w:webHidden/>
          </w:rPr>
          <w:fldChar w:fldCharType="begin"/>
        </w:r>
        <w:r w:rsidR="004A2671">
          <w:rPr>
            <w:webHidden/>
          </w:rPr>
          <w:instrText xml:space="preserve"> PAGEREF _Toc443910666 \h </w:instrText>
        </w:r>
        <w:r w:rsidR="004A2671">
          <w:rPr>
            <w:webHidden/>
          </w:rPr>
        </w:r>
        <w:r w:rsidR="004A2671">
          <w:rPr>
            <w:webHidden/>
          </w:rPr>
          <w:fldChar w:fldCharType="separate"/>
        </w:r>
        <w:r w:rsidR="00185750">
          <w:rPr>
            <w:webHidden/>
          </w:rPr>
          <w:t>7</w:t>
        </w:r>
        <w:r w:rsidR="004A2671">
          <w:rPr>
            <w:webHidden/>
          </w:rPr>
          <w:fldChar w:fldCharType="end"/>
        </w:r>
      </w:hyperlink>
    </w:p>
    <w:p w14:paraId="2D187D36" w14:textId="77777777" w:rsidR="004A2671" w:rsidRDefault="002B7174">
      <w:pPr>
        <w:pStyle w:val="TOC2"/>
        <w:rPr>
          <w:rFonts w:asciiTheme="minorHAnsi" w:eastAsiaTheme="minorEastAsia" w:hAnsiTheme="minorHAnsi" w:cstheme="minorBidi"/>
          <w:spacing w:val="0"/>
          <w:sz w:val="22"/>
          <w:szCs w:val="22"/>
        </w:rPr>
      </w:pPr>
      <w:hyperlink w:anchor="_Toc443910667" w:history="1">
        <w:r w:rsidR="004A2671" w:rsidRPr="00F52618">
          <w:rPr>
            <w:rStyle w:val="Hyperlink"/>
          </w:rPr>
          <w:t>The ACMA’s role</w:t>
        </w:r>
        <w:r w:rsidR="004A2671">
          <w:rPr>
            <w:webHidden/>
          </w:rPr>
          <w:tab/>
        </w:r>
        <w:r w:rsidR="004A2671">
          <w:rPr>
            <w:webHidden/>
          </w:rPr>
          <w:fldChar w:fldCharType="begin"/>
        </w:r>
        <w:r w:rsidR="004A2671">
          <w:rPr>
            <w:webHidden/>
          </w:rPr>
          <w:instrText xml:space="preserve"> PAGEREF _Toc443910667 \h </w:instrText>
        </w:r>
        <w:r w:rsidR="004A2671">
          <w:rPr>
            <w:webHidden/>
          </w:rPr>
        </w:r>
        <w:r w:rsidR="004A2671">
          <w:rPr>
            <w:webHidden/>
          </w:rPr>
          <w:fldChar w:fldCharType="separate"/>
        </w:r>
        <w:r w:rsidR="00185750">
          <w:rPr>
            <w:webHidden/>
          </w:rPr>
          <w:t>7</w:t>
        </w:r>
        <w:r w:rsidR="004A2671">
          <w:rPr>
            <w:webHidden/>
          </w:rPr>
          <w:fldChar w:fldCharType="end"/>
        </w:r>
      </w:hyperlink>
    </w:p>
    <w:p w14:paraId="4A0C2E51" w14:textId="77777777" w:rsidR="004A2671" w:rsidRDefault="002B7174">
      <w:pPr>
        <w:pStyle w:val="TOC2"/>
        <w:rPr>
          <w:rFonts w:asciiTheme="minorHAnsi" w:eastAsiaTheme="minorEastAsia" w:hAnsiTheme="minorHAnsi" w:cstheme="minorBidi"/>
          <w:spacing w:val="0"/>
          <w:sz w:val="22"/>
          <w:szCs w:val="22"/>
        </w:rPr>
      </w:pPr>
      <w:hyperlink w:anchor="_Toc443910669" w:history="1">
        <w:r w:rsidR="004A2671" w:rsidRPr="00F52618">
          <w:rPr>
            <w:rStyle w:val="Hyperlink"/>
          </w:rPr>
          <w:t>Spectrum Review</w:t>
        </w:r>
        <w:r w:rsidR="004A2671">
          <w:rPr>
            <w:webHidden/>
          </w:rPr>
          <w:tab/>
        </w:r>
        <w:r w:rsidR="004A2671">
          <w:rPr>
            <w:webHidden/>
          </w:rPr>
          <w:fldChar w:fldCharType="begin"/>
        </w:r>
        <w:r w:rsidR="004A2671">
          <w:rPr>
            <w:webHidden/>
          </w:rPr>
          <w:instrText xml:space="preserve"> PAGEREF _Toc443910669 \h </w:instrText>
        </w:r>
        <w:r w:rsidR="004A2671">
          <w:rPr>
            <w:webHidden/>
          </w:rPr>
        </w:r>
        <w:r w:rsidR="004A2671">
          <w:rPr>
            <w:webHidden/>
          </w:rPr>
          <w:fldChar w:fldCharType="separate"/>
        </w:r>
        <w:r w:rsidR="00185750">
          <w:rPr>
            <w:webHidden/>
          </w:rPr>
          <w:t>8</w:t>
        </w:r>
        <w:r w:rsidR="004A2671">
          <w:rPr>
            <w:webHidden/>
          </w:rPr>
          <w:fldChar w:fldCharType="end"/>
        </w:r>
      </w:hyperlink>
    </w:p>
    <w:p w14:paraId="1E3EB25B" w14:textId="77777777" w:rsidR="004A2671" w:rsidRDefault="002B7174">
      <w:pPr>
        <w:pStyle w:val="TOC2"/>
        <w:rPr>
          <w:rFonts w:asciiTheme="minorHAnsi" w:eastAsiaTheme="minorEastAsia" w:hAnsiTheme="minorHAnsi" w:cstheme="minorBidi"/>
          <w:spacing w:val="0"/>
          <w:sz w:val="22"/>
          <w:szCs w:val="22"/>
        </w:rPr>
      </w:pPr>
      <w:hyperlink w:anchor="_Toc443910671" w:history="1">
        <w:r w:rsidR="004A2671" w:rsidRPr="00F52618">
          <w:rPr>
            <w:rStyle w:val="Hyperlink"/>
          </w:rPr>
          <w:t>The importance of mobile broadband</w:t>
        </w:r>
        <w:r w:rsidR="004A2671">
          <w:rPr>
            <w:webHidden/>
          </w:rPr>
          <w:tab/>
        </w:r>
        <w:r w:rsidR="004A2671">
          <w:rPr>
            <w:webHidden/>
          </w:rPr>
          <w:fldChar w:fldCharType="begin"/>
        </w:r>
        <w:r w:rsidR="004A2671">
          <w:rPr>
            <w:webHidden/>
          </w:rPr>
          <w:instrText xml:space="preserve"> PAGEREF _Toc443910671 \h </w:instrText>
        </w:r>
        <w:r w:rsidR="004A2671">
          <w:rPr>
            <w:webHidden/>
          </w:rPr>
        </w:r>
        <w:r w:rsidR="004A2671">
          <w:rPr>
            <w:webHidden/>
          </w:rPr>
          <w:fldChar w:fldCharType="separate"/>
        </w:r>
        <w:r w:rsidR="00185750">
          <w:rPr>
            <w:webHidden/>
          </w:rPr>
          <w:t>9</w:t>
        </w:r>
        <w:r w:rsidR="004A2671">
          <w:rPr>
            <w:webHidden/>
          </w:rPr>
          <w:fldChar w:fldCharType="end"/>
        </w:r>
      </w:hyperlink>
    </w:p>
    <w:p w14:paraId="3816A006" w14:textId="2BFC049D" w:rsidR="004A2671" w:rsidRDefault="002B7174" w:rsidP="002B7174">
      <w:pPr>
        <w:pStyle w:val="TOC2"/>
        <w:ind w:left="0" w:firstLine="0"/>
        <w:rPr>
          <w:rFonts w:asciiTheme="minorHAnsi" w:eastAsiaTheme="minorEastAsia" w:hAnsiTheme="minorHAnsi" w:cstheme="minorBidi"/>
          <w:spacing w:val="0"/>
          <w:sz w:val="22"/>
          <w:szCs w:val="22"/>
        </w:rPr>
      </w:pPr>
      <w:hyperlink w:anchor="_Toc443910673" w:history="1">
        <w:r w:rsidR="004A2671" w:rsidRPr="00F52618">
          <w:rPr>
            <w:rStyle w:val="Hyperlink"/>
          </w:rPr>
          <w:t xml:space="preserve">Drivers of mobile broadband growth and estimating spectrum </w:t>
        </w:r>
        <w:r>
          <w:rPr>
            <w:rStyle w:val="Hyperlink"/>
          </w:rPr>
          <w:br/>
        </w:r>
        <w:r w:rsidR="004A2671" w:rsidRPr="00F52618">
          <w:rPr>
            <w:rStyle w:val="Hyperlink"/>
          </w:rPr>
          <w:t>requirements to support mobile broadband growth</w:t>
        </w:r>
        <w:r w:rsidR="004A2671">
          <w:rPr>
            <w:webHidden/>
          </w:rPr>
          <w:tab/>
        </w:r>
        <w:r w:rsidR="004A2671">
          <w:rPr>
            <w:webHidden/>
          </w:rPr>
          <w:fldChar w:fldCharType="begin"/>
        </w:r>
        <w:r w:rsidR="004A2671">
          <w:rPr>
            <w:webHidden/>
          </w:rPr>
          <w:instrText xml:space="preserve"> PAGEREF _Toc443910673 \h </w:instrText>
        </w:r>
        <w:r w:rsidR="004A2671">
          <w:rPr>
            <w:webHidden/>
          </w:rPr>
        </w:r>
        <w:r w:rsidR="004A2671">
          <w:rPr>
            <w:webHidden/>
          </w:rPr>
          <w:fldChar w:fldCharType="separate"/>
        </w:r>
        <w:r w:rsidR="00185750">
          <w:rPr>
            <w:webHidden/>
          </w:rPr>
          <w:t>10</w:t>
        </w:r>
        <w:r w:rsidR="004A2671">
          <w:rPr>
            <w:webHidden/>
          </w:rPr>
          <w:fldChar w:fldCharType="end"/>
        </w:r>
      </w:hyperlink>
    </w:p>
    <w:p w14:paraId="135F604F" w14:textId="77777777" w:rsidR="004A2671" w:rsidRDefault="002B7174">
      <w:pPr>
        <w:pStyle w:val="TOC2"/>
        <w:rPr>
          <w:rFonts w:asciiTheme="minorHAnsi" w:eastAsiaTheme="minorEastAsia" w:hAnsiTheme="minorHAnsi" w:cstheme="minorBidi"/>
          <w:spacing w:val="0"/>
          <w:sz w:val="22"/>
          <w:szCs w:val="22"/>
        </w:rPr>
      </w:pPr>
      <w:hyperlink w:anchor="_Toc443910675" w:history="1">
        <w:r w:rsidR="004A2671" w:rsidRPr="00F52618">
          <w:rPr>
            <w:rStyle w:val="Hyperlink"/>
          </w:rPr>
          <w:t>Strategies to address mobile broadband capacity growth internationally</w:t>
        </w:r>
        <w:r w:rsidR="004A2671">
          <w:rPr>
            <w:webHidden/>
          </w:rPr>
          <w:tab/>
        </w:r>
        <w:r w:rsidR="004A2671">
          <w:rPr>
            <w:webHidden/>
          </w:rPr>
          <w:fldChar w:fldCharType="begin"/>
        </w:r>
        <w:r w:rsidR="004A2671">
          <w:rPr>
            <w:webHidden/>
          </w:rPr>
          <w:instrText xml:space="preserve"> PAGEREF _Toc443910675 \h </w:instrText>
        </w:r>
        <w:r w:rsidR="004A2671">
          <w:rPr>
            <w:webHidden/>
          </w:rPr>
        </w:r>
        <w:r w:rsidR="004A2671">
          <w:rPr>
            <w:webHidden/>
          </w:rPr>
          <w:fldChar w:fldCharType="separate"/>
        </w:r>
        <w:r w:rsidR="00185750">
          <w:rPr>
            <w:webHidden/>
          </w:rPr>
          <w:t>11</w:t>
        </w:r>
        <w:r w:rsidR="004A2671">
          <w:rPr>
            <w:webHidden/>
          </w:rPr>
          <w:fldChar w:fldCharType="end"/>
        </w:r>
      </w:hyperlink>
    </w:p>
    <w:p w14:paraId="56841A4C" w14:textId="77777777" w:rsidR="004A2671" w:rsidRDefault="002B7174">
      <w:pPr>
        <w:pStyle w:val="TOC2"/>
        <w:rPr>
          <w:rFonts w:asciiTheme="minorHAnsi" w:eastAsiaTheme="minorEastAsia" w:hAnsiTheme="minorHAnsi" w:cstheme="minorBidi"/>
          <w:spacing w:val="0"/>
          <w:sz w:val="22"/>
          <w:szCs w:val="22"/>
        </w:rPr>
      </w:pPr>
      <w:hyperlink w:anchor="_Toc443910677" w:history="1">
        <w:r w:rsidR="004A2671" w:rsidRPr="00F52618">
          <w:rPr>
            <w:rStyle w:val="Hyperlink"/>
          </w:rPr>
          <w:t>Currently available spectrum suitable for mobile broadband</w:t>
        </w:r>
        <w:r w:rsidR="004A2671">
          <w:rPr>
            <w:webHidden/>
          </w:rPr>
          <w:tab/>
        </w:r>
        <w:r w:rsidR="004A2671">
          <w:rPr>
            <w:webHidden/>
          </w:rPr>
          <w:fldChar w:fldCharType="begin"/>
        </w:r>
        <w:r w:rsidR="004A2671">
          <w:rPr>
            <w:webHidden/>
          </w:rPr>
          <w:instrText xml:space="preserve"> PAGEREF _Toc443910677 \h </w:instrText>
        </w:r>
        <w:r w:rsidR="004A2671">
          <w:rPr>
            <w:webHidden/>
          </w:rPr>
        </w:r>
        <w:r w:rsidR="004A2671">
          <w:rPr>
            <w:webHidden/>
          </w:rPr>
          <w:fldChar w:fldCharType="separate"/>
        </w:r>
        <w:r w:rsidR="00185750">
          <w:rPr>
            <w:webHidden/>
          </w:rPr>
          <w:t>11</w:t>
        </w:r>
        <w:r w:rsidR="004A2671">
          <w:rPr>
            <w:webHidden/>
          </w:rPr>
          <w:fldChar w:fldCharType="end"/>
        </w:r>
      </w:hyperlink>
    </w:p>
    <w:p w14:paraId="661B6980" w14:textId="77777777" w:rsidR="004A2671" w:rsidRDefault="002B7174">
      <w:pPr>
        <w:pStyle w:val="TOC2"/>
        <w:rPr>
          <w:rFonts w:asciiTheme="minorHAnsi" w:eastAsiaTheme="minorEastAsia" w:hAnsiTheme="minorHAnsi" w:cstheme="minorBidi"/>
          <w:spacing w:val="0"/>
          <w:sz w:val="22"/>
          <w:szCs w:val="22"/>
        </w:rPr>
      </w:pPr>
      <w:hyperlink w:anchor="_Toc443910679" w:history="1">
        <w:r w:rsidR="004A2671" w:rsidRPr="00F52618">
          <w:rPr>
            <w:rStyle w:val="Hyperlink"/>
          </w:rPr>
          <w:t>Timeline for technology growth and spectrum availability</w:t>
        </w:r>
        <w:r w:rsidR="004A2671">
          <w:rPr>
            <w:webHidden/>
          </w:rPr>
          <w:tab/>
        </w:r>
        <w:r w:rsidR="004A2671">
          <w:rPr>
            <w:webHidden/>
          </w:rPr>
          <w:fldChar w:fldCharType="begin"/>
        </w:r>
        <w:r w:rsidR="004A2671">
          <w:rPr>
            <w:webHidden/>
          </w:rPr>
          <w:instrText xml:space="preserve"> PAGEREF _Toc443910679 \h </w:instrText>
        </w:r>
        <w:r w:rsidR="004A2671">
          <w:rPr>
            <w:webHidden/>
          </w:rPr>
        </w:r>
        <w:r w:rsidR="004A2671">
          <w:rPr>
            <w:webHidden/>
          </w:rPr>
          <w:fldChar w:fldCharType="separate"/>
        </w:r>
        <w:r w:rsidR="00185750">
          <w:rPr>
            <w:webHidden/>
          </w:rPr>
          <w:t>13</w:t>
        </w:r>
        <w:r w:rsidR="004A2671">
          <w:rPr>
            <w:webHidden/>
          </w:rPr>
          <w:fldChar w:fldCharType="end"/>
        </w:r>
      </w:hyperlink>
    </w:p>
    <w:p w14:paraId="78E292A6" w14:textId="77777777" w:rsidR="004A2671" w:rsidRDefault="002B7174">
      <w:pPr>
        <w:pStyle w:val="TOC2"/>
        <w:rPr>
          <w:rFonts w:asciiTheme="minorHAnsi" w:eastAsiaTheme="minorEastAsia" w:hAnsiTheme="minorHAnsi" w:cstheme="minorBidi"/>
          <w:spacing w:val="0"/>
          <w:sz w:val="22"/>
          <w:szCs w:val="22"/>
        </w:rPr>
      </w:pPr>
      <w:hyperlink w:anchor="_Toc443910681" w:history="1">
        <w:r w:rsidR="004A2671" w:rsidRPr="00F52618">
          <w:rPr>
            <w:rStyle w:val="Hyperlink"/>
          </w:rPr>
          <w:t>Implications for other spectrum users</w:t>
        </w:r>
        <w:r w:rsidR="004A2671">
          <w:rPr>
            <w:webHidden/>
          </w:rPr>
          <w:tab/>
        </w:r>
        <w:r w:rsidR="004A2671">
          <w:rPr>
            <w:webHidden/>
          </w:rPr>
          <w:fldChar w:fldCharType="begin"/>
        </w:r>
        <w:r w:rsidR="004A2671">
          <w:rPr>
            <w:webHidden/>
          </w:rPr>
          <w:instrText xml:space="preserve"> PAGEREF _Toc443910681 \h </w:instrText>
        </w:r>
        <w:r w:rsidR="004A2671">
          <w:rPr>
            <w:webHidden/>
          </w:rPr>
        </w:r>
        <w:r w:rsidR="004A2671">
          <w:rPr>
            <w:webHidden/>
          </w:rPr>
          <w:fldChar w:fldCharType="separate"/>
        </w:r>
        <w:r w:rsidR="00185750">
          <w:rPr>
            <w:webHidden/>
          </w:rPr>
          <w:t>15</w:t>
        </w:r>
        <w:r w:rsidR="004A2671">
          <w:rPr>
            <w:webHidden/>
          </w:rPr>
          <w:fldChar w:fldCharType="end"/>
        </w:r>
      </w:hyperlink>
    </w:p>
    <w:p w14:paraId="35278B18" w14:textId="77777777" w:rsidR="004A2671" w:rsidRDefault="002B7174">
      <w:pPr>
        <w:pStyle w:val="TOC2"/>
        <w:rPr>
          <w:rFonts w:asciiTheme="minorHAnsi" w:eastAsiaTheme="minorEastAsia" w:hAnsiTheme="minorHAnsi" w:cstheme="minorBidi"/>
          <w:spacing w:val="0"/>
          <w:sz w:val="22"/>
          <w:szCs w:val="22"/>
        </w:rPr>
      </w:pPr>
      <w:hyperlink w:anchor="_Toc443910683" w:history="1">
        <w:r w:rsidR="004A2671" w:rsidRPr="00F52618">
          <w:rPr>
            <w:rStyle w:val="Hyperlink"/>
          </w:rPr>
          <w:t>Addressing mobile broadband capacity growth</w:t>
        </w:r>
        <w:r w:rsidR="004A2671">
          <w:rPr>
            <w:webHidden/>
          </w:rPr>
          <w:tab/>
        </w:r>
        <w:r w:rsidR="004A2671">
          <w:rPr>
            <w:webHidden/>
          </w:rPr>
          <w:fldChar w:fldCharType="begin"/>
        </w:r>
        <w:r w:rsidR="004A2671">
          <w:rPr>
            <w:webHidden/>
          </w:rPr>
          <w:instrText xml:space="preserve"> PAGEREF _Toc443910683 \h </w:instrText>
        </w:r>
        <w:r w:rsidR="004A2671">
          <w:rPr>
            <w:webHidden/>
          </w:rPr>
        </w:r>
        <w:r w:rsidR="004A2671">
          <w:rPr>
            <w:webHidden/>
          </w:rPr>
          <w:fldChar w:fldCharType="separate"/>
        </w:r>
        <w:r w:rsidR="00185750">
          <w:rPr>
            <w:webHidden/>
          </w:rPr>
          <w:t>15</w:t>
        </w:r>
        <w:r w:rsidR="004A2671">
          <w:rPr>
            <w:webHidden/>
          </w:rPr>
          <w:fldChar w:fldCharType="end"/>
        </w:r>
      </w:hyperlink>
    </w:p>
    <w:p w14:paraId="490FEF89" w14:textId="77777777" w:rsidR="004A2671" w:rsidRDefault="002B7174">
      <w:pPr>
        <w:pStyle w:val="TOC2"/>
        <w:rPr>
          <w:rFonts w:asciiTheme="minorHAnsi" w:eastAsiaTheme="minorEastAsia" w:hAnsiTheme="minorHAnsi" w:cstheme="minorBidi"/>
          <w:spacing w:val="0"/>
          <w:sz w:val="22"/>
          <w:szCs w:val="22"/>
        </w:rPr>
      </w:pPr>
      <w:hyperlink w:anchor="_Toc443910684" w:history="1">
        <w:r w:rsidR="004A2671" w:rsidRPr="00F52618">
          <w:rPr>
            <w:rStyle w:val="Hyperlink"/>
          </w:rPr>
          <w:t>Advances in technology</w:t>
        </w:r>
        <w:r w:rsidR="004A2671">
          <w:rPr>
            <w:webHidden/>
          </w:rPr>
          <w:tab/>
        </w:r>
        <w:r w:rsidR="004A2671">
          <w:rPr>
            <w:webHidden/>
          </w:rPr>
          <w:fldChar w:fldCharType="begin"/>
        </w:r>
        <w:r w:rsidR="004A2671">
          <w:rPr>
            <w:webHidden/>
          </w:rPr>
          <w:instrText xml:space="preserve"> PAGEREF _Toc443910684 \h </w:instrText>
        </w:r>
        <w:r w:rsidR="004A2671">
          <w:rPr>
            <w:webHidden/>
          </w:rPr>
        </w:r>
        <w:r w:rsidR="004A2671">
          <w:rPr>
            <w:webHidden/>
          </w:rPr>
          <w:fldChar w:fldCharType="separate"/>
        </w:r>
        <w:r w:rsidR="00185750">
          <w:rPr>
            <w:webHidden/>
          </w:rPr>
          <w:t>16</w:t>
        </w:r>
        <w:r w:rsidR="004A2671">
          <w:rPr>
            <w:webHidden/>
          </w:rPr>
          <w:fldChar w:fldCharType="end"/>
        </w:r>
      </w:hyperlink>
    </w:p>
    <w:p w14:paraId="0365301E" w14:textId="77777777" w:rsidR="004A2671" w:rsidRDefault="002B7174">
      <w:pPr>
        <w:pStyle w:val="TOC2"/>
        <w:rPr>
          <w:rFonts w:asciiTheme="minorHAnsi" w:eastAsiaTheme="minorEastAsia" w:hAnsiTheme="minorHAnsi" w:cstheme="minorBidi"/>
          <w:spacing w:val="0"/>
          <w:sz w:val="22"/>
          <w:szCs w:val="22"/>
        </w:rPr>
      </w:pPr>
      <w:hyperlink w:anchor="_Toc443910685" w:history="1">
        <w:r w:rsidR="004A2671" w:rsidRPr="00F52618">
          <w:rPr>
            <w:rStyle w:val="Hyperlink"/>
          </w:rPr>
          <w:t>Network infrastructure and topology</w:t>
        </w:r>
        <w:r w:rsidR="004A2671">
          <w:rPr>
            <w:webHidden/>
          </w:rPr>
          <w:tab/>
        </w:r>
        <w:r w:rsidR="004A2671">
          <w:rPr>
            <w:webHidden/>
          </w:rPr>
          <w:fldChar w:fldCharType="begin"/>
        </w:r>
        <w:r w:rsidR="004A2671">
          <w:rPr>
            <w:webHidden/>
          </w:rPr>
          <w:instrText xml:space="preserve"> PAGEREF _Toc443910685 \h </w:instrText>
        </w:r>
        <w:r w:rsidR="004A2671">
          <w:rPr>
            <w:webHidden/>
          </w:rPr>
        </w:r>
        <w:r w:rsidR="004A2671">
          <w:rPr>
            <w:webHidden/>
          </w:rPr>
          <w:fldChar w:fldCharType="separate"/>
        </w:r>
        <w:r w:rsidR="00185750">
          <w:rPr>
            <w:webHidden/>
          </w:rPr>
          <w:t>16</w:t>
        </w:r>
        <w:r w:rsidR="004A2671">
          <w:rPr>
            <w:webHidden/>
          </w:rPr>
          <w:fldChar w:fldCharType="end"/>
        </w:r>
      </w:hyperlink>
    </w:p>
    <w:p w14:paraId="5BF39E1A" w14:textId="77777777" w:rsidR="004A2671" w:rsidRDefault="002B7174">
      <w:pPr>
        <w:pStyle w:val="TOC2"/>
        <w:rPr>
          <w:rFonts w:asciiTheme="minorHAnsi" w:eastAsiaTheme="minorEastAsia" w:hAnsiTheme="minorHAnsi" w:cstheme="minorBidi"/>
          <w:spacing w:val="0"/>
          <w:sz w:val="22"/>
          <w:szCs w:val="22"/>
        </w:rPr>
      </w:pPr>
      <w:hyperlink w:anchor="_Toc443910686" w:history="1">
        <w:r w:rsidR="004A2671" w:rsidRPr="00F52618">
          <w:rPr>
            <w:rStyle w:val="Hyperlink"/>
          </w:rPr>
          <w:t>Spectrum</w:t>
        </w:r>
        <w:r w:rsidR="004A2671">
          <w:rPr>
            <w:webHidden/>
          </w:rPr>
          <w:tab/>
        </w:r>
        <w:r w:rsidR="004A2671">
          <w:rPr>
            <w:webHidden/>
          </w:rPr>
          <w:fldChar w:fldCharType="begin"/>
        </w:r>
        <w:r w:rsidR="004A2671">
          <w:rPr>
            <w:webHidden/>
          </w:rPr>
          <w:instrText xml:space="preserve"> PAGEREF _Toc443910686 \h </w:instrText>
        </w:r>
        <w:r w:rsidR="004A2671">
          <w:rPr>
            <w:webHidden/>
          </w:rPr>
        </w:r>
        <w:r w:rsidR="004A2671">
          <w:rPr>
            <w:webHidden/>
          </w:rPr>
          <w:fldChar w:fldCharType="separate"/>
        </w:r>
        <w:r w:rsidR="00185750">
          <w:rPr>
            <w:webHidden/>
          </w:rPr>
          <w:t>16</w:t>
        </w:r>
        <w:r w:rsidR="004A2671">
          <w:rPr>
            <w:webHidden/>
          </w:rPr>
          <w:fldChar w:fldCharType="end"/>
        </w:r>
      </w:hyperlink>
    </w:p>
    <w:p w14:paraId="2C0535EC" w14:textId="77777777" w:rsidR="004A2671" w:rsidRDefault="002B7174">
      <w:pPr>
        <w:pStyle w:val="TOC3"/>
        <w:rPr>
          <w:rFonts w:asciiTheme="minorHAnsi" w:eastAsiaTheme="minorEastAsia" w:hAnsiTheme="minorHAnsi" w:cstheme="minorBidi"/>
        </w:rPr>
      </w:pPr>
      <w:hyperlink w:anchor="_Toc443910687" w:history="1">
        <w:r w:rsidR="004A2671" w:rsidRPr="00F52618">
          <w:rPr>
            <w:rStyle w:val="Hyperlink"/>
          </w:rPr>
          <w:t>Tenure and technology flexibility</w:t>
        </w:r>
        <w:r w:rsidR="004A2671">
          <w:rPr>
            <w:webHidden/>
          </w:rPr>
          <w:tab/>
        </w:r>
        <w:r w:rsidR="004A2671">
          <w:rPr>
            <w:webHidden/>
          </w:rPr>
          <w:fldChar w:fldCharType="begin"/>
        </w:r>
        <w:r w:rsidR="004A2671">
          <w:rPr>
            <w:webHidden/>
          </w:rPr>
          <w:instrText xml:space="preserve"> PAGEREF _Toc443910687 \h </w:instrText>
        </w:r>
        <w:r w:rsidR="004A2671">
          <w:rPr>
            <w:webHidden/>
          </w:rPr>
        </w:r>
        <w:r w:rsidR="004A2671">
          <w:rPr>
            <w:webHidden/>
          </w:rPr>
          <w:fldChar w:fldCharType="separate"/>
        </w:r>
        <w:r w:rsidR="00185750">
          <w:rPr>
            <w:webHidden/>
          </w:rPr>
          <w:t>16</w:t>
        </w:r>
        <w:r w:rsidR="004A2671">
          <w:rPr>
            <w:webHidden/>
          </w:rPr>
          <w:fldChar w:fldCharType="end"/>
        </w:r>
      </w:hyperlink>
    </w:p>
    <w:p w14:paraId="5EF2567B" w14:textId="77777777" w:rsidR="004A2671" w:rsidRDefault="002B7174">
      <w:pPr>
        <w:pStyle w:val="TOC3"/>
        <w:rPr>
          <w:rFonts w:asciiTheme="minorHAnsi" w:eastAsiaTheme="minorEastAsia" w:hAnsiTheme="minorHAnsi" w:cstheme="minorBidi"/>
        </w:rPr>
      </w:pPr>
      <w:hyperlink w:anchor="_Toc443910688" w:history="1">
        <w:r w:rsidR="004A2671" w:rsidRPr="00F52618">
          <w:rPr>
            <w:rStyle w:val="Hyperlink"/>
          </w:rPr>
          <w:t>International harmonisation and standardisation</w:t>
        </w:r>
        <w:r w:rsidR="004A2671">
          <w:rPr>
            <w:webHidden/>
          </w:rPr>
          <w:tab/>
        </w:r>
        <w:r w:rsidR="004A2671">
          <w:rPr>
            <w:webHidden/>
          </w:rPr>
          <w:fldChar w:fldCharType="begin"/>
        </w:r>
        <w:r w:rsidR="004A2671">
          <w:rPr>
            <w:webHidden/>
          </w:rPr>
          <w:instrText xml:space="preserve"> PAGEREF _Toc443910688 \h </w:instrText>
        </w:r>
        <w:r w:rsidR="004A2671">
          <w:rPr>
            <w:webHidden/>
          </w:rPr>
        </w:r>
        <w:r w:rsidR="004A2671">
          <w:rPr>
            <w:webHidden/>
          </w:rPr>
          <w:fldChar w:fldCharType="separate"/>
        </w:r>
        <w:r w:rsidR="00185750">
          <w:rPr>
            <w:webHidden/>
          </w:rPr>
          <w:t>17</w:t>
        </w:r>
        <w:r w:rsidR="004A2671">
          <w:rPr>
            <w:webHidden/>
          </w:rPr>
          <w:fldChar w:fldCharType="end"/>
        </w:r>
      </w:hyperlink>
    </w:p>
    <w:p w14:paraId="11EC8BEC" w14:textId="77777777" w:rsidR="004A2671" w:rsidRDefault="002B7174">
      <w:pPr>
        <w:pStyle w:val="TOC3"/>
        <w:rPr>
          <w:rFonts w:asciiTheme="minorHAnsi" w:eastAsiaTheme="minorEastAsia" w:hAnsiTheme="minorHAnsi" w:cstheme="minorBidi"/>
        </w:rPr>
      </w:pPr>
      <w:hyperlink w:anchor="_Toc443910689" w:history="1">
        <w:r w:rsidR="004A2671" w:rsidRPr="00F52618">
          <w:rPr>
            <w:rStyle w:val="Hyperlink"/>
          </w:rPr>
          <w:t>Optimising existing spectrum releases</w:t>
        </w:r>
        <w:r w:rsidR="004A2671">
          <w:rPr>
            <w:webHidden/>
          </w:rPr>
          <w:tab/>
        </w:r>
        <w:r w:rsidR="004A2671">
          <w:rPr>
            <w:webHidden/>
          </w:rPr>
          <w:fldChar w:fldCharType="begin"/>
        </w:r>
        <w:r w:rsidR="004A2671">
          <w:rPr>
            <w:webHidden/>
          </w:rPr>
          <w:instrText xml:space="preserve"> PAGEREF _Toc443910689 \h </w:instrText>
        </w:r>
        <w:r w:rsidR="004A2671">
          <w:rPr>
            <w:webHidden/>
          </w:rPr>
        </w:r>
        <w:r w:rsidR="004A2671">
          <w:rPr>
            <w:webHidden/>
          </w:rPr>
          <w:fldChar w:fldCharType="separate"/>
        </w:r>
        <w:r w:rsidR="00185750">
          <w:rPr>
            <w:webHidden/>
          </w:rPr>
          <w:t>18</w:t>
        </w:r>
        <w:r w:rsidR="004A2671">
          <w:rPr>
            <w:webHidden/>
          </w:rPr>
          <w:fldChar w:fldCharType="end"/>
        </w:r>
      </w:hyperlink>
    </w:p>
    <w:p w14:paraId="3AC08B0A" w14:textId="77777777" w:rsidR="004A2671" w:rsidRDefault="002B7174" w:rsidP="002B7174">
      <w:pPr>
        <w:pStyle w:val="TOC2"/>
        <w:ind w:left="0" w:firstLine="0"/>
        <w:rPr>
          <w:rFonts w:asciiTheme="minorHAnsi" w:eastAsiaTheme="minorEastAsia" w:hAnsiTheme="minorHAnsi" w:cstheme="minorBidi"/>
          <w:spacing w:val="0"/>
          <w:sz w:val="22"/>
          <w:szCs w:val="22"/>
        </w:rPr>
      </w:pPr>
      <w:hyperlink w:anchor="_Toc443910690" w:history="1">
        <w:r w:rsidR="004A2671" w:rsidRPr="00F52618">
          <w:rPr>
            <w:rStyle w:val="Hyperlink"/>
          </w:rPr>
          <w:t>Conclusions regarding factors to address mobile broadband capacity growth</w:t>
        </w:r>
        <w:r w:rsidR="004A2671">
          <w:rPr>
            <w:webHidden/>
          </w:rPr>
          <w:tab/>
        </w:r>
        <w:r w:rsidR="004A2671">
          <w:rPr>
            <w:webHidden/>
          </w:rPr>
          <w:fldChar w:fldCharType="begin"/>
        </w:r>
        <w:r w:rsidR="004A2671">
          <w:rPr>
            <w:webHidden/>
          </w:rPr>
          <w:instrText xml:space="preserve"> PAGEREF _Toc443910690 \h </w:instrText>
        </w:r>
        <w:r w:rsidR="004A2671">
          <w:rPr>
            <w:webHidden/>
          </w:rPr>
        </w:r>
        <w:r w:rsidR="004A2671">
          <w:rPr>
            <w:webHidden/>
          </w:rPr>
          <w:fldChar w:fldCharType="separate"/>
        </w:r>
        <w:r w:rsidR="00185750">
          <w:rPr>
            <w:webHidden/>
          </w:rPr>
          <w:t>18</w:t>
        </w:r>
        <w:r w:rsidR="004A2671">
          <w:rPr>
            <w:webHidden/>
          </w:rPr>
          <w:fldChar w:fldCharType="end"/>
        </w:r>
      </w:hyperlink>
    </w:p>
    <w:p w14:paraId="0ECD1AD2" w14:textId="77777777" w:rsidR="004A2671" w:rsidRDefault="002B7174">
      <w:pPr>
        <w:pStyle w:val="TOC2"/>
        <w:rPr>
          <w:rFonts w:asciiTheme="minorHAnsi" w:eastAsiaTheme="minorEastAsia" w:hAnsiTheme="minorHAnsi" w:cstheme="minorBidi"/>
          <w:spacing w:val="0"/>
          <w:sz w:val="22"/>
          <w:szCs w:val="22"/>
        </w:rPr>
      </w:pPr>
      <w:hyperlink w:anchor="_Toc443910692" w:history="1">
        <w:r w:rsidR="004A2671" w:rsidRPr="00F52618">
          <w:rPr>
            <w:rStyle w:val="Hyperlink"/>
          </w:rPr>
          <w:t>ACMA assumptions</w:t>
        </w:r>
        <w:r w:rsidR="004A2671">
          <w:rPr>
            <w:webHidden/>
          </w:rPr>
          <w:tab/>
        </w:r>
        <w:r w:rsidR="004A2671">
          <w:rPr>
            <w:webHidden/>
          </w:rPr>
          <w:fldChar w:fldCharType="begin"/>
        </w:r>
        <w:r w:rsidR="004A2671">
          <w:rPr>
            <w:webHidden/>
          </w:rPr>
          <w:instrText xml:space="preserve"> PAGEREF _Toc443910692 \h </w:instrText>
        </w:r>
        <w:r w:rsidR="004A2671">
          <w:rPr>
            <w:webHidden/>
          </w:rPr>
        </w:r>
        <w:r w:rsidR="004A2671">
          <w:rPr>
            <w:webHidden/>
          </w:rPr>
          <w:fldChar w:fldCharType="separate"/>
        </w:r>
        <w:r w:rsidR="00185750">
          <w:rPr>
            <w:webHidden/>
          </w:rPr>
          <w:t>20</w:t>
        </w:r>
        <w:r w:rsidR="004A2671">
          <w:rPr>
            <w:webHidden/>
          </w:rPr>
          <w:fldChar w:fldCharType="end"/>
        </w:r>
      </w:hyperlink>
    </w:p>
    <w:p w14:paraId="79F5B852" w14:textId="77777777" w:rsidR="004A2671" w:rsidRDefault="002B7174">
      <w:pPr>
        <w:pStyle w:val="TOC2"/>
        <w:rPr>
          <w:rFonts w:asciiTheme="minorHAnsi" w:eastAsiaTheme="minorEastAsia" w:hAnsiTheme="minorHAnsi" w:cstheme="minorBidi"/>
          <w:spacing w:val="0"/>
          <w:sz w:val="22"/>
          <w:szCs w:val="22"/>
        </w:rPr>
      </w:pPr>
      <w:hyperlink w:anchor="_Toc443910694" w:history="1">
        <w:r w:rsidR="004A2671" w:rsidRPr="00F52618">
          <w:rPr>
            <w:rStyle w:val="Hyperlink"/>
            <w:lang w:val="en"/>
          </w:rPr>
          <w:t>Proposed mobile broadband strategies</w:t>
        </w:r>
        <w:r w:rsidR="004A2671">
          <w:rPr>
            <w:webHidden/>
          </w:rPr>
          <w:tab/>
        </w:r>
        <w:r w:rsidR="004A2671">
          <w:rPr>
            <w:webHidden/>
          </w:rPr>
          <w:fldChar w:fldCharType="begin"/>
        </w:r>
        <w:r w:rsidR="004A2671">
          <w:rPr>
            <w:webHidden/>
          </w:rPr>
          <w:instrText xml:space="preserve"> PAGEREF _Toc443910694 \h </w:instrText>
        </w:r>
        <w:r w:rsidR="004A2671">
          <w:rPr>
            <w:webHidden/>
          </w:rPr>
        </w:r>
        <w:r w:rsidR="004A2671">
          <w:rPr>
            <w:webHidden/>
          </w:rPr>
          <w:fldChar w:fldCharType="separate"/>
        </w:r>
        <w:r w:rsidR="00185750">
          <w:rPr>
            <w:webHidden/>
          </w:rPr>
          <w:t>21</w:t>
        </w:r>
        <w:r w:rsidR="004A2671">
          <w:rPr>
            <w:webHidden/>
          </w:rPr>
          <w:fldChar w:fldCharType="end"/>
        </w:r>
      </w:hyperlink>
    </w:p>
    <w:p w14:paraId="2548F2AE" w14:textId="77777777" w:rsidR="004A2671" w:rsidRDefault="002B7174">
      <w:pPr>
        <w:pStyle w:val="TOC2"/>
        <w:rPr>
          <w:rFonts w:asciiTheme="minorHAnsi" w:eastAsiaTheme="minorEastAsia" w:hAnsiTheme="minorHAnsi" w:cstheme="minorBidi"/>
          <w:spacing w:val="0"/>
          <w:sz w:val="22"/>
          <w:szCs w:val="22"/>
        </w:rPr>
      </w:pPr>
      <w:hyperlink w:anchor="_Toc443910696" w:history="1">
        <w:r w:rsidR="004A2671" w:rsidRPr="00F52618">
          <w:rPr>
            <w:rStyle w:val="Hyperlink"/>
          </w:rPr>
          <w:t>Strategy 1: Holistic approach to mobile broadband capacity growth</w:t>
        </w:r>
        <w:r w:rsidR="004A2671">
          <w:rPr>
            <w:webHidden/>
          </w:rPr>
          <w:tab/>
        </w:r>
        <w:r w:rsidR="004A2671">
          <w:rPr>
            <w:webHidden/>
          </w:rPr>
          <w:fldChar w:fldCharType="begin"/>
        </w:r>
        <w:r w:rsidR="004A2671">
          <w:rPr>
            <w:webHidden/>
          </w:rPr>
          <w:instrText xml:space="preserve"> PAGEREF _Toc443910696 \h </w:instrText>
        </w:r>
        <w:r w:rsidR="004A2671">
          <w:rPr>
            <w:webHidden/>
          </w:rPr>
        </w:r>
        <w:r w:rsidR="004A2671">
          <w:rPr>
            <w:webHidden/>
          </w:rPr>
          <w:fldChar w:fldCharType="separate"/>
        </w:r>
        <w:r w:rsidR="00185750">
          <w:rPr>
            <w:webHidden/>
          </w:rPr>
          <w:t>22</w:t>
        </w:r>
        <w:r w:rsidR="004A2671">
          <w:rPr>
            <w:webHidden/>
          </w:rPr>
          <w:fldChar w:fldCharType="end"/>
        </w:r>
      </w:hyperlink>
    </w:p>
    <w:p w14:paraId="6B6E20A1" w14:textId="77777777" w:rsidR="004A2671" w:rsidRDefault="002B7174">
      <w:pPr>
        <w:pStyle w:val="TOC2"/>
        <w:rPr>
          <w:rFonts w:asciiTheme="minorHAnsi" w:eastAsiaTheme="minorEastAsia" w:hAnsiTheme="minorHAnsi" w:cstheme="minorBidi"/>
          <w:spacing w:val="0"/>
          <w:sz w:val="22"/>
          <w:szCs w:val="22"/>
        </w:rPr>
      </w:pPr>
      <w:hyperlink w:anchor="_Toc443910698" w:history="1">
        <w:r w:rsidR="004A2671" w:rsidRPr="00F52618">
          <w:rPr>
            <w:rStyle w:val="Hyperlink"/>
          </w:rPr>
          <w:t>Strategy 2: Transparent spectrum management planning process</w:t>
        </w:r>
        <w:r w:rsidR="004A2671">
          <w:rPr>
            <w:webHidden/>
          </w:rPr>
          <w:tab/>
        </w:r>
        <w:r w:rsidR="004A2671">
          <w:rPr>
            <w:webHidden/>
          </w:rPr>
          <w:fldChar w:fldCharType="begin"/>
        </w:r>
        <w:r w:rsidR="004A2671">
          <w:rPr>
            <w:webHidden/>
          </w:rPr>
          <w:instrText xml:space="preserve"> PAGEREF _Toc443910698 \h </w:instrText>
        </w:r>
        <w:r w:rsidR="004A2671">
          <w:rPr>
            <w:webHidden/>
          </w:rPr>
        </w:r>
        <w:r w:rsidR="004A2671">
          <w:rPr>
            <w:webHidden/>
          </w:rPr>
          <w:fldChar w:fldCharType="separate"/>
        </w:r>
        <w:r w:rsidR="00185750">
          <w:rPr>
            <w:webHidden/>
          </w:rPr>
          <w:t>24</w:t>
        </w:r>
        <w:r w:rsidR="004A2671">
          <w:rPr>
            <w:webHidden/>
          </w:rPr>
          <w:fldChar w:fldCharType="end"/>
        </w:r>
      </w:hyperlink>
    </w:p>
    <w:p w14:paraId="7AE6B141" w14:textId="77777777" w:rsidR="004A2671" w:rsidRDefault="002B7174">
      <w:pPr>
        <w:pStyle w:val="TOC3"/>
        <w:rPr>
          <w:rFonts w:asciiTheme="minorHAnsi" w:eastAsiaTheme="minorEastAsia" w:hAnsiTheme="minorHAnsi" w:cstheme="minorBidi"/>
        </w:rPr>
      </w:pPr>
      <w:hyperlink w:anchor="_Toc443910699" w:history="1">
        <w:r w:rsidR="004A2671" w:rsidRPr="00F52618">
          <w:rPr>
            <w:rStyle w:val="Hyperlink"/>
          </w:rPr>
          <w:t>Stages and considerations for band re-farming</w:t>
        </w:r>
        <w:r w:rsidR="004A2671">
          <w:rPr>
            <w:webHidden/>
          </w:rPr>
          <w:tab/>
        </w:r>
        <w:r w:rsidR="004A2671">
          <w:rPr>
            <w:webHidden/>
          </w:rPr>
          <w:fldChar w:fldCharType="begin"/>
        </w:r>
        <w:r w:rsidR="004A2671">
          <w:rPr>
            <w:webHidden/>
          </w:rPr>
          <w:instrText xml:space="preserve"> PAGEREF _Toc443910699 \h </w:instrText>
        </w:r>
        <w:r w:rsidR="004A2671">
          <w:rPr>
            <w:webHidden/>
          </w:rPr>
        </w:r>
        <w:r w:rsidR="004A2671">
          <w:rPr>
            <w:webHidden/>
          </w:rPr>
          <w:fldChar w:fldCharType="separate"/>
        </w:r>
        <w:r w:rsidR="00185750">
          <w:rPr>
            <w:webHidden/>
          </w:rPr>
          <w:t>24</w:t>
        </w:r>
        <w:r w:rsidR="004A2671">
          <w:rPr>
            <w:webHidden/>
          </w:rPr>
          <w:fldChar w:fldCharType="end"/>
        </w:r>
      </w:hyperlink>
    </w:p>
    <w:p w14:paraId="2DAD2F51" w14:textId="77777777" w:rsidR="004A2671" w:rsidRDefault="002B7174">
      <w:pPr>
        <w:pStyle w:val="TOC2"/>
        <w:rPr>
          <w:rFonts w:asciiTheme="minorHAnsi" w:eastAsiaTheme="minorEastAsia" w:hAnsiTheme="minorHAnsi" w:cstheme="minorBidi"/>
          <w:spacing w:val="0"/>
          <w:sz w:val="22"/>
          <w:szCs w:val="22"/>
        </w:rPr>
      </w:pPr>
      <w:hyperlink w:anchor="_Toc443910701" w:history="1">
        <w:r w:rsidR="004A2671" w:rsidRPr="00F52618">
          <w:rPr>
            <w:rStyle w:val="Hyperlink"/>
          </w:rPr>
          <w:t>Assessments of highest value use</w:t>
        </w:r>
        <w:r w:rsidR="004A2671">
          <w:rPr>
            <w:webHidden/>
          </w:rPr>
          <w:tab/>
        </w:r>
        <w:r w:rsidR="004A2671">
          <w:rPr>
            <w:webHidden/>
          </w:rPr>
          <w:fldChar w:fldCharType="begin"/>
        </w:r>
        <w:r w:rsidR="004A2671">
          <w:rPr>
            <w:webHidden/>
          </w:rPr>
          <w:instrText xml:space="preserve"> PAGEREF _Toc443910701 \h </w:instrText>
        </w:r>
        <w:r w:rsidR="004A2671">
          <w:rPr>
            <w:webHidden/>
          </w:rPr>
        </w:r>
        <w:r w:rsidR="004A2671">
          <w:rPr>
            <w:webHidden/>
          </w:rPr>
          <w:fldChar w:fldCharType="separate"/>
        </w:r>
        <w:r w:rsidR="00185750">
          <w:rPr>
            <w:webHidden/>
          </w:rPr>
          <w:t>26</w:t>
        </w:r>
        <w:r w:rsidR="004A2671">
          <w:rPr>
            <w:webHidden/>
          </w:rPr>
          <w:fldChar w:fldCharType="end"/>
        </w:r>
      </w:hyperlink>
    </w:p>
    <w:p w14:paraId="71072226" w14:textId="77777777" w:rsidR="004A2671" w:rsidRDefault="002B7174" w:rsidP="002B7174">
      <w:pPr>
        <w:pStyle w:val="TOC2"/>
        <w:ind w:left="0" w:firstLine="0"/>
        <w:rPr>
          <w:rFonts w:asciiTheme="minorHAnsi" w:eastAsiaTheme="minorEastAsia" w:hAnsiTheme="minorHAnsi" w:cstheme="minorBidi"/>
          <w:spacing w:val="0"/>
          <w:sz w:val="22"/>
          <w:szCs w:val="22"/>
        </w:rPr>
      </w:pPr>
      <w:hyperlink w:anchor="_Toc443910703" w:history="1">
        <w:r w:rsidR="004A2671" w:rsidRPr="00F52618">
          <w:rPr>
            <w:rStyle w:val="Hyperlink"/>
          </w:rPr>
          <w:t>Strategy 3: Utilising the often long lead-times to reduce effect on incumbents</w:t>
        </w:r>
        <w:r w:rsidR="004A2671">
          <w:rPr>
            <w:webHidden/>
          </w:rPr>
          <w:tab/>
        </w:r>
        <w:r w:rsidR="004A2671">
          <w:rPr>
            <w:webHidden/>
          </w:rPr>
          <w:fldChar w:fldCharType="begin"/>
        </w:r>
        <w:r w:rsidR="004A2671">
          <w:rPr>
            <w:webHidden/>
          </w:rPr>
          <w:instrText xml:space="preserve"> PAGEREF _Toc443910703 \h </w:instrText>
        </w:r>
        <w:r w:rsidR="004A2671">
          <w:rPr>
            <w:webHidden/>
          </w:rPr>
        </w:r>
        <w:r w:rsidR="004A2671">
          <w:rPr>
            <w:webHidden/>
          </w:rPr>
          <w:fldChar w:fldCharType="separate"/>
        </w:r>
        <w:r w:rsidR="00185750">
          <w:rPr>
            <w:webHidden/>
          </w:rPr>
          <w:t>28</w:t>
        </w:r>
        <w:r w:rsidR="004A2671">
          <w:rPr>
            <w:webHidden/>
          </w:rPr>
          <w:fldChar w:fldCharType="end"/>
        </w:r>
      </w:hyperlink>
    </w:p>
    <w:p w14:paraId="18817445" w14:textId="77777777" w:rsidR="004A2671" w:rsidRDefault="002B7174">
      <w:pPr>
        <w:pStyle w:val="TOC2"/>
        <w:rPr>
          <w:rFonts w:asciiTheme="minorHAnsi" w:eastAsiaTheme="minorEastAsia" w:hAnsiTheme="minorHAnsi" w:cstheme="minorBidi"/>
          <w:spacing w:val="0"/>
          <w:sz w:val="22"/>
          <w:szCs w:val="22"/>
        </w:rPr>
      </w:pPr>
      <w:hyperlink w:anchor="_Toc443910705" w:history="1">
        <w:r w:rsidR="004A2671" w:rsidRPr="00F52618">
          <w:rPr>
            <w:rStyle w:val="Hyperlink"/>
          </w:rPr>
          <w:t>Strategy 4: Exploring opportunities for increased spectrum sharing</w:t>
        </w:r>
        <w:r w:rsidR="004A2671">
          <w:rPr>
            <w:webHidden/>
          </w:rPr>
          <w:tab/>
        </w:r>
        <w:r w:rsidR="004A2671">
          <w:rPr>
            <w:webHidden/>
          </w:rPr>
          <w:fldChar w:fldCharType="begin"/>
        </w:r>
        <w:r w:rsidR="004A2671">
          <w:rPr>
            <w:webHidden/>
          </w:rPr>
          <w:instrText xml:space="preserve"> PAGEREF _Toc443910705 \h </w:instrText>
        </w:r>
        <w:r w:rsidR="004A2671">
          <w:rPr>
            <w:webHidden/>
          </w:rPr>
        </w:r>
        <w:r w:rsidR="004A2671">
          <w:rPr>
            <w:webHidden/>
          </w:rPr>
          <w:fldChar w:fldCharType="separate"/>
        </w:r>
        <w:r w:rsidR="00185750">
          <w:rPr>
            <w:webHidden/>
          </w:rPr>
          <w:t>29</w:t>
        </w:r>
        <w:r w:rsidR="004A2671">
          <w:rPr>
            <w:webHidden/>
          </w:rPr>
          <w:fldChar w:fldCharType="end"/>
        </w:r>
      </w:hyperlink>
    </w:p>
    <w:p w14:paraId="3A587B43" w14:textId="77777777" w:rsidR="004A2671" w:rsidRDefault="002B7174">
      <w:pPr>
        <w:pStyle w:val="TOC2"/>
        <w:rPr>
          <w:rFonts w:asciiTheme="minorHAnsi" w:eastAsiaTheme="minorEastAsia" w:hAnsiTheme="minorHAnsi" w:cstheme="minorBidi"/>
          <w:spacing w:val="0"/>
          <w:sz w:val="22"/>
          <w:szCs w:val="22"/>
        </w:rPr>
      </w:pPr>
      <w:hyperlink w:anchor="_Toc443910707" w:history="1">
        <w:r w:rsidR="004A2671" w:rsidRPr="00F52618">
          <w:rPr>
            <w:rStyle w:val="Hyperlink"/>
          </w:rPr>
          <w:t>Strategy 5: Influencing international spectrum harmonisation</w:t>
        </w:r>
        <w:r w:rsidR="004A2671">
          <w:rPr>
            <w:webHidden/>
          </w:rPr>
          <w:tab/>
        </w:r>
        <w:r w:rsidR="004A2671">
          <w:rPr>
            <w:webHidden/>
          </w:rPr>
          <w:fldChar w:fldCharType="begin"/>
        </w:r>
        <w:r w:rsidR="004A2671">
          <w:rPr>
            <w:webHidden/>
          </w:rPr>
          <w:instrText xml:space="preserve"> PAGEREF _Toc443910707 \h </w:instrText>
        </w:r>
        <w:r w:rsidR="004A2671">
          <w:rPr>
            <w:webHidden/>
          </w:rPr>
        </w:r>
        <w:r w:rsidR="004A2671">
          <w:rPr>
            <w:webHidden/>
          </w:rPr>
          <w:fldChar w:fldCharType="separate"/>
        </w:r>
        <w:r w:rsidR="00185750">
          <w:rPr>
            <w:webHidden/>
          </w:rPr>
          <w:t>30</w:t>
        </w:r>
        <w:r w:rsidR="004A2671">
          <w:rPr>
            <w:webHidden/>
          </w:rPr>
          <w:fldChar w:fldCharType="end"/>
        </w:r>
      </w:hyperlink>
    </w:p>
    <w:p w14:paraId="40DFEDBC" w14:textId="77777777" w:rsidR="004A2671" w:rsidRDefault="002B7174">
      <w:pPr>
        <w:pStyle w:val="TOC2"/>
        <w:rPr>
          <w:rFonts w:asciiTheme="minorHAnsi" w:eastAsiaTheme="minorEastAsia" w:hAnsiTheme="minorHAnsi" w:cstheme="minorBidi"/>
          <w:spacing w:val="0"/>
          <w:sz w:val="22"/>
          <w:szCs w:val="22"/>
        </w:rPr>
      </w:pPr>
      <w:hyperlink w:anchor="_Toc443910709" w:history="1">
        <w:r w:rsidR="004A2671" w:rsidRPr="00F52618">
          <w:rPr>
            <w:rStyle w:val="Hyperlink"/>
          </w:rPr>
          <w:t>Proposed work program</w:t>
        </w:r>
        <w:r w:rsidR="004A2671">
          <w:rPr>
            <w:webHidden/>
          </w:rPr>
          <w:tab/>
        </w:r>
        <w:r w:rsidR="004A2671">
          <w:rPr>
            <w:webHidden/>
          </w:rPr>
          <w:fldChar w:fldCharType="begin"/>
        </w:r>
        <w:r w:rsidR="004A2671">
          <w:rPr>
            <w:webHidden/>
          </w:rPr>
          <w:instrText xml:space="preserve"> PAGEREF _Toc443910709 \h </w:instrText>
        </w:r>
        <w:r w:rsidR="004A2671">
          <w:rPr>
            <w:webHidden/>
          </w:rPr>
        </w:r>
        <w:r w:rsidR="004A2671">
          <w:rPr>
            <w:webHidden/>
          </w:rPr>
          <w:fldChar w:fldCharType="separate"/>
        </w:r>
        <w:r w:rsidR="00185750">
          <w:rPr>
            <w:webHidden/>
          </w:rPr>
          <w:t>31</w:t>
        </w:r>
        <w:r w:rsidR="004A2671">
          <w:rPr>
            <w:webHidden/>
          </w:rPr>
          <w:fldChar w:fldCharType="end"/>
        </w:r>
      </w:hyperlink>
    </w:p>
    <w:p w14:paraId="69B01ED5" w14:textId="77777777" w:rsidR="004A2671" w:rsidRDefault="002B7174">
      <w:pPr>
        <w:pStyle w:val="TOC3"/>
        <w:rPr>
          <w:rFonts w:asciiTheme="minorHAnsi" w:eastAsiaTheme="minorEastAsia" w:hAnsiTheme="minorHAnsi" w:cstheme="minorBidi"/>
        </w:rPr>
      </w:pPr>
      <w:hyperlink w:anchor="_Toc443910710" w:history="1">
        <w:r w:rsidR="004A2671" w:rsidRPr="00F52618">
          <w:rPr>
            <w:rStyle w:val="Hyperlink"/>
          </w:rPr>
          <w:t>Overall comments on the work program</w:t>
        </w:r>
        <w:r w:rsidR="004A2671">
          <w:rPr>
            <w:webHidden/>
          </w:rPr>
          <w:tab/>
        </w:r>
        <w:r w:rsidR="004A2671">
          <w:rPr>
            <w:webHidden/>
          </w:rPr>
          <w:fldChar w:fldCharType="begin"/>
        </w:r>
        <w:r w:rsidR="004A2671">
          <w:rPr>
            <w:webHidden/>
          </w:rPr>
          <w:instrText xml:space="preserve"> PAGEREF _Toc443910710 \h </w:instrText>
        </w:r>
        <w:r w:rsidR="004A2671">
          <w:rPr>
            <w:webHidden/>
          </w:rPr>
        </w:r>
        <w:r w:rsidR="004A2671">
          <w:rPr>
            <w:webHidden/>
          </w:rPr>
          <w:fldChar w:fldCharType="separate"/>
        </w:r>
        <w:r w:rsidR="00185750">
          <w:rPr>
            <w:webHidden/>
          </w:rPr>
          <w:t>32</w:t>
        </w:r>
        <w:r w:rsidR="004A2671">
          <w:rPr>
            <w:webHidden/>
          </w:rPr>
          <w:fldChar w:fldCharType="end"/>
        </w:r>
      </w:hyperlink>
    </w:p>
    <w:p w14:paraId="091D2ECC" w14:textId="77777777" w:rsidR="004A2671" w:rsidRDefault="002B7174">
      <w:pPr>
        <w:pStyle w:val="TOC2"/>
        <w:rPr>
          <w:rFonts w:asciiTheme="minorHAnsi" w:eastAsiaTheme="minorEastAsia" w:hAnsiTheme="minorHAnsi" w:cstheme="minorBidi"/>
          <w:spacing w:val="0"/>
          <w:sz w:val="22"/>
          <w:szCs w:val="22"/>
        </w:rPr>
      </w:pPr>
      <w:hyperlink w:anchor="_Toc443910712" w:history="1">
        <w:r w:rsidR="004A2671" w:rsidRPr="00F52618">
          <w:rPr>
            <w:rStyle w:val="Hyperlink"/>
          </w:rPr>
          <w:t>520–694 MHz (600 MHz)</w:t>
        </w:r>
        <w:r w:rsidR="004A2671">
          <w:rPr>
            <w:webHidden/>
          </w:rPr>
          <w:tab/>
        </w:r>
        <w:r w:rsidR="004A2671">
          <w:rPr>
            <w:webHidden/>
          </w:rPr>
          <w:fldChar w:fldCharType="begin"/>
        </w:r>
        <w:r w:rsidR="004A2671">
          <w:rPr>
            <w:webHidden/>
          </w:rPr>
          <w:instrText xml:space="preserve"> PAGEREF _Toc443910712 \h </w:instrText>
        </w:r>
        <w:r w:rsidR="004A2671">
          <w:rPr>
            <w:webHidden/>
          </w:rPr>
        </w:r>
        <w:r w:rsidR="004A2671">
          <w:rPr>
            <w:webHidden/>
          </w:rPr>
          <w:fldChar w:fldCharType="separate"/>
        </w:r>
        <w:r w:rsidR="00185750">
          <w:rPr>
            <w:webHidden/>
          </w:rPr>
          <w:t>32</w:t>
        </w:r>
        <w:r w:rsidR="004A2671">
          <w:rPr>
            <w:webHidden/>
          </w:rPr>
          <w:fldChar w:fldCharType="end"/>
        </w:r>
      </w:hyperlink>
    </w:p>
    <w:p w14:paraId="690171CB" w14:textId="77777777" w:rsidR="004A2671" w:rsidRDefault="002B7174">
      <w:pPr>
        <w:pStyle w:val="TOC2"/>
        <w:rPr>
          <w:rFonts w:asciiTheme="minorHAnsi" w:eastAsiaTheme="minorEastAsia" w:hAnsiTheme="minorHAnsi" w:cstheme="minorBidi"/>
          <w:spacing w:val="0"/>
          <w:sz w:val="22"/>
          <w:szCs w:val="22"/>
        </w:rPr>
      </w:pPr>
      <w:hyperlink w:anchor="_Toc443910714" w:history="1">
        <w:r w:rsidR="004A2671" w:rsidRPr="00F52618">
          <w:rPr>
            <w:rStyle w:val="Hyperlink"/>
          </w:rPr>
          <w:t>2700–2900 MHz</w:t>
        </w:r>
        <w:r w:rsidR="004A2671">
          <w:rPr>
            <w:webHidden/>
          </w:rPr>
          <w:tab/>
        </w:r>
        <w:r w:rsidR="004A2671">
          <w:rPr>
            <w:webHidden/>
          </w:rPr>
          <w:fldChar w:fldCharType="begin"/>
        </w:r>
        <w:r w:rsidR="004A2671">
          <w:rPr>
            <w:webHidden/>
          </w:rPr>
          <w:instrText xml:space="preserve"> PAGEREF _Toc443910714 \h </w:instrText>
        </w:r>
        <w:r w:rsidR="004A2671">
          <w:rPr>
            <w:webHidden/>
          </w:rPr>
        </w:r>
        <w:r w:rsidR="004A2671">
          <w:rPr>
            <w:webHidden/>
          </w:rPr>
          <w:fldChar w:fldCharType="separate"/>
        </w:r>
        <w:r w:rsidR="00185750">
          <w:rPr>
            <w:webHidden/>
          </w:rPr>
          <w:t>33</w:t>
        </w:r>
        <w:r w:rsidR="004A2671">
          <w:rPr>
            <w:webHidden/>
          </w:rPr>
          <w:fldChar w:fldCharType="end"/>
        </w:r>
      </w:hyperlink>
    </w:p>
    <w:p w14:paraId="3C2E820C" w14:textId="77777777" w:rsidR="004A2671" w:rsidRDefault="002B7174">
      <w:pPr>
        <w:pStyle w:val="TOC2"/>
        <w:rPr>
          <w:rFonts w:asciiTheme="minorHAnsi" w:eastAsiaTheme="minorEastAsia" w:hAnsiTheme="minorHAnsi" w:cstheme="minorBidi"/>
          <w:spacing w:val="0"/>
          <w:sz w:val="22"/>
          <w:szCs w:val="22"/>
        </w:rPr>
      </w:pPr>
      <w:hyperlink w:anchor="_Toc443910716" w:history="1">
        <w:r w:rsidR="004A2671" w:rsidRPr="00F52618">
          <w:rPr>
            <w:rStyle w:val="Hyperlink"/>
          </w:rPr>
          <w:t>5350–5470 MHz</w:t>
        </w:r>
        <w:r w:rsidR="004A2671">
          <w:rPr>
            <w:webHidden/>
          </w:rPr>
          <w:tab/>
        </w:r>
        <w:r w:rsidR="004A2671">
          <w:rPr>
            <w:webHidden/>
          </w:rPr>
          <w:fldChar w:fldCharType="begin"/>
        </w:r>
        <w:r w:rsidR="004A2671">
          <w:rPr>
            <w:webHidden/>
          </w:rPr>
          <w:instrText xml:space="preserve"> PAGEREF _Toc443910716 \h </w:instrText>
        </w:r>
        <w:r w:rsidR="004A2671">
          <w:rPr>
            <w:webHidden/>
          </w:rPr>
        </w:r>
        <w:r w:rsidR="004A2671">
          <w:rPr>
            <w:webHidden/>
          </w:rPr>
          <w:fldChar w:fldCharType="separate"/>
        </w:r>
        <w:r w:rsidR="00185750">
          <w:rPr>
            <w:webHidden/>
          </w:rPr>
          <w:t>34</w:t>
        </w:r>
        <w:r w:rsidR="004A2671">
          <w:rPr>
            <w:webHidden/>
          </w:rPr>
          <w:fldChar w:fldCharType="end"/>
        </w:r>
      </w:hyperlink>
    </w:p>
    <w:p w14:paraId="5F3FD4A8" w14:textId="77777777" w:rsidR="004A2671" w:rsidRDefault="002B7174">
      <w:pPr>
        <w:pStyle w:val="TOC2"/>
        <w:rPr>
          <w:rFonts w:asciiTheme="minorHAnsi" w:eastAsiaTheme="minorEastAsia" w:hAnsiTheme="minorHAnsi" w:cstheme="minorBidi"/>
          <w:spacing w:val="0"/>
          <w:sz w:val="22"/>
          <w:szCs w:val="22"/>
        </w:rPr>
      </w:pPr>
      <w:hyperlink w:anchor="_Toc443910717" w:history="1">
        <w:r w:rsidR="004A2671" w:rsidRPr="00F52618">
          <w:rPr>
            <w:rStyle w:val="Hyperlink"/>
          </w:rPr>
          <w:t>Above 6 GHz</w:t>
        </w:r>
        <w:r w:rsidR="004A2671">
          <w:rPr>
            <w:webHidden/>
          </w:rPr>
          <w:tab/>
        </w:r>
        <w:r w:rsidR="004A2671">
          <w:rPr>
            <w:webHidden/>
          </w:rPr>
          <w:fldChar w:fldCharType="begin"/>
        </w:r>
        <w:r w:rsidR="004A2671">
          <w:rPr>
            <w:webHidden/>
          </w:rPr>
          <w:instrText xml:space="preserve"> PAGEREF _Toc443910717 \h </w:instrText>
        </w:r>
        <w:r w:rsidR="004A2671">
          <w:rPr>
            <w:webHidden/>
          </w:rPr>
        </w:r>
        <w:r w:rsidR="004A2671">
          <w:rPr>
            <w:webHidden/>
          </w:rPr>
          <w:fldChar w:fldCharType="separate"/>
        </w:r>
        <w:r w:rsidR="00185750">
          <w:rPr>
            <w:webHidden/>
          </w:rPr>
          <w:t>35</w:t>
        </w:r>
        <w:r w:rsidR="004A2671">
          <w:rPr>
            <w:webHidden/>
          </w:rPr>
          <w:fldChar w:fldCharType="end"/>
        </w:r>
      </w:hyperlink>
    </w:p>
    <w:p w14:paraId="363288C1" w14:textId="77777777" w:rsidR="004A2671" w:rsidRDefault="002B7174">
      <w:pPr>
        <w:pStyle w:val="TOC2"/>
        <w:rPr>
          <w:rFonts w:asciiTheme="minorHAnsi" w:eastAsiaTheme="minorEastAsia" w:hAnsiTheme="minorHAnsi" w:cstheme="minorBidi"/>
          <w:spacing w:val="0"/>
          <w:sz w:val="22"/>
          <w:szCs w:val="22"/>
        </w:rPr>
      </w:pPr>
      <w:hyperlink w:anchor="_Toc443910719" w:history="1">
        <w:r w:rsidR="004A2671" w:rsidRPr="00F52618">
          <w:rPr>
            <w:rStyle w:val="Hyperlink"/>
          </w:rPr>
          <w:t>1427–1518 MHz (1.5 GHz)</w:t>
        </w:r>
        <w:r w:rsidR="004A2671">
          <w:rPr>
            <w:webHidden/>
          </w:rPr>
          <w:tab/>
        </w:r>
        <w:r w:rsidR="004A2671">
          <w:rPr>
            <w:webHidden/>
          </w:rPr>
          <w:fldChar w:fldCharType="begin"/>
        </w:r>
        <w:r w:rsidR="004A2671">
          <w:rPr>
            <w:webHidden/>
          </w:rPr>
          <w:instrText xml:space="preserve"> PAGEREF _Toc443910719 \h </w:instrText>
        </w:r>
        <w:r w:rsidR="004A2671">
          <w:rPr>
            <w:webHidden/>
          </w:rPr>
        </w:r>
        <w:r w:rsidR="004A2671">
          <w:rPr>
            <w:webHidden/>
          </w:rPr>
          <w:fldChar w:fldCharType="separate"/>
        </w:r>
        <w:r w:rsidR="00185750">
          <w:rPr>
            <w:webHidden/>
          </w:rPr>
          <w:t>35</w:t>
        </w:r>
        <w:r w:rsidR="004A2671">
          <w:rPr>
            <w:webHidden/>
          </w:rPr>
          <w:fldChar w:fldCharType="end"/>
        </w:r>
      </w:hyperlink>
    </w:p>
    <w:p w14:paraId="01CD4E83" w14:textId="77777777" w:rsidR="004A2671" w:rsidRDefault="002B7174">
      <w:pPr>
        <w:pStyle w:val="TOC2"/>
        <w:rPr>
          <w:rFonts w:asciiTheme="minorHAnsi" w:eastAsiaTheme="minorEastAsia" w:hAnsiTheme="minorHAnsi" w:cstheme="minorBidi"/>
          <w:spacing w:val="0"/>
          <w:sz w:val="22"/>
          <w:szCs w:val="22"/>
        </w:rPr>
      </w:pPr>
      <w:hyperlink w:anchor="_Toc443910721" w:history="1">
        <w:r w:rsidR="004A2671" w:rsidRPr="00F52618">
          <w:rPr>
            <w:rStyle w:val="Hyperlink"/>
          </w:rPr>
          <w:t>1 980–2010 MHz and 2170–2200 MHz</w:t>
        </w:r>
        <w:r w:rsidR="004A2671">
          <w:rPr>
            <w:webHidden/>
          </w:rPr>
          <w:tab/>
        </w:r>
        <w:r w:rsidR="004A2671">
          <w:rPr>
            <w:webHidden/>
          </w:rPr>
          <w:fldChar w:fldCharType="begin"/>
        </w:r>
        <w:r w:rsidR="004A2671">
          <w:rPr>
            <w:webHidden/>
          </w:rPr>
          <w:instrText xml:space="preserve"> PAGEREF _Toc443910721 \h </w:instrText>
        </w:r>
        <w:r w:rsidR="004A2671">
          <w:rPr>
            <w:webHidden/>
          </w:rPr>
        </w:r>
        <w:r w:rsidR="004A2671">
          <w:rPr>
            <w:webHidden/>
          </w:rPr>
          <w:fldChar w:fldCharType="separate"/>
        </w:r>
        <w:r w:rsidR="00185750">
          <w:rPr>
            <w:webHidden/>
          </w:rPr>
          <w:t>36</w:t>
        </w:r>
        <w:r w:rsidR="004A2671">
          <w:rPr>
            <w:webHidden/>
          </w:rPr>
          <w:fldChar w:fldCharType="end"/>
        </w:r>
      </w:hyperlink>
    </w:p>
    <w:p w14:paraId="733CC570" w14:textId="77777777" w:rsidR="004A2671" w:rsidRDefault="002B7174">
      <w:pPr>
        <w:pStyle w:val="TOC2"/>
        <w:rPr>
          <w:rFonts w:asciiTheme="minorHAnsi" w:eastAsiaTheme="minorEastAsia" w:hAnsiTheme="minorHAnsi" w:cstheme="minorBidi"/>
          <w:spacing w:val="0"/>
          <w:sz w:val="22"/>
          <w:szCs w:val="22"/>
        </w:rPr>
      </w:pPr>
      <w:hyperlink w:anchor="_Toc443910723" w:history="1">
        <w:r w:rsidR="004A2671" w:rsidRPr="00F52618">
          <w:rPr>
            <w:rStyle w:val="Hyperlink"/>
          </w:rPr>
          <w:t>3575–3700 MHz</w:t>
        </w:r>
        <w:r w:rsidR="004A2671">
          <w:rPr>
            <w:webHidden/>
          </w:rPr>
          <w:tab/>
        </w:r>
        <w:r w:rsidR="004A2671">
          <w:rPr>
            <w:webHidden/>
          </w:rPr>
          <w:fldChar w:fldCharType="begin"/>
        </w:r>
        <w:r w:rsidR="004A2671">
          <w:rPr>
            <w:webHidden/>
          </w:rPr>
          <w:instrText xml:space="preserve"> PAGEREF _Toc443910723 \h </w:instrText>
        </w:r>
        <w:r w:rsidR="004A2671">
          <w:rPr>
            <w:webHidden/>
          </w:rPr>
        </w:r>
        <w:r w:rsidR="004A2671">
          <w:rPr>
            <w:webHidden/>
          </w:rPr>
          <w:fldChar w:fldCharType="separate"/>
        </w:r>
        <w:r w:rsidR="00185750">
          <w:rPr>
            <w:webHidden/>
          </w:rPr>
          <w:t>37</w:t>
        </w:r>
        <w:r w:rsidR="004A2671">
          <w:rPr>
            <w:webHidden/>
          </w:rPr>
          <w:fldChar w:fldCharType="end"/>
        </w:r>
      </w:hyperlink>
    </w:p>
    <w:p w14:paraId="34AD0801" w14:textId="77777777" w:rsidR="004A2671" w:rsidRDefault="002B7174">
      <w:pPr>
        <w:pStyle w:val="TOC2"/>
        <w:rPr>
          <w:rFonts w:asciiTheme="minorHAnsi" w:eastAsiaTheme="minorEastAsia" w:hAnsiTheme="minorHAnsi" w:cstheme="minorBidi"/>
          <w:spacing w:val="0"/>
          <w:sz w:val="22"/>
          <w:szCs w:val="22"/>
        </w:rPr>
      </w:pPr>
      <w:hyperlink w:anchor="_Toc443910725" w:history="1">
        <w:r w:rsidR="004A2671" w:rsidRPr="00F52618">
          <w:rPr>
            <w:rStyle w:val="Hyperlink"/>
          </w:rPr>
          <w:t>850 MHz expansion band</w:t>
        </w:r>
        <w:r w:rsidR="004A2671">
          <w:rPr>
            <w:webHidden/>
          </w:rPr>
          <w:tab/>
        </w:r>
        <w:r w:rsidR="004A2671">
          <w:rPr>
            <w:webHidden/>
          </w:rPr>
          <w:fldChar w:fldCharType="begin"/>
        </w:r>
        <w:r w:rsidR="004A2671">
          <w:rPr>
            <w:webHidden/>
          </w:rPr>
          <w:instrText xml:space="preserve"> PAGEREF _Toc443910725 \h </w:instrText>
        </w:r>
        <w:r w:rsidR="004A2671">
          <w:rPr>
            <w:webHidden/>
          </w:rPr>
        </w:r>
        <w:r w:rsidR="004A2671">
          <w:rPr>
            <w:webHidden/>
          </w:rPr>
          <w:fldChar w:fldCharType="separate"/>
        </w:r>
        <w:r w:rsidR="00185750">
          <w:rPr>
            <w:webHidden/>
          </w:rPr>
          <w:t>38</w:t>
        </w:r>
        <w:r w:rsidR="004A2671">
          <w:rPr>
            <w:webHidden/>
          </w:rPr>
          <w:fldChar w:fldCharType="end"/>
        </w:r>
      </w:hyperlink>
    </w:p>
    <w:p w14:paraId="6D18F0BE" w14:textId="77777777" w:rsidR="004A2671" w:rsidRDefault="002B7174">
      <w:pPr>
        <w:pStyle w:val="TOC2"/>
        <w:rPr>
          <w:rFonts w:asciiTheme="minorHAnsi" w:eastAsiaTheme="minorEastAsia" w:hAnsiTheme="minorHAnsi" w:cstheme="minorBidi"/>
          <w:spacing w:val="0"/>
          <w:sz w:val="22"/>
          <w:szCs w:val="22"/>
        </w:rPr>
      </w:pPr>
      <w:hyperlink w:anchor="_Toc443910726" w:history="1">
        <w:r w:rsidR="004A2671" w:rsidRPr="00F52618">
          <w:rPr>
            <w:rStyle w:val="Hyperlink"/>
          </w:rPr>
          <w:t>900 MHz</w:t>
        </w:r>
        <w:r w:rsidR="004A2671">
          <w:rPr>
            <w:webHidden/>
          </w:rPr>
          <w:tab/>
        </w:r>
        <w:r w:rsidR="004A2671">
          <w:rPr>
            <w:webHidden/>
          </w:rPr>
          <w:fldChar w:fldCharType="begin"/>
        </w:r>
        <w:r w:rsidR="004A2671">
          <w:rPr>
            <w:webHidden/>
          </w:rPr>
          <w:instrText xml:space="preserve"> PAGEREF _Toc443910726 \h </w:instrText>
        </w:r>
        <w:r w:rsidR="004A2671">
          <w:rPr>
            <w:webHidden/>
          </w:rPr>
        </w:r>
        <w:r w:rsidR="004A2671">
          <w:rPr>
            <w:webHidden/>
          </w:rPr>
          <w:fldChar w:fldCharType="separate"/>
        </w:r>
        <w:r w:rsidR="00185750">
          <w:rPr>
            <w:webHidden/>
          </w:rPr>
          <w:t>39</w:t>
        </w:r>
        <w:r w:rsidR="004A2671">
          <w:rPr>
            <w:webHidden/>
          </w:rPr>
          <w:fldChar w:fldCharType="end"/>
        </w:r>
      </w:hyperlink>
    </w:p>
    <w:p w14:paraId="3FF8693D" w14:textId="77777777" w:rsidR="004A2671" w:rsidRDefault="002B7174">
      <w:pPr>
        <w:pStyle w:val="TOC2"/>
        <w:rPr>
          <w:rFonts w:asciiTheme="minorHAnsi" w:eastAsiaTheme="minorEastAsia" w:hAnsiTheme="minorHAnsi" w:cstheme="minorBidi"/>
          <w:spacing w:val="0"/>
          <w:sz w:val="22"/>
          <w:szCs w:val="22"/>
        </w:rPr>
      </w:pPr>
      <w:hyperlink w:anchor="_Toc443910728" w:history="1">
        <w:r w:rsidR="004A2671" w:rsidRPr="00F52618">
          <w:rPr>
            <w:rStyle w:val="Hyperlink"/>
          </w:rPr>
          <w:t>3.5 GHz PTS release</w:t>
        </w:r>
        <w:r w:rsidR="004A2671">
          <w:rPr>
            <w:webHidden/>
          </w:rPr>
          <w:tab/>
        </w:r>
        <w:r w:rsidR="004A2671">
          <w:rPr>
            <w:webHidden/>
          </w:rPr>
          <w:fldChar w:fldCharType="begin"/>
        </w:r>
        <w:r w:rsidR="004A2671">
          <w:rPr>
            <w:webHidden/>
          </w:rPr>
          <w:instrText xml:space="preserve"> PAGEREF _Toc443910728 \h </w:instrText>
        </w:r>
        <w:r w:rsidR="004A2671">
          <w:rPr>
            <w:webHidden/>
          </w:rPr>
        </w:r>
        <w:r w:rsidR="004A2671">
          <w:rPr>
            <w:webHidden/>
          </w:rPr>
          <w:fldChar w:fldCharType="separate"/>
        </w:r>
        <w:r w:rsidR="00185750">
          <w:rPr>
            <w:webHidden/>
          </w:rPr>
          <w:t>39</w:t>
        </w:r>
        <w:r w:rsidR="004A2671">
          <w:rPr>
            <w:webHidden/>
          </w:rPr>
          <w:fldChar w:fldCharType="end"/>
        </w:r>
      </w:hyperlink>
    </w:p>
    <w:p w14:paraId="2B399517" w14:textId="77777777" w:rsidR="004A2671" w:rsidRDefault="002B7174">
      <w:pPr>
        <w:pStyle w:val="TOC2"/>
        <w:rPr>
          <w:rFonts w:asciiTheme="minorHAnsi" w:eastAsiaTheme="minorEastAsia" w:hAnsiTheme="minorHAnsi" w:cstheme="minorBidi"/>
          <w:spacing w:val="0"/>
          <w:sz w:val="22"/>
          <w:szCs w:val="22"/>
        </w:rPr>
      </w:pPr>
      <w:hyperlink w:anchor="_Toc443910730" w:history="1">
        <w:r w:rsidR="004A2671" w:rsidRPr="00F52618">
          <w:rPr>
            <w:rStyle w:val="Hyperlink"/>
          </w:rPr>
          <w:t>700 MHz unsold lots</w:t>
        </w:r>
        <w:r w:rsidR="004A2671">
          <w:rPr>
            <w:webHidden/>
          </w:rPr>
          <w:tab/>
        </w:r>
        <w:r w:rsidR="004A2671">
          <w:rPr>
            <w:webHidden/>
          </w:rPr>
          <w:fldChar w:fldCharType="begin"/>
        </w:r>
        <w:r w:rsidR="004A2671">
          <w:rPr>
            <w:webHidden/>
          </w:rPr>
          <w:instrText xml:space="preserve"> PAGEREF _Toc443910730 \h </w:instrText>
        </w:r>
        <w:r w:rsidR="004A2671">
          <w:rPr>
            <w:webHidden/>
          </w:rPr>
        </w:r>
        <w:r w:rsidR="004A2671">
          <w:rPr>
            <w:webHidden/>
          </w:rPr>
          <w:fldChar w:fldCharType="separate"/>
        </w:r>
        <w:r w:rsidR="00185750">
          <w:rPr>
            <w:webHidden/>
          </w:rPr>
          <w:t>40</w:t>
        </w:r>
        <w:r w:rsidR="004A2671">
          <w:rPr>
            <w:webHidden/>
          </w:rPr>
          <w:fldChar w:fldCharType="end"/>
        </w:r>
      </w:hyperlink>
    </w:p>
    <w:p w14:paraId="5B19525E" w14:textId="77777777" w:rsidR="004A2671" w:rsidRDefault="002B7174">
      <w:pPr>
        <w:pStyle w:val="TOC2"/>
        <w:rPr>
          <w:rFonts w:asciiTheme="minorHAnsi" w:eastAsiaTheme="minorEastAsia" w:hAnsiTheme="minorHAnsi" w:cstheme="minorBidi"/>
          <w:spacing w:val="0"/>
          <w:sz w:val="22"/>
          <w:szCs w:val="22"/>
        </w:rPr>
      </w:pPr>
      <w:hyperlink w:anchor="_Toc443910731" w:history="1">
        <w:r w:rsidR="004A2671" w:rsidRPr="00F52618">
          <w:rPr>
            <w:rStyle w:val="Hyperlink"/>
          </w:rPr>
          <w:t>1800 MHz regional/remote</w:t>
        </w:r>
        <w:r w:rsidR="004A2671">
          <w:rPr>
            <w:webHidden/>
          </w:rPr>
          <w:tab/>
        </w:r>
        <w:r w:rsidR="004A2671">
          <w:rPr>
            <w:webHidden/>
          </w:rPr>
          <w:fldChar w:fldCharType="begin"/>
        </w:r>
        <w:r w:rsidR="004A2671">
          <w:rPr>
            <w:webHidden/>
          </w:rPr>
          <w:instrText xml:space="preserve"> PAGEREF _Toc443910731 \h </w:instrText>
        </w:r>
        <w:r w:rsidR="004A2671">
          <w:rPr>
            <w:webHidden/>
          </w:rPr>
        </w:r>
        <w:r w:rsidR="004A2671">
          <w:rPr>
            <w:webHidden/>
          </w:rPr>
          <w:fldChar w:fldCharType="separate"/>
        </w:r>
        <w:r w:rsidR="00185750">
          <w:rPr>
            <w:webHidden/>
          </w:rPr>
          <w:t>40</w:t>
        </w:r>
        <w:r w:rsidR="004A2671">
          <w:rPr>
            <w:webHidden/>
          </w:rPr>
          <w:fldChar w:fldCharType="end"/>
        </w:r>
      </w:hyperlink>
    </w:p>
    <w:p w14:paraId="7579D722" w14:textId="77777777" w:rsidR="004A2671" w:rsidRDefault="002B7174">
      <w:pPr>
        <w:pStyle w:val="TOC1"/>
        <w:tabs>
          <w:tab w:val="left" w:pos="885"/>
        </w:tabs>
        <w:rPr>
          <w:rFonts w:asciiTheme="minorHAnsi" w:eastAsiaTheme="minorEastAsia" w:hAnsiTheme="minorHAnsi" w:cstheme="minorBidi"/>
          <w:b w:val="0"/>
          <w:spacing w:val="0"/>
          <w:sz w:val="22"/>
          <w:szCs w:val="22"/>
        </w:rPr>
      </w:pPr>
      <w:hyperlink w:anchor="_Toc443910732" w:history="1">
        <w:r w:rsidR="004A2671" w:rsidRPr="00F52618">
          <w:rPr>
            <w:rStyle w:val="Hyperlink"/>
          </w:rPr>
          <w:t>4</w:t>
        </w:r>
        <w:r w:rsidR="004A2671">
          <w:rPr>
            <w:rFonts w:asciiTheme="minorHAnsi" w:eastAsiaTheme="minorEastAsia" w:hAnsiTheme="minorHAnsi" w:cstheme="minorBidi"/>
            <w:b w:val="0"/>
            <w:spacing w:val="0"/>
            <w:sz w:val="22"/>
            <w:szCs w:val="22"/>
          </w:rPr>
          <w:tab/>
        </w:r>
        <w:r w:rsidR="004A2671" w:rsidRPr="00F52618">
          <w:rPr>
            <w:rStyle w:val="Hyperlink"/>
          </w:rPr>
          <w:t>Further work</w:t>
        </w:r>
        <w:r w:rsidR="004A2671">
          <w:rPr>
            <w:webHidden/>
          </w:rPr>
          <w:tab/>
        </w:r>
        <w:r w:rsidR="004A2671">
          <w:rPr>
            <w:webHidden/>
          </w:rPr>
          <w:fldChar w:fldCharType="begin"/>
        </w:r>
        <w:r w:rsidR="004A2671">
          <w:rPr>
            <w:webHidden/>
          </w:rPr>
          <w:instrText xml:space="preserve"> PAGEREF _Toc443910732 \h </w:instrText>
        </w:r>
        <w:r w:rsidR="004A2671">
          <w:rPr>
            <w:webHidden/>
          </w:rPr>
        </w:r>
        <w:r w:rsidR="004A2671">
          <w:rPr>
            <w:webHidden/>
          </w:rPr>
          <w:fldChar w:fldCharType="separate"/>
        </w:r>
        <w:r w:rsidR="00185750">
          <w:rPr>
            <w:webHidden/>
          </w:rPr>
          <w:t>41</w:t>
        </w:r>
        <w:r w:rsidR="004A2671">
          <w:rPr>
            <w:webHidden/>
          </w:rPr>
          <w:fldChar w:fldCharType="end"/>
        </w:r>
      </w:hyperlink>
    </w:p>
    <w:p w14:paraId="5E3F1E46" w14:textId="77777777" w:rsidR="004A2671" w:rsidRDefault="002B7174">
      <w:pPr>
        <w:pStyle w:val="TOC2"/>
        <w:rPr>
          <w:rFonts w:asciiTheme="minorHAnsi" w:eastAsiaTheme="minorEastAsia" w:hAnsiTheme="minorHAnsi" w:cstheme="minorBidi"/>
          <w:spacing w:val="0"/>
          <w:sz w:val="22"/>
          <w:szCs w:val="22"/>
        </w:rPr>
      </w:pPr>
      <w:hyperlink w:anchor="_Toc443910733" w:history="1">
        <w:r w:rsidR="004A2671" w:rsidRPr="00F52618">
          <w:rPr>
            <w:rStyle w:val="Hyperlink"/>
          </w:rPr>
          <w:t>The Spectrum Review</w:t>
        </w:r>
        <w:r w:rsidR="004A2671">
          <w:rPr>
            <w:webHidden/>
          </w:rPr>
          <w:tab/>
        </w:r>
        <w:r w:rsidR="004A2671">
          <w:rPr>
            <w:webHidden/>
          </w:rPr>
          <w:fldChar w:fldCharType="begin"/>
        </w:r>
        <w:r w:rsidR="004A2671">
          <w:rPr>
            <w:webHidden/>
          </w:rPr>
          <w:instrText xml:space="preserve"> PAGEREF _Toc443910733 \h </w:instrText>
        </w:r>
        <w:r w:rsidR="004A2671">
          <w:rPr>
            <w:webHidden/>
          </w:rPr>
        </w:r>
        <w:r w:rsidR="004A2671">
          <w:rPr>
            <w:webHidden/>
          </w:rPr>
          <w:fldChar w:fldCharType="separate"/>
        </w:r>
        <w:r w:rsidR="00185750">
          <w:rPr>
            <w:webHidden/>
          </w:rPr>
          <w:t>41</w:t>
        </w:r>
        <w:r w:rsidR="004A2671">
          <w:rPr>
            <w:webHidden/>
          </w:rPr>
          <w:fldChar w:fldCharType="end"/>
        </w:r>
      </w:hyperlink>
    </w:p>
    <w:p w14:paraId="16950E0E" w14:textId="04E3D0EC" w:rsidR="000A4A51" w:rsidRPr="000D76E0" w:rsidRDefault="00912A66">
      <w:pPr>
        <w:rPr>
          <w:rFonts w:cs="Arial"/>
        </w:rPr>
      </w:pPr>
      <w:r>
        <w:rPr>
          <w:rFonts w:cs="Arial"/>
          <w:b/>
        </w:rPr>
        <w:fldChar w:fldCharType="end"/>
      </w:r>
    </w:p>
    <w:p w14:paraId="6F48F597" w14:textId="77777777" w:rsidR="004D56FF" w:rsidRPr="000D76E0" w:rsidRDefault="004D56FF">
      <w:pPr>
        <w:rPr>
          <w:rFonts w:cs="Arial"/>
        </w:rPr>
        <w:sectPr w:rsidR="004D56FF" w:rsidRPr="000D76E0" w:rsidSect="00C77380">
          <w:headerReference w:type="even" r:id="rId22"/>
          <w:headerReference w:type="default" r:id="rId23"/>
          <w:footerReference w:type="even" r:id="rId24"/>
          <w:footerReference w:type="default" r:id="rId25"/>
          <w:footerReference w:type="first" r:id="rId26"/>
          <w:pgSz w:w="11906" w:h="16838" w:code="9"/>
          <w:pgMar w:top="3646" w:right="3101" w:bottom="1134" w:left="1134" w:header="709" w:footer="119" w:gutter="0"/>
          <w:cols w:space="708"/>
          <w:titlePg/>
          <w:docGrid w:linePitch="360"/>
        </w:sectPr>
      </w:pPr>
    </w:p>
    <w:p w14:paraId="3601BBEB" w14:textId="5DEC6B69" w:rsidR="00BE4C11" w:rsidRPr="000D76E0" w:rsidRDefault="00777F84" w:rsidP="00777BA2">
      <w:pPr>
        <w:pStyle w:val="Heading1"/>
      </w:pPr>
      <w:bookmarkStart w:id="1" w:name="_Toc441074797"/>
      <w:bookmarkStart w:id="2" w:name="_Toc441074798"/>
      <w:bookmarkStart w:id="3" w:name="_Toc443910646"/>
      <w:bookmarkEnd w:id="1"/>
      <w:r>
        <w:lastRenderedPageBreak/>
        <w:t>1</w:t>
      </w:r>
      <w:r>
        <w:tab/>
      </w:r>
      <w:r w:rsidR="00D26C78">
        <w:t>Introduction</w:t>
      </w:r>
      <w:bookmarkEnd w:id="2"/>
      <w:bookmarkEnd w:id="3"/>
      <w:r w:rsidR="0042762F" w:rsidRPr="00FF3C69">
        <w:t xml:space="preserve"> </w:t>
      </w:r>
    </w:p>
    <w:p w14:paraId="7B92E5FB" w14:textId="135C511A" w:rsidR="00FF3C69" w:rsidRDefault="00D26C78" w:rsidP="001D6ABD">
      <w:pPr>
        <w:spacing w:after="80"/>
        <w:rPr>
          <w:rFonts w:cs="Arial"/>
          <w:szCs w:val="20"/>
          <w:lang w:val="en"/>
        </w:rPr>
      </w:pPr>
      <w:r>
        <w:rPr>
          <w:rFonts w:cs="Arial"/>
        </w:rPr>
        <w:t>T</w:t>
      </w:r>
      <w:r w:rsidRPr="00D26C78">
        <w:rPr>
          <w:rFonts w:cs="Arial"/>
        </w:rPr>
        <w:t>he Australian Com</w:t>
      </w:r>
      <w:r>
        <w:rPr>
          <w:rFonts w:cs="Arial"/>
        </w:rPr>
        <w:t>munications and Media Authority (</w:t>
      </w:r>
      <w:r w:rsidR="00F3138B">
        <w:rPr>
          <w:rFonts w:cs="Arial"/>
        </w:rPr>
        <w:t xml:space="preserve">the </w:t>
      </w:r>
      <w:r>
        <w:rPr>
          <w:rFonts w:cs="Arial"/>
        </w:rPr>
        <w:t>ACMA) released the discussion paper</w:t>
      </w:r>
      <w:r w:rsidRPr="00D26C78">
        <w:rPr>
          <w:rFonts w:cs="Arial"/>
          <w:szCs w:val="20"/>
          <w:lang w:val="en"/>
        </w:rPr>
        <w:t> </w:t>
      </w:r>
      <w:hyperlink r:id="rId27" w:history="1">
        <w:r w:rsidRPr="00D26C78">
          <w:rPr>
            <w:rStyle w:val="Hyperlink"/>
            <w:rFonts w:cs="Arial"/>
            <w:i/>
            <w:iCs/>
            <w:szCs w:val="20"/>
            <w:lang w:val="en"/>
          </w:rPr>
          <w:t>Beyond 2020</w:t>
        </w:r>
        <w:r w:rsidR="001D6ABD">
          <w:rPr>
            <w:rStyle w:val="Hyperlink"/>
            <w:rFonts w:cs="Arial"/>
            <w:i/>
            <w:iCs/>
            <w:szCs w:val="20"/>
            <w:lang w:val="en"/>
          </w:rPr>
          <w:t>—</w:t>
        </w:r>
        <w:r w:rsidRPr="00D26C78">
          <w:rPr>
            <w:rStyle w:val="Hyperlink"/>
            <w:rFonts w:cs="Arial"/>
            <w:i/>
            <w:iCs/>
            <w:szCs w:val="20"/>
            <w:lang w:val="en"/>
          </w:rPr>
          <w:t>A spectrum management strategy to address the growth in mobile broadband capacity</w:t>
        </w:r>
      </w:hyperlink>
      <w:r w:rsidRPr="00D26C78">
        <w:rPr>
          <w:rFonts w:cs="Arial"/>
          <w:i/>
          <w:iCs/>
          <w:szCs w:val="20"/>
          <w:lang w:val="en"/>
        </w:rPr>
        <w:t xml:space="preserve"> </w:t>
      </w:r>
      <w:r>
        <w:rPr>
          <w:rFonts w:cs="Arial"/>
          <w:szCs w:val="20"/>
          <w:lang w:val="en"/>
        </w:rPr>
        <w:t>(</w:t>
      </w:r>
      <w:r w:rsidRPr="00F3138B">
        <w:rPr>
          <w:rFonts w:cs="Arial"/>
          <w:i/>
          <w:szCs w:val="20"/>
          <w:lang w:val="en"/>
        </w:rPr>
        <w:t>Beyond 2020</w:t>
      </w:r>
      <w:r>
        <w:rPr>
          <w:rFonts w:cs="Arial"/>
          <w:szCs w:val="20"/>
          <w:lang w:val="en"/>
        </w:rPr>
        <w:t xml:space="preserve">) on 10 September 2015. </w:t>
      </w:r>
      <w:r w:rsidRPr="00D26C78">
        <w:rPr>
          <w:rFonts w:cs="Arial"/>
          <w:szCs w:val="20"/>
          <w:lang w:val="en"/>
        </w:rPr>
        <w:t>The paper seeks industry feedback on the ACMA’s medium</w:t>
      </w:r>
      <w:r w:rsidR="001D6ABD">
        <w:rPr>
          <w:rFonts w:cs="Arial"/>
          <w:szCs w:val="20"/>
          <w:lang w:val="en"/>
        </w:rPr>
        <w:t>-</w:t>
      </w:r>
      <w:r w:rsidRPr="00D26C78">
        <w:rPr>
          <w:rFonts w:cs="Arial"/>
          <w:szCs w:val="20"/>
          <w:lang w:val="en"/>
        </w:rPr>
        <w:t xml:space="preserve"> and longer</w:t>
      </w:r>
      <w:r w:rsidR="001D6ABD">
        <w:rPr>
          <w:rFonts w:cs="Arial"/>
          <w:szCs w:val="20"/>
          <w:lang w:val="en"/>
        </w:rPr>
        <w:t>-</w:t>
      </w:r>
      <w:r w:rsidRPr="00D26C78">
        <w:rPr>
          <w:rFonts w:cs="Arial"/>
          <w:szCs w:val="20"/>
          <w:lang w:val="en"/>
        </w:rPr>
        <w:t>term planning approaches to address rising demand for mobile broadband services.</w:t>
      </w:r>
      <w:r>
        <w:rPr>
          <w:rFonts w:cs="Arial"/>
          <w:szCs w:val="20"/>
          <w:lang w:val="en"/>
        </w:rPr>
        <w:t xml:space="preserve"> </w:t>
      </w:r>
      <w:r w:rsidR="001363ED">
        <w:rPr>
          <w:rFonts w:cs="Arial"/>
          <w:szCs w:val="20"/>
          <w:lang w:val="en"/>
        </w:rPr>
        <w:t xml:space="preserve">Seventeen </w:t>
      </w:r>
      <w:r>
        <w:rPr>
          <w:rFonts w:cs="Arial"/>
          <w:szCs w:val="20"/>
          <w:lang w:val="en"/>
        </w:rPr>
        <w:t xml:space="preserve">submissions were </w:t>
      </w:r>
      <w:r w:rsidR="00777F84">
        <w:rPr>
          <w:rFonts w:cs="Arial"/>
          <w:szCs w:val="20"/>
          <w:lang w:val="en"/>
        </w:rPr>
        <w:t>received to the discussion paper from the following organisations:</w:t>
      </w:r>
    </w:p>
    <w:p w14:paraId="4D8DD68D" w14:textId="4DE1DA42" w:rsidR="00777F84" w:rsidRPr="00777F84" w:rsidRDefault="00777F84" w:rsidP="00777F84">
      <w:pPr>
        <w:pStyle w:val="ListBullet"/>
        <w:rPr>
          <w:rFonts w:cs="Arial"/>
        </w:rPr>
      </w:pPr>
      <w:r w:rsidRPr="00777F84">
        <w:rPr>
          <w:rFonts w:cs="Arial"/>
        </w:rPr>
        <w:t>Alcatel-Lucent</w:t>
      </w:r>
      <w:r w:rsidR="00BC7DED">
        <w:rPr>
          <w:rStyle w:val="FootnoteReference"/>
          <w:rFonts w:cs="Arial"/>
        </w:rPr>
        <w:footnoteReference w:id="2"/>
      </w:r>
    </w:p>
    <w:p w14:paraId="556CCF8A" w14:textId="77777777" w:rsidR="00777F84" w:rsidRPr="00777F84" w:rsidRDefault="00777F84" w:rsidP="00777F84">
      <w:pPr>
        <w:pStyle w:val="ListBullet"/>
        <w:rPr>
          <w:rFonts w:cs="Arial"/>
        </w:rPr>
      </w:pPr>
      <w:r w:rsidRPr="00777F84">
        <w:rPr>
          <w:rFonts w:cs="Arial"/>
        </w:rPr>
        <w:t>Australian Mobile Telecommunications Association (AMTA)</w:t>
      </w:r>
    </w:p>
    <w:p w14:paraId="4A62C5B0" w14:textId="77777777" w:rsidR="00777F84" w:rsidRPr="00777F84" w:rsidRDefault="00777F84" w:rsidP="00777F84">
      <w:pPr>
        <w:pStyle w:val="ListBullet"/>
        <w:rPr>
          <w:rFonts w:cs="Arial"/>
        </w:rPr>
      </w:pPr>
      <w:r w:rsidRPr="00777F84">
        <w:rPr>
          <w:rFonts w:cs="Arial"/>
        </w:rPr>
        <w:t>Australian Subscription Television and Radio Association (ASTRA)</w:t>
      </w:r>
    </w:p>
    <w:p w14:paraId="2E6283E3" w14:textId="146A5D08" w:rsidR="0054222D" w:rsidRDefault="0054222D" w:rsidP="00777F84">
      <w:pPr>
        <w:pStyle w:val="ListBullet"/>
        <w:rPr>
          <w:rFonts w:cs="Arial"/>
        </w:rPr>
      </w:pPr>
      <w:r>
        <w:rPr>
          <w:rFonts w:cs="Arial"/>
        </w:rPr>
        <w:t>Bureau of Meteorology (BoM)</w:t>
      </w:r>
    </w:p>
    <w:p w14:paraId="4A46C1A3" w14:textId="77777777" w:rsidR="00777F84" w:rsidRPr="00777F84" w:rsidRDefault="00777F84" w:rsidP="00777F84">
      <w:pPr>
        <w:pStyle w:val="ListBullet"/>
        <w:rPr>
          <w:rFonts w:cs="Arial"/>
        </w:rPr>
      </w:pPr>
      <w:r w:rsidRPr="00777F84">
        <w:rPr>
          <w:rFonts w:cs="Arial"/>
        </w:rPr>
        <w:t>Communications Alliance</w:t>
      </w:r>
    </w:p>
    <w:p w14:paraId="177F55BF" w14:textId="77777777" w:rsidR="00777F84" w:rsidRPr="00777F84" w:rsidRDefault="00777F84" w:rsidP="00777F84">
      <w:pPr>
        <w:pStyle w:val="ListBullet"/>
        <w:rPr>
          <w:rFonts w:cs="Arial"/>
        </w:rPr>
      </w:pPr>
      <w:r w:rsidRPr="00777F84">
        <w:rPr>
          <w:rFonts w:cs="Arial"/>
        </w:rPr>
        <w:t>Defence</w:t>
      </w:r>
    </w:p>
    <w:p w14:paraId="0B093776" w14:textId="77777777" w:rsidR="00777F84" w:rsidRPr="00777F84" w:rsidRDefault="00777F84" w:rsidP="00777F84">
      <w:pPr>
        <w:pStyle w:val="ListBullet"/>
        <w:rPr>
          <w:rFonts w:cs="Arial"/>
        </w:rPr>
      </w:pPr>
      <w:r w:rsidRPr="00777F84">
        <w:rPr>
          <w:rFonts w:cs="Arial"/>
        </w:rPr>
        <w:t>Foxtel</w:t>
      </w:r>
    </w:p>
    <w:p w14:paraId="7BA170BF" w14:textId="77777777" w:rsidR="00777F84" w:rsidRPr="00777F84" w:rsidRDefault="00777F84" w:rsidP="00777F84">
      <w:pPr>
        <w:pStyle w:val="ListBullet"/>
        <w:rPr>
          <w:rFonts w:cs="Arial"/>
        </w:rPr>
      </w:pPr>
      <w:r w:rsidRPr="00777F84">
        <w:rPr>
          <w:rFonts w:cs="Arial"/>
        </w:rPr>
        <w:t>Global VSat Forum (GVF)</w:t>
      </w:r>
    </w:p>
    <w:p w14:paraId="7B6F4924" w14:textId="77777777" w:rsidR="00777F84" w:rsidRPr="00777F84" w:rsidRDefault="00777F84" w:rsidP="00777F84">
      <w:pPr>
        <w:pStyle w:val="ListBullet"/>
        <w:rPr>
          <w:rFonts w:cs="Arial"/>
        </w:rPr>
      </w:pPr>
      <w:r w:rsidRPr="00777F84">
        <w:rPr>
          <w:rFonts w:cs="Arial"/>
        </w:rPr>
        <w:t>GSMA</w:t>
      </w:r>
    </w:p>
    <w:p w14:paraId="7755F0B9" w14:textId="77777777" w:rsidR="00777F84" w:rsidRDefault="00777F84" w:rsidP="00777F84">
      <w:pPr>
        <w:pStyle w:val="ListBullet"/>
        <w:rPr>
          <w:rFonts w:cs="Arial"/>
        </w:rPr>
      </w:pPr>
      <w:r w:rsidRPr="00777F84">
        <w:rPr>
          <w:rFonts w:cs="Arial"/>
        </w:rPr>
        <w:t>Inmarsat</w:t>
      </w:r>
    </w:p>
    <w:p w14:paraId="4C530CF8" w14:textId="77777777" w:rsidR="00B23D27" w:rsidRPr="00A7109E" w:rsidRDefault="00B23D27" w:rsidP="00B23D27">
      <w:pPr>
        <w:pStyle w:val="ListBullet"/>
      </w:pPr>
      <w:r w:rsidRPr="00A7109E">
        <w:t>Madhulika Tripathi</w:t>
      </w:r>
    </w:p>
    <w:p w14:paraId="3700D2C8" w14:textId="77777777" w:rsidR="00777F84" w:rsidRPr="00777F84" w:rsidRDefault="00777F84" w:rsidP="00777F84">
      <w:pPr>
        <w:pStyle w:val="ListBullet"/>
        <w:rPr>
          <w:rFonts w:cs="Arial"/>
        </w:rPr>
      </w:pPr>
      <w:r w:rsidRPr="00777F84">
        <w:rPr>
          <w:rFonts w:cs="Arial"/>
        </w:rPr>
        <w:t>Mississippi Consulting</w:t>
      </w:r>
    </w:p>
    <w:p w14:paraId="35A319F3" w14:textId="3296EED2" w:rsidR="00777F84" w:rsidRPr="00777F84" w:rsidRDefault="001D6ABD" w:rsidP="00777F84">
      <w:pPr>
        <w:pStyle w:val="ListBullet"/>
        <w:rPr>
          <w:rFonts w:cs="Arial"/>
        </w:rPr>
      </w:pPr>
      <w:r>
        <w:rPr>
          <w:rFonts w:cs="Arial"/>
        </w:rPr>
        <w:t>NBN Co Limited</w:t>
      </w:r>
      <w:r w:rsidR="008869EA">
        <w:rPr>
          <w:rFonts w:cs="Arial"/>
        </w:rPr>
        <w:t xml:space="preserve"> (nbn)</w:t>
      </w:r>
    </w:p>
    <w:p w14:paraId="4D274A35" w14:textId="77777777" w:rsidR="00777F84" w:rsidRDefault="00777F84" w:rsidP="00777F84">
      <w:pPr>
        <w:pStyle w:val="ListBullet"/>
        <w:rPr>
          <w:rFonts w:cs="Arial"/>
        </w:rPr>
      </w:pPr>
      <w:r w:rsidRPr="00777F84">
        <w:rPr>
          <w:rFonts w:cs="Arial"/>
        </w:rPr>
        <w:t>Omnispace Australia</w:t>
      </w:r>
    </w:p>
    <w:p w14:paraId="501D9472" w14:textId="2C3AD5D3" w:rsidR="00B23D27" w:rsidRPr="00777F84" w:rsidRDefault="00B23D27" w:rsidP="00777F84">
      <w:pPr>
        <w:pStyle w:val="ListBullet"/>
        <w:rPr>
          <w:rFonts w:cs="Arial"/>
        </w:rPr>
      </w:pPr>
      <w:r>
        <w:rPr>
          <w:rFonts w:cs="Arial"/>
        </w:rPr>
        <w:t>Optus</w:t>
      </w:r>
    </w:p>
    <w:p w14:paraId="77569F4E" w14:textId="77777777" w:rsidR="00777F84" w:rsidRPr="00777F84" w:rsidRDefault="00777F84" w:rsidP="00777F84">
      <w:pPr>
        <w:pStyle w:val="ListBullet"/>
        <w:rPr>
          <w:rFonts w:cs="Arial"/>
        </w:rPr>
      </w:pPr>
      <w:r w:rsidRPr="00777F84">
        <w:rPr>
          <w:rFonts w:cs="Arial"/>
        </w:rPr>
        <w:t>Taggle Systems</w:t>
      </w:r>
    </w:p>
    <w:p w14:paraId="512A5B30" w14:textId="5C8A80A2" w:rsidR="00777F84" w:rsidRPr="00777F84" w:rsidRDefault="00777F84" w:rsidP="00807B1E">
      <w:pPr>
        <w:pStyle w:val="ListBullet"/>
        <w:spacing w:after="240"/>
        <w:rPr>
          <w:rFonts w:cs="Arial"/>
        </w:rPr>
      </w:pPr>
      <w:r w:rsidRPr="00777F84">
        <w:rPr>
          <w:rFonts w:cs="Arial"/>
        </w:rPr>
        <w:t>Telstra</w:t>
      </w:r>
      <w:r w:rsidR="001D6ABD">
        <w:rPr>
          <w:rFonts w:cs="Arial"/>
        </w:rPr>
        <w:t>.</w:t>
      </w:r>
    </w:p>
    <w:p w14:paraId="60F910FC" w14:textId="42FC54C9" w:rsidR="00777F84" w:rsidRDefault="0054222D" w:rsidP="00777F84">
      <w:pPr>
        <w:rPr>
          <w:rFonts w:cs="Arial"/>
        </w:rPr>
      </w:pPr>
      <w:r w:rsidRPr="0054222D">
        <w:rPr>
          <w:rFonts w:cs="Arial"/>
        </w:rPr>
        <w:t xml:space="preserve">Due to the concerns of some stakeholders that further or revised comment on the proposed work program may be </w:t>
      </w:r>
      <w:r w:rsidR="001D6ABD">
        <w:rPr>
          <w:rFonts w:cs="Arial"/>
        </w:rPr>
        <w:t>required</w:t>
      </w:r>
      <w:r w:rsidR="001D6ABD" w:rsidRPr="0054222D">
        <w:rPr>
          <w:rFonts w:cs="Arial"/>
        </w:rPr>
        <w:t xml:space="preserve"> </w:t>
      </w:r>
      <w:r w:rsidRPr="0054222D">
        <w:rPr>
          <w:rFonts w:cs="Arial"/>
        </w:rPr>
        <w:t xml:space="preserve">following </w:t>
      </w:r>
      <w:r w:rsidR="001D6ABD">
        <w:rPr>
          <w:rFonts w:cs="Arial"/>
        </w:rPr>
        <w:t xml:space="preserve">the </w:t>
      </w:r>
      <w:r w:rsidRPr="0054222D">
        <w:rPr>
          <w:rFonts w:cs="Arial"/>
        </w:rPr>
        <w:t xml:space="preserve">conclusion of WRC-15 </w:t>
      </w:r>
      <w:r w:rsidR="001D6ABD">
        <w:rPr>
          <w:rFonts w:cs="Arial"/>
        </w:rPr>
        <w:t>(</w:t>
      </w:r>
      <w:r w:rsidRPr="0054222D">
        <w:rPr>
          <w:rFonts w:cs="Arial"/>
        </w:rPr>
        <w:t>for example, in light of changes in the international planning status of a particular band</w:t>
      </w:r>
      <w:r w:rsidR="001D6ABD">
        <w:rPr>
          <w:rFonts w:cs="Arial"/>
        </w:rPr>
        <w:t>)</w:t>
      </w:r>
      <w:r w:rsidRPr="0054222D">
        <w:rPr>
          <w:rFonts w:cs="Arial"/>
        </w:rPr>
        <w:t xml:space="preserve">, supplementary submissions on the proposed work program </w:t>
      </w:r>
      <w:r>
        <w:rPr>
          <w:rFonts w:cs="Arial"/>
        </w:rPr>
        <w:t>were allowed up</w:t>
      </w:r>
      <w:r w:rsidRPr="0054222D">
        <w:rPr>
          <w:rFonts w:cs="Arial"/>
        </w:rPr>
        <w:t xml:space="preserve"> until Thursday 24 December 2015. </w:t>
      </w:r>
      <w:r w:rsidR="00B23D27">
        <w:rPr>
          <w:rFonts w:cs="Arial"/>
        </w:rPr>
        <w:t>Two</w:t>
      </w:r>
      <w:r w:rsidRPr="0054222D">
        <w:rPr>
          <w:rFonts w:cs="Arial"/>
        </w:rPr>
        <w:t xml:space="preserve"> supplementary submission</w:t>
      </w:r>
      <w:r w:rsidR="00B23D27">
        <w:rPr>
          <w:rFonts w:cs="Arial"/>
        </w:rPr>
        <w:t>s</w:t>
      </w:r>
      <w:r w:rsidRPr="0054222D">
        <w:rPr>
          <w:rFonts w:cs="Arial"/>
        </w:rPr>
        <w:t xml:space="preserve"> </w:t>
      </w:r>
      <w:r w:rsidR="00B23D27">
        <w:rPr>
          <w:rFonts w:cs="Arial"/>
        </w:rPr>
        <w:t>were</w:t>
      </w:r>
      <w:r>
        <w:rPr>
          <w:rFonts w:cs="Arial"/>
        </w:rPr>
        <w:t xml:space="preserve"> received</w:t>
      </w:r>
      <w:r w:rsidR="00E878F4">
        <w:rPr>
          <w:rFonts w:cs="Arial"/>
        </w:rPr>
        <w:t>,</w:t>
      </w:r>
      <w:r>
        <w:rPr>
          <w:rFonts w:cs="Arial"/>
        </w:rPr>
        <w:t xml:space="preserve"> from </w:t>
      </w:r>
      <w:r w:rsidR="00B23D27">
        <w:rPr>
          <w:rFonts w:cs="Arial"/>
        </w:rPr>
        <w:t xml:space="preserve">AMTA and </w:t>
      </w:r>
      <w:r>
        <w:rPr>
          <w:rFonts w:cs="Arial"/>
        </w:rPr>
        <w:t>Communications Alliance</w:t>
      </w:r>
      <w:r w:rsidRPr="0054222D">
        <w:rPr>
          <w:rFonts w:cs="Arial"/>
        </w:rPr>
        <w:t>.</w:t>
      </w:r>
    </w:p>
    <w:p w14:paraId="75AE4F2D" w14:textId="654D828D" w:rsidR="00777F84" w:rsidRDefault="00777F84" w:rsidP="00777F84">
      <w:pPr>
        <w:rPr>
          <w:rFonts w:cs="Arial"/>
        </w:rPr>
      </w:pPr>
      <w:r>
        <w:rPr>
          <w:rFonts w:cs="Arial"/>
        </w:rPr>
        <w:t xml:space="preserve">A brief summary of each submission is contained in Section 2 with a more detailed account of feedback to each issue in the discussion paper outlined in Section 3. </w:t>
      </w:r>
    </w:p>
    <w:p w14:paraId="3B205DD8" w14:textId="77777777" w:rsidR="00777F84" w:rsidRPr="000D76E0" w:rsidRDefault="00777F84" w:rsidP="00777F84">
      <w:pPr>
        <w:pStyle w:val="Heading1"/>
      </w:pPr>
      <w:bookmarkStart w:id="4" w:name="_Toc441074799"/>
      <w:bookmarkStart w:id="5" w:name="_Toc443910647"/>
      <w:r>
        <w:lastRenderedPageBreak/>
        <w:t>2</w:t>
      </w:r>
      <w:r>
        <w:tab/>
        <w:t>Summary of individual submissions</w:t>
      </w:r>
      <w:bookmarkEnd w:id="4"/>
      <w:bookmarkEnd w:id="5"/>
      <w:r>
        <w:t xml:space="preserve"> </w:t>
      </w:r>
    </w:p>
    <w:p w14:paraId="63BD01E8" w14:textId="78186F69" w:rsidR="00777F84" w:rsidRDefault="00D24FA5" w:rsidP="00777F84">
      <w:pPr>
        <w:rPr>
          <w:rFonts w:cs="Arial"/>
          <w:szCs w:val="20"/>
          <w:lang w:val="en"/>
        </w:rPr>
      </w:pPr>
      <w:r>
        <w:rPr>
          <w:rFonts w:cs="Arial"/>
          <w:szCs w:val="20"/>
          <w:lang w:val="en"/>
        </w:rPr>
        <w:t xml:space="preserve">Seventeen </w:t>
      </w:r>
      <w:r w:rsidR="00777F84">
        <w:rPr>
          <w:rFonts w:cs="Arial"/>
          <w:szCs w:val="20"/>
          <w:lang w:val="en"/>
        </w:rPr>
        <w:t xml:space="preserve">submissions </w:t>
      </w:r>
      <w:r w:rsidR="003C7CB9">
        <w:rPr>
          <w:rFonts w:cs="Arial"/>
          <w:szCs w:val="20"/>
          <w:lang w:val="en"/>
        </w:rPr>
        <w:t xml:space="preserve">and </w:t>
      </w:r>
      <w:r w:rsidR="00593DDE">
        <w:rPr>
          <w:rFonts w:cs="Arial"/>
          <w:szCs w:val="20"/>
          <w:lang w:val="en"/>
        </w:rPr>
        <w:t xml:space="preserve">two </w:t>
      </w:r>
      <w:r w:rsidR="003C7CB9">
        <w:rPr>
          <w:rFonts w:cs="Arial"/>
          <w:szCs w:val="20"/>
          <w:lang w:val="en"/>
        </w:rPr>
        <w:t>supplementary submission</w:t>
      </w:r>
      <w:r w:rsidR="00593DDE">
        <w:rPr>
          <w:rFonts w:cs="Arial"/>
          <w:szCs w:val="20"/>
          <w:lang w:val="en"/>
        </w:rPr>
        <w:t>s</w:t>
      </w:r>
      <w:r w:rsidR="003C7CB9">
        <w:rPr>
          <w:rFonts w:cs="Arial"/>
          <w:szCs w:val="20"/>
          <w:lang w:val="en"/>
        </w:rPr>
        <w:t xml:space="preserve"> </w:t>
      </w:r>
      <w:r w:rsidR="00777F84">
        <w:rPr>
          <w:rFonts w:cs="Arial"/>
          <w:szCs w:val="20"/>
          <w:lang w:val="en"/>
        </w:rPr>
        <w:t xml:space="preserve">were received to the </w:t>
      </w:r>
      <w:r w:rsidR="00777F84" w:rsidRPr="00F3138B">
        <w:rPr>
          <w:rFonts w:cs="Arial"/>
          <w:i/>
          <w:szCs w:val="20"/>
          <w:lang w:val="en"/>
        </w:rPr>
        <w:t>Beyond 2020</w:t>
      </w:r>
      <w:r w:rsidR="00777F84">
        <w:rPr>
          <w:rFonts w:cs="Arial"/>
          <w:szCs w:val="20"/>
          <w:lang w:val="en"/>
        </w:rPr>
        <w:t xml:space="preserve"> discussion paper. A brief summary of </w:t>
      </w:r>
      <w:r w:rsidR="003C7CB9">
        <w:rPr>
          <w:rFonts w:cs="Arial"/>
          <w:szCs w:val="20"/>
          <w:lang w:val="en"/>
        </w:rPr>
        <w:t xml:space="preserve">the submissions from </w:t>
      </w:r>
      <w:r w:rsidR="00777F84">
        <w:rPr>
          <w:rFonts w:cs="Arial"/>
          <w:szCs w:val="20"/>
          <w:lang w:val="en"/>
        </w:rPr>
        <w:t>each individual</w:t>
      </w:r>
      <w:r w:rsidR="003C7CB9">
        <w:rPr>
          <w:rFonts w:cs="Arial"/>
          <w:szCs w:val="20"/>
          <w:lang w:val="en"/>
        </w:rPr>
        <w:t xml:space="preserve"> organisation</w:t>
      </w:r>
      <w:r w:rsidR="00777F84">
        <w:rPr>
          <w:rFonts w:cs="Arial"/>
          <w:szCs w:val="20"/>
          <w:lang w:val="en"/>
        </w:rPr>
        <w:t xml:space="preserve"> is provided below.</w:t>
      </w:r>
    </w:p>
    <w:p w14:paraId="64FF0456" w14:textId="77777777" w:rsidR="00777F84" w:rsidRPr="00777F84" w:rsidRDefault="00777F84" w:rsidP="00777F84">
      <w:pPr>
        <w:pStyle w:val="Heading2"/>
      </w:pPr>
      <w:bookmarkStart w:id="6" w:name="_Toc441074800"/>
      <w:bookmarkStart w:id="7" w:name="_Toc441235773"/>
      <w:bookmarkStart w:id="8" w:name="_Toc442428348"/>
      <w:bookmarkStart w:id="9" w:name="_Toc443910648"/>
      <w:r w:rsidRPr="00777F84">
        <w:t>Alcatel-Lucent</w:t>
      </w:r>
      <w:bookmarkEnd w:id="6"/>
      <w:bookmarkEnd w:id="7"/>
      <w:bookmarkEnd w:id="8"/>
      <w:bookmarkEnd w:id="9"/>
    </w:p>
    <w:p w14:paraId="1587CEBA" w14:textId="0E385B50" w:rsidR="00B24F33" w:rsidRPr="00777F84" w:rsidRDefault="00B24F33" w:rsidP="00B24F33">
      <w:pPr>
        <w:rPr>
          <w:rFonts w:cs="Arial"/>
          <w:szCs w:val="20"/>
          <w:lang w:val="en"/>
        </w:rPr>
      </w:pPr>
      <w:r>
        <w:rPr>
          <w:rFonts w:cs="Arial"/>
          <w:szCs w:val="20"/>
          <w:lang w:val="en"/>
        </w:rPr>
        <w:t>Alcatel-Lucent generally supported the ACMA’s</w:t>
      </w:r>
      <w:r w:rsidR="00FB3BDE" w:rsidRPr="004F7A12">
        <w:rPr>
          <w:rFonts w:cs="Arial"/>
          <w:szCs w:val="20"/>
          <w:lang w:val="en"/>
        </w:rPr>
        <w:t xml:space="preserve"> shift towards a holistic approach in spectrum allocation</w:t>
      </w:r>
      <w:r>
        <w:rPr>
          <w:rFonts w:cs="Arial"/>
          <w:szCs w:val="20"/>
          <w:lang w:val="en"/>
        </w:rPr>
        <w:t xml:space="preserve">, noting that it would </w:t>
      </w:r>
      <w:r w:rsidR="00FB3BDE" w:rsidRPr="004F7A12">
        <w:rPr>
          <w:rFonts w:cs="Arial"/>
          <w:szCs w:val="20"/>
          <w:lang w:val="en"/>
        </w:rPr>
        <w:t>deliver greater flexibility</w:t>
      </w:r>
      <w:r>
        <w:rPr>
          <w:rFonts w:cs="Arial"/>
          <w:szCs w:val="20"/>
          <w:lang w:val="en"/>
        </w:rPr>
        <w:t xml:space="preserve">. While Alcatel-Lucent shared the </w:t>
      </w:r>
      <w:r w:rsidR="0013633D">
        <w:rPr>
          <w:rFonts w:cs="Arial"/>
          <w:szCs w:val="20"/>
          <w:lang w:val="en"/>
        </w:rPr>
        <w:t xml:space="preserve">10 </w:t>
      </w:r>
      <w:r>
        <w:rPr>
          <w:rFonts w:cs="Arial"/>
          <w:szCs w:val="20"/>
          <w:lang w:val="en"/>
        </w:rPr>
        <w:t xml:space="preserve">assumptions developed in </w:t>
      </w:r>
      <w:r w:rsidRPr="00F3138B">
        <w:rPr>
          <w:rFonts w:cs="Arial"/>
          <w:i/>
          <w:szCs w:val="20"/>
          <w:lang w:val="en"/>
        </w:rPr>
        <w:t>Beyond 2020</w:t>
      </w:r>
      <w:r>
        <w:rPr>
          <w:rFonts w:cs="Arial"/>
          <w:szCs w:val="20"/>
          <w:lang w:val="en"/>
        </w:rPr>
        <w:t xml:space="preserve"> and welcomed the five strategies, they recommended </w:t>
      </w:r>
      <w:r w:rsidR="003C7CB9">
        <w:rPr>
          <w:rFonts w:cs="Arial"/>
          <w:szCs w:val="20"/>
          <w:lang w:val="en"/>
        </w:rPr>
        <w:t xml:space="preserve">that </w:t>
      </w:r>
      <w:r>
        <w:rPr>
          <w:rFonts w:cs="Arial"/>
          <w:szCs w:val="20"/>
          <w:lang w:val="en"/>
        </w:rPr>
        <w:t xml:space="preserve">the </w:t>
      </w:r>
      <w:r w:rsidR="00FB3BDE" w:rsidRPr="004F7A12">
        <w:rPr>
          <w:rFonts w:cs="Arial"/>
          <w:szCs w:val="20"/>
          <w:lang w:val="en"/>
        </w:rPr>
        <w:t>ACMA maintain a pragmatic approach to the market</w:t>
      </w:r>
      <w:r>
        <w:rPr>
          <w:rFonts w:cs="Arial"/>
          <w:szCs w:val="20"/>
          <w:lang w:val="en"/>
        </w:rPr>
        <w:t xml:space="preserve"> and </w:t>
      </w:r>
      <w:r w:rsidRPr="00B24F33">
        <w:rPr>
          <w:rFonts w:cs="Arial"/>
          <w:szCs w:val="20"/>
          <w:lang w:val="en"/>
        </w:rPr>
        <w:t>take into account the reality of spectrum allocation and deployment.</w:t>
      </w:r>
      <w:r>
        <w:rPr>
          <w:rFonts w:cs="Arial"/>
          <w:szCs w:val="20"/>
          <w:lang w:val="en"/>
        </w:rPr>
        <w:t xml:space="preserve"> They suggested </w:t>
      </w:r>
      <w:r w:rsidRPr="00B24F33">
        <w:rPr>
          <w:rFonts w:cs="Arial"/>
          <w:szCs w:val="20"/>
          <w:lang w:val="en"/>
        </w:rPr>
        <w:t xml:space="preserve">that </w:t>
      </w:r>
      <w:r>
        <w:rPr>
          <w:rFonts w:cs="Arial"/>
          <w:szCs w:val="20"/>
          <w:lang w:val="en"/>
        </w:rPr>
        <w:t xml:space="preserve">the </w:t>
      </w:r>
      <w:r w:rsidRPr="00B24F33">
        <w:rPr>
          <w:rFonts w:cs="Arial"/>
          <w:szCs w:val="20"/>
          <w:lang w:val="en"/>
        </w:rPr>
        <w:t>ACMA adopt a more proactive approach in the identification of new spectrum bands and actively engage with industry on this topic</w:t>
      </w:r>
      <w:r w:rsidR="003C7CB9">
        <w:rPr>
          <w:rFonts w:cs="Arial"/>
          <w:szCs w:val="20"/>
          <w:lang w:val="en"/>
        </w:rPr>
        <w:t xml:space="preserve">. They </w:t>
      </w:r>
      <w:r>
        <w:rPr>
          <w:rFonts w:cs="Arial"/>
          <w:szCs w:val="20"/>
          <w:lang w:val="en"/>
        </w:rPr>
        <w:t xml:space="preserve">noted that </w:t>
      </w:r>
      <w:r w:rsidRPr="00B24F33">
        <w:rPr>
          <w:rFonts w:cs="Arial"/>
          <w:szCs w:val="20"/>
          <w:lang w:val="en"/>
        </w:rPr>
        <w:t>Australia is playing a key role internationally (ITU) and regionally (APT) and it must continue.</w:t>
      </w:r>
    </w:p>
    <w:p w14:paraId="5DC766D6" w14:textId="45ADF991" w:rsidR="00B24F33" w:rsidRPr="00B24F33" w:rsidRDefault="00B24F33" w:rsidP="00B24F33">
      <w:pPr>
        <w:rPr>
          <w:rFonts w:cs="Arial"/>
          <w:szCs w:val="20"/>
          <w:lang w:val="en"/>
        </w:rPr>
      </w:pPr>
      <w:r>
        <w:rPr>
          <w:rFonts w:cs="Arial"/>
          <w:szCs w:val="20"/>
          <w:lang w:val="en"/>
        </w:rPr>
        <w:t>Alcatel-Lucent welcomed</w:t>
      </w:r>
      <w:r w:rsidRPr="00B24F33">
        <w:rPr>
          <w:rFonts w:cs="Arial"/>
          <w:szCs w:val="20"/>
          <w:lang w:val="en"/>
        </w:rPr>
        <w:t xml:space="preserve"> the ACMA</w:t>
      </w:r>
      <w:r w:rsidR="00AD5E2A">
        <w:rPr>
          <w:rFonts w:cs="Arial"/>
          <w:szCs w:val="20"/>
          <w:lang w:val="en"/>
        </w:rPr>
        <w:t>’s</w:t>
      </w:r>
      <w:r w:rsidRPr="00B24F33">
        <w:rPr>
          <w:rFonts w:cs="Arial"/>
          <w:szCs w:val="20"/>
          <w:lang w:val="en"/>
        </w:rPr>
        <w:t xml:space="preserve"> </w:t>
      </w:r>
      <w:r w:rsidR="003C7CB9">
        <w:rPr>
          <w:rFonts w:cs="Arial"/>
          <w:szCs w:val="20"/>
          <w:lang w:val="en"/>
        </w:rPr>
        <w:t xml:space="preserve">proposed </w:t>
      </w:r>
      <w:r w:rsidR="003C7CB9">
        <w:t xml:space="preserve">transparent spectrum management planning process. </w:t>
      </w:r>
      <w:r w:rsidR="00AD5E2A">
        <w:t>However,</w:t>
      </w:r>
      <w:r w:rsidR="003C7CB9">
        <w:t xml:space="preserve"> </w:t>
      </w:r>
      <w:r>
        <w:rPr>
          <w:rFonts w:cs="Arial"/>
          <w:szCs w:val="20"/>
          <w:lang w:val="en"/>
        </w:rPr>
        <w:t>they</w:t>
      </w:r>
      <w:r w:rsidRPr="00B24F33">
        <w:rPr>
          <w:rFonts w:cs="Arial"/>
          <w:szCs w:val="20"/>
          <w:lang w:val="en"/>
        </w:rPr>
        <w:t xml:space="preserve"> </w:t>
      </w:r>
      <w:r w:rsidR="003C7CB9">
        <w:rPr>
          <w:rFonts w:cs="Arial"/>
          <w:szCs w:val="20"/>
          <w:lang w:val="en"/>
        </w:rPr>
        <w:t xml:space="preserve">believed </w:t>
      </w:r>
      <w:r w:rsidRPr="00B24F33">
        <w:rPr>
          <w:rFonts w:cs="Arial"/>
          <w:szCs w:val="20"/>
          <w:lang w:val="en"/>
        </w:rPr>
        <w:t>the different proposed stages, as described, appear unclear, particular</w:t>
      </w:r>
      <w:r w:rsidR="00AD5E2A">
        <w:rPr>
          <w:rFonts w:cs="Arial"/>
          <w:szCs w:val="20"/>
          <w:lang w:val="en"/>
        </w:rPr>
        <w:t>ly</w:t>
      </w:r>
      <w:r w:rsidRPr="00B24F33">
        <w:rPr>
          <w:rFonts w:cs="Arial"/>
          <w:szCs w:val="20"/>
          <w:lang w:val="en"/>
        </w:rPr>
        <w:t xml:space="preserve"> in relation to how a spectrum band may progress to another stage.</w:t>
      </w:r>
    </w:p>
    <w:p w14:paraId="54637BC4" w14:textId="77777777" w:rsidR="00777F84" w:rsidRPr="00777F84" w:rsidRDefault="00777F84" w:rsidP="00777F84">
      <w:pPr>
        <w:pStyle w:val="Heading2"/>
      </w:pPr>
      <w:bookmarkStart w:id="10" w:name="_Toc441074801"/>
      <w:bookmarkStart w:id="11" w:name="_Toc441235774"/>
      <w:bookmarkStart w:id="12" w:name="_Toc442428349"/>
      <w:bookmarkStart w:id="13" w:name="_Toc443910649"/>
      <w:r w:rsidRPr="00777F84">
        <w:t>Australian Mobile Telecommunications Association (AMTA)</w:t>
      </w:r>
      <w:bookmarkEnd w:id="10"/>
      <w:bookmarkEnd w:id="11"/>
      <w:bookmarkEnd w:id="12"/>
      <w:bookmarkEnd w:id="13"/>
    </w:p>
    <w:p w14:paraId="078FE426" w14:textId="01B560E1" w:rsidR="00777F84" w:rsidRPr="00607088" w:rsidRDefault="00B51954" w:rsidP="00777F84">
      <w:pPr>
        <w:rPr>
          <w:rFonts w:cs="Arial"/>
        </w:rPr>
      </w:pPr>
      <w:r w:rsidRPr="00607088">
        <w:rPr>
          <w:rFonts w:cs="Arial"/>
        </w:rPr>
        <w:t>AMTA support</w:t>
      </w:r>
      <w:r w:rsidR="003C7CB9" w:rsidRPr="00607088">
        <w:rPr>
          <w:rFonts w:cs="Arial"/>
        </w:rPr>
        <w:t>ed</w:t>
      </w:r>
      <w:r w:rsidRPr="00607088">
        <w:rPr>
          <w:rFonts w:cs="Arial"/>
        </w:rPr>
        <w:t xml:space="preserve"> the ACMA in its move away from focussing on explicit quantitative targets of spectrum to be made available for mobile broadband. AMTA agree</w:t>
      </w:r>
      <w:r w:rsidR="003C7CB9" w:rsidRPr="00607088">
        <w:rPr>
          <w:rFonts w:cs="Arial"/>
        </w:rPr>
        <w:t>d</w:t>
      </w:r>
      <w:r w:rsidRPr="00607088">
        <w:rPr>
          <w:rFonts w:cs="Arial"/>
        </w:rPr>
        <w:t xml:space="preserve"> that the ACMA’s proposed adoption of a holistic approach will enable greater flexibility and responsiveness in meeting the demand for spectrum for </w:t>
      </w:r>
      <w:r w:rsidR="00607088" w:rsidRPr="00607088">
        <w:rPr>
          <w:rFonts w:cs="Arial"/>
        </w:rPr>
        <w:t>mobile broadband</w:t>
      </w:r>
      <w:r w:rsidRPr="00607088">
        <w:rPr>
          <w:rFonts w:cs="Arial"/>
        </w:rPr>
        <w:t xml:space="preserve"> as well as other uses.</w:t>
      </w:r>
    </w:p>
    <w:p w14:paraId="64671316" w14:textId="3E4C0578" w:rsidR="002D35A8" w:rsidRPr="00607088" w:rsidRDefault="002D35A8" w:rsidP="00777F84">
      <w:pPr>
        <w:rPr>
          <w:rFonts w:cs="Arial"/>
        </w:rPr>
      </w:pPr>
      <w:r w:rsidRPr="00607088">
        <w:rPr>
          <w:rFonts w:cs="Arial"/>
        </w:rPr>
        <w:t xml:space="preserve">AMTA </w:t>
      </w:r>
      <w:r w:rsidR="00607088" w:rsidRPr="00607088">
        <w:rPr>
          <w:rFonts w:cs="Arial"/>
        </w:rPr>
        <w:t>noted</w:t>
      </w:r>
      <w:r w:rsidRPr="00607088">
        <w:rPr>
          <w:rFonts w:cs="Arial"/>
        </w:rPr>
        <w:t xml:space="preserve"> that while spectrum is a vital resource for mobile network operators, it also represents a significant investment, with acquisition decisions subject to high levels of analysis and scrutiny. </w:t>
      </w:r>
      <w:r w:rsidR="00607088" w:rsidRPr="00607088">
        <w:rPr>
          <w:rFonts w:cs="Arial"/>
        </w:rPr>
        <w:t>AMTA asserted that mobile o</w:t>
      </w:r>
      <w:r w:rsidRPr="00607088">
        <w:rPr>
          <w:rFonts w:cs="Arial"/>
        </w:rPr>
        <w:t xml:space="preserve">perators always look to use their spectrum assets as efficiently as possible to deliver the required capacity to their customers by the most effective means—including deployment of additional infrastructure and more </w:t>
      </w:r>
      <w:r w:rsidR="00B67FCF" w:rsidRPr="00607088">
        <w:rPr>
          <w:rFonts w:cs="Arial"/>
        </w:rPr>
        <w:t>spectrally efficient</w:t>
      </w:r>
      <w:r w:rsidRPr="00607088">
        <w:rPr>
          <w:rFonts w:cs="Arial"/>
        </w:rPr>
        <w:t xml:space="preserve"> technologies. Moreover, AMTA submit</w:t>
      </w:r>
      <w:r w:rsidR="00607088" w:rsidRPr="00607088">
        <w:rPr>
          <w:rFonts w:cs="Arial"/>
        </w:rPr>
        <w:t>ted</w:t>
      </w:r>
      <w:r w:rsidRPr="00607088">
        <w:rPr>
          <w:rFonts w:cs="Arial"/>
        </w:rPr>
        <w:t xml:space="preserve"> that the requirement to use spectrum efficiently must be an imperative for all spectrum uses</w:t>
      </w:r>
      <w:r w:rsidR="00AD5E2A">
        <w:rPr>
          <w:rFonts w:cs="Arial"/>
        </w:rPr>
        <w:t xml:space="preserve">, </w:t>
      </w:r>
      <w:r w:rsidRPr="00607088">
        <w:rPr>
          <w:rFonts w:cs="Arial"/>
        </w:rPr>
        <w:t xml:space="preserve">not only spectrum used for </w:t>
      </w:r>
      <w:r w:rsidR="00607088" w:rsidRPr="00607088">
        <w:rPr>
          <w:rFonts w:cs="Arial"/>
        </w:rPr>
        <w:t>mobile broadband</w:t>
      </w:r>
      <w:r w:rsidRPr="00607088">
        <w:rPr>
          <w:rFonts w:cs="Arial"/>
        </w:rPr>
        <w:t>.</w:t>
      </w:r>
    </w:p>
    <w:p w14:paraId="3B35A5D0" w14:textId="1441620A" w:rsidR="00FD2879" w:rsidRPr="00607088" w:rsidRDefault="00607088" w:rsidP="00777F84">
      <w:pPr>
        <w:rPr>
          <w:rFonts w:cs="Arial"/>
        </w:rPr>
      </w:pPr>
      <w:r w:rsidRPr="00607088">
        <w:rPr>
          <w:rFonts w:cs="Arial"/>
        </w:rPr>
        <w:t xml:space="preserve">AMTA believes that the </w:t>
      </w:r>
      <w:r w:rsidR="00FD2879" w:rsidRPr="00607088">
        <w:rPr>
          <w:rFonts w:cs="Arial"/>
        </w:rPr>
        <w:t>ACMA’s approach to spectrum planning needs to be more proactive at both a domestic and international level to ensure long lead times are minimised and prevented from inhibiting use and innovation in Australia.</w:t>
      </w:r>
    </w:p>
    <w:p w14:paraId="46999A3F" w14:textId="057AA59D" w:rsidR="00FD2879" w:rsidRPr="00607088" w:rsidRDefault="00FD2879" w:rsidP="003C7CB9">
      <w:pPr>
        <w:rPr>
          <w:rFonts w:cs="Arial"/>
        </w:rPr>
      </w:pPr>
      <w:r w:rsidRPr="00607088">
        <w:rPr>
          <w:rFonts w:cs="Arial"/>
        </w:rPr>
        <w:t xml:space="preserve">AMTA believes that Australia’s fundamental spectrum policy approach should be to maximise flexibility and keep all viable options open in relation to future spectrum bands for </w:t>
      </w:r>
      <w:r w:rsidR="00607088" w:rsidRPr="00607088">
        <w:rPr>
          <w:rFonts w:cs="Arial"/>
        </w:rPr>
        <w:t>mobile broadband</w:t>
      </w:r>
      <w:r w:rsidRPr="00607088">
        <w:rPr>
          <w:rFonts w:cs="Arial"/>
        </w:rPr>
        <w:t xml:space="preserve"> services. </w:t>
      </w:r>
      <w:r w:rsidR="00607088" w:rsidRPr="00607088">
        <w:rPr>
          <w:rFonts w:cs="Arial"/>
        </w:rPr>
        <w:t>AMTA stated that s</w:t>
      </w:r>
      <w:r w:rsidRPr="00607088">
        <w:rPr>
          <w:rFonts w:cs="Arial"/>
        </w:rPr>
        <w:t>uch an approach is important if longer</w:t>
      </w:r>
      <w:r w:rsidR="00AD5E2A">
        <w:rPr>
          <w:rFonts w:cs="Arial"/>
        </w:rPr>
        <w:t>-</w:t>
      </w:r>
      <w:r w:rsidRPr="00607088">
        <w:rPr>
          <w:rFonts w:cs="Arial"/>
        </w:rPr>
        <w:t xml:space="preserve">term spectrum options for </w:t>
      </w:r>
      <w:r w:rsidR="00607088" w:rsidRPr="00607088">
        <w:rPr>
          <w:rFonts w:cs="Arial"/>
        </w:rPr>
        <w:t>mobile broadband</w:t>
      </w:r>
      <w:r w:rsidRPr="00607088">
        <w:rPr>
          <w:rFonts w:cs="Arial"/>
        </w:rPr>
        <w:t xml:space="preserve"> </w:t>
      </w:r>
      <w:r w:rsidR="00607088" w:rsidRPr="00607088">
        <w:rPr>
          <w:rFonts w:cs="Arial"/>
        </w:rPr>
        <w:t xml:space="preserve">are to be created </w:t>
      </w:r>
      <w:r w:rsidRPr="00607088">
        <w:rPr>
          <w:rFonts w:cs="Arial"/>
        </w:rPr>
        <w:t>that can be used to ensure that Australia continues to be a competitive, innovative and productive economy.</w:t>
      </w:r>
    </w:p>
    <w:p w14:paraId="226A14DE" w14:textId="4ACBA03B" w:rsidR="00DE4906" w:rsidRPr="00607088" w:rsidRDefault="00DE4906" w:rsidP="003C7CB9">
      <w:pPr>
        <w:rPr>
          <w:rFonts w:cs="Arial"/>
        </w:rPr>
      </w:pPr>
      <w:r w:rsidRPr="00607088">
        <w:rPr>
          <w:rFonts w:cs="Arial"/>
        </w:rPr>
        <w:lastRenderedPageBreak/>
        <w:t xml:space="preserve">AMTA promoted more proactive consideration of </w:t>
      </w:r>
      <w:r w:rsidR="00607088" w:rsidRPr="00607088">
        <w:rPr>
          <w:rFonts w:cs="Arial"/>
        </w:rPr>
        <w:t>the 2700</w:t>
      </w:r>
      <w:r w:rsidR="00AD5E2A">
        <w:rPr>
          <w:rFonts w:cs="Arial"/>
        </w:rPr>
        <w:t>–</w:t>
      </w:r>
      <w:r w:rsidR="00607088" w:rsidRPr="00607088">
        <w:rPr>
          <w:rFonts w:cs="Arial"/>
        </w:rPr>
        <w:t>2900 MHz band, the 900 </w:t>
      </w:r>
      <w:r w:rsidRPr="00607088">
        <w:rPr>
          <w:rFonts w:cs="Arial"/>
        </w:rPr>
        <w:t>MHz band, the 3400</w:t>
      </w:r>
      <w:r w:rsidR="00AD5E2A">
        <w:rPr>
          <w:rFonts w:cs="Arial"/>
        </w:rPr>
        <w:t>–</w:t>
      </w:r>
      <w:r w:rsidRPr="00607088">
        <w:rPr>
          <w:rFonts w:cs="Arial"/>
        </w:rPr>
        <w:t xml:space="preserve">3700 MHz band and bands above 6 GHz. </w:t>
      </w:r>
    </w:p>
    <w:p w14:paraId="36304665" w14:textId="77777777" w:rsidR="00777F84" w:rsidRPr="00777F84" w:rsidRDefault="00777F84" w:rsidP="00777F84">
      <w:pPr>
        <w:pStyle w:val="Heading2"/>
      </w:pPr>
      <w:bookmarkStart w:id="14" w:name="_Toc441074802"/>
      <w:bookmarkStart w:id="15" w:name="_Toc441235775"/>
      <w:bookmarkStart w:id="16" w:name="_Toc442428350"/>
      <w:bookmarkStart w:id="17" w:name="_Toc443910650"/>
      <w:r w:rsidRPr="00777F84">
        <w:t>Australian Subscription Television and Radio Association (ASTRA)</w:t>
      </w:r>
      <w:bookmarkEnd w:id="14"/>
      <w:bookmarkEnd w:id="15"/>
      <w:bookmarkEnd w:id="16"/>
      <w:bookmarkEnd w:id="17"/>
    </w:p>
    <w:p w14:paraId="66910874" w14:textId="6689660A" w:rsidR="004C5C01" w:rsidRPr="00C7335D" w:rsidRDefault="000A72E6" w:rsidP="000A72E6">
      <w:pPr>
        <w:rPr>
          <w:rFonts w:cs="Arial"/>
        </w:rPr>
      </w:pPr>
      <w:r w:rsidRPr="00C7335D">
        <w:rPr>
          <w:rFonts w:cs="Arial"/>
        </w:rPr>
        <w:t>ASTRA welcome</w:t>
      </w:r>
      <w:r w:rsidR="00C7335D">
        <w:rPr>
          <w:rFonts w:cs="Arial"/>
        </w:rPr>
        <w:t>d</w:t>
      </w:r>
      <w:r w:rsidRPr="00C7335D">
        <w:rPr>
          <w:rFonts w:cs="Arial"/>
        </w:rPr>
        <w:t xml:space="preserve"> the key positions </w:t>
      </w:r>
      <w:r w:rsidR="00C7335D">
        <w:rPr>
          <w:rFonts w:cs="Arial"/>
        </w:rPr>
        <w:t xml:space="preserve">outlined in </w:t>
      </w:r>
      <w:r w:rsidR="00C7335D" w:rsidRPr="00F3138B">
        <w:rPr>
          <w:rFonts w:cs="Arial"/>
          <w:i/>
        </w:rPr>
        <w:t>Beyond 2020</w:t>
      </w:r>
      <w:r w:rsidR="00C7335D">
        <w:rPr>
          <w:rFonts w:cs="Arial"/>
        </w:rPr>
        <w:t xml:space="preserve"> </w:t>
      </w:r>
      <w:r w:rsidRPr="00C7335D">
        <w:rPr>
          <w:rFonts w:cs="Arial"/>
        </w:rPr>
        <w:t>in relation to the challenge of meeting demand for mobile broadband capacity</w:t>
      </w:r>
      <w:r w:rsidR="00C7335D">
        <w:rPr>
          <w:rFonts w:cs="Arial"/>
        </w:rPr>
        <w:t xml:space="preserve">. </w:t>
      </w:r>
      <w:r w:rsidR="004C5C01" w:rsidRPr="00C7335D">
        <w:rPr>
          <w:rFonts w:cs="Arial"/>
        </w:rPr>
        <w:t>ASTRA strongly support</w:t>
      </w:r>
      <w:r w:rsidR="00C7335D">
        <w:rPr>
          <w:rFonts w:cs="Arial"/>
        </w:rPr>
        <w:t>ed</w:t>
      </w:r>
      <w:r w:rsidR="004C5C01" w:rsidRPr="00C7335D">
        <w:rPr>
          <w:rFonts w:cs="Arial"/>
        </w:rPr>
        <w:t xml:space="preserve"> the commitment by the ACMA to a multi-faceted consideration of how to meet the challenge of increasing demand for mobile broadband services.</w:t>
      </w:r>
      <w:r w:rsidR="00C7335D">
        <w:rPr>
          <w:rFonts w:cs="Arial"/>
        </w:rPr>
        <w:t xml:space="preserve"> </w:t>
      </w:r>
      <w:r w:rsidR="004C5C01" w:rsidRPr="00C7335D">
        <w:rPr>
          <w:rFonts w:cs="Arial"/>
        </w:rPr>
        <w:t xml:space="preserve">In particular, </w:t>
      </w:r>
      <w:r w:rsidR="00C7335D">
        <w:rPr>
          <w:rFonts w:cs="Arial"/>
        </w:rPr>
        <w:t xml:space="preserve">ASTRA stated that </w:t>
      </w:r>
      <w:r w:rsidR="004C5C01" w:rsidRPr="00C7335D">
        <w:rPr>
          <w:rFonts w:cs="Arial"/>
        </w:rPr>
        <w:t>close scrutiny of strategies other than spectrum re-farming will be vital in ensuring that unnecessary impacts on incumbent spectrum users are minimised.</w:t>
      </w:r>
    </w:p>
    <w:p w14:paraId="618EB7DB" w14:textId="4B5106E5" w:rsidR="004C5C01" w:rsidRPr="00C7335D" w:rsidRDefault="004C5C01" w:rsidP="000A72E6">
      <w:pPr>
        <w:rPr>
          <w:rFonts w:cs="Arial"/>
        </w:rPr>
      </w:pPr>
      <w:r w:rsidRPr="00C7335D">
        <w:rPr>
          <w:rFonts w:cs="Arial"/>
        </w:rPr>
        <w:t xml:space="preserve">ASTRA </w:t>
      </w:r>
      <w:r w:rsidR="00C7335D">
        <w:rPr>
          <w:rFonts w:cs="Arial"/>
        </w:rPr>
        <w:t xml:space="preserve">also </w:t>
      </w:r>
      <w:r w:rsidRPr="00C7335D">
        <w:rPr>
          <w:rFonts w:cs="Arial"/>
        </w:rPr>
        <w:t xml:space="preserve">continues to support the </w:t>
      </w:r>
      <w:r w:rsidR="00C7335D" w:rsidRPr="00D328BD">
        <w:rPr>
          <w:rFonts w:cs="Arial"/>
        </w:rPr>
        <w:t>T</w:t>
      </w:r>
      <w:r w:rsidRPr="00D328BD">
        <w:rPr>
          <w:rFonts w:cs="Arial"/>
        </w:rPr>
        <w:t xml:space="preserve">otal </w:t>
      </w:r>
      <w:r w:rsidR="00C7335D" w:rsidRPr="00D328BD">
        <w:rPr>
          <w:rFonts w:cs="Arial"/>
        </w:rPr>
        <w:t>W</w:t>
      </w:r>
      <w:r w:rsidRPr="00D328BD">
        <w:rPr>
          <w:rFonts w:cs="Arial"/>
        </w:rPr>
        <w:t>elfare Standard</w:t>
      </w:r>
      <w:r w:rsidRPr="00C7335D">
        <w:rPr>
          <w:rFonts w:cs="Arial"/>
        </w:rPr>
        <w:t xml:space="preserve"> as a means of assessing a full range of interests and finding the appropriate balance of those interests.</w:t>
      </w:r>
    </w:p>
    <w:p w14:paraId="66D39293" w14:textId="6DEB72D5" w:rsidR="00807B1E" w:rsidRPr="00777F84" w:rsidRDefault="00807B1E" w:rsidP="00807B1E">
      <w:pPr>
        <w:pStyle w:val="Heading2"/>
        <w:rPr>
          <w:szCs w:val="20"/>
          <w:lang w:val="en"/>
        </w:rPr>
      </w:pPr>
      <w:bookmarkStart w:id="18" w:name="_Toc441074803"/>
      <w:bookmarkStart w:id="19" w:name="_Toc441235776"/>
      <w:bookmarkStart w:id="20" w:name="_Toc442428351"/>
      <w:bookmarkStart w:id="21" w:name="_Toc443910651"/>
      <w:r>
        <w:rPr>
          <w:szCs w:val="20"/>
          <w:lang w:val="en"/>
        </w:rPr>
        <w:t>Bureau of Meteorology (BoM)</w:t>
      </w:r>
      <w:bookmarkEnd w:id="18"/>
      <w:bookmarkEnd w:id="19"/>
      <w:bookmarkEnd w:id="20"/>
      <w:bookmarkEnd w:id="21"/>
    </w:p>
    <w:p w14:paraId="009DE6D3" w14:textId="0EAD1EA8" w:rsidR="00577D71" w:rsidRDefault="00C7335D" w:rsidP="00807B1E">
      <w:pPr>
        <w:rPr>
          <w:szCs w:val="20"/>
        </w:rPr>
      </w:pPr>
      <w:r>
        <w:rPr>
          <w:szCs w:val="20"/>
        </w:rPr>
        <w:t xml:space="preserve">BoM noted that the outcomes of 2015 World Radiocommunications Conference (WRC-15) demonstrated that many bands </w:t>
      </w:r>
      <w:r w:rsidR="00D24FA5">
        <w:rPr>
          <w:szCs w:val="20"/>
        </w:rPr>
        <w:t xml:space="preserve">studied </w:t>
      </w:r>
      <w:r>
        <w:rPr>
          <w:szCs w:val="20"/>
        </w:rPr>
        <w:t xml:space="preserve">under WRC-15 </w:t>
      </w:r>
      <w:r w:rsidR="00432821">
        <w:rPr>
          <w:szCs w:val="20"/>
        </w:rPr>
        <w:t>a</w:t>
      </w:r>
      <w:r>
        <w:rPr>
          <w:szCs w:val="20"/>
        </w:rPr>
        <w:t xml:space="preserve">genda </w:t>
      </w:r>
      <w:r w:rsidR="00432821">
        <w:rPr>
          <w:szCs w:val="20"/>
        </w:rPr>
        <w:t>i</w:t>
      </w:r>
      <w:r>
        <w:rPr>
          <w:szCs w:val="20"/>
        </w:rPr>
        <w:t>tem 1.1 were considered by ITU member countries to be already utilised for their highest value use</w:t>
      </w:r>
      <w:r w:rsidR="00AD5E2A">
        <w:rPr>
          <w:szCs w:val="20"/>
        </w:rPr>
        <w:t>,</w:t>
      </w:r>
      <w:r>
        <w:rPr>
          <w:szCs w:val="20"/>
        </w:rPr>
        <w:t xml:space="preserve"> and that the risks to existing applications of allocating </w:t>
      </w:r>
      <w:r w:rsidR="00577D71">
        <w:rPr>
          <w:szCs w:val="20"/>
        </w:rPr>
        <w:t xml:space="preserve">more spectrum to mobile broadband outweighed the benefits. </w:t>
      </w:r>
    </w:p>
    <w:p w14:paraId="30A28BA2" w14:textId="57BF22FC" w:rsidR="00807B1E" w:rsidRDefault="00577D71" w:rsidP="00807B1E">
      <w:pPr>
        <w:rPr>
          <w:szCs w:val="20"/>
        </w:rPr>
      </w:pPr>
      <w:r>
        <w:rPr>
          <w:szCs w:val="20"/>
        </w:rPr>
        <w:t xml:space="preserve">BoM also outlined some of the challenges in the valuation of spectrum it and some other organisations use for public good applications. </w:t>
      </w:r>
      <w:r w:rsidR="006C2B1E">
        <w:rPr>
          <w:szCs w:val="20"/>
        </w:rPr>
        <w:t>They noted that a</w:t>
      </w:r>
      <w:r w:rsidR="006C2B1E" w:rsidRPr="006C2B1E">
        <w:rPr>
          <w:szCs w:val="20"/>
        </w:rPr>
        <w:t xml:space="preserve"> market-based model for determining a purely monetary value of spectrum where public good users such as </w:t>
      </w:r>
      <w:r w:rsidR="00F15D15">
        <w:rPr>
          <w:szCs w:val="20"/>
        </w:rPr>
        <w:t>BoM</w:t>
      </w:r>
      <w:r w:rsidR="006C2B1E" w:rsidRPr="006C2B1E">
        <w:rPr>
          <w:szCs w:val="20"/>
        </w:rPr>
        <w:t xml:space="preserve"> are placed in direct competition with commercial </w:t>
      </w:r>
      <w:r w:rsidR="00B67FCF" w:rsidRPr="006C2B1E">
        <w:rPr>
          <w:szCs w:val="20"/>
        </w:rPr>
        <w:t>bidders</w:t>
      </w:r>
      <w:r w:rsidR="006C2B1E" w:rsidRPr="006C2B1E">
        <w:rPr>
          <w:szCs w:val="20"/>
        </w:rPr>
        <w:t xml:space="preserve"> is clearly not appropriate and would not be in the best interests of the Australian public</w:t>
      </w:r>
      <w:r w:rsidR="00724E78">
        <w:rPr>
          <w:szCs w:val="20"/>
        </w:rPr>
        <w:t>.</w:t>
      </w:r>
    </w:p>
    <w:p w14:paraId="3252A6D8" w14:textId="5AADFAAE" w:rsidR="00577D71" w:rsidRPr="00577D71" w:rsidRDefault="00577D71" w:rsidP="00807B1E">
      <w:pPr>
        <w:rPr>
          <w:szCs w:val="20"/>
        </w:rPr>
      </w:pPr>
      <w:r>
        <w:rPr>
          <w:szCs w:val="20"/>
        </w:rPr>
        <w:t xml:space="preserve">BoM’s view is that </w:t>
      </w:r>
      <w:r w:rsidRPr="00577D71">
        <w:rPr>
          <w:szCs w:val="20"/>
        </w:rPr>
        <w:t>much if not all of the anticipated increase in demand for mobile broadband</w:t>
      </w:r>
      <w:r>
        <w:rPr>
          <w:szCs w:val="20"/>
        </w:rPr>
        <w:t xml:space="preserve"> </w:t>
      </w:r>
      <w:r w:rsidRPr="00577D71">
        <w:rPr>
          <w:szCs w:val="20"/>
        </w:rPr>
        <w:t>could be met by utilising spectrum above 20 GHz</w:t>
      </w:r>
      <w:r>
        <w:rPr>
          <w:szCs w:val="20"/>
        </w:rPr>
        <w:t>.</w:t>
      </w:r>
      <w:r w:rsidR="006C2B1E">
        <w:rPr>
          <w:szCs w:val="20"/>
        </w:rPr>
        <w:t xml:space="preserve"> BoM also proposed that the 2700</w:t>
      </w:r>
      <w:r w:rsidR="00AD5E2A">
        <w:rPr>
          <w:szCs w:val="20"/>
        </w:rPr>
        <w:t>–</w:t>
      </w:r>
      <w:r w:rsidR="006C2B1E">
        <w:rPr>
          <w:szCs w:val="20"/>
        </w:rPr>
        <w:t xml:space="preserve">2900 MHz band be removed from the ACMA’s work program for mobile broadband spectrum planning. </w:t>
      </w:r>
    </w:p>
    <w:p w14:paraId="02D61146" w14:textId="7187C80E" w:rsidR="00777F84" w:rsidRPr="001D6FB2" w:rsidRDefault="00777F84" w:rsidP="00777F84">
      <w:pPr>
        <w:pStyle w:val="Heading2"/>
        <w:rPr>
          <w:szCs w:val="20"/>
          <w:lang w:val="en"/>
        </w:rPr>
      </w:pPr>
      <w:bookmarkStart w:id="22" w:name="_Toc441074804"/>
      <w:bookmarkStart w:id="23" w:name="_Toc441235777"/>
      <w:bookmarkStart w:id="24" w:name="_Toc442428352"/>
      <w:bookmarkStart w:id="25" w:name="_Toc443910652"/>
      <w:r w:rsidRPr="001D6FB2">
        <w:rPr>
          <w:szCs w:val="20"/>
          <w:lang w:val="en"/>
        </w:rPr>
        <w:t>Communications Alliance</w:t>
      </w:r>
      <w:bookmarkEnd w:id="22"/>
      <w:bookmarkEnd w:id="23"/>
      <w:bookmarkEnd w:id="24"/>
      <w:bookmarkEnd w:id="25"/>
    </w:p>
    <w:p w14:paraId="5DF3DBD9" w14:textId="15B6AA29" w:rsidR="004C5C01" w:rsidRPr="001D6FB2" w:rsidRDefault="004C5C01" w:rsidP="00777F84">
      <w:pPr>
        <w:rPr>
          <w:szCs w:val="20"/>
        </w:rPr>
      </w:pPr>
      <w:r w:rsidRPr="001D6FB2">
        <w:rPr>
          <w:szCs w:val="20"/>
        </w:rPr>
        <w:t>Communications Alliance commend</w:t>
      </w:r>
      <w:r w:rsidR="006C2B1E" w:rsidRPr="001D6FB2">
        <w:rPr>
          <w:szCs w:val="20"/>
        </w:rPr>
        <w:t>ed</w:t>
      </w:r>
      <w:r w:rsidRPr="001D6FB2">
        <w:rPr>
          <w:szCs w:val="20"/>
        </w:rPr>
        <w:t xml:space="preserve"> the ACMA’s foresight to consider spectrum management strategies for mobile broadband beyond 2020</w:t>
      </w:r>
      <w:r w:rsidR="006C2B1E" w:rsidRPr="001D6FB2">
        <w:rPr>
          <w:szCs w:val="20"/>
        </w:rPr>
        <w:t>. T</w:t>
      </w:r>
      <w:r w:rsidRPr="001D6FB2">
        <w:rPr>
          <w:szCs w:val="20"/>
        </w:rPr>
        <w:t>he</w:t>
      </w:r>
      <w:r w:rsidR="006C2B1E" w:rsidRPr="001D6FB2">
        <w:rPr>
          <w:szCs w:val="20"/>
        </w:rPr>
        <w:t>y believed that a framework of the future should be one underpinned by flexibility</w:t>
      </w:r>
      <w:r w:rsidR="00AD5E2A">
        <w:rPr>
          <w:szCs w:val="20"/>
        </w:rPr>
        <w:t>,</w:t>
      </w:r>
      <w:r w:rsidR="006C2B1E" w:rsidRPr="001D6FB2">
        <w:rPr>
          <w:szCs w:val="20"/>
        </w:rPr>
        <w:t xml:space="preserve"> and noted that</w:t>
      </w:r>
      <w:r w:rsidRPr="001D6FB2">
        <w:rPr>
          <w:szCs w:val="20"/>
        </w:rPr>
        <w:t xml:space="preserve"> proposals in the spectrum review are expected to assist in providing such flexibility and should reduce the requirement for the ACMA to make reallocation decisions in the future</w:t>
      </w:r>
      <w:r w:rsidR="00AD5E2A">
        <w:rPr>
          <w:szCs w:val="20"/>
        </w:rPr>
        <w:t>,</w:t>
      </w:r>
      <w:r w:rsidRPr="001D6FB2">
        <w:rPr>
          <w:szCs w:val="20"/>
        </w:rPr>
        <w:t xml:space="preserve"> providing the thinking is broad ranging enough.</w:t>
      </w:r>
    </w:p>
    <w:p w14:paraId="5601D679" w14:textId="5F76DCF2" w:rsidR="006C2B1E" w:rsidRPr="001D6FB2" w:rsidRDefault="006C2B1E" w:rsidP="006C2B1E">
      <w:pPr>
        <w:rPr>
          <w:szCs w:val="20"/>
        </w:rPr>
      </w:pPr>
      <w:r w:rsidRPr="001D6FB2">
        <w:rPr>
          <w:szCs w:val="20"/>
        </w:rPr>
        <w:t xml:space="preserve">The flexible use of spectrum becomes critically important to facilitate innovation in future markets. By way of an example, one could envisage a framework where parties could agree with each other to transfer uses of spectrum over time on a commercial basis. </w:t>
      </w:r>
      <w:r w:rsidR="00AD5E2A" w:rsidRPr="001D6FB2">
        <w:rPr>
          <w:szCs w:val="20"/>
        </w:rPr>
        <w:t>Ideally,</w:t>
      </w:r>
      <w:r w:rsidRPr="001D6FB2">
        <w:rPr>
          <w:szCs w:val="20"/>
        </w:rPr>
        <w:t xml:space="preserve"> this could result in moving spectrum to highest value use over time. The opportunity would also be there for incumbents’ costs and the business value of their spectrum to be compensated. </w:t>
      </w:r>
    </w:p>
    <w:p w14:paraId="355E2C5E" w14:textId="4BF42F8A" w:rsidR="005F159C" w:rsidRDefault="005F159C" w:rsidP="00777F84">
      <w:pPr>
        <w:rPr>
          <w:szCs w:val="20"/>
        </w:rPr>
      </w:pPr>
      <w:r w:rsidRPr="001D6FB2">
        <w:rPr>
          <w:szCs w:val="20"/>
        </w:rPr>
        <w:t xml:space="preserve">In reviewing the assumptions </w:t>
      </w:r>
      <w:r w:rsidR="006C2B1E" w:rsidRPr="001D6FB2">
        <w:rPr>
          <w:szCs w:val="20"/>
        </w:rPr>
        <w:t xml:space="preserve">outlined in </w:t>
      </w:r>
      <w:r w:rsidR="006C2B1E" w:rsidRPr="00F3138B">
        <w:rPr>
          <w:i/>
          <w:szCs w:val="20"/>
        </w:rPr>
        <w:t>Beyond 2020</w:t>
      </w:r>
      <w:r w:rsidRPr="001D6FB2">
        <w:rPr>
          <w:szCs w:val="20"/>
        </w:rPr>
        <w:t xml:space="preserve">, </w:t>
      </w:r>
      <w:r w:rsidR="006C2B1E" w:rsidRPr="001D6FB2">
        <w:rPr>
          <w:szCs w:val="20"/>
        </w:rPr>
        <w:t>Communications Alliance</w:t>
      </w:r>
      <w:r w:rsidRPr="001D6FB2">
        <w:rPr>
          <w:szCs w:val="20"/>
        </w:rPr>
        <w:t xml:space="preserve"> members concurred that there is little with which to disagree. </w:t>
      </w:r>
      <w:r w:rsidR="006C2B1E" w:rsidRPr="001D6FB2">
        <w:rPr>
          <w:szCs w:val="20"/>
        </w:rPr>
        <w:t xml:space="preserve">However, they </w:t>
      </w:r>
      <w:r w:rsidRPr="001D6FB2">
        <w:rPr>
          <w:szCs w:val="20"/>
        </w:rPr>
        <w:t xml:space="preserve">felt that only time will provide the visibility and clarity of the arguments in the </w:t>
      </w:r>
      <w:r w:rsidR="006C2B1E" w:rsidRPr="001D6FB2">
        <w:rPr>
          <w:szCs w:val="20"/>
        </w:rPr>
        <w:t xml:space="preserve">discussion paper </w:t>
      </w:r>
      <w:r w:rsidRPr="001D6FB2">
        <w:rPr>
          <w:szCs w:val="20"/>
        </w:rPr>
        <w:t>from which th</w:t>
      </w:r>
      <w:r w:rsidR="006C2B1E" w:rsidRPr="001D6FB2">
        <w:rPr>
          <w:szCs w:val="20"/>
        </w:rPr>
        <w:t>e assumptions have been derived and that t</w:t>
      </w:r>
      <w:r w:rsidRPr="001D6FB2">
        <w:rPr>
          <w:szCs w:val="20"/>
        </w:rPr>
        <w:t>he assumptions will need to be validated over time.</w:t>
      </w:r>
    </w:p>
    <w:p w14:paraId="36CDC7FC" w14:textId="2A33F303" w:rsidR="008C05EF" w:rsidRDefault="008C05EF" w:rsidP="00226471">
      <w:pPr>
        <w:pStyle w:val="Heading3"/>
      </w:pPr>
      <w:bookmarkStart w:id="26" w:name="_Toc441074805"/>
      <w:bookmarkStart w:id="27" w:name="_Toc441235778"/>
      <w:bookmarkStart w:id="28" w:name="_Toc442428353"/>
      <w:bookmarkStart w:id="29" w:name="_Toc443910653"/>
      <w:r>
        <w:lastRenderedPageBreak/>
        <w:t>Supplementary submission</w:t>
      </w:r>
      <w:r w:rsidR="00226471">
        <w:t xml:space="preserve"> from the Satellite Services Working Group (SSWG) of Communications Alliance</w:t>
      </w:r>
      <w:bookmarkEnd w:id="26"/>
      <w:bookmarkEnd w:id="27"/>
      <w:bookmarkEnd w:id="28"/>
      <w:bookmarkEnd w:id="29"/>
    </w:p>
    <w:p w14:paraId="7E54B668" w14:textId="405EEC7F" w:rsidR="008C05EF" w:rsidRPr="00226471" w:rsidRDefault="008C05EF" w:rsidP="00AD5E2A">
      <w:pPr>
        <w:spacing w:after="80"/>
        <w:rPr>
          <w:szCs w:val="20"/>
        </w:rPr>
      </w:pPr>
      <w:r w:rsidRPr="00226471">
        <w:rPr>
          <w:szCs w:val="20"/>
        </w:rPr>
        <w:t xml:space="preserve">This </w:t>
      </w:r>
      <w:r w:rsidR="00226471">
        <w:rPr>
          <w:szCs w:val="20"/>
        </w:rPr>
        <w:t xml:space="preserve">supplementary </w:t>
      </w:r>
      <w:r w:rsidRPr="00226471">
        <w:rPr>
          <w:szCs w:val="20"/>
        </w:rPr>
        <w:t xml:space="preserve">submission </w:t>
      </w:r>
      <w:r w:rsidR="00226471">
        <w:rPr>
          <w:szCs w:val="20"/>
        </w:rPr>
        <w:t>reflected the views of the Satellite Services Working Group (SSWG) of Communications Alliance</w:t>
      </w:r>
      <w:r w:rsidR="00226471" w:rsidRPr="00226471">
        <w:rPr>
          <w:szCs w:val="20"/>
        </w:rPr>
        <w:t xml:space="preserve"> </w:t>
      </w:r>
      <w:r w:rsidR="00226471">
        <w:rPr>
          <w:szCs w:val="20"/>
        </w:rPr>
        <w:t xml:space="preserve">and </w:t>
      </w:r>
      <w:r w:rsidRPr="00226471">
        <w:rPr>
          <w:szCs w:val="20"/>
        </w:rPr>
        <w:t>highlight</w:t>
      </w:r>
      <w:r w:rsidR="00226471">
        <w:rPr>
          <w:szCs w:val="20"/>
        </w:rPr>
        <w:t>ed</w:t>
      </w:r>
      <w:r w:rsidRPr="00226471">
        <w:rPr>
          <w:szCs w:val="20"/>
        </w:rPr>
        <w:t xml:space="preserve"> the following bands of specific interest to the SSWG: </w:t>
      </w:r>
    </w:p>
    <w:p w14:paraId="12E6BDBA" w14:textId="6C9160CA" w:rsidR="008C05EF" w:rsidRPr="00226471" w:rsidRDefault="008C05EF" w:rsidP="00226471">
      <w:pPr>
        <w:pStyle w:val="ListBullet"/>
        <w:rPr>
          <w:rFonts w:cs="Arial"/>
        </w:rPr>
      </w:pPr>
      <w:r w:rsidRPr="00226471">
        <w:rPr>
          <w:rFonts w:cs="Arial"/>
        </w:rPr>
        <w:t>the 1518</w:t>
      </w:r>
      <w:r w:rsidR="00AD5E2A">
        <w:rPr>
          <w:rFonts w:cs="Arial"/>
        </w:rPr>
        <w:t>–</w:t>
      </w:r>
      <w:r w:rsidRPr="00226471">
        <w:rPr>
          <w:rFonts w:cs="Arial"/>
        </w:rPr>
        <w:t>1559 MHz MSS downlink band and the potential interference from IMT systems operating in the 1427</w:t>
      </w:r>
      <w:r w:rsidR="00AD5E2A">
        <w:rPr>
          <w:rFonts w:cs="Arial"/>
        </w:rPr>
        <w:t>–</w:t>
      </w:r>
      <w:r w:rsidRPr="00226471">
        <w:rPr>
          <w:rFonts w:cs="Arial"/>
        </w:rPr>
        <w:t xml:space="preserve">1518 MHz band </w:t>
      </w:r>
    </w:p>
    <w:p w14:paraId="39094B7B" w14:textId="7DBA0161" w:rsidR="008C05EF" w:rsidRPr="00226471" w:rsidRDefault="008C05EF" w:rsidP="00226471">
      <w:pPr>
        <w:pStyle w:val="ListBullet"/>
        <w:rPr>
          <w:rFonts w:cs="Arial"/>
        </w:rPr>
      </w:pPr>
      <w:r w:rsidRPr="00226471">
        <w:rPr>
          <w:rFonts w:cs="Arial"/>
        </w:rPr>
        <w:t>the 1980</w:t>
      </w:r>
      <w:r w:rsidR="00AD5E2A">
        <w:rPr>
          <w:rFonts w:cs="Arial"/>
        </w:rPr>
        <w:t>–</w:t>
      </w:r>
      <w:r w:rsidRPr="00226471">
        <w:rPr>
          <w:rFonts w:cs="Arial"/>
        </w:rPr>
        <w:t>2010 MHz and 2170</w:t>
      </w:r>
      <w:r w:rsidR="00AD5E2A">
        <w:rPr>
          <w:rFonts w:cs="Arial"/>
        </w:rPr>
        <w:t>–</w:t>
      </w:r>
      <w:r w:rsidRPr="00226471">
        <w:rPr>
          <w:rFonts w:cs="Arial"/>
        </w:rPr>
        <w:t xml:space="preserve">2200 MHz bands to be retained for MSS use in Australia </w:t>
      </w:r>
    </w:p>
    <w:p w14:paraId="34A18F64" w14:textId="63D3CEE9" w:rsidR="008C05EF" w:rsidRPr="00226471" w:rsidRDefault="008C05EF" w:rsidP="00226471">
      <w:pPr>
        <w:pStyle w:val="ListBullet"/>
        <w:rPr>
          <w:rFonts w:cs="Arial"/>
        </w:rPr>
      </w:pPr>
      <w:r w:rsidRPr="00226471">
        <w:rPr>
          <w:rFonts w:cs="Arial"/>
        </w:rPr>
        <w:t>the use of the 3575</w:t>
      </w:r>
      <w:r w:rsidR="00AD5E2A">
        <w:rPr>
          <w:rFonts w:cs="Arial"/>
        </w:rPr>
        <w:t>–</w:t>
      </w:r>
      <w:r w:rsidRPr="00226471">
        <w:rPr>
          <w:rFonts w:cs="Arial"/>
        </w:rPr>
        <w:t xml:space="preserve">3700 MHz band for mobile broadband to be reconsidered in light of developments at WRC-15 and the lack of harmonised IMT identification in this band. </w:t>
      </w:r>
    </w:p>
    <w:p w14:paraId="59B2440E" w14:textId="77777777" w:rsidR="00777F84" w:rsidRPr="00777F84" w:rsidRDefault="00777F84" w:rsidP="00777F84">
      <w:pPr>
        <w:pStyle w:val="Heading2"/>
        <w:rPr>
          <w:szCs w:val="20"/>
          <w:lang w:val="en"/>
        </w:rPr>
      </w:pPr>
      <w:bookmarkStart w:id="30" w:name="_Toc441074806"/>
      <w:bookmarkStart w:id="31" w:name="_Toc441235779"/>
      <w:bookmarkStart w:id="32" w:name="_Toc442428354"/>
      <w:bookmarkStart w:id="33" w:name="_Toc443910654"/>
      <w:r w:rsidRPr="00777F84">
        <w:rPr>
          <w:szCs w:val="20"/>
          <w:lang w:val="en"/>
        </w:rPr>
        <w:t>Defence</w:t>
      </w:r>
      <w:bookmarkEnd w:id="30"/>
      <w:bookmarkEnd w:id="31"/>
      <w:bookmarkEnd w:id="32"/>
      <w:bookmarkEnd w:id="33"/>
    </w:p>
    <w:p w14:paraId="26E9B04B" w14:textId="532985CD" w:rsidR="00777F84" w:rsidRPr="00226471" w:rsidRDefault="00226471" w:rsidP="00226471">
      <w:pPr>
        <w:rPr>
          <w:szCs w:val="20"/>
        </w:rPr>
      </w:pPr>
      <w:r>
        <w:rPr>
          <w:szCs w:val="20"/>
        </w:rPr>
        <w:t>Defence wa</w:t>
      </w:r>
      <w:r w:rsidR="00897374" w:rsidRPr="00226471">
        <w:rPr>
          <w:szCs w:val="20"/>
        </w:rPr>
        <w:t>s generally supportive of the proposals and ha</w:t>
      </w:r>
      <w:r>
        <w:rPr>
          <w:szCs w:val="20"/>
        </w:rPr>
        <w:t>d</w:t>
      </w:r>
      <w:r w:rsidR="00897374" w:rsidRPr="00226471">
        <w:rPr>
          <w:szCs w:val="20"/>
        </w:rPr>
        <w:t xml:space="preserve"> a number of suggestions that </w:t>
      </w:r>
      <w:r>
        <w:rPr>
          <w:szCs w:val="20"/>
        </w:rPr>
        <w:t>they believed would</w:t>
      </w:r>
      <w:r w:rsidR="00897374" w:rsidRPr="00226471">
        <w:rPr>
          <w:szCs w:val="20"/>
        </w:rPr>
        <w:t xml:space="preserve"> be strategy enablers for the assessment of Highest Value Uses (HVU) and </w:t>
      </w:r>
      <w:r w:rsidR="00EE6BE8">
        <w:rPr>
          <w:szCs w:val="20"/>
        </w:rPr>
        <w:t>b</w:t>
      </w:r>
      <w:r w:rsidR="00897374" w:rsidRPr="00226471">
        <w:rPr>
          <w:szCs w:val="20"/>
        </w:rPr>
        <w:t xml:space="preserve">and </w:t>
      </w:r>
      <w:r w:rsidR="00EE6BE8">
        <w:rPr>
          <w:szCs w:val="20"/>
        </w:rPr>
        <w:t>r</w:t>
      </w:r>
      <w:r w:rsidR="00897374" w:rsidRPr="00226471">
        <w:rPr>
          <w:szCs w:val="20"/>
        </w:rPr>
        <w:t>eplanning. In particular, the</w:t>
      </w:r>
      <w:r>
        <w:rPr>
          <w:szCs w:val="20"/>
        </w:rPr>
        <w:t>y suggested</w:t>
      </w:r>
      <w:r w:rsidR="00897374" w:rsidRPr="00226471">
        <w:rPr>
          <w:szCs w:val="20"/>
        </w:rPr>
        <w:t xml:space="preserve"> status accounting for HVU </w:t>
      </w:r>
      <w:r w:rsidR="00EE6BE8">
        <w:rPr>
          <w:szCs w:val="20"/>
        </w:rPr>
        <w:t>a</w:t>
      </w:r>
      <w:r w:rsidR="00897374" w:rsidRPr="00226471">
        <w:rPr>
          <w:szCs w:val="20"/>
        </w:rPr>
        <w:t xml:space="preserve">ssessments and </w:t>
      </w:r>
      <w:r w:rsidR="002B7174">
        <w:rPr>
          <w:szCs w:val="20"/>
        </w:rPr>
        <w:t>b</w:t>
      </w:r>
      <w:r w:rsidR="002B7174" w:rsidRPr="00226471">
        <w:rPr>
          <w:szCs w:val="20"/>
        </w:rPr>
        <w:t>and-replanning</w:t>
      </w:r>
      <w:r w:rsidR="00897374" w:rsidRPr="00226471">
        <w:rPr>
          <w:szCs w:val="20"/>
        </w:rPr>
        <w:t xml:space="preserve"> </w:t>
      </w:r>
      <w:r w:rsidR="00EE6BE8">
        <w:rPr>
          <w:szCs w:val="20"/>
        </w:rPr>
        <w:t>p</w:t>
      </w:r>
      <w:r w:rsidR="00897374" w:rsidRPr="00226471">
        <w:rPr>
          <w:szCs w:val="20"/>
        </w:rPr>
        <w:t xml:space="preserve">rojects should be integrated and linked to frequency bands in the </w:t>
      </w:r>
      <w:r w:rsidR="000844D9">
        <w:rPr>
          <w:szCs w:val="20"/>
        </w:rPr>
        <w:t>Australian Radiofrequency Plan 2013 (</w:t>
      </w:r>
      <w:r w:rsidR="00897374" w:rsidRPr="00226471">
        <w:rPr>
          <w:szCs w:val="20"/>
        </w:rPr>
        <w:t>ARSP</w:t>
      </w:r>
      <w:r w:rsidR="000844D9">
        <w:rPr>
          <w:szCs w:val="20"/>
        </w:rPr>
        <w:t>)</w:t>
      </w:r>
      <w:r w:rsidR="00897374" w:rsidRPr="00226471">
        <w:rPr>
          <w:szCs w:val="20"/>
        </w:rPr>
        <w:t xml:space="preserve">. </w:t>
      </w:r>
      <w:r w:rsidR="00D24FA5">
        <w:rPr>
          <w:szCs w:val="20"/>
        </w:rPr>
        <w:t xml:space="preserve">They suggested HVU assessments be conducted for all bands and appended to the ARSP. </w:t>
      </w:r>
    </w:p>
    <w:p w14:paraId="7BDE2D6C" w14:textId="20959208" w:rsidR="00E97EA4" w:rsidRPr="00226471" w:rsidRDefault="00E97EA4" w:rsidP="00AD5E2A">
      <w:pPr>
        <w:spacing w:after="80"/>
        <w:rPr>
          <w:szCs w:val="20"/>
        </w:rPr>
      </w:pPr>
      <w:r w:rsidRPr="00226471">
        <w:rPr>
          <w:szCs w:val="20"/>
        </w:rPr>
        <w:t xml:space="preserve">Defence </w:t>
      </w:r>
      <w:r w:rsidR="00226471">
        <w:rPr>
          <w:szCs w:val="20"/>
        </w:rPr>
        <w:t xml:space="preserve">described </w:t>
      </w:r>
      <w:r w:rsidRPr="00226471">
        <w:rPr>
          <w:szCs w:val="20"/>
        </w:rPr>
        <w:t xml:space="preserve">the following factors </w:t>
      </w:r>
      <w:r w:rsidR="00226471">
        <w:rPr>
          <w:szCs w:val="20"/>
        </w:rPr>
        <w:t xml:space="preserve">as </w:t>
      </w:r>
      <w:r w:rsidRPr="00226471">
        <w:rPr>
          <w:szCs w:val="20"/>
        </w:rPr>
        <w:t>being importa</w:t>
      </w:r>
      <w:r w:rsidR="00226471">
        <w:rPr>
          <w:szCs w:val="20"/>
        </w:rPr>
        <w:t>nt in a sound assessment of HVU:</w:t>
      </w:r>
    </w:p>
    <w:p w14:paraId="238497A5" w14:textId="73280E07" w:rsidR="00E97EA4" w:rsidRPr="00226471" w:rsidRDefault="00AD5E2A" w:rsidP="00226471">
      <w:pPr>
        <w:pStyle w:val="ListBullet"/>
        <w:rPr>
          <w:rFonts w:cs="Arial"/>
        </w:rPr>
      </w:pPr>
      <w:r>
        <w:rPr>
          <w:rFonts w:cs="Arial"/>
        </w:rPr>
        <w:t>c</w:t>
      </w:r>
      <w:r w:rsidR="00E97EA4" w:rsidRPr="00226471">
        <w:rPr>
          <w:rFonts w:cs="Arial"/>
        </w:rPr>
        <w:t>lear and well-communicated terminology</w:t>
      </w:r>
    </w:p>
    <w:p w14:paraId="30BA669D" w14:textId="70C40E83" w:rsidR="00E97EA4" w:rsidRPr="00226471" w:rsidRDefault="00AD5E2A" w:rsidP="00226471">
      <w:pPr>
        <w:pStyle w:val="ListBullet"/>
        <w:rPr>
          <w:rFonts w:cs="Arial"/>
        </w:rPr>
      </w:pPr>
      <w:r>
        <w:rPr>
          <w:rFonts w:cs="Arial"/>
        </w:rPr>
        <w:t>d</w:t>
      </w:r>
      <w:r w:rsidR="00E97EA4" w:rsidRPr="00226471">
        <w:rPr>
          <w:rFonts w:cs="Arial"/>
        </w:rPr>
        <w:t>ocumented assessment guidelines that are generally accessible</w:t>
      </w:r>
    </w:p>
    <w:p w14:paraId="0ECDB291" w14:textId="2C6DAB6E" w:rsidR="00E97EA4" w:rsidRPr="00226471" w:rsidRDefault="00AD5E2A" w:rsidP="00226471">
      <w:pPr>
        <w:pStyle w:val="ListBullet"/>
        <w:spacing w:after="240"/>
        <w:rPr>
          <w:rFonts w:cs="Arial"/>
        </w:rPr>
      </w:pPr>
      <w:r>
        <w:rPr>
          <w:rFonts w:cs="Arial"/>
        </w:rPr>
        <w:t>c</w:t>
      </w:r>
      <w:r w:rsidR="00E97EA4" w:rsidRPr="00226471">
        <w:rPr>
          <w:rFonts w:cs="Arial"/>
        </w:rPr>
        <w:t>urrent status accounting and reporting of HVU status for all bands in the ARSP.</w:t>
      </w:r>
    </w:p>
    <w:p w14:paraId="573C19D2" w14:textId="06566DE9" w:rsidR="00E97EA4" w:rsidRPr="00226471" w:rsidRDefault="00E97EA4" w:rsidP="00226471">
      <w:pPr>
        <w:rPr>
          <w:szCs w:val="20"/>
        </w:rPr>
      </w:pPr>
      <w:r w:rsidRPr="00226471">
        <w:rPr>
          <w:szCs w:val="20"/>
        </w:rPr>
        <w:t>Additionally, Defence recommends an integrated framework be used to incorporate public good uses of spectrum into the current dominant economic models.</w:t>
      </w:r>
    </w:p>
    <w:p w14:paraId="6E1CF39A" w14:textId="77777777" w:rsidR="00777F84" w:rsidRPr="00777F84" w:rsidRDefault="00777F84" w:rsidP="00777F84">
      <w:pPr>
        <w:pStyle w:val="Heading2"/>
        <w:rPr>
          <w:szCs w:val="20"/>
          <w:lang w:val="en"/>
        </w:rPr>
      </w:pPr>
      <w:bookmarkStart w:id="34" w:name="_Toc441074807"/>
      <w:bookmarkStart w:id="35" w:name="_Toc441235780"/>
      <w:bookmarkStart w:id="36" w:name="_Toc442428355"/>
      <w:bookmarkStart w:id="37" w:name="_Toc443910655"/>
      <w:r w:rsidRPr="00777F84">
        <w:rPr>
          <w:szCs w:val="20"/>
          <w:lang w:val="en"/>
        </w:rPr>
        <w:t>Foxtel</w:t>
      </w:r>
      <w:bookmarkEnd w:id="34"/>
      <w:bookmarkEnd w:id="35"/>
      <w:bookmarkEnd w:id="36"/>
      <w:bookmarkEnd w:id="37"/>
    </w:p>
    <w:p w14:paraId="67BA4A49" w14:textId="28968CE4" w:rsidR="00777F84" w:rsidRDefault="00C76D30" w:rsidP="00777F84">
      <w:pPr>
        <w:rPr>
          <w:rFonts w:cs="Arial"/>
          <w:szCs w:val="20"/>
          <w:lang w:val="en"/>
        </w:rPr>
      </w:pPr>
      <w:r>
        <w:rPr>
          <w:rFonts w:cs="Arial"/>
          <w:szCs w:val="20"/>
          <w:lang w:val="en"/>
        </w:rPr>
        <w:t>Foxtel e</w:t>
      </w:r>
      <w:r w:rsidR="002939A4">
        <w:rPr>
          <w:rFonts w:cs="Arial"/>
          <w:szCs w:val="20"/>
          <w:lang w:val="en"/>
        </w:rPr>
        <w:t>ndorse</w:t>
      </w:r>
      <w:r>
        <w:rPr>
          <w:rFonts w:cs="Arial"/>
          <w:szCs w:val="20"/>
          <w:lang w:val="en"/>
        </w:rPr>
        <w:t>d</w:t>
      </w:r>
      <w:r w:rsidR="002939A4">
        <w:rPr>
          <w:rFonts w:cs="Arial"/>
          <w:szCs w:val="20"/>
          <w:lang w:val="en"/>
        </w:rPr>
        <w:t xml:space="preserve"> the ASTRA submission and note</w:t>
      </w:r>
      <w:r>
        <w:rPr>
          <w:rFonts w:cs="Arial"/>
          <w:szCs w:val="20"/>
          <w:lang w:val="en"/>
        </w:rPr>
        <w:t>d</w:t>
      </w:r>
      <w:r w:rsidR="002939A4">
        <w:rPr>
          <w:rFonts w:cs="Arial"/>
          <w:szCs w:val="20"/>
          <w:lang w:val="en"/>
        </w:rPr>
        <w:t xml:space="preserve"> the importance of </w:t>
      </w:r>
      <w:r>
        <w:rPr>
          <w:rFonts w:cs="Arial"/>
          <w:szCs w:val="20"/>
          <w:lang w:val="en"/>
        </w:rPr>
        <w:t xml:space="preserve">the </w:t>
      </w:r>
      <w:r w:rsidR="002939A4" w:rsidRPr="00D328BD">
        <w:rPr>
          <w:rFonts w:cs="Arial"/>
          <w:szCs w:val="20"/>
          <w:lang w:val="en"/>
        </w:rPr>
        <w:t>Ku Band</w:t>
      </w:r>
      <w:r w:rsidR="002939A4">
        <w:rPr>
          <w:rFonts w:cs="Arial"/>
          <w:szCs w:val="20"/>
          <w:lang w:val="en"/>
        </w:rPr>
        <w:t xml:space="preserve"> (11.7</w:t>
      </w:r>
      <w:r w:rsidR="00AD5E2A">
        <w:rPr>
          <w:rFonts w:cs="Arial"/>
          <w:szCs w:val="20"/>
          <w:lang w:val="en"/>
        </w:rPr>
        <w:t>–</w:t>
      </w:r>
      <w:r w:rsidR="002939A4">
        <w:rPr>
          <w:rFonts w:cs="Arial"/>
          <w:szCs w:val="20"/>
          <w:lang w:val="en"/>
        </w:rPr>
        <w:t>12.7 GHz) for direct-to-home delivery of their broadcasting services</w:t>
      </w:r>
      <w:r>
        <w:rPr>
          <w:rFonts w:cs="Arial"/>
          <w:szCs w:val="20"/>
          <w:lang w:val="en"/>
        </w:rPr>
        <w:t xml:space="preserve">. Foxtel </w:t>
      </w:r>
      <w:r w:rsidR="002939A4">
        <w:rPr>
          <w:rFonts w:cs="Arial"/>
          <w:szCs w:val="20"/>
          <w:lang w:val="en"/>
        </w:rPr>
        <w:t>would not support this band being considered for IMT in bands above 6 GHz.</w:t>
      </w:r>
    </w:p>
    <w:p w14:paraId="565CA9D6" w14:textId="32A7D8F3" w:rsidR="005910BA" w:rsidRPr="00777F84" w:rsidRDefault="005910BA" w:rsidP="00777F84">
      <w:pPr>
        <w:rPr>
          <w:rFonts w:cs="Arial"/>
          <w:szCs w:val="20"/>
          <w:lang w:val="en"/>
        </w:rPr>
      </w:pPr>
      <w:r>
        <w:rPr>
          <w:rFonts w:cs="Arial"/>
          <w:szCs w:val="20"/>
          <w:lang w:val="en"/>
        </w:rPr>
        <w:t>Foxtel also note</w:t>
      </w:r>
      <w:r w:rsidR="00C76D30">
        <w:rPr>
          <w:rFonts w:cs="Arial"/>
          <w:szCs w:val="20"/>
          <w:lang w:val="en"/>
        </w:rPr>
        <w:t>d</w:t>
      </w:r>
      <w:r>
        <w:rPr>
          <w:rFonts w:cs="Arial"/>
          <w:szCs w:val="20"/>
          <w:lang w:val="en"/>
        </w:rPr>
        <w:t xml:space="preserve"> the need to consider protection of licensed Earth stations in bands adjacent to 3575</w:t>
      </w:r>
      <w:r w:rsidR="00AD5E2A">
        <w:rPr>
          <w:rFonts w:cs="Arial"/>
          <w:szCs w:val="20"/>
          <w:lang w:val="en"/>
        </w:rPr>
        <w:t>–</w:t>
      </w:r>
      <w:r>
        <w:rPr>
          <w:rFonts w:cs="Arial"/>
          <w:szCs w:val="20"/>
          <w:lang w:val="en"/>
        </w:rPr>
        <w:t>3700 MHz</w:t>
      </w:r>
      <w:r w:rsidR="00AD5E2A">
        <w:rPr>
          <w:rFonts w:cs="Arial"/>
          <w:szCs w:val="20"/>
          <w:lang w:val="en"/>
        </w:rPr>
        <w:t>,</w:t>
      </w:r>
      <w:r>
        <w:rPr>
          <w:rFonts w:cs="Arial"/>
          <w:szCs w:val="20"/>
          <w:lang w:val="en"/>
        </w:rPr>
        <w:t xml:space="preserve"> in consideration of that band for </w:t>
      </w:r>
      <w:r w:rsidR="00C76D30">
        <w:rPr>
          <w:rFonts w:cs="Arial"/>
          <w:szCs w:val="20"/>
          <w:lang w:val="en"/>
        </w:rPr>
        <w:t>mobile broadband</w:t>
      </w:r>
      <w:r>
        <w:rPr>
          <w:rFonts w:cs="Arial"/>
          <w:szCs w:val="20"/>
          <w:lang w:val="en"/>
        </w:rPr>
        <w:t>.</w:t>
      </w:r>
    </w:p>
    <w:p w14:paraId="70C0CFB9" w14:textId="77777777" w:rsidR="00777F84" w:rsidRPr="00777F84" w:rsidRDefault="00777F84" w:rsidP="00777F84">
      <w:pPr>
        <w:pStyle w:val="Heading2"/>
        <w:rPr>
          <w:szCs w:val="20"/>
          <w:lang w:val="en"/>
        </w:rPr>
      </w:pPr>
      <w:bookmarkStart w:id="38" w:name="_Toc441074808"/>
      <w:bookmarkStart w:id="39" w:name="_Toc441235781"/>
      <w:bookmarkStart w:id="40" w:name="_Toc442428356"/>
      <w:bookmarkStart w:id="41" w:name="_Toc443910656"/>
      <w:r w:rsidRPr="00777F84">
        <w:rPr>
          <w:szCs w:val="20"/>
          <w:lang w:val="en"/>
        </w:rPr>
        <w:t>Global VSat Forum (GVF)</w:t>
      </w:r>
      <w:bookmarkEnd w:id="38"/>
      <w:bookmarkEnd w:id="39"/>
      <w:bookmarkEnd w:id="40"/>
      <w:bookmarkEnd w:id="41"/>
    </w:p>
    <w:p w14:paraId="061D9BBD" w14:textId="5836F234" w:rsidR="00703232" w:rsidRPr="00C76D30" w:rsidRDefault="00C76D30" w:rsidP="00C76D30">
      <w:pPr>
        <w:rPr>
          <w:rFonts w:cs="Arial"/>
          <w:szCs w:val="20"/>
          <w:lang w:val="en"/>
        </w:rPr>
      </w:pPr>
      <w:r>
        <w:rPr>
          <w:rFonts w:cs="Arial"/>
          <w:szCs w:val="20"/>
          <w:lang w:val="en"/>
        </w:rPr>
        <w:t xml:space="preserve">GVF appreciated that </w:t>
      </w:r>
      <w:r w:rsidRPr="00F3138B">
        <w:rPr>
          <w:rFonts w:cs="Arial"/>
          <w:i/>
          <w:szCs w:val="20"/>
          <w:lang w:val="en"/>
        </w:rPr>
        <w:t>Beyond 2020</w:t>
      </w:r>
      <w:r>
        <w:rPr>
          <w:rFonts w:cs="Arial"/>
          <w:szCs w:val="20"/>
          <w:lang w:val="en"/>
        </w:rPr>
        <w:t xml:space="preserve"> was solution</w:t>
      </w:r>
      <w:r w:rsidR="00AD5E2A">
        <w:rPr>
          <w:rFonts w:cs="Arial"/>
          <w:szCs w:val="20"/>
          <w:lang w:val="en"/>
        </w:rPr>
        <w:t>-</w:t>
      </w:r>
      <w:r>
        <w:rPr>
          <w:rFonts w:cs="Arial"/>
          <w:szCs w:val="20"/>
          <w:lang w:val="en"/>
        </w:rPr>
        <w:t xml:space="preserve">orientated and was </w:t>
      </w:r>
      <w:r w:rsidR="00703232" w:rsidRPr="00C76D30">
        <w:rPr>
          <w:rFonts w:cs="Arial"/>
          <w:szCs w:val="20"/>
          <w:lang w:val="en"/>
        </w:rPr>
        <w:t>neutral in tone</w:t>
      </w:r>
      <w:r>
        <w:rPr>
          <w:rFonts w:cs="Arial"/>
          <w:szCs w:val="20"/>
          <w:lang w:val="en"/>
        </w:rPr>
        <w:t xml:space="preserve">, noting that </w:t>
      </w:r>
      <w:r w:rsidR="00703232" w:rsidRPr="00C76D30">
        <w:rPr>
          <w:rFonts w:cs="Arial"/>
          <w:szCs w:val="20"/>
          <w:lang w:val="en"/>
        </w:rPr>
        <w:t>the spectrum needs of the mobile wireless industry are growing, but also recogni</w:t>
      </w:r>
      <w:r>
        <w:rPr>
          <w:rFonts w:cs="Arial"/>
          <w:szCs w:val="20"/>
          <w:lang w:val="en"/>
        </w:rPr>
        <w:t>sing</w:t>
      </w:r>
      <w:r w:rsidR="00703232" w:rsidRPr="00C76D30">
        <w:rPr>
          <w:rFonts w:cs="Arial"/>
          <w:szCs w:val="20"/>
          <w:lang w:val="en"/>
        </w:rPr>
        <w:t xml:space="preserve"> competing needs of other spectrum users</w:t>
      </w:r>
      <w:r>
        <w:rPr>
          <w:rFonts w:cs="Arial"/>
          <w:szCs w:val="20"/>
          <w:lang w:val="en"/>
        </w:rPr>
        <w:t>.</w:t>
      </w:r>
      <w:r w:rsidR="00703232" w:rsidRPr="00C76D30">
        <w:rPr>
          <w:rFonts w:cs="Arial"/>
          <w:szCs w:val="20"/>
          <w:lang w:val="en"/>
        </w:rPr>
        <w:t xml:space="preserve"> </w:t>
      </w:r>
    </w:p>
    <w:p w14:paraId="0D3099CD" w14:textId="6ADE2450" w:rsidR="00F60977" w:rsidRPr="00777F84" w:rsidRDefault="00C76D30" w:rsidP="00777F84">
      <w:pPr>
        <w:rPr>
          <w:rFonts w:cs="Arial"/>
          <w:szCs w:val="20"/>
          <w:lang w:val="en"/>
        </w:rPr>
      </w:pPr>
      <w:r>
        <w:rPr>
          <w:rFonts w:cs="Arial"/>
          <w:szCs w:val="20"/>
          <w:lang w:val="en"/>
        </w:rPr>
        <w:t>GVF argued</w:t>
      </w:r>
      <w:r w:rsidR="00F60977" w:rsidRPr="00C76D30">
        <w:rPr>
          <w:rFonts w:cs="Arial"/>
          <w:szCs w:val="20"/>
          <w:lang w:val="en"/>
        </w:rPr>
        <w:t xml:space="preserve"> that the spectrum requirements of the mobile industry are unjustified and could negatively affect the services of their members, including in C-band, 1.5 GHz and 2 GHz MSS. </w:t>
      </w:r>
    </w:p>
    <w:p w14:paraId="52D309A6" w14:textId="77777777" w:rsidR="00777F84" w:rsidRPr="00777F84" w:rsidRDefault="00777F84" w:rsidP="00777F84">
      <w:pPr>
        <w:pStyle w:val="Heading2"/>
      </w:pPr>
      <w:bookmarkStart w:id="42" w:name="_Toc441074809"/>
      <w:bookmarkStart w:id="43" w:name="_Toc441235782"/>
      <w:bookmarkStart w:id="44" w:name="_Toc442428357"/>
      <w:bookmarkStart w:id="45" w:name="_Toc443910657"/>
      <w:r w:rsidRPr="00777F84">
        <w:t>GSMA</w:t>
      </w:r>
      <w:bookmarkEnd w:id="42"/>
      <w:bookmarkEnd w:id="43"/>
      <w:bookmarkEnd w:id="44"/>
      <w:bookmarkEnd w:id="45"/>
    </w:p>
    <w:p w14:paraId="4471AE6D" w14:textId="66666FBB" w:rsidR="002003D9" w:rsidRPr="00777F84" w:rsidRDefault="00C76D30" w:rsidP="00B30E7C">
      <w:pPr>
        <w:rPr>
          <w:rFonts w:cs="Arial"/>
          <w:szCs w:val="20"/>
          <w:lang w:val="en"/>
        </w:rPr>
      </w:pPr>
      <w:r>
        <w:rPr>
          <w:rFonts w:cs="Arial"/>
          <w:szCs w:val="20"/>
          <w:lang w:val="en"/>
        </w:rPr>
        <w:t>GSMA s</w:t>
      </w:r>
      <w:r w:rsidR="00F60977">
        <w:rPr>
          <w:rFonts w:cs="Arial"/>
          <w:szCs w:val="20"/>
          <w:lang w:val="en"/>
        </w:rPr>
        <w:t>upport</w:t>
      </w:r>
      <w:r>
        <w:rPr>
          <w:rFonts w:cs="Arial"/>
          <w:szCs w:val="20"/>
          <w:lang w:val="en"/>
        </w:rPr>
        <w:t>ed</w:t>
      </w:r>
      <w:r w:rsidR="00F60977">
        <w:rPr>
          <w:rFonts w:cs="Arial"/>
          <w:szCs w:val="20"/>
          <w:lang w:val="en"/>
        </w:rPr>
        <w:t xml:space="preserve"> recognition that ensuring there is sufficient spectrum for mobile </w:t>
      </w:r>
      <w:r w:rsidR="00B30E7C">
        <w:rPr>
          <w:rFonts w:cs="Arial"/>
          <w:szCs w:val="20"/>
          <w:lang w:val="en"/>
        </w:rPr>
        <w:t>broadband</w:t>
      </w:r>
      <w:r w:rsidR="00F60977">
        <w:rPr>
          <w:rFonts w:cs="Arial"/>
          <w:szCs w:val="20"/>
          <w:lang w:val="en"/>
        </w:rPr>
        <w:t xml:space="preserve"> is a significant matter and </w:t>
      </w:r>
      <w:r w:rsidR="00AD5E2A">
        <w:rPr>
          <w:rFonts w:cs="Arial"/>
          <w:szCs w:val="20"/>
          <w:lang w:val="en"/>
        </w:rPr>
        <w:t>one that</w:t>
      </w:r>
      <w:r w:rsidR="00F60977">
        <w:rPr>
          <w:rFonts w:cs="Arial"/>
          <w:szCs w:val="20"/>
          <w:lang w:val="en"/>
        </w:rPr>
        <w:t xml:space="preserve"> </w:t>
      </w:r>
      <w:r w:rsidR="00B30E7C">
        <w:rPr>
          <w:rFonts w:cs="Arial"/>
          <w:szCs w:val="20"/>
          <w:lang w:val="en"/>
        </w:rPr>
        <w:t>warrants</w:t>
      </w:r>
      <w:r w:rsidR="00F60977">
        <w:rPr>
          <w:rFonts w:cs="Arial"/>
          <w:szCs w:val="20"/>
          <w:lang w:val="en"/>
        </w:rPr>
        <w:t xml:space="preserve"> a dedicated process and considerable industry consultation. However, GSMA is concerned that there is not </w:t>
      </w:r>
      <w:r w:rsidR="00F60977">
        <w:rPr>
          <w:rFonts w:cs="Arial"/>
          <w:szCs w:val="20"/>
          <w:lang w:val="en"/>
        </w:rPr>
        <w:lastRenderedPageBreak/>
        <w:t>sufficient spectrum available in the short to medium term</w:t>
      </w:r>
      <w:r w:rsidR="006E1570">
        <w:rPr>
          <w:rFonts w:cs="Arial"/>
          <w:szCs w:val="20"/>
          <w:lang w:val="en"/>
        </w:rPr>
        <w:t xml:space="preserve"> for mobile broadband</w:t>
      </w:r>
      <w:r w:rsidR="00F60977">
        <w:rPr>
          <w:rFonts w:cs="Arial"/>
          <w:szCs w:val="20"/>
          <w:lang w:val="en"/>
        </w:rPr>
        <w:t>, noting the current evolution occur</w:t>
      </w:r>
      <w:r w:rsidR="006E1570">
        <w:rPr>
          <w:rFonts w:cs="Arial"/>
          <w:szCs w:val="20"/>
          <w:lang w:val="en"/>
        </w:rPr>
        <w:t>r</w:t>
      </w:r>
      <w:r w:rsidR="00F60977">
        <w:rPr>
          <w:rFonts w:cs="Arial"/>
          <w:szCs w:val="20"/>
          <w:lang w:val="en"/>
        </w:rPr>
        <w:t xml:space="preserve">ing with 4G, 5G and the Internet of Things. GSMA urge the ACMA to recognise this possibility and place a greater sense of urgency into its spectrum planning process. </w:t>
      </w:r>
      <w:r w:rsidR="00B30E7C">
        <w:rPr>
          <w:rFonts w:cs="Arial"/>
          <w:szCs w:val="20"/>
          <w:lang w:val="en"/>
        </w:rPr>
        <w:t>GSMA also cautions that the ACMA must ensure that the approach is adequately resourced.</w:t>
      </w:r>
      <w:r w:rsidR="002003D9">
        <w:rPr>
          <w:rFonts w:cs="Arial"/>
          <w:szCs w:val="20"/>
          <w:lang w:val="en"/>
        </w:rPr>
        <w:t xml:space="preserve"> </w:t>
      </w:r>
    </w:p>
    <w:p w14:paraId="2193F3C2" w14:textId="77777777" w:rsidR="00777F84" w:rsidRPr="00777F84" w:rsidRDefault="00777F84" w:rsidP="00777F84">
      <w:pPr>
        <w:pStyle w:val="Heading2"/>
      </w:pPr>
      <w:bookmarkStart w:id="46" w:name="_Toc441074810"/>
      <w:bookmarkStart w:id="47" w:name="_Toc441235783"/>
      <w:bookmarkStart w:id="48" w:name="_Toc442428358"/>
      <w:bookmarkStart w:id="49" w:name="_Toc443910658"/>
      <w:r w:rsidRPr="00777F84">
        <w:t>Inmarsat</w:t>
      </w:r>
      <w:bookmarkEnd w:id="46"/>
      <w:bookmarkEnd w:id="47"/>
      <w:bookmarkEnd w:id="48"/>
      <w:bookmarkEnd w:id="49"/>
    </w:p>
    <w:p w14:paraId="36D3CBB6" w14:textId="5ACFE284" w:rsidR="006E1570" w:rsidRDefault="00961A9E" w:rsidP="006E1570">
      <w:r>
        <w:t>Inmarsat concur</w:t>
      </w:r>
      <w:r w:rsidR="00A40A4C">
        <w:t>red</w:t>
      </w:r>
      <w:r>
        <w:t xml:space="preserve"> with the general thrust of the discussion paper that ensuring adequate spectrum for mobile broadband is an important consideration for regulators. </w:t>
      </w:r>
      <w:r w:rsidR="00AD5E2A">
        <w:t>However,</w:t>
      </w:r>
      <w:r>
        <w:t xml:space="preserve"> the</w:t>
      </w:r>
      <w:r w:rsidR="006E1570">
        <w:t>y note</w:t>
      </w:r>
      <w:r w:rsidR="00A40A4C">
        <w:t>d</w:t>
      </w:r>
      <w:r w:rsidR="006E1570">
        <w:t xml:space="preserve"> that the</w:t>
      </w:r>
      <w:r>
        <w:t xml:space="preserve">re is a grave danger of making bands available for mobile broadband </w:t>
      </w:r>
      <w:r w:rsidR="00AD5E2A">
        <w:t xml:space="preserve">that </w:t>
      </w:r>
      <w:r>
        <w:t xml:space="preserve">are not really needed for </w:t>
      </w:r>
      <w:r w:rsidRPr="006E1570">
        <w:t xml:space="preserve">many years into the future, or are not needed at all. </w:t>
      </w:r>
      <w:r w:rsidR="006E1570" w:rsidRPr="006E1570">
        <w:t>They stated that even a very preliminary identification of some satellite bands for terrestrial mobile applications can instigate uncertainty</w:t>
      </w:r>
      <w:r w:rsidR="006E1570">
        <w:t xml:space="preserve"> for operators and customers, undermine the </w:t>
      </w:r>
      <w:r w:rsidR="008826CC">
        <w:t>long-term</w:t>
      </w:r>
      <w:r w:rsidR="006E1570">
        <w:t xml:space="preserve"> investments required by satellite operators and their customers, and thereby increase the cost of satellite applications.</w:t>
      </w:r>
    </w:p>
    <w:p w14:paraId="3C15A3DE" w14:textId="4A097B5F" w:rsidR="00A032D5" w:rsidRDefault="006E1570" w:rsidP="00A40A4C">
      <w:r>
        <w:t>Inmarsat note</w:t>
      </w:r>
      <w:r w:rsidR="00A40A4C">
        <w:t>d</w:t>
      </w:r>
      <w:r>
        <w:t xml:space="preserve"> that </w:t>
      </w:r>
      <w:r w:rsidR="00961A9E">
        <w:t>some of the bands identified by the ACMA as possible future bands for mobile broadband are used by satellite networks, partly to support mobile broadband</w:t>
      </w:r>
      <w:r>
        <w:t xml:space="preserve">. In particular, Inmarsat were </w:t>
      </w:r>
      <w:r w:rsidR="00A032D5">
        <w:t xml:space="preserve">concerned by several of the frequency bands that </w:t>
      </w:r>
      <w:r w:rsidR="00A40A4C">
        <w:t xml:space="preserve">were identified in </w:t>
      </w:r>
      <w:r w:rsidR="00A40A4C" w:rsidRPr="00F3138B">
        <w:rPr>
          <w:i/>
        </w:rPr>
        <w:t>Beyond 2020</w:t>
      </w:r>
      <w:r w:rsidR="00A032D5">
        <w:t>, specifically the bands 1427</w:t>
      </w:r>
      <w:r w:rsidR="008826CC">
        <w:t>–</w:t>
      </w:r>
      <w:r w:rsidR="00A032D5">
        <w:t xml:space="preserve">1518 MHz, </w:t>
      </w:r>
      <w:r w:rsidR="00A032D5" w:rsidRPr="006A140C">
        <w:t>1980–2010 MHz</w:t>
      </w:r>
      <w:r w:rsidR="00A032D5">
        <w:t xml:space="preserve">, </w:t>
      </w:r>
      <w:r w:rsidR="00A032D5" w:rsidRPr="006A140C">
        <w:t>2170–2200 MHz</w:t>
      </w:r>
      <w:r w:rsidR="00A032D5">
        <w:t xml:space="preserve"> and </w:t>
      </w:r>
      <w:r w:rsidR="00A032D5" w:rsidRPr="00E5584F">
        <w:t>3575–3700 MHz</w:t>
      </w:r>
      <w:r w:rsidR="00A032D5">
        <w:t xml:space="preserve">. </w:t>
      </w:r>
    </w:p>
    <w:p w14:paraId="5D1789E7" w14:textId="77777777" w:rsidR="00F904E6" w:rsidRPr="00F904E6" w:rsidRDefault="00F904E6" w:rsidP="00F904E6">
      <w:pPr>
        <w:pStyle w:val="Heading2"/>
      </w:pPr>
      <w:bookmarkStart w:id="50" w:name="_Toc441074811"/>
      <w:bookmarkStart w:id="51" w:name="_Toc441235784"/>
      <w:bookmarkStart w:id="52" w:name="_Toc442428359"/>
      <w:bookmarkStart w:id="53" w:name="_Toc443910659"/>
      <w:r w:rsidRPr="00F904E6">
        <w:t>Madhulika Tripathi</w:t>
      </w:r>
      <w:bookmarkEnd w:id="50"/>
      <w:bookmarkEnd w:id="51"/>
      <w:bookmarkEnd w:id="52"/>
      <w:bookmarkEnd w:id="53"/>
    </w:p>
    <w:p w14:paraId="1E3F17A3" w14:textId="393A9045" w:rsidR="00F904E6" w:rsidRPr="00A6145F" w:rsidRDefault="00F904E6" w:rsidP="00A40A4C">
      <w:r>
        <w:rPr>
          <w:rFonts w:cs="Arial"/>
          <w:szCs w:val="20"/>
          <w:lang w:val="en"/>
        </w:rPr>
        <w:t>Mr Tripathi</w:t>
      </w:r>
      <w:r w:rsidR="006C5587">
        <w:rPr>
          <w:rFonts w:cs="Arial"/>
          <w:szCs w:val="20"/>
          <w:lang w:val="en"/>
        </w:rPr>
        <w:t>’s</w:t>
      </w:r>
      <w:r>
        <w:rPr>
          <w:rFonts w:cs="Arial"/>
          <w:szCs w:val="20"/>
          <w:lang w:val="en"/>
        </w:rPr>
        <w:t xml:space="preserve"> submission was </w:t>
      </w:r>
      <w:r w:rsidRPr="00A6145F">
        <w:t xml:space="preserve">focused on the overall regulatory system used for managing spectrum. He suggested that </w:t>
      </w:r>
      <w:r w:rsidR="007E46BA" w:rsidRPr="00A6145F">
        <w:t>the current command-and-control regime is obsolete and that the new spectrum allocation strategy should introduce innovative licensing schemes</w:t>
      </w:r>
      <w:r w:rsidR="00A6145F">
        <w:t>.</w:t>
      </w:r>
      <w:r w:rsidR="00A6145F" w:rsidRPr="00A6145F">
        <w:t xml:space="preserve"> </w:t>
      </w:r>
      <w:r w:rsidR="00A6145F">
        <w:t xml:space="preserve">He also suggested the ACMA put </w:t>
      </w:r>
      <w:r w:rsidR="00A6145F" w:rsidRPr="00A6145F">
        <w:t>more effort into the development of a commensurate spectrum policy that balances the flexibility of spectrum allotment and appropriate regulatory control.</w:t>
      </w:r>
    </w:p>
    <w:p w14:paraId="11FE94E0" w14:textId="77777777" w:rsidR="00777F84" w:rsidRPr="00777F84" w:rsidRDefault="00777F84" w:rsidP="00777F84">
      <w:pPr>
        <w:pStyle w:val="Heading2"/>
      </w:pPr>
      <w:bookmarkStart w:id="54" w:name="_Toc441074812"/>
      <w:bookmarkStart w:id="55" w:name="_Toc441235785"/>
      <w:bookmarkStart w:id="56" w:name="_Toc442428360"/>
      <w:bookmarkStart w:id="57" w:name="_Toc443910660"/>
      <w:r w:rsidRPr="00777F84">
        <w:t>Mississippi Consulting</w:t>
      </w:r>
      <w:bookmarkEnd w:id="54"/>
      <w:bookmarkEnd w:id="55"/>
      <w:bookmarkEnd w:id="56"/>
      <w:bookmarkEnd w:id="57"/>
    </w:p>
    <w:p w14:paraId="209F3362" w14:textId="03C07378" w:rsidR="00325DB0" w:rsidRPr="004C27AD" w:rsidRDefault="00B3332F" w:rsidP="00325DB0">
      <w:r>
        <w:t>Mississippi Consulting</w:t>
      </w:r>
      <w:r w:rsidR="00A40A4C">
        <w:t xml:space="preserve">’s submission </w:t>
      </w:r>
      <w:r w:rsidR="00A40A4C" w:rsidRPr="004C27AD">
        <w:t xml:space="preserve">focused on the extent to which </w:t>
      </w:r>
      <w:r w:rsidR="00A40A4C" w:rsidRPr="00F3138B">
        <w:rPr>
          <w:i/>
        </w:rPr>
        <w:t>Beyond 2020</w:t>
      </w:r>
      <w:r w:rsidR="00A40A4C" w:rsidRPr="00325DB0">
        <w:t xml:space="preserve"> </w:t>
      </w:r>
      <w:r w:rsidR="00A40A4C" w:rsidRPr="004C27AD">
        <w:t>addresse</w:t>
      </w:r>
      <w:r w:rsidR="00A40A4C">
        <w:t>d</w:t>
      </w:r>
      <w:r w:rsidR="00A40A4C" w:rsidRPr="004C27AD">
        <w:t xml:space="preserve"> the potential spectrum for </w:t>
      </w:r>
      <w:r w:rsidR="00A40A4C" w:rsidRPr="00325DB0">
        <w:t>5G</w:t>
      </w:r>
      <w:r w:rsidR="00A40A4C" w:rsidRPr="004C27AD">
        <w:t xml:space="preserve"> mobile broadband</w:t>
      </w:r>
      <w:r w:rsidR="008826CC">
        <w:t>. It</w:t>
      </w:r>
      <w:r w:rsidR="00A40A4C">
        <w:t xml:space="preserve"> addressed</w:t>
      </w:r>
      <w:r w:rsidRPr="004C27AD">
        <w:t xml:space="preserve"> </w:t>
      </w:r>
      <w:r w:rsidRPr="00A40A4C">
        <w:t>why it thinks the ACMA should be more active in giving consideration to 5G, in particular its</w:t>
      </w:r>
      <w:r w:rsidRPr="004C27AD">
        <w:t xml:space="preserve"> likely demands on spectrum </w:t>
      </w:r>
      <w:r>
        <w:t>above 6 GHz</w:t>
      </w:r>
      <w:r w:rsidR="00B67FCF">
        <w:t xml:space="preserve">. </w:t>
      </w:r>
      <w:r w:rsidR="00A40A4C">
        <w:t xml:space="preserve">Mississippi Consulting </w:t>
      </w:r>
      <w:r w:rsidRPr="004C27AD">
        <w:t>fel</w:t>
      </w:r>
      <w:r w:rsidR="00A40A4C">
        <w:t>t</w:t>
      </w:r>
      <w:r w:rsidRPr="004C27AD">
        <w:t xml:space="preserve"> </w:t>
      </w:r>
      <w:r w:rsidR="00A40A4C" w:rsidRPr="00F3138B">
        <w:rPr>
          <w:i/>
        </w:rPr>
        <w:t>Beyond 2020</w:t>
      </w:r>
      <w:r w:rsidR="00A40A4C">
        <w:t xml:space="preserve"> </w:t>
      </w:r>
      <w:r w:rsidRPr="004C27AD">
        <w:t>d</w:t>
      </w:r>
      <w:r w:rsidR="00A40A4C">
        <w:t>id</w:t>
      </w:r>
      <w:r w:rsidRPr="004C27AD">
        <w:t xml:space="preserve"> not deal adequately with the changes to the mobile broadband landscape that are likely if one was to be speculative</w:t>
      </w:r>
      <w:r w:rsidR="008826CC">
        <w:t>,</w:t>
      </w:r>
      <w:r w:rsidRPr="004C27AD">
        <w:t xml:space="preserve"> or could</w:t>
      </w:r>
      <w:r>
        <w:t xml:space="preserve"> occur</w:t>
      </w:r>
      <w:r w:rsidRPr="004C27AD">
        <w:t xml:space="preserve"> if one was to be more circumspect.</w:t>
      </w:r>
      <w:r w:rsidR="00725AEC">
        <w:t xml:space="preserve"> </w:t>
      </w:r>
      <w:r w:rsidR="00325DB0" w:rsidRPr="004C27AD">
        <w:t xml:space="preserve">Mississippi Consulting </w:t>
      </w:r>
      <w:r w:rsidR="00A40A4C">
        <w:t xml:space="preserve">requested that </w:t>
      </w:r>
      <w:r w:rsidR="00325DB0" w:rsidRPr="004C27AD">
        <w:t xml:space="preserve">the ACMA </w:t>
      </w:r>
      <w:r w:rsidR="00325DB0">
        <w:t>consider</w:t>
      </w:r>
      <w:r w:rsidR="00325DB0" w:rsidRPr="004C27AD">
        <w:t xml:space="preserve"> devoting increased effort to examining potential candidate band options for a </w:t>
      </w:r>
      <w:r w:rsidR="00325DB0" w:rsidRPr="00325DB0">
        <w:t>5G</w:t>
      </w:r>
      <w:r w:rsidR="00325DB0" w:rsidRPr="004C27AD">
        <w:t xml:space="preserve"> deployment in Australia. </w:t>
      </w:r>
    </w:p>
    <w:p w14:paraId="5A11FB2B" w14:textId="64259F0F" w:rsidR="00777F84" w:rsidRPr="00777F84" w:rsidRDefault="008869EA" w:rsidP="00777F84">
      <w:pPr>
        <w:pStyle w:val="Heading2"/>
      </w:pPr>
      <w:bookmarkStart w:id="58" w:name="_Toc442428361"/>
      <w:bookmarkStart w:id="59" w:name="_Toc443910661"/>
      <w:r>
        <w:t>nbn</w:t>
      </w:r>
      <w:bookmarkEnd w:id="58"/>
      <w:bookmarkEnd w:id="59"/>
    </w:p>
    <w:p w14:paraId="7EDD77E9" w14:textId="544DA372" w:rsidR="00777F84" w:rsidRDefault="008869EA" w:rsidP="00777F84">
      <w:pPr>
        <w:rPr>
          <w:rFonts w:cs="Arial"/>
          <w:szCs w:val="20"/>
          <w:lang w:val="en"/>
        </w:rPr>
      </w:pPr>
      <w:r>
        <w:rPr>
          <w:rFonts w:cs="Arial"/>
          <w:szCs w:val="20"/>
          <w:lang w:val="en"/>
        </w:rPr>
        <w:t>nbn</w:t>
      </w:r>
      <w:r w:rsidR="00725AEC">
        <w:rPr>
          <w:rFonts w:cs="Arial"/>
          <w:szCs w:val="20"/>
          <w:lang w:val="en"/>
        </w:rPr>
        <w:t xml:space="preserve"> supported a holistic approach by the ACMA to spectrum management planning that appropriately considers the requirements of other services in addition to that of mobile broadband. </w:t>
      </w:r>
      <w:r>
        <w:rPr>
          <w:rFonts w:cs="Arial"/>
          <w:szCs w:val="20"/>
          <w:lang w:val="en"/>
        </w:rPr>
        <w:t>nbn</w:t>
      </w:r>
      <w:r w:rsidR="00725AEC">
        <w:rPr>
          <w:rFonts w:cs="Arial"/>
          <w:szCs w:val="20"/>
          <w:lang w:val="en"/>
        </w:rPr>
        <w:t xml:space="preserve"> requested that the </w:t>
      </w:r>
      <w:r w:rsidR="00D55F42">
        <w:rPr>
          <w:rFonts w:cs="Arial"/>
          <w:szCs w:val="20"/>
          <w:lang w:val="en"/>
        </w:rPr>
        <w:t>ACMA ensure that it continues to consider fixed broadband capacity requirements in the IMT spectrum bands identified</w:t>
      </w:r>
      <w:r w:rsidR="00725AEC">
        <w:rPr>
          <w:rFonts w:cs="Arial"/>
          <w:szCs w:val="20"/>
          <w:lang w:val="en"/>
        </w:rPr>
        <w:t xml:space="preserve"> in </w:t>
      </w:r>
      <w:r w:rsidR="00725AEC" w:rsidRPr="00F3138B">
        <w:rPr>
          <w:rFonts w:cs="Arial"/>
          <w:i/>
          <w:szCs w:val="20"/>
          <w:lang w:val="en"/>
        </w:rPr>
        <w:t>Beyond 2020</w:t>
      </w:r>
      <w:r w:rsidR="00D55F42">
        <w:rPr>
          <w:rFonts w:cs="Arial"/>
          <w:szCs w:val="20"/>
          <w:lang w:val="en"/>
        </w:rPr>
        <w:t>.</w:t>
      </w:r>
    </w:p>
    <w:p w14:paraId="114E16F0" w14:textId="77777777" w:rsidR="00777F84" w:rsidRPr="00777F84" w:rsidRDefault="00777F84" w:rsidP="00777F84">
      <w:pPr>
        <w:pStyle w:val="Heading2"/>
      </w:pPr>
      <w:bookmarkStart w:id="60" w:name="_Toc441074814"/>
      <w:bookmarkStart w:id="61" w:name="_Toc441235787"/>
      <w:bookmarkStart w:id="62" w:name="_Toc442428362"/>
      <w:bookmarkStart w:id="63" w:name="_Toc443910662"/>
      <w:r w:rsidRPr="00777F84">
        <w:t>Omnispace Australia</w:t>
      </w:r>
      <w:bookmarkEnd w:id="60"/>
      <w:bookmarkEnd w:id="61"/>
      <w:bookmarkEnd w:id="62"/>
      <w:bookmarkEnd w:id="63"/>
    </w:p>
    <w:p w14:paraId="2D1BEA75" w14:textId="77777777" w:rsidR="00725AEC" w:rsidRDefault="00B07CDA" w:rsidP="00725AEC">
      <w:pPr>
        <w:rPr>
          <w:rFonts w:cs="Arial"/>
        </w:rPr>
      </w:pPr>
      <w:r>
        <w:rPr>
          <w:rFonts w:cs="Arial"/>
        </w:rPr>
        <w:t>Omnispace support</w:t>
      </w:r>
      <w:r w:rsidR="00725AEC">
        <w:rPr>
          <w:rFonts w:cs="Arial"/>
        </w:rPr>
        <w:t>ed</w:t>
      </w:r>
      <w:r>
        <w:rPr>
          <w:rFonts w:cs="Arial"/>
        </w:rPr>
        <w:t xml:space="preserve"> the use of transparent spectrum planning, innovative </w:t>
      </w:r>
      <w:r w:rsidRPr="00725AEC">
        <w:rPr>
          <w:rFonts w:cs="Arial"/>
          <w:szCs w:val="20"/>
          <w:lang w:val="en"/>
        </w:rPr>
        <w:t>spectrum sharing, and flexible regulatory approaches to facilitate the introduction of new satellite services for rural and remote Australia</w:t>
      </w:r>
      <w:r w:rsidR="00725AEC">
        <w:rPr>
          <w:rFonts w:cs="Arial"/>
        </w:rPr>
        <w:t>, noting that an important element for success is early and ongoing consultation with both proposed new service providers and incumbents.</w:t>
      </w:r>
    </w:p>
    <w:p w14:paraId="0D7CE368" w14:textId="41843D1B" w:rsidR="00725AEC" w:rsidRPr="00725AEC" w:rsidRDefault="00725AEC" w:rsidP="00725AEC">
      <w:pPr>
        <w:rPr>
          <w:rFonts w:cs="Arial"/>
          <w:szCs w:val="20"/>
          <w:lang w:val="en"/>
        </w:rPr>
      </w:pPr>
      <w:r w:rsidRPr="00725AEC">
        <w:rPr>
          <w:rFonts w:cs="Arial"/>
          <w:szCs w:val="20"/>
          <w:lang w:val="en"/>
        </w:rPr>
        <w:t>The submission focused on addressing concerns with the introduction of mobile broadband into the 1980–2010 MHz and 2170–2200 MHz</w:t>
      </w:r>
      <w:r>
        <w:rPr>
          <w:rFonts w:cs="Arial"/>
          <w:szCs w:val="20"/>
          <w:lang w:val="en"/>
        </w:rPr>
        <w:t xml:space="preserve"> bands</w:t>
      </w:r>
      <w:r w:rsidR="008826CC">
        <w:rPr>
          <w:rFonts w:cs="Arial"/>
          <w:szCs w:val="20"/>
          <w:lang w:val="en"/>
        </w:rPr>
        <w:t>,</w:t>
      </w:r>
      <w:r>
        <w:rPr>
          <w:rFonts w:cs="Arial"/>
          <w:szCs w:val="20"/>
          <w:lang w:val="en"/>
        </w:rPr>
        <w:t xml:space="preserve"> and the potential impact on any future introduction of an MSS S-band service into Australia. </w:t>
      </w:r>
    </w:p>
    <w:p w14:paraId="16F6A535" w14:textId="55556337" w:rsidR="00BC2B2A" w:rsidRDefault="003032AA" w:rsidP="006B7547">
      <w:pPr>
        <w:pStyle w:val="Heading2"/>
      </w:pPr>
      <w:bookmarkStart w:id="64" w:name="_Toc441074815"/>
      <w:bookmarkStart w:id="65" w:name="_Toc441235788"/>
      <w:bookmarkStart w:id="66" w:name="_Toc442428363"/>
      <w:bookmarkStart w:id="67" w:name="_Toc443910663"/>
      <w:r>
        <w:t>Optus</w:t>
      </w:r>
      <w:bookmarkEnd w:id="64"/>
      <w:bookmarkEnd w:id="65"/>
      <w:bookmarkEnd w:id="66"/>
      <w:bookmarkEnd w:id="67"/>
    </w:p>
    <w:p w14:paraId="5AE3197B" w14:textId="0837BB91" w:rsidR="003032AA" w:rsidRPr="00725AEC" w:rsidRDefault="00F91010" w:rsidP="00725AEC">
      <w:pPr>
        <w:rPr>
          <w:rFonts w:cs="Arial"/>
        </w:rPr>
      </w:pPr>
      <w:r>
        <w:rPr>
          <w:rFonts w:cs="Arial"/>
        </w:rPr>
        <w:t>Optus noted that i</w:t>
      </w:r>
      <w:r w:rsidR="004813A3" w:rsidRPr="00725AEC">
        <w:rPr>
          <w:rFonts w:cs="Arial"/>
        </w:rPr>
        <w:t>t is critical for Australia to have a robust spectrum management strategy in place to ensure that future growth in demand for mobile broadband is not impaired by lack of spectrum.</w:t>
      </w:r>
      <w:r>
        <w:rPr>
          <w:rFonts w:cs="Arial"/>
        </w:rPr>
        <w:t xml:space="preserve"> </w:t>
      </w:r>
      <w:r w:rsidR="003032AA" w:rsidRPr="00725AEC">
        <w:rPr>
          <w:rFonts w:cs="Arial"/>
        </w:rPr>
        <w:t>Optus concur</w:t>
      </w:r>
      <w:r>
        <w:rPr>
          <w:rFonts w:cs="Arial"/>
        </w:rPr>
        <w:t>red</w:t>
      </w:r>
      <w:r w:rsidR="003032AA" w:rsidRPr="00725AEC">
        <w:rPr>
          <w:rFonts w:cs="Arial"/>
        </w:rPr>
        <w:t xml:space="preserve"> with the ACMA’s view that</w:t>
      </w:r>
      <w:r w:rsidR="006B7547" w:rsidRPr="00725AEC">
        <w:rPr>
          <w:rFonts w:cs="Arial"/>
        </w:rPr>
        <w:t xml:space="preserve"> </w:t>
      </w:r>
      <w:r w:rsidR="008826CC">
        <w:rPr>
          <w:rFonts w:cs="Arial"/>
        </w:rPr>
        <w:t>‘</w:t>
      </w:r>
      <w:r w:rsidR="003032AA" w:rsidRPr="00725AEC">
        <w:rPr>
          <w:rFonts w:cs="Arial"/>
        </w:rPr>
        <w:t>rather than focus on arbitrary and simplistic targets, (it will) seek to provide the right spectrum at the right time to address the growth in demand for mobile broadband capacity.</w:t>
      </w:r>
      <w:r w:rsidR="008826CC">
        <w:rPr>
          <w:rFonts w:cs="Arial"/>
        </w:rPr>
        <w:t>’</w:t>
      </w:r>
      <w:r w:rsidR="003032AA" w:rsidRPr="00725AEC">
        <w:rPr>
          <w:rFonts w:cs="Arial"/>
        </w:rPr>
        <w:t xml:space="preserve"> However</w:t>
      </w:r>
      <w:r w:rsidR="008826CC">
        <w:rPr>
          <w:rFonts w:cs="Arial"/>
        </w:rPr>
        <w:t>,</w:t>
      </w:r>
      <w:r w:rsidR="003032AA" w:rsidRPr="00725AEC">
        <w:rPr>
          <w:rFonts w:cs="Arial"/>
        </w:rPr>
        <w:t xml:space="preserve"> </w:t>
      </w:r>
      <w:r>
        <w:rPr>
          <w:rFonts w:cs="Arial"/>
        </w:rPr>
        <w:t xml:space="preserve">they believe </w:t>
      </w:r>
      <w:r w:rsidR="003032AA" w:rsidRPr="00725AEC">
        <w:rPr>
          <w:rFonts w:cs="Arial"/>
        </w:rPr>
        <w:t>further consideration needs to be given on how to measure whether the commitment to ‘provide the right spectrum at the right time’ has been achieved. Any commitments made under the ‘ACMA annual work program’ and relevant ‘Ministerial Policy Statements’, as propose</w:t>
      </w:r>
      <w:r>
        <w:rPr>
          <w:rFonts w:cs="Arial"/>
        </w:rPr>
        <w:t>d</w:t>
      </w:r>
      <w:r w:rsidR="003032AA" w:rsidRPr="00725AEC">
        <w:rPr>
          <w:rFonts w:cs="Arial"/>
        </w:rPr>
        <w:t xml:space="preserve"> under the Spectrum Review</w:t>
      </w:r>
      <w:r w:rsidR="008826CC">
        <w:rPr>
          <w:rFonts w:cs="Arial"/>
        </w:rPr>
        <w:t>,</w:t>
      </w:r>
      <w:r w:rsidR="003032AA" w:rsidRPr="00725AEC">
        <w:rPr>
          <w:rFonts w:cs="Arial"/>
        </w:rPr>
        <w:t xml:space="preserve"> should also be included in this monitoring framework.</w:t>
      </w:r>
    </w:p>
    <w:p w14:paraId="0EAEA95B" w14:textId="6F2A33BF" w:rsidR="006B7547" w:rsidRPr="004E7D3E" w:rsidRDefault="006B7547" w:rsidP="00725AEC">
      <w:pPr>
        <w:rPr>
          <w:rFonts w:cs="Arial"/>
        </w:rPr>
      </w:pPr>
      <w:r w:rsidRPr="00725AEC">
        <w:rPr>
          <w:rFonts w:cs="Arial"/>
        </w:rPr>
        <w:t>Optus considers that some levers for addressing mobile broadband capacity growth should remain in the domain of mobile network operators (MNOs). For example, how and when spectrum is used, technologies used to improve spectral efficiency and the deployment of appropriate network infrastructure.</w:t>
      </w:r>
    </w:p>
    <w:p w14:paraId="5F4C2902" w14:textId="77777777" w:rsidR="00777F84" w:rsidRPr="00777F84" w:rsidRDefault="00777F84" w:rsidP="00777F84">
      <w:pPr>
        <w:pStyle w:val="Heading2"/>
      </w:pPr>
      <w:bookmarkStart w:id="68" w:name="_Toc441074816"/>
      <w:bookmarkStart w:id="69" w:name="_Toc441235789"/>
      <w:bookmarkStart w:id="70" w:name="_Toc442428364"/>
      <w:bookmarkStart w:id="71" w:name="_Toc443910664"/>
      <w:r w:rsidRPr="00777F84">
        <w:t>Taggle Systems</w:t>
      </w:r>
      <w:bookmarkEnd w:id="68"/>
      <w:bookmarkEnd w:id="69"/>
      <w:bookmarkEnd w:id="70"/>
      <w:bookmarkEnd w:id="71"/>
    </w:p>
    <w:p w14:paraId="07CE28A4" w14:textId="6CB8D7AB" w:rsidR="00777F84" w:rsidRPr="00F91010" w:rsidRDefault="005A627E" w:rsidP="00777F84">
      <w:pPr>
        <w:rPr>
          <w:rFonts w:cs="Arial"/>
        </w:rPr>
      </w:pPr>
      <w:r w:rsidRPr="00F91010">
        <w:rPr>
          <w:rFonts w:cs="Arial"/>
        </w:rPr>
        <w:t xml:space="preserve">Taggle </w:t>
      </w:r>
      <w:r w:rsidR="00F91010">
        <w:rPr>
          <w:rFonts w:cs="Arial"/>
        </w:rPr>
        <w:t xml:space="preserve">Systems </w:t>
      </w:r>
      <w:r w:rsidRPr="00F91010">
        <w:rPr>
          <w:rFonts w:cs="Arial"/>
        </w:rPr>
        <w:t>outlined the direct financial benefits and indirect benefits of their low power, wide area networks for remote monitoring</w:t>
      </w:r>
      <w:r w:rsidR="008826CC">
        <w:rPr>
          <w:rFonts w:cs="Arial"/>
        </w:rPr>
        <w:t>,</w:t>
      </w:r>
      <w:r w:rsidRPr="00F91010">
        <w:rPr>
          <w:rFonts w:cs="Arial"/>
        </w:rPr>
        <w:t xml:space="preserve"> and describe their spectrum requirements for enabling low-cost, long life, battery powered remote monitoring. </w:t>
      </w:r>
    </w:p>
    <w:p w14:paraId="6024028E" w14:textId="053133BA" w:rsidR="00512447" w:rsidRPr="00F91010" w:rsidRDefault="00512447" w:rsidP="00777F84">
      <w:pPr>
        <w:rPr>
          <w:rFonts w:cs="Arial"/>
        </w:rPr>
      </w:pPr>
      <w:r w:rsidRPr="00F91010">
        <w:rPr>
          <w:rFonts w:cs="Arial"/>
        </w:rPr>
        <w:t>Taggle request</w:t>
      </w:r>
      <w:r w:rsidR="00F91010">
        <w:rPr>
          <w:rFonts w:cs="Arial"/>
        </w:rPr>
        <w:t>ed</w:t>
      </w:r>
      <w:r w:rsidRPr="00F91010">
        <w:rPr>
          <w:rFonts w:cs="Arial"/>
        </w:rPr>
        <w:t xml:space="preserve"> the development of new spectrum </w:t>
      </w:r>
      <w:r w:rsidR="00F91010">
        <w:rPr>
          <w:rFonts w:cs="Arial"/>
        </w:rPr>
        <w:t xml:space="preserve">arrangements </w:t>
      </w:r>
      <w:r w:rsidRPr="00F91010">
        <w:rPr>
          <w:rFonts w:cs="Arial"/>
        </w:rPr>
        <w:t>in the 600</w:t>
      </w:r>
      <w:r w:rsidR="00432821" w:rsidRPr="00725AEC">
        <w:rPr>
          <w:rFonts w:cs="Arial"/>
          <w:szCs w:val="20"/>
          <w:lang w:val="en"/>
        </w:rPr>
        <w:t>–</w:t>
      </w:r>
      <w:r w:rsidRPr="00F91010">
        <w:rPr>
          <w:rFonts w:cs="Arial"/>
        </w:rPr>
        <w:t>1000</w:t>
      </w:r>
      <w:r w:rsidR="00EF71C1">
        <w:rPr>
          <w:rFonts w:cs="Arial"/>
        </w:rPr>
        <w:t> </w:t>
      </w:r>
      <w:r w:rsidRPr="00F91010">
        <w:rPr>
          <w:rFonts w:cs="Arial"/>
        </w:rPr>
        <w:t xml:space="preserve">MHz </w:t>
      </w:r>
      <w:r w:rsidR="00F91010">
        <w:rPr>
          <w:rFonts w:cs="Arial"/>
        </w:rPr>
        <w:t>band</w:t>
      </w:r>
      <w:r w:rsidRPr="00F91010">
        <w:rPr>
          <w:rFonts w:cs="Arial"/>
        </w:rPr>
        <w:t xml:space="preserve"> that is specifically designed to address the needs of public utilities and public interest groups. </w:t>
      </w:r>
      <w:r w:rsidR="00F91010">
        <w:rPr>
          <w:rFonts w:cs="Arial"/>
        </w:rPr>
        <w:t>Taggle Systems has</w:t>
      </w:r>
      <w:r w:rsidRPr="00F91010">
        <w:rPr>
          <w:rFonts w:cs="Arial"/>
        </w:rPr>
        <w:t xml:space="preserve"> concluded that 5</w:t>
      </w:r>
      <w:r w:rsidR="008826CC">
        <w:rPr>
          <w:rFonts w:cs="Arial"/>
        </w:rPr>
        <w:t xml:space="preserve"> </w:t>
      </w:r>
      <w:r w:rsidRPr="00F91010">
        <w:rPr>
          <w:rFonts w:cs="Arial"/>
        </w:rPr>
        <w:t>MHz of spectrum would be sufficien</w:t>
      </w:r>
      <w:r w:rsidR="00F91010">
        <w:rPr>
          <w:rFonts w:cs="Arial"/>
        </w:rPr>
        <w:t>t to provide for future needs.</w:t>
      </w:r>
    </w:p>
    <w:p w14:paraId="0AF9D92C" w14:textId="77777777" w:rsidR="00777F84" w:rsidRPr="00777F84" w:rsidRDefault="00777F84" w:rsidP="00777F84">
      <w:pPr>
        <w:pStyle w:val="Heading2"/>
      </w:pPr>
      <w:bookmarkStart w:id="72" w:name="_Toc441074817"/>
      <w:bookmarkStart w:id="73" w:name="_Toc441235790"/>
      <w:bookmarkStart w:id="74" w:name="_Toc442428365"/>
      <w:bookmarkStart w:id="75" w:name="_Toc443910665"/>
      <w:r w:rsidRPr="00777F84">
        <w:t>Telstra</w:t>
      </w:r>
      <w:bookmarkEnd w:id="72"/>
      <w:bookmarkEnd w:id="73"/>
      <w:bookmarkEnd w:id="74"/>
      <w:bookmarkEnd w:id="75"/>
    </w:p>
    <w:p w14:paraId="2E0D2C4D" w14:textId="77F3CB65" w:rsidR="00777F84" w:rsidRDefault="00512447" w:rsidP="00777F84">
      <w:pPr>
        <w:rPr>
          <w:szCs w:val="20"/>
        </w:rPr>
      </w:pPr>
      <w:r>
        <w:rPr>
          <w:szCs w:val="20"/>
        </w:rPr>
        <w:t>Telstra agree</w:t>
      </w:r>
      <w:r w:rsidR="00F91010">
        <w:rPr>
          <w:szCs w:val="20"/>
        </w:rPr>
        <w:t>d</w:t>
      </w:r>
      <w:r>
        <w:rPr>
          <w:szCs w:val="20"/>
        </w:rPr>
        <w:t xml:space="preserve"> with most of the ACMA’s findings in </w:t>
      </w:r>
      <w:r w:rsidR="00F91010" w:rsidRPr="00F3138B">
        <w:rPr>
          <w:i/>
          <w:szCs w:val="20"/>
        </w:rPr>
        <w:t>Beyond 2020</w:t>
      </w:r>
      <w:r w:rsidR="00F91010">
        <w:rPr>
          <w:szCs w:val="20"/>
        </w:rPr>
        <w:t xml:space="preserve"> </w:t>
      </w:r>
      <w:r>
        <w:rPr>
          <w:szCs w:val="20"/>
        </w:rPr>
        <w:t>and the overall direction of the strategy, including the shift away from a focus on explicit quantitative targets of spectrum towards a contingency planning model; the five guiding strategies; and the four step process for identifying and allocating further mobile broa</w:t>
      </w:r>
      <w:r w:rsidR="00F91010">
        <w:rPr>
          <w:szCs w:val="20"/>
        </w:rPr>
        <w:t>dband spectrum. However, there we</w:t>
      </w:r>
      <w:r>
        <w:rPr>
          <w:szCs w:val="20"/>
        </w:rPr>
        <w:t xml:space="preserve">re several aspects of the proposed approach </w:t>
      </w:r>
      <w:r w:rsidR="008826CC">
        <w:rPr>
          <w:szCs w:val="20"/>
        </w:rPr>
        <w:t xml:space="preserve">that </w:t>
      </w:r>
      <w:r>
        <w:rPr>
          <w:szCs w:val="20"/>
        </w:rPr>
        <w:t>Te</w:t>
      </w:r>
      <w:r w:rsidR="00F91010">
        <w:rPr>
          <w:szCs w:val="20"/>
        </w:rPr>
        <w:t>lstra believed</w:t>
      </w:r>
      <w:r>
        <w:rPr>
          <w:szCs w:val="20"/>
        </w:rPr>
        <w:t xml:space="preserve"> require further consideration and refinement.</w:t>
      </w:r>
    </w:p>
    <w:p w14:paraId="067CC87C" w14:textId="5ECEE484" w:rsidR="00660121" w:rsidRPr="00777F84" w:rsidRDefault="00F91010" w:rsidP="00777F84">
      <w:pPr>
        <w:rPr>
          <w:rFonts w:cs="Arial"/>
          <w:szCs w:val="20"/>
          <w:lang w:val="en"/>
        </w:rPr>
      </w:pPr>
      <w:r>
        <w:rPr>
          <w:szCs w:val="20"/>
        </w:rPr>
        <w:t>In particular, Telstra noted that</w:t>
      </w:r>
      <w:r w:rsidR="00660121">
        <w:rPr>
          <w:szCs w:val="20"/>
        </w:rPr>
        <w:t xml:space="preserve"> a stronger proactive stance and greater sense of urgency needs to be applied to these proposed measures, </w:t>
      </w:r>
      <w:r>
        <w:rPr>
          <w:szCs w:val="20"/>
        </w:rPr>
        <w:t xml:space="preserve">given </w:t>
      </w:r>
      <w:r w:rsidR="00660121">
        <w:rPr>
          <w:szCs w:val="20"/>
        </w:rPr>
        <w:t>both the rapid ongoing growth in mobile broadband demand and the long lead</w:t>
      </w:r>
      <w:r w:rsidR="008826CC">
        <w:rPr>
          <w:szCs w:val="20"/>
        </w:rPr>
        <w:t>-</w:t>
      </w:r>
      <w:r w:rsidR="00660121">
        <w:rPr>
          <w:szCs w:val="20"/>
        </w:rPr>
        <w:t xml:space="preserve">times involved in identifying and re-farming new spectrum. The </w:t>
      </w:r>
      <w:r>
        <w:rPr>
          <w:szCs w:val="20"/>
        </w:rPr>
        <w:t xml:space="preserve">noted that the </w:t>
      </w:r>
      <w:r w:rsidR="00660121">
        <w:rPr>
          <w:szCs w:val="20"/>
        </w:rPr>
        <w:t>efficiency objectives in Strategy 1 also need to be explicitly applied to all spectrum users (not only to mobile broadband users) to encourage spectrum to be freed up and moved to higher value uses (such as mobile broadband) over time.</w:t>
      </w:r>
    </w:p>
    <w:p w14:paraId="141D8671" w14:textId="0BB7C689" w:rsidR="00C13F23" w:rsidRPr="000D76E0" w:rsidRDefault="00FC3037" w:rsidP="00C13F23">
      <w:pPr>
        <w:pStyle w:val="Heading1"/>
      </w:pPr>
      <w:bookmarkStart w:id="76" w:name="_Toc441074818"/>
      <w:bookmarkStart w:id="77" w:name="_Toc443910666"/>
      <w:r>
        <w:t>3</w:t>
      </w:r>
      <w:r w:rsidR="00C13F23">
        <w:tab/>
        <w:t xml:space="preserve">Summary </w:t>
      </w:r>
      <w:r w:rsidR="00D24FA5">
        <w:t xml:space="preserve">and response </w:t>
      </w:r>
      <w:r w:rsidR="00C13F23">
        <w:t>by issue</w:t>
      </w:r>
      <w:bookmarkEnd w:id="76"/>
      <w:bookmarkEnd w:id="77"/>
    </w:p>
    <w:p w14:paraId="4BBB4C7B" w14:textId="1BA7F162" w:rsidR="00C13F23" w:rsidRDefault="00385477" w:rsidP="00C13F23">
      <w:pPr>
        <w:rPr>
          <w:rFonts w:cs="Arial"/>
          <w:szCs w:val="20"/>
          <w:lang w:val="en"/>
        </w:rPr>
      </w:pPr>
      <w:r>
        <w:rPr>
          <w:rFonts w:cs="Arial"/>
          <w:szCs w:val="20"/>
          <w:lang w:val="en"/>
        </w:rPr>
        <w:t>A</w:t>
      </w:r>
      <w:r w:rsidR="00C13F23">
        <w:rPr>
          <w:rFonts w:cs="Arial"/>
          <w:szCs w:val="20"/>
          <w:lang w:val="en"/>
        </w:rPr>
        <w:t xml:space="preserve"> summary of </w:t>
      </w:r>
      <w:r>
        <w:rPr>
          <w:rFonts w:cs="Arial"/>
          <w:szCs w:val="20"/>
          <w:lang w:val="en"/>
        </w:rPr>
        <w:t>the comments raised regarding each of the issues in the discussion paper</w:t>
      </w:r>
      <w:r w:rsidR="008826CC">
        <w:rPr>
          <w:rFonts w:cs="Arial"/>
          <w:szCs w:val="20"/>
          <w:lang w:val="en"/>
        </w:rPr>
        <w:t>,</w:t>
      </w:r>
      <w:r>
        <w:rPr>
          <w:rFonts w:cs="Arial"/>
          <w:szCs w:val="20"/>
          <w:lang w:val="en"/>
        </w:rPr>
        <w:t xml:space="preserve"> </w:t>
      </w:r>
      <w:r w:rsidR="000844D9">
        <w:rPr>
          <w:rFonts w:cs="Arial"/>
          <w:szCs w:val="20"/>
          <w:lang w:val="en"/>
        </w:rPr>
        <w:t>as well as the ACMA’s responses</w:t>
      </w:r>
      <w:r w:rsidR="008826CC">
        <w:rPr>
          <w:rFonts w:cs="Arial"/>
          <w:szCs w:val="20"/>
          <w:lang w:val="en"/>
        </w:rPr>
        <w:t>,</w:t>
      </w:r>
      <w:r w:rsidR="000844D9">
        <w:rPr>
          <w:rFonts w:cs="Arial"/>
          <w:szCs w:val="20"/>
          <w:lang w:val="en"/>
        </w:rPr>
        <w:t xml:space="preserve"> are</w:t>
      </w:r>
      <w:r w:rsidR="00C13F23">
        <w:rPr>
          <w:rFonts w:cs="Arial"/>
          <w:szCs w:val="20"/>
          <w:lang w:val="en"/>
        </w:rPr>
        <w:t xml:space="preserve"> provided below.</w:t>
      </w:r>
    </w:p>
    <w:p w14:paraId="28BC3F1B" w14:textId="0A80CD74" w:rsidR="00FB3BDE" w:rsidRDefault="008826CC" w:rsidP="00C13F23">
      <w:pPr>
        <w:pStyle w:val="Heading2"/>
      </w:pPr>
      <w:bookmarkStart w:id="78" w:name="_Toc441074819"/>
      <w:bookmarkStart w:id="79" w:name="_Toc443910667"/>
      <w:r>
        <w:t xml:space="preserve">The </w:t>
      </w:r>
      <w:r w:rsidR="00FB3BDE">
        <w:t>ACMA</w:t>
      </w:r>
      <w:r>
        <w:t>’s</w:t>
      </w:r>
      <w:r w:rsidR="00FB3BDE">
        <w:t xml:space="preserve"> role</w:t>
      </w:r>
      <w:bookmarkEnd w:id="78"/>
      <w:bookmarkEnd w:id="79"/>
    </w:p>
    <w:p w14:paraId="02028247" w14:textId="198B3498" w:rsidR="00FB3BDE" w:rsidRDefault="00F91010" w:rsidP="00FB3BDE">
      <w:pPr>
        <w:spacing w:after="120"/>
        <w:rPr>
          <w:rFonts w:cs="Arial"/>
        </w:rPr>
      </w:pPr>
      <w:r w:rsidRPr="00F3138B">
        <w:rPr>
          <w:rFonts w:cs="Arial"/>
          <w:i/>
        </w:rPr>
        <w:t>Beyond 2020</w:t>
      </w:r>
      <w:r>
        <w:rPr>
          <w:rFonts w:cs="Arial"/>
        </w:rPr>
        <w:t xml:space="preserve"> described the ACMA’s role in relation to radio frequency spectrum management and the framework for spectrum management decision making. </w:t>
      </w:r>
      <w:r w:rsidR="00FB3BDE">
        <w:rPr>
          <w:rFonts w:cs="Arial"/>
        </w:rPr>
        <w:t>A</w:t>
      </w:r>
      <w:r>
        <w:rPr>
          <w:rFonts w:cs="Arial"/>
        </w:rPr>
        <w:t xml:space="preserve"> base assumption </w:t>
      </w:r>
      <w:r w:rsidR="002F27FE">
        <w:rPr>
          <w:rFonts w:cs="Arial"/>
        </w:rPr>
        <w:t xml:space="preserve">(Assumption 1) </w:t>
      </w:r>
      <w:r>
        <w:rPr>
          <w:rFonts w:cs="Arial"/>
        </w:rPr>
        <w:t>derived from this discussion was</w:t>
      </w:r>
      <w:r w:rsidR="00FB3BDE">
        <w:rPr>
          <w:rFonts w:cs="Arial"/>
        </w:rPr>
        <w:t xml:space="preserve">: </w:t>
      </w:r>
    </w:p>
    <w:p w14:paraId="1C4B2CDE" w14:textId="77777777" w:rsidR="00E97EA4" w:rsidRDefault="00FB3BDE" w:rsidP="00FB3BDE">
      <w:pPr>
        <w:ind w:left="567" w:right="583"/>
        <w:rPr>
          <w:i/>
        </w:rPr>
      </w:pPr>
      <w:r w:rsidRPr="00211492">
        <w:rPr>
          <w:i/>
        </w:rPr>
        <w:t xml:space="preserve">The highest value use of spectrum will vary between bands and geographic areas over time. As such, mobile broadband will </w:t>
      </w:r>
      <w:r>
        <w:rPr>
          <w:i/>
        </w:rPr>
        <w:t>only sometimes</w:t>
      </w:r>
      <w:r w:rsidRPr="00211492">
        <w:rPr>
          <w:i/>
        </w:rPr>
        <w:t xml:space="preserve"> be the highest value use of a particular spectrum band.</w:t>
      </w:r>
    </w:p>
    <w:p w14:paraId="354C934B" w14:textId="3B71D938" w:rsidR="00FB3BDE" w:rsidRPr="00F91010" w:rsidRDefault="00F91010" w:rsidP="008826CC">
      <w:r>
        <w:t>Defence noted that t</w:t>
      </w:r>
      <w:r w:rsidR="00E97EA4" w:rsidRPr="00F91010">
        <w:t xml:space="preserve">he current highest value uses of existing bands specified in the </w:t>
      </w:r>
      <w:r w:rsidR="00E97EA4" w:rsidRPr="00392FA8">
        <w:t>ARSP</w:t>
      </w:r>
      <w:r w:rsidR="00E97EA4" w:rsidRPr="00F91010">
        <w:t xml:space="preserve"> is not immediately apparent</w:t>
      </w:r>
      <w:r>
        <w:t xml:space="preserve"> and suggested some </w:t>
      </w:r>
      <w:r w:rsidR="00E97EA4" w:rsidRPr="00F91010">
        <w:t>improvement suggestions for the accessibility and transparency of this information.</w:t>
      </w:r>
      <w:r w:rsidR="00FB3BDE" w:rsidRPr="00F91010">
        <w:t xml:space="preserve"> </w:t>
      </w:r>
    </w:p>
    <w:p w14:paraId="46F1FC62" w14:textId="06825EE2" w:rsidR="00E97EA4" w:rsidRPr="00F91010" w:rsidRDefault="005A3A61" w:rsidP="008826CC">
      <w:r>
        <w:t>Defence also noted that i</w:t>
      </w:r>
      <w:r w:rsidR="00E97EA4" w:rsidRPr="00F91010">
        <w:t xml:space="preserve">t should also be recognised that if a specific application (such as </w:t>
      </w:r>
      <w:r>
        <w:t>mobile broadband</w:t>
      </w:r>
      <w:r w:rsidR="00E97EA4" w:rsidRPr="00F91010">
        <w:t xml:space="preserve">) is identified as the highest value use of a spectrum band, it does not necessarily follow that this application will require exclusive use of an entire spectrum band at all times in all geographic regions. Where possible, </w:t>
      </w:r>
      <w:r>
        <w:t xml:space="preserve">other </w:t>
      </w:r>
      <w:r w:rsidR="00E97EA4" w:rsidRPr="00F91010">
        <w:t>applications should be able to access this spectrum in order to maximise the overall utilisation of the band.</w:t>
      </w:r>
    </w:p>
    <w:p w14:paraId="37FAE089" w14:textId="0C6D57F4" w:rsidR="00BC2B2A" w:rsidRDefault="00BC2B2A" w:rsidP="008826CC">
      <w:r>
        <w:t>Omnispace state</w:t>
      </w:r>
      <w:r w:rsidR="005A3A61">
        <w:t>d</w:t>
      </w:r>
      <w:r>
        <w:t xml:space="preserve"> that it is important that the ACMA objective of maximi</w:t>
      </w:r>
      <w:r w:rsidR="008826CC">
        <w:t>s</w:t>
      </w:r>
      <w:r>
        <w:t>ing the overall public benefit to be derived from the spectrum needs to recognize the importance of providing services to the under</w:t>
      </w:r>
      <w:r w:rsidR="005A3A61">
        <w:t>-</w:t>
      </w:r>
      <w:r>
        <w:t xml:space="preserve">served rural and remote geographic areas of Australia, where MSS S-band services can provide affordable large area coverage services, while at the same time not impeding the development of terrestrial services in dense urban areas.  </w:t>
      </w:r>
    </w:p>
    <w:p w14:paraId="1C9C6C7E" w14:textId="32AA1679" w:rsidR="00BC2B2A" w:rsidRDefault="006B7547" w:rsidP="00B21553">
      <w:r w:rsidRPr="00F91010">
        <w:t>Optus</w:t>
      </w:r>
      <w:r w:rsidR="005A3A61">
        <w:t xml:space="preserve"> noted that </w:t>
      </w:r>
      <w:r w:rsidRPr="00F91010">
        <w:t xml:space="preserve">while the highest value use of spectrum will vary between geographic areas over time, </w:t>
      </w:r>
      <w:r w:rsidR="005A3A61">
        <w:t xml:space="preserve">it believes </w:t>
      </w:r>
      <w:r w:rsidRPr="00F91010">
        <w:t>an overly fragmented geographic approach to future spectrum allocations should be avoided</w:t>
      </w:r>
      <w:r w:rsidR="006C5587">
        <w:t>.</w:t>
      </w:r>
      <w:r w:rsidR="00DB5D13" w:rsidRPr="00F91010">
        <w:t xml:space="preserve"> That is, mobile networks, by their very nature, need to be able to be deployed in most areas of the country. </w:t>
      </w:r>
      <w:r w:rsidR="005A3A61">
        <w:t>Optus noted that w</w:t>
      </w:r>
      <w:r w:rsidR="00DB5D13" w:rsidRPr="00F91010">
        <w:t xml:space="preserve">hile historically less spectrum has been allocated to mobile services in regional and remote areas compared to metropolitan areas, </w:t>
      </w:r>
      <w:r w:rsidR="005A3A61">
        <w:t xml:space="preserve">they believed </w:t>
      </w:r>
      <w:r w:rsidR="00DB5D13" w:rsidRPr="00F91010">
        <w:t xml:space="preserve">this has proved to be unsustainable over the longer term as customer expectation of service continues to increase. </w:t>
      </w:r>
      <w:r w:rsidR="005A3A61">
        <w:t>Optus believed t</w:t>
      </w:r>
      <w:r w:rsidR="00DB5D13" w:rsidRPr="00F91010">
        <w:t>his is reflected in the recent decision to auction the remainder of the 1800</w:t>
      </w:r>
      <w:r w:rsidR="005A3A61">
        <w:t> </w:t>
      </w:r>
      <w:r w:rsidR="00DB5D13" w:rsidRPr="00F91010">
        <w:t>MHz band in regional areas, and the decision in 2010 to allocate regional PTS apparatus licences in the 2100 MHz band.</w:t>
      </w:r>
    </w:p>
    <w:p w14:paraId="7A4B6F3E" w14:textId="010223A0" w:rsidR="002F27FE" w:rsidRPr="00847435" w:rsidRDefault="00B21553" w:rsidP="00B21553">
      <w:pPr>
        <w:pStyle w:val="Heading3"/>
      </w:pPr>
      <w:bookmarkStart w:id="80" w:name="_Toc441074820"/>
      <w:bookmarkStart w:id="81" w:name="_Toc441235793"/>
      <w:bookmarkStart w:id="82" w:name="_Toc443910668"/>
      <w:r>
        <w:t xml:space="preserve">The </w:t>
      </w:r>
      <w:r w:rsidR="002F27FE" w:rsidRPr="00847435">
        <w:t>ACMA</w:t>
      </w:r>
      <w:r>
        <w:t>’s</w:t>
      </w:r>
      <w:r w:rsidR="002F27FE" w:rsidRPr="00847435">
        <w:t xml:space="preserve"> response to comments regarding Assumption</w:t>
      </w:r>
      <w:r w:rsidR="00D24FA5" w:rsidRPr="00847435">
        <w:t xml:space="preserve"> 1</w:t>
      </w:r>
      <w:bookmarkEnd w:id="80"/>
      <w:bookmarkEnd w:id="81"/>
      <w:bookmarkEnd w:id="82"/>
    </w:p>
    <w:p w14:paraId="42E91C33" w14:textId="68E77770" w:rsidR="00F91010" w:rsidRDefault="00B21553" w:rsidP="00B21553">
      <w:r>
        <w:t xml:space="preserve">The </w:t>
      </w:r>
      <w:r w:rsidR="00F91010">
        <w:t xml:space="preserve">ACMA will take the suggestions for improvement for the accessibility and transparency of information about the highest value uses of spectrum bands into account. However, a rolling preliminary assessment of highest value use for every band is </w:t>
      </w:r>
      <w:r w:rsidR="002F27FE">
        <w:t>not practical. While highest value use assessments are an integral part of the strategy to address the growth in mobile broadband capacity, investing resources in undertaking assessments in all bands would not be useful</w:t>
      </w:r>
      <w:r w:rsidR="00C04C87">
        <w:t xml:space="preserve"> or sustainable</w:t>
      </w:r>
      <w:r w:rsidR="002F27FE">
        <w:t xml:space="preserve">. Instead, efforts will be focused on bands in which analysis shows the highest value use may change in the near future. </w:t>
      </w:r>
    </w:p>
    <w:p w14:paraId="6DFCC95E" w14:textId="422CF2D4" w:rsidR="00D24FA5" w:rsidRPr="00F91010" w:rsidRDefault="00D24FA5" w:rsidP="00B21553">
      <w:r>
        <w:t xml:space="preserve">The ACMA concurs that variances in the highest value use will occur over geographic areas in a particular spectrum band (as </w:t>
      </w:r>
      <w:r w:rsidR="00FE7CE6">
        <w:t xml:space="preserve">already </w:t>
      </w:r>
      <w:r>
        <w:t>stated in Assumption 1) and that providing broadband services to rural and remote areas pr</w:t>
      </w:r>
      <w:r w:rsidR="00FE7CE6">
        <w:t>esents</w:t>
      </w:r>
      <w:r>
        <w:t xml:space="preserve"> unique challenges. However, the concerns regarding an overly fragmented geographic approach are also noted. Flexibility and the investigation of sharing opportunities across geographic boundaries will be paramount in addressing these issues. However, a balance between moving spectrum to its highest value use on a geographic basis and avoiding overly fragmented </w:t>
      </w:r>
      <w:r w:rsidR="00B67FCF">
        <w:t>regimes</w:t>
      </w:r>
      <w:r>
        <w:t xml:space="preserve"> will need to be found. </w:t>
      </w:r>
    </w:p>
    <w:p w14:paraId="35741E0F" w14:textId="1DC52D03" w:rsidR="00D24FA5" w:rsidRPr="00F91010" w:rsidRDefault="00D24FA5" w:rsidP="00F91010">
      <w:pPr>
        <w:spacing w:after="120"/>
        <w:rPr>
          <w:rFonts w:cs="Arial"/>
        </w:rPr>
      </w:pPr>
      <w:r>
        <w:rPr>
          <w:rFonts w:cs="Arial"/>
        </w:rPr>
        <w:t xml:space="preserve">Overall, the ACMA maintains that Assumption 1 remains valid as originally proposed. </w:t>
      </w:r>
    </w:p>
    <w:p w14:paraId="688EE5DF" w14:textId="516C84CF" w:rsidR="00FB3BDE" w:rsidRDefault="00A57A1E" w:rsidP="00C13F23">
      <w:pPr>
        <w:pStyle w:val="Heading2"/>
      </w:pPr>
      <w:bookmarkStart w:id="83" w:name="_Toc441074821"/>
      <w:bookmarkStart w:id="84" w:name="_Toc443910669"/>
      <w:r>
        <w:t xml:space="preserve">Spectrum </w:t>
      </w:r>
      <w:r w:rsidR="00B21553">
        <w:t>R</w:t>
      </w:r>
      <w:r>
        <w:t>eview</w:t>
      </w:r>
      <w:bookmarkEnd w:id="83"/>
      <w:bookmarkEnd w:id="84"/>
    </w:p>
    <w:p w14:paraId="00F96DF9" w14:textId="77777777" w:rsidR="00D24FA5" w:rsidRDefault="00D24FA5" w:rsidP="00B21553">
      <w:bookmarkStart w:id="85" w:name="_Toc441074822"/>
      <w:bookmarkStart w:id="86" w:name="_Toc441235795"/>
      <w:r>
        <w:t xml:space="preserve">Many respondents agreed that the outcomes of the implementation of the recommendations of the Spectrum Review had the potential to assist and make it easier to address future demand for mobile broadband services. </w:t>
      </w:r>
    </w:p>
    <w:p w14:paraId="7BFCA1F3" w14:textId="6FF2B890" w:rsidR="00D24FA5" w:rsidRPr="00A24774" w:rsidRDefault="00D24FA5" w:rsidP="00B21553">
      <w:r w:rsidRPr="00A24774">
        <w:t>AMTA noted that the Spectrum Review reform process is critical to the ACMA’s work program and future strategies for spectrum planning in relation to mobile broadband</w:t>
      </w:r>
      <w:r w:rsidR="00B21553">
        <w:t>,</w:t>
      </w:r>
      <w:r w:rsidRPr="00A24774">
        <w:t xml:space="preserve"> as well as other services. AMTA outlined </w:t>
      </w:r>
      <w:r>
        <w:t xml:space="preserve">their </w:t>
      </w:r>
      <w:r w:rsidRPr="00A24774">
        <w:t xml:space="preserve">two priorities for the Spectrum Review reform agenda that </w:t>
      </w:r>
      <w:r>
        <w:t>they believe could</w:t>
      </w:r>
      <w:r w:rsidRPr="00A24774">
        <w:t xml:space="preserve"> be implemented almost immediately to assist in the ACMA’s planning and work program</w:t>
      </w:r>
      <w:r>
        <w:t>. These are l</w:t>
      </w:r>
      <w:r w:rsidRPr="00A24774">
        <w:t>iberalis</w:t>
      </w:r>
      <w:r>
        <w:t>ing</w:t>
      </w:r>
      <w:r w:rsidRPr="00A24774">
        <w:t xml:space="preserve"> the licensing framework so that existing (and future) licences are more flexible for licence holders</w:t>
      </w:r>
      <w:r>
        <w:t>, and e</w:t>
      </w:r>
      <w:r w:rsidRPr="00A24774">
        <w:t>valuat</w:t>
      </w:r>
      <w:r>
        <w:t>ing</w:t>
      </w:r>
      <w:r w:rsidRPr="00A24774">
        <w:t xml:space="preserve"> the opportunity costs for each band</w:t>
      </w:r>
      <w:r w:rsidR="00B21553">
        <w:t>—</w:t>
      </w:r>
      <w:r w:rsidRPr="00A24774">
        <w:t xml:space="preserve">in terms of </w:t>
      </w:r>
      <w:r>
        <w:t>mobile broadband</w:t>
      </w:r>
      <w:r w:rsidRPr="00A24774">
        <w:t xml:space="preserve"> as well as other uses</w:t>
      </w:r>
      <w:r w:rsidR="00B21553">
        <w:t>—</w:t>
      </w:r>
      <w:r w:rsidRPr="00A24774">
        <w:t xml:space="preserve">to determine priorities. </w:t>
      </w:r>
    </w:p>
    <w:p w14:paraId="25DDE5D6" w14:textId="31448286" w:rsidR="00D24FA5" w:rsidRPr="00A57A1E" w:rsidRDefault="00D24FA5" w:rsidP="00B21553">
      <w:r w:rsidRPr="00A57A1E">
        <w:t>Communications Alliance propose</w:t>
      </w:r>
      <w:r>
        <w:t>d</w:t>
      </w:r>
      <w:r w:rsidRPr="00A57A1E">
        <w:t xml:space="preserve"> that </w:t>
      </w:r>
      <w:r>
        <w:t xml:space="preserve">a more flexible framework could allow, for example, the </w:t>
      </w:r>
      <w:r w:rsidRPr="00A57A1E">
        <w:t xml:space="preserve">transfer </w:t>
      </w:r>
      <w:r>
        <w:t xml:space="preserve">of </w:t>
      </w:r>
      <w:r w:rsidRPr="00A57A1E">
        <w:t>uses of spectrum over time</w:t>
      </w:r>
      <w:r>
        <w:t xml:space="preserve"> from one party with one use to another</w:t>
      </w:r>
      <w:r w:rsidRPr="00A57A1E">
        <w:t xml:space="preserve"> </w:t>
      </w:r>
      <w:r>
        <w:t xml:space="preserve">with a different use </w:t>
      </w:r>
      <w:r w:rsidRPr="00A57A1E">
        <w:t>on a commercial basis</w:t>
      </w:r>
      <w:r w:rsidR="00B21553">
        <w:t>,</w:t>
      </w:r>
      <w:r>
        <w:t xml:space="preserve"> i</w:t>
      </w:r>
      <w:r w:rsidRPr="00A57A1E">
        <w:t>deally result</w:t>
      </w:r>
      <w:r>
        <w:t xml:space="preserve">ing </w:t>
      </w:r>
      <w:r w:rsidRPr="00A57A1E">
        <w:t xml:space="preserve">in spectrum </w:t>
      </w:r>
      <w:r>
        <w:t xml:space="preserve">moving </w:t>
      </w:r>
      <w:r w:rsidRPr="00A57A1E">
        <w:t xml:space="preserve">to </w:t>
      </w:r>
      <w:r>
        <w:t xml:space="preserve">its </w:t>
      </w:r>
      <w:r w:rsidRPr="00A57A1E">
        <w:t>highest value use over time</w:t>
      </w:r>
      <w:r>
        <w:t xml:space="preserve"> without regulatory intervention</w:t>
      </w:r>
      <w:r w:rsidRPr="00A57A1E">
        <w:t>.</w:t>
      </w:r>
      <w:r>
        <w:t xml:space="preserve"> Under this example, Communications Alliance noted that there would be an </w:t>
      </w:r>
      <w:r w:rsidRPr="00A57A1E">
        <w:t xml:space="preserve">opportunity for incumbents’ costs and the business value of their spectrum to be compensated. </w:t>
      </w:r>
      <w:r>
        <w:t xml:space="preserve">However, Communications Alliance noted that this </w:t>
      </w:r>
      <w:r w:rsidRPr="00A57A1E">
        <w:t>would not work for all spectrum, for instance</w:t>
      </w:r>
      <w:r w:rsidR="00B21553">
        <w:t>,</w:t>
      </w:r>
      <w:r w:rsidRPr="00A57A1E">
        <w:t xml:space="preserve"> with radio science bands and radioastronomy.</w:t>
      </w:r>
      <w:r>
        <w:t xml:space="preserve"> While </w:t>
      </w:r>
      <w:r w:rsidRPr="00A57A1E">
        <w:t xml:space="preserve">Communications Alliance </w:t>
      </w:r>
      <w:r>
        <w:t xml:space="preserve">noted </w:t>
      </w:r>
      <w:r w:rsidRPr="00A57A1E">
        <w:t xml:space="preserve">that this flexibility is contemplated in the </w:t>
      </w:r>
      <w:r w:rsidR="00B21553">
        <w:t>S</w:t>
      </w:r>
      <w:r w:rsidRPr="00A57A1E">
        <w:t xml:space="preserve">pectrum </w:t>
      </w:r>
      <w:r w:rsidR="00B21553">
        <w:t>R</w:t>
      </w:r>
      <w:r w:rsidRPr="00A57A1E">
        <w:t>eview proposals</w:t>
      </w:r>
      <w:r>
        <w:t>, they believed that t</w:t>
      </w:r>
      <w:r w:rsidRPr="00A57A1E">
        <w:t>his option would not be recognised under the current ACMA process</w:t>
      </w:r>
      <w:r w:rsidR="00B21553">
        <w:t>,</w:t>
      </w:r>
      <w:r w:rsidRPr="00A57A1E">
        <w:t xml:space="preserve"> but it could have the benefit in facilitating the ACMA administrative decision</w:t>
      </w:r>
      <w:r w:rsidR="00B21553">
        <w:t>-</w:t>
      </w:r>
      <w:r w:rsidRPr="00A57A1E">
        <w:t xml:space="preserve">making process. </w:t>
      </w:r>
    </w:p>
    <w:p w14:paraId="4CC6F9D0" w14:textId="77777777" w:rsidR="00D24FA5" w:rsidRPr="00477D8F" w:rsidRDefault="00D24FA5" w:rsidP="00B21553">
      <w:r>
        <w:t>Optus requested that a</w:t>
      </w:r>
      <w:r w:rsidRPr="00477D8F">
        <w:t>ny commitments made under the ‘ACMA annual work program’ and relevant ‘Ministerial Policy Statements’, as propose</w:t>
      </w:r>
      <w:r>
        <w:t>d</w:t>
      </w:r>
      <w:r w:rsidRPr="00477D8F">
        <w:t xml:space="preserve"> under the Spectrum Review should also be included in</w:t>
      </w:r>
      <w:r>
        <w:t xml:space="preserve"> a framework to monitor the goal to </w:t>
      </w:r>
      <w:r w:rsidRPr="00477D8F">
        <w:t>‘provide the right spectrum at the right time’.</w:t>
      </w:r>
    </w:p>
    <w:p w14:paraId="086A8DD0" w14:textId="19B0CDAE" w:rsidR="00D24FA5" w:rsidRPr="00477D8F" w:rsidRDefault="00D24FA5" w:rsidP="00B21553">
      <w:r w:rsidRPr="00477D8F">
        <w:t>Optus note</w:t>
      </w:r>
      <w:r>
        <w:t>d</w:t>
      </w:r>
      <w:r w:rsidRPr="00477D8F">
        <w:t xml:space="preserve"> </w:t>
      </w:r>
      <w:r>
        <w:t xml:space="preserve">that </w:t>
      </w:r>
      <w:r w:rsidRPr="00477D8F">
        <w:t>the Spectrum Review process presents a unique opportunity to revisit whether historic long lead</w:t>
      </w:r>
      <w:r w:rsidR="00B21553">
        <w:t>-</w:t>
      </w:r>
      <w:r w:rsidRPr="00477D8F">
        <w:t>times for allocating spectrum to its highest value use can be streamlined.</w:t>
      </w:r>
      <w:r>
        <w:t xml:space="preserve"> </w:t>
      </w:r>
      <w:r w:rsidRPr="00477D8F">
        <w:t>Optus strongly supports a change to the long lead</w:t>
      </w:r>
      <w:r w:rsidR="00B21553">
        <w:t>-</w:t>
      </w:r>
      <w:r w:rsidRPr="00477D8F">
        <w:t>times in allocating spectrum for future mobile broadband use. This change will require an assessment of current legislative, administrative or other processes, including engagement in international forums that create such barriers.</w:t>
      </w:r>
    </w:p>
    <w:p w14:paraId="7ACF1197" w14:textId="20A8171F" w:rsidR="00D24FA5" w:rsidRPr="00477D8F" w:rsidRDefault="00D24FA5" w:rsidP="00B21553">
      <w:r w:rsidRPr="00477D8F">
        <w:t>Telstra</w:t>
      </w:r>
      <w:r>
        <w:t xml:space="preserve"> noted that s</w:t>
      </w:r>
      <w:r w:rsidRPr="00477D8F">
        <w:t>olutions must be found for en</w:t>
      </w:r>
      <w:r w:rsidRPr="00B21553">
        <w:t>c</w:t>
      </w:r>
      <w:r w:rsidRPr="00477D8F">
        <w:t>ouraging incumbent licensees to make way for new uses such as mobile broadband. The</w:t>
      </w:r>
      <w:r>
        <w:t>y noted that the</w:t>
      </w:r>
      <w:r w:rsidRPr="00477D8F">
        <w:t xml:space="preserve"> proposals in the spectrum review to move towards a more unified and liberalised </w:t>
      </w:r>
      <w:r w:rsidR="002B7174" w:rsidRPr="00477D8F">
        <w:t>spectrum-licensing</w:t>
      </w:r>
      <w:r w:rsidRPr="00477D8F">
        <w:t xml:space="preserve"> regime, including a greater use of market forces, should assist in this regard. </w:t>
      </w:r>
    </w:p>
    <w:p w14:paraId="74E2D46C" w14:textId="63E72546" w:rsidR="00D24FA5" w:rsidRPr="00477D8F" w:rsidRDefault="00D24FA5" w:rsidP="00B21553">
      <w:r w:rsidRPr="00477D8F">
        <w:t xml:space="preserve">Telstra </w:t>
      </w:r>
      <w:r>
        <w:t xml:space="preserve">also </w:t>
      </w:r>
      <w:r w:rsidRPr="00477D8F">
        <w:t>note</w:t>
      </w:r>
      <w:r>
        <w:t>d</w:t>
      </w:r>
      <w:r w:rsidRPr="00477D8F">
        <w:t xml:space="preserve"> that the third recommendation in the Government’s </w:t>
      </w:r>
      <w:r w:rsidR="00B21553">
        <w:t>S</w:t>
      </w:r>
      <w:r w:rsidRPr="00477D8F">
        <w:t xml:space="preserve">pectrum </w:t>
      </w:r>
      <w:r w:rsidR="00B21553">
        <w:t>R</w:t>
      </w:r>
      <w:r w:rsidRPr="00477D8F">
        <w:t>eview report proposes that government entities be incentivised to lease and/or sell their spectrum holdings to other parties.</w:t>
      </w:r>
      <w:r>
        <w:t xml:space="preserve"> Telstra believes that t</w:t>
      </w:r>
      <w:r w:rsidRPr="00477D8F">
        <w:t>his reform will be of little practical value</w:t>
      </w:r>
      <w:r w:rsidR="00B21553">
        <w:t>,</w:t>
      </w:r>
      <w:r w:rsidRPr="00477D8F">
        <w:t xml:space="preserve"> unless Australia is also willing to promote alternative uses for the relevant spectrum bands at the ITU and in other international forums. Alternative uses need to be harmonised internationally if these bands are to be of value to other users in Australia. Again, this points to the need for Australia to be proactive in identifying and promoting alternative spectrum options for mobile broadband (and other services) within the ITU framework.</w:t>
      </w:r>
    </w:p>
    <w:p w14:paraId="1423FB57" w14:textId="5ED642C6" w:rsidR="005A3A61" w:rsidRPr="004C17A5" w:rsidRDefault="00B21553" w:rsidP="00B21553">
      <w:pPr>
        <w:pStyle w:val="Heading3"/>
      </w:pPr>
      <w:bookmarkStart w:id="87" w:name="_Toc443910670"/>
      <w:r>
        <w:t xml:space="preserve">The </w:t>
      </w:r>
      <w:r w:rsidR="005A3A61" w:rsidRPr="004C17A5">
        <w:t>ACMA</w:t>
      </w:r>
      <w:r>
        <w:t>’s</w:t>
      </w:r>
      <w:r w:rsidR="005A3A61" w:rsidRPr="004C17A5">
        <w:t xml:space="preserve"> response to comments regarding the </w:t>
      </w:r>
      <w:bookmarkEnd w:id="85"/>
      <w:bookmarkEnd w:id="86"/>
      <w:r w:rsidR="006A004F" w:rsidRPr="004C17A5">
        <w:t>Spectrum Review</w:t>
      </w:r>
      <w:bookmarkEnd w:id="87"/>
    </w:p>
    <w:p w14:paraId="73084BFA" w14:textId="358DE20C" w:rsidR="006A004F" w:rsidRDefault="006A004F" w:rsidP="00B21553">
      <w:r>
        <w:t>The ACMA is of the view that i</w:t>
      </w:r>
      <w:r w:rsidR="00477D8F" w:rsidRPr="005030BA">
        <w:t>mplementation of the</w:t>
      </w:r>
      <w:r w:rsidR="00477D8F">
        <w:t xml:space="preserve"> recommendations of the Spectrum</w:t>
      </w:r>
      <w:r w:rsidR="00477D8F" w:rsidRPr="005030BA">
        <w:t xml:space="preserve"> Review should assist the regulator (and the spectrum market itself) in a number of ways when addressing future demand for </w:t>
      </w:r>
      <w:r w:rsidR="00477D8F">
        <w:t>mobile</w:t>
      </w:r>
      <w:r w:rsidR="00477D8F" w:rsidRPr="005030BA">
        <w:t xml:space="preserve"> broadband services. For example, it should make it simpler for the ACMA (or existing spectrum holders in bands) to change the use of spectrum to reflect changes in its </w:t>
      </w:r>
      <w:r w:rsidRPr="005030BA">
        <w:t>highest value use</w:t>
      </w:r>
      <w:r>
        <w:t>, as noted in the submission from the Communications Alliance</w:t>
      </w:r>
      <w:r w:rsidRPr="005030BA">
        <w:t xml:space="preserve">. </w:t>
      </w:r>
    </w:p>
    <w:p w14:paraId="7D29375A" w14:textId="6A0BD183" w:rsidR="006A004F" w:rsidRDefault="006A004F" w:rsidP="00B21553">
      <w:r>
        <w:t>However, the ACMA remains of the view that the o</w:t>
      </w:r>
      <w:r w:rsidR="00477D8F" w:rsidRPr="005030BA">
        <w:t>ther principles and strategies for addressing the growth in mobile broadband capacity are unlikely to ch</w:t>
      </w:r>
      <w:r w:rsidR="00477D8F" w:rsidRPr="002C503A">
        <w:t>ange. An example is the need to monitor developments in the use of bands internationally and participate as appropriate in international forums to maximise the harmonisation of spectrum use nationally and internationally. For this rea</w:t>
      </w:r>
      <w:r w:rsidR="00477D8F" w:rsidRPr="00A92380">
        <w:t xml:space="preserve">son in particular, the ACMA anticipates that planning to meet the likely contingencies for future </w:t>
      </w:r>
      <w:r w:rsidR="00477D8F">
        <w:t xml:space="preserve">mobile </w:t>
      </w:r>
      <w:r w:rsidR="00477D8F" w:rsidRPr="002C503A">
        <w:t>broadband demand will continue to be ‘a long game’</w:t>
      </w:r>
      <w:r w:rsidR="00477D8F">
        <w:t>.</w:t>
      </w:r>
      <w:r w:rsidR="00477D8F" w:rsidRPr="002C503A">
        <w:t xml:space="preserve"> </w:t>
      </w:r>
    </w:p>
    <w:p w14:paraId="5DD3745D" w14:textId="313D611F" w:rsidR="005A3A61" w:rsidRDefault="00477D8F" w:rsidP="00B21553">
      <w:r w:rsidRPr="002C503A">
        <w:t>The ACMA expects to review its broadband strategies following implementation of the recommendations</w:t>
      </w:r>
      <w:r w:rsidRPr="00A92380">
        <w:t xml:space="preserve"> of the Spectrum Review.</w:t>
      </w:r>
    </w:p>
    <w:p w14:paraId="6B71E3B2" w14:textId="40B64B0F" w:rsidR="00C13F23" w:rsidRPr="00777F84" w:rsidRDefault="00D05DAE" w:rsidP="005968F3">
      <w:pPr>
        <w:spacing w:after="120"/>
      </w:pPr>
      <w:r>
        <w:t>The issue of long lead times raised by Optus is addressed in the ACMA</w:t>
      </w:r>
      <w:r w:rsidR="00A9628A">
        <w:t>’s</w:t>
      </w:r>
      <w:r>
        <w:t xml:space="preserve"> response to Assumption 5.</w:t>
      </w:r>
    </w:p>
    <w:p w14:paraId="28EB5B5D" w14:textId="4F2D9187" w:rsidR="00C13F23" w:rsidRPr="00777F84" w:rsidRDefault="00385477" w:rsidP="005968F3">
      <w:pPr>
        <w:pStyle w:val="Heading2"/>
      </w:pPr>
      <w:bookmarkStart w:id="88" w:name="_Toc441074824"/>
      <w:bookmarkStart w:id="89" w:name="_Toc441235797"/>
      <w:bookmarkStart w:id="90" w:name="_Toc442428370"/>
      <w:bookmarkStart w:id="91" w:name="_Toc443910671"/>
      <w:r>
        <w:t>The importance of mobile broadband</w:t>
      </w:r>
      <w:bookmarkEnd w:id="88"/>
      <w:bookmarkEnd w:id="89"/>
      <w:bookmarkEnd w:id="90"/>
      <w:bookmarkEnd w:id="91"/>
    </w:p>
    <w:p w14:paraId="6FEC0AA1" w14:textId="61D2D2B3" w:rsidR="00FB3BDE" w:rsidRDefault="00787E49" w:rsidP="00FB3BDE">
      <w:pPr>
        <w:spacing w:after="120"/>
        <w:rPr>
          <w:rFonts w:cs="Arial"/>
          <w:color w:val="262626" w:themeColor="text1" w:themeTint="D9"/>
          <w:szCs w:val="20"/>
        </w:rPr>
      </w:pPr>
      <w:r>
        <w:rPr>
          <w:rFonts w:cs="Arial"/>
          <w:color w:val="262626" w:themeColor="text1" w:themeTint="D9"/>
          <w:szCs w:val="20"/>
        </w:rPr>
        <w:t xml:space="preserve">In </w:t>
      </w:r>
      <w:r w:rsidRPr="00F3138B">
        <w:rPr>
          <w:rFonts w:cs="Arial"/>
          <w:i/>
          <w:color w:val="262626" w:themeColor="text1" w:themeTint="D9"/>
          <w:szCs w:val="20"/>
        </w:rPr>
        <w:t>Beyond 2020</w:t>
      </w:r>
      <w:r w:rsidR="00B21553">
        <w:rPr>
          <w:rFonts w:cs="Arial"/>
          <w:color w:val="262626" w:themeColor="text1" w:themeTint="D9"/>
          <w:szCs w:val="20"/>
        </w:rPr>
        <w:t>,</w:t>
      </w:r>
      <w:r>
        <w:rPr>
          <w:rFonts w:cs="Arial"/>
          <w:color w:val="262626" w:themeColor="text1" w:themeTint="D9"/>
          <w:szCs w:val="20"/>
        </w:rPr>
        <w:t xml:space="preserve"> it was discussed that m</w:t>
      </w:r>
      <w:r w:rsidRPr="000B25B6">
        <w:t>obile broadband services</w:t>
      </w:r>
      <w:r>
        <w:t xml:space="preserve"> deliver substantial economic and societal benefits to the Australian community. </w:t>
      </w:r>
      <w:r>
        <w:rPr>
          <w:rFonts w:cs="Arial"/>
          <w:color w:val="262626" w:themeColor="text1" w:themeTint="D9"/>
          <w:szCs w:val="20"/>
        </w:rPr>
        <w:t>A</w:t>
      </w:r>
      <w:r w:rsidR="00FB3BDE">
        <w:rPr>
          <w:rFonts w:cs="Arial"/>
          <w:color w:val="262626" w:themeColor="text1" w:themeTint="D9"/>
          <w:szCs w:val="20"/>
        </w:rPr>
        <w:t xml:space="preserve"> conclusion </w:t>
      </w:r>
      <w:r>
        <w:rPr>
          <w:rFonts w:cs="Arial"/>
          <w:color w:val="262626" w:themeColor="text1" w:themeTint="D9"/>
          <w:szCs w:val="20"/>
        </w:rPr>
        <w:t xml:space="preserve">(Assumption 2) derived </w:t>
      </w:r>
      <w:r w:rsidR="00FB3BDE">
        <w:rPr>
          <w:rFonts w:cs="Arial"/>
          <w:color w:val="262626" w:themeColor="text1" w:themeTint="D9"/>
          <w:szCs w:val="20"/>
        </w:rPr>
        <w:t xml:space="preserve">from this discussion </w:t>
      </w:r>
      <w:r>
        <w:rPr>
          <w:rFonts w:cs="Arial"/>
          <w:color w:val="262626" w:themeColor="text1" w:themeTint="D9"/>
          <w:szCs w:val="20"/>
        </w:rPr>
        <w:t>wa</w:t>
      </w:r>
      <w:r w:rsidR="00FB3BDE">
        <w:rPr>
          <w:rFonts w:cs="Arial"/>
          <w:color w:val="262626" w:themeColor="text1" w:themeTint="D9"/>
          <w:szCs w:val="20"/>
        </w:rPr>
        <w:t>s:</w:t>
      </w:r>
    </w:p>
    <w:p w14:paraId="681CCFDB" w14:textId="6FEB8A2F" w:rsidR="00C13F23" w:rsidRPr="00FB3BDE" w:rsidRDefault="00FB3BDE" w:rsidP="00FB3BDE">
      <w:pPr>
        <w:ind w:left="709" w:right="583"/>
        <w:rPr>
          <w:i/>
        </w:rPr>
      </w:pPr>
      <w:r w:rsidRPr="00211492">
        <w:rPr>
          <w:i/>
        </w:rPr>
        <w:t>Mobile broadband services will continue to deliver societal and economic benefits to Australia and these benefits will increase with greater use of mobile broadband services made possible through increased network capacity</w:t>
      </w:r>
      <w:r w:rsidR="00B21553">
        <w:rPr>
          <w:i/>
        </w:rPr>
        <w:t>.</w:t>
      </w:r>
    </w:p>
    <w:p w14:paraId="118968B0" w14:textId="4A631FFE" w:rsidR="00407385" w:rsidRDefault="009133F8" w:rsidP="00407385">
      <w:pPr>
        <w:spacing w:after="120"/>
        <w:rPr>
          <w:rFonts w:cs="Arial"/>
          <w:color w:val="262626" w:themeColor="text1" w:themeTint="D9"/>
          <w:szCs w:val="20"/>
        </w:rPr>
      </w:pPr>
      <w:r>
        <w:rPr>
          <w:rFonts w:cs="Arial"/>
          <w:color w:val="262626" w:themeColor="text1" w:themeTint="D9"/>
          <w:szCs w:val="20"/>
        </w:rPr>
        <w:t>While no submissions disagreed with this assumption</w:t>
      </w:r>
      <w:r w:rsidR="006A004F">
        <w:rPr>
          <w:rFonts w:cs="Arial"/>
          <w:color w:val="262626" w:themeColor="text1" w:themeTint="D9"/>
          <w:szCs w:val="20"/>
        </w:rPr>
        <w:t>, a number of submissions noted that other services provide significant economic and societal benefits to Australia</w:t>
      </w:r>
      <w:r w:rsidR="00392FA8">
        <w:rPr>
          <w:rFonts w:cs="Arial"/>
          <w:color w:val="262626" w:themeColor="text1" w:themeTint="D9"/>
          <w:szCs w:val="20"/>
        </w:rPr>
        <w:t>, which</w:t>
      </w:r>
      <w:r w:rsidR="006A004F">
        <w:rPr>
          <w:rFonts w:cs="Arial"/>
          <w:color w:val="262626" w:themeColor="text1" w:themeTint="D9"/>
          <w:szCs w:val="20"/>
        </w:rPr>
        <w:t xml:space="preserve"> </w:t>
      </w:r>
      <w:r w:rsidR="00787E49" w:rsidRPr="00392FA8">
        <w:rPr>
          <w:rFonts w:cs="Arial"/>
          <w:color w:val="262626" w:themeColor="text1" w:themeTint="D9"/>
          <w:szCs w:val="20"/>
        </w:rPr>
        <w:t>utilise spectrum that may be considered for mobile broadband in the future.</w:t>
      </w:r>
      <w:r w:rsidR="00787E49">
        <w:rPr>
          <w:rFonts w:cs="Arial"/>
          <w:color w:val="262626" w:themeColor="text1" w:themeTint="D9"/>
          <w:szCs w:val="20"/>
        </w:rPr>
        <w:t xml:space="preserve"> Communications Alliance highlighted the services provided by the </w:t>
      </w:r>
      <w:r w:rsidR="00407385" w:rsidRPr="00407385">
        <w:rPr>
          <w:rFonts w:cs="Arial"/>
          <w:color w:val="262626" w:themeColor="text1" w:themeTint="D9"/>
          <w:szCs w:val="20"/>
        </w:rPr>
        <w:t xml:space="preserve">broadcasting, telecommunications, resources, scientific and meteorology </w:t>
      </w:r>
      <w:r w:rsidR="00787E49">
        <w:rPr>
          <w:rFonts w:cs="Arial"/>
          <w:color w:val="262626" w:themeColor="text1" w:themeTint="D9"/>
          <w:szCs w:val="20"/>
        </w:rPr>
        <w:t>sectors</w:t>
      </w:r>
      <w:r w:rsidR="00FA459E">
        <w:rPr>
          <w:rFonts w:cs="Arial"/>
          <w:color w:val="262626" w:themeColor="text1" w:themeTint="D9"/>
          <w:szCs w:val="20"/>
        </w:rPr>
        <w:t>,</w:t>
      </w:r>
      <w:r w:rsidR="00787E49">
        <w:rPr>
          <w:rFonts w:cs="Arial"/>
          <w:color w:val="262626" w:themeColor="text1" w:themeTint="D9"/>
          <w:szCs w:val="20"/>
        </w:rPr>
        <w:t xml:space="preserve"> </w:t>
      </w:r>
      <w:r w:rsidR="00407385" w:rsidRPr="00407385">
        <w:rPr>
          <w:rFonts w:cs="Arial"/>
          <w:color w:val="262626" w:themeColor="text1" w:themeTint="D9"/>
          <w:szCs w:val="20"/>
        </w:rPr>
        <w:t xml:space="preserve">where the benefits </w:t>
      </w:r>
      <w:r w:rsidR="00787E49">
        <w:rPr>
          <w:rFonts w:cs="Arial"/>
          <w:color w:val="262626" w:themeColor="text1" w:themeTint="D9"/>
          <w:szCs w:val="20"/>
        </w:rPr>
        <w:t xml:space="preserve">would </w:t>
      </w:r>
      <w:r w:rsidR="00407385" w:rsidRPr="00407385">
        <w:rPr>
          <w:rFonts w:cs="Arial"/>
          <w:color w:val="262626" w:themeColor="text1" w:themeTint="D9"/>
          <w:szCs w:val="20"/>
        </w:rPr>
        <w:t xml:space="preserve">need to be weighed up against those </w:t>
      </w:r>
      <w:r w:rsidR="00787E49">
        <w:rPr>
          <w:rFonts w:cs="Arial"/>
          <w:color w:val="262626" w:themeColor="text1" w:themeTint="D9"/>
          <w:szCs w:val="20"/>
        </w:rPr>
        <w:t>that could be provided by</w:t>
      </w:r>
      <w:r w:rsidR="00407385" w:rsidRPr="00407385">
        <w:rPr>
          <w:rFonts w:cs="Arial"/>
          <w:color w:val="262626" w:themeColor="text1" w:themeTint="D9"/>
          <w:szCs w:val="20"/>
        </w:rPr>
        <w:t xml:space="preserve"> mobile broadband.</w:t>
      </w:r>
    </w:p>
    <w:p w14:paraId="1123F343" w14:textId="027172EC" w:rsidR="006A004F" w:rsidRPr="00787E49" w:rsidRDefault="009A025A" w:rsidP="00FA459E">
      <w:pPr>
        <w:pStyle w:val="Heading3"/>
      </w:pPr>
      <w:bookmarkStart w:id="92" w:name="_Toc443910672"/>
      <w:r>
        <w:t xml:space="preserve">The </w:t>
      </w:r>
      <w:r w:rsidR="00787E49" w:rsidRPr="00787E49">
        <w:t>ACMA</w:t>
      </w:r>
      <w:r>
        <w:t>’s</w:t>
      </w:r>
      <w:r w:rsidR="00787E49" w:rsidRPr="00787E49">
        <w:t xml:space="preserve"> response to comments regarding Assumption</w:t>
      </w:r>
      <w:r w:rsidR="006A004F">
        <w:t xml:space="preserve"> 2</w:t>
      </w:r>
      <w:bookmarkEnd w:id="92"/>
    </w:p>
    <w:p w14:paraId="69EFC67B" w14:textId="365AF7A1" w:rsidR="00787E49" w:rsidRDefault="006A004F" w:rsidP="00FA459E">
      <w:r>
        <w:t>The ACMA agrees that f</w:t>
      </w:r>
      <w:r w:rsidR="00787E49">
        <w:t xml:space="preserve">or a wide range of </w:t>
      </w:r>
      <w:r>
        <w:t xml:space="preserve">non-mobile broadband </w:t>
      </w:r>
      <w:r w:rsidR="00FF78D7">
        <w:t>u</w:t>
      </w:r>
      <w:r w:rsidR="00787E49">
        <w:t xml:space="preserve">sers, the use of spectrum is integral to delivering a variety of societal and economic benefits. </w:t>
      </w:r>
      <w:r w:rsidR="00FF78D7">
        <w:t xml:space="preserve">This is acknowledged in Assumption 6. </w:t>
      </w:r>
      <w:r w:rsidR="009133F8">
        <w:t xml:space="preserve">It is envisaged that any changes to these benefits would be considered in assessing the highest value use of a particular spectrum band. </w:t>
      </w:r>
    </w:p>
    <w:p w14:paraId="3DBEE2F0" w14:textId="0AEAE8DA" w:rsidR="00351C8E" w:rsidRDefault="00351C8E" w:rsidP="00FA459E">
      <w:r w:rsidRPr="00351C8E">
        <w:t>Overall, the ACMA maintains that Assumption 2 remains valid as originally proposed.</w:t>
      </w:r>
    </w:p>
    <w:p w14:paraId="489702FA" w14:textId="57CF3248" w:rsidR="00B374B7" w:rsidRPr="00C944ED" w:rsidRDefault="00385477" w:rsidP="00FA459E">
      <w:pPr>
        <w:pStyle w:val="Heading2"/>
      </w:pPr>
      <w:bookmarkStart w:id="93" w:name="_Toc441074825"/>
      <w:bookmarkStart w:id="94" w:name="_Toc441235798"/>
      <w:bookmarkStart w:id="95" w:name="_Toc442428371"/>
      <w:bookmarkStart w:id="96" w:name="_Toc443910673"/>
      <w:r>
        <w:t>Drivers of mobile broadband growth</w:t>
      </w:r>
      <w:r w:rsidR="00B374B7">
        <w:t xml:space="preserve"> and </w:t>
      </w:r>
      <w:r w:rsidR="00FA459E">
        <w:t>e</w:t>
      </w:r>
      <w:r w:rsidR="00B374B7" w:rsidRPr="00C944ED">
        <w:t>stimating spectrum requirements to support mobile broadband growth</w:t>
      </w:r>
      <w:bookmarkEnd w:id="93"/>
      <w:bookmarkEnd w:id="94"/>
      <w:bookmarkEnd w:id="95"/>
      <w:bookmarkEnd w:id="96"/>
    </w:p>
    <w:p w14:paraId="13AC45D6" w14:textId="5DB0A9B7" w:rsidR="00FB3BDE" w:rsidRDefault="00B374B7" w:rsidP="00FB3BDE">
      <w:pPr>
        <w:spacing w:after="120"/>
        <w:rPr>
          <w:szCs w:val="20"/>
        </w:rPr>
      </w:pPr>
      <w:r>
        <w:rPr>
          <w:szCs w:val="20"/>
        </w:rPr>
        <w:t xml:space="preserve">The drivers of mobile broadband growth were outlined in </w:t>
      </w:r>
      <w:r w:rsidRPr="00F3138B">
        <w:rPr>
          <w:i/>
          <w:szCs w:val="20"/>
        </w:rPr>
        <w:t>Beyond 2020</w:t>
      </w:r>
      <w:r w:rsidR="00FA459E">
        <w:rPr>
          <w:szCs w:val="20"/>
        </w:rPr>
        <w:t>,</w:t>
      </w:r>
      <w:r>
        <w:rPr>
          <w:szCs w:val="20"/>
        </w:rPr>
        <w:t xml:space="preserve"> as well as </w:t>
      </w:r>
      <w:r w:rsidR="00FF78D7">
        <w:rPr>
          <w:szCs w:val="20"/>
        </w:rPr>
        <w:t xml:space="preserve">research </w:t>
      </w:r>
      <w:r>
        <w:rPr>
          <w:szCs w:val="20"/>
        </w:rPr>
        <w:t>conducted</w:t>
      </w:r>
      <w:r w:rsidR="00FF78D7">
        <w:rPr>
          <w:szCs w:val="20"/>
        </w:rPr>
        <w:t xml:space="preserve"> </w:t>
      </w:r>
      <w:r w:rsidR="00FA459E">
        <w:rPr>
          <w:szCs w:val="20"/>
        </w:rPr>
        <w:t>(</w:t>
      </w:r>
      <w:r w:rsidR="00FF78D7">
        <w:rPr>
          <w:szCs w:val="20"/>
        </w:rPr>
        <w:t>both domestically and around the world</w:t>
      </w:r>
      <w:r w:rsidR="00FA459E">
        <w:rPr>
          <w:szCs w:val="20"/>
        </w:rPr>
        <w:t>)</w:t>
      </w:r>
      <w:r>
        <w:rPr>
          <w:szCs w:val="20"/>
        </w:rPr>
        <w:t xml:space="preserve"> estimating the amount of spectrum required to support mobile broadband growth. </w:t>
      </w:r>
      <w:r w:rsidR="00FB3BDE">
        <w:rPr>
          <w:szCs w:val="20"/>
        </w:rPr>
        <w:t xml:space="preserve">From this discussion, it </w:t>
      </w:r>
      <w:r>
        <w:rPr>
          <w:szCs w:val="20"/>
        </w:rPr>
        <w:t>was</w:t>
      </w:r>
      <w:r w:rsidR="00FB3BDE">
        <w:rPr>
          <w:szCs w:val="20"/>
        </w:rPr>
        <w:t xml:space="preserve"> concluded that</w:t>
      </w:r>
      <w:r>
        <w:rPr>
          <w:szCs w:val="20"/>
        </w:rPr>
        <w:t xml:space="preserve"> (Assumption 3)</w:t>
      </w:r>
      <w:r w:rsidR="00FB3BDE">
        <w:rPr>
          <w:szCs w:val="20"/>
        </w:rPr>
        <w:t>:</w:t>
      </w:r>
    </w:p>
    <w:p w14:paraId="52FFD28C" w14:textId="77777777" w:rsidR="00FB3BDE" w:rsidRPr="001929A5" w:rsidRDefault="00FB3BDE" w:rsidP="00FB3BDE">
      <w:pPr>
        <w:ind w:left="567" w:right="583"/>
        <w:rPr>
          <w:i/>
          <w:szCs w:val="20"/>
        </w:rPr>
      </w:pPr>
      <w:r w:rsidRPr="00B60FC6">
        <w:rPr>
          <w:i/>
        </w:rPr>
        <w:t>Demand for mobile broadband services (and therefore capacity) will continue to increase for the foreseeable future, though the rate of this increase is difficult to determine</w:t>
      </w:r>
      <w:r>
        <w:rPr>
          <w:i/>
        </w:rPr>
        <w:t>.</w:t>
      </w:r>
    </w:p>
    <w:p w14:paraId="3BBF25A4" w14:textId="44CF053F" w:rsidR="005F2E14" w:rsidRPr="00FF78D7" w:rsidRDefault="009133F8" w:rsidP="00FA459E">
      <w:r w:rsidRPr="00FF78D7">
        <w:t>A number of submissions supported this assumption. Optus, in particular, acknowledged the assessment that ‘mobile traffic growth will continue to grow into the future, more than likely at an increasing rate in (at least) the medium term’.</w:t>
      </w:r>
      <w:r w:rsidR="005F2E14" w:rsidRPr="00FF78D7">
        <w:t xml:space="preserve"> Inmarsat also agreed that forecasts for mobile growth and for mobile spectrum should not be relied upon for assessing terrestrial mobile spectrum requirements.</w:t>
      </w:r>
    </w:p>
    <w:p w14:paraId="399A5D4B" w14:textId="020D521A" w:rsidR="00C13F23" w:rsidRPr="00FF78D7" w:rsidRDefault="00E97EA4" w:rsidP="00FA459E">
      <w:r w:rsidRPr="00FF78D7">
        <w:t>Defence</w:t>
      </w:r>
      <w:r w:rsidR="009133F8" w:rsidRPr="00FF78D7">
        <w:t xml:space="preserve"> noted that its</w:t>
      </w:r>
      <w:r w:rsidRPr="00FF78D7">
        <w:t xml:space="preserve"> demand for non-</w:t>
      </w:r>
      <w:r w:rsidR="009133F8" w:rsidRPr="00FF78D7">
        <w:t>mobile broadband</w:t>
      </w:r>
      <w:r w:rsidRPr="00FF78D7">
        <w:t xml:space="preserve"> (and </w:t>
      </w:r>
      <w:r w:rsidR="009133F8" w:rsidRPr="00FF78D7">
        <w:t>mobile broadband</w:t>
      </w:r>
      <w:r w:rsidRPr="00FF78D7">
        <w:t>) spectrum is also increasing.</w:t>
      </w:r>
    </w:p>
    <w:p w14:paraId="3540BC94" w14:textId="038AD168" w:rsidR="00483970" w:rsidRPr="00FF78D7" w:rsidRDefault="009133F8" w:rsidP="00FA459E">
      <w:r w:rsidRPr="00FF78D7">
        <w:t>Mississippi C</w:t>
      </w:r>
      <w:r w:rsidR="00DC7FCF" w:rsidRPr="00FF78D7">
        <w:t>onsulting</w:t>
      </w:r>
      <w:r w:rsidRPr="00FF78D7">
        <w:t xml:space="preserve"> noted </w:t>
      </w:r>
      <w:r w:rsidR="00DC7FCF" w:rsidRPr="00FF78D7">
        <w:t xml:space="preserve">the growth in </w:t>
      </w:r>
      <w:r w:rsidRPr="00FF78D7">
        <w:t xml:space="preserve">the </w:t>
      </w:r>
      <w:r w:rsidR="00DC7FCF" w:rsidRPr="00FF78D7">
        <w:t>types of devices that will connect to a mobile broadband network</w:t>
      </w:r>
      <w:r w:rsidR="00FA459E">
        <w:t>—</w:t>
      </w:r>
      <w:r w:rsidRPr="00FF78D7">
        <w:t>m</w:t>
      </w:r>
      <w:r w:rsidR="00DC7FCF" w:rsidRPr="00FF78D7">
        <w:t xml:space="preserve">any of which may not be ‘mobile’ but fixed. </w:t>
      </w:r>
      <w:r w:rsidRPr="00FF78D7">
        <w:t>Mississippi Consulting noted that i</w:t>
      </w:r>
      <w:r w:rsidR="00DC7FCF" w:rsidRPr="00FF78D7">
        <w:t xml:space="preserve">n relation to 5G, </w:t>
      </w:r>
      <w:r w:rsidRPr="00F3138B">
        <w:rPr>
          <w:i/>
        </w:rPr>
        <w:t>Beyond 2020</w:t>
      </w:r>
      <w:r w:rsidRPr="00FF78D7">
        <w:t xml:space="preserve"> </w:t>
      </w:r>
      <w:r w:rsidR="00DC7FCF" w:rsidRPr="00FF78D7">
        <w:t>does not mention Device-to-Device (D2D) technology</w:t>
      </w:r>
      <w:r w:rsidRPr="00FF78D7">
        <w:t xml:space="preserve"> and mesh networks</w:t>
      </w:r>
      <w:r w:rsidR="00DC7FCF" w:rsidRPr="00FF78D7">
        <w:t>.</w:t>
      </w:r>
    </w:p>
    <w:p w14:paraId="086C9CD8" w14:textId="605B7F52" w:rsidR="00787E49" w:rsidRDefault="009133F8" w:rsidP="00FA459E">
      <w:r>
        <w:t>A number of submissions believed a broader approach</w:t>
      </w:r>
      <w:r w:rsidR="00FA459E">
        <w:t>,</w:t>
      </w:r>
      <w:r>
        <w:t xml:space="preserve"> including a range of delivery access technologies including mobile</w:t>
      </w:r>
      <w:r w:rsidR="00FA459E">
        <w:t>,</w:t>
      </w:r>
      <w:r>
        <w:t xml:space="preserve"> should be pursued. </w:t>
      </w:r>
      <w:r w:rsidR="008869EA">
        <w:t>nbn</w:t>
      </w:r>
      <w:r w:rsidR="00325DB0" w:rsidRPr="009133F8">
        <w:t xml:space="preserve"> submit</w:t>
      </w:r>
      <w:r>
        <w:t>ted</w:t>
      </w:r>
      <w:r w:rsidR="00325DB0" w:rsidRPr="009133F8">
        <w:t xml:space="preserve"> that the ACMA should also consider fixed broadband capacity requirements in the IMT spectrum bands identified in the discussion paper. </w:t>
      </w:r>
      <w:r>
        <w:t xml:space="preserve">Communications Alliance </w:t>
      </w:r>
      <w:r w:rsidR="002870BD">
        <w:t xml:space="preserve">submitted </w:t>
      </w:r>
      <w:r>
        <w:t xml:space="preserve">a </w:t>
      </w:r>
      <w:r w:rsidR="00787E49">
        <w:t xml:space="preserve">need to look at all the services that contribute in the supply chain to understand the complete picture, including the </w:t>
      </w:r>
      <w:r w:rsidR="000C2A63">
        <w:t xml:space="preserve">nbn </w:t>
      </w:r>
      <w:r w:rsidR="00787E49">
        <w:t>wholesale access network, mobile and fixed wireless networks, satellite networks, backhaul networks</w:t>
      </w:r>
      <w:r w:rsidR="00FA459E">
        <w:t>,</w:t>
      </w:r>
      <w:r w:rsidR="00787E49">
        <w:t xml:space="preserve"> and techniques such as Wi-Fi offloading and other similar solutions.</w:t>
      </w:r>
    </w:p>
    <w:p w14:paraId="2724182D" w14:textId="2436A3EC" w:rsidR="00FA048E" w:rsidRDefault="00B374B7" w:rsidP="00FA459E">
      <w:r w:rsidRPr="00B374B7">
        <w:t>Many submissions agreed that the use of arbitrary and simplistic quantitative metrics or targets for the amount of spectrum that is required for mobile broadband services is rigid and unresponsive. GVF, in particular, agreed that spectrum targets are not a useful basis on which to plan.</w:t>
      </w:r>
      <w:r>
        <w:t xml:space="preserve"> </w:t>
      </w:r>
      <w:r w:rsidRPr="00B374B7">
        <w:t>Inmarsat</w:t>
      </w:r>
      <w:r>
        <w:t xml:space="preserve"> noted that </w:t>
      </w:r>
      <w:r w:rsidRPr="00B374B7">
        <w:t>data traffic predictions more than a few years ahead are too unreliable to be of much use</w:t>
      </w:r>
      <w:r>
        <w:t xml:space="preserve"> and </w:t>
      </w:r>
      <w:r w:rsidRPr="00B374B7">
        <w:t>agree with the reasons identified by the ACMA that estimating spectrum requirements is very uncertain.</w:t>
      </w:r>
      <w:r>
        <w:t xml:space="preserve"> </w:t>
      </w:r>
      <w:r w:rsidRPr="00B374B7">
        <w:t>Optus also concur</w:t>
      </w:r>
      <w:r>
        <w:t>red</w:t>
      </w:r>
      <w:r w:rsidRPr="00B374B7">
        <w:t xml:space="preserve"> with the ACMA’s view that </w:t>
      </w:r>
      <w:r w:rsidR="00FA459E">
        <w:t>‘</w:t>
      </w:r>
      <w:r w:rsidRPr="00B374B7">
        <w:t>rather than focus on arbitrary and simplistic targets, seek to provide the right spectrum at the right time to address the growth in demand for mobile broadband capacity.</w:t>
      </w:r>
      <w:r w:rsidR="00FA459E">
        <w:t>’</w:t>
      </w:r>
      <w:r w:rsidRPr="00B374B7">
        <w:t xml:space="preserve"> </w:t>
      </w:r>
    </w:p>
    <w:p w14:paraId="3741D86E" w14:textId="5F3B4895" w:rsidR="00B374B7" w:rsidRPr="00B374B7" w:rsidRDefault="00B374B7" w:rsidP="00FA459E">
      <w:r w:rsidRPr="00B374B7">
        <w:t>However</w:t>
      </w:r>
      <w:r>
        <w:t xml:space="preserve">, </w:t>
      </w:r>
      <w:r w:rsidR="00FA048E">
        <w:t xml:space="preserve">a number of submissions highlighted the ongoing need for performance metrics in the absence of quantitative targets. Optus </w:t>
      </w:r>
      <w:r w:rsidR="00962B16">
        <w:t>considered</w:t>
      </w:r>
      <w:r w:rsidR="00962B16" w:rsidRPr="00B374B7">
        <w:t xml:space="preserve"> </w:t>
      </w:r>
      <w:r w:rsidR="00962B16">
        <w:t xml:space="preserve">that </w:t>
      </w:r>
      <w:r w:rsidRPr="00B374B7">
        <w:t xml:space="preserve">further </w:t>
      </w:r>
      <w:r w:rsidR="00962B16">
        <w:t>thought</w:t>
      </w:r>
      <w:r w:rsidRPr="00B374B7">
        <w:t xml:space="preserve"> need</w:t>
      </w:r>
      <w:r w:rsidR="00962B16">
        <w:t>ed</w:t>
      </w:r>
      <w:r w:rsidRPr="00B374B7">
        <w:t xml:space="preserve"> to be given on how to measure whether the commitment to ‘provide the right spectrum at the right time’ ha</w:t>
      </w:r>
      <w:r w:rsidR="00962B16">
        <w:t>d</w:t>
      </w:r>
      <w:r w:rsidRPr="00B374B7">
        <w:t xml:space="preserve"> been achieved. </w:t>
      </w:r>
      <w:r w:rsidR="00FA048E">
        <w:t>Communications Alliance noted that s</w:t>
      </w:r>
      <w:r w:rsidR="00FA048E" w:rsidRPr="00A57A1E">
        <w:rPr>
          <w:rFonts w:cs="Arial"/>
        </w:rPr>
        <w:t>tronger linkages and accountability of the administrative decision</w:t>
      </w:r>
      <w:r w:rsidR="00FA459E">
        <w:rPr>
          <w:rFonts w:cs="Arial"/>
        </w:rPr>
        <w:t>-</w:t>
      </w:r>
      <w:r w:rsidR="00FA048E" w:rsidRPr="00A57A1E">
        <w:rPr>
          <w:rFonts w:cs="Arial"/>
        </w:rPr>
        <w:t>making process to the policy makers would also be seen to bring benefits to how spectrum is assessed.</w:t>
      </w:r>
    </w:p>
    <w:p w14:paraId="7A9D7E7C" w14:textId="724A07DD" w:rsidR="00B374B7" w:rsidRPr="00787E49" w:rsidRDefault="00FA459E" w:rsidP="00FA459E">
      <w:pPr>
        <w:pStyle w:val="Heading3"/>
      </w:pPr>
      <w:bookmarkStart w:id="97" w:name="_Toc443910674"/>
      <w:r>
        <w:t xml:space="preserve">The </w:t>
      </w:r>
      <w:r w:rsidR="00B374B7" w:rsidRPr="00787E49">
        <w:t>ACMA</w:t>
      </w:r>
      <w:r>
        <w:t>’s</w:t>
      </w:r>
      <w:r w:rsidR="00B374B7" w:rsidRPr="00787E49">
        <w:t xml:space="preserve"> response to comments regarding Assumption </w:t>
      </w:r>
      <w:r w:rsidR="00B374B7">
        <w:t>3</w:t>
      </w:r>
      <w:bookmarkEnd w:id="97"/>
    </w:p>
    <w:p w14:paraId="0F8F4D3D" w14:textId="61879909" w:rsidR="00483970" w:rsidRDefault="00962B16" w:rsidP="00B13139">
      <w:r w:rsidRPr="00E20F3C">
        <w:t xml:space="preserve">Spectrum management arrangements for mobile broadband services </w:t>
      </w:r>
      <w:r>
        <w:t xml:space="preserve">are </w:t>
      </w:r>
      <w:r w:rsidRPr="00E20F3C">
        <w:t xml:space="preserve">a key issue for the ACMA </w:t>
      </w:r>
      <w:r>
        <w:t xml:space="preserve">and have been </w:t>
      </w:r>
      <w:r w:rsidRPr="00E20F3C">
        <w:t xml:space="preserve">for many years. </w:t>
      </w:r>
      <w:r w:rsidRPr="00A705AD">
        <w:t>For over a decade, the need to accommodate growth in mobile broadband traffic has been the biggest driver of changes in the use of radiofrequency spectrum.</w:t>
      </w:r>
      <w:r>
        <w:t xml:space="preserve"> This</w:t>
      </w:r>
      <w:r w:rsidRPr="00E20F3C">
        <w:t xml:space="preserve"> is one area where</w:t>
      </w:r>
      <w:r w:rsidR="00B67FCF">
        <w:t xml:space="preserve"> for a number of years</w:t>
      </w:r>
      <w:r w:rsidRPr="00E20F3C">
        <w:t xml:space="preserve"> the ACMA has</w:t>
      </w:r>
      <w:r>
        <w:t xml:space="preserve"> provided</w:t>
      </w:r>
      <w:r w:rsidRPr="00E20F3C">
        <w:t xml:space="preserve"> detailed public guidance on its associated strategy and work </w:t>
      </w:r>
      <w:r w:rsidR="004A2671">
        <w:t>program</w:t>
      </w:r>
      <w:r>
        <w:t xml:space="preserve">. This is </w:t>
      </w:r>
      <w:r w:rsidR="00FA459E">
        <w:t>because</w:t>
      </w:r>
      <w:r>
        <w:t xml:space="preserve"> </w:t>
      </w:r>
      <w:r w:rsidRPr="00A705AD">
        <w:t xml:space="preserve">mobile broadband often </w:t>
      </w:r>
      <w:r w:rsidRPr="00962B16">
        <w:t>favours bands that are heavily encumbered for a range of reasons</w:t>
      </w:r>
      <w:r w:rsidR="005952D9">
        <w:t>.</w:t>
      </w:r>
      <w:r w:rsidRPr="00962B16">
        <w:t xml:space="preserve"> </w:t>
      </w:r>
      <w:r w:rsidR="00B13139">
        <w:t>Therefore,</w:t>
      </w:r>
      <w:r w:rsidR="005952D9">
        <w:t xml:space="preserve"> h</w:t>
      </w:r>
      <w:r w:rsidRPr="00962B16">
        <w:t xml:space="preserve">ow we continue to accommodate </w:t>
      </w:r>
      <w:r w:rsidR="005952D9">
        <w:t xml:space="preserve">its </w:t>
      </w:r>
      <w:r w:rsidRPr="00962B16">
        <w:t xml:space="preserve">future growth will be of vital interest to other industry sectors and users that </w:t>
      </w:r>
      <w:r w:rsidR="005952D9">
        <w:t>value</w:t>
      </w:r>
      <w:r w:rsidRPr="00962B16">
        <w:t xml:space="preserve"> access to fit-for-purpose spectrum. </w:t>
      </w:r>
    </w:p>
    <w:p w14:paraId="24FF4857" w14:textId="29EC9B96" w:rsidR="00962B16" w:rsidRDefault="005D4E69" w:rsidP="00B13139">
      <w:pPr>
        <w:rPr>
          <w:rFonts w:cs="Arial"/>
        </w:rPr>
      </w:pPr>
      <w:r>
        <w:rPr>
          <w:szCs w:val="20"/>
        </w:rPr>
        <w:t xml:space="preserve">The ACMA notes the support for </w:t>
      </w:r>
      <w:r>
        <w:rPr>
          <w:rFonts w:cs="Arial"/>
        </w:rPr>
        <w:t xml:space="preserve">abandoning its focus on explicit quantitative targets of spectrum to be made available for mobile broadband. </w:t>
      </w:r>
      <w:r w:rsidR="00A9628A">
        <w:t xml:space="preserve">Feedback regarding the need for performance metrics has been noted. However, while the ACMA agrees some performance metrics may be useful, determining qualitative measures or targets would necessarily suffer to some fate as spectrum targets. </w:t>
      </w:r>
      <w:r w:rsidR="00B13139">
        <w:t>Therefore,</w:t>
      </w:r>
      <w:r w:rsidR="00A9628A">
        <w:t xml:space="preserve"> hard limits may be counterproductive and unnecessarily restrictive. </w:t>
      </w:r>
    </w:p>
    <w:p w14:paraId="0F832946" w14:textId="70806E44" w:rsidR="00F31B8E" w:rsidRPr="00F31B8E" w:rsidRDefault="00F31B8E" w:rsidP="00B13139">
      <w:r w:rsidRPr="00F31B8E">
        <w:t xml:space="preserve">Overall, the ACMA maintains that Assumption </w:t>
      </w:r>
      <w:r>
        <w:t>3</w:t>
      </w:r>
      <w:r w:rsidRPr="00F31B8E">
        <w:t xml:space="preserve"> remains valid as originally proposed.</w:t>
      </w:r>
    </w:p>
    <w:p w14:paraId="63011F7E" w14:textId="0F479B64" w:rsidR="00C944ED" w:rsidRPr="00B13139" w:rsidRDefault="00C944ED" w:rsidP="00B13139">
      <w:pPr>
        <w:pStyle w:val="Heading2"/>
      </w:pPr>
      <w:bookmarkStart w:id="98" w:name="_Toc425928804"/>
      <w:bookmarkStart w:id="99" w:name="_Toc426094320"/>
      <w:bookmarkStart w:id="100" w:name="_Toc441074826"/>
      <w:bookmarkStart w:id="101" w:name="_Toc443910675"/>
      <w:r w:rsidRPr="00B13139">
        <w:t>Strategies to address mobile broadband capacity growth internationally</w:t>
      </w:r>
      <w:bookmarkEnd w:id="98"/>
      <w:bookmarkEnd w:id="99"/>
      <w:bookmarkEnd w:id="100"/>
      <w:bookmarkEnd w:id="101"/>
    </w:p>
    <w:p w14:paraId="0DD6F955" w14:textId="3A34C5D4" w:rsidR="00C944ED" w:rsidRDefault="005D4E69" w:rsidP="005D4E69">
      <w:pPr>
        <w:rPr>
          <w:szCs w:val="20"/>
        </w:rPr>
      </w:pPr>
      <w:bookmarkStart w:id="102" w:name="_Toc393796128"/>
      <w:bookmarkStart w:id="103" w:name="_Ref423944735"/>
      <w:bookmarkStart w:id="104" w:name="_Toc425928808"/>
      <w:bookmarkStart w:id="105" w:name="_Toc426094324"/>
      <w:r>
        <w:rPr>
          <w:szCs w:val="20"/>
        </w:rPr>
        <w:t xml:space="preserve">A number of submissions highlighted work to address mobile broadband capacity growth internationally that was not mentioned in </w:t>
      </w:r>
      <w:r w:rsidRPr="00F3138B">
        <w:rPr>
          <w:i/>
          <w:szCs w:val="20"/>
        </w:rPr>
        <w:t>Beyond 2020</w:t>
      </w:r>
      <w:r>
        <w:rPr>
          <w:szCs w:val="20"/>
        </w:rPr>
        <w:t xml:space="preserve">. </w:t>
      </w:r>
      <w:r w:rsidR="00DC7FCF" w:rsidRPr="005D4E69">
        <w:rPr>
          <w:szCs w:val="20"/>
        </w:rPr>
        <w:t>Mississippi</w:t>
      </w:r>
      <w:r>
        <w:rPr>
          <w:szCs w:val="20"/>
        </w:rPr>
        <w:t xml:space="preserve"> Consulting outlined t</w:t>
      </w:r>
      <w:r w:rsidR="00DC7FCF" w:rsidRPr="005D4E69">
        <w:rPr>
          <w:szCs w:val="20"/>
        </w:rPr>
        <w:t xml:space="preserve">he work </w:t>
      </w:r>
      <w:r w:rsidR="00B13139">
        <w:rPr>
          <w:szCs w:val="20"/>
        </w:rPr>
        <w:t>undertaken</w:t>
      </w:r>
      <w:r w:rsidR="00B13139" w:rsidRPr="005D4E69">
        <w:rPr>
          <w:szCs w:val="20"/>
        </w:rPr>
        <w:t xml:space="preserve"> </w:t>
      </w:r>
      <w:r w:rsidR="00DC7FCF" w:rsidRPr="005D4E69">
        <w:rPr>
          <w:szCs w:val="20"/>
        </w:rPr>
        <w:t>in the UK by Ofcom, in the US by the FCC and by</w:t>
      </w:r>
      <w:r>
        <w:rPr>
          <w:szCs w:val="20"/>
        </w:rPr>
        <w:t xml:space="preserve"> ITU-R Working Party 5</w:t>
      </w:r>
      <w:r w:rsidR="00DC7FCF" w:rsidRPr="005D4E69">
        <w:rPr>
          <w:szCs w:val="20"/>
        </w:rPr>
        <w:t>D on the use of spectrum above 6 GHz for 5G/IMT-2020.</w:t>
      </w:r>
      <w:r>
        <w:rPr>
          <w:szCs w:val="20"/>
        </w:rPr>
        <w:t xml:space="preserve"> </w:t>
      </w:r>
      <w:r w:rsidRPr="00A57A1E">
        <w:rPr>
          <w:rFonts w:cs="Arial"/>
        </w:rPr>
        <w:t xml:space="preserve">Communications Alliance </w:t>
      </w:r>
      <w:r>
        <w:rPr>
          <w:rFonts w:cs="Arial"/>
        </w:rPr>
        <w:t xml:space="preserve">noted </w:t>
      </w:r>
      <w:r w:rsidRPr="00A57A1E">
        <w:rPr>
          <w:rFonts w:cs="Arial"/>
        </w:rPr>
        <w:t>the Plum Consulting report developed for the European Commission (EC)</w:t>
      </w:r>
      <w:r w:rsidR="0090395E">
        <w:rPr>
          <w:rFonts w:cs="Arial"/>
        </w:rPr>
        <w:t xml:space="preserve"> and other overseas reports and papers, particularly those regarding bands above 6 GHz</w:t>
      </w:r>
      <w:r w:rsidRPr="00A57A1E">
        <w:rPr>
          <w:rFonts w:cs="Arial"/>
        </w:rPr>
        <w:t xml:space="preserve">. </w:t>
      </w:r>
    </w:p>
    <w:p w14:paraId="7EC8FFA5" w14:textId="5C231739" w:rsidR="005D4E69" w:rsidRPr="00787E49" w:rsidRDefault="00B13139" w:rsidP="00B13139">
      <w:pPr>
        <w:pStyle w:val="Heading3"/>
      </w:pPr>
      <w:bookmarkStart w:id="106" w:name="_Toc443910676"/>
      <w:r>
        <w:rPr>
          <w:color w:val="262626" w:themeColor="text1" w:themeTint="D9"/>
          <w:szCs w:val="20"/>
        </w:rPr>
        <w:t xml:space="preserve">The </w:t>
      </w:r>
      <w:r w:rsidR="005D4E69" w:rsidRPr="00787E49">
        <w:rPr>
          <w:color w:val="262626" w:themeColor="text1" w:themeTint="D9"/>
          <w:szCs w:val="20"/>
        </w:rPr>
        <w:t>ACMA</w:t>
      </w:r>
      <w:r>
        <w:rPr>
          <w:color w:val="262626" w:themeColor="text1" w:themeTint="D9"/>
          <w:szCs w:val="20"/>
        </w:rPr>
        <w:t>’s</w:t>
      </w:r>
      <w:r w:rsidR="005D4E69" w:rsidRPr="00787E49">
        <w:rPr>
          <w:color w:val="262626" w:themeColor="text1" w:themeTint="D9"/>
          <w:szCs w:val="20"/>
        </w:rPr>
        <w:t xml:space="preserve"> response to comments</w:t>
      </w:r>
      <w:r w:rsidR="005D4E69" w:rsidRPr="00787E49">
        <w:t xml:space="preserve"> regarding </w:t>
      </w:r>
      <w:r w:rsidR="005D4E69">
        <w:t>international strategies</w:t>
      </w:r>
      <w:bookmarkEnd w:id="106"/>
    </w:p>
    <w:p w14:paraId="4F5158D0" w14:textId="159619FA" w:rsidR="005D4E69" w:rsidRDefault="005D4E69" w:rsidP="00B13139">
      <w:r>
        <w:t>The ACMA continues to remain abreast of the ever-changing international environment</w:t>
      </w:r>
      <w:r w:rsidR="00B8590B">
        <w:t xml:space="preserve">, </w:t>
      </w:r>
      <w:r w:rsidR="00B13139">
        <w:t xml:space="preserve">which </w:t>
      </w:r>
      <w:r w:rsidR="00B8590B">
        <w:t>will naturally include developments for mobile broadband in spectrum above 6 GHz</w:t>
      </w:r>
      <w:r>
        <w:t xml:space="preserve">. While it was not practical to outline every single piece of work in the </w:t>
      </w:r>
      <w:r w:rsidRPr="00F3138B">
        <w:rPr>
          <w:i/>
        </w:rPr>
        <w:t>Beyond 2020</w:t>
      </w:r>
      <w:r>
        <w:t xml:space="preserve"> paper, </w:t>
      </w:r>
      <w:r w:rsidR="00834D50">
        <w:t xml:space="preserve">a </w:t>
      </w:r>
      <w:r w:rsidR="006C5587">
        <w:t>wide</w:t>
      </w:r>
      <w:r w:rsidR="00E878F4">
        <w:t xml:space="preserve"> </w:t>
      </w:r>
      <w:r w:rsidR="00834D50">
        <w:t xml:space="preserve">range of research and approaches is considered in </w:t>
      </w:r>
      <w:r w:rsidR="00FF78D7">
        <w:t>the ACMA’s</w:t>
      </w:r>
      <w:r w:rsidR="00834D50">
        <w:t xml:space="preserve"> ongoing </w:t>
      </w:r>
      <w:r w:rsidR="00FF78D7">
        <w:t xml:space="preserve">work.  </w:t>
      </w:r>
    </w:p>
    <w:p w14:paraId="4C055DAB" w14:textId="77777777" w:rsidR="00C944ED" w:rsidRPr="00B13139" w:rsidRDefault="00C944ED" w:rsidP="00B13139">
      <w:pPr>
        <w:pStyle w:val="Heading2"/>
      </w:pPr>
      <w:bookmarkStart w:id="107" w:name="_Toc441074827"/>
      <w:bookmarkStart w:id="108" w:name="_Toc443910677"/>
      <w:r w:rsidRPr="00B13139">
        <w:t>Currently available spectrum suitable for mobile broadband</w:t>
      </w:r>
      <w:bookmarkEnd w:id="102"/>
      <w:bookmarkEnd w:id="103"/>
      <w:bookmarkEnd w:id="104"/>
      <w:bookmarkEnd w:id="105"/>
      <w:bookmarkEnd w:id="107"/>
      <w:bookmarkEnd w:id="108"/>
    </w:p>
    <w:p w14:paraId="6221FCBA" w14:textId="0E9CD5BF" w:rsidR="00167337" w:rsidRDefault="00167337" w:rsidP="00167337">
      <w:pPr>
        <w:spacing w:after="120"/>
        <w:rPr>
          <w:rFonts w:cs="Arial"/>
          <w:color w:val="262626" w:themeColor="text1" w:themeTint="D9"/>
          <w:szCs w:val="20"/>
        </w:rPr>
      </w:pPr>
      <w:r>
        <w:rPr>
          <w:szCs w:val="20"/>
        </w:rPr>
        <w:t>An analysis of the Australian environment and the spectrum currently available and suitable for mobile broadband was provided, along with an international comparison</w:t>
      </w:r>
      <w:r w:rsidR="00B13139">
        <w:rPr>
          <w:szCs w:val="20"/>
        </w:rPr>
        <w:t>,</w:t>
      </w:r>
      <w:r>
        <w:rPr>
          <w:szCs w:val="20"/>
        </w:rPr>
        <w:t xml:space="preserve"> in </w:t>
      </w:r>
      <w:r w:rsidRPr="00F3138B">
        <w:rPr>
          <w:i/>
          <w:szCs w:val="20"/>
        </w:rPr>
        <w:t>Beyond 2020</w:t>
      </w:r>
      <w:r>
        <w:rPr>
          <w:szCs w:val="20"/>
        </w:rPr>
        <w:t xml:space="preserve">. </w:t>
      </w:r>
      <w:r>
        <w:rPr>
          <w:rFonts w:cs="Arial"/>
          <w:color w:val="262626" w:themeColor="text1" w:themeTint="D9"/>
          <w:szCs w:val="20"/>
        </w:rPr>
        <w:t>A conclusion (Assumption 4) derived from this discussion was:</w:t>
      </w:r>
    </w:p>
    <w:p w14:paraId="2A8519EB" w14:textId="77777777" w:rsidR="00C944ED" w:rsidRDefault="00C944ED" w:rsidP="00C944ED">
      <w:pPr>
        <w:ind w:left="709" w:right="583"/>
        <w:rPr>
          <w:i/>
        </w:rPr>
      </w:pPr>
      <w:r w:rsidRPr="00211492">
        <w:rPr>
          <w:i/>
        </w:rPr>
        <w:t>Australia currently has adequate spectrum available for mobile broadband purposes in the short to medium</w:t>
      </w:r>
      <w:r>
        <w:rPr>
          <w:i/>
        </w:rPr>
        <w:t xml:space="preserve"> </w:t>
      </w:r>
      <w:r w:rsidRPr="00211492">
        <w:rPr>
          <w:i/>
        </w:rPr>
        <w:t>term</w:t>
      </w:r>
      <w:r>
        <w:rPr>
          <w:i/>
        </w:rPr>
        <w:t>,</w:t>
      </w:r>
      <w:r w:rsidRPr="00211492">
        <w:rPr>
          <w:i/>
        </w:rPr>
        <w:t xml:space="preserve"> but it is likely that in the medium to long</w:t>
      </w:r>
      <w:r>
        <w:rPr>
          <w:i/>
        </w:rPr>
        <w:t xml:space="preserve"> </w:t>
      </w:r>
      <w:r w:rsidRPr="00211492">
        <w:rPr>
          <w:i/>
        </w:rPr>
        <w:t>term</w:t>
      </w:r>
      <w:r>
        <w:rPr>
          <w:i/>
        </w:rPr>
        <w:t>,</w:t>
      </w:r>
      <w:r w:rsidRPr="00211492">
        <w:rPr>
          <w:i/>
        </w:rPr>
        <w:t xml:space="preserve"> additional spectrum will be necessary. </w:t>
      </w:r>
    </w:p>
    <w:p w14:paraId="59646ECD" w14:textId="470C2D25" w:rsidR="00F42457" w:rsidRPr="0090395E" w:rsidRDefault="00167337" w:rsidP="00B13139">
      <w:r w:rsidRPr="0090395E">
        <w:t xml:space="preserve">While most </w:t>
      </w:r>
      <w:r w:rsidR="00FF78D7">
        <w:t xml:space="preserve">views regarding Assumption 4 </w:t>
      </w:r>
      <w:r w:rsidRPr="0090395E">
        <w:t>generally agreed with the assumption, there were various caveats.</w:t>
      </w:r>
    </w:p>
    <w:p w14:paraId="6B936CD3" w14:textId="48F3D339" w:rsidR="0090395E" w:rsidRDefault="0090395E" w:rsidP="00B13139">
      <w:r w:rsidRPr="0090395E">
        <w:t xml:space="preserve">A number of submissions agreed that Australia currently has adequate spectrum available for mobile broadband purposes in the short term. </w:t>
      </w:r>
      <w:r>
        <w:t>However, many also sought clarity on the definition of short</w:t>
      </w:r>
      <w:r w:rsidR="00B13139">
        <w:t>-</w:t>
      </w:r>
      <w:r>
        <w:t>, medium</w:t>
      </w:r>
      <w:r w:rsidR="00B13139">
        <w:t>-</w:t>
      </w:r>
      <w:r>
        <w:t xml:space="preserve"> and long-term time</w:t>
      </w:r>
      <w:r w:rsidR="00B13139">
        <w:t xml:space="preserve"> </w:t>
      </w:r>
      <w:r>
        <w:t xml:space="preserve">frames. </w:t>
      </w:r>
    </w:p>
    <w:p w14:paraId="42F15AAE" w14:textId="31C0C612" w:rsidR="0090395E" w:rsidRPr="0090395E" w:rsidRDefault="005F2E14" w:rsidP="00B13139">
      <w:r w:rsidRPr="0090395E">
        <w:t>GVF agree</w:t>
      </w:r>
      <w:r w:rsidR="0090395E">
        <w:t xml:space="preserve">d that </w:t>
      </w:r>
      <w:r w:rsidRPr="0090395E">
        <w:t xml:space="preserve">no </w:t>
      </w:r>
      <w:r w:rsidR="0090395E">
        <w:t xml:space="preserve">additional </w:t>
      </w:r>
      <w:r w:rsidRPr="0090395E">
        <w:t xml:space="preserve">spectrum </w:t>
      </w:r>
      <w:r w:rsidR="0090395E">
        <w:t xml:space="preserve">is required for mobile broadband purposes </w:t>
      </w:r>
      <w:r w:rsidRPr="0090395E">
        <w:t>in</w:t>
      </w:r>
      <w:r w:rsidR="0090395E">
        <w:t xml:space="preserve"> the</w:t>
      </w:r>
      <w:r w:rsidRPr="0090395E">
        <w:t xml:space="preserve"> short to medium term</w:t>
      </w:r>
      <w:r w:rsidR="00B13139">
        <w:t>,</w:t>
      </w:r>
      <w:r w:rsidRPr="0090395E">
        <w:t xml:space="preserve"> </w:t>
      </w:r>
      <w:r w:rsidR="0090395E">
        <w:t xml:space="preserve">and questioned the requirement </w:t>
      </w:r>
      <w:r w:rsidR="00B13139">
        <w:t xml:space="preserve">for </w:t>
      </w:r>
      <w:r w:rsidR="0090395E">
        <w:t xml:space="preserve">additional spectrum in the longer term. </w:t>
      </w:r>
    </w:p>
    <w:p w14:paraId="647EFAB7" w14:textId="72A7A3AC" w:rsidR="002A7824" w:rsidRPr="002A7824" w:rsidRDefault="0090395E" w:rsidP="00B13139">
      <w:r w:rsidRPr="0090395E">
        <w:t>Optus</w:t>
      </w:r>
      <w:r w:rsidR="00D2446E">
        <w:t xml:space="preserve"> and AMTA</w:t>
      </w:r>
      <w:r w:rsidRPr="0090395E">
        <w:t xml:space="preserve"> support</w:t>
      </w:r>
      <w:r>
        <w:t>ed</w:t>
      </w:r>
      <w:r w:rsidRPr="0090395E">
        <w:t xml:space="preserve"> the ACMA’s assessment that Australia currently has sufficient spectrum allocated for</w:t>
      </w:r>
      <w:r w:rsidR="002E248A">
        <w:t xml:space="preserve"> mobile broadband</w:t>
      </w:r>
      <w:r w:rsidRPr="0090395E">
        <w:t xml:space="preserve"> in the ‘short term’ </w:t>
      </w:r>
      <w:r>
        <w:t xml:space="preserve">(which they </w:t>
      </w:r>
      <w:r w:rsidRPr="0090395E">
        <w:t>define</w:t>
      </w:r>
      <w:r>
        <w:t>d</w:t>
      </w:r>
      <w:r w:rsidRPr="0090395E">
        <w:t xml:space="preserve"> as within the next </w:t>
      </w:r>
      <w:r w:rsidR="00B13139">
        <w:t>one to four</w:t>
      </w:r>
      <w:r w:rsidRPr="0090395E">
        <w:t xml:space="preserve"> years</w:t>
      </w:r>
      <w:r>
        <w:t>)</w:t>
      </w:r>
      <w:r w:rsidRPr="0090395E">
        <w:t xml:space="preserve">. </w:t>
      </w:r>
      <w:r w:rsidR="002A7824">
        <w:t xml:space="preserve">Optus highlighted, however, </w:t>
      </w:r>
      <w:r w:rsidRPr="0090395E">
        <w:t>that there are differences in MNO</w:t>
      </w:r>
      <w:r w:rsidR="006C5587">
        <w:t>’</w:t>
      </w:r>
      <w:r w:rsidRPr="0090395E">
        <w:t>s spectrum holdings across different markets</w:t>
      </w:r>
      <w:r w:rsidR="00B13139">
        <w:t>,</w:t>
      </w:r>
      <w:r w:rsidR="002A7824">
        <w:t xml:space="preserve"> and that this should be taken into account when deciding the timing for future </w:t>
      </w:r>
      <w:r w:rsidRPr="0090395E">
        <w:t>mobile broadband spectrum</w:t>
      </w:r>
      <w:r w:rsidR="002A7824">
        <w:t xml:space="preserve"> releases</w:t>
      </w:r>
      <w:r w:rsidRPr="0090395E">
        <w:t xml:space="preserve">. Optus </w:t>
      </w:r>
      <w:r w:rsidR="00D2446E">
        <w:t xml:space="preserve">and AMTA </w:t>
      </w:r>
      <w:r w:rsidRPr="0090395E">
        <w:t>consider</w:t>
      </w:r>
      <w:r w:rsidR="002A7824">
        <w:t>ed</w:t>
      </w:r>
      <w:r w:rsidRPr="0090395E">
        <w:t xml:space="preserve"> that in the medium to long term</w:t>
      </w:r>
      <w:r w:rsidR="002A7824">
        <w:t xml:space="preserve"> (which they defined as</w:t>
      </w:r>
      <w:r w:rsidRPr="0090395E">
        <w:t xml:space="preserve"> beyond four years</w:t>
      </w:r>
      <w:r w:rsidR="002A7824">
        <w:t>)</w:t>
      </w:r>
      <w:r w:rsidR="00B13139">
        <w:t>,</w:t>
      </w:r>
      <w:r w:rsidRPr="0090395E">
        <w:t xml:space="preserve"> spectrum demand for mobile broadband will outstrip supply. This projected outcome</w:t>
      </w:r>
      <w:r w:rsidR="00B13139">
        <w:t>,</w:t>
      </w:r>
      <w:r w:rsidRPr="0090395E">
        <w:t xml:space="preserve"> combined</w:t>
      </w:r>
      <w:r w:rsidRPr="002A7824">
        <w:t xml:space="preserve"> with historic long lead-times</w:t>
      </w:r>
      <w:r w:rsidR="00B13139">
        <w:t>,</w:t>
      </w:r>
      <w:r w:rsidRPr="002A7824">
        <w:t xml:space="preserve"> means that both industry and the ACMA should not step away from engaging in processes to allocate, well ahead of time, future spectrum bands for mobile broadband</w:t>
      </w:r>
      <w:r w:rsidR="00D2446E">
        <w:t xml:space="preserve"> and </w:t>
      </w:r>
      <w:r w:rsidR="002A7824" w:rsidRPr="002A7824">
        <w:t xml:space="preserve">continue to work together to ensure that Australia is able to meet the expected demand for spectrum for </w:t>
      </w:r>
      <w:r w:rsidR="00D2446E">
        <w:t>mobile broadband.</w:t>
      </w:r>
    </w:p>
    <w:p w14:paraId="50249AA1" w14:textId="30635F4A" w:rsidR="0090395E" w:rsidRPr="002A7824" w:rsidRDefault="0090395E" w:rsidP="00B13139">
      <w:r w:rsidRPr="002A7824">
        <w:t>Telstra consider</w:t>
      </w:r>
      <w:r w:rsidR="002A7824" w:rsidRPr="002A7824">
        <w:t>ed</w:t>
      </w:r>
      <w:r w:rsidRPr="002A7824">
        <w:t xml:space="preserve"> that sufficient spectrum is likely to be available for the period leading up to the 2019 World Radio</w:t>
      </w:r>
      <w:r w:rsidR="002A7824">
        <w:t>communication</w:t>
      </w:r>
      <w:r w:rsidRPr="002A7824">
        <w:t xml:space="preserve"> Conference (WRC</w:t>
      </w:r>
      <w:r w:rsidR="002A7824">
        <w:t>-19</w:t>
      </w:r>
      <w:r w:rsidRPr="002A7824">
        <w:t>). This view is based on the assumption that during this period several existing mobile bands (900</w:t>
      </w:r>
      <w:r w:rsidR="002A7824" w:rsidRPr="002A7824">
        <w:t> </w:t>
      </w:r>
      <w:r w:rsidRPr="002A7824">
        <w:t>MHz, 2.1 GHz</w:t>
      </w:r>
      <w:r w:rsidR="00B13139">
        <w:t xml:space="preserve"> and </w:t>
      </w:r>
      <w:r w:rsidRPr="002A7824">
        <w:t>3400</w:t>
      </w:r>
      <w:r w:rsidR="00B13139">
        <w:t>–</w:t>
      </w:r>
      <w:r w:rsidRPr="002A7824">
        <w:t xml:space="preserve">3575 MHz) will </w:t>
      </w:r>
      <w:r w:rsidR="00FF78D7" w:rsidRPr="002A7824">
        <w:t xml:space="preserve">be re-farmed and </w:t>
      </w:r>
      <w:r w:rsidRPr="002A7824">
        <w:t>additional new bands (such as 1427</w:t>
      </w:r>
      <w:r w:rsidR="00B13139">
        <w:t>–</w:t>
      </w:r>
      <w:r w:rsidRPr="002A7824">
        <w:t>1518 MHz and 3575</w:t>
      </w:r>
      <w:r w:rsidR="00B13139">
        <w:t>–</w:t>
      </w:r>
      <w:r w:rsidRPr="002A7824">
        <w:t>3700 MHz) will be made available</w:t>
      </w:r>
      <w:r w:rsidR="002A7824">
        <w:t>.</w:t>
      </w:r>
    </w:p>
    <w:p w14:paraId="274CFDB6" w14:textId="2A288948" w:rsidR="0090395E" w:rsidRPr="002A7824" w:rsidRDefault="0090395E" w:rsidP="00B13139">
      <w:r w:rsidRPr="002A7824">
        <w:t>However, Telstra believes</w:t>
      </w:r>
      <w:r w:rsidR="002A7824" w:rsidRPr="002A7824">
        <w:t xml:space="preserve"> additional spectrum will eventually be required</w:t>
      </w:r>
      <w:r w:rsidRPr="002A7824">
        <w:t xml:space="preserve"> </w:t>
      </w:r>
      <w:r w:rsidR="002A7824">
        <w:t>after WRC-19</w:t>
      </w:r>
      <w:r w:rsidRPr="002A7824">
        <w:t xml:space="preserve"> to address the ongoing growth in 4G mobile broadband traffic (largely driven by video content), new traffic growth from the Internet of Things, and the deployment of 5G technologies (initial trials are envisaged around the time of WRC</w:t>
      </w:r>
      <w:r w:rsidR="002A7824">
        <w:t>-19</w:t>
      </w:r>
      <w:r w:rsidR="00B13139">
        <w:t>,</w:t>
      </w:r>
      <w:r w:rsidRPr="002A7824">
        <w:t xml:space="preserve"> with commercial deployment starting shortly thereafter).</w:t>
      </w:r>
    </w:p>
    <w:p w14:paraId="4B515D72" w14:textId="0ACBF21A" w:rsidR="00167337" w:rsidRPr="002A7824" w:rsidRDefault="00D2446E" w:rsidP="00B13139">
      <w:r>
        <w:t>Both Alcatel</w:t>
      </w:r>
      <w:r w:rsidR="00D328BD">
        <w:t>-</w:t>
      </w:r>
      <w:r>
        <w:t xml:space="preserve">Lucent and Mississippi noted that new frequency bands </w:t>
      </w:r>
      <w:r w:rsidR="00B13139">
        <w:t>would</w:t>
      </w:r>
      <w:r>
        <w:t xml:space="preserve"> likely be required for the development of 5G systems</w:t>
      </w:r>
      <w:r w:rsidR="00B13139">
        <w:t>,</w:t>
      </w:r>
      <w:r>
        <w:t xml:space="preserve"> which will </w:t>
      </w:r>
      <w:r w:rsidR="00167337" w:rsidRPr="002A7824">
        <w:t>rely on different connectivity technologies that can respond to specific user demands (</w:t>
      </w:r>
      <w:r w:rsidR="00B13139">
        <w:t xml:space="preserve">including </w:t>
      </w:r>
      <w:r w:rsidR="00167337" w:rsidRPr="002A7824">
        <w:t>capacity, latency</w:t>
      </w:r>
      <w:r w:rsidR="00B13139">
        <w:t xml:space="preserve"> and </w:t>
      </w:r>
      <w:r w:rsidR="00167337" w:rsidRPr="002A7824">
        <w:t xml:space="preserve">availability). </w:t>
      </w:r>
      <w:r w:rsidR="005F2E14" w:rsidRPr="002A7824">
        <w:t>Mississippi</w:t>
      </w:r>
      <w:r>
        <w:t xml:space="preserve"> </w:t>
      </w:r>
      <w:r w:rsidR="00B13139">
        <w:t>C</w:t>
      </w:r>
      <w:r>
        <w:t xml:space="preserve">onsulting in particular </w:t>
      </w:r>
      <w:r w:rsidR="00AE5C79">
        <w:t xml:space="preserve">felt that not enough attention was drawn to international work on </w:t>
      </w:r>
      <w:r w:rsidR="005F2E14" w:rsidRPr="002A7824">
        <w:t>spectrum above 6 GHz for 5G/IMT-2020</w:t>
      </w:r>
      <w:r w:rsidR="00B13139">
        <w:t>,</w:t>
      </w:r>
      <w:r w:rsidR="005F2E14" w:rsidRPr="002A7824">
        <w:t xml:space="preserve"> </w:t>
      </w:r>
      <w:r w:rsidR="006360F1">
        <w:t xml:space="preserve">and that this work potentially </w:t>
      </w:r>
      <w:r w:rsidR="005F2E14" w:rsidRPr="002A7824">
        <w:t>draws into question the basis of Assumption 4.</w:t>
      </w:r>
    </w:p>
    <w:p w14:paraId="62971B99" w14:textId="70C67A4D" w:rsidR="0090395E" w:rsidRPr="002A7824" w:rsidRDefault="00F15D15" w:rsidP="00B13139">
      <w:r w:rsidRPr="0066612F">
        <w:t>BoM’s</w:t>
      </w:r>
      <w:r w:rsidR="0090395E" w:rsidRPr="002A7824">
        <w:t xml:space="preserve"> view </w:t>
      </w:r>
      <w:r w:rsidR="006360F1">
        <w:t xml:space="preserve">was </w:t>
      </w:r>
      <w:r w:rsidR="0090395E" w:rsidRPr="002A7824">
        <w:t>that much if not all of the anticipated increase in demand for mobile broadband could be met by utilising spectrum above 20 GHz</w:t>
      </w:r>
      <w:r w:rsidR="00B13139">
        <w:t>,</w:t>
      </w:r>
      <w:r w:rsidR="006360F1">
        <w:t xml:space="preserve"> which will be considered under </w:t>
      </w:r>
      <w:r w:rsidR="006360F1" w:rsidRPr="002A7824">
        <w:t>WRC-19</w:t>
      </w:r>
      <w:r w:rsidR="006360F1">
        <w:t xml:space="preserve"> </w:t>
      </w:r>
      <w:r w:rsidR="002E248A">
        <w:t>a</w:t>
      </w:r>
      <w:r w:rsidR="002E248A" w:rsidRPr="002A7824">
        <w:t xml:space="preserve">genda </w:t>
      </w:r>
      <w:r w:rsidR="002E248A">
        <w:t>i</w:t>
      </w:r>
      <w:r w:rsidR="0090395E" w:rsidRPr="002A7824">
        <w:t>tem 1.13</w:t>
      </w:r>
      <w:r w:rsidR="006360F1">
        <w:t xml:space="preserve">. They noted </w:t>
      </w:r>
      <w:r w:rsidR="0090395E" w:rsidRPr="002A7824">
        <w:t xml:space="preserve">the outcome of </w:t>
      </w:r>
      <w:r w:rsidR="006360F1" w:rsidRPr="002A7824">
        <w:t>WRC-19</w:t>
      </w:r>
      <w:r w:rsidR="006360F1">
        <w:t xml:space="preserve"> </w:t>
      </w:r>
      <w:r w:rsidR="002E248A">
        <w:t>a</w:t>
      </w:r>
      <w:r w:rsidR="006360F1" w:rsidRPr="002A7824">
        <w:t xml:space="preserve">genda </w:t>
      </w:r>
      <w:r w:rsidR="002E248A">
        <w:t>i</w:t>
      </w:r>
      <w:r w:rsidR="006360F1" w:rsidRPr="002A7824">
        <w:t>tem 1.13</w:t>
      </w:r>
      <w:r w:rsidR="006360F1">
        <w:t xml:space="preserve"> </w:t>
      </w:r>
      <w:r w:rsidR="0090395E" w:rsidRPr="002A7824">
        <w:t xml:space="preserve">could satisfy the demand from many applications of mobile devices that currently utilise existing IMT bands below 6 GHz. These lower bands could then be better </w:t>
      </w:r>
      <w:r w:rsidR="00006FB3" w:rsidRPr="002A7824">
        <w:t>used</w:t>
      </w:r>
      <w:r w:rsidR="0090395E" w:rsidRPr="002A7824">
        <w:t xml:space="preserve"> where their w</w:t>
      </w:r>
      <w:r w:rsidR="0090395E" w:rsidRPr="00B13139">
        <w:t>i</w:t>
      </w:r>
      <w:r w:rsidR="0090395E" w:rsidRPr="002A7824">
        <w:t>de-area propagation and building penetration properties are advantageous</w:t>
      </w:r>
      <w:r w:rsidR="00B13139">
        <w:t>,</w:t>
      </w:r>
      <w:r w:rsidR="0090395E" w:rsidRPr="002A7824">
        <w:t xml:space="preserve"> but where higher data carrying capacity is not a priority.</w:t>
      </w:r>
    </w:p>
    <w:p w14:paraId="1EED879C" w14:textId="052875C1" w:rsidR="008B7757" w:rsidRDefault="00FF78D7" w:rsidP="00B13139">
      <w:r>
        <w:t xml:space="preserve">Three </w:t>
      </w:r>
      <w:r w:rsidR="00582AEE">
        <w:t xml:space="preserve">submissions </w:t>
      </w:r>
      <w:r>
        <w:t xml:space="preserve">expressed the view </w:t>
      </w:r>
      <w:r w:rsidR="00582AEE">
        <w:t xml:space="preserve">that the analysis of spectrum currently available for mobile broadband was misleading. AMTA, Optus and Telstra believed the quantification in </w:t>
      </w:r>
      <w:r w:rsidR="00582AEE" w:rsidRPr="00F3138B">
        <w:rPr>
          <w:i/>
        </w:rPr>
        <w:t>Beyond 2020</w:t>
      </w:r>
      <w:r w:rsidR="00582AEE">
        <w:t xml:space="preserve"> overestimated what is currently available. </w:t>
      </w:r>
      <w:r w:rsidR="0090395E" w:rsidRPr="002A7824">
        <w:t>Optus</w:t>
      </w:r>
      <w:r w:rsidR="00582AEE">
        <w:t xml:space="preserve"> noted that the </w:t>
      </w:r>
      <w:r w:rsidR="0090395E" w:rsidRPr="002A7824">
        <w:t xml:space="preserve">spectrum </w:t>
      </w:r>
      <w:r w:rsidR="00582AEE">
        <w:t xml:space="preserve">already </w:t>
      </w:r>
      <w:r w:rsidR="0090395E" w:rsidRPr="002A7824">
        <w:t xml:space="preserve">allocated for mobile broadband </w:t>
      </w:r>
      <w:r w:rsidR="00582AEE">
        <w:t xml:space="preserve">was not necessarily </w:t>
      </w:r>
      <w:r w:rsidR="0090395E" w:rsidRPr="002A7824">
        <w:t>‘optimally configured’</w:t>
      </w:r>
      <w:r w:rsidR="00582AEE">
        <w:t xml:space="preserve">, while Telstra noted </w:t>
      </w:r>
      <w:r w:rsidR="00B13139">
        <w:t xml:space="preserve">that </w:t>
      </w:r>
      <w:r w:rsidR="00582AEE">
        <w:t>i</w:t>
      </w:r>
      <w:r w:rsidR="00512447" w:rsidRPr="002A7824">
        <w:t>n a number of bands</w:t>
      </w:r>
      <w:r w:rsidR="00933FBE">
        <w:t>,</w:t>
      </w:r>
      <w:r w:rsidR="00512447" w:rsidRPr="002A7824">
        <w:t xml:space="preserve"> the identified spectrum is of limited utility for competitive mobile broadband services</w:t>
      </w:r>
      <w:r w:rsidR="00933FBE">
        <w:t>. This is</w:t>
      </w:r>
      <w:r w:rsidR="00512447" w:rsidRPr="002A7824">
        <w:t xml:space="preserve"> due to factors such as the limited bandwidths available</w:t>
      </w:r>
      <w:r w:rsidR="00933FBE">
        <w:t>,</w:t>
      </w:r>
      <w:r w:rsidR="00512447" w:rsidRPr="002A7824">
        <w:t xml:space="preserve"> fragmented holdings</w:t>
      </w:r>
      <w:r w:rsidR="00933FBE">
        <w:t>,</w:t>
      </w:r>
      <w:r w:rsidR="00512447" w:rsidRPr="002A7824">
        <w:t xml:space="preserve"> band plan inefficiencies</w:t>
      </w:r>
      <w:r w:rsidR="00933FBE">
        <w:t>,</w:t>
      </w:r>
      <w:r w:rsidR="00512447" w:rsidRPr="002A7824">
        <w:t xml:space="preserve"> </w:t>
      </w:r>
      <w:r w:rsidR="00BD37C6">
        <w:t>existing non-4G technologies (</w:t>
      </w:r>
      <w:r w:rsidR="00933FBE">
        <w:t>for example,</w:t>
      </w:r>
      <w:r w:rsidR="00BD37C6">
        <w:t xml:space="preserve"> 3G) deployed in bands that only make a limited contribution to network capacity</w:t>
      </w:r>
      <w:r w:rsidR="00933FBE">
        <w:t>,</w:t>
      </w:r>
      <w:r w:rsidR="00BD37C6" w:rsidRPr="002A7824">
        <w:t xml:space="preserve"> </w:t>
      </w:r>
      <w:r w:rsidR="00512447" w:rsidRPr="002A7824">
        <w:t xml:space="preserve">and lack of a supporting global technology ecosystem. </w:t>
      </w:r>
    </w:p>
    <w:p w14:paraId="3A3B0E40" w14:textId="68768C3A" w:rsidR="00FF78D7" w:rsidRPr="00582AEE" w:rsidRDefault="00933FBE" w:rsidP="00933FBE">
      <w:pPr>
        <w:pStyle w:val="Heading3"/>
      </w:pPr>
      <w:bookmarkStart w:id="109" w:name="_Toc443910678"/>
      <w:r>
        <w:t xml:space="preserve">The </w:t>
      </w:r>
      <w:r w:rsidR="00FF78D7" w:rsidRPr="00787E49">
        <w:t>ACMA</w:t>
      </w:r>
      <w:r>
        <w:t>’s</w:t>
      </w:r>
      <w:r w:rsidR="00FF78D7" w:rsidRPr="00787E49">
        <w:t xml:space="preserve"> response to comments</w:t>
      </w:r>
      <w:r w:rsidR="00FF78D7" w:rsidRPr="00582AEE">
        <w:t xml:space="preserve"> regarding </w:t>
      </w:r>
      <w:r w:rsidR="00FF78D7">
        <w:t>Assumption 4</w:t>
      </w:r>
      <w:bookmarkEnd w:id="109"/>
    </w:p>
    <w:p w14:paraId="78057345" w14:textId="759BCD7B" w:rsidR="009E3E28" w:rsidRDefault="00FF78D7" w:rsidP="00933FBE">
      <w:r>
        <w:t xml:space="preserve">As discussed at </w:t>
      </w:r>
      <w:r w:rsidRPr="009E3E28">
        <w:rPr>
          <w:i/>
        </w:rPr>
        <w:t>Spectrum Tune-Up: Beyond 2020</w:t>
      </w:r>
      <w:r>
        <w:t>, short</w:t>
      </w:r>
      <w:r w:rsidR="00933FBE">
        <w:t>-</w:t>
      </w:r>
      <w:r>
        <w:t xml:space="preserve">term refers to approximately </w:t>
      </w:r>
      <w:r w:rsidR="00933FBE">
        <w:t xml:space="preserve">two </w:t>
      </w:r>
      <w:r>
        <w:t xml:space="preserve">to </w:t>
      </w:r>
      <w:r w:rsidR="00933FBE">
        <w:t xml:space="preserve">five </w:t>
      </w:r>
      <w:r>
        <w:t>years, medium</w:t>
      </w:r>
      <w:r w:rsidR="00933FBE">
        <w:t>-</w:t>
      </w:r>
      <w:r>
        <w:t xml:space="preserve">term approximately </w:t>
      </w:r>
      <w:r w:rsidR="00933FBE">
        <w:t xml:space="preserve">five </w:t>
      </w:r>
      <w:r>
        <w:t xml:space="preserve">to </w:t>
      </w:r>
      <w:r w:rsidR="00933FBE">
        <w:t xml:space="preserve">eight </w:t>
      </w:r>
      <w:r>
        <w:t>years, and long</w:t>
      </w:r>
      <w:r w:rsidR="00933FBE">
        <w:t>-</w:t>
      </w:r>
      <w:r>
        <w:t xml:space="preserve">term approximately </w:t>
      </w:r>
      <w:r w:rsidR="00933FBE">
        <w:t>eight </w:t>
      </w:r>
      <w:r>
        <w:t>years and beyond.</w:t>
      </w:r>
      <w:r w:rsidR="00D20E5B">
        <w:t xml:space="preserve"> These timeframes for domestic consideration commence from the release of the first discussion paper on the issue. </w:t>
      </w:r>
      <w:r>
        <w:t>The</w:t>
      </w:r>
      <w:r w:rsidR="001F0CC3">
        <w:t xml:space="preserve">re was general support </w:t>
      </w:r>
      <w:r>
        <w:t>regarding Assumption 4</w:t>
      </w:r>
      <w:r w:rsidR="00FC3037">
        <w:t xml:space="preserve">, particularly </w:t>
      </w:r>
      <w:r w:rsidR="00933FBE">
        <w:t>concerning</w:t>
      </w:r>
      <w:r w:rsidR="00FC3037">
        <w:t xml:space="preserve"> the environment in the short</w:t>
      </w:r>
      <w:r w:rsidR="00933FBE">
        <w:t>-</w:t>
      </w:r>
      <w:r w:rsidR="00FC3037">
        <w:t>term. Telstra, Optus and AMTA generally agree with Assumption 4</w:t>
      </w:r>
      <w:r w:rsidR="00933FBE">
        <w:t>,</w:t>
      </w:r>
      <w:r w:rsidR="00FC3037">
        <w:t xml:space="preserve"> using the definitions for short</w:t>
      </w:r>
      <w:r w:rsidR="00933FBE">
        <w:t>-</w:t>
      </w:r>
      <w:r w:rsidR="00FC3037">
        <w:t>, medium</w:t>
      </w:r>
      <w:r w:rsidR="00933FBE">
        <w:t>-</w:t>
      </w:r>
      <w:r w:rsidR="00FC3037">
        <w:t xml:space="preserve"> and long</w:t>
      </w:r>
      <w:r w:rsidR="00933FBE">
        <w:t>-</w:t>
      </w:r>
      <w:r w:rsidR="00FC3037">
        <w:t xml:space="preserve">term previously stated. Consideration of the responses </w:t>
      </w:r>
      <w:r>
        <w:t xml:space="preserve">reinforces the ACMA’s abandoning of quantitative targets and moving towards a more flexible contingency planning model. The ACMA’s strategy to address mobile broadband capacity growth will be agile and flexible enough </w:t>
      </w:r>
      <w:r w:rsidR="00933FBE">
        <w:t xml:space="preserve">so </w:t>
      </w:r>
      <w:r>
        <w:t xml:space="preserve">that identification of additional spectrum for mobile broadband can be accelerated or decelerated </w:t>
      </w:r>
      <w:r w:rsidR="008964FD">
        <w:t xml:space="preserve">as </w:t>
      </w:r>
      <w:r>
        <w:t>necessary</w:t>
      </w:r>
      <w:r w:rsidR="009E3E28">
        <w:t>.</w:t>
      </w:r>
      <w:r w:rsidR="0039504D">
        <w:t xml:space="preserve"> </w:t>
      </w:r>
    </w:p>
    <w:p w14:paraId="52330548" w14:textId="1867DE31" w:rsidR="00FC3037" w:rsidRDefault="0039504D" w:rsidP="00933FBE">
      <w:pPr>
        <w:rPr>
          <w:szCs w:val="20"/>
        </w:rPr>
      </w:pPr>
      <w:r>
        <w:t xml:space="preserve">It is also noted that trials for 5G are not expected for another </w:t>
      </w:r>
      <w:r w:rsidR="00933FBE">
        <w:t xml:space="preserve">four </w:t>
      </w:r>
      <w:r w:rsidR="00B93824">
        <w:t xml:space="preserve">or so </w:t>
      </w:r>
      <w:r>
        <w:t>years</w:t>
      </w:r>
      <w:r w:rsidR="00933FBE">
        <w:t>,</w:t>
      </w:r>
      <w:r w:rsidR="001F0CC3">
        <w:t xml:space="preserve"> with commercial deployments </w:t>
      </w:r>
      <w:r w:rsidR="00B93824">
        <w:t xml:space="preserve">desired </w:t>
      </w:r>
      <w:r w:rsidR="001F0CC3">
        <w:t>soon after</w:t>
      </w:r>
      <w:r>
        <w:t>.</w:t>
      </w:r>
      <w:r w:rsidR="001F0CC3">
        <w:t xml:space="preserve"> </w:t>
      </w:r>
      <w:r w:rsidR="00933FBE">
        <w:t>Again,</w:t>
      </w:r>
      <w:r w:rsidR="001F0CC3">
        <w:t xml:space="preserve"> this appears to fit within the </w:t>
      </w:r>
      <w:r w:rsidR="00FC3037">
        <w:t>timeframes of the A</w:t>
      </w:r>
      <w:r w:rsidR="001F0CC3">
        <w:t>ssumption</w:t>
      </w:r>
      <w:r w:rsidR="00FC3037">
        <w:t xml:space="preserve"> 4</w:t>
      </w:r>
      <w:r w:rsidR="001F0CC3">
        <w:t xml:space="preserve">. </w:t>
      </w:r>
      <w:r w:rsidR="00FC3037">
        <w:t>A</w:t>
      </w:r>
      <w:r w:rsidR="001F0CC3">
        <w:t xml:space="preserve">ny </w:t>
      </w:r>
      <w:r>
        <w:t>trials could be accommodated, if required, before the allocation of new spectrum</w:t>
      </w:r>
      <w:r w:rsidR="001F0CC3">
        <w:t xml:space="preserve"> is made</w:t>
      </w:r>
      <w:r>
        <w:t>. The ACMA will continue to monitor</w:t>
      </w:r>
      <w:r w:rsidR="00933FBE">
        <w:t>,</w:t>
      </w:r>
      <w:r>
        <w:t xml:space="preserve"> and when necessary</w:t>
      </w:r>
      <w:r w:rsidR="00933FBE">
        <w:t>,</w:t>
      </w:r>
      <w:r>
        <w:t xml:space="preserve"> </w:t>
      </w:r>
      <w:r w:rsidRPr="00265A42">
        <w:t>elevate consideration of bands being considered for 5G</w:t>
      </w:r>
      <w:r w:rsidR="00933FBE" w:rsidRPr="00265A42">
        <w:t>. T</w:t>
      </w:r>
      <w:r w:rsidR="00FC3037" w:rsidRPr="00265A42">
        <w:t xml:space="preserve">his is discussed further in the section </w:t>
      </w:r>
      <w:r w:rsidR="00FC3037" w:rsidRPr="00265A42">
        <w:rPr>
          <w:i/>
        </w:rPr>
        <w:t xml:space="preserve">Proposed </w:t>
      </w:r>
      <w:r w:rsidR="00265A42" w:rsidRPr="00265A42">
        <w:rPr>
          <w:i/>
        </w:rPr>
        <w:t>w</w:t>
      </w:r>
      <w:r w:rsidR="00FC3037" w:rsidRPr="00265A42">
        <w:rPr>
          <w:i/>
        </w:rPr>
        <w:t xml:space="preserve">ork </w:t>
      </w:r>
      <w:r w:rsidR="00265A42" w:rsidRPr="00265A42">
        <w:rPr>
          <w:i/>
        </w:rPr>
        <w:t>p</w:t>
      </w:r>
      <w:r w:rsidR="00FC3037" w:rsidRPr="00265A42">
        <w:rPr>
          <w:i/>
        </w:rPr>
        <w:t>rogram</w:t>
      </w:r>
      <w:r w:rsidR="00034622">
        <w:rPr>
          <w:i/>
        </w:rPr>
        <w:t xml:space="preserve">: </w:t>
      </w:r>
      <w:r w:rsidR="00FC3037" w:rsidRPr="00265A42">
        <w:rPr>
          <w:i/>
        </w:rPr>
        <w:t>Above 6 GHz</w:t>
      </w:r>
      <w:r w:rsidR="00FC3037" w:rsidRPr="00265A42">
        <w:t>.</w:t>
      </w:r>
    </w:p>
    <w:p w14:paraId="51641E5C" w14:textId="569719B8" w:rsidR="00FF78D7" w:rsidRDefault="001B5B98" w:rsidP="00933FBE">
      <w:pPr>
        <w:rPr>
          <w:szCs w:val="20"/>
        </w:rPr>
      </w:pPr>
      <w:r>
        <w:t>As a general philosophy, the ACMA attempts to avoid establishing spectrum management arrangements that are limited to a specific technology type. In other words, the ACMA attempts to be technology flexible.</w:t>
      </w:r>
      <w:r w:rsidRPr="001B5B98">
        <w:rPr>
          <w:rFonts w:cs="Arial"/>
          <w:szCs w:val="20"/>
        </w:rPr>
        <w:t xml:space="preserve"> </w:t>
      </w:r>
      <w:r>
        <w:rPr>
          <w:rFonts w:cs="Arial"/>
          <w:szCs w:val="20"/>
        </w:rPr>
        <w:t xml:space="preserve">This technology flexibility not only provides scope for the use of a broad range of technologies, but also, ideally, the opportunity to migrate to newer technologies without regulatory intervention. </w:t>
      </w:r>
    </w:p>
    <w:p w14:paraId="5EC07449" w14:textId="66A574C1" w:rsidR="00596653" w:rsidRDefault="00395C18" w:rsidP="00933FBE">
      <w:r>
        <w:t>Where appropriate</w:t>
      </w:r>
      <w:r w:rsidR="00933FBE">
        <w:t>,</w:t>
      </w:r>
      <w:r>
        <w:t xml:space="preserve"> the ACMA has and will continue to</w:t>
      </w:r>
      <w:r w:rsidR="00B93824">
        <w:t xml:space="preserve"> work with mobile operators to optimise</w:t>
      </w:r>
      <w:r w:rsidR="00596653">
        <w:t xml:space="preserve"> these</w:t>
      </w:r>
      <w:r w:rsidR="00B93824">
        <w:t xml:space="preserve"> </w:t>
      </w:r>
      <w:r w:rsidR="00596653">
        <w:t xml:space="preserve">bands </w:t>
      </w:r>
      <w:r w:rsidR="00B93824">
        <w:t>for current and future mobile broadband technologies.</w:t>
      </w:r>
      <w:r>
        <w:t xml:space="preserve"> </w:t>
      </w:r>
      <w:r w:rsidR="00596653">
        <w:t>Recent e</w:t>
      </w:r>
      <w:r>
        <w:t xml:space="preserve">xamples include </w:t>
      </w:r>
      <w:r w:rsidR="00596653">
        <w:t>the defragmentation of</w:t>
      </w:r>
      <w:r>
        <w:t xml:space="preserve"> the 1800 MHz band</w:t>
      </w:r>
      <w:r w:rsidR="006C5587">
        <w:t xml:space="preserve"> in metropolitan areas</w:t>
      </w:r>
      <w:r w:rsidR="00C269D8">
        <w:t>, updating spectrum licence technical frameworks</w:t>
      </w:r>
      <w:r w:rsidR="00933FBE">
        <w:t>,</w:t>
      </w:r>
      <w:r>
        <w:t xml:space="preserve"> and the current work on the 900 MHz band. </w:t>
      </w:r>
      <w:r w:rsidR="00B93824">
        <w:t xml:space="preserve">However, </w:t>
      </w:r>
      <w:r w:rsidR="00596653">
        <w:t>it is</w:t>
      </w:r>
      <w:r w:rsidR="00B93824">
        <w:t xml:space="preserve"> </w:t>
      </w:r>
      <w:r>
        <w:t>not always</w:t>
      </w:r>
      <w:r w:rsidR="00B93824">
        <w:t xml:space="preserve"> </w:t>
      </w:r>
      <w:r>
        <w:t>possible or appropriate for the ACMA to intervene in every situation</w:t>
      </w:r>
      <w:r w:rsidR="00B93824">
        <w:t>. For example</w:t>
      </w:r>
      <w:r w:rsidR="00933FBE">
        <w:t>,</w:t>
      </w:r>
      <w:r w:rsidR="00596653">
        <w:t xml:space="preserve"> </w:t>
      </w:r>
      <w:r w:rsidR="00933FBE">
        <w:t xml:space="preserve">in </w:t>
      </w:r>
      <w:r w:rsidR="00596653">
        <w:t>situations involving</w:t>
      </w:r>
      <w:r w:rsidR="00B93824">
        <w:t xml:space="preserve"> the development of </w:t>
      </w:r>
      <w:r w:rsidR="00B93824" w:rsidRPr="002A7824">
        <w:t>global technology ecosystem</w:t>
      </w:r>
      <w:r>
        <w:t>s</w:t>
      </w:r>
      <w:r w:rsidR="00596653">
        <w:t xml:space="preserve"> or when legislative requirements prevent certain actions from being taken (</w:t>
      </w:r>
      <w:r w:rsidR="00933FBE">
        <w:t>such as</w:t>
      </w:r>
      <w:r w:rsidR="00596653">
        <w:t xml:space="preserve"> changes to spectrum licences that can only be made via agreement of all affected parties)</w:t>
      </w:r>
      <w:r w:rsidR="00B93824">
        <w:t xml:space="preserve">. </w:t>
      </w:r>
    </w:p>
    <w:p w14:paraId="739BA864" w14:textId="0264C7EE" w:rsidR="00F31B8E" w:rsidRDefault="00395C18" w:rsidP="00933FBE">
      <w:r>
        <w:t>O</w:t>
      </w:r>
      <w:r w:rsidR="00B93824">
        <w:t xml:space="preserve">pportunities </w:t>
      </w:r>
      <w:r>
        <w:t xml:space="preserve">also exist for mobile operators to proactively </w:t>
      </w:r>
      <w:r w:rsidR="00596653">
        <w:t xml:space="preserve">optimise or </w:t>
      </w:r>
      <w:r>
        <w:t xml:space="preserve">re-farm </w:t>
      </w:r>
      <w:r w:rsidR="00596653">
        <w:t xml:space="preserve">their existing </w:t>
      </w:r>
      <w:r>
        <w:t>spectrum</w:t>
      </w:r>
      <w:r w:rsidR="00596653">
        <w:t xml:space="preserve"> holdings</w:t>
      </w:r>
      <w:r w:rsidR="00E07496">
        <w:t xml:space="preserve">. </w:t>
      </w:r>
      <w:r w:rsidR="00596653">
        <w:t>This can be achieved</w:t>
      </w:r>
      <w:r w:rsidR="00E07496">
        <w:t xml:space="preserve"> via trading when fragmented holdings is an </w:t>
      </w:r>
      <w:r w:rsidR="00006FB3">
        <w:t>issue</w:t>
      </w:r>
      <w:r w:rsidR="00E07496">
        <w:t xml:space="preserve"> or through </w:t>
      </w:r>
      <w:r>
        <w:t>migration from 2G to 3G to 4G and so on</w:t>
      </w:r>
      <w:r w:rsidR="00E07496">
        <w:t>.</w:t>
      </w:r>
      <w:r>
        <w:t xml:space="preserve"> </w:t>
      </w:r>
      <w:r w:rsidR="006C144F">
        <w:t>T</w:t>
      </w:r>
      <w:r w:rsidR="00C269D8">
        <w:t>hese are purely commercial decision</w:t>
      </w:r>
      <w:r w:rsidR="00874496">
        <w:t>s</w:t>
      </w:r>
      <w:r w:rsidR="00C269D8">
        <w:t xml:space="preserve"> for operators to make and regulatory intervention is not required to achieve these outcomes.</w:t>
      </w:r>
      <w:r w:rsidR="00B93824">
        <w:t xml:space="preserve"> </w:t>
      </w:r>
      <w:r w:rsidR="00933FBE">
        <w:t>Therefore,</w:t>
      </w:r>
      <w:r w:rsidR="006C144F">
        <w:t xml:space="preserve"> a</w:t>
      </w:r>
      <w:r w:rsidR="00C269D8">
        <w:t xml:space="preserve"> decision by an operator to delay decommissioning </w:t>
      </w:r>
      <w:r w:rsidR="006C144F">
        <w:t xml:space="preserve">a 2G or 3G service and deploy 4G services, or </w:t>
      </w:r>
      <w:r w:rsidR="00874496">
        <w:t xml:space="preserve">to </w:t>
      </w:r>
      <w:r w:rsidR="006C144F">
        <w:t xml:space="preserve">not trade with competitors </w:t>
      </w:r>
      <w:r w:rsidR="00874496">
        <w:t>(or other licensees)</w:t>
      </w:r>
      <w:r w:rsidR="006C144F">
        <w:t xml:space="preserve"> to defragment spectrum holdings, does not negate the fact that a band has been made available for mobile broadband applications. </w:t>
      </w:r>
    </w:p>
    <w:p w14:paraId="3EAAE570" w14:textId="4C3FBCEA" w:rsidR="00F31B8E" w:rsidRPr="00F31B8E" w:rsidRDefault="00F31B8E" w:rsidP="00F31B8E">
      <w:pPr>
        <w:spacing w:after="120"/>
        <w:rPr>
          <w:rFonts w:cs="Arial"/>
        </w:rPr>
      </w:pPr>
      <w:r w:rsidRPr="00F31B8E">
        <w:rPr>
          <w:rFonts w:cs="Arial"/>
        </w:rPr>
        <w:t xml:space="preserve">Overall, the ACMA maintains that Assumption </w:t>
      </w:r>
      <w:r w:rsidR="004D49B4">
        <w:rPr>
          <w:rFonts w:cs="Arial"/>
        </w:rPr>
        <w:t>4</w:t>
      </w:r>
      <w:r w:rsidRPr="00F31B8E">
        <w:rPr>
          <w:rFonts w:cs="Arial"/>
        </w:rPr>
        <w:t xml:space="preserve"> remains valid as originally proposed.</w:t>
      </w:r>
      <w:r>
        <w:rPr>
          <w:rFonts w:cs="Arial"/>
        </w:rPr>
        <w:t xml:space="preserve"> However, this assumption will be reviewed on a regular basis as demand for capacity on mobile broadband networks changes. </w:t>
      </w:r>
    </w:p>
    <w:p w14:paraId="66FEC5B7" w14:textId="24775BDB" w:rsidR="00C944ED" w:rsidRPr="00933FBE" w:rsidRDefault="00C944ED" w:rsidP="00933FBE">
      <w:pPr>
        <w:pStyle w:val="Heading2"/>
      </w:pPr>
      <w:bookmarkStart w:id="110" w:name="_Ref424722952"/>
      <w:bookmarkStart w:id="111" w:name="_Toc425928811"/>
      <w:bookmarkStart w:id="112" w:name="_Toc426094327"/>
      <w:bookmarkStart w:id="113" w:name="_Toc441074828"/>
      <w:bookmarkStart w:id="114" w:name="_Toc443910679"/>
      <w:r w:rsidRPr="00933FBE">
        <w:t>Timeline for technology growth and spectrum availability</w:t>
      </w:r>
      <w:bookmarkEnd w:id="110"/>
      <w:bookmarkEnd w:id="111"/>
      <w:bookmarkEnd w:id="112"/>
      <w:bookmarkEnd w:id="113"/>
      <w:bookmarkEnd w:id="114"/>
    </w:p>
    <w:p w14:paraId="49453550" w14:textId="6B034C34" w:rsidR="00C944ED" w:rsidRDefault="00C944ED" w:rsidP="00C944ED">
      <w:pPr>
        <w:spacing w:after="120"/>
      </w:pPr>
      <w:r>
        <w:t>The</w:t>
      </w:r>
      <w:r w:rsidR="00AC569E">
        <w:t xml:space="preserve"> historic timeline for the identification of spectrum </w:t>
      </w:r>
      <w:r w:rsidR="00933FBE">
        <w:t>(</w:t>
      </w:r>
      <w:r w:rsidR="00AC569E">
        <w:t>both domestic</w:t>
      </w:r>
      <w:r w:rsidR="006C5587">
        <w:t>ally</w:t>
      </w:r>
      <w:r w:rsidR="00AC569E">
        <w:t xml:space="preserve"> and internationally</w:t>
      </w:r>
      <w:r w:rsidR="00933FBE">
        <w:t>)</w:t>
      </w:r>
      <w:r w:rsidR="00AC569E">
        <w:t xml:space="preserve">, and for technology evolution was outlined and discussed in </w:t>
      </w:r>
      <w:r w:rsidR="00AC569E" w:rsidRPr="00F3138B">
        <w:rPr>
          <w:i/>
        </w:rPr>
        <w:t>Beyond 2020</w:t>
      </w:r>
      <w:r w:rsidR="00AC569E">
        <w:t>. The conclusion (Assumption 5) derived from this discussion was</w:t>
      </w:r>
      <w:r>
        <w:t>:</w:t>
      </w:r>
    </w:p>
    <w:p w14:paraId="7F1B2995" w14:textId="77777777" w:rsidR="00C944ED" w:rsidRDefault="00C944ED" w:rsidP="00C944ED">
      <w:pPr>
        <w:ind w:left="709" w:right="583"/>
        <w:rPr>
          <w:i/>
        </w:rPr>
      </w:pPr>
      <w:r w:rsidRPr="00211492">
        <w:rPr>
          <w:i/>
        </w:rPr>
        <w:t>Long lead</w:t>
      </w:r>
      <w:r>
        <w:rPr>
          <w:i/>
        </w:rPr>
        <w:t>-</w:t>
      </w:r>
      <w:r w:rsidRPr="00211492">
        <w:rPr>
          <w:i/>
        </w:rPr>
        <w:t xml:space="preserve">times will </w:t>
      </w:r>
      <w:r>
        <w:rPr>
          <w:i/>
        </w:rPr>
        <w:t xml:space="preserve">often </w:t>
      </w:r>
      <w:r w:rsidRPr="00211492">
        <w:rPr>
          <w:i/>
        </w:rPr>
        <w:t>remain for making additional spectrum available domestically for mobile broadband due to the timeframes for mobile broadband technology development and standardisation, international spectrum harmonisation and the do</w:t>
      </w:r>
      <w:r>
        <w:rPr>
          <w:i/>
        </w:rPr>
        <w:t xml:space="preserve">mestic re-farming of spectrum. </w:t>
      </w:r>
    </w:p>
    <w:p w14:paraId="4C235864" w14:textId="31737C79" w:rsidR="00AC569E" w:rsidRPr="001B5B98" w:rsidRDefault="00AC569E" w:rsidP="009A025A">
      <w:r>
        <w:t>Most</w:t>
      </w:r>
      <w:r w:rsidR="0065224C">
        <w:t xml:space="preserve"> submissions concurred with</w:t>
      </w:r>
      <w:r>
        <w:t xml:space="preserve"> Assumption 5. However, some submissions noted that there were opportunities for improvement in this area. AMTA noted that </w:t>
      </w:r>
      <w:r w:rsidR="00B51954" w:rsidRPr="001B5B98">
        <w:t xml:space="preserve">reforms that emerge from the Spectrum Review should cause the ACMA to reconsider its current working assumptions. </w:t>
      </w:r>
      <w:r>
        <w:t>They noted, f</w:t>
      </w:r>
      <w:r w:rsidR="00B51954" w:rsidRPr="001B5B98">
        <w:t xml:space="preserve">or instance, </w:t>
      </w:r>
      <w:r>
        <w:t xml:space="preserve">that </w:t>
      </w:r>
      <w:r w:rsidR="00B51954" w:rsidRPr="001B5B98">
        <w:t xml:space="preserve">long lead-times for </w:t>
      </w:r>
      <w:r w:rsidR="006C5587">
        <w:t xml:space="preserve">allocating </w:t>
      </w:r>
      <w:r w:rsidR="00B51954" w:rsidRPr="001B5B98">
        <w:t>spectrum to its highest value use have become a function of the existing spectrum management framework and licensing system</w:t>
      </w:r>
      <w:r w:rsidR="006C5587">
        <w:t>. AMTA</w:t>
      </w:r>
      <w:r>
        <w:t xml:space="preserve"> </w:t>
      </w:r>
      <w:r w:rsidR="00B51954" w:rsidRPr="001B5B98">
        <w:t>argued that the existing spectrum management framework should be reformed to ensure the allocation of spectrum to its highest value use is achieved in the most efficient and timely way possible.</w:t>
      </w:r>
      <w:r>
        <w:t xml:space="preserve"> </w:t>
      </w:r>
      <w:r w:rsidRPr="001B5B98">
        <w:t>Optus</w:t>
      </w:r>
      <w:r>
        <w:t xml:space="preserve"> also noted that</w:t>
      </w:r>
      <w:r w:rsidRPr="001B5B98">
        <w:t xml:space="preserve"> opportunities to streamline historic long lead</w:t>
      </w:r>
      <w:r>
        <w:t>-</w:t>
      </w:r>
      <w:r w:rsidRPr="001B5B98">
        <w:t>time</w:t>
      </w:r>
      <w:r>
        <w:t>s</w:t>
      </w:r>
      <w:r w:rsidRPr="001B5B98">
        <w:t xml:space="preserve"> for spectrum allocation decisions need to be considered</w:t>
      </w:r>
      <w:r w:rsidR="00B8590B">
        <w:t>.</w:t>
      </w:r>
    </w:p>
    <w:p w14:paraId="06388881" w14:textId="788F5C73" w:rsidR="00C5560D" w:rsidRDefault="00C5560D" w:rsidP="009A025A">
      <w:r>
        <w:t>Telstra noted that given the long lead</w:t>
      </w:r>
      <w:r w:rsidR="009A025A">
        <w:t>-</w:t>
      </w:r>
      <w:r>
        <w:t>times to identify and harmonise spectrum within the ITU framework, and noting the need to give incumbents adequate time to migrate to alternative delivery options before spectrum is re-farmed, it is critical that potential spectrum options are identified and explored as early as possible. They expressed concern regarding a lack of sense of priority and urgency, stating that Australia cannot afford to take a ‘wait and see’ approach to mobile broadband spectrum if it seeks to remain a leading regional (and global) economy offering a competitive environment for new investment and services.</w:t>
      </w:r>
    </w:p>
    <w:p w14:paraId="44A8C491" w14:textId="15655A31" w:rsidR="00961A9E" w:rsidRDefault="004D1193" w:rsidP="009A025A">
      <w:r>
        <w:t>Conversely</w:t>
      </w:r>
      <w:r w:rsidR="00C5560D">
        <w:t xml:space="preserve">, GVF highlighted the importance of </w:t>
      </w:r>
      <w:r w:rsidR="00703232" w:rsidRPr="001B5B98">
        <w:t xml:space="preserve">long lead-times to other users of spectrum, </w:t>
      </w:r>
      <w:r w:rsidR="00C5560D">
        <w:t xml:space="preserve">in particular </w:t>
      </w:r>
      <w:r w:rsidR="00703232" w:rsidRPr="001B5B98">
        <w:t>the satellite industry.</w:t>
      </w:r>
      <w:r>
        <w:t xml:space="preserve"> GVF noted that t</w:t>
      </w:r>
      <w:r w:rsidR="00703232" w:rsidRPr="001B5B98">
        <w:t xml:space="preserve">here is a need for regulatory certainty in frequency bands allocated to satellite services, and the identification of a band </w:t>
      </w:r>
      <w:r w:rsidR="009A025A">
        <w:t>that</w:t>
      </w:r>
      <w:r w:rsidR="009A025A" w:rsidRPr="001B5B98">
        <w:t xml:space="preserve"> </w:t>
      </w:r>
      <w:r w:rsidR="00703232" w:rsidRPr="001B5B98">
        <w:t>is available for satellite services as a potential band for mobile broadband services</w:t>
      </w:r>
      <w:r w:rsidR="009A025A">
        <w:t>,</w:t>
      </w:r>
      <w:r w:rsidR="00703232" w:rsidRPr="001B5B98">
        <w:t xml:space="preserve"> undermines that regulatory certainty and the investments made by operators and users of satellite services. </w:t>
      </w:r>
      <w:r w:rsidR="00961A9E">
        <w:t>Inmarsat</w:t>
      </w:r>
      <w:r w:rsidR="00C5560D">
        <w:t xml:space="preserve"> agreed, stating that e</w:t>
      </w:r>
      <w:r w:rsidR="00961A9E" w:rsidRPr="001B5B98">
        <w:t>ven a very preliminary identification of some satellite bands for terrestrial mobile applications can instigate uncertainty for operators and customers, undermine the long</w:t>
      </w:r>
      <w:r w:rsidR="009A025A">
        <w:t>-</w:t>
      </w:r>
      <w:r w:rsidR="00961A9E" w:rsidRPr="001B5B98">
        <w:t>term investments required by satellite operators and their customers, and thereby increase the cost of satellite applications.</w:t>
      </w:r>
    </w:p>
    <w:p w14:paraId="670AC9A4" w14:textId="3BA6458C" w:rsidR="00D20E5B" w:rsidRPr="00582AEE" w:rsidRDefault="009A025A" w:rsidP="009A025A">
      <w:pPr>
        <w:pStyle w:val="Heading3"/>
      </w:pPr>
      <w:bookmarkStart w:id="115" w:name="_Toc443910680"/>
      <w:bookmarkStart w:id="116" w:name="_Ref423944844"/>
      <w:bookmarkStart w:id="117" w:name="_Toc425928812"/>
      <w:bookmarkStart w:id="118" w:name="_Toc426094328"/>
      <w:bookmarkStart w:id="119" w:name="_Toc441074829"/>
      <w:r>
        <w:t xml:space="preserve">The </w:t>
      </w:r>
      <w:r w:rsidR="00D20E5B" w:rsidRPr="00787E49">
        <w:t>ACMA</w:t>
      </w:r>
      <w:r>
        <w:t>’s</w:t>
      </w:r>
      <w:r w:rsidR="00D20E5B" w:rsidRPr="00787E49">
        <w:t xml:space="preserve"> response to comments</w:t>
      </w:r>
      <w:r w:rsidR="00D20E5B" w:rsidRPr="00582AEE">
        <w:t xml:space="preserve"> regarding </w:t>
      </w:r>
      <w:r w:rsidR="00D20E5B">
        <w:t>Assumption 5</w:t>
      </w:r>
      <w:bookmarkEnd w:id="115"/>
    </w:p>
    <w:p w14:paraId="23E68AEC" w14:textId="6C41CC09" w:rsidR="00D20E5B" w:rsidRDefault="00D20E5B" w:rsidP="009A025A">
      <w:r>
        <w:t xml:space="preserve">The ACMA notes that while there are potentially improvements to be made to streamline spectrum allocation decisions, any changes to the duration of spectrum management allocation processes need to be balanced with the needs of incumbent users. </w:t>
      </w:r>
      <w:r w:rsidR="00E878F4">
        <w:t xml:space="preserve">For example, in devising policies regarding the duration and renewal rights of licences under the </w:t>
      </w:r>
      <w:r w:rsidR="00C36BE3">
        <w:t xml:space="preserve">anticipated </w:t>
      </w:r>
      <w:r w:rsidR="00E878F4">
        <w:t xml:space="preserve">new legislation, the regulator (and the </w:t>
      </w:r>
      <w:r w:rsidR="009A025A">
        <w:t>m</w:t>
      </w:r>
      <w:r w:rsidR="00E878F4">
        <w:t xml:space="preserve">inister) </w:t>
      </w:r>
      <w:r w:rsidR="00C36BE3">
        <w:t>may</w:t>
      </w:r>
      <w:r w:rsidR="00E878F4">
        <w:t xml:space="preserve"> need to balance </w:t>
      </w:r>
      <w:r w:rsidR="00C36BE3">
        <w:t xml:space="preserve">the </w:t>
      </w:r>
      <w:r w:rsidR="00E878F4">
        <w:t>competing considerations</w:t>
      </w:r>
      <w:r w:rsidR="00C36BE3">
        <w:t xml:space="preserve"> of increased certainty for existing incumbent licensees and maximum flexibility for the planner to replan and reallocate spectrum. The scope for streamlining allocation process is expected to be an issue when the ACMA reviews the broadband strategy following </w:t>
      </w:r>
      <w:r w:rsidR="005739A2">
        <w:t>the implementation of the r</w:t>
      </w:r>
      <w:r w:rsidR="00DB34E4">
        <w:t>ecommendations of the Spectrum R</w:t>
      </w:r>
      <w:r w:rsidR="005739A2">
        <w:t>eview</w:t>
      </w:r>
      <w:r w:rsidR="00C36BE3">
        <w:t xml:space="preserve">. </w:t>
      </w:r>
    </w:p>
    <w:p w14:paraId="1C7970A6" w14:textId="62319B7B" w:rsidR="006567C6" w:rsidRDefault="00E878F4" w:rsidP="009A025A">
      <w:r>
        <w:t>E</w:t>
      </w:r>
      <w:r w:rsidR="00D20E5B">
        <w:t xml:space="preserve">xternal processes outside of the control of the ACMA contribute significantly to the often long lead-times for making spectrum available. This includes </w:t>
      </w:r>
      <w:r w:rsidR="006567C6">
        <w:t xml:space="preserve">timeframes for spectrum harmonisation, technology standardisation and device ecosystem development. </w:t>
      </w:r>
    </w:p>
    <w:p w14:paraId="45AA0118" w14:textId="2E96FDCE" w:rsidR="00D20E5B" w:rsidRDefault="006567C6" w:rsidP="009A025A">
      <w:r>
        <w:t>Through e</w:t>
      </w:r>
      <w:r w:rsidRPr="006567C6">
        <w:t>ngagement in international deliberations</w:t>
      </w:r>
      <w:r>
        <w:t xml:space="preserve">, as noted in Strategy 5, Australia can influence international deliberations early to ensure development of </w:t>
      </w:r>
      <w:r w:rsidRPr="006567C6">
        <w:t>domestically suitable internationally harmonised spectrum options</w:t>
      </w:r>
      <w:r>
        <w:t xml:space="preserve">. </w:t>
      </w:r>
      <w:r w:rsidR="00006FB3">
        <w:t>In addition</w:t>
      </w:r>
      <w:r>
        <w:t xml:space="preserve">, </w:t>
      </w:r>
      <w:r w:rsidR="00006FB3">
        <w:t xml:space="preserve">by </w:t>
      </w:r>
      <w:r>
        <w:t xml:space="preserve">undertaking domestic consideration in parallel with international deliberations where feasible, there may be opportunities </w:t>
      </w:r>
      <w:r w:rsidR="00847674">
        <w:t>t</w:t>
      </w:r>
      <w:r>
        <w:t xml:space="preserve">o shorten lead-times. </w:t>
      </w:r>
    </w:p>
    <w:p w14:paraId="68A5E73A" w14:textId="4AC2D680" w:rsidR="004D49B4" w:rsidRPr="001B5B98" w:rsidRDefault="004D49B4" w:rsidP="009A025A">
      <w:pPr>
        <w:rPr>
          <w:szCs w:val="20"/>
        </w:rPr>
      </w:pPr>
      <w:r w:rsidRPr="00F31B8E">
        <w:t xml:space="preserve">Overall, the ACMA maintains that Assumption </w:t>
      </w:r>
      <w:r>
        <w:t>5</w:t>
      </w:r>
      <w:r w:rsidRPr="00F31B8E">
        <w:t xml:space="preserve"> remains valid as originally proposed.</w:t>
      </w:r>
      <w:r>
        <w:t xml:space="preserve"> </w:t>
      </w:r>
    </w:p>
    <w:p w14:paraId="24027A98" w14:textId="77777777" w:rsidR="00C944ED" w:rsidRPr="009A025A" w:rsidRDefault="00C944ED" w:rsidP="009A025A">
      <w:pPr>
        <w:pStyle w:val="Heading2"/>
      </w:pPr>
      <w:bookmarkStart w:id="120" w:name="_Toc443910681"/>
      <w:r w:rsidRPr="009A025A">
        <w:t>Implications for other spectrum users</w:t>
      </w:r>
      <w:bookmarkEnd w:id="116"/>
      <w:bookmarkEnd w:id="117"/>
      <w:bookmarkEnd w:id="118"/>
      <w:bookmarkEnd w:id="119"/>
      <w:bookmarkEnd w:id="120"/>
    </w:p>
    <w:p w14:paraId="19DF0830" w14:textId="44782082" w:rsidR="00C944ED" w:rsidRDefault="004D1193" w:rsidP="00C944ED">
      <w:pPr>
        <w:spacing w:after="120"/>
      </w:pPr>
      <w:r>
        <w:t xml:space="preserve">The implications and potential impact of spectrum management decisions in support of the growth in mobile broadband services on other spectrum users was discussed in </w:t>
      </w:r>
      <w:r w:rsidRPr="00F3138B">
        <w:rPr>
          <w:i/>
        </w:rPr>
        <w:t>Beyond 2020</w:t>
      </w:r>
      <w:r>
        <w:t xml:space="preserve">. The </w:t>
      </w:r>
      <w:r w:rsidR="00C944ED">
        <w:t>conclusion</w:t>
      </w:r>
      <w:r>
        <w:t xml:space="preserve"> derived </w:t>
      </w:r>
      <w:r w:rsidR="00C944ED">
        <w:t>from this discussion</w:t>
      </w:r>
      <w:r>
        <w:t xml:space="preserve"> (Assumption 6) was</w:t>
      </w:r>
      <w:r w:rsidR="00C944ED">
        <w:t>:</w:t>
      </w:r>
    </w:p>
    <w:p w14:paraId="1C49E0FF" w14:textId="77777777" w:rsidR="00C944ED" w:rsidRPr="00E14FB8" w:rsidRDefault="00C944ED" w:rsidP="00C944ED">
      <w:pPr>
        <w:ind w:left="709" w:right="583"/>
        <w:rPr>
          <w:i/>
        </w:rPr>
      </w:pPr>
      <w:r w:rsidRPr="00211492">
        <w:rPr>
          <w:i/>
        </w:rPr>
        <w:t>Spectrum will continue to be a key enabler for many other, non-mobile broadband, services that provide economic and societal benefits to Australia. The associated requirement for spectrum to enable these services will continue but may vary over time.</w:t>
      </w:r>
      <w:r>
        <w:rPr>
          <w:i/>
        </w:rPr>
        <w:t xml:space="preserve"> </w:t>
      </w:r>
    </w:p>
    <w:p w14:paraId="3F3589C2" w14:textId="4F83E9FA" w:rsidR="00B71823" w:rsidRPr="00413029" w:rsidRDefault="009E3E28" w:rsidP="009A025A">
      <w:r w:rsidRPr="00413029">
        <w:t xml:space="preserve">Most submissions agreed with </w:t>
      </w:r>
      <w:r w:rsidR="00413029" w:rsidRPr="00413029">
        <w:t>Assumption 6</w:t>
      </w:r>
      <w:r w:rsidR="009A025A">
        <w:t>,</w:t>
      </w:r>
      <w:r w:rsidR="00413029" w:rsidRPr="00413029">
        <w:t xml:space="preserve"> and in many cases</w:t>
      </w:r>
      <w:r w:rsidR="009A025A">
        <w:t>,</w:t>
      </w:r>
      <w:r w:rsidR="00413029" w:rsidRPr="00413029">
        <w:t xml:space="preserve"> argued that the</w:t>
      </w:r>
      <w:r w:rsidR="006C5587">
        <w:t>ir spectrum dependent</w:t>
      </w:r>
      <w:r w:rsidR="00413029" w:rsidRPr="00413029">
        <w:t xml:space="preserve"> services would continue to deliver </w:t>
      </w:r>
      <w:r w:rsidR="00B71823" w:rsidRPr="00413029">
        <w:t>high societal</w:t>
      </w:r>
      <w:r w:rsidR="00413029" w:rsidRPr="00413029">
        <w:t xml:space="preserve"> and economic</w:t>
      </w:r>
      <w:r w:rsidR="00B71823" w:rsidRPr="00413029">
        <w:t xml:space="preserve"> benefit</w:t>
      </w:r>
      <w:r w:rsidR="006C5587">
        <w:t>s</w:t>
      </w:r>
      <w:r w:rsidR="00413029" w:rsidRPr="00413029">
        <w:t xml:space="preserve">. Inmarsat noted that </w:t>
      </w:r>
      <w:r w:rsidR="00B71823" w:rsidRPr="00413029">
        <w:t xml:space="preserve">for many satellite applications, there are no practical alternative frequency bands. Consequently, </w:t>
      </w:r>
      <w:r w:rsidR="008A6F20">
        <w:t xml:space="preserve">Inmarsat believe </w:t>
      </w:r>
      <w:r w:rsidR="00B71823" w:rsidRPr="00413029">
        <w:t xml:space="preserve">it is important that regulators make decisions </w:t>
      </w:r>
      <w:r w:rsidR="009A025A">
        <w:t>that</w:t>
      </w:r>
      <w:r w:rsidR="009A025A" w:rsidRPr="00413029">
        <w:t xml:space="preserve"> </w:t>
      </w:r>
      <w:r w:rsidR="00B71823" w:rsidRPr="00413029">
        <w:t xml:space="preserve">maintain the ability to operate satellite systems throughout the world. </w:t>
      </w:r>
      <w:r w:rsidR="00413029" w:rsidRPr="00413029">
        <w:t>Inmarsat believes</w:t>
      </w:r>
      <w:r w:rsidR="00B71823" w:rsidRPr="00413029">
        <w:t xml:space="preserve"> </w:t>
      </w:r>
      <w:r w:rsidR="00413029" w:rsidRPr="00413029">
        <w:t>i</w:t>
      </w:r>
      <w:r w:rsidR="00B71823" w:rsidRPr="00413029">
        <w:t xml:space="preserve">t is sometimes necessary for regulators to refrain from deploying terrestrial services in a particular band, even if that is considered to provide a higher value when viewed on a national basis. </w:t>
      </w:r>
    </w:p>
    <w:p w14:paraId="1EBA3015" w14:textId="1F2978BC" w:rsidR="00660121" w:rsidRDefault="00660121" w:rsidP="009A025A">
      <w:r>
        <w:t>Telstra</w:t>
      </w:r>
      <w:r w:rsidR="00413029">
        <w:t xml:space="preserve"> highlighted t</w:t>
      </w:r>
      <w:r>
        <w:t>he challenge of moving incumbents will only increase as more bands</w:t>
      </w:r>
      <w:r w:rsidR="009A025A">
        <w:t>,</w:t>
      </w:r>
      <w:r>
        <w:t xml:space="preserve"> which are already heavily utilised</w:t>
      </w:r>
      <w:r w:rsidR="009A025A">
        <w:t>,</w:t>
      </w:r>
      <w:r>
        <w:t xml:space="preserve"> are considered for mobile broadband use.</w:t>
      </w:r>
    </w:p>
    <w:p w14:paraId="145071D5" w14:textId="05268DC0" w:rsidR="00660121" w:rsidRDefault="00660121" w:rsidP="009A025A">
      <w:r>
        <w:t>T</w:t>
      </w:r>
      <w:r w:rsidR="00413029">
        <w:t>elstra noted that t</w:t>
      </w:r>
      <w:r>
        <w:t xml:space="preserve">he current government review of the spectrum management framework provides a timely opportunity to address this problem. The proposals in the </w:t>
      </w:r>
      <w:r w:rsidR="009A025A">
        <w:t>R</w:t>
      </w:r>
      <w:r>
        <w:t xml:space="preserve">eview to move towards a more unified and liberalised </w:t>
      </w:r>
      <w:r w:rsidR="002B7174">
        <w:t>spectrum-licensing</w:t>
      </w:r>
      <w:r>
        <w:t xml:space="preserve"> regime, including a greater use of market forces, should assist in creating commercial incentives for incumbents to change their use of spectrum. In situations where the government continues to reallocate spectrum, Telstra believes it is only reasonable that incumbents should either be offered compensation for the costs incurred, or given incumbency rights for a period of time during which they have the option of negotiating a commercial arrangement with the new owner (to either exit early or extend their tenure).</w:t>
      </w:r>
    </w:p>
    <w:p w14:paraId="62F81DDB" w14:textId="54AD101F" w:rsidR="00413029" w:rsidRPr="00582AEE" w:rsidRDefault="009A025A" w:rsidP="009A025A">
      <w:pPr>
        <w:pStyle w:val="Heading3"/>
      </w:pPr>
      <w:bookmarkStart w:id="121" w:name="_Toc443910682"/>
      <w:r>
        <w:t xml:space="preserve">The </w:t>
      </w:r>
      <w:r w:rsidR="00413029" w:rsidRPr="00787E49">
        <w:t>ACMA</w:t>
      </w:r>
      <w:r>
        <w:t>’s</w:t>
      </w:r>
      <w:r w:rsidR="00413029" w:rsidRPr="00787E49">
        <w:t xml:space="preserve"> response to comments</w:t>
      </w:r>
      <w:r w:rsidR="00413029" w:rsidRPr="00582AEE">
        <w:t xml:space="preserve"> regarding </w:t>
      </w:r>
      <w:r w:rsidR="00413029">
        <w:t>Assumption 6</w:t>
      </w:r>
      <w:bookmarkEnd w:id="121"/>
    </w:p>
    <w:p w14:paraId="5E39667D" w14:textId="1A17A63D" w:rsidR="004D49B4" w:rsidRDefault="008A6F20" w:rsidP="009A025A">
      <w:r w:rsidRPr="008A6F20">
        <w:t xml:space="preserve">The ACMA notes the general agreement with Assumption 6. </w:t>
      </w:r>
      <w:r w:rsidR="00DC0661">
        <w:t xml:space="preserve">This highlights the importance of taking into account </w:t>
      </w:r>
      <w:r w:rsidR="00460698">
        <w:t xml:space="preserve">existing services that use </w:t>
      </w:r>
      <w:r w:rsidR="00DC0661">
        <w:t xml:space="preserve">spectrum </w:t>
      </w:r>
      <w:r w:rsidR="00460698">
        <w:t>when deriving the</w:t>
      </w:r>
      <w:r w:rsidR="00DC0661">
        <w:t xml:space="preserve"> highest value use of a band. </w:t>
      </w:r>
      <w:r w:rsidR="00460698">
        <w:t>A</w:t>
      </w:r>
      <w:r w:rsidR="00DC0661">
        <w:t xml:space="preserve">lthough international considerations will be factored into such assessments, </w:t>
      </w:r>
      <w:r w:rsidR="00460698">
        <w:t xml:space="preserve">the </w:t>
      </w:r>
      <w:r w:rsidR="00DC0661">
        <w:t xml:space="preserve">highest value use </w:t>
      </w:r>
      <w:r w:rsidR="00460698">
        <w:t xml:space="preserve">as seen </w:t>
      </w:r>
      <w:r w:rsidR="00DC0661">
        <w:t>on a national basis is the</w:t>
      </w:r>
      <w:r w:rsidR="00460698">
        <w:t xml:space="preserve"> key </w:t>
      </w:r>
      <w:r w:rsidR="006567C6">
        <w:t>consideration</w:t>
      </w:r>
      <w:r w:rsidR="00DC0661">
        <w:t xml:space="preserve">. </w:t>
      </w:r>
    </w:p>
    <w:p w14:paraId="5E9D322D" w14:textId="5942D89F" w:rsidR="008A6F20" w:rsidRPr="004D49B4" w:rsidRDefault="004D49B4" w:rsidP="009A025A">
      <w:r w:rsidRPr="00F31B8E">
        <w:t xml:space="preserve">Overall, the ACMA maintains that Assumption </w:t>
      </w:r>
      <w:r>
        <w:t>6</w:t>
      </w:r>
      <w:r w:rsidRPr="00F31B8E">
        <w:t xml:space="preserve"> remains valid as originally proposed.</w:t>
      </w:r>
      <w:r>
        <w:t xml:space="preserve"> </w:t>
      </w:r>
    </w:p>
    <w:p w14:paraId="498A1E4F" w14:textId="703C9C55" w:rsidR="00C13F23" w:rsidRPr="00392FA8" w:rsidRDefault="00C944ED" w:rsidP="009A025A">
      <w:pPr>
        <w:pStyle w:val="Heading2"/>
      </w:pPr>
      <w:bookmarkStart w:id="122" w:name="_Toc441074830"/>
      <w:bookmarkStart w:id="123" w:name="_Toc443910683"/>
      <w:r w:rsidRPr="009A025A">
        <w:t xml:space="preserve">Addressing mobile </w:t>
      </w:r>
      <w:r w:rsidRPr="00392FA8">
        <w:t>broadband capacity growth</w:t>
      </w:r>
      <w:bookmarkEnd w:id="122"/>
      <w:bookmarkEnd w:id="123"/>
    </w:p>
    <w:p w14:paraId="0B1AB8F2" w14:textId="6071BEF9" w:rsidR="00465F1A" w:rsidRDefault="00465F1A" w:rsidP="003217F8">
      <w:r>
        <w:t xml:space="preserve">In </w:t>
      </w:r>
      <w:r w:rsidRPr="00F3138B">
        <w:rPr>
          <w:i/>
        </w:rPr>
        <w:t>Beyond 2020</w:t>
      </w:r>
      <w:r>
        <w:t xml:space="preserve">, the three partially substitutable factors that enable increases </w:t>
      </w:r>
      <w:r w:rsidRPr="001703B7">
        <w:t>in mobile broadband capacity</w:t>
      </w:r>
      <w:r>
        <w:t xml:space="preserve"> were outlined. </w:t>
      </w:r>
    </w:p>
    <w:p w14:paraId="30A72773" w14:textId="0CA27EC9" w:rsidR="00376BB9" w:rsidRDefault="00465F1A" w:rsidP="003217F8">
      <w:r>
        <w:t>Optus agreed, as</w:t>
      </w:r>
      <w:r w:rsidR="00376BB9" w:rsidRPr="00376BB9">
        <w:t xml:space="preserve"> suggested in the </w:t>
      </w:r>
      <w:r w:rsidR="003217F8">
        <w:t>d</w:t>
      </w:r>
      <w:r w:rsidR="00376BB9" w:rsidRPr="00376BB9">
        <w:t xml:space="preserve">iscussion </w:t>
      </w:r>
      <w:r w:rsidR="003217F8">
        <w:t>p</w:t>
      </w:r>
      <w:r w:rsidR="00376BB9" w:rsidRPr="00376BB9">
        <w:t xml:space="preserve">aper, </w:t>
      </w:r>
      <w:r>
        <w:t xml:space="preserve">that </w:t>
      </w:r>
      <w:r w:rsidR="00376BB9" w:rsidRPr="00376BB9">
        <w:t>addressing growth in capacity for mobile broadband is the responsibility of industry and the ACMA.</w:t>
      </w:r>
      <w:r>
        <w:t xml:space="preserve"> </w:t>
      </w:r>
      <w:r w:rsidR="00376BB9">
        <w:t>Optus</w:t>
      </w:r>
      <w:r>
        <w:t xml:space="preserve"> noted, h</w:t>
      </w:r>
      <w:r w:rsidR="00376BB9" w:rsidRPr="00376BB9">
        <w:t>owever</w:t>
      </w:r>
      <w:r>
        <w:t>, that</w:t>
      </w:r>
      <w:r w:rsidR="00376BB9" w:rsidRPr="00376BB9">
        <w:t xml:space="preserve"> some levers for addressing mobile broadband capacity growth should remain in the domain of MNOs. </w:t>
      </w:r>
      <w:r w:rsidR="003217F8">
        <w:t>These include</w:t>
      </w:r>
      <w:r w:rsidR="00376BB9" w:rsidRPr="00376BB9">
        <w:t xml:space="preserve"> how and when spectrum is used, technologies used to improve spectral efficiency and the deployment of appropriate network infrastructure.</w:t>
      </w:r>
    </w:p>
    <w:p w14:paraId="05EF4B08" w14:textId="38CE3B16" w:rsidR="00376BB9" w:rsidRPr="00376BB9" w:rsidRDefault="00465F1A" w:rsidP="003217F8">
      <w:r>
        <w:t>Optus also noted that</w:t>
      </w:r>
      <w:r w:rsidR="00376BB9">
        <w:t xml:space="preserve"> </w:t>
      </w:r>
      <w:r w:rsidR="00376BB9" w:rsidRPr="00465F1A">
        <w:t xml:space="preserve">Australian MNOs have led the world in employing spectrally efficient techniques </w:t>
      </w:r>
      <w:r w:rsidR="003217F8">
        <w:t>(</w:t>
      </w:r>
      <w:r w:rsidR="00376BB9" w:rsidRPr="00465F1A">
        <w:t>such as spectrum re-farming</w:t>
      </w:r>
      <w:r w:rsidR="003217F8">
        <w:t>)</w:t>
      </w:r>
      <w:r w:rsidR="003217F8" w:rsidRPr="00465F1A">
        <w:t xml:space="preserve"> </w:t>
      </w:r>
      <w:r w:rsidR="00376BB9" w:rsidRPr="00465F1A">
        <w:t>that occurred because of business drivers to maximise the utility of their spectrum investments, not regulatory incentive</w:t>
      </w:r>
      <w:r w:rsidR="003217F8">
        <w:t>s</w:t>
      </w:r>
      <w:r w:rsidR="00376BB9" w:rsidRPr="00465F1A">
        <w:t>.</w:t>
      </w:r>
      <w:r>
        <w:t xml:space="preserve"> They stated that o</w:t>
      </w:r>
      <w:r w:rsidR="00376BB9" w:rsidRPr="00465F1A">
        <w:t>ver time, spectrum re-farming and increasingly spectrally efficient technologies mean that mobile networks gradually improve their average spectral efficiency.</w:t>
      </w:r>
      <w:r>
        <w:t xml:space="preserve"> However, Optus pointed out that </w:t>
      </w:r>
      <w:r w:rsidR="00376BB9" w:rsidRPr="00465F1A">
        <w:t>spectral efficiency for an entire network is lower than spectral efficiency for a high density city ‘hot spot’, as mobile network investment is driven by both capacity and coverage.</w:t>
      </w:r>
    </w:p>
    <w:p w14:paraId="6D06FAF3" w14:textId="77777777" w:rsidR="00C944ED" w:rsidRPr="00C944ED" w:rsidRDefault="00C944ED" w:rsidP="005968F3">
      <w:pPr>
        <w:pStyle w:val="Heading2"/>
      </w:pPr>
      <w:bookmarkStart w:id="124" w:name="_Toc393796136"/>
      <w:bookmarkStart w:id="125" w:name="_Toc425928815"/>
      <w:bookmarkStart w:id="126" w:name="_Toc426094331"/>
      <w:bookmarkStart w:id="127" w:name="_Toc441074832"/>
      <w:bookmarkStart w:id="128" w:name="_Toc443910684"/>
      <w:r w:rsidRPr="00C944ED">
        <w:t>Advances in technology</w:t>
      </w:r>
      <w:bookmarkEnd w:id="124"/>
      <w:bookmarkEnd w:id="125"/>
      <w:bookmarkEnd w:id="126"/>
      <w:bookmarkEnd w:id="127"/>
      <w:bookmarkEnd w:id="128"/>
    </w:p>
    <w:p w14:paraId="3621C9CC" w14:textId="0FFFE2CE" w:rsidR="00E07E6C" w:rsidRPr="00B3332F" w:rsidRDefault="009D2010" w:rsidP="003217F8">
      <w:bookmarkStart w:id="129" w:name="_Toc393796137"/>
      <w:bookmarkStart w:id="130" w:name="_Toc425928818"/>
      <w:bookmarkStart w:id="131" w:name="_Toc426094334"/>
      <w:r>
        <w:t>Numerous</w:t>
      </w:r>
      <w:r w:rsidR="00E07E6C">
        <w:t xml:space="preserve"> recent and potential future technologies were outlined in </w:t>
      </w:r>
      <w:r w:rsidR="00E07E6C" w:rsidRPr="00F3138B">
        <w:rPr>
          <w:i/>
        </w:rPr>
        <w:t>Beyond 2020</w:t>
      </w:r>
      <w:r w:rsidR="00E07E6C">
        <w:t>. Optus noted that n</w:t>
      </w:r>
      <w:r w:rsidR="00E07E6C" w:rsidRPr="00376BB9">
        <w:t xml:space="preserve">ew technology developments </w:t>
      </w:r>
      <w:r w:rsidR="003217F8">
        <w:t>that</w:t>
      </w:r>
      <w:r w:rsidR="003217F8" w:rsidRPr="00376BB9">
        <w:t xml:space="preserve"> </w:t>
      </w:r>
      <w:r w:rsidR="00E07E6C" w:rsidRPr="00376BB9">
        <w:t>do not involve spectrum re-farming, such as 4x4 MIMO, Multi-User MIMO, and higher order modulation such as 256 QAM, also enable operators to ‘eke-out’ more capacity and capability from their existing spectrum assets.</w:t>
      </w:r>
    </w:p>
    <w:p w14:paraId="196C2188" w14:textId="79CF9855" w:rsidR="009135A5" w:rsidRDefault="009D2010" w:rsidP="003217F8">
      <w:r>
        <w:t>Mississippi</w:t>
      </w:r>
      <w:r w:rsidR="00E07E6C">
        <w:t xml:space="preserve"> Consulting felt that the paper focused too much on </w:t>
      </w:r>
      <w:r w:rsidR="00B3332F">
        <w:t xml:space="preserve">highlighting potential </w:t>
      </w:r>
      <w:r w:rsidR="00B3332F" w:rsidRPr="004C27AD">
        <w:t xml:space="preserve">improvements in current </w:t>
      </w:r>
      <w:r w:rsidR="00B3332F" w:rsidRPr="00B3332F">
        <w:t>3G</w:t>
      </w:r>
      <w:r w:rsidR="00B3332F" w:rsidRPr="004C27AD">
        <w:t xml:space="preserve"> and </w:t>
      </w:r>
      <w:r w:rsidR="00B3332F" w:rsidRPr="00B3332F">
        <w:t>4G</w:t>
      </w:r>
      <w:r w:rsidR="00B3332F" w:rsidRPr="004C27AD">
        <w:t xml:space="preserve"> mobile broadband deployments</w:t>
      </w:r>
      <w:r w:rsidR="00E07E6C">
        <w:t xml:space="preserve"> and more attention should have been given to </w:t>
      </w:r>
      <w:r w:rsidR="009135A5" w:rsidRPr="00E07E6C">
        <w:t>5G</w:t>
      </w:r>
      <w:r w:rsidR="00E07E6C" w:rsidRPr="00E07E6C">
        <w:t xml:space="preserve">. </w:t>
      </w:r>
    </w:p>
    <w:p w14:paraId="15A4F16C" w14:textId="77777777" w:rsidR="00C944ED" w:rsidRDefault="00C944ED" w:rsidP="005968F3">
      <w:pPr>
        <w:pStyle w:val="Heading2"/>
      </w:pPr>
      <w:bookmarkStart w:id="132" w:name="_Toc441074833"/>
      <w:bookmarkStart w:id="133" w:name="_Toc443910685"/>
      <w:r w:rsidRPr="00C944ED">
        <w:t>Network infrastructure and topology</w:t>
      </w:r>
      <w:bookmarkEnd w:id="129"/>
      <w:bookmarkEnd w:id="130"/>
      <w:bookmarkEnd w:id="131"/>
      <w:bookmarkEnd w:id="132"/>
      <w:bookmarkEnd w:id="133"/>
      <w:r w:rsidRPr="00C944ED">
        <w:t xml:space="preserve"> </w:t>
      </w:r>
    </w:p>
    <w:p w14:paraId="671BDC32" w14:textId="08025A42" w:rsidR="00E07E6C" w:rsidRDefault="00E07E6C" w:rsidP="003217F8">
      <w:r w:rsidRPr="00E07E6C">
        <w:t>The trade-off between spectrum and infrastructure</w:t>
      </w:r>
      <w:r w:rsidR="003217F8">
        <w:t>,</w:t>
      </w:r>
      <w:r w:rsidRPr="00E07E6C">
        <w:t xml:space="preserve"> and the </w:t>
      </w:r>
      <w:r>
        <w:t>mechanisms that can be employed to utilise infrastructure and topology to address the growth in demand for mobile broadband capacity</w:t>
      </w:r>
      <w:r w:rsidR="003217F8">
        <w:t>,</w:t>
      </w:r>
      <w:r>
        <w:t xml:space="preserve"> were outlined in </w:t>
      </w:r>
      <w:r w:rsidRPr="00F3138B">
        <w:rPr>
          <w:i/>
        </w:rPr>
        <w:t>Beyond 2020</w:t>
      </w:r>
      <w:r>
        <w:t xml:space="preserve">. </w:t>
      </w:r>
    </w:p>
    <w:p w14:paraId="2AD035DC" w14:textId="785580D4" w:rsidR="000C3C11" w:rsidRPr="000C3C11" w:rsidRDefault="00E07E6C" w:rsidP="00392FA8">
      <w:r>
        <w:t xml:space="preserve">A number of respondents, including </w:t>
      </w:r>
      <w:r w:rsidR="00BB7F7F" w:rsidRPr="00E07E6C">
        <w:t>Telstra</w:t>
      </w:r>
      <w:r w:rsidRPr="00E07E6C">
        <w:t>, felt that t</w:t>
      </w:r>
      <w:r w:rsidR="000C3C11" w:rsidRPr="00E07E6C">
        <w:t>he discussion paper overlook</w:t>
      </w:r>
      <w:r w:rsidRPr="00E07E6C">
        <w:t>ed</w:t>
      </w:r>
      <w:r w:rsidR="000C3C11" w:rsidRPr="00E07E6C">
        <w:t xml:space="preserve"> the increasing level of community concern associated with the deployment of new mobile base station sites and infrastructure. </w:t>
      </w:r>
      <w:r>
        <w:t>They noted that n</w:t>
      </w:r>
      <w:r w:rsidR="000C3C11" w:rsidRPr="00E07E6C">
        <w:t>etwork operators in Australia (and those in many other countries) are finding that obtaining the necessary approvals for construction of additional base</w:t>
      </w:r>
      <w:r w:rsidR="003217F8">
        <w:t xml:space="preserve"> </w:t>
      </w:r>
      <w:r w:rsidR="000C3C11" w:rsidRPr="00E07E6C">
        <w:t xml:space="preserve">stations to increase coverage and capacity, is becoming increasingly difficult and costly. For this reason, </w:t>
      </w:r>
      <w:r>
        <w:t xml:space="preserve">Telstra stated that </w:t>
      </w:r>
      <w:r w:rsidR="000C3C11" w:rsidRPr="00E07E6C">
        <w:t>network densification is not always a viable option to address the growth in demand for mobile broadband capacity</w:t>
      </w:r>
      <w:r>
        <w:t xml:space="preserve"> and noted that t</w:t>
      </w:r>
      <w:r w:rsidR="000C3C11" w:rsidRPr="00E07E6C">
        <w:t>his factor needs to be taken into account as part of any ACMA assessment into the need for additional mobile broadband spectrum resources.</w:t>
      </w:r>
    </w:p>
    <w:p w14:paraId="510251E7" w14:textId="77777777" w:rsidR="00C944ED" w:rsidRPr="00C6578A" w:rsidRDefault="00C944ED" w:rsidP="005968F3">
      <w:pPr>
        <w:pStyle w:val="Heading2"/>
      </w:pPr>
      <w:bookmarkStart w:id="134" w:name="_Toc393796138"/>
      <w:bookmarkStart w:id="135" w:name="_Toc425928820"/>
      <w:bookmarkStart w:id="136" w:name="_Toc426094336"/>
      <w:bookmarkStart w:id="137" w:name="_Toc441074834"/>
      <w:bookmarkStart w:id="138" w:name="_Toc443910686"/>
      <w:r w:rsidRPr="00392FA8">
        <w:t>Spectrum</w:t>
      </w:r>
      <w:bookmarkEnd w:id="134"/>
      <w:bookmarkEnd w:id="135"/>
      <w:bookmarkEnd w:id="136"/>
      <w:bookmarkEnd w:id="137"/>
      <w:bookmarkEnd w:id="138"/>
      <w:r w:rsidRPr="00C6578A">
        <w:t xml:space="preserve"> </w:t>
      </w:r>
    </w:p>
    <w:p w14:paraId="3D1B3EE1" w14:textId="77777777" w:rsidR="008C1BF9" w:rsidRPr="00C6578A" w:rsidRDefault="008C1BF9" w:rsidP="005968F3">
      <w:pPr>
        <w:pStyle w:val="Heading3"/>
      </w:pPr>
      <w:bookmarkStart w:id="139" w:name="_Ref424648046"/>
      <w:bookmarkStart w:id="140" w:name="_Toc424729021"/>
      <w:bookmarkStart w:id="141" w:name="_Toc425928822"/>
      <w:bookmarkStart w:id="142" w:name="_Toc443910687"/>
      <w:r w:rsidRPr="00C6578A">
        <w:t>Tenure and technology flexibility</w:t>
      </w:r>
      <w:bookmarkEnd w:id="139"/>
      <w:bookmarkEnd w:id="140"/>
      <w:bookmarkEnd w:id="141"/>
      <w:bookmarkEnd w:id="142"/>
    </w:p>
    <w:p w14:paraId="1E47E0E2" w14:textId="46347217" w:rsidR="00C944ED" w:rsidRDefault="00EF2079" w:rsidP="00C6578A">
      <w:pPr>
        <w:spacing w:after="120"/>
      </w:pPr>
      <w:r w:rsidRPr="00C6578A">
        <w:t xml:space="preserve">As a general philosophy, the ACMA attempts to avoid establishing spectrum management arrangements that are limited to a specific technology type. In other words, the ACMA attempts to be technology flexible. The ACMA also aims to provide a solid basis for investment by providing certainty of tenure. This was discussed in </w:t>
      </w:r>
      <w:r w:rsidRPr="00F3138B">
        <w:rPr>
          <w:i/>
        </w:rPr>
        <w:t>Beyond 2020</w:t>
      </w:r>
      <w:r w:rsidRPr="00C6578A">
        <w:t xml:space="preserve"> and from that </w:t>
      </w:r>
      <w:r w:rsidR="00006FB3" w:rsidRPr="00C6578A">
        <w:t>discussion,</w:t>
      </w:r>
      <w:r w:rsidRPr="00C6578A">
        <w:t xml:space="preserve"> it was concluded that</w:t>
      </w:r>
      <w:r>
        <w:t xml:space="preserve"> (Assumption 7):</w:t>
      </w:r>
    </w:p>
    <w:p w14:paraId="468AF8D8" w14:textId="6509B37F" w:rsidR="00C944ED" w:rsidRDefault="00C944ED" w:rsidP="00C944ED">
      <w:pPr>
        <w:pStyle w:val="ListNumber2"/>
        <w:numPr>
          <w:ilvl w:val="0"/>
          <w:numId w:val="0"/>
        </w:numPr>
        <w:spacing w:after="240"/>
        <w:ind w:left="709" w:right="583"/>
        <w:rPr>
          <w:i/>
        </w:rPr>
      </w:pPr>
      <w:r>
        <w:rPr>
          <w:i/>
        </w:rPr>
        <w:t>The use of technology</w:t>
      </w:r>
      <w:r w:rsidR="00C6578A">
        <w:rPr>
          <w:i/>
        </w:rPr>
        <w:t>-</w:t>
      </w:r>
      <w:r>
        <w:rPr>
          <w:i/>
        </w:rPr>
        <w:t xml:space="preserve">flexible technical frameworks and provision of sufficient tenure will remain fundamental when designing spectrum management arrangements, including for mobile broadband services. </w:t>
      </w:r>
    </w:p>
    <w:p w14:paraId="29EA0A85" w14:textId="519C9625" w:rsidR="008C1BF9" w:rsidRPr="00EF2079" w:rsidRDefault="00900C85" w:rsidP="00C6578A">
      <w:r>
        <w:t xml:space="preserve">This assumption was supported by a number of submissions. </w:t>
      </w:r>
      <w:r w:rsidR="008C1BF9">
        <w:t>Defence noted that c</w:t>
      </w:r>
      <w:r w:rsidR="008C1BF9" w:rsidRPr="00EF2079">
        <w:t>ertainty of tenure and technology</w:t>
      </w:r>
      <w:r w:rsidR="008C1BF9">
        <w:t xml:space="preserve"> flexibility is also key to other users</w:t>
      </w:r>
      <w:r w:rsidR="008C1BF9" w:rsidRPr="00EF2079">
        <w:t xml:space="preserve">. </w:t>
      </w:r>
      <w:r w:rsidR="008C1BF9">
        <w:t>They noted that t</w:t>
      </w:r>
      <w:r w:rsidR="008C1BF9" w:rsidRPr="00EF2079">
        <w:t>hese factors are enablers for investment and business continuity, particularly in systems expected to be in-service for many years, such as Defence capabilities.</w:t>
      </w:r>
    </w:p>
    <w:p w14:paraId="4033229F" w14:textId="3D5EA011" w:rsidR="00D55F42" w:rsidRPr="00EF2079" w:rsidRDefault="008869EA" w:rsidP="00C6578A">
      <w:r>
        <w:t>nbn</w:t>
      </w:r>
      <w:r w:rsidR="00D55F42" w:rsidRPr="00EF2079">
        <w:t xml:space="preserve"> </w:t>
      </w:r>
      <w:r w:rsidR="008C1BF9">
        <w:t>stated</w:t>
      </w:r>
      <w:r w:rsidR="00D55F42" w:rsidRPr="00EF2079">
        <w:t xml:space="preserve"> that equipment vendors are constrained in what they can economically produce by a number of factors including international standards and large mobile operators’ technology choices. This in turn often practically limits the likely technology choice(s) for a band. </w:t>
      </w:r>
      <w:r w:rsidR="008C1BF9">
        <w:t>They warned that a</w:t>
      </w:r>
      <w:r w:rsidR="00D55F42" w:rsidRPr="00EF2079">
        <w:t xml:space="preserve">ttempting to make technical frameworks too flexible, could result in a less useful, </w:t>
      </w:r>
      <w:r w:rsidR="00C6578A">
        <w:t>‘</w:t>
      </w:r>
      <w:r w:rsidR="00D55F42" w:rsidRPr="00EF2079">
        <w:t>lowest common denominator</w:t>
      </w:r>
      <w:r w:rsidR="00C6578A">
        <w:t>’</w:t>
      </w:r>
      <w:r w:rsidR="00D55F42" w:rsidRPr="00EF2079">
        <w:t xml:space="preserve"> outcome</w:t>
      </w:r>
      <w:r w:rsidR="00C6578A">
        <w:t>,</w:t>
      </w:r>
      <w:r w:rsidR="00D55F42" w:rsidRPr="00EF2079">
        <w:t xml:space="preserve"> which may increase the difficulty in satisfying the dominant technology without making significant and expensive compromises to vendor’s products. </w:t>
      </w:r>
    </w:p>
    <w:p w14:paraId="231F4EDE" w14:textId="722F9346" w:rsidR="008C1BF9" w:rsidRDefault="008C1BF9" w:rsidP="00C6578A">
      <w:r>
        <w:t>A</w:t>
      </w:r>
      <w:r w:rsidR="00900C85">
        <w:t>lcatel</w:t>
      </w:r>
      <w:r w:rsidR="00D328BD">
        <w:t>-</w:t>
      </w:r>
      <w:r w:rsidR="00900C85">
        <w:t>Lucent believed that a</w:t>
      </w:r>
      <w:r w:rsidRPr="00F42457">
        <w:t>ccessing addit</w:t>
      </w:r>
      <w:r>
        <w:t xml:space="preserve">ional spectrum bands for mobile </w:t>
      </w:r>
      <w:r w:rsidRPr="00F42457">
        <w:t>services will require more flexible forms of spectrum management.</w:t>
      </w:r>
      <w:r w:rsidR="00900C85">
        <w:t xml:space="preserve"> They noted</w:t>
      </w:r>
      <w:r w:rsidRPr="00F42457">
        <w:t xml:space="preserve"> timely and (cross-country) coordinated releases, and longer duration of usage rights are some of the measures that can create certainty in the market and foster the necessary investments in technologies and networks.</w:t>
      </w:r>
    </w:p>
    <w:p w14:paraId="18678AE9" w14:textId="37C39B1D" w:rsidR="00DB5D13" w:rsidRDefault="00E2646E" w:rsidP="00C6578A">
      <w:r w:rsidRPr="00EF2079">
        <w:t>Optus believe</w:t>
      </w:r>
      <w:r w:rsidR="00900C85">
        <w:t>d</w:t>
      </w:r>
      <w:r w:rsidRPr="00EF2079">
        <w:t xml:space="preserve"> that existing arrangements are sufficient to create commercial opportunities for leasing of spectrum assets to third parties</w:t>
      </w:r>
      <w:r w:rsidR="00900C85">
        <w:t xml:space="preserve"> </w:t>
      </w:r>
      <w:r w:rsidR="00DB5D13" w:rsidRPr="00EF2079">
        <w:t>Optus also suggest</w:t>
      </w:r>
      <w:r w:rsidR="00900C85">
        <w:t>ed</w:t>
      </w:r>
      <w:r w:rsidR="00DB5D13" w:rsidRPr="00EF2079">
        <w:t xml:space="preserve"> that the ACMA can play a role in ensuring that spectrum already allocated for mobile broadband use is ‘optimally configured’ for mobile broadband use, in terms of technical frameworks and allocation processes, subject to support from existing licensees.</w:t>
      </w:r>
    </w:p>
    <w:p w14:paraId="2C760CAB" w14:textId="0C61555E" w:rsidR="008C1BF9" w:rsidRPr="00582AEE" w:rsidRDefault="00C6578A" w:rsidP="005968F3">
      <w:pPr>
        <w:pStyle w:val="Bodysubheader0"/>
      </w:pPr>
      <w:r>
        <w:t xml:space="preserve">The </w:t>
      </w:r>
      <w:r w:rsidR="008C1BF9" w:rsidRPr="00787E49">
        <w:t>ACMA</w:t>
      </w:r>
      <w:r>
        <w:t>’s</w:t>
      </w:r>
      <w:r w:rsidR="008C1BF9" w:rsidRPr="00787E49">
        <w:t xml:space="preserve"> response to comments</w:t>
      </w:r>
      <w:r w:rsidR="008C1BF9" w:rsidRPr="00582AEE">
        <w:t xml:space="preserve"> regarding </w:t>
      </w:r>
      <w:r w:rsidR="008C1BF9">
        <w:t>Assumption 7</w:t>
      </w:r>
    </w:p>
    <w:p w14:paraId="4AF136CE" w14:textId="616DA918" w:rsidR="008C1BF9" w:rsidRDefault="00900C85" w:rsidP="00146C74">
      <w:r>
        <w:t xml:space="preserve">The ACMA notes the general agreement with Assumption 7. While technical frameworks will continue to be technology flexible, they will continue to be </w:t>
      </w:r>
      <w:r w:rsidR="00887462">
        <w:t xml:space="preserve">optimised for </w:t>
      </w:r>
      <w:r>
        <w:t xml:space="preserve">the </w:t>
      </w:r>
      <w:r w:rsidR="00887462">
        <w:t xml:space="preserve">most </w:t>
      </w:r>
      <w:r>
        <w:t xml:space="preserve">likely technologies </w:t>
      </w:r>
      <w:r w:rsidR="00887462">
        <w:t xml:space="preserve">and standard(s) </w:t>
      </w:r>
      <w:r>
        <w:t>to be deployed in the particular frequency band. Stakeholder engagement in the development of these frameworks will continue to be a crucial aspect of ensuring a balance between technology flexib</w:t>
      </w:r>
      <w:r w:rsidR="00146C74">
        <w:t>i</w:t>
      </w:r>
      <w:r>
        <w:t>l</w:t>
      </w:r>
      <w:r w:rsidR="00146C74">
        <w:t>it</w:t>
      </w:r>
      <w:r>
        <w:t xml:space="preserve">y and practicality is achieved when developing technical frameworks. </w:t>
      </w:r>
    </w:p>
    <w:p w14:paraId="0A9C63F9" w14:textId="78E9E5DD" w:rsidR="00B15D12" w:rsidRPr="00B15D12" w:rsidRDefault="00B15D12" w:rsidP="00146C74">
      <w:r w:rsidRPr="00F31B8E">
        <w:t xml:space="preserve">Overall, the ACMA maintains that Assumption </w:t>
      </w:r>
      <w:r>
        <w:t>7</w:t>
      </w:r>
      <w:r w:rsidRPr="00F31B8E">
        <w:t xml:space="preserve"> remains valid as originally proposed.</w:t>
      </w:r>
      <w:r>
        <w:t xml:space="preserve"> </w:t>
      </w:r>
    </w:p>
    <w:p w14:paraId="0B5A2D1B" w14:textId="77777777" w:rsidR="008C1BF9" w:rsidRPr="00221AF3" w:rsidRDefault="008C1BF9" w:rsidP="005968F3">
      <w:pPr>
        <w:pStyle w:val="Heading3"/>
      </w:pPr>
      <w:bookmarkStart w:id="143" w:name="_Ref424723012"/>
      <w:bookmarkStart w:id="144" w:name="_Toc424729022"/>
      <w:bookmarkStart w:id="145" w:name="_Toc425928823"/>
      <w:bookmarkStart w:id="146" w:name="_Toc443910688"/>
      <w:r w:rsidRPr="00221AF3">
        <w:t>International harmonisation and standardisation</w:t>
      </w:r>
      <w:bookmarkEnd w:id="143"/>
      <w:bookmarkEnd w:id="144"/>
      <w:bookmarkEnd w:id="145"/>
      <w:bookmarkEnd w:id="146"/>
    </w:p>
    <w:p w14:paraId="41A357C7" w14:textId="62C0F0BC" w:rsidR="00AE7174" w:rsidRDefault="00900C85" w:rsidP="00146C74">
      <w:pPr>
        <w:spacing w:after="120"/>
      </w:pPr>
      <w:r>
        <w:t xml:space="preserve">The importance of international harmonisation </w:t>
      </w:r>
      <w:r w:rsidR="00AE7174">
        <w:t xml:space="preserve">was discussed in </w:t>
      </w:r>
      <w:r w:rsidR="00AE7174" w:rsidRPr="00F3138B">
        <w:rPr>
          <w:i/>
        </w:rPr>
        <w:t>Beyond 2020</w:t>
      </w:r>
      <w:r w:rsidR="00AE7174">
        <w:t>. The conclusion derived from this discussion (Assumption 8) was:</w:t>
      </w:r>
    </w:p>
    <w:p w14:paraId="7E67AF51" w14:textId="77777777" w:rsidR="00C944ED" w:rsidRPr="00E14FB8" w:rsidRDefault="00C944ED" w:rsidP="00C944ED">
      <w:pPr>
        <w:pStyle w:val="ListNumber2"/>
        <w:numPr>
          <w:ilvl w:val="0"/>
          <w:numId w:val="0"/>
        </w:numPr>
        <w:spacing w:after="240"/>
        <w:ind w:left="709" w:right="583"/>
        <w:rPr>
          <w:i/>
        </w:rPr>
      </w:pPr>
      <w:r w:rsidRPr="00211492">
        <w:rPr>
          <w:i/>
        </w:rPr>
        <w:t>International spectrum harmonisation</w:t>
      </w:r>
      <w:r>
        <w:rPr>
          <w:i/>
        </w:rPr>
        <w:t xml:space="preserve"> and technology standardisation</w:t>
      </w:r>
      <w:r w:rsidRPr="00211492">
        <w:rPr>
          <w:i/>
        </w:rPr>
        <w:t xml:space="preserve"> will continue to play an important part in delivering equipment economies of scale, consumer choice and international roaming opportunities.</w:t>
      </w:r>
      <w:r>
        <w:rPr>
          <w:i/>
        </w:rPr>
        <w:t xml:space="preserve"> </w:t>
      </w:r>
      <w:r w:rsidRPr="00211492">
        <w:rPr>
          <w:i/>
        </w:rPr>
        <w:t>International spectrum harmonisation</w:t>
      </w:r>
      <w:r>
        <w:rPr>
          <w:i/>
        </w:rPr>
        <w:t xml:space="preserve"> and technology standardisation</w:t>
      </w:r>
      <w:r w:rsidRPr="00211492">
        <w:rPr>
          <w:i/>
        </w:rPr>
        <w:t xml:space="preserve"> </w:t>
      </w:r>
      <w:r>
        <w:rPr>
          <w:i/>
        </w:rPr>
        <w:t xml:space="preserve">will continue to be considered when developing domestic arrangements. </w:t>
      </w:r>
    </w:p>
    <w:p w14:paraId="382176E0" w14:textId="1C8710F2" w:rsidR="00BC2B2A" w:rsidRPr="00354453" w:rsidRDefault="00354453" w:rsidP="00146C74">
      <w:r w:rsidRPr="00354453">
        <w:t xml:space="preserve">A number of submissions noted that international spectrum harmonisation was a key issue for other services. Defence, in particular, noted their unique </w:t>
      </w:r>
      <w:r w:rsidR="00E97EA4" w:rsidRPr="00354453">
        <w:t>international harmonisation constraints for interoperability with allied and other partners.</w:t>
      </w:r>
      <w:r w:rsidRPr="00354453">
        <w:t xml:space="preserve"> </w:t>
      </w:r>
      <w:r w:rsidR="00BC2B2A" w:rsidRPr="00354453">
        <w:t xml:space="preserve">Omnispace </w:t>
      </w:r>
      <w:r w:rsidRPr="00354453">
        <w:t xml:space="preserve">noted that </w:t>
      </w:r>
      <w:r w:rsidR="00BC2B2A" w:rsidRPr="00354453">
        <w:t>to support the large initial investment in satellite infrastructure to serve Australia</w:t>
      </w:r>
      <w:r w:rsidR="00982D94">
        <w:t>,</w:t>
      </w:r>
      <w:r w:rsidR="00BC2B2A" w:rsidRPr="00354453">
        <w:t xml:space="preserve"> </w:t>
      </w:r>
      <w:r w:rsidRPr="00354453">
        <w:t>internationally harmonis</w:t>
      </w:r>
      <w:r w:rsidR="00BC2B2A" w:rsidRPr="00354453">
        <w:t>ed spectrum allocations</w:t>
      </w:r>
      <w:r w:rsidRPr="00354453">
        <w:t xml:space="preserve"> should be respected</w:t>
      </w:r>
      <w:r w:rsidR="00BC2B2A" w:rsidRPr="00354453">
        <w:t xml:space="preserve"> and new innovative satellite services (such as small satellites)</w:t>
      </w:r>
      <w:r w:rsidRPr="00354453">
        <w:t xml:space="preserve"> should be encouraged and supported</w:t>
      </w:r>
      <w:r w:rsidR="00BC2B2A" w:rsidRPr="00354453">
        <w:t xml:space="preserve"> through innovative spectrum sharing. </w:t>
      </w:r>
      <w:r w:rsidRPr="00354453">
        <w:t>Omnispace noted t</w:t>
      </w:r>
      <w:r w:rsidR="00BC2B2A" w:rsidRPr="00354453">
        <w:t>he cost benefits to the Australian market are enhanced by taking advantage of a solution that spreads its costs across the world.</w:t>
      </w:r>
    </w:p>
    <w:p w14:paraId="29482350" w14:textId="04A1D3E8" w:rsidR="00354453" w:rsidRPr="00354453" w:rsidRDefault="00354453" w:rsidP="00146C74">
      <w:r w:rsidRPr="00354453">
        <w:t>Alcatel</w:t>
      </w:r>
      <w:r w:rsidR="00D328BD">
        <w:t>-</w:t>
      </w:r>
      <w:r w:rsidRPr="00354453">
        <w:t>Lucent noted that harmonised spectrum is one measure that can create certainty in the market and foster the necessary investments in technologies and networks.</w:t>
      </w:r>
    </w:p>
    <w:p w14:paraId="0C6F8712" w14:textId="77777777" w:rsidR="00354453" w:rsidRPr="00354453" w:rsidRDefault="00354453" w:rsidP="00146C74">
      <w:r w:rsidRPr="00354453">
        <w:t>Optus believe it would be useful to review the current consultation processes the ACMA undertakes with industry in developing Australia’s position for engagement in regional and international forums that debate and identify future IMT bands.</w:t>
      </w:r>
    </w:p>
    <w:p w14:paraId="5625F8EB" w14:textId="5E3F26B7" w:rsidR="00354453" w:rsidRPr="00582AEE" w:rsidRDefault="00146C74" w:rsidP="005968F3">
      <w:pPr>
        <w:pStyle w:val="Bodysubheader0"/>
      </w:pPr>
      <w:r>
        <w:t xml:space="preserve">The </w:t>
      </w:r>
      <w:r w:rsidR="00354453" w:rsidRPr="00787E49">
        <w:t>ACMA</w:t>
      </w:r>
      <w:r>
        <w:t>’s</w:t>
      </w:r>
      <w:r w:rsidR="00354453" w:rsidRPr="00787E49">
        <w:t xml:space="preserve"> response to comments</w:t>
      </w:r>
      <w:r w:rsidR="00354453" w:rsidRPr="00582AEE">
        <w:t xml:space="preserve"> regarding </w:t>
      </w:r>
      <w:r w:rsidR="00354453">
        <w:t>Assumption 8</w:t>
      </w:r>
    </w:p>
    <w:p w14:paraId="0D37FE3F" w14:textId="4F4B2367" w:rsidR="00BC2B2A" w:rsidRDefault="00354453" w:rsidP="00146C74">
      <w:r>
        <w:t xml:space="preserve">The ACMA notes the general agreement with Assumption 8 </w:t>
      </w:r>
      <w:r w:rsidR="00006FB3">
        <w:t>and</w:t>
      </w:r>
      <w:r>
        <w:t xml:space="preserve"> concurs that international spectrum harmonisation is a key issue for all services, including mobile broadband services.</w:t>
      </w:r>
      <w:r w:rsidR="00277A14">
        <w:t xml:space="preserve"> Further discussion on Australia’s international engagement process is</w:t>
      </w:r>
      <w:r w:rsidR="00234DB8">
        <w:t xml:space="preserve"> contained later in the paper in the section </w:t>
      </w:r>
      <w:r w:rsidR="00702DC9">
        <w:t>considering Strategy</w:t>
      </w:r>
      <w:r w:rsidR="00277A14">
        <w:t xml:space="preserve"> 5.</w:t>
      </w:r>
    </w:p>
    <w:p w14:paraId="02CBF33B" w14:textId="3B4E6D2B" w:rsidR="00234DB8" w:rsidRPr="00234DB8" w:rsidRDefault="00234DB8" w:rsidP="00146C74">
      <w:r w:rsidRPr="00F31B8E">
        <w:t xml:space="preserve">Overall, the ACMA maintains that Assumption </w:t>
      </w:r>
      <w:r>
        <w:t>8</w:t>
      </w:r>
      <w:r w:rsidRPr="00F31B8E">
        <w:t xml:space="preserve"> remains valid as originally proposed.</w:t>
      </w:r>
      <w:r>
        <w:t xml:space="preserve"> </w:t>
      </w:r>
    </w:p>
    <w:p w14:paraId="450E09F5" w14:textId="77777777" w:rsidR="00FE2CB3" w:rsidRPr="00F12F58" w:rsidRDefault="00FE2CB3" w:rsidP="005968F3">
      <w:pPr>
        <w:pStyle w:val="Heading3"/>
      </w:pPr>
      <w:bookmarkStart w:id="147" w:name="_Ref423962391"/>
      <w:bookmarkStart w:id="148" w:name="_Toc423962547"/>
      <w:bookmarkStart w:id="149" w:name="_Ref424648093"/>
      <w:bookmarkStart w:id="150" w:name="_Toc424729023"/>
      <w:bookmarkStart w:id="151" w:name="_Toc425928824"/>
      <w:bookmarkStart w:id="152" w:name="_Toc426094338"/>
      <w:bookmarkStart w:id="153" w:name="_Toc441074835"/>
      <w:bookmarkStart w:id="154" w:name="_Toc441235808"/>
      <w:bookmarkStart w:id="155" w:name="_Toc442428381"/>
      <w:bookmarkStart w:id="156" w:name="_Toc443910689"/>
      <w:r w:rsidRPr="00F12F58">
        <w:t>Optimising existing spectrum releases</w:t>
      </w:r>
      <w:bookmarkEnd w:id="147"/>
      <w:bookmarkEnd w:id="148"/>
      <w:bookmarkEnd w:id="149"/>
      <w:bookmarkEnd w:id="150"/>
      <w:bookmarkEnd w:id="151"/>
      <w:bookmarkEnd w:id="152"/>
      <w:bookmarkEnd w:id="153"/>
      <w:bookmarkEnd w:id="154"/>
      <w:bookmarkEnd w:id="155"/>
      <w:bookmarkEnd w:id="156"/>
    </w:p>
    <w:p w14:paraId="72D60FF5" w14:textId="510DD1F6" w:rsidR="00C944ED" w:rsidRDefault="00023994" w:rsidP="00146C74">
      <w:pPr>
        <w:spacing w:after="120"/>
      </w:pPr>
      <w:r>
        <w:t xml:space="preserve">It was noted in </w:t>
      </w:r>
      <w:r w:rsidRPr="00F3138B">
        <w:rPr>
          <w:i/>
        </w:rPr>
        <w:t>Beyond 2020</w:t>
      </w:r>
      <w:r>
        <w:t xml:space="preserve"> that it is important that existing arrangements for spectrum already allocated for mobile broadband are reviewed, and where necessary optimised, to allow mobile broadband operators to make the best use of the spectrum resources that are already available. From </w:t>
      </w:r>
      <w:r w:rsidR="00146C74">
        <w:t>this,</w:t>
      </w:r>
      <w:r>
        <w:t xml:space="preserve"> the following assumption (Assumption 9) was derived:</w:t>
      </w:r>
    </w:p>
    <w:p w14:paraId="192F0EC9" w14:textId="77777777" w:rsidR="00C944ED" w:rsidRDefault="00C944ED" w:rsidP="00C944ED">
      <w:pPr>
        <w:pStyle w:val="ListNumber2"/>
        <w:numPr>
          <w:ilvl w:val="0"/>
          <w:numId w:val="0"/>
        </w:numPr>
        <w:spacing w:after="240"/>
        <w:ind w:left="709" w:right="583"/>
        <w:rPr>
          <w:i/>
        </w:rPr>
      </w:pPr>
      <w:r>
        <w:rPr>
          <w:i/>
        </w:rPr>
        <w:t>The review of established frameworks for spectrum already in use for mobile broadband services will continue to be necessary so that the efficient use of the spectrum is able to be maximised.</w:t>
      </w:r>
    </w:p>
    <w:p w14:paraId="31AA2F29" w14:textId="55ED94B1" w:rsidR="00F42457" w:rsidRDefault="00023994" w:rsidP="00146C74">
      <w:r>
        <w:t>There was general agreement with this Assumption. Alcatel</w:t>
      </w:r>
      <w:r w:rsidR="00D328BD">
        <w:t>-</w:t>
      </w:r>
      <w:r>
        <w:t>Lucent noted that a</w:t>
      </w:r>
      <w:r w:rsidR="00F42457" w:rsidRPr="00F42457">
        <w:t xml:space="preserve"> pricing framework that supports balanced ongoing investment in spectrum and networks is an essential step towards a truly mobile and connected society. Moreover, </w:t>
      </w:r>
      <w:r>
        <w:t>Alcatel</w:t>
      </w:r>
      <w:r w:rsidR="00D328BD">
        <w:t>-</w:t>
      </w:r>
      <w:r>
        <w:t xml:space="preserve">Lucent noted that </w:t>
      </w:r>
      <w:r w:rsidR="00F42457" w:rsidRPr="00F42457">
        <w:t xml:space="preserve">considering that legacy technologies will be switched off eventually to allow operators to re-farm spectrum using more efficient technologies, the existence of a simple secondary market for spectrum trading will allow operators to optimise their spectrum holdings. </w:t>
      </w:r>
      <w:r>
        <w:t xml:space="preserve">They believed </w:t>
      </w:r>
      <w:r w:rsidR="00F42457" w:rsidRPr="00F42457">
        <w:t>a simplification of the regulatory requirements attached to spectrum licenses will benefit operators (</w:t>
      </w:r>
      <w:r w:rsidR="00146C74">
        <w:t xml:space="preserve">for example, </w:t>
      </w:r>
      <w:r w:rsidR="00F42457" w:rsidRPr="00F42457">
        <w:t>a technology neutral approach to spectrum</w:t>
      </w:r>
      <w:r w:rsidR="006567C6" w:rsidRPr="00F42457">
        <w:t xml:space="preserve">, </w:t>
      </w:r>
      <w:r w:rsidR="00006FB3" w:rsidRPr="00F42457">
        <w:t>and coverage</w:t>
      </w:r>
      <w:r w:rsidR="006567C6" w:rsidRPr="00F42457">
        <w:t xml:space="preserve"> obligations per technology</w:t>
      </w:r>
      <w:r w:rsidR="00F42457" w:rsidRPr="00F42457">
        <w:t>).</w:t>
      </w:r>
    </w:p>
    <w:p w14:paraId="5782512F" w14:textId="49CC7DBD" w:rsidR="00023994" w:rsidRDefault="00023994" w:rsidP="00146C74">
      <w:r>
        <w:t>However, a number of responses noted that other services equally have a responsibility to be spectrally efficient and continuously improve.</w:t>
      </w:r>
    </w:p>
    <w:p w14:paraId="70C12D87" w14:textId="23B57314" w:rsidR="00023994" w:rsidRPr="00582AEE" w:rsidRDefault="00146C74" w:rsidP="005968F3">
      <w:pPr>
        <w:pStyle w:val="Bodysubheader0"/>
      </w:pPr>
      <w:r>
        <w:t xml:space="preserve">The </w:t>
      </w:r>
      <w:r w:rsidR="00023994" w:rsidRPr="00787E49">
        <w:t>ACMA</w:t>
      </w:r>
      <w:r>
        <w:t>’s</w:t>
      </w:r>
      <w:r w:rsidR="00023994" w:rsidRPr="00787E49">
        <w:t xml:space="preserve"> response to comments</w:t>
      </w:r>
      <w:r w:rsidR="00023994" w:rsidRPr="00582AEE">
        <w:t xml:space="preserve"> regarding </w:t>
      </w:r>
      <w:r w:rsidR="00023994">
        <w:t>Assumption 9</w:t>
      </w:r>
    </w:p>
    <w:p w14:paraId="4BBBD34D" w14:textId="166E1D19" w:rsidR="00023994" w:rsidRDefault="00023994" w:rsidP="00023994">
      <w:pPr>
        <w:spacing w:after="120"/>
      </w:pPr>
      <w:r>
        <w:t xml:space="preserve">The ACMA notes the general agreement with Assumption 9. </w:t>
      </w:r>
      <w:r w:rsidR="002310DE">
        <w:t>The ACMA will continue to endeavour to plan spectrum arrangements to be as technology flexible as possible</w:t>
      </w:r>
      <w:r w:rsidR="007541BB">
        <w:t xml:space="preserve"> and agree that all services should seek to be spectrally efficient and continuously improve</w:t>
      </w:r>
      <w:r w:rsidR="002310DE">
        <w:t>. It is also noted that in Australia</w:t>
      </w:r>
      <w:r w:rsidR="00146C74">
        <w:t>,</w:t>
      </w:r>
      <w:r w:rsidR="002310DE">
        <w:t xml:space="preserve"> </w:t>
      </w:r>
      <w:r w:rsidR="00916D9D">
        <w:t xml:space="preserve">regulatory requirements are </w:t>
      </w:r>
      <w:r w:rsidR="007B6DBF">
        <w:t xml:space="preserve">generally </w:t>
      </w:r>
      <w:r w:rsidR="00224697">
        <w:t>kept to a minimum to reduce the regulatory burden as compared to other jurisdictions</w:t>
      </w:r>
      <w:r w:rsidR="00146C74">
        <w:t>—</w:t>
      </w:r>
      <w:r w:rsidR="00224697">
        <w:t>for example</w:t>
      </w:r>
      <w:r w:rsidR="00146C74">
        <w:t>,</w:t>
      </w:r>
      <w:r w:rsidR="00224697">
        <w:t xml:space="preserve"> </w:t>
      </w:r>
      <w:r w:rsidR="002310DE">
        <w:t xml:space="preserve">there are no coverage obligations per technology. </w:t>
      </w:r>
      <w:r>
        <w:t xml:space="preserve">Striving for spectral efficiency is a factor that should be considered by all services within the bounds of their individual deployment environments and </w:t>
      </w:r>
      <w:r w:rsidR="00242F83">
        <w:t xml:space="preserve">other </w:t>
      </w:r>
      <w:r>
        <w:t>constraints.</w:t>
      </w:r>
    </w:p>
    <w:p w14:paraId="6F7F4041" w14:textId="77777777" w:rsidR="00702DC9" w:rsidRDefault="007541BB" w:rsidP="00146C74">
      <w:bookmarkStart w:id="157" w:name="_Toc442428382"/>
      <w:r w:rsidRPr="00702DC9">
        <w:t>Overall, the ACMA maintains that Assumption 9 remains valid as originally proposed.</w:t>
      </w:r>
      <w:bookmarkEnd w:id="157"/>
      <w:r>
        <w:t xml:space="preserve"> </w:t>
      </w:r>
      <w:bookmarkStart w:id="158" w:name="_Ref423945066"/>
      <w:bookmarkStart w:id="159" w:name="_Toc425928827"/>
      <w:bookmarkStart w:id="160" w:name="_Toc426094341"/>
      <w:bookmarkStart w:id="161" w:name="_Toc441074836"/>
    </w:p>
    <w:p w14:paraId="0C497E1F" w14:textId="7FD1029C" w:rsidR="00C944ED" w:rsidRPr="00146C74" w:rsidRDefault="00C944ED" w:rsidP="00146C74">
      <w:pPr>
        <w:pStyle w:val="Heading2"/>
      </w:pPr>
      <w:bookmarkStart w:id="162" w:name="_Toc443910690"/>
      <w:r w:rsidRPr="00146C74">
        <w:t>Conclusions regarding factors to address mobile broadband capacity growth</w:t>
      </w:r>
      <w:bookmarkEnd w:id="158"/>
      <w:bookmarkEnd w:id="159"/>
      <w:bookmarkEnd w:id="160"/>
      <w:bookmarkEnd w:id="161"/>
      <w:bookmarkEnd w:id="162"/>
    </w:p>
    <w:p w14:paraId="7A7823AE" w14:textId="6FFE9F6A" w:rsidR="00C944ED" w:rsidRPr="00E14FB8" w:rsidRDefault="00023994" w:rsidP="00146C74">
      <w:pPr>
        <w:spacing w:after="120"/>
      </w:pPr>
      <w:r>
        <w:t xml:space="preserve">From the discussion on factors to address mobile broadband capacity growth in </w:t>
      </w:r>
      <w:r w:rsidRPr="00F3138B">
        <w:rPr>
          <w:i/>
        </w:rPr>
        <w:t>Beyond 2020</w:t>
      </w:r>
      <w:r>
        <w:t xml:space="preserve">, it was </w:t>
      </w:r>
      <w:r w:rsidR="00C944ED">
        <w:t>concluded that</w:t>
      </w:r>
      <w:r>
        <w:t xml:space="preserve"> (Assumption 10)</w:t>
      </w:r>
      <w:r w:rsidR="00C944ED">
        <w:t>:</w:t>
      </w:r>
    </w:p>
    <w:p w14:paraId="6DFDC1CB" w14:textId="77777777" w:rsidR="00C944ED" w:rsidRPr="00E14FB8" w:rsidRDefault="00C944ED" w:rsidP="00C944ED">
      <w:pPr>
        <w:keepNext/>
        <w:keepLines/>
        <w:ind w:left="709" w:right="583"/>
        <w:rPr>
          <w:i/>
        </w:rPr>
      </w:pPr>
      <w:r w:rsidRPr="00211492">
        <w:rPr>
          <w:i/>
        </w:rPr>
        <w:t>Increases in mobile broadband capacity will continue to be met through a combination of additional spectrum, improved technologies providing increased spectral efficiency, increased network infrastructure and new network topologies.</w:t>
      </w:r>
      <w:r>
        <w:rPr>
          <w:i/>
        </w:rPr>
        <w:t xml:space="preserve"> </w:t>
      </w:r>
    </w:p>
    <w:p w14:paraId="7F3FEE1F" w14:textId="752CDEC4" w:rsidR="00710FC4" w:rsidRPr="00F42457" w:rsidRDefault="00710FC4" w:rsidP="00146C74">
      <w:r>
        <w:t xml:space="preserve">Submissions from the mobile broadband industry supported this proposal, noting the limitations of improved technologies and increased network infrastructure in addressing mobile broadband capacity growth. Optus noted </w:t>
      </w:r>
      <w:r w:rsidRPr="00DB5D13">
        <w:t>that that the mobile industry’s traffic growth rate is exceeding the average rate of improvement achieved by spectral efficiency techniques</w:t>
      </w:r>
      <w:r w:rsidR="00146C74">
        <w:t>,</w:t>
      </w:r>
      <w:r w:rsidRPr="00DB5D13">
        <w:t xml:space="preserve"> for example, re-farming and technology improvements.</w:t>
      </w:r>
      <w:r>
        <w:t xml:space="preserve"> </w:t>
      </w:r>
      <w:r w:rsidRPr="00DB5D13">
        <w:t xml:space="preserve">It </w:t>
      </w:r>
      <w:r>
        <w:t>was</w:t>
      </w:r>
      <w:r w:rsidRPr="00DB5D13">
        <w:t xml:space="preserve"> Optus’ view that this widening gap can ultimately only be addressed by additional sites, additional spectrum, or a mix of both.</w:t>
      </w:r>
      <w:r>
        <w:t xml:space="preserve"> They noted that g</w:t>
      </w:r>
      <w:r w:rsidRPr="00023994">
        <w:t xml:space="preserve">iven the increasing complexities to deploying additional mobile network sites, including a decreasing pool of feasible locations, the only alternative is new spectrum allocations. </w:t>
      </w:r>
      <w:r>
        <w:t>Optus believed that w</w:t>
      </w:r>
      <w:r w:rsidRPr="00023994">
        <w:t>ithout future additional spectrum allocations, the mobile industry will be increasingly capped in its ability to grow and deploy networks that meet the expectations of customers and increasingly contribute to national economic productivity growth and innovation.</w:t>
      </w:r>
    </w:p>
    <w:p w14:paraId="77DD4C95" w14:textId="7F772CCE" w:rsidR="00A07BF8" w:rsidRDefault="00A07BF8" w:rsidP="00781D45">
      <w:r>
        <w:t xml:space="preserve">Optus also explained that </w:t>
      </w:r>
      <w:r w:rsidRPr="00023994">
        <w:t>MNOs always explore a number of technology and deployment</w:t>
      </w:r>
      <w:r w:rsidR="00146C74">
        <w:t>-</w:t>
      </w:r>
      <w:r w:rsidRPr="00023994">
        <w:t>based alternatives before considering acquiring new spectrum capacity.</w:t>
      </w:r>
      <w:r>
        <w:t xml:space="preserve"> They noted that </w:t>
      </w:r>
      <w:r w:rsidRPr="00DB5D13">
        <w:t xml:space="preserve">MNOs engagement in domestic and international regulatory processes is driven by a need to identify and open up new spectrum ranges for when such capacity demand is required. New spectrum investment </w:t>
      </w:r>
      <w:r w:rsidR="00146C74" w:rsidRPr="00DB5D13">
        <w:t>decision-making</w:t>
      </w:r>
      <w:r w:rsidRPr="00DB5D13">
        <w:t xml:space="preserve"> processes only progress </w:t>
      </w:r>
      <w:r w:rsidR="00006FB3" w:rsidRPr="00DB5D13">
        <w:t>because of</w:t>
      </w:r>
      <w:r w:rsidRPr="00DB5D13">
        <w:t xml:space="preserve"> a demonstrated business need and a business case that produces an acceptable commercial rate of return.</w:t>
      </w:r>
    </w:p>
    <w:p w14:paraId="28D0DF7A" w14:textId="5ECFFB47" w:rsidR="002310DE" w:rsidRDefault="004825B3" w:rsidP="00781D45">
      <w:r>
        <w:t>Inmarsat agreed that improved technologies and new topologies will increase mobile system capacity. The believed that that there is a lot more that can be done to use the current bands more efficiently</w:t>
      </w:r>
      <w:r w:rsidR="00146C74">
        <w:t>—</w:t>
      </w:r>
      <w:r>
        <w:t>for example</w:t>
      </w:r>
      <w:r w:rsidR="00146C74">
        <w:t>,</w:t>
      </w:r>
      <w:r>
        <w:t xml:space="preserve"> increased deployment of LTE and its subsequent developments in place of the current 2G and 3G technology, and increasing the density of base stations. With this in mind, and with the uncertainty over the mobile traffic demands, Inmarsat believe it is not at all certain that additional spectrum will be required for terrestrial mobile.  </w:t>
      </w:r>
    </w:p>
    <w:p w14:paraId="701A12CD" w14:textId="32D2C40F" w:rsidR="002310DE" w:rsidRPr="00023994" w:rsidRDefault="002310DE" w:rsidP="00781D45">
      <w:r w:rsidRPr="00023994">
        <w:t>Defence re</w:t>
      </w:r>
      <w:r>
        <w:t xml:space="preserve">quested </w:t>
      </w:r>
      <w:r w:rsidRPr="00023994">
        <w:t>that the blend of technologies for satisfying capacity (</w:t>
      </w:r>
      <w:r w:rsidR="00781D45">
        <w:t>for example,</w:t>
      </w:r>
      <w:r w:rsidRPr="00023994">
        <w:t xml:space="preserve"> backhaul, optical/hybrid </w:t>
      </w:r>
      <w:r w:rsidR="00392FA8" w:rsidRPr="00023994">
        <w:t>Wi-Fi</w:t>
      </w:r>
      <w:r w:rsidRPr="00023994">
        <w:t xml:space="preserve">) be estimated and included </w:t>
      </w:r>
      <w:r w:rsidR="00781D45">
        <w:t xml:space="preserve">in </w:t>
      </w:r>
      <w:r w:rsidRPr="00023994">
        <w:t>future editions of the FYSO. Th</w:t>
      </w:r>
      <w:r>
        <w:t>ey believed that thi</w:t>
      </w:r>
      <w:r w:rsidRPr="00023994">
        <w:t xml:space="preserve">s would assist in highlighting alternatives for spectrum users (rather than the reflex action of seeking additional spectrum for </w:t>
      </w:r>
      <w:r w:rsidR="002E248A">
        <w:t>mobile broadband</w:t>
      </w:r>
      <w:r w:rsidRPr="00023994">
        <w:t>).</w:t>
      </w:r>
    </w:p>
    <w:p w14:paraId="674562F5" w14:textId="05128DBD" w:rsidR="009135A5" w:rsidRDefault="004825B3" w:rsidP="00781D45">
      <w:r>
        <w:t>Mississippi Consulting felt that t</w:t>
      </w:r>
      <w:r w:rsidR="009135A5" w:rsidRPr="004C27AD">
        <w:t>he discussion focuse</w:t>
      </w:r>
      <w:r>
        <w:t>d</w:t>
      </w:r>
      <w:r w:rsidR="009135A5" w:rsidRPr="004C27AD">
        <w:t xml:space="preserve"> too much on the tools utilised to provide the growth in mobile broadband capacity</w:t>
      </w:r>
      <w:r w:rsidR="00781D45">
        <w:t xml:space="preserve"> (</w:t>
      </w:r>
      <w:r>
        <w:t>which they</w:t>
      </w:r>
      <w:r w:rsidR="009135A5" w:rsidRPr="004C27AD">
        <w:t xml:space="preserve"> underst</w:t>
      </w:r>
      <w:r>
        <w:t>ood</w:t>
      </w:r>
      <w:r w:rsidR="009135A5" w:rsidRPr="004C27AD">
        <w:t xml:space="preserve"> </w:t>
      </w:r>
      <w:r w:rsidR="009135A5">
        <w:t xml:space="preserve">to </w:t>
      </w:r>
      <w:r w:rsidR="009135A5" w:rsidRPr="004C27AD">
        <w:t>mean the number of devices times the data rate to each device</w:t>
      </w:r>
      <w:r w:rsidR="00781D45">
        <w:t>)</w:t>
      </w:r>
      <w:r w:rsidR="00006FB3">
        <w:t>,</w:t>
      </w:r>
      <w:r w:rsidR="00781D45">
        <w:t xml:space="preserve"> and </w:t>
      </w:r>
      <w:r>
        <w:t xml:space="preserve">did </w:t>
      </w:r>
      <w:r w:rsidR="009135A5" w:rsidRPr="004C27AD">
        <w:t xml:space="preserve">not address other aspects such as the growth in types of equipment connected to the network to fulfil a more diversified </w:t>
      </w:r>
      <w:r w:rsidR="002310DE" w:rsidRPr="004C27AD">
        <w:t>functionality</w:t>
      </w:r>
      <w:r w:rsidR="002310DE">
        <w:t xml:space="preserve"> (</w:t>
      </w:r>
      <w:r w:rsidR="00781D45">
        <w:t>for example,</w:t>
      </w:r>
      <w:r w:rsidR="002310DE">
        <w:t xml:space="preserve"> increased M</w:t>
      </w:r>
      <w:r w:rsidR="00847674">
        <w:t>2</w:t>
      </w:r>
      <w:r w:rsidR="002310DE">
        <w:t>M)</w:t>
      </w:r>
      <w:r w:rsidR="009135A5">
        <w:t>.</w:t>
      </w:r>
    </w:p>
    <w:p w14:paraId="460E3A08" w14:textId="70C873B9" w:rsidR="004825B3" w:rsidRPr="00582AEE" w:rsidRDefault="00781D45" w:rsidP="00781D45">
      <w:pPr>
        <w:pStyle w:val="Heading3"/>
      </w:pPr>
      <w:bookmarkStart w:id="163" w:name="_Toc443910691"/>
      <w:r>
        <w:t xml:space="preserve">The </w:t>
      </w:r>
      <w:r w:rsidR="004825B3" w:rsidRPr="00787E49">
        <w:t>ACMA</w:t>
      </w:r>
      <w:r>
        <w:t>’s</w:t>
      </w:r>
      <w:r w:rsidR="004825B3" w:rsidRPr="00787E49">
        <w:t xml:space="preserve"> response to comments</w:t>
      </w:r>
      <w:r w:rsidR="004825B3" w:rsidRPr="00582AEE">
        <w:t xml:space="preserve"> regarding </w:t>
      </w:r>
      <w:r w:rsidR="004825B3">
        <w:t>Assumption 10</w:t>
      </w:r>
      <w:bookmarkEnd w:id="163"/>
    </w:p>
    <w:p w14:paraId="2E61BDB3" w14:textId="24F58A83" w:rsidR="004825B3" w:rsidRDefault="004825B3" w:rsidP="00781D45">
      <w:r>
        <w:t>The ACMA notes the general agreement with Assumption 10</w:t>
      </w:r>
      <w:r w:rsidR="00E0601A">
        <w:t>. The ACMA also</w:t>
      </w:r>
      <w:r w:rsidR="007541BB">
        <w:t xml:space="preserve"> </w:t>
      </w:r>
      <w:r>
        <w:t>note</w:t>
      </w:r>
      <w:r w:rsidR="007541BB">
        <w:t>s</w:t>
      </w:r>
      <w:r>
        <w:t xml:space="preserve"> the arguments regarding the extent to which increased infrastructure and deployment of new technologies </w:t>
      </w:r>
      <w:r w:rsidR="007541BB">
        <w:t xml:space="preserve">can </w:t>
      </w:r>
      <w:r w:rsidR="00E0601A">
        <w:t xml:space="preserve">be used to </w:t>
      </w:r>
      <w:r>
        <w:t>address the growth in mobile broadband capacity</w:t>
      </w:r>
      <w:r w:rsidR="00E0601A">
        <w:t xml:space="preserve"> and possible limitations in some circumstances</w:t>
      </w:r>
      <w:r>
        <w:t xml:space="preserve">. The use of a holistic strategy rather than rigid quantitative targets will better allow advances in technology and opportunities to use increased infrastructure to be taken into account in adapting the supply of spectrum for mobile broadband, noting the respective limitations of these two factors. </w:t>
      </w:r>
    </w:p>
    <w:p w14:paraId="41739A05" w14:textId="6F1CC3AE" w:rsidR="00DB5D13" w:rsidRDefault="00F632C6" w:rsidP="00781D45">
      <w:r>
        <w:t xml:space="preserve">It was acknowledged in </w:t>
      </w:r>
      <w:r w:rsidRPr="00F3138B">
        <w:rPr>
          <w:i/>
        </w:rPr>
        <w:t>Beyond 2020</w:t>
      </w:r>
      <w:r>
        <w:t xml:space="preserve"> that both the number and types of devices</w:t>
      </w:r>
      <w:r w:rsidR="00781D45">
        <w:t>,</w:t>
      </w:r>
      <w:r>
        <w:t xml:space="preserve"> as well as the data rate per device</w:t>
      </w:r>
      <w:r w:rsidR="00781D45">
        <w:t>,</w:t>
      </w:r>
      <w:r>
        <w:t xml:space="preserve"> are likely to vary over the coming years. Again, the use of a holistic strategy allows the ACMA to be more flexible to the changing environment. </w:t>
      </w:r>
    </w:p>
    <w:p w14:paraId="1C887521" w14:textId="4A2E06AA" w:rsidR="007541BB" w:rsidRDefault="007541BB" w:rsidP="00781D45">
      <w:r w:rsidRPr="00F31B8E">
        <w:t xml:space="preserve">Overall, the ACMA maintains that Assumption </w:t>
      </w:r>
      <w:r w:rsidR="00DB7240">
        <w:t>10</w:t>
      </w:r>
      <w:r w:rsidRPr="00F31B8E">
        <w:t xml:space="preserve"> remains valid as originally proposed.</w:t>
      </w:r>
    </w:p>
    <w:p w14:paraId="3B15C5A2" w14:textId="41E366F9" w:rsidR="00172BF7" w:rsidRPr="00172BF7" w:rsidRDefault="00C944ED" w:rsidP="00172BF7">
      <w:pPr>
        <w:pStyle w:val="Heading2"/>
      </w:pPr>
      <w:bookmarkStart w:id="164" w:name="_Toc425928830"/>
      <w:bookmarkStart w:id="165" w:name="_Toc426094344"/>
      <w:bookmarkStart w:id="166" w:name="_Toc441074837"/>
      <w:bookmarkStart w:id="167" w:name="_Toc443910692"/>
      <w:r w:rsidRPr="00ED09FF">
        <w:t>ACMA assumptions</w:t>
      </w:r>
      <w:bookmarkEnd w:id="164"/>
      <w:bookmarkEnd w:id="165"/>
      <w:bookmarkEnd w:id="166"/>
      <w:bookmarkEnd w:id="167"/>
    </w:p>
    <w:p w14:paraId="45DF5191" w14:textId="38EF55D0" w:rsidR="002003D9" w:rsidRPr="00433222" w:rsidRDefault="00433222" w:rsidP="00781D45">
      <w:r w:rsidRPr="00433222">
        <w:t xml:space="preserve">Overall, the majority of submissions supported </w:t>
      </w:r>
      <w:r w:rsidRPr="00392FA8">
        <w:t>the 10 assumptions</w:t>
      </w:r>
      <w:r w:rsidRPr="00433222">
        <w:t xml:space="preserve"> drawn out through </w:t>
      </w:r>
      <w:r w:rsidRPr="00F3138B">
        <w:rPr>
          <w:i/>
        </w:rPr>
        <w:t>Beyond 2020</w:t>
      </w:r>
      <w:r w:rsidRPr="00433222">
        <w:t>. GSMA in particular noted that the assumptions were c</w:t>
      </w:r>
      <w:r w:rsidR="002003D9" w:rsidRPr="00433222">
        <w:t>omprehensive</w:t>
      </w:r>
      <w:r w:rsidR="00781D45">
        <w:t>,</w:t>
      </w:r>
      <w:r w:rsidR="002003D9" w:rsidRPr="00433222">
        <w:t xml:space="preserve"> and where relevant</w:t>
      </w:r>
      <w:r w:rsidR="00781D45">
        <w:t>,</w:t>
      </w:r>
      <w:r w:rsidR="002003D9" w:rsidRPr="00433222">
        <w:t xml:space="preserve"> supported by available evidence. </w:t>
      </w:r>
    </w:p>
    <w:p w14:paraId="150D7863" w14:textId="02F2CF2E" w:rsidR="004E7D3E" w:rsidRPr="00433222" w:rsidRDefault="004E7D3E" w:rsidP="00781D45">
      <w:pPr>
        <w:spacing w:after="80"/>
      </w:pPr>
      <w:r w:rsidRPr="00433222">
        <w:t>Omnispace consider</w:t>
      </w:r>
      <w:r w:rsidR="00433222">
        <w:t>ed</w:t>
      </w:r>
      <w:r w:rsidRPr="00433222">
        <w:t xml:space="preserve"> that there </w:t>
      </w:r>
      <w:r w:rsidR="00433222">
        <w:t>were</w:t>
      </w:r>
      <w:r w:rsidRPr="00433222">
        <w:t xml:space="preserve"> missing assumptions, namely:</w:t>
      </w:r>
    </w:p>
    <w:p w14:paraId="40D03AC4" w14:textId="3802CCFC" w:rsidR="004E7D3E" w:rsidRPr="00433222" w:rsidRDefault="004E7D3E" w:rsidP="00433222">
      <w:pPr>
        <w:pStyle w:val="ListBullet"/>
        <w:rPr>
          <w:rFonts w:cs="Arial"/>
        </w:rPr>
      </w:pPr>
      <w:r w:rsidRPr="00433222">
        <w:rPr>
          <w:rFonts w:cs="Arial"/>
        </w:rPr>
        <w:t>the discussion is focused only on spectrum requirements for terrestrial delivery</w:t>
      </w:r>
    </w:p>
    <w:p w14:paraId="0F6B5204" w14:textId="5985082D" w:rsidR="004E7D3E" w:rsidRPr="00433222" w:rsidRDefault="004E7D3E" w:rsidP="00433222">
      <w:pPr>
        <w:pStyle w:val="ListBullet"/>
        <w:rPr>
          <w:rFonts w:cs="Arial"/>
        </w:rPr>
      </w:pPr>
      <w:r w:rsidRPr="00433222">
        <w:rPr>
          <w:rFonts w:cs="Arial"/>
        </w:rPr>
        <w:t>the focus is only on spectrum requirements for delivery to urban and sub-urban areas</w:t>
      </w:r>
    </w:p>
    <w:p w14:paraId="23360AA5" w14:textId="51425FB5" w:rsidR="004E7D3E" w:rsidRDefault="004E7D3E" w:rsidP="00781D45">
      <w:pPr>
        <w:pStyle w:val="ListBulletLast"/>
      </w:pPr>
      <w:r w:rsidRPr="00433222">
        <w:t>there is no discussion of the implications of different non-real time traffic types such as video streaming on spectrum requirements, and the role of satellite for the effective delivery of area coverage services</w:t>
      </w:r>
      <w:r w:rsidR="00781D45">
        <w:t>.</w:t>
      </w:r>
    </w:p>
    <w:p w14:paraId="023B359D" w14:textId="55441C55" w:rsidR="00172BF7" w:rsidRPr="00E14FB8" w:rsidRDefault="00781D45" w:rsidP="00781D45">
      <w:pPr>
        <w:pStyle w:val="Heading3"/>
        <w:rPr>
          <w:i/>
        </w:rPr>
      </w:pPr>
      <w:bookmarkStart w:id="168" w:name="_Toc443910693"/>
      <w:r>
        <w:t xml:space="preserve">The </w:t>
      </w:r>
      <w:r w:rsidR="00433222" w:rsidRPr="00433222">
        <w:t>ACMA</w:t>
      </w:r>
      <w:r>
        <w:t>’s</w:t>
      </w:r>
      <w:r w:rsidR="00433222" w:rsidRPr="00433222">
        <w:t xml:space="preserve"> response to </w:t>
      </w:r>
      <w:r w:rsidR="00172BF7">
        <w:t xml:space="preserve">overall </w:t>
      </w:r>
      <w:r w:rsidR="00433222" w:rsidRPr="00433222">
        <w:t xml:space="preserve">comments regarding </w:t>
      </w:r>
      <w:r w:rsidR="00172BF7">
        <w:t>a</w:t>
      </w:r>
      <w:r w:rsidR="00433222" w:rsidRPr="00433222">
        <w:t>ssumption</w:t>
      </w:r>
      <w:r w:rsidR="00172BF7">
        <w:t>s</w:t>
      </w:r>
      <w:bookmarkEnd w:id="168"/>
    </w:p>
    <w:p w14:paraId="5F7C4EB1" w14:textId="50BBCEA6" w:rsidR="00433222" w:rsidRDefault="00433222" w:rsidP="00433222">
      <w:pPr>
        <w:spacing w:after="120"/>
      </w:pPr>
      <w:r>
        <w:t xml:space="preserve">The ACMA notes the general </w:t>
      </w:r>
      <w:r w:rsidR="00172BF7">
        <w:t xml:space="preserve">overall </w:t>
      </w:r>
      <w:r>
        <w:t xml:space="preserve">agreement with </w:t>
      </w:r>
      <w:r w:rsidR="00172BF7">
        <w:t xml:space="preserve">the </w:t>
      </w:r>
      <w:r w:rsidR="00781D45">
        <w:t xml:space="preserve">10 </w:t>
      </w:r>
      <w:r w:rsidR="00172BF7">
        <w:t xml:space="preserve">assumptions. </w:t>
      </w:r>
    </w:p>
    <w:p w14:paraId="77201847" w14:textId="21336802" w:rsidR="006057B3" w:rsidRDefault="006057B3" w:rsidP="00781D45">
      <w:r>
        <w:t>As noted in response to comments regarding Assumption 3, s</w:t>
      </w:r>
      <w:r w:rsidRPr="00E20F3C">
        <w:t xml:space="preserve">pectrum management arrangements for mobile broadband services </w:t>
      </w:r>
      <w:r>
        <w:t xml:space="preserve">are </w:t>
      </w:r>
      <w:r w:rsidRPr="00E20F3C">
        <w:t xml:space="preserve">a key issue for the ACMA </w:t>
      </w:r>
      <w:r>
        <w:t xml:space="preserve">and have been </w:t>
      </w:r>
      <w:r w:rsidRPr="00E20F3C">
        <w:t xml:space="preserve">for many years. </w:t>
      </w:r>
      <w:r w:rsidRPr="00A705AD">
        <w:t>For over a decade, the need to accommodate growth in mobile broadband traffic has been the biggest driver of change in the use of radiofrequency spectrum.</w:t>
      </w:r>
      <w:r>
        <w:t xml:space="preserve"> This</w:t>
      </w:r>
      <w:r w:rsidRPr="00E20F3C">
        <w:t xml:space="preserve"> is one area where</w:t>
      </w:r>
      <w:r w:rsidR="00006FB3">
        <w:t xml:space="preserve"> for a number of years</w:t>
      </w:r>
      <w:r w:rsidRPr="00E20F3C">
        <w:t xml:space="preserve"> the ACMA has</w:t>
      </w:r>
      <w:r>
        <w:t xml:space="preserve"> provided</w:t>
      </w:r>
      <w:r w:rsidRPr="00E20F3C">
        <w:t xml:space="preserve"> detailed public </w:t>
      </w:r>
      <w:r w:rsidR="006C5587">
        <w:t>visibility</w:t>
      </w:r>
      <w:r w:rsidR="006C5587" w:rsidRPr="00E20F3C">
        <w:t xml:space="preserve"> </w:t>
      </w:r>
      <w:r w:rsidRPr="00E20F3C">
        <w:t xml:space="preserve">on its associated strategy and work </w:t>
      </w:r>
      <w:r w:rsidR="004A2671">
        <w:t>program</w:t>
      </w:r>
      <w:r>
        <w:t xml:space="preserve">. This is </w:t>
      </w:r>
      <w:r w:rsidR="00781D45">
        <w:t>because</w:t>
      </w:r>
      <w:r>
        <w:t xml:space="preserve"> </w:t>
      </w:r>
      <w:r w:rsidRPr="00A705AD">
        <w:t xml:space="preserve">mobile broadband often </w:t>
      </w:r>
      <w:r w:rsidRPr="00962B16">
        <w:t>favours bands that are heavily encumbered for a range of reasons</w:t>
      </w:r>
      <w:r w:rsidR="00530C31">
        <w:t>.</w:t>
      </w:r>
      <w:r w:rsidRPr="00962B16">
        <w:t xml:space="preserve"> </w:t>
      </w:r>
      <w:r w:rsidR="00781D45">
        <w:t>Therefore,</w:t>
      </w:r>
      <w:r w:rsidRPr="00962B16">
        <w:t xml:space="preserve"> how we continue to accommodate </w:t>
      </w:r>
      <w:r w:rsidR="00530C31">
        <w:t xml:space="preserve">its </w:t>
      </w:r>
      <w:r w:rsidRPr="00962B16">
        <w:t xml:space="preserve">future growth will be of vital interest to other industry sectors and users </w:t>
      </w:r>
      <w:r w:rsidR="00006FB3" w:rsidRPr="00962B16">
        <w:t>that</w:t>
      </w:r>
      <w:r w:rsidRPr="00962B16">
        <w:t xml:space="preserve"> </w:t>
      </w:r>
      <w:r w:rsidR="00530C31">
        <w:t>value</w:t>
      </w:r>
      <w:r w:rsidRPr="00962B16">
        <w:t xml:space="preserve"> access to fit-for-purpose spectrum. </w:t>
      </w:r>
    </w:p>
    <w:p w14:paraId="6B512BD4" w14:textId="007CFF6D" w:rsidR="00172BF7" w:rsidRDefault="00172BF7" w:rsidP="00781D45">
      <w:r>
        <w:t xml:space="preserve">It is incorrect that the focus of the assumptions, and therefore the strategy, was for delivery to urban and sub-urban areas. </w:t>
      </w:r>
      <w:r w:rsidR="006057B3">
        <w:t>Assumption 1 noted that the highest value use of spectrum will vary between bands and geographic areas over time. As such, mobile broadband will only sometimes be the highest value use of a particular spectrum band</w:t>
      </w:r>
      <w:r w:rsidR="007F6291">
        <w:t xml:space="preserve"> and this may vary from metropolitan, regional and remote areas</w:t>
      </w:r>
      <w:r w:rsidR="006057B3">
        <w:t xml:space="preserve">. </w:t>
      </w:r>
      <w:r w:rsidR="007F6291">
        <w:t>For example, i</w:t>
      </w:r>
      <w:r w:rsidR="006057B3">
        <w:t xml:space="preserve">n some instances, where the highest value use in one area is terrestrial mobile broadband, it may be satellite or fixed broadband or a non-broadband service in other areas. One aim of the strategy is to allow flexibility so that these factors can be taken into account. </w:t>
      </w:r>
    </w:p>
    <w:p w14:paraId="34F9E9A5" w14:textId="358ABC3B" w:rsidR="009D17C9" w:rsidRPr="009D17C9" w:rsidRDefault="009D17C9" w:rsidP="009D17C9">
      <w:pPr>
        <w:pBdr>
          <w:top w:val="single" w:sz="4" w:space="1" w:color="auto" w:shadow="1"/>
          <w:left w:val="single" w:sz="4" w:space="4" w:color="auto" w:shadow="1"/>
          <w:bottom w:val="single" w:sz="4" w:space="1" w:color="auto" w:shadow="1"/>
          <w:right w:val="single" w:sz="4" w:space="4" w:color="auto" w:shadow="1"/>
        </w:pBdr>
        <w:rPr>
          <w:b/>
        </w:rPr>
      </w:pPr>
      <w:r w:rsidRPr="009D17C9">
        <w:rPr>
          <w:b/>
        </w:rPr>
        <w:t xml:space="preserve">Following consideration of feedback to the </w:t>
      </w:r>
      <w:r w:rsidR="00781D45">
        <w:rPr>
          <w:b/>
        </w:rPr>
        <w:t>10</w:t>
      </w:r>
      <w:r w:rsidR="00781D45" w:rsidRPr="009D17C9">
        <w:rPr>
          <w:b/>
        </w:rPr>
        <w:t xml:space="preserve"> </w:t>
      </w:r>
      <w:r w:rsidRPr="009D17C9">
        <w:rPr>
          <w:b/>
        </w:rPr>
        <w:t xml:space="preserve">assumptions, and after responding to the concerns raised above, no changes or additions to the existing assumptions are proposed. </w:t>
      </w:r>
    </w:p>
    <w:p w14:paraId="358055EB" w14:textId="5663BDAE" w:rsidR="00C13F23" w:rsidRPr="00777F84" w:rsidRDefault="00C944ED" w:rsidP="002B7174">
      <w:pPr>
        <w:pStyle w:val="Heading2"/>
        <w:keepLines/>
        <w:rPr>
          <w:szCs w:val="20"/>
          <w:lang w:val="en"/>
        </w:rPr>
      </w:pPr>
      <w:bookmarkStart w:id="169" w:name="_Toc441074838"/>
      <w:bookmarkStart w:id="170" w:name="_Toc443910694"/>
      <w:r>
        <w:rPr>
          <w:szCs w:val="20"/>
          <w:lang w:val="en"/>
        </w:rPr>
        <w:t>Proposed mobile broadband strategies</w:t>
      </w:r>
      <w:bookmarkEnd w:id="169"/>
      <w:bookmarkEnd w:id="170"/>
      <w:r>
        <w:rPr>
          <w:szCs w:val="20"/>
          <w:lang w:val="en"/>
        </w:rPr>
        <w:t xml:space="preserve"> </w:t>
      </w:r>
    </w:p>
    <w:p w14:paraId="5D7CA4FF" w14:textId="662BCA43" w:rsidR="009D17C9" w:rsidRPr="009D17C9" w:rsidRDefault="009D17C9" w:rsidP="002B7174">
      <w:pPr>
        <w:keepNext/>
        <w:keepLines/>
      </w:pPr>
      <w:bookmarkStart w:id="171" w:name="_Toc424729032"/>
      <w:bookmarkStart w:id="172" w:name="_Toc425928833"/>
      <w:bookmarkStart w:id="173" w:name="_Toc426094347"/>
      <w:bookmarkStart w:id="174" w:name="_Toc423962559"/>
      <w:r>
        <w:t>Taking into account both the assumptions and the spectrum management framework, as well as the context of mobile broadband capacity growth and demand discussed earlier in this paper, the ACMA developed a set of proposed strategies</w:t>
      </w:r>
      <w:r w:rsidRPr="009D17C9">
        <w:t xml:space="preserve"> to address the growth in demand for mobile broadband capacity as outlined in </w:t>
      </w:r>
      <w:r w:rsidRPr="00F3138B">
        <w:rPr>
          <w:i/>
        </w:rPr>
        <w:t>Beyond 2020</w:t>
      </w:r>
      <w:r w:rsidRPr="009D17C9">
        <w:t xml:space="preserve">. </w:t>
      </w:r>
    </w:p>
    <w:p w14:paraId="1B281292" w14:textId="20B705F0" w:rsidR="009D17C9" w:rsidRPr="009D17C9" w:rsidRDefault="009D17C9" w:rsidP="002B7174">
      <w:pPr>
        <w:keepNext/>
        <w:keepLines/>
      </w:pPr>
      <w:r>
        <w:t xml:space="preserve">Most submissions supported the development of strategies to address the growth in demand for mobile broadband capacity. </w:t>
      </w:r>
      <w:r w:rsidRPr="009D17C9">
        <w:t>GSMA s</w:t>
      </w:r>
      <w:r>
        <w:t>aw</w:t>
      </w:r>
      <w:r w:rsidRPr="009D17C9">
        <w:t xml:space="preserve"> the strategies as both comprehensive and practical</w:t>
      </w:r>
      <w:r>
        <w:t>.</w:t>
      </w:r>
    </w:p>
    <w:p w14:paraId="5877D90F" w14:textId="1EF067EF" w:rsidR="002D35A8" w:rsidRPr="009D17C9" w:rsidRDefault="002D35A8" w:rsidP="009D17C9">
      <w:pPr>
        <w:spacing w:after="120"/>
      </w:pPr>
      <w:r w:rsidRPr="009D17C9">
        <w:t xml:space="preserve">AMTA </w:t>
      </w:r>
      <w:r w:rsidR="00A02AA1" w:rsidRPr="009D17C9">
        <w:t xml:space="preserve">and </w:t>
      </w:r>
      <w:r w:rsidR="009D17C9">
        <w:t>O</w:t>
      </w:r>
      <w:r w:rsidR="00A02AA1" w:rsidRPr="009D17C9">
        <w:t xml:space="preserve">ptus </w:t>
      </w:r>
      <w:r w:rsidRPr="009D17C9">
        <w:t>support</w:t>
      </w:r>
      <w:r w:rsidR="009D17C9">
        <w:t>ed</w:t>
      </w:r>
      <w:r w:rsidRPr="009D17C9">
        <w:t xml:space="preserve"> the ACMA putting in place a strategy that: </w:t>
      </w:r>
    </w:p>
    <w:p w14:paraId="08CF0778" w14:textId="1D9763AA" w:rsidR="002D35A8" w:rsidRPr="009D17C9" w:rsidRDefault="002D35A8" w:rsidP="009D17C9">
      <w:pPr>
        <w:pStyle w:val="ListBullet"/>
        <w:rPr>
          <w:rFonts w:cs="Arial"/>
        </w:rPr>
      </w:pPr>
      <w:r w:rsidRPr="009D17C9">
        <w:rPr>
          <w:rFonts w:cs="Arial"/>
        </w:rPr>
        <w:t>is proactive in its approach</w:t>
      </w:r>
      <w:r w:rsidR="003A69F1">
        <w:rPr>
          <w:rFonts w:cs="Arial"/>
        </w:rPr>
        <w:t>—</w:t>
      </w:r>
      <w:r w:rsidRPr="009D17C9">
        <w:rPr>
          <w:rFonts w:cs="Arial"/>
        </w:rPr>
        <w:t xml:space="preserve">both domestically and in Australia’s engagement in international forums </w:t>
      </w:r>
    </w:p>
    <w:p w14:paraId="095E331B" w14:textId="7869F49B" w:rsidR="002D35A8" w:rsidRPr="009D17C9" w:rsidRDefault="002D35A8" w:rsidP="009D17C9">
      <w:pPr>
        <w:pStyle w:val="ListBullet"/>
        <w:rPr>
          <w:rFonts w:cs="Arial"/>
        </w:rPr>
      </w:pPr>
      <w:r w:rsidRPr="009D17C9">
        <w:rPr>
          <w:rFonts w:cs="Arial"/>
        </w:rPr>
        <w:t>is flexible and responsive to market and technology change so that spectrum can easily be allocated to its highest value use</w:t>
      </w:r>
      <w:r w:rsidR="003A69F1">
        <w:rPr>
          <w:rFonts w:cs="Arial"/>
        </w:rPr>
        <w:t>—</w:t>
      </w:r>
      <w:r w:rsidRPr="009D17C9">
        <w:rPr>
          <w:rFonts w:cs="Arial"/>
        </w:rPr>
        <w:t>facilitating prioritisation as mentioned in the previous section</w:t>
      </w:r>
    </w:p>
    <w:p w14:paraId="7DDB423C" w14:textId="247F4B19" w:rsidR="002D35A8" w:rsidRPr="009D17C9" w:rsidRDefault="002D35A8" w:rsidP="003A69F1">
      <w:pPr>
        <w:pStyle w:val="ListBulletLast"/>
      </w:pPr>
      <w:r w:rsidRPr="009D17C9">
        <w:t xml:space="preserve">takes into account whether spectrum is being used efficiently by all users. </w:t>
      </w:r>
    </w:p>
    <w:p w14:paraId="21E7FD79" w14:textId="05F3B211" w:rsidR="009D17C9" w:rsidRPr="009D17C9" w:rsidRDefault="009D17C9" w:rsidP="003A69F1">
      <w:r w:rsidRPr="009D17C9">
        <w:t xml:space="preserve">Telstra </w:t>
      </w:r>
      <w:r>
        <w:t>also contended that</w:t>
      </w:r>
      <w:r w:rsidRPr="009D17C9">
        <w:t xml:space="preserve"> the proposed approach in the discussion </w:t>
      </w:r>
      <w:r w:rsidRPr="009E076C">
        <w:t>paper will not be effective unless it is also accompanied by sense of priority and urgency. Telstra believed that Australia cannot afford to take a ‘wait and see’ approach to mobile</w:t>
      </w:r>
      <w:r w:rsidRPr="009D17C9">
        <w:t xml:space="preserve"> broadband spectrum if it seeks to remain a leading regional (and global) economy, offering a competitive environment for investment and services. </w:t>
      </w:r>
    </w:p>
    <w:p w14:paraId="13A75F10" w14:textId="13D9D4EC" w:rsidR="00BC2B2A" w:rsidRPr="009D17C9" w:rsidRDefault="00172FFC" w:rsidP="003A69F1">
      <w:r>
        <w:t xml:space="preserve">While supporting a strategy for addressing mobile broadband capacity growth, some submissions noted the importance of other services and applications. </w:t>
      </w:r>
      <w:r w:rsidR="008869EA">
        <w:t>nbn</w:t>
      </w:r>
      <w:r w:rsidR="00D55F42">
        <w:t xml:space="preserve"> submit</w:t>
      </w:r>
      <w:r>
        <w:t>ted</w:t>
      </w:r>
      <w:r w:rsidR="00D55F42">
        <w:t xml:space="preserve"> that</w:t>
      </w:r>
      <w:r w:rsidR="00C459D4">
        <w:t xml:space="preserve"> fixed broadband services and satellite services similarly require additional spectrum for expansion, and assessments of the relative value of the use of various bands will continue to necessitate a broad and holistic approach. </w:t>
      </w:r>
      <w:r w:rsidR="00BC2B2A" w:rsidRPr="009D17C9">
        <w:t>Omnispace support</w:t>
      </w:r>
      <w:r w:rsidR="00425694">
        <w:t>ed</w:t>
      </w:r>
      <w:r w:rsidR="00BC2B2A" w:rsidRPr="009D17C9">
        <w:t xml:space="preserve"> the transparent staged</w:t>
      </w:r>
      <w:r w:rsidR="003A69F1">
        <w:t>-</w:t>
      </w:r>
      <w:r w:rsidR="00BC2B2A" w:rsidRPr="009D17C9">
        <w:t>planning approach, innovative spectrum sharing, and flexible regulatory approaches to facilitate the introduction of new satellite services for rural and remote Australia, noting that an important element for success is early and ongoing consultation with both proposed new service providers and incumbents.</w:t>
      </w:r>
    </w:p>
    <w:p w14:paraId="33531325" w14:textId="0233A509" w:rsidR="002204EC" w:rsidRPr="00E14FB8" w:rsidRDefault="003A69F1" w:rsidP="003A69F1">
      <w:pPr>
        <w:pStyle w:val="Heading3"/>
        <w:rPr>
          <w:i/>
        </w:rPr>
      </w:pPr>
      <w:bookmarkStart w:id="175" w:name="_Toc443910695"/>
      <w:r>
        <w:t xml:space="preserve">The </w:t>
      </w:r>
      <w:r w:rsidR="00425694" w:rsidRPr="00433222">
        <w:t>ACMA</w:t>
      </w:r>
      <w:r>
        <w:t>’s</w:t>
      </w:r>
      <w:r w:rsidR="00425694" w:rsidRPr="00433222">
        <w:t xml:space="preserve"> response to </w:t>
      </w:r>
      <w:r w:rsidR="00425694">
        <w:t xml:space="preserve">overall </w:t>
      </w:r>
      <w:r w:rsidR="00425694" w:rsidRPr="00433222">
        <w:t xml:space="preserve">comments </w:t>
      </w:r>
      <w:r w:rsidR="002204EC" w:rsidRPr="00433222">
        <w:t xml:space="preserve">regarding </w:t>
      </w:r>
      <w:r w:rsidR="002204EC">
        <w:t>strategies</w:t>
      </w:r>
      <w:bookmarkEnd w:id="175"/>
    </w:p>
    <w:p w14:paraId="69AA722A" w14:textId="77777777" w:rsidR="009F34B1" w:rsidRDefault="00425694" w:rsidP="003A69F1">
      <w:r>
        <w:t xml:space="preserve">The ACMA notes the general </w:t>
      </w:r>
      <w:r w:rsidR="009F34B1">
        <w:t>support for the development and implementation of a strategy to address the growth in mobile broadband capacity</w:t>
      </w:r>
      <w:r>
        <w:t>.</w:t>
      </w:r>
    </w:p>
    <w:p w14:paraId="16B48EDF" w14:textId="286B9058" w:rsidR="009F34B1" w:rsidRDefault="009F34B1" w:rsidP="003A69F1">
      <w:r>
        <w:t xml:space="preserve">The ACMA believes that the strategy provides the flexibility to accelerate or decelerate the release of additional spectrum for mobile broadband as the </w:t>
      </w:r>
      <w:r w:rsidR="002204EC">
        <w:t>situation warrants</w:t>
      </w:r>
      <w:r>
        <w:t xml:space="preserve">. The strategy and transparent spectrum management process is relevant to domestic consideration of spectrum for mobile broadband. However, as noted in Strategy 5, international engagement is </w:t>
      </w:r>
      <w:r w:rsidR="00530C31">
        <w:t xml:space="preserve">also </w:t>
      </w:r>
      <w:r>
        <w:t xml:space="preserve">a key issue. </w:t>
      </w:r>
    </w:p>
    <w:p w14:paraId="4133CC40" w14:textId="34B5E699" w:rsidR="002003D9" w:rsidRPr="009D17C9" w:rsidRDefault="009F34B1" w:rsidP="003A69F1">
      <w:r>
        <w:t xml:space="preserve">It is noted that this strategy relates to terrestrial mobile </w:t>
      </w:r>
      <w:r w:rsidR="003A69F1">
        <w:t>broadband, which</w:t>
      </w:r>
      <w:r>
        <w:t xml:space="preserve">, as previously discussed, </w:t>
      </w:r>
      <w:r w:rsidRPr="00A705AD">
        <w:rPr>
          <w:rFonts w:cs="Arial"/>
          <w:szCs w:val="20"/>
        </w:rPr>
        <w:t>has been the biggest driver of change in the use of radiofrequency spectrum</w:t>
      </w:r>
      <w:r>
        <w:rPr>
          <w:rFonts w:cs="Arial"/>
          <w:szCs w:val="20"/>
        </w:rPr>
        <w:t xml:space="preserve">. However, as noted in Assumption 6, </w:t>
      </w:r>
      <w:r>
        <w:t xml:space="preserve">spectrum will continue to be a key enabler for many other, non-mobile broadband services that provide economic and societal benefits to Australia. </w:t>
      </w:r>
      <w:r w:rsidR="00530C31">
        <w:t>It is understood that t</w:t>
      </w:r>
      <w:r>
        <w:t xml:space="preserve">he associated requirement for spectrum to enable these services will continue but may </w:t>
      </w:r>
      <w:r w:rsidR="00506954">
        <w:t>also</w:t>
      </w:r>
      <w:r>
        <w:t xml:space="preserve"> vary over time.</w:t>
      </w:r>
    </w:p>
    <w:p w14:paraId="0F980C6D" w14:textId="77777777" w:rsidR="005D7BB8" w:rsidRDefault="005D7BB8" w:rsidP="003A69F1">
      <w:pPr>
        <w:pStyle w:val="Heading2"/>
      </w:pPr>
      <w:bookmarkStart w:id="176" w:name="_Toc441074839"/>
      <w:bookmarkStart w:id="177" w:name="_Toc443910696"/>
      <w:r>
        <w:t>Strategy 1: H</w:t>
      </w:r>
      <w:r w:rsidRPr="006B3EF5">
        <w:t xml:space="preserve">olistic approach to </w:t>
      </w:r>
      <w:r>
        <w:t>mobile broadband</w:t>
      </w:r>
      <w:r w:rsidRPr="006B3EF5">
        <w:t xml:space="preserve"> capacity growth</w:t>
      </w:r>
      <w:bookmarkEnd w:id="171"/>
      <w:bookmarkEnd w:id="172"/>
      <w:bookmarkEnd w:id="173"/>
      <w:bookmarkEnd w:id="176"/>
      <w:bookmarkEnd w:id="177"/>
      <w:r>
        <w:t xml:space="preserve"> </w:t>
      </w:r>
      <w:bookmarkEnd w:id="174"/>
    </w:p>
    <w:p w14:paraId="59DA24A4" w14:textId="11008BA1" w:rsidR="000C6F84" w:rsidRDefault="000C6F84" w:rsidP="003A69F1">
      <w:pPr>
        <w:spacing w:after="120"/>
        <w:rPr>
          <w:lang w:val="en"/>
        </w:rPr>
      </w:pPr>
      <w:r>
        <w:rPr>
          <w:lang w:val="en"/>
        </w:rPr>
        <w:t xml:space="preserve">The first strategy proposed by the ACMA in </w:t>
      </w:r>
      <w:r w:rsidRPr="00F3138B">
        <w:rPr>
          <w:i/>
          <w:lang w:val="en"/>
        </w:rPr>
        <w:t>Beyond 2020</w:t>
      </w:r>
      <w:r>
        <w:rPr>
          <w:lang w:val="en"/>
        </w:rPr>
        <w:t xml:space="preserve"> was:</w:t>
      </w:r>
    </w:p>
    <w:p w14:paraId="2B61BB6E" w14:textId="77777777" w:rsidR="000C6F84" w:rsidRPr="00F3651C" w:rsidRDefault="000C6F84" w:rsidP="00583697">
      <w:pPr>
        <w:pStyle w:val="ListNumber2"/>
        <w:numPr>
          <w:ilvl w:val="0"/>
          <w:numId w:val="0"/>
        </w:numPr>
        <w:spacing w:after="240"/>
        <w:ind w:left="284"/>
        <w:rPr>
          <w:i/>
        </w:rPr>
      </w:pPr>
      <w:r w:rsidRPr="00F3651C">
        <w:rPr>
          <w:i/>
        </w:rPr>
        <w:t xml:space="preserve">Encouraging a holistic approach to addressing the outcome of mobile broadband capacity growth that balances the available inputs of spectrum, technology and network infrastructure/topology. </w:t>
      </w:r>
    </w:p>
    <w:p w14:paraId="19EC62CB" w14:textId="77777777" w:rsidR="004A4F3D" w:rsidRDefault="006436DD" w:rsidP="003A69F1">
      <w:pPr>
        <w:rPr>
          <w:lang w:val="en"/>
        </w:rPr>
      </w:pPr>
      <w:r w:rsidRPr="00D328BD">
        <w:rPr>
          <w:lang w:val="en"/>
        </w:rPr>
        <w:t>Alcatel-Lucent</w:t>
      </w:r>
      <w:r w:rsidRPr="006436DD">
        <w:rPr>
          <w:lang w:val="en"/>
        </w:rPr>
        <w:t xml:space="preserve"> welcome</w:t>
      </w:r>
      <w:r w:rsidR="000C6F84">
        <w:rPr>
          <w:lang w:val="en"/>
        </w:rPr>
        <w:t>d</w:t>
      </w:r>
      <w:r w:rsidRPr="006436DD">
        <w:rPr>
          <w:lang w:val="en"/>
        </w:rPr>
        <w:t xml:space="preserve"> </w:t>
      </w:r>
      <w:r w:rsidR="008F1ABB">
        <w:rPr>
          <w:lang w:val="en"/>
        </w:rPr>
        <w:t xml:space="preserve">the </w:t>
      </w:r>
      <w:r w:rsidRPr="006436DD">
        <w:rPr>
          <w:lang w:val="en"/>
        </w:rPr>
        <w:t>ACMA</w:t>
      </w:r>
      <w:r w:rsidR="008F1ABB">
        <w:rPr>
          <w:lang w:val="en"/>
        </w:rPr>
        <w:t>’s</w:t>
      </w:r>
      <w:r w:rsidRPr="006436DD">
        <w:rPr>
          <w:lang w:val="en"/>
        </w:rPr>
        <w:t xml:space="preserve"> holistic approach to address the outcome of mobile broadband capacity growth that balances the available inputs of spectrum, technology and network infrastructure/topology. </w:t>
      </w:r>
    </w:p>
    <w:p w14:paraId="10B4D7FE" w14:textId="02F56B97" w:rsidR="000C6F84" w:rsidRDefault="00D12137" w:rsidP="003A69F1">
      <w:pPr>
        <w:rPr>
          <w:lang w:val="en"/>
        </w:rPr>
      </w:pPr>
      <w:r>
        <w:rPr>
          <w:lang w:val="en"/>
        </w:rPr>
        <w:t xml:space="preserve">AMTA </w:t>
      </w:r>
      <w:r w:rsidR="00945012">
        <w:rPr>
          <w:lang w:val="en"/>
        </w:rPr>
        <w:t xml:space="preserve">and Optus both </w:t>
      </w:r>
      <w:r>
        <w:rPr>
          <w:lang w:val="en"/>
        </w:rPr>
        <w:t xml:space="preserve">supported a holistic approach to the </w:t>
      </w:r>
      <w:r w:rsidR="004A4F3D">
        <w:rPr>
          <w:lang w:val="en"/>
        </w:rPr>
        <w:t>m</w:t>
      </w:r>
      <w:r>
        <w:rPr>
          <w:lang w:val="en"/>
        </w:rPr>
        <w:t xml:space="preserve">obile </w:t>
      </w:r>
      <w:r w:rsidR="004A4F3D">
        <w:rPr>
          <w:lang w:val="en"/>
        </w:rPr>
        <w:t>b</w:t>
      </w:r>
      <w:r>
        <w:rPr>
          <w:lang w:val="en"/>
        </w:rPr>
        <w:t>roadband</w:t>
      </w:r>
      <w:r w:rsidR="004A4F3D">
        <w:rPr>
          <w:lang w:val="en"/>
        </w:rPr>
        <w:t xml:space="preserve"> spectrum </w:t>
      </w:r>
      <w:r w:rsidR="00006FB3">
        <w:rPr>
          <w:lang w:val="en"/>
        </w:rPr>
        <w:t>management;</w:t>
      </w:r>
      <w:r w:rsidR="000C6F84">
        <w:rPr>
          <w:lang w:val="en"/>
        </w:rPr>
        <w:t xml:space="preserve"> </w:t>
      </w:r>
      <w:r>
        <w:rPr>
          <w:lang w:val="en"/>
        </w:rPr>
        <w:t>however,</w:t>
      </w:r>
      <w:r w:rsidR="000C6F84">
        <w:rPr>
          <w:lang w:val="en"/>
        </w:rPr>
        <w:t xml:space="preserve"> felt Strategy 1 was </w:t>
      </w:r>
      <w:r>
        <w:rPr>
          <w:lang w:val="en"/>
        </w:rPr>
        <w:t xml:space="preserve">too </w:t>
      </w:r>
      <w:r w:rsidR="000C6F84">
        <w:rPr>
          <w:lang w:val="en"/>
        </w:rPr>
        <w:t xml:space="preserve">prescriptive and unbalanced. </w:t>
      </w:r>
      <w:r w:rsidR="004A4F3D">
        <w:rPr>
          <w:lang w:val="en"/>
        </w:rPr>
        <w:t xml:space="preserve">Optus also </w:t>
      </w:r>
      <w:r w:rsidR="00945012">
        <w:rPr>
          <w:lang w:val="en"/>
        </w:rPr>
        <w:t xml:space="preserve">indicated their support was </w:t>
      </w:r>
      <w:r w:rsidR="007B6DBF">
        <w:rPr>
          <w:lang w:val="en"/>
        </w:rPr>
        <w:t>on the provision that</w:t>
      </w:r>
      <w:r w:rsidR="004A4F3D">
        <w:rPr>
          <w:lang w:val="en"/>
        </w:rPr>
        <w:t xml:space="preserve"> </w:t>
      </w:r>
      <w:r w:rsidR="004A4F3D" w:rsidRPr="004A4F3D">
        <w:rPr>
          <w:lang w:val="en"/>
        </w:rPr>
        <w:t xml:space="preserve">the absence of a quantified spectrum target does not result in a lack </w:t>
      </w:r>
      <w:r w:rsidR="004A4F3D" w:rsidRPr="004A4F3D">
        <w:t>of focussed</w:t>
      </w:r>
      <w:r w:rsidR="004A4F3D" w:rsidRPr="004A4F3D">
        <w:rPr>
          <w:lang w:val="en"/>
        </w:rPr>
        <w:t xml:space="preserve"> and timely </w:t>
      </w:r>
      <w:r w:rsidR="003A69F1" w:rsidRPr="004A4F3D">
        <w:rPr>
          <w:lang w:val="en"/>
        </w:rPr>
        <w:t>decision-making</w:t>
      </w:r>
      <w:r w:rsidR="004A4F3D" w:rsidRPr="004A4F3D">
        <w:rPr>
          <w:lang w:val="en"/>
        </w:rPr>
        <w:t xml:space="preserve"> around spectrum releases, or remove discipline in accurately measuring and reporting on whether the industry’s spectrum needs are being met.</w:t>
      </w:r>
      <w:r w:rsidR="004A4F3D">
        <w:rPr>
          <w:lang w:val="en"/>
        </w:rPr>
        <w:t xml:space="preserve"> Optus also expressed concern that Strategy 1 not be used to withhold spectrum on the basis that existing holdings are not being used or operators are not </w:t>
      </w:r>
      <w:r w:rsidR="004A4F3D" w:rsidRPr="004A4F3D">
        <w:rPr>
          <w:lang w:val="en"/>
        </w:rPr>
        <w:t>acting as efficiently as possible with respect to technology or network technology</w:t>
      </w:r>
      <w:r w:rsidR="004A4F3D">
        <w:rPr>
          <w:lang w:val="en"/>
        </w:rPr>
        <w:t>. They cited numerous reasons, including commercial factors for why this could occur.</w:t>
      </w:r>
    </w:p>
    <w:p w14:paraId="41E3A9AE" w14:textId="15D28F29" w:rsidR="008F1ABB" w:rsidRPr="009E076C" w:rsidRDefault="008F1ABB" w:rsidP="003A69F1">
      <w:r>
        <w:t xml:space="preserve">Communications Alliance believed that a more holistic approach is required. They submitted that there needs to be an acknowledgment of the broader framework that is being developed under the </w:t>
      </w:r>
      <w:r w:rsidR="003A69F1">
        <w:t>S</w:t>
      </w:r>
      <w:r>
        <w:t xml:space="preserve">pectrum </w:t>
      </w:r>
      <w:r w:rsidR="003A69F1">
        <w:t>R</w:t>
      </w:r>
      <w:r>
        <w:t xml:space="preserve">eview to maximise the overall public benefit arising from spectrum use. They believed this would include taking into account that user demand for broadband services is met via a range of delivery access technologies including mobile. Communications </w:t>
      </w:r>
      <w:r w:rsidRPr="009E076C">
        <w:t xml:space="preserve">Alliance also considered that the policy dimension was largely missing from </w:t>
      </w:r>
      <w:r w:rsidRPr="00F3138B">
        <w:rPr>
          <w:i/>
        </w:rPr>
        <w:t>Beyond 2020</w:t>
      </w:r>
      <w:r w:rsidRPr="009E076C">
        <w:t xml:space="preserve"> and that this needs to be explicitly taken into consideration. </w:t>
      </w:r>
    </w:p>
    <w:p w14:paraId="436F461D" w14:textId="72269EB4" w:rsidR="000C6F84" w:rsidRPr="009E076C" w:rsidRDefault="000C6F84" w:rsidP="000C6F84">
      <w:r w:rsidRPr="009E076C">
        <w:rPr>
          <w:rFonts w:cs="Arial"/>
          <w:szCs w:val="20"/>
          <w:lang w:val="en"/>
        </w:rPr>
        <w:t>Alcatel-Lucent and AMTA expressed difficulties with the so called ‘</w:t>
      </w:r>
      <w:r w:rsidR="006436DD" w:rsidRPr="009E076C">
        <w:rPr>
          <w:rFonts w:cs="Arial"/>
          <w:szCs w:val="20"/>
          <w:lang w:val="en"/>
        </w:rPr>
        <w:t>checklist</w:t>
      </w:r>
      <w:r w:rsidRPr="009E076C">
        <w:rPr>
          <w:rFonts w:cs="Arial"/>
          <w:szCs w:val="20"/>
          <w:lang w:val="en"/>
        </w:rPr>
        <w:t xml:space="preserve">’ of questions </w:t>
      </w:r>
      <w:r w:rsidRPr="009E076C">
        <w:t xml:space="preserve">likely to be asked by the ACMA when considering the </w:t>
      </w:r>
      <w:r w:rsidR="008F1ABB" w:rsidRPr="009E076C">
        <w:t>uptake</w:t>
      </w:r>
      <w:r w:rsidRPr="009E076C">
        <w:t xml:space="preserve"> of advanced, spectrally efficient technologies, as well as network infrastructure and topology deployments in efforts to deliver greater mobile broadband capacity using currently available spectrum. Alcatel-Lucent submitted that the </w:t>
      </w:r>
      <w:r w:rsidR="003A69F1" w:rsidRPr="009E076C">
        <w:t>checklist</w:t>
      </w:r>
      <w:r w:rsidRPr="009E076C">
        <w:t xml:space="preserve"> should take into account deployment reality</w:t>
      </w:r>
      <w:r w:rsidR="003A69F1">
        <w:t>,</w:t>
      </w:r>
      <w:r w:rsidRPr="009E076C">
        <w:t xml:space="preserve"> as well as densification and topology issues.</w:t>
      </w:r>
    </w:p>
    <w:p w14:paraId="5989D799" w14:textId="4787824B" w:rsidR="00A1305C" w:rsidRPr="009E076C" w:rsidRDefault="00F2576D" w:rsidP="003A69F1">
      <w:r w:rsidRPr="009E076C">
        <w:t>AMTA</w:t>
      </w:r>
      <w:r w:rsidR="00A1305C" w:rsidRPr="009E076C">
        <w:t xml:space="preserve">, Optus and Telstra </w:t>
      </w:r>
      <w:r w:rsidRPr="009E076C">
        <w:t xml:space="preserve">felt that the strategy implied that the ACMA required all existing mobile broadband spectrum holdings to be utilised. </w:t>
      </w:r>
      <w:r w:rsidR="00A1305C" w:rsidRPr="009E076C">
        <w:t>They</w:t>
      </w:r>
      <w:r w:rsidRPr="009E076C">
        <w:t xml:space="preserve"> considered that the ACMA should not plan to withhold spectrum from the mobile industry on the presumption that mobile network operators are not acting as efficiently as possible with respect to technology or network </w:t>
      </w:r>
      <w:r w:rsidR="008F1ABB" w:rsidRPr="009E076C">
        <w:t>topology</w:t>
      </w:r>
      <w:r w:rsidRPr="009E076C">
        <w:t>. Rather, AMTA</w:t>
      </w:r>
      <w:r w:rsidR="00A1305C" w:rsidRPr="009E076C">
        <w:t xml:space="preserve">, Optus and Telstra </w:t>
      </w:r>
      <w:r w:rsidRPr="009E076C">
        <w:t xml:space="preserve">supported the ACMA applying a </w:t>
      </w:r>
      <w:r w:rsidR="00D328BD" w:rsidRPr="00D328BD">
        <w:t>T</w:t>
      </w:r>
      <w:r w:rsidRPr="00D328BD">
        <w:t xml:space="preserve">otal </w:t>
      </w:r>
      <w:r w:rsidR="00D328BD" w:rsidRPr="00D328BD">
        <w:t>W</w:t>
      </w:r>
      <w:r w:rsidRPr="00D328BD">
        <w:t xml:space="preserve">elfare </w:t>
      </w:r>
      <w:r w:rsidR="00D328BD" w:rsidRPr="00D328BD">
        <w:t>S</w:t>
      </w:r>
      <w:r w:rsidRPr="00D328BD">
        <w:t>tandard</w:t>
      </w:r>
      <w:r w:rsidRPr="009E076C">
        <w:t xml:space="preserve"> assessment to determine whether the allocation of spectrum to the mobile industry will maximise the public benefit.</w:t>
      </w:r>
    </w:p>
    <w:p w14:paraId="471C7EB6" w14:textId="3B28ED2E" w:rsidR="00F2576D" w:rsidRPr="00F2576D" w:rsidRDefault="00F2576D" w:rsidP="008F1ABB">
      <w:pPr>
        <w:spacing w:after="120"/>
        <w:rPr>
          <w:rFonts w:cs="Arial"/>
        </w:rPr>
      </w:pPr>
      <w:r w:rsidRPr="009E076C">
        <w:t>Further, AMTA</w:t>
      </w:r>
      <w:r w:rsidR="00A1305C" w:rsidRPr="009E076C">
        <w:t xml:space="preserve"> and Optus</w:t>
      </w:r>
      <w:r w:rsidRPr="009E076C">
        <w:t xml:space="preserve"> submitted that </w:t>
      </w:r>
      <w:r w:rsidR="008F1ABB" w:rsidRPr="009E076C">
        <w:t xml:space="preserve">in </w:t>
      </w:r>
      <w:r w:rsidR="008F1ABB" w:rsidRPr="00F3138B">
        <w:rPr>
          <w:i/>
        </w:rPr>
        <w:t>Beyond 2020</w:t>
      </w:r>
      <w:r w:rsidR="00991D05">
        <w:t xml:space="preserve">, </w:t>
      </w:r>
      <w:r w:rsidRPr="009E076C">
        <w:t xml:space="preserve">it is implied that to increase mobile broadband capacity, approaches involving network densification are automatically or inherently more efficient than those involving additional spectrum for mobile broadband. They noted that the deployment of network infrastructure requires consideration of other factors including </w:t>
      </w:r>
      <w:r w:rsidRPr="009E076C">
        <w:rPr>
          <w:rFonts w:cs="Arial"/>
        </w:rPr>
        <w:t xml:space="preserve">community concerns, which can limit deployment activities in some areas. Further, AMTA </w:t>
      </w:r>
      <w:r w:rsidR="00A1305C" w:rsidRPr="009E076C">
        <w:rPr>
          <w:rFonts w:cs="Arial"/>
        </w:rPr>
        <w:t xml:space="preserve">and Optus </w:t>
      </w:r>
      <w:r w:rsidRPr="009E076C">
        <w:rPr>
          <w:rFonts w:cs="Arial"/>
        </w:rPr>
        <w:t>noted that re-farming of spectrum holdings for use by newer technologies is especially hindered by the need to support backwards-compatibility in order to, for example:</w:t>
      </w:r>
      <w:r w:rsidRPr="00F2576D">
        <w:rPr>
          <w:rFonts w:cs="Arial"/>
        </w:rPr>
        <w:t xml:space="preserve"> </w:t>
      </w:r>
    </w:p>
    <w:p w14:paraId="2B35EAD4" w14:textId="2C1FC438" w:rsidR="00F2576D" w:rsidRPr="00F2576D" w:rsidRDefault="00F2576D" w:rsidP="008F1ABB">
      <w:pPr>
        <w:pStyle w:val="ListBullet"/>
        <w:spacing w:line="240" w:lineRule="auto"/>
        <w:rPr>
          <w:rFonts w:cs="Arial"/>
        </w:rPr>
      </w:pPr>
      <w:r w:rsidRPr="00F2576D">
        <w:rPr>
          <w:rFonts w:cs="Arial"/>
        </w:rPr>
        <w:t xml:space="preserve">maximise coverage (in terms of population, not area) </w:t>
      </w:r>
    </w:p>
    <w:p w14:paraId="4E7E9145" w14:textId="59B76F42" w:rsidR="00F2576D" w:rsidRPr="00F2576D" w:rsidRDefault="00F2576D" w:rsidP="00F2576D">
      <w:pPr>
        <w:pStyle w:val="ListBullet"/>
        <w:rPr>
          <w:rFonts w:cs="Arial"/>
        </w:rPr>
      </w:pPr>
      <w:r w:rsidRPr="00F2576D">
        <w:rPr>
          <w:rFonts w:cs="Arial"/>
        </w:rPr>
        <w:t>support international roaming</w:t>
      </w:r>
    </w:p>
    <w:p w14:paraId="6897DE21" w14:textId="6D342BCA" w:rsidR="00F2576D" w:rsidRPr="00F2576D" w:rsidRDefault="00F2576D" w:rsidP="00F2576D">
      <w:pPr>
        <w:pStyle w:val="ListBullet"/>
        <w:rPr>
          <w:rFonts w:cs="Arial"/>
        </w:rPr>
      </w:pPr>
      <w:r w:rsidRPr="00F2576D">
        <w:rPr>
          <w:rFonts w:cs="Arial"/>
        </w:rPr>
        <w:t xml:space="preserve">consider user groups with large switchover costs </w:t>
      </w:r>
    </w:p>
    <w:p w14:paraId="25317E91" w14:textId="41ABC0F9" w:rsidR="00F2576D" w:rsidRPr="009E076C" w:rsidRDefault="00F2576D" w:rsidP="003A69F1">
      <w:pPr>
        <w:pStyle w:val="ListBulletLast"/>
      </w:pPr>
      <w:r w:rsidRPr="00F2576D">
        <w:t xml:space="preserve">the need to work </w:t>
      </w:r>
      <w:r w:rsidRPr="009E076C">
        <w:t xml:space="preserve">within existing spectrum arrangements that may not support or be optimised for current and future mobile broadband technologies. </w:t>
      </w:r>
    </w:p>
    <w:p w14:paraId="2D996166" w14:textId="3813F6C3" w:rsidR="00A1305C" w:rsidRPr="00A1305C" w:rsidRDefault="00A1305C" w:rsidP="003A69F1">
      <w:r w:rsidRPr="009E076C">
        <w:t>T</w:t>
      </w:r>
      <w:r w:rsidR="003D3ACB" w:rsidRPr="009E076C">
        <w:t>elstra submitted that t</w:t>
      </w:r>
      <w:r w:rsidRPr="009E076C">
        <w:t>he network implications associated with the use of small-cell and Wi-Fi off-load options</w:t>
      </w:r>
      <w:r w:rsidR="003D3ACB" w:rsidRPr="009E076C">
        <w:t xml:space="preserve"> were overlooked in </w:t>
      </w:r>
      <w:r w:rsidR="003D3ACB" w:rsidRPr="00F3138B">
        <w:rPr>
          <w:i/>
        </w:rPr>
        <w:t>Beyond 2020</w:t>
      </w:r>
      <w:r w:rsidR="003D3ACB" w:rsidRPr="009E076C">
        <w:t>. They noted that t</w:t>
      </w:r>
      <w:r w:rsidRPr="009E076C">
        <w:t>o be effective, small-cells must utilise a spectrum band distinct and separate from the macro-layer, to avoid creating</w:t>
      </w:r>
      <w:r w:rsidRPr="00505F98">
        <w:t xml:space="preserve"> regions where the small-cells cause coverage disruption (interference) and directly degrade macro capacity. </w:t>
      </w:r>
      <w:r w:rsidR="003D3ACB">
        <w:t>They also noted that to date</w:t>
      </w:r>
      <w:r w:rsidRPr="00505F98">
        <w:t xml:space="preserve"> Wi-Fi has not driven any noticeable off-load impact on Telstra’s macro-cell network</w:t>
      </w:r>
      <w:r w:rsidR="003A69F1">
        <w:t>,</w:t>
      </w:r>
      <w:r w:rsidR="003D3ACB">
        <w:t xml:space="preserve"> with n</w:t>
      </w:r>
      <w:r w:rsidRPr="00505F98">
        <w:t>o noticeable change in traffic levels be</w:t>
      </w:r>
      <w:r w:rsidR="003D3ACB">
        <w:t>ing</w:t>
      </w:r>
      <w:r w:rsidRPr="00505F98">
        <w:t xml:space="preserve"> observed on Telstra’s macro cells.</w:t>
      </w:r>
    </w:p>
    <w:p w14:paraId="569EC1BD" w14:textId="03F5D0F3" w:rsidR="00F2576D" w:rsidRPr="00F2576D" w:rsidRDefault="00F2576D" w:rsidP="00F2576D">
      <w:r>
        <w:t>AMTA</w:t>
      </w:r>
      <w:r w:rsidR="00A1305C">
        <w:t>, Optus and Telstra</w:t>
      </w:r>
      <w:r w:rsidR="008F1ABB">
        <w:t xml:space="preserve"> also submitted that </w:t>
      </w:r>
      <w:r w:rsidRPr="00F2576D">
        <w:t xml:space="preserve">obligations for efficient use of existing spectrum </w:t>
      </w:r>
      <w:r w:rsidR="003A69F1" w:rsidRPr="00F2576D">
        <w:t>allocations</w:t>
      </w:r>
      <w:r w:rsidRPr="00F2576D">
        <w:t xml:space="preserve"> should not only rest on </w:t>
      </w:r>
      <w:r w:rsidR="008F1ABB">
        <w:t xml:space="preserve">mobile broadband </w:t>
      </w:r>
      <w:r w:rsidRPr="00F2576D">
        <w:t xml:space="preserve">network operators </w:t>
      </w:r>
      <w:r w:rsidR="00006FB3" w:rsidRPr="00F2576D">
        <w:t>but also</w:t>
      </w:r>
      <w:r w:rsidRPr="00F2576D">
        <w:t xml:space="preserve"> instead continuously apply to all users of the radio spectrum resource to ensure that Australia is deriving the maximum economic benefit from this important and scarce resource.</w:t>
      </w:r>
    </w:p>
    <w:p w14:paraId="27DD562F" w14:textId="78459523" w:rsidR="00270E79" w:rsidRPr="008F1ABB" w:rsidRDefault="003A69F1" w:rsidP="003A69F1">
      <w:pPr>
        <w:pStyle w:val="Heading3"/>
        <w:rPr>
          <w:lang w:val="en"/>
        </w:rPr>
      </w:pPr>
      <w:bookmarkStart w:id="178" w:name="_Toc443910697"/>
      <w:r>
        <w:rPr>
          <w:lang w:val="en"/>
        </w:rPr>
        <w:t xml:space="preserve">The </w:t>
      </w:r>
      <w:r w:rsidR="00983CE8">
        <w:rPr>
          <w:lang w:val="en"/>
        </w:rPr>
        <w:t>ACMA</w:t>
      </w:r>
      <w:r>
        <w:rPr>
          <w:lang w:val="en"/>
        </w:rPr>
        <w:t>’s</w:t>
      </w:r>
      <w:r w:rsidR="00983CE8">
        <w:rPr>
          <w:lang w:val="en"/>
        </w:rPr>
        <w:t xml:space="preserve"> r</w:t>
      </w:r>
      <w:r w:rsidR="008F1ABB" w:rsidRPr="008F1ABB">
        <w:rPr>
          <w:lang w:val="en"/>
        </w:rPr>
        <w:t>esponse</w:t>
      </w:r>
      <w:r w:rsidR="00AA13C9">
        <w:rPr>
          <w:lang w:val="en"/>
        </w:rPr>
        <w:t xml:space="preserve"> to comments on Strategy 1</w:t>
      </w:r>
      <w:bookmarkEnd w:id="178"/>
    </w:p>
    <w:p w14:paraId="32E4A857" w14:textId="4F042992" w:rsidR="00224D3C" w:rsidRPr="003513A7" w:rsidRDefault="00224D3C" w:rsidP="003A69F1">
      <w:r>
        <w:t xml:space="preserve">The strategies to address the growth in mobile broadband capacity are designed to </w:t>
      </w:r>
      <w:r w:rsidR="00965B42">
        <w:t>guide the ACMA within</w:t>
      </w:r>
      <w:r>
        <w:t xml:space="preserve">, and not </w:t>
      </w:r>
      <w:r w:rsidR="00965B42">
        <w:t>as a substitute</w:t>
      </w:r>
      <w:r>
        <w:t xml:space="preserve"> f</w:t>
      </w:r>
      <w:r w:rsidR="0018704E">
        <w:t>or</w:t>
      </w:r>
      <w:r>
        <w:t xml:space="preserve">, </w:t>
      </w:r>
      <w:r w:rsidR="00965B42">
        <w:t>its legislative responsibilities</w:t>
      </w:r>
      <w:r>
        <w:t xml:space="preserve">, </w:t>
      </w:r>
      <w:r w:rsidRPr="00840946">
        <w:t xml:space="preserve">the </w:t>
      </w:r>
      <w:hyperlink r:id="rId28" w:history="1">
        <w:r w:rsidRPr="003A69F1">
          <w:rPr>
            <w:rStyle w:val="Hyperlink"/>
            <w:rFonts w:cs="Arial"/>
          </w:rPr>
          <w:t>Principles for Spectrum Management</w:t>
        </w:r>
      </w:hyperlink>
      <w:r w:rsidRPr="00ED09FF">
        <w:rPr>
          <w:rStyle w:val="FootnoteReference"/>
          <w:rFonts w:cs="Arial"/>
        </w:rPr>
        <w:footnoteReference w:id="3"/>
      </w:r>
      <w:r w:rsidRPr="00C8574D" w:rsidDel="00DA0B78">
        <w:rPr>
          <w:i/>
        </w:rPr>
        <w:t xml:space="preserve"> </w:t>
      </w:r>
      <w:r w:rsidRPr="00840946">
        <w:t>(the Principles)</w:t>
      </w:r>
      <w:r w:rsidR="00965B42">
        <w:t>,</w:t>
      </w:r>
      <w:r>
        <w:t xml:space="preserve"> the </w:t>
      </w:r>
      <w:r w:rsidR="00D328BD">
        <w:t>T</w:t>
      </w:r>
      <w:r>
        <w:t xml:space="preserve">otal </w:t>
      </w:r>
      <w:r w:rsidR="00D328BD">
        <w:t>W</w:t>
      </w:r>
      <w:r>
        <w:t xml:space="preserve">elfare </w:t>
      </w:r>
      <w:r w:rsidR="00D328BD">
        <w:t>S</w:t>
      </w:r>
      <w:r>
        <w:t>tandard</w:t>
      </w:r>
      <w:r w:rsidR="00965B42">
        <w:t xml:space="preserve"> and government policy settings</w:t>
      </w:r>
      <w:r>
        <w:t>.</w:t>
      </w:r>
      <w:r w:rsidRPr="00840946">
        <w:t xml:space="preserve"> </w:t>
      </w:r>
      <w:r>
        <w:t xml:space="preserve">To that end, while the </w:t>
      </w:r>
      <w:r w:rsidRPr="002C503A">
        <w:rPr>
          <w:rFonts w:cs="Arial"/>
        </w:rPr>
        <w:t>ACMA expects to review its broadband strategies following implementation of the recommendations</w:t>
      </w:r>
      <w:r w:rsidRPr="00A92380">
        <w:rPr>
          <w:rFonts w:cs="Arial"/>
        </w:rPr>
        <w:t xml:space="preserve"> of the Spectrum Review</w:t>
      </w:r>
      <w:r>
        <w:rPr>
          <w:rFonts w:cs="Arial"/>
        </w:rPr>
        <w:t>, it is anticipated that the strategies as proposed will</w:t>
      </w:r>
      <w:r w:rsidR="003A69F1">
        <w:rPr>
          <w:rFonts w:cs="Arial"/>
        </w:rPr>
        <w:t>,</w:t>
      </w:r>
      <w:r>
        <w:rPr>
          <w:rFonts w:cs="Arial"/>
        </w:rPr>
        <w:t xml:space="preserve"> </w:t>
      </w:r>
      <w:r w:rsidR="00945012">
        <w:rPr>
          <w:rFonts w:cs="Arial"/>
        </w:rPr>
        <w:t>in the main</w:t>
      </w:r>
      <w:r w:rsidR="003A69F1">
        <w:rPr>
          <w:rFonts w:cs="Arial"/>
        </w:rPr>
        <w:t>,</w:t>
      </w:r>
      <w:r w:rsidR="00945012">
        <w:rPr>
          <w:rFonts w:cs="Arial"/>
        </w:rPr>
        <w:t xml:space="preserve"> </w:t>
      </w:r>
      <w:r>
        <w:rPr>
          <w:rFonts w:cs="Arial"/>
        </w:rPr>
        <w:t>be able to be applied regardless of the overarching statutory framework that is in place</w:t>
      </w:r>
      <w:r w:rsidR="00945012">
        <w:rPr>
          <w:rFonts w:cs="Arial"/>
        </w:rPr>
        <w:t>, though some modification may occur</w:t>
      </w:r>
      <w:r w:rsidRPr="00A92380">
        <w:rPr>
          <w:rFonts w:cs="Arial"/>
        </w:rPr>
        <w:t>.</w:t>
      </w:r>
      <w:r>
        <w:rPr>
          <w:rFonts w:cs="Arial"/>
        </w:rPr>
        <w:t xml:space="preserve"> Changes to the framework </w:t>
      </w:r>
      <w:r w:rsidRPr="003513A7">
        <w:rPr>
          <w:rFonts w:cs="Arial"/>
        </w:rPr>
        <w:t>should assist in providing the mechanisms for addressing future demand for mobile broadband services.</w:t>
      </w:r>
    </w:p>
    <w:p w14:paraId="6FCCA3DC" w14:textId="11341F7A" w:rsidR="001E3D39" w:rsidRDefault="0033685F" w:rsidP="00637A6A">
      <w:r w:rsidRPr="003513A7">
        <w:t xml:space="preserve">The proposed mobile broadband strategies and associated discussion in </w:t>
      </w:r>
      <w:r w:rsidRPr="00F3138B">
        <w:rPr>
          <w:i/>
        </w:rPr>
        <w:t>Beyond 2020</w:t>
      </w:r>
      <w:r w:rsidRPr="003513A7">
        <w:t xml:space="preserve"> aimed to show that mobile broadband operator requests for additional spectrum comes </w:t>
      </w:r>
      <w:r w:rsidR="00637A6A" w:rsidRPr="003513A7">
        <w:t xml:space="preserve">with </w:t>
      </w:r>
      <w:r w:rsidRPr="003513A7">
        <w:t xml:space="preserve">a certain level of scrutiny of their current holdings and usage. </w:t>
      </w:r>
      <w:r w:rsidR="001E3D39">
        <w:t xml:space="preserve">It </w:t>
      </w:r>
      <w:r w:rsidR="00702DC9">
        <w:t xml:space="preserve">was </w:t>
      </w:r>
      <w:r w:rsidR="001E3D39">
        <w:t xml:space="preserve">not intended to be a simple checklist </w:t>
      </w:r>
      <w:r w:rsidR="007D1CF3">
        <w:t xml:space="preserve">or ‘yes or no’ question </w:t>
      </w:r>
      <w:r w:rsidR="001E3D39">
        <w:t xml:space="preserve">style approach. The ACMA understands that </w:t>
      </w:r>
      <w:r w:rsidR="007D1CF3">
        <w:t xml:space="preserve">the </w:t>
      </w:r>
      <w:r w:rsidR="001E3D39">
        <w:t xml:space="preserve">factors affecting changes in network capacity are complex and numerous. It is intended that a multitude of issues would be considered as part of the implementation of this </w:t>
      </w:r>
      <w:r w:rsidR="00637A6A">
        <w:t>s</w:t>
      </w:r>
      <w:r w:rsidR="001E3D39">
        <w:t>trategy and, of course, any information provided by license</w:t>
      </w:r>
      <w:r w:rsidR="00EB6088">
        <w:t>e</w:t>
      </w:r>
      <w:r w:rsidR="001E3D39">
        <w:t xml:space="preserve">s on the matter would be taken into account. </w:t>
      </w:r>
    </w:p>
    <w:p w14:paraId="5618686B" w14:textId="2EC56F88" w:rsidR="0033685F" w:rsidRDefault="00637A6A" w:rsidP="00637A6A">
      <w:r>
        <w:t>Ultimately,</w:t>
      </w:r>
      <w:r w:rsidR="00224D3C" w:rsidRPr="003513A7">
        <w:t xml:space="preserve"> the statutory framework and the Principles require the overall public benefit derived from the use of the spectrum to be maximised. </w:t>
      </w:r>
      <w:r w:rsidR="003513A7" w:rsidRPr="001F6A01">
        <w:t xml:space="preserve">When considering the level of interest in, or demand for, spectrum, the ACMA will </w:t>
      </w:r>
      <w:r w:rsidR="001E3D39">
        <w:t xml:space="preserve">also </w:t>
      </w:r>
      <w:r w:rsidR="003513A7" w:rsidRPr="001F6A01">
        <w:t>consider the extent to which access to additional spectrum will reduce the costs of the relevant industry</w:t>
      </w:r>
      <w:r>
        <w:t>—</w:t>
      </w:r>
      <w:r w:rsidR="003513A7" w:rsidRPr="001F6A01">
        <w:t>this is one key incremental benefit of spectrum reform.</w:t>
      </w:r>
      <w:r w:rsidR="003513A7" w:rsidRPr="001F6A01">
        <w:rPr>
          <w:rStyle w:val="FootnoteReference"/>
        </w:rPr>
        <w:footnoteReference w:id="4"/>
      </w:r>
      <w:r w:rsidR="003513A7" w:rsidRPr="001F6A01">
        <w:t xml:space="preserve"> If that sector’s users have unused spectrum, for example, then </w:t>
      </w:r>
      <w:r w:rsidR="00A73BD7">
        <w:t>the reasons for this will be taken into account</w:t>
      </w:r>
      <w:r w:rsidR="001E3D39">
        <w:t xml:space="preserve"> as part of any assessment. </w:t>
      </w:r>
      <w:r w:rsidR="003513A7" w:rsidRPr="0044055D">
        <w:t>It is important for the ACMA to understand these potential incremental benefits in order to know whether spectrum use change may be net beneficial.</w:t>
      </w:r>
      <w:r w:rsidR="00C675CE">
        <w:t xml:space="preserve"> </w:t>
      </w:r>
    </w:p>
    <w:p w14:paraId="5A8D63F2" w14:textId="2D2D6EBF" w:rsidR="009E076C" w:rsidRPr="00683835" w:rsidRDefault="00965B42" w:rsidP="00637A6A">
      <w:r>
        <w:t>The ACMA has taken into account the specific f</w:t>
      </w:r>
      <w:r w:rsidR="003D3ACB" w:rsidRPr="00683835">
        <w:t xml:space="preserve">eedback regarding the </w:t>
      </w:r>
      <w:r>
        <w:rPr>
          <w:rFonts w:cs="Arial"/>
          <w:szCs w:val="20"/>
          <w:lang w:val="en"/>
        </w:rPr>
        <w:t xml:space="preserve">aspects that should be </w:t>
      </w:r>
      <w:r>
        <w:t xml:space="preserve">considered in assessing the uptake of </w:t>
      </w:r>
      <w:r w:rsidR="00637A6A">
        <w:t>advanced</w:t>
      </w:r>
      <w:r>
        <w:t xml:space="preserve"> spectrally efficient technologies, as well as network infrastructure and topology deployments in efforts to deliver greater mobile broadband capacity using currently available spectrum</w:t>
      </w:r>
      <w:r w:rsidR="00637A6A">
        <w:t>. It</w:t>
      </w:r>
      <w:r w:rsidR="00A73BD7">
        <w:t xml:space="preserve"> </w:t>
      </w:r>
      <w:r w:rsidR="007D1CF3">
        <w:t xml:space="preserve">will </w:t>
      </w:r>
      <w:r w:rsidR="00A73BD7">
        <w:t>include further clarification in the final strategy published in parallel to this paper.</w:t>
      </w:r>
      <w:r>
        <w:t xml:space="preserve"> </w:t>
      </w:r>
      <w:r w:rsidR="00A73BD7">
        <w:t>Otherwise, b</w:t>
      </w:r>
      <w:r w:rsidR="00945012">
        <w:rPr>
          <w:rFonts w:cs="Arial"/>
        </w:rPr>
        <w:t>ased on the assessment of submissions made</w:t>
      </w:r>
      <w:r w:rsidR="00945012" w:rsidRPr="00F31B8E">
        <w:rPr>
          <w:rFonts w:cs="Arial"/>
        </w:rPr>
        <w:t xml:space="preserve">, the ACMA maintains that </w:t>
      </w:r>
      <w:r w:rsidR="00945012">
        <w:rPr>
          <w:rFonts w:cs="Arial"/>
        </w:rPr>
        <w:t>Strategy 1</w:t>
      </w:r>
      <w:r w:rsidR="00945012" w:rsidRPr="00F31B8E">
        <w:rPr>
          <w:rFonts w:cs="Arial"/>
        </w:rPr>
        <w:t xml:space="preserve"> remai</w:t>
      </w:r>
      <w:r w:rsidR="00945012">
        <w:rPr>
          <w:rFonts w:cs="Arial"/>
        </w:rPr>
        <w:t>ns</w:t>
      </w:r>
      <w:bookmarkStart w:id="179" w:name="_Ref410907460"/>
      <w:bookmarkStart w:id="180" w:name="_Toc424729033"/>
      <w:bookmarkStart w:id="181" w:name="_Toc425928834"/>
      <w:bookmarkStart w:id="182" w:name="_Toc426094348"/>
      <w:bookmarkStart w:id="183" w:name="_Toc423962560"/>
      <w:bookmarkStart w:id="184" w:name="_Toc441074840"/>
      <w:r w:rsidR="009E076C">
        <w:rPr>
          <w:rFonts w:cs="Arial"/>
        </w:rPr>
        <w:t xml:space="preserve"> valid. </w:t>
      </w:r>
    </w:p>
    <w:p w14:paraId="39BEBE17" w14:textId="36B4E985" w:rsidR="005D7BB8" w:rsidRDefault="005D7BB8" w:rsidP="00637A6A">
      <w:pPr>
        <w:pStyle w:val="Heading2"/>
      </w:pPr>
      <w:bookmarkStart w:id="185" w:name="_Toc443910698"/>
      <w:r>
        <w:t>Strategy 2: Transparent spectrum management planning process</w:t>
      </w:r>
      <w:bookmarkEnd w:id="179"/>
      <w:bookmarkEnd w:id="180"/>
      <w:bookmarkEnd w:id="181"/>
      <w:bookmarkEnd w:id="182"/>
      <w:bookmarkEnd w:id="183"/>
      <w:bookmarkEnd w:id="184"/>
      <w:bookmarkEnd w:id="185"/>
    </w:p>
    <w:p w14:paraId="097052D7" w14:textId="77B74985" w:rsidR="000C6F84" w:rsidRPr="00683835" w:rsidRDefault="000C6F84" w:rsidP="00637A6A">
      <w:pPr>
        <w:spacing w:after="120"/>
      </w:pPr>
      <w:r w:rsidRPr="00683835">
        <w:t xml:space="preserve">The second strategy proposed by the ACMA in </w:t>
      </w:r>
      <w:r w:rsidRPr="00F3138B">
        <w:rPr>
          <w:i/>
        </w:rPr>
        <w:t>Beyond 2020</w:t>
      </w:r>
      <w:r w:rsidRPr="00683835">
        <w:t xml:space="preserve"> was:</w:t>
      </w:r>
    </w:p>
    <w:p w14:paraId="207552E1" w14:textId="77777777" w:rsidR="000C6F84" w:rsidRPr="00F3651C" w:rsidRDefault="000C6F84" w:rsidP="00F3651C">
      <w:pPr>
        <w:pStyle w:val="ListNumber2"/>
        <w:numPr>
          <w:ilvl w:val="0"/>
          <w:numId w:val="0"/>
        </w:numPr>
        <w:spacing w:after="240"/>
        <w:ind w:left="284"/>
        <w:rPr>
          <w:i/>
        </w:rPr>
      </w:pPr>
      <w:r w:rsidRPr="00F3651C">
        <w:rPr>
          <w:i/>
        </w:rPr>
        <w:t xml:space="preserve">Articulation of a transparent spectrum management process for identifying potential future spectrum options for mobile broadband. This includes the identification of a pool of potential spectrum options at varying stages of consideration. This will provide the ACMA with capacity to react to demand requirements on a contingency basis if, and when, needed, and when the evidence suggests that mobile broadband is, or is becoming, the highest value use of a particular band. </w:t>
      </w:r>
    </w:p>
    <w:p w14:paraId="26725C2C" w14:textId="1E6C9BC2" w:rsidR="0033685F" w:rsidRDefault="00903728" w:rsidP="0033685F">
      <w:r>
        <w:t>The submissions that addressed this strategy supported</w:t>
      </w:r>
      <w:r w:rsidR="00AA13C9">
        <w:t xml:space="preserve"> the ACMA’s proposed shift in approach away from quantitative targets towards a contingency planning model, agreeing it would </w:t>
      </w:r>
      <w:r w:rsidR="00AA13C9" w:rsidRPr="00A1305C">
        <w:t>‘allow the ACMA to be more flexible and responsive to the rapidly changing environment’</w:t>
      </w:r>
      <w:r w:rsidR="00AA13C9">
        <w:t>. A</w:t>
      </w:r>
      <w:r w:rsidR="00AA13C9" w:rsidRPr="00683835">
        <w:t xml:space="preserve">STRA </w:t>
      </w:r>
      <w:r w:rsidR="00AA13C9">
        <w:t>noted that g</w:t>
      </w:r>
      <w:r w:rsidR="00AA13C9" w:rsidRPr="00683835">
        <w:t xml:space="preserve">iven the significant impact on incumbent users of spectrum re-allocation, and on the consumers who make use of the services provided over that spectrum, an approach </w:t>
      </w:r>
      <w:r w:rsidR="00637A6A">
        <w:t>that</w:t>
      </w:r>
      <w:r w:rsidR="00637A6A" w:rsidRPr="00683835">
        <w:t xml:space="preserve"> </w:t>
      </w:r>
      <w:r w:rsidR="00AA13C9" w:rsidRPr="00683835">
        <w:t>is based on known need rather than speculative need is the most appropriate.</w:t>
      </w:r>
      <w:r w:rsidR="0033685F">
        <w:t xml:space="preserve"> GSMA considered the process to be a practical strategy </w:t>
      </w:r>
      <w:r w:rsidR="00637A6A">
        <w:t xml:space="preserve">that </w:t>
      </w:r>
      <w:r w:rsidR="0033685F">
        <w:t>keeps the ACMA’s options open and gives it the flexibility to speed up (or down) the progression of multiple spectrum bands toward mobile broadband use</w:t>
      </w:r>
      <w:r w:rsidR="00637A6A">
        <w:t>,</w:t>
      </w:r>
      <w:r w:rsidR="0033685F">
        <w:t xml:space="preserve"> as market conditions continue to evolve. </w:t>
      </w:r>
    </w:p>
    <w:p w14:paraId="301F701C" w14:textId="47A022AA" w:rsidR="00F65B47" w:rsidRPr="00AA13C9" w:rsidRDefault="00AA13C9" w:rsidP="00637A6A">
      <w:r w:rsidRPr="00A1305C">
        <w:t>Optus’ support</w:t>
      </w:r>
      <w:r>
        <w:t xml:space="preserve"> for the contingency planning model</w:t>
      </w:r>
      <w:r w:rsidRPr="00A1305C">
        <w:t xml:space="preserve"> </w:t>
      </w:r>
      <w:r>
        <w:t>wa</w:t>
      </w:r>
      <w:r w:rsidRPr="00A1305C">
        <w:t xml:space="preserve">s conditional on the proviso that the absence of a quantified spectrum target does not result in a lack of focussed and timely </w:t>
      </w:r>
      <w:r w:rsidR="00637A6A" w:rsidRPr="00A1305C">
        <w:t>decision-making</w:t>
      </w:r>
      <w:r w:rsidRPr="00A1305C">
        <w:t xml:space="preserve"> around spectrum releases, or remove discipline in accurately measuring and reporting on whether the industry’s spectrum needs are being met.</w:t>
      </w:r>
      <w:r>
        <w:t xml:space="preserve"> AMTA similarly noted the</w:t>
      </w:r>
      <w:r w:rsidRPr="00A1305C">
        <w:t xml:space="preserve"> need to maintain a sense of urgency in seeking new spectrum bands. </w:t>
      </w:r>
      <w:r>
        <w:t xml:space="preserve">Telstra also cautioned that </w:t>
      </w:r>
      <w:r w:rsidRPr="00AA13C9">
        <w:t>the effectiveness of this approach will depend on how it is implemented.</w:t>
      </w:r>
      <w:r w:rsidR="00F65B47">
        <w:t xml:space="preserve"> Communications Alliance similarly noted that the </w:t>
      </w:r>
      <w:r w:rsidR="00F65B47" w:rsidRPr="00F65B47">
        <w:t xml:space="preserve">success </w:t>
      </w:r>
      <w:r w:rsidR="00F65B47">
        <w:t xml:space="preserve">of the approach </w:t>
      </w:r>
      <w:r w:rsidR="00F65B47" w:rsidRPr="00F65B47">
        <w:t xml:space="preserve">will hinge upon its ability to be proactive and forward looking. </w:t>
      </w:r>
    </w:p>
    <w:p w14:paraId="158F7A52" w14:textId="7C5ED671" w:rsidR="005D7BB8" w:rsidRPr="00683835" w:rsidRDefault="00FD2879" w:rsidP="00637A6A">
      <w:r w:rsidRPr="00683835">
        <w:t xml:space="preserve">AMTA sees that the ACMA still has a role in managing spectrum that has been allocated to the mobile industry, and that this would be consistent with the ACMA’s proposal of a </w:t>
      </w:r>
      <w:r w:rsidRPr="00392FA8">
        <w:t xml:space="preserve">staged </w:t>
      </w:r>
      <w:r w:rsidR="002E248A">
        <w:t>mobile broadband</w:t>
      </w:r>
      <w:r w:rsidRPr="00392FA8">
        <w:t xml:space="preserve"> spectrum management planning process.</w:t>
      </w:r>
      <w:r w:rsidRPr="00683835">
        <w:t xml:space="preserve"> For instance, if licence holders agree that the configuration of their spectrum in an existing band could be reviewed so that use of spectrum by the mobile industry can be better optimised, then they could ask the ACMA to incorporate this into the </w:t>
      </w:r>
      <w:r w:rsidR="002E248A">
        <w:t>mobile broadband</w:t>
      </w:r>
      <w:r w:rsidRPr="00683835">
        <w:t xml:space="preserve"> spectrum management planning process.</w:t>
      </w:r>
    </w:p>
    <w:p w14:paraId="0A091470" w14:textId="77777777" w:rsidR="005D7BB8" w:rsidRDefault="005D7BB8" w:rsidP="00637A6A">
      <w:pPr>
        <w:pStyle w:val="Heading3"/>
      </w:pPr>
      <w:bookmarkStart w:id="186" w:name="_Toc443910699"/>
      <w:r w:rsidRPr="001201C2">
        <w:t>Stages and considerations for band re-farming</w:t>
      </w:r>
      <w:bookmarkEnd w:id="186"/>
    </w:p>
    <w:p w14:paraId="4CBFECB2" w14:textId="710323BC" w:rsidR="00E20EE2" w:rsidRDefault="00D36D2E" w:rsidP="00637A6A">
      <w:r>
        <w:t xml:space="preserve">The stages and considerations for band re-farming proposed in </w:t>
      </w:r>
      <w:r w:rsidRPr="00F3138B">
        <w:rPr>
          <w:i/>
        </w:rPr>
        <w:t>Beyond 2020</w:t>
      </w:r>
      <w:r>
        <w:t xml:space="preserve"> </w:t>
      </w:r>
      <w:r w:rsidR="00FF5605">
        <w:t>were broadly supported in submissions</w:t>
      </w:r>
      <w:r>
        <w:t>. However, a</w:t>
      </w:r>
      <w:r w:rsidR="00FC1EBD">
        <w:t xml:space="preserve"> number of submissions expressed confusion as to how </w:t>
      </w:r>
      <w:r w:rsidR="00F65B47" w:rsidRPr="00F65B47">
        <w:t xml:space="preserve">bands </w:t>
      </w:r>
      <w:r w:rsidR="00FC1EBD">
        <w:t xml:space="preserve">would </w:t>
      </w:r>
      <w:r w:rsidR="00F65B47" w:rsidRPr="00F65B47">
        <w:t xml:space="preserve">progress </w:t>
      </w:r>
      <w:r w:rsidR="00FC1EBD">
        <w:t>through each stage in the spectrum management planning process</w:t>
      </w:r>
      <w:r>
        <w:t xml:space="preserve">. </w:t>
      </w:r>
      <w:r w:rsidR="00B24F33" w:rsidRPr="00F65B47">
        <w:t>Alcatel-Lucent note</w:t>
      </w:r>
      <w:r>
        <w:t>d</w:t>
      </w:r>
      <w:r w:rsidR="00B24F33" w:rsidRPr="00F65B47">
        <w:t xml:space="preserve"> the different proposed stages, as described, appear unclear, </w:t>
      </w:r>
      <w:r w:rsidR="00637A6A">
        <w:t>particularly</w:t>
      </w:r>
      <w:r w:rsidR="00B24F33" w:rsidRPr="00F65B47">
        <w:t xml:space="preserve"> in relation to how a spectrum band may progress to another stage.</w:t>
      </w:r>
      <w:r>
        <w:t xml:space="preserve"> Communications Alliance expressed concern that </w:t>
      </w:r>
      <w:r w:rsidR="00F65B47" w:rsidRPr="00F65B47">
        <w:t xml:space="preserve">the approach being proposed is somewhat linear, a matter of ‘stepping through’ </w:t>
      </w:r>
      <w:r w:rsidR="009B4370">
        <w:t xml:space="preserve">the </w:t>
      </w:r>
      <w:r w:rsidR="00F65B47" w:rsidRPr="00F65B47">
        <w:t>stages. Th</w:t>
      </w:r>
      <w:r>
        <w:t>ey cautioned that th</w:t>
      </w:r>
      <w:r w:rsidR="00F65B47" w:rsidRPr="00F65B47">
        <w:t>is approach may not be sufficiently agile to respond to the WRC planning cycle</w:t>
      </w:r>
      <w:r w:rsidR="00637A6A">
        <w:t>,</w:t>
      </w:r>
      <w:r w:rsidR="00F65B47" w:rsidRPr="00F65B47">
        <w:t xml:space="preserve"> or to market demand and technological change</w:t>
      </w:r>
      <w:r w:rsidR="00637A6A">
        <w:t>,</w:t>
      </w:r>
      <w:r>
        <w:t xml:space="preserve"> and that t</w:t>
      </w:r>
      <w:r w:rsidR="00F65B47" w:rsidRPr="00F65B47">
        <w:t>hese demands may be faster tha</w:t>
      </w:r>
      <w:r w:rsidR="00AB7842">
        <w:t>n</w:t>
      </w:r>
      <w:r w:rsidR="00F65B47" w:rsidRPr="00F65B47">
        <w:t xml:space="preserve"> the steps outlined in </w:t>
      </w:r>
      <w:r w:rsidRPr="00F3138B">
        <w:rPr>
          <w:i/>
        </w:rPr>
        <w:t>Beyond 2020</w:t>
      </w:r>
      <w:r w:rsidR="00F65B47" w:rsidRPr="00F65B47">
        <w:t>.</w:t>
      </w:r>
      <w:r w:rsidR="00E20EE2">
        <w:t xml:space="preserve"> </w:t>
      </w:r>
      <w:r w:rsidR="00F253C1">
        <w:t xml:space="preserve">Optus </w:t>
      </w:r>
      <w:r w:rsidR="00E20EE2">
        <w:t>sought</w:t>
      </w:r>
      <w:r w:rsidR="00F253C1" w:rsidRPr="00F65B47">
        <w:t xml:space="preserve"> clarif</w:t>
      </w:r>
      <w:r w:rsidR="00E20EE2">
        <w:t>ication on</w:t>
      </w:r>
      <w:r w:rsidR="00F253C1" w:rsidRPr="00F65B47">
        <w:t xml:space="preserve"> whether progress between stages will be sequential and ‘stop start’ or create an opportunity for parallel processes. </w:t>
      </w:r>
    </w:p>
    <w:p w14:paraId="488264F5" w14:textId="4D079B49" w:rsidR="00531BB9" w:rsidRPr="00F65B47" w:rsidRDefault="00E20EE2" w:rsidP="00637A6A">
      <w:r>
        <w:t xml:space="preserve">Similarly, </w:t>
      </w:r>
      <w:r w:rsidRPr="00F65B47">
        <w:t>Telstra accept</w:t>
      </w:r>
      <w:r>
        <w:t>ed</w:t>
      </w:r>
      <w:r w:rsidRPr="00F65B47">
        <w:t xml:space="preserve"> the need for a spectrum identification and allocation process similar to th</w:t>
      </w:r>
      <w:r>
        <w:t>at outlined</w:t>
      </w:r>
      <w:r w:rsidR="00637A6A">
        <w:t>,</w:t>
      </w:r>
      <w:r>
        <w:t xml:space="preserve"> </w:t>
      </w:r>
      <w:r w:rsidRPr="00F65B47">
        <w:t xml:space="preserve">but </w:t>
      </w:r>
      <w:r>
        <w:t xml:space="preserve">expressed </w:t>
      </w:r>
      <w:r w:rsidRPr="00F65B47">
        <w:t>concern that the timeline to work through the four steps will not be responsive enough</w:t>
      </w:r>
      <w:r>
        <w:t xml:space="preserve">. </w:t>
      </w:r>
      <w:r w:rsidRPr="00F65B47">
        <w:t>The</w:t>
      </w:r>
      <w:r>
        <w:t xml:space="preserve">y stated that the </w:t>
      </w:r>
      <w:r w:rsidRPr="00F65B47">
        <w:t>process does not have to be serial and some steps could be processed in parallel.</w:t>
      </w:r>
      <w:r w:rsidR="00531BB9" w:rsidRPr="00531BB9">
        <w:t xml:space="preserve"> </w:t>
      </w:r>
      <w:r w:rsidR="00531BB9" w:rsidRPr="00F65B47">
        <w:t>AMTA support</w:t>
      </w:r>
      <w:r w:rsidR="00FF5605">
        <w:t>ed</w:t>
      </w:r>
      <w:r w:rsidR="00531BB9" w:rsidRPr="00F65B47">
        <w:t xml:space="preserve"> a progression of frequency bands to (and within) the </w:t>
      </w:r>
      <w:r w:rsidR="00531BB9" w:rsidRPr="009B4370">
        <w:rPr>
          <w:i/>
        </w:rPr>
        <w:t>re-farming</w:t>
      </w:r>
      <w:r w:rsidR="00531BB9" w:rsidRPr="00F65B47">
        <w:t xml:space="preserve"> stage of the spectrum planning process be designed well before a ‘capacity crunch’ scenario materialises.</w:t>
      </w:r>
    </w:p>
    <w:p w14:paraId="38444764" w14:textId="3180FB7B" w:rsidR="00FD2879" w:rsidRPr="00F65B47" w:rsidRDefault="00FD2879" w:rsidP="00637A6A">
      <w:r w:rsidRPr="00F65B47">
        <w:t>AMTA suggest</w:t>
      </w:r>
      <w:r w:rsidR="003F35FB">
        <w:t>ed</w:t>
      </w:r>
      <w:r w:rsidRPr="00F65B47">
        <w:t xml:space="preserve"> that the terminology be amended so that the first </w:t>
      </w:r>
      <w:r w:rsidR="00637A6A">
        <w:t>‘</w:t>
      </w:r>
      <w:r w:rsidRPr="00F65B47">
        <w:t>Stage</w:t>
      </w:r>
      <w:r w:rsidR="00637A6A">
        <w:t>’</w:t>
      </w:r>
      <w:r w:rsidRPr="00F65B47">
        <w:t xml:space="preserve"> is referred to as </w:t>
      </w:r>
      <w:r w:rsidR="00637A6A">
        <w:t>‘</w:t>
      </w:r>
      <w:r w:rsidRPr="00F65B47">
        <w:t>Stage 1</w:t>
      </w:r>
      <w:r w:rsidR="00637A6A">
        <w:t>’</w:t>
      </w:r>
      <w:r w:rsidRPr="00F65B47">
        <w:t xml:space="preserve"> rather than </w:t>
      </w:r>
      <w:r w:rsidR="00637A6A">
        <w:t>‘</w:t>
      </w:r>
      <w:r w:rsidRPr="00F65B47">
        <w:t>Stage 0</w:t>
      </w:r>
      <w:r w:rsidR="00637A6A">
        <w:t>’</w:t>
      </w:r>
      <w:r w:rsidRPr="00F65B47">
        <w:t>.</w:t>
      </w:r>
    </w:p>
    <w:p w14:paraId="5E7E4C67" w14:textId="6E13D596" w:rsidR="002E78B4" w:rsidRPr="00D231FE" w:rsidRDefault="00DB7DF5" w:rsidP="00637A6A">
      <w:r>
        <w:t xml:space="preserve">There was also </w:t>
      </w:r>
      <w:r w:rsidR="00D34981">
        <w:t xml:space="preserve">misunderstanding </w:t>
      </w:r>
      <w:r>
        <w:t xml:space="preserve">about how the proposed mobile broadband spectrum management planning process </w:t>
      </w:r>
      <w:r w:rsidR="00637A6A">
        <w:t>(</w:t>
      </w:r>
      <w:r>
        <w:t>a domestic planning process</w:t>
      </w:r>
      <w:r w:rsidR="00637A6A">
        <w:t>)</w:t>
      </w:r>
      <w:r>
        <w:t>, relates to</w:t>
      </w:r>
      <w:r w:rsidR="00637A6A">
        <w:t xml:space="preserve"> the</w:t>
      </w:r>
      <w:r>
        <w:t xml:space="preserve"> international planning process and Australia’s domestic preparation for those processes. </w:t>
      </w:r>
      <w:r w:rsidR="003F35FB">
        <w:t xml:space="preserve">With regard to </w:t>
      </w:r>
      <w:r w:rsidR="00A46D65">
        <w:t xml:space="preserve">the </w:t>
      </w:r>
      <w:r w:rsidR="00A46D65" w:rsidRPr="00A46D65">
        <w:rPr>
          <w:i/>
        </w:rPr>
        <w:t>monitoring</w:t>
      </w:r>
      <w:r w:rsidR="00A46D65">
        <w:t xml:space="preserve"> s</w:t>
      </w:r>
      <w:r w:rsidR="003F35FB">
        <w:t>tage</w:t>
      </w:r>
      <w:r w:rsidR="00A46D65">
        <w:t xml:space="preserve"> </w:t>
      </w:r>
      <w:r w:rsidR="003F35FB">
        <w:t xml:space="preserve">in particular, AMTA </w:t>
      </w:r>
      <w:r w:rsidR="00D231FE">
        <w:t xml:space="preserve">felt that the </w:t>
      </w:r>
      <w:r w:rsidR="002D35A8" w:rsidRPr="00D231FE">
        <w:t xml:space="preserve">criteria for progressing from </w:t>
      </w:r>
      <w:r w:rsidR="00A46D65">
        <w:t xml:space="preserve">the </w:t>
      </w:r>
      <w:r w:rsidR="00A46D65" w:rsidRPr="00A46D65">
        <w:rPr>
          <w:i/>
        </w:rPr>
        <w:t>monitoring</w:t>
      </w:r>
      <w:r w:rsidR="00A46D65">
        <w:t xml:space="preserve"> stage</w:t>
      </w:r>
      <w:r w:rsidR="002D35A8" w:rsidRPr="00D231FE">
        <w:t xml:space="preserve"> to </w:t>
      </w:r>
      <w:r w:rsidR="002E29A8">
        <w:t xml:space="preserve">the </w:t>
      </w:r>
      <w:r w:rsidR="002E29A8" w:rsidRPr="005B01CB">
        <w:rPr>
          <w:i/>
        </w:rPr>
        <w:t>initial investigation</w:t>
      </w:r>
      <w:r w:rsidR="002E29A8">
        <w:t xml:space="preserve"> s</w:t>
      </w:r>
      <w:r w:rsidR="002D35A8" w:rsidRPr="00D231FE">
        <w:t xml:space="preserve">tage </w:t>
      </w:r>
      <w:r>
        <w:t>we</w:t>
      </w:r>
      <w:r w:rsidR="002D35A8" w:rsidRPr="00D231FE">
        <w:t xml:space="preserve">re particularly restrictive, as they appear to keep bands in </w:t>
      </w:r>
      <w:r w:rsidR="002E29A8" w:rsidRPr="002E29A8">
        <w:rPr>
          <w:i/>
        </w:rPr>
        <w:t>monitoring</w:t>
      </w:r>
      <w:r w:rsidR="002E29A8">
        <w:t xml:space="preserve"> s</w:t>
      </w:r>
      <w:r w:rsidR="002D35A8" w:rsidRPr="00D231FE">
        <w:t xml:space="preserve">tage until international deliberations are well progressed. </w:t>
      </w:r>
    </w:p>
    <w:p w14:paraId="682F1113" w14:textId="1C0904A3" w:rsidR="005D7BB8" w:rsidRPr="00D231FE" w:rsidRDefault="00FF5605" w:rsidP="004C5986">
      <w:r>
        <w:t xml:space="preserve">With regard to </w:t>
      </w:r>
      <w:r w:rsidR="002E29A8">
        <w:t xml:space="preserve">the </w:t>
      </w:r>
      <w:r w:rsidR="002E29A8" w:rsidRPr="002E29A8">
        <w:rPr>
          <w:i/>
        </w:rPr>
        <w:t>re-farming</w:t>
      </w:r>
      <w:r w:rsidR="002E29A8">
        <w:t xml:space="preserve"> s</w:t>
      </w:r>
      <w:r>
        <w:t xml:space="preserve">tage, AMTA requested that </w:t>
      </w:r>
      <w:r w:rsidR="002D35A8" w:rsidRPr="00D231FE">
        <w:t xml:space="preserve">it be made clear that there is scope for prioritisation among bands identified as being at </w:t>
      </w:r>
      <w:r w:rsidR="002E29A8">
        <w:t xml:space="preserve">the </w:t>
      </w:r>
      <w:r w:rsidR="002E29A8" w:rsidRPr="002E29A8">
        <w:rPr>
          <w:i/>
        </w:rPr>
        <w:t>re-farming</w:t>
      </w:r>
      <w:r w:rsidR="002E29A8">
        <w:t xml:space="preserve"> stage</w:t>
      </w:r>
      <w:r w:rsidR="002D35A8" w:rsidRPr="00D231FE">
        <w:t xml:space="preserve">, as well as scope for parallel work on more than one band at </w:t>
      </w:r>
      <w:r w:rsidR="002E29A8">
        <w:t xml:space="preserve">the </w:t>
      </w:r>
      <w:r w:rsidR="002E29A8" w:rsidRPr="002E29A8">
        <w:rPr>
          <w:i/>
        </w:rPr>
        <w:t>re-farming</w:t>
      </w:r>
      <w:r w:rsidR="002E29A8">
        <w:t xml:space="preserve"> stage</w:t>
      </w:r>
      <w:r w:rsidR="002D35A8" w:rsidRPr="00D231FE">
        <w:t>.</w:t>
      </w:r>
    </w:p>
    <w:p w14:paraId="258C43E0" w14:textId="53A8591E" w:rsidR="00A1504A" w:rsidRPr="00AA13C9" w:rsidRDefault="00637A6A" w:rsidP="00637A6A">
      <w:pPr>
        <w:pStyle w:val="Heading3"/>
      </w:pPr>
      <w:bookmarkStart w:id="187" w:name="_Toc443910700"/>
      <w:r>
        <w:t xml:space="preserve">The </w:t>
      </w:r>
      <w:r w:rsidR="00983CE8">
        <w:t>ACMA</w:t>
      </w:r>
      <w:r>
        <w:t>’s</w:t>
      </w:r>
      <w:r w:rsidR="00983CE8">
        <w:t xml:space="preserve"> r</w:t>
      </w:r>
      <w:r w:rsidR="00A1504A" w:rsidRPr="00AA13C9">
        <w:t>esponse to comments on Strategy 2</w:t>
      </w:r>
      <w:bookmarkEnd w:id="187"/>
    </w:p>
    <w:p w14:paraId="36E2BBC9" w14:textId="29762F1E" w:rsidR="000117B5" w:rsidRDefault="00A1504A" w:rsidP="00A1504A">
      <w:r>
        <w:t>The ACMA believes that the mobile broadband spectrum management planning process</w:t>
      </w:r>
      <w:r w:rsidRPr="00683835">
        <w:t xml:space="preserve"> </w:t>
      </w:r>
      <w:r>
        <w:t>will allow much of the planning process to occur proactively rather than delaying domestic consideration until international processes and standardisation is complete</w:t>
      </w:r>
      <w:r w:rsidR="000117B5">
        <w:t xml:space="preserve"> (</w:t>
      </w:r>
      <w:r w:rsidR="004C5986">
        <w:t>that is,</w:t>
      </w:r>
      <w:r w:rsidR="000117B5">
        <w:t xml:space="preserve"> they can occur in parallel if required)</w:t>
      </w:r>
      <w:r>
        <w:t xml:space="preserve">. </w:t>
      </w:r>
      <w:r w:rsidR="00AB7842">
        <w:t>The aim is that</w:t>
      </w:r>
      <w:r>
        <w:t xml:space="preserve"> domestic consideration of frequency bands will </w:t>
      </w:r>
      <w:r w:rsidR="002C1363">
        <w:t xml:space="preserve">be </w:t>
      </w:r>
      <w:r w:rsidR="00AB7842">
        <w:t xml:space="preserve">able to </w:t>
      </w:r>
      <w:r w:rsidR="002C1363">
        <w:t>progress</w:t>
      </w:r>
      <w:r w:rsidR="004C5986">
        <w:t>,</w:t>
      </w:r>
      <w:r w:rsidR="002C1363">
        <w:t xml:space="preserve"> </w:t>
      </w:r>
      <w:r w:rsidR="00AB7842">
        <w:t xml:space="preserve">so </w:t>
      </w:r>
      <w:r w:rsidR="002C1363">
        <w:t xml:space="preserve">bands </w:t>
      </w:r>
      <w:r w:rsidR="00AB7842">
        <w:t xml:space="preserve">are </w:t>
      </w:r>
      <w:r w:rsidR="002C1363">
        <w:t xml:space="preserve">ready to be allocated and used before a ‘capacity crunch’ materialises. </w:t>
      </w:r>
      <w:r>
        <w:t>The strategy will allow the ACMA to be</w:t>
      </w:r>
      <w:r w:rsidRPr="00683835">
        <w:t xml:space="preserve"> more flexible</w:t>
      </w:r>
      <w:r>
        <w:t xml:space="preserve">, </w:t>
      </w:r>
      <w:r w:rsidRPr="00683835">
        <w:t>responsive</w:t>
      </w:r>
      <w:r>
        <w:t xml:space="preserve"> and better able to adapt to changes in the environment as they occur</w:t>
      </w:r>
      <w:r w:rsidR="004C5986">
        <w:t>,</w:t>
      </w:r>
      <w:r>
        <w:t xml:space="preserve"> rather than speculating on future demand</w:t>
      </w:r>
      <w:r w:rsidRPr="00683835">
        <w:t xml:space="preserve">. </w:t>
      </w:r>
    </w:p>
    <w:p w14:paraId="705F54B7" w14:textId="55A44645" w:rsidR="000117B5" w:rsidRDefault="000117B5" w:rsidP="004C5986">
      <w:r>
        <w:t xml:space="preserve">It is important to note that </w:t>
      </w:r>
      <w:r w:rsidR="0047766B">
        <w:t xml:space="preserve">progression of a band through the </w:t>
      </w:r>
      <w:r w:rsidR="0047766B" w:rsidRPr="009B4370">
        <w:rPr>
          <w:i/>
        </w:rPr>
        <w:t>re</w:t>
      </w:r>
      <w:r w:rsidR="006C5587" w:rsidRPr="009B4370">
        <w:rPr>
          <w:i/>
        </w:rPr>
        <w:t>-</w:t>
      </w:r>
      <w:r w:rsidR="0047766B" w:rsidRPr="009B4370">
        <w:rPr>
          <w:i/>
        </w:rPr>
        <w:t>f</w:t>
      </w:r>
      <w:r w:rsidR="009A6904" w:rsidRPr="009B4370">
        <w:rPr>
          <w:i/>
        </w:rPr>
        <w:t>a</w:t>
      </w:r>
      <w:r w:rsidR="0047766B" w:rsidRPr="009B4370">
        <w:rPr>
          <w:i/>
        </w:rPr>
        <w:t>rming</w:t>
      </w:r>
      <w:r w:rsidR="0047766B">
        <w:t xml:space="preserve"> process under Strategy 2 is a domestic issue. The international planning process is covered by Strategy 5. </w:t>
      </w:r>
      <w:r>
        <w:t xml:space="preserve">Discussion on how the proposed domestic planning process relates to international processes is included under the section on Strategy 5. </w:t>
      </w:r>
    </w:p>
    <w:p w14:paraId="307DD896" w14:textId="06B29F06" w:rsidR="0047766B" w:rsidRDefault="00A1504A" w:rsidP="00A1504A">
      <w:r>
        <w:t>The mobile broadband spectrum management planning process is able to be used for investigating new spectrum bands as well as</w:t>
      </w:r>
      <w:r w:rsidR="004C5986">
        <w:t xml:space="preserve"> for</w:t>
      </w:r>
      <w:r>
        <w:t xml:space="preserve"> the replanning of existing bands. While there will be a need for prioritisation for resource management, consideration of different bands will be able to occur in parallel. Further, there is no set timeframe for how long a band will take to progress through the process. </w:t>
      </w:r>
      <w:r w:rsidR="0047766B">
        <w:t xml:space="preserve">However, the ACMA can and will prioritise work on different bands as required and will also conduct work on different bands in parallel as far as resources permit. </w:t>
      </w:r>
    </w:p>
    <w:p w14:paraId="46A0D47F" w14:textId="35FA551C" w:rsidR="00145150" w:rsidRDefault="0047766B" w:rsidP="004C5986">
      <w:r>
        <w:t>While</w:t>
      </w:r>
      <w:r w:rsidR="00145150">
        <w:t xml:space="preserve"> progression through the stages will typically be linear, different stages may be able to be compressed </w:t>
      </w:r>
      <w:r w:rsidR="004C5986">
        <w:t xml:space="preserve">so </w:t>
      </w:r>
      <w:r w:rsidR="00145150">
        <w:t xml:space="preserve">that a band is accelerated through the process if required. However, there will be a continuing need to allow sufficient time </w:t>
      </w:r>
      <w:r w:rsidR="00A41728">
        <w:t xml:space="preserve">for </w:t>
      </w:r>
      <w:r w:rsidR="00145150">
        <w:t xml:space="preserve">stakeholder consultation and assessment of the impact on incumbent users. </w:t>
      </w:r>
    </w:p>
    <w:p w14:paraId="078A38D9" w14:textId="59336063" w:rsidR="002E29A8" w:rsidRDefault="00A8506A" w:rsidP="002E29A8">
      <w:pPr>
        <w:rPr>
          <w:rFonts w:asciiTheme="minorHAnsi" w:hAnsiTheme="minorHAnsi"/>
        </w:rPr>
      </w:pPr>
      <w:r>
        <w:t xml:space="preserve">In response to feedback, the ACMA has changed the terminology used when referring to the stages of the mobile broadband spectrum management planning process. The numbering has been removed and the stages are now just referred to by their title. </w:t>
      </w:r>
      <w:r w:rsidR="002E29A8">
        <w:t xml:space="preserve">However, this does not change the intention of the stages. The </w:t>
      </w:r>
      <w:r w:rsidR="002E29A8" w:rsidRPr="002E29A8">
        <w:rPr>
          <w:i/>
        </w:rPr>
        <w:t>monitoring</w:t>
      </w:r>
      <w:r w:rsidR="002E29A8">
        <w:t xml:space="preserve"> stage is so named to indicate that a band is being monitored by the ACMA but is not at a stage where progression through a domestic process with stakeholder consultation can commence.</w:t>
      </w:r>
    </w:p>
    <w:p w14:paraId="12BDC5AE" w14:textId="1FFE07A9" w:rsidR="00A1504A" w:rsidRPr="00683835" w:rsidRDefault="00601EE3" w:rsidP="00A1504A">
      <w:r>
        <w:t>B</w:t>
      </w:r>
      <w:r>
        <w:rPr>
          <w:rFonts w:cs="Arial"/>
        </w:rPr>
        <w:t>ased on the assessment of submissions made</w:t>
      </w:r>
      <w:r w:rsidRPr="00F31B8E">
        <w:rPr>
          <w:rFonts w:cs="Arial"/>
        </w:rPr>
        <w:t xml:space="preserve">, the ACMA maintains that </w:t>
      </w:r>
      <w:r>
        <w:rPr>
          <w:rFonts w:cs="Arial"/>
        </w:rPr>
        <w:t xml:space="preserve">Strategy </w:t>
      </w:r>
      <w:r w:rsidR="00FB6BB5">
        <w:rPr>
          <w:rFonts w:cs="Arial"/>
        </w:rPr>
        <w:t>2</w:t>
      </w:r>
      <w:r w:rsidRPr="00F31B8E">
        <w:rPr>
          <w:rFonts w:cs="Arial"/>
        </w:rPr>
        <w:t xml:space="preserve"> remai</w:t>
      </w:r>
      <w:r>
        <w:rPr>
          <w:rFonts w:cs="Arial"/>
        </w:rPr>
        <w:t xml:space="preserve">ns valid. </w:t>
      </w:r>
    </w:p>
    <w:p w14:paraId="424B6CEC" w14:textId="3A7A9C65" w:rsidR="00145150" w:rsidRPr="00145150" w:rsidRDefault="005D7BB8" w:rsidP="004C5986">
      <w:pPr>
        <w:pStyle w:val="Heading2"/>
      </w:pPr>
      <w:bookmarkStart w:id="188" w:name="_Toc443910701"/>
      <w:r w:rsidRPr="00145150">
        <w:t>Assessments of highest value use</w:t>
      </w:r>
      <w:bookmarkEnd w:id="188"/>
    </w:p>
    <w:p w14:paraId="024E79FB" w14:textId="2F813D90" w:rsidR="00E92F6A" w:rsidRDefault="00E92F6A" w:rsidP="00E92F6A">
      <w:r>
        <w:t>Overall</w:t>
      </w:r>
      <w:r w:rsidR="004C5986">
        <w:t>,</w:t>
      </w:r>
      <w:r>
        <w:t xml:space="preserve"> submissions were supportive of the use of highest value use (HVU) assessments in the mobile broadband spectrum management planning process. </w:t>
      </w:r>
      <w:r w:rsidRPr="00420CDF">
        <w:t xml:space="preserve">ASTRA </w:t>
      </w:r>
      <w:r>
        <w:t xml:space="preserve">noted its </w:t>
      </w:r>
      <w:r w:rsidRPr="00420CDF">
        <w:t>continue</w:t>
      </w:r>
      <w:r>
        <w:t>d</w:t>
      </w:r>
      <w:r w:rsidRPr="00420CDF">
        <w:t xml:space="preserve"> support</w:t>
      </w:r>
      <w:r>
        <w:t xml:space="preserve"> of </w:t>
      </w:r>
      <w:r w:rsidRPr="00420CDF">
        <w:t xml:space="preserve">the </w:t>
      </w:r>
      <w:r w:rsidRPr="00D328BD">
        <w:t>Total Welfare Standard as a means of assessing a full range of interests and finding the appropriate balance of those interests. Given the Standard se</w:t>
      </w:r>
      <w:r w:rsidRPr="00420CDF">
        <w:t>eks to identify which use will generate the greatest net benefit for the community</w:t>
      </w:r>
      <w:r w:rsidR="004C5986">
        <w:t xml:space="preserve"> (</w:t>
      </w:r>
      <w:r w:rsidRPr="00420CDF">
        <w:t>rather than simply focussing on economic value encapsulated in willingness to pay</w:t>
      </w:r>
      <w:r w:rsidR="004C5986">
        <w:t>)</w:t>
      </w:r>
      <w:r w:rsidR="00006FB3" w:rsidRPr="00420CDF">
        <w:t>;</w:t>
      </w:r>
      <w:r w:rsidRPr="00420CDF">
        <w:t xml:space="preserve"> ASTRA supports this as the most appropriate approach to assessing the value of spectrum use. </w:t>
      </w:r>
    </w:p>
    <w:p w14:paraId="23E88A5C" w14:textId="6FF0F062" w:rsidR="00663933" w:rsidRPr="00420CDF" w:rsidRDefault="00663933" w:rsidP="004C5986">
      <w:r w:rsidRPr="00420CDF">
        <w:t xml:space="preserve">Optus </w:t>
      </w:r>
      <w:r>
        <w:t xml:space="preserve">also </w:t>
      </w:r>
      <w:r w:rsidRPr="00420CDF">
        <w:t>support</w:t>
      </w:r>
      <w:r>
        <w:t>ed</w:t>
      </w:r>
      <w:r w:rsidRPr="00420CDF">
        <w:t xml:space="preserve"> the use of a </w:t>
      </w:r>
      <w:r w:rsidR="00D328BD">
        <w:t>T</w:t>
      </w:r>
      <w:r w:rsidRPr="00420CDF">
        <w:t xml:space="preserve">otal </w:t>
      </w:r>
      <w:r w:rsidR="00D328BD">
        <w:t>W</w:t>
      </w:r>
      <w:r w:rsidRPr="00420CDF">
        <w:t xml:space="preserve">elfare </w:t>
      </w:r>
      <w:r w:rsidR="00D328BD">
        <w:t>S</w:t>
      </w:r>
      <w:r w:rsidRPr="00420CDF">
        <w:t xml:space="preserve">tandard as the overarching framework in assessing highest value use of spectrum and the proposed criteria for the framework presented in the </w:t>
      </w:r>
      <w:r w:rsidR="004C5986">
        <w:t>d</w:t>
      </w:r>
      <w:r w:rsidRPr="00420CDF">
        <w:t xml:space="preserve">iscussion </w:t>
      </w:r>
      <w:r w:rsidR="004C5986">
        <w:t>p</w:t>
      </w:r>
      <w:r w:rsidRPr="00420CDF">
        <w:t>aper.</w:t>
      </w:r>
    </w:p>
    <w:p w14:paraId="32F03599" w14:textId="0942E281" w:rsidR="00663933" w:rsidRDefault="00663933" w:rsidP="00663933">
      <w:r w:rsidRPr="00420CDF">
        <w:t>GSMA accept</w:t>
      </w:r>
      <w:r>
        <w:t>ed</w:t>
      </w:r>
      <w:r w:rsidRPr="00420CDF">
        <w:t xml:space="preserve"> that the factors likely to be considered in assessing the highest value use of a spectrum band are rational</w:t>
      </w:r>
      <w:r w:rsidR="004C5986">
        <w:t>,</w:t>
      </w:r>
      <w:r w:rsidRPr="00420CDF">
        <w:t xml:space="preserve"> and if adopted</w:t>
      </w:r>
      <w:r w:rsidR="004C5986">
        <w:t>,</w:t>
      </w:r>
      <w:r w:rsidRPr="00420CDF">
        <w:t xml:space="preserve"> would be expected to result in a sound conclusion. However, GSMA </w:t>
      </w:r>
      <w:r>
        <w:t xml:space="preserve">expressed concern </w:t>
      </w:r>
      <w:r w:rsidRPr="00420CDF">
        <w:t xml:space="preserve">that the process itself should be kept in perspective and that the adoption of such a thorough assessment may be costly to implement and may take a relatively long </w:t>
      </w:r>
      <w:r w:rsidR="004C5986" w:rsidRPr="00420CDF">
        <w:t>time</w:t>
      </w:r>
      <w:r w:rsidRPr="00420CDF">
        <w:t xml:space="preserve"> to complete.</w:t>
      </w:r>
      <w:r>
        <w:t xml:space="preserve"> </w:t>
      </w:r>
      <w:r w:rsidRPr="00420CDF">
        <w:t>In this context, the GSMA submits that the ACMA should also consider, for example, the outcomes of spectrum auctions in overseas markets as an initial basis for assessing the highest value use of a spectrum band.</w:t>
      </w:r>
      <w:r>
        <w:t xml:space="preserve"> Similarly, </w:t>
      </w:r>
      <w:r w:rsidRPr="00420CDF">
        <w:t>Optus consider</w:t>
      </w:r>
      <w:r>
        <w:t>ed</w:t>
      </w:r>
      <w:r w:rsidRPr="00420CDF">
        <w:t xml:space="preserve"> that it is important to ensure that highest value use analysis is conducted efficiently and transparently.</w:t>
      </w:r>
    </w:p>
    <w:p w14:paraId="17A97DDA" w14:textId="3AA38171" w:rsidR="00663933" w:rsidRDefault="00663933" w:rsidP="00663933">
      <w:r>
        <w:t xml:space="preserve">A number of submissions agreed with the sentiments outlined in </w:t>
      </w:r>
      <w:r w:rsidRPr="00F3138B">
        <w:rPr>
          <w:i/>
        </w:rPr>
        <w:t>Beyond 2020</w:t>
      </w:r>
      <w:r>
        <w:t xml:space="preserve"> that the highest value use of a particular band may vary over geographic areas. </w:t>
      </w:r>
      <w:r w:rsidRPr="00420CDF">
        <w:t>Omnispace</w:t>
      </w:r>
      <w:r>
        <w:t>, in particular, considered</w:t>
      </w:r>
      <w:r w:rsidRPr="00420CDF">
        <w:t xml:space="preserve"> that it is important to also allocate spectrum to services</w:t>
      </w:r>
      <w:r>
        <w:t xml:space="preserve"> that provide coverage to under-</w:t>
      </w:r>
      <w:r w:rsidRPr="00420CDF">
        <w:t>served rural and remote areas where affordable satellite delivery has a key role</w:t>
      </w:r>
      <w:r w:rsidR="004C5986">
        <w:t>,</w:t>
      </w:r>
      <w:r>
        <w:t xml:space="preserve"> and that t</w:t>
      </w:r>
      <w:r w:rsidRPr="00420CDF">
        <w:t xml:space="preserve">o ignore this causes the </w:t>
      </w:r>
      <w:r w:rsidR="004C5986">
        <w:t>‘</w:t>
      </w:r>
      <w:r w:rsidRPr="00420CDF">
        <w:t>digital divide</w:t>
      </w:r>
      <w:r w:rsidR="004C5986">
        <w:t>’</w:t>
      </w:r>
      <w:r w:rsidRPr="00420CDF">
        <w:t xml:space="preserve"> to increase.</w:t>
      </w:r>
    </w:p>
    <w:p w14:paraId="47127C87" w14:textId="516C0B79" w:rsidR="00663933" w:rsidRPr="00420CDF" w:rsidRDefault="00663933" w:rsidP="00663933">
      <w:r>
        <w:t xml:space="preserve">A number of submissions, including those from Communications Alliance and ASTRA, remarked that </w:t>
      </w:r>
      <w:r w:rsidRPr="00420CDF">
        <w:t>there is little evidence of</w:t>
      </w:r>
      <w:r w:rsidR="00EB6088">
        <w:t xml:space="preserve"> assessments of HVU</w:t>
      </w:r>
      <w:r w:rsidRPr="00420CDF">
        <w:t xml:space="preserve"> being applied in previous spectrum allocations. </w:t>
      </w:r>
    </w:p>
    <w:p w14:paraId="6CEFF6A7" w14:textId="39FF5618" w:rsidR="00E92F6A" w:rsidRPr="003F35FB" w:rsidRDefault="00E92F6A" w:rsidP="00E92F6A">
      <w:r>
        <w:t xml:space="preserve">There were a number of comments regarding the timing of assessments of HVU within the process proposed under Strategy 2. Defence suggested that a HVU assessment should be conducted as a prerequisite for a band appearing in the </w:t>
      </w:r>
      <w:r w:rsidRPr="005B01CB">
        <w:rPr>
          <w:i/>
        </w:rPr>
        <w:t>monitoring</w:t>
      </w:r>
      <w:r>
        <w:t xml:space="preserve"> stage. Defence also suggested that the triggers that can initiate a HVU assessment should be identified. They submitted these could include a </w:t>
      </w:r>
      <w:r w:rsidRPr="00231860">
        <w:t xml:space="preserve">Ministerial </w:t>
      </w:r>
      <w:r w:rsidR="00231860" w:rsidRPr="00231860">
        <w:t>D</w:t>
      </w:r>
      <w:r w:rsidRPr="00231860">
        <w:t>irection,</w:t>
      </w:r>
      <w:r>
        <w:t xml:space="preserve"> d</w:t>
      </w:r>
      <w:r w:rsidRPr="00F65B47">
        <w:t xml:space="preserve">emand evidence in the </w:t>
      </w:r>
      <w:r w:rsidR="00E97126">
        <w:t>FYSO,</w:t>
      </w:r>
      <w:r>
        <w:t xml:space="preserve"> or o</w:t>
      </w:r>
      <w:r w:rsidRPr="00F65B47">
        <w:t>ther mechanism</w:t>
      </w:r>
      <w:r>
        <w:t>s</w:t>
      </w:r>
      <w:r w:rsidRPr="00F65B47">
        <w:t>.</w:t>
      </w:r>
      <w:r>
        <w:t xml:space="preserve"> </w:t>
      </w:r>
      <w:r w:rsidRPr="002939A4">
        <w:t xml:space="preserve">Defence </w:t>
      </w:r>
      <w:r>
        <w:t xml:space="preserve">submitted that </w:t>
      </w:r>
      <w:r w:rsidRPr="002939A4">
        <w:t xml:space="preserve">HVU assessment should be linked </w:t>
      </w:r>
      <w:r>
        <w:t xml:space="preserve">as an annotation </w:t>
      </w:r>
      <w:r w:rsidRPr="002939A4">
        <w:t xml:space="preserve">to </w:t>
      </w:r>
      <w:r>
        <w:t xml:space="preserve">the </w:t>
      </w:r>
      <w:r w:rsidRPr="002939A4">
        <w:t>ARSP</w:t>
      </w:r>
      <w:r>
        <w:t>.</w:t>
      </w:r>
    </w:p>
    <w:p w14:paraId="4CD6622C" w14:textId="2E24AC47" w:rsidR="00E92F6A" w:rsidRPr="00F65B47" w:rsidRDefault="00E92F6A" w:rsidP="00E97126">
      <w:r>
        <w:t>AMTA suggested that t</w:t>
      </w:r>
      <w:r w:rsidRPr="00F65B47">
        <w:t>he prioritisation of frequency bands should be facilitated by permitting a</w:t>
      </w:r>
      <w:r>
        <w:t xml:space="preserve"> HVU</w:t>
      </w:r>
      <w:r w:rsidRPr="00F65B47">
        <w:t xml:space="preserve"> assessment at any stage. </w:t>
      </w:r>
      <w:r>
        <w:t>They noted that w</w:t>
      </w:r>
      <w:r w:rsidRPr="00F65B47">
        <w:t xml:space="preserve">hile such analysis has been explicitly defined as part of </w:t>
      </w:r>
      <w:r w:rsidR="002E29A8" w:rsidRPr="002E29A8">
        <w:rPr>
          <w:i/>
        </w:rPr>
        <w:t>initial investigation</w:t>
      </w:r>
      <w:r w:rsidR="002E29A8">
        <w:t xml:space="preserve"> and </w:t>
      </w:r>
      <w:r w:rsidR="002E29A8" w:rsidRPr="002E29A8">
        <w:rPr>
          <w:i/>
        </w:rPr>
        <w:t>preliminary replanning</w:t>
      </w:r>
      <w:r w:rsidR="002E29A8">
        <w:t xml:space="preserve"> s</w:t>
      </w:r>
      <w:r w:rsidRPr="00F65B47">
        <w:t xml:space="preserve">tages, there appears to be scope for ensuring this can also occur in </w:t>
      </w:r>
      <w:r w:rsidR="002E29A8">
        <w:t>all s</w:t>
      </w:r>
      <w:r w:rsidRPr="00F65B47">
        <w:t>tages.</w:t>
      </w:r>
    </w:p>
    <w:p w14:paraId="2BE496C3" w14:textId="18BCB496" w:rsidR="00663933" w:rsidRDefault="00663933" w:rsidP="00663933">
      <w:bookmarkStart w:id="189" w:name="_Toc423962561"/>
      <w:bookmarkStart w:id="190" w:name="_Toc424729034"/>
      <w:bookmarkStart w:id="191" w:name="_Toc425928835"/>
      <w:bookmarkStart w:id="192" w:name="_Toc426094349"/>
      <w:r>
        <w:t xml:space="preserve">A number of submissions, including those from Communications Alliance and ASTRA, remarked that </w:t>
      </w:r>
      <w:r w:rsidRPr="00420CDF">
        <w:t xml:space="preserve">there is little evidence of it being applied in previous spectrum allocations. </w:t>
      </w:r>
    </w:p>
    <w:p w14:paraId="3E5E3E61" w14:textId="439B8BA3" w:rsidR="00BC7DED" w:rsidRDefault="00663933" w:rsidP="00003DF1">
      <w:r>
        <w:t xml:space="preserve">In response to the specific consultation question on </w:t>
      </w:r>
      <w:r w:rsidR="006B6DFA">
        <w:t xml:space="preserve">the </w:t>
      </w:r>
      <w:r w:rsidRPr="00663933">
        <w:t xml:space="preserve">factors </w:t>
      </w:r>
      <w:r w:rsidR="006B6DFA">
        <w:t xml:space="preserve">that </w:t>
      </w:r>
      <w:r w:rsidRPr="00663933">
        <w:t>should be taken into account in assessing the highest value use of a spectrum band</w:t>
      </w:r>
      <w:r w:rsidR="006B6DFA">
        <w:t xml:space="preserve">, the </w:t>
      </w:r>
      <w:r w:rsidRPr="00663933">
        <w:t xml:space="preserve">particular costs and benefits </w:t>
      </w:r>
      <w:r w:rsidR="006B6DFA">
        <w:t xml:space="preserve">that </w:t>
      </w:r>
      <w:r w:rsidRPr="00663933">
        <w:t>should be taken into account</w:t>
      </w:r>
      <w:r w:rsidR="006B6DFA">
        <w:t xml:space="preserve"> and the </w:t>
      </w:r>
      <w:r w:rsidRPr="00663933">
        <w:t>recognised measure</w:t>
      </w:r>
      <w:r w:rsidR="006B6DFA">
        <w:t>s</w:t>
      </w:r>
      <w:r w:rsidRPr="00663933">
        <w:t xml:space="preserve"> of these costs and benefits</w:t>
      </w:r>
      <w:r w:rsidR="00E97126">
        <w:t>;</w:t>
      </w:r>
      <w:r w:rsidR="00003DF1">
        <w:t xml:space="preserve"> it was noted that the factors, costs and benefits </w:t>
      </w:r>
      <w:r w:rsidRPr="00420CDF">
        <w:t>are usually service type and band specific and should be considered on a case-by-case basis.</w:t>
      </w:r>
      <w:r w:rsidR="00003DF1">
        <w:t xml:space="preserve"> </w:t>
      </w:r>
      <w:r w:rsidR="00F15D15">
        <w:t>BoM</w:t>
      </w:r>
      <w:r w:rsidR="00003DF1">
        <w:t xml:space="preserve"> noted that t</w:t>
      </w:r>
      <w:r w:rsidR="008B7757" w:rsidRPr="00420CDF">
        <w:t xml:space="preserve">he valuation of spectrum used for public good applications has been and will continue to be complex and problematic. </w:t>
      </w:r>
    </w:p>
    <w:p w14:paraId="295ACBBB" w14:textId="049D04F9" w:rsidR="008B7757" w:rsidRPr="00420CDF" w:rsidRDefault="00F15D15" w:rsidP="008B7757">
      <w:r>
        <w:t>BoM</w:t>
      </w:r>
      <w:r w:rsidR="00BC7DED">
        <w:t xml:space="preserve"> also reinforced, as noted in </w:t>
      </w:r>
      <w:r w:rsidR="00BC7DED" w:rsidRPr="00F3138B">
        <w:rPr>
          <w:i/>
        </w:rPr>
        <w:t>Beyond 2020</w:t>
      </w:r>
      <w:r w:rsidR="00BC7DED">
        <w:t xml:space="preserve">, that </w:t>
      </w:r>
      <w:r w:rsidR="008B7757" w:rsidRPr="00420CDF">
        <w:t>the</w:t>
      </w:r>
      <w:r w:rsidR="00BC7DED">
        <w:t xml:space="preserve">y and other users often have </w:t>
      </w:r>
      <w:r w:rsidR="008B7757" w:rsidRPr="00420CDF">
        <w:t xml:space="preserve">no control over the </w:t>
      </w:r>
      <w:r w:rsidR="00BC7DED">
        <w:t xml:space="preserve">frequency bands </w:t>
      </w:r>
      <w:r w:rsidR="008B7757" w:rsidRPr="00420CDF">
        <w:t>i</w:t>
      </w:r>
      <w:r w:rsidR="00BC7DED">
        <w:t xml:space="preserve">n which it conducts its operations. </w:t>
      </w:r>
      <w:r w:rsidR="008B7757" w:rsidRPr="00420CDF">
        <w:t xml:space="preserve">The bands used are determined by the natural processes being observed, and by international harmonisation of these and other sensing bands, such as those used for meteorological radars, that are then incorporated into the design and manufacture of equipment that competes in a much smaller marketplace than that of telecommunications equipment manufacturers. </w:t>
      </w:r>
    </w:p>
    <w:p w14:paraId="2C70A194" w14:textId="78B02A28" w:rsidR="00E92F6A" w:rsidRPr="00AA13C9" w:rsidRDefault="00E97126" w:rsidP="00E97126">
      <w:pPr>
        <w:pStyle w:val="Heading3"/>
      </w:pPr>
      <w:bookmarkStart w:id="193" w:name="_Toc443910702"/>
      <w:r>
        <w:t xml:space="preserve">The </w:t>
      </w:r>
      <w:r w:rsidR="00983CE8">
        <w:t>ACMA</w:t>
      </w:r>
      <w:r>
        <w:t>’s</w:t>
      </w:r>
      <w:r w:rsidR="00983CE8">
        <w:t xml:space="preserve"> r</w:t>
      </w:r>
      <w:r w:rsidR="00E92F6A" w:rsidRPr="00AA13C9">
        <w:t xml:space="preserve">esponse to comments on </w:t>
      </w:r>
      <w:r w:rsidR="00E92F6A">
        <w:t>assessments of highest value use</w:t>
      </w:r>
      <w:bookmarkEnd w:id="193"/>
    </w:p>
    <w:p w14:paraId="12F7033B" w14:textId="15EBF749" w:rsidR="005F1A1D" w:rsidRDefault="005F1A1D" w:rsidP="00E97126">
      <w:r>
        <w:t xml:space="preserve">The feedback and comments submitted regarding assessments of highest value use and the use of the </w:t>
      </w:r>
      <w:r w:rsidR="00D328BD">
        <w:t>T</w:t>
      </w:r>
      <w:r>
        <w:t xml:space="preserve">otal </w:t>
      </w:r>
      <w:r w:rsidR="00D328BD">
        <w:t>W</w:t>
      </w:r>
      <w:r>
        <w:t xml:space="preserve">elfare </w:t>
      </w:r>
      <w:r w:rsidR="00D328BD">
        <w:t>S</w:t>
      </w:r>
      <w:r>
        <w:t>tandard have been taken into account in the development of an ACMA paper on assessing highest value use</w:t>
      </w:r>
      <w:r w:rsidR="00E97126">
        <w:t>,</w:t>
      </w:r>
      <w:r>
        <w:t xml:space="preserve"> which </w:t>
      </w:r>
      <w:r w:rsidR="009E076C">
        <w:t>will be</w:t>
      </w:r>
      <w:r>
        <w:t xml:space="preserve"> released in </w:t>
      </w:r>
      <w:r w:rsidR="009E076C">
        <w:t>in Q2 2016</w:t>
      </w:r>
      <w:r>
        <w:t xml:space="preserve">. </w:t>
      </w:r>
    </w:p>
    <w:p w14:paraId="6407B3C5" w14:textId="4EFAAB00" w:rsidR="00E92F6A" w:rsidRDefault="005F1A1D" w:rsidP="00E92F6A">
      <w:r>
        <w:t>In relation to a</w:t>
      </w:r>
      <w:r w:rsidR="00E92F6A">
        <w:t>ssessments of highest value use</w:t>
      </w:r>
      <w:r>
        <w:t xml:space="preserve"> within the mobile broadband spectrum management planning process, it is noted that these assessments </w:t>
      </w:r>
      <w:r w:rsidR="00E92F6A">
        <w:t>are able to occur at any time</w:t>
      </w:r>
      <w:r>
        <w:t xml:space="preserve"> throughout the process</w:t>
      </w:r>
      <w:r w:rsidR="00E92F6A">
        <w:t xml:space="preserve">. The assessments flagged at </w:t>
      </w:r>
      <w:r w:rsidR="002E29A8">
        <w:t xml:space="preserve">the </w:t>
      </w:r>
      <w:r w:rsidR="002E29A8" w:rsidRPr="002E29A8">
        <w:rPr>
          <w:i/>
        </w:rPr>
        <w:t>initial investigation</w:t>
      </w:r>
      <w:r w:rsidR="002E29A8">
        <w:t xml:space="preserve"> stage</w:t>
      </w:r>
      <w:r w:rsidR="00E92F6A">
        <w:t xml:space="preserve"> and </w:t>
      </w:r>
      <w:r w:rsidR="00774362">
        <w:t xml:space="preserve">the </w:t>
      </w:r>
      <w:r w:rsidR="00774362" w:rsidRPr="00774362">
        <w:rPr>
          <w:i/>
        </w:rPr>
        <w:t>preliminary replanning</w:t>
      </w:r>
      <w:r w:rsidR="00774362">
        <w:t xml:space="preserve"> stage</w:t>
      </w:r>
      <w:r w:rsidR="00E92F6A">
        <w:t xml:space="preserve"> are designed to take stock of the feasibility of bands prior to </w:t>
      </w:r>
      <w:r w:rsidR="006459E4">
        <w:t>any decision to re-farm</w:t>
      </w:r>
      <w:r w:rsidR="00E37A9B">
        <w:t>,</w:t>
      </w:r>
      <w:r w:rsidR="006459E4">
        <w:t xml:space="preserve"> which requires </w:t>
      </w:r>
      <w:r w:rsidR="00903728">
        <w:t>expending additional</w:t>
      </w:r>
      <w:r w:rsidR="00E92F6A">
        <w:t xml:space="preserve"> time and resources</w:t>
      </w:r>
      <w:r w:rsidR="006459E4">
        <w:t xml:space="preserve"> to manage</w:t>
      </w:r>
      <w:r w:rsidR="00E92F6A">
        <w:t xml:space="preserve">. </w:t>
      </w:r>
      <w:r>
        <w:t>However, the ACMA does not agree that a highest value use assessment should be conducted prior to a band being considered in</w:t>
      </w:r>
      <w:r w:rsidR="00774362">
        <w:t xml:space="preserve"> the </w:t>
      </w:r>
      <w:r w:rsidR="00774362" w:rsidRPr="00774362">
        <w:rPr>
          <w:i/>
        </w:rPr>
        <w:t>monitoring</w:t>
      </w:r>
      <w:r w:rsidR="00774362">
        <w:t xml:space="preserve"> stage</w:t>
      </w:r>
      <w:r w:rsidR="006459E4">
        <w:t xml:space="preserve">. </w:t>
      </w:r>
      <w:r w:rsidR="00072032">
        <w:t xml:space="preserve">Some basic assessment of a band needs to occur before a HVU is conducted. </w:t>
      </w:r>
      <w:r w:rsidR="00E37A9B">
        <w:t xml:space="preserve">The intention of </w:t>
      </w:r>
      <w:r w:rsidR="00774362">
        <w:t xml:space="preserve">the </w:t>
      </w:r>
      <w:r w:rsidR="00774362" w:rsidRPr="00774362">
        <w:rPr>
          <w:i/>
        </w:rPr>
        <w:t>monitoring</w:t>
      </w:r>
      <w:r w:rsidR="00774362">
        <w:t xml:space="preserve"> stage</w:t>
      </w:r>
      <w:r w:rsidR="00E37A9B">
        <w:t xml:space="preserve"> is to monitor </w:t>
      </w:r>
      <w:r w:rsidR="00F20988">
        <w:t>drivers</w:t>
      </w:r>
      <w:r w:rsidR="00E37A9B">
        <w:t xml:space="preserve"> domest</w:t>
      </w:r>
      <w:r w:rsidR="005A3E26">
        <w:t>ically and internationally for identifying a</w:t>
      </w:r>
      <w:r w:rsidR="00E37A9B">
        <w:t xml:space="preserve"> band </w:t>
      </w:r>
      <w:r w:rsidR="006459E4">
        <w:t xml:space="preserve">and </w:t>
      </w:r>
      <w:r w:rsidR="00E37A9B">
        <w:t xml:space="preserve">perform basic </w:t>
      </w:r>
      <w:r w:rsidR="006459E4">
        <w:t xml:space="preserve">evaluation </w:t>
      </w:r>
      <w:r w:rsidR="005A3E26">
        <w:t xml:space="preserve">to inform </w:t>
      </w:r>
      <w:r w:rsidR="006459E4">
        <w:t xml:space="preserve">a decision </w:t>
      </w:r>
      <w:r w:rsidR="005A3E26">
        <w:t>on whether</w:t>
      </w:r>
      <w:r w:rsidR="00E37A9B">
        <w:t xml:space="preserve"> or not </w:t>
      </w:r>
      <w:r w:rsidR="006459E4">
        <w:t xml:space="preserve">to </w:t>
      </w:r>
      <w:r w:rsidR="00E37A9B">
        <w:t xml:space="preserve">progress </w:t>
      </w:r>
      <w:r w:rsidR="006459E4">
        <w:t>work</w:t>
      </w:r>
      <w:r w:rsidR="00E37A9B">
        <w:t xml:space="preserve"> further and, </w:t>
      </w:r>
      <w:r w:rsidR="00E97126">
        <w:t>therefore</w:t>
      </w:r>
      <w:r w:rsidR="005A3E26">
        <w:t>,</w:t>
      </w:r>
      <w:r w:rsidR="00E37A9B">
        <w:t xml:space="preserve"> perform a HVU.</w:t>
      </w:r>
    </w:p>
    <w:p w14:paraId="77EE76EA" w14:textId="4B58D3DA" w:rsidR="00404883" w:rsidRDefault="003513A7" w:rsidP="003513A7">
      <w:r>
        <w:t xml:space="preserve">Since the adoption of the </w:t>
      </w:r>
      <w:r w:rsidR="00D328BD">
        <w:t>T</w:t>
      </w:r>
      <w:r>
        <w:t xml:space="preserve">otal </w:t>
      </w:r>
      <w:r w:rsidR="00D328BD">
        <w:t>W</w:t>
      </w:r>
      <w:r>
        <w:t xml:space="preserve">elfare </w:t>
      </w:r>
      <w:r w:rsidR="00D328BD">
        <w:t>S</w:t>
      </w:r>
      <w:r>
        <w:t xml:space="preserve">tandard in 2008, the ACMA has undertaken internal analysis to inform the welfare effects of spectrum re-farming and, had some of that analysis published as a regulatory impact statement (RIS) for the 2.5 GHz band. However, through this </w:t>
      </w:r>
      <w:r w:rsidRPr="00F3138B">
        <w:rPr>
          <w:i/>
        </w:rPr>
        <w:t>Beyond 2020</w:t>
      </w:r>
      <w:r>
        <w:t xml:space="preserve"> process (and through the </w:t>
      </w:r>
      <w:r w:rsidR="00690B25">
        <w:t xml:space="preserve">future </w:t>
      </w:r>
      <w:r>
        <w:t xml:space="preserve">release of the more detailed Highest Value Use paper) the ACMA is showing renewed commitment to undertake transparent analyses of highest value use and is seeking input from stakeholders to ensure these are consistent with best practice. </w:t>
      </w:r>
      <w:bookmarkStart w:id="194" w:name="_Toc441074841"/>
    </w:p>
    <w:p w14:paraId="0BBEEC1D" w14:textId="77777777" w:rsidR="001233C5" w:rsidRDefault="001233C5" w:rsidP="00E97126">
      <w:pPr>
        <w:pStyle w:val="Heading2"/>
        <w:keepLines/>
      </w:pPr>
      <w:bookmarkStart w:id="195" w:name="_Toc443910703"/>
      <w:r>
        <w:t>Strategy 3: Utilising the often long lead-times to reduce effect on incumbents</w:t>
      </w:r>
      <w:bookmarkEnd w:id="189"/>
      <w:bookmarkEnd w:id="190"/>
      <w:bookmarkEnd w:id="191"/>
      <w:bookmarkEnd w:id="192"/>
      <w:bookmarkEnd w:id="194"/>
      <w:bookmarkEnd w:id="195"/>
      <w:r>
        <w:t xml:space="preserve"> </w:t>
      </w:r>
    </w:p>
    <w:p w14:paraId="284CFBB4" w14:textId="6904C278" w:rsidR="000C6F84" w:rsidRDefault="000C6F84" w:rsidP="00E97126">
      <w:pPr>
        <w:keepNext/>
        <w:keepLines/>
        <w:spacing w:after="120"/>
        <w:rPr>
          <w:lang w:val="en"/>
        </w:rPr>
      </w:pPr>
      <w:r>
        <w:rPr>
          <w:lang w:val="en"/>
        </w:rPr>
        <w:t xml:space="preserve">The third strategy proposed by the ACMA in </w:t>
      </w:r>
      <w:r w:rsidRPr="00F3138B">
        <w:rPr>
          <w:i/>
          <w:lang w:val="en"/>
        </w:rPr>
        <w:t>Beyond 2020</w:t>
      </w:r>
      <w:r>
        <w:rPr>
          <w:lang w:val="en"/>
        </w:rPr>
        <w:t xml:space="preserve"> was:</w:t>
      </w:r>
    </w:p>
    <w:p w14:paraId="54897D6B" w14:textId="77777777" w:rsidR="000C6F84" w:rsidRPr="00F3651C" w:rsidRDefault="000C6F84" w:rsidP="00E97126">
      <w:pPr>
        <w:pStyle w:val="ListNumber2"/>
        <w:keepNext/>
        <w:keepLines/>
        <w:numPr>
          <w:ilvl w:val="0"/>
          <w:numId w:val="0"/>
        </w:numPr>
        <w:spacing w:after="240"/>
        <w:ind w:left="284"/>
        <w:rPr>
          <w:i/>
        </w:rPr>
      </w:pPr>
      <w:r w:rsidRPr="00F3651C">
        <w:rPr>
          <w:i/>
        </w:rPr>
        <w:t xml:space="preserve">Where possible, utilisation of the often long lead-times to assist in reducing the effect on incumbents arising from re-farming of spectrum to mobile broadband. </w:t>
      </w:r>
    </w:p>
    <w:p w14:paraId="35215B28" w14:textId="76A56A1B" w:rsidR="00981B82" w:rsidRPr="00290A62" w:rsidRDefault="00290A62" w:rsidP="00981B82">
      <w:r w:rsidRPr="00290A62">
        <w:t xml:space="preserve">In response to Strategy 3, </w:t>
      </w:r>
      <w:r w:rsidR="007E72A6">
        <w:t xml:space="preserve">some </w:t>
      </w:r>
      <w:r w:rsidRPr="00290A62">
        <w:t>submissions urged a proactive approach to spectrum planning for mobile broadband at a domestic and international level to ensure long lead</w:t>
      </w:r>
      <w:r w:rsidR="00E97126">
        <w:t>-</w:t>
      </w:r>
      <w:r w:rsidRPr="00290A62">
        <w:t xml:space="preserve">times are minimised and prevented from inhibiting use and innovation in Australia. </w:t>
      </w:r>
      <w:r w:rsidR="00981B82">
        <w:t>Alcatel-Lucent submitted that e</w:t>
      </w:r>
      <w:r w:rsidR="00981B82" w:rsidRPr="00290A62">
        <w:t xml:space="preserve">ven in the best possible world of spectrum management, the evolution of networks and technologies will result in additional future spectrum demand. Given this reality, </w:t>
      </w:r>
      <w:r w:rsidR="00981B82">
        <w:t xml:space="preserve">Alcatel-Lucent maintains that the </w:t>
      </w:r>
      <w:r w:rsidR="00981B82" w:rsidRPr="00290A62">
        <w:t>ACMA should play an active role in understanding the evolution and needs of the industry and ensure the release of new spectrum in an adequate time</w:t>
      </w:r>
      <w:r w:rsidR="00981B82">
        <w:t>.</w:t>
      </w:r>
      <w:r w:rsidR="00981B82" w:rsidRPr="00290A62">
        <w:t xml:space="preserve"> </w:t>
      </w:r>
    </w:p>
    <w:p w14:paraId="249DBE62" w14:textId="35A64980" w:rsidR="00290A62" w:rsidRPr="00290A62" w:rsidRDefault="00070703" w:rsidP="00E97126">
      <w:r>
        <w:t xml:space="preserve">Optus strongly supported changes to overarching processes to </w:t>
      </w:r>
      <w:r w:rsidRPr="00290A62">
        <w:t>change to the long lead</w:t>
      </w:r>
      <w:r w:rsidR="00E97126">
        <w:t>-</w:t>
      </w:r>
      <w:r w:rsidRPr="00290A62">
        <w:t xml:space="preserve">times in allocating spectrum for future mobile broadband use. </w:t>
      </w:r>
      <w:r w:rsidR="00290A62">
        <w:t xml:space="preserve">AMTA </w:t>
      </w:r>
      <w:r>
        <w:t xml:space="preserve">also </w:t>
      </w:r>
      <w:r w:rsidR="00290A62">
        <w:t xml:space="preserve">noted that </w:t>
      </w:r>
      <w:r w:rsidR="00290A62" w:rsidRPr="00290A62">
        <w:t>the Spectrum Review</w:t>
      </w:r>
      <w:r w:rsidR="00290A62">
        <w:t xml:space="preserve"> </w:t>
      </w:r>
      <w:r w:rsidR="004060BB">
        <w:t>might</w:t>
      </w:r>
      <w:r w:rsidR="00290A62">
        <w:t xml:space="preserve"> provide opportunities for</w:t>
      </w:r>
      <w:r w:rsidR="00290A62" w:rsidRPr="00290A62">
        <w:t xml:space="preserve"> the ACMA and policy-makers </w:t>
      </w:r>
      <w:r w:rsidR="00962EE9">
        <w:t>to</w:t>
      </w:r>
      <w:r w:rsidR="00290A62" w:rsidRPr="00290A62">
        <w:t xml:space="preserve"> look for ways to </w:t>
      </w:r>
      <w:r w:rsidR="004060BB" w:rsidRPr="00290A62">
        <w:t>streamline</w:t>
      </w:r>
      <w:r w:rsidR="00290A62" w:rsidRPr="00290A62">
        <w:t xml:space="preserve"> domestic processes and shorten lead-times.</w:t>
      </w:r>
    </w:p>
    <w:p w14:paraId="350DFB8D" w14:textId="6B1EEF50" w:rsidR="00070703" w:rsidRPr="00290A62" w:rsidRDefault="00290A62" w:rsidP="00E97126">
      <w:r w:rsidRPr="00290A62">
        <w:t>AMTA</w:t>
      </w:r>
      <w:r>
        <w:t xml:space="preserve"> also noted that </w:t>
      </w:r>
      <w:r w:rsidRPr="00290A62">
        <w:t xml:space="preserve">domestic planning reviews and analysis </w:t>
      </w:r>
      <w:r>
        <w:t xml:space="preserve">could be conducted </w:t>
      </w:r>
      <w:r w:rsidRPr="00290A62">
        <w:t>in parallel with international deliberations</w:t>
      </w:r>
      <w:r>
        <w:t>,</w:t>
      </w:r>
      <w:r w:rsidRPr="00290A62">
        <w:t xml:space="preserve"> instead of </w:t>
      </w:r>
      <w:r>
        <w:t xml:space="preserve">what they currently believe is a </w:t>
      </w:r>
      <w:r w:rsidRPr="00290A62">
        <w:t>sequential</w:t>
      </w:r>
      <w:r>
        <w:t xml:space="preserve"> process. They suggested </w:t>
      </w:r>
      <w:r w:rsidRPr="00290A62">
        <w:t xml:space="preserve">that will assist </w:t>
      </w:r>
      <w:r w:rsidR="00E97126">
        <w:t xml:space="preserve">in </w:t>
      </w:r>
      <w:r w:rsidRPr="00290A62">
        <w:t>reduc</w:t>
      </w:r>
      <w:r w:rsidR="00E97126">
        <w:t>ing</w:t>
      </w:r>
      <w:r w:rsidRPr="00290A62">
        <w:t xml:space="preserve"> overall lead-times.</w:t>
      </w:r>
      <w:r w:rsidR="00070703" w:rsidRPr="00070703">
        <w:t xml:space="preserve"> </w:t>
      </w:r>
      <w:r w:rsidR="00070703" w:rsidRPr="00290A62">
        <w:t xml:space="preserve">They </w:t>
      </w:r>
      <w:r w:rsidR="00070703">
        <w:t xml:space="preserve">also </w:t>
      </w:r>
      <w:r w:rsidR="00070703" w:rsidRPr="00290A62">
        <w:t>submitted that maintaining momentum in planning strategy is particularly important in order to reduce the impact of any long lead</w:t>
      </w:r>
      <w:r w:rsidR="00E97126">
        <w:t>-</w:t>
      </w:r>
      <w:r w:rsidR="00070703" w:rsidRPr="00290A62">
        <w:t>times involved in both domestic and international decision</w:t>
      </w:r>
      <w:r w:rsidR="00E97126">
        <w:t>-</w:t>
      </w:r>
      <w:r w:rsidR="00070703" w:rsidRPr="00290A62">
        <w:t>making forums, and the need to migrate incumbent uses to free up spectrum for new uses.</w:t>
      </w:r>
      <w:r w:rsidR="00070703" w:rsidRPr="00070703">
        <w:t xml:space="preserve"> </w:t>
      </w:r>
      <w:r w:rsidR="00070703" w:rsidRPr="00290A62">
        <w:t>Optus support</w:t>
      </w:r>
      <w:r w:rsidR="00070703">
        <w:t>ed</w:t>
      </w:r>
      <w:r w:rsidR="00070703" w:rsidRPr="00290A62">
        <w:t xml:space="preserve"> change</w:t>
      </w:r>
      <w:r w:rsidR="00070703">
        <w:t>s</w:t>
      </w:r>
      <w:r w:rsidR="00070703" w:rsidRPr="00290A62">
        <w:t xml:space="preserve"> to</w:t>
      </w:r>
      <w:r w:rsidR="00070703">
        <w:t xml:space="preserve"> Australia’s </w:t>
      </w:r>
      <w:r w:rsidR="00070703" w:rsidRPr="00290A62">
        <w:t xml:space="preserve">engagement in international </w:t>
      </w:r>
      <w:r w:rsidR="00E97126" w:rsidRPr="00290A62">
        <w:t>forums</w:t>
      </w:r>
      <w:r w:rsidR="00E97126">
        <w:t>, which</w:t>
      </w:r>
      <w:r w:rsidR="00070703">
        <w:t xml:space="preserve"> they submit creates barriers to shortening the long lead-</w:t>
      </w:r>
      <w:r w:rsidR="00070703" w:rsidRPr="00290A62">
        <w:t xml:space="preserve">times in allocating spectrum for future mobile broadband use. </w:t>
      </w:r>
    </w:p>
    <w:p w14:paraId="3470BCC2" w14:textId="1CCFBF1C" w:rsidR="00D918E5" w:rsidRPr="00290A62" w:rsidRDefault="00D918E5" w:rsidP="00E97126">
      <w:pPr>
        <w:spacing w:after="80"/>
      </w:pPr>
      <w:r w:rsidRPr="00290A62">
        <w:t>Optus believes efficient lead</w:t>
      </w:r>
      <w:r w:rsidR="00E97126">
        <w:t>-</w:t>
      </w:r>
      <w:r w:rsidRPr="00290A62">
        <w:t>times for spectrum allocation and reallocation decisions will:</w:t>
      </w:r>
    </w:p>
    <w:p w14:paraId="64063D8F" w14:textId="68E35023" w:rsidR="00D918E5" w:rsidRPr="00D918E5" w:rsidRDefault="00D918E5" w:rsidP="00D918E5">
      <w:pPr>
        <w:pStyle w:val="ListBullet"/>
        <w:rPr>
          <w:rFonts w:cs="Arial"/>
        </w:rPr>
      </w:pPr>
      <w:r w:rsidRPr="00D918E5">
        <w:rPr>
          <w:rFonts w:cs="Arial"/>
        </w:rPr>
        <w:t xml:space="preserve">reduce the resources required to engaged in such processes for the ACMA and industry </w:t>
      </w:r>
    </w:p>
    <w:p w14:paraId="5E74840B" w14:textId="73864D0B" w:rsidR="00D918E5" w:rsidRPr="00D918E5" w:rsidRDefault="00D918E5" w:rsidP="00D918E5">
      <w:pPr>
        <w:pStyle w:val="ListBullet"/>
        <w:rPr>
          <w:rFonts w:cs="Arial"/>
        </w:rPr>
      </w:pPr>
      <w:r w:rsidRPr="00D918E5">
        <w:rPr>
          <w:rFonts w:cs="Arial"/>
        </w:rPr>
        <w:t>increase certainty for investment planning and decision making processes</w:t>
      </w:r>
    </w:p>
    <w:p w14:paraId="36FA85D2" w14:textId="5ECABF55" w:rsidR="00D918E5" w:rsidRPr="00D918E5" w:rsidRDefault="00D918E5" w:rsidP="00E97126">
      <w:pPr>
        <w:pStyle w:val="ListBulletLast"/>
      </w:pPr>
      <w:r w:rsidRPr="00D918E5">
        <w:t>ensure the productivity benefits of new competitive mobile broadband services are not unnecessarily delayed.</w:t>
      </w:r>
    </w:p>
    <w:p w14:paraId="0BDCA888" w14:textId="7737861D" w:rsidR="00070703" w:rsidRPr="00290A62" w:rsidRDefault="00070703" w:rsidP="00070703">
      <w:r>
        <w:t xml:space="preserve">A number of submissions noted the long lead-times for change in their industry. </w:t>
      </w:r>
      <w:r w:rsidRPr="00290A62">
        <w:t>Communications Alliance note</w:t>
      </w:r>
      <w:r>
        <w:t xml:space="preserve">d that the </w:t>
      </w:r>
      <w:r w:rsidRPr="00290A62">
        <w:t xml:space="preserve">satellite industry </w:t>
      </w:r>
      <w:r>
        <w:t xml:space="preserve">is sensitive in this regard and has particularly long </w:t>
      </w:r>
      <w:r w:rsidRPr="00290A62">
        <w:t>lead</w:t>
      </w:r>
      <w:r>
        <w:t>-</w:t>
      </w:r>
      <w:r w:rsidRPr="00290A62">
        <w:t>times</w:t>
      </w:r>
      <w:r>
        <w:t>.</w:t>
      </w:r>
    </w:p>
    <w:p w14:paraId="0AF02F9F" w14:textId="080B0C5F" w:rsidR="00070703" w:rsidRPr="00AA13C9" w:rsidRDefault="00E97126" w:rsidP="00E97126">
      <w:pPr>
        <w:pStyle w:val="Heading3"/>
      </w:pPr>
      <w:bookmarkStart w:id="196" w:name="_Toc443910704"/>
      <w:r>
        <w:t xml:space="preserve">The </w:t>
      </w:r>
      <w:r w:rsidR="00983CE8">
        <w:t>ACMA</w:t>
      </w:r>
      <w:r>
        <w:t>’s</w:t>
      </w:r>
      <w:r w:rsidR="00983CE8">
        <w:t xml:space="preserve"> r</w:t>
      </w:r>
      <w:r w:rsidR="00070703" w:rsidRPr="00AA13C9">
        <w:t xml:space="preserve">esponse to comments on Strategy </w:t>
      </w:r>
      <w:r w:rsidR="00070703">
        <w:t>3</w:t>
      </w:r>
      <w:bookmarkEnd w:id="196"/>
    </w:p>
    <w:p w14:paraId="026D31E9" w14:textId="0CC1E542" w:rsidR="008B3288" w:rsidRDefault="00981B82" w:rsidP="00E97126">
      <w:r>
        <w:t xml:space="preserve">The ACMA believes that the strategies outlined will enable it to </w:t>
      </w:r>
      <w:r w:rsidR="00290ED7">
        <w:t xml:space="preserve">proactively </w:t>
      </w:r>
      <w:r w:rsidR="00290A62" w:rsidRPr="00290A62">
        <w:t>undertake domestic planning reviews and analysis in parallel with international deliberations</w:t>
      </w:r>
      <w:r>
        <w:t xml:space="preserve"> as </w:t>
      </w:r>
      <w:r w:rsidR="0075541C">
        <w:t xml:space="preserve">far </w:t>
      </w:r>
      <w:r>
        <w:t xml:space="preserve">as </w:t>
      </w:r>
      <w:r w:rsidR="00290ED7">
        <w:t>possible</w:t>
      </w:r>
      <w:r>
        <w:t xml:space="preserve">. </w:t>
      </w:r>
      <w:r w:rsidR="008B3288">
        <w:t xml:space="preserve">Discussion on how the proposed domestic planning process relates to international processes is included under the section on Strategy 5. </w:t>
      </w:r>
    </w:p>
    <w:p w14:paraId="77B274FF" w14:textId="02468248" w:rsidR="00F3651C" w:rsidRDefault="0075541C" w:rsidP="00981B82">
      <w:r>
        <w:t xml:space="preserve">As noted in the ACMA’s response on Strategy 2, </w:t>
      </w:r>
      <w:r w:rsidR="00B435FF">
        <w:t>when required, the progression of a band through the different re-farming stages may be able to be compressed. However,</w:t>
      </w:r>
      <w:r w:rsidR="00290ED7">
        <w:t xml:space="preserve"> any reduction in the lead-times for </w:t>
      </w:r>
      <w:r w:rsidR="00F3651C">
        <w:t xml:space="preserve">the re-farming </w:t>
      </w:r>
      <w:r w:rsidR="00290ED7">
        <w:t xml:space="preserve">of additional spectrum for mobile broadband does not </w:t>
      </w:r>
      <w:r w:rsidR="00F3651C">
        <w:t xml:space="preserve">remove </w:t>
      </w:r>
      <w:r w:rsidR="00290ED7">
        <w:t>the need for transition periods for incumbent services to enact any changes required as a result of new arrangements</w:t>
      </w:r>
      <w:r w:rsidR="00E97126">
        <w:t>,</w:t>
      </w:r>
      <w:r w:rsidR="00290ED7">
        <w:t xml:space="preserve"> thus reducing the effect of </w:t>
      </w:r>
      <w:r w:rsidR="00F3651C">
        <w:t>spectrum re-farming on incumbents</w:t>
      </w:r>
      <w:r w:rsidR="00290ED7">
        <w:t xml:space="preserve">. </w:t>
      </w:r>
    </w:p>
    <w:p w14:paraId="51D55C6C" w14:textId="4611DB43" w:rsidR="00290ED7" w:rsidRPr="00290A62" w:rsidRDefault="00290ED7" w:rsidP="00E97126">
      <w:r>
        <w:t xml:space="preserve">To that end, Strategy 3 will remain </w:t>
      </w:r>
      <w:r w:rsidR="007E72A6">
        <w:t>unchanged</w:t>
      </w:r>
      <w:r>
        <w:t xml:space="preserve"> in the final </w:t>
      </w:r>
      <w:r w:rsidR="00CB4C46">
        <w:t xml:space="preserve">published </w:t>
      </w:r>
      <w:r>
        <w:t xml:space="preserve">strategy. </w:t>
      </w:r>
    </w:p>
    <w:p w14:paraId="6888DB19" w14:textId="77777777" w:rsidR="001233C5" w:rsidRDefault="001233C5" w:rsidP="00392FA8">
      <w:pPr>
        <w:pStyle w:val="Heading2"/>
        <w:keepLines/>
      </w:pPr>
      <w:bookmarkStart w:id="197" w:name="_Toc423962562"/>
      <w:bookmarkStart w:id="198" w:name="_Toc424729035"/>
      <w:bookmarkStart w:id="199" w:name="_Toc425928836"/>
      <w:bookmarkStart w:id="200" w:name="_Toc426094350"/>
      <w:bookmarkStart w:id="201" w:name="_Toc441074842"/>
      <w:bookmarkStart w:id="202" w:name="_Toc443910705"/>
      <w:r>
        <w:t>Strategy 4: Exploring opportunities for increased spectrum sharing</w:t>
      </w:r>
      <w:bookmarkEnd w:id="197"/>
      <w:bookmarkEnd w:id="198"/>
      <w:bookmarkEnd w:id="199"/>
      <w:bookmarkEnd w:id="200"/>
      <w:bookmarkEnd w:id="201"/>
      <w:bookmarkEnd w:id="202"/>
      <w:r>
        <w:t xml:space="preserve"> </w:t>
      </w:r>
    </w:p>
    <w:p w14:paraId="64769F61" w14:textId="42B468FE" w:rsidR="000C6F84" w:rsidRDefault="000C6F84" w:rsidP="00392FA8">
      <w:pPr>
        <w:keepNext/>
        <w:keepLines/>
        <w:spacing w:after="120"/>
        <w:rPr>
          <w:rFonts w:cs="Arial"/>
          <w:szCs w:val="20"/>
          <w:lang w:val="en"/>
        </w:rPr>
      </w:pPr>
      <w:r>
        <w:rPr>
          <w:rFonts w:cs="Arial"/>
          <w:szCs w:val="20"/>
          <w:lang w:val="en"/>
        </w:rPr>
        <w:t xml:space="preserve">The fourth strategy proposed by the ACMA in </w:t>
      </w:r>
      <w:r w:rsidRPr="00F3138B">
        <w:rPr>
          <w:rFonts w:cs="Arial"/>
          <w:i/>
          <w:szCs w:val="20"/>
          <w:lang w:val="en"/>
        </w:rPr>
        <w:t>Beyond 2020</w:t>
      </w:r>
      <w:r>
        <w:rPr>
          <w:rFonts w:cs="Arial"/>
          <w:szCs w:val="20"/>
          <w:lang w:val="en"/>
        </w:rPr>
        <w:t xml:space="preserve"> was:</w:t>
      </w:r>
    </w:p>
    <w:p w14:paraId="1D5B3E48" w14:textId="77777777" w:rsidR="000C6F84" w:rsidRPr="00E97126" w:rsidRDefault="000C6F84" w:rsidP="00392FA8">
      <w:pPr>
        <w:pStyle w:val="ListNumber2"/>
        <w:keepNext/>
        <w:keepLines/>
        <w:numPr>
          <w:ilvl w:val="0"/>
          <w:numId w:val="0"/>
        </w:numPr>
        <w:spacing w:after="240"/>
        <w:ind w:left="284"/>
        <w:rPr>
          <w:i/>
        </w:rPr>
      </w:pPr>
      <w:r w:rsidRPr="00E97126">
        <w:rPr>
          <w:i/>
        </w:rPr>
        <w:t xml:space="preserve">Exploration and, where appropriate, the adoption of opportunities for greater sharing between mobile broadband services and other services. </w:t>
      </w:r>
    </w:p>
    <w:p w14:paraId="7175E2C5" w14:textId="3623D867" w:rsidR="005863B9" w:rsidRDefault="005863B9" w:rsidP="00392FA8">
      <w:pPr>
        <w:keepNext/>
        <w:keepLines/>
        <w:rPr>
          <w:lang w:val="en"/>
        </w:rPr>
      </w:pPr>
      <w:r>
        <w:rPr>
          <w:lang w:val="en"/>
        </w:rPr>
        <w:t>A number of submissions from the mobile industry highlighted the continued need for e</w:t>
      </w:r>
      <w:r w:rsidR="00B24F33" w:rsidRPr="00B24F33">
        <w:rPr>
          <w:lang w:val="en"/>
        </w:rPr>
        <w:t>xclusively licensed spectrum</w:t>
      </w:r>
      <w:r>
        <w:rPr>
          <w:lang w:val="en"/>
        </w:rPr>
        <w:t xml:space="preserve"> for mobile broadband services. Alcatel-Lucent noted that </w:t>
      </w:r>
      <w:r w:rsidR="00574350">
        <w:rPr>
          <w:lang w:val="en"/>
        </w:rPr>
        <w:t xml:space="preserve">this </w:t>
      </w:r>
      <w:r w:rsidR="00574350" w:rsidRPr="00B24F33">
        <w:rPr>
          <w:lang w:val="en"/>
        </w:rPr>
        <w:t>would</w:t>
      </w:r>
      <w:r w:rsidR="00B24F33" w:rsidRPr="00B24F33">
        <w:rPr>
          <w:lang w:val="en"/>
        </w:rPr>
        <w:t xml:space="preserve"> continue to be a critical element for the</w:t>
      </w:r>
      <w:r w:rsidR="00B24F33">
        <w:rPr>
          <w:lang w:val="en"/>
        </w:rPr>
        <w:t xml:space="preserve"> </w:t>
      </w:r>
      <w:r w:rsidR="00B24F33" w:rsidRPr="00B24F33">
        <w:rPr>
          <w:lang w:val="en"/>
        </w:rPr>
        <w:t>development of mobile networks in general, and 5G in particular, because it provides a predictable and stable way to establish the capacity of a deployed network.</w:t>
      </w:r>
      <w:r w:rsidR="00E339C4">
        <w:rPr>
          <w:lang w:val="en"/>
        </w:rPr>
        <w:t xml:space="preserve"> </w:t>
      </w:r>
      <w:r w:rsidRPr="00B23251">
        <w:rPr>
          <w:lang w:val="en"/>
        </w:rPr>
        <w:t xml:space="preserve">Optus </w:t>
      </w:r>
      <w:r w:rsidR="00E339C4">
        <w:rPr>
          <w:lang w:val="en"/>
        </w:rPr>
        <w:t xml:space="preserve">also </w:t>
      </w:r>
      <w:r w:rsidRPr="00B23251">
        <w:rPr>
          <w:lang w:val="en"/>
        </w:rPr>
        <w:t>support</w:t>
      </w:r>
      <w:r w:rsidR="00E339C4">
        <w:rPr>
          <w:lang w:val="en"/>
        </w:rPr>
        <w:t>ed</w:t>
      </w:r>
      <w:r w:rsidRPr="00B23251">
        <w:rPr>
          <w:lang w:val="en"/>
        </w:rPr>
        <w:t xml:space="preserve"> the retention of existing arrangements that create commercial opportunities for leasing of spectrum assets to third parties. </w:t>
      </w:r>
    </w:p>
    <w:p w14:paraId="5289877E" w14:textId="3918FFAE" w:rsidR="005863B9" w:rsidRDefault="005863B9" w:rsidP="00574350">
      <w:pPr>
        <w:rPr>
          <w:lang w:val="en"/>
        </w:rPr>
      </w:pPr>
      <w:r w:rsidRPr="00B23251">
        <w:rPr>
          <w:lang w:val="en"/>
        </w:rPr>
        <w:t xml:space="preserve">Optus does not generally support proposals for greater sharing of </w:t>
      </w:r>
      <w:r w:rsidRPr="009A59AE">
        <w:t>spectrum licenced for mobile broadband use between mobile broadband operators and other services</w:t>
      </w:r>
      <w:r w:rsidRPr="00B23251">
        <w:rPr>
          <w:lang w:val="en"/>
        </w:rPr>
        <w:t>.</w:t>
      </w:r>
    </w:p>
    <w:p w14:paraId="7F5FDB39" w14:textId="36157056" w:rsidR="00710FC4" w:rsidRPr="00B23251" w:rsidRDefault="007B0AD6" w:rsidP="00710FC4">
      <w:pPr>
        <w:rPr>
          <w:rFonts w:cs="Arial"/>
          <w:szCs w:val="20"/>
          <w:lang w:val="en"/>
        </w:rPr>
      </w:pPr>
      <w:r w:rsidRPr="00B24F33">
        <w:rPr>
          <w:rFonts w:cs="Arial"/>
          <w:szCs w:val="20"/>
          <w:lang w:val="en"/>
        </w:rPr>
        <w:t>Alcatel-Lucent welcome</w:t>
      </w:r>
      <w:r>
        <w:rPr>
          <w:rFonts w:cs="Arial"/>
          <w:szCs w:val="20"/>
          <w:lang w:val="en"/>
        </w:rPr>
        <w:t>d</w:t>
      </w:r>
      <w:r w:rsidRPr="00B24F33">
        <w:rPr>
          <w:rFonts w:cs="Arial"/>
          <w:szCs w:val="20"/>
          <w:lang w:val="en"/>
        </w:rPr>
        <w:t xml:space="preserve"> the effort of </w:t>
      </w:r>
      <w:r w:rsidR="00CB4C46">
        <w:rPr>
          <w:rFonts w:cs="Arial"/>
          <w:szCs w:val="20"/>
          <w:lang w:val="en"/>
        </w:rPr>
        <w:t xml:space="preserve">the </w:t>
      </w:r>
      <w:r w:rsidRPr="00B24F33">
        <w:rPr>
          <w:rFonts w:cs="Arial"/>
          <w:szCs w:val="20"/>
          <w:lang w:val="en"/>
        </w:rPr>
        <w:t>ACMA to further investigate spectrum sharing.</w:t>
      </w:r>
      <w:r>
        <w:rPr>
          <w:rFonts w:cs="Arial"/>
          <w:szCs w:val="20"/>
          <w:lang w:val="en"/>
        </w:rPr>
        <w:t xml:space="preserve"> </w:t>
      </w:r>
      <w:r w:rsidR="00710FC4" w:rsidRPr="00B23251">
        <w:rPr>
          <w:rFonts w:cs="Arial"/>
          <w:szCs w:val="20"/>
          <w:lang w:val="en"/>
        </w:rPr>
        <w:t>Alcatel</w:t>
      </w:r>
      <w:r>
        <w:rPr>
          <w:rFonts w:cs="Arial"/>
          <w:szCs w:val="20"/>
          <w:lang w:val="en"/>
        </w:rPr>
        <w:t>-</w:t>
      </w:r>
      <w:r w:rsidR="00710FC4" w:rsidRPr="00B23251">
        <w:rPr>
          <w:rFonts w:cs="Arial"/>
          <w:szCs w:val="20"/>
          <w:lang w:val="en"/>
        </w:rPr>
        <w:t>Lucent noted that accessing new frequency bands already in use by other services implies sharing spectrum and, therefore, an optimised coexistence with other radio technologies and possibly dynamic use of radio resources. This use of complementary spectrum on a licensed-shared and/or on a license-exempt basis requires equitable access to it through coordination mechanisms. Managing access will be important to maintain high spectrum efficiency and ensure that interference is controlled and managed, as required. This will require revisions to existing regulations and spectrum management practices to encourage and favor the use of shared spectrum resources with other services.</w:t>
      </w:r>
    </w:p>
    <w:p w14:paraId="570D477C" w14:textId="4EAF23CE" w:rsidR="00B24F33" w:rsidRPr="00B23251" w:rsidRDefault="007B0AD6" w:rsidP="00574350">
      <w:pPr>
        <w:rPr>
          <w:lang w:val="en"/>
        </w:rPr>
      </w:pPr>
      <w:r>
        <w:rPr>
          <w:lang w:val="en"/>
        </w:rPr>
        <w:t>Communications Alliance noted that t</w:t>
      </w:r>
      <w:r w:rsidR="002E3F57" w:rsidRPr="00B23251">
        <w:rPr>
          <w:lang w:val="en"/>
        </w:rPr>
        <w:t xml:space="preserve">he characteristics of sharing arrangements in the higher </w:t>
      </w:r>
      <w:r>
        <w:rPr>
          <w:lang w:val="en"/>
        </w:rPr>
        <w:t xml:space="preserve">frequency </w:t>
      </w:r>
      <w:r w:rsidR="002E3F57" w:rsidRPr="00B23251">
        <w:rPr>
          <w:lang w:val="en"/>
        </w:rPr>
        <w:t>spectrum bands are still emerging. Some members consider that the use of competitive market mechanisms are likely to be the optimal approach to sharing this spectrum amongst users, while others consider that an approach based on cooperation and complementary development could be more appropriate.</w:t>
      </w:r>
    </w:p>
    <w:p w14:paraId="2F83B619" w14:textId="742A2127" w:rsidR="00B23251" w:rsidRDefault="00574350" w:rsidP="00574350">
      <w:pPr>
        <w:pStyle w:val="Heading3"/>
      </w:pPr>
      <w:bookmarkStart w:id="203" w:name="_Toc443910706"/>
      <w:r>
        <w:t xml:space="preserve">The </w:t>
      </w:r>
      <w:r w:rsidR="00983CE8">
        <w:t>ACMA</w:t>
      </w:r>
      <w:r>
        <w:t>’s</w:t>
      </w:r>
      <w:r w:rsidR="00983CE8">
        <w:t xml:space="preserve"> r</w:t>
      </w:r>
      <w:r w:rsidR="00B23251" w:rsidRPr="00AA13C9">
        <w:t xml:space="preserve">esponse to comments on Strategy </w:t>
      </w:r>
      <w:r w:rsidR="00B23251">
        <w:t>4</w:t>
      </w:r>
      <w:bookmarkEnd w:id="203"/>
    </w:p>
    <w:p w14:paraId="2FFD8674" w14:textId="4731B9C3" w:rsidR="007B0AD6" w:rsidRDefault="009F672E" w:rsidP="00B23251">
      <w:pPr>
        <w:rPr>
          <w:rFonts w:cs="Arial"/>
          <w:szCs w:val="20"/>
          <w:lang w:val="en"/>
        </w:rPr>
      </w:pPr>
      <w:r>
        <w:rPr>
          <w:rFonts w:cs="Arial"/>
          <w:szCs w:val="20"/>
          <w:lang w:val="en"/>
        </w:rPr>
        <w:t>Numerous sharing opportunities exist and have been explored for mobile services and other services using geographical and/or frequency separation techniques</w:t>
      </w:r>
      <w:r w:rsidR="00574350">
        <w:rPr>
          <w:rFonts w:cs="Arial"/>
          <w:szCs w:val="20"/>
          <w:lang w:val="en"/>
        </w:rPr>
        <w:t>, f</w:t>
      </w:r>
      <w:r>
        <w:rPr>
          <w:rFonts w:cs="Arial"/>
          <w:szCs w:val="20"/>
          <w:lang w:val="en"/>
        </w:rPr>
        <w:t xml:space="preserve">or </w:t>
      </w:r>
      <w:r w:rsidR="00574350">
        <w:rPr>
          <w:rFonts w:cs="Arial"/>
          <w:szCs w:val="20"/>
          <w:lang w:val="en"/>
        </w:rPr>
        <w:t>example,</w:t>
      </w:r>
      <w:r>
        <w:rPr>
          <w:rFonts w:cs="Arial"/>
          <w:szCs w:val="20"/>
          <w:lang w:val="en"/>
        </w:rPr>
        <w:t xml:space="preserve"> the use </w:t>
      </w:r>
      <w:r w:rsidR="00CB4C46">
        <w:rPr>
          <w:rFonts w:cs="Arial"/>
          <w:szCs w:val="20"/>
          <w:lang w:val="en"/>
        </w:rPr>
        <w:t>fixed/mobile broadband and radiolocation services in the 3.5 GHz band</w:t>
      </w:r>
      <w:r w:rsidR="00DA46F3">
        <w:rPr>
          <w:rFonts w:cs="Arial"/>
          <w:szCs w:val="20"/>
          <w:lang w:val="en"/>
        </w:rPr>
        <w:t xml:space="preserve">. </w:t>
      </w:r>
      <w:r>
        <w:rPr>
          <w:rFonts w:cs="Arial"/>
          <w:szCs w:val="20"/>
          <w:lang w:val="en"/>
        </w:rPr>
        <w:t xml:space="preserve">The ACMA appreciates the current difficulties in mobile broadband services sharing with other services on the same frequency in the same geographical area. </w:t>
      </w:r>
      <w:r w:rsidR="00FC6D20">
        <w:t>Dedicated access to spectrum will remain a valid approach and used as necessary for the development of mobile networks in the foreseeable future.</w:t>
      </w:r>
      <w:r w:rsidR="007B0AD6">
        <w:rPr>
          <w:rFonts w:cs="Arial"/>
          <w:szCs w:val="20"/>
          <w:lang w:val="en"/>
        </w:rPr>
        <w:t xml:space="preserve">However, this is a developing area in spectrum management and in technology </w:t>
      </w:r>
      <w:r>
        <w:rPr>
          <w:rFonts w:cs="Arial"/>
          <w:szCs w:val="20"/>
          <w:lang w:val="en"/>
        </w:rPr>
        <w:t>(for example</w:t>
      </w:r>
      <w:r w:rsidR="00574350">
        <w:rPr>
          <w:rFonts w:cs="Arial"/>
          <w:szCs w:val="20"/>
          <w:lang w:val="en"/>
        </w:rPr>
        <w:t>,</w:t>
      </w:r>
      <w:r>
        <w:rPr>
          <w:rFonts w:cs="Arial"/>
          <w:szCs w:val="20"/>
          <w:lang w:val="en"/>
        </w:rPr>
        <w:t xml:space="preserve"> </w:t>
      </w:r>
      <w:r w:rsidR="00DA46F3">
        <w:rPr>
          <w:rFonts w:cs="Arial"/>
          <w:szCs w:val="20"/>
          <w:lang w:val="en"/>
        </w:rPr>
        <w:t xml:space="preserve">proposed </w:t>
      </w:r>
      <w:r>
        <w:rPr>
          <w:rFonts w:cs="Arial"/>
          <w:szCs w:val="20"/>
          <w:lang w:val="en"/>
        </w:rPr>
        <w:t xml:space="preserve">5G capabilities) </w:t>
      </w:r>
      <w:r w:rsidR="007B0AD6">
        <w:rPr>
          <w:rFonts w:cs="Arial"/>
          <w:szCs w:val="20"/>
          <w:lang w:val="en"/>
        </w:rPr>
        <w:t>and</w:t>
      </w:r>
      <w:r w:rsidR="007B0AD6" w:rsidRPr="007B0AD6">
        <w:rPr>
          <w:rFonts w:cs="Arial"/>
          <w:szCs w:val="20"/>
          <w:lang w:val="en"/>
        </w:rPr>
        <w:t xml:space="preserve"> there is merit </w:t>
      </w:r>
      <w:r w:rsidR="00CB4C46">
        <w:rPr>
          <w:rFonts w:cs="Arial"/>
          <w:szCs w:val="20"/>
          <w:lang w:val="en"/>
        </w:rPr>
        <w:t>in</w:t>
      </w:r>
      <w:r w:rsidR="00CB4C46" w:rsidRPr="007B0AD6">
        <w:rPr>
          <w:rFonts w:cs="Arial"/>
          <w:szCs w:val="20"/>
          <w:lang w:val="en"/>
        </w:rPr>
        <w:t xml:space="preserve"> </w:t>
      </w:r>
      <w:r w:rsidR="007B0AD6" w:rsidRPr="007B0AD6">
        <w:rPr>
          <w:rFonts w:cs="Arial"/>
          <w:szCs w:val="20"/>
          <w:lang w:val="en"/>
        </w:rPr>
        <w:t>exploring opportunities for greater sharing</w:t>
      </w:r>
      <w:r w:rsidR="007B0AD6">
        <w:rPr>
          <w:rFonts w:cs="Arial"/>
          <w:szCs w:val="20"/>
          <w:lang w:val="en"/>
        </w:rPr>
        <w:t>,</w:t>
      </w:r>
      <w:r w:rsidR="007B0AD6" w:rsidRPr="007B0AD6">
        <w:rPr>
          <w:rFonts w:cs="Arial"/>
          <w:szCs w:val="20"/>
          <w:lang w:val="en"/>
        </w:rPr>
        <w:t xml:space="preserve"> where appropriate. </w:t>
      </w:r>
    </w:p>
    <w:p w14:paraId="5C875F61" w14:textId="5C4C61FC" w:rsidR="00CB4C46" w:rsidRPr="007B0AD6" w:rsidRDefault="00CB4C46" w:rsidP="00574350">
      <w:pPr>
        <w:rPr>
          <w:rFonts w:cs="Arial"/>
          <w:szCs w:val="20"/>
          <w:lang w:val="en"/>
        </w:rPr>
      </w:pPr>
      <w:r>
        <w:t>Based on the assessment of submissions, Strategy</w:t>
      </w:r>
      <w:r w:rsidR="00BB0E11">
        <w:t xml:space="preserve"> 4</w:t>
      </w:r>
      <w:r>
        <w:t xml:space="preserve"> will remain unchanged in the final published strategy.</w:t>
      </w:r>
    </w:p>
    <w:p w14:paraId="04AE3AA9" w14:textId="77777777" w:rsidR="001233C5" w:rsidRPr="005C3669" w:rsidRDefault="001233C5" w:rsidP="00392FA8">
      <w:pPr>
        <w:pStyle w:val="Heading2"/>
        <w:keepLines/>
      </w:pPr>
      <w:bookmarkStart w:id="204" w:name="_Toc423962563"/>
      <w:bookmarkStart w:id="205" w:name="_Toc424729036"/>
      <w:bookmarkStart w:id="206" w:name="_Toc425928837"/>
      <w:bookmarkStart w:id="207" w:name="_Toc426094351"/>
      <w:bookmarkStart w:id="208" w:name="_Toc441074843"/>
      <w:bookmarkStart w:id="209" w:name="_Toc443910707"/>
      <w:r>
        <w:t xml:space="preserve">Strategy 5: </w:t>
      </w:r>
      <w:r w:rsidRPr="005C3669">
        <w:t>Influenc</w:t>
      </w:r>
      <w:r>
        <w:t>ing</w:t>
      </w:r>
      <w:r w:rsidRPr="005C3669">
        <w:t xml:space="preserve"> international</w:t>
      </w:r>
      <w:r>
        <w:t xml:space="preserve"> spectrum</w:t>
      </w:r>
      <w:r w:rsidRPr="005C3669">
        <w:t xml:space="preserve"> harmonisation</w:t>
      </w:r>
      <w:bookmarkEnd w:id="204"/>
      <w:bookmarkEnd w:id="205"/>
      <w:bookmarkEnd w:id="206"/>
      <w:bookmarkEnd w:id="207"/>
      <w:bookmarkEnd w:id="208"/>
      <w:bookmarkEnd w:id="209"/>
      <w:r w:rsidRPr="005C3669">
        <w:t xml:space="preserve"> </w:t>
      </w:r>
    </w:p>
    <w:p w14:paraId="0E1C8963" w14:textId="5A2256BC" w:rsidR="000C6F84" w:rsidRDefault="000C6F84" w:rsidP="00392FA8">
      <w:pPr>
        <w:keepNext/>
        <w:keepLines/>
        <w:spacing w:after="120"/>
        <w:rPr>
          <w:lang w:val="en"/>
        </w:rPr>
      </w:pPr>
      <w:r>
        <w:rPr>
          <w:lang w:val="en"/>
        </w:rPr>
        <w:t xml:space="preserve">The fifth strategy proposed by the ACMA in </w:t>
      </w:r>
      <w:r w:rsidRPr="00F3138B">
        <w:rPr>
          <w:i/>
          <w:lang w:val="en"/>
        </w:rPr>
        <w:t>Beyond 2020</w:t>
      </w:r>
      <w:r>
        <w:rPr>
          <w:lang w:val="en"/>
        </w:rPr>
        <w:t xml:space="preserve"> was: </w:t>
      </w:r>
    </w:p>
    <w:p w14:paraId="64F02E84" w14:textId="77777777" w:rsidR="000C6F84" w:rsidRPr="00574350" w:rsidRDefault="000C6F84" w:rsidP="00392FA8">
      <w:pPr>
        <w:pStyle w:val="ListNumber2"/>
        <w:keepNext/>
        <w:keepLines/>
        <w:numPr>
          <w:ilvl w:val="0"/>
          <w:numId w:val="0"/>
        </w:numPr>
        <w:spacing w:after="240"/>
        <w:ind w:left="360"/>
        <w:rPr>
          <w:i/>
        </w:rPr>
      </w:pPr>
      <w:r w:rsidRPr="00574350">
        <w:rPr>
          <w:i/>
        </w:rPr>
        <w:t>Engagement in international deliberations to influence the development of domestically suitable internationally harmonised spectrum options.</w:t>
      </w:r>
    </w:p>
    <w:p w14:paraId="5780F47E" w14:textId="5C3BF740" w:rsidR="00785FAE" w:rsidRPr="007B0AD6" w:rsidRDefault="007B0AD6" w:rsidP="00392FA8">
      <w:pPr>
        <w:keepNext/>
        <w:keepLines/>
        <w:rPr>
          <w:lang w:val="en"/>
        </w:rPr>
      </w:pPr>
      <w:r>
        <w:rPr>
          <w:lang w:val="en"/>
        </w:rPr>
        <w:t xml:space="preserve">A number of submissions </w:t>
      </w:r>
      <w:r w:rsidR="00F277B2">
        <w:rPr>
          <w:lang w:val="en"/>
        </w:rPr>
        <w:t xml:space="preserve">including Alcatel-Lucent, AMTA, Communications Alliance and Optus </w:t>
      </w:r>
      <w:r>
        <w:rPr>
          <w:lang w:val="en"/>
        </w:rPr>
        <w:t xml:space="preserve">noted the key role that Australia plays internationally and regionally. </w:t>
      </w:r>
      <w:r w:rsidR="00746708">
        <w:rPr>
          <w:lang w:val="en"/>
        </w:rPr>
        <w:t>It was</w:t>
      </w:r>
      <w:r>
        <w:rPr>
          <w:lang w:val="en"/>
        </w:rPr>
        <w:t xml:space="preserve"> noted that </w:t>
      </w:r>
      <w:r w:rsidR="00B24F33" w:rsidRPr="00B24F33">
        <w:rPr>
          <w:lang w:val="en"/>
        </w:rPr>
        <w:t xml:space="preserve">Australia </w:t>
      </w:r>
      <w:r w:rsidR="003B408C">
        <w:rPr>
          <w:lang w:val="en"/>
        </w:rPr>
        <w:t>plays</w:t>
      </w:r>
      <w:r w:rsidR="00B24F33" w:rsidRPr="00B24F33">
        <w:rPr>
          <w:lang w:val="en"/>
        </w:rPr>
        <w:t xml:space="preserve"> a key role </w:t>
      </w:r>
      <w:r>
        <w:rPr>
          <w:lang w:val="en"/>
        </w:rPr>
        <w:t>in the International Telecommunications Union (ITU) and in the Asia-Pacific Telecommunity (APT)</w:t>
      </w:r>
      <w:r w:rsidR="00574350">
        <w:rPr>
          <w:lang w:val="en"/>
        </w:rPr>
        <w:t>,</w:t>
      </w:r>
      <w:r>
        <w:rPr>
          <w:lang w:val="en"/>
        </w:rPr>
        <w:t xml:space="preserve"> </w:t>
      </w:r>
      <w:r w:rsidR="00B24F33" w:rsidRPr="00B24F33">
        <w:rPr>
          <w:lang w:val="en"/>
        </w:rPr>
        <w:t xml:space="preserve">and </w:t>
      </w:r>
      <w:r w:rsidR="00746708">
        <w:rPr>
          <w:lang w:val="en"/>
        </w:rPr>
        <w:t xml:space="preserve">many </w:t>
      </w:r>
      <w:r>
        <w:rPr>
          <w:lang w:val="en"/>
        </w:rPr>
        <w:t>felt that</w:t>
      </w:r>
      <w:r w:rsidR="00746708">
        <w:rPr>
          <w:lang w:val="en"/>
        </w:rPr>
        <w:t xml:space="preserve"> it was essential that</w:t>
      </w:r>
      <w:r>
        <w:rPr>
          <w:lang w:val="en"/>
        </w:rPr>
        <w:t xml:space="preserve"> this should</w:t>
      </w:r>
      <w:r w:rsidR="00B24F33" w:rsidRPr="00B24F33">
        <w:rPr>
          <w:lang w:val="en"/>
        </w:rPr>
        <w:t xml:space="preserve"> continue</w:t>
      </w:r>
      <w:r w:rsidR="00574350">
        <w:rPr>
          <w:lang w:val="en"/>
        </w:rPr>
        <w:t>—</w:t>
      </w:r>
      <w:r w:rsidR="000B10F7" w:rsidRPr="007B0AD6">
        <w:rPr>
          <w:lang w:val="en"/>
        </w:rPr>
        <w:t xml:space="preserve">both to facilitate global </w:t>
      </w:r>
      <w:r w:rsidR="00F277B2">
        <w:rPr>
          <w:lang w:val="en"/>
        </w:rPr>
        <w:t xml:space="preserve">spectrum </w:t>
      </w:r>
      <w:r w:rsidR="000B10F7" w:rsidRPr="007B0AD6">
        <w:rPr>
          <w:lang w:val="en"/>
        </w:rPr>
        <w:t>harmonisation and to promote Australia’s interests</w:t>
      </w:r>
      <w:r w:rsidR="00B24F33" w:rsidRPr="00B24F33">
        <w:rPr>
          <w:lang w:val="en"/>
        </w:rPr>
        <w:t>.</w:t>
      </w:r>
      <w:r w:rsidR="00D54769">
        <w:rPr>
          <w:lang w:val="en"/>
        </w:rPr>
        <w:t xml:space="preserve"> AMTA added that </w:t>
      </w:r>
      <w:r w:rsidR="003F05AF">
        <w:rPr>
          <w:lang w:val="en"/>
        </w:rPr>
        <w:t xml:space="preserve">international engagement should be done to </w:t>
      </w:r>
      <w:r w:rsidR="00FD2879" w:rsidRPr="007B0AD6">
        <w:rPr>
          <w:lang w:val="en"/>
        </w:rPr>
        <w:t xml:space="preserve">promote Australia’s interests in accordance with section 3 of the </w:t>
      </w:r>
      <w:r w:rsidR="00FD2879" w:rsidRPr="00574350">
        <w:rPr>
          <w:i/>
          <w:lang w:val="en"/>
        </w:rPr>
        <w:t>Radiocommunications Act 1992</w:t>
      </w:r>
      <w:r w:rsidR="00FD2879" w:rsidRPr="007B0AD6">
        <w:rPr>
          <w:lang w:val="en"/>
        </w:rPr>
        <w:t xml:space="preserve">. </w:t>
      </w:r>
      <w:r w:rsidR="00785FAE" w:rsidRPr="007B0AD6">
        <w:rPr>
          <w:lang w:val="en"/>
        </w:rPr>
        <w:t xml:space="preserve">Telstra </w:t>
      </w:r>
      <w:r w:rsidR="00785FAE">
        <w:rPr>
          <w:lang w:val="en"/>
        </w:rPr>
        <w:t xml:space="preserve">highlighted </w:t>
      </w:r>
      <w:r w:rsidR="00785FAE" w:rsidRPr="007B0AD6">
        <w:rPr>
          <w:lang w:val="en"/>
        </w:rPr>
        <w:t xml:space="preserve">Australia’s role in developing and promoting the </w:t>
      </w:r>
      <w:r w:rsidR="00785FAE" w:rsidRPr="00392FA8">
        <w:rPr>
          <w:lang w:val="en"/>
        </w:rPr>
        <w:t>Asia</w:t>
      </w:r>
      <w:r w:rsidR="00574350" w:rsidRPr="00392FA8">
        <w:rPr>
          <w:lang w:val="en"/>
        </w:rPr>
        <w:t>–</w:t>
      </w:r>
      <w:r w:rsidR="00785FAE" w:rsidRPr="00392FA8">
        <w:rPr>
          <w:lang w:val="en"/>
        </w:rPr>
        <w:t>Pacific</w:t>
      </w:r>
      <w:r w:rsidR="00785FAE" w:rsidRPr="007B0AD6">
        <w:rPr>
          <w:lang w:val="en"/>
        </w:rPr>
        <w:t xml:space="preserve"> 700 MHz band plan </w:t>
      </w:r>
      <w:r w:rsidR="00F277B2">
        <w:rPr>
          <w:lang w:val="en"/>
        </w:rPr>
        <w:t>a</w:t>
      </w:r>
      <w:r w:rsidR="00785FAE" w:rsidRPr="007B0AD6">
        <w:rPr>
          <w:lang w:val="en"/>
        </w:rPr>
        <w:t xml:space="preserve">s a great example of how it can influence international outcomes. </w:t>
      </w:r>
    </w:p>
    <w:p w14:paraId="176D105E" w14:textId="03893F46" w:rsidR="000B10F7" w:rsidRPr="007B0AD6" w:rsidRDefault="003B408C" w:rsidP="00574350">
      <w:pPr>
        <w:rPr>
          <w:lang w:val="en"/>
        </w:rPr>
      </w:pPr>
      <w:r>
        <w:rPr>
          <w:lang w:val="en"/>
        </w:rPr>
        <w:t xml:space="preserve">A number of </w:t>
      </w:r>
      <w:r w:rsidR="000B10F7">
        <w:rPr>
          <w:lang w:val="en"/>
        </w:rPr>
        <w:t xml:space="preserve">submissions urged a more proactive approach </w:t>
      </w:r>
      <w:r w:rsidR="000B10F7" w:rsidRPr="007B0AD6">
        <w:rPr>
          <w:lang w:val="en"/>
        </w:rPr>
        <w:t>to fostering new regional and international spectrum options for mobile broadband</w:t>
      </w:r>
      <w:r w:rsidR="000B10F7">
        <w:rPr>
          <w:lang w:val="en"/>
        </w:rPr>
        <w:t>.</w:t>
      </w:r>
      <w:r w:rsidR="000B10F7" w:rsidRPr="007B0AD6">
        <w:rPr>
          <w:lang w:val="en"/>
        </w:rPr>
        <w:t xml:space="preserve"> </w:t>
      </w:r>
      <w:r w:rsidR="00785FAE" w:rsidRPr="007B0AD6">
        <w:rPr>
          <w:lang w:val="en"/>
        </w:rPr>
        <w:t xml:space="preserve">Options </w:t>
      </w:r>
      <w:r w:rsidR="00574350">
        <w:rPr>
          <w:lang w:val="en"/>
        </w:rPr>
        <w:t>that</w:t>
      </w:r>
      <w:r w:rsidR="00574350" w:rsidRPr="007B0AD6">
        <w:rPr>
          <w:lang w:val="en"/>
        </w:rPr>
        <w:t xml:space="preserve"> </w:t>
      </w:r>
      <w:r w:rsidR="00785FAE" w:rsidRPr="007B0AD6">
        <w:rPr>
          <w:lang w:val="en"/>
        </w:rPr>
        <w:t xml:space="preserve">are agreed internationally can then be taken up in Australia as domestic demand emerges and after any impacts on incumbents are considered. </w:t>
      </w:r>
      <w:r w:rsidR="000B10F7">
        <w:rPr>
          <w:lang w:val="en"/>
        </w:rPr>
        <w:t>Telstra warned i</w:t>
      </w:r>
      <w:r w:rsidR="000B10F7" w:rsidRPr="007B0AD6">
        <w:rPr>
          <w:lang w:val="en"/>
        </w:rPr>
        <w:t>f such options are not created</w:t>
      </w:r>
      <w:r w:rsidR="00574350">
        <w:rPr>
          <w:lang w:val="en"/>
        </w:rPr>
        <w:t>,</w:t>
      </w:r>
      <w:r w:rsidR="000B10F7" w:rsidRPr="007B0AD6">
        <w:rPr>
          <w:lang w:val="en"/>
        </w:rPr>
        <w:t xml:space="preserve"> then the Australian mobile industry will have fewer spectrum choices in the future and will be less responsive to the demands of its customers. </w:t>
      </w:r>
    </w:p>
    <w:p w14:paraId="5883CC27" w14:textId="499243F5" w:rsidR="007802FB" w:rsidRPr="007B0AD6" w:rsidRDefault="007802FB" w:rsidP="00574350">
      <w:pPr>
        <w:rPr>
          <w:lang w:val="en"/>
        </w:rPr>
      </w:pPr>
      <w:r w:rsidRPr="007B0AD6">
        <w:rPr>
          <w:lang w:val="en"/>
        </w:rPr>
        <w:t>Telstra note</w:t>
      </w:r>
      <w:r>
        <w:rPr>
          <w:lang w:val="en"/>
        </w:rPr>
        <w:t>d</w:t>
      </w:r>
      <w:r w:rsidRPr="007B0AD6">
        <w:rPr>
          <w:lang w:val="en"/>
        </w:rPr>
        <w:t xml:space="preserve"> that the third recommendation in the </w:t>
      </w:r>
      <w:r w:rsidR="00574350">
        <w:rPr>
          <w:lang w:val="en"/>
        </w:rPr>
        <w:t>g</w:t>
      </w:r>
      <w:r w:rsidRPr="007B0AD6">
        <w:rPr>
          <w:lang w:val="en"/>
        </w:rPr>
        <w:t xml:space="preserve">overnment’s </w:t>
      </w:r>
      <w:r w:rsidR="00574350">
        <w:rPr>
          <w:lang w:val="en"/>
        </w:rPr>
        <w:t>S</w:t>
      </w:r>
      <w:r w:rsidRPr="007B0AD6">
        <w:rPr>
          <w:lang w:val="en"/>
        </w:rPr>
        <w:t xml:space="preserve">pectrum </w:t>
      </w:r>
      <w:r w:rsidR="00574350">
        <w:rPr>
          <w:lang w:val="en"/>
        </w:rPr>
        <w:t>R</w:t>
      </w:r>
      <w:r w:rsidRPr="007B0AD6">
        <w:rPr>
          <w:lang w:val="en"/>
        </w:rPr>
        <w:t>eview report proposes that government entities be incentivised to lease and/or sell their spectrum holdings to other parties. This reform will be of little practical value unless Australia is also willing to promote alternative uses for the relevant spectrum bands at the ITU and in other international forums. Alternative uses need to be harmonised internationally if these bands are to be of value to other users in Australia. Again, this points to the need for Australia to be proactive in identifying and promoting alternative spectrum options for mobile broadband (and other services) within the ITU framework.</w:t>
      </w:r>
    </w:p>
    <w:p w14:paraId="0907F11B" w14:textId="4C895794" w:rsidR="00FD2879" w:rsidRPr="007B0AD6" w:rsidRDefault="00FD2879" w:rsidP="00FD2879">
      <w:pPr>
        <w:rPr>
          <w:rFonts w:cs="Arial"/>
          <w:szCs w:val="20"/>
          <w:lang w:val="en"/>
        </w:rPr>
      </w:pPr>
      <w:r w:rsidRPr="007B0AD6">
        <w:rPr>
          <w:rFonts w:cs="Arial"/>
          <w:szCs w:val="20"/>
          <w:lang w:val="en"/>
        </w:rPr>
        <w:t xml:space="preserve">AMTA </w:t>
      </w:r>
      <w:r w:rsidR="000B10F7">
        <w:rPr>
          <w:rFonts w:cs="Arial"/>
          <w:szCs w:val="20"/>
          <w:lang w:val="en"/>
        </w:rPr>
        <w:t xml:space="preserve">and Optus </w:t>
      </w:r>
      <w:r w:rsidRPr="007B0AD6">
        <w:rPr>
          <w:rFonts w:cs="Arial"/>
          <w:szCs w:val="20"/>
          <w:lang w:val="en"/>
        </w:rPr>
        <w:t>also support</w:t>
      </w:r>
      <w:r w:rsidR="003F05AF">
        <w:rPr>
          <w:rFonts w:cs="Arial"/>
          <w:szCs w:val="20"/>
          <w:lang w:val="en"/>
        </w:rPr>
        <w:t>ed</w:t>
      </w:r>
      <w:r w:rsidRPr="007B0AD6">
        <w:rPr>
          <w:rFonts w:cs="Arial"/>
          <w:szCs w:val="20"/>
          <w:lang w:val="en"/>
        </w:rPr>
        <w:t xml:space="preserve"> the ACMA’s confirmation that identification for International Mobile Telecommunications (IMT) does not mandate use of that band in Australia, nor is it prerequisite for a band’s use for </w:t>
      </w:r>
      <w:r w:rsidR="00746708">
        <w:rPr>
          <w:rFonts w:cs="Arial"/>
          <w:szCs w:val="20"/>
          <w:lang w:val="en"/>
        </w:rPr>
        <w:t>mobile broadband</w:t>
      </w:r>
      <w:r w:rsidRPr="007B0AD6">
        <w:rPr>
          <w:rFonts w:cs="Arial"/>
          <w:szCs w:val="20"/>
          <w:lang w:val="en"/>
        </w:rPr>
        <w:t xml:space="preserve"> in Australia. AMTA</w:t>
      </w:r>
      <w:r w:rsidR="000B10F7">
        <w:rPr>
          <w:rFonts w:cs="Arial"/>
          <w:szCs w:val="20"/>
          <w:lang w:val="en"/>
        </w:rPr>
        <w:t xml:space="preserve"> and Optus</w:t>
      </w:r>
      <w:r w:rsidRPr="007B0AD6">
        <w:rPr>
          <w:rFonts w:cs="Arial"/>
          <w:szCs w:val="20"/>
          <w:lang w:val="en"/>
        </w:rPr>
        <w:t xml:space="preserve"> </w:t>
      </w:r>
      <w:r w:rsidR="00746708">
        <w:rPr>
          <w:rFonts w:cs="Arial"/>
          <w:szCs w:val="20"/>
          <w:lang w:val="en"/>
        </w:rPr>
        <w:t>noted that</w:t>
      </w:r>
      <w:r w:rsidRPr="007B0AD6">
        <w:rPr>
          <w:rFonts w:cs="Arial"/>
          <w:szCs w:val="20"/>
          <w:lang w:val="en"/>
        </w:rPr>
        <w:t xml:space="preserve"> the main purpose of IMT identifications is to promote more widespread international harmonisation and the </w:t>
      </w:r>
      <w:r w:rsidR="000B10F7" w:rsidRPr="007B0AD6">
        <w:rPr>
          <w:rFonts w:cs="Arial"/>
          <w:szCs w:val="20"/>
          <w:lang w:val="en"/>
        </w:rPr>
        <w:t xml:space="preserve">significant </w:t>
      </w:r>
      <w:r w:rsidRPr="007B0AD6">
        <w:rPr>
          <w:rFonts w:cs="Arial"/>
          <w:szCs w:val="20"/>
          <w:lang w:val="en"/>
        </w:rPr>
        <w:t>consequential benefits</w:t>
      </w:r>
      <w:r w:rsidR="000B10F7">
        <w:rPr>
          <w:rFonts w:cs="Arial"/>
          <w:szCs w:val="20"/>
          <w:lang w:val="en"/>
        </w:rPr>
        <w:t xml:space="preserve"> this delivers</w:t>
      </w:r>
      <w:r w:rsidRPr="007B0AD6">
        <w:rPr>
          <w:rFonts w:cs="Arial"/>
          <w:szCs w:val="20"/>
          <w:lang w:val="en"/>
        </w:rPr>
        <w:t>.</w:t>
      </w:r>
    </w:p>
    <w:p w14:paraId="2E357738" w14:textId="0B45ECF1" w:rsidR="00FD2879" w:rsidRDefault="00FD2879" w:rsidP="00FD2879">
      <w:pPr>
        <w:rPr>
          <w:rFonts w:cs="Arial"/>
          <w:szCs w:val="20"/>
          <w:lang w:val="en"/>
        </w:rPr>
      </w:pPr>
      <w:r w:rsidRPr="007B0AD6">
        <w:rPr>
          <w:rFonts w:cs="Arial"/>
          <w:szCs w:val="20"/>
          <w:lang w:val="en"/>
        </w:rPr>
        <w:t xml:space="preserve">AMTA strongly believes that a core aspect of Australia’s spectrum policy approach should be to maximise flexibility and keep all viable options open in relation to future spectrum bands for </w:t>
      </w:r>
      <w:r w:rsidR="002E248A">
        <w:rPr>
          <w:rFonts w:cs="Arial"/>
          <w:szCs w:val="20"/>
          <w:lang w:val="en"/>
        </w:rPr>
        <w:t>mobile broadband</w:t>
      </w:r>
      <w:r w:rsidRPr="007B0AD6">
        <w:rPr>
          <w:rFonts w:cs="Arial"/>
          <w:szCs w:val="20"/>
          <w:lang w:val="en"/>
        </w:rPr>
        <w:t xml:space="preserve"> services.</w:t>
      </w:r>
    </w:p>
    <w:p w14:paraId="59DF6DDC" w14:textId="4170B511" w:rsidR="00E93663" w:rsidRPr="007B0AD6" w:rsidRDefault="00E93663" w:rsidP="00FD2879">
      <w:pPr>
        <w:rPr>
          <w:rFonts w:cs="Arial"/>
          <w:szCs w:val="20"/>
          <w:lang w:val="en"/>
        </w:rPr>
      </w:pPr>
      <w:r>
        <w:rPr>
          <w:rFonts w:cs="Arial"/>
          <w:szCs w:val="20"/>
          <w:lang w:val="en"/>
        </w:rPr>
        <w:t xml:space="preserve">However, </w:t>
      </w:r>
      <w:r>
        <w:rPr>
          <w:szCs w:val="20"/>
        </w:rPr>
        <w:t>Inmarsat warned that e</w:t>
      </w:r>
      <w:r w:rsidRPr="001B5B98">
        <w:rPr>
          <w:szCs w:val="20"/>
        </w:rPr>
        <w:t xml:space="preserve">ven a very preliminary identification of some satellite bands for terrestrial mobile applications </w:t>
      </w:r>
      <w:r w:rsidR="004060BB" w:rsidRPr="001B5B98">
        <w:rPr>
          <w:szCs w:val="20"/>
        </w:rPr>
        <w:t>could</w:t>
      </w:r>
      <w:r w:rsidRPr="001B5B98">
        <w:rPr>
          <w:szCs w:val="20"/>
        </w:rPr>
        <w:t xml:space="preserve"> instigate uncertainty for operators and customers</w:t>
      </w:r>
      <w:r w:rsidR="00574350">
        <w:rPr>
          <w:szCs w:val="20"/>
        </w:rPr>
        <w:t xml:space="preserve"> and </w:t>
      </w:r>
      <w:r w:rsidRPr="001B5B98">
        <w:rPr>
          <w:szCs w:val="20"/>
        </w:rPr>
        <w:t xml:space="preserve">undermine the </w:t>
      </w:r>
      <w:r w:rsidR="00574350" w:rsidRPr="001B5B98">
        <w:rPr>
          <w:szCs w:val="20"/>
        </w:rPr>
        <w:t>long-term</w:t>
      </w:r>
      <w:r w:rsidRPr="001B5B98">
        <w:rPr>
          <w:szCs w:val="20"/>
        </w:rPr>
        <w:t xml:space="preserve"> investments required by satellite operators and their customers, thereby </w:t>
      </w:r>
      <w:r w:rsidR="00574350" w:rsidRPr="001B5B98">
        <w:rPr>
          <w:szCs w:val="20"/>
        </w:rPr>
        <w:t>increas</w:t>
      </w:r>
      <w:r w:rsidR="00574350">
        <w:rPr>
          <w:szCs w:val="20"/>
        </w:rPr>
        <w:t>ing</w:t>
      </w:r>
      <w:r w:rsidR="00574350" w:rsidRPr="001B5B98">
        <w:rPr>
          <w:szCs w:val="20"/>
        </w:rPr>
        <w:t xml:space="preserve"> </w:t>
      </w:r>
      <w:r w:rsidRPr="001B5B98">
        <w:rPr>
          <w:szCs w:val="20"/>
        </w:rPr>
        <w:t>the cost of satellite applications.</w:t>
      </w:r>
    </w:p>
    <w:p w14:paraId="6A8D7817" w14:textId="4DADD005" w:rsidR="00D11191" w:rsidRDefault="00D11191" w:rsidP="00FD2879">
      <w:pPr>
        <w:rPr>
          <w:rFonts w:cs="Arial"/>
          <w:szCs w:val="20"/>
          <w:lang w:val="en"/>
        </w:rPr>
      </w:pPr>
      <w:r w:rsidRPr="007B0AD6">
        <w:rPr>
          <w:rFonts w:cs="Arial"/>
          <w:szCs w:val="20"/>
          <w:lang w:val="en"/>
        </w:rPr>
        <w:t>Optus suggests it would be useful to review the current consultation processes the ACMA undertakes with industry in developing Australia’s position for engagement in regional and international forums that debate and identify future IMT bands</w:t>
      </w:r>
      <w:r w:rsidR="00E93663">
        <w:rPr>
          <w:rFonts w:cs="Arial"/>
          <w:szCs w:val="20"/>
          <w:lang w:val="en"/>
        </w:rPr>
        <w:t>.</w:t>
      </w:r>
      <w:r w:rsidR="00E93663" w:rsidRPr="00E93663">
        <w:rPr>
          <w:rFonts w:cs="Arial"/>
          <w:szCs w:val="20"/>
          <w:lang w:val="en"/>
        </w:rPr>
        <w:t xml:space="preserve"> </w:t>
      </w:r>
      <w:r w:rsidR="00E93663" w:rsidRPr="007B0AD6">
        <w:rPr>
          <w:rFonts w:cs="Arial"/>
          <w:szCs w:val="20"/>
          <w:lang w:val="en"/>
        </w:rPr>
        <w:t>They noted that MNOs engagement in domestic and international regulatory processes is driven by a need to identify and open up new spectrum ranges in time for when such capacity demand is required.</w:t>
      </w:r>
    </w:p>
    <w:p w14:paraId="35645F38" w14:textId="1BDF3388" w:rsidR="008B68FC" w:rsidRPr="007B0AD6" w:rsidRDefault="008B68FC" w:rsidP="00FD2879">
      <w:pPr>
        <w:rPr>
          <w:rFonts w:cs="Arial"/>
          <w:szCs w:val="20"/>
          <w:lang w:val="en"/>
        </w:rPr>
      </w:pPr>
      <w:r>
        <w:rPr>
          <w:rFonts w:cs="Arial"/>
          <w:szCs w:val="20"/>
          <w:lang w:val="en"/>
        </w:rPr>
        <w:t xml:space="preserve">In its supplementary submission following the completion of WRC-15, </w:t>
      </w:r>
      <w:r w:rsidRPr="008B68FC">
        <w:rPr>
          <w:rFonts w:cs="Arial"/>
          <w:szCs w:val="20"/>
          <w:lang w:val="en"/>
        </w:rPr>
        <w:t>AMTA suggest</w:t>
      </w:r>
      <w:r>
        <w:rPr>
          <w:rFonts w:cs="Arial"/>
          <w:szCs w:val="20"/>
          <w:lang w:val="en"/>
        </w:rPr>
        <w:t>ed</w:t>
      </w:r>
      <w:r w:rsidRPr="008B68FC">
        <w:rPr>
          <w:rFonts w:cs="Arial"/>
          <w:szCs w:val="20"/>
          <w:lang w:val="en"/>
        </w:rPr>
        <w:t xml:space="preserve"> it </w:t>
      </w:r>
      <w:r w:rsidR="004060BB" w:rsidRPr="008B68FC">
        <w:rPr>
          <w:rFonts w:cs="Arial"/>
          <w:szCs w:val="20"/>
          <w:lang w:val="en"/>
        </w:rPr>
        <w:t>might</w:t>
      </w:r>
      <w:r w:rsidRPr="008B68FC">
        <w:rPr>
          <w:rFonts w:cs="Arial"/>
          <w:szCs w:val="20"/>
          <w:lang w:val="en"/>
        </w:rPr>
        <w:t xml:space="preserve"> be beneficial to expand future international engagement beyond the WRC preparatory process to include a closer involvement in the work of peak industry organisations and standardisation bodies. </w:t>
      </w:r>
    </w:p>
    <w:p w14:paraId="0C0FEA8B" w14:textId="3F6CC1E4" w:rsidR="00B23251" w:rsidRPr="00AA13C9" w:rsidRDefault="00574350" w:rsidP="00574350">
      <w:pPr>
        <w:pStyle w:val="Heading3"/>
      </w:pPr>
      <w:bookmarkStart w:id="210" w:name="_Toc443910708"/>
      <w:r>
        <w:t xml:space="preserve">The </w:t>
      </w:r>
      <w:r w:rsidR="00983CE8">
        <w:t>ACMA</w:t>
      </w:r>
      <w:r>
        <w:t>’s</w:t>
      </w:r>
      <w:r w:rsidR="00983CE8">
        <w:t xml:space="preserve"> r</w:t>
      </w:r>
      <w:r w:rsidR="00B23251" w:rsidRPr="00AA13C9">
        <w:t xml:space="preserve">esponse to comments on Strategy </w:t>
      </w:r>
      <w:r w:rsidR="00B23251">
        <w:t>5</w:t>
      </w:r>
      <w:bookmarkEnd w:id="210"/>
    </w:p>
    <w:p w14:paraId="7619C84D" w14:textId="77777777" w:rsidR="00F277B2" w:rsidRDefault="008B3288" w:rsidP="008B3288">
      <w:bookmarkStart w:id="211" w:name="_Toc393796145"/>
      <w:bookmarkStart w:id="212" w:name="_Toc425928838"/>
      <w:bookmarkStart w:id="213" w:name="_Toc426094352"/>
      <w:r>
        <w:t xml:space="preserve">The ACMA believes that the strategies outlined will enable it to proactively </w:t>
      </w:r>
      <w:r w:rsidRPr="00290A62">
        <w:t>undertake domestic planning reviews and analysis in parallel with international deliberations</w:t>
      </w:r>
      <w:r>
        <w:t xml:space="preserve"> as much as possible. </w:t>
      </w:r>
    </w:p>
    <w:p w14:paraId="34A5DB8B" w14:textId="5CC8A087" w:rsidR="0042013F" w:rsidRDefault="0042013F" w:rsidP="008B3288">
      <w:r>
        <w:t xml:space="preserve">Australia will </w:t>
      </w:r>
      <w:r w:rsidR="00F277B2">
        <w:t xml:space="preserve">continue to </w:t>
      </w:r>
      <w:r>
        <w:t xml:space="preserve">be able to engage </w:t>
      </w:r>
      <w:r w:rsidR="00F277B2">
        <w:t xml:space="preserve">with </w:t>
      </w:r>
      <w:r>
        <w:t xml:space="preserve">international bodies </w:t>
      </w:r>
      <w:r w:rsidR="00F277B2">
        <w:t xml:space="preserve">such as the ITU </w:t>
      </w:r>
      <w:r w:rsidR="00A12438">
        <w:t xml:space="preserve">and APT </w:t>
      </w:r>
      <w:r>
        <w:t xml:space="preserve">on frequency bands </w:t>
      </w:r>
      <w:r w:rsidR="00F277B2">
        <w:t xml:space="preserve">at </w:t>
      </w:r>
      <w:r>
        <w:t xml:space="preserve">any stage of the domestic mobile broadband spectrum management process outlined in Strategy 2, even in the </w:t>
      </w:r>
      <w:r w:rsidRPr="005B01CB">
        <w:rPr>
          <w:i/>
        </w:rPr>
        <w:t>monitoring</w:t>
      </w:r>
      <w:r>
        <w:t xml:space="preserve"> stage. However, the key goal in these engagements will be promoting Australia’s interest in line with the Radiocommunications Act. </w:t>
      </w:r>
      <w:r w:rsidR="00FC6D20">
        <w:t>The ACMA does not see the benefit in expanding future international engagement</w:t>
      </w:r>
      <w:r w:rsidR="00574350">
        <w:t>,</w:t>
      </w:r>
      <w:r w:rsidR="00FC6D20">
        <w:t xml:space="preserve"> especially standardisation bodies such as 3GPP. The current arrangements where regulatory outcomes from the ITU and other bodies are communicated to such bodies is appropriate</w:t>
      </w:r>
      <w:r w:rsidR="00574350">
        <w:t>,</w:t>
      </w:r>
      <w:r w:rsidR="00FC6D20">
        <w:t xml:space="preserve"> with industry better placed to participate in the meetings themselves. However, the ACMA is open to considering engagement with other organisations if this is seen as necessary or beneficial for Australia. </w:t>
      </w:r>
    </w:p>
    <w:p w14:paraId="0334495C" w14:textId="17C336C2" w:rsidR="008B3288" w:rsidRDefault="0042013F" w:rsidP="00FD2879">
      <w:r>
        <w:t>Further</w:t>
      </w:r>
      <w:r w:rsidR="008B3288">
        <w:t xml:space="preserve">, parallel domestic and international consideration will need to take </w:t>
      </w:r>
      <w:r w:rsidR="00574350">
        <w:t xml:space="preserve">resource limitations </w:t>
      </w:r>
      <w:r w:rsidR="008B3288">
        <w:t xml:space="preserve">into account and ensure that considerable effort is not injected into domestic planning of bands that </w:t>
      </w:r>
      <w:r w:rsidR="000A3A41">
        <w:t xml:space="preserve">are unlikely to develop </w:t>
      </w:r>
      <w:r w:rsidR="008B3288">
        <w:t>viable</w:t>
      </w:r>
      <w:r w:rsidR="000A3A41">
        <w:t xml:space="preserve"> equipment ecosystems. </w:t>
      </w:r>
      <w:r>
        <w:t>Any decisions made to ultimately support or oppose identification of a frequency band for mobile broadband</w:t>
      </w:r>
      <w:r w:rsidR="00F277B2">
        <w:t>/IMT</w:t>
      </w:r>
      <w:r>
        <w:t xml:space="preserve"> will need to balance the benefits of the identification with the uncertainty it can place on incumbent users.</w:t>
      </w:r>
    </w:p>
    <w:p w14:paraId="7957F2CF" w14:textId="24DADE63" w:rsidR="00BB0E11" w:rsidRPr="007B0AD6" w:rsidRDefault="00BB0E11" w:rsidP="00574350">
      <w:pPr>
        <w:rPr>
          <w:rFonts w:cs="Arial"/>
          <w:szCs w:val="20"/>
          <w:lang w:val="en"/>
        </w:rPr>
      </w:pPr>
      <w:r>
        <w:t xml:space="preserve">Based on the assessment of submissions, Strategy </w:t>
      </w:r>
      <w:r w:rsidR="000C2A63">
        <w:t>5</w:t>
      </w:r>
      <w:r>
        <w:t xml:space="preserve"> will remain unchanged in the final published strategy.</w:t>
      </w:r>
    </w:p>
    <w:p w14:paraId="7EDDFFFD" w14:textId="4F07A915" w:rsidR="008B68FC" w:rsidRDefault="000C37B0" w:rsidP="00FD2879">
      <w:pPr>
        <w:rPr>
          <w:rFonts w:cs="Arial"/>
          <w:szCs w:val="20"/>
          <w:lang w:val="en"/>
        </w:rPr>
      </w:pPr>
      <w:r>
        <w:t xml:space="preserve">Regarding comments to review the consultation process for developing positions on international meetings, the ACMA is open to suggestions on ways this can be improved. However, this can be addressed separately to the finalisation of the mobile broadband strategy. </w:t>
      </w:r>
    </w:p>
    <w:p w14:paraId="3D8F6328" w14:textId="77777777" w:rsidR="001233C5" w:rsidRDefault="001233C5" w:rsidP="001233C5">
      <w:pPr>
        <w:pStyle w:val="Heading2"/>
      </w:pPr>
      <w:bookmarkStart w:id="214" w:name="_Toc441074844"/>
      <w:bookmarkStart w:id="215" w:name="_Toc443910709"/>
      <w:r>
        <w:t>Proposed work program</w:t>
      </w:r>
      <w:bookmarkEnd w:id="211"/>
      <w:bookmarkEnd w:id="212"/>
      <w:bookmarkEnd w:id="213"/>
      <w:bookmarkEnd w:id="214"/>
      <w:bookmarkEnd w:id="215"/>
    </w:p>
    <w:p w14:paraId="01D9D4EE" w14:textId="01D004E6" w:rsidR="00741D7D" w:rsidRPr="00392FA8" w:rsidRDefault="00546101" w:rsidP="0049580A">
      <w:r w:rsidRPr="00392FA8">
        <w:t>Table 1</w:t>
      </w:r>
      <w:r w:rsidR="00741D7D" w:rsidRPr="00392FA8">
        <w:t xml:space="preserve"> outlines where </w:t>
      </w:r>
      <w:r w:rsidRPr="00392FA8">
        <w:t xml:space="preserve">the ACMA </w:t>
      </w:r>
      <w:r w:rsidR="0049580A" w:rsidRPr="00392FA8">
        <w:t xml:space="preserve">positions </w:t>
      </w:r>
      <w:r w:rsidR="00741D7D" w:rsidRPr="00392FA8">
        <w:t xml:space="preserve">each of </w:t>
      </w:r>
      <w:r w:rsidRPr="00392FA8">
        <w:t xml:space="preserve">its current and ongoing </w:t>
      </w:r>
      <w:r w:rsidR="00741D7D" w:rsidRPr="00392FA8">
        <w:t xml:space="preserve">projects within the overall process outlined under </w:t>
      </w:r>
      <w:r w:rsidR="00741D7D" w:rsidRPr="00392FA8">
        <w:rPr>
          <w:i/>
        </w:rPr>
        <w:fldChar w:fldCharType="begin"/>
      </w:r>
      <w:r w:rsidR="00741D7D" w:rsidRPr="00392FA8">
        <w:rPr>
          <w:i/>
        </w:rPr>
        <w:instrText xml:space="preserve"> REF _Ref410907460 \h  \* MERGEFORMAT </w:instrText>
      </w:r>
      <w:r w:rsidR="00741D7D" w:rsidRPr="00392FA8">
        <w:rPr>
          <w:i/>
        </w:rPr>
      </w:r>
      <w:r w:rsidR="00741D7D" w:rsidRPr="00392FA8">
        <w:rPr>
          <w:i/>
        </w:rPr>
        <w:fldChar w:fldCharType="separate"/>
      </w:r>
      <w:r w:rsidR="00741D7D" w:rsidRPr="00392FA8">
        <w:rPr>
          <w:i/>
        </w:rPr>
        <w:t>Strategy 2: Transparent spectrum management planning process</w:t>
      </w:r>
      <w:r w:rsidR="00741D7D" w:rsidRPr="00392FA8">
        <w:rPr>
          <w:i/>
        </w:rPr>
        <w:fldChar w:fldCharType="end"/>
      </w:r>
      <w:r w:rsidR="00741D7D" w:rsidRPr="00392FA8">
        <w:t>,</w:t>
      </w:r>
      <w:r w:rsidR="00741D7D" w:rsidRPr="00392FA8">
        <w:rPr>
          <w:i/>
        </w:rPr>
        <w:t xml:space="preserve"> </w:t>
      </w:r>
      <w:r w:rsidR="00741D7D" w:rsidRPr="00392FA8">
        <w:t xml:space="preserve">along with some of the frequency bands that are currently in the </w:t>
      </w:r>
      <w:r w:rsidR="00741D7D" w:rsidRPr="005B01CB">
        <w:rPr>
          <w:i/>
        </w:rPr>
        <w:t>monitoring</w:t>
      </w:r>
      <w:r w:rsidR="00741D7D" w:rsidRPr="00392FA8">
        <w:t xml:space="preserve"> stage</w:t>
      </w:r>
      <w:r w:rsidRPr="00392FA8">
        <w:t xml:space="preserve">, in </w:t>
      </w:r>
      <w:r w:rsidRPr="00392FA8">
        <w:rPr>
          <w:i/>
        </w:rPr>
        <w:t>Beyond 2020</w:t>
      </w:r>
      <w:r w:rsidR="00741D7D" w:rsidRPr="00392FA8">
        <w:t>.</w:t>
      </w:r>
      <w:r w:rsidRPr="00392FA8">
        <w:t xml:space="preserve"> The comments received in response to each frequency band are summarised below.</w:t>
      </w:r>
    </w:p>
    <w:p w14:paraId="7DE37430" w14:textId="003FF6C3" w:rsidR="00607160" w:rsidRDefault="002C03DE" w:rsidP="00741D7D">
      <w:r w:rsidRPr="00392FA8">
        <w:t>Please note that a</w:t>
      </w:r>
      <w:r w:rsidRPr="00392FA8">
        <w:rPr>
          <w:szCs w:val="20"/>
        </w:rPr>
        <w:t>n updated version of the work program, taking into account submissions to this consultation process</w:t>
      </w:r>
      <w:r w:rsidR="0049580A" w:rsidRPr="00392FA8">
        <w:rPr>
          <w:szCs w:val="20"/>
        </w:rPr>
        <w:t>.</w:t>
      </w:r>
      <w:r w:rsidRPr="00392FA8">
        <w:rPr>
          <w:szCs w:val="20"/>
        </w:rPr>
        <w:t xml:space="preserve"> </w:t>
      </w:r>
      <w:r w:rsidR="0049580A" w:rsidRPr="00392FA8">
        <w:rPr>
          <w:szCs w:val="20"/>
        </w:rPr>
        <w:t>O</w:t>
      </w:r>
      <w:r w:rsidRPr="00392FA8">
        <w:rPr>
          <w:szCs w:val="20"/>
        </w:rPr>
        <w:t xml:space="preserve">ther relevant developments (for example the outcomes of WRC-15) </w:t>
      </w:r>
      <w:r w:rsidR="0049580A" w:rsidRPr="00392FA8">
        <w:rPr>
          <w:szCs w:val="20"/>
        </w:rPr>
        <w:t xml:space="preserve">are </w:t>
      </w:r>
      <w:r w:rsidRPr="00392FA8">
        <w:rPr>
          <w:szCs w:val="20"/>
        </w:rPr>
        <w:t xml:space="preserve">available in </w:t>
      </w:r>
      <w:r w:rsidRPr="00F15D15">
        <w:rPr>
          <w:szCs w:val="20"/>
        </w:rPr>
        <w:t xml:space="preserve">the document </w:t>
      </w:r>
      <w:r w:rsidRPr="00F15D15">
        <w:rPr>
          <w:i/>
          <w:szCs w:val="20"/>
        </w:rPr>
        <w:t xml:space="preserve">Mobile </w:t>
      </w:r>
      <w:r w:rsidR="0049580A" w:rsidRPr="00F15D15">
        <w:rPr>
          <w:i/>
          <w:szCs w:val="20"/>
        </w:rPr>
        <w:t>b</w:t>
      </w:r>
      <w:r w:rsidRPr="00F15D15">
        <w:rPr>
          <w:i/>
          <w:szCs w:val="20"/>
        </w:rPr>
        <w:t xml:space="preserve">roadband </w:t>
      </w:r>
      <w:r w:rsidR="0049580A" w:rsidRPr="00F15D15">
        <w:rPr>
          <w:i/>
          <w:szCs w:val="20"/>
        </w:rPr>
        <w:t>w</w:t>
      </w:r>
      <w:r w:rsidRPr="00F15D15">
        <w:rPr>
          <w:i/>
          <w:szCs w:val="20"/>
        </w:rPr>
        <w:t xml:space="preserve">ork </w:t>
      </w:r>
      <w:r w:rsidR="0049580A" w:rsidRPr="00F15D15">
        <w:rPr>
          <w:i/>
          <w:szCs w:val="20"/>
        </w:rPr>
        <w:t>p</w:t>
      </w:r>
      <w:r w:rsidRPr="00F15D15">
        <w:rPr>
          <w:i/>
          <w:szCs w:val="20"/>
        </w:rPr>
        <w:t xml:space="preserve">rogram: </w:t>
      </w:r>
      <w:r w:rsidR="00891C18">
        <w:rPr>
          <w:i/>
          <w:szCs w:val="20"/>
        </w:rPr>
        <w:t>February</w:t>
      </w:r>
      <w:r w:rsidRPr="00F15D15">
        <w:rPr>
          <w:i/>
          <w:szCs w:val="20"/>
        </w:rPr>
        <w:t xml:space="preserve"> 2016 </w:t>
      </w:r>
      <w:r w:rsidR="0049580A" w:rsidRPr="00F15D15">
        <w:rPr>
          <w:i/>
          <w:szCs w:val="20"/>
        </w:rPr>
        <w:t>u</w:t>
      </w:r>
      <w:r w:rsidRPr="00F15D15">
        <w:rPr>
          <w:i/>
          <w:szCs w:val="20"/>
        </w:rPr>
        <w:t>pdate</w:t>
      </w:r>
      <w:r w:rsidR="009566C2" w:rsidRPr="00F15D15">
        <w:rPr>
          <w:szCs w:val="20"/>
        </w:rPr>
        <w:t>. The updated work program</w:t>
      </w:r>
      <w:r w:rsidRPr="00F15D15">
        <w:rPr>
          <w:szCs w:val="20"/>
        </w:rPr>
        <w:t xml:space="preserve"> has been released in</w:t>
      </w:r>
      <w:r w:rsidRPr="00392FA8">
        <w:rPr>
          <w:szCs w:val="20"/>
        </w:rPr>
        <w:t xml:space="preserve"> parallel with this paper.</w:t>
      </w:r>
      <w:r w:rsidRPr="00590AE7">
        <w:rPr>
          <w:szCs w:val="20"/>
        </w:rPr>
        <w:t xml:space="preserve"> </w:t>
      </w:r>
    </w:p>
    <w:p w14:paraId="1CCA7040" w14:textId="2DA55610" w:rsidR="00741D7D" w:rsidRDefault="00741D7D" w:rsidP="00741D7D">
      <w:pPr>
        <w:pStyle w:val="ACMATableHeader"/>
        <w:keepNext/>
        <w:keepLines/>
      </w:pPr>
      <w:r>
        <w:t>Position of current mobile broadband spectrum planning projects</w:t>
      </w:r>
      <w:r w:rsidR="00B15CEC">
        <w:t xml:space="preserve"> as of</w:t>
      </w:r>
      <w:r w:rsidR="00E87883">
        <w:t xml:space="preserve"> September 2015</w:t>
      </w:r>
    </w:p>
    <w:tbl>
      <w:tblPr>
        <w:tblW w:w="9504"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Caption w:val="Stages and current mobile broadband spectrum planning projects"/>
      </w:tblPr>
      <w:tblGrid>
        <w:gridCol w:w="539"/>
        <w:gridCol w:w="2268"/>
        <w:gridCol w:w="6697"/>
      </w:tblGrid>
      <w:tr w:rsidR="00741D7D" w:rsidRPr="006D46E5" w14:paraId="74D6F44F" w14:textId="77777777" w:rsidTr="00B74C00">
        <w:trPr>
          <w:tblHeader/>
        </w:trPr>
        <w:tc>
          <w:tcPr>
            <w:tcW w:w="2807" w:type="dxa"/>
            <w:gridSpan w:val="2"/>
            <w:shd w:val="clear" w:color="auto" w:fill="404040" w:themeFill="text1" w:themeFillTint="BF"/>
          </w:tcPr>
          <w:p w14:paraId="1D410D2A" w14:textId="77777777" w:rsidR="00741D7D" w:rsidRPr="006D46E5" w:rsidRDefault="00741D7D" w:rsidP="00B74C00">
            <w:pPr>
              <w:pStyle w:val="TableHeading"/>
              <w:keepNext/>
              <w:keepLines/>
              <w:rPr>
                <w:rFonts w:cs="Arial"/>
                <w:color w:val="FFFFFF" w:themeColor="background1"/>
              </w:rPr>
            </w:pPr>
            <w:r>
              <w:rPr>
                <w:rFonts w:cs="Arial"/>
                <w:color w:val="FFFFFF" w:themeColor="background1"/>
              </w:rPr>
              <w:t>Stage</w:t>
            </w:r>
          </w:p>
        </w:tc>
        <w:tc>
          <w:tcPr>
            <w:tcW w:w="6697" w:type="dxa"/>
            <w:shd w:val="clear" w:color="auto" w:fill="404040" w:themeFill="text1" w:themeFillTint="BF"/>
          </w:tcPr>
          <w:p w14:paraId="63A2BA6E" w14:textId="77777777" w:rsidR="00741D7D" w:rsidRPr="006D46E5" w:rsidRDefault="00741D7D" w:rsidP="00B74C00">
            <w:pPr>
              <w:pStyle w:val="TableHeading"/>
              <w:keepNext/>
              <w:keepLines/>
              <w:rPr>
                <w:rFonts w:cs="Arial"/>
                <w:color w:val="FFFFFF" w:themeColor="background1"/>
              </w:rPr>
            </w:pPr>
            <w:r>
              <w:rPr>
                <w:rFonts w:cs="Arial"/>
                <w:color w:val="FFFFFF" w:themeColor="background1"/>
              </w:rPr>
              <w:t>C</w:t>
            </w:r>
            <w:r w:rsidRPr="00543039">
              <w:rPr>
                <w:rFonts w:cs="Arial"/>
                <w:color w:val="FFFFFF" w:themeColor="background1"/>
              </w:rPr>
              <w:t>urrent mobile broadband spectrum planning projects</w:t>
            </w:r>
          </w:p>
        </w:tc>
      </w:tr>
      <w:tr w:rsidR="00741D7D" w:rsidRPr="006D46E5" w14:paraId="42DA5CA8" w14:textId="77777777" w:rsidTr="00B74C00">
        <w:trPr>
          <w:tblHeader/>
        </w:trPr>
        <w:tc>
          <w:tcPr>
            <w:tcW w:w="539" w:type="dxa"/>
            <w:tcBorders>
              <w:bottom w:val="single" w:sz="4" w:space="0" w:color="auto"/>
            </w:tcBorders>
          </w:tcPr>
          <w:p w14:paraId="75677F8B" w14:textId="77777777" w:rsidR="00741D7D" w:rsidRPr="006D46E5" w:rsidRDefault="00741D7D" w:rsidP="00B74C00">
            <w:pPr>
              <w:pStyle w:val="TableBody"/>
              <w:keepNext/>
              <w:keepLines/>
              <w:jc w:val="center"/>
              <w:rPr>
                <w:rFonts w:cs="Arial"/>
              </w:rPr>
            </w:pPr>
            <w:r>
              <w:rPr>
                <w:rFonts w:cs="Arial"/>
              </w:rPr>
              <w:t>0</w:t>
            </w:r>
          </w:p>
        </w:tc>
        <w:tc>
          <w:tcPr>
            <w:tcW w:w="2268" w:type="dxa"/>
            <w:tcBorders>
              <w:bottom w:val="single" w:sz="4" w:space="0" w:color="auto"/>
            </w:tcBorders>
          </w:tcPr>
          <w:p w14:paraId="1E94F9A6" w14:textId="77777777" w:rsidR="00741D7D" w:rsidRPr="006D46E5" w:rsidRDefault="00741D7D" w:rsidP="00B74C00">
            <w:pPr>
              <w:pStyle w:val="TableBody"/>
              <w:keepNext/>
              <w:keepLines/>
              <w:rPr>
                <w:rFonts w:cs="Arial"/>
              </w:rPr>
            </w:pPr>
            <w:r>
              <w:rPr>
                <w:rFonts w:cs="Arial"/>
              </w:rPr>
              <w:t>Monitoring</w:t>
            </w:r>
          </w:p>
        </w:tc>
        <w:tc>
          <w:tcPr>
            <w:tcW w:w="6697" w:type="dxa"/>
            <w:tcBorders>
              <w:bottom w:val="single" w:sz="4" w:space="0" w:color="auto"/>
            </w:tcBorders>
          </w:tcPr>
          <w:p w14:paraId="543A1C69" w14:textId="77777777" w:rsidR="00741D7D" w:rsidRDefault="00741D7D" w:rsidP="00B74C00">
            <w:pPr>
              <w:pStyle w:val="TableBody"/>
              <w:keepNext/>
              <w:keepLines/>
              <w:spacing w:after="80"/>
              <w:rPr>
                <w:rFonts w:cs="Arial"/>
              </w:rPr>
            </w:pPr>
            <w:r w:rsidRPr="00F018BA">
              <w:rPr>
                <w:rFonts w:cs="Arial"/>
              </w:rPr>
              <w:t xml:space="preserve">600 MHz </w:t>
            </w:r>
          </w:p>
          <w:p w14:paraId="5460D072" w14:textId="711FB8F4" w:rsidR="00741D7D" w:rsidRDefault="00741D7D" w:rsidP="00B74C00">
            <w:pPr>
              <w:pStyle w:val="TableBody"/>
              <w:keepNext/>
              <w:keepLines/>
              <w:spacing w:after="80"/>
              <w:rPr>
                <w:rFonts w:cs="Arial"/>
              </w:rPr>
            </w:pPr>
            <w:r w:rsidRPr="00F018BA">
              <w:rPr>
                <w:rFonts w:cs="Arial"/>
              </w:rPr>
              <w:t>27</w:t>
            </w:r>
            <w:r>
              <w:rPr>
                <w:rFonts w:cs="Arial"/>
              </w:rPr>
              <w:t>00–</w:t>
            </w:r>
            <w:r w:rsidRPr="00F018BA">
              <w:rPr>
                <w:rFonts w:cs="Arial"/>
              </w:rPr>
              <w:t>29</w:t>
            </w:r>
            <w:r>
              <w:rPr>
                <w:rFonts w:cs="Arial"/>
              </w:rPr>
              <w:t>00</w:t>
            </w:r>
            <w:r w:rsidRPr="00F018BA">
              <w:rPr>
                <w:rFonts w:cs="Arial"/>
              </w:rPr>
              <w:t xml:space="preserve"> </w:t>
            </w:r>
            <w:r>
              <w:rPr>
                <w:rFonts w:cs="Arial"/>
              </w:rPr>
              <w:t>M</w:t>
            </w:r>
            <w:r w:rsidRPr="00F018BA">
              <w:rPr>
                <w:rFonts w:cs="Arial"/>
              </w:rPr>
              <w:t>Hz</w:t>
            </w:r>
          </w:p>
          <w:p w14:paraId="21297943" w14:textId="58DB7FD8" w:rsidR="00741D7D" w:rsidRPr="00F018BA" w:rsidRDefault="00741D7D" w:rsidP="00B74C00">
            <w:pPr>
              <w:pStyle w:val="TableBody"/>
              <w:keepNext/>
              <w:keepLines/>
              <w:spacing w:after="80"/>
              <w:rPr>
                <w:rFonts w:cs="Arial"/>
              </w:rPr>
            </w:pPr>
            <w:r>
              <w:rPr>
                <w:rFonts w:cs="Arial"/>
              </w:rPr>
              <w:t>5350–5470 MHz</w:t>
            </w:r>
          </w:p>
          <w:p w14:paraId="4F1DBCA1" w14:textId="77777777" w:rsidR="00741D7D" w:rsidRPr="006D46E5" w:rsidRDefault="00741D7D" w:rsidP="00B74C00">
            <w:pPr>
              <w:pStyle w:val="TableBody"/>
              <w:keepNext/>
              <w:keepLines/>
              <w:rPr>
                <w:rFonts w:cs="Arial"/>
              </w:rPr>
            </w:pPr>
            <w:r w:rsidRPr="00F018BA">
              <w:rPr>
                <w:rFonts w:cs="Arial"/>
              </w:rPr>
              <w:t>Above 6 GHz</w:t>
            </w:r>
          </w:p>
        </w:tc>
      </w:tr>
      <w:tr w:rsidR="00741D7D" w:rsidRPr="006D46E5" w14:paraId="28A0A843" w14:textId="77777777" w:rsidTr="00B74C00">
        <w:trPr>
          <w:tblHeader/>
        </w:trPr>
        <w:tc>
          <w:tcPr>
            <w:tcW w:w="539" w:type="dxa"/>
            <w:shd w:val="clear" w:color="auto" w:fill="F2F2F2" w:themeFill="background1" w:themeFillShade="F2"/>
          </w:tcPr>
          <w:p w14:paraId="4E216FA6" w14:textId="77777777" w:rsidR="00741D7D" w:rsidRPr="006D46E5" w:rsidRDefault="00741D7D" w:rsidP="00B74C00">
            <w:pPr>
              <w:pStyle w:val="TableBody"/>
              <w:keepNext/>
              <w:keepLines/>
              <w:jc w:val="center"/>
              <w:rPr>
                <w:rFonts w:cs="Arial"/>
              </w:rPr>
            </w:pPr>
            <w:r>
              <w:rPr>
                <w:rFonts w:cs="Arial"/>
              </w:rPr>
              <w:t>1</w:t>
            </w:r>
          </w:p>
        </w:tc>
        <w:tc>
          <w:tcPr>
            <w:tcW w:w="2268" w:type="dxa"/>
            <w:shd w:val="clear" w:color="auto" w:fill="F2F2F2" w:themeFill="background1" w:themeFillShade="F2"/>
          </w:tcPr>
          <w:p w14:paraId="73C50C3E" w14:textId="77777777" w:rsidR="00741D7D" w:rsidRPr="006D46E5" w:rsidRDefault="00741D7D" w:rsidP="00B74C00">
            <w:pPr>
              <w:pStyle w:val="TableBody"/>
              <w:keepNext/>
              <w:keepLines/>
              <w:rPr>
                <w:rFonts w:cs="Arial"/>
              </w:rPr>
            </w:pPr>
            <w:r>
              <w:rPr>
                <w:rFonts w:cs="Arial"/>
              </w:rPr>
              <w:t>Initial investigation</w:t>
            </w:r>
          </w:p>
        </w:tc>
        <w:tc>
          <w:tcPr>
            <w:tcW w:w="6697" w:type="dxa"/>
            <w:shd w:val="clear" w:color="auto" w:fill="F2F2F2" w:themeFill="background1" w:themeFillShade="F2"/>
          </w:tcPr>
          <w:p w14:paraId="697397AA" w14:textId="77777777" w:rsidR="00741D7D" w:rsidRPr="00F018BA" w:rsidRDefault="00741D7D" w:rsidP="00B74C00">
            <w:pPr>
              <w:pStyle w:val="TableBody"/>
              <w:keepNext/>
              <w:keepLines/>
              <w:spacing w:after="80"/>
              <w:rPr>
                <w:rFonts w:cs="Arial"/>
              </w:rPr>
            </w:pPr>
            <w:r w:rsidRPr="00F018BA">
              <w:rPr>
                <w:rFonts w:cs="Arial"/>
              </w:rPr>
              <w:t>1.5 GHz</w:t>
            </w:r>
          </w:p>
          <w:p w14:paraId="128E3964" w14:textId="77777777" w:rsidR="00741D7D" w:rsidRPr="00211492" w:rsidRDefault="00741D7D" w:rsidP="00B74C00">
            <w:pPr>
              <w:pStyle w:val="TableBody"/>
              <w:keepNext/>
              <w:keepLines/>
              <w:spacing w:after="80"/>
              <w:rPr>
                <w:rFonts w:cs="Arial"/>
              </w:rPr>
            </w:pPr>
            <w:r w:rsidRPr="00211492">
              <w:rPr>
                <w:rFonts w:cs="Arial"/>
              </w:rPr>
              <w:t xml:space="preserve">1980–2010 MHz and 2170–2200 MHz </w:t>
            </w:r>
          </w:p>
          <w:p w14:paraId="753C62A1" w14:textId="77777777" w:rsidR="00741D7D" w:rsidRPr="006D46E5" w:rsidRDefault="00741D7D" w:rsidP="00B74C00">
            <w:pPr>
              <w:pStyle w:val="TableBody"/>
              <w:keepNext/>
              <w:keepLines/>
              <w:rPr>
                <w:rFonts w:cs="Arial"/>
              </w:rPr>
            </w:pPr>
            <w:r w:rsidRPr="00F018BA">
              <w:rPr>
                <w:rFonts w:cs="Arial"/>
              </w:rPr>
              <w:t>3575</w:t>
            </w:r>
            <w:r>
              <w:rPr>
                <w:rFonts w:cs="Arial"/>
              </w:rPr>
              <w:t>–</w:t>
            </w:r>
            <w:r w:rsidRPr="00F018BA">
              <w:rPr>
                <w:rFonts w:cs="Arial"/>
              </w:rPr>
              <w:t>3700 MHz</w:t>
            </w:r>
          </w:p>
        </w:tc>
      </w:tr>
      <w:tr w:rsidR="00741D7D" w:rsidRPr="006D46E5" w14:paraId="4CED5341" w14:textId="77777777" w:rsidTr="00B74C00">
        <w:trPr>
          <w:tblHeader/>
        </w:trPr>
        <w:tc>
          <w:tcPr>
            <w:tcW w:w="539" w:type="dxa"/>
          </w:tcPr>
          <w:p w14:paraId="3663C9DD" w14:textId="77777777" w:rsidR="00741D7D" w:rsidRPr="006D46E5" w:rsidRDefault="00741D7D" w:rsidP="00B74C00">
            <w:pPr>
              <w:pStyle w:val="TableBody"/>
              <w:keepNext/>
              <w:keepLines/>
              <w:jc w:val="center"/>
              <w:rPr>
                <w:rFonts w:cs="Arial"/>
              </w:rPr>
            </w:pPr>
            <w:r>
              <w:rPr>
                <w:rFonts w:cs="Arial"/>
              </w:rPr>
              <w:t>2</w:t>
            </w:r>
          </w:p>
        </w:tc>
        <w:tc>
          <w:tcPr>
            <w:tcW w:w="2268" w:type="dxa"/>
          </w:tcPr>
          <w:p w14:paraId="2D43ED9E" w14:textId="77777777" w:rsidR="00741D7D" w:rsidRPr="006D46E5" w:rsidRDefault="00741D7D" w:rsidP="00B74C00">
            <w:pPr>
              <w:pStyle w:val="TableBody"/>
              <w:keepNext/>
              <w:keepLines/>
              <w:rPr>
                <w:rFonts w:cs="Arial"/>
              </w:rPr>
            </w:pPr>
            <w:r>
              <w:rPr>
                <w:rFonts w:cs="Arial"/>
              </w:rPr>
              <w:t>Preliminary replanning</w:t>
            </w:r>
          </w:p>
        </w:tc>
        <w:tc>
          <w:tcPr>
            <w:tcW w:w="6697" w:type="dxa"/>
          </w:tcPr>
          <w:p w14:paraId="21FF8112" w14:textId="77777777" w:rsidR="00741D7D" w:rsidRPr="00F018BA" w:rsidRDefault="00741D7D" w:rsidP="00B74C00">
            <w:pPr>
              <w:pStyle w:val="TableBody"/>
              <w:keepNext/>
              <w:keepLines/>
              <w:spacing w:after="80"/>
              <w:rPr>
                <w:rFonts w:cs="Arial"/>
              </w:rPr>
            </w:pPr>
            <w:r w:rsidRPr="00F018BA">
              <w:rPr>
                <w:rFonts w:cs="Arial"/>
              </w:rPr>
              <w:t xml:space="preserve">850 MHz </w:t>
            </w:r>
            <w:r>
              <w:rPr>
                <w:rFonts w:cs="Arial"/>
              </w:rPr>
              <w:t>expansion band</w:t>
            </w:r>
            <w:r w:rsidRPr="00F018BA">
              <w:rPr>
                <w:rFonts w:cs="Arial"/>
              </w:rPr>
              <w:t xml:space="preserve"> </w:t>
            </w:r>
          </w:p>
          <w:p w14:paraId="62074BA1" w14:textId="77777777" w:rsidR="00741D7D" w:rsidRPr="006D46E5" w:rsidRDefault="00741D7D" w:rsidP="00B74C00">
            <w:pPr>
              <w:pStyle w:val="TableBody"/>
              <w:keepNext/>
              <w:keepLines/>
              <w:rPr>
                <w:rFonts w:cs="Arial"/>
              </w:rPr>
            </w:pPr>
            <w:r w:rsidRPr="00F018BA">
              <w:rPr>
                <w:rFonts w:cs="Arial"/>
              </w:rPr>
              <w:t>900 MHz</w:t>
            </w:r>
          </w:p>
        </w:tc>
      </w:tr>
      <w:tr w:rsidR="00741D7D" w:rsidRPr="006D46E5" w14:paraId="004196E5" w14:textId="77777777" w:rsidTr="00B74C00">
        <w:trPr>
          <w:tblHeader/>
        </w:trPr>
        <w:tc>
          <w:tcPr>
            <w:tcW w:w="539" w:type="dxa"/>
            <w:shd w:val="clear" w:color="auto" w:fill="F2F2F2" w:themeFill="background1" w:themeFillShade="F2"/>
          </w:tcPr>
          <w:p w14:paraId="479FB071" w14:textId="77777777" w:rsidR="00741D7D" w:rsidRDefault="00741D7D" w:rsidP="00B74C00">
            <w:pPr>
              <w:pStyle w:val="TableBody"/>
              <w:keepNext/>
              <w:keepLines/>
              <w:jc w:val="center"/>
              <w:rPr>
                <w:rFonts w:cs="Arial"/>
              </w:rPr>
            </w:pPr>
            <w:r>
              <w:rPr>
                <w:rFonts w:cs="Arial"/>
              </w:rPr>
              <w:t>3</w:t>
            </w:r>
          </w:p>
        </w:tc>
        <w:tc>
          <w:tcPr>
            <w:tcW w:w="2268" w:type="dxa"/>
            <w:shd w:val="clear" w:color="auto" w:fill="F2F2F2" w:themeFill="background1" w:themeFillShade="F2"/>
          </w:tcPr>
          <w:p w14:paraId="5440B1FF" w14:textId="77777777" w:rsidR="00741D7D" w:rsidRDefault="00741D7D" w:rsidP="00B74C00">
            <w:pPr>
              <w:pStyle w:val="TableBody"/>
              <w:keepNext/>
              <w:keepLines/>
              <w:rPr>
                <w:rFonts w:cs="Arial"/>
              </w:rPr>
            </w:pPr>
            <w:r>
              <w:rPr>
                <w:rFonts w:cs="Arial"/>
              </w:rPr>
              <w:t>Re-farming</w:t>
            </w:r>
          </w:p>
        </w:tc>
        <w:tc>
          <w:tcPr>
            <w:tcW w:w="6697" w:type="dxa"/>
            <w:shd w:val="clear" w:color="auto" w:fill="F2F2F2" w:themeFill="background1" w:themeFillShade="F2"/>
          </w:tcPr>
          <w:p w14:paraId="50F96066" w14:textId="77777777" w:rsidR="00741D7D" w:rsidRPr="00F018BA" w:rsidRDefault="00741D7D" w:rsidP="00B74C00">
            <w:pPr>
              <w:pStyle w:val="TableBody"/>
              <w:keepNext/>
              <w:keepLines/>
              <w:spacing w:after="80"/>
              <w:rPr>
                <w:rFonts w:cs="Arial"/>
              </w:rPr>
            </w:pPr>
            <w:r w:rsidRPr="00F018BA">
              <w:rPr>
                <w:rFonts w:cs="Arial"/>
              </w:rPr>
              <w:t xml:space="preserve">3.5 GHz </w:t>
            </w:r>
            <w:r>
              <w:rPr>
                <w:rFonts w:cs="Arial"/>
              </w:rPr>
              <w:t>PTS release</w:t>
            </w:r>
          </w:p>
          <w:p w14:paraId="09F3FDF4" w14:textId="77777777" w:rsidR="00741D7D" w:rsidRPr="00F018BA" w:rsidRDefault="00741D7D" w:rsidP="00B74C00">
            <w:pPr>
              <w:pStyle w:val="TableBody"/>
              <w:keepNext/>
              <w:keepLines/>
              <w:spacing w:after="80"/>
              <w:rPr>
                <w:rFonts w:cs="Arial"/>
              </w:rPr>
            </w:pPr>
            <w:r w:rsidRPr="00F018BA">
              <w:rPr>
                <w:rFonts w:cs="Arial"/>
              </w:rPr>
              <w:t>700 MHz unsold lots</w:t>
            </w:r>
          </w:p>
          <w:p w14:paraId="70622565" w14:textId="25299F98" w:rsidR="00741D7D" w:rsidRDefault="00741D7D" w:rsidP="006C5587">
            <w:pPr>
              <w:pStyle w:val="TableBody"/>
              <w:keepNext/>
              <w:keepLines/>
              <w:rPr>
                <w:rFonts w:cs="Arial"/>
              </w:rPr>
            </w:pPr>
            <w:r w:rsidRPr="00F018BA">
              <w:rPr>
                <w:rFonts w:cs="Arial"/>
              </w:rPr>
              <w:t xml:space="preserve">1800 MHz </w:t>
            </w:r>
            <w:r w:rsidR="006C5587">
              <w:rPr>
                <w:rFonts w:cs="Arial"/>
              </w:rPr>
              <w:t>regional</w:t>
            </w:r>
            <w:r w:rsidRPr="00F018BA">
              <w:rPr>
                <w:rFonts w:cs="Arial"/>
              </w:rPr>
              <w:t>/remote</w:t>
            </w:r>
          </w:p>
        </w:tc>
      </w:tr>
    </w:tbl>
    <w:p w14:paraId="2C93068F" w14:textId="6701331B" w:rsidR="00264184" w:rsidRDefault="00264184" w:rsidP="0049580A">
      <w:pPr>
        <w:pStyle w:val="ACMASpaceaftertable"/>
      </w:pPr>
    </w:p>
    <w:p w14:paraId="6782C7A7" w14:textId="7083EC08" w:rsidR="00546101" w:rsidRDefault="00546101" w:rsidP="00546101">
      <w:pPr>
        <w:pStyle w:val="Heading3"/>
      </w:pPr>
      <w:bookmarkStart w:id="216" w:name="_Toc441235818"/>
      <w:bookmarkStart w:id="217" w:name="_Toc442428392"/>
      <w:bookmarkStart w:id="218" w:name="_Toc443910710"/>
      <w:r>
        <w:t xml:space="preserve">Overall comments on the </w:t>
      </w:r>
      <w:bookmarkEnd w:id="216"/>
      <w:bookmarkEnd w:id="217"/>
      <w:r w:rsidR="00047A99">
        <w:t xml:space="preserve">work </w:t>
      </w:r>
      <w:r w:rsidR="004A2671">
        <w:t>program</w:t>
      </w:r>
      <w:bookmarkEnd w:id="218"/>
    </w:p>
    <w:p w14:paraId="31D41BDA" w14:textId="77777777" w:rsidR="005E106B" w:rsidRPr="00785FAE" w:rsidRDefault="005E106B" w:rsidP="005E106B">
      <w:pPr>
        <w:rPr>
          <w:rFonts w:cs="Arial"/>
          <w:szCs w:val="20"/>
          <w:lang w:val="en"/>
        </w:rPr>
      </w:pPr>
      <w:r w:rsidRPr="00EF6615">
        <w:rPr>
          <w:rFonts w:cs="Arial"/>
          <w:szCs w:val="20"/>
          <w:lang w:val="en"/>
        </w:rPr>
        <w:t>Defence did not see a requirement for any amendments to the frequency bands in the proposed work program at the time of submitting their response.</w:t>
      </w:r>
    </w:p>
    <w:p w14:paraId="313D3803" w14:textId="160E6D3F" w:rsidR="005E106B" w:rsidRPr="00785FAE" w:rsidRDefault="005E106B" w:rsidP="005E106B">
      <w:pPr>
        <w:rPr>
          <w:rFonts w:cs="Arial"/>
          <w:szCs w:val="20"/>
          <w:lang w:val="en"/>
        </w:rPr>
      </w:pPr>
      <w:r w:rsidRPr="00785FAE">
        <w:rPr>
          <w:rFonts w:cs="Arial"/>
          <w:szCs w:val="20"/>
          <w:lang w:val="en"/>
        </w:rPr>
        <w:t>Inmarsat</w:t>
      </w:r>
      <w:r>
        <w:rPr>
          <w:rFonts w:cs="Arial"/>
          <w:szCs w:val="20"/>
          <w:lang w:val="en"/>
        </w:rPr>
        <w:t xml:space="preserve"> stated that </w:t>
      </w:r>
      <w:r w:rsidRPr="00785FAE">
        <w:rPr>
          <w:rFonts w:cs="Arial"/>
          <w:szCs w:val="20"/>
          <w:lang w:val="en"/>
        </w:rPr>
        <w:t xml:space="preserve">while some bands available for satellite applications have been proposed to be used by terrestrial mobile systems on a shared basis, the historical evidence suggests that sharing is not practicable. Almost all bands currently used for terrestrial mobile are used on an exclusive basis. </w:t>
      </w:r>
      <w:r>
        <w:rPr>
          <w:rFonts w:cs="Arial"/>
          <w:szCs w:val="20"/>
          <w:lang w:val="en"/>
        </w:rPr>
        <w:t>Inmarsat are also</w:t>
      </w:r>
      <w:r w:rsidRPr="00785FAE">
        <w:rPr>
          <w:rFonts w:cs="Arial"/>
          <w:szCs w:val="20"/>
          <w:lang w:val="en"/>
        </w:rPr>
        <w:t xml:space="preserve"> </w:t>
      </w:r>
      <w:r w:rsidR="00E20844" w:rsidRPr="00785FAE">
        <w:rPr>
          <w:rFonts w:cs="Arial"/>
          <w:szCs w:val="20"/>
          <w:lang w:val="en"/>
        </w:rPr>
        <w:t>skeptical</w:t>
      </w:r>
      <w:r w:rsidRPr="00785FAE">
        <w:rPr>
          <w:rFonts w:cs="Arial"/>
          <w:szCs w:val="20"/>
          <w:lang w:val="en"/>
        </w:rPr>
        <w:t xml:space="preserve"> about claims from the terrestrial mobile community that sharing is feasible with incumbent services. If a band really is used to a significant extent for mobile, then the incumbent service will most likely eventually be displaced from the band.  </w:t>
      </w:r>
    </w:p>
    <w:p w14:paraId="149A9F50" w14:textId="391180B7" w:rsidR="005E106B" w:rsidRDefault="00FC6D20" w:rsidP="005E106B">
      <w:pPr>
        <w:rPr>
          <w:rFonts w:cs="Arial"/>
          <w:szCs w:val="20"/>
          <w:lang w:val="en"/>
        </w:rPr>
      </w:pPr>
      <w:r>
        <w:rPr>
          <w:rFonts w:cs="Arial"/>
          <w:szCs w:val="20"/>
          <w:lang w:val="en"/>
        </w:rPr>
        <w:t>nbn</w:t>
      </w:r>
      <w:r w:rsidR="005E106B">
        <w:rPr>
          <w:rFonts w:cs="Arial"/>
          <w:szCs w:val="20"/>
          <w:lang w:val="en"/>
        </w:rPr>
        <w:t xml:space="preserve"> </w:t>
      </w:r>
      <w:r w:rsidR="005E106B" w:rsidRPr="00785FAE">
        <w:rPr>
          <w:rFonts w:cs="Arial"/>
          <w:szCs w:val="20"/>
          <w:lang w:val="en"/>
        </w:rPr>
        <w:t>noted that the ACMA should ensure that it continues to consider fixed broadband capacity requirements in the spectrum bands identified</w:t>
      </w:r>
      <w:r w:rsidR="00983CE8">
        <w:rPr>
          <w:rFonts w:cs="Arial"/>
          <w:szCs w:val="20"/>
          <w:lang w:val="en"/>
        </w:rPr>
        <w:t xml:space="preserve"> for</w:t>
      </w:r>
      <w:r w:rsidR="00983CE8" w:rsidRPr="00983CE8">
        <w:rPr>
          <w:rFonts w:cs="Arial"/>
          <w:szCs w:val="20"/>
          <w:lang w:val="en"/>
        </w:rPr>
        <w:t xml:space="preserve"> </w:t>
      </w:r>
      <w:r w:rsidR="00983CE8" w:rsidRPr="00785FAE">
        <w:rPr>
          <w:rFonts w:cs="Arial"/>
          <w:szCs w:val="20"/>
          <w:lang w:val="en"/>
        </w:rPr>
        <w:t>IMT</w:t>
      </w:r>
      <w:r w:rsidR="005E106B" w:rsidRPr="00785FAE">
        <w:rPr>
          <w:rFonts w:cs="Arial"/>
          <w:szCs w:val="20"/>
          <w:lang w:val="en"/>
        </w:rPr>
        <w:t>.</w:t>
      </w:r>
    </w:p>
    <w:p w14:paraId="579D52EB" w14:textId="10ED38FF" w:rsidR="00E20844" w:rsidRPr="008B68FC" w:rsidRDefault="0049580A" w:rsidP="0049580A">
      <w:pPr>
        <w:pStyle w:val="Heading3"/>
        <w:rPr>
          <w:lang w:val="en"/>
        </w:rPr>
      </w:pPr>
      <w:bookmarkStart w:id="219" w:name="_Toc443910711"/>
      <w:r>
        <w:rPr>
          <w:lang w:val="en"/>
        </w:rPr>
        <w:t xml:space="preserve">The </w:t>
      </w:r>
      <w:r w:rsidR="00983CE8">
        <w:rPr>
          <w:lang w:val="en"/>
        </w:rPr>
        <w:t>ACMA</w:t>
      </w:r>
      <w:r>
        <w:rPr>
          <w:lang w:val="en"/>
        </w:rPr>
        <w:t>’s</w:t>
      </w:r>
      <w:r w:rsidR="00983CE8">
        <w:rPr>
          <w:lang w:val="en"/>
        </w:rPr>
        <w:t xml:space="preserve"> r</w:t>
      </w:r>
      <w:r w:rsidR="00E20844" w:rsidRPr="008B68FC">
        <w:rPr>
          <w:lang w:val="en"/>
        </w:rPr>
        <w:t xml:space="preserve">esponse to submissions </w:t>
      </w:r>
      <w:r w:rsidR="00983CE8">
        <w:rPr>
          <w:lang w:val="en"/>
        </w:rPr>
        <w:t xml:space="preserve">to </w:t>
      </w:r>
      <w:r w:rsidR="00E20844">
        <w:rPr>
          <w:lang w:val="en"/>
        </w:rPr>
        <w:t xml:space="preserve">overall comments on the </w:t>
      </w:r>
      <w:r w:rsidR="00047A99">
        <w:rPr>
          <w:lang w:val="en"/>
        </w:rPr>
        <w:t xml:space="preserve">work </w:t>
      </w:r>
      <w:r w:rsidR="004A2671">
        <w:rPr>
          <w:lang w:val="en"/>
        </w:rPr>
        <w:t>program</w:t>
      </w:r>
      <w:bookmarkEnd w:id="219"/>
    </w:p>
    <w:p w14:paraId="68DFE602" w14:textId="373BD758" w:rsidR="00E20844" w:rsidRDefault="00DF0128" w:rsidP="00E20844">
      <w:pPr>
        <w:rPr>
          <w:rFonts w:cs="Arial"/>
          <w:szCs w:val="20"/>
          <w:lang w:val="en"/>
        </w:rPr>
      </w:pPr>
      <w:r>
        <w:rPr>
          <w:rFonts w:cs="Arial"/>
          <w:szCs w:val="20"/>
          <w:lang w:val="en"/>
        </w:rPr>
        <w:t xml:space="preserve">The ACMA will continue to consider the requirements for fixed broadband and notes that the technology and bands identified for mobile broadband are often interchangeable with fixed services. </w:t>
      </w:r>
    </w:p>
    <w:p w14:paraId="5F86BD2B" w14:textId="029918CD" w:rsidR="00BB0E11" w:rsidRDefault="00BB0E11" w:rsidP="00E20844">
      <w:pPr>
        <w:rPr>
          <w:rFonts w:cs="Arial"/>
          <w:szCs w:val="20"/>
          <w:lang w:val="en"/>
        </w:rPr>
      </w:pPr>
      <w:r>
        <w:rPr>
          <w:rFonts w:cs="Arial"/>
          <w:szCs w:val="20"/>
          <w:lang w:val="en"/>
        </w:rPr>
        <w:t xml:space="preserve">As described in Strategy 4, the ACMA will continue to </w:t>
      </w:r>
      <w:r>
        <w:t>explore opportunities and, where appropriate</w:t>
      </w:r>
      <w:r w:rsidR="0049580A">
        <w:t>,</w:t>
      </w:r>
      <w:r>
        <w:t xml:space="preserve"> adopt measures for greater sharing between mobile broadband services and other services. This will naturally take into account the requirements of both mobile and other services. Refer to discussion on Strategy 4 for more detail.</w:t>
      </w:r>
    </w:p>
    <w:p w14:paraId="0D39B54A" w14:textId="05EE6E99" w:rsidR="00546101" w:rsidRDefault="00294BCE" w:rsidP="0049580A">
      <w:pPr>
        <w:pStyle w:val="Heading2"/>
      </w:pPr>
      <w:bookmarkStart w:id="220" w:name="_Toc441235819"/>
      <w:bookmarkStart w:id="221" w:name="_Toc442428393"/>
      <w:bookmarkStart w:id="222" w:name="_Toc443910712"/>
      <w:r>
        <w:t>520</w:t>
      </w:r>
      <w:r w:rsidR="0049580A">
        <w:t>–</w:t>
      </w:r>
      <w:r>
        <w:t>694</w:t>
      </w:r>
      <w:r w:rsidRPr="00F018BA">
        <w:t xml:space="preserve"> </w:t>
      </w:r>
      <w:r w:rsidR="00546101" w:rsidRPr="00F018BA">
        <w:t>MHz</w:t>
      </w:r>
      <w:bookmarkEnd w:id="220"/>
      <w:bookmarkEnd w:id="221"/>
      <w:r w:rsidR="006123DB">
        <w:t xml:space="preserve"> (600 MHz)</w:t>
      </w:r>
      <w:bookmarkEnd w:id="222"/>
      <w:r w:rsidR="00546101" w:rsidRPr="00F018BA">
        <w:t xml:space="preserve"> </w:t>
      </w:r>
    </w:p>
    <w:p w14:paraId="7BB011B4" w14:textId="04C38FEF" w:rsidR="00546101" w:rsidRDefault="00546101" w:rsidP="00546101">
      <w:pPr>
        <w:rPr>
          <w:rFonts w:cs="Arial"/>
          <w:szCs w:val="20"/>
          <w:lang w:val="en"/>
        </w:rPr>
      </w:pPr>
      <w:r w:rsidRPr="00546101">
        <w:rPr>
          <w:rFonts w:cs="Arial"/>
          <w:szCs w:val="20"/>
          <w:lang w:val="en"/>
        </w:rPr>
        <w:t xml:space="preserve">The 600 MHz band </w:t>
      </w:r>
      <w:r>
        <w:rPr>
          <w:rFonts w:cs="Arial"/>
          <w:szCs w:val="20"/>
          <w:lang w:val="en"/>
        </w:rPr>
        <w:t xml:space="preserve">was included at the </w:t>
      </w:r>
      <w:r w:rsidRPr="005B01CB">
        <w:rPr>
          <w:rFonts w:cs="Arial"/>
          <w:i/>
          <w:szCs w:val="20"/>
          <w:lang w:val="en"/>
        </w:rPr>
        <w:t>monitoring</w:t>
      </w:r>
      <w:r>
        <w:rPr>
          <w:rFonts w:cs="Arial"/>
          <w:szCs w:val="20"/>
          <w:lang w:val="en"/>
        </w:rPr>
        <w:t xml:space="preserve"> stage in </w:t>
      </w:r>
      <w:r w:rsidRPr="00F3138B">
        <w:rPr>
          <w:rFonts w:cs="Arial"/>
          <w:i/>
          <w:szCs w:val="20"/>
          <w:lang w:val="en"/>
        </w:rPr>
        <w:t>Beyond 2020</w:t>
      </w:r>
      <w:r>
        <w:rPr>
          <w:rFonts w:cs="Arial"/>
          <w:szCs w:val="20"/>
          <w:lang w:val="en"/>
        </w:rPr>
        <w:t xml:space="preserve">. </w:t>
      </w:r>
    </w:p>
    <w:p w14:paraId="3960BD22" w14:textId="2E6738F8" w:rsidR="00546101" w:rsidRDefault="00546101" w:rsidP="00546101">
      <w:pPr>
        <w:rPr>
          <w:rFonts w:cs="Arial"/>
          <w:szCs w:val="20"/>
          <w:lang w:val="en"/>
        </w:rPr>
      </w:pPr>
      <w:r>
        <w:rPr>
          <w:rFonts w:cs="Arial"/>
          <w:szCs w:val="20"/>
          <w:lang w:val="en"/>
        </w:rPr>
        <w:t xml:space="preserve">Alcatel-Lucent urged support for the </w:t>
      </w:r>
      <w:r w:rsidRPr="00B24F33">
        <w:rPr>
          <w:rFonts w:cs="Arial"/>
          <w:szCs w:val="20"/>
          <w:lang w:val="en"/>
        </w:rPr>
        <w:t>identification of the sub-700 MHz UHF band for mobile</w:t>
      </w:r>
      <w:r w:rsidR="0049580A">
        <w:rPr>
          <w:rFonts w:cs="Arial"/>
          <w:szCs w:val="20"/>
          <w:lang w:val="en"/>
        </w:rPr>
        <w:t>,</w:t>
      </w:r>
      <w:r w:rsidRPr="00B24F33">
        <w:rPr>
          <w:rFonts w:cs="Arial"/>
          <w:szCs w:val="20"/>
          <w:lang w:val="en"/>
        </w:rPr>
        <w:t xml:space="preserve"> </w:t>
      </w:r>
      <w:r>
        <w:rPr>
          <w:rFonts w:cs="Arial"/>
          <w:szCs w:val="20"/>
          <w:lang w:val="en"/>
        </w:rPr>
        <w:t>describing</w:t>
      </w:r>
      <w:r w:rsidRPr="00B24F33">
        <w:rPr>
          <w:rFonts w:cs="Arial"/>
          <w:szCs w:val="20"/>
          <w:lang w:val="en"/>
        </w:rPr>
        <w:t xml:space="preserve"> this band as a significant milestone as the mobile industry seeks greater access to the UHF band for mobile broadband</w:t>
      </w:r>
      <w:r>
        <w:rPr>
          <w:rFonts w:cs="Arial"/>
          <w:szCs w:val="20"/>
          <w:lang w:val="en"/>
        </w:rPr>
        <w:t xml:space="preserve"> and highlighting the need for low frequency bands as part of a coverage-focused strategy</w:t>
      </w:r>
      <w:r w:rsidRPr="00B24F33">
        <w:rPr>
          <w:rFonts w:cs="Arial"/>
          <w:szCs w:val="20"/>
          <w:lang w:val="en"/>
        </w:rPr>
        <w:t>.</w:t>
      </w:r>
    </w:p>
    <w:p w14:paraId="74917149" w14:textId="73D2500B" w:rsidR="008B68FC" w:rsidRPr="008B68FC" w:rsidRDefault="008B68FC" w:rsidP="0049580A">
      <w:pPr>
        <w:spacing w:after="80"/>
        <w:rPr>
          <w:lang w:val="en"/>
        </w:rPr>
      </w:pPr>
      <w:r>
        <w:rPr>
          <w:lang w:val="en"/>
        </w:rPr>
        <w:t>In its supplementary submission following WRC-15, AMTA highlighted the following country-based IMT identifications added at the conference</w:t>
      </w:r>
      <w:r w:rsidRPr="008B68FC">
        <w:rPr>
          <w:lang w:val="en"/>
        </w:rPr>
        <w:t xml:space="preserve">: </w:t>
      </w:r>
    </w:p>
    <w:p w14:paraId="0AB3E898" w14:textId="7BF63318" w:rsidR="008B68FC" w:rsidRPr="008B68FC" w:rsidRDefault="008B68FC" w:rsidP="008B68FC">
      <w:pPr>
        <w:pStyle w:val="ListBullet"/>
        <w:rPr>
          <w:rFonts w:cs="Arial"/>
        </w:rPr>
      </w:pPr>
      <w:r w:rsidRPr="008B68FC">
        <w:rPr>
          <w:rFonts w:cs="Arial"/>
          <w:i/>
        </w:rPr>
        <w:t>470</w:t>
      </w:r>
      <w:r w:rsidR="0049580A">
        <w:rPr>
          <w:rFonts w:cs="Arial"/>
          <w:i/>
        </w:rPr>
        <w:t>–</w:t>
      </w:r>
      <w:r w:rsidRPr="008B68FC">
        <w:rPr>
          <w:rFonts w:cs="Arial"/>
          <w:i/>
        </w:rPr>
        <w:t>608/614 MHz</w:t>
      </w:r>
      <w:r w:rsidRPr="008B68FC">
        <w:rPr>
          <w:rFonts w:cs="Arial"/>
        </w:rPr>
        <w:t xml:space="preserve">: Bahamas, Barbados, Canada, Mexico, USA and Papua New Guinea </w:t>
      </w:r>
    </w:p>
    <w:p w14:paraId="32EED86D" w14:textId="098ECB93" w:rsidR="008B68FC" w:rsidRPr="008B68FC" w:rsidRDefault="008B68FC" w:rsidP="0049580A">
      <w:pPr>
        <w:pStyle w:val="ListBulletLast"/>
      </w:pPr>
      <w:r w:rsidRPr="008B68FC">
        <w:rPr>
          <w:i/>
        </w:rPr>
        <w:t>614</w:t>
      </w:r>
      <w:r w:rsidR="0049580A">
        <w:rPr>
          <w:i/>
        </w:rPr>
        <w:t>–</w:t>
      </w:r>
      <w:r w:rsidRPr="008B68FC">
        <w:rPr>
          <w:i/>
        </w:rPr>
        <w:t>698 MHz</w:t>
      </w:r>
      <w:r w:rsidRPr="008B68FC">
        <w:t>: countries listed above plus Belize, Colombia and New Zealand</w:t>
      </w:r>
      <w:r w:rsidR="0049580A">
        <w:t>.</w:t>
      </w:r>
    </w:p>
    <w:p w14:paraId="683765FB" w14:textId="0072DDC5" w:rsidR="008B68FC" w:rsidRDefault="008B68FC" w:rsidP="008B68FC">
      <w:pPr>
        <w:rPr>
          <w:rFonts w:cs="Arial"/>
          <w:szCs w:val="20"/>
          <w:lang w:val="en"/>
        </w:rPr>
      </w:pPr>
      <w:r w:rsidRPr="008B68FC">
        <w:rPr>
          <w:rFonts w:cs="Arial"/>
          <w:szCs w:val="20"/>
          <w:lang w:val="en"/>
        </w:rPr>
        <w:t xml:space="preserve">AMTA </w:t>
      </w:r>
      <w:r>
        <w:rPr>
          <w:rFonts w:cs="Arial"/>
          <w:szCs w:val="20"/>
          <w:lang w:val="en"/>
        </w:rPr>
        <w:t xml:space="preserve">supported consideration of </w:t>
      </w:r>
      <w:r w:rsidRPr="008B68FC">
        <w:rPr>
          <w:rFonts w:cs="Arial"/>
          <w:szCs w:val="20"/>
          <w:lang w:val="en"/>
        </w:rPr>
        <w:t>an upper portion of the 470</w:t>
      </w:r>
      <w:r w:rsidR="0049580A">
        <w:rPr>
          <w:rFonts w:cs="Arial"/>
          <w:szCs w:val="20"/>
          <w:lang w:val="en"/>
        </w:rPr>
        <w:t>–</w:t>
      </w:r>
      <w:r w:rsidRPr="008B68FC">
        <w:rPr>
          <w:rFonts w:cs="Arial"/>
          <w:szCs w:val="20"/>
          <w:lang w:val="en"/>
        </w:rPr>
        <w:t>698 MHz (the 600 MHz band) being available for alternative uses such as mobile broadband services</w:t>
      </w:r>
      <w:r w:rsidR="0049580A">
        <w:rPr>
          <w:rFonts w:cs="Arial"/>
          <w:szCs w:val="20"/>
          <w:lang w:val="en"/>
        </w:rPr>
        <w:t>,</w:t>
      </w:r>
      <w:r>
        <w:rPr>
          <w:rFonts w:cs="Arial"/>
          <w:szCs w:val="20"/>
          <w:lang w:val="en"/>
        </w:rPr>
        <w:t xml:space="preserve"> noting continued interest in this spectrum around the world</w:t>
      </w:r>
      <w:r w:rsidRPr="008B68FC">
        <w:rPr>
          <w:rFonts w:cs="Arial"/>
          <w:szCs w:val="20"/>
          <w:lang w:val="en"/>
        </w:rPr>
        <w:t xml:space="preserve">. </w:t>
      </w:r>
      <w:r>
        <w:rPr>
          <w:rFonts w:cs="Arial"/>
          <w:szCs w:val="20"/>
          <w:lang w:val="en"/>
        </w:rPr>
        <w:t>AMTA stated that this</w:t>
      </w:r>
      <w:r w:rsidRPr="008B68FC">
        <w:rPr>
          <w:rFonts w:cs="Arial"/>
          <w:szCs w:val="20"/>
          <w:lang w:val="en"/>
        </w:rPr>
        <w:t xml:space="preserve"> analysis would be consistent with the </w:t>
      </w:r>
      <w:r w:rsidR="0049580A">
        <w:rPr>
          <w:rFonts w:cs="Arial"/>
          <w:szCs w:val="20"/>
          <w:lang w:val="en"/>
        </w:rPr>
        <w:t>g</w:t>
      </w:r>
      <w:r w:rsidRPr="008B68FC">
        <w:rPr>
          <w:rFonts w:cs="Arial"/>
          <w:szCs w:val="20"/>
          <w:lang w:val="en"/>
        </w:rPr>
        <w:t>overnment’s interest in the possibility of a second digital dividend using this spectrum.</w:t>
      </w:r>
      <w:r>
        <w:rPr>
          <w:rStyle w:val="FootnoteReference"/>
          <w:rFonts w:cs="Arial"/>
          <w:szCs w:val="20"/>
          <w:lang w:val="en"/>
        </w:rPr>
        <w:footnoteReference w:id="5"/>
      </w:r>
    </w:p>
    <w:p w14:paraId="5478420C" w14:textId="76E996B2" w:rsidR="000C2A63" w:rsidRDefault="005E106B" w:rsidP="008B68FC">
      <w:pPr>
        <w:rPr>
          <w:rFonts w:cs="Arial"/>
        </w:rPr>
      </w:pPr>
      <w:r>
        <w:rPr>
          <w:rFonts w:cs="Arial"/>
          <w:szCs w:val="20"/>
          <w:lang w:val="en"/>
        </w:rPr>
        <w:t xml:space="preserve">AMTA </w:t>
      </w:r>
      <w:r w:rsidR="00947CB2">
        <w:rPr>
          <w:rFonts w:cs="Arial"/>
          <w:szCs w:val="20"/>
          <w:lang w:val="en"/>
        </w:rPr>
        <w:t xml:space="preserve">also </w:t>
      </w:r>
      <w:r>
        <w:rPr>
          <w:rFonts w:cs="Arial"/>
          <w:szCs w:val="20"/>
          <w:lang w:val="en"/>
        </w:rPr>
        <w:t>made specific reference to</w:t>
      </w:r>
      <w:r>
        <w:rPr>
          <w:rFonts w:cs="Arial"/>
        </w:rPr>
        <w:t xml:space="preserve"> the work conducted by the Radio Spectrum Policy Group (RSPG) of the European Commission (EC). In this </w:t>
      </w:r>
      <w:r w:rsidR="0049580A">
        <w:rPr>
          <w:rFonts w:cs="Arial"/>
        </w:rPr>
        <w:t>work,</w:t>
      </w:r>
      <w:r>
        <w:rPr>
          <w:rFonts w:cs="Arial"/>
        </w:rPr>
        <w:t xml:space="preserve"> RSPG provided a </w:t>
      </w:r>
      <w:hyperlink r:id="rId29" w:history="1">
        <w:r w:rsidR="004060BB" w:rsidRPr="006E585B">
          <w:rPr>
            <w:rStyle w:val="Hyperlink"/>
            <w:rFonts w:cs="Arial"/>
          </w:rPr>
          <w:t>long-term</w:t>
        </w:r>
        <w:r w:rsidRPr="006E585B">
          <w:rPr>
            <w:rStyle w:val="Hyperlink"/>
            <w:rFonts w:cs="Arial"/>
          </w:rPr>
          <w:t xml:space="preserve"> strategy for the future of the UHF band</w:t>
        </w:r>
      </w:hyperlink>
      <w:r w:rsidR="0049580A" w:rsidRPr="0049580A">
        <w:rPr>
          <w:rStyle w:val="Hyperlink"/>
          <w:rFonts w:cs="Arial"/>
          <w:color w:val="auto"/>
          <w:u w:val="none"/>
        </w:rPr>
        <w:t>,</w:t>
      </w:r>
      <w:r>
        <w:rPr>
          <w:rFonts w:cs="Arial"/>
        </w:rPr>
        <w:t xml:space="preserve"> which suggests the band remain available for broadcasting services until at least 2030. It also recommends that the band should be available for downlink</w:t>
      </w:r>
      <w:r w:rsidR="0049580A">
        <w:rPr>
          <w:rFonts w:cs="Arial"/>
        </w:rPr>
        <w:t>-</w:t>
      </w:r>
      <w:r>
        <w:rPr>
          <w:rFonts w:cs="Arial"/>
        </w:rPr>
        <w:t xml:space="preserve">only broadband services on a secondary basis. This outcome is reflected in the </w:t>
      </w:r>
      <w:hyperlink r:id="rId30" w:history="1">
        <w:r w:rsidRPr="00765224">
          <w:rPr>
            <w:rStyle w:val="Hyperlink"/>
            <w:rFonts w:cs="Arial"/>
          </w:rPr>
          <w:t>EC’s inception assessment</w:t>
        </w:r>
      </w:hyperlink>
      <w:r>
        <w:rPr>
          <w:rFonts w:cs="Arial"/>
        </w:rPr>
        <w:t>, but a f</w:t>
      </w:r>
      <w:r w:rsidR="009566C2">
        <w:rPr>
          <w:rFonts w:cs="Arial"/>
        </w:rPr>
        <w:t>inal decision is still pending.</w:t>
      </w:r>
    </w:p>
    <w:p w14:paraId="4AD7F25F" w14:textId="209609E9" w:rsidR="008B68FC" w:rsidRPr="008B68FC" w:rsidRDefault="0049580A" w:rsidP="0049580A">
      <w:pPr>
        <w:pStyle w:val="Heading3"/>
        <w:rPr>
          <w:lang w:val="en"/>
        </w:rPr>
      </w:pPr>
      <w:bookmarkStart w:id="223" w:name="_Toc443910713"/>
      <w:r>
        <w:rPr>
          <w:lang w:val="en"/>
        </w:rPr>
        <w:t xml:space="preserve">The </w:t>
      </w:r>
      <w:r w:rsidR="00983CE8">
        <w:rPr>
          <w:lang w:val="en"/>
        </w:rPr>
        <w:t>ACMA</w:t>
      </w:r>
      <w:r>
        <w:rPr>
          <w:lang w:val="en"/>
        </w:rPr>
        <w:t>’s</w:t>
      </w:r>
      <w:r w:rsidR="00983CE8">
        <w:rPr>
          <w:lang w:val="en"/>
        </w:rPr>
        <w:t xml:space="preserve"> r</w:t>
      </w:r>
      <w:r w:rsidR="008B68FC" w:rsidRPr="008B68FC">
        <w:rPr>
          <w:lang w:val="en"/>
        </w:rPr>
        <w:t>esponse to submissions regarding the 600 MHz band</w:t>
      </w:r>
      <w:bookmarkEnd w:id="223"/>
    </w:p>
    <w:p w14:paraId="3496C671" w14:textId="38AB7301" w:rsidR="005E106B" w:rsidRDefault="005E106B" w:rsidP="005E106B">
      <w:pPr>
        <w:rPr>
          <w:rFonts w:cs="Arial"/>
        </w:rPr>
      </w:pPr>
      <w:r>
        <w:rPr>
          <w:rFonts w:cs="Arial"/>
          <w:szCs w:val="20"/>
          <w:lang w:val="en"/>
        </w:rPr>
        <w:t>The ACMA acknowledges developments at the ITU and within the US and Europe on consideration of the 600 MHz band for mobile broadband. C</w:t>
      </w:r>
      <w:r w:rsidRPr="008B68FC">
        <w:rPr>
          <w:rFonts w:cs="Arial"/>
          <w:szCs w:val="20"/>
          <w:lang w:val="en"/>
        </w:rPr>
        <w:t>onsistent with the Government’s interest in the possibility of a second digital dividend</w:t>
      </w:r>
      <w:r>
        <w:rPr>
          <w:rFonts w:cs="Arial"/>
          <w:szCs w:val="20"/>
          <w:lang w:val="en"/>
        </w:rPr>
        <w:t xml:space="preserve">, </w:t>
      </w:r>
      <w:r>
        <w:rPr>
          <w:rFonts w:cs="Arial"/>
        </w:rPr>
        <w:t>this band will continue to be monitored by the ACMA. In particular, the outcomes of the incentive auction process underway in the US will be of key interest.</w:t>
      </w:r>
    </w:p>
    <w:p w14:paraId="05494206" w14:textId="7A47210C" w:rsidR="009566C2" w:rsidRPr="000C2A63" w:rsidRDefault="005E106B" w:rsidP="005E106B">
      <w:pPr>
        <w:rPr>
          <w:rFonts w:cs="Arial"/>
        </w:rPr>
      </w:pPr>
      <w:r>
        <w:rPr>
          <w:rFonts w:cs="Arial"/>
        </w:rPr>
        <w:t xml:space="preserve">The ACMA will also engage with industry and </w:t>
      </w:r>
      <w:r w:rsidR="00034622">
        <w:rPr>
          <w:rFonts w:cs="Arial"/>
        </w:rPr>
        <w:t>g</w:t>
      </w:r>
      <w:r>
        <w:rPr>
          <w:rFonts w:cs="Arial"/>
        </w:rPr>
        <w:t>overnment regarding technological evolutions of terrestrial digital television including DVB-T2 and HEVC. Early adoption of these technologies could assist in the identification and migration towards a second digital dividend</w:t>
      </w:r>
      <w:r w:rsidR="00947CB2">
        <w:rPr>
          <w:rFonts w:cs="Arial"/>
        </w:rPr>
        <w:t xml:space="preserve"> in the future</w:t>
      </w:r>
      <w:r>
        <w:rPr>
          <w:rFonts w:cs="Arial"/>
        </w:rPr>
        <w:t>.</w:t>
      </w:r>
    </w:p>
    <w:p w14:paraId="79EC7D58" w14:textId="32CBECD2" w:rsidR="00546101" w:rsidRDefault="00546101" w:rsidP="0049580A">
      <w:pPr>
        <w:pStyle w:val="Heading2"/>
      </w:pPr>
      <w:bookmarkStart w:id="224" w:name="_Toc441235820"/>
      <w:bookmarkStart w:id="225" w:name="_Toc442428394"/>
      <w:bookmarkStart w:id="226" w:name="_Toc443910714"/>
      <w:r w:rsidRPr="00F018BA">
        <w:t>27</w:t>
      </w:r>
      <w:r>
        <w:t>00–</w:t>
      </w:r>
      <w:r w:rsidRPr="00F018BA">
        <w:t>29</w:t>
      </w:r>
      <w:r>
        <w:t>00</w:t>
      </w:r>
      <w:r w:rsidRPr="00F018BA">
        <w:t xml:space="preserve"> </w:t>
      </w:r>
      <w:r>
        <w:t>M</w:t>
      </w:r>
      <w:r w:rsidRPr="00F018BA">
        <w:t>Hz</w:t>
      </w:r>
      <w:bookmarkEnd w:id="224"/>
      <w:bookmarkEnd w:id="225"/>
      <w:bookmarkEnd w:id="226"/>
    </w:p>
    <w:p w14:paraId="061CC111" w14:textId="4C95BFFD" w:rsidR="00DC5C34" w:rsidRDefault="00DC5C34" w:rsidP="00DC5C34">
      <w:pPr>
        <w:rPr>
          <w:rFonts w:cs="Arial"/>
          <w:szCs w:val="20"/>
          <w:lang w:val="en"/>
        </w:rPr>
      </w:pPr>
      <w:r w:rsidRPr="00546101">
        <w:rPr>
          <w:rFonts w:cs="Arial"/>
          <w:szCs w:val="20"/>
          <w:lang w:val="en"/>
        </w:rPr>
        <w:t xml:space="preserve">The </w:t>
      </w:r>
      <w:r>
        <w:rPr>
          <w:rFonts w:cs="Arial"/>
          <w:szCs w:val="20"/>
          <w:lang w:val="en"/>
        </w:rPr>
        <w:t>2700</w:t>
      </w:r>
      <w:r w:rsidR="0049580A">
        <w:rPr>
          <w:rFonts w:cs="Arial"/>
          <w:szCs w:val="20"/>
          <w:lang w:val="en"/>
        </w:rPr>
        <w:t>–</w:t>
      </w:r>
      <w:r>
        <w:rPr>
          <w:rFonts w:cs="Arial"/>
          <w:szCs w:val="20"/>
          <w:lang w:val="en"/>
        </w:rPr>
        <w:t>2900</w:t>
      </w:r>
      <w:r w:rsidRPr="00546101">
        <w:rPr>
          <w:rFonts w:cs="Arial"/>
          <w:szCs w:val="20"/>
          <w:lang w:val="en"/>
        </w:rPr>
        <w:t xml:space="preserve"> MHz band </w:t>
      </w:r>
      <w:r>
        <w:rPr>
          <w:rFonts w:cs="Arial"/>
          <w:szCs w:val="20"/>
          <w:lang w:val="en"/>
        </w:rPr>
        <w:t xml:space="preserve">was included at the </w:t>
      </w:r>
      <w:r w:rsidRPr="005B01CB">
        <w:rPr>
          <w:rFonts w:cs="Arial"/>
          <w:i/>
          <w:szCs w:val="20"/>
          <w:lang w:val="en"/>
        </w:rPr>
        <w:t>monitoring</w:t>
      </w:r>
      <w:r>
        <w:rPr>
          <w:rFonts w:cs="Arial"/>
          <w:szCs w:val="20"/>
          <w:lang w:val="en"/>
        </w:rPr>
        <w:t xml:space="preserve"> stage in </w:t>
      </w:r>
      <w:r w:rsidRPr="00F3138B">
        <w:rPr>
          <w:rFonts w:cs="Arial"/>
          <w:i/>
          <w:szCs w:val="20"/>
          <w:lang w:val="en"/>
        </w:rPr>
        <w:t>Beyond 2020</w:t>
      </w:r>
      <w:r>
        <w:rPr>
          <w:rFonts w:cs="Arial"/>
          <w:szCs w:val="20"/>
          <w:lang w:val="en"/>
        </w:rPr>
        <w:t xml:space="preserve">. </w:t>
      </w:r>
    </w:p>
    <w:p w14:paraId="009CB0A1" w14:textId="79A40946" w:rsidR="00DC5C34" w:rsidRDefault="00DC5C34" w:rsidP="00DC5C34">
      <w:pPr>
        <w:rPr>
          <w:rFonts w:cs="Arial"/>
          <w:szCs w:val="20"/>
          <w:lang w:val="en"/>
        </w:rPr>
      </w:pPr>
      <w:r>
        <w:rPr>
          <w:rFonts w:cs="Arial"/>
          <w:szCs w:val="20"/>
          <w:lang w:val="en"/>
        </w:rPr>
        <w:t>Alcatel-Lucent</w:t>
      </w:r>
      <w:r w:rsidR="00607262">
        <w:rPr>
          <w:rFonts w:cs="Arial"/>
          <w:szCs w:val="20"/>
          <w:lang w:val="en"/>
        </w:rPr>
        <w:t>,</w:t>
      </w:r>
      <w:r>
        <w:rPr>
          <w:rFonts w:cs="Arial"/>
          <w:szCs w:val="20"/>
          <w:lang w:val="en"/>
        </w:rPr>
        <w:t xml:space="preserve"> AMTA</w:t>
      </w:r>
      <w:r w:rsidR="00607262">
        <w:rPr>
          <w:rFonts w:cs="Arial"/>
          <w:szCs w:val="20"/>
          <w:lang w:val="en"/>
        </w:rPr>
        <w:t>, GSMA</w:t>
      </w:r>
      <w:r>
        <w:rPr>
          <w:rFonts w:cs="Arial"/>
          <w:szCs w:val="20"/>
          <w:lang w:val="en"/>
        </w:rPr>
        <w:t xml:space="preserve"> </w:t>
      </w:r>
      <w:r w:rsidR="00607262">
        <w:rPr>
          <w:rFonts w:cs="Arial"/>
          <w:szCs w:val="20"/>
          <w:lang w:val="en"/>
        </w:rPr>
        <w:t xml:space="preserve">and Telstra </w:t>
      </w:r>
      <w:r>
        <w:rPr>
          <w:rFonts w:cs="Arial"/>
          <w:szCs w:val="20"/>
          <w:lang w:val="en"/>
        </w:rPr>
        <w:t xml:space="preserve">urged support for </w:t>
      </w:r>
      <w:r w:rsidR="00607262">
        <w:rPr>
          <w:rFonts w:cs="Arial"/>
          <w:szCs w:val="20"/>
          <w:lang w:val="en"/>
        </w:rPr>
        <w:t xml:space="preserve">consideration of </w:t>
      </w:r>
      <w:r>
        <w:rPr>
          <w:rFonts w:cs="Arial"/>
          <w:szCs w:val="20"/>
          <w:lang w:val="en"/>
        </w:rPr>
        <w:t>this frequency band</w:t>
      </w:r>
      <w:r w:rsidR="00607262">
        <w:rPr>
          <w:rFonts w:cs="Arial"/>
          <w:szCs w:val="20"/>
          <w:lang w:val="en"/>
        </w:rPr>
        <w:t xml:space="preserve"> for mobile broadband</w:t>
      </w:r>
      <w:r>
        <w:rPr>
          <w:rFonts w:cs="Arial"/>
          <w:szCs w:val="20"/>
          <w:lang w:val="en"/>
        </w:rPr>
        <w:t xml:space="preserve"> and progression of the band into</w:t>
      </w:r>
      <w:r w:rsidR="002E29A8">
        <w:rPr>
          <w:rFonts w:cs="Arial"/>
          <w:szCs w:val="20"/>
          <w:lang w:val="en"/>
        </w:rPr>
        <w:t xml:space="preserve"> the</w:t>
      </w:r>
      <w:r w:rsidRPr="00F15D15">
        <w:rPr>
          <w:rFonts w:cs="Arial"/>
          <w:i/>
          <w:szCs w:val="20"/>
          <w:lang w:val="en"/>
        </w:rPr>
        <w:t xml:space="preserve"> </w:t>
      </w:r>
      <w:r w:rsidR="002E29A8">
        <w:rPr>
          <w:rFonts w:cs="Arial"/>
          <w:i/>
          <w:szCs w:val="20"/>
          <w:lang w:val="en"/>
        </w:rPr>
        <w:t>i</w:t>
      </w:r>
      <w:r w:rsidRPr="00F15D15">
        <w:rPr>
          <w:rFonts w:cs="Arial"/>
          <w:i/>
          <w:szCs w:val="20"/>
          <w:lang w:val="en"/>
        </w:rPr>
        <w:t xml:space="preserve">nitial </w:t>
      </w:r>
      <w:r w:rsidR="00F15D15" w:rsidRPr="00F15D15">
        <w:rPr>
          <w:rFonts w:cs="Arial"/>
          <w:i/>
          <w:szCs w:val="20"/>
          <w:lang w:val="en"/>
        </w:rPr>
        <w:t>i</w:t>
      </w:r>
      <w:r w:rsidRPr="00F15D15">
        <w:rPr>
          <w:rFonts w:cs="Arial"/>
          <w:i/>
          <w:szCs w:val="20"/>
          <w:lang w:val="en"/>
        </w:rPr>
        <w:t>nvestigation</w:t>
      </w:r>
      <w:r w:rsidR="002E29A8">
        <w:rPr>
          <w:rFonts w:cs="Arial"/>
          <w:szCs w:val="20"/>
          <w:lang w:val="en"/>
        </w:rPr>
        <w:t xml:space="preserve"> stage.</w:t>
      </w:r>
      <w:r>
        <w:rPr>
          <w:rFonts w:cs="Arial"/>
          <w:szCs w:val="20"/>
          <w:lang w:val="en"/>
        </w:rPr>
        <w:t xml:space="preserve"> </w:t>
      </w:r>
      <w:r w:rsidR="00607262">
        <w:rPr>
          <w:rFonts w:cs="Arial"/>
          <w:szCs w:val="20"/>
          <w:lang w:val="en"/>
        </w:rPr>
        <w:t xml:space="preserve">AMTA and Telstra noted that </w:t>
      </w:r>
      <w:r w:rsidR="00607262" w:rsidRPr="00785FAE">
        <w:rPr>
          <w:rFonts w:cs="Arial"/>
          <w:szCs w:val="20"/>
          <w:lang w:val="en"/>
        </w:rPr>
        <w:t xml:space="preserve">much of </w:t>
      </w:r>
      <w:r w:rsidR="00607262">
        <w:rPr>
          <w:rFonts w:cs="Arial"/>
          <w:szCs w:val="20"/>
          <w:lang w:val="en"/>
        </w:rPr>
        <w:t>the preliminary</w:t>
      </w:r>
      <w:r w:rsidR="00607262" w:rsidRPr="00785FAE">
        <w:rPr>
          <w:rFonts w:cs="Arial"/>
          <w:szCs w:val="20"/>
          <w:lang w:val="en"/>
        </w:rPr>
        <w:t xml:space="preserve"> work ha</w:t>
      </w:r>
      <w:r w:rsidR="00607262">
        <w:rPr>
          <w:rFonts w:cs="Arial"/>
          <w:szCs w:val="20"/>
          <w:lang w:val="en"/>
        </w:rPr>
        <w:t>d</w:t>
      </w:r>
      <w:r w:rsidR="00607262" w:rsidRPr="00785FAE">
        <w:rPr>
          <w:rFonts w:cs="Arial"/>
          <w:szCs w:val="20"/>
          <w:lang w:val="en"/>
        </w:rPr>
        <w:t xml:space="preserve"> been undertaken as part of the WRC-15 preparatory process, both internationally and domestically, and as such</w:t>
      </w:r>
      <w:r w:rsidR="0049580A">
        <w:rPr>
          <w:rFonts w:cs="Arial"/>
          <w:szCs w:val="20"/>
          <w:lang w:val="en"/>
        </w:rPr>
        <w:t>,</w:t>
      </w:r>
      <w:r w:rsidR="00607262" w:rsidRPr="00785FAE">
        <w:rPr>
          <w:rFonts w:cs="Arial"/>
          <w:szCs w:val="20"/>
          <w:lang w:val="en"/>
        </w:rPr>
        <w:t xml:space="preserve"> listing the band at </w:t>
      </w:r>
      <w:r w:rsidR="002E29A8">
        <w:t xml:space="preserve">the </w:t>
      </w:r>
      <w:r w:rsidR="002E29A8" w:rsidRPr="002E29A8">
        <w:rPr>
          <w:i/>
        </w:rPr>
        <w:t>initial investigation</w:t>
      </w:r>
      <w:r w:rsidR="002E29A8">
        <w:t xml:space="preserve"> stage</w:t>
      </w:r>
      <w:r w:rsidR="00607262" w:rsidRPr="00785FAE">
        <w:rPr>
          <w:rFonts w:cs="Arial"/>
          <w:szCs w:val="20"/>
          <w:lang w:val="en"/>
        </w:rPr>
        <w:t xml:space="preserve"> </w:t>
      </w:r>
      <w:r w:rsidR="00607262">
        <w:rPr>
          <w:rFonts w:cs="Arial"/>
          <w:szCs w:val="20"/>
          <w:lang w:val="en"/>
        </w:rPr>
        <w:t xml:space="preserve">would be </w:t>
      </w:r>
      <w:r w:rsidR="00607262" w:rsidRPr="00785FAE">
        <w:rPr>
          <w:rFonts w:cs="Arial"/>
          <w:szCs w:val="20"/>
          <w:lang w:val="en"/>
        </w:rPr>
        <w:t xml:space="preserve">more representative of the progress of the work. </w:t>
      </w:r>
      <w:r>
        <w:rPr>
          <w:rFonts w:cs="Arial"/>
          <w:szCs w:val="20"/>
          <w:lang w:val="en"/>
        </w:rPr>
        <w:t xml:space="preserve">AMTA submitted that </w:t>
      </w:r>
      <w:r w:rsidRPr="00785FAE">
        <w:rPr>
          <w:rFonts w:cs="Arial"/>
          <w:szCs w:val="20"/>
          <w:lang w:val="en"/>
        </w:rPr>
        <w:t xml:space="preserve">the band is only lightly used by a limited number of radars at fixed locations, and therefore some radar systems in this band could be ‘restacked’ to free up a significant portion of spectrum for </w:t>
      </w:r>
      <w:r>
        <w:rPr>
          <w:rFonts w:cs="Arial"/>
          <w:szCs w:val="20"/>
          <w:lang w:val="en"/>
        </w:rPr>
        <w:t>mobile broadband</w:t>
      </w:r>
      <w:r w:rsidRPr="00785FAE">
        <w:rPr>
          <w:rFonts w:cs="Arial"/>
          <w:szCs w:val="20"/>
          <w:lang w:val="en"/>
        </w:rPr>
        <w:t xml:space="preserve"> use</w:t>
      </w:r>
      <w:r>
        <w:rPr>
          <w:rFonts w:cs="Arial"/>
          <w:szCs w:val="20"/>
          <w:lang w:val="en"/>
        </w:rPr>
        <w:t>. AMTA added that i</w:t>
      </w:r>
      <w:r w:rsidRPr="00785FAE">
        <w:rPr>
          <w:rFonts w:cs="Arial"/>
          <w:szCs w:val="20"/>
          <w:lang w:val="en"/>
        </w:rPr>
        <w:t>n line with Strategy 5</w:t>
      </w:r>
      <w:r>
        <w:rPr>
          <w:rFonts w:cs="Arial"/>
          <w:szCs w:val="20"/>
          <w:lang w:val="en"/>
        </w:rPr>
        <w:t xml:space="preserve">, </w:t>
      </w:r>
      <w:r w:rsidRPr="00785FAE">
        <w:rPr>
          <w:rFonts w:cs="Arial"/>
          <w:szCs w:val="20"/>
          <w:lang w:val="en"/>
        </w:rPr>
        <w:t>the Australian administration should play its role in maintaining momentum for this international preparatory process.</w:t>
      </w:r>
    </w:p>
    <w:p w14:paraId="0FCAF3E9" w14:textId="2504C734" w:rsidR="00607262" w:rsidRPr="00785FAE" w:rsidRDefault="00607262" w:rsidP="00607262">
      <w:pPr>
        <w:rPr>
          <w:rFonts w:cs="Arial"/>
          <w:szCs w:val="20"/>
          <w:lang w:val="en"/>
        </w:rPr>
      </w:pPr>
      <w:r>
        <w:rPr>
          <w:rFonts w:cs="Arial"/>
          <w:szCs w:val="20"/>
          <w:lang w:val="en"/>
        </w:rPr>
        <w:t>In its supplementary submission following WRC-15, AMTA continued to support</w:t>
      </w:r>
      <w:r w:rsidRPr="00607262">
        <w:rPr>
          <w:rFonts w:cs="Arial"/>
          <w:szCs w:val="20"/>
          <w:lang w:val="en"/>
        </w:rPr>
        <w:t xml:space="preserve"> progress</w:t>
      </w:r>
      <w:r w:rsidR="003C79FA">
        <w:rPr>
          <w:rFonts w:cs="Arial"/>
          <w:szCs w:val="20"/>
          <w:lang w:val="en"/>
        </w:rPr>
        <w:t>ion</w:t>
      </w:r>
      <w:r w:rsidRPr="00607262">
        <w:rPr>
          <w:rFonts w:cs="Arial"/>
          <w:szCs w:val="20"/>
          <w:lang w:val="en"/>
        </w:rPr>
        <w:t xml:space="preserve"> </w:t>
      </w:r>
      <w:r w:rsidR="003C79FA">
        <w:rPr>
          <w:rFonts w:cs="Arial"/>
          <w:szCs w:val="20"/>
          <w:lang w:val="en"/>
        </w:rPr>
        <w:t xml:space="preserve">of </w:t>
      </w:r>
      <w:r w:rsidRPr="00607262">
        <w:rPr>
          <w:rFonts w:cs="Arial"/>
          <w:szCs w:val="20"/>
          <w:lang w:val="en"/>
        </w:rPr>
        <w:t xml:space="preserve">the </w:t>
      </w:r>
      <w:r>
        <w:rPr>
          <w:rFonts w:cs="Arial"/>
          <w:szCs w:val="20"/>
          <w:lang w:val="en"/>
        </w:rPr>
        <w:t xml:space="preserve">2700-2900 MHz </w:t>
      </w:r>
      <w:r w:rsidRPr="00607262">
        <w:rPr>
          <w:rFonts w:cs="Arial"/>
          <w:szCs w:val="20"/>
          <w:lang w:val="en"/>
        </w:rPr>
        <w:t xml:space="preserve">band to </w:t>
      </w:r>
      <w:r w:rsidR="002E29A8">
        <w:rPr>
          <w:rFonts w:cs="Arial"/>
          <w:szCs w:val="20"/>
          <w:lang w:val="en"/>
        </w:rPr>
        <w:t xml:space="preserve">the </w:t>
      </w:r>
      <w:r w:rsidR="002E29A8" w:rsidRPr="002E29A8">
        <w:rPr>
          <w:rFonts w:cs="Arial"/>
          <w:i/>
          <w:szCs w:val="20"/>
          <w:lang w:val="en"/>
        </w:rPr>
        <w:t>initial investigation</w:t>
      </w:r>
      <w:r w:rsidR="002E29A8">
        <w:rPr>
          <w:rFonts w:cs="Arial"/>
          <w:szCs w:val="20"/>
          <w:lang w:val="en"/>
        </w:rPr>
        <w:t xml:space="preserve"> stage</w:t>
      </w:r>
      <w:r>
        <w:rPr>
          <w:rFonts w:cs="Arial"/>
          <w:szCs w:val="20"/>
          <w:lang w:val="en"/>
        </w:rPr>
        <w:t>.</w:t>
      </w:r>
      <w:r w:rsidRPr="00607262">
        <w:rPr>
          <w:rFonts w:cs="Arial"/>
          <w:szCs w:val="20"/>
          <w:lang w:val="en"/>
        </w:rPr>
        <w:t xml:space="preserve"> </w:t>
      </w:r>
    </w:p>
    <w:p w14:paraId="0EA2555A" w14:textId="621B0F5A" w:rsidR="00607262" w:rsidRDefault="00F15D15" w:rsidP="00DC5C34">
      <w:pPr>
        <w:rPr>
          <w:rFonts w:cs="Arial"/>
          <w:szCs w:val="20"/>
          <w:lang w:val="en"/>
        </w:rPr>
      </w:pPr>
      <w:r>
        <w:rPr>
          <w:rFonts w:cs="Arial"/>
          <w:szCs w:val="20"/>
          <w:lang w:val="en"/>
        </w:rPr>
        <w:t>BoM</w:t>
      </w:r>
      <w:r w:rsidR="00607262">
        <w:rPr>
          <w:rFonts w:cs="Arial"/>
          <w:szCs w:val="20"/>
          <w:lang w:val="en"/>
        </w:rPr>
        <w:t xml:space="preserve"> outlined the importance of this frequency band for radar-based applications including meteorological radars. They noted that c</w:t>
      </w:r>
      <w:r w:rsidR="00607262" w:rsidRPr="00785FAE">
        <w:rPr>
          <w:rFonts w:cs="Arial"/>
          <w:szCs w:val="20"/>
          <w:lang w:val="en"/>
        </w:rPr>
        <w:t>ognitive-based methods of spectrum sharing</w:t>
      </w:r>
      <w:r w:rsidR="004F061D">
        <w:rPr>
          <w:rFonts w:cs="Arial"/>
          <w:szCs w:val="20"/>
          <w:lang w:val="en"/>
        </w:rPr>
        <w:t>,</w:t>
      </w:r>
      <w:r w:rsidR="00607262" w:rsidRPr="00785FAE">
        <w:rPr>
          <w:rFonts w:cs="Arial"/>
          <w:szCs w:val="20"/>
          <w:lang w:val="en"/>
        </w:rPr>
        <w:t xml:space="preserve"> such as LSA and ASA</w:t>
      </w:r>
      <w:r w:rsidR="004F061D">
        <w:rPr>
          <w:rFonts w:cs="Arial"/>
          <w:szCs w:val="20"/>
          <w:lang w:val="en"/>
        </w:rPr>
        <w:t>,</w:t>
      </w:r>
      <w:r w:rsidR="00607262" w:rsidRPr="00785FAE">
        <w:rPr>
          <w:rFonts w:cs="Arial"/>
          <w:szCs w:val="20"/>
          <w:lang w:val="en"/>
        </w:rPr>
        <w:t xml:space="preserve"> may offer some form of co-channel sharing with other services in the future</w:t>
      </w:r>
      <w:r w:rsidR="004F061D">
        <w:rPr>
          <w:rFonts w:cs="Arial"/>
          <w:szCs w:val="20"/>
          <w:lang w:val="en"/>
        </w:rPr>
        <w:t>,</w:t>
      </w:r>
      <w:r w:rsidR="00607262" w:rsidRPr="00785FAE">
        <w:rPr>
          <w:rFonts w:cs="Arial"/>
          <w:szCs w:val="20"/>
          <w:lang w:val="en"/>
        </w:rPr>
        <w:t xml:space="preserve"> but only after they have been proven under real-world conditions (</w:t>
      </w:r>
      <w:r w:rsidR="004F061D">
        <w:rPr>
          <w:rFonts w:cs="Arial"/>
          <w:szCs w:val="20"/>
          <w:lang w:val="en"/>
        </w:rPr>
        <w:t>that is,</w:t>
      </w:r>
      <w:r w:rsidR="00607262" w:rsidRPr="00785FAE">
        <w:rPr>
          <w:rFonts w:cs="Arial"/>
          <w:szCs w:val="20"/>
          <w:lang w:val="en"/>
        </w:rPr>
        <w:t xml:space="preserve"> actual hardware is available) not to impede or degrade the operation of incumbent services or to constrain them in any way. </w:t>
      </w:r>
    </w:p>
    <w:p w14:paraId="15AD0A52" w14:textId="435AEAA2" w:rsidR="00D45536" w:rsidRDefault="00F15D15" w:rsidP="00DC5C34">
      <w:pPr>
        <w:rPr>
          <w:rFonts w:cs="Arial"/>
          <w:szCs w:val="20"/>
          <w:lang w:val="en"/>
        </w:rPr>
      </w:pPr>
      <w:r>
        <w:rPr>
          <w:rFonts w:cs="Arial"/>
          <w:szCs w:val="20"/>
          <w:lang w:val="en"/>
        </w:rPr>
        <w:t>BoM</w:t>
      </w:r>
      <w:r w:rsidR="00607262">
        <w:rPr>
          <w:rFonts w:cs="Arial"/>
          <w:szCs w:val="20"/>
          <w:lang w:val="en"/>
        </w:rPr>
        <w:t xml:space="preserve"> also submitted that the outcomes of WRC-15 </w:t>
      </w:r>
      <w:r w:rsidR="00607262" w:rsidRPr="00785FAE">
        <w:rPr>
          <w:rFonts w:cs="Arial"/>
          <w:szCs w:val="20"/>
          <w:lang w:val="en"/>
        </w:rPr>
        <w:t>demonstrate that the value ascribed by ITU-R member countries to the radar-based applications that use this band for the benefit of society is greater than that which could potentially result from its use for IMT/mobile broadband.</w:t>
      </w:r>
      <w:r w:rsidR="00607262">
        <w:rPr>
          <w:rFonts w:cs="Arial"/>
          <w:szCs w:val="20"/>
          <w:lang w:val="en"/>
        </w:rPr>
        <w:t xml:space="preserve"> To that end, </w:t>
      </w:r>
      <w:r>
        <w:rPr>
          <w:rFonts w:cs="Arial"/>
          <w:szCs w:val="20"/>
          <w:lang w:val="en"/>
        </w:rPr>
        <w:t>BoM</w:t>
      </w:r>
      <w:r w:rsidR="00607262">
        <w:rPr>
          <w:rFonts w:cs="Arial"/>
          <w:szCs w:val="20"/>
          <w:lang w:val="en"/>
        </w:rPr>
        <w:t xml:space="preserve"> indicated that there is </w:t>
      </w:r>
      <w:r w:rsidR="00607262" w:rsidRPr="00785FAE">
        <w:rPr>
          <w:rFonts w:cs="Arial"/>
          <w:szCs w:val="20"/>
          <w:lang w:val="en"/>
        </w:rPr>
        <w:t xml:space="preserve">no compelling justification to consider moving </w:t>
      </w:r>
      <w:r w:rsidR="00607262">
        <w:rPr>
          <w:rFonts w:cs="Arial"/>
          <w:szCs w:val="20"/>
          <w:lang w:val="en"/>
        </w:rPr>
        <w:t>this band</w:t>
      </w:r>
      <w:r w:rsidR="00607262" w:rsidRPr="00785FAE">
        <w:rPr>
          <w:rFonts w:cs="Arial"/>
          <w:szCs w:val="20"/>
          <w:lang w:val="en"/>
        </w:rPr>
        <w:t xml:space="preserve"> to </w:t>
      </w:r>
      <w:r w:rsidR="002E29A8">
        <w:t xml:space="preserve">the </w:t>
      </w:r>
      <w:r w:rsidR="002E29A8" w:rsidRPr="002E29A8">
        <w:rPr>
          <w:i/>
        </w:rPr>
        <w:t>initial investigation</w:t>
      </w:r>
      <w:r w:rsidR="002E29A8">
        <w:t xml:space="preserve"> stage</w:t>
      </w:r>
      <w:r w:rsidR="00607262" w:rsidRPr="00785FAE">
        <w:rPr>
          <w:rFonts w:cs="Arial"/>
          <w:szCs w:val="20"/>
          <w:lang w:val="en"/>
        </w:rPr>
        <w:t xml:space="preserve"> in the foreseeable future</w:t>
      </w:r>
      <w:r w:rsidR="004F061D">
        <w:rPr>
          <w:rFonts w:cs="Arial"/>
          <w:szCs w:val="20"/>
          <w:lang w:val="en"/>
        </w:rPr>
        <w:t xml:space="preserve">. This is due to </w:t>
      </w:r>
      <w:r w:rsidR="00607262">
        <w:rPr>
          <w:rFonts w:cs="Arial"/>
          <w:szCs w:val="20"/>
          <w:lang w:val="en"/>
        </w:rPr>
        <w:t>t</w:t>
      </w:r>
      <w:r w:rsidR="00DC5C34" w:rsidRPr="00785FAE">
        <w:rPr>
          <w:rFonts w:cs="Arial"/>
          <w:szCs w:val="20"/>
          <w:lang w:val="en"/>
        </w:rPr>
        <w:t xml:space="preserve">he public protection nature of the existing radar applications operating in this band, coupled with the lack of support internationally from administrations for a globally harmonised or even regional mobile service allocation, and </w:t>
      </w:r>
      <w:r w:rsidR="004C7518">
        <w:rPr>
          <w:rFonts w:cs="Arial"/>
          <w:szCs w:val="20"/>
          <w:lang w:val="en"/>
        </w:rPr>
        <w:t>takes into consideration</w:t>
      </w:r>
      <w:r w:rsidR="004C7518" w:rsidRPr="00785FAE">
        <w:rPr>
          <w:rFonts w:cs="Arial"/>
          <w:szCs w:val="20"/>
          <w:lang w:val="en"/>
        </w:rPr>
        <w:t xml:space="preserve"> </w:t>
      </w:r>
      <w:r w:rsidR="00DC5C34" w:rsidRPr="00785FAE">
        <w:rPr>
          <w:rFonts w:cs="Arial"/>
          <w:szCs w:val="20"/>
          <w:lang w:val="en"/>
        </w:rPr>
        <w:t>that this band has already been the subject of sharing studies for several decades</w:t>
      </w:r>
      <w:r w:rsidR="00607262">
        <w:rPr>
          <w:rFonts w:cs="Arial"/>
          <w:szCs w:val="20"/>
          <w:lang w:val="en"/>
        </w:rPr>
        <w:t xml:space="preserve">. </w:t>
      </w:r>
      <w:r w:rsidR="00D45536">
        <w:rPr>
          <w:rFonts w:cs="Arial"/>
          <w:szCs w:val="20"/>
          <w:lang w:val="en"/>
        </w:rPr>
        <w:t xml:space="preserve">They proposed that </w:t>
      </w:r>
      <w:r w:rsidR="00DC5C34" w:rsidRPr="00785FAE">
        <w:rPr>
          <w:rFonts w:cs="Arial"/>
          <w:szCs w:val="20"/>
          <w:lang w:val="en"/>
        </w:rPr>
        <w:t xml:space="preserve">further consideration </w:t>
      </w:r>
      <w:r w:rsidR="00D45536">
        <w:rPr>
          <w:rFonts w:cs="Arial"/>
          <w:szCs w:val="20"/>
          <w:lang w:val="en"/>
        </w:rPr>
        <w:t xml:space="preserve">of this band </w:t>
      </w:r>
      <w:r w:rsidR="00DC5C34" w:rsidRPr="00785FAE">
        <w:rPr>
          <w:rFonts w:cs="Arial"/>
          <w:szCs w:val="20"/>
          <w:lang w:val="en"/>
        </w:rPr>
        <w:t>at the international level would have to come after W</w:t>
      </w:r>
      <w:r w:rsidR="00D45536">
        <w:rPr>
          <w:rFonts w:cs="Arial"/>
          <w:szCs w:val="20"/>
          <w:lang w:val="en"/>
        </w:rPr>
        <w:t>R</w:t>
      </w:r>
      <w:r w:rsidR="00DC5C34" w:rsidRPr="00785FAE">
        <w:rPr>
          <w:rFonts w:cs="Arial"/>
          <w:szCs w:val="20"/>
          <w:lang w:val="en"/>
        </w:rPr>
        <w:t>C-19 (the agenda for WRC-23)</w:t>
      </w:r>
      <w:r w:rsidR="004C7518">
        <w:rPr>
          <w:rFonts w:cs="Arial"/>
          <w:szCs w:val="20"/>
          <w:lang w:val="en"/>
        </w:rPr>
        <w:t>,</w:t>
      </w:r>
      <w:r w:rsidR="00D45536">
        <w:rPr>
          <w:rFonts w:cs="Arial"/>
          <w:szCs w:val="20"/>
          <w:lang w:val="en"/>
        </w:rPr>
        <w:t xml:space="preserve"> and proposed </w:t>
      </w:r>
      <w:r w:rsidR="00DC5C34" w:rsidRPr="00785FAE">
        <w:rPr>
          <w:rFonts w:cs="Arial"/>
          <w:szCs w:val="20"/>
          <w:lang w:val="en"/>
        </w:rPr>
        <w:t>remov</w:t>
      </w:r>
      <w:r w:rsidR="00D45536">
        <w:rPr>
          <w:rFonts w:cs="Arial"/>
          <w:szCs w:val="20"/>
          <w:lang w:val="en"/>
        </w:rPr>
        <w:t>al of the 2700</w:t>
      </w:r>
      <w:r w:rsidR="004C7518">
        <w:rPr>
          <w:rFonts w:cs="Arial"/>
          <w:szCs w:val="20"/>
          <w:lang w:val="en"/>
        </w:rPr>
        <w:t>–</w:t>
      </w:r>
      <w:r w:rsidR="00D45536">
        <w:rPr>
          <w:rFonts w:cs="Arial"/>
          <w:szCs w:val="20"/>
          <w:lang w:val="en"/>
        </w:rPr>
        <w:t xml:space="preserve">2900 MHz from the </w:t>
      </w:r>
      <w:r w:rsidR="00D45536">
        <w:t>process for consideration of additional spectrum for mobile broadband services</w:t>
      </w:r>
      <w:r w:rsidR="00D45536" w:rsidRPr="00785FAE">
        <w:rPr>
          <w:rFonts w:cs="Arial"/>
          <w:szCs w:val="20"/>
          <w:lang w:val="en"/>
        </w:rPr>
        <w:t xml:space="preserve"> </w:t>
      </w:r>
      <w:r w:rsidR="00D45536">
        <w:rPr>
          <w:rFonts w:cs="Arial"/>
          <w:szCs w:val="20"/>
          <w:lang w:val="en"/>
        </w:rPr>
        <w:t xml:space="preserve">altogether. </w:t>
      </w:r>
    </w:p>
    <w:p w14:paraId="04CE4748" w14:textId="1C9ED3C1" w:rsidR="00D45536" w:rsidRPr="008B68FC" w:rsidRDefault="004C7518" w:rsidP="004C7518">
      <w:pPr>
        <w:pStyle w:val="Heading3"/>
        <w:rPr>
          <w:lang w:val="en"/>
        </w:rPr>
      </w:pPr>
      <w:bookmarkStart w:id="227" w:name="_Toc443910715"/>
      <w:r>
        <w:rPr>
          <w:lang w:val="en"/>
        </w:rPr>
        <w:t xml:space="preserve">The </w:t>
      </w:r>
      <w:r w:rsidR="00983CE8">
        <w:rPr>
          <w:lang w:val="en"/>
        </w:rPr>
        <w:t>ACMA</w:t>
      </w:r>
      <w:r>
        <w:rPr>
          <w:lang w:val="en"/>
        </w:rPr>
        <w:t>’s</w:t>
      </w:r>
      <w:r w:rsidR="00983CE8">
        <w:rPr>
          <w:lang w:val="en"/>
        </w:rPr>
        <w:t xml:space="preserve"> r</w:t>
      </w:r>
      <w:r w:rsidR="00D45536" w:rsidRPr="008B68FC">
        <w:rPr>
          <w:lang w:val="en"/>
        </w:rPr>
        <w:t xml:space="preserve">esponse to submissions regarding the </w:t>
      </w:r>
      <w:r w:rsidR="00D45536">
        <w:rPr>
          <w:lang w:val="en"/>
        </w:rPr>
        <w:t>2700</w:t>
      </w:r>
      <w:r>
        <w:rPr>
          <w:lang w:val="en"/>
        </w:rPr>
        <w:t>–</w:t>
      </w:r>
      <w:r w:rsidR="00D45536">
        <w:rPr>
          <w:lang w:val="en"/>
        </w:rPr>
        <w:t>2900</w:t>
      </w:r>
      <w:r w:rsidR="00D45536" w:rsidRPr="008B68FC">
        <w:rPr>
          <w:lang w:val="en"/>
        </w:rPr>
        <w:t xml:space="preserve"> MHz band</w:t>
      </w:r>
      <w:bookmarkEnd w:id="227"/>
    </w:p>
    <w:p w14:paraId="731B9920" w14:textId="11E83367" w:rsidR="00D45536" w:rsidRDefault="005E106B" w:rsidP="00DC5C34">
      <w:pPr>
        <w:rPr>
          <w:rFonts w:cs="Arial"/>
          <w:szCs w:val="20"/>
          <w:lang w:val="en"/>
        </w:rPr>
      </w:pPr>
      <w:r>
        <w:rPr>
          <w:rFonts w:cs="Arial"/>
          <w:szCs w:val="20"/>
          <w:lang w:val="en"/>
        </w:rPr>
        <w:t>Noting the outcomes of WRC-15, the limited international support for identifying the band</w:t>
      </w:r>
      <w:r w:rsidR="004C7518">
        <w:rPr>
          <w:rFonts w:cs="Arial"/>
          <w:szCs w:val="20"/>
          <w:lang w:val="en"/>
        </w:rPr>
        <w:t>,</w:t>
      </w:r>
      <w:r>
        <w:rPr>
          <w:rFonts w:cs="Arial"/>
          <w:szCs w:val="20"/>
          <w:lang w:val="en"/>
        </w:rPr>
        <w:t xml:space="preserve"> and the resultant unlikelihood of viable equipment ecosystems developing for mobile broadband,</w:t>
      </w:r>
      <w:r w:rsidR="00F8719D">
        <w:rPr>
          <w:rFonts w:cs="Arial"/>
          <w:szCs w:val="20"/>
          <w:lang w:val="en"/>
        </w:rPr>
        <w:t xml:space="preserve"> the ACMA is removing</w:t>
      </w:r>
      <w:r>
        <w:rPr>
          <w:rFonts w:cs="Arial"/>
          <w:szCs w:val="20"/>
          <w:lang w:val="en"/>
        </w:rPr>
        <w:t xml:space="preserve"> the 2700</w:t>
      </w:r>
      <w:r w:rsidR="004C7518">
        <w:rPr>
          <w:rFonts w:cs="Arial"/>
          <w:szCs w:val="20"/>
          <w:lang w:val="en"/>
        </w:rPr>
        <w:t>–</w:t>
      </w:r>
      <w:r>
        <w:rPr>
          <w:rFonts w:cs="Arial"/>
          <w:szCs w:val="20"/>
          <w:lang w:val="en"/>
        </w:rPr>
        <w:t xml:space="preserve">2900 MHz band from the list of bands being monitored. </w:t>
      </w:r>
      <w:r w:rsidR="004C7518">
        <w:rPr>
          <w:rFonts w:cs="Arial"/>
          <w:szCs w:val="20"/>
          <w:lang w:val="en"/>
        </w:rPr>
        <w:t>When</w:t>
      </w:r>
      <w:r>
        <w:rPr>
          <w:rFonts w:cs="Arial"/>
          <w:szCs w:val="20"/>
          <w:lang w:val="en"/>
        </w:rPr>
        <w:t xml:space="preserve"> significant interest in this band </w:t>
      </w:r>
      <w:r w:rsidR="004C7518">
        <w:rPr>
          <w:rFonts w:cs="Arial"/>
          <w:szCs w:val="20"/>
          <w:lang w:val="en"/>
        </w:rPr>
        <w:t>emerges,</w:t>
      </w:r>
      <w:r>
        <w:rPr>
          <w:rFonts w:cs="Arial"/>
          <w:szCs w:val="20"/>
          <w:lang w:val="en"/>
        </w:rPr>
        <w:t xml:space="preserve"> the ACMA will consider adding </w:t>
      </w:r>
      <w:r w:rsidR="00F8719D">
        <w:rPr>
          <w:rFonts w:cs="Arial"/>
          <w:szCs w:val="20"/>
          <w:lang w:val="en"/>
        </w:rPr>
        <w:t xml:space="preserve">it </w:t>
      </w:r>
      <w:r>
        <w:rPr>
          <w:rFonts w:cs="Arial"/>
          <w:szCs w:val="20"/>
          <w:lang w:val="en"/>
        </w:rPr>
        <w:t xml:space="preserve">back on to the </w:t>
      </w:r>
      <w:r w:rsidR="00404DB1">
        <w:rPr>
          <w:rFonts w:cs="Arial"/>
          <w:szCs w:val="20"/>
          <w:lang w:val="en"/>
        </w:rPr>
        <w:t xml:space="preserve">list </w:t>
      </w:r>
      <w:r w:rsidR="00983CE8">
        <w:rPr>
          <w:rFonts w:cs="Arial"/>
          <w:szCs w:val="20"/>
          <w:lang w:val="en"/>
        </w:rPr>
        <w:t xml:space="preserve">of </w:t>
      </w:r>
      <w:r>
        <w:rPr>
          <w:rFonts w:cs="Arial"/>
          <w:szCs w:val="20"/>
          <w:lang w:val="en"/>
        </w:rPr>
        <w:t xml:space="preserve">bands being monitored under </w:t>
      </w:r>
      <w:r w:rsidR="00774362">
        <w:t xml:space="preserve">the </w:t>
      </w:r>
      <w:r w:rsidR="00774362" w:rsidRPr="00774362">
        <w:rPr>
          <w:i/>
        </w:rPr>
        <w:t>monitoring</w:t>
      </w:r>
      <w:r w:rsidR="00774362">
        <w:t xml:space="preserve"> stage</w:t>
      </w:r>
      <w:r>
        <w:rPr>
          <w:rFonts w:cs="Arial"/>
          <w:szCs w:val="20"/>
          <w:lang w:val="en"/>
        </w:rPr>
        <w:t xml:space="preserve">. </w:t>
      </w:r>
    </w:p>
    <w:p w14:paraId="00919248" w14:textId="1200560B" w:rsidR="00546101" w:rsidRDefault="00546101" w:rsidP="004C7518">
      <w:pPr>
        <w:pStyle w:val="Heading2"/>
      </w:pPr>
      <w:bookmarkStart w:id="228" w:name="_Toc441235821"/>
      <w:bookmarkStart w:id="229" w:name="_Toc442428395"/>
      <w:bookmarkStart w:id="230" w:name="_Toc443910716"/>
      <w:r>
        <w:t>5350–5470 MHz</w:t>
      </w:r>
      <w:bookmarkEnd w:id="228"/>
      <w:bookmarkEnd w:id="229"/>
      <w:bookmarkEnd w:id="230"/>
    </w:p>
    <w:p w14:paraId="327AA4F5" w14:textId="1C300FED" w:rsidR="00D45536" w:rsidRDefault="00D45536" w:rsidP="00D45536">
      <w:pPr>
        <w:rPr>
          <w:rFonts w:cs="Arial"/>
          <w:szCs w:val="20"/>
          <w:lang w:val="en"/>
        </w:rPr>
      </w:pPr>
      <w:r w:rsidRPr="00546101">
        <w:rPr>
          <w:rFonts w:cs="Arial"/>
          <w:szCs w:val="20"/>
          <w:lang w:val="en"/>
        </w:rPr>
        <w:t xml:space="preserve">The </w:t>
      </w:r>
      <w:r>
        <w:rPr>
          <w:rFonts w:cs="Arial"/>
          <w:szCs w:val="20"/>
          <w:lang w:val="en"/>
        </w:rPr>
        <w:t>5350-5470</w:t>
      </w:r>
      <w:r w:rsidRPr="00546101">
        <w:rPr>
          <w:rFonts w:cs="Arial"/>
          <w:szCs w:val="20"/>
          <w:lang w:val="en"/>
        </w:rPr>
        <w:t xml:space="preserve"> MHz band </w:t>
      </w:r>
      <w:r>
        <w:rPr>
          <w:rFonts w:cs="Arial"/>
          <w:szCs w:val="20"/>
          <w:lang w:val="en"/>
        </w:rPr>
        <w:t xml:space="preserve">was included at the </w:t>
      </w:r>
      <w:r w:rsidRPr="005B01CB">
        <w:rPr>
          <w:rFonts w:cs="Arial"/>
          <w:i/>
          <w:szCs w:val="20"/>
          <w:lang w:val="en"/>
        </w:rPr>
        <w:t>monitoring</w:t>
      </w:r>
      <w:r>
        <w:rPr>
          <w:rFonts w:cs="Arial"/>
          <w:szCs w:val="20"/>
          <w:lang w:val="en"/>
        </w:rPr>
        <w:t xml:space="preserve"> stage in </w:t>
      </w:r>
      <w:r w:rsidRPr="00F3138B">
        <w:rPr>
          <w:rFonts w:cs="Arial"/>
          <w:i/>
          <w:szCs w:val="20"/>
          <w:lang w:val="en"/>
        </w:rPr>
        <w:t>Beyond 2020</w:t>
      </w:r>
      <w:r>
        <w:rPr>
          <w:rFonts w:cs="Arial"/>
          <w:szCs w:val="20"/>
          <w:lang w:val="en"/>
        </w:rPr>
        <w:t xml:space="preserve">. </w:t>
      </w:r>
    </w:p>
    <w:p w14:paraId="0F8A1749" w14:textId="65663AE4" w:rsidR="00D45536" w:rsidRDefault="00D45536" w:rsidP="004C7518">
      <w:pPr>
        <w:rPr>
          <w:lang w:val="en"/>
        </w:rPr>
      </w:pPr>
      <w:r>
        <w:rPr>
          <w:lang w:val="en"/>
        </w:rPr>
        <w:t>No comments were received in relation to this frequency band in submissions to the discussion paper.</w:t>
      </w:r>
    </w:p>
    <w:p w14:paraId="54ECB379" w14:textId="71FB96EF" w:rsidR="00D45536" w:rsidRPr="00047A99" w:rsidRDefault="009566C2" w:rsidP="004C7518">
      <w:r>
        <w:t>A</w:t>
      </w:r>
      <w:r w:rsidR="00D45536" w:rsidRPr="004B0A55">
        <w:t xml:space="preserve">t WRC-15, </w:t>
      </w:r>
      <w:r w:rsidR="004B0A55" w:rsidRPr="004B0A55">
        <w:t xml:space="preserve">a new </w:t>
      </w:r>
      <w:r w:rsidR="008840F0">
        <w:t>a</w:t>
      </w:r>
      <w:r w:rsidR="004B0A55" w:rsidRPr="004B0A55">
        <w:t xml:space="preserve">genda item </w:t>
      </w:r>
      <w:r w:rsidR="00D45536" w:rsidRPr="004B0A55">
        <w:t>for the 2019 World Radiocommunication Conference (WRC</w:t>
      </w:r>
      <w:r w:rsidR="00D45536" w:rsidRPr="004B0A55">
        <w:noBreakHyphen/>
        <w:t xml:space="preserve">19) </w:t>
      </w:r>
      <w:r w:rsidR="004B0A55" w:rsidRPr="004B0A55">
        <w:t xml:space="preserve">that includes this band </w:t>
      </w:r>
      <w:r w:rsidR="00D45536" w:rsidRPr="004B0A55">
        <w:t>was de</w:t>
      </w:r>
      <w:r w:rsidR="00404DB1">
        <w:t>veloped</w:t>
      </w:r>
      <w:r w:rsidR="00D45536" w:rsidRPr="004B0A55">
        <w:t xml:space="preserve">. </w:t>
      </w:r>
      <w:r w:rsidR="00D45536" w:rsidRPr="00047A99">
        <w:t xml:space="preserve">WRC-19 </w:t>
      </w:r>
      <w:r w:rsidR="00EF71C1">
        <w:t>a</w:t>
      </w:r>
      <w:r w:rsidR="00D45536" w:rsidRPr="00047A99">
        <w:t xml:space="preserve">genda </w:t>
      </w:r>
      <w:r w:rsidR="00EF71C1">
        <w:t>i</w:t>
      </w:r>
      <w:r w:rsidR="00D45536" w:rsidRPr="00047A99">
        <w:t xml:space="preserve">tem 1.16 is to consider issues related to wireless access systems, including radio local area networks (WAS/RLAN) in the frequency bands between 5150 MHz and 5925 MHz, and take the appropriate regulatory actions, including additional spectrum allocations to the mobile service. </w:t>
      </w:r>
    </w:p>
    <w:p w14:paraId="3EABCC6A" w14:textId="2D19B477" w:rsidR="00D45536" w:rsidRDefault="00D45536" w:rsidP="00D45536">
      <w:r w:rsidRPr="00047A99">
        <w:t>Given the ongoing work on the 5150</w:t>
      </w:r>
      <w:r w:rsidR="004C7518" w:rsidRPr="00047A99">
        <w:t>–</w:t>
      </w:r>
      <w:r w:rsidRPr="00047A99">
        <w:t xml:space="preserve">5925 MHz band under WRC-19 </w:t>
      </w:r>
      <w:r w:rsidR="00F830B9">
        <w:t>a</w:t>
      </w:r>
      <w:r w:rsidRPr="00047A99">
        <w:t xml:space="preserve">genda </w:t>
      </w:r>
      <w:r w:rsidR="00F830B9">
        <w:t>i</w:t>
      </w:r>
      <w:r w:rsidRPr="00047A99">
        <w:t>tem 1.1</w:t>
      </w:r>
      <w:r w:rsidR="004B0A55" w:rsidRPr="00047A99">
        <w:t>6</w:t>
      </w:r>
      <w:r w:rsidRPr="00047A99">
        <w:t>, the 5350</w:t>
      </w:r>
      <w:r w:rsidR="004C7518" w:rsidRPr="00047A99">
        <w:t>–</w:t>
      </w:r>
      <w:r w:rsidRPr="00047A99">
        <w:t xml:space="preserve">5470 MHz band will be maintained in </w:t>
      </w:r>
      <w:r w:rsidR="00774362">
        <w:t xml:space="preserve">the </w:t>
      </w:r>
      <w:r w:rsidR="00774362" w:rsidRPr="00774362">
        <w:rPr>
          <w:i/>
        </w:rPr>
        <w:t>monitoring</w:t>
      </w:r>
      <w:r w:rsidR="00774362">
        <w:t xml:space="preserve"> stage</w:t>
      </w:r>
      <w:r w:rsidRPr="00047A99">
        <w:t xml:space="preserve">. </w:t>
      </w:r>
      <w:r w:rsidR="004B0A55" w:rsidRPr="00047A99">
        <w:t>The</w:t>
      </w:r>
      <w:r w:rsidR="004B0A55">
        <w:t xml:space="preserve"> bands 5150</w:t>
      </w:r>
      <w:r w:rsidR="004C7518">
        <w:t>–</w:t>
      </w:r>
      <w:r w:rsidR="004B0A55">
        <w:t>5350 MHz and 5850</w:t>
      </w:r>
      <w:r w:rsidR="004C7518">
        <w:t>–</w:t>
      </w:r>
      <w:r w:rsidR="004B0A55">
        <w:t>5925 MHz</w:t>
      </w:r>
      <w:r w:rsidR="00FB0A80">
        <w:t xml:space="preserve">, also being considered under </w:t>
      </w:r>
      <w:r w:rsidR="00F830B9">
        <w:t>WRC-19 a</w:t>
      </w:r>
      <w:r w:rsidR="00FB0A80">
        <w:t xml:space="preserve">genda </w:t>
      </w:r>
      <w:r w:rsidR="00F830B9">
        <w:t>i</w:t>
      </w:r>
      <w:r w:rsidR="00FB0A80">
        <w:t>tem 1.16,</w:t>
      </w:r>
      <w:r w:rsidR="004B0A55">
        <w:t xml:space="preserve"> will also be added to </w:t>
      </w:r>
      <w:r w:rsidR="00774362">
        <w:t xml:space="preserve">the </w:t>
      </w:r>
      <w:r w:rsidR="00774362" w:rsidRPr="00774362">
        <w:rPr>
          <w:i/>
        </w:rPr>
        <w:t>monitoring</w:t>
      </w:r>
      <w:r w:rsidR="00774362">
        <w:t xml:space="preserve"> stage</w:t>
      </w:r>
      <w:r w:rsidR="004B0A55">
        <w:t>.</w:t>
      </w:r>
    </w:p>
    <w:p w14:paraId="36D6D559" w14:textId="4BF5F19E" w:rsidR="00FB0A80" w:rsidRDefault="00FB0A80" w:rsidP="00D45536">
      <w:pPr>
        <w:rPr>
          <w:rFonts w:cs="Arial"/>
        </w:rPr>
      </w:pPr>
      <w:r>
        <w:t xml:space="preserve">The ACMA also intends to </w:t>
      </w:r>
      <w:r w:rsidRPr="00465146">
        <w:t xml:space="preserve">engage with stakeholders via the </w:t>
      </w:r>
      <w:r>
        <w:t xml:space="preserve">usual </w:t>
      </w:r>
      <w:r w:rsidRPr="00465146">
        <w:t xml:space="preserve">international preparatory process to </w:t>
      </w:r>
      <w:r>
        <w:t xml:space="preserve">develop </w:t>
      </w:r>
      <w:r w:rsidRPr="00465146">
        <w:t>Australian positions</w:t>
      </w:r>
      <w:r>
        <w:t xml:space="preserve"> on WRC-19 </w:t>
      </w:r>
      <w:r w:rsidR="00EF71C1">
        <w:t>a</w:t>
      </w:r>
      <w:r>
        <w:t xml:space="preserve">genda </w:t>
      </w:r>
      <w:r w:rsidR="00EF71C1">
        <w:t>i</w:t>
      </w:r>
      <w:r>
        <w:t>tem 1.16 (as per Strategy 5)</w:t>
      </w:r>
      <w:r>
        <w:rPr>
          <w:rFonts w:cs="Arial"/>
        </w:rPr>
        <w:t>. When appropriate</w:t>
      </w:r>
      <w:r w:rsidR="004C7518">
        <w:rPr>
          <w:rFonts w:cs="Arial"/>
        </w:rPr>
        <w:t>,</w:t>
      </w:r>
      <w:r>
        <w:rPr>
          <w:rFonts w:cs="Arial"/>
        </w:rPr>
        <w:t xml:space="preserve"> it will develop individual positions on each of the band</w:t>
      </w:r>
      <w:r w:rsidR="00983CE8">
        <w:rPr>
          <w:rFonts w:cs="Arial"/>
        </w:rPr>
        <w:t>s</w:t>
      </w:r>
      <w:r>
        <w:rPr>
          <w:rFonts w:cs="Arial"/>
        </w:rPr>
        <w:t xml:space="preserve"> being studied and potentially contribute to international sharing and compatibility studies.</w:t>
      </w:r>
    </w:p>
    <w:p w14:paraId="28559EEC" w14:textId="6BA58AA0" w:rsidR="00741D7D" w:rsidRPr="00546101" w:rsidRDefault="00546101" w:rsidP="00231860">
      <w:pPr>
        <w:pStyle w:val="Heading2"/>
        <w:keepLines/>
      </w:pPr>
      <w:bookmarkStart w:id="231" w:name="_Toc441235822"/>
      <w:bookmarkStart w:id="232" w:name="_Toc442428396"/>
      <w:bookmarkStart w:id="233" w:name="_Toc443910717"/>
      <w:r w:rsidRPr="00F018BA">
        <w:t>Above 6 GHz</w:t>
      </w:r>
      <w:bookmarkEnd w:id="231"/>
      <w:bookmarkEnd w:id="232"/>
      <w:bookmarkEnd w:id="233"/>
    </w:p>
    <w:p w14:paraId="5F781C72" w14:textId="44AFE375" w:rsidR="000C70DE" w:rsidRDefault="000C70DE" w:rsidP="00231860">
      <w:pPr>
        <w:keepNext/>
        <w:keepLines/>
        <w:rPr>
          <w:rFonts w:cs="Arial"/>
          <w:szCs w:val="20"/>
          <w:lang w:val="en"/>
        </w:rPr>
      </w:pPr>
      <w:r>
        <w:rPr>
          <w:rFonts w:cs="Arial"/>
          <w:szCs w:val="20"/>
          <w:lang w:val="en"/>
        </w:rPr>
        <w:t xml:space="preserve">Spectrum above 6 GHz was included at the monitoring stage in </w:t>
      </w:r>
      <w:r w:rsidRPr="00F3138B">
        <w:rPr>
          <w:rFonts w:cs="Arial"/>
          <w:i/>
          <w:szCs w:val="20"/>
          <w:lang w:val="en"/>
        </w:rPr>
        <w:t>Beyond 2020</w:t>
      </w:r>
      <w:r>
        <w:rPr>
          <w:rFonts w:cs="Arial"/>
          <w:szCs w:val="20"/>
          <w:lang w:val="en"/>
        </w:rPr>
        <w:t xml:space="preserve">. </w:t>
      </w:r>
    </w:p>
    <w:p w14:paraId="4D0AEF37" w14:textId="4E2D0E46" w:rsidR="00DA644E" w:rsidRDefault="000C70DE" w:rsidP="00231860">
      <w:pPr>
        <w:keepNext/>
        <w:keepLines/>
        <w:rPr>
          <w:szCs w:val="20"/>
        </w:rPr>
      </w:pPr>
      <w:r>
        <w:rPr>
          <w:rFonts w:cs="Arial"/>
          <w:szCs w:val="20"/>
          <w:lang w:val="en"/>
        </w:rPr>
        <w:t>Alcatel-Lucent</w:t>
      </w:r>
      <w:r w:rsidR="00B74C00">
        <w:rPr>
          <w:rFonts w:cs="Arial"/>
          <w:szCs w:val="20"/>
          <w:lang w:val="en"/>
        </w:rPr>
        <w:t>,</w:t>
      </w:r>
      <w:r w:rsidR="00175530">
        <w:rPr>
          <w:rFonts w:cs="Arial"/>
          <w:szCs w:val="20"/>
          <w:lang w:val="en"/>
        </w:rPr>
        <w:t xml:space="preserve"> Communications Alliance</w:t>
      </w:r>
      <w:r w:rsidR="00D516EA">
        <w:rPr>
          <w:rFonts w:cs="Arial"/>
          <w:szCs w:val="20"/>
          <w:lang w:val="en"/>
        </w:rPr>
        <w:t>,</w:t>
      </w:r>
      <w:r w:rsidR="00B74C00">
        <w:rPr>
          <w:rFonts w:cs="Arial"/>
          <w:szCs w:val="20"/>
          <w:lang w:val="en"/>
        </w:rPr>
        <w:t xml:space="preserve"> Mississippi Consulting</w:t>
      </w:r>
      <w:r w:rsidR="00D516EA">
        <w:rPr>
          <w:rFonts w:cs="Arial"/>
          <w:szCs w:val="20"/>
          <w:lang w:val="en"/>
        </w:rPr>
        <w:t xml:space="preserve"> and Telstra</w:t>
      </w:r>
      <w:r>
        <w:rPr>
          <w:rFonts w:cs="Arial"/>
          <w:szCs w:val="20"/>
          <w:lang w:val="en"/>
        </w:rPr>
        <w:t xml:space="preserve"> urged support for consideration of this range for mobile broadband and progression of </w:t>
      </w:r>
      <w:r w:rsidR="00175530">
        <w:rPr>
          <w:rFonts w:cs="Arial"/>
          <w:szCs w:val="20"/>
          <w:lang w:val="en"/>
        </w:rPr>
        <w:t>this range</w:t>
      </w:r>
      <w:r>
        <w:rPr>
          <w:rFonts w:cs="Arial"/>
          <w:szCs w:val="20"/>
          <w:lang w:val="en"/>
        </w:rPr>
        <w:t xml:space="preserve"> into </w:t>
      </w:r>
      <w:r w:rsidR="002E29A8">
        <w:rPr>
          <w:rFonts w:cs="Arial"/>
          <w:szCs w:val="20"/>
          <w:lang w:val="en"/>
        </w:rPr>
        <w:t xml:space="preserve">the </w:t>
      </w:r>
      <w:r w:rsidR="002E29A8">
        <w:rPr>
          <w:rFonts w:cs="Arial"/>
          <w:i/>
          <w:szCs w:val="20"/>
          <w:lang w:val="en"/>
        </w:rPr>
        <w:t>i</w:t>
      </w:r>
      <w:r w:rsidRPr="00F15D15">
        <w:rPr>
          <w:rFonts w:cs="Arial"/>
          <w:i/>
          <w:szCs w:val="20"/>
          <w:lang w:val="en"/>
        </w:rPr>
        <w:t xml:space="preserve">nitial </w:t>
      </w:r>
      <w:r w:rsidR="00F15D15" w:rsidRPr="00F15D15">
        <w:rPr>
          <w:rFonts w:cs="Arial"/>
          <w:i/>
          <w:szCs w:val="20"/>
          <w:lang w:val="en"/>
        </w:rPr>
        <w:t>i</w:t>
      </w:r>
      <w:r w:rsidRPr="00F15D15">
        <w:rPr>
          <w:rFonts w:cs="Arial"/>
          <w:i/>
          <w:szCs w:val="20"/>
          <w:lang w:val="en"/>
        </w:rPr>
        <w:t>nvestigation</w:t>
      </w:r>
      <w:r w:rsidR="00175530">
        <w:rPr>
          <w:rFonts w:cs="Arial"/>
          <w:szCs w:val="20"/>
          <w:lang w:val="en"/>
        </w:rPr>
        <w:t xml:space="preserve"> </w:t>
      </w:r>
      <w:r w:rsidR="002E29A8">
        <w:rPr>
          <w:rFonts w:cs="Arial"/>
          <w:szCs w:val="20"/>
          <w:lang w:val="en"/>
        </w:rPr>
        <w:t xml:space="preserve">stage </w:t>
      </w:r>
      <w:r w:rsidR="00175530">
        <w:rPr>
          <w:rFonts w:cs="Arial"/>
          <w:szCs w:val="20"/>
          <w:lang w:val="en"/>
        </w:rPr>
        <w:t>and proactive e</w:t>
      </w:r>
      <w:r w:rsidR="000960DE">
        <w:rPr>
          <w:rFonts w:cs="Arial"/>
          <w:szCs w:val="20"/>
          <w:lang w:val="en"/>
        </w:rPr>
        <w:t xml:space="preserve">ngagement internationally. </w:t>
      </w:r>
      <w:r w:rsidR="00B74C00">
        <w:rPr>
          <w:rFonts w:cs="Arial"/>
          <w:szCs w:val="20"/>
          <w:lang w:val="en"/>
        </w:rPr>
        <w:t>Communications Alliance believed that more urgent consideration of this issue i</w:t>
      </w:r>
      <w:r w:rsidR="004C7518">
        <w:rPr>
          <w:rFonts w:cs="Arial"/>
          <w:szCs w:val="20"/>
          <w:lang w:val="en"/>
        </w:rPr>
        <w:t>s</w:t>
      </w:r>
      <w:r w:rsidR="00B74C00">
        <w:rPr>
          <w:rFonts w:cs="Arial"/>
          <w:szCs w:val="20"/>
          <w:lang w:val="en"/>
        </w:rPr>
        <w:t xml:space="preserve"> needed if the </w:t>
      </w:r>
      <w:r w:rsidR="00B74C00">
        <w:rPr>
          <w:szCs w:val="20"/>
        </w:rPr>
        <w:t>required resources for 5G are to be in place.</w:t>
      </w:r>
    </w:p>
    <w:p w14:paraId="5E8B9962" w14:textId="319CB0BE" w:rsidR="00B01C6F" w:rsidRPr="00D516EA" w:rsidRDefault="00B74C00" w:rsidP="000C70DE">
      <w:pPr>
        <w:rPr>
          <w:szCs w:val="20"/>
        </w:rPr>
      </w:pPr>
      <w:r>
        <w:rPr>
          <w:szCs w:val="20"/>
        </w:rPr>
        <w:t>Communications Alliance felt that the discussion paper indicated that the ACMA is in effect only monitoring discussions above 6 GHz without any specific engagement at WRC-15.</w:t>
      </w:r>
    </w:p>
    <w:p w14:paraId="6F02E13C" w14:textId="7B412065" w:rsidR="00D55F42" w:rsidRPr="00D516EA" w:rsidRDefault="008869EA" w:rsidP="00B24F33">
      <w:pPr>
        <w:rPr>
          <w:szCs w:val="20"/>
        </w:rPr>
      </w:pPr>
      <w:r>
        <w:rPr>
          <w:szCs w:val="20"/>
        </w:rPr>
        <w:t>nbn</w:t>
      </w:r>
      <w:r w:rsidR="00D516EA" w:rsidRPr="00D516EA">
        <w:rPr>
          <w:szCs w:val="20"/>
        </w:rPr>
        <w:t xml:space="preserve"> submitted </w:t>
      </w:r>
      <w:r w:rsidR="00D55F42" w:rsidRPr="00D516EA">
        <w:rPr>
          <w:szCs w:val="20"/>
        </w:rPr>
        <w:t>that the 17.7</w:t>
      </w:r>
      <w:r w:rsidR="004C7518">
        <w:rPr>
          <w:szCs w:val="20"/>
        </w:rPr>
        <w:t>–</w:t>
      </w:r>
      <w:r w:rsidR="00D55F42" w:rsidRPr="00D516EA">
        <w:rPr>
          <w:szCs w:val="20"/>
        </w:rPr>
        <w:t>20.2 GHz and 27.0</w:t>
      </w:r>
      <w:r w:rsidR="004C7518">
        <w:rPr>
          <w:szCs w:val="20"/>
        </w:rPr>
        <w:t>–</w:t>
      </w:r>
      <w:r w:rsidR="00D55F42" w:rsidRPr="00D516EA">
        <w:rPr>
          <w:szCs w:val="20"/>
        </w:rPr>
        <w:t>30 G</w:t>
      </w:r>
      <w:r w:rsidR="00D516EA" w:rsidRPr="00D516EA">
        <w:rPr>
          <w:szCs w:val="20"/>
        </w:rPr>
        <w:t>Hz</w:t>
      </w:r>
      <w:r w:rsidR="00D55F42" w:rsidRPr="00D516EA">
        <w:rPr>
          <w:szCs w:val="20"/>
        </w:rPr>
        <w:t xml:space="preserve"> spectrum bands should be </w:t>
      </w:r>
      <w:r w:rsidR="00D55F42" w:rsidRPr="00047A99">
        <w:rPr>
          <w:szCs w:val="20"/>
        </w:rPr>
        <w:t xml:space="preserve">retained for </w:t>
      </w:r>
      <w:r w:rsidR="00047A99" w:rsidRPr="00047A99">
        <w:rPr>
          <w:szCs w:val="20"/>
        </w:rPr>
        <w:t>f</w:t>
      </w:r>
      <w:r w:rsidR="00D55F42" w:rsidRPr="00047A99">
        <w:rPr>
          <w:szCs w:val="20"/>
        </w:rPr>
        <w:t xml:space="preserve">ixed </w:t>
      </w:r>
      <w:r w:rsidR="00047A99" w:rsidRPr="00047A99">
        <w:rPr>
          <w:szCs w:val="20"/>
        </w:rPr>
        <w:t>s</w:t>
      </w:r>
      <w:r w:rsidR="00D55F42" w:rsidRPr="00047A99">
        <w:rPr>
          <w:szCs w:val="20"/>
        </w:rPr>
        <w:t xml:space="preserve">atellite </w:t>
      </w:r>
      <w:r w:rsidR="00047A99" w:rsidRPr="00047A99">
        <w:rPr>
          <w:szCs w:val="20"/>
        </w:rPr>
        <w:t>s</w:t>
      </w:r>
      <w:r w:rsidR="00D55F42" w:rsidRPr="00047A99">
        <w:rPr>
          <w:szCs w:val="20"/>
        </w:rPr>
        <w:t>ervices.</w:t>
      </w:r>
      <w:r w:rsidR="00D55F42" w:rsidRPr="00D516EA">
        <w:rPr>
          <w:szCs w:val="20"/>
        </w:rPr>
        <w:t xml:space="preserve"> </w:t>
      </w:r>
    </w:p>
    <w:p w14:paraId="28269786" w14:textId="4695D22E" w:rsidR="008B7757" w:rsidRDefault="00F15D15" w:rsidP="00B24F33">
      <w:pPr>
        <w:rPr>
          <w:szCs w:val="20"/>
        </w:rPr>
      </w:pPr>
      <w:r>
        <w:rPr>
          <w:szCs w:val="20"/>
        </w:rPr>
        <w:t>BoM</w:t>
      </w:r>
      <w:r w:rsidR="00C41432">
        <w:rPr>
          <w:szCs w:val="20"/>
        </w:rPr>
        <w:t xml:space="preserve"> believed </w:t>
      </w:r>
      <w:r w:rsidR="008B7757" w:rsidRPr="00D516EA">
        <w:rPr>
          <w:szCs w:val="20"/>
        </w:rPr>
        <w:t xml:space="preserve">that much </w:t>
      </w:r>
      <w:r w:rsidR="004C7518">
        <w:rPr>
          <w:szCs w:val="20"/>
        </w:rPr>
        <w:t>(</w:t>
      </w:r>
      <w:r w:rsidR="008B7757" w:rsidRPr="00D516EA">
        <w:rPr>
          <w:szCs w:val="20"/>
        </w:rPr>
        <w:t>if not all</w:t>
      </w:r>
      <w:r w:rsidR="004C7518">
        <w:rPr>
          <w:szCs w:val="20"/>
        </w:rPr>
        <w:t>)</w:t>
      </w:r>
      <w:r w:rsidR="008B7757" w:rsidRPr="00D516EA">
        <w:rPr>
          <w:szCs w:val="20"/>
        </w:rPr>
        <w:t xml:space="preserve"> of the anticipated increase in demand for mobile broadband</w:t>
      </w:r>
      <w:r w:rsidR="00C41432">
        <w:rPr>
          <w:szCs w:val="20"/>
        </w:rPr>
        <w:t xml:space="preserve"> </w:t>
      </w:r>
      <w:r w:rsidR="008B7757" w:rsidRPr="00D516EA">
        <w:rPr>
          <w:szCs w:val="20"/>
        </w:rPr>
        <w:t>could be met by utilising spectrum above 20 GHz. Th</w:t>
      </w:r>
      <w:r w:rsidR="00C41432">
        <w:rPr>
          <w:szCs w:val="20"/>
        </w:rPr>
        <w:t>ey noted that th</w:t>
      </w:r>
      <w:r w:rsidR="008B7757" w:rsidRPr="00D516EA">
        <w:rPr>
          <w:szCs w:val="20"/>
        </w:rPr>
        <w:t xml:space="preserve">is is the focus of </w:t>
      </w:r>
      <w:r w:rsidR="00F830B9">
        <w:rPr>
          <w:szCs w:val="20"/>
        </w:rPr>
        <w:t>a</w:t>
      </w:r>
      <w:r w:rsidR="008B7757" w:rsidRPr="00D516EA">
        <w:rPr>
          <w:szCs w:val="20"/>
        </w:rPr>
        <w:t xml:space="preserve">genda </w:t>
      </w:r>
      <w:r w:rsidR="00F830B9">
        <w:rPr>
          <w:szCs w:val="20"/>
        </w:rPr>
        <w:t>i</w:t>
      </w:r>
      <w:r w:rsidR="008B7757" w:rsidRPr="00D516EA">
        <w:rPr>
          <w:szCs w:val="20"/>
        </w:rPr>
        <w:t>tem 1.13 for WRC-19, the outcome of which could satisfy the demand from many applications of mobile devices that currently utilise existing IMT bands below 6 GHz.</w:t>
      </w:r>
    </w:p>
    <w:p w14:paraId="71F09E8E" w14:textId="313BC7BA" w:rsidR="000960DE" w:rsidRPr="008B68FC" w:rsidRDefault="00B10F59" w:rsidP="00B10F59">
      <w:pPr>
        <w:pStyle w:val="Heading3"/>
        <w:rPr>
          <w:lang w:val="en"/>
        </w:rPr>
      </w:pPr>
      <w:bookmarkStart w:id="234" w:name="_Toc443910718"/>
      <w:r>
        <w:rPr>
          <w:lang w:val="en"/>
        </w:rPr>
        <w:t xml:space="preserve">The </w:t>
      </w:r>
      <w:r w:rsidR="00983CE8">
        <w:rPr>
          <w:lang w:val="en"/>
        </w:rPr>
        <w:t>ACMA</w:t>
      </w:r>
      <w:r>
        <w:rPr>
          <w:lang w:val="en"/>
        </w:rPr>
        <w:t>’s</w:t>
      </w:r>
      <w:r w:rsidR="00983CE8">
        <w:rPr>
          <w:lang w:val="en"/>
        </w:rPr>
        <w:t xml:space="preserve"> r</w:t>
      </w:r>
      <w:r w:rsidR="000960DE" w:rsidRPr="008B68FC">
        <w:rPr>
          <w:lang w:val="en"/>
        </w:rPr>
        <w:t xml:space="preserve">esponse to submissions regarding </w:t>
      </w:r>
      <w:r w:rsidR="000960DE">
        <w:rPr>
          <w:lang w:val="en"/>
        </w:rPr>
        <w:t>spectrum above 6 GHz</w:t>
      </w:r>
      <w:bookmarkEnd w:id="234"/>
    </w:p>
    <w:p w14:paraId="48F616D9" w14:textId="5CC1E8ED" w:rsidR="000960DE" w:rsidRPr="00D14AAA" w:rsidRDefault="00B01C6F" w:rsidP="00B24F33">
      <w:pPr>
        <w:rPr>
          <w:rFonts w:cs="Arial"/>
          <w:szCs w:val="20"/>
          <w:lang w:val="en"/>
        </w:rPr>
      </w:pPr>
      <w:r>
        <w:rPr>
          <w:szCs w:val="20"/>
        </w:rPr>
        <w:t xml:space="preserve">There was </w:t>
      </w:r>
      <w:r w:rsidR="00D34981">
        <w:rPr>
          <w:szCs w:val="20"/>
        </w:rPr>
        <w:t xml:space="preserve">misunderstanding </w:t>
      </w:r>
      <w:r>
        <w:rPr>
          <w:szCs w:val="20"/>
        </w:rPr>
        <w:t>between the stages of the domestic spectrum management process outlined in Strategy 2 and what this means for the level of engagement in international forum</w:t>
      </w:r>
      <w:r w:rsidR="00D14AAA">
        <w:rPr>
          <w:szCs w:val="20"/>
        </w:rPr>
        <w:t xml:space="preserve"> under Strategy 5</w:t>
      </w:r>
      <w:r>
        <w:rPr>
          <w:szCs w:val="20"/>
        </w:rPr>
        <w:t xml:space="preserve">. </w:t>
      </w:r>
      <w:r w:rsidR="000960DE" w:rsidRPr="00D14AAA">
        <w:rPr>
          <w:rFonts w:cs="Arial"/>
          <w:szCs w:val="20"/>
          <w:lang w:val="en"/>
        </w:rPr>
        <w:t xml:space="preserve">As discussed under Strategy 5, the stage at which a band appears in the domestic </w:t>
      </w:r>
      <w:r w:rsidR="000960DE" w:rsidRPr="00D14AAA">
        <w:t>process for consideration of additional spectrum for mobile broadband services outlined in Strategy 2</w:t>
      </w:r>
      <w:r w:rsidR="00B10F59">
        <w:t>,</w:t>
      </w:r>
      <w:r w:rsidR="000960DE" w:rsidRPr="00D14AAA">
        <w:t xml:space="preserve"> does not prevent engagement in international consideration of </w:t>
      </w:r>
      <w:r w:rsidR="000960DE" w:rsidRPr="00D14AAA">
        <w:rPr>
          <w:rFonts w:cs="Arial"/>
          <w:szCs w:val="20"/>
          <w:lang w:val="en"/>
        </w:rPr>
        <w:t>these bands.</w:t>
      </w:r>
    </w:p>
    <w:p w14:paraId="4E1CE872" w14:textId="3A51D139" w:rsidR="00FB0A80" w:rsidRPr="00D516EA" w:rsidRDefault="00FB0A80" w:rsidP="00B10F59">
      <w:pPr>
        <w:rPr>
          <w:szCs w:val="20"/>
        </w:rPr>
      </w:pPr>
      <w:r>
        <w:rPr>
          <w:szCs w:val="20"/>
          <w:lang w:val="en"/>
        </w:rPr>
        <w:t xml:space="preserve">The ACMA notes that at WRC-15, a new </w:t>
      </w:r>
      <w:r w:rsidR="008840F0">
        <w:rPr>
          <w:szCs w:val="20"/>
          <w:lang w:val="en"/>
        </w:rPr>
        <w:t>a</w:t>
      </w:r>
      <w:r>
        <w:rPr>
          <w:szCs w:val="20"/>
          <w:lang w:val="en"/>
        </w:rPr>
        <w:t xml:space="preserve">genda item for </w:t>
      </w:r>
      <w:r>
        <w:t>WRC-19 was developed to consider identifying specific bands above 6</w:t>
      </w:r>
      <w:r w:rsidR="00983CE8">
        <w:t xml:space="preserve"> </w:t>
      </w:r>
      <w:r>
        <w:t xml:space="preserve">GHz for IMT. </w:t>
      </w:r>
      <w:r w:rsidR="00404DB1">
        <w:t>Specifically</w:t>
      </w:r>
      <w:r w:rsidR="00B10F59">
        <w:t>,</w:t>
      </w:r>
      <w:r w:rsidR="00404DB1">
        <w:t xml:space="preserve"> </w:t>
      </w:r>
      <w:r>
        <w:t xml:space="preserve">WRC-19 </w:t>
      </w:r>
      <w:r w:rsidR="00F830B9">
        <w:t>a</w:t>
      </w:r>
      <w:r>
        <w:t xml:space="preserve">genda </w:t>
      </w:r>
      <w:r w:rsidR="00F830B9">
        <w:t>i</w:t>
      </w:r>
      <w:r>
        <w:t>tem 1.13</w:t>
      </w:r>
      <w:r w:rsidRPr="00EE29AC">
        <w:t xml:space="preserve"> is to consider identification of frequency bands for the future development of International Mobile Telecommunications (IMT), including possible additional allocations to the mobile service on a primary basis.</w:t>
      </w:r>
      <w:r>
        <w:t xml:space="preserve"> This </w:t>
      </w:r>
      <w:r w:rsidR="008840F0" w:rsidRPr="008840F0">
        <w:t>a</w:t>
      </w:r>
      <w:r w:rsidRPr="008840F0">
        <w:t>genda item</w:t>
      </w:r>
      <w:r>
        <w:t xml:space="preserve"> is widely acknowledged to be focussing on spectrum harmonisation requirements for </w:t>
      </w:r>
      <w:r w:rsidR="00404DB1">
        <w:t xml:space="preserve">future </w:t>
      </w:r>
      <w:r>
        <w:t>5G mobile broadband technologies.</w:t>
      </w:r>
    </w:p>
    <w:p w14:paraId="27A91312" w14:textId="01205702" w:rsidR="005477E0" w:rsidRDefault="00FB0A80" w:rsidP="005477E0">
      <w:pPr>
        <w:rPr>
          <w:rFonts w:cs="Arial"/>
          <w:szCs w:val="20"/>
          <w:lang w:val="en"/>
        </w:rPr>
      </w:pPr>
      <w:r>
        <w:t>The ACMA intends to monitor and</w:t>
      </w:r>
      <w:r w:rsidR="00B10F59">
        <w:t>,</w:t>
      </w:r>
      <w:r>
        <w:t xml:space="preserve"> where appropriate</w:t>
      </w:r>
      <w:r w:rsidR="00B10F59">
        <w:t>,</w:t>
      </w:r>
      <w:r>
        <w:t xml:space="preserve"> </w:t>
      </w:r>
      <w:r w:rsidRPr="00465146">
        <w:t xml:space="preserve">engage with stakeholders via the </w:t>
      </w:r>
      <w:r>
        <w:t xml:space="preserve">usual </w:t>
      </w:r>
      <w:r w:rsidRPr="00465146">
        <w:t xml:space="preserve">international preparatory process to </w:t>
      </w:r>
      <w:r>
        <w:t xml:space="preserve">develop </w:t>
      </w:r>
      <w:r w:rsidRPr="00465146">
        <w:t>Australian positions</w:t>
      </w:r>
      <w:r>
        <w:t xml:space="preserve"> on WRC-19 </w:t>
      </w:r>
      <w:r w:rsidR="0038619A">
        <w:t>a</w:t>
      </w:r>
      <w:r>
        <w:t xml:space="preserve">genda </w:t>
      </w:r>
      <w:r w:rsidR="0038619A">
        <w:t>i</w:t>
      </w:r>
      <w:r>
        <w:t>tem 1.13 (as per Strategy 5)</w:t>
      </w:r>
      <w:r>
        <w:rPr>
          <w:rFonts w:cs="Arial"/>
        </w:rPr>
        <w:t>. When appropriate</w:t>
      </w:r>
      <w:r w:rsidR="00B10F59">
        <w:rPr>
          <w:rFonts w:cs="Arial"/>
        </w:rPr>
        <w:t>,</w:t>
      </w:r>
      <w:r>
        <w:rPr>
          <w:rFonts w:cs="Arial"/>
        </w:rPr>
        <w:t xml:space="preserve"> it will develop individual positions on each of the band</w:t>
      </w:r>
      <w:r w:rsidR="00983CE8">
        <w:rPr>
          <w:rFonts w:cs="Arial"/>
        </w:rPr>
        <w:t>s</w:t>
      </w:r>
      <w:r>
        <w:rPr>
          <w:rFonts w:cs="Arial"/>
        </w:rPr>
        <w:t xml:space="preserve"> being studied and potentially contribute to international sharing and compatibility studies. </w:t>
      </w:r>
      <w:r w:rsidR="005477E0" w:rsidRPr="00D14AAA">
        <w:t xml:space="preserve">This is an example of how a frequency range that is in </w:t>
      </w:r>
      <w:r w:rsidR="00774362">
        <w:t xml:space="preserve">the </w:t>
      </w:r>
      <w:r w:rsidR="00774362" w:rsidRPr="00774362">
        <w:rPr>
          <w:i/>
        </w:rPr>
        <w:t>monitoring</w:t>
      </w:r>
      <w:r w:rsidR="00774362">
        <w:t xml:space="preserve"> stage</w:t>
      </w:r>
      <w:r w:rsidR="00774362" w:rsidRPr="00B10F59" w:rsidDel="00774362">
        <w:rPr>
          <w:i/>
        </w:rPr>
        <w:t xml:space="preserve"> </w:t>
      </w:r>
      <w:r w:rsidR="005477E0" w:rsidRPr="00D14AAA">
        <w:t>in the domestic process for consideration of additional spectrum for mobile broadband services outlined in Strategy 2</w:t>
      </w:r>
      <w:r w:rsidR="00B10F59">
        <w:t>,</w:t>
      </w:r>
      <w:r w:rsidR="005477E0" w:rsidRPr="00D14AAA">
        <w:t xml:space="preserve"> can be progressed internationally</w:t>
      </w:r>
      <w:r>
        <w:t xml:space="preserve"> via Strategy 5</w:t>
      </w:r>
      <w:r w:rsidR="005477E0" w:rsidRPr="00D14AAA">
        <w:rPr>
          <w:rFonts w:cs="Arial"/>
          <w:szCs w:val="20"/>
          <w:lang w:val="en"/>
        </w:rPr>
        <w:t>.</w:t>
      </w:r>
    </w:p>
    <w:p w14:paraId="0A2AE2AF" w14:textId="65454D6F" w:rsidR="005477E0" w:rsidRPr="00F018BA" w:rsidRDefault="00294BCE" w:rsidP="00B10F59">
      <w:pPr>
        <w:pStyle w:val="Heading2"/>
      </w:pPr>
      <w:bookmarkStart w:id="235" w:name="_Toc441235823"/>
      <w:bookmarkStart w:id="236" w:name="_Toc442428397"/>
      <w:bookmarkStart w:id="237" w:name="_Toc443910719"/>
      <w:r>
        <w:t>1427</w:t>
      </w:r>
      <w:r w:rsidR="00B10F59">
        <w:t>–</w:t>
      </w:r>
      <w:r>
        <w:t>1518</w:t>
      </w:r>
      <w:r w:rsidR="005477E0" w:rsidRPr="00F018BA">
        <w:t xml:space="preserve"> </w:t>
      </w:r>
      <w:r>
        <w:t>M</w:t>
      </w:r>
      <w:r w:rsidR="005477E0" w:rsidRPr="00F018BA">
        <w:t>Hz</w:t>
      </w:r>
      <w:bookmarkEnd w:id="235"/>
      <w:bookmarkEnd w:id="236"/>
      <w:r w:rsidR="006123DB">
        <w:t xml:space="preserve"> (1.5 GHz)</w:t>
      </w:r>
      <w:bookmarkEnd w:id="237"/>
    </w:p>
    <w:p w14:paraId="58A148CE" w14:textId="77848621" w:rsidR="00DD75F3" w:rsidRDefault="00DD75F3" w:rsidP="00DD75F3">
      <w:pPr>
        <w:rPr>
          <w:rFonts w:cs="Arial"/>
          <w:szCs w:val="20"/>
          <w:lang w:val="en"/>
        </w:rPr>
      </w:pPr>
      <w:r>
        <w:rPr>
          <w:rFonts w:cs="Arial"/>
          <w:szCs w:val="20"/>
          <w:lang w:val="en"/>
        </w:rPr>
        <w:t xml:space="preserve">The 1.5 GHz band was included at the </w:t>
      </w:r>
      <w:r w:rsidRPr="005B01CB">
        <w:rPr>
          <w:rFonts w:cs="Arial"/>
          <w:i/>
          <w:szCs w:val="20"/>
          <w:lang w:val="en"/>
        </w:rPr>
        <w:t>initial investigation</w:t>
      </w:r>
      <w:r>
        <w:rPr>
          <w:rFonts w:cs="Arial"/>
          <w:szCs w:val="20"/>
          <w:lang w:val="en"/>
        </w:rPr>
        <w:t xml:space="preserve"> stage in </w:t>
      </w:r>
      <w:r w:rsidRPr="00F3138B">
        <w:rPr>
          <w:rFonts w:cs="Arial"/>
          <w:i/>
          <w:szCs w:val="20"/>
          <w:lang w:val="en"/>
        </w:rPr>
        <w:t>Beyond 2020</w:t>
      </w:r>
      <w:r>
        <w:rPr>
          <w:rFonts w:cs="Arial"/>
          <w:szCs w:val="20"/>
          <w:lang w:val="en"/>
        </w:rPr>
        <w:t xml:space="preserve">. </w:t>
      </w:r>
    </w:p>
    <w:p w14:paraId="6FA56F16" w14:textId="43C7FACE" w:rsidR="00A82222" w:rsidRPr="00264184" w:rsidRDefault="00A82222" w:rsidP="00A82222">
      <w:pPr>
        <w:rPr>
          <w:szCs w:val="20"/>
        </w:rPr>
      </w:pPr>
      <w:r w:rsidRPr="00264184">
        <w:rPr>
          <w:szCs w:val="20"/>
        </w:rPr>
        <w:t xml:space="preserve">GVF </w:t>
      </w:r>
      <w:r w:rsidR="00DD75F3">
        <w:rPr>
          <w:szCs w:val="20"/>
        </w:rPr>
        <w:t>and Inmarsat expressed</w:t>
      </w:r>
      <w:r w:rsidRPr="00264184">
        <w:rPr>
          <w:szCs w:val="20"/>
        </w:rPr>
        <w:t xml:space="preserve"> concern</w:t>
      </w:r>
      <w:r w:rsidR="00DD75F3">
        <w:rPr>
          <w:szCs w:val="20"/>
        </w:rPr>
        <w:t xml:space="preserve"> that</w:t>
      </w:r>
      <w:r w:rsidRPr="00264184">
        <w:rPr>
          <w:szCs w:val="20"/>
        </w:rPr>
        <w:t xml:space="preserve"> the use </w:t>
      </w:r>
      <w:r w:rsidR="00DD75F3">
        <w:rPr>
          <w:szCs w:val="20"/>
        </w:rPr>
        <w:t>of this</w:t>
      </w:r>
      <w:r w:rsidRPr="00264184">
        <w:rPr>
          <w:szCs w:val="20"/>
        </w:rPr>
        <w:t xml:space="preserve"> band for mobile broadband services could </w:t>
      </w:r>
      <w:r w:rsidR="004060BB" w:rsidRPr="00264184">
        <w:rPr>
          <w:szCs w:val="20"/>
        </w:rPr>
        <w:t>affect</w:t>
      </w:r>
      <w:r w:rsidR="00B10F59">
        <w:rPr>
          <w:szCs w:val="20"/>
        </w:rPr>
        <w:t xml:space="preserve"> </w:t>
      </w:r>
      <w:r w:rsidRPr="00264184">
        <w:rPr>
          <w:szCs w:val="20"/>
        </w:rPr>
        <w:t>mobile satellite service (MSS) operations in the band above 15</w:t>
      </w:r>
      <w:r w:rsidR="00A33D55">
        <w:rPr>
          <w:szCs w:val="20"/>
        </w:rPr>
        <w:t>18</w:t>
      </w:r>
      <w:r w:rsidRPr="00264184">
        <w:rPr>
          <w:szCs w:val="20"/>
        </w:rPr>
        <w:t xml:space="preserve"> MHz. </w:t>
      </w:r>
      <w:r w:rsidR="00DD75F3">
        <w:rPr>
          <w:szCs w:val="20"/>
        </w:rPr>
        <w:t xml:space="preserve">They urged </w:t>
      </w:r>
      <w:r w:rsidRPr="00264184">
        <w:rPr>
          <w:szCs w:val="20"/>
        </w:rPr>
        <w:t>compatibility with MSS to be carefully examined</w:t>
      </w:r>
      <w:r w:rsidR="00DD75F3">
        <w:rPr>
          <w:szCs w:val="20"/>
        </w:rPr>
        <w:t xml:space="preserve"> as a part of any future investigation of this band</w:t>
      </w:r>
      <w:r w:rsidRPr="00264184">
        <w:rPr>
          <w:szCs w:val="20"/>
        </w:rPr>
        <w:t xml:space="preserve">.  </w:t>
      </w:r>
    </w:p>
    <w:p w14:paraId="2A98C42F" w14:textId="21840568" w:rsidR="00A82222" w:rsidRDefault="00DD75F3" w:rsidP="00A82222">
      <w:pPr>
        <w:rPr>
          <w:szCs w:val="20"/>
        </w:rPr>
      </w:pPr>
      <w:r>
        <w:rPr>
          <w:szCs w:val="20"/>
        </w:rPr>
        <w:t xml:space="preserve">In their supplementary submission following the conclusion of </w:t>
      </w:r>
      <w:r w:rsidR="00A82222" w:rsidRPr="00264184">
        <w:rPr>
          <w:szCs w:val="20"/>
        </w:rPr>
        <w:t xml:space="preserve">WRC-15, </w:t>
      </w:r>
      <w:r>
        <w:rPr>
          <w:szCs w:val="20"/>
        </w:rPr>
        <w:t xml:space="preserve">Communications Alliance noted that an outcome of WRC-15 </w:t>
      </w:r>
      <w:r w:rsidR="00A82222" w:rsidRPr="00264184">
        <w:rPr>
          <w:szCs w:val="20"/>
        </w:rPr>
        <w:t xml:space="preserve">contained in </w:t>
      </w:r>
      <w:r>
        <w:rPr>
          <w:szCs w:val="20"/>
        </w:rPr>
        <w:t xml:space="preserve">ITU-R Resolution </w:t>
      </w:r>
      <w:r w:rsidR="00A82222" w:rsidRPr="00674C0A">
        <w:rPr>
          <w:b/>
          <w:szCs w:val="20"/>
        </w:rPr>
        <w:t>223 (Rev</w:t>
      </w:r>
      <w:r w:rsidRPr="00674C0A">
        <w:rPr>
          <w:b/>
          <w:szCs w:val="20"/>
        </w:rPr>
        <w:t>.</w:t>
      </w:r>
      <w:r w:rsidR="00A82222" w:rsidRPr="00674C0A">
        <w:rPr>
          <w:b/>
          <w:szCs w:val="20"/>
        </w:rPr>
        <w:t xml:space="preserve"> WRC-15)</w:t>
      </w:r>
      <w:r w:rsidR="00A82222" w:rsidRPr="00264184">
        <w:rPr>
          <w:szCs w:val="20"/>
        </w:rPr>
        <w:t xml:space="preserve"> was to invite the ITU-R</w:t>
      </w:r>
      <w:r>
        <w:rPr>
          <w:szCs w:val="20"/>
        </w:rPr>
        <w:t xml:space="preserve"> </w:t>
      </w:r>
      <w:r w:rsidR="00A82222" w:rsidRPr="00264184">
        <w:rPr>
          <w:szCs w:val="20"/>
        </w:rPr>
        <w:t>to conduct compatibility studies in order to provide technical measures to ensure coexistence between MSS in the frequency band 1518</w:t>
      </w:r>
      <w:r w:rsidR="00B10F59">
        <w:rPr>
          <w:szCs w:val="20"/>
        </w:rPr>
        <w:t>–</w:t>
      </w:r>
      <w:r w:rsidR="00A82222" w:rsidRPr="00264184">
        <w:rPr>
          <w:szCs w:val="20"/>
        </w:rPr>
        <w:t>1525 MHz and IMT in the frequency band 1492</w:t>
      </w:r>
      <w:r w:rsidR="00B10F59">
        <w:rPr>
          <w:szCs w:val="20"/>
        </w:rPr>
        <w:t>–</w:t>
      </w:r>
      <w:r w:rsidR="00A82222" w:rsidRPr="00264184">
        <w:rPr>
          <w:szCs w:val="20"/>
        </w:rPr>
        <w:t>1518 MHz</w:t>
      </w:r>
      <w:r>
        <w:rPr>
          <w:szCs w:val="20"/>
        </w:rPr>
        <w:t xml:space="preserve">. Communication Alliance submitted that this indicates </w:t>
      </w:r>
      <w:r w:rsidR="00A82222" w:rsidRPr="00264184">
        <w:rPr>
          <w:szCs w:val="20"/>
        </w:rPr>
        <w:t>the potential impact on the MSS may also need to be considered together with the provision of any technical measures that may be required.</w:t>
      </w:r>
    </w:p>
    <w:p w14:paraId="09AFECF7" w14:textId="7C54C3B7" w:rsidR="00DD75F3" w:rsidRPr="00DD75F3" w:rsidRDefault="0038619A" w:rsidP="00B10F59">
      <w:pPr>
        <w:pStyle w:val="Heading3"/>
      </w:pPr>
      <w:bookmarkStart w:id="238" w:name="_Toc443910720"/>
      <w:r>
        <w:t>The ACMA’s r</w:t>
      </w:r>
      <w:r w:rsidR="00DD75F3" w:rsidRPr="00DD75F3">
        <w:t>esponse to submissions regarding 1.5 GHz</w:t>
      </w:r>
      <w:bookmarkEnd w:id="238"/>
    </w:p>
    <w:p w14:paraId="1BAFC8B5" w14:textId="47C48D32" w:rsidR="00607160" w:rsidRDefault="00DD75F3" w:rsidP="00DD75F3">
      <w:pPr>
        <w:rPr>
          <w:szCs w:val="20"/>
        </w:rPr>
      </w:pPr>
      <w:r w:rsidRPr="00590AE7">
        <w:rPr>
          <w:szCs w:val="20"/>
        </w:rPr>
        <w:t xml:space="preserve">At WRC-15, </w:t>
      </w:r>
      <w:r w:rsidR="00A33D55" w:rsidRPr="00590AE7">
        <w:rPr>
          <w:szCs w:val="20"/>
        </w:rPr>
        <w:t>the entire 1427</w:t>
      </w:r>
      <w:r w:rsidR="00B10F59">
        <w:rPr>
          <w:szCs w:val="20"/>
        </w:rPr>
        <w:t>–</w:t>
      </w:r>
      <w:r w:rsidR="00A33D55" w:rsidRPr="00590AE7">
        <w:rPr>
          <w:szCs w:val="20"/>
        </w:rPr>
        <w:t xml:space="preserve">1518 MHz band was harmonised for IMT within </w:t>
      </w:r>
      <w:r w:rsidR="00FD1A1E">
        <w:rPr>
          <w:szCs w:val="20"/>
        </w:rPr>
        <w:t>r</w:t>
      </w:r>
      <w:r w:rsidR="00A33D55" w:rsidRPr="00590AE7">
        <w:rPr>
          <w:szCs w:val="20"/>
        </w:rPr>
        <w:t xml:space="preserve">egions 2 and 3, while Region 1 </w:t>
      </w:r>
      <w:r w:rsidR="00590AE7" w:rsidRPr="00590AE7">
        <w:rPr>
          <w:szCs w:val="20"/>
        </w:rPr>
        <w:t>identified</w:t>
      </w:r>
      <w:r w:rsidR="00A33D55" w:rsidRPr="00590AE7">
        <w:rPr>
          <w:szCs w:val="20"/>
        </w:rPr>
        <w:t xml:space="preserve"> 1427</w:t>
      </w:r>
      <w:r w:rsidR="00B10F59">
        <w:rPr>
          <w:szCs w:val="20"/>
        </w:rPr>
        <w:t>–</w:t>
      </w:r>
      <w:r w:rsidR="00A33D55" w:rsidRPr="00590AE7">
        <w:rPr>
          <w:szCs w:val="20"/>
        </w:rPr>
        <w:t>1452 MHz and 1492</w:t>
      </w:r>
      <w:r w:rsidR="00B10F59">
        <w:rPr>
          <w:szCs w:val="20"/>
        </w:rPr>
        <w:t>–</w:t>
      </w:r>
      <w:r w:rsidR="00A33D55" w:rsidRPr="00590AE7">
        <w:rPr>
          <w:szCs w:val="20"/>
        </w:rPr>
        <w:t>1518 MHz via regional footnotes. In Region 1</w:t>
      </w:r>
      <w:r w:rsidR="00B10F59">
        <w:rPr>
          <w:szCs w:val="20"/>
        </w:rPr>
        <w:t>,</w:t>
      </w:r>
      <w:r w:rsidR="00A33D55" w:rsidRPr="00590AE7">
        <w:rPr>
          <w:szCs w:val="20"/>
        </w:rPr>
        <w:t xml:space="preserve"> only African and Arab states identi</w:t>
      </w:r>
      <w:r w:rsidR="00404DB1">
        <w:rPr>
          <w:szCs w:val="20"/>
        </w:rPr>
        <w:t>fied the 1452</w:t>
      </w:r>
      <w:r w:rsidR="00B10F59">
        <w:rPr>
          <w:szCs w:val="20"/>
        </w:rPr>
        <w:t>–</w:t>
      </w:r>
      <w:r w:rsidR="00404DB1">
        <w:rPr>
          <w:szCs w:val="20"/>
        </w:rPr>
        <w:t>1492 MHz range. Although European countries have indicated an interest in deploying mobile broadband in the band, they</w:t>
      </w:r>
      <w:r w:rsidR="00A33D55" w:rsidRPr="00590AE7">
        <w:rPr>
          <w:szCs w:val="20"/>
        </w:rPr>
        <w:t xml:space="preserve"> did not identify this band </w:t>
      </w:r>
      <w:r w:rsidR="00404DB1">
        <w:rPr>
          <w:szCs w:val="20"/>
        </w:rPr>
        <w:t>for IMT at WRC-15</w:t>
      </w:r>
      <w:r w:rsidR="00B10F59">
        <w:rPr>
          <w:szCs w:val="20"/>
        </w:rPr>
        <w:t>,</w:t>
      </w:r>
      <w:r w:rsidR="00404DB1">
        <w:rPr>
          <w:szCs w:val="20"/>
        </w:rPr>
        <w:t xml:space="preserve"> </w:t>
      </w:r>
      <w:r w:rsidR="00A33D55" w:rsidRPr="00590AE7">
        <w:rPr>
          <w:szCs w:val="20"/>
        </w:rPr>
        <w:t>due to an ongoing dispute with RCC countrie</w:t>
      </w:r>
      <w:r w:rsidR="00590AE7">
        <w:rPr>
          <w:szCs w:val="20"/>
        </w:rPr>
        <w:t xml:space="preserve">s over the protection of </w:t>
      </w:r>
      <w:r w:rsidR="00690B25">
        <w:rPr>
          <w:szCs w:val="20"/>
        </w:rPr>
        <w:t>Aeronautical Mobile Telemetry (AMT) or Aeronautical Mobile Service (AMS)</w:t>
      </w:r>
      <w:r w:rsidRPr="00590AE7">
        <w:rPr>
          <w:szCs w:val="20"/>
        </w:rPr>
        <w:t xml:space="preserve">. </w:t>
      </w:r>
    </w:p>
    <w:p w14:paraId="481DCCFD" w14:textId="66CDCEAA" w:rsidR="00607160" w:rsidRPr="00967AF0" w:rsidRDefault="00607160" w:rsidP="00607160">
      <w:pPr>
        <w:keepNext/>
        <w:keepLines/>
        <w:rPr>
          <w:rFonts w:cs="Arial"/>
        </w:rPr>
      </w:pPr>
      <w:r>
        <w:rPr>
          <w:rFonts w:cs="Arial"/>
        </w:rPr>
        <w:t xml:space="preserve">The ACMA notes that an additional outcome of WRC-15 was </w:t>
      </w:r>
      <w:r w:rsidRPr="00967AF0">
        <w:rPr>
          <w:rFonts w:cs="Arial"/>
        </w:rPr>
        <w:t>Resolution</w:t>
      </w:r>
      <w:r w:rsidR="00BC26E9">
        <w:rPr>
          <w:rFonts w:cs="Arial"/>
        </w:rPr>
        <w:t xml:space="preserve"> </w:t>
      </w:r>
      <w:r w:rsidR="00BC26E9" w:rsidRPr="00674C0A">
        <w:rPr>
          <w:rFonts w:cs="Arial"/>
          <w:b/>
        </w:rPr>
        <w:t>761</w:t>
      </w:r>
      <w:r w:rsidRPr="00674C0A">
        <w:rPr>
          <w:rFonts w:cs="Arial"/>
          <w:b/>
        </w:rPr>
        <w:t xml:space="preserve"> </w:t>
      </w:r>
      <w:r w:rsidR="00BC26E9" w:rsidRPr="00674C0A">
        <w:rPr>
          <w:rFonts w:cs="Arial"/>
          <w:b/>
        </w:rPr>
        <w:t>[</w:t>
      </w:r>
      <w:r w:rsidRPr="00674C0A">
        <w:rPr>
          <w:rFonts w:cs="Arial"/>
          <w:b/>
        </w:rPr>
        <w:t>COM4/7</w:t>
      </w:r>
      <w:r w:rsidR="00BC26E9" w:rsidRPr="00674C0A">
        <w:rPr>
          <w:rFonts w:cs="Arial"/>
          <w:b/>
        </w:rPr>
        <w:t>]</w:t>
      </w:r>
      <w:r w:rsidRPr="00674C0A">
        <w:rPr>
          <w:rFonts w:cs="Arial"/>
          <w:b/>
        </w:rPr>
        <w:t xml:space="preserve"> (WRC-15)</w:t>
      </w:r>
      <w:r w:rsidRPr="00B10F59">
        <w:rPr>
          <w:rFonts w:cs="Arial"/>
        </w:rPr>
        <w:t xml:space="preserve"> </w:t>
      </w:r>
      <w:r>
        <w:rPr>
          <w:rFonts w:cs="Arial"/>
        </w:rPr>
        <w:t xml:space="preserve">which </w:t>
      </w:r>
      <w:r w:rsidRPr="00967AF0">
        <w:rPr>
          <w:rFonts w:cs="Arial"/>
        </w:rPr>
        <w:t>invites the ITU</w:t>
      </w:r>
      <w:r>
        <w:rPr>
          <w:rFonts w:cs="Arial"/>
        </w:rPr>
        <w:t>-</w:t>
      </w:r>
      <w:r w:rsidRPr="00967AF0">
        <w:rPr>
          <w:rFonts w:cs="Arial"/>
        </w:rPr>
        <w:t>R to conduct, in time for WRC-19, the appropriate regulatory and technical studies, with a</w:t>
      </w:r>
      <w:r>
        <w:rPr>
          <w:rFonts w:cs="Arial"/>
        </w:rPr>
        <w:t xml:space="preserve"> </w:t>
      </w:r>
      <w:r w:rsidRPr="00967AF0">
        <w:rPr>
          <w:rFonts w:cs="Arial"/>
        </w:rPr>
        <w:t>view to ensuring the compatibility of IMT and BSS (sound) in the frequency band</w:t>
      </w:r>
      <w:r>
        <w:rPr>
          <w:rFonts w:cs="Arial"/>
        </w:rPr>
        <w:t xml:space="preserve"> </w:t>
      </w:r>
      <w:r w:rsidRPr="00967AF0">
        <w:rPr>
          <w:rFonts w:cs="Arial"/>
        </w:rPr>
        <w:t>1 452-1 492 MHz in Regions 1 and 3, taking into account IMT and BSS (sound) operational</w:t>
      </w:r>
      <w:r>
        <w:rPr>
          <w:rFonts w:cs="Arial"/>
        </w:rPr>
        <w:t xml:space="preserve"> </w:t>
      </w:r>
      <w:r w:rsidRPr="00967AF0">
        <w:rPr>
          <w:rFonts w:cs="Arial"/>
        </w:rPr>
        <w:t>requirements</w:t>
      </w:r>
      <w:r>
        <w:rPr>
          <w:rFonts w:cs="Arial"/>
        </w:rPr>
        <w:t>.</w:t>
      </w:r>
    </w:p>
    <w:p w14:paraId="77CC038F" w14:textId="0F0AEC0F" w:rsidR="00607160" w:rsidRDefault="00607160" w:rsidP="00607160">
      <w:r>
        <w:t xml:space="preserve">The ACMA will continue to monitor and </w:t>
      </w:r>
      <w:r w:rsidRPr="00465146">
        <w:t xml:space="preserve">engage with stakeholders via the </w:t>
      </w:r>
      <w:r>
        <w:t xml:space="preserve">usual </w:t>
      </w:r>
      <w:r w:rsidRPr="00465146">
        <w:t xml:space="preserve">international preparatory process to </w:t>
      </w:r>
      <w:r>
        <w:t xml:space="preserve">develop </w:t>
      </w:r>
      <w:r w:rsidRPr="00465146">
        <w:t>Australian positions</w:t>
      </w:r>
      <w:r>
        <w:t xml:space="preserve"> on studies under </w:t>
      </w:r>
      <w:r w:rsidRPr="00967AF0">
        <w:rPr>
          <w:rFonts w:cs="Arial"/>
        </w:rPr>
        <w:t xml:space="preserve">Resolution </w:t>
      </w:r>
      <w:r w:rsidRPr="00674C0A">
        <w:rPr>
          <w:rFonts w:cs="Arial"/>
          <w:b/>
        </w:rPr>
        <w:t>223 (Rev. WRC-15)</w:t>
      </w:r>
      <w:r>
        <w:rPr>
          <w:rFonts w:cs="Arial"/>
          <w:b/>
        </w:rPr>
        <w:t xml:space="preserve"> </w:t>
      </w:r>
      <w:r w:rsidRPr="00380126">
        <w:t>and</w:t>
      </w:r>
      <w:r w:rsidR="000C2A63">
        <w:t xml:space="preserve"> Resolution</w:t>
      </w:r>
      <w:r>
        <w:rPr>
          <w:rFonts w:cs="Arial"/>
          <w:b/>
        </w:rPr>
        <w:t xml:space="preserve"> </w:t>
      </w:r>
      <w:r w:rsidR="00754894" w:rsidRPr="00674C0A">
        <w:rPr>
          <w:rFonts w:cs="Arial"/>
          <w:b/>
        </w:rPr>
        <w:t>761</w:t>
      </w:r>
      <w:r w:rsidR="00BC26E9" w:rsidRPr="00674C0A">
        <w:rPr>
          <w:rFonts w:cs="Arial"/>
          <w:b/>
        </w:rPr>
        <w:t xml:space="preserve"> [</w:t>
      </w:r>
      <w:r w:rsidR="00754894" w:rsidRPr="00674C0A">
        <w:rPr>
          <w:rFonts w:cs="Arial"/>
          <w:b/>
        </w:rPr>
        <w:t>COM4/7</w:t>
      </w:r>
      <w:r w:rsidR="00BC26E9" w:rsidRPr="00674C0A">
        <w:rPr>
          <w:rFonts w:cs="Arial"/>
          <w:b/>
        </w:rPr>
        <w:t>]</w:t>
      </w:r>
      <w:r w:rsidRPr="00674C0A">
        <w:rPr>
          <w:rFonts w:cs="Arial"/>
          <w:b/>
        </w:rPr>
        <w:t xml:space="preserve"> (WRC-15)</w:t>
      </w:r>
      <w:r w:rsidRPr="00967AF0">
        <w:rPr>
          <w:rFonts w:cs="Arial"/>
        </w:rPr>
        <w:t xml:space="preserve"> </w:t>
      </w:r>
      <w:r>
        <w:t>and other international issues related to the 1.5 GHz band such as possible new band plans</w:t>
      </w:r>
      <w:r w:rsidRPr="00465146">
        <w:t>.</w:t>
      </w:r>
      <w:r>
        <w:t xml:space="preserve"> This could involve the submission of contributions to the ITU and AWG as appropriate.</w:t>
      </w:r>
    </w:p>
    <w:p w14:paraId="0AF23D2A" w14:textId="3D860749" w:rsidR="009566C2" w:rsidRDefault="00100578" w:rsidP="00B10F59">
      <w:r>
        <w:t>Considering recent developments (WRC spectrum harmonisation outcomes and momentum in Europe)</w:t>
      </w:r>
      <w:r w:rsidDel="00380126">
        <w:t xml:space="preserve">, </w:t>
      </w:r>
      <w:r w:rsidRPr="00577F9D" w:rsidDel="003B752F">
        <w:t>t</w:t>
      </w:r>
      <w:r w:rsidRPr="00577F9D">
        <w:t xml:space="preserve">he ACMA </w:t>
      </w:r>
      <w:r>
        <w:t xml:space="preserve">currently expects to recommence consideration of this band for domestic use for mobile broadband in the second half of 2016. This will include the release of </w:t>
      </w:r>
      <w:r w:rsidR="00B10F59">
        <w:t xml:space="preserve">a </w:t>
      </w:r>
      <w:r>
        <w:t xml:space="preserve">discussion </w:t>
      </w:r>
      <w:r w:rsidDel="00380126">
        <w:t>paper</w:t>
      </w:r>
      <w:r>
        <w:t xml:space="preserve">, which will progress consideration of this band under the </w:t>
      </w:r>
      <w:r w:rsidRPr="009B4370">
        <w:rPr>
          <w:i/>
        </w:rPr>
        <w:t>initial investigation</w:t>
      </w:r>
      <w:r>
        <w:t xml:space="preserve"> stage. </w:t>
      </w:r>
    </w:p>
    <w:p w14:paraId="2A46FAB0" w14:textId="06C2A312" w:rsidR="005477E0" w:rsidRPr="00211492" w:rsidRDefault="005477E0" w:rsidP="00B10F59">
      <w:pPr>
        <w:pStyle w:val="Heading2"/>
      </w:pPr>
      <w:bookmarkStart w:id="239" w:name="_Toc441235824"/>
      <w:bookmarkStart w:id="240" w:name="_Toc442428398"/>
      <w:bookmarkStart w:id="241" w:name="_Toc443910721"/>
      <w:r w:rsidRPr="00211492">
        <w:t>1</w:t>
      </w:r>
      <w:r w:rsidR="0011311C">
        <w:t> </w:t>
      </w:r>
      <w:r w:rsidRPr="00211492">
        <w:t>980–2010 MHz and 2170–2200 MHz</w:t>
      </w:r>
      <w:bookmarkEnd w:id="239"/>
      <w:bookmarkEnd w:id="240"/>
      <w:bookmarkEnd w:id="241"/>
      <w:r w:rsidRPr="00211492">
        <w:t xml:space="preserve"> </w:t>
      </w:r>
    </w:p>
    <w:p w14:paraId="54ED6F67" w14:textId="1E9E0623" w:rsidR="00102E23" w:rsidRDefault="00102E23" w:rsidP="00102E23">
      <w:pPr>
        <w:rPr>
          <w:rFonts w:cs="Arial"/>
          <w:szCs w:val="20"/>
          <w:lang w:val="en"/>
        </w:rPr>
      </w:pPr>
      <w:r w:rsidRPr="00102E23">
        <w:rPr>
          <w:szCs w:val="20"/>
        </w:rPr>
        <w:t xml:space="preserve">The 1980–2010 MHz and 2170–2200 MHz </w:t>
      </w:r>
      <w:r>
        <w:rPr>
          <w:szCs w:val="20"/>
        </w:rPr>
        <w:t>bands were</w:t>
      </w:r>
      <w:r w:rsidRPr="00102E23">
        <w:rPr>
          <w:szCs w:val="20"/>
        </w:rPr>
        <w:t xml:space="preserve"> included</w:t>
      </w:r>
      <w:r>
        <w:rPr>
          <w:rFonts w:cs="Arial"/>
          <w:szCs w:val="20"/>
          <w:lang w:val="en"/>
        </w:rPr>
        <w:t xml:space="preserve"> at the </w:t>
      </w:r>
      <w:r w:rsidRPr="005B01CB">
        <w:rPr>
          <w:rFonts w:cs="Arial"/>
          <w:i/>
          <w:szCs w:val="20"/>
          <w:lang w:val="en"/>
        </w:rPr>
        <w:t>initial investigation</w:t>
      </w:r>
      <w:r>
        <w:rPr>
          <w:rFonts w:cs="Arial"/>
          <w:szCs w:val="20"/>
          <w:lang w:val="en"/>
        </w:rPr>
        <w:t xml:space="preserve"> stage in </w:t>
      </w:r>
      <w:r w:rsidRPr="00F3138B">
        <w:rPr>
          <w:rFonts w:cs="Arial"/>
          <w:i/>
          <w:szCs w:val="20"/>
          <w:lang w:val="en"/>
        </w:rPr>
        <w:t>Beyond 2020</w:t>
      </w:r>
      <w:r>
        <w:rPr>
          <w:rFonts w:cs="Arial"/>
          <w:szCs w:val="20"/>
          <w:lang w:val="en"/>
        </w:rPr>
        <w:t xml:space="preserve">. </w:t>
      </w:r>
    </w:p>
    <w:p w14:paraId="09912CE5" w14:textId="2AA74991" w:rsidR="00A82222" w:rsidRPr="00264184" w:rsidRDefault="00D811C6" w:rsidP="00A82222">
      <w:pPr>
        <w:rPr>
          <w:szCs w:val="20"/>
        </w:rPr>
      </w:pPr>
      <w:r>
        <w:rPr>
          <w:szCs w:val="20"/>
        </w:rPr>
        <w:t xml:space="preserve">A number of submissions noted that these bands had been opened up </w:t>
      </w:r>
      <w:r w:rsidRPr="00264184">
        <w:rPr>
          <w:szCs w:val="20"/>
        </w:rPr>
        <w:t>for interim use for Television Outside Broadcast (TVOB)</w:t>
      </w:r>
      <w:r w:rsidR="00B10F59">
        <w:rPr>
          <w:szCs w:val="20"/>
        </w:rPr>
        <w:t>,</w:t>
      </w:r>
      <w:r w:rsidRPr="00264184">
        <w:rPr>
          <w:szCs w:val="20"/>
        </w:rPr>
        <w:t xml:space="preserve"> while the band is not used by the MSS in Australia. </w:t>
      </w:r>
      <w:r>
        <w:rPr>
          <w:szCs w:val="20"/>
        </w:rPr>
        <w:t xml:space="preserve">Foxtel submitted that </w:t>
      </w:r>
      <w:r w:rsidR="00A82222" w:rsidRPr="00264184">
        <w:rPr>
          <w:szCs w:val="20"/>
        </w:rPr>
        <w:t xml:space="preserve">these bands will continue to be an important element of outside broadcasting at sports events for some time, </w:t>
      </w:r>
      <w:r w:rsidR="00B10F59">
        <w:rPr>
          <w:szCs w:val="20"/>
        </w:rPr>
        <w:t xml:space="preserve">and </w:t>
      </w:r>
      <w:r w:rsidR="00A82222" w:rsidRPr="00264184">
        <w:rPr>
          <w:szCs w:val="20"/>
        </w:rPr>
        <w:t xml:space="preserve">substantial engagement and notice would be required </w:t>
      </w:r>
      <w:r w:rsidR="00B10F59">
        <w:rPr>
          <w:szCs w:val="20"/>
        </w:rPr>
        <w:t>if</w:t>
      </w:r>
      <w:r w:rsidR="00B10F59" w:rsidRPr="00264184">
        <w:rPr>
          <w:szCs w:val="20"/>
        </w:rPr>
        <w:t xml:space="preserve"> </w:t>
      </w:r>
      <w:r w:rsidR="00A82222" w:rsidRPr="00264184">
        <w:rPr>
          <w:szCs w:val="20"/>
        </w:rPr>
        <w:t xml:space="preserve">they </w:t>
      </w:r>
      <w:r w:rsidR="00B10F59">
        <w:rPr>
          <w:szCs w:val="20"/>
        </w:rPr>
        <w:t>are</w:t>
      </w:r>
      <w:r w:rsidR="00B10F59" w:rsidRPr="00264184">
        <w:rPr>
          <w:szCs w:val="20"/>
        </w:rPr>
        <w:t xml:space="preserve"> </w:t>
      </w:r>
      <w:r w:rsidR="00A82222" w:rsidRPr="00264184">
        <w:rPr>
          <w:szCs w:val="20"/>
        </w:rPr>
        <w:t>further considered for mobile broadband use.</w:t>
      </w:r>
    </w:p>
    <w:p w14:paraId="1871DD82" w14:textId="64B5B139" w:rsidR="00A82222" w:rsidRPr="00264184" w:rsidRDefault="001D6C05" w:rsidP="00B10F59">
      <w:r>
        <w:t xml:space="preserve">Communications Alliance, </w:t>
      </w:r>
      <w:r w:rsidR="00D811C6">
        <w:t xml:space="preserve">GVF, Inmarsat </w:t>
      </w:r>
      <w:r>
        <w:t xml:space="preserve">and Omnispace </w:t>
      </w:r>
      <w:r w:rsidR="00D811C6">
        <w:t xml:space="preserve">argued that </w:t>
      </w:r>
      <w:r w:rsidR="00D811C6" w:rsidRPr="00264184">
        <w:t>the</w:t>
      </w:r>
      <w:r w:rsidR="00D811C6">
        <w:t xml:space="preserve"> </w:t>
      </w:r>
      <w:r>
        <w:t>1980–2010 </w:t>
      </w:r>
      <w:r w:rsidR="00D811C6" w:rsidRPr="00264184">
        <w:t xml:space="preserve">MHz and 2170–2200 MHz bands should be retained </w:t>
      </w:r>
      <w:r w:rsidR="00D811C6">
        <w:t xml:space="preserve">for use by </w:t>
      </w:r>
      <w:r w:rsidR="00D811C6" w:rsidRPr="00264184">
        <w:t xml:space="preserve">MSS. </w:t>
      </w:r>
      <w:r w:rsidR="00A82222" w:rsidRPr="00264184">
        <w:t>GVF</w:t>
      </w:r>
      <w:r w:rsidR="00D811C6">
        <w:t xml:space="preserve"> submitted that</w:t>
      </w:r>
      <w:r w:rsidR="00A82222" w:rsidRPr="00264184">
        <w:t xml:space="preserve"> the possible use of the</w:t>
      </w:r>
      <w:r w:rsidR="00B10F59">
        <w:t>se</w:t>
      </w:r>
      <w:r w:rsidR="00A82222" w:rsidRPr="00264184">
        <w:t xml:space="preserve"> bands for mobile broadband services could cause interference to planned MSS operations in Australia, and to MSS satellites serving areas other than Australia. </w:t>
      </w:r>
      <w:r w:rsidRPr="00264184">
        <w:t>Omnispace state</w:t>
      </w:r>
      <w:r>
        <w:t>d</w:t>
      </w:r>
      <w:r w:rsidRPr="00264184">
        <w:t xml:space="preserve"> that it is critical to retain MSS allocations for their unique ability to provide commercial and government services to underserved areas where terrestrial services are not economic to deploy and maintain.</w:t>
      </w:r>
      <w:r w:rsidR="001F230F">
        <w:t xml:space="preserve"> Communications Alliance and </w:t>
      </w:r>
      <w:r w:rsidR="00D811C6">
        <w:t xml:space="preserve">Inmarsat advised that its </w:t>
      </w:r>
      <w:r w:rsidR="00A82222" w:rsidRPr="00264184">
        <w:t>2 GHz MSS satellite (</w:t>
      </w:r>
      <w:r w:rsidR="00B10F59">
        <w:t>‘</w:t>
      </w:r>
      <w:r w:rsidR="00A82222" w:rsidRPr="00264184">
        <w:t>Europasat</w:t>
      </w:r>
      <w:r w:rsidR="00B10F59">
        <w:t>’</w:t>
      </w:r>
      <w:r w:rsidR="00A82222" w:rsidRPr="00264184">
        <w:t>) is currently under construction</w:t>
      </w:r>
      <w:r w:rsidR="00D811C6">
        <w:t xml:space="preserve"> and</w:t>
      </w:r>
      <w:r w:rsidR="00A82222" w:rsidRPr="00264184">
        <w:t xml:space="preserve"> planned for launch in 2016. This system is aimed primarily at provision of services to airlines, including in-cabin </w:t>
      </w:r>
      <w:r w:rsidR="00B10F59" w:rsidRPr="00264184">
        <w:t>Wi-Fi</w:t>
      </w:r>
      <w:r w:rsidR="00A82222" w:rsidRPr="00264184">
        <w:t xml:space="preserve"> for airline passengers. </w:t>
      </w:r>
      <w:r w:rsidR="00D811C6">
        <w:t xml:space="preserve">They argued that though the </w:t>
      </w:r>
      <w:r w:rsidR="00A82222" w:rsidRPr="00264184">
        <w:t xml:space="preserve">Europasat satellite </w:t>
      </w:r>
      <w:r w:rsidR="00265A42" w:rsidRPr="00264184">
        <w:t>would</w:t>
      </w:r>
      <w:r w:rsidR="00A82222" w:rsidRPr="00264184">
        <w:t xml:space="preserve"> not provide coverage of Australia</w:t>
      </w:r>
      <w:r w:rsidR="00B10F59">
        <w:t xml:space="preserve"> (</w:t>
      </w:r>
      <w:r w:rsidR="00A82222" w:rsidRPr="00264184">
        <w:t>as aeronautical services are global by nature</w:t>
      </w:r>
      <w:r w:rsidR="00B10F59">
        <w:t>)</w:t>
      </w:r>
      <w:r w:rsidR="00265A42" w:rsidRPr="00264184">
        <w:t>;</w:t>
      </w:r>
      <w:r w:rsidR="00A82222" w:rsidRPr="00264184">
        <w:t xml:space="preserve"> the spectrum should remain available for future growth of the service. </w:t>
      </w:r>
      <w:r w:rsidR="00D811C6">
        <w:t>They noted that services</w:t>
      </w:r>
      <w:r w:rsidR="00A82222" w:rsidRPr="00264184">
        <w:t xml:space="preserve"> similar to those provided by Europasat or other MSS services can be expected to be deployed in Australia as part of an international footprint in the future.  </w:t>
      </w:r>
    </w:p>
    <w:p w14:paraId="54A2DED4" w14:textId="295CC8C7" w:rsidR="001D6C05" w:rsidRPr="00264184" w:rsidRDefault="001D6C05" w:rsidP="001D6C05">
      <w:pPr>
        <w:rPr>
          <w:szCs w:val="20"/>
        </w:rPr>
      </w:pPr>
      <w:r>
        <w:rPr>
          <w:szCs w:val="20"/>
        </w:rPr>
        <w:t xml:space="preserve">Omnispace outlined the recent history regarding </w:t>
      </w:r>
      <w:r w:rsidRPr="00264184">
        <w:rPr>
          <w:szCs w:val="20"/>
        </w:rPr>
        <w:t xml:space="preserve">the current and planned use of MSS </w:t>
      </w:r>
      <w:r>
        <w:rPr>
          <w:szCs w:val="20"/>
        </w:rPr>
        <w:t>in these bands</w:t>
      </w:r>
      <w:r w:rsidRPr="00264184">
        <w:rPr>
          <w:szCs w:val="20"/>
        </w:rPr>
        <w:t xml:space="preserve"> in Australia.</w:t>
      </w:r>
      <w:r>
        <w:rPr>
          <w:szCs w:val="20"/>
        </w:rPr>
        <w:t xml:space="preserve"> </w:t>
      </w:r>
      <w:r w:rsidR="00A82222" w:rsidRPr="00264184">
        <w:rPr>
          <w:szCs w:val="20"/>
        </w:rPr>
        <w:t xml:space="preserve">Omnispace </w:t>
      </w:r>
      <w:r w:rsidR="00D811C6">
        <w:rPr>
          <w:szCs w:val="20"/>
        </w:rPr>
        <w:t xml:space="preserve">argued </w:t>
      </w:r>
      <w:r w:rsidR="00A82222" w:rsidRPr="00264184">
        <w:rPr>
          <w:szCs w:val="20"/>
        </w:rPr>
        <w:t xml:space="preserve">that ACMA </w:t>
      </w:r>
      <w:r w:rsidR="00D816A6">
        <w:rPr>
          <w:szCs w:val="20"/>
        </w:rPr>
        <w:t>E</w:t>
      </w:r>
      <w:r w:rsidR="00A82222" w:rsidRPr="00264184">
        <w:rPr>
          <w:szCs w:val="20"/>
        </w:rPr>
        <w:t xml:space="preserve">mbargo 23 has inhibited the introduction of MSS services </w:t>
      </w:r>
      <w:r w:rsidR="00D811C6">
        <w:rPr>
          <w:szCs w:val="20"/>
        </w:rPr>
        <w:t>in these bands in Australia</w:t>
      </w:r>
      <w:r w:rsidR="00D816A6">
        <w:rPr>
          <w:szCs w:val="20"/>
        </w:rPr>
        <w:t>,</w:t>
      </w:r>
      <w:r w:rsidR="00D811C6">
        <w:rPr>
          <w:szCs w:val="20"/>
        </w:rPr>
        <w:t xml:space="preserve"> </w:t>
      </w:r>
      <w:r>
        <w:rPr>
          <w:szCs w:val="20"/>
        </w:rPr>
        <w:t>which has resulted in</w:t>
      </w:r>
      <w:r w:rsidR="00A82222" w:rsidRPr="00264184">
        <w:rPr>
          <w:szCs w:val="20"/>
        </w:rPr>
        <w:t xml:space="preserve"> a circular situation in which the benefits to rural and remote Australia via MSS are absent because of the Embargo</w:t>
      </w:r>
      <w:r w:rsidR="00D816A6">
        <w:rPr>
          <w:szCs w:val="20"/>
        </w:rPr>
        <w:t>,</w:t>
      </w:r>
      <w:r w:rsidR="00A82222" w:rsidRPr="00264184">
        <w:rPr>
          <w:szCs w:val="20"/>
        </w:rPr>
        <w:t xml:space="preserve"> and the lack of this use of the spectrum makes the retention of it for satellite vulnerable.</w:t>
      </w:r>
      <w:r>
        <w:rPr>
          <w:szCs w:val="20"/>
        </w:rPr>
        <w:t xml:space="preserve"> </w:t>
      </w:r>
    </w:p>
    <w:p w14:paraId="3FC55FD4" w14:textId="50CF32F0" w:rsidR="00A82222" w:rsidRDefault="001F230F" w:rsidP="00264184">
      <w:pPr>
        <w:rPr>
          <w:szCs w:val="20"/>
        </w:rPr>
      </w:pPr>
      <w:r>
        <w:rPr>
          <w:szCs w:val="20"/>
        </w:rPr>
        <w:t>In their supplementary submission following WRC-15, Communications Alliance noted that a</w:t>
      </w:r>
      <w:r w:rsidR="00A82222" w:rsidRPr="00264184">
        <w:rPr>
          <w:szCs w:val="20"/>
        </w:rPr>
        <w:t>n outcome of WRC-15, contained in</w:t>
      </w:r>
      <w:r>
        <w:rPr>
          <w:szCs w:val="20"/>
        </w:rPr>
        <w:t xml:space="preserve"> ITU-R Resolution </w:t>
      </w:r>
      <w:r w:rsidRPr="00674C0A">
        <w:rPr>
          <w:b/>
          <w:szCs w:val="20"/>
        </w:rPr>
        <w:t>212</w:t>
      </w:r>
      <w:r w:rsidR="00A82222" w:rsidRPr="00674C0A">
        <w:rPr>
          <w:b/>
          <w:szCs w:val="20"/>
        </w:rPr>
        <w:t xml:space="preserve"> (Rev</w:t>
      </w:r>
      <w:r w:rsidRPr="00674C0A">
        <w:rPr>
          <w:b/>
          <w:szCs w:val="20"/>
        </w:rPr>
        <w:t>.</w:t>
      </w:r>
      <w:r w:rsidR="00A82222" w:rsidRPr="00674C0A">
        <w:rPr>
          <w:b/>
          <w:szCs w:val="20"/>
        </w:rPr>
        <w:t xml:space="preserve"> WRC-</w:t>
      </w:r>
      <w:r w:rsidRPr="00674C0A">
        <w:rPr>
          <w:b/>
          <w:szCs w:val="20"/>
        </w:rPr>
        <w:t>15</w:t>
      </w:r>
      <w:r w:rsidR="00A82222" w:rsidRPr="00674C0A">
        <w:rPr>
          <w:b/>
          <w:szCs w:val="20"/>
        </w:rPr>
        <w:t>)</w:t>
      </w:r>
      <w:r w:rsidR="00A82222" w:rsidRPr="00264184">
        <w:rPr>
          <w:szCs w:val="20"/>
        </w:rPr>
        <w:t xml:space="preserve"> was to invite the ITU-R</w:t>
      </w:r>
      <w:r>
        <w:rPr>
          <w:szCs w:val="20"/>
        </w:rPr>
        <w:t xml:space="preserve"> </w:t>
      </w:r>
      <w:r w:rsidR="00A82222" w:rsidRPr="00264184">
        <w:rPr>
          <w:szCs w:val="20"/>
        </w:rPr>
        <w:t>to study possible technical and operational measures to ensure coexistence and compatibility between the terrestrial component of IMT (in the mobile service) and the satellite component of IMT (in the mobile service and the mobile-satellite service) in the frequency bands 1980-2010 MHz and 2170-2200 MHz where those frequency bands are shared by mobile service and the mobile-satellite service in different countries, in particular for the deployment of independent satellite and terrestrial components of IMT and to facilitate development of both the satellite and terrestrial components of IMT</w:t>
      </w:r>
      <w:r>
        <w:rPr>
          <w:szCs w:val="20"/>
        </w:rPr>
        <w:t xml:space="preserve">. Communications Alliance believed </w:t>
      </w:r>
      <w:r w:rsidR="00A82222" w:rsidRPr="00264184">
        <w:rPr>
          <w:szCs w:val="20"/>
        </w:rPr>
        <w:t xml:space="preserve">that the ACMA should reconsider this band </w:t>
      </w:r>
      <w:r w:rsidR="00A82222">
        <w:rPr>
          <w:szCs w:val="20"/>
        </w:rPr>
        <w:t>in</w:t>
      </w:r>
      <w:r w:rsidR="00D816A6">
        <w:rPr>
          <w:szCs w:val="20"/>
        </w:rPr>
        <w:t xml:space="preserve"> its intended </w:t>
      </w:r>
      <w:r w:rsidR="00A82222">
        <w:rPr>
          <w:szCs w:val="20"/>
        </w:rPr>
        <w:t>mobile broadband strategy.</w:t>
      </w:r>
    </w:p>
    <w:p w14:paraId="27B50D83" w14:textId="045040E0" w:rsidR="001F230F" w:rsidRPr="00DD75F3" w:rsidRDefault="00D816A6" w:rsidP="00D816A6">
      <w:pPr>
        <w:pStyle w:val="Heading3"/>
      </w:pPr>
      <w:bookmarkStart w:id="242" w:name="_Toc443910722"/>
      <w:r>
        <w:t xml:space="preserve">The </w:t>
      </w:r>
      <w:r w:rsidR="0011311C">
        <w:t>ACMA</w:t>
      </w:r>
      <w:r>
        <w:t>’s</w:t>
      </w:r>
      <w:r w:rsidR="0011311C">
        <w:t xml:space="preserve"> r</w:t>
      </w:r>
      <w:r w:rsidR="001F230F" w:rsidRPr="00DD75F3">
        <w:t xml:space="preserve">esponse to submissions regarding </w:t>
      </w:r>
      <w:r w:rsidR="001F230F" w:rsidRPr="001F230F">
        <w:t>1980–2010 MHz and 2170–2200</w:t>
      </w:r>
      <w:r w:rsidR="00AB4D9E">
        <w:t> </w:t>
      </w:r>
      <w:r w:rsidR="001F230F" w:rsidRPr="001F230F">
        <w:t>MHz</w:t>
      </w:r>
      <w:bookmarkEnd w:id="242"/>
    </w:p>
    <w:p w14:paraId="11A2BADA" w14:textId="757BD549" w:rsidR="001F230F" w:rsidRPr="00B87390" w:rsidRDefault="00C60969" w:rsidP="00264184">
      <w:pPr>
        <w:rPr>
          <w:szCs w:val="20"/>
        </w:rPr>
      </w:pPr>
      <w:r w:rsidRPr="00B87390">
        <w:rPr>
          <w:szCs w:val="20"/>
        </w:rPr>
        <w:t xml:space="preserve">An outcome of </w:t>
      </w:r>
      <w:r w:rsidR="00B87390">
        <w:rPr>
          <w:szCs w:val="20"/>
        </w:rPr>
        <w:t>the ITU Radiocommunications Assembly 2015 meeting</w:t>
      </w:r>
      <w:r w:rsidRPr="00B87390">
        <w:rPr>
          <w:szCs w:val="20"/>
        </w:rPr>
        <w:t xml:space="preserve"> was confirmation that the IMT identification in the 1980</w:t>
      </w:r>
      <w:r w:rsidR="00D816A6">
        <w:rPr>
          <w:szCs w:val="20"/>
        </w:rPr>
        <w:t>–</w:t>
      </w:r>
      <w:r w:rsidRPr="00B87390">
        <w:rPr>
          <w:szCs w:val="20"/>
        </w:rPr>
        <w:t>2010 MHz and 2170</w:t>
      </w:r>
      <w:r w:rsidR="00D816A6">
        <w:rPr>
          <w:szCs w:val="20"/>
        </w:rPr>
        <w:t>–</w:t>
      </w:r>
      <w:r w:rsidRPr="00B87390">
        <w:rPr>
          <w:szCs w:val="20"/>
        </w:rPr>
        <w:t xml:space="preserve">2200 MHz bands applies to both satellite and terrestrial IMT. However, as noted above, there is a work item within the ITU-R to investigate sharing between the terrestrial and mobile components of IMT. </w:t>
      </w:r>
    </w:p>
    <w:p w14:paraId="6AD7132D" w14:textId="65C79210" w:rsidR="00C60969" w:rsidRDefault="00C60969" w:rsidP="00264184">
      <w:pPr>
        <w:rPr>
          <w:rFonts w:cs="Arial"/>
        </w:rPr>
      </w:pPr>
      <w:r w:rsidRPr="00B87390">
        <w:rPr>
          <w:szCs w:val="20"/>
        </w:rPr>
        <w:t>Given continued interest in this band internationally for mobile broadband, the 1980</w:t>
      </w:r>
      <w:r w:rsidR="000A58B6">
        <w:rPr>
          <w:szCs w:val="20"/>
        </w:rPr>
        <w:t>–</w:t>
      </w:r>
      <w:r w:rsidRPr="00B87390">
        <w:rPr>
          <w:szCs w:val="20"/>
        </w:rPr>
        <w:t>2010 MHz and 2170</w:t>
      </w:r>
      <w:r w:rsidR="000A58B6">
        <w:rPr>
          <w:szCs w:val="20"/>
        </w:rPr>
        <w:t>–</w:t>
      </w:r>
      <w:r w:rsidRPr="00B87390">
        <w:rPr>
          <w:szCs w:val="20"/>
        </w:rPr>
        <w:t xml:space="preserve">2200 MHz bands will be retained at </w:t>
      </w:r>
      <w:r w:rsidR="002E29A8">
        <w:t xml:space="preserve">the </w:t>
      </w:r>
      <w:r w:rsidR="002E29A8" w:rsidRPr="002E29A8">
        <w:rPr>
          <w:i/>
        </w:rPr>
        <w:t>initial investigation</w:t>
      </w:r>
      <w:r w:rsidR="002E29A8">
        <w:t xml:space="preserve"> stage</w:t>
      </w:r>
      <w:r w:rsidRPr="00F15D15">
        <w:rPr>
          <w:szCs w:val="20"/>
        </w:rPr>
        <w:t xml:space="preserve"> in the final </w:t>
      </w:r>
      <w:r w:rsidR="00B87390" w:rsidRPr="00F15D15">
        <w:rPr>
          <w:szCs w:val="20"/>
        </w:rPr>
        <w:t xml:space="preserve">work </w:t>
      </w:r>
      <w:r w:rsidR="004A2671">
        <w:rPr>
          <w:szCs w:val="20"/>
        </w:rPr>
        <w:t>program</w:t>
      </w:r>
      <w:r w:rsidRPr="00F15D15">
        <w:rPr>
          <w:szCs w:val="20"/>
        </w:rPr>
        <w:t xml:space="preserve"> released in parallel with this paper. </w:t>
      </w:r>
      <w:r w:rsidR="00B87390" w:rsidRPr="00F15D15">
        <w:rPr>
          <w:rFonts w:cs="Arial"/>
        </w:rPr>
        <w:t>The ACMA will review the</w:t>
      </w:r>
      <w:r w:rsidR="00B87390">
        <w:rPr>
          <w:rFonts w:cs="Arial"/>
        </w:rPr>
        <w:t xml:space="preserve"> likely time</w:t>
      </w:r>
      <w:r w:rsidR="000A58B6">
        <w:rPr>
          <w:rFonts w:cs="Arial"/>
        </w:rPr>
        <w:t xml:space="preserve"> </w:t>
      </w:r>
      <w:r w:rsidR="00B87390">
        <w:rPr>
          <w:rFonts w:cs="Arial"/>
        </w:rPr>
        <w:t xml:space="preserve">frame for further consideration of this band at the next update to </w:t>
      </w:r>
      <w:r w:rsidR="00B87390" w:rsidRPr="00047A99">
        <w:rPr>
          <w:rFonts w:cs="Arial"/>
        </w:rPr>
        <w:t xml:space="preserve">the </w:t>
      </w:r>
      <w:r w:rsidR="00404DB1" w:rsidRPr="00047A99">
        <w:rPr>
          <w:rFonts w:cs="Arial"/>
        </w:rPr>
        <w:t>mobile broadband</w:t>
      </w:r>
      <w:r w:rsidR="00B87390" w:rsidRPr="00047A99">
        <w:rPr>
          <w:rFonts w:cs="Arial"/>
        </w:rPr>
        <w:t xml:space="preserve"> </w:t>
      </w:r>
      <w:r w:rsidR="000A58B6" w:rsidRPr="00047A99">
        <w:rPr>
          <w:rFonts w:cs="Arial"/>
        </w:rPr>
        <w:t>w</w:t>
      </w:r>
      <w:r w:rsidR="00B87390" w:rsidRPr="00047A99">
        <w:rPr>
          <w:rFonts w:cs="Arial"/>
        </w:rPr>
        <w:t xml:space="preserve">ork </w:t>
      </w:r>
      <w:r w:rsidR="000A58B6" w:rsidRPr="00047A99">
        <w:rPr>
          <w:rFonts w:cs="Arial"/>
        </w:rPr>
        <w:t>p</w:t>
      </w:r>
      <w:r w:rsidR="00B87390" w:rsidRPr="00047A99">
        <w:rPr>
          <w:rFonts w:cs="Arial"/>
        </w:rPr>
        <w:t>rogram.</w:t>
      </w:r>
      <w:r w:rsidR="00B87390">
        <w:rPr>
          <w:rFonts w:cs="Arial"/>
        </w:rPr>
        <w:t xml:space="preserve">  </w:t>
      </w:r>
    </w:p>
    <w:p w14:paraId="11A71E9F" w14:textId="000C04BD" w:rsidR="005477E0" w:rsidRPr="005477E0" w:rsidRDefault="005477E0" w:rsidP="000A58B6">
      <w:pPr>
        <w:pStyle w:val="Heading2"/>
      </w:pPr>
      <w:bookmarkStart w:id="243" w:name="_Toc441235825"/>
      <w:bookmarkStart w:id="244" w:name="_Toc442428399"/>
      <w:bookmarkStart w:id="245" w:name="_Toc443910723"/>
      <w:r w:rsidRPr="00F018BA">
        <w:t>3575</w:t>
      </w:r>
      <w:r>
        <w:t>–</w:t>
      </w:r>
      <w:r w:rsidRPr="00F018BA">
        <w:t>3700 MHz</w:t>
      </w:r>
      <w:bookmarkEnd w:id="243"/>
      <w:bookmarkEnd w:id="244"/>
      <w:bookmarkEnd w:id="245"/>
    </w:p>
    <w:p w14:paraId="01D8C1AB" w14:textId="58DB616A" w:rsidR="00C213AA" w:rsidRDefault="00C213AA" w:rsidP="00C213AA">
      <w:pPr>
        <w:rPr>
          <w:rFonts w:cs="Arial"/>
          <w:szCs w:val="20"/>
          <w:lang w:val="en"/>
        </w:rPr>
      </w:pPr>
      <w:bookmarkStart w:id="246" w:name="_Toc441074847"/>
      <w:r w:rsidRPr="00102E23">
        <w:rPr>
          <w:szCs w:val="20"/>
        </w:rPr>
        <w:t xml:space="preserve">The </w:t>
      </w:r>
      <w:r>
        <w:rPr>
          <w:szCs w:val="20"/>
        </w:rPr>
        <w:t>3575</w:t>
      </w:r>
      <w:r w:rsidR="000A58B6">
        <w:rPr>
          <w:szCs w:val="20"/>
        </w:rPr>
        <w:t>–</w:t>
      </w:r>
      <w:r>
        <w:rPr>
          <w:szCs w:val="20"/>
        </w:rPr>
        <w:t>3700 M</w:t>
      </w:r>
      <w:r w:rsidRPr="00102E23">
        <w:rPr>
          <w:szCs w:val="20"/>
        </w:rPr>
        <w:t xml:space="preserve">Hz </w:t>
      </w:r>
      <w:r>
        <w:rPr>
          <w:szCs w:val="20"/>
        </w:rPr>
        <w:t>band was</w:t>
      </w:r>
      <w:r w:rsidRPr="00102E23">
        <w:rPr>
          <w:szCs w:val="20"/>
        </w:rPr>
        <w:t xml:space="preserve"> included</w:t>
      </w:r>
      <w:r>
        <w:rPr>
          <w:rFonts w:cs="Arial"/>
          <w:szCs w:val="20"/>
          <w:lang w:val="en"/>
        </w:rPr>
        <w:t xml:space="preserve"> at the </w:t>
      </w:r>
      <w:r w:rsidRPr="005B01CB">
        <w:rPr>
          <w:rFonts w:cs="Arial"/>
          <w:i/>
          <w:szCs w:val="20"/>
          <w:lang w:val="en"/>
        </w:rPr>
        <w:t>initial investigation</w:t>
      </w:r>
      <w:r>
        <w:rPr>
          <w:rFonts w:cs="Arial"/>
          <w:szCs w:val="20"/>
          <w:lang w:val="en"/>
        </w:rPr>
        <w:t xml:space="preserve"> stage in </w:t>
      </w:r>
      <w:r w:rsidRPr="00991D05">
        <w:rPr>
          <w:rFonts w:cs="Arial"/>
          <w:i/>
          <w:szCs w:val="20"/>
          <w:lang w:val="en"/>
        </w:rPr>
        <w:t>Beyond 2020</w:t>
      </w:r>
      <w:r w:rsidRPr="00991D05">
        <w:rPr>
          <w:rFonts w:cs="Arial"/>
          <w:szCs w:val="20"/>
          <w:lang w:val="en"/>
        </w:rPr>
        <w:t>.</w:t>
      </w:r>
      <w:r>
        <w:rPr>
          <w:rFonts w:cs="Arial"/>
          <w:szCs w:val="20"/>
          <w:lang w:val="en"/>
        </w:rPr>
        <w:t xml:space="preserve"> </w:t>
      </w:r>
    </w:p>
    <w:p w14:paraId="6EC0027A" w14:textId="3BAF5A13" w:rsidR="00771373" w:rsidRPr="00A82222" w:rsidRDefault="00771373" w:rsidP="000A58B6">
      <w:r>
        <w:rPr>
          <w:rFonts w:cs="Arial"/>
          <w:lang w:val="en"/>
        </w:rPr>
        <w:t xml:space="preserve">AMTA and </w:t>
      </w:r>
      <w:r w:rsidRPr="00A82222">
        <w:t xml:space="preserve">Optus </w:t>
      </w:r>
      <w:r>
        <w:t xml:space="preserve">submitted that </w:t>
      </w:r>
      <w:r w:rsidRPr="00A82222">
        <w:t>spectrum in 3400</w:t>
      </w:r>
      <w:r w:rsidR="000A58B6">
        <w:t>–</w:t>
      </w:r>
      <w:r w:rsidRPr="00A82222">
        <w:t xml:space="preserve">3700 MHz is one of the primary spectrum options for providing increased </w:t>
      </w:r>
      <w:r w:rsidR="002E248A">
        <w:t>mobile broadband</w:t>
      </w:r>
      <w:r w:rsidRPr="00A82222">
        <w:t xml:space="preserve"> capacity in the short-to-medium term.</w:t>
      </w:r>
      <w:r>
        <w:t xml:space="preserve"> </w:t>
      </w:r>
      <w:r w:rsidR="00DD13F3">
        <w:rPr>
          <w:rFonts w:cs="Arial"/>
          <w:lang w:val="en"/>
        </w:rPr>
        <w:t xml:space="preserve">AMTA submitted that the utility of the of the </w:t>
      </w:r>
      <w:r w:rsidR="00DD13F3" w:rsidRPr="00A82222">
        <w:t>entire 3400</w:t>
      </w:r>
      <w:r w:rsidR="000A58B6">
        <w:t>–</w:t>
      </w:r>
      <w:r w:rsidR="00DD13F3" w:rsidRPr="00A82222">
        <w:t>3700 MHz band</w:t>
      </w:r>
      <w:r w:rsidR="00DD13F3">
        <w:t xml:space="preserve"> </w:t>
      </w:r>
      <w:r w:rsidR="00DD13F3" w:rsidRPr="00A82222">
        <w:t>could be further improved if the</w:t>
      </w:r>
      <w:r w:rsidR="00DD13F3">
        <w:t xml:space="preserve"> </w:t>
      </w:r>
      <w:r w:rsidR="00DD13F3" w:rsidRPr="00A82222">
        <w:t>apparatus licensed space (</w:t>
      </w:r>
      <w:r w:rsidR="000A58B6">
        <w:t>for example,</w:t>
      </w:r>
      <w:r w:rsidR="00DD13F3" w:rsidRPr="00A82222">
        <w:t xml:space="preserve"> the 3.5 GHz band in metro areas) </w:t>
      </w:r>
      <w:r w:rsidR="00DD13F3">
        <w:t xml:space="preserve">adjacent to the current 3.4 GHz spectrum licences </w:t>
      </w:r>
      <w:r w:rsidR="00DD13F3" w:rsidRPr="00A82222">
        <w:t>could ultimately become spectrum licensed and holdings</w:t>
      </w:r>
      <w:r w:rsidR="00DD13F3">
        <w:t xml:space="preserve"> across 3400</w:t>
      </w:r>
      <w:r w:rsidR="000A58B6">
        <w:t>–</w:t>
      </w:r>
      <w:r w:rsidR="00DD13F3">
        <w:t>37000 MHz</w:t>
      </w:r>
      <w:r w:rsidR="00DD13F3" w:rsidRPr="00A82222">
        <w:t xml:space="preserve"> fully aggregated.</w:t>
      </w:r>
      <w:r w:rsidR="00DD13F3">
        <w:t xml:space="preserve"> </w:t>
      </w:r>
      <w:r w:rsidR="00BA72F2">
        <w:t>AMTA</w:t>
      </w:r>
      <w:r w:rsidR="00320A51">
        <w:t>,</w:t>
      </w:r>
      <w:r>
        <w:t xml:space="preserve"> Optus</w:t>
      </w:r>
      <w:r w:rsidR="00320A51">
        <w:t xml:space="preserve"> and Telstra</w:t>
      </w:r>
      <w:r>
        <w:t xml:space="preserve"> </w:t>
      </w:r>
      <w:r w:rsidR="00BA72F2">
        <w:t>recommended that t</w:t>
      </w:r>
      <w:r w:rsidR="00A82222" w:rsidRPr="00A82222">
        <w:t>o facilitate a future review of the broader 3400</w:t>
      </w:r>
      <w:r w:rsidR="000A58B6">
        <w:t>–</w:t>
      </w:r>
      <w:r w:rsidR="00A82222" w:rsidRPr="00A82222">
        <w:t xml:space="preserve">3700 MHz frequency range, </w:t>
      </w:r>
      <w:r w:rsidR="00BA72F2">
        <w:t>the full 3400</w:t>
      </w:r>
      <w:r w:rsidR="000A58B6">
        <w:t>–</w:t>
      </w:r>
      <w:r w:rsidR="00BA72F2">
        <w:t xml:space="preserve">3700 MHz frequency range should be </w:t>
      </w:r>
      <w:r w:rsidR="00A82222" w:rsidRPr="00A82222">
        <w:t>incorporat</w:t>
      </w:r>
      <w:r w:rsidR="00BA72F2">
        <w:t xml:space="preserve">ed at </w:t>
      </w:r>
      <w:r w:rsidR="00774362">
        <w:t xml:space="preserve">the </w:t>
      </w:r>
      <w:r w:rsidR="00774362" w:rsidRPr="00774362">
        <w:rPr>
          <w:i/>
        </w:rPr>
        <w:t>preliminary replanning</w:t>
      </w:r>
      <w:r w:rsidR="00774362">
        <w:t xml:space="preserve"> stage</w:t>
      </w:r>
      <w:r w:rsidR="00A82222" w:rsidRPr="00A82222">
        <w:t xml:space="preserve"> of the</w:t>
      </w:r>
      <w:r w:rsidR="00BA72F2">
        <w:t xml:space="preserve"> mobile broadband</w:t>
      </w:r>
      <w:r w:rsidR="00A82222" w:rsidRPr="00A82222">
        <w:t xml:space="preserve"> spectrum management planning process, albeit with the constraint that the rights of 3.4 GHz spectrum licence owners cannot and will not be degraded as a result of such a review. </w:t>
      </w:r>
      <w:r w:rsidRPr="00A82222">
        <w:t>However, Optus note</w:t>
      </w:r>
      <w:r>
        <w:t>d</w:t>
      </w:r>
      <w:r w:rsidRPr="00A82222">
        <w:t xml:space="preserve"> that this review should not be perceived as forming a judgment on the relative value of mobile broadband compared to fixed wireless access (FWA) or broadband wireless access (BWA) services in the 3400</w:t>
      </w:r>
      <w:r w:rsidR="000A58B6">
        <w:t>–</w:t>
      </w:r>
      <w:r w:rsidRPr="00A82222">
        <w:t>3700 MHz frequency range. The</w:t>
      </w:r>
      <w:r>
        <w:t>y stated that the</w:t>
      </w:r>
      <w:r w:rsidRPr="00A82222">
        <w:t xml:space="preserve"> intention of the review should be to provide a framework under the mobile broadband strategy that benefits both FWA and BWA service types. </w:t>
      </w:r>
    </w:p>
    <w:p w14:paraId="445AA709" w14:textId="511F6EB5" w:rsidR="008F13C0" w:rsidRPr="00A82222" w:rsidRDefault="008869EA" w:rsidP="008F13C0">
      <w:pPr>
        <w:rPr>
          <w:szCs w:val="20"/>
        </w:rPr>
      </w:pPr>
      <w:r>
        <w:rPr>
          <w:szCs w:val="20"/>
        </w:rPr>
        <w:t>nbn</w:t>
      </w:r>
      <w:r w:rsidR="008F13C0" w:rsidRPr="00A82222">
        <w:rPr>
          <w:szCs w:val="20"/>
        </w:rPr>
        <w:t xml:space="preserve"> consider</w:t>
      </w:r>
      <w:r w:rsidR="008F13C0">
        <w:rPr>
          <w:szCs w:val="20"/>
        </w:rPr>
        <w:t>ed</w:t>
      </w:r>
      <w:r w:rsidR="008F13C0" w:rsidRPr="00A82222">
        <w:rPr>
          <w:szCs w:val="20"/>
        </w:rPr>
        <w:t xml:space="preserve"> that the 3575</w:t>
      </w:r>
      <w:r w:rsidR="000A58B6">
        <w:rPr>
          <w:szCs w:val="20"/>
        </w:rPr>
        <w:t>–</w:t>
      </w:r>
      <w:r w:rsidR="008F13C0" w:rsidRPr="00A82222">
        <w:rPr>
          <w:szCs w:val="20"/>
        </w:rPr>
        <w:t xml:space="preserve">3600 MHz </w:t>
      </w:r>
      <w:r w:rsidR="008F13C0">
        <w:rPr>
          <w:szCs w:val="20"/>
        </w:rPr>
        <w:t xml:space="preserve">band, </w:t>
      </w:r>
      <w:r w:rsidR="008F13C0" w:rsidRPr="00A82222">
        <w:rPr>
          <w:szCs w:val="20"/>
        </w:rPr>
        <w:t>which is currently embargoed</w:t>
      </w:r>
      <w:r w:rsidR="008F13C0">
        <w:rPr>
          <w:szCs w:val="20"/>
        </w:rPr>
        <w:t>, should be made</w:t>
      </w:r>
      <w:r w:rsidR="008F13C0" w:rsidRPr="00A82222">
        <w:rPr>
          <w:szCs w:val="20"/>
        </w:rPr>
        <w:t xml:space="preserve"> available for fixed broadband wireless in all parts of Australia.</w:t>
      </w:r>
      <w:r w:rsidR="008F13C0">
        <w:rPr>
          <w:szCs w:val="20"/>
        </w:rPr>
        <w:t xml:space="preserve"> They</w:t>
      </w:r>
      <w:r w:rsidR="008F13C0" w:rsidRPr="00A82222">
        <w:rPr>
          <w:szCs w:val="20"/>
        </w:rPr>
        <w:t xml:space="preserve"> submit</w:t>
      </w:r>
      <w:r w:rsidR="008F13C0">
        <w:rPr>
          <w:szCs w:val="20"/>
        </w:rPr>
        <w:t>ted</w:t>
      </w:r>
      <w:r w:rsidR="008F13C0" w:rsidRPr="00A82222">
        <w:rPr>
          <w:szCs w:val="20"/>
        </w:rPr>
        <w:t xml:space="preserve"> that the spectrum band 3575</w:t>
      </w:r>
      <w:r w:rsidR="000A58B6">
        <w:rPr>
          <w:szCs w:val="20"/>
        </w:rPr>
        <w:t>–</w:t>
      </w:r>
      <w:r w:rsidR="008F13C0" w:rsidRPr="00A82222">
        <w:rPr>
          <w:szCs w:val="20"/>
        </w:rPr>
        <w:t xml:space="preserve">3600 MHz is ready to be moved to </w:t>
      </w:r>
      <w:r w:rsidR="00774362">
        <w:t xml:space="preserve">the </w:t>
      </w:r>
      <w:r w:rsidR="00774362" w:rsidRPr="00774362">
        <w:rPr>
          <w:i/>
        </w:rPr>
        <w:t>preliminary replanning</w:t>
      </w:r>
      <w:r w:rsidR="00774362">
        <w:t xml:space="preserve"> stage</w:t>
      </w:r>
      <w:r w:rsidR="000A58B6">
        <w:rPr>
          <w:szCs w:val="20"/>
        </w:rPr>
        <w:t>,</w:t>
      </w:r>
      <w:r w:rsidR="008F13C0" w:rsidRPr="00A82222">
        <w:rPr>
          <w:szCs w:val="20"/>
        </w:rPr>
        <w:t xml:space="preserve"> in the context of being made available for fixed broadband wireless access across Australia. </w:t>
      </w:r>
    </w:p>
    <w:p w14:paraId="65A40EAB" w14:textId="23E8E2C7" w:rsidR="00A82222" w:rsidRPr="00A82222" w:rsidRDefault="00A82222" w:rsidP="00A82222">
      <w:pPr>
        <w:rPr>
          <w:szCs w:val="20"/>
        </w:rPr>
      </w:pPr>
      <w:r w:rsidRPr="00A82222">
        <w:rPr>
          <w:szCs w:val="20"/>
        </w:rPr>
        <w:t>GVF</w:t>
      </w:r>
      <w:r w:rsidR="00771373">
        <w:rPr>
          <w:szCs w:val="20"/>
        </w:rPr>
        <w:t xml:space="preserve"> argued that this band is </w:t>
      </w:r>
      <w:r w:rsidRPr="00A82222">
        <w:rPr>
          <w:szCs w:val="20"/>
        </w:rPr>
        <w:t xml:space="preserve">currently heavily and widely used by the </w:t>
      </w:r>
      <w:r w:rsidR="00771373" w:rsidRPr="00A82222">
        <w:rPr>
          <w:szCs w:val="20"/>
        </w:rPr>
        <w:t xml:space="preserve">fixed satellite service </w:t>
      </w:r>
      <w:r w:rsidR="00771373">
        <w:rPr>
          <w:szCs w:val="20"/>
        </w:rPr>
        <w:t>(</w:t>
      </w:r>
      <w:r w:rsidRPr="00A82222">
        <w:rPr>
          <w:szCs w:val="20"/>
        </w:rPr>
        <w:t>FSS</w:t>
      </w:r>
      <w:r w:rsidR="00771373">
        <w:rPr>
          <w:szCs w:val="20"/>
        </w:rPr>
        <w:t>)</w:t>
      </w:r>
      <w:r w:rsidRPr="00A82222">
        <w:rPr>
          <w:szCs w:val="20"/>
        </w:rPr>
        <w:t xml:space="preserve"> industry worldwide. </w:t>
      </w:r>
      <w:r w:rsidR="00771373">
        <w:rPr>
          <w:szCs w:val="20"/>
        </w:rPr>
        <w:t xml:space="preserve">They submitted that </w:t>
      </w:r>
      <w:r w:rsidRPr="00A82222">
        <w:rPr>
          <w:szCs w:val="20"/>
        </w:rPr>
        <w:t>there seems to be little demand for mobile systems in C-band frequencies</w:t>
      </w:r>
      <w:r w:rsidR="00771373">
        <w:rPr>
          <w:szCs w:val="20"/>
        </w:rPr>
        <w:t xml:space="preserve"> globally</w:t>
      </w:r>
      <w:r w:rsidRPr="00A82222">
        <w:rPr>
          <w:szCs w:val="20"/>
        </w:rPr>
        <w:t>, and there is certainly no demonstrated need in Australia.</w:t>
      </w:r>
      <w:r w:rsidR="00771373">
        <w:rPr>
          <w:szCs w:val="20"/>
        </w:rPr>
        <w:t xml:space="preserve"> GVF expressed concern at what they perceived as the selection of </w:t>
      </w:r>
      <w:r w:rsidR="00771373" w:rsidRPr="00A82222">
        <w:rPr>
          <w:szCs w:val="20"/>
        </w:rPr>
        <w:t>C-band spectrum</w:t>
      </w:r>
      <w:r w:rsidR="00771373">
        <w:rPr>
          <w:szCs w:val="20"/>
        </w:rPr>
        <w:t xml:space="preserve"> </w:t>
      </w:r>
      <w:r w:rsidR="00771373" w:rsidRPr="00A82222">
        <w:rPr>
          <w:szCs w:val="20"/>
        </w:rPr>
        <w:t>over other frequency ranges that might be equally or better suited for mobile broadband services.</w:t>
      </w:r>
      <w:r w:rsidR="00320A51">
        <w:rPr>
          <w:szCs w:val="20"/>
        </w:rPr>
        <w:t xml:space="preserve"> Inmarsat highlighted their use of the 3575</w:t>
      </w:r>
      <w:r w:rsidR="000A58B6">
        <w:rPr>
          <w:szCs w:val="20"/>
        </w:rPr>
        <w:t>–</w:t>
      </w:r>
      <w:r w:rsidR="00320A51">
        <w:rPr>
          <w:szCs w:val="20"/>
        </w:rPr>
        <w:t xml:space="preserve">3700 MHz band at their </w:t>
      </w:r>
      <w:r w:rsidR="00320A51" w:rsidRPr="00A82222">
        <w:rPr>
          <w:szCs w:val="20"/>
        </w:rPr>
        <w:t>gateway earth station in Perth, and</w:t>
      </w:r>
      <w:r w:rsidR="00320A51">
        <w:rPr>
          <w:szCs w:val="20"/>
        </w:rPr>
        <w:t xml:space="preserve"> noted this</w:t>
      </w:r>
      <w:r w:rsidR="00320A51" w:rsidRPr="00A82222">
        <w:rPr>
          <w:szCs w:val="20"/>
        </w:rPr>
        <w:t xml:space="preserve"> will continue to be used for the foreseeable future. </w:t>
      </w:r>
      <w:r w:rsidR="00320A51">
        <w:rPr>
          <w:szCs w:val="20"/>
        </w:rPr>
        <w:t>They submitted that a</w:t>
      </w:r>
      <w:r w:rsidR="00320A51" w:rsidRPr="00A82222">
        <w:rPr>
          <w:szCs w:val="20"/>
        </w:rPr>
        <w:t xml:space="preserve">ny use of this band by terrestrial mobile systems would need to protect this earth station and others operating in this band in Australia. </w:t>
      </w:r>
      <w:r w:rsidR="00320A51">
        <w:rPr>
          <w:szCs w:val="20"/>
        </w:rPr>
        <w:t>Foxtel was</w:t>
      </w:r>
      <w:r w:rsidR="00320A51" w:rsidRPr="00A82222">
        <w:rPr>
          <w:szCs w:val="20"/>
        </w:rPr>
        <w:t xml:space="preserve"> neutral on the designation of the</w:t>
      </w:r>
      <w:r w:rsidR="00320A51">
        <w:rPr>
          <w:szCs w:val="20"/>
        </w:rPr>
        <w:t xml:space="preserve"> 3575</w:t>
      </w:r>
      <w:r w:rsidR="000A58B6">
        <w:rPr>
          <w:szCs w:val="20"/>
        </w:rPr>
        <w:t>–</w:t>
      </w:r>
      <w:r w:rsidR="00320A51">
        <w:rPr>
          <w:szCs w:val="20"/>
        </w:rPr>
        <w:t>3700 MHz b</w:t>
      </w:r>
      <w:r w:rsidR="00320A51" w:rsidRPr="00A82222">
        <w:rPr>
          <w:szCs w:val="20"/>
        </w:rPr>
        <w:t>and for mobile broadband</w:t>
      </w:r>
      <w:r w:rsidR="000A58B6">
        <w:rPr>
          <w:szCs w:val="20"/>
        </w:rPr>
        <w:t>,</w:t>
      </w:r>
      <w:r w:rsidR="008F13C0" w:rsidRPr="008F13C0">
        <w:rPr>
          <w:szCs w:val="20"/>
        </w:rPr>
        <w:t xml:space="preserve"> </w:t>
      </w:r>
      <w:r w:rsidR="00265A42" w:rsidRPr="00A82222">
        <w:rPr>
          <w:szCs w:val="20"/>
        </w:rPr>
        <w:t>if</w:t>
      </w:r>
      <w:r w:rsidR="008F13C0" w:rsidRPr="00A82222">
        <w:rPr>
          <w:szCs w:val="20"/>
        </w:rPr>
        <w:t xml:space="preserve"> licensed Earth stations in adjacent bands used to receive international channels are protected from interference.</w:t>
      </w:r>
    </w:p>
    <w:p w14:paraId="4A1D92FD" w14:textId="3850BBA5" w:rsidR="00A82222" w:rsidRPr="00A82222" w:rsidRDefault="00320A51" w:rsidP="00A82222">
      <w:pPr>
        <w:rPr>
          <w:szCs w:val="20"/>
        </w:rPr>
      </w:pPr>
      <w:r>
        <w:rPr>
          <w:szCs w:val="20"/>
        </w:rPr>
        <w:t xml:space="preserve">In their supplementary response following WRC-15, Communications Alliance argued that given the outcomes of WRC-15 and the </w:t>
      </w:r>
      <w:r w:rsidR="00A82222">
        <w:rPr>
          <w:szCs w:val="20"/>
        </w:rPr>
        <w:t>lack of harmonised IMT identification (and consequent lack of attraction to suppliers and vendors)</w:t>
      </w:r>
      <w:r>
        <w:rPr>
          <w:szCs w:val="20"/>
        </w:rPr>
        <w:t>,</w:t>
      </w:r>
      <w:r w:rsidR="00A82222">
        <w:rPr>
          <w:szCs w:val="20"/>
        </w:rPr>
        <w:t xml:space="preserve"> </w:t>
      </w:r>
      <w:r>
        <w:rPr>
          <w:szCs w:val="20"/>
        </w:rPr>
        <w:t xml:space="preserve">investigation of the </w:t>
      </w:r>
      <w:r w:rsidR="00A82222">
        <w:rPr>
          <w:szCs w:val="20"/>
        </w:rPr>
        <w:t>3575</w:t>
      </w:r>
      <w:r w:rsidR="000A58B6">
        <w:rPr>
          <w:szCs w:val="20"/>
        </w:rPr>
        <w:t>–</w:t>
      </w:r>
      <w:r w:rsidR="00A82222">
        <w:rPr>
          <w:szCs w:val="20"/>
        </w:rPr>
        <w:t>3700 MHz band for potential mobile broadband use</w:t>
      </w:r>
      <w:r>
        <w:rPr>
          <w:szCs w:val="20"/>
        </w:rPr>
        <w:t xml:space="preserve"> should be reconsidered</w:t>
      </w:r>
      <w:r w:rsidR="00A82222">
        <w:rPr>
          <w:szCs w:val="20"/>
        </w:rPr>
        <w:t>.</w:t>
      </w:r>
    </w:p>
    <w:p w14:paraId="6D618CFB" w14:textId="0C3B6A22" w:rsidR="008F13C0" w:rsidRPr="00DD75F3" w:rsidRDefault="000A58B6" w:rsidP="000A58B6">
      <w:pPr>
        <w:pStyle w:val="Heading3"/>
      </w:pPr>
      <w:bookmarkStart w:id="247" w:name="_Toc443910724"/>
      <w:r>
        <w:t xml:space="preserve">The </w:t>
      </w:r>
      <w:r w:rsidR="0011311C">
        <w:t>ACMA</w:t>
      </w:r>
      <w:r>
        <w:t>’s</w:t>
      </w:r>
      <w:r w:rsidR="0011311C">
        <w:t xml:space="preserve"> r</w:t>
      </w:r>
      <w:r w:rsidR="008F13C0" w:rsidRPr="00DD75F3">
        <w:t xml:space="preserve">esponse to submissions regarding </w:t>
      </w:r>
      <w:r w:rsidR="008F13C0">
        <w:t>3575</w:t>
      </w:r>
      <w:r>
        <w:t>–</w:t>
      </w:r>
      <w:r w:rsidR="008F13C0">
        <w:t>3700 MHz</w:t>
      </w:r>
      <w:bookmarkEnd w:id="247"/>
    </w:p>
    <w:p w14:paraId="731EA010" w14:textId="5634E2F8" w:rsidR="00896AA5" w:rsidRDefault="00896AA5" w:rsidP="00896AA5">
      <w:pPr>
        <w:rPr>
          <w:rFonts w:cs="Arial"/>
        </w:rPr>
      </w:pPr>
      <w:r>
        <w:rPr>
          <w:rFonts w:cs="Arial"/>
        </w:rPr>
        <w:t>Considering recent developments (WRC spectrum harmonisation outcomes and momentum in the US and Europe), t</w:t>
      </w:r>
      <w:r w:rsidRPr="00577F9D">
        <w:rPr>
          <w:rFonts w:cs="Arial"/>
        </w:rPr>
        <w:t xml:space="preserve">he ACMA </w:t>
      </w:r>
      <w:r>
        <w:rPr>
          <w:rFonts w:cs="Arial"/>
        </w:rPr>
        <w:t xml:space="preserve">currently expects </w:t>
      </w:r>
      <w:r w:rsidR="00941B23">
        <w:rPr>
          <w:rFonts w:cs="Arial"/>
        </w:rPr>
        <w:t xml:space="preserve">to progress consideration of this band for domestic mobile broadband under the </w:t>
      </w:r>
      <w:r w:rsidR="00941B23" w:rsidRPr="009B4370">
        <w:rPr>
          <w:rFonts w:cs="Arial"/>
          <w:i/>
        </w:rPr>
        <w:t>initial investigation</w:t>
      </w:r>
      <w:r w:rsidR="00941B23">
        <w:rPr>
          <w:rFonts w:cs="Arial"/>
        </w:rPr>
        <w:t xml:space="preserve"> stage</w:t>
      </w:r>
      <w:r w:rsidR="000A58B6">
        <w:rPr>
          <w:rFonts w:cs="Arial"/>
        </w:rPr>
        <w:t>,</w:t>
      </w:r>
      <w:r>
        <w:rPr>
          <w:rFonts w:cs="Arial"/>
        </w:rPr>
        <w:t xml:space="preserve"> </w:t>
      </w:r>
      <w:r w:rsidR="00100578">
        <w:rPr>
          <w:rFonts w:cs="Arial"/>
        </w:rPr>
        <w:t>with a discussion paper expected in the first half of 2017</w:t>
      </w:r>
      <w:r w:rsidR="00941B23">
        <w:rPr>
          <w:rFonts w:cs="Arial"/>
        </w:rPr>
        <w:t>.</w:t>
      </w:r>
    </w:p>
    <w:p w14:paraId="78EF6A37" w14:textId="0502EC18" w:rsidR="00896AA5" w:rsidRDefault="00896AA5" w:rsidP="00896AA5">
      <w:pPr>
        <w:rPr>
          <w:rFonts w:cs="Arial"/>
        </w:rPr>
      </w:pPr>
      <w:r>
        <w:rPr>
          <w:rFonts w:cs="Arial"/>
        </w:rPr>
        <w:t xml:space="preserve">Contingent on progress in the 3.6 GHz band, the ACMA </w:t>
      </w:r>
      <w:r w:rsidR="00ED2657">
        <w:rPr>
          <w:rFonts w:cs="Arial"/>
        </w:rPr>
        <w:t xml:space="preserve">also </w:t>
      </w:r>
      <w:r>
        <w:rPr>
          <w:rFonts w:cs="Arial"/>
        </w:rPr>
        <w:t>sees benefit in pursuing a review of the arrangements in the broader 3400</w:t>
      </w:r>
      <w:r w:rsidR="000A58B6">
        <w:rPr>
          <w:rFonts w:cs="Arial"/>
        </w:rPr>
        <w:t>–</w:t>
      </w:r>
      <w:r>
        <w:rPr>
          <w:rFonts w:cs="Arial"/>
        </w:rPr>
        <w:t xml:space="preserve">3700 MHz band to </w:t>
      </w:r>
      <w:r w:rsidR="00583697">
        <w:rPr>
          <w:rFonts w:cs="Arial"/>
        </w:rPr>
        <w:t>optimise its use</w:t>
      </w:r>
      <w:r>
        <w:rPr>
          <w:rFonts w:cs="Arial"/>
        </w:rPr>
        <w:t>.</w:t>
      </w:r>
    </w:p>
    <w:p w14:paraId="35AD5A60" w14:textId="77777777" w:rsidR="00A82222" w:rsidRDefault="00A82222" w:rsidP="000A58B6">
      <w:pPr>
        <w:pStyle w:val="Heading2"/>
      </w:pPr>
      <w:bookmarkStart w:id="248" w:name="_Toc441235826"/>
      <w:bookmarkStart w:id="249" w:name="_Toc442428400"/>
      <w:bookmarkStart w:id="250" w:name="_Toc443910725"/>
      <w:r w:rsidRPr="00F018BA">
        <w:t xml:space="preserve">850 MHz </w:t>
      </w:r>
      <w:r>
        <w:t>expansion band</w:t>
      </w:r>
      <w:bookmarkEnd w:id="248"/>
      <w:bookmarkEnd w:id="249"/>
      <w:bookmarkEnd w:id="250"/>
      <w:r w:rsidRPr="00F018BA">
        <w:t xml:space="preserve"> </w:t>
      </w:r>
    </w:p>
    <w:p w14:paraId="1C2094B1" w14:textId="3133D6A9" w:rsidR="004C1A59" w:rsidRDefault="004C1A59" w:rsidP="004C1A59">
      <w:pPr>
        <w:rPr>
          <w:rFonts w:cs="Arial"/>
          <w:szCs w:val="20"/>
          <w:lang w:val="en"/>
        </w:rPr>
      </w:pPr>
      <w:r w:rsidRPr="00546101">
        <w:rPr>
          <w:rFonts w:cs="Arial"/>
          <w:szCs w:val="20"/>
          <w:lang w:val="en"/>
        </w:rPr>
        <w:t xml:space="preserve">The </w:t>
      </w:r>
      <w:r>
        <w:rPr>
          <w:rFonts w:cs="Arial"/>
          <w:szCs w:val="20"/>
          <w:lang w:val="en"/>
        </w:rPr>
        <w:t>850</w:t>
      </w:r>
      <w:r w:rsidRPr="00546101">
        <w:rPr>
          <w:rFonts w:cs="Arial"/>
          <w:szCs w:val="20"/>
          <w:lang w:val="en"/>
        </w:rPr>
        <w:t xml:space="preserve"> MHz</w:t>
      </w:r>
      <w:r>
        <w:rPr>
          <w:rFonts w:cs="Arial"/>
          <w:szCs w:val="20"/>
          <w:lang w:val="en"/>
        </w:rPr>
        <w:t xml:space="preserve"> expansion</w:t>
      </w:r>
      <w:r w:rsidRPr="00546101">
        <w:rPr>
          <w:rFonts w:cs="Arial"/>
          <w:szCs w:val="20"/>
          <w:lang w:val="en"/>
        </w:rPr>
        <w:t xml:space="preserve"> band </w:t>
      </w:r>
      <w:r>
        <w:rPr>
          <w:rFonts w:cs="Arial"/>
          <w:szCs w:val="20"/>
          <w:lang w:val="en"/>
        </w:rPr>
        <w:t xml:space="preserve">was included at the </w:t>
      </w:r>
      <w:r w:rsidRPr="009B4370">
        <w:rPr>
          <w:rFonts w:cs="Arial"/>
          <w:i/>
          <w:szCs w:val="20"/>
          <w:lang w:val="en"/>
        </w:rPr>
        <w:t>preliminary re</w:t>
      </w:r>
      <w:r w:rsidR="005F1AE8" w:rsidRPr="009B4370">
        <w:rPr>
          <w:rFonts w:cs="Arial"/>
          <w:i/>
          <w:szCs w:val="20"/>
          <w:lang w:val="en"/>
        </w:rPr>
        <w:t>-</w:t>
      </w:r>
      <w:r w:rsidRPr="009B4370">
        <w:rPr>
          <w:rFonts w:cs="Arial"/>
          <w:i/>
          <w:szCs w:val="20"/>
          <w:lang w:val="en"/>
        </w:rPr>
        <w:t>planning</w:t>
      </w:r>
      <w:r>
        <w:rPr>
          <w:rFonts w:cs="Arial"/>
          <w:szCs w:val="20"/>
          <w:lang w:val="en"/>
        </w:rPr>
        <w:t xml:space="preserve"> stage in </w:t>
      </w:r>
      <w:r w:rsidRPr="00F3138B">
        <w:rPr>
          <w:rFonts w:cs="Arial"/>
          <w:i/>
          <w:szCs w:val="20"/>
          <w:lang w:val="en"/>
        </w:rPr>
        <w:t>Beyond 2020</w:t>
      </w:r>
      <w:r>
        <w:rPr>
          <w:rFonts w:cs="Arial"/>
          <w:szCs w:val="20"/>
          <w:lang w:val="en"/>
        </w:rPr>
        <w:t xml:space="preserve">. </w:t>
      </w:r>
    </w:p>
    <w:p w14:paraId="28F512C2" w14:textId="77777777" w:rsidR="004C1A59" w:rsidRDefault="004C1A59" w:rsidP="004C1A59">
      <w:pPr>
        <w:rPr>
          <w:rFonts w:cs="Arial"/>
          <w:szCs w:val="20"/>
          <w:lang w:val="en"/>
        </w:rPr>
      </w:pPr>
      <w:r>
        <w:rPr>
          <w:rFonts w:cs="Arial"/>
          <w:szCs w:val="20"/>
          <w:lang w:val="en"/>
        </w:rPr>
        <w:t>No comments were received in relation to this frequency band in submissions to the discussion paper.</w:t>
      </w:r>
    </w:p>
    <w:p w14:paraId="511A55A7" w14:textId="0D63DB48" w:rsidR="009B7B95" w:rsidRDefault="00101F81" w:rsidP="009566C2">
      <w:pPr>
        <w:pStyle w:val="ListBullet"/>
        <w:numPr>
          <w:ilvl w:val="0"/>
          <w:numId w:val="0"/>
        </w:numPr>
        <w:spacing w:after="240"/>
        <w:rPr>
          <w:highlight w:val="yellow"/>
          <w:lang w:val="en"/>
        </w:rPr>
      </w:pPr>
      <w:r w:rsidRPr="009B7B95">
        <w:rPr>
          <w:rFonts w:cs="Arial"/>
          <w:szCs w:val="20"/>
          <w:lang w:val="en"/>
        </w:rPr>
        <w:t xml:space="preserve">In November 2015, the Australian Communications and Media Authority (the ACMA) completed its review of arrangements in the radiofrequency band 803–960 MHz and will now move into an implementation phase. The decision paper, </w:t>
      </w:r>
      <w:hyperlink r:id="rId31" w:history="1">
        <w:r w:rsidR="000A58B6" w:rsidRPr="000A58B6">
          <w:rPr>
            <w:rStyle w:val="Hyperlink"/>
            <w:rFonts w:cs="Arial"/>
            <w:i/>
          </w:rPr>
          <w:t>The ACMA’s long-term strategy for the 803–960 MHz band</w:t>
        </w:r>
      </w:hyperlink>
      <w:r w:rsidR="000A58B6">
        <w:rPr>
          <w:rFonts w:cs="Arial"/>
        </w:rPr>
        <w:t xml:space="preserve">, </w:t>
      </w:r>
      <w:r w:rsidRPr="009B7B95">
        <w:rPr>
          <w:rFonts w:cs="Arial"/>
          <w:szCs w:val="20"/>
          <w:lang w:val="en"/>
        </w:rPr>
        <w:t>contains a range of decisions on reforms to the 803–960 MHz band, as well as a detailed plan for the implementation of these reforms.</w:t>
      </w:r>
      <w:r w:rsidR="00AF47C3" w:rsidRPr="009B7B95">
        <w:rPr>
          <w:rFonts w:cs="Arial"/>
          <w:szCs w:val="20"/>
          <w:lang w:val="en"/>
        </w:rPr>
        <w:t xml:space="preserve"> </w:t>
      </w:r>
    </w:p>
    <w:p w14:paraId="49B417C8" w14:textId="1665F885" w:rsidR="009B7B95" w:rsidRDefault="009B7B95" w:rsidP="009B7B95">
      <w:pPr>
        <w:rPr>
          <w:rFonts w:cs="Arial"/>
          <w:szCs w:val="20"/>
        </w:rPr>
      </w:pPr>
      <w:r>
        <w:t>The reforms in the decision paper support changes that allow for the re-farming of the 850 MHz expansion bands.</w:t>
      </w:r>
      <w:r w:rsidRPr="002B0E12" w:rsidDel="00B970E3">
        <w:t xml:space="preserve"> </w:t>
      </w:r>
      <w:r>
        <w:t>This relocation of incumbent services, necessary for re-farming to occur, is due to be completed by 2024. The</w:t>
      </w:r>
      <w:r w:rsidRPr="002B0E12">
        <w:t xml:space="preserve"> ACMA will also investigate </w:t>
      </w:r>
      <w:r>
        <w:t xml:space="preserve">technical planning and </w:t>
      </w:r>
      <w:r w:rsidRPr="002B0E12">
        <w:t>allocation of the 850 MHz expansion band</w:t>
      </w:r>
      <w:r>
        <w:t xml:space="preserve"> to mobile broadband</w:t>
      </w:r>
      <w:r w:rsidR="00ED2657">
        <w:t xml:space="preserve"> in the period leading up to 202</w:t>
      </w:r>
      <w:r>
        <w:t>4.</w:t>
      </w:r>
      <w:r>
        <w:rPr>
          <w:rFonts w:cs="Arial"/>
          <w:szCs w:val="20"/>
        </w:rPr>
        <w:t xml:space="preserve"> </w:t>
      </w:r>
    </w:p>
    <w:p w14:paraId="699D9161" w14:textId="5F31EF83" w:rsidR="00101F81" w:rsidRPr="00101F81" w:rsidRDefault="00AF47C3" w:rsidP="00DB5B39">
      <w:pPr>
        <w:pStyle w:val="ListBullet"/>
        <w:numPr>
          <w:ilvl w:val="0"/>
          <w:numId w:val="0"/>
        </w:numPr>
        <w:spacing w:after="240"/>
        <w:rPr>
          <w:rFonts w:cs="Arial"/>
          <w:szCs w:val="20"/>
          <w:lang w:val="en"/>
        </w:rPr>
      </w:pPr>
      <w:r w:rsidRPr="009B7B95">
        <w:rPr>
          <w:rFonts w:cs="Arial"/>
          <w:szCs w:val="20"/>
          <w:lang w:val="en"/>
        </w:rPr>
        <w:t xml:space="preserve">To that end, the 850 MHz expansion band has progressed into </w:t>
      </w:r>
      <w:r w:rsidR="00774362">
        <w:rPr>
          <w:rFonts w:cs="Arial"/>
          <w:szCs w:val="20"/>
          <w:lang w:val="en"/>
        </w:rPr>
        <w:t xml:space="preserve">the </w:t>
      </w:r>
      <w:r w:rsidR="00774362">
        <w:rPr>
          <w:rFonts w:cs="Arial"/>
          <w:i/>
          <w:szCs w:val="20"/>
          <w:lang w:val="en"/>
        </w:rPr>
        <w:t>r</w:t>
      </w:r>
      <w:r w:rsidRPr="009B7B95">
        <w:rPr>
          <w:rFonts w:cs="Arial"/>
          <w:i/>
          <w:szCs w:val="20"/>
          <w:lang w:val="en"/>
        </w:rPr>
        <w:t>e</w:t>
      </w:r>
      <w:r w:rsidR="00047A99">
        <w:rPr>
          <w:rFonts w:cs="Arial"/>
          <w:i/>
          <w:szCs w:val="20"/>
          <w:lang w:val="en"/>
        </w:rPr>
        <w:t>-</w:t>
      </w:r>
      <w:r w:rsidRPr="009B7B95">
        <w:rPr>
          <w:rFonts w:cs="Arial"/>
          <w:i/>
          <w:szCs w:val="20"/>
          <w:lang w:val="en"/>
        </w:rPr>
        <w:t>farming</w:t>
      </w:r>
      <w:r w:rsidRPr="009B7B95">
        <w:rPr>
          <w:rFonts w:cs="Arial"/>
          <w:szCs w:val="20"/>
          <w:lang w:val="en"/>
        </w:rPr>
        <w:t xml:space="preserve"> </w:t>
      </w:r>
      <w:r w:rsidR="00774362">
        <w:rPr>
          <w:rFonts w:cs="Arial"/>
          <w:szCs w:val="20"/>
          <w:lang w:val="en"/>
        </w:rPr>
        <w:t>stage.</w:t>
      </w:r>
    </w:p>
    <w:p w14:paraId="68D617D4" w14:textId="25894CAD" w:rsidR="009B7B95" w:rsidRDefault="009B7B95" w:rsidP="00DB5B39">
      <w:pPr>
        <w:rPr>
          <w:rFonts w:cs="Arial"/>
          <w:szCs w:val="20"/>
        </w:rPr>
      </w:pPr>
      <w:bookmarkStart w:id="251" w:name="_Toc441235827"/>
      <w:r>
        <w:rPr>
          <w:rFonts w:cs="Arial"/>
          <w:szCs w:val="20"/>
        </w:rPr>
        <w:t>In parallel to this work, the ACMA will also consult with incumbent 850 MHz spectrum licensees to investigate the introduction of</w:t>
      </w:r>
      <w:r w:rsidRPr="00A47BEA">
        <w:rPr>
          <w:rFonts w:cs="Arial"/>
          <w:szCs w:val="20"/>
        </w:rPr>
        <w:t xml:space="preserve"> a</w:t>
      </w:r>
      <w:r>
        <w:rPr>
          <w:rFonts w:cs="Arial"/>
          <w:szCs w:val="20"/>
        </w:rPr>
        <w:t xml:space="preserve"> 1 MHz</w:t>
      </w:r>
      <w:r w:rsidRPr="00A47BEA">
        <w:rPr>
          <w:rFonts w:cs="Arial"/>
          <w:szCs w:val="20"/>
        </w:rPr>
        <w:t xml:space="preserve"> guard band between the 850 MHz and </w:t>
      </w:r>
      <w:r>
        <w:rPr>
          <w:rFonts w:cs="Arial"/>
          <w:szCs w:val="20"/>
        </w:rPr>
        <w:t xml:space="preserve">900 MHz </w:t>
      </w:r>
      <w:r w:rsidRPr="00A47BEA">
        <w:rPr>
          <w:rFonts w:cs="Arial"/>
          <w:szCs w:val="20"/>
        </w:rPr>
        <w:t>bands at 889</w:t>
      </w:r>
      <w:r>
        <w:rPr>
          <w:rFonts w:cs="Arial"/>
          <w:szCs w:val="20"/>
        </w:rPr>
        <w:t>–</w:t>
      </w:r>
      <w:r w:rsidRPr="00A47BEA">
        <w:rPr>
          <w:rFonts w:cs="Arial"/>
          <w:szCs w:val="20"/>
        </w:rPr>
        <w:t>890 MHz, which will help alleviate the coexistence issues</w:t>
      </w:r>
      <w:r>
        <w:rPr>
          <w:rFonts w:cs="Arial"/>
          <w:szCs w:val="20"/>
        </w:rPr>
        <w:t>.</w:t>
      </w:r>
    </w:p>
    <w:p w14:paraId="2D0D23BC" w14:textId="5670F66E" w:rsidR="00A82222" w:rsidRDefault="00A82222" w:rsidP="000A58B6">
      <w:pPr>
        <w:pStyle w:val="Heading2"/>
      </w:pPr>
      <w:bookmarkStart w:id="252" w:name="_Toc442428401"/>
      <w:bookmarkStart w:id="253" w:name="_Toc443910726"/>
      <w:r w:rsidRPr="00F018BA">
        <w:t>900 MHz</w:t>
      </w:r>
      <w:bookmarkEnd w:id="251"/>
      <w:bookmarkEnd w:id="252"/>
      <w:bookmarkEnd w:id="253"/>
    </w:p>
    <w:p w14:paraId="708DDF1E" w14:textId="1325D3F0" w:rsidR="005F1AE8" w:rsidRDefault="005F1AE8" w:rsidP="005F1AE8">
      <w:pPr>
        <w:rPr>
          <w:rFonts w:cs="Arial"/>
          <w:szCs w:val="20"/>
          <w:lang w:val="en"/>
        </w:rPr>
      </w:pPr>
      <w:r w:rsidRPr="00546101">
        <w:rPr>
          <w:rFonts w:cs="Arial"/>
          <w:szCs w:val="20"/>
          <w:lang w:val="en"/>
        </w:rPr>
        <w:t xml:space="preserve">The </w:t>
      </w:r>
      <w:r>
        <w:rPr>
          <w:rFonts w:cs="Arial"/>
          <w:szCs w:val="20"/>
          <w:lang w:val="en"/>
        </w:rPr>
        <w:t>900 MHz</w:t>
      </w:r>
      <w:r w:rsidRPr="00546101">
        <w:rPr>
          <w:rFonts w:cs="Arial"/>
          <w:szCs w:val="20"/>
          <w:lang w:val="en"/>
        </w:rPr>
        <w:t xml:space="preserve"> band </w:t>
      </w:r>
      <w:r>
        <w:rPr>
          <w:rFonts w:cs="Arial"/>
          <w:szCs w:val="20"/>
          <w:lang w:val="en"/>
        </w:rPr>
        <w:t xml:space="preserve">was included at the </w:t>
      </w:r>
      <w:r w:rsidRPr="009B4370">
        <w:rPr>
          <w:rFonts w:cs="Arial"/>
          <w:i/>
          <w:szCs w:val="20"/>
          <w:lang w:val="en"/>
        </w:rPr>
        <w:t>preliminary re-planning</w:t>
      </w:r>
      <w:r>
        <w:rPr>
          <w:rFonts w:cs="Arial"/>
          <w:szCs w:val="20"/>
          <w:lang w:val="en"/>
        </w:rPr>
        <w:t xml:space="preserve"> stage in </w:t>
      </w:r>
      <w:r w:rsidRPr="00F3138B">
        <w:rPr>
          <w:rFonts w:cs="Arial"/>
          <w:i/>
          <w:szCs w:val="20"/>
          <w:lang w:val="en"/>
        </w:rPr>
        <w:t>Beyond 2020</w:t>
      </w:r>
      <w:r>
        <w:rPr>
          <w:rFonts w:cs="Arial"/>
          <w:szCs w:val="20"/>
          <w:lang w:val="en"/>
        </w:rPr>
        <w:t xml:space="preserve">. </w:t>
      </w:r>
    </w:p>
    <w:p w14:paraId="74DBF25A" w14:textId="46310BF8" w:rsidR="00A82222" w:rsidRPr="00264184" w:rsidRDefault="005F1AE8" w:rsidP="005F1AE8">
      <w:pPr>
        <w:rPr>
          <w:rFonts w:cs="Arial"/>
          <w:szCs w:val="20"/>
          <w:lang w:val="en"/>
        </w:rPr>
      </w:pPr>
      <w:r>
        <w:rPr>
          <w:rFonts w:cs="Arial"/>
          <w:szCs w:val="20"/>
          <w:lang w:val="en"/>
        </w:rPr>
        <w:t>AMTA and Optus submitted that t</w:t>
      </w:r>
      <w:r w:rsidR="00A82222" w:rsidRPr="00264184">
        <w:rPr>
          <w:rFonts w:cs="Arial"/>
          <w:szCs w:val="20"/>
          <w:lang w:val="en"/>
        </w:rPr>
        <w:t xml:space="preserve">he technology assumptions underpinning the preliminary replanning in the 900 MHz were made around </w:t>
      </w:r>
      <w:r w:rsidR="000A58B6">
        <w:rPr>
          <w:rFonts w:cs="Arial"/>
          <w:szCs w:val="20"/>
          <w:lang w:val="en"/>
        </w:rPr>
        <w:t>five</w:t>
      </w:r>
      <w:r w:rsidR="000A58B6" w:rsidRPr="00264184">
        <w:rPr>
          <w:rFonts w:cs="Arial"/>
          <w:szCs w:val="20"/>
          <w:lang w:val="en"/>
        </w:rPr>
        <w:t xml:space="preserve"> </w:t>
      </w:r>
      <w:r w:rsidR="00A82222" w:rsidRPr="00264184">
        <w:rPr>
          <w:rFonts w:cs="Arial"/>
          <w:szCs w:val="20"/>
          <w:lang w:val="en"/>
        </w:rPr>
        <w:t>years ago</w:t>
      </w:r>
      <w:r w:rsidR="000A58B6">
        <w:rPr>
          <w:rFonts w:cs="Arial"/>
          <w:szCs w:val="20"/>
          <w:lang w:val="en"/>
        </w:rPr>
        <w:t>,</w:t>
      </w:r>
      <w:r>
        <w:rPr>
          <w:rFonts w:cs="Arial"/>
          <w:szCs w:val="20"/>
          <w:lang w:val="en"/>
        </w:rPr>
        <w:t xml:space="preserve"> and t</w:t>
      </w:r>
      <w:r w:rsidR="00A82222" w:rsidRPr="00264184">
        <w:rPr>
          <w:rFonts w:cs="Arial"/>
          <w:szCs w:val="20"/>
          <w:lang w:val="en"/>
        </w:rPr>
        <w:t>here has been significant technology progress in the mobile industry since that time</w:t>
      </w:r>
      <w:r>
        <w:rPr>
          <w:rFonts w:cs="Arial"/>
          <w:szCs w:val="20"/>
          <w:lang w:val="en"/>
        </w:rPr>
        <w:t xml:space="preserve">. </w:t>
      </w:r>
      <w:r w:rsidR="00A82222" w:rsidRPr="00264184">
        <w:rPr>
          <w:rFonts w:cs="Arial"/>
          <w:szCs w:val="20"/>
          <w:lang w:val="en"/>
        </w:rPr>
        <w:t>The</w:t>
      </w:r>
      <w:r>
        <w:rPr>
          <w:rFonts w:cs="Arial"/>
          <w:szCs w:val="20"/>
          <w:lang w:val="en"/>
        </w:rPr>
        <w:t>y noted that the</w:t>
      </w:r>
      <w:r w:rsidR="00A82222" w:rsidRPr="00264184">
        <w:rPr>
          <w:rFonts w:cs="Arial"/>
          <w:szCs w:val="20"/>
          <w:lang w:val="en"/>
        </w:rPr>
        <w:t>re is also a need to consider the opportunity to make the future utilisation of the 900 MHz band more efficient</w:t>
      </w:r>
      <w:r w:rsidR="000A58B6">
        <w:rPr>
          <w:rFonts w:cs="Arial"/>
          <w:szCs w:val="20"/>
          <w:lang w:val="en"/>
        </w:rPr>
        <w:t>,</w:t>
      </w:r>
      <w:r w:rsidR="00A82222" w:rsidRPr="00264184">
        <w:rPr>
          <w:rFonts w:cs="Arial"/>
          <w:szCs w:val="20"/>
          <w:lang w:val="en"/>
        </w:rPr>
        <w:t xml:space="preserve"> by down shifting the 850 MHz band to create a </w:t>
      </w:r>
      <w:r w:rsidR="000A58B6" w:rsidRPr="00264184">
        <w:rPr>
          <w:rFonts w:cs="Arial"/>
          <w:szCs w:val="20"/>
          <w:lang w:val="en"/>
        </w:rPr>
        <w:t>1</w:t>
      </w:r>
      <w:r w:rsidR="000A58B6">
        <w:rPr>
          <w:rFonts w:cs="Arial"/>
          <w:szCs w:val="20"/>
          <w:lang w:val="en"/>
        </w:rPr>
        <w:t> </w:t>
      </w:r>
      <w:r w:rsidR="00A82222" w:rsidRPr="00264184">
        <w:rPr>
          <w:rFonts w:cs="Arial"/>
          <w:szCs w:val="20"/>
          <w:lang w:val="en"/>
        </w:rPr>
        <w:t xml:space="preserve">MHz guard band between the two bands. For these reasons, AMTA </w:t>
      </w:r>
      <w:r>
        <w:rPr>
          <w:rFonts w:cs="Arial"/>
          <w:szCs w:val="20"/>
          <w:lang w:val="en"/>
        </w:rPr>
        <w:t xml:space="preserve">and Optus </w:t>
      </w:r>
      <w:r w:rsidR="00A82222" w:rsidRPr="00264184">
        <w:rPr>
          <w:rFonts w:cs="Arial"/>
          <w:szCs w:val="20"/>
          <w:lang w:val="en"/>
        </w:rPr>
        <w:t>consider</w:t>
      </w:r>
      <w:r>
        <w:rPr>
          <w:rFonts w:cs="Arial"/>
          <w:szCs w:val="20"/>
          <w:lang w:val="en"/>
        </w:rPr>
        <w:t>ed</w:t>
      </w:r>
      <w:r w:rsidR="00A82222" w:rsidRPr="00264184">
        <w:rPr>
          <w:rFonts w:cs="Arial"/>
          <w:szCs w:val="20"/>
          <w:lang w:val="en"/>
        </w:rPr>
        <w:t xml:space="preserve"> that the 900 MHz work is best categorised as being at the </w:t>
      </w:r>
      <w:r w:rsidR="00A82222" w:rsidRPr="009B4370">
        <w:rPr>
          <w:rFonts w:cs="Arial"/>
          <w:i/>
          <w:szCs w:val="20"/>
          <w:lang w:val="en"/>
        </w:rPr>
        <w:t>preliminary re-planning</w:t>
      </w:r>
      <w:r w:rsidR="00A82222" w:rsidRPr="00264184">
        <w:rPr>
          <w:rFonts w:cs="Arial"/>
          <w:szCs w:val="20"/>
          <w:lang w:val="en"/>
        </w:rPr>
        <w:t xml:space="preserve"> stage. However, AMTA still considers this work to be high priority and does not wish the change in categorisation to detract from this.</w:t>
      </w:r>
    </w:p>
    <w:p w14:paraId="5005595C" w14:textId="18FEB3C5" w:rsidR="00DB5B39" w:rsidRPr="00DD75F3" w:rsidRDefault="000A58B6" w:rsidP="000A58B6">
      <w:pPr>
        <w:pStyle w:val="Heading3"/>
      </w:pPr>
      <w:bookmarkStart w:id="254" w:name="_Toc443910727"/>
      <w:r>
        <w:t xml:space="preserve">The </w:t>
      </w:r>
      <w:r w:rsidR="0011311C">
        <w:t>ACMA</w:t>
      </w:r>
      <w:r>
        <w:t>’s</w:t>
      </w:r>
      <w:r w:rsidR="0011311C">
        <w:t xml:space="preserve"> r</w:t>
      </w:r>
      <w:r w:rsidR="00DB5B39" w:rsidRPr="00DD75F3">
        <w:t xml:space="preserve">esponse to submissions regarding </w:t>
      </w:r>
      <w:r w:rsidR="00DB5B39">
        <w:t>900 MHz band</w:t>
      </w:r>
      <w:bookmarkEnd w:id="254"/>
    </w:p>
    <w:p w14:paraId="64743336" w14:textId="10D213A9" w:rsidR="00AF47C3" w:rsidRPr="00DB5B39" w:rsidRDefault="00AF47C3" w:rsidP="000A58B6">
      <w:pPr>
        <w:rPr>
          <w:lang w:val="en"/>
        </w:rPr>
      </w:pPr>
      <w:r w:rsidRPr="00DB5B39">
        <w:rPr>
          <w:lang w:val="en"/>
        </w:rPr>
        <w:t>In November 2015, the ACMA completed its review of arrangements in the radiofrequency band 803–960 MHz</w:t>
      </w:r>
      <w:r w:rsidR="000A58B6">
        <w:rPr>
          <w:lang w:val="en"/>
        </w:rPr>
        <w:t>,</w:t>
      </w:r>
      <w:r w:rsidRPr="00DB5B39">
        <w:rPr>
          <w:lang w:val="en"/>
        </w:rPr>
        <w:t xml:space="preserve"> and will now move into an implementation phase. The decision paper, </w:t>
      </w:r>
      <w:hyperlink r:id="rId32" w:history="1">
        <w:r w:rsidRPr="000A58B6">
          <w:rPr>
            <w:rStyle w:val="Hyperlink"/>
            <w:rFonts w:cs="Arial"/>
            <w:i/>
          </w:rPr>
          <w:t>The ACMA’s long-term strategy for the 803–960 MHz band</w:t>
        </w:r>
      </w:hyperlink>
      <w:r w:rsidR="000A58B6">
        <w:rPr>
          <w:lang w:val="en"/>
        </w:rPr>
        <w:t xml:space="preserve">, </w:t>
      </w:r>
      <w:r w:rsidRPr="00DB5B39">
        <w:rPr>
          <w:lang w:val="en"/>
        </w:rPr>
        <w:t xml:space="preserve">contains a range of decisions on reforms to the 803–960 MHz band, as well as a detailed plan for the implementation of these reforms. </w:t>
      </w:r>
      <w:r w:rsidR="00DB5B39">
        <w:t>The decision paper</w:t>
      </w:r>
      <w:r w:rsidR="000A58B6">
        <w:t>,</w:t>
      </w:r>
      <w:r w:rsidR="00DB5B39">
        <w:t xml:space="preserve"> however</w:t>
      </w:r>
      <w:r w:rsidR="000A58B6">
        <w:t>,</w:t>
      </w:r>
      <w:r w:rsidR="00DB5B39">
        <w:t xml:space="preserve"> did not conclude on changes to the 900 MHz band, which the ACMA is continuing to progress independently of the broader review outcomes.</w:t>
      </w:r>
    </w:p>
    <w:p w14:paraId="5A6FEA11" w14:textId="59AC8375" w:rsidR="00DB5B39" w:rsidRPr="00070CE3" w:rsidRDefault="00DB5B39" w:rsidP="00070CE3">
      <w:pPr>
        <w:pStyle w:val="ListBullet"/>
        <w:numPr>
          <w:ilvl w:val="0"/>
          <w:numId w:val="0"/>
        </w:numPr>
        <w:spacing w:after="240"/>
        <w:rPr>
          <w:rFonts w:cs="Arial"/>
          <w:szCs w:val="20"/>
          <w:lang w:val="en"/>
        </w:rPr>
      </w:pPr>
      <w:r>
        <w:t>T</w:t>
      </w:r>
      <w:r w:rsidRPr="002B0E12">
        <w:t xml:space="preserve">he ACMA will </w:t>
      </w:r>
      <w:r>
        <w:t xml:space="preserve">continue to </w:t>
      </w:r>
      <w:r w:rsidRPr="002B0E12">
        <w:t>investigate</w:t>
      </w:r>
      <w:r>
        <w:t xml:space="preserve"> </w:t>
      </w:r>
      <w:r w:rsidRPr="00637573">
        <w:t xml:space="preserve">the </w:t>
      </w:r>
      <w:r>
        <w:t>most appropriate methods to reconfigure</w:t>
      </w:r>
      <w:r w:rsidRPr="00637573">
        <w:t xml:space="preserve"> the 900 MHz</w:t>
      </w:r>
      <w:r>
        <w:t xml:space="preserve"> band to optimise its use. This will involve the ACMA talking directly to incumbent licensees in the first </w:t>
      </w:r>
      <w:r w:rsidR="00E807B8">
        <w:t>half</w:t>
      </w:r>
      <w:r>
        <w:t xml:space="preserve"> of 2016 to assist in determining the best way forward. </w:t>
      </w:r>
      <w:r w:rsidR="00070CE3" w:rsidRPr="009B7B95">
        <w:rPr>
          <w:rFonts w:cs="Arial"/>
          <w:szCs w:val="20"/>
          <w:lang w:val="en"/>
        </w:rPr>
        <w:t xml:space="preserve">To that end, the 850 MHz expansion band has progressed into </w:t>
      </w:r>
      <w:r w:rsidR="00774362">
        <w:rPr>
          <w:rFonts w:cs="Arial"/>
          <w:szCs w:val="20"/>
          <w:lang w:val="en"/>
        </w:rPr>
        <w:t xml:space="preserve">the </w:t>
      </w:r>
      <w:r w:rsidR="00774362">
        <w:rPr>
          <w:rFonts w:cs="Arial"/>
          <w:i/>
          <w:szCs w:val="20"/>
          <w:lang w:val="en"/>
        </w:rPr>
        <w:t>r</w:t>
      </w:r>
      <w:r w:rsidR="00774362" w:rsidRPr="009B7B95">
        <w:rPr>
          <w:rFonts w:cs="Arial"/>
          <w:i/>
          <w:szCs w:val="20"/>
          <w:lang w:val="en"/>
        </w:rPr>
        <w:t>e</w:t>
      </w:r>
      <w:r w:rsidR="00774362">
        <w:rPr>
          <w:rFonts w:cs="Arial"/>
          <w:i/>
          <w:szCs w:val="20"/>
          <w:lang w:val="en"/>
        </w:rPr>
        <w:t>-</w:t>
      </w:r>
      <w:r w:rsidR="00774362" w:rsidRPr="009B7B95">
        <w:rPr>
          <w:rFonts w:cs="Arial"/>
          <w:i/>
          <w:szCs w:val="20"/>
          <w:lang w:val="en"/>
        </w:rPr>
        <w:t>farming</w:t>
      </w:r>
      <w:r w:rsidR="00774362" w:rsidRPr="009B7B95">
        <w:rPr>
          <w:rFonts w:cs="Arial"/>
          <w:szCs w:val="20"/>
          <w:lang w:val="en"/>
        </w:rPr>
        <w:t xml:space="preserve"> </w:t>
      </w:r>
      <w:r w:rsidR="00774362">
        <w:rPr>
          <w:rFonts w:cs="Arial"/>
          <w:szCs w:val="20"/>
          <w:lang w:val="en"/>
        </w:rPr>
        <w:t>stage</w:t>
      </w:r>
      <w:r w:rsidR="00070CE3" w:rsidRPr="009B7B95">
        <w:rPr>
          <w:rFonts w:cs="Arial"/>
          <w:szCs w:val="20"/>
          <w:lang w:val="en"/>
        </w:rPr>
        <w:t xml:space="preserve">. </w:t>
      </w:r>
      <w:r w:rsidR="00AF47C3" w:rsidRPr="00DB5B39">
        <w:rPr>
          <w:rFonts w:cs="Arial"/>
          <w:szCs w:val="20"/>
          <w:lang w:val="en"/>
        </w:rPr>
        <w:t xml:space="preserve"> </w:t>
      </w:r>
      <w:bookmarkStart w:id="255" w:name="_Toc441235828"/>
    </w:p>
    <w:p w14:paraId="5F8902EA" w14:textId="02823989" w:rsidR="00A82222" w:rsidRDefault="00A82222" w:rsidP="000A58B6">
      <w:pPr>
        <w:pStyle w:val="Heading2"/>
      </w:pPr>
      <w:bookmarkStart w:id="256" w:name="_Toc442428402"/>
      <w:bookmarkStart w:id="257" w:name="_Toc443910728"/>
      <w:r w:rsidRPr="00F018BA">
        <w:t xml:space="preserve">3.5 GHz </w:t>
      </w:r>
      <w:r>
        <w:t>PTS release</w:t>
      </w:r>
      <w:bookmarkEnd w:id="255"/>
      <w:bookmarkEnd w:id="256"/>
      <w:bookmarkEnd w:id="257"/>
    </w:p>
    <w:p w14:paraId="4E6F8504" w14:textId="23A3DF00" w:rsidR="00AF47C3" w:rsidRDefault="00AF47C3" w:rsidP="00AF47C3">
      <w:pPr>
        <w:rPr>
          <w:rFonts w:cs="Arial"/>
          <w:szCs w:val="20"/>
          <w:lang w:val="en"/>
        </w:rPr>
      </w:pPr>
      <w:r w:rsidRPr="00546101">
        <w:rPr>
          <w:rFonts w:cs="Arial"/>
          <w:szCs w:val="20"/>
          <w:lang w:val="en"/>
        </w:rPr>
        <w:t xml:space="preserve">The </w:t>
      </w:r>
      <w:r>
        <w:rPr>
          <w:rFonts w:cs="Arial"/>
          <w:szCs w:val="20"/>
          <w:lang w:val="en"/>
        </w:rPr>
        <w:t>3.5 GHz PTS release</w:t>
      </w:r>
      <w:r w:rsidRPr="00546101">
        <w:rPr>
          <w:rFonts w:cs="Arial"/>
          <w:szCs w:val="20"/>
          <w:lang w:val="en"/>
        </w:rPr>
        <w:t xml:space="preserve"> </w:t>
      </w:r>
      <w:r>
        <w:rPr>
          <w:rFonts w:cs="Arial"/>
          <w:szCs w:val="20"/>
          <w:lang w:val="en"/>
        </w:rPr>
        <w:t xml:space="preserve">was included at the </w:t>
      </w:r>
      <w:r w:rsidRPr="009B4370">
        <w:rPr>
          <w:rFonts w:cs="Arial"/>
          <w:i/>
          <w:szCs w:val="20"/>
          <w:lang w:val="en"/>
        </w:rPr>
        <w:t>re-farming</w:t>
      </w:r>
      <w:r>
        <w:rPr>
          <w:rFonts w:cs="Arial"/>
          <w:szCs w:val="20"/>
          <w:lang w:val="en"/>
        </w:rPr>
        <w:t xml:space="preserve"> stage in </w:t>
      </w:r>
      <w:r w:rsidRPr="00F3138B">
        <w:rPr>
          <w:rFonts w:cs="Arial"/>
          <w:i/>
          <w:szCs w:val="20"/>
          <w:lang w:val="en"/>
        </w:rPr>
        <w:t>Beyond 2020</w:t>
      </w:r>
      <w:r>
        <w:rPr>
          <w:rFonts w:cs="Arial"/>
          <w:szCs w:val="20"/>
          <w:lang w:val="en"/>
        </w:rPr>
        <w:t xml:space="preserve">. </w:t>
      </w:r>
    </w:p>
    <w:p w14:paraId="274ED8AD" w14:textId="1D9D6588" w:rsidR="00AF47C3" w:rsidRDefault="00AF47C3" w:rsidP="00AF47C3">
      <w:pPr>
        <w:rPr>
          <w:szCs w:val="20"/>
        </w:rPr>
      </w:pPr>
      <w:r>
        <w:rPr>
          <w:szCs w:val="20"/>
        </w:rPr>
        <w:t xml:space="preserve">Communications Alliance </w:t>
      </w:r>
      <w:r w:rsidRPr="00047A99">
        <w:rPr>
          <w:szCs w:val="20"/>
        </w:rPr>
        <w:t xml:space="preserve">highlighted the Direction from the Minister to require the ACMA to enable apparatus licences for </w:t>
      </w:r>
      <w:r w:rsidR="008869EA" w:rsidRPr="00047A99">
        <w:rPr>
          <w:szCs w:val="20"/>
        </w:rPr>
        <w:t>nbn</w:t>
      </w:r>
      <w:r w:rsidRPr="00047A99">
        <w:rPr>
          <w:szCs w:val="20"/>
        </w:rPr>
        <w:t>’s fixed wireless spectrum in the 3.5 GHz band</w:t>
      </w:r>
      <w:r w:rsidR="00127458" w:rsidRPr="00047A99">
        <w:rPr>
          <w:szCs w:val="20"/>
        </w:rPr>
        <w:t>,</w:t>
      </w:r>
      <w:r w:rsidRPr="00047A99">
        <w:rPr>
          <w:szCs w:val="20"/>
        </w:rPr>
        <w:t xml:space="preserve"> as they believed </w:t>
      </w:r>
      <w:r w:rsidR="00127458" w:rsidRPr="00047A99">
        <w:rPr>
          <w:szCs w:val="20"/>
        </w:rPr>
        <w:t xml:space="preserve">it resulted in </w:t>
      </w:r>
      <w:r w:rsidRPr="00047A99">
        <w:rPr>
          <w:szCs w:val="20"/>
        </w:rPr>
        <w:t xml:space="preserve">an inadequate process to identify the highest value use in Australia. They noted extended C-Band (3.4 to 3.6 GHz) had been identified by the ACMA as a candidate IMT band under WRC-15 </w:t>
      </w:r>
      <w:r w:rsidR="0038619A">
        <w:rPr>
          <w:szCs w:val="20"/>
        </w:rPr>
        <w:t>a</w:t>
      </w:r>
      <w:r w:rsidRPr="00047A99">
        <w:rPr>
          <w:szCs w:val="20"/>
        </w:rPr>
        <w:t xml:space="preserve">genda </w:t>
      </w:r>
      <w:r w:rsidR="0038619A">
        <w:rPr>
          <w:szCs w:val="20"/>
        </w:rPr>
        <w:t>i</w:t>
      </w:r>
      <w:r w:rsidRPr="00047A99">
        <w:rPr>
          <w:szCs w:val="20"/>
        </w:rPr>
        <w:t>tem 1.1</w:t>
      </w:r>
      <w:r w:rsidR="00127458" w:rsidRPr="00047A99">
        <w:rPr>
          <w:szCs w:val="20"/>
        </w:rPr>
        <w:t>,</w:t>
      </w:r>
      <w:r w:rsidRPr="00047A99">
        <w:rPr>
          <w:szCs w:val="20"/>
        </w:rPr>
        <w:t xml:space="preserve"> and in this case, the </w:t>
      </w:r>
      <w:r w:rsidR="00127458" w:rsidRPr="00047A99">
        <w:rPr>
          <w:szCs w:val="20"/>
        </w:rPr>
        <w:t>g</w:t>
      </w:r>
      <w:r w:rsidRPr="00047A99">
        <w:rPr>
          <w:szCs w:val="20"/>
        </w:rPr>
        <w:t>overnment’s communications policy objective for very fast broadband to all Australians was actioned through the Ministerial Direction.</w:t>
      </w:r>
    </w:p>
    <w:p w14:paraId="4EA99292" w14:textId="4DEB411D" w:rsidR="00DB5B39" w:rsidRPr="00DD75F3" w:rsidRDefault="00210CDD" w:rsidP="00127458">
      <w:pPr>
        <w:pStyle w:val="Heading3"/>
      </w:pPr>
      <w:bookmarkStart w:id="258" w:name="_Toc443910729"/>
      <w:r>
        <w:t>The ACMA’s r</w:t>
      </w:r>
      <w:r w:rsidR="00DB5B39" w:rsidRPr="00DD75F3">
        <w:t xml:space="preserve">esponse to submissions regarding </w:t>
      </w:r>
      <w:r w:rsidR="00DB5B39">
        <w:t>3.5 GHz band</w:t>
      </w:r>
      <w:bookmarkEnd w:id="258"/>
    </w:p>
    <w:p w14:paraId="385561CF" w14:textId="0D86700C" w:rsidR="00264184" w:rsidRDefault="00264184" w:rsidP="00AF47C3">
      <w:pPr>
        <w:rPr>
          <w:szCs w:val="20"/>
        </w:rPr>
      </w:pPr>
      <w:r w:rsidRPr="00DB5B39">
        <w:rPr>
          <w:szCs w:val="20"/>
        </w:rPr>
        <w:t xml:space="preserve">This release is now complete and the band has been removed from </w:t>
      </w:r>
      <w:r w:rsidRPr="00047A99">
        <w:rPr>
          <w:szCs w:val="20"/>
        </w:rPr>
        <w:t xml:space="preserve">the </w:t>
      </w:r>
      <w:r w:rsidR="00047A99" w:rsidRPr="00047A99">
        <w:rPr>
          <w:szCs w:val="20"/>
        </w:rPr>
        <w:t xml:space="preserve">work </w:t>
      </w:r>
      <w:r w:rsidR="00210CDD">
        <w:rPr>
          <w:szCs w:val="20"/>
        </w:rPr>
        <w:t>program</w:t>
      </w:r>
      <w:r w:rsidR="00DB5B39" w:rsidRPr="00047A99">
        <w:rPr>
          <w:szCs w:val="20"/>
        </w:rPr>
        <w:t>.</w:t>
      </w:r>
    </w:p>
    <w:p w14:paraId="2641C5BE" w14:textId="77777777" w:rsidR="00A82222" w:rsidRDefault="00A82222" w:rsidP="00034622">
      <w:pPr>
        <w:pStyle w:val="Heading2"/>
        <w:keepLines/>
      </w:pPr>
      <w:bookmarkStart w:id="259" w:name="_Toc441235829"/>
      <w:bookmarkStart w:id="260" w:name="_Toc442428403"/>
      <w:bookmarkStart w:id="261" w:name="_Toc443910730"/>
      <w:r w:rsidRPr="00F018BA">
        <w:t>700 MHz unsold lots</w:t>
      </w:r>
      <w:bookmarkEnd w:id="259"/>
      <w:bookmarkEnd w:id="260"/>
      <w:bookmarkEnd w:id="261"/>
    </w:p>
    <w:p w14:paraId="74EB333B" w14:textId="0518F277" w:rsidR="00AF47C3" w:rsidRDefault="00AF47C3" w:rsidP="00034622">
      <w:pPr>
        <w:keepNext/>
        <w:keepLines/>
        <w:rPr>
          <w:rFonts w:cs="Arial"/>
          <w:szCs w:val="20"/>
          <w:lang w:val="en"/>
        </w:rPr>
      </w:pPr>
      <w:r w:rsidRPr="00546101">
        <w:rPr>
          <w:rFonts w:cs="Arial"/>
          <w:szCs w:val="20"/>
          <w:lang w:val="en"/>
        </w:rPr>
        <w:t xml:space="preserve">The </w:t>
      </w:r>
      <w:r>
        <w:rPr>
          <w:rFonts w:cs="Arial"/>
          <w:szCs w:val="20"/>
          <w:lang w:val="en"/>
        </w:rPr>
        <w:t>700 MHz unsold lots</w:t>
      </w:r>
      <w:r w:rsidRPr="00546101">
        <w:rPr>
          <w:rFonts w:cs="Arial"/>
          <w:szCs w:val="20"/>
          <w:lang w:val="en"/>
        </w:rPr>
        <w:t xml:space="preserve"> </w:t>
      </w:r>
      <w:r>
        <w:rPr>
          <w:rFonts w:cs="Arial"/>
          <w:szCs w:val="20"/>
          <w:lang w:val="en"/>
        </w:rPr>
        <w:t xml:space="preserve">was included at the </w:t>
      </w:r>
      <w:r w:rsidRPr="009B4370">
        <w:rPr>
          <w:rFonts w:cs="Arial"/>
          <w:i/>
          <w:szCs w:val="20"/>
          <w:lang w:val="en"/>
        </w:rPr>
        <w:t>re-farming</w:t>
      </w:r>
      <w:r>
        <w:rPr>
          <w:rFonts w:cs="Arial"/>
          <w:szCs w:val="20"/>
          <w:lang w:val="en"/>
        </w:rPr>
        <w:t xml:space="preserve"> stage in </w:t>
      </w:r>
      <w:r w:rsidRPr="00F3138B">
        <w:rPr>
          <w:rFonts w:cs="Arial"/>
          <w:i/>
          <w:szCs w:val="20"/>
          <w:lang w:val="en"/>
        </w:rPr>
        <w:t>Beyond 2020</w:t>
      </w:r>
      <w:r>
        <w:rPr>
          <w:rFonts w:cs="Arial"/>
          <w:szCs w:val="20"/>
          <w:lang w:val="en"/>
        </w:rPr>
        <w:t xml:space="preserve">. </w:t>
      </w:r>
    </w:p>
    <w:p w14:paraId="3BB51852" w14:textId="77777777" w:rsidR="00AF47C3" w:rsidRDefault="00AF47C3" w:rsidP="00034622">
      <w:pPr>
        <w:keepNext/>
        <w:keepLines/>
        <w:rPr>
          <w:rFonts w:cs="Arial"/>
          <w:szCs w:val="20"/>
          <w:lang w:val="en"/>
        </w:rPr>
      </w:pPr>
      <w:r>
        <w:rPr>
          <w:rFonts w:cs="Arial"/>
          <w:szCs w:val="20"/>
          <w:lang w:val="en"/>
        </w:rPr>
        <w:t>No comments were received in relation to this frequency band in submissions to the discussion paper.</w:t>
      </w:r>
    </w:p>
    <w:p w14:paraId="7FC25C1E" w14:textId="382BDE5B" w:rsidR="009566C2" w:rsidRDefault="00264184" w:rsidP="00034622">
      <w:pPr>
        <w:keepNext/>
        <w:keepLines/>
        <w:rPr>
          <w:rFonts w:cs="Arial"/>
          <w:szCs w:val="20"/>
          <w:lang w:val="en"/>
        </w:rPr>
      </w:pPr>
      <w:r w:rsidRPr="009566C2">
        <w:rPr>
          <w:rFonts w:cs="Arial"/>
          <w:szCs w:val="20"/>
          <w:lang w:val="en"/>
        </w:rPr>
        <w:t xml:space="preserve">The 700 MHz unsold lots remain at </w:t>
      </w:r>
      <w:r w:rsidR="00774362">
        <w:rPr>
          <w:rFonts w:cs="Arial"/>
          <w:szCs w:val="20"/>
          <w:lang w:val="en"/>
        </w:rPr>
        <w:t xml:space="preserve">the </w:t>
      </w:r>
      <w:r w:rsidR="00774362">
        <w:rPr>
          <w:rFonts w:cs="Arial"/>
          <w:i/>
          <w:szCs w:val="20"/>
          <w:lang w:val="en"/>
        </w:rPr>
        <w:t>r</w:t>
      </w:r>
      <w:r w:rsidR="00774362" w:rsidRPr="009B7B95">
        <w:rPr>
          <w:rFonts w:cs="Arial"/>
          <w:i/>
          <w:szCs w:val="20"/>
          <w:lang w:val="en"/>
        </w:rPr>
        <w:t>e</w:t>
      </w:r>
      <w:r w:rsidR="00774362">
        <w:rPr>
          <w:rFonts w:cs="Arial"/>
          <w:i/>
          <w:szCs w:val="20"/>
          <w:lang w:val="en"/>
        </w:rPr>
        <w:t>-</w:t>
      </w:r>
      <w:r w:rsidR="00774362" w:rsidRPr="009B7B95">
        <w:rPr>
          <w:rFonts w:cs="Arial"/>
          <w:i/>
          <w:szCs w:val="20"/>
          <w:lang w:val="en"/>
        </w:rPr>
        <w:t>farming</w:t>
      </w:r>
      <w:r w:rsidR="00774362" w:rsidRPr="009B7B95">
        <w:rPr>
          <w:rFonts w:cs="Arial"/>
          <w:szCs w:val="20"/>
          <w:lang w:val="en"/>
        </w:rPr>
        <w:t xml:space="preserve"> </w:t>
      </w:r>
      <w:r w:rsidR="00774362">
        <w:rPr>
          <w:rFonts w:cs="Arial"/>
          <w:szCs w:val="20"/>
          <w:lang w:val="en"/>
        </w:rPr>
        <w:t xml:space="preserve">stage </w:t>
      </w:r>
      <w:r w:rsidRPr="00047A99">
        <w:rPr>
          <w:rFonts w:cs="Arial"/>
          <w:szCs w:val="20"/>
          <w:lang w:val="en"/>
        </w:rPr>
        <w:t xml:space="preserve">in the </w:t>
      </w:r>
      <w:r w:rsidR="00047A99" w:rsidRPr="00047A99">
        <w:rPr>
          <w:rFonts w:cs="Arial"/>
          <w:szCs w:val="20"/>
          <w:lang w:val="en"/>
        </w:rPr>
        <w:t xml:space="preserve">work </w:t>
      </w:r>
      <w:r w:rsidR="004A2671">
        <w:rPr>
          <w:rFonts w:cs="Arial"/>
          <w:szCs w:val="20"/>
          <w:lang w:val="en"/>
        </w:rPr>
        <w:t>program</w:t>
      </w:r>
      <w:r w:rsidRPr="00047A99">
        <w:rPr>
          <w:rFonts w:cs="Arial"/>
          <w:szCs w:val="20"/>
          <w:lang w:val="en"/>
        </w:rPr>
        <w:t>.</w:t>
      </w:r>
    </w:p>
    <w:p w14:paraId="0B4C63D1" w14:textId="57F3C4CB" w:rsidR="003A7427" w:rsidRDefault="00070CE3" w:rsidP="00034622">
      <w:pPr>
        <w:keepNext/>
        <w:keepLines/>
        <w:spacing w:after="120"/>
      </w:pPr>
      <w:r>
        <w:rPr>
          <w:lang w:val="en"/>
        </w:rPr>
        <w:t xml:space="preserve">The ACMA acknowledges there is </w:t>
      </w:r>
      <w:r w:rsidR="00CF091D">
        <w:rPr>
          <w:lang w:val="en"/>
        </w:rPr>
        <w:t xml:space="preserve">unallocated </w:t>
      </w:r>
      <w:r>
        <w:rPr>
          <w:lang w:val="en"/>
        </w:rPr>
        <w:t xml:space="preserve">spectrum available for mobile broadband in numerous other bands. To account for this, the </w:t>
      </w:r>
      <w:r w:rsidRPr="00047A99">
        <w:rPr>
          <w:lang w:val="en"/>
        </w:rPr>
        <w:t xml:space="preserve">work </w:t>
      </w:r>
      <w:r w:rsidR="004A2671">
        <w:rPr>
          <w:lang w:val="en"/>
        </w:rPr>
        <w:t>program</w:t>
      </w:r>
      <w:r w:rsidRPr="00047A99">
        <w:rPr>
          <w:lang w:val="en"/>
        </w:rPr>
        <w:t xml:space="preserve"> will be</w:t>
      </w:r>
      <w:r>
        <w:rPr>
          <w:lang w:val="en"/>
        </w:rPr>
        <w:t xml:space="preserve"> </w:t>
      </w:r>
      <w:r w:rsidR="003A7427">
        <w:rPr>
          <w:lang w:val="en"/>
        </w:rPr>
        <w:t>amended to include</w:t>
      </w:r>
      <w:r>
        <w:rPr>
          <w:lang w:val="en"/>
        </w:rPr>
        <w:t xml:space="preserve"> a </w:t>
      </w:r>
      <w:r w:rsidR="003A7427">
        <w:rPr>
          <w:lang w:val="en"/>
        </w:rPr>
        <w:t>new item</w:t>
      </w:r>
      <w:r>
        <w:rPr>
          <w:lang w:val="en"/>
        </w:rPr>
        <w:t xml:space="preserve"> under Strategy 3 entitled </w:t>
      </w:r>
      <w:r w:rsidR="003A7427" w:rsidRPr="003A7427">
        <w:rPr>
          <w:i/>
          <w:lang w:val="en"/>
        </w:rPr>
        <w:t>Spectrum available for the licensing of mobile broadband services</w:t>
      </w:r>
      <w:r w:rsidR="003A7427">
        <w:rPr>
          <w:lang w:val="en"/>
        </w:rPr>
        <w:t xml:space="preserve">. This item will include </w:t>
      </w:r>
      <w:r w:rsidR="003A7427">
        <w:t>the following bands that have spectrum available for mobile broadband services under either spectrum</w:t>
      </w:r>
      <w:r w:rsidR="00941B23">
        <w:t xml:space="preserve"> </w:t>
      </w:r>
      <w:r w:rsidR="003A7427">
        <w:t>or apparatus licence arrangements:</w:t>
      </w:r>
    </w:p>
    <w:p w14:paraId="4C3C4F1A" w14:textId="429E1902" w:rsidR="00754894" w:rsidRPr="000C2A63" w:rsidRDefault="00754894" w:rsidP="000C2A63">
      <w:pPr>
        <w:pStyle w:val="ListBullet"/>
        <w:rPr>
          <w:rFonts w:cs="Arial"/>
          <w:i/>
        </w:rPr>
      </w:pPr>
      <w:r w:rsidRPr="000C2A63">
        <w:rPr>
          <w:rFonts w:cs="Arial"/>
          <w:i/>
        </w:rPr>
        <w:t xml:space="preserve">700 MHz: </w:t>
      </w:r>
      <w:r w:rsidRPr="000C2A63">
        <w:rPr>
          <w:rFonts w:cs="Arial"/>
        </w:rPr>
        <w:t>2</w:t>
      </w:r>
      <w:r w:rsidR="00127458">
        <w:rPr>
          <w:rFonts w:cs="Arial"/>
        </w:rPr>
        <w:t xml:space="preserve"> </w:t>
      </w:r>
      <w:r w:rsidRPr="000C2A63">
        <w:rPr>
          <w:rFonts w:cs="Arial"/>
        </w:rPr>
        <w:t>x</w:t>
      </w:r>
      <w:r w:rsidR="00127458">
        <w:rPr>
          <w:rFonts w:cs="Arial"/>
        </w:rPr>
        <w:t xml:space="preserve"> </w:t>
      </w:r>
      <w:r w:rsidRPr="000C2A63">
        <w:rPr>
          <w:rFonts w:cs="Arial"/>
        </w:rPr>
        <w:t>15 MHz (733</w:t>
      </w:r>
      <w:r w:rsidR="00127458">
        <w:rPr>
          <w:rFonts w:cs="Arial"/>
        </w:rPr>
        <w:t>–</w:t>
      </w:r>
      <w:r w:rsidRPr="000C2A63">
        <w:rPr>
          <w:rFonts w:cs="Arial"/>
        </w:rPr>
        <w:t>748/788</w:t>
      </w:r>
      <w:r w:rsidR="00127458">
        <w:rPr>
          <w:rFonts w:cs="Arial"/>
        </w:rPr>
        <w:t>–</w:t>
      </w:r>
      <w:r w:rsidRPr="000C2A63">
        <w:rPr>
          <w:rFonts w:cs="Arial"/>
        </w:rPr>
        <w:t>802 MHz) available Australia-wide via spectrum licensing.</w:t>
      </w:r>
    </w:p>
    <w:p w14:paraId="40B36B77" w14:textId="0DAB97CD" w:rsidR="00754894" w:rsidRPr="000C2A63" w:rsidRDefault="00754894" w:rsidP="000C2A63">
      <w:pPr>
        <w:pStyle w:val="ListBullet"/>
        <w:rPr>
          <w:rFonts w:cs="Arial"/>
          <w:i/>
        </w:rPr>
      </w:pPr>
      <w:r w:rsidRPr="000C2A63">
        <w:rPr>
          <w:rFonts w:cs="Arial"/>
          <w:i/>
        </w:rPr>
        <w:t xml:space="preserve">1800 MHz </w:t>
      </w:r>
      <w:r w:rsidR="00FD1A1E">
        <w:rPr>
          <w:rFonts w:cs="Arial"/>
          <w:i/>
        </w:rPr>
        <w:t>r</w:t>
      </w:r>
      <w:r w:rsidRPr="000C2A63">
        <w:rPr>
          <w:rFonts w:cs="Arial"/>
          <w:i/>
        </w:rPr>
        <w:t xml:space="preserve">egional: </w:t>
      </w:r>
      <w:r w:rsidRPr="000C2A63">
        <w:rPr>
          <w:rFonts w:cs="Arial"/>
        </w:rPr>
        <w:t>Six 2</w:t>
      </w:r>
      <w:r w:rsidR="00127458">
        <w:rPr>
          <w:rFonts w:cs="Arial"/>
        </w:rPr>
        <w:t xml:space="preserve"> </w:t>
      </w:r>
      <w:r w:rsidRPr="000C2A63">
        <w:rPr>
          <w:rFonts w:cs="Arial"/>
        </w:rPr>
        <w:t>x</w:t>
      </w:r>
      <w:r w:rsidR="00127458">
        <w:rPr>
          <w:rFonts w:cs="Arial"/>
        </w:rPr>
        <w:t xml:space="preserve"> </w:t>
      </w:r>
      <w:r w:rsidRPr="000C2A63">
        <w:rPr>
          <w:rFonts w:cs="Arial"/>
        </w:rPr>
        <w:t>5 MHz lots available in various regional areas via spectrum licensing.</w:t>
      </w:r>
      <w:r w:rsidRPr="000C2A63">
        <w:rPr>
          <w:rFonts w:cs="Arial"/>
          <w:i/>
        </w:rPr>
        <w:t xml:space="preserve"> </w:t>
      </w:r>
    </w:p>
    <w:p w14:paraId="3E2E97F6" w14:textId="45B531E6" w:rsidR="00754894" w:rsidRPr="000C2A63" w:rsidRDefault="00754894" w:rsidP="000C2A63">
      <w:pPr>
        <w:pStyle w:val="ListBullet"/>
        <w:rPr>
          <w:rFonts w:cs="Arial"/>
          <w:i/>
        </w:rPr>
      </w:pPr>
      <w:r w:rsidRPr="000C2A63">
        <w:rPr>
          <w:rFonts w:cs="Arial"/>
          <w:i/>
        </w:rPr>
        <w:t xml:space="preserve">1800 MHz </w:t>
      </w:r>
      <w:r w:rsidR="00FD1A1E">
        <w:rPr>
          <w:rFonts w:cs="Arial"/>
          <w:i/>
        </w:rPr>
        <w:t>r</w:t>
      </w:r>
      <w:r w:rsidRPr="000C2A63">
        <w:rPr>
          <w:rFonts w:cs="Arial"/>
          <w:i/>
        </w:rPr>
        <w:t xml:space="preserve">emote: </w:t>
      </w:r>
      <w:r w:rsidRPr="000C2A63">
        <w:rPr>
          <w:rFonts w:cs="Arial"/>
        </w:rPr>
        <w:t>Available via site</w:t>
      </w:r>
      <w:r w:rsidR="00127458">
        <w:rPr>
          <w:rFonts w:cs="Arial"/>
        </w:rPr>
        <w:t>-</w:t>
      </w:r>
      <w:r w:rsidRPr="000C2A63">
        <w:rPr>
          <w:rFonts w:cs="Arial"/>
        </w:rPr>
        <w:t>based apparatus licensing</w:t>
      </w:r>
    </w:p>
    <w:p w14:paraId="23FAFDF7" w14:textId="534816D4" w:rsidR="00754894" w:rsidRPr="000C2A63" w:rsidRDefault="00754894" w:rsidP="000C2A63">
      <w:pPr>
        <w:pStyle w:val="ListBullet"/>
        <w:rPr>
          <w:rFonts w:cs="Arial"/>
          <w:i/>
        </w:rPr>
      </w:pPr>
      <w:r w:rsidRPr="000C2A63">
        <w:rPr>
          <w:rFonts w:cs="Arial"/>
          <w:i/>
        </w:rPr>
        <w:t xml:space="preserve">2.1 GHz </w:t>
      </w:r>
      <w:r w:rsidR="00FD1A1E">
        <w:rPr>
          <w:rFonts w:cs="Arial"/>
          <w:i/>
        </w:rPr>
        <w:t>m</w:t>
      </w:r>
      <w:r w:rsidRPr="000C2A63">
        <w:rPr>
          <w:rFonts w:cs="Arial"/>
          <w:i/>
        </w:rPr>
        <w:t xml:space="preserve">etropolitan: </w:t>
      </w:r>
      <w:r w:rsidRPr="000C2A63">
        <w:rPr>
          <w:rFonts w:cs="Arial"/>
        </w:rPr>
        <w:t>Numerous 2</w:t>
      </w:r>
      <w:r w:rsidR="00127458">
        <w:rPr>
          <w:rFonts w:cs="Arial"/>
        </w:rPr>
        <w:t xml:space="preserve"> </w:t>
      </w:r>
      <w:r w:rsidRPr="000C2A63">
        <w:rPr>
          <w:rFonts w:cs="Arial"/>
        </w:rPr>
        <w:t>x</w:t>
      </w:r>
      <w:r w:rsidR="00127458">
        <w:rPr>
          <w:rFonts w:cs="Arial"/>
        </w:rPr>
        <w:t xml:space="preserve"> </w:t>
      </w:r>
      <w:r w:rsidRPr="000C2A63">
        <w:rPr>
          <w:rFonts w:cs="Arial"/>
        </w:rPr>
        <w:t xml:space="preserve">5 MHz lots available in </w:t>
      </w:r>
      <w:r w:rsidR="00127458">
        <w:rPr>
          <w:rFonts w:cs="Arial"/>
        </w:rPr>
        <w:t xml:space="preserve">the </w:t>
      </w:r>
      <w:r w:rsidRPr="000C2A63">
        <w:rPr>
          <w:rFonts w:cs="Arial"/>
        </w:rPr>
        <w:t>capital cities</w:t>
      </w:r>
      <w:r w:rsidR="00127458">
        <w:rPr>
          <w:rFonts w:cs="Arial"/>
        </w:rPr>
        <w:t xml:space="preserve"> of</w:t>
      </w:r>
      <w:r w:rsidRPr="000C2A63">
        <w:rPr>
          <w:rFonts w:cs="Arial"/>
        </w:rPr>
        <w:t xml:space="preserve"> Adelaide, Brisbane, Darwin, Hobart and Perth via spectrum licensing. </w:t>
      </w:r>
    </w:p>
    <w:p w14:paraId="6EEDAB4B" w14:textId="08E91388" w:rsidR="00754894" w:rsidRPr="000C2A63" w:rsidRDefault="00754894" w:rsidP="000C2A63">
      <w:pPr>
        <w:pStyle w:val="ListBullet"/>
        <w:rPr>
          <w:rFonts w:cs="Arial"/>
        </w:rPr>
      </w:pPr>
      <w:r w:rsidRPr="000C2A63">
        <w:rPr>
          <w:rFonts w:cs="Arial"/>
          <w:i/>
        </w:rPr>
        <w:t xml:space="preserve">2.1 GHz </w:t>
      </w:r>
      <w:r w:rsidR="00FD1A1E">
        <w:rPr>
          <w:rFonts w:cs="Arial"/>
          <w:i/>
        </w:rPr>
        <w:t>r</w:t>
      </w:r>
      <w:r w:rsidRPr="000C2A63">
        <w:rPr>
          <w:rFonts w:cs="Arial"/>
          <w:i/>
        </w:rPr>
        <w:t>egional/</w:t>
      </w:r>
      <w:r w:rsidR="004F4E78">
        <w:rPr>
          <w:rFonts w:cs="Arial"/>
          <w:i/>
        </w:rPr>
        <w:t>r</w:t>
      </w:r>
      <w:r w:rsidRPr="000C2A63">
        <w:rPr>
          <w:rFonts w:cs="Arial"/>
          <w:i/>
        </w:rPr>
        <w:t xml:space="preserve">emote: </w:t>
      </w:r>
      <w:r w:rsidRPr="000C2A63">
        <w:rPr>
          <w:rFonts w:cs="Arial"/>
        </w:rPr>
        <w:t>Available via site</w:t>
      </w:r>
      <w:r w:rsidR="00127458">
        <w:rPr>
          <w:rFonts w:cs="Arial"/>
        </w:rPr>
        <w:t>-</w:t>
      </w:r>
      <w:r w:rsidRPr="000C2A63">
        <w:rPr>
          <w:rFonts w:cs="Arial"/>
        </w:rPr>
        <w:t>based apparatus licensing.</w:t>
      </w:r>
    </w:p>
    <w:p w14:paraId="10436CB8" w14:textId="1DA2253E" w:rsidR="00754894" w:rsidRPr="000C2A63" w:rsidRDefault="00754894" w:rsidP="000C2A63">
      <w:pPr>
        <w:pStyle w:val="ListBullet"/>
        <w:rPr>
          <w:rFonts w:cs="Arial"/>
        </w:rPr>
      </w:pPr>
      <w:r w:rsidRPr="000C2A63">
        <w:rPr>
          <w:rFonts w:cs="Arial"/>
          <w:i/>
        </w:rPr>
        <w:t xml:space="preserve">2.3 GHz: </w:t>
      </w:r>
      <w:r w:rsidR="00210CDD" w:rsidRPr="00210CDD">
        <w:rPr>
          <w:rFonts w:cs="Arial"/>
        </w:rPr>
        <w:t>n</w:t>
      </w:r>
      <w:r w:rsidRPr="000C2A63">
        <w:rPr>
          <w:rFonts w:cs="Arial"/>
        </w:rPr>
        <w:t>umerous lots available in regional and remote areas via spectrum licensing.</w:t>
      </w:r>
    </w:p>
    <w:p w14:paraId="05AE961B" w14:textId="707B7CC9" w:rsidR="00754894" w:rsidRPr="000C2A63" w:rsidRDefault="00754894" w:rsidP="000C2A63">
      <w:pPr>
        <w:pStyle w:val="ListBullet"/>
        <w:rPr>
          <w:rFonts w:cs="Arial"/>
        </w:rPr>
      </w:pPr>
      <w:r w:rsidRPr="000C2A63">
        <w:rPr>
          <w:rFonts w:cs="Arial"/>
          <w:i/>
        </w:rPr>
        <w:t xml:space="preserve">3.4 GHz: </w:t>
      </w:r>
      <w:r w:rsidRPr="000C2A63">
        <w:rPr>
          <w:rFonts w:cs="Arial"/>
        </w:rPr>
        <w:t xml:space="preserve">Numerous lots available in </w:t>
      </w:r>
      <w:r w:rsidR="00127458">
        <w:rPr>
          <w:rFonts w:cs="Arial"/>
        </w:rPr>
        <w:t>m</w:t>
      </w:r>
      <w:r w:rsidRPr="000C2A63">
        <w:rPr>
          <w:rFonts w:cs="Arial"/>
        </w:rPr>
        <w:t>etropolitan and major regional centres via spectrum licensing.</w:t>
      </w:r>
    </w:p>
    <w:p w14:paraId="15C13352" w14:textId="4C6F0CE0" w:rsidR="00754894" w:rsidRPr="000C2A63" w:rsidRDefault="00754894" w:rsidP="000C2A63">
      <w:pPr>
        <w:pStyle w:val="ListBullet"/>
        <w:rPr>
          <w:rFonts w:cs="Arial"/>
          <w:i/>
        </w:rPr>
      </w:pPr>
      <w:r w:rsidRPr="000C2A63">
        <w:rPr>
          <w:rFonts w:cs="Arial"/>
          <w:i/>
        </w:rPr>
        <w:t xml:space="preserve">3.5 GHz: </w:t>
      </w:r>
      <w:r w:rsidRPr="000C2A63">
        <w:rPr>
          <w:rFonts w:cs="Arial"/>
        </w:rPr>
        <w:t>Available via site</w:t>
      </w:r>
      <w:r w:rsidR="00127458">
        <w:rPr>
          <w:rFonts w:cs="Arial"/>
        </w:rPr>
        <w:t>-</w:t>
      </w:r>
      <w:r w:rsidRPr="000C2A63">
        <w:rPr>
          <w:rFonts w:cs="Arial"/>
        </w:rPr>
        <w:t>based apparatus licencing.</w:t>
      </w:r>
    </w:p>
    <w:p w14:paraId="4EA07886" w14:textId="1EEA8D60" w:rsidR="00AF47C3" w:rsidRPr="000C2A63" w:rsidRDefault="00754894" w:rsidP="00127458">
      <w:pPr>
        <w:pStyle w:val="ListBulletLast"/>
      </w:pPr>
      <w:r w:rsidRPr="000C2A63">
        <w:rPr>
          <w:i/>
        </w:rPr>
        <w:t xml:space="preserve">3.6 GHz </w:t>
      </w:r>
      <w:r w:rsidR="00FD1A1E">
        <w:rPr>
          <w:i/>
        </w:rPr>
        <w:t>r</w:t>
      </w:r>
      <w:r w:rsidRPr="000C2A63">
        <w:rPr>
          <w:i/>
        </w:rPr>
        <w:t>egional/</w:t>
      </w:r>
      <w:r w:rsidR="00FD1A1E">
        <w:rPr>
          <w:i/>
        </w:rPr>
        <w:t>r</w:t>
      </w:r>
      <w:r w:rsidRPr="000C2A63">
        <w:rPr>
          <w:i/>
        </w:rPr>
        <w:t xml:space="preserve">emote: </w:t>
      </w:r>
      <w:r w:rsidRPr="000C2A63">
        <w:t>Available via site</w:t>
      </w:r>
      <w:r w:rsidR="00127458">
        <w:t>-</w:t>
      </w:r>
      <w:r w:rsidRPr="000C2A63">
        <w:t>based apparatus licensing.</w:t>
      </w:r>
    </w:p>
    <w:p w14:paraId="42C375BF" w14:textId="48DC5153" w:rsidR="00A82222" w:rsidRPr="00A82222" w:rsidRDefault="00A82222" w:rsidP="00127458">
      <w:pPr>
        <w:pStyle w:val="Heading2"/>
      </w:pPr>
      <w:bookmarkStart w:id="262" w:name="_Toc441235830"/>
      <w:bookmarkStart w:id="263" w:name="_Toc442428404"/>
      <w:bookmarkStart w:id="264" w:name="_Toc443910731"/>
      <w:r w:rsidRPr="00F018BA">
        <w:t>1800 MHz r</w:t>
      </w:r>
      <w:r w:rsidR="00B0349C">
        <w:t>egional</w:t>
      </w:r>
      <w:r w:rsidRPr="00F018BA">
        <w:t>/remote</w:t>
      </w:r>
      <w:bookmarkEnd w:id="262"/>
      <w:bookmarkEnd w:id="263"/>
      <w:bookmarkEnd w:id="264"/>
    </w:p>
    <w:p w14:paraId="19B285E2" w14:textId="213CAA68" w:rsidR="00AF47C3" w:rsidRDefault="00AF47C3" w:rsidP="00AF47C3">
      <w:pPr>
        <w:rPr>
          <w:rFonts w:cs="Arial"/>
          <w:szCs w:val="20"/>
          <w:lang w:val="en"/>
        </w:rPr>
      </w:pPr>
      <w:r>
        <w:rPr>
          <w:rFonts w:cs="Arial"/>
          <w:szCs w:val="20"/>
          <w:lang w:val="en"/>
        </w:rPr>
        <w:t>1800 MHz r</w:t>
      </w:r>
      <w:r w:rsidR="00B0349C">
        <w:rPr>
          <w:rFonts w:cs="Arial"/>
          <w:szCs w:val="20"/>
          <w:lang w:val="en"/>
        </w:rPr>
        <w:t>egional</w:t>
      </w:r>
      <w:r>
        <w:rPr>
          <w:rFonts w:cs="Arial"/>
          <w:szCs w:val="20"/>
          <w:lang w:val="en"/>
        </w:rPr>
        <w:t>/remote</w:t>
      </w:r>
      <w:r w:rsidRPr="00546101">
        <w:rPr>
          <w:rFonts w:cs="Arial"/>
          <w:szCs w:val="20"/>
          <w:lang w:val="en"/>
        </w:rPr>
        <w:t xml:space="preserve"> </w:t>
      </w:r>
      <w:r>
        <w:rPr>
          <w:rFonts w:cs="Arial"/>
          <w:szCs w:val="20"/>
          <w:lang w:val="en"/>
        </w:rPr>
        <w:t xml:space="preserve">was included at the </w:t>
      </w:r>
      <w:r w:rsidRPr="009B4370">
        <w:rPr>
          <w:rFonts w:cs="Arial"/>
          <w:i/>
          <w:szCs w:val="20"/>
          <w:lang w:val="en"/>
        </w:rPr>
        <w:t>re-farming</w:t>
      </w:r>
      <w:r>
        <w:rPr>
          <w:rFonts w:cs="Arial"/>
          <w:szCs w:val="20"/>
          <w:lang w:val="en"/>
        </w:rPr>
        <w:t xml:space="preserve"> stage in </w:t>
      </w:r>
      <w:r w:rsidRPr="00127458">
        <w:rPr>
          <w:rFonts w:cs="Arial"/>
          <w:i/>
          <w:szCs w:val="20"/>
          <w:lang w:val="en"/>
        </w:rPr>
        <w:t>Beyond 2020</w:t>
      </w:r>
      <w:r>
        <w:rPr>
          <w:rFonts w:cs="Arial"/>
          <w:szCs w:val="20"/>
          <w:lang w:val="en"/>
        </w:rPr>
        <w:t xml:space="preserve">. </w:t>
      </w:r>
    </w:p>
    <w:p w14:paraId="2D72D350" w14:textId="77777777" w:rsidR="00AF47C3" w:rsidRDefault="00AF47C3" w:rsidP="00AF47C3">
      <w:pPr>
        <w:rPr>
          <w:rFonts w:cs="Arial"/>
          <w:szCs w:val="20"/>
          <w:lang w:val="en"/>
        </w:rPr>
      </w:pPr>
      <w:r>
        <w:rPr>
          <w:rFonts w:cs="Arial"/>
          <w:szCs w:val="20"/>
          <w:lang w:val="en"/>
        </w:rPr>
        <w:t>No comments were received in relation to this frequency band in submissions to the discussion paper.</w:t>
      </w:r>
    </w:p>
    <w:p w14:paraId="3262B57F" w14:textId="008F8A43" w:rsidR="009566C2" w:rsidRDefault="009566C2" w:rsidP="00127458">
      <w:r>
        <w:rPr>
          <w:rFonts w:cs="Arial"/>
          <w:szCs w:val="20"/>
          <w:lang w:val="en"/>
        </w:rPr>
        <w:t xml:space="preserve">Since the release of </w:t>
      </w:r>
      <w:r w:rsidRPr="00127458">
        <w:rPr>
          <w:rFonts w:cs="Arial"/>
          <w:i/>
          <w:szCs w:val="20"/>
          <w:lang w:val="en"/>
        </w:rPr>
        <w:t>Beyond 2020</w:t>
      </w:r>
      <w:r>
        <w:rPr>
          <w:rFonts w:cs="Arial"/>
          <w:szCs w:val="20"/>
          <w:lang w:val="en"/>
        </w:rPr>
        <w:t>, t</w:t>
      </w:r>
      <w:r w:rsidRPr="001D0AED">
        <w:t xml:space="preserve">he ACMA </w:t>
      </w:r>
      <w:r>
        <w:t xml:space="preserve">has made the 1800 MHz band available for PTS apparatus licensing in remote areas of Australia. The ACMA will review </w:t>
      </w:r>
      <w:r w:rsidRPr="001D0AED">
        <w:rPr>
          <w:rFonts w:cs="Arial"/>
        </w:rPr>
        <w:t xml:space="preserve">the effectiveness of </w:t>
      </w:r>
      <w:r>
        <w:rPr>
          <w:rFonts w:cs="Arial"/>
        </w:rPr>
        <w:t>the</w:t>
      </w:r>
      <w:r w:rsidR="00E807B8">
        <w:rPr>
          <w:rFonts w:cs="Arial"/>
        </w:rPr>
        <w:t>se</w:t>
      </w:r>
      <w:r>
        <w:rPr>
          <w:rFonts w:cs="Arial"/>
        </w:rPr>
        <w:t xml:space="preserve"> </w:t>
      </w:r>
      <w:r w:rsidRPr="001D0AED">
        <w:rPr>
          <w:rFonts w:cs="Arial"/>
        </w:rPr>
        <w:t xml:space="preserve">arrangements </w:t>
      </w:r>
      <w:r>
        <w:rPr>
          <w:rFonts w:cs="Arial"/>
        </w:rPr>
        <w:t xml:space="preserve">in </w:t>
      </w:r>
      <w:r w:rsidRPr="001D0AED">
        <w:rPr>
          <w:rFonts w:cs="Arial"/>
        </w:rPr>
        <w:t>2017</w:t>
      </w:r>
      <w:r>
        <w:rPr>
          <w:rFonts w:cs="Arial"/>
        </w:rPr>
        <w:t>.</w:t>
      </w:r>
      <w:r w:rsidR="00F65EB8">
        <w:rPr>
          <w:rFonts w:cs="Arial"/>
        </w:rPr>
        <w:t xml:space="preserve"> </w:t>
      </w:r>
    </w:p>
    <w:p w14:paraId="7D4BFA35" w14:textId="28CBB445" w:rsidR="009566C2" w:rsidRDefault="009566C2" w:rsidP="00127458">
      <w:r w:rsidRPr="001D0AED">
        <w:rPr>
          <w:rFonts w:cs="Arial"/>
        </w:rPr>
        <w:t xml:space="preserve">In regional Australia, </w:t>
      </w:r>
      <w:r w:rsidR="00127458">
        <w:rPr>
          <w:rFonts w:cs="Arial"/>
          <w:szCs w:val="26"/>
        </w:rPr>
        <w:t xml:space="preserve">given the level of demand, </w:t>
      </w:r>
      <w:r w:rsidRPr="001D0AED">
        <w:rPr>
          <w:rFonts w:cs="Arial"/>
        </w:rPr>
        <w:t>t</w:t>
      </w:r>
      <w:r w:rsidRPr="001D0AED">
        <w:rPr>
          <w:rFonts w:cs="Arial"/>
          <w:szCs w:val="26"/>
        </w:rPr>
        <w:t xml:space="preserve">he ACMA </w:t>
      </w:r>
      <w:r>
        <w:rPr>
          <w:rFonts w:cs="Arial"/>
          <w:szCs w:val="26"/>
        </w:rPr>
        <w:t xml:space="preserve">determined </w:t>
      </w:r>
      <w:r w:rsidRPr="001D0AED">
        <w:rPr>
          <w:rFonts w:cs="Arial"/>
          <w:szCs w:val="26"/>
        </w:rPr>
        <w:t xml:space="preserve">that </w:t>
      </w:r>
      <w:r w:rsidRPr="001D0AED">
        <w:t xml:space="preserve">a price-based allocation </w:t>
      </w:r>
      <w:r>
        <w:t>was the most appropriate method to make the 1800 MHz band available for mobile broadband applications.</w:t>
      </w:r>
      <w:r w:rsidR="00B0349C">
        <w:t xml:space="preserve"> Consequently, the ACMA has developed arrangements for </w:t>
      </w:r>
      <w:r w:rsidR="00127458">
        <w:t>market-based</w:t>
      </w:r>
      <w:r w:rsidR="00B0349C">
        <w:t xml:space="preserve"> allocation of the regional 1800 MHz band and held the auction of the band between November 2015 and February 2016. Details of this allocation process and the auction results are</w:t>
      </w:r>
      <w:r>
        <w:t xml:space="preserve"> available on the </w:t>
      </w:r>
      <w:hyperlink r:id="rId33" w:history="1">
        <w:r w:rsidRPr="00CC5BAC">
          <w:rPr>
            <w:rStyle w:val="Hyperlink"/>
          </w:rPr>
          <w:t>ACMA website</w:t>
        </w:r>
      </w:hyperlink>
      <w:r>
        <w:t>.</w:t>
      </w:r>
      <w:r w:rsidRPr="001D0AED">
        <w:t xml:space="preserve"> </w:t>
      </w:r>
      <w:r>
        <w:t>Arrangements have also been developed to facilitate early access (access before the spectrum licences commence) to those bidders that acquired spectrum at auction</w:t>
      </w:r>
      <w:r w:rsidR="000C2A63">
        <w:t>, where possible</w:t>
      </w:r>
      <w:r>
        <w:t>.</w:t>
      </w:r>
    </w:p>
    <w:p w14:paraId="50268DF1" w14:textId="166B1C03" w:rsidR="00777F84" w:rsidRPr="00F65EB8" w:rsidRDefault="009566C2" w:rsidP="00777F84">
      <w:pPr>
        <w:rPr>
          <w:rFonts w:cs="Arial"/>
          <w:szCs w:val="20"/>
          <w:lang w:val="en"/>
        </w:rPr>
      </w:pPr>
      <w:r w:rsidRPr="00F65EB8">
        <w:rPr>
          <w:rFonts w:cs="Arial"/>
          <w:szCs w:val="20"/>
          <w:lang w:val="en"/>
        </w:rPr>
        <w:t xml:space="preserve">Until the </w:t>
      </w:r>
      <w:r w:rsidR="00F65EB8" w:rsidRPr="00F65EB8">
        <w:rPr>
          <w:rFonts w:cs="Arial"/>
          <w:szCs w:val="20"/>
          <w:lang w:val="en"/>
        </w:rPr>
        <w:t>relevant 1800 MHz fixed links in regional Australia have been relocated</w:t>
      </w:r>
      <w:r w:rsidR="000C2A63">
        <w:rPr>
          <w:rFonts w:cs="Arial"/>
          <w:szCs w:val="20"/>
          <w:lang w:val="en"/>
        </w:rPr>
        <w:t>,</w:t>
      </w:r>
      <w:r w:rsidRPr="00F65EB8">
        <w:rPr>
          <w:rFonts w:cs="Arial"/>
          <w:szCs w:val="20"/>
          <w:lang w:val="en"/>
        </w:rPr>
        <w:t xml:space="preserve"> </w:t>
      </w:r>
      <w:r w:rsidR="000C2A63">
        <w:rPr>
          <w:rFonts w:cs="Arial"/>
          <w:szCs w:val="20"/>
          <w:lang w:val="en"/>
        </w:rPr>
        <w:t>t</w:t>
      </w:r>
      <w:r w:rsidRPr="00F65EB8">
        <w:rPr>
          <w:rFonts w:cs="Arial"/>
          <w:szCs w:val="20"/>
          <w:lang w:val="en"/>
        </w:rPr>
        <w:t xml:space="preserve">he </w:t>
      </w:r>
      <w:r w:rsidR="00264184" w:rsidRPr="00F65EB8">
        <w:rPr>
          <w:rFonts w:cs="Arial"/>
          <w:szCs w:val="20"/>
          <w:lang w:val="en"/>
        </w:rPr>
        <w:t xml:space="preserve">1800 MHz </w:t>
      </w:r>
      <w:r w:rsidR="00F65EB8" w:rsidRPr="00F65EB8">
        <w:rPr>
          <w:rFonts w:cs="Arial"/>
          <w:szCs w:val="20"/>
          <w:lang w:val="en"/>
        </w:rPr>
        <w:t>in regional</w:t>
      </w:r>
      <w:r w:rsidR="00264184" w:rsidRPr="00F65EB8">
        <w:rPr>
          <w:rFonts w:cs="Arial"/>
          <w:szCs w:val="20"/>
          <w:lang w:val="en"/>
        </w:rPr>
        <w:t xml:space="preserve"> </w:t>
      </w:r>
      <w:r w:rsidR="00F65EB8" w:rsidRPr="00F65EB8">
        <w:rPr>
          <w:rFonts w:cs="Arial"/>
          <w:szCs w:val="20"/>
          <w:lang w:val="en"/>
        </w:rPr>
        <w:t xml:space="preserve">Australia </w:t>
      </w:r>
      <w:r w:rsidR="00264184" w:rsidRPr="00F65EB8">
        <w:rPr>
          <w:rFonts w:cs="Arial"/>
          <w:szCs w:val="20"/>
          <w:lang w:val="en"/>
        </w:rPr>
        <w:t xml:space="preserve">remains at </w:t>
      </w:r>
      <w:r w:rsidR="00774362">
        <w:rPr>
          <w:rFonts w:cs="Arial"/>
          <w:szCs w:val="20"/>
          <w:lang w:val="en"/>
        </w:rPr>
        <w:t xml:space="preserve">the </w:t>
      </w:r>
      <w:r w:rsidR="00774362">
        <w:rPr>
          <w:rFonts w:cs="Arial"/>
          <w:i/>
          <w:szCs w:val="20"/>
          <w:lang w:val="en"/>
        </w:rPr>
        <w:t>r</w:t>
      </w:r>
      <w:r w:rsidR="00774362" w:rsidRPr="009B7B95">
        <w:rPr>
          <w:rFonts w:cs="Arial"/>
          <w:i/>
          <w:szCs w:val="20"/>
          <w:lang w:val="en"/>
        </w:rPr>
        <w:t>e</w:t>
      </w:r>
      <w:r w:rsidR="00774362">
        <w:rPr>
          <w:rFonts w:cs="Arial"/>
          <w:i/>
          <w:szCs w:val="20"/>
          <w:lang w:val="en"/>
        </w:rPr>
        <w:t>-</w:t>
      </w:r>
      <w:r w:rsidR="00774362" w:rsidRPr="009B7B95">
        <w:rPr>
          <w:rFonts w:cs="Arial"/>
          <w:i/>
          <w:szCs w:val="20"/>
          <w:lang w:val="en"/>
        </w:rPr>
        <w:t>farming</w:t>
      </w:r>
      <w:r w:rsidR="00774362" w:rsidRPr="009B7B95">
        <w:rPr>
          <w:rFonts w:cs="Arial"/>
          <w:szCs w:val="20"/>
          <w:lang w:val="en"/>
        </w:rPr>
        <w:t xml:space="preserve"> </w:t>
      </w:r>
      <w:r w:rsidR="00774362">
        <w:rPr>
          <w:rFonts w:cs="Arial"/>
          <w:szCs w:val="20"/>
          <w:lang w:val="en"/>
        </w:rPr>
        <w:t xml:space="preserve">stage </w:t>
      </w:r>
      <w:r w:rsidR="00264184" w:rsidRPr="00047A99">
        <w:rPr>
          <w:rFonts w:cs="Arial"/>
          <w:szCs w:val="20"/>
          <w:lang w:val="en"/>
        </w:rPr>
        <w:t xml:space="preserve">in the </w:t>
      </w:r>
      <w:r w:rsidR="00047A99" w:rsidRPr="00047A99">
        <w:rPr>
          <w:rFonts w:cs="Arial"/>
          <w:szCs w:val="20"/>
          <w:lang w:val="en"/>
        </w:rPr>
        <w:t>work p</w:t>
      </w:r>
      <w:r w:rsidR="00210CDD">
        <w:rPr>
          <w:rFonts w:cs="Arial"/>
          <w:szCs w:val="20"/>
          <w:lang w:val="en"/>
        </w:rPr>
        <w:t>rogram</w:t>
      </w:r>
      <w:r w:rsidR="00264184" w:rsidRPr="00047A99">
        <w:rPr>
          <w:rFonts w:cs="Arial"/>
          <w:szCs w:val="20"/>
          <w:lang w:val="en"/>
        </w:rPr>
        <w:t>.</w:t>
      </w:r>
      <w:r w:rsidR="00264184" w:rsidRPr="00F65EB8">
        <w:rPr>
          <w:rFonts w:cs="Arial"/>
          <w:szCs w:val="20"/>
          <w:lang w:val="en"/>
        </w:rPr>
        <w:t xml:space="preserve"> </w:t>
      </w:r>
      <w:bookmarkEnd w:id="246"/>
    </w:p>
    <w:p w14:paraId="41935F95" w14:textId="57B53170" w:rsidR="00264184" w:rsidRPr="000D76E0" w:rsidRDefault="006123DB" w:rsidP="00264184">
      <w:pPr>
        <w:pStyle w:val="Heading1"/>
      </w:pPr>
      <w:bookmarkStart w:id="265" w:name="_Toc443910732"/>
      <w:r>
        <w:t>4</w:t>
      </w:r>
      <w:r w:rsidR="00264184">
        <w:tab/>
      </w:r>
      <w:r w:rsidR="0018057A">
        <w:t>Further work</w:t>
      </w:r>
      <w:bookmarkEnd w:id="265"/>
    </w:p>
    <w:p w14:paraId="2CD3C2F1" w14:textId="60009AE5" w:rsidR="00264184" w:rsidRPr="00047A99" w:rsidRDefault="00264184" w:rsidP="00264184">
      <w:pPr>
        <w:rPr>
          <w:rFonts w:cs="Arial"/>
          <w:szCs w:val="20"/>
          <w:lang w:val="en"/>
        </w:rPr>
      </w:pPr>
      <w:r>
        <w:rPr>
          <w:rFonts w:cs="Arial"/>
          <w:szCs w:val="20"/>
          <w:lang w:val="en"/>
        </w:rPr>
        <w:t xml:space="preserve">The ACMA’s </w:t>
      </w:r>
      <w:r w:rsidRPr="00264184">
        <w:rPr>
          <w:rFonts w:cs="Arial"/>
          <w:szCs w:val="20"/>
          <w:lang w:val="en"/>
        </w:rPr>
        <w:t>strategy</w:t>
      </w:r>
      <w:r>
        <w:rPr>
          <w:rFonts w:cs="Arial"/>
          <w:szCs w:val="20"/>
          <w:lang w:val="en"/>
        </w:rPr>
        <w:t xml:space="preserve"> to address the growth in mobile broadband capacity</w:t>
      </w:r>
      <w:r w:rsidRPr="00264184">
        <w:rPr>
          <w:rFonts w:cs="Arial"/>
          <w:szCs w:val="20"/>
          <w:lang w:val="en"/>
        </w:rPr>
        <w:t xml:space="preserve"> and </w:t>
      </w:r>
      <w:r w:rsidR="008C6596">
        <w:rPr>
          <w:rFonts w:cs="Arial"/>
          <w:szCs w:val="20"/>
          <w:lang w:val="en"/>
        </w:rPr>
        <w:t xml:space="preserve">its </w:t>
      </w:r>
      <w:r w:rsidR="008C6596" w:rsidRPr="00047A99">
        <w:rPr>
          <w:rFonts w:cs="Arial"/>
          <w:szCs w:val="20"/>
          <w:lang w:val="en"/>
        </w:rPr>
        <w:t xml:space="preserve">associated </w:t>
      </w:r>
      <w:r w:rsidR="00047A99" w:rsidRPr="00047A99">
        <w:rPr>
          <w:rFonts w:cs="Arial"/>
          <w:szCs w:val="20"/>
          <w:lang w:val="en"/>
        </w:rPr>
        <w:t xml:space="preserve">work </w:t>
      </w:r>
      <w:r w:rsidR="00210CDD">
        <w:rPr>
          <w:rFonts w:cs="Arial"/>
          <w:szCs w:val="20"/>
          <w:lang w:val="en"/>
        </w:rPr>
        <w:t>program</w:t>
      </w:r>
      <w:r w:rsidRPr="00047A99">
        <w:rPr>
          <w:rFonts w:cs="Arial"/>
          <w:szCs w:val="20"/>
          <w:lang w:val="en"/>
        </w:rPr>
        <w:t xml:space="preserve"> for mobile broadband </w:t>
      </w:r>
      <w:r w:rsidR="008C6596" w:rsidRPr="00047A99">
        <w:rPr>
          <w:rFonts w:cs="Arial"/>
          <w:szCs w:val="20"/>
          <w:lang w:val="en"/>
        </w:rPr>
        <w:t xml:space="preserve">has </w:t>
      </w:r>
      <w:r w:rsidRPr="00047A99">
        <w:rPr>
          <w:rFonts w:cs="Arial"/>
          <w:szCs w:val="20"/>
          <w:lang w:val="en"/>
        </w:rPr>
        <w:t>been revised</w:t>
      </w:r>
      <w:r w:rsidR="00207874" w:rsidRPr="00047A99">
        <w:rPr>
          <w:rFonts w:cs="Arial"/>
          <w:szCs w:val="20"/>
          <w:lang w:val="en"/>
        </w:rPr>
        <w:t xml:space="preserve"> to</w:t>
      </w:r>
      <w:r w:rsidRPr="00047A99">
        <w:rPr>
          <w:rFonts w:cs="Arial"/>
          <w:szCs w:val="20"/>
          <w:lang w:val="en"/>
        </w:rPr>
        <w:t xml:space="preserve"> </w:t>
      </w:r>
      <w:r w:rsidR="00207874" w:rsidRPr="00047A99">
        <w:rPr>
          <w:rFonts w:cs="Arial"/>
          <w:szCs w:val="20"/>
          <w:lang w:val="en"/>
        </w:rPr>
        <w:t xml:space="preserve">take </w:t>
      </w:r>
      <w:r w:rsidRPr="00047A99">
        <w:rPr>
          <w:rFonts w:cs="Arial"/>
          <w:szCs w:val="20"/>
          <w:lang w:val="en"/>
        </w:rPr>
        <w:t xml:space="preserve">into account developments since the release of the </w:t>
      </w:r>
      <w:r w:rsidRPr="00047A99">
        <w:rPr>
          <w:rFonts w:cs="Arial"/>
          <w:i/>
          <w:szCs w:val="20"/>
          <w:lang w:val="en"/>
        </w:rPr>
        <w:t>Beyond 2020</w:t>
      </w:r>
      <w:r w:rsidRPr="00047A99">
        <w:rPr>
          <w:rFonts w:cs="Arial"/>
          <w:szCs w:val="20"/>
          <w:lang w:val="en"/>
        </w:rPr>
        <w:t xml:space="preserve"> discussion paper</w:t>
      </w:r>
      <w:r w:rsidR="00207874" w:rsidRPr="00047A99">
        <w:rPr>
          <w:rFonts w:cs="Arial"/>
          <w:szCs w:val="20"/>
          <w:lang w:val="en"/>
        </w:rPr>
        <w:t>,</w:t>
      </w:r>
      <w:r w:rsidRPr="00047A99">
        <w:rPr>
          <w:rFonts w:cs="Arial"/>
          <w:szCs w:val="20"/>
          <w:lang w:val="en"/>
        </w:rPr>
        <w:t xml:space="preserve"> and feedback received and released in conjunction with this summary and response to submissions.</w:t>
      </w:r>
    </w:p>
    <w:p w14:paraId="4C0AD466" w14:textId="52C8FE04" w:rsidR="00264184" w:rsidRDefault="00BE1D1F" w:rsidP="00264184">
      <w:pPr>
        <w:rPr>
          <w:rFonts w:cs="Arial"/>
          <w:szCs w:val="20"/>
          <w:lang w:val="en"/>
        </w:rPr>
      </w:pPr>
      <w:r w:rsidRPr="00047A99">
        <w:rPr>
          <w:rFonts w:cs="Arial"/>
          <w:szCs w:val="20"/>
          <w:lang w:val="en"/>
        </w:rPr>
        <w:t xml:space="preserve">Into the future, </w:t>
      </w:r>
      <w:r w:rsidR="00264184" w:rsidRPr="00047A99">
        <w:rPr>
          <w:rFonts w:cs="Arial"/>
          <w:szCs w:val="20"/>
          <w:lang w:val="en"/>
        </w:rPr>
        <w:t>th</w:t>
      </w:r>
      <w:r w:rsidRPr="00047A99">
        <w:rPr>
          <w:rFonts w:cs="Arial"/>
          <w:szCs w:val="20"/>
          <w:lang w:val="en"/>
        </w:rPr>
        <w:t>is</w:t>
      </w:r>
      <w:r w:rsidR="00264184" w:rsidRPr="00047A99">
        <w:rPr>
          <w:rFonts w:cs="Arial"/>
          <w:szCs w:val="20"/>
          <w:lang w:val="en"/>
        </w:rPr>
        <w:t xml:space="preserve"> strategy will guide the ACMA’s future work on the growth in mobile broadband capacity and </w:t>
      </w:r>
      <w:r w:rsidRPr="00047A99">
        <w:rPr>
          <w:rFonts w:cs="Arial"/>
          <w:szCs w:val="20"/>
          <w:lang w:val="en"/>
        </w:rPr>
        <w:t xml:space="preserve">updates to its associated work </w:t>
      </w:r>
      <w:r w:rsidR="004A2671">
        <w:rPr>
          <w:rFonts w:cs="Arial"/>
          <w:szCs w:val="20"/>
          <w:lang w:val="en"/>
        </w:rPr>
        <w:t>program</w:t>
      </w:r>
      <w:r w:rsidR="00264184" w:rsidRPr="00047A99">
        <w:rPr>
          <w:rFonts w:cs="Arial"/>
          <w:szCs w:val="20"/>
          <w:lang w:val="en"/>
        </w:rPr>
        <w:t>.</w:t>
      </w:r>
    </w:p>
    <w:p w14:paraId="2319BBEA" w14:textId="3001E2D4" w:rsidR="00264184" w:rsidRDefault="00264184" w:rsidP="0018057A">
      <w:pPr>
        <w:rPr>
          <w:rFonts w:cs="Arial"/>
        </w:rPr>
      </w:pPr>
      <w:r>
        <w:rPr>
          <w:rFonts w:cs="Arial"/>
          <w:szCs w:val="20"/>
          <w:lang w:val="en"/>
        </w:rPr>
        <w:t xml:space="preserve">The </w:t>
      </w:r>
      <w:r w:rsidR="00047A99">
        <w:rPr>
          <w:rFonts w:cs="Arial"/>
          <w:szCs w:val="20"/>
          <w:lang w:val="en"/>
        </w:rPr>
        <w:t xml:space="preserve">work </w:t>
      </w:r>
      <w:r w:rsidR="004A2671">
        <w:rPr>
          <w:rFonts w:cs="Arial"/>
          <w:szCs w:val="20"/>
          <w:lang w:val="en"/>
        </w:rPr>
        <w:t>program</w:t>
      </w:r>
      <w:r>
        <w:rPr>
          <w:rFonts w:cs="Arial"/>
          <w:szCs w:val="20"/>
          <w:lang w:val="en"/>
        </w:rPr>
        <w:t xml:space="preserve"> will be updated and </w:t>
      </w:r>
      <w:r w:rsidR="0018057A">
        <w:rPr>
          <w:rFonts w:cs="Arial"/>
          <w:szCs w:val="20"/>
          <w:lang w:val="en"/>
        </w:rPr>
        <w:t xml:space="preserve">included in future additions of </w:t>
      </w:r>
      <w:r>
        <w:rPr>
          <w:rFonts w:eastAsiaTheme="minorEastAsia"/>
        </w:rPr>
        <w:t xml:space="preserve">the </w:t>
      </w:r>
      <w:r w:rsidR="000C2A63">
        <w:t>ACMA’s FYSO</w:t>
      </w:r>
      <w:r w:rsidR="00207874">
        <w:t xml:space="preserve"> (</w:t>
      </w:r>
      <w:r w:rsidR="000C2A63">
        <w:t>or another publication as appropriate</w:t>
      </w:r>
      <w:r w:rsidR="00207874">
        <w:t>)</w:t>
      </w:r>
      <w:r w:rsidR="000C2A63">
        <w:t xml:space="preserve"> in line with the implementation of the recommendations of the Spectrum Review,</w:t>
      </w:r>
      <w:r>
        <w:rPr>
          <w:rFonts w:eastAsiaTheme="minorEastAsia"/>
        </w:rPr>
        <w:t xml:space="preserve"> as a tool to keep stakeholders informed on the suite of mobile broadband spectrum planning projects. </w:t>
      </w:r>
      <w:r w:rsidR="0018057A">
        <w:rPr>
          <w:rFonts w:eastAsiaTheme="minorEastAsia"/>
        </w:rPr>
        <w:t>Further</w:t>
      </w:r>
      <w:r>
        <w:rPr>
          <w:rFonts w:cs="Arial"/>
        </w:rPr>
        <w:t xml:space="preserve">, the ACMA will </w:t>
      </w:r>
      <w:r w:rsidR="0018057A">
        <w:rPr>
          <w:rFonts w:cs="Arial"/>
        </w:rPr>
        <w:t xml:space="preserve">continue to </w:t>
      </w:r>
      <w:r>
        <w:rPr>
          <w:rFonts w:cs="Arial"/>
        </w:rPr>
        <w:t xml:space="preserve">release discussion papers </w:t>
      </w:r>
      <w:r w:rsidR="0018057A">
        <w:rPr>
          <w:rFonts w:cs="Arial"/>
        </w:rPr>
        <w:t xml:space="preserve">on specific bands </w:t>
      </w:r>
      <w:r>
        <w:rPr>
          <w:rFonts w:cs="Arial"/>
        </w:rPr>
        <w:t xml:space="preserve">and engage with stakeholders in the usual </w:t>
      </w:r>
      <w:r w:rsidRPr="00DE6F45">
        <w:rPr>
          <w:rFonts w:cs="Arial"/>
        </w:rPr>
        <w:t xml:space="preserve">fashion. </w:t>
      </w:r>
    </w:p>
    <w:p w14:paraId="3B98B0AF" w14:textId="44F20ADE" w:rsidR="000C2A63" w:rsidRPr="000C2A63" w:rsidRDefault="0018057A" w:rsidP="000C2A63">
      <w:pPr>
        <w:spacing w:after="0" w:line="240" w:lineRule="auto"/>
        <w:rPr>
          <w:rFonts w:ascii="Times New Roman" w:hAnsi="Times New Roman"/>
          <w:sz w:val="24"/>
        </w:rPr>
      </w:pPr>
      <w:r>
        <w:rPr>
          <w:rFonts w:cs="Arial"/>
        </w:rPr>
        <w:t xml:space="preserve">The ACMA is developing a </w:t>
      </w:r>
      <w:r w:rsidR="000C2A63">
        <w:t>framework for conducting cost-benefit analysis to contribute to assessments of highest value use</w:t>
      </w:r>
      <w:r>
        <w:rPr>
          <w:rFonts w:cs="Arial"/>
        </w:rPr>
        <w:t xml:space="preserve"> and </w:t>
      </w:r>
      <w:r w:rsidR="00690B25">
        <w:rPr>
          <w:rFonts w:cs="Arial"/>
        </w:rPr>
        <w:t xml:space="preserve">will release a </w:t>
      </w:r>
      <w:r>
        <w:rPr>
          <w:rFonts w:cs="Arial"/>
        </w:rPr>
        <w:t xml:space="preserve">paper on this issue </w:t>
      </w:r>
      <w:r w:rsidR="000C2A63">
        <w:t>in</w:t>
      </w:r>
      <w:r w:rsidR="00250A2E">
        <w:t xml:space="preserve"> Q2</w:t>
      </w:r>
      <w:r w:rsidR="000C2A63">
        <w:t xml:space="preserve"> 2016. </w:t>
      </w:r>
      <w:r w:rsidR="000C2A63">
        <w:rPr>
          <w:rFonts w:ascii="Times New Roman" w:hAnsi="Times New Roman"/>
          <w:sz w:val="24"/>
        </w:rPr>
        <w:t xml:space="preserve"> </w:t>
      </w:r>
    </w:p>
    <w:p w14:paraId="6A573750" w14:textId="21137A3F" w:rsidR="00715A63" w:rsidRPr="00E14FB8" w:rsidRDefault="00715A63" w:rsidP="000C2A63">
      <w:pPr>
        <w:pStyle w:val="Heading2"/>
      </w:pPr>
      <w:bookmarkStart w:id="266" w:name="_Toc443910733"/>
      <w:r>
        <w:t xml:space="preserve">The </w:t>
      </w:r>
      <w:r w:rsidRPr="00715A63">
        <w:t>Spectrum Review</w:t>
      </w:r>
      <w:bookmarkEnd w:id="266"/>
    </w:p>
    <w:p w14:paraId="49093FB5" w14:textId="77777777" w:rsidR="00715A63" w:rsidRPr="00B020FB" w:rsidRDefault="00715A63" w:rsidP="00207874">
      <w:pPr>
        <w:rPr>
          <w:lang w:val="en"/>
        </w:rPr>
      </w:pPr>
      <w:r w:rsidRPr="00211492">
        <w:t xml:space="preserve">In May </w:t>
      </w:r>
      <w:r w:rsidRPr="00CC194C">
        <w:t>2014</w:t>
      </w:r>
      <w:r>
        <w:t>,</w:t>
      </w:r>
      <w:r w:rsidRPr="00CC194C">
        <w:t xml:space="preserve"> the Minister for Communications, the Hon Malcolm Turnbull MP, announced a review of Australia’s spectrum policy and management framework</w:t>
      </w:r>
      <w:r>
        <w:t>.</w:t>
      </w:r>
      <w:r w:rsidRPr="00CC194C">
        <w:rPr>
          <w:rStyle w:val="FootnoteReference"/>
          <w:rFonts w:cs="Arial"/>
          <w:color w:val="000000" w:themeColor="text1"/>
        </w:rPr>
        <w:footnoteReference w:id="6"/>
      </w:r>
      <w:r w:rsidRPr="00CC194C">
        <w:t xml:space="preserve"> </w:t>
      </w:r>
      <w:r w:rsidRPr="00CC194C">
        <w:rPr>
          <w:lang w:val="en"/>
        </w:rPr>
        <w:t xml:space="preserve">The </w:t>
      </w:r>
      <w:r>
        <w:rPr>
          <w:lang w:val="en"/>
        </w:rPr>
        <w:t>S</w:t>
      </w:r>
      <w:r w:rsidRPr="00CC194C">
        <w:rPr>
          <w:lang w:val="en"/>
        </w:rPr>
        <w:t xml:space="preserve">pectrum </w:t>
      </w:r>
      <w:r>
        <w:rPr>
          <w:lang w:val="en"/>
        </w:rPr>
        <w:t>R</w:t>
      </w:r>
      <w:r w:rsidRPr="00CC194C">
        <w:rPr>
          <w:lang w:val="en"/>
        </w:rPr>
        <w:t>eview looked at the changes needed to cope with the increase in demand for spectrum and changes in technology, markets and consumer preferenc</w:t>
      </w:r>
      <w:r>
        <w:rPr>
          <w:lang w:val="en"/>
        </w:rPr>
        <w:t>es. The review reported to the m</w:t>
      </w:r>
      <w:r w:rsidRPr="00CC194C">
        <w:rPr>
          <w:lang w:val="en"/>
        </w:rPr>
        <w:t xml:space="preserve">inister in March 2015. The </w:t>
      </w:r>
      <w:r w:rsidRPr="00FB132D">
        <w:rPr>
          <w:i/>
        </w:rPr>
        <w:t>Spectrum Review Report</w:t>
      </w:r>
      <w:r w:rsidRPr="00C41C7D">
        <w:rPr>
          <w:rStyle w:val="FootnoteReference"/>
          <w:rFonts w:cs="Arial"/>
          <w:iCs/>
          <w:color w:val="000000" w:themeColor="text1"/>
        </w:rPr>
        <w:footnoteReference w:id="7"/>
      </w:r>
      <w:r w:rsidRPr="00CC194C">
        <w:rPr>
          <w:lang w:val="en"/>
        </w:rPr>
        <w:t xml:space="preserve"> outlines recommended changes to improve Australia</w:t>
      </w:r>
      <w:r>
        <w:rPr>
          <w:lang w:val="en"/>
        </w:rPr>
        <w:t>’s</w:t>
      </w:r>
      <w:r w:rsidRPr="00CC194C">
        <w:rPr>
          <w:lang w:val="en"/>
        </w:rPr>
        <w:t xml:space="preserve"> spectrum policy and management framework. </w:t>
      </w:r>
      <w:r>
        <w:rPr>
          <w:lang w:val="en"/>
        </w:rPr>
        <w:t xml:space="preserve">On 25 August 2015, the government </w:t>
      </w:r>
      <w:r w:rsidRPr="00080F61">
        <w:rPr>
          <w:lang w:val="en"/>
        </w:rPr>
        <w:t>released its response</w:t>
      </w:r>
      <w:r>
        <w:rPr>
          <w:lang w:val="en"/>
        </w:rPr>
        <w:t xml:space="preserve">, agreeing </w:t>
      </w:r>
      <w:r w:rsidRPr="00080F61">
        <w:rPr>
          <w:lang w:val="en"/>
        </w:rPr>
        <w:t>to implement the recommendations of the Spectrum Review</w:t>
      </w:r>
      <w:r>
        <w:rPr>
          <w:lang w:val="en"/>
        </w:rPr>
        <w:t>.</w:t>
      </w:r>
      <w:r>
        <w:rPr>
          <w:rStyle w:val="FootnoteReference"/>
          <w:rFonts w:cs="Arial"/>
          <w:color w:val="000000" w:themeColor="text1"/>
          <w:lang w:val="en"/>
        </w:rPr>
        <w:footnoteReference w:id="8"/>
      </w:r>
    </w:p>
    <w:p w14:paraId="02DDEAFC" w14:textId="77777777" w:rsidR="00715A63" w:rsidRPr="007912CE" w:rsidRDefault="00715A63" w:rsidP="00715A63">
      <w:pPr>
        <w:spacing w:after="80"/>
        <w:rPr>
          <w:rFonts w:cs="Arial"/>
        </w:rPr>
      </w:pPr>
      <w:r>
        <w:rPr>
          <w:rFonts w:cs="Arial"/>
        </w:rPr>
        <w:t>The g</w:t>
      </w:r>
      <w:r w:rsidRPr="007912CE">
        <w:rPr>
          <w:rFonts w:cs="Arial"/>
        </w:rPr>
        <w:t>overnment will implement the three main recommendations of the review:</w:t>
      </w:r>
    </w:p>
    <w:p w14:paraId="168C6C10" w14:textId="77777777" w:rsidR="00715A63" w:rsidRPr="007912CE" w:rsidRDefault="00715A63" w:rsidP="00715A63">
      <w:pPr>
        <w:pStyle w:val="ListNumber2"/>
        <w:numPr>
          <w:ilvl w:val="0"/>
          <w:numId w:val="26"/>
        </w:numPr>
      </w:pPr>
      <w:r w:rsidRPr="007912CE">
        <w:t>Replace the current legislative arrangements with new legislation that removes prescriptive process and streamlines licensing, for a simpler and more flexible framework.</w:t>
      </w:r>
    </w:p>
    <w:p w14:paraId="241A633B" w14:textId="77777777" w:rsidR="00715A63" w:rsidRPr="007912CE" w:rsidRDefault="00715A63" w:rsidP="00715A63">
      <w:pPr>
        <w:pStyle w:val="ListNumber2"/>
      </w:pPr>
      <w:r w:rsidRPr="007912CE">
        <w:t>Better integrate the management of public sector and broadcasting spectrum to improve the consistency and integrity of the framework.</w:t>
      </w:r>
    </w:p>
    <w:p w14:paraId="235D8881" w14:textId="77777777" w:rsidR="00715A63" w:rsidRPr="007912CE" w:rsidRDefault="00715A63" w:rsidP="00207874">
      <w:pPr>
        <w:pStyle w:val="ListNumber2"/>
        <w:spacing w:after="240"/>
      </w:pPr>
      <w:r w:rsidRPr="007912CE">
        <w:t>Review spectrum pricing to ensure consistent and transparent arrangements to support the efficient use of spectrum and secondary markets.</w:t>
      </w:r>
    </w:p>
    <w:p w14:paraId="3AE4D53F" w14:textId="05A3B191" w:rsidR="00264184" w:rsidRPr="00264184" w:rsidRDefault="00715A63" w:rsidP="00264184">
      <w:pPr>
        <w:rPr>
          <w:rFonts w:cs="Arial"/>
          <w:szCs w:val="20"/>
          <w:lang w:val="en"/>
        </w:rPr>
      </w:pPr>
      <w:r w:rsidRPr="005030BA">
        <w:t>Implementation of the</w:t>
      </w:r>
      <w:r>
        <w:t xml:space="preserve"> recommendations of the Spectrum</w:t>
      </w:r>
      <w:r w:rsidRPr="005030BA">
        <w:t xml:space="preserve"> Review should assist the regulator (and the spectrum market itself) in a number of ways when it comes to addressing future demand for </w:t>
      </w:r>
      <w:r>
        <w:t>mobile</w:t>
      </w:r>
      <w:r w:rsidRPr="005030BA">
        <w:t xml:space="preserve"> broadband services. For example, it should make it simpler for the ACMA (or existing spectrum holders in bands) to change the use of spectrum to reflect changes in its highest value use. Other principles and strategies for addressing the growth in mobile broadband capacity are unlikely to ch</w:t>
      </w:r>
      <w:r w:rsidRPr="002C503A">
        <w:t>ange. An example is the need to monitor developments in the use of bands internationally and participate as appropriate in international forums to maximise the harmonisation of spectrum use nationally and internationally. For this rea</w:t>
      </w:r>
      <w:r w:rsidRPr="00A92380">
        <w:t xml:space="preserve">son in particular, the ACMA anticipates that planning to meet the likely contingencies for future </w:t>
      </w:r>
      <w:r>
        <w:t xml:space="preserve">mobile </w:t>
      </w:r>
      <w:r w:rsidRPr="002C503A">
        <w:t>broadband demand will continue to be ‘a long game’</w:t>
      </w:r>
      <w:r>
        <w:t>.</w:t>
      </w:r>
      <w:r w:rsidRPr="002C503A">
        <w:t xml:space="preserve"> The ACMA expects to review its broadband strategies following implementation of the recommendations</w:t>
      </w:r>
      <w:r w:rsidRPr="00A92380">
        <w:t xml:space="preserve"> of the Spectrum Review.</w:t>
      </w:r>
    </w:p>
    <w:sectPr w:rsidR="00264184" w:rsidRPr="00264184" w:rsidSect="00C77380">
      <w:headerReference w:type="even" r:id="rId34"/>
      <w:headerReference w:type="default" r:id="rId35"/>
      <w:footerReference w:type="even" r:id="rId36"/>
      <w:footerReference w:type="default" r:id="rId37"/>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C6DD66F" w14:textId="77777777" w:rsidR="002B7174" w:rsidRDefault="002B7174">
      <w:r>
        <w:separator/>
      </w:r>
    </w:p>
  </w:endnote>
  <w:endnote w:type="continuationSeparator" w:id="0">
    <w:p w14:paraId="085AEFB6" w14:textId="77777777" w:rsidR="002B7174" w:rsidRDefault="002B7174">
      <w:r>
        <w:continuationSeparator/>
      </w:r>
    </w:p>
  </w:endnote>
  <w:endnote w:type="continuationNotice" w:id="1">
    <w:p w14:paraId="685B4D34" w14:textId="77777777" w:rsidR="002B7174" w:rsidRDefault="002B717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宋体">
    <w:altName w:val="Arial Unicode MS"/>
    <w:charset w:val="86"/>
    <w:family w:val="auto"/>
    <w:pitch w:val="variable"/>
    <w:sig w:usb0="00000001" w:usb1="080E0000" w:usb2="00000010" w:usb3="00000000" w:csb0="00040000"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CCC8F8" w14:textId="77777777" w:rsidR="007C0D0A" w:rsidRDefault="007C0D0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8B06CE" w14:textId="77777777" w:rsidR="002B7174" w:rsidRPr="00A5474E" w:rsidRDefault="002B7174" w:rsidP="00A5474E">
    <w:pPr>
      <w:pStyle w:val="Footer"/>
    </w:pPr>
    <w:r>
      <w:rPr>
        <w:noProof/>
      </w:rPr>
      <w:drawing>
        <wp:inline distT="0" distB="0" distL="0" distR="0" wp14:anchorId="2538288F" wp14:editId="7678B8C8">
          <wp:extent cx="3483864" cy="249613"/>
          <wp:effectExtent l="0" t="0" r="0" b="0"/>
          <wp:docPr id="24" name="Picture 2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6E1B83" w14:textId="77777777" w:rsidR="007C0D0A" w:rsidRDefault="007C0D0A">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8C53A41" w14:textId="77777777" w:rsidR="002B7174" w:rsidRDefault="002B7174">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3046E9" w14:textId="77777777" w:rsidR="002B7174" w:rsidRDefault="002B7174">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A038326" w14:textId="77777777" w:rsidR="002B7174" w:rsidRPr="00622A3B" w:rsidRDefault="002B717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7C0D0A">
      <w:rPr>
        <w:noProof/>
        <w:color w:val="505050"/>
      </w:rPr>
      <w:t>iv</w:t>
    </w:r>
    <w:r w:rsidRPr="002E4DDC">
      <w:rPr>
        <w:color w:val="505050"/>
      </w:rPr>
      <w:fldChar w:fldCharType="end"/>
    </w:r>
  </w:p>
  <w:p w14:paraId="43CB038C" w14:textId="77777777" w:rsidR="002B7174" w:rsidRPr="00A5474E" w:rsidRDefault="002B7174" w:rsidP="00A5474E">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6DBE8CC" w14:textId="77777777" w:rsidR="002B7174" w:rsidRPr="00622A3B" w:rsidRDefault="002B717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7C0D0A">
      <w:rPr>
        <w:noProof/>
        <w:color w:val="505050"/>
      </w:rPr>
      <w:t>v</w:t>
    </w:r>
    <w:r w:rsidRPr="002E4DDC">
      <w:rPr>
        <w:color w:val="505050"/>
      </w:rPr>
      <w:fldChar w:fldCharType="end"/>
    </w:r>
  </w:p>
  <w:p w14:paraId="4D7ECCAD" w14:textId="77777777" w:rsidR="002B7174" w:rsidRPr="00A5474E" w:rsidRDefault="002B7174" w:rsidP="00A5474E">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3BBD95" w14:textId="77777777" w:rsidR="002B7174" w:rsidRPr="00622A3B" w:rsidRDefault="002B7174"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7C0D0A">
      <w:rPr>
        <w:noProof/>
        <w:color w:val="505050"/>
      </w:rPr>
      <w:t>iii</w:t>
    </w:r>
    <w:r w:rsidRPr="002E4DDC">
      <w:rPr>
        <w:color w:val="505050"/>
      </w:rPr>
      <w:fldChar w:fldCharType="end"/>
    </w:r>
  </w:p>
  <w:p w14:paraId="4BE4FA42" w14:textId="77777777" w:rsidR="002B7174" w:rsidRPr="00A5474E" w:rsidRDefault="002B7174" w:rsidP="00A5474E">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24590D" w14:textId="77777777" w:rsidR="002B7174" w:rsidRPr="00622A3B" w:rsidRDefault="002B7174"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7C0D0A">
      <w:rPr>
        <w:noProof/>
      </w:rPr>
      <w:t>16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71791891" w14:textId="77777777" w:rsidR="002B7174" w:rsidRPr="00A5474E" w:rsidRDefault="002B7174" w:rsidP="00A5474E">
    <w:pPr>
      <w:pStyle w:val="Foo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259436" w14:textId="77777777" w:rsidR="002B7174" w:rsidRPr="00622A3B" w:rsidRDefault="002B7174"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7C0D0A">
      <w:rPr>
        <w:noProof/>
        <w:color w:val="505050"/>
      </w:rPr>
      <w:t>15</w:t>
    </w:r>
    <w:r w:rsidRPr="00575AC5">
      <w:rPr>
        <w:color w:val="505050"/>
      </w:rPr>
      <w:fldChar w:fldCharType="end"/>
    </w:r>
  </w:p>
  <w:p w14:paraId="0DB38AD3" w14:textId="77777777" w:rsidR="002B7174" w:rsidRPr="00A5474E" w:rsidRDefault="002B7174" w:rsidP="00A5474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839D735" w14:textId="77777777" w:rsidR="002B7174" w:rsidRDefault="002B7174">
      <w:r>
        <w:separator/>
      </w:r>
    </w:p>
  </w:footnote>
  <w:footnote w:type="continuationSeparator" w:id="0">
    <w:p w14:paraId="39639E36" w14:textId="77777777" w:rsidR="002B7174" w:rsidRDefault="002B7174">
      <w:r>
        <w:continuationSeparator/>
      </w:r>
    </w:p>
  </w:footnote>
  <w:footnote w:type="continuationNotice" w:id="1">
    <w:p w14:paraId="095760F3" w14:textId="77777777" w:rsidR="002B7174" w:rsidRDefault="002B7174">
      <w:pPr>
        <w:spacing w:after="0" w:line="240" w:lineRule="auto"/>
      </w:pPr>
    </w:p>
  </w:footnote>
  <w:footnote w:id="2">
    <w:p w14:paraId="6C7F064B" w14:textId="196A7240" w:rsidR="002B7174" w:rsidRDefault="002B7174" w:rsidP="001D6ABD">
      <w:pPr>
        <w:pStyle w:val="FootnoteText"/>
        <w:spacing w:after="0"/>
      </w:pPr>
      <w:r>
        <w:rPr>
          <w:rStyle w:val="FootnoteReference"/>
        </w:rPr>
        <w:footnoteRef/>
      </w:r>
      <w:r>
        <w:t xml:space="preserve"> Alcatel-Lucent combined operations with Nokia in January 2016. However, in this paper, they will be referred to as Alcatel-Lucent. </w:t>
      </w:r>
    </w:p>
  </w:footnote>
  <w:footnote w:id="3">
    <w:p w14:paraId="31DDF2B4" w14:textId="77777777" w:rsidR="002B7174" w:rsidRDefault="002B7174" w:rsidP="00224D3C">
      <w:pPr>
        <w:pStyle w:val="FootnoteText"/>
        <w:spacing w:after="0"/>
      </w:pPr>
      <w:r>
        <w:rPr>
          <w:rStyle w:val="FootnoteReference"/>
        </w:rPr>
        <w:footnoteRef/>
      </w:r>
      <w:r>
        <w:t xml:space="preserve"> Available on the </w:t>
      </w:r>
      <w:hyperlink r:id="rId1" w:history="1">
        <w:r w:rsidRPr="005E6B5C">
          <w:rPr>
            <w:rStyle w:val="Hyperlink"/>
          </w:rPr>
          <w:t>ACMA website</w:t>
        </w:r>
      </w:hyperlink>
      <w:r>
        <w:t>.</w:t>
      </w:r>
    </w:p>
  </w:footnote>
  <w:footnote w:id="4">
    <w:p w14:paraId="25387579" w14:textId="77777777" w:rsidR="002B7174" w:rsidRDefault="002B7174" w:rsidP="00637A6A">
      <w:pPr>
        <w:pStyle w:val="FootnoteText"/>
        <w:spacing w:after="0"/>
      </w:pPr>
      <w:r>
        <w:rPr>
          <w:rStyle w:val="FootnoteReference"/>
        </w:rPr>
        <w:footnoteRef/>
      </w:r>
      <w:r>
        <w:t xml:space="preserve"> The ACMA is also able to use market data to inform spectrum demand, but this is not always available for the spectrum in question.</w:t>
      </w:r>
    </w:p>
  </w:footnote>
  <w:footnote w:id="5">
    <w:p w14:paraId="148545C5" w14:textId="55C177E9" w:rsidR="002B7174" w:rsidRDefault="002B7174" w:rsidP="00034622">
      <w:pPr>
        <w:pStyle w:val="FootnoteText"/>
        <w:spacing w:after="0"/>
      </w:pPr>
      <w:r>
        <w:rPr>
          <w:rStyle w:val="FootnoteReference"/>
        </w:rPr>
        <w:footnoteRef/>
      </w:r>
      <w:r>
        <w:t xml:space="preserve"> </w:t>
      </w:r>
      <w:r w:rsidRPr="008B68FC">
        <w:rPr>
          <w:rStyle w:val="FooterChar"/>
        </w:rPr>
        <w:t>Minister of Communications Malcolm Turnbull’s speech to Rad</w:t>
      </w:r>
      <w:r>
        <w:rPr>
          <w:rStyle w:val="FooterChar"/>
        </w:rPr>
        <w:t>C</w:t>
      </w:r>
      <w:r w:rsidRPr="008B68FC">
        <w:rPr>
          <w:rStyle w:val="FooterChar"/>
        </w:rPr>
        <w:t xml:space="preserve">omms 2014, available at: </w:t>
      </w:r>
      <w:hyperlink r:id="rId2" w:history="1">
        <w:r>
          <w:rPr>
            <w:rStyle w:val="Hyperlink"/>
          </w:rPr>
          <w:t>www.malcolmturnbull.com.au/media/radcomms-2014-spectrum-in-the-age-of-digital-innovation</w:t>
        </w:r>
      </w:hyperlink>
      <w:r w:rsidRPr="004F061D">
        <w:rPr>
          <w:rStyle w:val="Hyperlink"/>
          <w:color w:val="auto"/>
          <w:u w:val="none"/>
        </w:rPr>
        <w:t>.</w:t>
      </w:r>
    </w:p>
  </w:footnote>
  <w:footnote w:id="6">
    <w:p w14:paraId="0533F833" w14:textId="77777777" w:rsidR="002B7174" w:rsidRDefault="002B7174" w:rsidP="00715A63">
      <w:pPr>
        <w:pStyle w:val="FootnoteText"/>
        <w:spacing w:after="0"/>
      </w:pPr>
      <w:r>
        <w:rPr>
          <w:rStyle w:val="FootnoteReference"/>
        </w:rPr>
        <w:footnoteRef/>
      </w:r>
      <w:r>
        <w:t xml:space="preserve"> The Hon Malcolm Turnbull MP, Minister for Communications</w:t>
      </w:r>
      <w:r w:rsidRPr="005C2C6F">
        <w:t xml:space="preserve">, </w:t>
      </w:r>
      <w:hyperlink r:id="rId3" w:anchor=".VZN9wvN--70" w:history="1">
        <w:r w:rsidRPr="004403FA">
          <w:rPr>
            <w:rStyle w:val="Hyperlink"/>
          </w:rPr>
          <w:t>Spectrum reform to drive future innovation and productivity</w:t>
        </w:r>
      </w:hyperlink>
      <w:r>
        <w:t xml:space="preserve">, media release, 23 May 2014. </w:t>
      </w:r>
    </w:p>
  </w:footnote>
  <w:footnote w:id="7">
    <w:p w14:paraId="35C55EFF" w14:textId="3DB9D6C6" w:rsidR="002B7174" w:rsidRDefault="002B7174" w:rsidP="00715A63">
      <w:pPr>
        <w:pStyle w:val="FootnoteText"/>
        <w:spacing w:after="0"/>
      </w:pPr>
      <w:r>
        <w:rPr>
          <w:rStyle w:val="FootnoteReference"/>
        </w:rPr>
        <w:footnoteRef/>
      </w:r>
      <w:r>
        <w:t xml:space="preserve"> Available on the </w:t>
      </w:r>
      <w:hyperlink r:id="rId4" w:history="1">
        <w:r w:rsidRPr="00AE7E78">
          <w:rPr>
            <w:rStyle w:val="Hyperlink"/>
          </w:rPr>
          <w:t>Department of Communications</w:t>
        </w:r>
        <w:r>
          <w:rPr>
            <w:rStyle w:val="Hyperlink"/>
          </w:rPr>
          <w:t xml:space="preserve"> and the Arts</w:t>
        </w:r>
        <w:r w:rsidRPr="00AE7E78">
          <w:rPr>
            <w:rStyle w:val="Hyperlink"/>
          </w:rPr>
          <w:t xml:space="preserve"> website</w:t>
        </w:r>
      </w:hyperlink>
      <w:r>
        <w:t>.</w:t>
      </w:r>
    </w:p>
  </w:footnote>
  <w:footnote w:id="8">
    <w:p w14:paraId="6FDA2564" w14:textId="77777777" w:rsidR="002B7174" w:rsidRDefault="002B7174" w:rsidP="00715A63">
      <w:pPr>
        <w:pStyle w:val="FootnoteText"/>
        <w:spacing w:after="0"/>
      </w:pPr>
      <w:r>
        <w:rPr>
          <w:rStyle w:val="FootnoteReference"/>
        </w:rPr>
        <w:footnoteRef/>
      </w:r>
      <w:r>
        <w:t xml:space="preserve"> The Hon Malcolm Turnbull MP, Minister for Communications</w:t>
      </w:r>
      <w:r w:rsidRPr="005C2C6F">
        <w:t xml:space="preserve">, </w:t>
      </w:r>
      <w:hyperlink r:id="rId5" w:anchor=".Vdvf5fN--70" w:history="1">
        <w:r w:rsidRPr="00080F61">
          <w:rPr>
            <w:rStyle w:val="Hyperlink"/>
          </w:rPr>
          <w:t>Next stage of spectrum reform to commence</w:t>
        </w:r>
      </w:hyperlink>
      <w:r>
        <w:t>, media release, 25 August 2015.</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01798E" w14:textId="77777777" w:rsidR="007C0D0A" w:rsidRDefault="007C0D0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BF7BD4" w14:textId="77777777" w:rsidR="002B7174" w:rsidRPr="00A5474E" w:rsidRDefault="002B7174" w:rsidP="00A5474E">
    <w:pPr>
      <w:pStyle w:val="Header"/>
    </w:pPr>
    <w:r>
      <w:rPr>
        <w:noProof/>
      </w:rPr>
      <w:drawing>
        <wp:inline distT="0" distB="0" distL="0" distR="0" wp14:anchorId="3743EB83" wp14:editId="43AED542">
          <wp:extent cx="6388100" cy="520700"/>
          <wp:effectExtent l="0" t="0" r="0" b="12700"/>
          <wp:docPr id="4" name="Picture 4"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E4BF7C2" w14:textId="77777777" w:rsidR="002B7174" w:rsidRPr="00A5474E" w:rsidRDefault="002B7174" w:rsidP="00594E9C">
    <w:pPr>
      <w:pStyle w:val="TOCHeading"/>
    </w:pPr>
    <w:r w:rsidRPr="0029593B">
      <w:t>Contents</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A3D3E2" w14:textId="77777777" w:rsidR="002B7174" w:rsidRDefault="002B7174">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2AD928" w14:textId="77777777" w:rsidR="002B7174" w:rsidRDefault="002B7174">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78" w:type="dxa"/>
      <w:tblLayout w:type="fixed"/>
      <w:tblCellMar>
        <w:left w:w="0" w:type="dxa"/>
        <w:right w:w="0" w:type="dxa"/>
      </w:tblCellMar>
      <w:tblLook w:val="01E0" w:firstRow="1" w:lastRow="1" w:firstColumn="1" w:lastColumn="1" w:noHBand="0" w:noVBand="0"/>
    </w:tblPr>
    <w:tblGrid>
      <w:gridCol w:w="7678"/>
    </w:tblGrid>
    <w:tr w:rsidR="002B7174" w14:paraId="2BE89F2F" w14:textId="77777777" w:rsidTr="009135A5">
      <w:trPr>
        <w:trHeight w:hRule="exact" w:val="988"/>
      </w:trPr>
      <w:tc>
        <w:tcPr>
          <w:tcW w:w="7678" w:type="dxa"/>
          <w:shd w:val="clear" w:color="auto" w:fill="auto"/>
        </w:tcPr>
        <w:p w14:paraId="646904C3" w14:textId="77777777" w:rsidR="002B7174" w:rsidRDefault="002B7174" w:rsidP="00971914">
          <w:pPr>
            <w:pStyle w:val="Header"/>
          </w:pPr>
        </w:p>
      </w:tc>
    </w:tr>
    <w:tr w:rsidR="002B7174" w14:paraId="389803BD" w14:textId="77777777" w:rsidTr="009135A5">
      <w:tc>
        <w:tcPr>
          <w:tcW w:w="7678" w:type="dxa"/>
          <w:shd w:val="clear" w:color="auto" w:fill="auto"/>
        </w:tcPr>
        <w:p w14:paraId="162F8899" w14:textId="77777777" w:rsidR="002B7174" w:rsidRDefault="002B7174" w:rsidP="00971914">
          <w:pPr>
            <w:pStyle w:val="GridTable31"/>
          </w:pPr>
          <w:r>
            <w:t xml:space="preserve">Contents </w:t>
          </w:r>
          <w:r w:rsidRPr="00915B1C">
            <w:rPr>
              <w:b w:val="0"/>
              <w:spacing w:val="0"/>
              <w:sz w:val="28"/>
              <w:szCs w:val="28"/>
            </w:rPr>
            <w:t>(Continued)</w:t>
          </w:r>
        </w:p>
      </w:tc>
    </w:tr>
    <w:tr w:rsidR="002B7174" w14:paraId="7B8D5E69" w14:textId="77777777" w:rsidTr="009135A5">
      <w:trPr>
        <w:trHeight w:val="1220"/>
      </w:trPr>
      <w:tc>
        <w:tcPr>
          <w:tcW w:w="7678" w:type="dxa"/>
          <w:shd w:val="clear" w:color="auto" w:fill="auto"/>
        </w:tcPr>
        <w:p w14:paraId="3AD43F4E" w14:textId="77777777" w:rsidR="002B7174" w:rsidRDefault="002B7174" w:rsidP="00971914"/>
      </w:tc>
    </w:tr>
  </w:tbl>
  <w:p w14:paraId="796BE27E" w14:textId="77777777" w:rsidR="002B7174" w:rsidRDefault="002B7174" w:rsidP="00971914">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78" w:type="dxa"/>
      <w:tblLayout w:type="fixed"/>
      <w:tblCellMar>
        <w:left w:w="0" w:type="dxa"/>
        <w:right w:w="0" w:type="dxa"/>
      </w:tblCellMar>
      <w:tblLook w:val="01E0" w:firstRow="1" w:lastRow="1" w:firstColumn="1" w:lastColumn="1" w:noHBand="0" w:noVBand="0"/>
    </w:tblPr>
    <w:tblGrid>
      <w:gridCol w:w="7678"/>
    </w:tblGrid>
    <w:tr w:rsidR="002B7174" w14:paraId="2E5B1982" w14:textId="77777777" w:rsidTr="009135A5">
      <w:trPr>
        <w:trHeight w:hRule="exact" w:val="988"/>
      </w:trPr>
      <w:tc>
        <w:tcPr>
          <w:tcW w:w="7678" w:type="dxa"/>
          <w:shd w:val="clear" w:color="auto" w:fill="auto"/>
        </w:tcPr>
        <w:p w14:paraId="4B9BAD7B" w14:textId="77777777" w:rsidR="002B7174" w:rsidRDefault="002B7174" w:rsidP="00971914">
          <w:pPr>
            <w:pStyle w:val="Header"/>
          </w:pPr>
        </w:p>
      </w:tc>
    </w:tr>
    <w:tr w:rsidR="002B7174" w14:paraId="0CAD8ACA" w14:textId="77777777" w:rsidTr="009135A5">
      <w:tc>
        <w:tcPr>
          <w:tcW w:w="7678" w:type="dxa"/>
          <w:shd w:val="clear" w:color="auto" w:fill="auto"/>
        </w:tcPr>
        <w:p w14:paraId="77EE5130" w14:textId="77777777" w:rsidR="002B7174" w:rsidRDefault="002B7174" w:rsidP="00971914">
          <w:pPr>
            <w:pStyle w:val="GridTable31"/>
          </w:pPr>
          <w:r>
            <w:t xml:space="preserve">Contents </w:t>
          </w:r>
          <w:r w:rsidRPr="00915B1C">
            <w:rPr>
              <w:b w:val="0"/>
              <w:spacing w:val="0"/>
              <w:sz w:val="28"/>
              <w:szCs w:val="28"/>
            </w:rPr>
            <w:t>(Continued)</w:t>
          </w:r>
        </w:p>
      </w:tc>
    </w:tr>
    <w:tr w:rsidR="002B7174" w14:paraId="61C3525A" w14:textId="77777777" w:rsidTr="009135A5">
      <w:trPr>
        <w:trHeight w:val="1220"/>
      </w:trPr>
      <w:tc>
        <w:tcPr>
          <w:tcW w:w="7678" w:type="dxa"/>
          <w:shd w:val="clear" w:color="auto" w:fill="auto"/>
        </w:tcPr>
        <w:p w14:paraId="78B20DAB" w14:textId="77777777" w:rsidR="002B7174" w:rsidRDefault="002B7174" w:rsidP="00971914"/>
      </w:tc>
    </w:tr>
  </w:tbl>
  <w:p w14:paraId="1D3B4301" w14:textId="77777777" w:rsidR="002B7174" w:rsidRPr="00A5474E" w:rsidRDefault="002B7174" w:rsidP="00A5474E">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CB4017" w14:textId="77777777" w:rsidR="002B7174" w:rsidRDefault="002B7174">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91D609" w14:textId="77777777" w:rsidR="002B7174" w:rsidRDefault="002B717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F590337A"/>
    <w:lvl w:ilvl="0">
      <w:start w:val="1"/>
      <w:numFmt w:val="decimal"/>
      <w:lvlText w:val="%1."/>
      <w:lvlJc w:val="left"/>
      <w:pPr>
        <w:tabs>
          <w:tab w:val="num" w:pos="1492"/>
        </w:tabs>
        <w:ind w:left="1492" w:hanging="360"/>
      </w:pPr>
    </w:lvl>
  </w:abstractNum>
  <w:abstractNum w:abstractNumId="1">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2">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4">
    <w:nsid w:val="FFFFFF89"/>
    <w:multiLevelType w:val="singleLevel"/>
    <w:tmpl w:val="8D465DE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16915AE2"/>
    <w:multiLevelType w:val="multilevel"/>
    <w:tmpl w:val="BD9221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5492C67"/>
    <w:multiLevelType w:val="hybridMultilevel"/>
    <w:tmpl w:val="C1FC8424"/>
    <w:lvl w:ilvl="0" w:tplc="DC68FB34">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0">
    <w:nsid w:val="3947146F"/>
    <w:multiLevelType w:val="hybridMultilevel"/>
    <w:tmpl w:val="086680CA"/>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5D1F3C73"/>
    <w:multiLevelType w:val="hybridMultilevel"/>
    <w:tmpl w:val="8AF68F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6A1E5A9F"/>
    <w:multiLevelType w:val="hybridMultilevel"/>
    <w:tmpl w:val="B76C17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79593062"/>
    <w:multiLevelType w:val="multilevel"/>
    <w:tmpl w:val="C832E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2"/>
  </w:num>
  <w:num w:numId="3">
    <w:abstractNumId w:val="3"/>
  </w:num>
  <w:num w:numId="4">
    <w:abstractNumId w:val="1"/>
  </w:num>
  <w:num w:numId="5">
    <w:abstractNumId w:val="9"/>
  </w:num>
  <w:num w:numId="6">
    <w:abstractNumId w:val="14"/>
  </w:num>
  <w:num w:numId="7">
    <w:abstractNumId w:val="11"/>
  </w:num>
  <w:num w:numId="8">
    <w:abstractNumId w:val="13"/>
  </w:num>
  <w:num w:numId="9">
    <w:abstractNumId w:val="16"/>
  </w:num>
  <w:num w:numId="10">
    <w:abstractNumId w:val="6"/>
  </w:num>
  <w:num w:numId="11">
    <w:abstractNumId w:val="5"/>
  </w:num>
  <w:num w:numId="12">
    <w:abstractNumId w:val="4"/>
  </w:num>
  <w:num w:numId="13">
    <w:abstractNumId w:val="4"/>
  </w:num>
  <w:num w:numId="14">
    <w:abstractNumId w:val="4"/>
  </w:num>
  <w:num w:numId="15">
    <w:abstractNumId w:val="10"/>
  </w:num>
  <w:num w:numId="16">
    <w:abstractNumId w:val="4"/>
  </w:num>
  <w:num w:numId="17">
    <w:abstractNumId w:val="4"/>
  </w:num>
  <w:num w:numId="18">
    <w:abstractNumId w:val="8"/>
  </w:num>
  <w:num w:numId="19">
    <w:abstractNumId w:val="4"/>
  </w:num>
  <w:num w:numId="20">
    <w:abstractNumId w:val="4"/>
  </w:num>
  <w:num w:numId="21">
    <w:abstractNumId w:val="17"/>
  </w:num>
  <w:num w:numId="22">
    <w:abstractNumId w:val="7"/>
  </w:num>
  <w:num w:numId="23">
    <w:abstractNumId w:val="4"/>
  </w:num>
  <w:num w:numId="24">
    <w:abstractNumId w:val="4"/>
  </w:num>
  <w:num w:numId="25">
    <w:abstractNumId w:val="15"/>
  </w:num>
  <w:num w:numId="26">
    <w:abstractNumId w:val="1"/>
    <w:lvlOverride w:ilvl="0">
      <w:startOverride w:val="1"/>
    </w:lvlOverride>
  </w:num>
  <w:num w:numId="27">
    <w:abstractNumId w:val="12"/>
  </w:num>
  <w:num w:numId="28">
    <w:abstractNumId w:val="4"/>
  </w:num>
  <w:num w:numId="29">
    <w:abstractNumId w:val="4"/>
  </w:num>
  <w:num w:numId="30">
    <w:abstractNumId w:val="0"/>
  </w:num>
  <w:num w:numId="31">
    <w:abstractNumId w:val="1"/>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oNotTrackFormatting/>
  <w:defaultTabStop w:val="284"/>
  <w:evenAndOddHeaders/>
  <w:drawingGridHorizontalSpacing w:val="100"/>
  <w:displayHorizontalDrawingGridEvery w:val="2"/>
  <w:characterSpacingControl w:val="doNotCompress"/>
  <w:hdrShapeDefaults>
    <o:shapedefaults v:ext="edit" spidmax="10241">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29A5"/>
    <w:rsid w:val="00003DF1"/>
    <w:rsid w:val="00006FB3"/>
    <w:rsid w:val="00010667"/>
    <w:rsid w:val="000117B5"/>
    <w:rsid w:val="000129D5"/>
    <w:rsid w:val="00015AE7"/>
    <w:rsid w:val="00016E21"/>
    <w:rsid w:val="0001719C"/>
    <w:rsid w:val="00023994"/>
    <w:rsid w:val="00026F91"/>
    <w:rsid w:val="00034622"/>
    <w:rsid w:val="00044F90"/>
    <w:rsid w:val="00047A99"/>
    <w:rsid w:val="0005011A"/>
    <w:rsid w:val="0005045A"/>
    <w:rsid w:val="00051C1E"/>
    <w:rsid w:val="000539F9"/>
    <w:rsid w:val="00054C27"/>
    <w:rsid w:val="00055EC3"/>
    <w:rsid w:val="000563CE"/>
    <w:rsid w:val="000659B6"/>
    <w:rsid w:val="0006722A"/>
    <w:rsid w:val="00070703"/>
    <w:rsid w:val="00070CE3"/>
    <w:rsid w:val="00072032"/>
    <w:rsid w:val="000729CA"/>
    <w:rsid w:val="00072B26"/>
    <w:rsid w:val="00072C5B"/>
    <w:rsid w:val="000732CF"/>
    <w:rsid w:val="00075B96"/>
    <w:rsid w:val="0008196A"/>
    <w:rsid w:val="000844D9"/>
    <w:rsid w:val="000915ED"/>
    <w:rsid w:val="0009209D"/>
    <w:rsid w:val="000960DE"/>
    <w:rsid w:val="000969BD"/>
    <w:rsid w:val="000969BF"/>
    <w:rsid w:val="000A0C22"/>
    <w:rsid w:val="000A3A41"/>
    <w:rsid w:val="000A3C43"/>
    <w:rsid w:val="000A4A51"/>
    <w:rsid w:val="000A58B6"/>
    <w:rsid w:val="000A5D2B"/>
    <w:rsid w:val="000A72E6"/>
    <w:rsid w:val="000B10F7"/>
    <w:rsid w:val="000B5DE3"/>
    <w:rsid w:val="000C0A57"/>
    <w:rsid w:val="000C230C"/>
    <w:rsid w:val="000C2A63"/>
    <w:rsid w:val="000C37B0"/>
    <w:rsid w:val="000C3C11"/>
    <w:rsid w:val="000C6AB4"/>
    <w:rsid w:val="000C6F84"/>
    <w:rsid w:val="000C70DE"/>
    <w:rsid w:val="000D71D9"/>
    <w:rsid w:val="000D76E0"/>
    <w:rsid w:val="000D7E8B"/>
    <w:rsid w:val="000E2E66"/>
    <w:rsid w:val="000E4449"/>
    <w:rsid w:val="000E6097"/>
    <w:rsid w:val="00100578"/>
    <w:rsid w:val="00101F81"/>
    <w:rsid w:val="00102E23"/>
    <w:rsid w:val="00103829"/>
    <w:rsid w:val="00111113"/>
    <w:rsid w:val="00111FCE"/>
    <w:rsid w:val="00111FF9"/>
    <w:rsid w:val="0011311C"/>
    <w:rsid w:val="00114B15"/>
    <w:rsid w:val="001229A5"/>
    <w:rsid w:val="001233C5"/>
    <w:rsid w:val="0012489B"/>
    <w:rsid w:val="00127458"/>
    <w:rsid w:val="00130017"/>
    <w:rsid w:val="00130F91"/>
    <w:rsid w:val="001349ED"/>
    <w:rsid w:val="0013633D"/>
    <w:rsid w:val="001363ED"/>
    <w:rsid w:val="00137424"/>
    <w:rsid w:val="00140318"/>
    <w:rsid w:val="00141AD9"/>
    <w:rsid w:val="00145150"/>
    <w:rsid w:val="00146C74"/>
    <w:rsid w:val="00146CE6"/>
    <w:rsid w:val="00152903"/>
    <w:rsid w:val="00154AE5"/>
    <w:rsid w:val="00155000"/>
    <w:rsid w:val="0015614F"/>
    <w:rsid w:val="001577C2"/>
    <w:rsid w:val="001633C4"/>
    <w:rsid w:val="00167337"/>
    <w:rsid w:val="00171591"/>
    <w:rsid w:val="00172BF7"/>
    <w:rsid w:val="00172FFC"/>
    <w:rsid w:val="00173981"/>
    <w:rsid w:val="00174695"/>
    <w:rsid w:val="00175530"/>
    <w:rsid w:val="00176CB0"/>
    <w:rsid w:val="0017719D"/>
    <w:rsid w:val="0018057A"/>
    <w:rsid w:val="00182882"/>
    <w:rsid w:val="00185750"/>
    <w:rsid w:val="00185CAB"/>
    <w:rsid w:val="00186B47"/>
    <w:rsid w:val="0018704E"/>
    <w:rsid w:val="001875B7"/>
    <w:rsid w:val="00187CB3"/>
    <w:rsid w:val="0019050A"/>
    <w:rsid w:val="001910D4"/>
    <w:rsid w:val="001976E3"/>
    <w:rsid w:val="001A44EC"/>
    <w:rsid w:val="001B58AA"/>
    <w:rsid w:val="001B5B98"/>
    <w:rsid w:val="001B60F8"/>
    <w:rsid w:val="001B7E48"/>
    <w:rsid w:val="001C17CE"/>
    <w:rsid w:val="001C36CA"/>
    <w:rsid w:val="001C44D1"/>
    <w:rsid w:val="001C6AEE"/>
    <w:rsid w:val="001C7630"/>
    <w:rsid w:val="001D219E"/>
    <w:rsid w:val="001D6ABD"/>
    <w:rsid w:val="001D6C05"/>
    <w:rsid w:val="001D6D15"/>
    <w:rsid w:val="001D6FB2"/>
    <w:rsid w:val="001E05DF"/>
    <w:rsid w:val="001E3D39"/>
    <w:rsid w:val="001F0CC3"/>
    <w:rsid w:val="001F230F"/>
    <w:rsid w:val="001F6340"/>
    <w:rsid w:val="001F7558"/>
    <w:rsid w:val="002003D9"/>
    <w:rsid w:val="00205B57"/>
    <w:rsid w:val="00207874"/>
    <w:rsid w:val="00210CDD"/>
    <w:rsid w:val="002157E0"/>
    <w:rsid w:val="00216A57"/>
    <w:rsid w:val="002204EC"/>
    <w:rsid w:val="0022334F"/>
    <w:rsid w:val="00224697"/>
    <w:rsid w:val="00224D3C"/>
    <w:rsid w:val="00226471"/>
    <w:rsid w:val="00226819"/>
    <w:rsid w:val="002273C3"/>
    <w:rsid w:val="002310DE"/>
    <w:rsid w:val="00231860"/>
    <w:rsid w:val="00233101"/>
    <w:rsid w:val="00233817"/>
    <w:rsid w:val="00234DB8"/>
    <w:rsid w:val="002367FF"/>
    <w:rsid w:val="00240CE9"/>
    <w:rsid w:val="00242F83"/>
    <w:rsid w:val="002434BA"/>
    <w:rsid w:val="00246089"/>
    <w:rsid w:val="00246093"/>
    <w:rsid w:val="00246702"/>
    <w:rsid w:val="00246CFC"/>
    <w:rsid w:val="00247C59"/>
    <w:rsid w:val="00247F2E"/>
    <w:rsid w:val="00250A2E"/>
    <w:rsid w:val="00250ADC"/>
    <w:rsid w:val="00250B07"/>
    <w:rsid w:val="00253912"/>
    <w:rsid w:val="00257553"/>
    <w:rsid w:val="00260FB2"/>
    <w:rsid w:val="00262128"/>
    <w:rsid w:val="00264184"/>
    <w:rsid w:val="00265A42"/>
    <w:rsid w:val="00270E79"/>
    <w:rsid w:val="0027165D"/>
    <w:rsid w:val="00273CEB"/>
    <w:rsid w:val="00277A14"/>
    <w:rsid w:val="00281C89"/>
    <w:rsid w:val="0028282F"/>
    <w:rsid w:val="002844F0"/>
    <w:rsid w:val="002859FE"/>
    <w:rsid w:val="002870BD"/>
    <w:rsid w:val="00290A62"/>
    <w:rsid w:val="00290ED7"/>
    <w:rsid w:val="002939A4"/>
    <w:rsid w:val="00294BCE"/>
    <w:rsid w:val="0029593B"/>
    <w:rsid w:val="00297FC5"/>
    <w:rsid w:val="002A0417"/>
    <w:rsid w:val="002A16D8"/>
    <w:rsid w:val="002A1BC8"/>
    <w:rsid w:val="002A3EF2"/>
    <w:rsid w:val="002A6485"/>
    <w:rsid w:val="002A7824"/>
    <w:rsid w:val="002B0DED"/>
    <w:rsid w:val="002B19A2"/>
    <w:rsid w:val="002B381A"/>
    <w:rsid w:val="002B4FCC"/>
    <w:rsid w:val="002B7174"/>
    <w:rsid w:val="002B7408"/>
    <w:rsid w:val="002B7CFD"/>
    <w:rsid w:val="002C03DE"/>
    <w:rsid w:val="002C1363"/>
    <w:rsid w:val="002C210F"/>
    <w:rsid w:val="002C7E42"/>
    <w:rsid w:val="002D35A8"/>
    <w:rsid w:val="002D3600"/>
    <w:rsid w:val="002D798D"/>
    <w:rsid w:val="002E248A"/>
    <w:rsid w:val="002E29A8"/>
    <w:rsid w:val="002E3F57"/>
    <w:rsid w:val="002E4DDC"/>
    <w:rsid w:val="002E78B4"/>
    <w:rsid w:val="002F27FE"/>
    <w:rsid w:val="0030125B"/>
    <w:rsid w:val="00302480"/>
    <w:rsid w:val="003032AA"/>
    <w:rsid w:val="003165E6"/>
    <w:rsid w:val="00320A51"/>
    <w:rsid w:val="003217F8"/>
    <w:rsid w:val="003221CF"/>
    <w:rsid w:val="003233ED"/>
    <w:rsid w:val="00324D9F"/>
    <w:rsid w:val="00325DB0"/>
    <w:rsid w:val="00327948"/>
    <w:rsid w:val="0033000F"/>
    <w:rsid w:val="00332011"/>
    <w:rsid w:val="00332518"/>
    <w:rsid w:val="00332925"/>
    <w:rsid w:val="003332ED"/>
    <w:rsid w:val="0033685F"/>
    <w:rsid w:val="003368DC"/>
    <w:rsid w:val="0034241D"/>
    <w:rsid w:val="00345927"/>
    <w:rsid w:val="00350584"/>
    <w:rsid w:val="003513A7"/>
    <w:rsid w:val="00351857"/>
    <w:rsid w:val="00351C8E"/>
    <w:rsid w:val="00354453"/>
    <w:rsid w:val="003606E8"/>
    <w:rsid w:val="003610E1"/>
    <w:rsid w:val="003615DD"/>
    <w:rsid w:val="003671BE"/>
    <w:rsid w:val="00372485"/>
    <w:rsid w:val="00373200"/>
    <w:rsid w:val="003732E4"/>
    <w:rsid w:val="00375EF5"/>
    <w:rsid w:val="003767A5"/>
    <w:rsid w:val="00376BB9"/>
    <w:rsid w:val="00385254"/>
    <w:rsid w:val="00385477"/>
    <w:rsid w:val="0038619A"/>
    <w:rsid w:val="00392FA8"/>
    <w:rsid w:val="00393C83"/>
    <w:rsid w:val="0039504D"/>
    <w:rsid w:val="00395C18"/>
    <w:rsid w:val="003968D3"/>
    <w:rsid w:val="003A5F5B"/>
    <w:rsid w:val="003A69F1"/>
    <w:rsid w:val="003A7427"/>
    <w:rsid w:val="003A789A"/>
    <w:rsid w:val="003B12EC"/>
    <w:rsid w:val="003B408C"/>
    <w:rsid w:val="003B6F58"/>
    <w:rsid w:val="003C69FB"/>
    <w:rsid w:val="003C77E0"/>
    <w:rsid w:val="003C79FA"/>
    <w:rsid w:val="003C7CB9"/>
    <w:rsid w:val="003D17D7"/>
    <w:rsid w:val="003D2678"/>
    <w:rsid w:val="003D3ACB"/>
    <w:rsid w:val="003D71A3"/>
    <w:rsid w:val="003D7A63"/>
    <w:rsid w:val="003E2B8A"/>
    <w:rsid w:val="003F05AF"/>
    <w:rsid w:val="003F10EE"/>
    <w:rsid w:val="003F16F6"/>
    <w:rsid w:val="003F35FB"/>
    <w:rsid w:val="003F4DC7"/>
    <w:rsid w:val="003F5235"/>
    <w:rsid w:val="00400763"/>
    <w:rsid w:val="004027E4"/>
    <w:rsid w:val="00404883"/>
    <w:rsid w:val="00404DB1"/>
    <w:rsid w:val="004060BB"/>
    <w:rsid w:val="00406D84"/>
    <w:rsid w:val="00407385"/>
    <w:rsid w:val="0041071D"/>
    <w:rsid w:val="00413029"/>
    <w:rsid w:val="004136E7"/>
    <w:rsid w:val="00414AFC"/>
    <w:rsid w:val="004151A7"/>
    <w:rsid w:val="00415310"/>
    <w:rsid w:val="0042013F"/>
    <w:rsid w:val="00420CDF"/>
    <w:rsid w:val="00421709"/>
    <w:rsid w:val="00423763"/>
    <w:rsid w:val="00425694"/>
    <w:rsid w:val="0042762F"/>
    <w:rsid w:val="00427DC7"/>
    <w:rsid w:val="00431556"/>
    <w:rsid w:val="00431613"/>
    <w:rsid w:val="00431792"/>
    <w:rsid w:val="00432821"/>
    <w:rsid w:val="0043297A"/>
    <w:rsid w:val="00432EB2"/>
    <w:rsid w:val="00433222"/>
    <w:rsid w:val="0043714F"/>
    <w:rsid w:val="004438B5"/>
    <w:rsid w:val="00447037"/>
    <w:rsid w:val="0045124D"/>
    <w:rsid w:val="00454596"/>
    <w:rsid w:val="0045605D"/>
    <w:rsid w:val="00456D37"/>
    <w:rsid w:val="00460698"/>
    <w:rsid w:val="00460E15"/>
    <w:rsid w:val="0046135B"/>
    <w:rsid w:val="00464CA4"/>
    <w:rsid w:val="00465F1A"/>
    <w:rsid w:val="00466AD4"/>
    <w:rsid w:val="004718CC"/>
    <w:rsid w:val="00473D31"/>
    <w:rsid w:val="0047603C"/>
    <w:rsid w:val="0047766B"/>
    <w:rsid w:val="00477D8F"/>
    <w:rsid w:val="004813A3"/>
    <w:rsid w:val="00481695"/>
    <w:rsid w:val="004825B3"/>
    <w:rsid w:val="00483970"/>
    <w:rsid w:val="0049580A"/>
    <w:rsid w:val="00495A96"/>
    <w:rsid w:val="00495BB3"/>
    <w:rsid w:val="004A2671"/>
    <w:rsid w:val="004A4F3D"/>
    <w:rsid w:val="004A56BB"/>
    <w:rsid w:val="004B0A55"/>
    <w:rsid w:val="004B10C5"/>
    <w:rsid w:val="004B1751"/>
    <w:rsid w:val="004C0253"/>
    <w:rsid w:val="004C17A5"/>
    <w:rsid w:val="004C1A59"/>
    <w:rsid w:val="004C5986"/>
    <w:rsid w:val="004C5C01"/>
    <w:rsid w:val="004C7518"/>
    <w:rsid w:val="004D1193"/>
    <w:rsid w:val="004D49B4"/>
    <w:rsid w:val="004D56FF"/>
    <w:rsid w:val="004D7195"/>
    <w:rsid w:val="004E39D3"/>
    <w:rsid w:val="004E508A"/>
    <w:rsid w:val="004E616D"/>
    <w:rsid w:val="004E7D3E"/>
    <w:rsid w:val="004F061D"/>
    <w:rsid w:val="004F1BDE"/>
    <w:rsid w:val="004F2CEE"/>
    <w:rsid w:val="004F4E78"/>
    <w:rsid w:val="004F556E"/>
    <w:rsid w:val="004F7A12"/>
    <w:rsid w:val="004F7F44"/>
    <w:rsid w:val="005037B4"/>
    <w:rsid w:val="005042A6"/>
    <w:rsid w:val="00505F98"/>
    <w:rsid w:val="00506954"/>
    <w:rsid w:val="005079BF"/>
    <w:rsid w:val="00512447"/>
    <w:rsid w:val="00515A02"/>
    <w:rsid w:val="005201BA"/>
    <w:rsid w:val="005219E7"/>
    <w:rsid w:val="0052221D"/>
    <w:rsid w:val="00530C31"/>
    <w:rsid w:val="00531B9A"/>
    <w:rsid w:val="00531BB9"/>
    <w:rsid w:val="00531D15"/>
    <w:rsid w:val="00533974"/>
    <w:rsid w:val="00536FD9"/>
    <w:rsid w:val="00537269"/>
    <w:rsid w:val="00537604"/>
    <w:rsid w:val="00541FFC"/>
    <w:rsid w:val="0054222D"/>
    <w:rsid w:val="00542377"/>
    <w:rsid w:val="00545A86"/>
    <w:rsid w:val="00546101"/>
    <w:rsid w:val="005476EB"/>
    <w:rsid w:val="005477E0"/>
    <w:rsid w:val="00550E5E"/>
    <w:rsid w:val="00551782"/>
    <w:rsid w:val="00553938"/>
    <w:rsid w:val="0056244C"/>
    <w:rsid w:val="00563EF1"/>
    <w:rsid w:val="00566AB4"/>
    <w:rsid w:val="00571D2B"/>
    <w:rsid w:val="005739A2"/>
    <w:rsid w:val="00574350"/>
    <w:rsid w:val="00575AC5"/>
    <w:rsid w:val="0057605D"/>
    <w:rsid w:val="00577D71"/>
    <w:rsid w:val="00581347"/>
    <w:rsid w:val="00581AC9"/>
    <w:rsid w:val="00582AEE"/>
    <w:rsid w:val="00583697"/>
    <w:rsid w:val="005849F8"/>
    <w:rsid w:val="005863B9"/>
    <w:rsid w:val="00590AE7"/>
    <w:rsid w:val="005910BA"/>
    <w:rsid w:val="005938DF"/>
    <w:rsid w:val="00593DDE"/>
    <w:rsid w:val="00594E9C"/>
    <w:rsid w:val="005952D9"/>
    <w:rsid w:val="00596653"/>
    <w:rsid w:val="005968F3"/>
    <w:rsid w:val="005A099B"/>
    <w:rsid w:val="005A2D9C"/>
    <w:rsid w:val="005A3A61"/>
    <w:rsid w:val="005A3E26"/>
    <w:rsid w:val="005A55FE"/>
    <w:rsid w:val="005A627E"/>
    <w:rsid w:val="005A6A11"/>
    <w:rsid w:val="005B01CB"/>
    <w:rsid w:val="005B63F2"/>
    <w:rsid w:val="005B723F"/>
    <w:rsid w:val="005D2502"/>
    <w:rsid w:val="005D47F3"/>
    <w:rsid w:val="005D49BF"/>
    <w:rsid w:val="005D4E69"/>
    <w:rsid w:val="005D6F4E"/>
    <w:rsid w:val="005D7BB8"/>
    <w:rsid w:val="005E106B"/>
    <w:rsid w:val="005E1600"/>
    <w:rsid w:val="005E3ACD"/>
    <w:rsid w:val="005E7226"/>
    <w:rsid w:val="005E7A57"/>
    <w:rsid w:val="005F159C"/>
    <w:rsid w:val="005F1A1D"/>
    <w:rsid w:val="005F1AE8"/>
    <w:rsid w:val="005F24B0"/>
    <w:rsid w:val="005F2E14"/>
    <w:rsid w:val="00601EE3"/>
    <w:rsid w:val="00604315"/>
    <w:rsid w:val="00604E26"/>
    <w:rsid w:val="006052CF"/>
    <w:rsid w:val="00605403"/>
    <w:rsid w:val="006057B3"/>
    <w:rsid w:val="00607088"/>
    <w:rsid w:val="00607160"/>
    <w:rsid w:val="00607262"/>
    <w:rsid w:val="00607B8D"/>
    <w:rsid w:val="00611F5C"/>
    <w:rsid w:val="006123DB"/>
    <w:rsid w:val="00614CA9"/>
    <w:rsid w:val="00615B4A"/>
    <w:rsid w:val="00616E09"/>
    <w:rsid w:val="00622A3B"/>
    <w:rsid w:val="00622EEA"/>
    <w:rsid w:val="0062396C"/>
    <w:rsid w:val="00623FF9"/>
    <w:rsid w:val="00627D4E"/>
    <w:rsid w:val="006313F7"/>
    <w:rsid w:val="00634478"/>
    <w:rsid w:val="006360F1"/>
    <w:rsid w:val="00637A6A"/>
    <w:rsid w:val="00643330"/>
    <w:rsid w:val="006436DD"/>
    <w:rsid w:val="00644373"/>
    <w:rsid w:val="006450DB"/>
    <w:rsid w:val="00645915"/>
    <w:rsid w:val="006459E4"/>
    <w:rsid w:val="006519C3"/>
    <w:rsid w:val="0065224C"/>
    <w:rsid w:val="00652B30"/>
    <w:rsid w:val="00655306"/>
    <w:rsid w:val="00656345"/>
    <w:rsid w:val="006567C6"/>
    <w:rsid w:val="00656DC6"/>
    <w:rsid w:val="00660121"/>
    <w:rsid w:val="00663933"/>
    <w:rsid w:val="00664110"/>
    <w:rsid w:val="00664D17"/>
    <w:rsid w:val="0066612F"/>
    <w:rsid w:val="00666520"/>
    <w:rsid w:val="00666E40"/>
    <w:rsid w:val="00667C5B"/>
    <w:rsid w:val="0067349B"/>
    <w:rsid w:val="00674C0A"/>
    <w:rsid w:val="00674C77"/>
    <w:rsid w:val="00683835"/>
    <w:rsid w:val="006844CE"/>
    <w:rsid w:val="00690B25"/>
    <w:rsid w:val="0069271A"/>
    <w:rsid w:val="00692CDE"/>
    <w:rsid w:val="00693073"/>
    <w:rsid w:val="006933A0"/>
    <w:rsid w:val="006977FF"/>
    <w:rsid w:val="006A004F"/>
    <w:rsid w:val="006A01FA"/>
    <w:rsid w:val="006A0E9E"/>
    <w:rsid w:val="006A25C7"/>
    <w:rsid w:val="006A4AAD"/>
    <w:rsid w:val="006A6DA2"/>
    <w:rsid w:val="006A7AB2"/>
    <w:rsid w:val="006B5717"/>
    <w:rsid w:val="006B582F"/>
    <w:rsid w:val="006B6DFA"/>
    <w:rsid w:val="006B7547"/>
    <w:rsid w:val="006C0CEB"/>
    <w:rsid w:val="006C144F"/>
    <w:rsid w:val="006C2B1E"/>
    <w:rsid w:val="006C3B1E"/>
    <w:rsid w:val="006C47FD"/>
    <w:rsid w:val="006C5587"/>
    <w:rsid w:val="006C70A0"/>
    <w:rsid w:val="006D27CB"/>
    <w:rsid w:val="006D2F08"/>
    <w:rsid w:val="006D576C"/>
    <w:rsid w:val="006D5865"/>
    <w:rsid w:val="006D7CF1"/>
    <w:rsid w:val="006E1570"/>
    <w:rsid w:val="006E4B1B"/>
    <w:rsid w:val="006E5445"/>
    <w:rsid w:val="006E7D93"/>
    <w:rsid w:val="006F25A6"/>
    <w:rsid w:val="007029A3"/>
    <w:rsid w:val="00702DC9"/>
    <w:rsid w:val="00703232"/>
    <w:rsid w:val="00704B6E"/>
    <w:rsid w:val="00706E4E"/>
    <w:rsid w:val="0070791C"/>
    <w:rsid w:val="00710FC4"/>
    <w:rsid w:val="0071383C"/>
    <w:rsid w:val="007141A7"/>
    <w:rsid w:val="00714F0A"/>
    <w:rsid w:val="00715708"/>
    <w:rsid w:val="00715A63"/>
    <w:rsid w:val="00720E89"/>
    <w:rsid w:val="00721032"/>
    <w:rsid w:val="00721B55"/>
    <w:rsid w:val="00724E78"/>
    <w:rsid w:val="0072581D"/>
    <w:rsid w:val="00725AEC"/>
    <w:rsid w:val="00726CE4"/>
    <w:rsid w:val="00734143"/>
    <w:rsid w:val="00737E47"/>
    <w:rsid w:val="00740EAC"/>
    <w:rsid w:val="00741D7D"/>
    <w:rsid w:val="00744956"/>
    <w:rsid w:val="00745A5C"/>
    <w:rsid w:val="0074605F"/>
    <w:rsid w:val="00746708"/>
    <w:rsid w:val="00747E94"/>
    <w:rsid w:val="007541BB"/>
    <w:rsid w:val="00754894"/>
    <w:rsid w:val="00754EFB"/>
    <w:rsid w:val="0075541C"/>
    <w:rsid w:val="00766749"/>
    <w:rsid w:val="00767C1B"/>
    <w:rsid w:val="00771373"/>
    <w:rsid w:val="007714A9"/>
    <w:rsid w:val="00774362"/>
    <w:rsid w:val="00774F88"/>
    <w:rsid w:val="00774FDB"/>
    <w:rsid w:val="00777BA2"/>
    <w:rsid w:val="00777F84"/>
    <w:rsid w:val="007802FB"/>
    <w:rsid w:val="0078092B"/>
    <w:rsid w:val="00781408"/>
    <w:rsid w:val="00781D45"/>
    <w:rsid w:val="00784F7F"/>
    <w:rsid w:val="00785FAE"/>
    <w:rsid w:val="00787E49"/>
    <w:rsid w:val="007947CF"/>
    <w:rsid w:val="00796F25"/>
    <w:rsid w:val="007A2E98"/>
    <w:rsid w:val="007A3BA3"/>
    <w:rsid w:val="007A6CC0"/>
    <w:rsid w:val="007A7FEC"/>
    <w:rsid w:val="007B0AD6"/>
    <w:rsid w:val="007B1499"/>
    <w:rsid w:val="007B1BBF"/>
    <w:rsid w:val="007B2960"/>
    <w:rsid w:val="007B355D"/>
    <w:rsid w:val="007B6DBF"/>
    <w:rsid w:val="007B6FE7"/>
    <w:rsid w:val="007B7980"/>
    <w:rsid w:val="007B7C03"/>
    <w:rsid w:val="007C0D0A"/>
    <w:rsid w:val="007C5D5A"/>
    <w:rsid w:val="007C607F"/>
    <w:rsid w:val="007C79DD"/>
    <w:rsid w:val="007D1A97"/>
    <w:rsid w:val="007D1CF3"/>
    <w:rsid w:val="007D2CD6"/>
    <w:rsid w:val="007D3063"/>
    <w:rsid w:val="007D3CEB"/>
    <w:rsid w:val="007E09E3"/>
    <w:rsid w:val="007E46BA"/>
    <w:rsid w:val="007E72A6"/>
    <w:rsid w:val="007E7666"/>
    <w:rsid w:val="007E7683"/>
    <w:rsid w:val="007F49FA"/>
    <w:rsid w:val="007F54C4"/>
    <w:rsid w:val="007F6291"/>
    <w:rsid w:val="007F6E9A"/>
    <w:rsid w:val="007F7AF8"/>
    <w:rsid w:val="008044D4"/>
    <w:rsid w:val="00807B1E"/>
    <w:rsid w:val="00810AB4"/>
    <w:rsid w:val="00817B56"/>
    <w:rsid w:val="00821A88"/>
    <w:rsid w:val="0082495D"/>
    <w:rsid w:val="00831AC3"/>
    <w:rsid w:val="00834D50"/>
    <w:rsid w:val="008408FF"/>
    <w:rsid w:val="008450C6"/>
    <w:rsid w:val="00847435"/>
    <w:rsid w:val="00847674"/>
    <w:rsid w:val="00847D94"/>
    <w:rsid w:val="00851F3F"/>
    <w:rsid w:val="00856EDC"/>
    <w:rsid w:val="00860300"/>
    <w:rsid w:val="008623B5"/>
    <w:rsid w:val="00870ABA"/>
    <w:rsid w:val="008710E1"/>
    <w:rsid w:val="008716E5"/>
    <w:rsid w:val="00874496"/>
    <w:rsid w:val="00881CA9"/>
    <w:rsid w:val="008826CC"/>
    <w:rsid w:val="00883628"/>
    <w:rsid w:val="008840F0"/>
    <w:rsid w:val="00885544"/>
    <w:rsid w:val="0088634E"/>
    <w:rsid w:val="008869EA"/>
    <w:rsid w:val="00887462"/>
    <w:rsid w:val="00891C18"/>
    <w:rsid w:val="00893AB8"/>
    <w:rsid w:val="008964FD"/>
    <w:rsid w:val="00896AA5"/>
    <w:rsid w:val="00897374"/>
    <w:rsid w:val="008A04C8"/>
    <w:rsid w:val="008A6913"/>
    <w:rsid w:val="008A6F20"/>
    <w:rsid w:val="008B3288"/>
    <w:rsid w:val="008B68FC"/>
    <w:rsid w:val="008B70F3"/>
    <w:rsid w:val="008B76DF"/>
    <w:rsid w:val="008B7757"/>
    <w:rsid w:val="008C05EF"/>
    <w:rsid w:val="008C10F4"/>
    <w:rsid w:val="008C1BF9"/>
    <w:rsid w:val="008C3F40"/>
    <w:rsid w:val="008C6596"/>
    <w:rsid w:val="008C65F7"/>
    <w:rsid w:val="008E4767"/>
    <w:rsid w:val="008E754E"/>
    <w:rsid w:val="008E7A8C"/>
    <w:rsid w:val="008F13C0"/>
    <w:rsid w:val="008F1ABB"/>
    <w:rsid w:val="00900C85"/>
    <w:rsid w:val="00903285"/>
    <w:rsid w:val="00903728"/>
    <w:rsid w:val="0090395E"/>
    <w:rsid w:val="00906F40"/>
    <w:rsid w:val="0090731E"/>
    <w:rsid w:val="00911439"/>
    <w:rsid w:val="00912388"/>
    <w:rsid w:val="00912A66"/>
    <w:rsid w:val="009133F8"/>
    <w:rsid w:val="009135A5"/>
    <w:rsid w:val="00914262"/>
    <w:rsid w:val="00915B1C"/>
    <w:rsid w:val="00916D9D"/>
    <w:rsid w:val="009174F3"/>
    <w:rsid w:val="0091797D"/>
    <w:rsid w:val="009179AF"/>
    <w:rsid w:val="00923CBA"/>
    <w:rsid w:val="00926703"/>
    <w:rsid w:val="009269B5"/>
    <w:rsid w:val="00927691"/>
    <w:rsid w:val="00927A5F"/>
    <w:rsid w:val="00927BDF"/>
    <w:rsid w:val="00933FBE"/>
    <w:rsid w:val="00935B63"/>
    <w:rsid w:val="0094078F"/>
    <w:rsid w:val="00940FA3"/>
    <w:rsid w:val="00941B23"/>
    <w:rsid w:val="00941FB0"/>
    <w:rsid w:val="009426D4"/>
    <w:rsid w:val="00942B09"/>
    <w:rsid w:val="0094390F"/>
    <w:rsid w:val="00943942"/>
    <w:rsid w:val="00945012"/>
    <w:rsid w:val="00947CB2"/>
    <w:rsid w:val="00947F25"/>
    <w:rsid w:val="00950159"/>
    <w:rsid w:val="009517B3"/>
    <w:rsid w:val="0095490B"/>
    <w:rsid w:val="009566C2"/>
    <w:rsid w:val="00961A9E"/>
    <w:rsid w:val="00962B16"/>
    <w:rsid w:val="00962EE9"/>
    <w:rsid w:val="00965B42"/>
    <w:rsid w:val="00967069"/>
    <w:rsid w:val="00971914"/>
    <w:rsid w:val="00974363"/>
    <w:rsid w:val="00981898"/>
    <w:rsid w:val="00981B82"/>
    <w:rsid w:val="00982D94"/>
    <w:rsid w:val="00983CE8"/>
    <w:rsid w:val="0099074C"/>
    <w:rsid w:val="00991D05"/>
    <w:rsid w:val="0099577C"/>
    <w:rsid w:val="009A025A"/>
    <w:rsid w:val="009A2687"/>
    <w:rsid w:val="009A59AE"/>
    <w:rsid w:val="009A6904"/>
    <w:rsid w:val="009B4370"/>
    <w:rsid w:val="009B4E9E"/>
    <w:rsid w:val="009B674F"/>
    <w:rsid w:val="009B7B95"/>
    <w:rsid w:val="009C1690"/>
    <w:rsid w:val="009C6881"/>
    <w:rsid w:val="009C7759"/>
    <w:rsid w:val="009D043D"/>
    <w:rsid w:val="009D17C9"/>
    <w:rsid w:val="009D2010"/>
    <w:rsid w:val="009D6C71"/>
    <w:rsid w:val="009E0631"/>
    <w:rsid w:val="009E076C"/>
    <w:rsid w:val="009E16D0"/>
    <w:rsid w:val="009E38FD"/>
    <w:rsid w:val="009E3E28"/>
    <w:rsid w:val="009F13D6"/>
    <w:rsid w:val="009F278A"/>
    <w:rsid w:val="009F34B1"/>
    <w:rsid w:val="009F4C6B"/>
    <w:rsid w:val="009F672E"/>
    <w:rsid w:val="009F697D"/>
    <w:rsid w:val="009F78A8"/>
    <w:rsid w:val="00A02AA1"/>
    <w:rsid w:val="00A02AD6"/>
    <w:rsid w:val="00A032D5"/>
    <w:rsid w:val="00A07096"/>
    <w:rsid w:val="00A07318"/>
    <w:rsid w:val="00A07BF8"/>
    <w:rsid w:val="00A11370"/>
    <w:rsid w:val="00A12438"/>
    <w:rsid w:val="00A1305C"/>
    <w:rsid w:val="00A1504A"/>
    <w:rsid w:val="00A224CE"/>
    <w:rsid w:val="00A22521"/>
    <w:rsid w:val="00A22522"/>
    <w:rsid w:val="00A24774"/>
    <w:rsid w:val="00A24AFD"/>
    <w:rsid w:val="00A24F5C"/>
    <w:rsid w:val="00A32F96"/>
    <w:rsid w:val="00A33D55"/>
    <w:rsid w:val="00A40871"/>
    <w:rsid w:val="00A40A4C"/>
    <w:rsid w:val="00A412AB"/>
    <w:rsid w:val="00A41728"/>
    <w:rsid w:val="00A4193E"/>
    <w:rsid w:val="00A440E0"/>
    <w:rsid w:val="00A442EF"/>
    <w:rsid w:val="00A46D65"/>
    <w:rsid w:val="00A51D1A"/>
    <w:rsid w:val="00A5418D"/>
    <w:rsid w:val="00A5474E"/>
    <w:rsid w:val="00A56D53"/>
    <w:rsid w:val="00A57A1E"/>
    <w:rsid w:val="00A6145F"/>
    <w:rsid w:val="00A65411"/>
    <w:rsid w:val="00A70ADF"/>
    <w:rsid w:val="00A71466"/>
    <w:rsid w:val="00A7309A"/>
    <w:rsid w:val="00A73BD7"/>
    <w:rsid w:val="00A74B5E"/>
    <w:rsid w:val="00A81BED"/>
    <w:rsid w:val="00A81EC4"/>
    <w:rsid w:val="00A82222"/>
    <w:rsid w:val="00A8506A"/>
    <w:rsid w:val="00A9628A"/>
    <w:rsid w:val="00A967FD"/>
    <w:rsid w:val="00AA13C9"/>
    <w:rsid w:val="00AB156C"/>
    <w:rsid w:val="00AB4D9E"/>
    <w:rsid w:val="00AB6814"/>
    <w:rsid w:val="00AB7842"/>
    <w:rsid w:val="00AC04BA"/>
    <w:rsid w:val="00AC0E39"/>
    <w:rsid w:val="00AC2D18"/>
    <w:rsid w:val="00AC569E"/>
    <w:rsid w:val="00AC5E79"/>
    <w:rsid w:val="00AD1EBB"/>
    <w:rsid w:val="00AD25E5"/>
    <w:rsid w:val="00AD3082"/>
    <w:rsid w:val="00AD4482"/>
    <w:rsid w:val="00AD4AD0"/>
    <w:rsid w:val="00AD5436"/>
    <w:rsid w:val="00AD5E2A"/>
    <w:rsid w:val="00AD60CD"/>
    <w:rsid w:val="00AD6C8C"/>
    <w:rsid w:val="00AE091D"/>
    <w:rsid w:val="00AE3B60"/>
    <w:rsid w:val="00AE53A1"/>
    <w:rsid w:val="00AE5C79"/>
    <w:rsid w:val="00AE7174"/>
    <w:rsid w:val="00AF189B"/>
    <w:rsid w:val="00AF2484"/>
    <w:rsid w:val="00AF30AA"/>
    <w:rsid w:val="00AF47C3"/>
    <w:rsid w:val="00AF63E7"/>
    <w:rsid w:val="00B0165D"/>
    <w:rsid w:val="00B01C6F"/>
    <w:rsid w:val="00B031F3"/>
    <w:rsid w:val="00B0349C"/>
    <w:rsid w:val="00B03712"/>
    <w:rsid w:val="00B052A4"/>
    <w:rsid w:val="00B07CDA"/>
    <w:rsid w:val="00B10F59"/>
    <w:rsid w:val="00B125DE"/>
    <w:rsid w:val="00B13139"/>
    <w:rsid w:val="00B13FDD"/>
    <w:rsid w:val="00B15CEC"/>
    <w:rsid w:val="00B15D12"/>
    <w:rsid w:val="00B21553"/>
    <w:rsid w:val="00B22EB2"/>
    <w:rsid w:val="00B23251"/>
    <w:rsid w:val="00B23D27"/>
    <w:rsid w:val="00B24F33"/>
    <w:rsid w:val="00B27442"/>
    <w:rsid w:val="00B30E7C"/>
    <w:rsid w:val="00B31167"/>
    <w:rsid w:val="00B329D8"/>
    <w:rsid w:val="00B32BB9"/>
    <w:rsid w:val="00B3332F"/>
    <w:rsid w:val="00B33AE1"/>
    <w:rsid w:val="00B374B7"/>
    <w:rsid w:val="00B37C38"/>
    <w:rsid w:val="00B4288C"/>
    <w:rsid w:val="00B43262"/>
    <w:rsid w:val="00B435FF"/>
    <w:rsid w:val="00B44100"/>
    <w:rsid w:val="00B445FD"/>
    <w:rsid w:val="00B46CBA"/>
    <w:rsid w:val="00B46F94"/>
    <w:rsid w:val="00B51954"/>
    <w:rsid w:val="00B52D03"/>
    <w:rsid w:val="00B61F03"/>
    <w:rsid w:val="00B626E4"/>
    <w:rsid w:val="00B67FCF"/>
    <w:rsid w:val="00B71823"/>
    <w:rsid w:val="00B72F4A"/>
    <w:rsid w:val="00B74C00"/>
    <w:rsid w:val="00B83C27"/>
    <w:rsid w:val="00B84358"/>
    <w:rsid w:val="00B84BC3"/>
    <w:rsid w:val="00B84BDD"/>
    <w:rsid w:val="00B8590B"/>
    <w:rsid w:val="00B87390"/>
    <w:rsid w:val="00B92812"/>
    <w:rsid w:val="00B93824"/>
    <w:rsid w:val="00BA076C"/>
    <w:rsid w:val="00BA72F2"/>
    <w:rsid w:val="00BB0E11"/>
    <w:rsid w:val="00BB45A1"/>
    <w:rsid w:val="00BB7686"/>
    <w:rsid w:val="00BB7F7F"/>
    <w:rsid w:val="00BC23F9"/>
    <w:rsid w:val="00BC26E9"/>
    <w:rsid w:val="00BC2B2A"/>
    <w:rsid w:val="00BC3421"/>
    <w:rsid w:val="00BC732C"/>
    <w:rsid w:val="00BC7DED"/>
    <w:rsid w:val="00BD37C6"/>
    <w:rsid w:val="00BE1D1F"/>
    <w:rsid w:val="00BE2580"/>
    <w:rsid w:val="00BE266D"/>
    <w:rsid w:val="00BE3938"/>
    <w:rsid w:val="00BE425C"/>
    <w:rsid w:val="00BE4C11"/>
    <w:rsid w:val="00BE71C0"/>
    <w:rsid w:val="00BF610C"/>
    <w:rsid w:val="00C0060B"/>
    <w:rsid w:val="00C0277D"/>
    <w:rsid w:val="00C03B40"/>
    <w:rsid w:val="00C04C87"/>
    <w:rsid w:val="00C053A1"/>
    <w:rsid w:val="00C13F23"/>
    <w:rsid w:val="00C16198"/>
    <w:rsid w:val="00C2083D"/>
    <w:rsid w:val="00C213AA"/>
    <w:rsid w:val="00C22E14"/>
    <w:rsid w:val="00C233CD"/>
    <w:rsid w:val="00C237E4"/>
    <w:rsid w:val="00C24A53"/>
    <w:rsid w:val="00C269D8"/>
    <w:rsid w:val="00C328E4"/>
    <w:rsid w:val="00C36BE3"/>
    <w:rsid w:val="00C4032F"/>
    <w:rsid w:val="00C41432"/>
    <w:rsid w:val="00C41A36"/>
    <w:rsid w:val="00C44047"/>
    <w:rsid w:val="00C45155"/>
    <w:rsid w:val="00C459D4"/>
    <w:rsid w:val="00C54247"/>
    <w:rsid w:val="00C5498F"/>
    <w:rsid w:val="00C551AD"/>
    <w:rsid w:val="00C55235"/>
    <w:rsid w:val="00C5560D"/>
    <w:rsid w:val="00C60969"/>
    <w:rsid w:val="00C64CD0"/>
    <w:rsid w:val="00C6578A"/>
    <w:rsid w:val="00C6684F"/>
    <w:rsid w:val="00C675CE"/>
    <w:rsid w:val="00C70E70"/>
    <w:rsid w:val="00C71565"/>
    <w:rsid w:val="00C7335D"/>
    <w:rsid w:val="00C75F8D"/>
    <w:rsid w:val="00C76D30"/>
    <w:rsid w:val="00C77380"/>
    <w:rsid w:val="00C904E9"/>
    <w:rsid w:val="00C944ED"/>
    <w:rsid w:val="00C96164"/>
    <w:rsid w:val="00C97736"/>
    <w:rsid w:val="00CA345A"/>
    <w:rsid w:val="00CA63BC"/>
    <w:rsid w:val="00CB1E82"/>
    <w:rsid w:val="00CB4BA8"/>
    <w:rsid w:val="00CB4C46"/>
    <w:rsid w:val="00CB52D7"/>
    <w:rsid w:val="00CB7B2E"/>
    <w:rsid w:val="00CC3E14"/>
    <w:rsid w:val="00CC6732"/>
    <w:rsid w:val="00CC6FFD"/>
    <w:rsid w:val="00CD7267"/>
    <w:rsid w:val="00CE3C96"/>
    <w:rsid w:val="00CE51A8"/>
    <w:rsid w:val="00CE66E2"/>
    <w:rsid w:val="00CF091D"/>
    <w:rsid w:val="00CF369B"/>
    <w:rsid w:val="00D00E28"/>
    <w:rsid w:val="00D0269E"/>
    <w:rsid w:val="00D0532F"/>
    <w:rsid w:val="00D05DAE"/>
    <w:rsid w:val="00D11191"/>
    <w:rsid w:val="00D12137"/>
    <w:rsid w:val="00D14AAA"/>
    <w:rsid w:val="00D15810"/>
    <w:rsid w:val="00D16D4E"/>
    <w:rsid w:val="00D16FE3"/>
    <w:rsid w:val="00D20E5B"/>
    <w:rsid w:val="00D221BE"/>
    <w:rsid w:val="00D231FE"/>
    <w:rsid w:val="00D2446E"/>
    <w:rsid w:val="00D24FA5"/>
    <w:rsid w:val="00D26C78"/>
    <w:rsid w:val="00D27F41"/>
    <w:rsid w:val="00D328BD"/>
    <w:rsid w:val="00D34981"/>
    <w:rsid w:val="00D36441"/>
    <w:rsid w:val="00D36D2E"/>
    <w:rsid w:val="00D4064E"/>
    <w:rsid w:val="00D44E9B"/>
    <w:rsid w:val="00D45536"/>
    <w:rsid w:val="00D47AEB"/>
    <w:rsid w:val="00D50DB9"/>
    <w:rsid w:val="00D516EA"/>
    <w:rsid w:val="00D52C43"/>
    <w:rsid w:val="00D54769"/>
    <w:rsid w:val="00D55F42"/>
    <w:rsid w:val="00D56EA5"/>
    <w:rsid w:val="00D577FC"/>
    <w:rsid w:val="00D6507F"/>
    <w:rsid w:val="00D70093"/>
    <w:rsid w:val="00D730BC"/>
    <w:rsid w:val="00D73912"/>
    <w:rsid w:val="00D811C6"/>
    <w:rsid w:val="00D816A6"/>
    <w:rsid w:val="00D85226"/>
    <w:rsid w:val="00D87B94"/>
    <w:rsid w:val="00D918E5"/>
    <w:rsid w:val="00D92D49"/>
    <w:rsid w:val="00D92EC1"/>
    <w:rsid w:val="00D96DEA"/>
    <w:rsid w:val="00DA0EAA"/>
    <w:rsid w:val="00DA3432"/>
    <w:rsid w:val="00DA46F3"/>
    <w:rsid w:val="00DA4E41"/>
    <w:rsid w:val="00DA644E"/>
    <w:rsid w:val="00DB117A"/>
    <w:rsid w:val="00DB34E4"/>
    <w:rsid w:val="00DB5173"/>
    <w:rsid w:val="00DB5B39"/>
    <w:rsid w:val="00DB5D13"/>
    <w:rsid w:val="00DB7240"/>
    <w:rsid w:val="00DB7873"/>
    <w:rsid w:val="00DB7DF5"/>
    <w:rsid w:val="00DC0661"/>
    <w:rsid w:val="00DC187B"/>
    <w:rsid w:val="00DC5C34"/>
    <w:rsid w:val="00DC6527"/>
    <w:rsid w:val="00DC7FCF"/>
    <w:rsid w:val="00DD13F3"/>
    <w:rsid w:val="00DD1B94"/>
    <w:rsid w:val="00DD73C2"/>
    <w:rsid w:val="00DD75F3"/>
    <w:rsid w:val="00DE1773"/>
    <w:rsid w:val="00DE319B"/>
    <w:rsid w:val="00DE4906"/>
    <w:rsid w:val="00DF0128"/>
    <w:rsid w:val="00DF1481"/>
    <w:rsid w:val="00DF246B"/>
    <w:rsid w:val="00DF34FE"/>
    <w:rsid w:val="00DF56AA"/>
    <w:rsid w:val="00DF78E7"/>
    <w:rsid w:val="00E0601A"/>
    <w:rsid w:val="00E06E7E"/>
    <w:rsid w:val="00E07496"/>
    <w:rsid w:val="00E07E6C"/>
    <w:rsid w:val="00E110E0"/>
    <w:rsid w:val="00E15371"/>
    <w:rsid w:val="00E2057C"/>
    <w:rsid w:val="00E20844"/>
    <w:rsid w:val="00E20EE2"/>
    <w:rsid w:val="00E24104"/>
    <w:rsid w:val="00E2646E"/>
    <w:rsid w:val="00E302D0"/>
    <w:rsid w:val="00E339C4"/>
    <w:rsid w:val="00E35707"/>
    <w:rsid w:val="00E36AA1"/>
    <w:rsid w:val="00E37A9B"/>
    <w:rsid w:val="00E41ECB"/>
    <w:rsid w:val="00E548FC"/>
    <w:rsid w:val="00E54FDB"/>
    <w:rsid w:val="00E5617D"/>
    <w:rsid w:val="00E563D7"/>
    <w:rsid w:val="00E663F4"/>
    <w:rsid w:val="00E666F2"/>
    <w:rsid w:val="00E66DD4"/>
    <w:rsid w:val="00E670A3"/>
    <w:rsid w:val="00E748CC"/>
    <w:rsid w:val="00E75415"/>
    <w:rsid w:val="00E775B1"/>
    <w:rsid w:val="00E807B8"/>
    <w:rsid w:val="00E8152A"/>
    <w:rsid w:val="00E87883"/>
    <w:rsid w:val="00E878F4"/>
    <w:rsid w:val="00E92F6A"/>
    <w:rsid w:val="00E93629"/>
    <w:rsid w:val="00E93663"/>
    <w:rsid w:val="00E93B5C"/>
    <w:rsid w:val="00E93F32"/>
    <w:rsid w:val="00E94CEC"/>
    <w:rsid w:val="00E97126"/>
    <w:rsid w:val="00E97E00"/>
    <w:rsid w:val="00E97EA4"/>
    <w:rsid w:val="00EA04EF"/>
    <w:rsid w:val="00EA6F19"/>
    <w:rsid w:val="00EA7CE8"/>
    <w:rsid w:val="00EB032C"/>
    <w:rsid w:val="00EB6088"/>
    <w:rsid w:val="00EB7090"/>
    <w:rsid w:val="00EB72E8"/>
    <w:rsid w:val="00EC1BBE"/>
    <w:rsid w:val="00EC5CD7"/>
    <w:rsid w:val="00ED2657"/>
    <w:rsid w:val="00ED2B52"/>
    <w:rsid w:val="00ED5392"/>
    <w:rsid w:val="00EE5FB3"/>
    <w:rsid w:val="00EE6BE8"/>
    <w:rsid w:val="00EE7F79"/>
    <w:rsid w:val="00EF2079"/>
    <w:rsid w:val="00EF715A"/>
    <w:rsid w:val="00EF71C1"/>
    <w:rsid w:val="00F06E14"/>
    <w:rsid w:val="00F15D15"/>
    <w:rsid w:val="00F15F44"/>
    <w:rsid w:val="00F179D4"/>
    <w:rsid w:val="00F20988"/>
    <w:rsid w:val="00F253C1"/>
    <w:rsid w:val="00F2576D"/>
    <w:rsid w:val="00F277B2"/>
    <w:rsid w:val="00F3138B"/>
    <w:rsid w:val="00F31B8E"/>
    <w:rsid w:val="00F33C56"/>
    <w:rsid w:val="00F347C7"/>
    <w:rsid w:val="00F34848"/>
    <w:rsid w:val="00F3651C"/>
    <w:rsid w:val="00F36F09"/>
    <w:rsid w:val="00F42457"/>
    <w:rsid w:val="00F42D46"/>
    <w:rsid w:val="00F4496C"/>
    <w:rsid w:val="00F44F3A"/>
    <w:rsid w:val="00F478EC"/>
    <w:rsid w:val="00F51F10"/>
    <w:rsid w:val="00F529A5"/>
    <w:rsid w:val="00F60977"/>
    <w:rsid w:val="00F60F00"/>
    <w:rsid w:val="00F614C0"/>
    <w:rsid w:val="00F632C6"/>
    <w:rsid w:val="00F65B47"/>
    <w:rsid w:val="00F65EB8"/>
    <w:rsid w:val="00F702A6"/>
    <w:rsid w:val="00F76C52"/>
    <w:rsid w:val="00F804F8"/>
    <w:rsid w:val="00F830B9"/>
    <w:rsid w:val="00F83848"/>
    <w:rsid w:val="00F8719D"/>
    <w:rsid w:val="00F904E6"/>
    <w:rsid w:val="00F91010"/>
    <w:rsid w:val="00F91DDE"/>
    <w:rsid w:val="00F975E9"/>
    <w:rsid w:val="00FA048E"/>
    <w:rsid w:val="00FA0818"/>
    <w:rsid w:val="00FA1B7D"/>
    <w:rsid w:val="00FA459E"/>
    <w:rsid w:val="00FB0A80"/>
    <w:rsid w:val="00FB3BDE"/>
    <w:rsid w:val="00FB4063"/>
    <w:rsid w:val="00FB6BB5"/>
    <w:rsid w:val="00FC07B9"/>
    <w:rsid w:val="00FC1EBD"/>
    <w:rsid w:val="00FC3037"/>
    <w:rsid w:val="00FC4E21"/>
    <w:rsid w:val="00FC5F6D"/>
    <w:rsid w:val="00FC68B1"/>
    <w:rsid w:val="00FC6D20"/>
    <w:rsid w:val="00FD0107"/>
    <w:rsid w:val="00FD1A1E"/>
    <w:rsid w:val="00FD2879"/>
    <w:rsid w:val="00FD2C2F"/>
    <w:rsid w:val="00FD3B31"/>
    <w:rsid w:val="00FE1663"/>
    <w:rsid w:val="00FE1823"/>
    <w:rsid w:val="00FE2CB3"/>
    <w:rsid w:val="00FE487A"/>
    <w:rsid w:val="00FE7CE6"/>
    <w:rsid w:val="00FF0569"/>
    <w:rsid w:val="00FF206E"/>
    <w:rsid w:val="00FF3C69"/>
    <w:rsid w:val="00FF518B"/>
    <w:rsid w:val="00FF5605"/>
    <w:rsid w:val="00FF6E0A"/>
    <w:rsid w:val="00FF78D7"/>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colormru v:ext="edit" colors="red,#4d4d4f"/>
    </o:shapedefaults>
    <o:shapelayout v:ext="edit">
      <o:idmap v:ext="edit" data="1"/>
    </o:shapelayout>
  </w:shapeDefaults>
  <w:decimalSymbol w:val="."/>
  <w:listSeparator w:val=","/>
  <w14:docId w14:val="475CD8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4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Footnote,Style 12,(NECG) Footnote Reference,Style 124,o,fr,Style 3,Appel note de bas de p1,Appel note de bas de p2,Appel note de bas de p3,Footnote Reference/"/>
    <w:basedOn w:val="DefaultParagraphFont"/>
    <w:rsid w:val="00566AB4"/>
    <w:rPr>
      <w:rFonts w:ascii="Arial" w:hAnsi="Arial"/>
      <w:vertAlign w:val="superscript"/>
    </w:rPr>
  </w:style>
  <w:style w:type="paragraph" w:styleId="FootnoteText">
    <w:name w:val="footnote text"/>
    <w:aliases w:val="ACMA Footnote Text,footnote text,Footnote Text Char1,Footnote Text Char Char,Footnote Text Char1 Char Char,Footnote Text Char Char Char Char,Footnote Text Char1 Char Char Char Char,Footnote Text Char Char Char Char Char Char,f,fn"/>
    <w:basedOn w:val="Normal"/>
    <w:link w:val="FootnoteTextChar"/>
    <w:rsid w:val="00566AB4"/>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49"/>
    <w:semiHidden/>
    <w:rsid w:val="00EE7F79"/>
    <w:pPr>
      <w:spacing w:line="240" w:lineRule="auto"/>
    </w:pPr>
    <w:rPr>
      <w:szCs w:val="20"/>
    </w:rPr>
  </w:style>
  <w:style w:type="character" w:customStyle="1" w:styleId="CommentTextChar">
    <w:name w:val="Comment Text Char"/>
    <w:basedOn w:val="DefaultParagraphFont"/>
    <w:link w:val="CommentText"/>
    <w:uiPriority w:val="4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2Char">
    <w:name w:val="Heading 2 Char"/>
    <w:basedOn w:val="DefaultParagraphFont"/>
    <w:link w:val="Heading2"/>
    <w:rsid w:val="00C944ED"/>
    <w:rPr>
      <w:rFonts w:ascii="Arial" w:hAnsi="Arial" w:cs="Arial"/>
      <w:b/>
      <w:bCs/>
      <w:iCs/>
      <w:sz w:val="28"/>
      <w:szCs w:val="28"/>
    </w:rPr>
  </w:style>
  <w:style w:type="character" w:customStyle="1" w:styleId="Heading3Char">
    <w:name w:val="Heading 3 Char"/>
    <w:basedOn w:val="DefaultParagraphFont"/>
    <w:link w:val="Heading3"/>
    <w:rsid w:val="00C944ED"/>
    <w:rPr>
      <w:rFonts w:ascii="Arial" w:hAnsi="Arial" w:cs="Arial"/>
      <w:b/>
      <w:bCs/>
      <w:sz w:val="20"/>
      <w:szCs w:val="26"/>
    </w:rPr>
  </w:style>
  <w:style w:type="paragraph" w:customStyle="1" w:styleId="Bodysubheader0">
    <w:name w:val="Body sub header"/>
    <w:basedOn w:val="Normal"/>
    <w:next w:val="Normal"/>
    <w:rsid w:val="005D7BB8"/>
    <w:pPr>
      <w:spacing w:after="0"/>
    </w:pPr>
    <w:rPr>
      <w:b/>
      <w:i/>
    </w:rPr>
  </w:style>
  <w:style w:type="paragraph" w:customStyle="1" w:styleId="Default">
    <w:name w:val="Default"/>
    <w:rsid w:val="002D35A8"/>
    <w:pPr>
      <w:autoSpaceDE w:val="0"/>
      <w:autoSpaceDN w:val="0"/>
      <w:adjustRightInd w:val="0"/>
    </w:pPr>
    <w:rPr>
      <w:rFonts w:ascii="Calibri" w:hAnsi="Calibri" w:cs="Calibri"/>
      <w:color w:val="000000"/>
    </w:rPr>
  </w:style>
  <w:style w:type="paragraph" w:styleId="BodyText">
    <w:name w:val="Body Text"/>
    <w:basedOn w:val="Normal"/>
    <w:link w:val="BodyTextChar1"/>
    <w:autoRedefine/>
    <w:qFormat/>
    <w:rsid w:val="00DC7FCF"/>
    <w:pPr>
      <w:spacing w:before="120" w:line="320" w:lineRule="exact"/>
      <w:jc w:val="both"/>
    </w:pPr>
    <w:rPr>
      <w:rFonts w:ascii="Verdana" w:eastAsia="'宋体" w:hAnsi="Verdana" w:cs="Arial"/>
      <w:sz w:val="22"/>
      <w:szCs w:val="22"/>
    </w:rPr>
  </w:style>
  <w:style w:type="character" w:customStyle="1" w:styleId="BodyTextChar">
    <w:name w:val="Body Text Char"/>
    <w:basedOn w:val="DefaultParagraphFont"/>
    <w:semiHidden/>
    <w:rsid w:val="00DC7FCF"/>
    <w:rPr>
      <w:rFonts w:ascii="Arial" w:hAnsi="Arial"/>
      <w:sz w:val="20"/>
    </w:rPr>
  </w:style>
  <w:style w:type="character" w:customStyle="1" w:styleId="BodyTextChar1">
    <w:name w:val="Body Text Char1"/>
    <w:basedOn w:val="DefaultParagraphFont"/>
    <w:link w:val="BodyText"/>
    <w:rsid w:val="00DC7FCF"/>
    <w:rPr>
      <w:rFonts w:ascii="Verdana" w:eastAsia="'宋体" w:hAnsi="Verdana" w:cs="Arial"/>
      <w:sz w:val="22"/>
      <w:szCs w:val="22"/>
    </w:rPr>
  </w:style>
  <w:style w:type="character" w:customStyle="1" w:styleId="FootnoteTextChar">
    <w:name w:val="Footnote Text Char"/>
    <w:aliases w:val="ACMA Footnote Text Char,footnote text Char,Footnote Text Char1 Char,Footnote Text Char Char Char,Footnote Text Char1 Char Char Char,Footnote Text Char Char Char Char Char,Footnote Text Char1 Char Char Char Char Char,f Char,fn Char"/>
    <w:basedOn w:val="DefaultParagraphFont"/>
    <w:link w:val="FootnoteText"/>
    <w:rsid w:val="00465F1A"/>
    <w:rPr>
      <w:rFonts w:ascii="Arial" w:hAnsi="Arial"/>
      <w:sz w:val="16"/>
      <w:szCs w:val="16"/>
    </w:rPr>
  </w:style>
  <w:style w:type="paragraph" w:styleId="ListParagraph">
    <w:name w:val="List Paragraph"/>
    <w:basedOn w:val="Normal"/>
    <w:uiPriority w:val="34"/>
    <w:qFormat/>
    <w:rsid w:val="00AA13C9"/>
    <w:pPr>
      <w:ind w:left="720"/>
      <w:contextualSpacing/>
    </w:pPr>
  </w:style>
  <w:style w:type="paragraph" w:styleId="NormalWeb">
    <w:name w:val="Normal (Web)"/>
    <w:basedOn w:val="Normal"/>
    <w:uiPriority w:val="99"/>
    <w:semiHidden/>
    <w:unhideWhenUsed/>
    <w:rsid w:val="00101F81"/>
    <w:pPr>
      <w:spacing w:line="240" w:lineRule="auto"/>
    </w:pPr>
    <w:rPr>
      <w:rFonts w:ascii="Times New Roman" w:hAnsi="Times New Roman"/>
      <w:sz w:val="24"/>
    </w:rPr>
  </w:style>
  <w:style w:type="paragraph" w:styleId="Revision">
    <w:name w:val="Revision"/>
    <w:hidden/>
    <w:semiHidden/>
    <w:rsid w:val="00903728"/>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5355284">
      <w:bodyDiv w:val="1"/>
      <w:marLeft w:val="0"/>
      <w:marRight w:val="0"/>
      <w:marTop w:val="0"/>
      <w:marBottom w:val="0"/>
      <w:divBdr>
        <w:top w:val="none" w:sz="0" w:space="0" w:color="auto"/>
        <w:left w:val="none" w:sz="0" w:space="0" w:color="auto"/>
        <w:bottom w:val="none" w:sz="0" w:space="0" w:color="auto"/>
        <w:right w:val="none" w:sz="0" w:space="0" w:color="auto"/>
      </w:divBdr>
      <w:divsChild>
        <w:div w:id="682391648">
          <w:marLeft w:val="0"/>
          <w:marRight w:val="0"/>
          <w:marTop w:val="0"/>
          <w:marBottom w:val="0"/>
          <w:divBdr>
            <w:top w:val="none" w:sz="0" w:space="0" w:color="auto"/>
            <w:left w:val="none" w:sz="0" w:space="0" w:color="auto"/>
            <w:bottom w:val="none" w:sz="0" w:space="0" w:color="auto"/>
            <w:right w:val="none" w:sz="0" w:space="0" w:color="auto"/>
          </w:divBdr>
          <w:divsChild>
            <w:div w:id="816530441">
              <w:marLeft w:val="0"/>
              <w:marRight w:val="0"/>
              <w:marTop w:val="0"/>
              <w:marBottom w:val="0"/>
              <w:divBdr>
                <w:top w:val="none" w:sz="0" w:space="0" w:color="auto"/>
                <w:left w:val="none" w:sz="0" w:space="0" w:color="auto"/>
                <w:bottom w:val="none" w:sz="0" w:space="0" w:color="auto"/>
                <w:right w:val="none" w:sz="0" w:space="0" w:color="auto"/>
              </w:divBdr>
              <w:divsChild>
                <w:div w:id="1206673386">
                  <w:marLeft w:val="0"/>
                  <w:marRight w:val="0"/>
                  <w:marTop w:val="0"/>
                  <w:marBottom w:val="0"/>
                  <w:divBdr>
                    <w:top w:val="none" w:sz="0" w:space="0" w:color="auto"/>
                    <w:left w:val="none" w:sz="0" w:space="0" w:color="auto"/>
                    <w:bottom w:val="none" w:sz="0" w:space="0" w:color="auto"/>
                    <w:right w:val="none" w:sz="0" w:space="0" w:color="auto"/>
                  </w:divBdr>
                  <w:divsChild>
                    <w:div w:id="1121341934">
                      <w:marLeft w:val="0"/>
                      <w:marRight w:val="0"/>
                      <w:marTop w:val="0"/>
                      <w:marBottom w:val="0"/>
                      <w:divBdr>
                        <w:top w:val="none" w:sz="0" w:space="0" w:color="auto"/>
                        <w:left w:val="none" w:sz="0" w:space="0" w:color="auto"/>
                        <w:bottom w:val="none" w:sz="0" w:space="0" w:color="auto"/>
                        <w:right w:val="none" w:sz="0" w:space="0" w:color="auto"/>
                      </w:divBdr>
                      <w:divsChild>
                        <w:div w:id="1165245012">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2320153">
      <w:bodyDiv w:val="1"/>
      <w:marLeft w:val="0"/>
      <w:marRight w:val="0"/>
      <w:marTop w:val="0"/>
      <w:marBottom w:val="0"/>
      <w:divBdr>
        <w:top w:val="none" w:sz="0" w:space="0" w:color="auto"/>
        <w:left w:val="none" w:sz="0" w:space="0" w:color="auto"/>
        <w:bottom w:val="none" w:sz="0" w:space="0" w:color="auto"/>
        <w:right w:val="none" w:sz="0" w:space="0" w:color="auto"/>
      </w:divBdr>
    </w:div>
    <w:div w:id="1324043811">
      <w:bodyDiv w:val="1"/>
      <w:marLeft w:val="0"/>
      <w:marRight w:val="0"/>
      <w:marTop w:val="0"/>
      <w:marBottom w:val="0"/>
      <w:divBdr>
        <w:top w:val="none" w:sz="0" w:space="0" w:color="auto"/>
        <w:left w:val="none" w:sz="0" w:space="0" w:color="auto"/>
        <w:bottom w:val="none" w:sz="0" w:space="0" w:color="auto"/>
        <w:right w:val="none" w:sz="0" w:space="0" w:color="auto"/>
      </w:divBdr>
    </w:div>
    <w:div w:id="21434994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4.xml"/><Relationship Id="rId26" Type="http://schemas.openxmlformats.org/officeDocument/2006/relationships/footer" Target="footer8.xm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5.xml"/><Relationship Id="rId34" Type="http://schemas.openxmlformats.org/officeDocument/2006/relationships/header" Target="header8.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mailto:candinfo@acma.gov.au" TargetMode="External"/><Relationship Id="rId25" Type="http://schemas.openxmlformats.org/officeDocument/2006/relationships/footer" Target="footer7.xml"/><Relationship Id="rId33" Type="http://schemas.openxmlformats.org/officeDocument/2006/relationships/hyperlink" Target="http://acma.gov.au/Industry/Spectrum/Spectrum-projects/1800-MHz-band/1800-mhz-band-auction-strong-result-reveals-high-demand-for-regional-spectrum?utm_medium=email&amp;utm_campaign=1800%20MHz%20band%20auction%20%20strong%20result%20reveals%20high%20demand%20for%20regional%20spectrum&amp;utm_content=1800%20MHz%20band%20auction%20%20strong%20result%20reveals%20high%20demand%20for%20regional%20spectrum+CID_5cde62975879ad6e750d6a3c47502a8a&amp;utm_source=SendEmailCampaigns&amp;utm_term=online%20version%20of%20this%20media%20release"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creativecommons.org/licenses/by/3.0/au/" TargetMode="External"/><Relationship Id="rId20" Type="http://schemas.openxmlformats.org/officeDocument/2006/relationships/footer" Target="footer4.xml"/><Relationship Id="rId29" Type="http://schemas.openxmlformats.org/officeDocument/2006/relationships/hyperlink" Target="http://rspg-spectrum.eu/wp-content/uploads/2014/03/RSPG14-555final_Request-for-Opinion-UHF-band.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6.xml"/><Relationship Id="rId32" Type="http://schemas.openxmlformats.org/officeDocument/2006/relationships/hyperlink" Target="http://www.acma.gov.au/~/media/Spectrum%20Licensing%20Policy/Information/Word%20Document/The%20ACMAs%20long-term%20strategy%20for%20the%20803960%20MHz%20band_decision%20paper%20docx.docx" TargetMode="External"/><Relationship Id="rId37" Type="http://schemas.openxmlformats.org/officeDocument/2006/relationships/footer" Target="footer10.xml"/><Relationship Id="rId5"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header" Target="header7.xml"/><Relationship Id="rId28" Type="http://schemas.openxmlformats.org/officeDocument/2006/relationships/hyperlink" Target="http://www.acma.gov.au/theACMA/About/The-ACMA-story/Facilitating/decisionmaking-process-fyso-25-1" TargetMode="External"/><Relationship Id="rId36" Type="http://schemas.openxmlformats.org/officeDocument/2006/relationships/footer" Target="footer9.xml"/><Relationship Id="rId10" Type="http://schemas.openxmlformats.org/officeDocument/2006/relationships/footer" Target="footer1.xml"/><Relationship Id="rId19" Type="http://schemas.openxmlformats.org/officeDocument/2006/relationships/header" Target="header5.xml"/><Relationship Id="rId31" Type="http://schemas.openxmlformats.org/officeDocument/2006/relationships/hyperlink" Target="http://www.acma.gov.au/~/media/Spectrum%20Licensing%20Policy/Information/Word%20Document/The%20ACMAs%20long-term%20strategy%20for%20the%20803960%20MHz%20band_decision%20paper%20docx.docx"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i.creativecommons.org/l/by/3.0/88x31.png" TargetMode="External"/><Relationship Id="rId22" Type="http://schemas.openxmlformats.org/officeDocument/2006/relationships/header" Target="header6.xml"/><Relationship Id="rId27" Type="http://schemas.openxmlformats.org/officeDocument/2006/relationships/hyperlink" Target="http://www.acma.gov.au/~/media/Spectrum%20Transformation%20and%20Government/Issue%20for%20comment/Word%20Document/IFC%2022%202015%20MBB%20Strategy%20consultation%20paper%20docx.docx" TargetMode="External"/><Relationship Id="rId30" Type="http://schemas.openxmlformats.org/officeDocument/2006/relationships/hyperlink" Target="http://ec.europa.eu/smart-regulation/roadmaps/docs/2015_cnect_017_uhf_en.pdf" TargetMode="External"/><Relationship Id="rId35" Type="http://schemas.openxmlformats.org/officeDocument/2006/relationships/header" Target="header9.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3" Type="http://schemas.openxmlformats.org/officeDocument/2006/relationships/hyperlink" Target="http://www.minister.communications.gov.au/malcolm_turnbull/news/spectrum_reform_to_drive_future_innovation_and_productivity" TargetMode="External"/><Relationship Id="rId2" Type="http://schemas.openxmlformats.org/officeDocument/2006/relationships/hyperlink" Target="http://www.malcolmturnbull.com.au/media/radcomms-2014-spectrum-in-the-age-of-digital-innovation" TargetMode="External"/><Relationship Id="rId1" Type="http://schemas.openxmlformats.org/officeDocument/2006/relationships/hyperlink" Target="http://www.acma.gov.au/Industry/Spectrum/Spectrum-planning/About-spectrum-planning/principles-for-spectrum-management" TargetMode="External"/><Relationship Id="rId5" Type="http://schemas.openxmlformats.org/officeDocument/2006/relationships/hyperlink" Target="http://www.minister.communications.gov.au/malcolm_turnbull/news/next_stage_of_spectrum_reform_to_commence" TargetMode="External"/><Relationship Id="rId4" Type="http://schemas.openxmlformats.org/officeDocument/2006/relationships/hyperlink" Target="https://www.communications.gov.au/publications/spectrum-review-report"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061EED-65BF-40A9-A010-874C370E34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48</Pages>
  <Words>21193</Words>
  <Characters>120805</Characters>
  <Application>Microsoft Office Word</Application>
  <DocSecurity>0</DocSecurity>
  <Lines>1006</Lines>
  <Paragraphs>283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141715</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2016-02-22T22:25:00Z</dcterms:created>
  <dcterms:modified xsi:type="dcterms:W3CDTF">2016-02-22T22:25:00Z</dcterms:modified>
  <cp:category/>
</cp:coreProperties>
</file>