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BE5F49C" w14:textId="55596A53" w:rsidR="00A6709A" w:rsidRPr="00B53F89" w:rsidRDefault="00A6709A" w:rsidP="00A6709A">
      <w:pPr>
        <w:pStyle w:val="ACMAReportTitle"/>
      </w:pPr>
      <w:bookmarkStart w:id="0" w:name="_GoBack"/>
      <w:bookmarkEnd w:id="0"/>
      <w:r w:rsidRPr="00B53F89">
        <w:t>Five-year spectrum outlook</w:t>
      </w:r>
    </w:p>
    <w:p w14:paraId="5FE5D78A" w14:textId="2917E627" w:rsidR="00F06E14" w:rsidRPr="00B53F89" w:rsidRDefault="00A6709A" w:rsidP="00A51D1A">
      <w:pPr>
        <w:pStyle w:val="ACMAReportTitle"/>
      </w:pPr>
      <w:r w:rsidRPr="00B53F89">
        <w:t>201</w:t>
      </w:r>
      <w:r w:rsidR="00243C8F" w:rsidRPr="00B53F89">
        <w:t>9</w:t>
      </w:r>
      <w:r w:rsidRPr="00B53F89">
        <w:t>–2</w:t>
      </w:r>
      <w:r w:rsidR="00243C8F" w:rsidRPr="00B53F89">
        <w:t>3</w:t>
      </w:r>
    </w:p>
    <w:p w14:paraId="0F8AC54B" w14:textId="39943420" w:rsidR="00F06E14" w:rsidRPr="00B53F89" w:rsidRDefault="00A6709A" w:rsidP="00F06E14">
      <w:pPr>
        <w:pStyle w:val="ACMAReportSubTitle"/>
      </w:pPr>
      <w:r w:rsidRPr="00B53F89">
        <w:t>The ACMA’s spectrum management work</w:t>
      </w:r>
      <w:r w:rsidR="007B0B47" w:rsidRPr="00B53F89">
        <w:t> </w:t>
      </w:r>
      <w:r w:rsidRPr="00B53F89">
        <w:t>progra</w:t>
      </w:r>
      <w:r w:rsidR="00883511" w:rsidRPr="00B53F89">
        <w:t>m</w:t>
      </w:r>
      <w:r w:rsidR="00243C8F" w:rsidRPr="00B53F89">
        <w:t xml:space="preserve"> </w:t>
      </w:r>
    </w:p>
    <w:p w14:paraId="59BF80E5" w14:textId="57C646D1" w:rsidR="00F06E14" w:rsidRPr="00B53F89" w:rsidRDefault="00CA3C2B" w:rsidP="003428B2">
      <w:pPr>
        <w:pStyle w:val="ACMAReportDate"/>
        <w:spacing w:after="240"/>
      </w:pPr>
      <w:r w:rsidRPr="00B53F89">
        <w:t xml:space="preserve">September </w:t>
      </w:r>
      <w:r w:rsidR="00243C8F" w:rsidRPr="00B53F89">
        <w:t>2019</w:t>
      </w:r>
    </w:p>
    <w:p w14:paraId="22C0C94E" w14:textId="77777777" w:rsidR="00C97736" w:rsidRPr="00B53F89" w:rsidRDefault="00D3165D" w:rsidP="00C7245A">
      <w:pPr>
        <w:rPr>
          <w:rFonts w:cs="Arial"/>
        </w:rPr>
        <w:sectPr w:rsidR="00C97736" w:rsidRPr="00B53F89" w:rsidSect="00E97880">
          <w:headerReference w:type="default" r:id="rId11"/>
          <w:footerReference w:type="default" r:id="rId12"/>
          <w:headerReference w:type="first" r:id="rId13"/>
          <w:pgSz w:w="11906" w:h="16838" w:code="9"/>
          <w:pgMar w:top="3924" w:right="1797" w:bottom="1440" w:left="1134" w:header="709" w:footer="454" w:gutter="0"/>
          <w:cols w:space="708"/>
          <w:docGrid w:linePitch="360"/>
        </w:sectPr>
      </w:pPr>
      <w:r w:rsidRPr="00B53F89">
        <w:rPr>
          <w:rFonts w:cs="Arial"/>
        </w:rPr>
        <w:tab/>
      </w:r>
    </w:p>
    <w:p w14:paraId="58F76F54" w14:textId="77777777" w:rsidR="0005011A" w:rsidRPr="00B53F89" w:rsidRDefault="0005011A" w:rsidP="00C7245A">
      <w:pPr>
        <w:pStyle w:val="ACMACorporateAddressHeader"/>
      </w:pPr>
      <w:r w:rsidRPr="00B53F89">
        <w:lastRenderedPageBreak/>
        <w:t>Canberra</w:t>
      </w:r>
      <w:r w:rsidR="00D3165D" w:rsidRPr="00B53F89">
        <w:tab/>
      </w:r>
    </w:p>
    <w:p w14:paraId="2776D9FC" w14:textId="77777777" w:rsidR="0005011A" w:rsidRPr="00B53F89" w:rsidRDefault="0005011A" w:rsidP="00FC07B9">
      <w:pPr>
        <w:pStyle w:val="ACMACorporateAddresses"/>
      </w:pPr>
      <w:r w:rsidRPr="00B53F89">
        <w:t xml:space="preserve">Red Building </w:t>
      </w:r>
      <w:r w:rsidRPr="00B53F89">
        <w:br/>
        <w:t>Benjamin Offices</w:t>
      </w:r>
      <w:r w:rsidRPr="00B53F89">
        <w:br/>
        <w:t xml:space="preserve">Chan Street </w:t>
      </w:r>
      <w:r w:rsidRPr="00B53F89">
        <w:br/>
        <w:t>Belconnen ACT</w:t>
      </w:r>
    </w:p>
    <w:p w14:paraId="159564AD" w14:textId="77777777" w:rsidR="0005011A" w:rsidRPr="00B53F89" w:rsidRDefault="0005011A" w:rsidP="00FC07B9">
      <w:pPr>
        <w:pStyle w:val="ACMACorporateAddresses"/>
      </w:pPr>
      <w:r w:rsidRPr="00B53F89">
        <w:t>PO Box 78</w:t>
      </w:r>
      <w:r w:rsidRPr="00B53F89">
        <w:br/>
        <w:t>Belconnen ACT 2616</w:t>
      </w:r>
    </w:p>
    <w:p w14:paraId="1F44094E" w14:textId="77777777" w:rsidR="00FE1823" w:rsidRPr="00B53F89" w:rsidRDefault="0005011A" w:rsidP="00FC07B9">
      <w:pPr>
        <w:pStyle w:val="ACMACorporateAddresses"/>
      </w:pPr>
      <w:r w:rsidRPr="00B53F89">
        <w:t>T</w:t>
      </w:r>
      <w:r w:rsidR="00537604" w:rsidRPr="00B53F89">
        <w:tab/>
      </w:r>
      <w:r w:rsidRPr="00B53F89">
        <w:t>+61 2 6219 5555</w:t>
      </w:r>
      <w:r w:rsidRPr="00B53F89">
        <w:br/>
        <w:t>F</w:t>
      </w:r>
      <w:r w:rsidR="00537604" w:rsidRPr="00B53F89">
        <w:tab/>
      </w:r>
      <w:r w:rsidRPr="00B53F89">
        <w:t>+61 2 6219 5353</w:t>
      </w:r>
    </w:p>
    <w:p w14:paraId="1025C19E" w14:textId="77777777" w:rsidR="0005011A" w:rsidRPr="00B53F89" w:rsidRDefault="0005011A" w:rsidP="00FC07B9">
      <w:pPr>
        <w:pStyle w:val="ACMACorporateAddressHeader"/>
      </w:pPr>
      <w:r w:rsidRPr="00B53F89">
        <w:t>Melbourne</w:t>
      </w:r>
    </w:p>
    <w:p w14:paraId="13817A6E" w14:textId="77777777" w:rsidR="0005011A" w:rsidRPr="00B53F89" w:rsidRDefault="0005011A" w:rsidP="00FC07B9">
      <w:pPr>
        <w:pStyle w:val="ACMACorporateAddresses"/>
      </w:pPr>
      <w:r w:rsidRPr="00B53F89">
        <w:t xml:space="preserve">Level 32 </w:t>
      </w:r>
      <w:r w:rsidRPr="00B53F89">
        <w:br/>
        <w:t>Melbourne Central Tower</w:t>
      </w:r>
      <w:r w:rsidRPr="00B53F89">
        <w:br/>
        <w:t xml:space="preserve">360 Elizabeth Street </w:t>
      </w:r>
      <w:r w:rsidR="008C10F4" w:rsidRPr="00B53F89">
        <w:br/>
      </w:r>
      <w:r w:rsidRPr="00B53F89">
        <w:t>Melbourne VIC</w:t>
      </w:r>
    </w:p>
    <w:p w14:paraId="694291FE" w14:textId="77777777" w:rsidR="0005011A" w:rsidRPr="00B53F89" w:rsidRDefault="0005011A" w:rsidP="00FC07B9">
      <w:pPr>
        <w:pStyle w:val="ACMACorporateAddresses"/>
      </w:pPr>
      <w:r w:rsidRPr="00B53F89">
        <w:t>PO Box 13112</w:t>
      </w:r>
      <w:r w:rsidRPr="00B53F89">
        <w:br/>
        <w:t xml:space="preserve">Law Courts </w:t>
      </w:r>
      <w:r w:rsidRPr="00B53F89">
        <w:br/>
        <w:t>Melbourne VIC 8010</w:t>
      </w:r>
    </w:p>
    <w:p w14:paraId="39E7BAC7" w14:textId="77777777" w:rsidR="0005011A" w:rsidRPr="00B53F89" w:rsidRDefault="0005011A" w:rsidP="00FC07B9">
      <w:pPr>
        <w:pStyle w:val="ACMACorporateAddresses"/>
      </w:pPr>
      <w:r w:rsidRPr="00B53F89">
        <w:t>T</w:t>
      </w:r>
      <w:r w:rsidR="00140318" w:rsidRPr="00B53F89">
        <w:tab/>
      </w:r>
      <w:r w:rsidRPr="00B53F89">
        <w:t>+61 3 9963 6800</w:t>
      </w:r>
      <w:r w:rsidRPr="00B53F89">
        <w:br/>
        <w:t>F</w:t>
      </w:r>
      <w:r w:rsidR="00140318" w:rsidRPr="00B53F89">
        <w:tab/>
      </w:r>
      <w:r w:rsidRPr="00B53F89">
        <w:t>+61 3 9963 6899</w:t>
      </w:r>
    </w:p>
    <w:p w14:paraId="09F547A7" w14:textId="77777777" w:rsidR="0005011A" w:rsidRPr="00B53F89" w:rsidRDefault="0005011A" w:rsidP="00FC07B9">
      <w:pPr>
        <w:pStyle w:val="ACMACorporateAddressHeader"/>
      </w:pPr>
      <w:r w:rsidRPr="00B53F89">
        <w:t>Sydney</w:t>
      </w:r>
    </w:p>
    <w:p w14:paraId="21CA7F9A" w14:textId="77777777" w:rsidR="0005011A" w:rsidRPr="00B53F89" w:rsidRDefault="0005011A" w:rsidP="00FC07B9">
      <w:pPr>
        <w:pStyle w:val="ACMACorporateAddresses"/>
      </w:pPr>
      <w:r w:rsidRPr="00B53F89">
        <w:t xml:space="preserve">Level 5 </w:t>
      </w:r>
      <w:r w:rsidRPr="00B53F89">
        <w:br/>
        <w:t>The Bay Centre</w:t>
      </w:r>
      <w:r w:rsidRPr="00B53F89">
        <w:br/>
        <w:t xml:space="preserve">65 Pirrama Road </w:t>
      </w:r>
      <w:r w:rsidRPr="00B53F89">
        <w:br/>
        <w:t>Pyrmont NSW</w:t>
      </w:r>
    </w:p>
    <w:p w14:paraId="708DF7AE" w14:textId="77777777" w:rsidR="0005011A" w:rsidRPr="00B53F89" w:rsidRDefault="0005011A" w:rsidP="00FC07B9">
      <w:pPr>
        <w:pStyle w:val="ACMACorporateAddresses"/>
      </w:pPr>
      <w:r w:rsidRPr="00B53F89">
        <w:t>PO Box Q500</w:t>
      </w:r>
      <w:r w:rsidRPr="00B53F89">
        <w:br/>
        <w:t xml:space="preserve">Queen Victoria Building </w:t>
      </w:r>
      <w:r w:rsidRPr="00B53F89">
        <w:br/>
        <w:t>NSW 1230</w:t>
      </w:r>
    </w:p>
    <w:p w14:paraId="1163CC05" w14:textId="77777777" w:rsidR="0005011A" w:rsidRPr="00B53F89" w:rsidRDefault="0005011A" w:rsidP="00FC07B9">
      <w:pPr>
        <w:pStyle w:val="ACMACorporateAddresses"/>
      </w:pPr>
      <w:r w:rsidRPr="00B53F89">
        <w:t>T</w:t>
      </w:r>
      <w:r w:rsidR="00140318" w:rsidRPr="00B53F89">
        <w:tab/>
      </w:r>
      <w:r w:rsidRPr="00B53F89">
        <w:t>+61 2 9334 7700</w:t>
      </w:r>
      <w:r w:rsidR="00140318" w:rsidRPr="00B53F89">
        <w:t xml:space="preserve"> or</w:t>
      </w:r>
      <w:r w:rsidRPr="00B53F89">
        <w:t xml:space="preserve"> 1800 226 667</w:t>
      </w:r>
      <w:r w:rsidRPr="00B53F89">
        <w:br/>
        <w:t>F</w:t>
      </w:r>
      <w:r w:rsidR="00140318" w:rsidRPr="00B53F89">
        <w:tab/>
      </w:r>
      <w:r w:rsidRPr="00B53F89">
        <w:t>+61 2 9334 7799</w:t>
      </w:r>
    </w:p>
    <w:p w14:paraId="3C968E65" w14:textId="77777777" w:rsidR="00140318" w:rsidRPr="00B53F89" w:rsidRDefault="00140318" w:rsidP="00FC07B9">
      <w:pPr>
        <w:pStyle w:val="ACMACopyrightHeader"/>
      </w:pPr>
      <w:r w:rsidRPr="00B53F89">
        <w:t>Copyright notice</w:t>
      </w:r>
    </w:p>
    <w:p w14:paraId="76E18378" w14:textId="77777777" w:rsidR="00140318" w:rsidRPr="00B53F89" w:rsidRDefault="00623FF9" w:rsidP="00623FF9">
      <w:pPr>
        <w:pStyle w:val="ACMACClogo"/>
      </w:pPr>
      <w:r w:rsidRPr="006A2F04">
        <w:rPr>
          <w:noProof/>
        </w:rPr>
        <w:drawing>
          <wp:inline distT="0" distB="0" distL="0" distR="0" wp14:anchorId="7214B564" wp14:editId="1F7FBAFC">
            <wp:extent cx="838200" cy="295275"/>
            <wp:effectExtent l="0" t="0" r="0" b="0"/>
            <wp:docPr id="1" name="Picture 1" title="Creative Commons logo">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4"/>
                    </pic:cNvPr>
                    <pic:cNvPicPr>
                      <a:picLocks noChangeAspect="1" noChangeArrowheads="1"/>
                    </pic:cNvPicPr>
                  </pic:nvPicPr>
                  <pic:blipFill>
                    <a:blip r:embed="rId15" cstate="print"/>
                    <a:srcRect/>
                    <a:stretch>
                      <a:fillRect/>
                    </a:stretch>
                  </pic:blipFill>
                  <pic:spPr bwMode="auto">
                    <a:xfrm>
                      <a:off x="0" y="0"/>
                      <a:ext cx="838200" cy="295275"/>
                    </a:xfrm>
                    <a:prstGeom prst="rect">
                      <a:avLst/>
                    </a:prstGeom>
                    <a:noFill/>
                  </pic:spPr>
                </pic:pic>
              </a:graphicData>
            </a:graphic>
          </wp:inline>
        </w:drawing>
      </w:r>
    </w:p>
    <w:p w14:paraId="447D7713" w14:textId="77777777" w:rsidR="00A140B6" w:rsidRPr="006A2F04" w:rsidRDefault="00A54553" w:rsidP="00A140B6">
      <w:pPr>
        <w:pStyle w:val="ACMACorporateAddresses"/>
        <w:rPr>
          <w:rStyle w:val="Hyperlink"/>
        </w:rPr>
      </w:pPr>
      <w:hyperlink r:id="rId16" w:history="1">
        <w:r w:rsidR="00A140B6" w:rsidRPr="00B53F89">
          <w:rPr>
            <w:rStyle w:val="Hyperlink"/>
          </w:rPr>
          <w:t>https://creativecommons.org/licenses/by/4.0//</w:t>
        </w:r>
      </w:hyperlink>
    </w:p>
    <w:p w14:paraId="1C4DDDB6" w14:textId="77777777" w:rsidR="00A140B6" w:rsidRPr="00B53F89" w:rsidRDefault="00A140B6" w:rsidP="00A140B6">
      <w:pPr>
        <w:pStyle w:val="ACMACorporateAddresses"/>
      </w:pPr>
      <w:r w:rsidRPr="00B53F89">
        <w:t xml:space="preserve">With the exception of coats of arms, logos, emblems, images, other third-party material or devices protected by a trademark, this content is made available under the terms of the Creative Commons Attribution 4.0 International (CC BY 4.0) licence. </w:t>
      </w:r>
    </w:p>
    <w:p w14:paraId="723F3F5E" w14:textId="4C6B7079" w:rsidR="00A140B6" w:rsidRPr="00B53F89" w:rsidRDefault="00A140B6" w:rsidP="00A140B6">
      <w:pPr>
        <w:pStyle w:val="ACMACorporateAddresses"/>
      </w:pPr>
      <w:r w:rsidRPr="00B53F89">
        <w:t>We request attribution as © Commonwealth of Australia (Australian Communications and Media Authority) 201</w:t>
      </w:r>
      <w:r w:rsidR="005C7720" w:rsidRPr="00B53F89">
        <w:t>9</w:t>
      </w:r>
      <w:r w:rsidRPr="00B53F89">
        <w:t>.</w:t>
      </w:r>
    </w:p>
    <w:p w14:paraId="7F6EF873" w14:textId="77777777" w:rsidR="00140318" w:rsidRPr="00B53F89" w:rsidRDefault="00140318" w:rsidP="00FC07B9">
      <w:pPr>
        <w:pStyle w:val="ACMACorporateAddresses"/>
      </w:pPr>
      <w:r w:rsidRPr="00B53F89">
        <w:t>All other rights are reserved.</w:t>
      </w:r>
    </w:p>
    <w:p w14:paraId="5F3E44FE" w14:textId="77777777" w:rsidR="00140318" w:rsidRPr="00B53F89" w:rsidRDefault="00140318" w:rsidP="00FC07B9">
      <w:pPr>
        <w:pStyle w:val="ACMACorporateAddresses"/>
      </w:pPr>
      <w:r w:rsidRPr="00B53F89">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72E9AFCB" w14:textId="77777777" w:rsidR="00140318" w:rsidRPr="00B53F89" w:rsidRDefault="00140318" w:rsidP="00FC07B9">
      <w:pPr>
        <w:pStyle w:val="ACMACorporateAddresses"/>
      </w:pPr>
      <w:r w:rsidRPr="00B53F89">
        <w:t>Written enquiries may be sent to:</w:t>
      </w:r>
    </w:p>
    <w:p w14:paraId="0A09F1B1" w14:textId="1B2E91F3" w:rsidR="00D16FE3" w:rsidRPr="00B53F89" w:rsidRDefault="00140318" w:rsidP="00D16FE3">
      <w:pPr>
        <w:pStyle w:val="ACMACorporateAddresses"/>
        <w:rPr>
          <w:rStyle w:val="Hyperlink"/>
        </w:rPr>
      </w:pPr>
      <w:r w:rsidRPr="006A2F04">
        <w:t xml:space="preserve">Manager, Editorial </w:t>
      </w:r>
      <w:r w:rsidR="00BD2EEB" w:rsidRPr="00B53F89">
        <w:t>Services</w:t>
      </w:r>
      <w:r w:rsidR="00623FF9" w:rsidRPr="00B53F89">
        <w:br/>
      </w:r>
      <w:r w:rsidRPr="00B53F89">
        <w:t>PO Box 13112</w:t>
      </w:r>
      <w:r w:rsidR="00623FF9" w:rsidRPr="00B53F89">
        <w:br/>
      </w:r>
      <w:r w:rsidRPr="00B53F89">
        <w:t>Law Courts</w:t>
      </w:r>
      <w:r w:rsidR="00623FF9" w:rsidRPr="00B53F89">
        <w:br/>
      </w:r>
      <w:r w:rsidRPr="00B53F89">
        <w:t>Melbourne VIC 8010</w:t>
      </w:r>
      <w:r w:rsidR="00623FF9" w:rsidRPr="00B53F89">
        <w:br/>
      </w:r>
      <w:r w:rsidRPr="00B53F89">
        <w:t xml:space="preserve">Email: </w:t>
      </w:r>
      <w:hyperlink r:id="rId17" w:history="1">
        <w:r w:rsidR="000A1400" w:rsidRPr="00B53F89">
          <w:rPr>
            <w:rStyle w:val="Hyperlink"/>
          </w:rPr>
          <w:t>info@acma.gov.au</w:t>
        </w:r>
      </w:hyperlink>
    </w:p>
    <w:p w14:paraId="3A89B8FE" w14:textId="77777777" w:rsidR="00D16FE3" w:rsidRPr="00B53F89" w:rsidRDefault="00D16FE3" w:rsidP="00D16FE3">
      <w:pPr>
        <w:pStyle w:val="ACMACorporateAddresses"/>
        <w:rPr>
          <w:rStyle w:val="Hyperlink"/>
        </w:rPr>
      </w:pPr>
    </w:p>
    <w:p w14:paraId="508AA9C3" w14:textId="77777777" w:rsidR="00D16FE3" w:rsidRPr="00B53F89" w:rsidRDefault="00D16FE3" w:rsidP="00D16FE3">
      <w:pPr>
        <w:pStyle w:val="ACMACorporateAddresses"/>
        <w:sectPr w:rsidR="00D16FE3" w:rsidRPr="00B53F89" w:rsidSect="00E97880">
          <w:headerReference w:type="even" r:id="rId18"/>
          <w:headerReference w:type="default" r:id="rId19"/>
          <w:footerReference w:type="even" r:id="rId20"/>
          <w:footerReference w:type="default" r:id="rId21"/>
          <w:pgSz w:w="11906" w:h="16838" w:code="9"/>
          <w:pgMar w:top="3924" w:right="1797" w:bottom="697" w:left="1134" w:header="709" w:footer="119" w:gutter="0"/>
          <w:cols w:space="708"/>
          <w:docGrid w:linePitch="360"/>
        </w:sectPr>
      </w:pPr>
    </w:p>
    <w:p w14:paraId="0649D85A" w14:textId="164201CA" w:rsidR="00B26F66" w:rsidRDefault="00E26672">
      <w:pPr>
        <w:pStyle w:val="TOC1"/>
        <w:rPr>
          <w:rFonts w:asciiTheme="minorHAnsi" w:eastAsiaTheme="minorEastAsia" w:hAnsiTheme="minorHAnsi" w:cstheme="minorBidi"/>
          <w:b w:val="0"/>
          <w:spacing w:val="0"/>
          <w:sz w:val="22"/>
          <w:szCs w:val="22"/>
        </w:rPr>
      </w:pPr>
      <w:r w:rsidRPr="006A2F04">
        <w:rPr>
          <w:rFonts w:cs="Arial"/>
          <w:b w:val="0"/>
          <w:noProof w:val="0"/>
          <w:sz w:val="26"/>
          <w:szCs w:val="26"/>
        </w:rPr>
        <w:lastRenderedPageBreak/>
        <w:fldChar w:fldCharType="begin"/>
      </w:r>
      <w:r w:rsidRPr="006A2F04">
        <w:rPr>
          <w:rFonts w:cs="Arial"/>
          <w:b w:val="0"/>
          <w:noProof w:val="0"/>
          <w:sz w:val="26"/>
          <w:szCs w:val="26"/>
        </w:rPr>
        <w:instrText xml:space="preserve"> TOC \o "1-3" \h \z \t "Table heading 2,2" </w:instrText>
      </w:r>
      <w:r w:rsidRPr="006A2F04">
        <w:rPr>
          <w:rFonts w:cs="Arial"/>
          <w:b w:val="0"/>
          <w:noProof w:val="0"/>
          <w:sz w:val="26"/>
          <w:szCs w:val="26"/>
        </w:rPr>
        <w:fldChar w:fldCharType="separate"/>
      </w:r>
      <w:hyperlink w:anchor="_Toc18505494" w:history="1">
        <w:r w:rsidR="00B26F66" w:rsidRPr="000E2BF0">
          <w:rPr>
            <w:rStyle w:val="Hyperlink"/>
          </w:rPr>
          <w:t>Foreword</w:t>
        </w:r>
        <w:r w:rsidR="00B26F66">
          <w:rPr>
            <w:webHidden/>
          </w:rPr>
          <w:tab/>
        </w:r>
        <w:r w:rsidR="00B26F66">
          <w:rPr>
            <w:webHidden/>
          </w:rPr>
          <w:fldChar w:fldCharType="begin"/>
        </w:r>
        <w:r w:rsidR="00B26F66">
          <w:rPr>
            <w:webHidden/>
          </w:rPr>
          <w:instrText xml:space="preserve"> PAGEREF _Toc18505494 \h </w:instrText>
        </w:r>
        <w:r w:rsidR="00B26F66">
          <w:rPr>
            <w:webHidden/>
          </w:rPr>
        </w:r>
        <w:r w:rsidR="00B26F66">
          <w:rPr>
            <w:webHidden/>
          </w:rPr>
          <w:fldChar w:fldCharType="separate"/>
        </w:r>
        <w:r w:rsidR="00A54553">
          <w:rPr>
            <w:webHidden/>
          </w:rPr>
          <w:t>1</w:t>
        </w:r>
        <w:r w:rsidR="00B26F66">
          <w:rPr>
            <w:webHidden/>
          </w:rPr>
          <w:fldChar w:fldCharType="end"/>
        </w:r>
      </w:hyperlink>
    </w:p>
    <w:p w14:paraId="59FD9BBB" w14:textId="4CDF1977" w:rsidR="00B26F66" w:rsidRDefault="00A54553">
      <w:pPr>
        <w:pStyle w:val="TOC2"/>
        <w:rPr>
          <w:rFonts w:asciiTheme="minorHAnsi" w:eastAsiaTheme="minorEastAsia" w:hAnsiTheme="minorHAnsi" w:cstheme="minorBidi"/>
          <w:spacing w:val="0"/>
          <w:sz w:val="22"/>
          <w:szCs w:val="22"/>
        </w:rPr>
      </w:pPr>
      <w:hyperlink w:anchor="_Toc18505495" w:history="1">
        <w:r w:rsidR="00B26F66" w:rsidRPr="000E2BF0">
          <w:rPr>
            <w:rStyle w:val="Hyperlink"/>
          </w:rPr>
          <w:t>Key to icons</w:t>
        </w:r>
        <w:r w:rsidR="00B26F66">
          <w:rPr>
            <w:webHidden/>
          </w:rPr>
          <w:tab/>
        </w:r>
        <w:r w:rsidR="00B26F66">
          <w:rPr>
            <w:webHidden/>
          </w:rPr>
          <w:fldChar w:fldCharType="begin"/>
        </w:r>
        <w:r w:rsidR="00B26F66">
          <w:rPr>
            <w:webHidden/>
          </w:rPr>
          <w:instrText xml:space="preserve"> PAGEREF _Toc18505495 \h </w:instrText>
        </w:r>
        <w:r w:rsidR="00B26F66">
          <w:rPr>
            <w:webHidden/>
          </w:rPr>
        </w:r>
        <w:r w:rsidR="00B26F66">
          <w:rPr>
            <w:webHidden/>
          </w:rPr>
          <w:fldChar w:fldCharType="separate"/>
        </w:r>
        <w:r>
          <w:rPr>
            <w:webHidden/>
          </w:rPr>
          <w:t>2</w:t>
        </w:r>
        <w:r w:rsidR="00B26F66">
          <w:rPr>
            <w:webHidden/>
          </w:rPr>
          <w:fldChar w:fldCharType="end"/>
        </w:r>
      </w:hyperlink>
    </w:p>
    <w:p w14:paraId="714C471F" w14:textId="3CC8A173" w:rsidR="00B26F66" w:rsidRDefault="00A54553">
      <w:pPr>
        <w:pStyle w:val="TOC1"/>
        <w:rPr>
          <w:rFonts w:asciiTheme="minorHAnsi" w:eastAsiaTheme="minorEastAsia" w:hAnsiTheme="minorHAnsi" w:cstheme="minorBidi"/>
          <w:b w:val="0"/>
          <w:spacing w:val="0"/>
          <w:sz w:val="22"/>
          <w:szCs w:val="22"/>
        </w:rPr>
      </w:pPr>
      <w:hyperlink w:anchor="_Toc18505496" w:history="1">
        <w:r w:rsidR="00B26F66" w:rsidRPr="000E2BF0">
          <w:rPr>
            <w:rStyle w:val="Hyperlink"/>
          </w:rPr>
          <w:t>At a glance—2019–20 work program</w:t>
        </w:r>
        <w:r w:rsidR="00B26F66">
          <w:rPr>
            <w:webHidden/>
          </w:rPr>
          <w:tab/>
        </w:r>
        <w:r w:rsidR="00B26F66">
          <w:rPr>
            <w:webHidden/>
          </w:rPr>
          <w:fldChar w:fldCharType="begin"/>
        </w:r>
        <w:r w:rsidR="00B26F66">
          <w:rPr>
            <w:webHidden/>
          </w:rPr>
          <w:instrText xml:space="preserve"> PAGEREF _Toc18505496 \h </w:instrText>
        </w:r>
        <w:r w:rsidR="00B26F66">
          <w:rPr>
            <w:webHidden/>
          </w:rPr>
        </w:r>
        <w:r w:rsidR="00B26F66">
          <w:rPr>
            <w:webHidden/>
          </w:rPr>
          <w:fldChar w:fldCharType="separate"/>
        </w:r>
        <w:r>
          <w:rPr>
            <w:webHidden/>
          </w:rPr>
          <w:t>3</w:t>
        </w:r>
        <w:r w:rsidR="00B26F66">
          <w:rPr>
            <w:webHidden/>
          </w:rPr>
          <w:fldChar w:fldCharType="end"/>
        </w:r>
      </w:hyperlink>
    </w:p>
    <w:p w14:paraId="16516993" w14:textId="640C43A3" w:rsidR="00B26F66" w:rsidRDefault="00A54553">
      <w:pPr>
        <w:pStyle w:val="TOC2"/>
        <w:rPr>
          <w:rFonts w:asciiTheme="minorHAnsi" w:eastAsiaTheme="minorEastAsia" w:hAnsiTheme="minorHAnsi" w:cstheme="minorBidi"/>
          <w:spacing w:val="0"/>
          <w:sz w:val="22"/>
          <w:szCs w:val="22"/>
        </w:rPr>
      </w:pPr>
      <w:hyperlink w:anchor="_Toc18505497" w:history="1">
        <w:r w:rsidR="00B26F66" w:rsidRPr="000E2BF0">
          <w:rPr>
            <w:rStyle w:val="Hyperlink"/>
          </w:rPr>
          <w:t>FYSO 2018–22 progress report</w:t>
        </w:r>
        <w:r w:rsidR="00B26F66">
          <w:rPr>
            <w:webHidden/>
          </w:rPr>
          <w:tab/>
        </w:r>
        <w:r w:rsidR="00B26F66">
          <w:rPr>
            <w:webHidden/>
          </w:rPr>
          <w:fldChar w:fldCharType="begin"/>
        </w:r>
        <w:r w:rsidR="00B26F66">
          <w:rPr>
            <w:webHidden/>
          </w:rPr>
          <w:instrText xml:space="preserve"> PAGEREF _Toc18505497 \h </w:instrText>
        </w:r>
        <w:r w:rsidR="00B26F66">
          <w:rPr>
            <w:webHidden/>
          </w:rPr>
        </w:r>
        <w:r w:rsidR="00B26F66">
          <w:rPr>
            <w:webHidden/>
          </w:rPr>
          <w:fldChar w:fldCharType="separate"/>
        </w:r>
        <w:r>
          <w:rPr>
            <w:webHidden/>
          </w:rPr>
          <w:t>11</w:t>
        </w:r>
        <w:r w:rsidR="00B26F66">
          <w:rPr>
            <w:webHidden/>
          </w:rPr>
          <w:fldChar w:fldCharType="end"/>
        </w:r>
      </w:hyperlink>
    </w:p>
    <w:p w14:paraId="4C4BE2E0" w14:textId="1AF8B134" w:rsidR="00B26F66" w:rsidRDefault="00A54553">
      <w:pPr>
        <w:pStyle w:val="TOC1"/>
        <w:rPr>
          <w:rFonts w:asciiTheme="minorHAnsi" w:eastAsiaTheme="minorEastAsia" w:hAnsiTheme="minorHAnsi" w:cstheme="minorBidi"/>
          <w:b w:val="0"/>
          <w:spacing w:val="0"/>
          <w:sz w:val="22"/>
          <w:szCs w:val="22"/>
        </w:rPr>
      </w:pPr>
      <w:hyperlink w:anchor="_Toc18505498" w:history="1">
        <w:r w:rsidR="00B26F66" w:rsidRPr="000E2BF0">
          <w:rPr>
            <w:rStyle w:val="Hyperlink"/>
            <w:rFonts w:eastAsiaTheme="majorEastAsia"/>
          </w:rPr>
          <w:t>Part 1—Five-year spectrum outlook</w:t>
        </w:r>
        <w:r w:rsidR="00B26F66">
          <w:rPr>
            <w:webHidden/>
          </w:rPr>
          <w:tab/>
        </w:r>
        <w:r w:rsidR="00B26F66">
          <w:rPr>
            <w:webHidden/>
          </w:rPr>
          <w:fldChar w:fldCharType="begin"/>
        </w:r>
        <w:r w:rsidR="00B26F66">
          <w:rPr>
            <w:webHidden/>
          </w:rPr>
          <w:instrText xml:space="preserve"> PAGEREF _Toc18505498 \h </w:instrText>
        </w:r>
        <w:r w:rsidR="00B26F66">
          <w:rPr>
            <w:webHidden/>
          </w:rPr>
        </w:r>
        <w:r w:rsidR="00B26F66">
          <w:rPr>
            <w:webHidden/>
          </w:rPr>
          <w:fldChar w:fldCharType="separate"/>
        </w:r>
        <w:r>
          <w:rPr>
            <w:webHidden/>
          </w:rPr>
          <w:t>12</w:t>
        </w:r>
        <w:r w:rsidR="00B26F66">
          <w:rPr>
            <w:webHidden/>
          </w:rPr>
          <w:fldChar w:fldCharType="end"/>
        </w:r>
      </w:hyperlink>
    </w:p>
    <w:p w14:paraId="164B873D" w14:textId="57A8B359" w:rsidR="00B26F66" w:rsidRDefault="00A54553">
      <w:pPr>
        <w:pStyle w:val="TOC2"/>
        <w:rPr>
          <w:rFonts w:asciiTheme="minorHAnsi" w:eastAsiaTheme="minorEastAsia" w:hAnsiTheme="minorHAnsi" w:cstheme="minorBidi"/>
          <w:spacing w:val="0"/>
          <w:sz w:val="22"/>
          <w:szCs w:val="22"/>
        </w:rPr>
      </w:pPr>
      <w:hyperlink w:anchor="_Toc18505499" w:history="1">
        <w:r w:rsidR="00B26F66" w:rsidRPr="000E2BF0">
          <w:rPr>
            <w:rStyle w:val="Hyperlink"/>
            <w:rFonts w:eastAsiaTheme="majorEastAsia"/>
          </w:rPr>
          <w:t>Introduction</w:t>
        </w:r>
        <w:r w:rsidR="00B26F66">
          <w:rPr>
            <w:webHidden/>
          </w:rPr>
          <w:tab/>
        </w:r>
        <w:r w:rsidR="00B26F66">
          <w:rPr>
            <w:webHidden/>
          </w:rPr>
          <w:fldChar w:fldCharType="begin"/>
        </w:r>
        <w:r w:rsidR="00B26F66">
          <w:rPr>
            <w:webHidden/>
          </w:rPr>
          <w:instrText xml:space="preserve"> PAGEREF _Toc18505499 \h </w:instrText>
        </w:r>
        <w:r w:rsidR="00B26F66">
          <w:rPr>
            <w:webHidden/>
          </w:rPr>
        </w:r>
        <w:r w:rsidR="00B26F66">
          <w:rPr>
            <w:webHidden/>
          </w:rPr>
          <w:fldChar w:fldCharType="separate"/>
        </w:r>
        <w:r>
          <w:rPr>
            <w:webHidden/>
          </w:rPr>
          <w:t>12</w:t>
        </w:r>
        <w:r w:rsidR="00B26F66">
          <w:rPr>
            <w:webHidden/>
          </w:rPr>
          <w:fldChar w:fldCharType="end"/>
        </w:r>
      </w:hyperlink>
    </w:p>
    <w:p w14:paraId="6A8FFD29" w14:textId="44AB5523" w:rsidR="00B26F66" w:rsidRDefault="00A54553">
      <w:pPr>
        <w:pStyle w:val="TOC2"/>
        <w:rPr>
          <w:rFonts w:asciiTheme="minorHAnsi" w:eastAsiaTheme="minorEastAsia" w:hAnsiTheme="minorHAnsi" w:cstheme="minorBidi"/>
          <w:spacing w:val="0"/>
          <w:sz w:val="22"/>
          <w:szCs w:val="22"/>
        </w:rPr>
      </w:pPr>
      <w:hyperlink w:anchor="_Toc18505500" w:history="1">
        <w:r w:rsidR="00B26F66" w:rsidRPr="000E2BF0">
          <w:rPr>
            <w:rStyle w:val="Hyperlink"/>
          </w:rPr>
          <w:t>Anticipated change drivers</w:t>
        </w:r>
        <w:r w:rsidR="00B26F66">
          <w:rPr>
            <w:webHidden/>
          </w:rPr>
          <w:tab/>
        </w:r>
        <w:r w:rsidR="00B26F66">
          <w:rPr>
            <w:webHidden/>
          </w:rPr>
          <w:fldChar w:fldCharType="begin"/>
        </w:r>
        <w:r w:rsidR="00B26F66">
          <w:rPr>
            <w:webHidden/>
          </w:rPr>
          <w:instrText xml:space="preserve"> PAGEREF _Toc18505500 \h </w:instrText>
        </w:r>
        <w:r w:rsidR="00B26F66">
          <w:rPr>
            <w:webHidden/>
          </w:rPr>
        </w:r>
        <w:r w:rsidR="00B26F66">
          <w:rPr>
            <w:webHidden/>
          </w:rPr>
          <w:fldChar w:fldCharType="separate"/>
        </w:r>
        <w:r>
          <w:rPr>
            <w:webHidden/>
          </w:rPr>
          <w:t>12</w:t>
        </w:r>
        <w:r w:rsidR="00B26F66">
          <w:rPr>
            <w:webHidden/>
          </w:rPr>
          <w:fldChar w:fldCharType="end"/>
        </w:r>
      </w:hyperlink>
    </w:p>
    <w:p w14:paraId="30EFEB1B" w14:textId="74210788" w:rsidR="00B26F66" w:rsidRDefault="00A54553">
      <w:pPr>
        <w:pStyle w:val="TOC3"/>
        <w:rPr>
          <w:rFonts w:asciiTheme="minorHAnsi" w:eastAsiaTheme="minorEastAsia" w:hAnsiTheme="minorHAnsi" w:cstheme="minorBidi"/>
        </w:rPr>
      </w:pPr>
      <w:hyperlink w:anchor="_Toc18505501" w:history="1">
        <w:r w:rsidR="00B26F66" w:rsidRPr="000E2BF0">
          <w:rPr>
            <w:rStyle w:val="Hyperlink"/>
          </w:rPr>
          <w:t>Wireless broadband, including 5G</w:t>
        </w:r>
        <w:r w:rsidR="00B26F66">
          <w:rPr>
            <w:webHidden/>
          </w:rPr>
          <w:tab/>
        </w:r>
        <w:r w:rsidR="00B26F66">
          <w:rPr>
            <w:webHidden/>
          </w:rPr>
          <w:fldChar w:fldCharType="begin"/>
        </w:r>
        <w:r w:rsidR="00B26F66">
          <w:rPr>
            <w:webHidden/>
          </w:rPr>
          <w:instrText xml:space="preserve"> PAGEREF _Toc18505501 \h </w:instrText>
        </w:r>
        <w:r w:rsidR="00B26F66">
          <w:rPr>
            <w:webHidden/>
          </w:rPr>
        </w:r>
        <w:r w:rsidR="00B26F66">
          <w:rPr>
            <w:webHidden/>
          </w:rPr>
          <w:fldChar w:fldCharType="separate"/>
        </w:r>
        <w:r>
          <w:rPr>
            <w:webHidden/>
          </w:rPr>
          <w:t>13</w:t>
        </w:r>
        <w:r w:rsidR="00B26F66">
          <w:rPr>
            <w:webHidden/>
          </w:rPr>
          <w:fldChar w:fldCharType="end"/>
        </w:r>
      </w:hyperlink>
    </w:p>
    <w:p w14:paraId="7F1B4325" w14:textId="305A15BC" w:rsidR="00B26F66" w:rsidRDefault="00A54553">
      <w:pPr>
        <w:pStyle w:val="TOC3"/>
        <w:rPr>
          <w:rFonts w:asciiTheme="minorHAnsi" w:eastAsiaTheme="minorEastAsia" w:hAnsiTheme="minorHAnsi" w:cstheme="minorBidi"/>
        </w:rPr>
      </w:pPr>
      <w:hyperlink w:anchor="_Toc18505502" w:history="1">
        <w:r w:rsidR="00B26F66" w:rsidRPr="000E2BF0">
          <w:rPr>
            <w:rStyle w:val="Hyperlink"/>
          </w:rPr>
          <w:t>Machine-to-machine communications and the Internet of Things (IoT)</w:t>
        </w:r>
        <w:r w:rsidR="00B26F66">
          <w:rPr>
            <w:webHidden/>
          </w:rPr>
          <w:tab/>
        </w:r>
        <w:r w:rsidR="00B26F66">
          <w:rPr>
            <w:webHidden/>
          </w:rPr>
          <w:fldChar w:fldCharType="begin"/>
        </w:r>
        <w:r w:rsidR="00B26F66">
          <w:rPr>
            <w:webHidden/>
          </w:rPr>
          <w:instrText xml:space="preserve"> PAGEREF _Toc18505502 \h </w:instrText>
        </w:r>
        <w:r w:rsidR="00B26F66">
          <w:rPr>
            <w:webHidden/>
          </w:rPr>
        </w:r>
        <w:r w:rsidR="00B26F66">
          <w:rPr>
            <w:webHidden/>
          </w:rPr>
          <w:fldChar w:fldCharType="separate"/>
        </w:r>
        <w:r>
          <w:rPr>
            <w:webHidden/>
          </w:rPr>
          <w:t>17</w:t>
        </w:r>
        <w:r w:rsidR="00B26F66">
          <w:rPr>
            <w:webHidden/>
          </w:rPr>
          <w:fldChar w:fldCharType="end"/>
        </w:r>
      </w:hyperlink>
    </w:p>
    <w:p w14:paraId="53EBE890" w14:textId="3218E6E6" w:rsidR="00B26F66" w:rsidRDefault="00A54553">
      <w:pPr>
        <w:pStyle w:val="TOC3"/>
        <w:rPr>
          <w:rFonts w:asciiTheme="minorHAnsi" w:eastAsiaTheme="minorEastAsia" w:hAnsiTheme="minorHAnsi" w:cstheme="minorBidi"/>
        </w:rPr>
      </w:pPr>
      <w:hyperlink w:anchor="_Toc18505503" w:history="1">
        <w:r w:rsidR="00B26F66" w:rsidRPr="000E2BF0">
          <w:rPr>
            <w:rStyle w:val="Hyperlink"/>
          </w:rPr>
          <w:t>Future delivery of broadcasting services</w:t>
        </w:r>
        <w:r w:rsidR="00B26F66">
          <w:rPr>
            <w:webHidden/>
          </w:rPr>
          <w:tab/>
        </w:r>
        <w:r w:rsidR="00B26F66">
          <w:rPr>
            <w:webHidden/>
          </w:rPr>
          <w:fldChar w:fldCharType="begin"/>
        </w:r>
        <w:r w:rsidR="00B26F66">
          <w:rPr>
            <w:webHidden/>
          </w:rPr>
          <w:instrText xml:space="preserve"> PAGEREF _Toc18505503 \h </w:instrText>
        </w:r>
        <w:r w:rsidR="00B26F66">
          <w:rPr>
            <w:webHidden/>
          </w:rPr>
        </w:r>
        <w:r w:rsidR="00B26F66">
          <w:rPr>
            <w:webHidden/>
          </w:rPr>
          <w:fldChar w:fldCharType="separate"/>
        </w:r>
        <w:r>
          <w:rPr>
            <w:webHidden/>
          </w:rPr>
          <w:t>17</w:t>
        </w:r>
        <w:r w:rsidR="00B26F66">
          <w:rPr>
            <w:webHidden/>
          </w:rPr>
          <w:fldChar w:fldCharType="end"/>
        </w:r>
      </w:hyperlink>
    </w:p>
    <w:p w14:paraId="1C45BB8D" w14:textId="5014F53D" w:rsidR="00B26F66" w:rsidRDefault="00A54553">
      <w:pPr>
        <w:pStyle w:val="TOC3"/>
        <w:rPr>
          <w:rFonts w:asciiTheme="minorHAnsi" w:eastAsiaTheme="minorEastAsia" w:hAnsiTheme="minorHAnsi" w:cstheme="minorBidi"/>
        </w:rPr>
      </w:pPr>
      <w:hyperlink w:anchor="_Toc18505504" w:history="1">
        <w:r w:rsidR="00B26F66" w:rsidRPr="000E2BF0">
          <w:rPr>
            <w:rStyle w:val="Hyperlink"/>
          </w:rPr>
          <w:t>Satellite communications</w:t>
        </w:r>
        <w:r w:rsidR="00B26F66">
          <w:rPr>
            <w:webHidden/>
          </w:rPr>
          <w:tab/>
        </w:r>
        <w:r w:rsidR="00B26F66">
          <w:rPr>
            <w:webHidden/>
          </w:rPr>
          <w:fldChar w:fldCharType="begin"/>
        </w:r>
        <w:r w:rsidR="00B26F66">
          <w:rPr>
            <w:webHidden/>
          </w:rPr>
          <w:instrText xml:space="preserve"> PAGEREF _Toc18505504 \h </w:instrText>
        </w:r>
        <w:r w:rsidR="00B26F66">
          <w:rPr>
            <w:webHidden/>
          </w:rPr>
        </w:r>
        <w:r w:rsidR="00B26F66">
          <w:rPr>
            <w:webHidden/>
          </w:rPr>
          <w:fldChar w:fldCharType="separate"/>
        </w:r>
        <w:r>
          <w:rPr>
            <w:webHidden/>
          </w:rPr>
          <w:t>18</w:t>
        </w:r>
        <w:r w:rsidR="00B26F66">
          <w:rPr>
            <w:webHidden/>
          </w:rPr>
          <w:fldChar w:fldCharType="end"/>
        </w:r>
      </w:hyperlink>
    </w:p>
    <w:p w14:paraId="3A38BE87" w14:textId="58F1301E" w:rsidR="00B26F66" w:rsidRDefault="00A54553">
      <w:pPr>
        <w:pStyle w:val="TOC3"/>
        <w:tabs>
          <w:tab w:val="left" w:pos="885"/>
        </w:tabs>
        <w:rPr>
          <w:rFonts w:asciiTheme="minorHAnsi" w:eastAsiaTheme="minorEastAsia" w:hAnsiTheme="minorHAnsi" w:cstheme="minorBidi"/>
        </w:rPr>
      </w:pPr>
      <w:hyperlink w:anchor="_Toc18505505" w:history="1">
        <w:r w:rsidR="00B26F66" w:rsidRPr="000E2BF0">
          <w:rPr>
            <w:rStyle w:val="Hyperlink"/>
          </w:rPr>
          <w:t>Government spectrum requirements</w:t>
        </w:r>
        <w:r w:rsidR="00B26F66">
          <w:rPr>
            <w:webHidden/>
          </w:rPr>
          <w:tab/>
        </w:r>
        <w:r w:rsidR="00B26F66">
          <w:rPr>
            <w:webHidden/>
          </w:rPr>
          <w:fldChar w:fldCharType="begin"/>
        </w:r>
        <w:r w:rsidR="00B26F66">
          <w:rPr>
            <w:webHidden/>
          </w:rPr>
          <w:instrText xml:space="preserve"> PAGEREF _Toc18505505 \h </w:instrText>
        </w:r>
        <w:r w:rsidR="00B26F66">
          <w:rPr>
            <w:webHidden/>
          </w:rPr>
        </w:r>
        <w:r w:rsidR="00B26F66">
          <w:rPr>
            <w:webHidden/>
          </w:rPr>
          <w:fldChar w:fldCharType="separate"/>
        </w:r>
        <w:r>
          <w:rPr>
            <w:webHidden/>
          </w:rPr>
          <w:t>19</w:t>
        </w:r>
        <w:r w:rsidR="00B26F66">
          <w:rPr>
            <w:webHidden/>
          </w:rPr>
          <w:fldChar w:fldCharType="end"/>
        </w:r>
      </w:hyperlink>
    </w:p>
    <w:p w14:paraId="2DF224A0" w14:textId="3D6DFD21" w:rsidR="00B26F66" w:rsidRDefault="00A54553">
      <w:pPr>
        <w:pStyle w:val="TOC3"/>
        <w:rPr>
          <w:rFonts w:asciiTheme="minorHAnsi" w:eastAsiaTheme="minorEastAsia" w:hAnsiTheme="minorHAnsi" w:cstheme="minorBidi"/>
        </w:rPr>
      </w:pPr>
      <w:hyperlink w:anchor="_Toc18505506" w:history="1">
        <w:r w:rsidR="00B26F66" w:rsidRPr="000E2BF0">
          <w:rPr>
            <w:rStyle w:val="Hyperlink"/>
          </w:rPr>
          <w:t>New approaches to spectrum sharing</w:t>
        </w:r>
        <w:r w:rsidR="00B26F66">
          <w:rPr>
            <w:webHidden/>
          </w:rPr>
          <w:tab/>
        </w:r>
        <w:r w:rsidR="00B26F66">
          <w:rPr>
            <w:webHidden/>
          </w:rPr>
          <w:fldChar w:fldCharType="begin"/>
        </w:r>
        <w:r w:rsidR="00B26F66">
          <w:rPr>
            <w:webHidden/>
          </w:rPr>
          <w:instrText xml:space="preserve"> PAGEREF _Toc18505506 \h </w:instrText>
        </w:r>
        <w:r w:rsidR="00B26F66">
          <w:rPr>
            <w:webHidden/>
          </w:rPr>
        </w:r>
        <w:r w:rsidR="00B26F66">
          <w:rPr>
            <w:webHidden/>
          </w:rPr>
          <w:fldChar w:fldCharType="separate"/>
        </w:r>
        <w:r>
          <w:rPr>
            <w:webHidden/>
          </w:rPr>
          <w:t>20</w:t>
        </w:r>
        <w:r w:rsidR="00B26F66">
          <w:rPr>
            <w:webHidden/>
          </w:rPr>
          <w:fldChar w:fldCharType="end"/>
        </w:r>
      </w:hyperlink>
    </w:p>
    <w:p w14:paraId="3D73D0F6" w14:textId="45A5294D" w:rsidR="00B26F66" w:rsidRDefault="00A54553">
      <w:pPr>
        <w:pStyle w:val="TOC3"/>
        <w:rPr>
          <w:rFonts w:asciiTheme="minorHAnsi" w:eastAsiaTheme="minorEastAsia" w:hAnsiTheme="minorHAnsi" w:cstheme="minorBidi"/>
        </w:rPr>
      </w:pPr>
      <w:hyperlink w:anchor="_Toc18505507" w:history="1">
        <w:r w:rsidR="00B26F66" w:rsidRPr="000E2BF0">
          <w:rPr>
            <w:rStyle w:val="Hyperlink"/>
          </w:rPr>
          <w:t>Class licensing and the spectrum commons</w:t>
        </w:r>
        <w:r w:rsidR="00B26F66">
          <w:rPr>
            <w:webHidden/>
          </w:rPr>
          <w:tab/>
        </w:r>
        <w:r w:rsidR="00B26F66">
          <w:rPr>
            <w:webHidden/>
          </w:rPr>
          <w:fldChar w:fldCharType="begin"/>
        </w:r>
        <w:r w:rsidR="00B26F66">
          <w:rPr>
            <w:webHidden/>
          </w:rPr>
          <w:instrText xml:space="preserve"> PAGEREF _Toc18505507 \h </w:instrText>
        </w:r>
        <w:r w:rsidR="00B26F66">
          <w:rPr>
            <w:webHidden/>
          </w:rPr>
        </w:r>
        <w:r w:rsidR="00B26F66">
          <w:rPr>
            <w:webHidden/>
          </w:rPr>
          <w:fldChar w:fldCharType="separate"/>
        </w:r>
        <w:r>
          <w:rPr>
            <w:webHidden/>
          </w:rPr>
          <w:t>21</w:t>
        </w:r>
        <w:r w:rsidR="00B26F66">
          <w:rPr>
            <w:webHidden/>
          </w:rPr>
          <w:fldChar w:fldCharType="end"/>
        </w:r>
      </w:hyperlink>
    </w:p>
    <w:p w14:paraId="1F24481C" w14:textId="4766FCD4" w:rsidR="00B26F66" w:rsidRDefault="00A54553">
      <w:pPr>
        <w:pStyle w:val="TOC3"/>
        <w:tabs>
          <w:tab w:val="left" w:pos="885"/>
        </w:tabs>
        <w:rPr>
          <w:rFonts w:asciiTheme="minorHAnsi" w:eastAsiaTheme="minorEastAsia" w:hAnsiTheme="minorHAnsi" w:cstheme="minorBidi"/>
        </w:rPr>
      </w:pPr>
      <w:hyperlink w:anchor="_Toc18505508" w:history="1">
        <w:r w:rsidR="00B26F66" w:rsidRPr="000E2BF0">
          <w:rPr>
            <w:rStyle w:val="Hyperlink"/>
          </w:rPr>
          <w:t>Amateur radio</w:t>
        </w:r>
        <w:r w:rsidR="00B26F66">
          <w:rPr>
            <w:webHidden/>
          </w:rPr>
          <w:tab/>
        </w:r>
        <w:r w:rsidR="00B26F66">
          <w:rPr>
            <w:webHidden/>
          </w:rPr>
          <w:fldChar w:fldCharType="begin"/>
        </w:r>
        <w:r w:rsidR="00B26F66">
          <w:rPr>
            <w:webHidden/>
          </w:rPr>
          <w:instrText xml:space="preserve"> PAGEREF _Toc18505508 \h </w:instrText>
        </w:r>
        <w:r w:rsidR="00B26F66">
          <w:rPr>
            <w:webHidden/>
          </w:rPr>
        </w:r>
        <w:r w:rsidR="00B26F66">
          <w:rPr>
            <w:webHidden/>
          </w:rPr>
          <w:fldChar w:fldCharType="separate"/>
        </w:r>
        <w:r>
          <w:rPr>
            <w:webHidden/>
          </w:rPr>
          <w:t>22</w:t>
        </w:r>
        <w:r w:rsidR="00B26F66">
          <w:rPr>
            <w:webHidden/>
          </w:rPr>
          <w:fldChar w:fldCharType="end"/>
        </w:r>
      </w:hyperlink>
    </w:p>
    <w:p w14:paraId="4DEF0C60" w14:textId="35CA64B7" w:rsidR="00B26F66" w:rsidRDefault="00A54553">
      <w:pPr>
        <w:pStyle w:val="TOC1"/>
        <w:rPr>
          <w:rFonts w:asciiTheme="minorHAnsi" w:eastAsiaTheme="minorEastAsia" w:hAnsiTheme="minorHAnsi" w:cstheme="minorBidi"/>
          <w:b w:val="0"/>
          <w:spacing w:val="0"/>
          <w:sz w:val="22"/>
          <w:szCs w:val="22"/>
        </w:rPr>
      </w:pPr>
      <w:hyperlink w:anchor="_Toc18505509" w:history="1">
        <w:r w:rsidR="00B26F66" w:rsidRPr="000E2BF0">
          <w:rPr>
            <w:rStyle w:val="Hyperlink"/>
            <w:rFonts w:eastAsiaTheme="majorEastAsia"/>
          </w:rPr>
          <w:t>Part 2—Proposed 2019–20 annual spectrum management work program</w:t>
        </w:r>
        <w:r w:rsidR="00B26F66">
          <w:rPr>
            <w:webHidden/>
          </w:rPr>
          <w:tab/>
        </w:r>
        <w:r w:rsidR="00B26F66">
          <w:rPr>
            <w:webHidden/>
          </w:rPr>
          <w:fldChar w:fldCharType="begin"/>
        </w:r>
        <w:r w:rsidR="00B26F66">
          <w:rPr>
            <w:webHidden/>
          </w:rPr>
          <w:instrText xml:space="preserve"> PAGEREF _Toc18505509 \h </w:instrText>
        </w:r>
        <w:r w:rsidR="00B26F66">
          <w:rPr>
            <w:webHidden/>
          </w:rPr>
        </w:r>
        <w:r w:rsidR="00B26F66">
          <w:rPr>
            <w:webHidden/>
          </w:rPr>
          <w:fldChar w:fldCharType="separate"/>
        </w:r>
        <w:r>
          <w:rPr>
            <w:webHidden/>
          </w:rPr>
          <w:t>24</w:t>
        </w:r>
        <w:r w:rsidR="00B26F66">
          <w:rPr>
            <w:webHidden/>
          </w:rPr>
          <w:fldChar w:fldCharType="end"/>
        </w:r>
      </w:hyperlink>
    </w:p>
    <w:p w14:paraId="66BA8D2C" w14:textId="34516AB1" w:rsidR="00B26F66" w:rsidRDefault="00A54553">
      <w:pPr>
        <w:pStyle w:val="TOC2"/>
        <w:rPr>
          <w:rFonts w:asciiTheme="minorHAnsi" w:eastAsiaTheme="minorEastAsia" w:hAnsiTheme="minorHAnsi" w:cstheme="minorBidi"/>
          <w:spacing w:val="0"/>
          <w:sz w:val="22"/>
          <w:szCs w:val="22"/>
        </w:rPr>
      </w:pPr>
      <w:hyperlink w:anchor="_Toc18505510" w:history="1">
        <w:r w:rsidR="00B26F66" w:rsidRPr="000E2BF0">
          <w:rPr>
            <w:rStyle w:val="Hyperlink"/>
          </w:rPr>
          <w:t>Priorities and resources</w:t>
        </w:r>
        <w:r w:rsidR="00B26F66">
          <w:rPr>
            <w:webHidden/>
          </w:rPr>
          <w:tab/>
        </w:r>
        <w:r w:rsidR="00B26F66">
          <w:rPr>
            <w:webHidden/>
          </w:rPr>
          <w:fldChar w:fldCharType="begin"/>
        </w:r>
        <w:r w:rsidR="00B26F66">
          <w:rPr>
            <w:webHidden/>
          </w:rPr>
          <w:instrText xml:space="preserve"> PAGEREF _Toc18505510 \h </w:instrText>
        </w:r>
        <w:r w:rsidR="00B26F66">
          <w:rPr>
            <w:webHidden/>
          </w:rPr>
        </w:r>
        <w:r w:rsidR="00B26F66">
          <w:rPr>
            <w:webHidden/>
          </w:rPr>
          <w:fldChar w:fldCharType="separate"/>
        </w:r>
        <w:r>
          <w:rPr>
            <w:webHidden/>
          </w:rPr>
          <w:t>24</w:t>
        </w:r>
        <w:r w:rsidR="00B26F66">
          <w:rPr>
            <w:webHidden/>
          </w:rPr>
          <w:fldChar w:fldCharType="end"/>
        </w:r>
      </w:hyperlink>
    </w:p>
    <w:p w14:paraId="1DC6CA12" w14:textId="11958161" w:rsidR="00B26F66" w:rsidRDefault="00A54553">
      <w:pPr>
        <w:pStyle w:val="TOC1"/>
        <w:rPr>
          <w:rFonts w:asciiTheme="minorHAnsi" w:eastAsiaTheme="minorEastAsia" w:hAnsiTheme="minorHAnsi" w:cstheme="minorBidi"/>
          <w:b w:val="0"/>
          <w:spacing w:val="0"/>
          <w:sz w:val="22"/>
          <w:szCs w:val="22"/>
        </w:rPr>
      </w:pPr>
      <w:hyperlink w:anchor="_Toc18505511" w:history="1">
        <w:r w:rsidR="00B26F66" w:rsidRPr="000E2BF0">
          <w:rPr>
            <w:rStyle w:val="Hyperlink"/>
          </w:rPr>
          <w:t>International engagement</w:t>
        </w:r>
        <w:r w:rsidR="00B26F66">
          <w:rPr>
            <w:webHidden/>
          </w:rPr>
          <w:tab/>
        </w:r>
        <w:r w:rsidR="00B26F66">
          <w:rPr>
            <w:webHidden/>
          </w:rPr>
          <w:fldChar w:fldCharType="begin"/>
        </w:r>
        <w:r w:rsidR="00B26F66">
          <w:rPr>
            <w:webHidden/>
          </w:rPr>
          <w:instrText xml:space="preserve"> PAGEREF _Toc18505511 \h </w:instrText>
        </w:r>
        <w:r w:rsidR="00B26F66">
          <w:rPr>
            <w:webHidden/>
          </w:rPr>
        </w:r>
        <w:r w:rsidR="00B26F66">
          <w:rPr>
            <w:webHidden/>
          </w:rPr>
          <w:fldChar w:fldCharType="separate"/>
        </w:r>
        <w:r>
          <w:rPr>
            <w:webHidden/>
          </w:rPr>
          <w:t>25</w:t>
        </w:r>
        <w:r w:rsidR="00B26F66">
          <w:rPr>
            <w:webHidden/>
          </w:rPr>
          <w:fldChar w:fldCharType="end"/>
        </w:r>
      </w:hyperlink>
    </w:p>
    <w:p w14:paraId="6E42DC65" w14:textId="6EC1FA10" w:rsidR="00B26F66" w:rsidRDefault="00A54553">
      <w:pPr>
        <w:pStyle w:val="TOC2"/>
        <w:rPr>
          <w:rFonts w:asciiTheme="minorHAnsi" w:eastAsiaTheme="minorEastAsia" w:hAnsiTheme="minorHAnsi" w:cstheme="minorBidi"/>
          <w:spacing w:val="0"/>
          <w:sz w:val="22"/>
          <w:szCs w:val="22"/>
        </w:rPr>
      </w:pPr>
      <w:hyperlink w:anchor="_Toc18505512" w:history="1">
        <w:r w:rsidR="00B26F66" w:rsidRPr="000E2BF0">
          <w:rPr>
            <w:rStyle w:val="Hyperlink"/>
          </w:rPr>
          <w:t>International meetings 2018–19</w:t>
        </w:r>
        <w:r w:rsidR="00B26F66">
          <w:rPr>
            <w:webHidden/>
          </w:rPr>
          <w:tab/>
        </w:r>
        <w:r w:rsidR="00B26F66">
          <w:rPr>
            <w:webHidden/>
          </w:rPr>
          <w:fldChar w:fldCharType="begin"/>
        </w:r>
        <w:r w:rsidR="00B26F66">
          <w:rPr>
            <w:webHidden/>
          </w:rPr>
          <w:instrText xml:space="preserve"> PAGEREF _Toc18505512 \h </w:instrText>
        </w:r>
        <w:r w:rsidR="00B26F66">
          <w:rPr>
            <w:webHidden/>
          </w:rPr>
        </w:r>
        <w:r w:rsidR="00B26F66">
          <w:rPr>
            <w:webHidden/>
          </w:rPr>
          <w:fldChar w:fldCharType="separate"/>
        </w:r>
        <w:r>
          <w:rPr>
            <w:webHidden/>
          </w:rPr>
          <w:t>25</w:t>
        </w:r>
        <w:r w:rsidR="00B26F66">
          <w:rPr>
            <w:webHidden/>
          </w:rPr>
          <w:fldChar w:fldCharType="end"/>
        </w:r>
      </w:hyperlink>
    </w:p>
    <w:p w14:paraId="160DEFF4" w14:textId="65C37B96" w:rsidR="00B26F66" w:rsidRDefault="00A54553">
      <w:pPr>
        <w:pStyle w:val="TOC2"/>
        <w:rPr>
          <w:rFonts w:asciiTheme="minorHAnsi" w:eastAsiaTheme="minorEastAsia" w:hAnsiTheme="minorHAnsi" w:cstheme="minorBidi"/>
          <w:spacing w:val="0"/>
          <w:sz w:val="22"/>
          <w:szCs w:val="22"/>
        </w:rPr>
      </w:pPr>
      <w:hyperlink w:anchor="_Toc18505513" w:history="1">
        <w:r w:rsidR="00B26F66" w:rsidRPr="000E2BF0">
          <w:rPr>
            <w:rStyle w:val="Hyperlink"/>
          </w:rPr>
          <w:t>New and ongoing activities planned for 2019–20</w:t>
        </w:r>
        <w:r w:rsidR="00B26F66">
          <w:rPr>
            <w:webHidden/>
          </w:rPr>
          <w:tab/>
        </w:r>
        <w:r w:rsidR="00B26F66">
          <w:rPr>
            <w:webHidden/>
          </w:rPr>
          <w:fldChar w:fldCharType="begin"/>
        </w:r>
        <w:r w:rsidR="00B26F66">
          <w:rPr>
            <w:webHidden/>
          </w:rPr>
          <w:instrText xml:space="preserve"> PAGEREF _Toc18505513 \h </w:instrText>
        </w:r>
        <w:r w:rsidR="00B26F66">
          <w:rPr>
            <w:webHidden/>
          </w:rPr>
        </w:r>
        <w:r w:rsidR="00B26F66">
          <w:rPr>
            <w:webHidden/>
          </w:rPr>
          <w:fldChar w:fldCharType="separate"/>
        </w:r>
        <w:r>
          <w:rPr>
            <w:webHidden/>
          </w:rPr>
          <w:t>26</w:t>
        </w:r>
        <w:r w:rsidR="00B26F66">
          <w:rPr>
            <w:webHidden/>
          </w:rPr>
          <w:fldChar w:fldCharType="end"/>
        </w:r>
      </w:hyperlink>
    </w:p>
    <w:p w14:paraId="2FBB0E6D" w14:textId="32BA452A" w:rsidR="00B26F66" w:rsidRDefault="00A54553">
      <w:pPr>
        <w:pStyle w:val="TOC1"/>
        <w:rPr>
          <w:rFonts w:asciiTheme="minorHAnsi" w:eastAsiaTheme="minorEastAsia" w:hAnsiTheme="minorHAnsi" w:cstheme="minorBidi"/>
          <w:b w:val="0"/>
          <w:spacing w:val="0"/>
          <w:sz w:val="22"/>
          <w:szCs w:val="22"/>
        </w:rPr>
      </w:pPr>
      <w:hyperlink w:anchor="_Toc18505514" w:history="1">
        <w:r w:rsidR="00B26F66" w:rsidRPr="000E2BF0">
          <w:rPr>
            <w:rStyle w:val="Hyperlink"/>
          </w:rPr>
          <w:t>Planning</w:t>
        </w:r>
        <w:r w:rsidR="00B26F66">
          <w:rPr>
            <w:webHidden/>
          </w:rPr>
          <w:tab/>
        </w:r>
        <w:r w:rsidR="00B26F66">
          <w:rPr>
            <w:webHidden/>
          </w:rPr>
          <w:fldChar w:fldCharType="begin"/>
        </w:r>
        <w:r w:rsidR="00B26F66">
          <w:rPr>
            <w:webHidden/>
          </w:rPr>
          <w:instrText xml:space="preserve"> PAGEREF _Toc18505514 \h </w:instrText>
        </w:r>
        <w:r w:rsidR="00B26F66">
          <w:rPr>
            <w:webHidden/>
          </w:rPr>
        </w:r>
        <w:r w:rsidR="00B26F66">
          <w:rPr>
            <w:webHidden/>
          </w:rPr>
          <w:fldChar w:fldCharType="separate"/>
        </w:r>
        <w:r>
          <w:rPr>
            <w:webHidden/>
          </w:rPr>
          <w:t>27</w:t>
        </w:r>
        <w:r w:rsidR="00B26F66">
          <w:rPr>
            <w:webHidden/>
          </w:rPr>
          <w:fldChar w:fldCharType="end"/>
        </w:r>
      </w:hyperlink>
    </w:p>
    <w:p w14:paraId="36253A93" w14:textId="1AC8A4DF" w:rsidR="00B26F66" w:rsidRDefault="00A54553">
      <w:pPr>
        <w:pStyle w:val="TOC2"/>
        <w:rPr>
          <w:rFonts w:asciiTheme="minorHAnsi" w:eastAsiaTheme="minorEastAsia" w:hAnsiTheme="minorHAnsi" w:cstheme="minorBidi"/>
          <w:spacing w:val="0"/>
          <w:sz w:val="22"/>
          <w:szCs w:val="22"/>
        </w:rPr>
      </w:pPr>
      <w:hyperlink w:anchor="_Toc18505515" w:history="1">
        <w:r w:rsidR="00B26F66" w:rsidRPr="000E2BF0">
          <w:rPr>
            <w:rStyle w:val="Hyperlink"/>
          </w:rPr>
          <w:t>Implementing outcomes of WRC-19</w:t>
        </w:r>
        <w:r w:rsidR="00B26F66">
          <w:rPr>
            <w:webHidden/>
          </w:rPr>
          <w:tab/>
        </w:r>
        <w:r w:rsidR="00B26F66">
          <w:rPr>
            <w:webHidden/>
          </w:rPr>
          <w:fldChar w:fldCharType="begin"/>
        </w:r>
        <w:r w:rsidR="00B26F66">
          <w:rPr>
            <w:webHidden/>
          </w:rPr>
          <w:instrText xml:space="preserve"> PAGEREF _Toc18505515 \h </w:instrText>
        </w:r>
        <w:r w:rsidR="00B26F66">
          <w:rPr>
            <w:webHidden/>
          </w:rPr>
        </w:r>
        <w:r w:rsidR="00B26F66">
          <w:rPr>
            <w:webHidden/>
          </w:rPr>
          <w:fldChar w:fldCharType="separate"/>
        </w:r>
        <w:r>
          <w:rPr>
            <w:webHidden/>
          </w:rPr>
          <w:t>27</w:t>
        </w:r>
        <w:r w:rsidR="00B26F66">
          <w:rPr>
            <w:webHidden/>
          </w:rPr>
          <w:fldChar w:fldCharType="end"/>
        </w:r>
      </w:hyperlink>
    </w:p>
    <w:p w14:paraId="4D44DE1C" w14:textId="59FF3F6A" w:rsidR="00B26F66" w:rsidRDefault="00A54553">
      <w:pPr>
        <w:pStyle w:val="TOC2"/>
        <w:rPr>
          <w:rFonts w:asciiTheme="minorHAnsi" w:eastAsiaTheme="minorEastAsia" w:hAnsiTheme="minorHAnsi" w:cstheme="minorBidi"/>
          <w:spacing w:val="0"/>
          <w:sz w:val="22"/>
          <w:szCs w:val="22"/>
        </w:rPr>
      </w:pPr>
      <w:hyperlink w:anchor="_Toc18505516" w:history="1">
        <w:r w:rsidR="00B26F66" w:rsidRPr="000E2BF0">
          <w:rPr>
            <w:rStyle w:val="Hyperlink"/>
          </w:rPr>
          <w:t>Major replanning progress achieved since FYSO 2018–22</w:t>
        </w:r>
        <w:r w:rsidR="00B26F66">
          <w:rPr>
            <w:webHidden/>
          </w:rPr>
          <w:tab/>
        </w:r>
        <w:r w:rsidR="00B26F66">
          <w:rPr>
            <w:webHidden/>
          </w:rPr>
          <w:fldChar w:fldCharType="begin"/>
        </w:r>
        <w:r w:rsidR="00B26F66">
          <w:rPr>
            <w:webHidden/>
          </w:rPr>
          <w:instrText xml:space="preserve"> PAGEREF _Toc18505516 \h </w:instrText>
        </w:r>
        <w:r w:rsidR="00B26F66">
          <w:rPr>
            <w:webHidden/>
          </w:rPr>
        </w:r>
        <w:r w:rsidR="00B26F66">
          <w:rPr>
            <w:webHidden/>
          </w:rPr>
          <w:fldChar w:fldCharType="separate"/>
        </w:r>
        <w:r>
          <w:rPr>
            <w:webHidden/>
          </w:rPr>
          <w:t>28</w:t>
        </w:r>
        <w:r w:rsidR="00B26F66">
          <w:rPr>
            <w:webHidden/>
          </w:rPr>
          <w:fldChar w:fldCharType="end"/>
        </w:r>
      </w:hyperlink>
    </w:p>
    <w:p w14:paraId="6609C7AA" w14:textId="5643B526" w:rsidR="00B26F66" w:rsidRDefault="00A54553">
      <w:pPr>
        <w:pStyle w:val="TOC2"/>
        <w:rPr>
          <w:rFonts w:asciiTheme="minorHAnsi" w:eastAsiaTheme="minorEastAsia" w:hAnsiTheme="minorHAnsi" w:cstheme="minorBidi"/>
          <w:spacing w:val="0"/>
          <w:sz w:val="22"/>
          <w:szCs w:val="22"/>
        </w:rPr>
      </w:pPr>
      <w:hyperlink w:anchor="_Toc18505517" w:history="1">
        <w:r w:rsidR="00B26F66" w:rsidRPr="000E2BF0">
          <w:rPr>
            <w:rStyle w:val="Hyperlink"/>
          </w:rPr>
          <w:t>Major band planning and replanning activities</w:t>
        </w:r>
        <w:r w:rsidR="00B26F66">
          <w:rPr>
            <w:webHidden/>
          </w:rPr>
          <w:tab/>
        </w:r>
        <w:r w:rsidR="00B26F66">
          <w:rPr>
            <w:webHidden/>
          </w:rPr>
          <w:fldChar w:fldCharType="begin"/>
        </w:r>
        <w:r w:rsidR="00B26F66">
          <w:rPr>
            <w:webHidden/>
          </w:rPr>
          <w:instrText xml:space="preserve"> PAGEREF _Toc18505517 \h </w:instrText>
        </w:r>
        <w:r w:rsidR="00B26F66">
          <w:rPr>
            <w:webHidden/>
          </w:rPr>
        </w:r>
        <w:r w:rsidR="00B26F66">
          <w:rPr>
            <w:webHidden/>
          </w:rPr>
          <w:fldChar w:fldCharType="separate"/>
        </w:r>
        <w:r>
          <w:rPr>
            <w:webHidden/>
          </w:rPr>
          <w:t>28</w:t>
        </w:r>
        <w:r w:rsidR="00B26F66">
          <w:rPr>
            <w:webHidden/>
          </w:rPr>
          <w:fldChar w:fldCharType="end"/>
        </w:r>
      </w:hyperlink>
    </w:p>
    <w:p w14:paraId="203DA964" w14:textId="7359D29A" w:rsidR="00B26F66" w:rsidRDefault="00A54553">
      <w:pPr>
        <w:pStyle w:val="TOC2"/>
        <w:rPr>
          <w:rFonts w:asciiTheme="minorHAnsi" w:eastAsiaTheme="minorEastAsia" w:hAnsiTheme="minorHAnsi" w:cstheme="minorBidi"/>
          <w:spacing w:val="0"/>
          <w:sz w:val="22"/>
          <w:szCs w:val="22"/>
        </w:rPr>
      </w:pPr>
      <w:hyperlink w:anchor="_Toc18505518" w:history="1">
        <w:r w:rsidR="00B26F66" w:rsidRPr="000E2BF0">
          <w:rPr>
            <w:rStyle w:val="Hyperlink"/>
          </w:rPr>
          <w:t>Monitoring</w:t>
        </w:r>
        <w:r w:rsidR="00B26F66">
          <w:rPr>
            <w:webHidden/>
          </w:rPr>
          <w:tab/>
        </w:r>
        <w:r w:rsidR="00B26F66">
          <w:rPr>
            <w:webHidden/>
          </w:rPr>
          <w:fldChar w:fldCharType="begin"/>
        </w:r>
        <w:r w:rsidR="00B26F66">
          <w:rPr>
            <w:webHidden/>
          </w:rPr>
          <w:instrText xml:space="preserve"> PAGEREF _Toc18505518 \h </w:instrText>
        </w:r>
        <w:r w:rsidR="00B26F66">
          <w:rPr>
            <w:webHidden/>
          </w:rPr>
        </w:r>
        <w:r w:rsidR="00B26F66">
          <w:rPr>
            <w:webHidden/>
          </w:rPr>
          <w:fldChar w:fldCharType="separate"/>
        </w:r>
        <w:r>
          <w:rPr>
            <w:webHidden/>
          </w:rPr>
          <w:t>29</w:t>
        </w:r>
        <w:r w:rsidR="00B26F66">
          <w:rPr>
            <w:webHidden/>
          </w:rPr>
          <w:fldChar w:fldCharType="end"/>
        </w:r>
      </w:hyperlink>
    </w:p>
    <w:p w14:paraId="789812A1" w14:textId="6267E188" w:rsidR="00B26F66" w:rsidRDefault="00A54553">
      <w:pPr>
        <w:pStyle w:val="TOC3"/>
        <w:rPr>
          <w:rFonts w:asciiTheme="minorHAnsi" w:eastAsiaTheme="minorEastAsia" w:hAnsiTheme="minorHAnsi" w:cstheme="minorBidi"/>
        </w:rPr>
      </w:pPr>
      <w:hyperlink w:anchor="_Toc18505519" w:history="1">
        <w:r w:rsidR="00B26F66" w:rsidRPr="000E2BF0">
          <w:rPr>
            <w:rStyle w:val="Hyperlink"/>
          </w:rPr>
          <w:t>600 MHz (617–698 MHz)</w:t>
        </w:r>
        <w:r w:rsidR="00B26F66">
          <w:rPr>
            <w:webHidden/>
          </w:rPr>
          <w:tab/>
        </w:r>
        <w:r w:rsidR="00B26F66">
          <w:rPr>
            <w:webHidden/>
          </w:rPr>
          <w:fldChar w:fldCharType="begin"/>
        </w:r>
        <w:r w:rsidR="00B26F66">
          <w:rPr>
            <w:webHidden/>
          </w:rPr>
          <w:instrText xml:space="preserve"> PAGEREF _Toc18505519 \h </w:instrText>
        </w:r>
        <w:r w:rsidR="00B26F66">
          <w:rPr>
            <w:webHidden/>
          </w:rPr>
        </w:r>
        <w:r w:rsidR="00B26F66">
          <w:rPr>
            <w:webHidden/>
          </w:rPr>
          <w:fldChar w:fldCharType="separate"/>
        </w:r>
        <w:r>
          <w:rPr>
            <w:webHidden/>
          </w:rPr>
          <w:t>29</w:t>
        </w:r>
        <w:r w:rsidR="00B26F66">
          <w:rPr>
            <w:webHidden/>
          </w:rPr>
          <w:fldChar w:fldCharType="end"/>
        </w:r>
      </w:hyperlink>
    </w:p>
    <w:p w14:paraId="7D0F9841" w14:textId="3B8598CE" w:rsidR="00B26F66" w:rsidRDefault="00A54553">
      <w:pPr>
        <w:pStyle w:val="TOC3"/>
        <w:tabs>
          <w:tab w:val="left" w:pos="885"/>
        </w:tabs>
        <w:rPr>
          <w:rFonts w:asciiTheme="minorHAnsi" w:eastAsiaTheme="minorEastAsia" w:hAnsiTheme="minorHAnsi" w:cstheme="minorBidi"/>
        </w:rPr>
      </w:pPr>
      <w:hyperlink w:anchor="_Toc18505520" w:history="1">
        <w:r w:rsidR="00B26F66" w:rsidRPr="000E2BF0">
          <w:rPr>
            <w:rStyle w:val="Hyperlink"/>
          </w:rPr>
          <w:t>1900–1920 MHz</w:t>
        </w:r>
        <w:r w:rsidR="00B26F66">
          <w:rPr>
            <w:webHidden/>
          </w:rPr>
          <w:tab/>
        </w:r>
        <w:r w:rsidR="00B26F66">
          <w:rPr>
            <w:webHidden/>
          </w:rPr>
          <w:fldChar w:fldCharType="begin"/>
        </w:r>
        <w:r w:rsidR="00B26F66">
          <w:rPr>
            <w:webHidden/>
          </w:rPr>
          <w:instrText xml:space="preserve"> PAGEREF _Toc18505520 \h </w:instrText>
        </w:r>
        <w:r w:rsidR="00B26F66">
          <w:rPr>
            <w:webHidden/>
          </w:rPr>
        </w:r>
        <w:r w:rsidR="00B26F66">
          <w:rPr>
            <w:webHidden/>
          </w:rPr>
          <w:fldChar w:fldCharType="separate"/>
        </w:r>
        <w:r>
          <w:rPr>
            <w:webHidden/>
          </w:rPr>
          <w:t>30</w:t>
        </w:r>
        <w:r w:rsidR="00B26F66">
          <w:rPr>
            <w:webHidden/>
          </w:rPr>
          <w:fldChar w:fldCharType="end"/>
        </w:r>
      </w:hyperlink>
    </w:p>
    <w:p w14:paraId="5A50F9DC" w14:textId="3C2D11C1" w:rsidR="00B26F66" w:rsidRDefault="00A54553">
      <w:pPr>
        <w:pStyle w:val="TOC3"/>
        <w:tabs>
          <w:tab w:val="left" w:pos="885"/>
        </w:tabs>
        <w:rPr>
          <w:rFonts w:asciiTheme="minorHAnsi" w:eastAsiaTheme="minorEastAsia" w:hAnsiTheme="minorHAnsi" w:cstheme="minorBidi"/>
        </w:rPr>
      </w:pPr>
      <w:hyperlink w:anchor="_Toc18505521" w:history="1">
        <w:r w:rsidR="00B26F66" w:rsidRPr="000E2BF0">
          <w:rPr>
            <w:rStyle w:val="Hyperlink"/>
          </w:rPr>
          <w:t>3.3 GHz (3300–3400 MHz)</w:t>
        </w:r>
        <w:r w:rsidR="00B26F66">
          <w:rPr>
            <w:webHidden/>
          </w:rPr>
          <w:tab/>
        </w:r>
        <w:r w:rsidR="00B26F66">
          <w:rPr>
            <w:webHidden/>
          </w:rPr>
          <w:fldChar w:fldCharType="begin"/>
        </w:r>
        <w:r w:rsidR="00B26F66">
          <w:rPr>
            <w:webHidden/>
          </w:rPr>
          <w:instrText xml:space="preserve"> PAGEREF _Toc18505521 \h </w:instrText>
        </w:r>
        <w:r w:rsidR="00B26F66">
          <w:rPr>
            <w:webHidden/>
          </w:rPr>
        </w:r>
        <w:r w:rsidR="00B26F66">
          <w:rPr>
            <w:webHidden/>
          </w:rPr>
          <w:fldChar w:fldCharType="separate"/>
        </w:r>
        <w:r>
          <w:rPr>
            <w:webHidden/>
          </w:rPr>
          <w:t>30</w:t>
        </w:r>
        <w:r w:rsidR="00B26F66">
          <w:rPr>
            <w:webHidden/>
          </w:rPr>
          <w:fldChar w:fldCharType="end"/>
        </w:r>
      </w:hyperlink>
    </w:p>
    <w:p w14:paraId="6F8E5DB0" w14:textId="5EAB41E9" w:rsidR="00B26F66" w:rsidRDefault="00A54553">
      <w:pPr>
        <w:pStyle w:val="TOC3"/>
        <w:rPr>
          <w:rFonts w:asciiTheme="minorHAnsi" w:eastAsiaTheme="minorEastAsia" w:hAnsiTheme="minorHAnsi" w:cstheme="minorBidi"/>
        </w:rPr>
      </w:pPr>
      <w:hyperlink w:anchor="_Toc18505522" w:history="1">
        <w:r w:rsidR="00B26F66" w:rsidRPr="000E2BF0">
          <w:rPr>
            <w:rStyle w:val="Hyperlink"/>
          </w:rPr>
          <w:t>4.5 GHz (4400–4500 MHz)</w:t>
        </w:r>
        <w:r w:rsidR="00B26F66">
          <w:rPr>
            <w:webHidden/>
          </w:rPr>
          <w:tab/>
        </w:r>
        <w:r w:rsidR="00B26F66">
          <w:rPr>
            <w:webHidden/>
          </w:rPr>
          <w:fldChar w:fldCharType="begin"/>
        </w:r>
        <w:r w:rsidR="00B26F66">
          <w:rPr>
            <w:webHidden/>
          </w:rPr>
          <w:instrText xml:space="preserve"> PAGEREF _Toc18505522 \h </w:instrText>
        </w:r>
        <w:r w:rsidR="00B26F66">
          <w:rPr>
            <w:webHidden/>
          </w:rPr>
        </w:r>
        <w:r w:rsidR="00B26F66">
          <w:rPr>
            <w:webHidden/>
          </w:rPr>
          <w:fldChar w:fldCharType="separate"/>
        </w:r>
        <w:r>
          <w:rPr>
            <w:webHidden/>
          </w:rPr>
          <w:t>31</w:t>
        </w:r>
        <w:r w:rsidR="00B26F66">
          <w:rPr>
            <w:webHidden/>
          </w:rPr>
          <w:fldChar w:fldCharType="end"/>
        </w:r>
      </w:hyperlink>
    </w:p>
    <w:p w14:paraId="43AD10F0" w14:textId="549A4881" w:rsidR="00B26F66" w:rsidRDefault="00A54553">
      <w:pPr>
        <w:pStyle w:val="TOC3"/>
        <w:rPr>
          <w:rFonts w:asciiTheme="minorHAnsi" w:eastAsiaTheme="minorEastAsia" w:hAnsiTheme="minorHAnsi" w:cstheme="minorBidi"/>
        </w:rPr>
      </w:pPr>
      <w:hyperlink w:anchor="_Toc18505523" w:history="1">
        <w:r w:rsidR="00B26F66" w:rsidRPr="000E2BF0">
          <w:rPr>
            <w:rStyle w:val="Hyperlink"/>
          </w:rPr>
          <w:t>4.8 GHz (4800–4990 MHz)</w:t>
        </w:r>
        <w:r w:rsidR="00B26F66">
          <w:rPr>
            <w:webHidden/>
          </w:rPr>
          <w:tab/>
        </w:r>
        <w:r w:rsidR="00B26F66">
          <w:rPr>
            <w:webHidden/>
          </w:rPr>
          <w:fldChar w:fldCharType="begin"/>
        </w:r>
        <w:r w:rsidR="00B26F66">
          <w:rPr>
            <w:webHidden/>
          </w:rPr>
          <w:instrText xml:space="preserve"> PAGEREF _Toc18505523 \h </w:instrText>
        </w:r>
        <w:r w:rsidR="00B26F66">
          <w:rPr>
            <w:webHidden/>
          </w:rPr>
        </w:r>
        <w:r w:rsidR="00B26F66">
          <w:rPr>
            <w:webHidden/>
          </w:rPr>
          <w:fldChar w:fldCharType="separate"/>
        </w:r>
        <w:r>
          <w:rPr>
            <w:webHidden/>
          </w:rPr>
          <w:t>31</w:t>
        </w:r>
        <w:r w:rsidR="00B26F66">
          <w:rPr>
            <w:webHidden/>
          </w:rPr>
          <w:fldChar w:fldCharType="end"/>
        </w:r>
      </w:hyperlink>
    </w:p>
    <w:p w14:paraId="616FA585" w14:textId="48C34B64" w:rsidR="00B26F66" w:rsidRDefault="00A54553">
      <w:pPr>
        <w:pStyle w:val="TOC3"/>
        <w:rPr>
          <w:rFonts w:asciiTheme="minorHAnsi" w:eastAsiaTheme="minorEastAsia" w:hAnsiTheme="minorHAnsi" w:cstheme="minorBidi"/>
        </w:rPr>
      </w:pPr>
      <w:hyperlink w:anchor="_Toc18505524" w:history="1">
        <w:r w:rsidR="00B26F66" w:rsidRPr="000E2BF0">
          <w:rPr>
            <w:rStyle w:val="Hyperlink"/>
          </w:rPr>
          <w:t>Bands being studied under WRC-19 agenda item 1.16</w:t>
        </w:r>
        <w:r w:rsidR="00B26F66">
          <w:rPr>
            <w:webHidden/>
          </w:rPr>
          <w:tab/>
        </w:r>
        <w:r w:rsidR="00B26F66">
          <w:rPr>
            <w:webHidden/>
          </w:rPr>
          <w:fldChar w:fldCharType="begin"/>
        </w:r>
        <w:r w:rsidR="00B26F66">
          <w:rPr>
            <w:webHidden/>
          </w:rPr>
          <w:instrText xml:space="preserve"> PAGEREF _Toc18505524 \h </w:instrText>
        </w:r>
        <w:r w:rsidR="00B26F66">
          <w:rPr>
            <w:webHidden/>
          </w:rPr>
        </w:r>
        <w:r w:rsidR="00B26F66">
          <w:rPr>
            <w:webHidden/>
          </w:rPr>
          <w:fldChar w:fldCharType="separate"/>
        </w:r>
        <w:r>
          <w:rPr>
            <w:webHidden/>
          </w:rPr>
          <w:t>32</w:t>
        </w:r>
        <w:r w:rsidR="00B26F66">
          <w:rPr>
            <w:webHidden/>
          </w:rPr>
          <w:fldChar w:fldCharType="end"/>
        </w:r>
      </w:hyperlink>
    </w:p>
    <w:p w14:paraId="132DD375" w14:textId="5A35E977" w:rsidR="00B26F66" w:rsidRDefault="00A54553">
      <w:pPr>
        <w:pStyle w:val="TOC3"/>
        <w:rPr>
          <w:rFonts w:asciiTheme="minorHAnsi" w:eastAsiaTheme="minorEastAsia" w:hAnsiTheme="minorHAnsi" w:cstheme="minorBidi"/>
        </w:rPr>
      </w:pPr>
      <w:hyperlink w:anchor="_Toc18505525" w:history="1">
        <w:r w:rsidR="00B26F66" w:rsidRPr="000E2BF0">
          <w:rPr>
            <w:rStyle w:val="Hyperlink"/>
          </w:rPr>
          <w:t>Bands being studied under WRC-19 agenda item 1.13</w:t>
        </w:r>
        <w:r w:rsidR="00B26F66">
          <w:rPr>
            <w:webHidden/>
          </w:rPr>
          <w:tab/>
        </w:r>
        <w:r w:rsidR="00B26F66">
          <w:rPr>
            <w:webHidden/>
          </w:rPr>
          <w:fldChar w:fldCharType="begin"/>
        </w:r>
        <w:r w:rsidR="00B26F66">
          <w:rPr>
            <w:webHidden/>
          </w:rPr>
          <w:instrText xml:space="preserve"> PAGEREF _Toc18505525 \h </w:instrText>
        </w:r>
        <w:r w:rsidR="00B26F66">
          <w:rPr>
            <w:webHidden/>
          </w:rPr>
        </w:r>
        <w:r w:rsidR="00B26F66">
          <w:rPr>
            <w:webHidden/>
          </w:rPr>
          <w:fldChar w:fldCharType="separate"/>
        </w:r>
        <w:r>
          <w:rPr>
            <w:webHidden/>
          </w:rPr>
          <w:t>33</w:t>
        </w:r>
        <w:r w:rsidR="00B26F66">
          <w:rPr>
            <w:webHidden/>
          </w:rPr>
          <w:fldChar w:fldCharType="end"/>
        </w:r>
      </w:hyperlink>
    </w:p>
    <w:p w14:paraId="6015F7CF" w14:textId="7D2BB553" w:rsidR="00B26F66" w:rsidRDefault="00A54553">
      <w:pPr>
        <w:pStyle w:val="TOC2"/>
        <w:rPr>
          <w:rFonts w:asciiTheme="minorHAnsi" w:eastAsiaTheme="minorEastAsia" w:hAnsiTheme="minorHAnsi" w:cstheme="minorBidi"/>
          <w:spacing w:val="0"/>
          <w:sz w:val="22"/>
          <w:szCs w:val="22"/>
        </w:rPr>
      </w:pPr>
      <w:hyperlink w:anchor="_Toc18505526" w:history="1">
        <w:r w:rsidR="00B26F66" w:rsidRPr="000E2BF0">
          <w:rPr>
            <w:rStyle w:val="Hyperlink"/>
          </w:rPr>
          <w:t xml:space="preserve">Initial </w:t>
        </w:r>
        <w:r w:rsidR="003E4FD4">
          <w:rPr>
            <w:rStyle w:val="Hyperlink"/>
          </w:rPr>
          <w:t>i</w:t>
        </w:r>
        <w:r w:rsidR="00B26F66" w:rsidRPr="000E2BF0">
          <w:rPr>
            <w:rStyle w:val="Hyperlink"/>
          </w:rPr>
          <w:t>nvestigation</w:t>
        </w:r>
        <w:r w:rsidR="00B26F66">
          <w:rPr>
            <w:webHidden/>
          </w:rPr>
          <w:tab/>
        </w:r>
        <w:r w:rsidR="00B26F66">
          <w:rPr>
            <w:webHidden/>
          </w:rPr>
          <w:fldChar w:fldCharType="begin"/>
        </w:r>
        <w:r w:rsidR="00B26F66">
          <w:rPr>
            <w:webHidden/>
          </w:rPr>
          <w:instrText xml:space="preserve"> PAGEREF _Toc18505526 \h </w:instrText>
        </w:r>
        <w:r w:rsidR="00B26F66">
          <w:rPr>
            <w:webHidden/>
          </w:rPr>
        </w:r>
        <w:r w:rsidR="00B26F66">
          <w:rPr>
            <w:webHidden/>
          </w:rPr>
          <w:fldChar w:fldCharType="separate"/>
        </w:r>
        <w:r>
          <w:rPr>
            <w:webHidden/>
          </w:rPr>
          <w:t>34</w:t>
        </w:r>
        <w:r w:rsidR="00B26F66">
          <w:rPr>
            <w:webHidden/>
          </w:rPr>
          <w:fldChar w:fldCharType="end"/>
        </w:r>
      </w:hyperlink>
    </w:p>
    <w:p w14:paraId="45D0A4E7" w14:textId="52AAADA1" w:rsidR="00B26F66" w:rsidRDefault="00A54553">
      <w:pPr>
        <w:pStyle w:val="TOC3"/>
        <w:rPr>
          <w:rFonts w:asciiTheme="minorHAnsi" w:eastAsiaTheme="minorEastAsia" w:hAnsiTheme="minorHAnsi" w:cstheme="minorBidi"/>
        </w:rPr>
      </w:pPr>
      <w:hyperlink w:anchor="_Toc18505527" w:history="1">
        <w:r w:rsidR="00B26F66" w:rsidRPr="000E2BF0">
          <w:rPr>
            <w:rStyle w:val="Hyperlink"/>
          </w:rPr>
          <w:t>‘Extended MSS L-band’ (1518–1525 MHz and 1668–1675 MHz)</w:t>
        </w:r>
        <w:r w:rsidR="00B26F66">
          <w:rPr>
            <w:webHidden/>
          </w:rPr>
          <w:tab/>
        </w:r>
        <w:r w:rsidR="00B26F66">
          <w:rPr>
            <w:webHidden/>
          </w:rPr>
          <w:fldChar w:fldCharType="begin"/>
        </w:r>
        <w:r w:rsidR="00B26F66">
          <w:rPr>
            <w:webHidden/>
          </w:rPr>
          <w:instrText xml:space="preserve"> PAGEREF _Toc18505527 \h </w:instrText>
        </w:r>
        <w:r w:rsidR="00B26F66">
          <w:rPr>
            <w:webHidden/>
          </w:rPr>
        </w:r>
        <w:r w:rsidR="00B26F66">
          <w:rPr>
            <w:webHidden/>
          </w:rPr>
          <w:fldChar w:fldCharType="separate"/>
        </w:r>
        <w:r>
          <w:rPr>
            <w:webHidden/>
          </w:rPr>
          <w:t>35</w:t>
        </w:r>
        <w:r w:rsidR="00B26F66">
          <w:rPr>
            <w:webHidden/>
          </w:rPr>
          <w:fldChar w:fldCharType="end"/>
        </w:r>
      </w:hyperlink>
    </w:p>
    <w:p w14:paraId="7053108D" w14:textId="73BD93E6" w:rsidR="00B26F66" w:rsidRDefault="00A54553">
      <w:pPr>
        <w:pStyle w:val="TOC3"/>
        <w:tabs>
          <w:tab w:val="left" w:pos="885"/>
        </w:tabs>
        <w:rPr>
          <w:rFonts w:asciiTheme="minorHAnsi" w:eastAsiaTheme="minorEastAsia" w:hAnsiTheme="minorHAnsi" w:cstheme="minorBidi"/>
        </w:rPr>
      </w:pPr>
      <w:hyperlink w:anchor="_Toc18505528" w:history="1">
        <w:r w:rsidR="00B26F66" w:rsidRPr="000E2BF0">
          <w:rPr>
            <w:rStyle w:val="Hyperlink"/>
          </w:rPr>
          <w:t>2 GHz (1980–2010 MHz and 2170–2200 MHz)</w:t>
        </w:r>
        <w:r w:rsidR="00B26F66">
          <w:rPr>
            <w:webHidden/>
          </w:rPr>
          <w:tab/>
        </w:r>
        <w:r w:rsidR="00B26F66">
          <w:rPr>
            <w:webHidden/>
          </w:rPr>
          <w:fldChar w:fldCharType="begin"/>
        </w:r>
        <w:r w:rsidR="00B26F66">
          <w:rPr>
            <w:webHidden/>
          </w:rPr>
          <w:instrText xml:space="preserve"> PAGEREF _Toc18505528 \h </w:instrText>
        </w:r>
        <w:r w:rsidR="00B26F66">
          <w:rPr>
            <w:webHidden/>
          </w:rPr>
        </w:r>
        <w:r w:rsidR="00B26F66">
          <w:rPr>
            <w:webHidden/>
          </w:rPr>
          <w:fldChar w:fldCharType="separate"/>
        </w:r>
        <w:r>
          <w:rPr>
            <w:webHidden/>
          </w:rPr>
          <w:t>35</w:t>
        </w:r>
        <w:r w:rsidR="00B26F66">
          <w:rPr>
            <w:webHidden/>
          </w:rPr>
          <w:fldChar w:fldCharType="end"/>
        </w:r>
      </w:hyperlink>
    </w:p>
    <w:p w14:paraId="3DAEDADF" w14:textId="058EF6F9" w:rsidR="00B26F66" w:rsidRDefault="00A54553">
      <w:pPr>
        <w:pStyle w:val="TOC3"/>
        <w:tabs>
          <w:tab w:val="left" w:pos="885"/>
        </w:tabs>
        <w:rPr>
          <w:rFonts w:asciiTheme="minorHAnsi" w:eastAsiaTheme="minorEastAsia" w:hAnsiTheme="minorHAnsi" w:cstheme="minorBidi"/>
        </w:rPr>
      </w:pPr>
      <w:hyperlink w:anchor="_Toc18505529" w:history="1">
        <w:r w:rsidR="00B26F66" w:rsidRPr="000E2BF0">
          <w:rPr>
            <w:rStyle w:val="Hyperlink"/>
          </w:rPr>
          <w:t>2300–2302 MHz</w:t>
        </w:r>
        <w:r w:rsidR="00B26F66">
          <w:rPr>
            <w:webHidden/>
          </w:rPr>
          <w:tab/>
        </w:r>
        <w:r w:rsidR="00B26F66">
          <w:rPr>
            <w:webHidden/>
          </w:rPr>
          <w:fldChar w:fldCharType="begin"/>
        </w:r>
        <w:r w:rsidR="00B26F66">
          <w:rPr>
            <w:webHidden/>
          </w:rPr>
          <w:instrText xml:space="preserve"> PAGEREF _Toc18505529 \h </w:instrText>
        </w:r>
        <w:r w:rsidR="00B26F66">
          <w:rPr>
            <w:webHidden/>
          </w:rPr>
        </w:r>
        <w:r w:rsidR="00B26F66">
          <w:rPr>
            <w:webHidden/>
          </w:rPr>
          <w:fldChar w:fldCharType="separate"/>
        </w:r>
        <w:r>
          <w:rPr>
            <w:webHidden/>
          </w:rPr>
          <w:t>36</w:t>
        </w:r>
        <w:r w:rsidR="00B26F66">
          <w:rPr>
            <w:webHidden/>
          </w:rPr>
          <w:fldChar w:fldCharType="end"/>
        </w:r>
      </w:hyperlink>
    </w:p>
    <w:p w14:paraId="780F7B58" w14:textId="5D9C291F" w:rsidR="00B26F66" w:rsidRDefault="00A54553">
      <w:pPr>
        <w:pStyle w:val="TOC3"/>
        <w:tabs>
          <w:tab w:val="left" w:pos="885"/>
        </w:tabs>
        <w:rPr>
          <w:rFonts w:asciiTheme="minorHAnsi" w:eastAsiaTheme="minorEastAsia" w:hAnsiTheme="minorHAnsi" w:cstheme="minorBidi"/>
        </w:rPr>
      </w:pPr>
      <w:hyperlink w:anchor="_Toc18505530" w:history="1">
        <w:r w:rsidR="00B26F66" w:rsidRPr="000E2BF0">
          <w:rPr>
            <w:rStyle w:val="Hyperlink"/>
          </w:rPr>
          <w:t>3700–4200 MHz</w:t>
        </w:r>
        <w:r w:rsidR="00B26F66">
          <w:rPr>
            <w:webHidden/>
          </w:rPr>
          <w:tab/>
        </w:r>
        <w:r w:rsidR="00B26F66">
          <w:rPr>
            <w:webHidden/>
          </w:rPr>
          <w:fldChar w:fldCharType="begin"/>
        </w:r>
        <w:r w:rsidR="00B26F66">
          <w:rPr>
            <w:webHidden/>
          </w:rPr>
          <w:instrText xml:space="preserve"> PAGEREF _Toc18505530 \h </w:instrText>
        </w:r>
        <w:r w:rsidR="00B26F66">
          <w:rPr>
            <w:webHidden/>
          </w:rPr>
        </w:r>
        <w:r w:rsidR="00B26F66">
          <w:rPr>
            <w:webHidden/>
          </w:rPr>
          <w:fldChar w:fldCharType="separate"/>
        </w:r>
        <w:r>
          <w:rPr>
            <w:webHidden/>
          </w:rPr>
          <w:t>36</w:t>
        </w:r>
        <w:r w:rsidR="00B26F66">
          <w:rPr>
            <w:webHidden/>
          </w:rPr>
          <w:fldChar w:fldCharType="end"/>
        </w:r>
      </w:hyperlink>
    </w:p>
    <w:p w14:paraId="04FBD31D" w14:textId="6C7A1058" w:rsidR="00B26F66" w:rsidRDefault="00A54553">
      <w:pPr>
        <w:pStyle w:val="TOC2"/>
        <w:rPr>
          <w:rFonts w:asciiTheme="minorHAnsi" w:eastAsiaTheme="minorEastAsia" w:hAnsiTheme="minorHAnsi" w:cstheme="minorBidi"/>
          <w:spacing w:val="0"/>
          <w:sz w:val="22"/>
          <w:szCs w:val="22"/>
        </w:rPr>
      </w:pPr>
      <w:hyperlink w:anchor="_Toc18505531" w:history="1">
        <w:r w:rsidR="00B26F66" w:rsidRPr="000E2BF0">
          <w:rPr>
            <w:rStyle w:val="Hyperlink"/>
          </w:rPr>
          <w:t>Preliminary replanning</w:t>
        </w:r>
        <w:r w:rsidR="00B26F66">
          <w:rPr>
            <w:webHidden/>
          </w:rPr>
          <w:tab/>
        </w:r>
        <w:r w:rsidR="00B26F66">
          <w:rPr>
            <w:webHidden/>
          </w:rPr>
          <w:fldChar w:fldCharType="begin"/>
        </w:r>
        <w:r w:rsidR="00B26F66">
          <w:rPr>
            <w:webHidden/>
          </w:rPr>
          <w:instrText xml:space="preserve"> PAGEREF _Toc18505531 \h </w:instrText>
        </w:r>
        <w:r w:rsidR="00B26F66">
          <w:rPr>
            <w:webHidden/>
          </w:rPr>
        </w:r>
        <w:r w:rsidR="00B26F66">
          <w:rPr>
            <w:webHidden/>
          </w:rPr>
          <w:fldChar w:fldCharType="separate"/>
        </w:r>
        <w:r>
          <w:rPr>
            <w:webHidden/>
          </w:rPr>
          <w:t>38</w:t>
        </w:r>
        <w:r w:rsidR="00B26F66">
          <w:rPr>
            <w:webHidden/>
          </w:rPr>
          <w:fldChar w:fldCharType="end"/>
        </w:r>
      </w:hyperlink>
    </w:p>
    <w:p w14:paraId="4BDEA1A1" w14:textId="0EF05A15" w:rsidR="00B26F66" w:rsidRDefault="00A54553">
      <w:pPr>
        <w:pStyle w:val="TOC3"/>
        <w:rPr>
          <w:rFonts w:asciiTheme="minorHAnsi" w:eastAsiaTheme="minorEastAsia" w:hAnsiTheme="minorHAnsi" w:cstheme="minorBidi"/>
        </w:rPr>
      </w:pPr>
      <w:hyperlink w:anchor="_Toc18505532" w:history="1">
        <w:r w:rsidR="00B26F66" w:rsidRPr="000E2BF0">
          <w:rPr>
            <w:rStyle w:val="Hyperlink"/>
          </w:rPr>
          <w:t>1.5 GHz (1427–1518 MHz)</w:t>
        </w:r>
        <w:r w:rsidR="00B26F66">
          <w:rPr>
            <w:webHidden/>
          </w:rPr>
          <w:tab/>
        </w:r>
        <w:r w:rsidR="00B26F66">
          <w:rPr>
            <w:webHidden/>
          </w:rPr>
          <w:fldChar w:fldCharType="begin"/>
        </w:r>
        <w:r w:rsidR="00B26F66">
          <w:rPr>
            <w:webHidden/>
          </w:rPr>
          <w:instrText xml:space="preserve"> PAGEREF _Toc18505532 \h </w:instrText>
        </w:r>
        <w:r w:rsidR="00B26F66">
          <w:rPr>
            <w:webHidden/>
          </w:rPr>
        </w:r>
        <w:r w:rsidR="00B26F66">
          <w:rPr>
            <w:webHidden/>
          </w:rPr>
          <w:fldChar w:fldCharType="separate"/>
        </w:r>
        <w:r>
          <w:rPr>
            <w:webHidden/>
          </w:rPr>
          <w:t>38</w:t>
        </w:r>
        <w:r w:rsidR="00B26F66">
          <w:rPr>
            <w:webHidden/>
          </w:rPr>
          <w:fldChar w:fldCharType="end"/>
        </w:r>
      </w:hyperlink>
    </w:p>
    <w:p w14:paraId="36EB69C4" w14:textId="20D1D2B6" w:rsidR="00B26F66" w:rsidRDefault="00A54553">
      <w:pPr>
        <w:pStyle w:val="TOC3"/>
        <w:rPr>
          <w:rFonts w:asciiTheme="minorHAnsi" w:eastAsiaTheme="minorEastAsia" w:hAnsiTheme="minorHAnsi" w:cstheme="minorBidi"/>
        </w:rPr>
      </w:pPr>
      <w:hyperlink w:anchor="_Toc18505533" w:history="1">
        <w:r w:rsidR="00B26F66" w:rsidRPr="000E2BF0">
          <w:rPr>
            <w:rStyle w:val="Hyperlink"/>
          </w:rPr>
          <w:t>1800 MHz (1710–1785 MHz and 1805–1880 MHz) in remote areas</w:t>
        </w:r>
        <w:r w:rsidR="00B26F66">
          <w:rPr>
            <w:webHidden/>
          </w:rPr>
          <w:tab/>
        </w:r>
        <w:r w:rsidR="00B26F66">
          <w:rPr>
            <w:webHidden/>
          </w:rPr>
          <w:fldChar w:fldCharType="begin"/>
        </w:r>
        <w:r w:rsidR="00B26F66">
          <w:rPr>
            <w:webHidden/>
          </w:rPr>
          <w:instrText xml:space="preserve"> PAGEREF _Toc18505533 \h </w:instrText>
        </w:r>
        <w:r w:rsidR="00B26F66">
          <w:rPr>
            <w:webHidden/>
          </w:rPr>
        </w:r>
        <w:r w:rsidR="00B26F66">
          <w:rPr>
            <w:webHidden/>
          </w:rPr>
          <w:fldChar w:fldCharType="separate"/>
        </w:r>
        <w:r>
          <w:rPr>
            <w:webHidden/>
          </w:rPr>
          <w:t>39</w:t>
        </w:r>
        <w:r w:rsidR="00B26F66">
          <w:rPr>
            <w:webHidden/>
          </w:rPr>
          <w:fldChar w:fldCharType="end"/>
        </w:r>
      </w:hyperlink>
    </w:p>
    <w:p w14:paraId="00455A9A" w14:textId="44133C9F" w:rsidR="00B26F66" w:rsidRDefault="00A54553">
      <w:pPr>
        <w:pStyle w:val="TOC3"/>
        <w:rPr>
          <w:rFonts w:asciiTheme="minorHAnsi" w:eastAsiaTheme="minorEastAsia" w:hAnsiTheme="minorHAnsi" w:cstheme="minorBidi"/>
        </w:rPr>
      </w:pPr>
      <w:hyperlink w:anchor="_Toc18505534" w:history="1">
        <w:r w:rsidR="00B26F66" w:rsidRPr="000E2BF0">
          <w:rPr>
            <w:rStyle w:val="Hyperlink"/>
          </w:rPr>
          <w:t>3400–3575 MHz band</w:t>
        </w:r>
        <w:r w:rsidR="00B26F66">
          <w:rPr>
            <w:webHidden/>
          </w:rPr>
          <w:tab/>
        </w:r>
        <w:r w:rsidR="00B26F66">
          <w:rPr>
            <w:webHidden/>
          </w:rPr>
          <w:fldChar w:fldCharType="begin"/>
        </w:r>
        <w:r w:rsidR="00B26F66">
          <w:rPr>
            <w:webHidden/>
          </w:rPr>
          <w:instrText xml:space="preserve"> PAGEREF _Toc18505534 \h </w:instrText>
        </w:r>
        <w:r w:rsidR="00B26F66">
          <w:rPr>
            <w:webHidden/>
          </w:rPr>
        </w:r>
        <w:r w:rsidR="00B26F66">
          <w:rPr>
            <w:webHidden/>
          </w:rPr>
          <w:fldChar w:fldCharType="separate"/>
        </w:r>
        <w:r>
          <w:rPr>
            <w:webHidden/>
          </w:rPr>
          <w:t>40</w:t>
        </w:r>
        <w:r w:rsidR="00B26F66">
          <w:rPr>
            <w:webHidden/>
          </w:rPr>
          <w:fldChar w:fldCharType="end"/>
        </w:r>
      </w:hyperlink>
    </w:p>
    <w:p w14:paraId="7FB1639D" w14:textId="5370FBC8" w:rsidR="00B26F66" w:rsidRDefault="00A54553">
      <w:pPr>
        <w:pStyle w:val="TOC3"/>
        <w:tabs>
          <w:tab w:val="left" w:pos="885"/>
        </w:tabs>
        <w:rPr>
          <w:rFonts w:asciiTheme="minorHAnsi" w:eastAsiaTheme="minorEastAsia" w:hAnsiTheme="minorHAnsi" w:cstheme="minorBidi"/>
        </w:rPr>
      </w:pPr>
      <w:hyperlink w:anchor="_Toc18505535" w:history="1">
        <w:r w:rsidR="00B26F66" w:rsidRPr="000E2BF0">
          <w:rPr>
            <w:rStyle w:val="Hyperlink"/>
          </w:rPr>
          <w:t>28 GHz (27.5–29.5 GHz)</w:t>
        </w:r>
        <w:r w:rsidR="00B26F66">
          <w:rPr>
            <w:webHidden/>
          </w:rPr>
          <w:tab/>
        </w:r>
        <w:r w:rsidR="00B26F66">
          <w:rPr>
            <w:webHidden/>
          </w:rPr>
          <w:fldChar w:fldCharType="begin"/>
        </w:r>
        <w:r w:rsidR="00B26F66">
          <w:rPr>
            <w:webHidden/>
          </w:rPr>
          <w:instrText xml:space="preserve"> PAGEREF _Toc18505535 \h </w:instrText>
        </w:r>
        <w:r w:rsidR="00B26F66">
          <w:rPr>
            <w:webHidden/>
          </w:rPr>
        </w:r>
        <w:r w:rsidR="00B26F66">
          <w:rPr>
            <w:webHidden/>
          </w:rPr>
          <w:fldChar w:fldCharType="separate"/>
        </w:r>
        <w:r>
          <w:rPr>
            <w:webHidden/>
          </w:rPr>
          <w:t>40</w:t>
        </w:r>
        <w:r w:rsidR="00B26F66">
          <w:rPr>
            <w:webHidden/>
          </w:rPr>
          <w:fldChar w:fldCharType="end"/>
        </w:r>
      </w:hyperlink>
    </w:p>
    <w:p w14:paraId="53477B8A" w14:textId="069C19C9" w:rsidR="00B26F66" w:rsidRDefault="00A54553">
      <w:pPr>
        <w:pStyle w:val="TOC2"/>
        <w:rPr>
          <w:rFonts w:asciiTheme="minorHAnsi" w:eastAsiaTheme="minorEastAsia" w:hAnsiTheme="minorHAnsi" w:cstheme="minorBidi"/>
          <w:spacing w:val="0"/>
          <w:sz w:val="22"/>
          <w:szCs w:val="22"/>
        </w:rPr>
      </w:pPr>
      <w:hyperlink w:anchor="_Toc18505536" w:history="1">
        <w:r w:rsidR="00B26F66" w:rsidRPr="000E2BF0">
          <w:rPr>
            <w:rStyle w:val="Hyperlink"/>
          </w:rPr>
          <w:t>Replanning</w:t>
        </w:r>
        <w:r w:rsidR="00B26F66">
          <w:rPr>
            <w:webHidden/>
          </w:rPr>
          <w:tab/>
        </w:r>
        <w:r w:rsidR="00B26F66">
          <w:rPr>
            <w:webHidden/>
          </w:rPr>
          <w:fldChar w:fldCharType="begin"/>
        </w:r>
        <w:r w:rsidR="00B26F66">
          <w:rPr>
            <w:webHidden/>
          </w:rPr>
          <w:instrText xml:space="preserve"> PAGEREF _Toc18505536 \h </w:instrText>
        </w:r>
        <w:r w:rsidR="00B26F66">
          <w:rPr>
            <w:webHidden/>
          </w:rPr>
        </w:r>
        <w:r w:rsidR="00B26F66">
          <w:rPr>
            <w:webHidden/>
          </w:rPr>
          <w:fldChar w:fldCharType="separate"/>
        </w:r>
        <w:r>
          <w:rPr>
            <w:webHidden/>
          </w:rPr>
          <w:t>40</w:t>
        </w:r>
        <w:r w:rsidR="00B26F66">
          <w:rPr>
            <w:webHidden/>
          </w:rPr>
          <w:fldChar w:fldCharType="end"/>
        </w:r>
      </w:hyperlink>
    </w:p>
    <w:p w14:paraId="785B4EF2" w14:textId="6D82466A" w:rsidR="00B26F66" w:rsidRDefault="00A54553">
      <w:pPr>
        <w:pStyle w:val="TOC3"/>
        <w:rPr>
          <w:rFonts w:asciiTheme="minorHAnsi" w:eastAsiaTheme="minorEastAsia" w:hAnsiTheme="minorHAnsi" w:cstheme="minorBidi"/>
        </w:rPr>
      </w:pPr>
      <w:hyperlink w:anchor="_Toc18505537" w:history="1">
        <w:r w:rsidR="00B26F66" w:rsidRPr="000E2BF0">
          <w:rPr>
            <w:rStyle w:val="Hyperlink"/>
          </w:rPr>
          <w:t>850 MHz expansion band (809–824 MHz and 854–869 MHz)</w:t>
        </w:r>
        <w:r w:rsidR="00B26F66">
          <w:rPr>
            <w:webHidden/>
          </w:rPr>
          <w:tab/>
        </w:r>
        <w:r w:rsidR="00B26F66">
          <w:rPr>
            <w:webHidden/>
          </w:rPr>
          <w:fldChar w:fldCharType="begin"/>
        </w:r>
        <w:r w:rsidR="00B26F66">
          <w:rPr>
            <w:webHidden/>
          </w:rPr>
          <w:instrText xml:space="preserve"> PAGEREF _Toc18505537 \h </w:instrText>
        </w:r>
        <w:r w:rsidR="00B26F66">
          <w:rPr>
            <w:webHidden/>
          </w:rPr>
        </w:r>
        <w:r w:rsidR="00B26F66">
          <w:rPr>
            <w:webHidden/>
          </w:rPr>
          <w:fldChar w:fldCharType="separate"/>
        </w:r>
        <w:r>
          <w:rPr>
            <w:webHidden/>
          </w:rPr>
          <w:t>41</w:t>
        </w:r>
        <w:r w:rsidR="00B26F66">
          <w:rPr>
            <w:webHidden/>
          </w:rPr>
          <w:fldChar w:fldCharType="end"/>
        </w:r>
      </w:hyperlink>
    </w:p>
    <w:p w14:paraId="61F096BE" w14:textId="1FB098BC" w:rsidR="00B26F66" w:rsidRDefault="00A54553">
      <w:pPr>
        <w:pStyle w:val="TOC3"/>
        <w:tabs>
          <w:tab w:val="left" w:pos="885"/>
        </w:tabs>
        <w:rPr>
          <w:rFonts w:asciiTheme="minorHAnsi" w:eastAsiaTheme="minorEastAsia" w:hAnsiTheme="minorHAnsi" w:cstheme="minorBidi"/>
        </w:rPr>
      </w:pPr>
      <w:hyperlink w:anchor="_Toc18505538" w:history="1">
        <w:r w:rsidR="00B26F66" w:rsidRPr="000E2BF0">
          <w:rPr>
            <w:rStyle w:val="Hyperlink"/>
          </w:rPr>
          <w:t>900 MHz (890–915 MHz and 935–960 MHz)</w:t>
        </w:r>
        <w:r w:rsidR="00B26F66">
          <w:rPr>
            <w:webHidden/>
          </w:rPr>
          <w:tab/>
        </w:r>
        <w:r w:rsidR="00B26F66">
          <w:rPr>
            <w:webHidden/>
          </w:rPr>
          <w:fldChar w:fldCharType="begin"/>
        </w:r>
        <w:r w:rsidR="00B26F66">
          <w:rPr>
            <w:webHidden/>
          </w:rPr>
          <w:instrText xml:space="preserve"> PAGEREF _Toc18505538 \h </w:instrText>
        </w:r>
        <w:r w:rsidR="00B26F66">
          <w:rPr>
            <w:webHidden/>
          </w:rPr>
        </w:r>
        <w:r w:rsidR="00B26F66">
          <w:rPr>
            <w:webHidden/>
          </w:rPr>
          <w:fldChar w:fldCharType="separate"/>
        </w:r>
        <w:r>
          <w:rPr>
            <w:webHidden/>
          </w:rPr>
          <w:t>41</w:t>
        </w:r>
        <w:r w:rsidR="00B26F66">
          <w:rPr>
            <w:webHidden/>
          </w:rPr>
          <w:fldChar w:fldCharType="end"/>
        </w:r>
      </w:hyperlink>
    </w:p>
    <w:p w14:paraId="65D3E88A" w14:textId="3455F498" w:rsidR="00B26F66" w:rsidRDefault="00A54553">
      <w:pPr>
        <w:pStyle w:val="TOC3"/>
        <w:rPr>
          <w:rFonts w:asciiTheme="minorHAnsi" w:eastAsiaTheme="minorEastAsia" w:hAnsiTheme="minorHAnsi" w:cstheme="minorBidi"/>
        </w:rPr>
      </w:pPr>
      <w:hyperlink w:anchor="_Toc18505539" w:history="1">
        <w:r w:rsidR="00B26F66" w:rsidRPr="000E2BF0">
          <w:rPr>
            <w:rStyle w:val="Hyperlink"/>
          </w:rPr>
          <w:t>5.6 GHz (5600–5650 MHz)</w:t>
        </w:r>
        <w:r w:rsidR="00B26F66">
          <w:rPr>
            <w:webHidden/>
          </w:rPr>
          <w:tab/>
        </w:r>
        <w:r w:rsidR="00B26F66">
          <w:rPr>
            <w:webHidden/>
          </w:rPr>
          <w:fldChar w:fldCharType="begin"/>
        </w:r>
        <w:r w:rsidR="00B26F66">
          <w:rPr>
            <w:webHidden/>
          </w:rPr>
          <w:instrText xml:space="preserve"> PAGEREF _Toc18505539 \h </w:instrText>
        </w:r>
        <w:r w:rsidR="00B26F66">
          <w:rPr>
            <w:webHidden/>
          </w:rPr>
        </w:r>
        <w:r w:rsidR="00B26F66">
          <w:rPr>
            <w:webHidden/>
          </w:rPr>
          <w:fldChar w:fldCharType="separate"/>
        </w:r>
        <w:r>
          <w:rPr>
            <w:webHidden/>
          </w:rPr>
          <w:t>42</w:t>
        </w:r>
        <w:r w:rsidR="00B26F66">
          <w:rPr>
            <w:webHidden/>
          </w:rPr>
          <w:fldChar w:fldCharType="end"/>
        </w:r>
      </w:hyperlink>
    </w:p>
    <w:p w14:paraId="0D8CD718" w14:textId="579018C1" w:rsidR="00B26F66" w:rsidRDefault="00A54553">
      <w:pPr>
        <w:pStyle w:val="TOC3"/>
        <w:tabs>
          <w:tab w:val="left" w:pos="885"/>
        </w:tabs>
        <w:rPr>
          <w:rFonts w:asciiTheme="minorHAnsi" w:eastAsiaTheme="minorEastAsia" w:hAnsiTheme="minorHAnsi" w:cstheme="minorBidi"/>
        </w:rPr>
      </w:pPr>
      <w:hyperlink w:anchor="_Toc18505540" w:history="1">
        <w:r w:rsidR="00B26F66" w:rsidRPr="000E2BF0">
          <w:rPr>
            <w:rStyle w:val="Hyperlink"/>
          </w:rPr>
          <w:t>26 GHz (24.25–27.5 GHz)</w:t>
        </w:r>
        <w:r w:rsidR="00B26F66">
          <w:rPr>
            <w:webHidden/>
          </w:rPr>
          <w:tab/>
        </w:r>
        <w:r w:rsidR="00B26F66">
          <w:rPr>
            <w:webHidden/>
          </w:rPr>
          <w:fldChar w:fldCharType="begin"/>
        </w:r>
        <w:r w:rsidR="00B26F66">
          <w:rPr>
            <w:webHidden/>
          </w:rPr>
          <w:instrText xml:space="preserve"> PAGEREF _Toc18505540 \h </w:instrText>
        </w:r>
        <w:r w:rsidR="00B26F66">
          <w:rPr>
            <w:webHidden/>
          </w:rPr>
        </w:r>
        <w:r w:rsidR="00B26F66">
          <w:rPr>
            <w:webHidden/>
          </w:rPr>
          <w:fldChar w:fldCharType="separate"/>
        </w:r>
        <w:r>
          <w:rPr>
            <w:webHidden/>
          </w:rPr>
          <w:t>42</w:t>
        </w:r>
        <w:r w:rsidR="00B26F66">
          <w:rPr>
            <w:webHidden/>
          </w:rPr>
          <w:fldChar w:fldCharType="end"/>
        </w:r>
      </w:hyperlink>
    </w:p>
    <w:p w14:paraId="6F2468D7" w14:textId="353D7969" w:rsidR="00B26F66" w:rsidRDefault="00A54553">
      <w:pPr>
        <w:pStyle w:val="TOC2"/>
        <w:rPr>
          <w:rFonts w:asciiTheme="minorHAnsi" w:eastAsiaTheme="minorEastAsia" w:hAnsiTheme="minorHAnsi" w:cstheme="minorBidi"/>
          <w:spacing w:val="0"/>
          <w:sz w:val="22"/>
          <w:szCs w:val="22"/>
        </w:rPr>
      </w:pPr>
      <w:hyperlink w:anchor="_Toc18505541" w:history="1">
        <w:r w:rsidR="00B26F66" w:rsidRPr="000E2BF0">
          <w:rPr>
            <w:rStyle w:val="Hyperlink"/>
          </w:rPr>
          <w:t>Optimising established planning frameworks</w:t>
        </w:r>
        <w:r w:rsidR="00B26F66">
          <w:rPr>
            <w:webHidden/>
          </w:rPr>
          <w:tab/>
        </w:r>
        <w:r w:rsidR="00B26F66">
          <w:rPr>
            <w:webHidden/>
          </w:rPr>
          <w:fldChar w:fldCharType="begin"/>
        </w:r>
        <w:r w:rsidR="00B26F66">
          <w:rPr>
            <w:webHidden/>
          </w:rPr>
          <w:instrText xml:space="preserve"> PAGEREF _Toc18505541 \h </w:instrText>
        </w:r>
        <w:r w:rsidR="00B26F66">
          <w:rPr>
            <w:webHidden/>
          </w:rPr>
        </w:r>
        <w:r w:rsidR="00B26F66">
          <w:rPr>
            <w:webHidden/>
          </w:rPr>
          <w:fldChar w:fldCharType="separate"/>
        </w:r>
        <w:r>
          <w:rPr>
            <w:webHidden/>
          </w:rPr>
          <w:t>44</w:t>
        </w:r>
        <w:r w:rsidR="00B26F66">
          <w:rPr>
            <w:webHidden/>
          </w:rPr>
          <w:fldChar w:fldCharType="end"/>
        </w:r>
      </w:hyperlink>
    </w:p>
    <w:p w14:paraId="62D6F7FD" w14:textId="278E2B44" w:rsidR="00B26F66" w:rsidRDefault="00A54553">
      <w:pPr>
        <w:pStyle w:val="TOC3"/>
        <w:tabs>
          <w:tab w:val="left" w:pos="885"/>
        </w:tabs>
        <w:rPr>
          <w:rFonts w:asciiTheme="minorHAnsi" w:eastAsiaTheme="minorEastAsia" w:hAnsiTheme="minorHAnsi" w:cstheme="minorBidi"/>
        </w:rPr>
      </w:pPr>
      <w:hyperlink w:anchor="_Toc18505542" w:history="1">
        <w:r w:rsidR="00B26F66" w:rsidRPr="000E2BF0">
          <w:rPr>
            <w:rStyle w:val="Hyperlink"/>
          </w:rPr>
          <w:t>Spectrum management advice and considering of out-of-policy requests</w:t>
        </w:r>
        <w:r w:rsidR="00B26F66">
          <w:rPr>
            <w:webHidden/>
          </w:rPr>
          <w:tab/>
        </w:r>
        <w:r w:rsidR="00B26F66">
          <w:rPr>
            <w:webHidden/>
          </w:rPr>
          <w:fldChar w:fldCharType="begin"/>
        </w:r>
        <w:r w:rsidR="00B26F66">
          <w:rPr>
            <w:webHidden/>
          </w:rPr>
          <w:instrText xml:space="preserve"> PAGEREF _Toc18505542 \h </w:instrText>
        </w:r>
        <w:r w:rsidR="00B26F66">
          <w:rPr>
            <w:webHidden/>
          </w:rPr>
        </w:r>
        <w:r w:rsidR="00B26F66">
          <w:rPr>
            <w:webHidden/>
          </w:rPr>
          <w:fldChar w:fldCharType="separate"/>
        </w:r>
        <w:r>
          <w:rPr>
            <w:webHidden/>
          </w:rPr>
          <w:t>44</w:t>
        </w:r>
        <w:r w:rsidR="00B26F66">
          <w:rPr>
            <w:webHidden/>
          </w:rPr>
          <w:fldChar w:fldCharType="end"/>
        </w:r>
      </w:hyperlink>
    </w:p>
    <w:p w14:paraId="6BF496B9" w14:textId="75474317" w:rsidR="00B26F66" w:rsidRDefault="00A54553">
      <w:pPr>
        <w:pStyle w:val="TOC3"/>
        <w:rPr>
          <w:rFonts w:asciiTheme="minorHAnsi" w:eastAsiaTheme="minorEastAsia" w:hAnsiTheme="minorHAnsi" w:cstheme="minorBidi"/>
        </w:rPr>
      </w:pPr>
      <w:hyperlink w:anchor="_Toc18505543" w:history="1">
        <w:r w:rsidR="00B26F66" w:rsidRPr="000E2BF0">
          <w:rPr>
            <w:rStyle w:val="Hyperlink"/>
          </w:rPr>
          <w:t>Public Protection and Disaster Relief (PPDR) in the 4.9 GHz band</w:t>
        </w:r>
        <w:r w:rsidR="00B26F66">
          <w:rPr>
            <w:webHidden/>
          </w:rPr>
          <w:tab/>
        </w:r>
        <w:r w:rsidR="00B26F66">
          <w:rPr>
            <w:webHidden/>
          </w:rPr>
          <w:fldChar w:fldCharType="begin"/>
        </w:r>
        <w:r w:rsidR="00B26F66">
          <w:rPr>
            <w:webHidden/>
          </w:rPr>
          <w:instrText xml:space="preserve"> PAGEREF _Toc18505543 \h </w:instrText>
        </w:r>
        <w:r w:rsidR="00B26F66">
          <w:rPr>
            <w:webHidden/>
          </w:rPr>
        </w:r>
        <w:r w:rsidR="00B26F66">
          <w:rPr>
            <w:webHidden/>
          </w:rPr>
          <w:fldChar w:fldCharType="separate"/>
        </w:r>
        <w:r>
          <w:rPr>
            <w:webHidden/>
          </w:rPr>
          <w:t>44</w:t>
        </w:r>
        <w:r w:rsidR="00B26F66">
          <w:rPr>
            <w:webHidden/>
          </w:rPr>
          <w:fldChar w:fldCharType="end"/>
        </w:r>
      </w:hyperlink>
    </w:p>
    <w:p w14:paraId="2147340A" w14:textId="0EA62DCE" w:rsidR="00B26F66" w:rsidRDefault="00A54553">
      <w:pPr>
        <w:pStyle w:val="TOC3"/>
        <w:tabs>
          <w:tab w:val="left" w:pos="885"/>
        </w:tabs>
        <w:rPr>
          <w:rFonts w:asciiTheme="minorHAnsi" w:eastAsiaTheme="minorEastAsia" w:hAnsiTheme="minorHAnsi" w:cstheme="minorBidi"/>
        </w:rPr>
      </w:pPr>
      <w:hyperlink w:anchor="_Toc18505544" w:history="1">
        <w:r w:rsidR="00B26F66" w:rsidRPr="000E2BF0">
          <w:rPr>
            <w:rStyle w:val="Hyperlink"/>
          </w:rPr>
          <w:t>Broadcasting</w:t>
        </w:r>
        <w:r w:rsidR="00B26F66">
          <w:rPr>
            <w:webHidden/>
          </w:rPr>
          <w:tab/>
        </w:r>
        <w:r w:rsidR="00B26F66">
          <w:rPr>
            <w:webHidden/>
          </w:rPr>
          <w:fldChar w:fldCharType="begin"/>
        </w:r>
        <w:r w:rsidR="00B26F66">
          <w:rPr>
            <w:webHidden/>
          </w:rPr>
          <w:instrText xml:space="preserve"> PAGEREF _Toc18505544 \h </w:instrText>
        </w:r>
        <w:r w:rsidR="00B26F66">
          <w:rPr>
            <w:webHidden/>
          </w:rPr>
        </w:r>
        <w:r w:rsidR="00B26F66">
          <w:rPr>
            <w:webHidden/>
          </w:rPr>
          <w:fldChar w:fldCharType="separate"/>
        </w:r>
        <w:r>
          <w:rPr>
            <w:webHidden/>
          </w:rPr>
          <w:t>44</w:t>
        </w:r>
        <w:r w:rsidR="00B26F66">
          <w:rPr>
            <w:webHidden/>
          </w:rPr>
          <w:fldChar w:fldCharType="end"/>
        </w:r>
      </w:hyperlink>
    </w:p>
    <w:p w14:paraId="43A42EC9" w14:textId="37D4A4FF" w:rsidR="00B26F66" w:rsidRDefault="00A54553">
      <w:pPr>
        <w:pStyle w:val="TOC3"/>
        <w:tabs>
          <w:tab w:val="left" w:pos="885"/>
        </w:tabs>
        <w:rPr>
          <w:rFonts w:asciiTheme="minorHAnsi" w:eastAsiaTheme="minorEastAsia" w:hAnsiTheme="minorHAnsi" w:cstheme="minorBidi"/>
        </w:rPr>
      </w:pPr>
      <w:hyperlink w:anchor="_Toc18505545" w:history="1">
        <w:r w:rsidR="00B26F66" w:rsidRPr="000E2BF0">
          <w:rPr>
            <w:rStyle w:val="Hyperlink"/>
          </w:rPr>
          <w:t>Satellite planning</w:t>
        </w:r>
        <w:r w:rsidR="00B26F66">
          <w:rPr>
            <w:webHidden/>
          </w:rPr>
          <w:tab/>
        </w:r>
        <w:r w:rsidR="00B26F66">
          <w:rPr>
            <w:webHidden/>
          </w:rPr>
          <w:fldChar w:fldCharType="begin"/>
        </w:r>
        <w:r w:rsidR="00B26F66">
          <w:rPr>
            <w:webHidden/>
          </w:rPr>
          <w:instrText xml:space="preserve"> PAGEREF _Toc18505545 \h </w:instrText>
        </w:r>
        <w:r w:rsidR="00B26F66">
          <w:rPr>
            <w:webHidden/>
          </w:rPr>
        </w:r>
        <w:r w:rsidR="00B26F66">
          <w:rPr>
            <w:webHidden/>
          </w:rPr>
          <w:fldChar w:fldCharType="separate"/>
        </w:r>
        <w:r>
          <w:rPr>
            <w:webHidden/>
          </w:rPr>
          <w:t>46</w:t>
        </w:r>
        <w:r w:rsidR="00B26F66">
          <w:rPr>
            <w:webHidden/>
          </w:rPr>
          <w:fldChar w:fldCharType="end"/>
        </w:r>
      </w:hyperlink>
    </w:p>
    <w:p w14:paraId="0CA3B5FB" w14:textId="40F20409" w:rsidR="00B26F66" w:rsidRDefault="00A54553">
      <w:pPr>
        <w:pStyle w:val="TOC3"/>
        <w:rPr>
          <w:rFonts w:asciiTheme="minorHAnsi" w:eastAsiaTheme="minorEastAsia" w:hAnsiTheme="minorHAnsi" w:cstheme="minorBidi"/>
        </w:rPr>
      </w:pPr>
      <w:hyperlink w:anchor="_Toc18505546" w:history="1">
        <w:r w:rsidR="00B26F66" w:rsidRPr="000E2BF0">
          <w:rPr>
            <w:rStyle w:val="Hyperlink"/>
          </w:rPr>
          <w:t>Low interference potential devices</w:t>
        </w:r>
        <w:r w:rsidR="00B26F66">
          <w:rPr>
            <w:webHidden/>
          </w:rPr>
          <w:tab/>
        </w:r>
        <w:r w:rsidR="00B26F66">
          <w:rPr>
            <w:webHidden/>
          </w:rPr>
          <w:fldChar w:fldCharType="begin"/>
        </w:r>
        <w:r w:rsidR="00B26F66">
          <w:rPr>
            <w:webHidden/>
          </w:rPr>
          <w:instrText xml:space="preserve"> PAGEREF _Toc18505546 \h </w:instrText>
        </w:r>
        <w:r w:rsidR="00B26F66">
          <w:rPr>
            <w:webHidden/>
          </w:rPr>
        </w:r>
        <w:r w:rsidR="00B26F66">
          <w:rPr>
            <w:webHidden/>
          </w:rPr>
          <w:fldChar w:fldCharType="separate"/>
        </w:r>
        <w:r>
          <w:rPr>
            <w:webHidden/>
          </w:rPr>
          <w:t>49</w:t>
        </w:r>
        <w:r w:rsidR="00B26F66">
          <w:rPr>
            <w:webHidden/>
          </w:rPr>
          <w:fldChar w:fldCharType="end"/>
        </w:r>
      </w:hyperlink>
    </w:p>
    <w:p w14:paraId="7F89134E" w14:textId="3026C178" w:rsidR="00B26F66" w:rsidRDefault="00A54553">
      <w:pPr>
        <w:pStyle w:val="TOC3"/>
        <w:rPr>
          <w:rFonts w:asciiTheme="minorHAnsi" w:eastAsiaTheme="minorEastAsia" w:hAnsiTheme="minorHAnsi" w:cstheme="minorBidi"/>
        </w:rPr>
      </w:pPr>
      <w:hyperlink w:anchor="_Toc18505547" w:history="1">
        <w:r w:rsidR="00B26F66" w:rsidRPr="000E2BF0">
          <w:rPr>
            <w:rStyle w:val="Hyperlink"/>
          </w:rPr>
          <w:t>Amateur radio</w:t>
        </w:r>
        <w:r w:rsidR="00B26F66">
          <w:rPr>
            <w:webHidden/>
          </w:rPr>
          <w:tab/>
        </w:r>
        <w:r w:rsidR="00B26F66">
          <w:rPr>
            <w:webHidden/>
          </w:rPr>
          <w:fldChar w:fldCharType="begin"/>
        </w:r>
        <w:r w:rsidR="00B26F66">
          <w:rPr>
            <w:webHidden/>
          </w:rPr>
          <w:instrText xml:space="preserve"> PAGEREF _Toc18505547 \h </w:instrText>
        </w:r>
        <w:r w:rsidR="00B26F66">
          <w:rPr>
            <w:webHidden/>
          </w:rPr>
        </w:r>
        <w:r w:rsidR="00B26F66">
          <w:rPr>
            <w:webHidden/>
          </w:rPr>
          <w:fldChar w:fldCharType="separate"/>
        </w:r>
        <w:r>
          <w:rPr>
            <w:webHidden/>
          </w:rPr>
          <w:t>50</w:t>
        </w:r>
        <w:r w:rsidR="00B26F66">
          <w:rPr>
            <w:webHidden/>
          </w:rPr>
          <w:fldChar w:fldCharType="end"/>
        </w:r>
      </w:hyperlink>
    </w:p>
    <w:p w14:paraId="48B68F39" w14:textId="6FBA41F2" w:rsidR="00B26F66" w:rsidRDefault="00A54553">
      <w:pPr>
        <w:pStyle w:val="TOC3"/>
        <w:rPr>
          <w:rFonts w:asciiTheme="minorHAnsi" w:eastAsiaTheme="minorEastAsia" w:hAnsiTheme="minorHAnsi" w:cstheme="minorBidi"/>
        </w:rPr>
      </w:pPr>
      <w:hyperlink w:anchor="_Toc18505548" w:history="1">
        <w:r w:rsidR="00B26F66" w:rsidRPr="000E2BF0">
          <w:rPr>
            <w:rStyle w:val="Hyperlink"/>
          </w:rPr>
          <w:t>Ongoing review of spectrum planning, assignment and coordination requirements</w:t>
        </w:r>
        <w:r w:rsidR="00B26F66">
          <w:rPr>
            <w:webHidden/>
          </w:rPr>
          <w:tab/>
        </w:r>
        <w:r w:rsidR="00B26F66">
          <w:rPr>
            <w:webHidden/>
          </w:rPr>
          <w:fldChar w:fldCharType="begin"/>
        </w:r>
        <w:r w:rsidR="00B26F66">
          <w:rPr>
            <w:webHidden/>
          </w:rPr>
          <w:instrText xml:space="preserve"> PAGEREF _Toc18505548 \h </w:instrText>
        </w:r>
        <w:r w:rsidR="00B26F66">
          <w:rPr>
            <w:webHidden/>
          </w:rPr>
        </w:r>
        <w:r w:rsidR="00B26F66">
          <w:rPr>
            <w:webHidden/>
          </w:rPr>
          <w:fldChar w:fldCharType="separate"/>
        </w:r>
        <w:r>
          <w:rPr>
            <w:webHidden/>
          </w:rPr>
          <w:t>50</w:t>
        </w:r>
        <w:r w:rsidR="00B26F66">
          <w:rPr>
            <w:webHidden/>
          </w:rPr>
          <w:fldChar w:fldCharType="end"/>
        </w:r>
      </w:hyperlink>
    </w:p>
    <w:p w14:paraId="1EA1492A" w14:textId="056E977A" w:rsidR="00B26F66" w:rsidRDefault="00A54553">
      <w:pPr>
        <w:pStyle w:val="TOC3"/>
        <w:rPr>
          <w:rFonts w:asciiTheme="minorHAnsi" w:eastAsiaTheme="minorEastAsia" w:hAnsiTheme="minorHAnsi" w:cstheme="minorBidi"/>
        </w:rPr>
      </w:pPr>
      <w:hyperlink w:anchor="_Toc18505549" w:history="1">
        <w:r w:rsidR="00B26F66" w:rsidRPr="000E2BF0">
          <w:rPr>
            <w:rStyle w:val="Hyperlink"/>
          </w:rPr>
          <w:t>Review of spectrum licence technical frameworks</w:t>
        </w:r>
        <w:r w:rsidR="00B26F66">
          <w:rPr>
            <w:webHidden/>
          </w:rPr>
          <w:tab/>
        </w:r>
        <w:r w:rsidR="00B26F66">
          <w:rPr>
            <w:webHidden/>
          </w:rPr>
          <w:fldChar w:fldCharType="begin"/>
        </w:r>
        <w:r w:rsidR="00B26F66">
          <w:rPr>
            <w:webHidden/>
          </w:rPr>
          <w:instrText xml:space="preserve"> PAGEREF _Toc18505549 \h </w:instrText>
        </w:r>
        <w:r w:rsidR="00B26F66">
          <w:rPr>
            <w:webHidden/>
          </w:rPr>
        </w:r>
        <w:r w:rsidR="00B26F66">
          <w:rPr>
            <w:webHidden/>
          </w:rPr>
          <w:fldChar w:fldCharType="separate"/>
        </w:r>
        <w:r>
          <w:rPr>
            <w:webHidden/>
          </w:rPr>
          <w:t>51</w:t>
        </w:r>
        <w:r w:rsidR="00B26F66">
          <w:rPr>
            <w:webHidden/>
          </w:rPr>
          <w:fldChar w:fldCharType="end"/>
        </w:r>
      </w:hyperlink>
    </w:p>
    <w:p w14:paraId="2C80805D" w14:textId="22E9ABAB" w:rsidR="00B26F66" w:rsidRDefault="00A54553">
      <w:pPr>
        <w:pStyle w:val="TOC3"/>
        <w:tabs>
          <w:tab w:val="left" w:pos="885"/>
        </w:tabs>
        <w:rPr>
          <w:rFonts w:asciiTheme="minorHAnsi" w:eastAsiaTheme="minorEastAsia" w:hAnsiTheme="minorHAnsi" w:cstheme="minorBidi"/>
        </w:rPr>
      </w:pPr>
      <w:hyperlink w:anchor="_Toc18505550" w:history="1">
        <w:r w:rsidR="00B26F66" w:rsidRPr="000E2BF0">
          <w:rPr>
            <w:rStyle w:val="Hyperlink"/>
          </w:rPr>
          <w:t>Spectrum sharing approaches</w:t>
        </w:r>
        <w:r w:rsidR="00B26F66">
          <w:rPr>
            <w:webHidden/>
          </w:rPr>
          <w:tab/>
        </w:r>
        <w:r w:rsidR="00B26F66">
          <w:rPr>
            <w:webHidden/>
          </w:rPr>
          <w:fldChar w:fldCharType="begin"/>
        </w:r>
        <w:r w:rsidR="00B26F66">
          <w:rPr>
            <w:webHidden/>
          </w:rPr>
          <w:instrText xml:space="preserve"> PAGEREF _Toc18505550 \h </w:instrText>
        </w:r>
        <w:r w:rsidR="00B26F66">
          <w:rPr>
            <w:webHidden/>
          </w:rPr>
        </w:r>
        <w:r w:rsidR="00B26F66">
          <w:rPr>
            <w:webHidden/>
          </w:rPr>
          <w:fldChar w:fldCharType="separate"/>
        </w:r>
        <w:r>
          <w:rPr>
            <w:webHidden/>
          </w:rPr>
          <w:t>52</w:t>
        </w:r>
        <w:r w:rsidR="00B26F66">
          <w:rPr>
            <w:webHidden/>
          </w:rPr>
          <w:fldChar w:fldCharType="end"/>
        </w:r>
      </w:hyperlink>
    </w:p>
    <w:p w14:paraId="58C93ACA" w14:textId="2DAA4021" w:rsidR="00B26F66" w:rsidRDefault="00A54553">
      <w:pPr>
        <w:pStyle w:val="TOC1"/>
        <w:rPr>
          <w:rFonts w:asciiTheme="minorHAnsi" w:eastAsiaTheme="minorEastAsia" w:hAnsiTheme="minorHAnsi" w:cstheme="minorBidi"/>
          <w:b w:val="0"/>
          <w:spacing w:val="0"/>
          <w:sz w:val="22"/>
          <w:szCs w:val="22"/>
        </w:rPr>
      </w:pPr>
      <w:hyperlink w:anchor="_Toc18505551" w:history="1">
        <w:r w:rsidR="00B26F66" w:rsidRPr="000E2BF0">
          <w:rPr>
            <w:rStyle w:val="Hyperlink"/>
          </w:rPr>
          <w:t>The forward allocation work plan</w:t>
        </w:r>
        <w:r w:rsidR="00B26F66">
          <w:rPr>
            <w:webHidden/>
          </w:rPr>
          <w:tab/>
        </w:r>
        <w:r w:rsidR="00B26F66">
          <w:rPr>
            <w:webHidden/>
          </w:rPr>
          <w:fldChar w:fldCharType="begin"/>
        </w:r>
        <w:r w:rsidR="00B26F66">
          <w:rPr>
            <w:webHidden/>
          </w:rPr>
          <w:instrText xml:space="preserve"> PAGEREF _Toc18505551 \h </w:instrText>
        </w:r>
        <w:r w:rsidR="00B26F66">
          <w:rPr>
            <w:webHidden/>
          </w:rPr>
        </w:r>
        <w:r w:rsidR="00B26F66">
          <w:rPr>
            <w:webHidden/>
          </w:rPr>
          <w:fldChar w:fldCharType="separate"/>
        </w:r>
        <w:r>
          <w:rPr>
            <w:webHidden/>
          </w:rPr>
          <w:t>53</w:t>
        </w:r>
        <w:r w:rsidR="00B26F66">
          <w:rPr>
            <w:webHidden/>
          </w:rPr>
          <w:fldChar w:fldCharType="end"/>
        </w:r>
      </w:hyperlink>
    </w:p>
    <w:p w14:paraId="3AE12A67" w14:textId="5FB4A111" w:rsidR="00B26F66" w:rsidRDefault="00A54553">
      <w:pPr>
        <w:pStyle w:val="TOC2"/>
        <w:rPr>
          <w:rFonts w:asciiTheme="minorHAnsi" w:eastAsiaTheme="minorEastAsia" w:hAnsiTheme="minorHAnsi" w:cstheme="minorBidi"/>
          <w:spacing w:val="0"/>
          <w:sz w:val="22"/>
          <w:szCs w:val="22"/>
        </w:rPr>
      </w:pPr>
      <w:hyperlink w:anchor="_Toc18505552" w:history="1">
        <w:r w:rsidR="00B26F66" w:rsidRPr="000E2BF0">
          <w:rPr>
            <w:rStyle w:val="Hyperlink"/>
            <w:rFonts w:eastAsiaTheme="majorEastAsia"/>
          </w:rPr>
          <w:t>Purpose of the forward allocation work plan</w:t>
        </w:r>
        <w:r w:rsidR="00B26F66">
          <w:rPr>
            <w:webHidden/>
          </w:rPr>
          <w:tab/>
        </w:r>
        <w:r w:rsidR="00B26F66">
          <w:rPr>
            <w:webHidden/>
          </w:rPr>
          <w:fldChar w:fldCharType="begin"/>
        </w:r>
        <w:r w:rsidR="00B26F66">
          <w:rPr>
            <w:webHidden/>
          </w:rPr>
          <w:instrText xml:space="preserve"> PAGEREF _Toc18505552 \h </w:instrText>
        </w:r>
        <w:r w:rsidR="00B26F66">
          <w:rPr>
            <w:webHidden/>
          </w:rPr>
        </w:r>
        <w:r w:rsidR="00B26F66">
          <w:rPr>
            <w:webHidden/>
          </w:rPr>
          <w:fldChar w:fldCharType="separate"/>
        </w:r>
        <w:r>
          <w:rPr>
            <w:webHidden/>
          </w:rPr>
          <w:t>53</w:t>
        </w:r>
        <w:r w:rsidR="00B26F66">
          <w:rPr>
            <w:webHidden/>
          </w:rPr>
          <w:fldChar w:fldCharType="end"/>
        </w:r>
      </w:hyperlink>
    </w:p>
    <w:p w14:paraId="6B249525" w14:textId="5A0844A3" w:rsidR="00B26F66" w:rsidRDefault="00A54553">
      <w:pPr>
        <w:pStyle w:val="TOC2"/>
        <w:rPr>
          <w:rFonts w:asciiTheme="minorHAnsi" w:eastAsiaTheme="minorEastAsia" w:hAnsiTheme="minorHAnsi" w:cstheme="minorBidi"/>
          <w:spacing w:val="0"/>
          <w:sz w:val="22"/>
          <w:szCs w:val="22"/>
        </w:rPr>
      </w:pPr>
      <w:hyperlink w:anchor="_Toc18505553" w:history="1">
        <w:r w:rsidR="00B26F66" w:rsidRPr="000E2BF0">
          <w:rPr>
            <w:rStyle w:val="Hyperlink"/>
          </w:rPr>
          <w:t>What we’re proposing</w:t>
        </w:r>
        <w:r w:rsidR="00B26F66">
          <w:rPr>
            <w:webHidden/>
          </w:rPr>
          <w:tab/>
        </w:r>
        <w:r w:rsidR="00B26F66">
          <w:rPr>
            <w:webHidden/>
          </w:rPr>
          <w:fldChar w:fldCharType="begin"/>
        </w:r>
        <w:r w:rsidR="00B26F66">
          <w:rPr>
            <w:webHidden/>
          </w:rPr>
          <w:instrText xml:space="preserve"> PAGEREF _Toc18505553 \h </w:instrText>
        </w:r>
        <w:r w:rsidR="00B26F66">
          <w:rPr>
            <w:webHidden/>
          </w:rPr>
        </w:r>
        <w:r w:rsidR="00B26F66">
          <w:rPr>
            <w:webHidden/>
          </w:rPr>
          <w:fldChar w:fldCharType="separate"/>
        </w:r>
        <w:r>
          <w:rPr>
            <w:webHidden/>
          </w:rPr>
          <w:t>54</w:t>
        </w:r>
        <w:r w:rsidR="00B26F66">
          <w:rPr>
            <w:webHidden/>
          </w:rPr>
          <w:fldChar w:fldCharType="end"/>
        </w:r>
      </w:hyperlink>
    </w:p>
    <w:p w14:paraId="757AA393" w14:textId="09AF38EA" w:rsidR="00B26F66" w:rsidRDefault="00A54553">
      <w:pPr>
        <w:pStyle w:val="TOC3"/>
        <w:rPr>
          <w:rFonts w:asciiTheme="minorHAnsi" w:eastAsiaTheme="minorEastAsia" w:hAnsiTheme="minorHAnsi" w:cstheme="minorBidi"/>
        </w:rPr>
      </w:pPr>
      <w:hyperlink w:anchor="_Toc18505554" w:history="1">
        <w:r w:rsidR="00B26F66" w:rsidRPr="000E2BF0">
          <w:rPr>
            <w:rStyle w:val="Hyperlink"/>
          </w:rPr>
          <w:t>850 MHz expansion band</w:t>
        </w:r>
        <w:r w:rsidR="00B26F66">
          <w:rPr>
            <w:webHidden/>
          </w:rPr>
          <w:tab/>
        </w:r>
        <w:r w:rsidR="00B26F66">
          <w:rPr>
            <w:webHidden/>
          </w:rPr>
          <w:fldChar w:fldCharType="begin"/>
        </w:r>
        <w:r w:rsidR="00B26F66">
          <w:rPr>
            <w:webHidden/>
          </w:rPr>
          <w:instrText xml:space="preserve"> PAGEREF _Toc18505554 \h </w:instrText>
        </w:r>
        <w:r w:rsidR="00B26F66">
          <w:rPr>
            <w:webHidden/>
          </w:rPr>
        </w:r>
        <w:r w:rsidR="00B26F66">
          <w:rPr>
            <w:webHidden/>
          </w:rPr>
          <w:fldChar w:fldCharType="separate"/>
        </w:r>
        <w:r>
          <w:rPr>
            <w:webHidden/>
          </w:rPr>
          <w:t>54</w:t>
        </w:r>
        <w:r w:rsidR="00B26F66">
          <w:rPr>
            <w:webHidden/>
          </w:rPr>
          <w:fldChar w:fldCharType="end"/>
        </w:r>
      </w:hyperlink>
    </w:p>
    <w:p w14:paraId="7CE23768" w14:textId="4FC7A660" w:rsidR="00B26F66" w:rsidRDefault="00A54553">
      <w:pPr>
        <w:pStyle w:val="TOC3"/>
        <w:tabs>
          <w:tab w:val="left" w:pos="885"/>
        </w:tabs>
        <w:rPr>
          <w:rFonts w:asciiTheme="minorHAnsi" w:eastAsiaTheme="minorEastAsia" w:hAnsiTheme="minorHAnsi" w:cstheme="minorBidi"/>
        </w:rPr>
      </w:pPr>
      <w:hyperlink w:anchor="_Toc18505555" w:history="1">
        <w:r w:rsidR="00B26F66" w:rsidRPr="000E2BF0">
          <w:rPr>
            <w:rStyle w:val="Hyperlink"/>
          </w:rPr>
          <w:t>900 MHz</w:t>
        </w:r>
        <w:r w:rsidR="00B26F66">
          <w:rPr>
            <w:webHidden/>
          </w:rPr>
          <w:tab/>
        </w:r>
        <w:r w:rsidR="00B26F66">
          <w:rPr>
            <w:webHidden/>
          </w:rPr>
          <w:tab/>
        </w:r>
        <w:r w:rsidR="00B26F66">
          <w:rPr>
            <w:webHidden/>
          </w:rPr>
          <w:fldChar w:fldCharType="begin"/>
        </w:r>
        <w:r w:rsidR="00B26F66">
          <w:rPr>
            <w:webHidden/>
          </w:rPr>
          <w:instrText xml:space="preserve"> PAGEREF _Toc18505555 \h </w:instrText>
        </w:r>
        <w:r w:rsidR="00B26F66">
          <w:rPr>
            <w:webHidden/>
          </w:rPr>
        </w:r>
        <w:r w:rsidR="00B26F66">
          <w:rPr>
            <w:webHidden/>
          </w:rPr>
          <w:fldChar w:fldCharType="separate"/>
        </w:r>
        <w:r>
          <w:rPr>
            <w:webHidden/>
          </w:rPr>
          <w:t>55</w:t>
        </w:r>
        <w:r w:rsidR="00B26F66">
          <w:rPr>
            <w:webHidden/>
          </w:rPr>
          <w:fldChar w:fldCharType="end"/>
        </w:r>
      </w:hyperlink>
    </w:p>
    <w:p w14:paraId="0D749E79" w14:textId="64160B33" w:rsidR="00B26F66" w:rsidRDefault="00A54553">
      <w:pPr>
        <w:pStyle w:val="TOC3"/>
        <w:tabs>
          <w:tab w:val="left" w:pos="885"/>
        </w:tabs>
        <w:rPr>
          <w:rFonts w:asciiTheme="minorHAnsi" w:eastAsiaTheme="minorEastAsia" w:hAnsiTheme="minorHAnsi" w:cstheme="minorBidi"/>
        </w:rPr>
      </w:pPr>
      <w:hyperlink w:anchor="_Toc18505556" w:history="1">
        <w:r w:rsidR="00B26F66" w:rsidRPr="000E2BF0">
          <w:rPr>
            <w:rStyle w:val="Hyperlink"/>
          </w:rPr>
          <w:t>1.5 GHz</w:t>
        </w:r>
        <w:r w:rsidR="00B26F66">
          <w:rPr>
            <w:rStyle w:val="Hyperlink"/>
          </w:rPr>
          <w:tab/>
        </w:r>
        <w:r w:rsidR="00B26F66">
          <w:rPr>
            <w:webHidden/>
          </w:rPr>
          <w:tab/>
        </w:r>
        <w:r w:rsidR="00B26F66">
          <w:rPr>
            <w:webHidden/>
          </w:rPr>
          <w:fldChar w:fldCharType="begin"/>
        </w:r>
        <w:r w:rsidR="00B26F66">
          <w:rPr>
            <w:webHidden/>
          </w:rPr>
          <w:instrText xml:space="preserve"> PAGEREF _Toc18505556 \h </w:instrText>
        </w:r>
        <w:r w:rsidR="00B26F66">
          <w:rPr>
            <w:webHidden/>
          </w:rPr>
        </w:r>
        <w:r w:rsidR="00B26F66">
          <w:rPr>
            <w:webHidden/>
          </w:rPr>
          <w:fldChar w:fldCharType="separate"/>
        </w:r>
        <w:r>
          <w:rPr>
            <w:webHidden/>
          </w:rPr>
          <w:t>56</w:t>
        </w:r>
        <w:r w:rsidR="00B26F66">
          <w:rPr>
            <w:webHidden/>
          </w:rPr>
          <w:fldChar w:fldCharType="end"/>
        </w:r>
      </w:hyperlink>
    </w:p>
    <w:p w14:paraId="4DF04E04" w14:textId="100CAA07" w:rsidR="00B26F66" w:rsidRDefault="00A54553">
      <w:pPr>
        <w:pStyle w:val="TOC3"/>
        <w:tabs>
          <w:tab w:val="left" w:pos="885"/>
        </w:tabs>
        <w:rPr>
          <w:rFonts w:asciiTheme="minorHAnsi" w:eastAsiaTheme="minorEastAsia" w:hAnsiTheme="minorHAnsi" w:cstheme="minorBidi"/>
        </w:rPr>
      </w:pPr>
      <w:hyperlink w:anchor="_Toc18505557" w:history="1">
        <w:r w:rsidR="00B26F66" w:rsidRPr="000E2BF0">
          <w:rPr>
            <w:rStyle w:val="Hyperlink"/>
          </w:rPr>
          <w:t xml:space="preserve">3400–3575 </w:t>
        </w:r>
        <w:r w:rsidR="00B26F66" w:rsidRPr="000E2BF0">
          <w:rPr>
            <w:rStyle w:val="Hyperlink"/>
            <w:rFonts w:eastAsiaTheme="majorEastAsia"/>
          </w:rPr>
          <w:t>MHz</w:t>
        </w:r>
        <w:r w:rsidR="00B26F66">
          <w:rPr>
            <w:webHidden/>
          </w:rPr>
          <w:tab/>
        </w:r>
        <w:r w:rsidR="00B26F66">
          <w:rPr>
            <w:webHidden/>
          </w:rPr>
          <w:fldChar w:fldCharType="begin"/>
        </w:r>
        <w:r w:rsidR="00B26F66">
          <w:rPr>
            <w:webHidden/>
          </w:rPr>
          <w:instrText xml:space="preserve"> PAGEREF _Toc18505557 \h </w:instrText>
        </w:r>
        <w:r w:rsidR="00B26F66">
          <w:rPr>
            <w:webHidden/>
          </w:rPr>
        </w:r>
        <w:r w:rsidR="00B26F66">
          <w:rPr>
            <w:webHidden/>
          </w:rPr>
          <w:fldChar w:fldCharType="separate"/>
        </w:r>
        <w:r>
          <w:rPr>
            <w:webHidden/>
          </w:rPr>
          <w:t>56</w:t>
        </w:r>
        <w:r w:rsidR="00B26F66">
          <w:rPr>
            <w:webHidden/>
          </w:rPr>
          <w:fldChar w:fldCharType="end"/>
        </w:r>
      </w:hyperlink>
    </w:p>
    <w:p w14:paraId="16EDC2ED" w14:textId="41A11B44" w:rsidR="00B26F66" w:rsidRDefault="00A54553">
      <w:pPr>
        <w:pStyle w:val="TOC3"/>
        <w:tabs>
          <w:tab w:val="left" w:pos="885"/>
        </w:tabs>
        <w:rPr>
          <w:rFonts w:asciiTheme="minorHAnsi" w:eastAsiaTheme="minorEastAsia" w:hAnsiTheme="minorHAnsi" w:cstheme="minorBidi"/>
        </w:rPr>
      </w:pPr>
      <w:hyperlink w:anchor="_Toc18505558" w:history="1">
        <w:r w:rsidR="00B26F66" w:rsidRPr="000E2BF0">
          <w:rPr>
            <w:rStyle w:val="Hyperlink"/>
          </w:rPr>
          <w:t>26 GHz</w:t>
        </w:r>
        <w:r w:rsidR="00B26F66">
          <w:rPr>
            <w:webHidden/>
          </w:rPr>
          <w:tab/>
        </w:r>
        <w:r w:rsidR="00B26F66">
          <w:rPr>
            <w:webHidden/>
          </w:rPr>
          <w:tab/>
        </w:r>
        <w:r w:rsidR="00B26F66">
          <w:rPr>
            <w:webHidden/>
          </w:rPr>
          <w:fldChar w:fldCharType="begin"/>
        </w:r>
        <w:r w:rsidR="00B26F66">
          <w:rPr>
            <w:webHidden/>
          </w:rPr>
          <w:instrText xml:space="preserve"> PAGEREF _Toc18505558 \h </w:instrText>
        </w:r>
        <w:r w:rsidR="00B26F66">
          <w:rPr>
            <w:webHidden/>
          </w:rPr>
        </w:r>
        <w:r w:rsidR="00B26F66">
          <w:rPr>
            <w:webHidden/>
          </w:rPr>
          <w:fldChar w:fldCharType="separate"/>
        </w:r>
        <w:r>
          <w:rPr>
            <w:webHidden/>
          </w:rPr>
          <w:t>56</w:t>
        </w:r>
        <w:r w:rsidR="00B26F66">
          <w:rPr>
            <w:webHidden/>
          </w:rPr>
          <w:fldChar w:fldCharType="end"/>
        </w:r>
      </w:hyperlink>
    </w:p>
    <w:p w14:paraId="3A5BBEE9" w14:textId="7BF374F5" w:rsidR="00B26F66" w:rsidRDefault="00A54553">
      <w:pPr>
        <w:pStyle w:val="TOC3"/>
        <w:tabs>
          <w:tab w:val="left" w:pos="885"/>
        </w:tabs>
        <w:rPr>
          <w:rFonts w:asciiTheme="minorHAnsi" w:eastAsiaTheme="minorEastAsia" w:hAnsiTheme="minorHAnsi" w:cstheme="minorBidi"/>
        </w:rPr>
      </w:pPr>
      <w:hyperlink w:anchor="_Toc18505559" w:history="1">
        <w:r w:rsidR="00B26F66" w:rsidRPr="000E2BF0">
          <w:rPr>
            <w:rStyle w:val="Hyperlink"/>
          </w:rPr>
          <w:t xml:space="preserve">28 </w:t>
        </w:r>
        <w:r w:rsidR="00B26F66" w:rsidRPr="000E2BF0">
          <w:rPr>
            <w:rStyle w:val="Hyperlink"/>
            <w:rFonts w:eastAsiaTheme="majorEastAsia"/>
          </w:rPr>
          <w:t>GHz</w:t>
        </w:r>
        <w:r w:rsidR="00B26F66">
          <w:rPr>
            <w:rStyle w:val="Hyperlink"/>
            <w:rFonts w:eastAsiaTheme="majorEastAsia"/>
          </w:rPr>
          <w:tab/>
        </w:r>
        <w:r w:rsidR="00B26F66">
          <w:rPr>
            <w:webHidden/>
          </w:rPr>
          <w:tab/>
        </w:r>
        <w:r w:rsidR="00B26F66">
          <w:rPr>
            <w:webHidden/>
          </w:rPr>
          <w:fldChar w:fldCharType="begin"/>
        </w:r>
        <w:r w:rsidR="00B26F66">
          <w:rPr>
            <w:webHidden/>
          </w:rPr>
          <w:instrText xml:space="preserve"> PAGEREF _Toc18505559 \h </w:instrText>
        </w:r>
        <w:r w:rsidR="00B26F66">
          <w:rPr>
            <w:webHidden/>
          </w:rPr>
        </w:r>
        <w:r w:rsidR="00B26F66">
          <w:rPr>
            <w:webHidden/>
          </w:rPr>
          <w:fldChar w:fldCharType="separate"/>
        </w:r>
        <w:r>
          <w:rPr>
            <w:webHidden/>
          </w:rPr>
          <w:t>57</w:t>
        </w:r>
        <w:r w:rsidR="00B26F66">
          <w:rPr>
            <w:webHidden/>
          </w:rPr>
          <w:fldChar w:fldCharType="end"/>
        </w:r>
      </w:hyperlink>
    </w:p>
    <w:p w14:paraId="6CB7CF0D" w14:textId="77211D1F" w:rsidR="00B26F66" w:rsidRDefault="00A54553">
      <w:pPr>
        <w:pStyle w:val="TOC2"/>
        <w:rPr>
          <w:rFonts w:asciiTheme="minorHAnsi" w:eastAsiaTheme="minorEastAsia" w:hAnsiTheme="minorHAnsi" w:cstheme="minorBidi"/>
          <w:spacing w:val="0"/>
          <w:sz w:val="22"/>
          <w:szCs w:val="22"/>
        </w:rPr>
      </w:pPr>
      <w:hyperlink w:anchor="_Toc18505560" w:history="1">
        <w:r w:rsidR="00B26F66" w:rsidRPr="000E2BF0">
          <w:rPr>
            <w:rStyle w:val="Hyperlink"/>
            <w:rFonts w:eastAsiaTheme="majorEastAsia"/>
          </w:rPr>
          <w:t>Allocation priorities and sequencing</w:t>
        </w:r>
        <w:r w:rsidR="00B26F66">
          <w:rPr>
            <w:webHidden/>
          </w:rPr>
          <w:tab/>
        </w:r>
        <w:r w:rsidR="00B26F66">
          <w:rPr>
            <w:webHidden/>
          </w:rPr>
          <w:fldChar w:fldCharType="begin"/>
        </w:r>
        <w:r w:rsidR="00B26F66">
          <w:rPr>
            <w:webHidden/>
          </w:rPr>
          <w:instrText xml:space="preserve"> PAGEREF _Toc18505560 \h </w:instrText>
        </w:r>
        <w:r w:rsidR="00B26F66">
          <w:rPr>
            <w:webHidden/>
          </w:rPr>
        </w:r>
        <w:r w:rsidR="00B26F66">
          <w:rPr>
            <w:webHidden/>
          </w:rPr>
          <w:fldChar w:fldCharType="separate"/>
        </w:r>
        <w:r>
          <w:rPr>
            <w:webHidden/>
          </w:rPr>
          <w:t>57</w:t>
        </w:r>
        <w:r w:rsidR="00B26F66">
          <w:rPr>
            <w:webHidden/>
          </w:rPr>
          <w:fldChar w:fldCharType="end"/>
        </w:r>
      </w:hyperlink>
    </w:p>
    <w:p w14:paraId="628F20D4" w14:textId="2A076417" w:rsidR="00B26F66" w:rsidRDefault="00A54553">
      <w:pPr>
        <w:pStyle w:val="TOC3"/>
        <w:rPr>
          <w:rFonts w:asciiTheme="minorHAnsi" w:eastAsiaTheme="minorEastAsia" w:hAnsiTheme="minorHAnsi" w:cstheme="minorBidi"/>
        </w:rPr>
      </w:pPr>
      <w:hyperlink w:anchor="_Toc18505561" w:history="1">
        <w:r w:rsidR="00B26F66" w:rsidRPr="000E2BF0">
          <w:rPr>
            <w:rStyle w:val="Hyperlink"/>
          </w:rPr>
          <w:t>Timing considerations</w:t>
        </w:r>
        <w:r w:rsidR="00B26F66">
          <w:rPr>
            <w:webHidden/>
          </w:rPr>
          <w:tab/>
        </w:r>
        <w:r w:rsidR="00B26F66">
          <w:rPr>
            <w:webHidden/>
          </w:rPr>
          <w:fldChar w:fldCharType="begin"/>
        </w:r>
        <w:r w:rsidR="00B26F66">
          <w:rPr>
            <w:webHidden/>
          </w:rPr>
          <w:instrText xml:space="preserve"> PAGEREF _Toc18505561 \h </w:instrText>
        </w:r>
        <w:r w:rsidR="00B26F66">
          <w:rPr>
            <w:webHidden/>
          </w:rPr>
        </w:r>
        <w:r w:rsidR="00B26F66">
          <w:rPr>
            <w:webHidden/>
          </w:rPr>
          <w:fldChar w:fldCharType="separate"/>
        </w:r>
        <w:r>
          <w:rPr>
            <w:webHidden/>
          </w:rPr>
          <w:t>58</w:t>
        </w:r>
        <w:r w:rsidR="00B26F66">
          <w:rPr>
            <w:webHidden/>
          </w:rPr>
          <w:fldChar w:fldCharType="end"/>
        </w:r>
      </w:hyperlink>
    </w:p>
    <w:p w14:paraId="27EB4FA4" w14:textId="69402E7C" w:rsidR="00B26F66" w:rsidRDefault="00A54553">
      <w:pPr>
        <w:pStyle w:val="TOC1"/>
        <w:rPr>
          <w:rFonts w:asciiTheme="minorHAnsi" w:eastAsiaTheme="minorEastAsia" w:hAnsiTheme="minorHAnsi" w:cstheme="minorBidi"/>
          <w:b w:val="0"/>
          <w:spacing w:val="0"/>
          <w:sz w:val="22"/>
          <w:szCs w:val="22"/>
        </w:rPr>
      </w:pPr>
      <w:hyperlink w:anchor="_Toc18505562" w:history="1">
        <w:r w:rsidR="00B26F66" w:rsidRPr="000E2BF0">
          <w:rPr>
            <w:rStyle w:val="Hyperlink"/>
          </w:rPr>
          <w:t>Spectrum management practice improvements</w:t>
        </w:r>
        <w:r w:rsidR="00B26F66">
          <w:rPr>
            <w:webHidden/>
          </w:rPr>
          <w:tab/>
        </w:r>
        <w:r w:rsidR="00B26F66">
          <w:rPr>
            <w:webHidden/>
          </w:rPr>
          <w:fldChar w:fldCharType="begin"/>
        </w:r>
        <w:r w:rsidR="00B26F66">
          <w:rPr>
            <w:webHidden/>
          </w:rPr>
          <w:instrText xml:space="preserve"> PAGEREF _Toc18505562 \h </w:instrText>
        </w:r>
        <w:r w:rsidR="00B26F66">
          <w:rPr>
            <w:webHidden/>
          </w:rPr>
        </w:r>
        <w:r w:rsidR="00B26F66">
          <w:rPr>
            <w:webHidden/>
          </w:rPr>
          <w:fldChar w:fldCharType="separate"/>
        </w:r>
        <w:r>
          <w:rPr>
            <w:webHidden/>
          </w:rPr>
          <w:t>61</w:t>
        </w:r>
        <w:r w:rsidR="00B26F66">
          <w:rPr>
            <w:webHidden/>
          </w:rPr>
          <w:fldChar w:fldCharType="end"/>
        </w:r>
      </w:hyperlink>
    </w:p>
    <w:p w14:paraId="095B0C44" w14:textId="79DD0C63" w:rsidR="00B26F66" w:rsidRDefault="00A54553">
      <w:pPr>
        <w:pStyle w:val="TOC2"/>
        <w:rPr>
          <w:rFonts w:asciiTheme="minorHAnsi" w:eastAsiaTheme="minorEastAsia" w:hAnsiTheme="minorHAnsi" w:cstheme="minorBidi"/>
          <w:spacing w:val="0"/>
          <w:sz w:val="22"/>
          <w:szCs w:val="22"/>
        </w:rPr>
      </w:pPr>
      <w:hyperlink w:anchor="_Toc18505563" w:history="1">
        <w:r w:rsidR="00B26F66" w:rsidRPr="000E2BF0">
          <w:rPr>
            <w:rStyle w:val="Hyperlink"/>
          </w:rPr>
          <w:t>Spectrum reform</w:t>
        </w:r>
        <w:r w:rsidR="00B26F66">
          <w:rPr>
            <w:webHidden/>
          </w:rPr>
          <w:tab/>
        </w:r>
        <w:r w:rsidR="00B26F66">
          <w:rPr>
            <w:webHidden/>
          </w:rPr>
          <w:fldChar w:fldCharType="begin"/>
        </w:r>
        <w:r w:rsidR="00B26F66">
          <w:rPr>
            <w:webHidden/>
          </w:rPr>
          <w:instrText xml:space="preserve"> PAGEREF _Toc18505563 \h </w:instrText>
        </w:r>
        <w:r w:rsidR="00B26F66">
          <w:rPr>
            <w:webHidden/>
          </w:rPr>
        </w:r>
        <w:r w:rsidR="00B26F66">
          <w:rPr>
            <w:webHidden/>
          </w:rPr>
          <w:fldChar w:fldCharType="separate"/>
        </w:r>
        <w:r>
          <w:rPr>
            <w:webHidden/>
          </w:rPr>
          <w:t>61</w:t>
        </w:r>
        <w:r w:rsidR="00B26F66">
          <w:rPr>
            <w:webHidden/>
          </w:rPr>
          <w:fldChar w:fldCharType="end"/>
        </w:r>
      </w:hyperlink>
    </w:p>
    <w:p w14:paraId="04F23D56" w14:textId="6BFC5ABE" w:rsidR="00B26F66" w:rsidRDefault="00A54553">
      <w:pPr>
        <w:pStyle w:val="TOC2"/>
        <w:rPr>
          <w:rFonts w:asciiTheme="minorHAnsi" w:eastAsiaTheme="minorEastAsia" w:hAnsiTheme="minorHAnsi" w:cstheme="minorBidi"/>
          <w:spacing w:val="0"/>
          <w:sz w:val="22"/>
          <w:szCs w:val="22"/>
        </w:rPr>
      </w:pPr>
      <w:hyperlink w:anchor="_Toc18505564" w:history="1">
        <w:r w:rsidR="00B26F66" w:rsidRPr="000E2BF0">
          <w:rPr>
            <w:rStyle w:val="Hyperlink"/>
          </w:rPr>
          <w:t>New/ongoing activities planned for 2019–20</w:t>
        </w:r>
        <w:r w:rsidR="00B26F66">
          <w:rPr>
            <w:webHidden/>
          </w:rPr>
          <w:tab/>
        </w:r>
        <w:r w:rsidR="00B26F66">
          <w:rPr>
            <w:webHidden/>
          </w:rPr>
          <w:fldChar w:fldCharType="begin"/>
        </w:r>
        <w:r w:rsidR="00B26F66">
          <w:rPr>
            <w:webHidden/>
          </w:rPr>
          <w:instrText xml:space="preserve"> PAGEREF _Toc18505564 \h </w:instrText>
        </w:r>
        <w:r w:rsidR="00B26F66">
          <w:rPr>
            <w:webHidden/>
          </w:rPr>
        </w:r>
        <w:r w:rsidR="00B26F66">
          <w:rPr>
            <w:webHidden/>
          </w:rPr>
          <w:fldChar w:fldCharType="separate"/>
        </w:r>
        <w:r>
          <w:rPr>
            <w:webHidden/>
          </w:rPr>
          <w:t>61</w:t>
        </w:r>
        <w:r w:rsidR="00B26F66">
          <w:rPr>
            <w:webHidden/>
          </w:rPr>
          <w:fldChar w:fldCharType="end"/>
        </w:r>
      </w:hyperlink>
    </w:p>
    <w:p w14:paraId="5C27BB4C" w14:textId="5CF955AD" w:rsidR="00B26F66" w:rsidRDefault="00A54553">
      <w:pPr>
        <w:pStyle w:val="TOC1"/>
        <w:rPr>
          <w:rFonts w:asciiTheme="minorHAnsi" w:eastAsiaTheme="minorEastAsia" w:hAnsiTheme="minorHAnsi" w:cstheme="minorBidi"/>
          <w:b w:val="0"/>
          <w:spacing w:val="0"/>
          <w:sz w:val="22"/>
          <w:szCs w:val="22"/>
        </w:rPr>
      </w:pPr>
      <w:hyperlink w:anchor="_Toc18505565" w:history="1">
        <w:r w:rsidR="00B26F66" w:rsidRPr="000E2BF0">
          <w:rPr>
            <w:rStyle w:val="Hyperlink"/>
          </w:rPr>
          <w:t>Licensing and licensing systems</w:t>
        </w:r>
        <w:r w:rsidR="00B26F66">
          <w:rPr>
            <w:webHidden/>
          </w:rPr>
          <w:tab/>
        </w:r>
        <w:r w:rsidR="00B26F66">
          <w:rPr>
            <w:webHidden/>
          </w:rPr>
          <w:fldChar w:fldCharType="begin"/>
        </w:r>
        <w:r w:rsidR="00B26F66">
          <w:rPr>
            <w:webHidden/>
          </w:rPr>
          <w:instrText xml:space="preserve"> PAGEREF _Toc18505565 \h </w:instrText>
        </w:r>
        <w:r w:rsidR="00B26F66">
          <w:rPr>
            <w:webHidden/>
          </w:rPr>
        </w:r>
        <w:r w:rsidR="00B26F66">
          <w:rPr>
            <w:webHidden/>
          </w:rPr>
          <w:fldChar w:fldCharType="separate"/>
        </w:r>
        <w:r>
          <w:rPr>
            <w:webHidden/>
          </w:rPr>
          <w:t>63</w:t>
        </w:r>
        <w:r w:rsidR="00B26F66">
          <w:rPr>
            <w:webHidden/>
          </w:rPr>
          <w:fldChar w:fldCharType="end"/>
        </w:r>
      </w:hyperlink>
    </w:p>
    <w:p w14:paraId="7B492F24" w14:textId="3CAC487E" w:rsidR="00B26F66" w:rsidRDefault="00A54553">
      <w:pPr>
        <w:pStyle w:val="TOC2"/>
        <w:rPr>
          <w:rFonts w:asciiTheme="minorHAnsi" w:eastAsiaTheme="minorEastAsia" w:hAnsiTheme="minorHAnsi" w:cstheme="minorBidi"/>
          <w:spacing w:val="0"/>
          <w:sz w:val="22"/>
          <w:szCs w:val="22"/>
        </w:rPr>
      </w:pPr>
      <w:hyperlink w:anchor="_Toc18505566" w:history="1">
        <w:r w:rsidR="00B26F66" w:rsidRPr="000E2BF0">
          <w:rPr>
            <w:rStyle w:val="Hyperlink"/>
          </w:rPr>
          <w:t>Progress achieved</w:t>
        </w:r>
        <w:r w:rsidR="00B26F66">
          <w:rPr>
            <w:webHidden/>
          </w:rPr>
          <w:tab/>
        </w:r>
        <w:r w:rsidR="00B26F66">
          <w:rPr>
            <w:webHidden/>
          </w:rPr>
          <w:fldChar w:fldCharType="begin"/>
        </w:r>
        <w:r w:rsidR="00B26F66">
          <w:rPr>
            <w:webHidden/>
          </w:rPr>
          <w:instrText xml:space="preserve"> PAGEREF _Toc18505566 \h </w:instrText>
        </w:r>
        <w:r w:rsidR="00B26F66">
          <w:rPr>
            <w:webHidden/>
          </w:rPr>
        </w:r>
        <w:r w:rsidR="00B26F66">
          <w:rPr>
            <w:webHidden/>
          </w:rPr>
          <w:fldChar w:fldCharType="separate"/>
        </w:r>
        <w:r>
          <w:rPr>
            <w:webHidden/>
          </w:rPr>
          <w:t>63</w:t>
        </w:r>
        <w:r w:rsidR="00B26F66">
          <w:rPr>
            <w:webHidden/>
          </w:rPr>
          <w:fldChar w:fldCharType="end"/>
        </w:r>
      </w:hyperlink>
    </w:p>
    <w:p w14:paraId="41A284CB" w14:textId="361C43C1" w:rsidR="00B26F66" w:rsidRDefault="00A54553">
      <w:pPr>
        <w:pStyle w:val="TOC3"/>
        <w:rPr>
          <w:rFonts w:asciiTheme="minorHAnsi" w:eastAsiaTheme="minorEastAsia" w:hAnsiTheme="minorHAnsi" w:cstheme="minorBidi"/>
        </w:rPr>
      </w:pPr>
      <w:hyperlink w:anchor="_Toc18505567" w:history="1">
        <w:r w:rsidR="00B26F66" w:rsidRPr="000E2BF0">
          <w:rPr>
            <w:rStyle w:val="Hyperlink"/>
          </w:rPr>
          <w:t>Body scanners in airports</w:t>
        </w:r>
        <w:r w:rsidR="00B26F66">
          <w:rPr>
            <w:webHidden/>
          </w:rPr>
          <w:tab/>
        </w:r>
        <w:r w:rsidR="00B26F66">
          <w:rPr>
            <w:webHidden/>
          </w:rPr>
          <w:fldChar w:fldCharType="begin"/>
        </w:r>
        <w:r w:rsidR="00B26F66">
          <w:rPr>
            <w:webHidden/>
          </w:rPr>
          <w:instrText xml:space="preserve"> PAGEREF _Toc18505567 \h </w:instrText>
        </w:r>
        <w:r w:rsidR="00B26F66">
          <w:rPr>
            <w:webHidden/>
          </w:rPr>
        </w:r>
        <w:r w:rsidR="00B26F66">
          <w:rPr>
            <w:webHidden/>
          </w:rPr>
          <w:fldChar w:fldCharType="separate"/>
        </w:r>
        <w:r>
          <w:rPr>
            <w:webHidden/>
          </w:rPr>
          <w:t>63</w:t>
        </w:r>
        <w:r w:rsidR="00B26F66">
          <w:rPr>
            <w:webHidden/>
          </w:rPr>
          <w:fldChar w:fldCharType="end"/>
        </w:r>
      </w:hyperlink>
    </w:p>
    <w:p w14:paraId="12CD3E62" w14:textId="012FC63E" w:rsidR="00B26F66" w:rsidRDefault="00A54553">
      <w:pPr>
        <w:pStyle w:val="TOC3"/>
        <w:rPr>
          <w:rFonts w:asciiTheme="minorHAnsi" w:eastAsiaTheme="minorEastAsia" w:hAnsiTheme="minorHAnsi" w:cstheme="minorBidi"/>
        </w:rPr>
      </w:pPr>
      <w:hyperlink w:anchor="_Toc18505568" w:history="1">
        <w:r w:rsidR="00B26F66" w:rsidRPr="000E2BF0">
          <w:rPr>
            <w:rStyle w:val="Hyperlink"/>
          </w:rPr>
          <w:t>Mobile phone jammers in prisons</w:t>
        </w:r>
        <w:r w:rsidR="00B26F66">
          <w:rPr>
            <w:webHidden/>
          </w:rPr>
          <w:tab/>
        </w:r>
        <w:r w:rsidR="00B26F66">
          <w:rPr>
            <w:webHidden/>
          </w:rPr>
          <w:fldChar w:fldCharType="begin"/>
        </w:r>
        <w:r w:rsidR="00B26F66">
          <w:rPr>
            <w:webHidden/>
          </w:rPr>
          <w:instrText xml:space="preserve"> PAGEREF _Toc18505568 \h </w:instrText>
        </w:r>
        <w:r w:rsidR="00B26F66">
          <w:rPr>
            <w:webHidden/>
          </w:rPr>
        </w:r>
        <w:r w:rsidR="00B26F66">
          <w:rPr>
            <w:webHidden/>
          </w:rPr>
          <w:fldChar w:fldCharType="separate"/>
        </w:r>
        <w:r>
          <w:rPr>
            <w:webHidden/>
          </w:rPr>
          <w:t>63</w:t>
        </w:r>
        <w:r w:rsidR="00B26F66">
          <w:rPr>
            <w:webHidden/>
          </w:rPr>
          <w:fldChar w:fldCharType="end"/>
        </w:r>
      </w:hyperlink>
    </w:p>
    <w:p w14:paraId="66DEF8E3" w14:textId="22A556BA" w:rsidR="00B26F66" w:rsidRDefault="00A54553">
      <w:pPr>
        <w:pStyle w:val="TOC3"/>
        <w:rPr>
          <w:rFonts w:asciiTheme="minorHAnsi" w:eastAsiaTheme="minorEastAsia" w:hAnsiTheme="minorHAnsi" w:cstheme="minorBidi"/>
        </w:rPr>
      </w:pPr>
      <w:hyperlink w:anchor="_Toc18505569" w:history="1">
        <w:r w:rsidR="00B26F66" w:rsidRPr="000E2BF0">
          <w:rPr>
            <w:rStyle w:val="Hyperlink"/>
          </w:rPr>
          <w:t>Renewed arrangements for amateur certificates of proficiency</w:t>
        </w:r>
        <w:r w:rsidR="00B26F66">
          <w:rPr>
            <w:webHidden/>
          </w:rPr>
          <w:tab/>
        </w:r>
        <w:r w:rsidR="00B26F66">
          <w:rPr>
            <w:webHidden/>
          </w:rPr>
          <w:fldChar w:fldCharType="begin"/>
        </w:r>
        <w:r w:rsidR="00B26F66">
          <w:rPr>
            <w:webHidden/>
          </w:rPr>
          <w:instrText xml:space="preserve"> PAGEREF _Toc18505569 \h </w:instrText>
        </w:r>
        <w:r w:rsidR="00B26F66">
          <w:rPr>
            <w:webHidden/>
          </w:rPr>
        </w:r>
        <w:r w:rsidR="00B26F66">
          <w:rPr>
            <w:webHidden/>
          </w:rPr>
          <w:fldChar w:fldCharType="separate"/>
        </w:r>
        <w:r>
          <w:rPr>
            <w:webHidden/>
          </w:rPr>
          <w:t>63</w:t>
        </w:r>
        <w:r w:rsidR="00B26F66">
          <w:rPr>
            <w:webHidden/>
          </w:rPr>
          <w:fldChar w:fldCharType="end"/>
        </w:r>
      </w:hyperlink>
    </w:p>
    <w:p w14:paraId="12FEFAA7" w14:textId="7191258D" w:rsidR="00B26F66" w:rsidRDefault="00A54553">
      <w:pPr>
        <w:pStyle w:val="TOC3"/>
        <w:rPr>
          <w:rFonts w:asciiTheme="minorHAnsi" w:eastAsiaTheme="minorEastAsia" w:hAnsiTheme="minorHAnsi" w:cstheme="minorBidi"/>
        </w:rPr>
      </w:pPr>
      <w:hyperlink w:anchor="_Toc18505570" w:history="1">
        <w:r w:rsidR="00B26F66" w:rsidRPr="000E2BF0">
          <w:rPr>
            <w:rStyle w:val="Hyperlink"/>
          </w:rPr>
          <w:t>Marine VHF channel arrangements</w:t>
        </w:r>
        <w:r w:rsidR="00B26F66">
          <w:rPr>
            <w:webHidden/>
          </w:rPr>
          <w:tab/>
        </w:r>
        <w:r w:rsidR="00B26F66">
          <w:rPr>
            <w:webHidden/>
          </w:rPr>
          <w:fldChar w:fldCharType="begin"/>
        </w:r>
        <w:r w:rsidR="00B26F66">
          <w:rPr>
            <w:webHidden/>
          </w:rPr>
          <w:instrText xml:space="preserve"> PAGEREF _Toc18505570 \h </w:instrText>
        </w:r>
        <w:r w:rsidR="00B26F66">
          <w:rPr>
            <w:webHidden/>
          </w:rPr>
        </w:r>
        <w:r w:rsidR="00B26F66">
          <w:rPr>
            <w:webHidden/>
          </w:rPr>
          <w:fldChar w:fldCharType="separate"/>
        </w:r>
        <w:r>
          <w:rPr>
            <w:webHidden/>
          </w:rPr>
          <w:t>63</w:t>
        </w:r>
        <w:r w:rsidR="00B26F66">
          <w:rPr>
            <w:webHidden/>
          </w:rPr>
          <w:fldChar w:fldCharType="end"/>
        </w:r>
      </w:hyperlink>
    </w:p>
    <w:p w14:paraId="5AE29881" w14:textId="7614CCE4" w:rsidR="00B26F66" w:rsidRDefault="00A54553">
      <w:pPr>
        <w:pStyle w:val="TOC2"/>
        <w:rPr>
          <w:rFonts w:asciiTheme="minorHAnsi" w:eastAsiaTheme="minorEastAsia" w:hAnsiTheme="minorHAnsi" w:cstheme="minorBidi"/>
          <w:spacing w:val="0"/>
          <w:sz w:val="22"/>
          <w:szCs w:val="22"/>
        </w:rPr>
      </w:pPr>
      <w:hyperlink w:anchor="_Toc18505571" w:history="1">
        <w:r w:rsidR="00B26F66" w:rsidRPr="000E2BF0">
          <w:rPr>
            <w:rStyle w:val="Hyperlink"/>
          </w:rPr>
          <w:t>New/ongoing activities planned for 2019–20</w:t>
        </w:r>
        <w:r w:rsidR="00B26F66">
          <w:rPr>
            <w:webHidden/>
          </w:rPr>
          <w:tab/>
        </w:r>
        <w:r w:rsidR="00B26F66">
          <w:rPr>
            <w:webHidden/>
          </w:rPr>
          <w:fldChar w:fldCharType="begin"/>
        </w:r>
        <w:r w:rsidR="00B26F66">
          <w:rPr>
            <w:webHidden/>
          </w:rPr>
          <w:instrText xml:space="preserve"> PAGEREF _Toc18505571 \h </w:instrText>
        </w:r>
        <w:r w:rsidR="00B26F66">
          <w:rPr>
            <w:webHidden/>
          </w:rPr>
        </w:r>
        <w:r w:rsidR="00B26F66">
          <w:rPr>
            <w:webHidden/>
          </w:rPr>
          <w:fldChar w:fldCharType="separate"/>
        </w:r>
        <w:r>
          <w:rPr>
            <w:webHidden/>
          </w:rPr>
          <w:t>64</w:t>
        </w:r>
        <w:r w:rsidR="00B26F66">
          <w:rPr>
            <w:webHidden/>
          </w:rPr>
          <w:fldChar w:fldCharType="end"/>
        </w:r>
      </w:hyperlink>
    </w:p>
    <w:p w14:paraId="420183C6" w14:textId="3E2A0AC2" w:rsidR="00B26F66" w:rsidRDefault="00A54553">
      <w:pPr>
        <w:pStyle w:val="TOC3"/>
        <w:rPr>
          <w:rFonts w:asciiTheme="minorHAnsi" w:eastAsiaTheme="minorEastAsia" w:hAnsiTheme="minorHAnsi" w:cstheme="minorBidi"/>
        </w:rPr>
      </w:pPr>
      <w:hyperlink w:anchor="_Toc18505572" w:history="1">
        <w:r w:rsidR="00B26F66" w:rsidRPr="000E2BF0">
          <w:rPr>
            <w:rStyle w:val="Hyperlink"/>
          </w:rPr>
          <w:t>Amateur certificates of proficiency</w:t>
        </w:r>
        <w:r w:rsidR="00B26F66">
          <w:rPr>
            <w:webHidden/>
          </w:rPr>
          <w:tab/>
        </w:r>
        <w:r w:rsidR="00B26F66">
          <w:rPr>
            <w:webHidden/>
          </w:rPr>
          <w:fldChar w:fldCharType="begin"/>
        </w:r>
        <w:r w:rsidR="00B26F66">
          <w:rPr>
            <w:webHidden/>
          </w:rPr>
          <w:instrText xml:space="preserve"> PAGEREF _Toc18505572 \h </w:instrText>
        </w:r>
        <w:r w:rsidR="00B26F66">
          <w:rPr>
            <w:webHidden/>
          </w:rPr>
        </w:r>
        <w:r w:rsidR="00B26F66">
          <w:rPr>
            <w:webHidden/>
          </w:rPr>
          <w:fldChar w:fldCharType="separate"/>
        </w:r>
        <w:r>
          <w:rPr>
            <w:webHidden/>
          </w:rPr>
          <w:t>64</w:t>
        </w:r>
        <w:r w:rsidR="00B26F66">
          <w:rPr>
            <w:webHidden/>
          </w:rPr>
          <w:fldChar w:fldCharType="end"/>
        </w:r>
      </w:hyperlink>
    </w:p>
    <w:p w14:paraId="4F2926E2" w14:textId="7F9D3828" w:rsidR="00B26F66" w:rsidRDefault="00A54553">
      <w:pPr>
        <w:pStyle w:val="TOC3"/>
        <w:rPr>
          <w:rFonts w:asciiTheme="minorHAnsi" w:eastAsiaTheme="minorEastAsia" w:hAnsiTheme="minorHAnsi" w:cstheme="minorBidi"/>
        </w:rPr>
      </w:pPr>
      <w:hyperlink w:anchor="_Toc18505573" w:history="1">
        <w:r w:rsidR="00B26F66" w:rsidRPr="000E2BF0">
          <w:rPr>
            <w:rStyle w:val="Hyperlink"/>
          </w:rPr>
          <w:t>Consideration of changes to amateur licence conditions</w:t>
        </w:r>
        <w:r w:rsidR="00B26F66">
          <w:rPr>
            <w:webHidden/>
          </w:rPr>
          <w:tab/>
        </w:r>
        <w:r w:rsidR="00B26F66">
          <w:rPr>
            <w:webHidden/>
          </w:rPr>
          <w:fldChar w:fldCharType="begin"/>
        </w:r>
        <w:r w:rsidR="00B26F66">
          <w:rPr>
            <w:webHidden/>
          </w:rPr>
          <w:instrText xml:space="preserve"> PAGEREF _Toc18505573 \h </w:instrText>
        </w:r>
        <w:r w:rsidR="00B26F66">
          <w:rPr>
            <w:webHidden/>
          </w:rPr>
        </w:r>
        <w:r w:rsidR="00B26F66">
          <w:rPr>
            <w:webHidden/>
          </w:rPr>
          <w:fldChar w:fldCharType="separate"/>
        </w:r>
        <w:r>
          <w:rPr>
            <w:webHidden/>
          </w:rPr>
          <w:t>64</w:t>
        </w:r>
        <w:r w:rsidR="00B26F66">
          <w:rPr>
            <w:webHidden/>
          </w:rPr>
          <w:fldChar w:fldCharType="end"/>
        </w:r>
      </w:hyperlink>
    </w:p>
    <w:p w14:paraId="78C591C7" w14:textId="4EA086A6" w:rsidR="00B26F66" w:rsidRDefault="00A54553">
      <w:pPr>
        <w:pStyle w:val="TOC3"/>
        <w:rPr>
          <w:rFonts w:asciiTheme="minorHAnsi" w:eastAsiaTheme="minorEastAsia" w:hAnsiTheme="minorHAnsi" w:cstheme="minorBidi"/>
        </w:rPr>
      </w:pPr>
      <w:hyperlink w:anchor="_Toc18505574" w:history="1">
        <w:r w:rsidR="00B26F66" w:rsidRPr="000E2BF0">
          <w:rPr>
            <w:rStyle w:val="Hyperlink"/>
          </w:rPr>
          <w:t>Enabling trials of mobile phone jammers in prisons</w:t>
        </w:r>
        <w:r w:rsidR="00B26F66">
          <w:rPr>
            <w:webHidden/>
          </w:rPr>
          <w:tab/>
        </w:r>
        <w:r w:rsidR="00B26F66">
          <w:rPr>
            <w:webHidden/>
          </w:rPr>
          <w:fldChar w:fldCharType="begin"/>
        </w:r>
        <w:r w:rsidR="00B26F66">
          <w:rPr>
            <w:webHidden/>
          </w:rPr>
          <w:instrText xml:space="preserve"> PAGEREF _Toc18505574 \h </w:instrText>
        </w:r>
        <w:r w:rsidR="00B26F66">
          <w:rPr>
            <w:webHidden/>
          </w:rPr>
        </w:r>
        <w:r w:rsidR="00B26F66">
          <w:rPr>
            <w:webHidden/>
          </w:rPr>
          <w:fldChar w:fldCharType="separate"/>
        </w:r>
        <w:r>
          <w:rPr>
            <w:webHidden/>
          </w:rPr>
          <w:t>64</w:t>
        </w:r>
        <w:r w:rsidR="00B26F66">
          <w:rPr>
            <w:webHidden/>
          </w:rPr>
          <w:fldChar w:fldCharType="end"/>
        </w:r>
      </w:hyperlink>
    </w:p>
    <w:p w14:paraId="4E766BCA" w14:textId="4A3A8689" w:rsidR="00B26F66" w:rsidRDefault="00A54553">
      <w:pPr>
        <w:pStyle w:val="TOC3"/>
        <w:rPr>
          <w:rFonts w:asciiTheme="minorHAnsi" w:eastAsiaTheme="minorEastAsia" w:hAnsiTheme="minorHAnsi" w:cstheme="minorBidi"/>
        </w:rPr>
      </w:pPr>
      <w:hyperlink w:anchor="_Toc18505575" w:history="1">
        <w:r w:rsidR="00B26F66" w:rsidRPr="000E2BF0">
          <w:rPr>
            <w:rStyle w:val="Hyperlink"/>
          </w:rPr>
          <w:t>Changes to VHF marine radio channels and their use</w:t>
        </w:r>
        <w:r w:rsidR="00B26F66">
          <w:rPr>
            <w:webHidden/>
          </w:rPr>
          <w:tab/>
        </w:r>
        <w:r w:rsidR="00B26F66">
          <w:rPr>
            <w:webHidden/>
          </w:rPr>
          <w:fldChar w:fldCharType="begin"/>
        </w:r>
        <w:r w:rsidR="00B26F66">
          <w:rPr>
            <w:webHidden/>
          </w:rPr>
          <w:instrText xml:space="preserve"> PAGEREF _Toc18505575 \h </w:instrText>
        </w:r>
        <w:r w:rsidR="00B26F66">
          <w:rPr>
            <w:webHidden/>
          </w:rPr>
        </w:r>
        <w:r w:rsidR="00B26F66">
          <w:rPr>
            <w:webHidden/>
          </w:rPr>
          <w:fldChar w:fldCharType="separate"/>
        </w:r>
        <w:r>
          <w:rPr>
            <w:webHidden/>
          </w:rPr>
          <w:t>65</w:t>
        </w:r>
        <w:r w:rsidR="00B26F66">
          <w:rPr>
            <w:webHidden/>
          </w:rPr>
          <w:fldChar w:fldCharType="end"/>
        </w:r>
      </w:hyperlink>
    </w:p>
    <w:p w14:paraId="3011FED3" w14:textId="628899F6" w:rsidR="00B26F66" w:rsidRDefault="00A54553">
      <w:pPr>
        <w:pStyle w:val="TOC3"/>
        <w:rPr>
          <w:rFonts w:asciiTheme="minorHAnsi" w:eastAsiaTheme="minorEastAsia" w:hAnsiTheme="minorHAnsi" w:cstheme="minorBidi"/>
        </w:rPr>
      </w:pPr>
      <w:hyperlink w:anchor="_Toc18505576" w:history="1">
        <w:r w:rsidR="00B26F66" w:rsidRPr="000E2BF0">
          <w:rPr>
            <w:rStyle w:val="Hyperlink"/>
          </w:rPr>
          <w:t>400 MHz band</w:t>
        </w:r>
        <w:r w:rsidR="00B26F66">
          <w:rPr>
            <w:webHidden/>
          </w:rPr>
          <w:tab/>
        </w:r>
        <w:r w:rsidR="00B26F66">
          <w:rPr>
            <w:webHidden/>
          </w:rPr>
          <w:fldChar w:fldCharType="begin"/>
        </w:r>
        <w:r w:rsidR="00B26F66">
          <w:rPr>
            <w:webHidden/>
          </w:rPr>
          <w:instrText xml:space="preserve"> PAGEREF _Toc18505576 \h </w:instrText>
        </w:r>
        <w:r w:rsidR="00B26F66">
          <w:rPr>
            <w:webHidden/>
          </w:rPr>
        </w:r>
        <w:r w:rsidR="00B26F66">
          <w:rPr>
            <w:webHidden/>
          </w:rPr>
          <w:fldChar w:fldCharType="separate"/>
        </w:r>
        <w:r>
          <w:rPr>
            <w:webHidden/>
          </w:rPr>
          <w:t>65</w:t>
        </w:r>
        <w:r w:rsidR="00B26F66">
          <w:rPr>
            <w:webHidden/>
          </w:rPr>
          <w:fldChar w:fldCharType="end"/>
        </w:r>
      </w:hyperlink>
    </w:p>
    <w:p w14:paraId="3D69A158" w14:textId="3D96FB7E" w:rsidR="00B26F66" w:rsidRDefault="00A54553">
      <w:pPr>
        <w:pStyle w:val="TOC3"/>
        <w:rPr>
          <w:rFonts w:asciiTheme="minorHAnsi" w:eastAsiaTheme="minorEastAsia" w:hAnsiTheme="minorHAnsi" w:cstheme="minorBidi"/>
        </w:rPr>
      </w:pPr>
      <w:hyperlink w:anchor="_Toc18505577" w:history="1">
        <w:r w:rsidR="00B26F66" w:rsidRPr="000E2BF0">
          <w:rPr>
            <w:rStyle w:val="Hyperlink"/>
          </w:rPr>
          <w:t>Review of prohibition declarations and exemption determinations</w:t>
        </w:r>
        <w:r w:rsidR="00B26F66">
          <w:rPr>
            <w:webHidden/>
          </w:rPr>
          <w:tab/>
        </w:r>
        <w:r w:rsidR="00B26F66">
          <w:rPr>
            <w:webHidden/>
          </w:rPr>
          <w:fldChar w:fldCharType="begin"/>
        </w:r>
        <w:r w:rsidR="00B26F66">
          <w:rPr>
            <w:webHidden/>
          </w:rPr>
          <w:instrText xml:space="preserve"> PAGEREF _Toc18505577 \h </w:instrText>
        </w:r>
        <w:r w:rsidR="00B26F66">
          <w:rPr>
            <w:webHidden/>
          </w:rPr>
        </w:r>
        <w:r w:rsidR="00B26F66">
          <w:rPr>
            <w:webHidden/>
          </w:rPr>
          <w:fldChar w:fldCharType="separate"/>
        </w:r>
        <w:r>
          <w:rPr>
            <w:webHidden/>
          </w:rPr>
          <w:t>65</w:t>
        </w:r>
        <w:r w:rsidR="00B26F66">
          <w:rPr>
            <w:webHidden/>
          </w:rPr>
          <w:fldChar w:fldCharType="end"/>
        </w:r>
      </w:hyperlink>
    </w:p>
    <w:p w14:paraId="185F8BC1" w14:textId="40B7F832" w:rsidR="00B26F66" w:rsidRDefault="00A54553">
      <w:pPr>
        <w:pStyle w:val="TOC3"/>
        <w:rPr>
          <w:rFonts w:asciiTheme="minorHAnsi" w:eastAsiaTheme="minorEastAsia" w:hAnsiTheme="minorHAnsi" w:cstheme="minorBidi"/>
        </w:rPr>
      </w:pPr>
      <w:hyperlink w:anchor="_Toc18505578" w:history="1">
        <w:r w:rsidR="00B26F66" w:rsidRPr="000E2BF0">
          <w:rPr>
            <w:rStyle w:val="Hyperlink"/>
          </w:rPr>
          <w:t>Drone regulation</w:t>
        </w:r>
        <w:r w:rsidR="00B26F66">
          <w:rPr>
            <w:webHidden/>
          </w:rPr>
          <w:tab/>
        </w:r>
        <w:r w:rsidR="00B26F66">
          <w:rPr>
            <w:webHidden/>
          </w:rPr>
          <w:fldChar w:fldCharType="begin"/>
        </w:r>
        <w:r w:rsidR="00B26F66">
          <w:rPr>
            <w:webHidden/>
          </w:rPr>
          <w:instrText xml:space="preserve"> PAGEREF _Toc18505578 \h </w:instrText>
        </w:r>
        <w:r w:rsidR="00B26F66">
          <w:rPr>
            <w:webHidden/>
          </w:rPr>
        </w:r>
        <w:r w:rsidR="00B26F66">
          <w:rPr>
            <w:webHidden/>
          </w:rPr>
          <w:fldChar w:fldCharType="separate"/>
        </w:r>
        <w:r>
          <w:rPr>
            <w:webHidden/>
          </w:rPr>
          <w:t>65</w:t>
        </w:r>
        <w:r w:rsidR="00B26F66">
          <w:rPr>
            <w:webHidden/>
          </w:rPr>
          <w:fldChar w:fldCharType="end"/>
        </w:r>
      </w:hyperlink>
    </w:p>
    <w:p w14:paraId="24813C56" w14:textId="1E0E0A70" w:rsidR="00B26F66" w:rsidRDefault="00A54553">
      <w:pPr>
        <w:pStyle w:val="TOC3"/>
        <w:tabs>
          <w:tab w:val="left" w:pos="885"/>
        </w:tabs>
        <w:rPr>
          <w:rFonts w:asciiTheme="minorHAnsi" w:eastAsiaTheme="minorEastAsia" w:hAnsiTheme="minorHAnsi" w:cstheme="minorBidi"/>
        </w:rPr>
      </w:pPr>
      <w:hyperlink w:anchor="_Toc18505579" w:history="1">
        <w:r w:rsidR="00B26F66" w:rsidRPr="000E2BF0">
          <w:rPr>
            <w:rStyle w:val="Hyperlink"/>
          </w:rPr>
          <w:t>Exploring the design of an area-wide apparatus licence</w:t>
        </w:r>
        <w:r w:rsidR="00B26F66">
          <w:rPr>
            <w:webHidden/>
          </w:rPr>
          <w:tab/>
        </w:r>
        <w:r w:rsidR="00B26F66">
          <w:rPr>
            <w:webHidden/>
          </w:rPr>
          <w:fldChar w:fldCharType="begin"/>
        </w:r>
        <w:r w:rsidR="00B26F66">
          <w:rPr>
            <w:webHidden/>
          </w:rPr>
          <w:instrText xml:space="preserve"> PAGEREF _Toc18505579 \h </w:instrText>
        </w:r>
        <w:r w:rsidR="00B26F66">
          <w:rPr>
            <w:webHidden/>
          </w:rPr>
        </w:r>
        <w:r w:rsidR="00B26F66">
          <w:rPr>
            <w:webHidden/>
          </w:rPr>
          <w:fldChar w:fldCharType="separate"/>
        </w:r>
        <w:r>
          <w:rPr>
            <w:webHidden/>
          </w:rPr>
          <w:t>66</w:t>
        </w:r>
        <w:r w:rsidR="00B26F66">
          <w:rPr>
            <w:webHidden/>
          </w:rPr>
          <w:fldChar w:fldCharType="end"/>
        </w:r>
      </w:hyperlink>
    </w:p>
    <w:p w14:paraId="0CF48530" w14:textId="44D4DDAF" w:rsidR="00B26F66" w:rsidRDefault="00A54553">
      <w:pPr>
        <w:pStyle w:val="TOC3"/>
        <w:rPr>
          <w:rFonts w:asciiTheme="minorHAnsi" w:eastAsiaTheme="minorEastAsia" w:hAnsiTheme="minorHAnsi" w:cstheme="minorBidi"/>
        </w:rPr>
      </w:pPr>
      <w:hyperlink w:anchor="_Toc18505580" w:history="1">
        <w:r w:rsidR="00B26F66" w:rsidRPr="000E2BF0">
          <w:rPr>
            <w:rStyle w:val="Hyperlink"/>
          </w:rPr>
          <w:t>Review of non-assigned amateur and outpost licensing arrangements with a view to reform</w:t>
        </w:r>
        <w:r w:rsidR="00B26F66">
          <w:rPr>
            <w:webHidden/>
          </w:rPr>
          <w:tab/>
        </w:r>
        <w:r w:rsidR="00B26F66">
          <w:rPr>
            <w:webHidden/>
          </w:rPr>
          <w:fldChar w:fldCharType="begin"/>
        </w:r>
        <w:r w:rsidR="00B26F66">
          <w:rPr>
            <w:webHidden/>
          </w:rPr>
          <w:instrText xml:space="preserve"> PAGEREF _Toc18505580 \h </w:instrText>
        </w:r>
        <w:r w:rsidR="00B26F66">
          <w:rPr>
            <w:webHidden/>
          </w:rPr>
        </w:r>
        <w:r w:rsidR="00B26F66">
          <w:rPr>
            <w:webHidden/>
          </w:rPr>
          <w:fldChar w:fldCharType="separate"/>
        </w:r>
        <w:r>
          <w:rPr>
            <w:webHidden/>
          </w:rPr>
          <w:t>66</w:t>
        </w:r>
        <w:r w:rsidR="00B26F66">
          <w:rPr>
            <w:webHidden/>
          </w:rPr>
          <w:fldChar w:fldCharType="end"/>
        </w:r>
      </w:hyperlink>
    </w:p>
    <w:p w14:paraId="1BA64307" w14:textId="5AB5DCD1" w:rsidR="00B26F66" w:rsidRDefault="00A54553">
      <w:pPr>
        <w:pStyle w:val="TOC3"/>
        <w:rPr>
          <w:rFonts w:asciiTheme="minorHAnsi" w:eastAsiaTheme="minorEastAsia" w:hAnsiTheme="minorHAnsi" w:cstheme="minorBidi"/>
        </w:rPr>
      </w:pPr>
      <w:hyperlink w:anchor="_Toc18505581" w:history="1">
        <w:r w:rsidR="00B26F66" w:rsidRPr="000E2BF0">
          <w:rPr>
            <w:rStyle w:val="Hyperlink"/>
            <w:rFonts w:cstheme="minorHAnsi"/>
          </w:rPr>
          <w:t xml:space="preserve">Review of elements of the existing apparatus licensing </w:t>
        </w:r>
        <w:r w:rsidR="00B26F66" w:rsidRPr="000E2BF0">
          <w:rPr>
            <w:rStyle w:val="Hyperlink"/>
          </w:rPr>
          <w:t>framework</w:t>
        </w:r>
        <w:r w:rsidR="00B26F66">
          <w:rPr>
            <w:webHidden/>
          </w:rPr>
          <w:tab/>
        </w:r>
        <w:r w:rsidR="00B26F66">
          <w:rPr>
            <w:webHidden/>
          </w:rPr>
          <w:fldChar w:fldCharType="begin"/>
        </w:r>
        <w:r w:rsidR="00B26F66">
          <w:rPr>
            <w:webHidden/>
          </w:rPr>
          <w:instrText xml:space="preserve"> PAGEREF _Toc18505581 \h </w:instrText>
        </w:r>
        <w:r w:rsidR="00B26F66">
          <w:rPr>
            <w:webHidden/>
          </w:rPr>
        </w:r>
        <w:r w:rsidR="00B26F66">
          <w:rPr>
            <w:webHidden/>
          </w:rPr>
          <w:fldChar w:fldCharType="separate"/>
        </w:r>
        <w:r>
          <w:rPr>
            <w:webHidden/>
          </w:rPr>
          <w:t>66</w:t>
        </w:r>
        <w:r w:rsidR="00B26F66">
          <w:rPr>
            <w:webHidden/>
          </w:rPr>
          <w:fldChar w:fldCharType="end"/>
        </w:r>
      </w:hyperlink>
    </w:p>
    <w:p w14:paraId="54662D0C" w14:textId="29ECFEF2" w:rsidR="00B26F66" w:rsidRDefault="00A54553">
      <w:pPr>
        <w:pStyle w:val="TOC1"/>
        <w:rPr>
          <w:rFonts w:asciiTheme="minorHAnsi" w:eastAsiaTheme="minorEastAsia" w:hAnsiTheme="minorHAnsi" w:cstheme="minorBidi"/>
          <w:b w:val="0"/>
          <w:spacing w:val="0"/>
          <w:sz w:val="22"/>
          <w:szCs w:val="22"/>
        </w:rPr>
      </w:pPr>
      <w:hyperlink w:anchor="_Toc18505582" w:history="1">
        <w:r w:rsidR="00B26F66" w:rsidRPr="000E2BF0">
          <w:rPr>
            <w:rStyle w:val="Hyperlink"/>
          </w:rPr>
          <w:t>Pricing</w:t>
        </w:r>
        <w:r w:rsidR="00B26F66">
          <w:rPr>
            <w:webHidden/>
          </w:rPr>
          <w:tab/>
        </w:r>
        <w:r w:rsidR="00B26F66">
          <w:rPr>
            <w:webHidden/>
          </w:rPr>
          <w:fldChar w:fldCharType="begin"/>
        </w:r>
        <w:r w:rsidR="00B26F66">
          <w:rPr>
            <w:webHidden/>
          </w:rPr>
          <w:instrText xml:space="preserve"> PAGEREF _Toc18505582 \h </w:instrText>
        </w:r>
        <w:r w:rsidR="00B26F66">
          <w:rPr>
            <w:webHidden/>
          </w:rPr>
        </w:r>
        <w:r w:rsidR="00B26F66">
          <w:rPr>
            <w:webHidden/>
          </w:rPr>
          <w:fldChar w:fldCharType="separate"/>
        </w:r>
        <w:r>
          <w:rPr>
            <w:webHidden/>
          </w:rPr>
          <w:t>68</w:t>
        </w:r>
        <w:r w:rsidR="00B26F66">
          <w:rPr>
            <w:webHidden/>
          </w:rPr>
          <w:fldChar w:fldCharType="end"/>
        </w:r>
      </w:hyperlink>
    </w:p>
    <w:p w14:paraId="6EDB0677" w14:textId="269326B5" w:rsidR="00B26F66" w:rsidRDefault="00A54553">
      <w:pPr>
        <w:pStyle w:val="TOC2"/>
        <w:rPr>
          <w:rFonts w:asciiTheme="minorHAnsi" w:eastAsiaTheme="minorEastAsia" w:hAnsiTheme="minorHAnsi" w:cstheme="minorBidi"/>
          <w:spacing w:val="0"/>
          <w:sz w:val="22"/>
          <w:szCs w:val="22"/>
        </w:rPr>
      </w:pPr>
      <w:hyperlink w:anchor="_Toc18505583" w:history="1">
        <w:r w:rsidR="00B26F66" w:rsidRPr="000E2BF0">
          <w:rPr>
            <w:rStyle w:val="Hyperlink"/>
          </w:rPr>
          <w:t>Progress achieved</w:t>
        </w:r>
        <w:r w:rsidR="00B26F66">
          <w:rPr>
            <w:webHidden/>
          </w:rPr>
          <w:tab/>
        </w:r>
        <w:r w:rsidR="00B26F66">
          <w:rPr>
            <w:webHidden/>
          </w:rPr>
          <w:fldChar w:fldCharType="begin"/>
        </w:r>
        <w:r w:rsidR="00B26F66">
          <w:rPr>
            <w:webHidden/>
          </w:rPr>
          <w:instrText xml:space="preserve"> PAGEREF _Toc18505583 \h </w:instrText>
        </w:r>
        <w:r w:rsidR="00B26F66">
          <w:rPr>
            <w:webHidden/>
          </w:rPr>
        </w:r>
        <w:r w:rsidR="00B26F66">
          <w:rPr>
            <w:webHidden/>
          </w:rPr>
          <w:fldChar w:fldCharType="separate"/>
        </w:r>
        <w:r>
          <w:rPr>
            <w:webHidden/>
          </w:rPr>
          <w:t>68</w:t>
        </w:r>
        <w:r w:rsidR="00B26F66">
          <w:rPr>
            <w:webHidden/>
          </w:rPr>
          <w:fldChar w:fldCharType="end"/>
        </w:r>
      </w:hyperlink>
    </w:p>
    <w:p w14:paraId="6393ECA7" w14:textId="2B11081A" w:rsidR="00B26F66" w:rsidRDefault="00A54553">
      <w:pPr>
        <w:pStyle w:val="TOC3"/>
        <w:rPr>
          <w:rFonts w:asciiTheme="minorHAnsi" w:eastAsiaTheme="minorEastAsia" w:hAnsiTheme="minorHAnsi" w:cstheme="minorBidi"/>
        </w:rPr>
      </w:pPr>
      <w:hyperlink w:anchor="_Toc18505584" w:history="1">
        <w:r w:rsidR="00B26F66" w:rsidRPr="000E2BF0">
          <w:rPr>
            <w:rStyle w:val="Hyperlink"/>
          </w:rPr>
          <w:t>3.6 GHz band</w:t>
        </w:r>
        <w:r w:rsidR="00B26F66">
          <w:rPr>
            <w:webHidden/>
          </w:rPr>
          <w:tab/>
        </w:r>
        <w:r w:rsidR="00B26F66">
          <w:rPr>
            <w:webHidden/>
          </w:rPr>
          <w:fldChar w:fldCharType="begin"/>
        </w:r>
        <w:r w:rsidR="00B26F66">
          <w:rPr>
            <w:webHidden/>
          </w:rPr>
          <w:instrText xml:space="preserve"> PAGEREF _Toc18505584 \h </w:instrText>
        </w:r>
        <w:r w:rsidR="00B26F66">
          <w:rPr>
            <w:webHidden/>
          </w:rPr>
        </w:r>
        <w:r w:rsidR="00B26F66">
          <w:rPr>
            <w:webHidden/>
          </w:rPr>
          <w:fldChar w:fldCharType="separate"/>
        </w:r>
        <w:r>
          <w:rPr>
            <w:webHidden/>
          </w:rPr>
          <w:t>68</w:t>
        </w:r>
        <w:r w:rsidR="00B26F66">
          <w:rPr>
            <w:webHidden/>
          </w:rPr>
          <w:fldChar w:fldCharType="end"/>
        </w:r>
      </w:hyperlink>
    </w:p>
    <w:p w14:paraId="3CEAB263" w14:textId="4835E889" w:rsidR="00B26F66" w:rsidRDefault="00A54553">
      <w:pPr>
        <w:pStyle w:val="TOC3"/>
        <w:rPr>
          <w:rFonts w:asciiTheme="minorHAnsi" w:eastAsiaTheme="minorEastAsia" w:hAnsiTheme="minorHAnsi" w:cstheme="minorBidi"/>
        </w:rPr>
      </w:pPr>
      <w:hyperlink w:anchor="_Toc18505585" w:history="1">
        <w:r w:rsidR="00B26F66" w:rsidRPr="000E2BF0">
          <w:rPr>
            <w:rStyle w:val="Hyperlink"/>
          </w:rPr>
          <w:t>Apparatus licence taxes</w:t>
        </w:r>
        <w:r w:rsidR="00B26F66">
          <w:rPr>
            <w:webHidden/>
          </w:rPr>
          <w:tab/>
        </w:r>
        <w:r w:rsidR="00B26F66">
          <w:rPr>
            <w:webHidden/>
          </w:rPr>
          <w:fldChar w:fldCharType="begin"/>
        </w:r>
        <w:r w:rsidR="00B26F66">
          <w:rPr>
            <w:webHidden/>
          </w:rPr>
          <w:instrText xml:space="preserve"> PAGEREF _Toc18505585 \h </w:instrText>
        </w:r>
        <w:r w:rsidR="00B26F66">
          <w:rPr>
            <w:webHidden/>
          </w:rPr>
        </w:r>
        <w:r w:rsidR="00B26F66">
          <w:rPr>
            <w:webHidden/>
          </w:rPr>
          <w:fldChar w:fldCharType="separate"/>
        </w:r>
        <w:r>
          <w:rPr>
            <w:webHidden/>
          </w:rPr>
          <w:t>68</w:t>
        </w:r>
        <w:r w:rsidR="00B26F66">
          <w:rPr>
            <w:webHidden/>
          </w:rPr>
          <w:fldChar w:fldCharType="end"/>
        </w:r>
      </w:hyperlink>
    </w:p>
    <w:p w14:paraId="12CA5323" w14:textId="01F7CF54" w:rsidR="00B26F66" w:rsidRDefault="00A54553">
      <w:pPr>
        <w:pStyle w:val="TOC3"/>
        <w:rPr>
          <w:rFonts w:asciiTheme="minorHAnsi" w:eastAsiaTheme="minorEastAsia" w:hAnsiTheme="minorHAnsi" w:cstheme="minorBidi"/>
        </w:rPr>
      </w:pPr>
      <w:hyperlink w:anchor="_Toc18505586" w:history="1">
        <w:r w:rsidR="00B26F66" w:rsidRPr="000E2BF0">
          <w:rPr>
            <w:rStyle w:val="Hyperlink"/>
          </w:rPr>
          <w:t>Commercial broadcasting taxes</w:t>
        </w:r>
        <w:r w:rsidR="00B26F66">
          <w:rPr>
            <w:webHidden/>
          </w:rPr>
          <w:tab/>
        </w:r>
        <w:r w:rsidR="00B26F66">
          <w:rPr>
            <w:webHidden/>
          </w:rPr>
          <w:fldChar w:fldCharType="begin"/>
        </w:r>
        <w:r w:rsidR="00B26F66">
          <w:rPr>
            <w:webHidden/>
          </w:rPr>
          <w:instrText xml:space="preserve"> PAGEREF _Toc18505586 \h </w:instrText>
        </w:r>
        <w:r w:rsidR="00B26F66">
          <w:rPr>
            <w:webHidden/>
          </w:rPr>
        </w:r>
        <w:r w:rsidR="00B26F66">
          <w:rPr>
            <w:webHidden/>
          </w:rPr>
          <w:fldChar w:fldCharType="separate"/>
        </w:r>
        <w:r>
          <w:rPr>
            <w:webHidden/>
          </w:rPr>
          <w:t>68</w:t>
        </w:r>
        <w:r w:rsidR="00B26F66">
          <w:rPr>
            <w:webHidden/>
          </w:rPr>
          <w:fldChar w:fldCharType="end"/>
        </w:r>
      </w:hyperlink>
    </w:p>
    <w:p w14:paraId="76E43104" w14:textId="267FD839" w:rsidR="00B26F66" w:rsidRDefault="00A54553">
      <w:pPr>
        <w:pStyle w:val="TOC2"/>
        <w:rPr>
          <w:rFonts w:asciiTheme="minorHAnsi" w:eastAsiaTheme="minorEastAsia" w:hAnsiTheme="minorHAnsi" w:cstheme="minorBidi"/>
          <w:spacing w:val="0"/>
          <w:sz w:val="22"/>
          <w:szCs w:val="22"/>
        </w:rPr>
      </w:pPr>
      <w:hyperlink w:anchor="_Toc18505587" w:history="1">
        <w:r w:rsidR="00B26F66" w:rsidRPr="000E2BF0">
          <w:rPr>
            <w:rStyle w:val="Hyperlink"/>
          </w:rPr>
          <w:t>New/ongoing activities planned for 2019–20</w:t>
        </w:r>
        <w:r w:rsidR="00B26F66">
          <w:rPr>
            <w:webHidden/>
          </w:rPr>
          <w:tab/>
        </w:r>
        <w:r w:rsidR="00B26F66">
          <w:rPr>
            <w:webHidden/>
          </w:rPr>
          <w:fldChar w:fldCharType="begin"/>
        </w:r>
        <w:r w:rsidR="00B26F66">
          <w:rPr>
            <w:webHidden/>
          </w:rPr>
          <w:instrText xml:space="preserve"> PAGEREF _Toc18505587 \h </w:instrText>
        </w:r>
        <w:r w:rsidR="00B26F66">
          <w:rPr>
            <w:webHidden/>
          </w:rPr>
        </w:r>
        <w:r w:rsidR="00B26F66">
          <w:rPr>
            <w:webHidden/>
          </w:rPr>
          <w:fldChar w:fldCharType="separate"/>
        </w:r>
        <w:r>
          <w:rPr>
            <w:webHidden/>
          </w:rPr>
          <w:t>68</w:t>
        </w:r>
        <w:r w:rsidR="00B26F66">
          <w:rPr>
            <w:webHidden/>
          </w:rPr>
          <w:fldChar w:fldCharType="end"/>
        </w:r>
      </w:hyperlink>
    </w:p>
    <w:p w14:paraId="2B395559" w14:textId="60F436EC" w:rsidR="00B26F66" w:rsidRDefault="00A54553">
      <w:pPr>
        <w:pStyle w:val="TOC3"/>
        <w:rPr>
          <w:rFonts w:asciiTheme="minorHAnsi" w:eastAsiaTheme="minorEastAsia" w:hAnsiTheme="minorHAnsi" w:cstheme="minorBidi"/>
        </w:rPr>
      </w:pPr>
      <w:hyperlink w:anchor="_Toc18505588" w:history="1">
        <w:r w:rsidR="00B26F66" w:rsidRPr="000E2BF0">
          <w:rPr>
            <w:rStyle w:val="Hyperlink"/>
          </w:rPr>
          <w:t>Implementation of the government’s Spectrum Pricing Review</w:t>
        </w:r>
        <w:r w:rsidR="00B26F66">
          <w:rPr>
            <w:webHidden/>
          </w:rPr>
          <w:tab/>
        </w:r>
        <w:r w:rsidR="00B26F66">
          <w:rPr>
            <w:webHidden/>
          </w:rPr>
          <w:fldChar w:fldCharType="begin"/>
        </w:r>
        <w:r w:rsidR="00B26F66">
          <w:rPr>
            <w:webHidden/>
          </w:rPr>
          <w:instrText xml:space="preserve"> PAGEREF _Toc18505588 \h </w:instrText>
        </w:r>
        <w:r w:rsidR="00B26F66">
          <w:rPr>
            <w:webHidden/>
          </w:rPr>
        </w:r>
        <w:r w:rsidR="00B26F66">
          <w:rPr>
            <w:webHidden/>
          </w:rPr>
          <w:fldChar w:fldCharType="separate"/>
        </w:r>
        <w:r>
          <w:rPr>
            <w:webHidden/>
          </w:rPr>
          <w:t>68</w:t>
        </w:r>
        <w:r w:rsidR="00B26F66">
          <w:rPr>
            <w:webHidden/>
          </w:rPr>
          <w:fldChar w:fldCharType="end"/>
        </w:r>
      </w:hyperlink>
    </w:p>
    <w:p w14:paraId="518C0A94" w14:textId="5AC34AAF" w:rsidR="00B26F66" w:rsidRDefault="00A54553">
      <w:pPr>
        <w:pStyle w:val="TOC3"/>
        <w:rPr>
          <w:rFonts w:asciiTheme="minorHAnsi" w:eastAsiaTheme="minorEastAsia" w:hAnsiTheme="minorHAnsi" w:cstheme="minorBidi"/>
        </w:rPr>
      </w:pPr>
      <w:hyperlink w:anchor="_Toc18505589" w:history="1">
        <w:r w:rsidR="00B26F66" w:rsidRPr="000E2BF0">
          <w:rPr>
            <w:rStyle w:val="Hyperlink"/>
          </w:rPr>
          <w:t>Commercial broadcasting taxes</w:t>
        </w:r>
        <w:r w:rsidR="00B26F66">
          <w:rPr>
            <w:webHidden/>
          </w:rPr>
          <w:tab/>
        </w:r>
        <w:r w:rsidR="00B26F66">
          <w:rPr>
            <w:webHidden/>
          </w:rPr>
          <w:fldChar w:fldCharType="begin"/>
        </w:r>
        <w:r w:rsidR="00B26F66">
          <w:rPr>
            <w:webHidden/>
          </w:rPr>
          <w:instrText xml:space="preserve"> PAGEREF _Toc18505589 \h </w:instrText>
        </w:r>
        <w:r w:rsidR="00B26F66">
          <w:rPr>
            <w:webHidden/>
          </w:rPr>
        </w:r>
        <w:r w:rsidR="00B26F66">
          <w:rPr>
            <w:webHidden/>
          </w:rPr>
          <w:fldChar w:fldCharType="separate"/>
        </w:r>
        <w:r>
          <w:rPr>
            <w:webHidden/>
          </w:rPr>
          <w:t>69</w:t>
        </w:r>
        <w:r w:rsidR="00B26F66">
          <w:rPr>
            <w:webHidden/>
          </w:rPr>
          <w:fldChar w:fldCharType="end"/>
        </w:r>
      </w:hyperlink>
    </w:p>
    <w:p w14:paraId="047EA20A" w14:textId="6D458799" w:rsidR="00B26F66" w:rsidRDefault="00A54553">
      <w:pPr>
        <w:pStyle w:val="TOC3"/>
        <w:rPr>
          <w:rFonts w:asciiTheme="minorHAnsi" w:eastAsiaTheme="minorEastAsia" w:hAnsiTheme="minorHAnsi" w:cstheme="minorBidi"/>
        </w:rPr>
      </w:pPr>
      <w:hyperlink w:anchor="_Toc18505590" w:history="1">
        <w:r w:rsidR="00B26F66" w:rsidRPr="000E2BF0">
          <w:rPr>
            <w:rStyle w:val="Hyperlink"/>
          </w:rPr>
          <w:t>Other pricing updates</w:t>
        </w:r>
        <w:r w:rsidR="00B26F66">
          <w:rPr>
            <w:webHidden/>
          </w:rPr>
          <w:tab/>
        </w:r>
        <w:r w:rsidR="00B26F66">
          <w:rPr>
            <w:webHidden/>
          </w:rPr>
          <w:fldChar w:fldCharType="begin"/>
        </w:r>
        <w:r w:rsidR="00B26F66">
          <w:rPr>
            <w:webHidden/>
          </w:rPr>
          <w:instrText xml:space="preserve"> PAGEREF _Toc18505590 \h </w:instrText>
        </w:r>
        <w:r w:rsidR="00B26F66">
          <w:rPr>
            <w:webHidden/>
          </w:rPr>
        </w:r>
        <w:r w:rsidR="00B26F66">
          <w:rPr>
            <w:webHidden/>
          </w:rPr>
          <w:fldChar w:fldCharType="separate"/>
        </w:r>
        <w:r>
          <w:rPr>
            <w:webHidden/>
          </w:rPr>
          <w:t>69</w:t>
        </w:r>
        <w:r w:rsidR="00B26F66">
          <w:rPr>
            <w:webHidden/>
          </w:rPr>
          <w:fldChar w:fldCharType="end"/>
        </w:r>
      </w:hyperlink>
    </w:p>
    <w:p w14:paraId="091B1E0C" w14:textId="23FBBC1D" w:rsidR="00B26F66" w:rsidRDefault="00A54553">
      <w:pPr>
        <w:pStyle w:val="TOC1"/>
        <w:rPr>
          <w:rFonts w:asciiTheme="minorHAnsi" w:eastAsiaTheme="minorEastAsia" w:hAnsiTheme="minorHAnsi" w:cstheme="minorBidi"/>
          <w:b w:val="0"/>
          <w:spacing w:val="0"/>
          <w:sz w:val="22"/>
          <w:szCs w:val="22"/>
        </w:rPr>
      </w:pPr>
      <w:hyperlink w:anchor="_Toc18505591" w:history="1">
        <w:r w:rsidR="00B26F66" w:rsidRPr="000E2BF0">
          <w:rPr>
            <w:rStyle w:val="Hyperlink"/>
          </w:rPr>
          <w:t>Compliance and enforcement</w:t>
        </w:r>
        <w:r w:rsidR="00B26F66">
          <w:rPr>
            <w:webHidden/>
          </w:rPr>
          <w:tab/>
        </w:r>
        <w:r w:rsidR="00B26F66">
          <w:rPr>
            <w:webHidden/>
          </w:rPr>
          <w:fldChar w:fldCharType="begin"/>
        </w:r>
        <w:r w:rsidR="00B26F66">
          <w:rPr>
            <w:webHidden/>
          </w:rPr>
          <w:instrText xml:space="preserve"> PAGEREF _Toc18505591 \h </w:instrText>
        </w:r>
        <w:r w:rsidR="00B26F66">
          <w:rPr>
            <w:webHidden/>
          </w:rPr>
        </w:r>
        <w:r w:rsidR="00B26F66">
          <w:rPr>
            <w:webHidden/>
          </w:rPr>
          <w:fldChar w:fldCharType="separate"/>
        </w:r>
        <w:r>
          <w:rPr>
            <w:webHidden/>
          </w:rPr>
          <w:t>70</w:t>
        </w:r>
        <w:r w:rsidR="00B26F66">
          <w:rPr>
            <w:webHidden/>
          </w:rPr>
          <w:fldChar w:fldCharType="end"/>
        </w:r>
      </w:hyperlink>
    </w:p>
    <w:p w14:paraId="705C5F9D" w14:textId="58874518" w:rsidR="00B26F66" w:rsidRDefault="00A54553">
      <w:pPr>
        <w:pStyle w:val="TOC2"/>
        <w:rPr>
          <w:rFonts w:asciiTheme="minorHAnsi" w:eastAsiaTheme="minorEastAsia" w:hAnsiTheme="minorHAnsi" w:cstheme="minorBidi"/>
          <w:spacing w:val="0"/>
          <w:sz w:val="22"/>
          <w:szCs w:val="22"/>
        </w:rPr>
      </w:pPr>
      <w:hyperlink w:anchor="_Toc18505592" w:history="1">
        <w:r w:rsidR="00B26F66" w:rsidRPr="000E2BF0">
          <w:rPr>
            <w:rStyle w:val="Hyperlink"/>
          </w:rPr>
          <w:t>Compliance priorities</w:t>
        </w:r>
        <w:r w:rsidR="00B26F66">
          <w:rPr>
            <w:webHidden/>
          </w:rPr>
          <w:tab/>
        </w:r>
        <w:r w:rsidR="00B26F66">
          <w:rPr>
            <w:webHidden/>
          </w:rPr>
          <w:fldChar w:fldCharType="begin"/>
        </w:r>
        <w:r w:rsidR="00B26F66">
          <w:rPr>
            <w:webHidden/>
          </w:rPr>
          <w:instrText xml:space="preserve"> PAGEREF _Toc18505592 \h </w:instrText>
        </w:r>
        <w:r w:rsidR="00B26F66">
          <w:rPr>
            <w:webHidden/>
          </w:rPr>
        </w:r>
        <w:r w:rsidR="00B26F66">
          <w:rPr>
            <w:webHidden/>
          </w:rPr>
          <w:fldChar w:fldCharType="separate"/>
        </w:r>
        <w:r>
          <w:rPr>
            <w:webHidden/>
          </w:rPr>
          <w:t>70</w:t>
        </w:r>
        <w:r w:rsidR="00B26F66">
          <w:rPr>
            <w:webHidden/>
          </w:rPr>
          <w:fldChar w:fldCharType="end"/>
        </w:r>
      </w:hyperlink>
    </w:p>
    <w:p w14:paraId="22CCFF26" w14:textId="3E13A0C4" w:rsidR="00B26F66" w:rsidRDefault="00A54553">
      <w:pPr>
        <w:pStyle w:val="TOC2"/>
        <w:rPr>
          <w:rFonts w:asciiTheme="minorHAnsi" w:eastAsiaTheme="minorEastAsia" w:hAnsiTheme="minorHAnsi" w:cstheme="minorBidi"/>
          <w:spacing w:val="0"/>
          <w:sz w:val="22"/>
          <w:szCs w:val="22"/>
        </w:rPr>
      </w:pPr>
      <w:hyperlink w:anchor="_Toc18505593" w:history="1">
        <w:r w:rsidR="00B26F66" w:rsidRPr="000E2BF0">
          <w:rPr>
            <w:rStyle w:val="Hyperlink"/>
          </w:rPr>
          <w:t>Progress achieved</w:t>
        </w:r>
        <w:r w:rsidR="00B26F66">
          <w:rPr>
            <w:webHidden/>
          </w:rPr>
          <w:tab/>
        </w:r>
        <w:r w:rsidR="00B26F66">
          <w:rPr>
            <w:webHidden/>
          </w:rPr>
          <w:fldChar w:fldCharType="begin"/>
        </w:r>
        <w:r w:rsidR="00B26F66">
          <w:rPr>
            <w:webHidden/>
          </w:rPr>
          <w:instrText xml:space="preserve"> PAGEREF _Toc18505593 \h </w:instrText>
        </w:r>
        <w:r w:rsidR="00B26F66">
          <w:rPr>
            <w:webHidden/>
          </w:rPr>
        </w:r>
        <w:r w:rsidR="00B26F66">
          <w:rPr>
            <w:webHidden/>
          </w:rPr>
          <w:fldChar w:fldCharType="separate"/>
        </w:r>
        <w:r>
          <w:rPr>
            <w:webHidden/>
          </w:rPr>
          <w:t>70</w:t>
        </w:r>
        <w:r w:rsidR="00B26F66">
          <w:rPr>
            <w:webHidden/>
          </w:rPr>
          <w:fldChar w:fldCharType="end"/>
        </w:r>
      </w:hyperlink>
    </w:p>
    <w:p w14:paraId="2D652B0C" w14:textId="576F77A9" w:rsidR="00B26F66" w:rsidRDefault="00A54553">
      <w:pPr>
        <w:pStyle w:val="TOC3"/>
        <w:rPr>
          <w:rFonts w:asciiTheme="minorHAnsi" w:eastAsiaTheme="minorEastAsia" w:hAnsiTheme="minorHAnsi" w:cstheme="minorBidi"/>
        </w:rPr>
      </w:pPr>
      <w:hyperlink w:anchor="_Toc18505594" w:history="1">
        <w:r w:rsidR="00B26F66" w:rsidRPr="000E2BF0">
          <w:rPr>
            <w:rStyle w:val="Hyperlink"/>
          </w:rPr>
          <w:t>Licensing integrity</w:t>
        </w:r>
        <w:r w:rsidR="00B26F66">
          <w:rPr>
            <w:webHidden/>
          </w:rPr>
          <w:tab/>
        </w:r>
        <w:r w:rsidR="00B26F66">
          <w:rPr>
            <w:webHidden/>
          </w:rPr>
          <w:fldChar w:fldCharType="begin"/>
        </w:r>
        <w:r w:rsidR="00B26F66">
          <w:rPr>
            <w:webHidden/>
          </w:rPr>
          <w:instrText xml:space="preserve"> PAGEREF _Toc18505594 \h </w:instrText>
        </w:r>
        <w:r w:rsidR="00B26F66">
          <w:rPr>
            <w:webHidden/>
          </w:rPr>
        </w:r>
        <w:r w:rsidR="00B26F66">
          <w:rPr>
            <w:webHidden/>
          </w:rPr>
          <w:fldChar w:fldCharType="separate"/>
        </w:r>
        <w:r>
          <w:rPr>
            <w:webHidden/>
          </w:rPr>
          <w:t>70</w:t>
        </w:r>
        <w:r w:rsidR="00B26F66">
          <w:rPr>
            <w:webHidden/>
          </w:rPr>
          <w:fldChar w:fldCharType="end"/>
        </w:r>
      </w:hyperlink>
    </w:p>
    <w:p w14:paraId="1D3147D3" w14:textId="5DB0EF94" w:rsidR="00B26F66" w:rsidRDefault="00A54553">
      <w:pPr>
        <w:pStyle w:val="TOC3"/>
        <w:rPr>
          <w:rFonts w:asciiTheme="minorHAnsi" w:eastAsiaTheme="minorEastAsia" w:hAnsiTheme="minorHAnsi" w:cstheme="minorBidi"/>
        </w:rPr>
      </w:pPr>
      <w:hyperlink w:anchor="_Toc18505595" w:history="1">
        <w:r w:rsidR="00B26F66" w:rsidRPr="000E2BF0">
          <w:rPr>
            <w:rStyle w:val="Hyperlink"/>
          </w:rPr>
          <w:t>Spectrum Review implementation</w:t>
        </w:r>
        <w:r w:rsidR="00B26F66">
          <w:rPr>
            <w:webHidden/>
          </w:rPr>
          <w:tab/>
        </w:r>
        <w:r w:rsidR="00B26F66">
          <w:rPr>
            <w:webHidden/>
          </w:rPr>
          <w:fldChar w:fldCharType="begin"/>
        </w:r>
        <w:r w:rsidR="00B26F66">
          <w:rPr>
            <w:webHidden/>
          </w:rPr>
          <w:instrText xml:space="preserve"> PAGEREF _Toc18505595 \h </w:instrText>
        </w:r>
        <w:r w:rsidR="00B26F66">
          <w:rPr>
            <w:webHidden/>
          </w:rPr>
        </w:r>
        <w:r w:rsidR="00B26F66">
          <w:rPr>
            <w:webHidden/>
          </w:rPr>
          <w:fldChar w:fldCharType="separate"/>
        </w:r>
        <w:r>
          <w:rPr>
            <w:webHidden/>
          </w:rPr>
          <w:t>70</w:t>
        </w:r>
        <w:r w:rsidR="00B26F66">
          <w:rPr>
            <w:webHidden/>
          </w:rPr>
          <w:fldChar w:fldCharType="end"/>
        </w:r>
      </w:hyperlink>
    </w:p>
    <w:p w14:paraId="069D22AD" w14:textId="2DC74124" w:rsidR="00B26F66" w:rsidRDefault="00A54553">
      <w:pPr>
        <w:pStyle w:val="TOC3"/>
        <w:rPr>
          <w:rFonts w:asciiTheme="minorHAnsi" w:eastAsiaTheme="minorEastAsia" w:hAnsiTheme="minorHAnsi" w:cstheme="minorBidi"/>
        </w:rPr>
      </w:pPr>
      <w:hyperlink w:anchor="_Toc18505596" w:history="1">
        <w:r w:rsidR="00B26F66" w:rsidRPr="000E2BF0">
          <w:rPr>
            <w:rStyle w:val="Hyperlink"/>
          </w:rPr>
          <w:t>Interference management</w:t>
        </w:r>
        <w:r w:rsidR="00B26F66">
          <w:rPr>
            <w:webHidden/>
          </w:rPr>
          <w:tab/>
        </w:r>
        <w:r w:rsidR="00B26F66">
          <w:rPr>
            <w:webHidden/>
          </w:rPr>
          <w:fldChar w:fldCharType="begin"/>
        </w:r>
        <w:r w:rsidR="00B26F66">
          <w:rPr>
            <w:webHidden/>
          </w:rPr>
          <w:instrText xml:space="preserve"> PAGEREF _Toc18505596 \h </w:instrText>
        </w:r>
        <w:r w:rsidR="00B26F66">
          <w:rPr>
            <w:webHidden/>
          </w:rPr>
        </w:r>
        <w:r w:rsidR="00B26F66">
          <w:rPr>
            <w:webHidden/>
          </w:rPr>
          <w:fldChar w:fldCharType="separate"/>
        </w:r>
        <w:r>
          <w:rPr>
            <w:webHidden/>
          </w:rPr>
          <w:t>70</w:t>
        </w:r>
        <w:r w:rsidR="00B26F66">
          <w:rPr>
            <w:webHidden/>
          </w:rPr>
          <w:fldChar w:fldCharType="end"/>
        </w:r>
      </w:hyperlink>
    </w:p>
    <w:p w14:paraId="55480317" w14:textId="31A475D8" w:rsidR="00B26F66" w:rsidRDefault="00A54553">
      <w:pPr>
        <w:pStyle w:val="TOC3"/>
        <w:rPr>
          <w:rFonts w:asciiTheme="minorHAnsi" w:eastAsiaTheme="minorEastAsia" w:hAnsiTheme="minorHAnsi" w:cstheme="minorBidi"/>
        </w:rPr>
      </w:pPr>
      <w:hyperlink w:anchor="_Toc18505597" w:history="1">
        <w:r w:rsidR="00B26F66" w:rsidRPr="000E2BF0">
          <w:rPr>
            <w:rStyle w:val="Hyperlink"/>
          </w:rPr>
          <w:t>Compliance themes</w:t>
        </w:r>
        <w:r w:rsidR="00B26F66">
          <w:rPr>
            <w:webHidden/>
          </w:rPr>
          <w:tab/>
        </w:r>
        <w:r w:rsidR="00B26F66">
          <w:rPr>
            <w:webHidden/>
          </w:rPr>
          <w:fldChar w:fldCharType="begin"/>
        </w:r>
        <w:r w:rsidR="00B26F66">
          <w:rPr>
            <w:webHidden/>
          </w:rPr>
          <w:instrText xml:space="preserve"> PAGEREF _Toc18505597 \h </w:instrText>
        </w:r>
        <w:r w:rsidR="00B26F66">
          <w:rPr>
            <w:webHidden/>
          </w:rPr>
        </w:r>
        <w:r w:rsidR="00B26F66">
          <w:rPr>
            <w:webHidden/>
          </w:rPr>
          <w:fldChar w:fldCharType="separate"/>
        </w:r>
        <w:r>
          <w:rPr>
            <w:webHidden/>
          </w:rPr>
          <w:t>70</w:t>
        </w:r>
        <w:r w:rsidR="00B26F66">
          <w:rPr>
            <w:webHidden/>
          </w:rPr>
          <w:fldChar w:fldCharType="end"/>
        </w:r>
      </w:hyperlink>
    </w:p>
    <w:p w14:paraId="46AB64B1" w14:textId="614572A3" w:rsidR="00B26F66" w:rsidRDefault="00A54553">
      <w:pPr>
        <w:pStyle w:val="TOC2"/>
        <w:rPr>
          <w:rFonts w:asciiTheme="minorHAnsi" w:eastAsiaTheme="minorEastAsia" w:hAnsiTheme="minorHAnsi" w:cstheme="minorBidi"/>
          <w:spacing w:val="0"/>
          <w:sz w:val="22"/>
          <w:szCs w:val="22"/>
        </w:rPr>
      </w:pPr>
      <w:hyperlink w:anchor="_Toc18505598" w:history="1">
        <w:r w:rsidR="00B26F66" w:rsidRPr="000E2BF0">
          <w:rPr>
            <w:rStyle w:val="Hyperlink"/>
          </w:rPr>
          <w:t>New/ongoing activities planned for 2019–20</w:t>
        </w:r>
        <w:r w:rsidR="00B26F66">
          <w:rPr>
            <w:webHidden/>
          </w:rPr>
          <w:tab/>
        </w:r>
        <w:r w:rsidR="00B26F66">
          <w:rPr>
            <w:webHidden/>
          </w:rPr>
          <w:fldChar w:fldCharType="begin"/>
        </w:r>
        <w:r w:rsidR="00B26F66">
          <w:rPr>
            <w:webHidden/>
          </w:rPr>
          <w:instrText xml:space="preserve"> PAGEREF _Toc18505598 \h </w:instrText>
        </w:r>
        <w:r w:rsidR="00B26F66">
          <w:rPr>
            <w:webHidden/>
          </w:rPr>
        </w:r>
        <w:r w:rsidR="00B26F66">
          <w:rPr>
            <w:webHidden/>
          </w:rPr>
          <w:fldChar w:fldCharType="separate"/>
        </w:r>
        <w:r>
          <w:rPr>
            <w:webHidden/>
          </w:rPr>
          <w:t>71</w:t>
        </w:r>
        <w:r w:rsidR="00B26F66">
          <w:rPr>
            <w:webHidden/>
          </w:rPr>
          <w:fldChar w:fldCharType="end"/>
        </w:r>
      </w:hyperlink>
    </w:p>
    <w:p w14:paraId="3842C440" w14:textId="333E92F9" w:rsidR="00B26F66" w:rsidRDefault="00A54553">
      <w:pPr>
        <w:pStyle w:val="TOC1"/>
        <w:rPr>
          <w:rFonts w:asciiTheme="minorHAnsi" w:eastAsiaTheme="minorEastAsia" w:hAnsiTheme="minorHAnsi" w:cstheme="minorBidi"/>
          <w:b w:val="0"/>
          <w:spacing w:val="0"/>
          <w:sz w:val="22"/>
          <w:szCs w:val="22"/>
        </w:rPr>
      </w:pPr>
      <w:hyperlink w:anchor="_Toc18505599" w:history="1">
        <w:r w:rsidR="00B26F66" w:rsidRPr="000E2BF0">
          <w:rPr>
            <w:rStyle w:val="Hyperlink"/>
          </w:rPr>
          <w:t>Appendix A—Sunsetting instruments</w:t>
        </w:r>
        <w:r w:rsidR="00B26F66">
          <w:rPr>
            <w:webHidden/>
          </w:rPr>
          <w:tab/>
        </w:r>
        <w:r w:rsidR="00B26F66">
          <w:rPr>
            <w:webHidden/>
          </w:rPr>
          <w:fldChar w:fldCharType="begin"/>
        </w:r>
        <w:r w:rsidR="00B26F66">
          <w:rPr>
            <w:webHidden/>
          </w:rPr>
          <w:instrText xml:space="preserve"> PAGEREF _Toc18505599 \h </w:instrText>
        </w:r>
        <w:r w:rsidR="00B26F66">
          <w:rPr>
            <w:webHidden/>
          </w:rPr>
        </w:r>
        <w:r w:rsidR="00B26F66">
          <w:rPr>
            <w:webHidden/>
          </w:rPr>
          <w:fldChar w:fldCharType="separate"/>
        </w:r>
        <w:r>
          <w:rPr>
            <w:webHidden/>
          </w:rPr>
          <w:t>72</w:t>
        </w:r>
        <w:r w:rsidR="00B26F66">
          <w:rPr>
            <w:webHidden/>
          </w:rPr>
          <w:fldChar w:fldCharType="end"/>
        </w:r>
      </w:hyperlink>
    </w:p>
    <w:p w14:paraId="746F9EF1" w14:textId="4A8C3860" w:rsidR="00B26F66" w:rsidRDefault="00A54553">
      <w:pPr>
        <w:pStyle w:val="TOC2"/>
        <w:rPr>
          <w:rFonts w:asciiTheme="minorHAnsi" w:eastAsiaTheme="minorEastAsia" w:hAnsiTheme="minorHAnsi" w:cstheme="minorBidi"/>
          <w:spacing w:val="0"/>
          <w:sz w:val="22"/>
          <w:szCs w:val="22"/>
        </w:rPr>
      </w:pPr>
      <w:hyperlink w:anchor="_Toc18505600" w:history="1">
        <w:r w:rsidR="00B26F66" w:rsidRPr="000E2BF0">
          <w:rPr>
            <w:rStyle w:val="Hyperlink"/>
          </w:rPr>
          <w:t>Radiocommunications-related instruments due to sunset in 2019–20</w:t>
        </w:r>
        <w:r w:rsidR="00B26F66">
          <w:rPr>
            <w:webHidden/>
          </w:rPr>
          <w:tab/>
        </w:r>
        <w:r w:rsidR="00B26F66">
          <w:rPr>
            <w:webHidden/>
          </w:rPr>
          <w:fldChar w:fldCharType="begin"/>
        </w:r>
        <w:r w:rsidR="00B26F66">
          <w:rPr>
            <w:webHidden/>
          </w:rPr>
          <w:instrText xml:space="preserve"> PAGEREF _Toc18505600 \h </w:instrText>
        </w:r>
        <w:r w:rsidR="00B26F66">
          <w:rPr>
            <w:webHidden/>
          </w:rPr>
        </w:r>
        <w:r w:rsidR="00B26F66">
          <w:rPr>
            <w:webHidden/>
          </w:rPr>
          <w:fldChar w:fldCharType="separate"/>
        </w:r>
        <w:r>
          <w:rPr>
            <w:webHidden/>
          </w:rPr>
          <w:t>72</w:t>
        </w:r>
        <w:r w:rsidR="00B26F66">
          <w:rPr>
            <w:webHidden/>
          </w:rPr>
          <w:fldChar w:fldCharType="end"/>
        </w:r>
      </w:hyperlink>
    </w:p>
    <w:p w14:paraId="41EC3D49" w14:textId="0F277B7F" w:rsidR="005A6EAB" w:rsidRPr="006A2F04" w:rsidRDefault="00E26672">
      <w:pPr>
        <w:rPr>
          <w:rFonts w:cs="Arial"/>
          <w:spacing w:val="-14"/>
          <w:sz w:val="28"/>
          <w:szCs w:val="26"/>
        </w:rPr>
        <w:sectPr w:rsidR="005A6EAB" w:rsidRPr="006A2F04" w:rsidSect="00E97880">
          <w:headerReference w:type="even" r:id="rId22"/>
          <w:headerReference w:type="default" r:id="rId23"/>
          <w:footerReference w:type="even" r:id="rId24"/>
          <w:footerReference w:type="default" r:id="rId25"/>
          <w:footerReference w:type="first" r:id="rId26"/>
          <w:pgSz w:w="11906" w:h="16838" w:code="9"/>
          <w:pgMar w:top="3646" w:right="3101" w:bottom="1134" w:left="1134" w:header="709" w:footer="119" w:gutter="0"/>
          <w:cols w:space="708"/>
          <w:titlePg/>
          <w:docGrid w:linePitch="360"/>
        </w:sectPr>
      </w:pPr>
      <w:r w:rsidRPr="006A2F04">
        <w:rPr>
          <w:rFonts w:cs="Arial"/>
          <w:b/>
          <w:spacing w:val="-14"/>
          <w:sz w:val="26"/>
          <w:szCs w:val="26"/>
        </w:rPr>
        <w:fldChar w:fldCharType="end"/>
      </w:r>
    </w:p>
    <w:p w14:paraId="1EF7E32D" w14:textId="618066AD" w:rsidR="009D6C71" w:rsidRPr="00B53F89" w:rsidRDefault="00835321" w:rsidP="006812C2">
      <w:pPr>
        <w:pStyle w:val="Heading1"/>
      </w:pPr>
      <w:bookmarkStart w:id="1" w:name="_Toc509581790"/>
      <w:bookmarkStart w:id="2" w:name="_Toc509585106"/>
      <w:bookmarkStart w:id="3" w:name="_Toc509585642"/>
      <w:bookmarkStart w:id="4" w:name="_Toc510104922"/>
      <w:bookmarkStart w:id="5" w:name="_Toc510105719"/>
      <w:bookmarkStart w:id="6" w:name="_Toc510795062"/>
      <w:bookmarkStart w:id="7" w:name="_Toc511716263"/>
      <w:bookmarkStart w:id="8" w:name="_Toc511719074"/>
      <w:bookmarkStart w:id="9" w:name="_Toc522794069"/>
      <w:bookmarkStart w:id="10" w:name="_Toc18505494"/>
      <w:r w:rsidRPr="00B53F89">
        <w:lastRenderedPageBreak/>
        <w:t>Foreword</w:t>
      </w:r>
      <w:bookmarkEnd w:id="1"/>
      <w:bookmarkEnd w:id="2"/>
      <w:bookmarkEnd w:id="3"/>
      <w:bookmarkEnd w:id="4"/>
      <w:bookmarkEnd w:id="5"/>
      <w:bookmarkEnd w:id="6"/>
      <w:bookmarkEnd w:id="7"/>
      <w:bookmarkEnd w:id="8"/>
      <w:bookmarkEnd w:id="9"/>
      <w:bookmarkEnd w:id="10"/>
      <w:r w:rsidR="009D6C71" w:rsidRPr="00B53F89">
        <w:t xml:space="preserve"> </w:t>
      </w:r>
    </w:p>
    <w:p w14:paraId="2C5C5199" w14:textId="5C8B51AD" w:rsidR="00E02187" w:rsidRPr="00B53F89" w:rsidRDefault="00F07402" w:rsidP="00BD5B28">
      <w:r w:rsidRPr="00B53F89">
        <w:t>Spectrum use</w:t>
      </w:r>
      <w:r w:rsidR="00BC79B9" w:rsidRPr="00B53F89">
        <w:t xml:space="preserve"> </w:t>
      </w:r>
      <w:r w:rsidRPr="00B53F89">
        <w:t>continue</w:t>
      </w:r>
      <w:r w:rsidR="00BC79B9" w:rsidRPr="00B53F89">
        <w:t>s</w:t>
      </w:r>
      <w:r w:rsidRPr="00B53F89">
        <w:t xml:space="preserve"> to evolve rapidly in Australia. The </w:t>
      </w:r>
      <w:r w:rsidR="00DE2074" w:rsidRPr="00B53F89">
        <w:t>Australian Communications and Media Authority (</w:t>
      </w:r>
      <w:r w:rsidRPr="00B53F89">
        <w:t>ACMA</w:t>
      </w:r>
      <w:r w:rsidR="00DE2074" w:rsidRPr="00B53F89">
        <w:t>)</w:t>
      </w:r>
      <w:r w:rsidRPr="00B53F89">
        <w:t xml:space="preserve"> is Australia’s spectrum manager and is responsible for ensuring radiofrequency spectrum is managed in a way that maximises the</w:t>
      </w:r>
      <w:r w:rsidR="00FE15F4" w:rsidRPr="00B53F89">
        <w:t xml:space="preserve"> </w:t>
      </w:r>
      <w:r w:rsidRPr="00B53F89">
        <w:t>overall public benefit</w:t>
      </w:r>
      <w:r w:rsidR="00A323F5" w:rsidRPr="00B53F89">
        <w:t xml:space="preserve"> </w:t>
      </w:r>
      <w:r w:rsidRPr="00B53F89">
        <w:t>derived</w:t>
      </w:r>
      <w:r w:rsidR="00003CFD" w:rsidRPr="00B53F89">
        <w:t xml:space="preserve"> from </w:t>
      </w:r>
      <w:r w:rsidR="00FF308E" w:rsidRPr="00B53F89">
        <w:t xml:space="preserve">its </w:t>
      </w:r>
      <w:r w:rsidR="00003CFD" w:rsidRPr="00B53F89">
        <w:t>us</w:t>
      </w:r>
      <w:r w:rsidR="00FF308E" w:rsidRPr="00B53F89">
        <w:t>e</w:t>
      </w:r>
      <w:r w:rsidRPr="00B53F89">
        <w:t>.</w:t>
      </w:r>
      <w:r w:rsidR="00EA7FD9" w:rsidRPr="00B53F89">
        <w:t xml:space="preserve"> </w:t>
      </w:r>
    </w:p>
    <w:p w14:paraId="37CFD2FA" w14:textId="1E971ABE" w:rsidR="00F07402" w:rsidRPr="00B53F89" w:rsidRDefault="0033081E" w:rsidP="00BD5B28">
      <w:r w:rsidRPr="00B53F89">
        <w:t>W</w:t>
      </w:r>
      <w:r w:rsidR="00EA7FD9" w:rsidRPr="00B53F89">
        <w:t xml:space="preserve">e are </w:t>
      </w:r>
      <w:r w:rsidR="000D5AAB" w:rsidRPr="00B53F89">
        <w:t xml:space="preserve">continually </w:t>
      </w:r>
      <w:r w:rsidR="00EA7FD9" w:rsidRPr="00B53F89">
        <w:t xml:space="preserve">monitoring </w:t>
      </w:r>
      <w:r w:rsidR="00FA3993" w:rsidRPr="00B53F89">
        <w:t xml:space="preserve">the </w:t>
      </w:r>
      <w:r w:rsidR="00EA7FD9" w:rsidRPr="00B53F89">
        <w:t>environment to identify opportunities for improvements in spectrum management arrangements</w:t>
      </w:r>
      <w:r w:rsidR="00FA3993" w:rsidRPr="00B53F89">
        <w:t>,</w:t>
      </w:r>
      <w:r w:rsidR="00003CFD" w:rsidRPr="00B53F89">
        <w:t xml:space="preserve"> and</w:t>
      </w:r>
      <w:r w:rsidR="00FA3993" w:rsidRPr="00B53F89">
        <w:t xml:space="preserve"> accommodating new and changed uses of spectrum</w:t>
      </w:r>
      <w:r w:rsidR="00EA7FD9" w:rsidRPr="00B53F89">
        <w:t xml:space="preserve"> while ensuring the continuation of existing uses of spectrum </w:t>
      </w:r>
      <w:r w:rsidR="00750719" w:rsidRPr="00B53F89">
        <w:t xml:space="preserve">that are </w:t>
      </w:r>
      <w:r w:rsidR="00EA7FD9" w:rsidRPr="00B53F89">
        <w:t>of value to the community.</w:t>
      </w:r>
    </w:p>
    <w:p w14:paraId="2F318477" w14:textId="6C97B3B0" w:rsidR="00E02187" w:rsidRPr="00B53F89" w:rsidRDefault="000F3E26" w:rsidP="00BD5B28">
      <w:r w:rsidRPr="00B53F89">
        <w:t>2019 is a World Radiocommunication Con</w:t>
      </w:r>
      <w:r w:rsidR="006C3CD8" w:rsidRPr="00B53F89">
        <w:t>ference</w:t>
      </w:r>
      <w:r w:rsidRPr="00B53F89">
        <w:t xml:space="preserve"> (WRC) year. WRC</w:t>
      </w:r>
      <w:r w:rsidR="008131EB" w:rsidRPr="00B53F89">
        <w:t>s</w:t>
      </w:r>
      <w:r w:rsidR="000D5AAB" w:rsidRPr="00B53F89">
        <w:t xml:space="preserve"> are scheduled every </w:t>
      </w:r>
      <w:r w:rsidR="00C44E73" w:rsidRPr="00B53F89">
        <w:t>three</w:t>
      </w:r>
      <w:r w:rsidR="004E59BE" w:rsidRPr="00B53F89">
        <w:t xml:space="preserve"> to </w:t>
      </w:r>
      <w:r w:rsidRPr="00B53F89">
        <w:t xml:space="preserve">four years and </w:t>
      </w:r>
      <w:r w:rsidR="00E02187" w:rsidRPr="00B53F89">
        <w:t xml:space="preserve">are </w:t>
      </w:r>
      <w:r w:rsidRPr="00B53F89">
        <w:t xml:space="preserve">the most important forum for international harmonisation of spectrum use and planning. </w:t>
      </w:r>
    </w:p>
    <w:p w14:paraId="4283A266" w14:textId="30BECB59" w:rsidR="000F3E26" w:rsidRPr="00B53F89" w:rsidRDefault="00FA3993" w:rsidP="00BD5B28">
      <w:r w:rsidRPr="00B53F89">
        <w:t>W</w:t>
      </w:r>
      <w:r w:rsidR="000F3E26" w:rsidRPr="00B53F89">
        <w:t xml:space="preserve">orking with the Department of Communications and the Arts </w:t>
      </w:r>
      <w:r w:rsidR="00DE2074" w:rsidRPr="00B53F89">
        <w:t>(DoCA)</w:t>
      </w:r>
      <w:r w:rsidR="000F3E26" w:rsidRPr="00B53F89">
        <w:t xml:space="preserve"> to ensure Australia’s interests are best represented at the </w:t>
      </w:r>
      <w:r w:rsidR="00110D15" w:rsidRPr="006A2F04">
        <w:t>2019 WRC</w:t>
      </w:r>
      <w:r w:rsidR="00037A1C" w:rsidRPr="006A2F04">
        <w:t xml:space="preserve"> (WRC-19</w:t>
      </w:r>
      <w:r w:rsidR="00037A1C" w:rsidRPr="00B53F89">
        <w:t>)</w:t>
      </w:r>
      <w:r w:rsidR="000F3E26" w:rsidRPr="00B53F89">
        <w:t xml:space="preserve"> in October</w:t>
      </w:r>
      <w:r w:rsidR="00A16D29" w:rsidRPr="00B53F89">
        <w:t xml:space="preserve"> and </w:t>
      </w:r>
      <w:r w:rsidR="000F3E26" w:rsidRPr="00B53F89">
        <w:t>November</w:t>
      </w:r>
      <w:r w:rsidR="004E59BE" w:rsidRPr="00B53F89">
        <w:t>—</w:t>
      </w:r>
      <w:r w:rsidR="000F3E26" w:rsidRPr="00B53F89">
        <w:t xml:space="preserve">and then </w:t>
      </w:r>
      <w:r w:rsidR="00A16D29" w:rsidRPr="00B53F89">
        <w:t xml:space="preserve">commencing work on the identification and </w:t>
      </w:r>
      <w:r w:rsidR="000F3E26" w:rsidRPr="00B53F89">
        <w:t>implement</w:t>
      </w:r>
      <w:r w:rsidR="00A16D29" w:rsidRPr="00B53F89">
        <w:t>ation of</w:t>
      </w:r>
      <w:r w:rsidR="000F3E26" w:rsidRPr="00B53F89">
        <w:t xml:space="preserve"> relevant outcomes in our domestic planning arrangements</w:t>
      </w:r>
      <w:r w:rsidR="004E59BE" w:rsidRPr="00B53F89">
        <w:t>—</w:t>
      </w:r>
      <w:r w:rsidR="000F3E26" w:rsidRPr="00B53F89">
        <w:t>will be key priorit</w:t>
      </w:r>
      <w:r w:rsidR="00A16D29" w:rsidRPr="00B53F89">
        <w:t>ies</w:t>
      </w:r>
      <w:r w:rsidR="000F3E26" w:rsidRPr="00B53F89">
        <w:t xml:space="preserve"> for the ACMA in 2019</w:t>
      </w:r>
      <w:r w:rsidR="002D7978" w:rsidRPr="00B53F89">
        <w:t>–</w:t>
      </w:r>
      <w:r w:rsidR="000F3E26" w:rsidRPr="00B53F89">
        <w:t>20.</w:t>
      </w:r>
    </w:p>
    <w:p w14:paraId="1489CD95" w14:textId="044EF2C4" w:rsidR="00E309B2" w:rsidRPr="00B53F89" w:rsidRDefault="00E309B2" w:rsidP="00E309B2">
      <w:r w:rsidRPr="00B53F89">
        <w:t xml:space="preserve">Advances in new technologies are a key driver of changes in spectrum use, along with increasing recognition of the value of wireless, mobile and satellite services across the economy. </w:t>
      </w:r>
    </w:p>
    <w:p w14:paraId="298A321B" w14:textId="6490B20F" w:rsidR="000F3E26" w:rsidRPr="00B53F89" w:rsidRDefault="000F3E26" w:rsidP="00BD5B28">
      <w:r w:rsidRPr="00B53F89">
        <w:t xml:space="preserve">The ACMA continues to </w:t>
      </w:r>
      <w:r w:rsidR="00FA3993" w:rsidRPr="00B53F89">
        <w:t>facilitate</w:t>
      </w:r>
      <w:r w:rsidRPr="00B53F89">
        <w:t xml:space="preserve"> the </w:t>
      </w:r>
      <w:r w:rsidR="00FA3993" w:rsidRPr="00B53F89">
        <w:t>use</w:t>
      </w:r>
      <w:r w:rsidRPr="00B53F89">
        <w:t xml:space="preserve"> of 5G services by identifying appropriate spectrum bands and putting in place the </w:t>
      </w:r>
      <w:r w:rsidR="004E59BE" w:rsidRPr="00B53F89">
        <w:t xml:space="preserve">consultation </w:t>
      </w:r>
      <w:r w:rsidRPr="00B53F89">
        <w:t xml:space="preserve">necessary to make </w:t>
      </w:r>
      <w:r w:rsidR="00FA3993" w:rsidRPr="00B53F89">
        <w:t>sound</w:t>
      </w:r>
      <w:r w:rsidRPr="00B53F89">
        <w:t xml:space="preserve"> decisions that will support</w:t>
      </w:r>
      <w:r w:rsidR="00A16D29" w:rsidRPr="00B53F89">
        <w:t xml:space="preserve"> the development of</w:t>
      </w:r>
      <w:r w:rsidRPr="00B53F89">
        <w:t xml:space="preserve"> 5G and other evolving wireless technologies</w:t>
      </w:r>
      <w:r w:rsidR="00A16D29" w:rsidRPr="00B53F89">
        <w:t xml:space="preserve"> in Australia</w:t>
      </w:r>
      <w:r w:rsidRPr="00B53F89">
        <w:t>.</w:t>
      </w:r>
      <w:r w:rsidR="00890124" w:rsidRPr="00B53F89">
        <w:t xml:space="preserve"> </w:t>
      </w:r>
    </w:p>
    <w:p w14:paraId="26D2FE08" w14:textId="61898DE0" w:rsidR="003A06EE" w:rsidRPr="00B53F89" w:rsidRDefault="007D26B6" w:rsidP="00BD5B28">
      <w:r w:rsidRPr="00B53F89">
        <w:t xml:space="preserve">Managing spectrum efficiently and effectively for the benefit of all Australians is a key priority for </w:t>
      </w:r>
      <w:r w:rsidR="000020A8" w:rsidRPr="00B53F89">
        <w:t>the ACMA</w:t>
      </w:r>
      <w:r w:rsidR="00AA64B0" w:rsidRPr="00B53F89">
        <w:t>,</w:t>
      </w:r>
      <w:r w:rsidR="00910B21" w:rsidRPr="00B53F89">
        <w:t xml:space="preserve"> as outlined in our corporate plan</w:t>
      </w:r>
      <w:r w:rsidR="00365525" w:rsidRPr="00B53F89">
        <w:t>.</w:t>
      </w:r>
      <w:r w:rsidR="00B62FA6" w:rsidRPr="00B53F89">
        <w:rPr>
          <w:rStyle w:val="FootnoteReference"/>
        </w:rPr>
        <w:footnoteReference w:id="2"/>
      </w:r>
      <w:r w:rsidR="00BD5B28" w:rsidRPr="00B53F89">
        <w:t xml:space="preserve"> </w:t>
      </w:r>
      <w:r w:rsidR="000020A8" w:rsidRPr="00B53F89">
        <w:t xml:space="preserve">The </w:t>
      </w:r>
      <w:r w:rsidR="00B33B81" w:rsidRPr="00B53F89">
        <w:t xml:space="preserve">ACMA needs </w:t>
      </w:r>
      <w:r w:rsidR="00AA1CF5" w:rsidRPr="00B53F89">
        <w:t xml:space="preserve">an accurate </w:t>
      </w:r>
      <w:r w:rsidR="00B33B81" w:rsidRPr="00B53F89">
        <w:t>u</w:t>
      </w:r>
      <w:r w:rsidR="0065583E" w:rsidRPr="00B53F89">
        <w:t xml:space="preserve">nderstanding </w:t>
      </w:r>
      <w:r w:rsidR="00B33B81" w:rsidRPr="00B53F89">
        <w:t xml:space="preserve">of </w:t>
      </w:r>
      <w:r w:rsidR="00AA1CF5" w:rsidRPr="00B53F89">
        <w:t>c</w:t>
      </w:r>
      <w:r w:rsidR="006F2B02" w:rsidRPr="00B53F89">
        <w:t xml:space="preserve">hanges </w:t>
      </w:r>
      <w:r w:rsidR="00B33B81" w:rsidRPr="00B53F89">
        <w:t xml:space="preserve">in </w:t>
      </w:r>
      <w:r w:rsidR="0065583E" w:rsidRPr="00B53F89">
        <w:t>technology and market demand</w:t>
      </w:r>
      <w:r w:rsidR="004E2B83" w:rsidRPr="00B53F89">
        <w:t>—</w:t>
      </w:r>
      <w:r w:rsidR="00AA1CF5" w:rsidRPr="00B53F89">
        <w:t>for new and existing spectrum use</w:t>
      </w:r>
      <w:r w:rsidR="004E2B83" w:rsidRPr="00B53F89">
        <w:t>—</w:t>
      </w:r>
      <w:r w:rsidR="00B33B81" w:rsidRPr="00B53F89">
        <w:t xml:space="preserve">to </w:t>
      </w:r>
      <w:r w:rsidR="0065583E" w:rsidRPr="00B53F89">
        <w:t xml:space="preserve">inform the way </w:t>
      </w:r>
      <w:r w:rsidR="00A140B6" w:rsidRPr="00B53F89">
        <w:t xml:space="preserve">we </w:t>
      </w:r>
      <w:r w:rsidR="00B33B81" w:rsidRPr="00B53F89">
        <w:t>p</w:t>
      </w:r>
      <w:r w:rsidR="0065583E" w:rsidRPr="00B53F89">
        <w:t>lan and make spectrum available.</w:t>
      </w:r>
      <w:r w:rsidR="00AA1CF5" w:rsidRPr="00B53F89">
        <w:t xml:space="preserve"> We rely heavily on spectrum users to keep us informed.</w:t>
      </w:r>
      <w:r w:rsidR="002D1D48" w:rsidRPr="00B53F89">
        <w:t xml:space="preserve"> </w:t>
      </w:r>
      <w:r w:rsidR="00B34BDB" w:rsidRPr="00B53F89">
        <w:t>Our performance in spectrum management is measured in our annual report.</w:t>
      </w:r>
      <w:r w:rsidR="00B62FA6" w:rsidRPr="00B53F89">
        <w:rPr>
          <w:rStyle w:val="FootnoteReference"/>
        </w:rPr>
        <w:footnoteReference w:id="3"/>
      </w:r>
      <w:r w:rsidR="00B34BDB" w:rsidRPr="00B53F89">
        <w:t xml:space="preserve"> </w:t>
      </w:r>
    </w:p>
    <w:p w14:paraId="179FE35E" w14:textId="1BF7DB74" w:rsidR="00F07402" w:rsidRPr="00B53F89" w:rsidRDefault="00835321" w:rsidP="00EC5C76">
      <w:r w:rsidRPr="00B53F89">
        <w:t>The</w:t>
      </w:r>
      <w:r w:rsidR="00E14131" w:rsidRPr="00B53F89">
        <w:t xml:space="preserve"> </w:t>
      </w:r>
      <w:r w:rsidRPr="00B53F89">
        <w:t>ACMA has co</w:t>
      </w:r>
      <w:r w:rsidR="00B33B81" w:rsidRPr="00B53F89">
        <w:t xml:space="preserve">nsulted annually with industry about </w:t>
      </w:r>
      <w:r w:rsidRPr="00B53F89">
        <w:t xml:space="preserve">its spectrum management priorities through its </w:t>
      </w:r>
      <w:r w:rsidR="00E14131" w:rsidRPr="00B53F89">
        <w:t>f</w:t>
      </w:r>
      <w:r w:rsidRPr="00B53F89">
        <w:t>ive</w:t>
      </w:r>
      <w:r w:rsidR="00E14131" w:rsidRPr="00B53F89">
        <w:t>-y</w:t>
      </w:r>
      <w:r w:rsidRPr="00B53F89">
        <w:t xml:space="preserve">ear </w:t>
      </w:r>
      <w:r w:rsidR="00E14131" w:rsidRPr="00B53F89">
        <w:t>s</w:t>
      </w:r>
      <w:r w:rsidRPr="00B53F89">
        <w:t xml:space="preserve">pectrum </w:t>
      </w:r>
      <w:r w:rsidR="00E14131" w:rsidRPr="00B53F89">
        <w:t>o</w:t>
      </w:r>
      <w:r w:rsidRPr="00B53F89">
        <w:t xml:space="preserve">utlook (FYSO) since 2009. </w:t>
      </w:r>
      <w:r w:rsidR="003A06EE" w:rsidRPr="00B53F89">
        <w:t>Last year</w:t>
      </w:r>
      <w:r w:rsidR="00A140B6" w:rsidRPr="00B53F89">
        <w:t>,</w:t>
      </w:r>
      <w:r w:rsidR="003A06EE" w:rsidRPr="00B53F89">
        <w:t xml:space="preserve"> we </w:t>
      </w:r>
      <w:r w:rsidR="00EA7FD9" w:rsidRPr="00B53F89">
        <w:t>refreshed our approach to the FYSO by publishing a draft FYSO for consultation ahead of settling the final FYSO</w:t>
      </w:r>
      <w:r w:rsidR="00DE2074" w:rsidRPr="00B53F89">
        <w:t>.</w:t>
      </w:r>
      <w:r w:rsidR="00EA7FD9" w:rsidRPr="00B53F89">
        <w:t xml:space="preserve"> </w:t>
      </w:r>
      <w:r w:rsidR="00603D64" w:rsidRPr="00B53F89">
        <w:t xml:space="preserve">We have </w:t>
      </w:r>
      <w:r w:rsidR="00110D15" w:rsidRPr="00B53F89">
        <w:t>continued</w:t>
      </w:r>
      <w:r w:rsidR="00603D64" w:rsidRPr="00B53F89">
        <w:t xml:space="preserve"> this approach for 2019.</w:t>
      </w:r>
    </w:p>
    <w:p w14:paraId="17DB2F77" w14:textId="0073A820" w:rsidR="00700221" w:rsidRPr="00B53F89" w:rsidRDefault="000C50A2" w:rsidP="00700221">
      <w:r w:rsidRPr="00B53F89">
        <w:t>A draft FYSO 2019</w:t>
      </w:r>
      <w:r w:rsidR="00FD182C" w:rsidRPr="00B53F89">
        <w:t>–</w:t>
      </w:r>
      <w:r w:rsidRPr="00B53F89">
        <w:t>23 was published in April 2019. An overview of submissions along with the ACMA’s response to those submissions is available in a separate document</w:t>
      </w:r>
      <w:r w:rsidR="00FD182C" w:rsidRPr="00B53F89">
        <w:t>—</w:t>
      </w:r>
      <w:r w:rsidRPr="00B53F89">
        <w:t>Addendum to FYSO 2019</w:t>
      </w:r>
      <w:r w:rsidR="003208A0" w:rsidRPr="00B53F89">
        <w:t>–</w:t>
      </w:r>
      <w:r w:rsidRPr="00B53F89">
        <w:t>23</w:t>
      </w:r>
      <w:r w:rsidR="00FD182C" w:rsidRPr="00B53F89">
        <w:t>—</w:t>
      </w:r>
      <w:r w:rsidRPr="00B53F89">
        <w:t>Response to submissions.</w:t>
      </w:r>
      <w:r w:rsidR="00700221" w:rsidRPr="00B53F89">
        <w:t xml:space="preserve"> Where</w:t>
      </w:r>
      <w:r w:rsidR="009D29A1" w:rsidRPr="00B53F89">
        <w:t xml:space="preserve"> significant</w:t>
      </w:r>
      <w:r w:rsidR="00700221" w:rsidRPr="00B53F89">
        <w:t xml:space="preserve"> priority </w:t>
      </w:r>
      <w:r w:rsidR="00FC601E" w:rsidRPr="00B53F89">
        <w:t>o</w:t>
      </w:r>
      <w:r w:rsidR="009D29A1" w:rsidRPr="00B53F89">
        <w:t xml:space="preserve">r other </w:t>
      </w:r>
      <w:r w:rsidR="00700221" w:rsidRPr="00B53F89">
        <w:t xml:space="preserve">changes have been made, </w:t>
      </w:r>
      <w:r w:rsidR="009D29A1" w:rsidRPr="00B53F89">
        <w:t>the topic is</w:t>
      </w:r>
      <w:r w:rsidR="00700221" w:rsidRPr="00B53F89">
        <w:t xml:space="preserve"> identified with a ‘change’ symbol. </w:t>
      </w:r>
      <w:r w:rsidR="00700221" w:rsidRPr="006A2F04">
        <w:rPr>
          <w:noProof/>
        </w:rPr>
        <w:drawing>
          <wp:inline distT="0" distB="0" distL="0" distR="0" wp14:anchorId="7DAE3E73" wp14:editId="209EAC07">
            <wp:extent cx="244475" cy="140335"/>
            <wp:effectExtent l="0" t="0" r="3175" b="0"/>
            <wp:docPr id="137" name="Picture 137" descr="A close up of a sign&#10;&#10;Description automatically generated"/>
            <wp:cNvGraphicFramePr/>
            <a:graphic xmlns:a="http://schemas.openxmlformats.org/drawingml/2006/main">
              <a:graphicData uri="http://schemas.openxmlformats.org/drawingml/2006/picture">
                <pic:pic xmlns:pic="http://schemas.openxmlformats.org/drawingml/2006/picture">
                  <pic:nvPicPr>
                    <pic:cNvPr id="8" name="Picture 8" descr="A close up of a sign&#10;&#10;Description automatically generated"/>
                    <pic:cNvPicPr/>
                  </pic:nvPicPr>
                  <pic:blipFill>
                    <a:blip r:embed="rId27" cstate="print">
                      <a:extLst>
                        <a:ext uri="{28A0092B-C50C-407E-A947-70E740481C1C}">
                          <a14:useLocalDpi xmlns:a14="http://schemas.microsoft.com/office/drawing/2010/main" val="0"/>
                        </a:ext>
                      </a:extLst>
                    </a:blip>
                    <a:stretch>
                      <a:fillRect/>
                    </a:stretch>
                  </pic:blipFill>
                  <pic:spPr>
                    <a:xfrm>
                      <a:off x="0" y="0"/>
                      <a:ext cx="244475" cy="140335"/>
                    </a:xfrm>
                    <a:prstGeom prst="rect">
                      <a:avLst/>
                    </a:prstGeom>
                  </pic:spPr>
                </pic:pic>
              </a:graphicData>
            </a:graphic>
          </wp:inline>
        </w:drawing>
      </w:r>
      <w:r w:rsidR="00700221" w:rsidRPr="00B53F89">
        <w:t xml:space="preserve"> Where </w:t>
      </w:r>
      <w:r w:rsidR="009D29A1" w:rsidRPr="00B53F89">
        <w:t xml:space="preserve">significant </w:t>
      </w:r>
      <w:r w:rsidR="00700221" w:rsidRPr="00B53F89">
        <w:t xml:space="preserve">new material has been inserted, </w:t>
      </w:r>
      <w:r w:rsidR="00143312" w:rsidRPr="00B53F89">
        <w:t xml:space="preserve">this is </w:t>
      </w:r>
      <w:r w:rsidR="00700221" w:rsidRPr="00B53F89">
        <w:t xml:space="preserve">identified with a ‘new’ symbol. </w:t>
      </w:r>
      <w:r w:rsidR="00700221" w:rsidRPr="006A2F04">
        <w:rPr>
          <w:noProof/>
        </w:rPr>
        <w:drawing>
          <wp:inline distT="0" distB="0" distL="0" distR="0" wp14:anchorId="496C72B5" wp14:editId="60797520">
            <wp:extent cx="245110" cy="140970"/>
            <wp:effectExtent l="0" t="0" r="2540" b="0"/>
            <wp:docPr id="136" name="Picture 136" descr="A picture containing clipart&#10;&#10;Description automatically generated"/>
            <wp:cNvGraphicFramePr/>
            <a:graphic xmlns:a="http://schemas.openxmlformats.org/drawingml/2006/main">
              <a:graphicData uri="http://schemas.openxmlformats.org/drawingml/2006/picture">
                <pic:pic xmlns:pic="http://schemas.openxmlformats.org/drawingml/2006/picture">
                  <pic:nvPicPr>
                    <pic:cNvPr id="7" name="Picture 7" descr="A picture containing clipart&#10;&#10;Description automatically generated"/>
                    <pic:cNvPicPr/>
                  </pic:nvPicPr>
                  <pic:blipFill>
                    <a:blip r:embed="rId28" cstate="print">
                      <a:extLst>
                        <a:ext uri="{28A0092B-C50C-407E-A947-70E740481C1C}">
                          <a14:useLocalDpi xmlns:a14="http://schemas.microsoft.com/office/drawing/2010/main" val="0"/>
                        </a:ext>
                      </a:extLst>
                    </a:blip>
                    <a:stretch>
                      <a:fillRect/>
                    </a:stretch>
                  </pic:blipFill>
                  <pic:spPr>
                    <a:xfrm>
                      <a:off x="0" y="0"/>
                      <a:ext cx="245110" cy="140970"/>
                    </a:xfrm>
                    <a:prstGeom prst="rect">
                      <a:avLst/>
                    </a:prstGeom>
                  </pic:spPr>
                </pic:pic>
              </a:graphicData>
            </a:graphic>
          </wp:inline>
        </w:drawing>
      </w:r>
    </w:p>
    <w:p w14:paraId="5E443057" w14:textId="5B1F4A30" w:rsidR="00A91783" w:rsidRPr="00B53F89" w:rsidRDefault="00007308" w:rsidP="006A2F04">
      <w:pPr>
        <w:pStyle w:val="ListParagraph"/>
        <w:keepNext/>
        <w:keepLines/>
        <w:spacing w:after="120"/>
        <w:ind w:left="0"/>
      </w:pPr>
      <w:r w:rsidRPr="00B53F89">
        <w:lastRenderedPageBreak/>
        <w:t xml:space="preserve">Please note that references to </w:t>
      </w:r>
      <w:r w:rsidR="00A91783" w:rsidRPr="00B53F89">
        <w:t xml:space="preserve">2019–20 </w:t>
      </w:r>
      <w:r w:rsidRPr="00B53F89">
        <w:t>are</w:t>
      </w:r>
      <w:r w:rsidR="00A91783" w:rsidRPr="00B53F89">
        <w:t xml:space="preserve"> </w:t>
      </w:r>
      <w:r w:rsidRPr="00B53F89">
        <w:t>referen</w:t>
      </w:r>
      <w:r w:rsidR="00BD28D6" w:rsidRPr="00B53F89">
        <w:t>c</w:t>
      </w:r>
      <w:r w:rsidRPr="00B53F89">
        <w:t xml:space="preserve">es </w:t>
      </w:r>
      <w:r w:rsidR="00A91783" w:rsidRPr="00B53F89">
        <w:t>to the 2019–20 financial year.</w:t>
      </w:r>
    </w:p>
    <w:p w14:paraId="7A361FC9" w14:textId="77777777" w:rsidR="00A91783" w:rsidRPr="00B53F89" w:rsidRDefault="00A91783" w:rsidP="00A91783">
      <w:pPr>
        <w:pStyle w:val="ListParagraph"/>
        <w:keepNext/>
        <w:keepLines/>
        <w:spacing w:after="120"/>
        <w:ind w:left="357"/>
      </w:pPr>
    </w:p>
    <w:p w14:paraId="26A0E64C" w14:textId="3BC19329" w:rsidR="000C50A2" w:rsidRPr="00B53F89" w:rsidRDefault="006C54F7" w:rsidP="008C44DD">
      <w:pPr>
        <w:pStyle w:val="ListParagraph"/>
        <w:keepNext/>
        <w:keepLines/>
        <w:spacing w:after="120"/>
        <w:ind w:left="0"/>
      </w:pPr>
      <w:r>
        <w:rPr>
          <w:noProof/>
        </w:rPr>
        <w:drawing>
          <wp:inline distT="0" distB="0" distL="0" distR="0" wp14:anchorId="1F858483" wp14:editId="704535FF">
            <wp:extent cx="243840" cy="140335"/>
            <wp:effectExtent l="0" t="0" r="3810" b="0"/>
            <wp:docPr id="69" name="Picture 69" descr="Icon for new segment in FYS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43840" cy="140335"/>
                    </a:xfrm>
                    <a:prstGeom prst="rect">
                      <a:avLst/>
                    </a:prstGeom>
                    <a:noFill/>
                  </pic:spPr>
                </pic:pic>
              </a:graphicData>
            </a:graphic>
          </wp:inline>
        </w:drawing>
      </w:r>
      <w:r>
        <w:t xml:space="preserve"> </w:t>
      </w:r>
      <w:r w:rsidR="002C5352" w:rsidRPr="00B53F89">
        <w:t>Reflecting some of this feedback</w:t>
      </w:r>
      <w:r w:rsidR="001B4ED4" w:rsidRPr="00B53F89">
        <w:t xml:space="preserve">, </w:t>
      </w:r>
      <w:r w:rsidR="000C50A2" w:rsidRPr="00B53F89">
        <w:t>this year’s final FYSO includes the use of icons to allow readers to readily identify parts of the FYSO of particular interest to them.</w:t>
      </w:r>
      <w:r w:rsidR="00B969FE" w:rsidRPr="00B53F89">
        <w:t xml:space="preserve"> See </w:t>
      </w:r>
      <w:r w:rsidR="002B2BED" w:rsidRPr="00B53F89">
        <w:t>‘</w:t>
      </w:r>
      <w:r w:rsidR="00B969FE" w:rsidRPr="00B53F89">
        <w:t>Key to icons</w:t>
      </w:r>
      <w:r w:rsidR="002B2BED" w:rsidRPr="00B53F89">
        <w:t>’</w:t>
      </w:r>
      <w:r w:rsidR="00B969FE" w:rsidRPr="00B53F89">
        <w:t xml:space="preserve"> below</w:t>
      </w:r>
      <w:r w:rsidR="00FD182C" w:rsidRPr="00B53F89">
        <w:t>.</w:t>
      </w:r>
    </w:p>
    <w:p w14:paraId="0E9FFD78" w14:textId="04756499" w:rsidR="00E53A2F" w:rsidRPr="00B53F89" w:rsidRDefault="00E53A2F" w:rsidP="008C44DD">
      <w:pPr>
        <w:keepNext/>
        <w:keepLines/>
      </w:pPr>
      <w:r w:rsidRPr="00B53F89">
        <w:t>The FYSO is set out in three main parts:</w:t>
      </w:r>
    </w:p>
    <w:p w14:paraId="3D7D81A5" w14:textId="5A6DF2E5" w:rsidR="00E53A2F" w:rsidRPr="00D40D18" w:rsidRDefault="000D5AAB" w:rsidP="008C44DD">
      <w:pPr>
        <w:pStyle w:val="ListBullet"/>
        <w:ind w:left="284" w:hanging="284"/>
      </w:pPr>
      <w:r w:rsidRPr="003B6D5F">
        <w:rPr>
          <w:rStyle w:val="Hyperlink"/>
          <w:color w:val="auto"/>
          <w:u w:val="none"/>
        </w:rPr>
        <w:t>At a glance</w:t>
      </w:r>
      <w:r w:rsidR="00DE2074" w:rsidRPr="00A01A2B">
        <w:t>—</w:t>
      </w:r>
      <w:r w:rsidR="001E67A0" w:rsidRPr="00D40D18">
        <w:t>summarises</w:t>
      </w:r>
      <w:r w:rsidR="00E53A2F" w:rsidRPr="00D40D18">
        <w:t xml:space="preserve"> the ACMA’s activities proposed for 2019–20</w:t>
      </w:r>
    </w:p>
    <w:p w14:paraId="51370FB7" w14:textId="470C24C4" w:rsidR="00F63016" w:rsidRPr="008C44DD" w:rsidRDefault="000D5AAB" w:rsidP="008C44DD">
      <w:pPr>
        <w:pStyle w:val="ListBullet"/>
        <w:tabs>
          <w:tab w:val="clear" w:pos="-261"/>
          <w:tab w:val="num" w:pos="284"/>
        </w:tabs>
        <w:ind w:left="284" w:hanging="284"/>
      </w:pPr>
      <w:r w:rsidRPr="008C44DD">
        <w:rPr>
          <w:rStyle w:val="Hyperlink"/>
          <w:color w:val="auto"/>
          <w:u w:val="none"/>
        </w:rPr>
        <w:t>Part 1</w:t>
      </w:r>
      <w:r w:rsidR="00DE2074" w:rsidRPr="008C44DD">
        <w:t>—</w:t>
      </w:r>
      <w:r w:rsidR="00DB1B8C" w:rsidRPr="008C44DD">
        <w:t xml:space="preserve">provides an </w:t>
      </w:r>
      <w:r w:rsidR="00791A35" w:rsidRPr="008C44DD">
        <w:t xml:space="preserve">overview of the technology, market and policy drivers likely to shape the </w:t>
      </w:r>
      <w:r w:rsidR="00791A35" w:rsidRPr="008C44DD" w:rsidDel="006A2512">
        <w:t>demand</w:t>
      </w:r>
      <w:r w:rsidR="006A2512" w:rsidRPr="008C44DD">
        <w:t xml:space="preserve"> of</w:t>
      </w:r>
      <w:r w:rsidR="00791A35" w:rsidRPr="008C44DD" w:rsidDel="006A2512">
        <w:t xml:space="preserve"> </w:t>
      </w:r>
      <w:r w:rsidR="00791A35" w:rsidRPr="008C44DD">
        <w:t>spectrum over the next five years</w:t>
      </w:r>
      <w:r w:rsidR="00DB1B8C" w:rsidRPr="008C44DD">
        <w:t xml:space="preserve"> </w:t>
      </w:r>
    </w:p>
    <w:p w14:paraId="3C07E0FC" w14:textId="5892D531" w:rsidR="008446E0" w:rsidRPr="00B53F89" w:rsidRDefault="000D5AAB" w:rsidP="008C44DD">
      <w:pPr>
        <w:pStyle w:val="ListBulletLast"/>
        <w:ind w:left="284" w:hanging="284"/>
      </w:pPr>
      <w:r w:rsidRPr="00B53F89">
        <w:rPr>
          <w:rStyle w:val="Hyperlink"/>
          <w:color w:val="auto"/>
          <w:u w:val="none"/>
        </w:rPr>
        <w:t>Part 2</w:t>
      </w:r>
      <w:r w:rsidR="00DE2074" w:rsidRPr="00B53F89">
        <w:t>—</w:t>
      </w:r>
      <w:r w:rsidR="00DB1B8C" w:rsidRPr="00B53F89">
        <w:t xml:space="preserve">gives </w:t>
      </w:r>
      <w:r w:rsidR="00791A35" w:rsidRPr="00B53F89">
        <w:t xml:space="preserve">detailed information about the ACMA’s planned work priorities </w:t>
      </w:r>
      <w:r w:rsidR="00B74E7A" w:rsidRPr="00B53F89">
        <w:t>for 2019</w:t>
      </w:r>
      <w:r w:rsidR="00DE2074" w:rsidRPr="00B53F89">
        <w:t>–</w:t>
      </w:r>
      <w:r w:rsidR="00B74E7A" w:rsidRPr="00B53F89">
        <w:t xml:space="preserve">20 relating </w:t>
      </w:r>
      <w:r w:rsidR="00791A35" w:rsidRPr="00B53F89">
        <w:t>to spectrum planning, forward allocation</w:t>
      </w:r>
      <w:r w:rsidR="00B74E7A" w:rsidRPr="00B53F89">
        <w:t>,</w:t>
      </w:r>
      <w:r w:rsidR="00791A35" w:rsidRPr="00B53F89">
        <w:t xml:space="preserve"> </w:t>
      </w:r>
      <w:r w:rsidR="00446D9B" w:rsidRPr="00B53F89">
        <w:t xml:space="preserve">spectrum management </w:t>
      </w:r>
      <w:r w:rsidR="00173EC1" w:rsidRPr="00B53F89">
        <w:t>improvements</w:t>
      </w:r>
      <w:r w:rsidR="00791A35" w:rsidRPr="00B53F89">
        <w:t>,</w:t>
      </w:r>
      <w:r w:rsidR="00B74E7A" w:rsidRPr="00B53F89">
        <w:t xml:space="preserve"> licensing, pricing and compliance</w:t>
      </w:r>
      <w:r w:rsidR="00DB1B8C" w:rsidRPr="00B53F89">
        <w:t>,</w:t>
      </w:r>
      <w:r w:rsidR="00B74E7A" w:rsidRPr="00B53F89">
        <w:t xml:space="preserve"> and enforcemen</w:t>
      </w:r>
      <w:r w:rsidR="00DB1B8C" w:rsidRPr="00B53F89">
        <w:t>t—</w:t>
      </w:r>
      <w:r w:rsidR="00B74E7A" w:rsidRPr="00B53F89">
        <w:t xml:space="preserve">recognising </w:t>
      </w:r>
      <w:r w:rsidR="00791A35" w:rsidRPr="00B53F89">
        <w:t xml:space="preserve">that these work streams </w:t>
      </w:r>
      <w:r w:rsidR="00B74E7A" w:rsidRPr="00B53F89">
        <w:t xml:space="preserve">sometimes include </w:t>
      </w:r>
      <w:r w:rsidR="00791A35" w:rsidRPr="00B53F89">
        <w:t>multi-year activities.</w:t>
      </w:r>
    </w:p>
    <w:p w14:paraId="64FB308F" w14:textId="14A351B9" w:rsidR="000A726A" w:rsidRPr="00B53F89" w:rsidRDefault="000A726A" w:rsidP="008C44DD">
      <w:pPr>
        <w:pStyle w:val="Heading2"/>
        <w:numPr>
          <w:ilvl w:val="0"/>
          <w:numId w:val="82"/>
        </w:numPr>
        <w:tabs>
          <w:tab w:val="clear" w:pos="720"/>
          <w:tab w:val="num" w:pos="567"/>
        </w:tabs>
        <w:ind w:left="357" w:hanging="357"/>
      </w:pPr>
      <w:bookmarkStart w:id="11" w:name="_Toc18505495"/>
      <w:r w:rsidRPr="00B53F89">
        <w:t>Key to icons</w:t>
      </w:r>
      <w:bookmarkEnd w:id="11"/>
    </w:p>
    <w:p w14:paraId="2CC63494" w14:textId="77777777" w:rsidR="00F85852" w:rsidRPr="00B53F89" w:rsidRDefault="00F85852" w:rsidP="00FA7446">
      <w:pPr>
        <w:pStyle w:val="ListParagraph"/>
        <w:keepNext/>
        <w:keepLines/>
        <w:spacing w:after="0" w:line="240" w:lineRule="auto"/>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60"/>
        <w:gridCol w:w="6101"/>
      </w:tblGrid>
      <w:tr w:rsidR="00B969FE" w:rsidRPr="00B53F89" w14:paraId="0D4D8538" w14:textId="77777777" w:rsidTr="008C44DD">
        <w:tc>
          <w:tcPr>
            <w:tcW w:w="1560" w:type="dxa"/>
          </w:tcPr>
          <w:p w14:paraId="2F81BD48" w14:textId="46F4C296" w:rsidR="00B969FE" w:rsidRPr="00B53F89" w:rsidRDefault="00B969FE" w:rsidP="008446E0">
            <w:pPr>
              <w:spacing w:after="80"/>
              <w:rPr>
                <w:b/>
              </w:rPr>
            </w:pPr>
            <w:bookmarkStart w:id="12" w:name="_Hlk16666443"/>
            <w:r w:rsidRPr="00B53F89">
              <w:rPr>
                <w:b/>
              </w:rPr>
              <w:t>FYSO icon</w:t>
            </w:r>
          </w:p>
        </w:tc>
        <w:tc>
          <w:tcPr>
            <w:tcW w:w="6101" w:type="dxa"/>
          </w:tcPr>
          <w:p w14:paraId="1F474C79" w14:textId="085168E8" w:rsidR="00B969FE" w:rsidRPr="00B53F89" w:rsidRDefault="00B969FE" w:rsidP="008446E0">
            <w:pPr>
              <w:spacing w:after="80"/>
              <w:rPr>
                <w:b/>
              </w:rPr>
            </w:pPr>
            <w:r w:rsidRPr="00B53F89">
              <w:rPr>
                <w:b/>
              </w:rPr>
              <w:t xml:space="preserve">Subject </w:t>
            </w:r>
            <w:r w:rsidR="000922AB">
              <w:rPr>
                <w:b/>
              </w:rPr>
              <w:t>a</w:t>
            </w:r>
            <w:r w:rsidRPr="00B53F89">
              <w:rPr>
                <w:b/>
              </w:rPr>
              <w:t>rea</w:t>
            </w:r>
          </w:p>
        </w:tc>
      </w:tr>
      <w:tr w:rsidR="00B969FE" w:rsidRPr="00B53F89" w14:paraId="327EE060" w14:textId="77777777" w:rsidTr="008C44DD">
        <w:tc>
          <w:tcPr>
            <w:tcW w:w="1560" w:type="dxa"/>
            <w:vAlign w:val="center"/>
          </w:tcPr>
          <w:p w14:paraId="71FC5EDA" w14:textId="59382118" w:rsidR="00B969FE" w:rsidRPr="00B53F89" w:rsidRDefault="00B969FE" w:rsidP="008446E0">
            <w:pPr>
              <w:spacing w:after="80"/>
            </w:pPr>
            <w:r w:rsidRPr="006A2F04">
              <w:rPr>
                <w:noProof/>
              </w:rPr>
              <w:drawing>
                <wp:inline distT="0" distB="0" distL="0" distR="0" wp14:anchorId="595A74A7" wp14:editId="7E3A09D3">
                  <wp:extent cx="342900" cy="361950"/>
                  <wp:effectExtent l="0" t="0" r="0" b="0"/>
                  <wp:docPr id="147" name="Picture 147"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tc>
        <w:tc>
          <w:tcPr>
            <w:tcW w:w="6101" w:type="dxa"/>
            <w:vAlign w:val="center"/>
          </w:tcPr>
          <w:p w14:paraId="79CFC328" w14:textId="220FEA9B" w:rsidR="00B969FE" w:rsidRPr="00B53F89" w:rsidRDefault="00B969FE" w:rsidP="008446E0">
            <w:pPr>
              <w:spacing w:after="80"/>
            </w:pPr>
            <w:r w:rsidRPr="00B53F89">
              <w:t>Wireless broadband</w:t>
            </w:r>
          </w:p>
        </w:tc>
      </w:tr>
      <w:tr w:rsidR="00B969FE" w:rsidRPr="00B53F89" w14:paraId="26312EF5" w14:textId="77777777" w:rsidTr="008C44DD">
        <w:tc>
          <w:tcPr>
            <w:tcW w:w="1560" w:type="dxa"/>
            <w:vAlign w:val="center"/>
          </w:tcPr>
          <w:p w14:paraId="48728CAE" w14:textId="1EB8A059" w:rsidR="00B969FE" w:rsidRPr="00B53F89" w:rsidRDefault="00465725" w:rsidP="008446E0">
            <w:pPr>
              <w:spacing w:after="80"/>
            </w:pPr>
            <w:r w:rsidRPr="006A2F04">
              <w:rPr>
                <w:noProof/>
              </w:rPr>
              <w:drawing>
                <wp:inline distT="0" distB="0" distL="0" distR="0" wp14:anchorId="2BEC4BE7" wp14:editId="2328A108">
                  <wp:extent cx="341630" cy="359410"/>
                  <wp:effectExtent l="0" t="0" r="1270" b="2540"/>
                  <wp:docPr id="104" name="Picture 104"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31"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p>
        </w:tc>
        <w:tc>
          <w:tcPr>
            <w:tcW w:w="6101" w:type="dxa"/>
            <w:vAlign w:val="center"/>
          </w:tcPr>
          <w:p w14:paraId="6D8BC5D3" w14:textId="4DF577C6" w:rsidR="00B969FE" w:rsidRPr="00B53F89" w:rsidRDefault="00B969FE" w:rsidP="008446E0">
            <w:pPr>
              <w:spacing w:after="80"/>
            </w:pPr>
            <w:r w:rsidRPr="00B53F89">
              <w:t>Satellite</w:t>
            </w:r>
          </w:p>
        </w:tc>
      </w:tr>
      <w:tr w:rsidR="00B969FE" w:rsidRPr="00B53F89" w14:paraId="7EB9EA55" w14:textId="77777777" w:rsidTr="008C44DD">
        <w:tc>
          <w:tcPr>
            <w:tcW w:w="1560" w:type="dxa"/>
            <w:vAlign w:val="center"/>
          </w:tcPr>
          <w:p w14:paraId="47E337DB" w14:textId="3D90E925" w:rsidR="00B969FE" w:rsidRPr="00B53F89" w:rsidRDefault="00B969FE" w:rsidP="008446E0">
            <w:pPr>
              <w:spacing w:after="80"/>
            </w:pPr>
            <w:r w:rsidRPr="006A2F04">
              <w:rPr>
                <w:noProof/>
              </w:rPr>
              <w:drawing>
                <wp:inline distT="0" distB="0" distL="0" distR="0" wp14:anchorId="7B4D0615" wp14:editId="54EF4512">
                  <wp:extent cx="342900" cy="361950"/>
                  <wp:effectExtent l="0" t="0" r="0" b="0"/>
                  <wp:docPr id="149" name="Picture 149"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tc>
        <w:tc>
          <w:tcPr>
            <w:tcW w:w="6101" w:type="dxa"/>
            <w:vAlign w:val="center"/>
          </w:tcPr>
          <w:p w14:paraId="72E2B801" w14:textId="0C9BF4E2" w:rsidR="00B969FE" w:rsidRPr="00B53F89" w:rsidRDefault="00B969FE" w:rsidP="008446E0">
            <w:pPr>
              <w:spacing w:after="80"/>
            </w:pPr>
            <w:r w:rsidRPr="00B53F89">
              <w:t>Class licensing</w:t>
            </w:r>
          </w:p>
        </w:tc>
      </w:tr>
      <w:tr w:rsidR="00B969FE" w:rsidRPr="00B53F89" w14:paraId="30002F73" w14:textId="77777777" w:rsidTr="008C44DD">
        <w:tc>
          <w:tcPr>
            <w:tcW w:w="1560" w:type="dxa"/>
            <w:vAlign w:val="center"/>
          </w:tcPr>
          <w:p w14:paraId="3D5FB557" w14:textId="3666AE14" w:rsidR="00B969FE" w:rsidRPr="00B53F89" w:rsidRDefault="00B969FE" w:rsidP="008446E0">
            <w:pPr>
              <w:spacing w:after="80"/>
            </w:pPr>
            <w:r w:rsidRPr="006A2F04">
              <w:rPr>
                <w:noProof/>
              </w:rPr>
              <w:drawing>
                <wp:inline distT="0" distB="0" distL="0" distR="0" wp14:anchorId="1C311088" wp14:editId="2153EE07">
                  <wp:extent cx="342900" cy="361950"/>
                  <wp:effectExtent l="0" t="0" r="0" b="0"/>
                  <wp:docPr id="150" name="Picture 150" descr="Internet of Thing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Internet of Things icon"/>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tc>
        <w:tc>
          <w:tcPr>
            <w:tcW w:w="6101" w:type="dxa"/>
            <w:vAlign w:val="center"/>
          </w:tcPr>
          <w:p w14:paraId="1BBCAB31" w14:textId="2ABCC0D4" w:rsidR="00B969FE" w:rsidRPr="00B53F89" w:rsidRDefault="00B969FE" w:rsidP="008446E0">
            <w:pPr>
              <w:spacing w:after="80"/>
            </w:pPr>
            <w:r w:rsidRPr="00B53F89">
              <w:t>Internet of Things</w:t>
            </w:r>
          </w:p>
        </w:tc>
      </w:tr>
      <w:tr w:rsidR="00B969FE" w:rsidRPr="00B53F89" w14:paraId="774C24FA" w14:textId="77777777" w:rsidTr="008C44DD">
        <w:tc>
          <w:tcPr>
            <w:tcW w:w="1560" w:type="dxa"/>
            <w:vAlign w:val="center"/>
          </w:tcPr>
          <w:p w14:paraId="12290E8B" w14:textId="2BF0B907" w:rsidR="00B969FE" w:rsidRPr="00B53F89" w:rsidRDefault="00B969FE" w:rsidP="008446E0">
            <w:pPr>
              <w:spacing w:after="80"/>
            </w:pPr>
            <w:r w:rsidRPr="006A2F04">
              <w:rPr>
                <w:noProof/>
              </w:rPr>
              <w:drawing>
                <wp:inline distT="0" distB="0" distL="0" distR="0" wp14:anchorId="4CF71C48" wp14:editId="3F04CEB9">
                  <wp:extent cx="342900" cy="361950"/>
                  <wp:effectExtent l="0" t="0" r="0" b="0"/>
                  <wp:docPr id="151" name="Picture 151"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Radio/TV broadcasting icon"/>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tc>
        <w:tc>
          <w:tcPr>
            <w:tcW w:w="6101" w:type="dxa"/>
            <w:vAlign w:val="center"/>
          </w:tcPr>
          <w:p w14:paraId="4C1FB413" w14:textId="1409AF57" w:rsidR="00B969FE" w:rsidRPr="00B53F89" w:rsidRDefault="00B969FE" w:rsidP="008446E0">
            <w:pPr>
              <w:spacing w:after="80"/>
            </w:pPr>
            <w:r w:rsidRPr="00B53F89">
              <w:t xml:space="preserve">Radio and </w:t>
            </w:r>
            <w:r w:rsidR="00167099" w:rsidRPr="00B53F89">
              <w:t>television</w:t>
            </w:r>
            <w:r w:rsidRPr="00B53F89">
              <w:t xml:space="preserve"> broadcasting</w:t>
            </w:r>
          </w:p>
        </w:tc>
      </w:tr>
      <w:tr w:rsidR="00B969FE" w:rsidRPr="00B53F89" w14:paraId="35ABA3D6" w14:textId="77777777" w:rsidTr="008C44DD">
        <w:tc>
          <w:tcPr>
            <w:tcW w:w="1560" w:type="dxa"/>
            <w:vAlign w:val="center"/>
          </w:tcPr>
          <w:p w14:paraId="3F337020" w14:textId="3421B70C" w:rsidR="00B969FE" w:rsidRPr="00B53F89" w:rsidRDefault="00B969FE" w:rsidP="008446E0">
            <w:pPr>
              <w:spacing w:after="80"/>
            </w:pPr>
            <w:r w:rsidRPr="006A2F04">
              <w:rPr>
                <w:noProof/>
              </w:rPr>
              <w:drawing>
                <wp:inline distT="0" distB="0" distL="0" distR="0" wp14:anchorId="0C781B82" wp14:editId="76C3FD06">
                  <wp:extent cx="342900" cy="361950"/>
                  <wp:effectExtent l="0" t="0" r="0" b="0"/>
                  <wp:docPr id="152" name="Picture 152" descr="Amateur radio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Amateur radio icon"/>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tc>
        <w:tc>
          <w:tcPr>
            <w:tcW w:w="6101" w:type="dxa"/>
            <w:vAlign w:val="center"/>
          </w:tcPr>
          <w:p w14:paraId="33614548" w14:textId="6670E99D" w:rsidR="00B969FE" w:rsidRPr="00B53F89" w:rsidRDefault="00B969FE" w:rsidP="008446E0">
            <w:pPr>
              <w:spacing w:after="80"/>
            </w:pPr>
            <w:r w:rsidRPr="00B53F89">
              <w:t>Amateur radio</w:t>
            </w:r>
          </w:p>
        </w:tc>
      </w:tr>
      <w:tr w:rsidR="00B969FE" w:rsidRPr="00B53F89" w14:paraId="36D83E26" w14:textId="77777777" w:rsidTr="008C44DD">
        <w:tc>
          <w:tcPr>
            <w:tcW w:w="1560" w:type="dxa"/>
            <w:vAlign w:val="center"/>
          </w:tcPr>
          <w:p w14:paraId="14B929ED" w14:textId="54859236" w:rsidR="00B969FE" w:rsidRPr="00B53F89" w:rsidRDefault="00B969FE" w:rsidP="008446E0">
            <w:pPr>
              <w:spacing w:after="80"/>
            </w:pPr>
            <w:r w:rsidRPr="006A2F04">
              <w:rPr>
                <w:noProof/>
              </w:rPr>
              <w:drawing>
                <wp:inline distT="0" distB="0" distL="0" distR="0" wp14:anchorId="2346FA69" wp14:editId="75014AFC">
                  <wp:extent cx="342900" cy="361950"/>
                  <wp:effectExtent l="0" t="0" r="0" b="0"/>
                  <wp:docPr id="153" name="Picture 153"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Point to multipoint icon"/>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tc>
        <w:tc>
          <w:tcPr>
            <w:tcW w:w="6101" w:type="dxa"/>
            <w:vAlign w:val="center"/>
          </w:tcPr>
          <w:p w14:paraId="1E8A3321" w14:textId="3325D71C" w:rsidR="00B969FE" w:rsidRPr="00B53F89" w:rsidRDefault="00B969FE" w:rsidP="008446E0">
            <w:pPr>
              <w:spacing w:after="80"/>
            </w:pPr>
            <w:r w:rsidRPr="00B53F89">
              <w:t>Point-to-multipoint</w:t>
            </w:r>
          </w:p>
        </w:tc>
      </w:tr>
      <w:tr w:rsidR="00B969FE" w:rsidRPr="00B53F89" w14:paraId="0F9201C8" w14:textId="77777777" w:rsidTr="008C44DD">
        <w:tc>
          <w:tcPr>
            <w:tcW w:w="1560" w:type="dxa"/>
            <w:vAlign w:val="center"/>
          </w:tcPr>
          <w:p w14:paraId="20D50462" w14:textId="3A6FB58E" w:rsidR="00B969FE" w:rsidRPr="00B53F89" w:rsidRDefault="00B969FE" w:rsidP="008446E0">
            <w:pPr>
              <w:spacing w:after="80"/>
            </w:pPr>
            <w:r w:rsidRPr="006A2F04">
              <w:rPr>
                <w:noProof/>
              </w:rPr>
              <w:drawing>
                <wp:inline distT="0" distB="0" distL="0" distR="0" wp14:anchorId="6A94CDD1" wp14:editId="69A8C4D5">
                  <wp:extent cx="342900" cy="361950"/>
                  <wp:effectExtent l="0" t="0" r="0" b="0"/>
                  <wp:docPr id="154" name="Picture 154"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tc>
        <w:tc>
          <w:tcPr>
            <w:tcW w:w="6101" w:type="dxa"/>
            <w:vAlign w:val="center"/>
          </w:tcPr>
          <w:p w14:paraId="2715EF81" w14:textId="3677AD55" w:rsidR="00B969FE" w:rsidRPr="00B53F89" w:rsidRDefault="00B969FE" w:rsidP="008446E0">
            <w:pPr>
              <w:spacing w:after="80"/>
            </w:pPr>
            <w:r w:rsidRPr="00B53F89">
              <w:t>Point-to-point</w:t>
            </w:r>
          </w:p>
        </w:tc>
      </w:tr>
      <w:tr w:rsidR="00B969FE" w:rsidRPr="00B53F89" w14:paraId="10043479" w14:textId="77777777" w:rsidTr="008C44DD">
        <w:tc>
          <w:tcPr>
            <w:tcW w:w="1560" w:type="dxa"/>
            <w:vAlign w:val="center"/>
          </w:tcPr>
          <w:p w14:paraId="6F5B07EE" w14:textId="263103DB" w:rsidR="00B969FE" w:rsidRPr="00B53F89" w:rsidRDefault="00B969FE" w:rsidP="008446E0">
            <w:pPr>
              <w:spacing w:after="80"/>
            </w:pPr>
            <w:r w:rsidRPr="006A2F04">
              <w:rPr>
                <w:noProof/>
              </w:rPr>
              <w:drawing>
                <wp:inline distT="0" distB="0" distL="0" distR="0" wp14:anchorId="416DBA02" wp14:editId="2985A336">
                  <wp:extent cx="342900" cy="361950"/>
                  <wp:effectExtent l="0" t="0" r="0" b="0"/>
                  <wp:docPr id="155" name="Picture 155" descr="Defenc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Defence icon"/>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tc>
        <w:tc>
          <w:tcPr>
            <w:tcW w:w="6101" w:type="dxa"/>
            <w:vAlign w:val="center"/>
          </w:tcPr>
          <w:p w14:paraId="124C3119" w14:textId="54D3AE43" w:rsidR="00B969FE" w:rsidRPr="00B53F89" w:rsidRDefault="00B969FE" w:rsidP="008446E0">
            <w:pPr>
              <w:spacing w:after="80"/>
            </w:pPr>
            <w:r w:rsidRPr="00B53F89">
              <w:t>Defence</w:t>
            </w:r>
          </w:p>
        </w:tc>
      </w:tr>
      <w:tr w:rsidR="00B969FE" w:rsidRPr="00B53F89" w14:paraId="26A8D363" w14:textId="77777777" w:rsidTr="008C44DD">
        <w:tc>
          <w:tcPr>
            <w:tcW w:w="1560" w:type="dxa"/>
            <w:vAlign w:val="center"/>
          </w:tcPr>
          <w:p w14:paraId="0C5DB5C4" w14:textId="5AAE2AF7" w:rsidR="00B969FE" w:rsidRPr="00B53F89" w:rsidRDefault="00B969FE" w:rsidP="008446E0">
            <w:pPr>
              <w:spacing w:after="80"/>
            </w:pPr>
            <w:r w:rsidRPr="006A2F04">
              <w:rPr>
                <w:noProof/>
              </w:rPr>
              <w:drawing>
                <wp:inline distT="0" distB="0" distL="0" distR="0" wp14:anchorId="66B32AA8" wp14:editId="02786293">
                  <wp:extent cx="342900" cy="361950"/>
                  <wp:effectExtent l="0" t="0" r="0" b="0"/>
                  <wp:docPr id="156" name="Picture 156" descr="Aviation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Aviation icon"/>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tc>
        <w:tc>
          <w:tcPr>
            <w:tcW w:w="6101" w:type="dxa"/>
            <w:vAlign w:val="center"/>
          </w:tcPr>
          <w:p w14:paraId="0212CF56" w14:textId="2999F044" w:rsidR="00B969FE" w:rsidRPr="00B53F89" w:rsidRDefault="00B969FE" w:rsidP="008446E0">
            <w:pPr>
              <w:spacing w:after="80"/>
            </w:pPr>
            <w:r w:rsidRPr="00B53F89">
              <w:t>Aviation</w:t>
            </w:r>
          </w:p>
        </w:tc>
      </w:tr>
      <w:tr w:rsidR="00B969FE" w:rsidRPr="00B53F89" w14:paraId="049FCEA7" w14:textId="77777777" w:rsidTr="008C44DD">
        <w:tc>
          <w:tcPr>
            <w:tcW w:w="1560" w:type="dxa"/>
            <w:vAlign w:val="center"/>
          </w:tcPr>
          <w:p w14:paraId="35C238D6" w14:textId="6354B80B" w:rsidR="00B969FE" w:rsidRPr="00B53F89" w:rsidRDefault="00B969FE" w:rsidP="008446E0">
            <w:pPr>
              <w:spacing w:after="80"/>
            </w:pPr>
            <w:r w:rsidRPr="006A2F04">
              <w:rPr>
                <w:noProof/>
              </w:rPr>
              <w:drawing>
                <wp:inline distT="0" distB="0" distL="0" distR="0" wp14:anchorId="44257BCD" wp14:editId="6D0B4056">
                  <wp:extent cx="342900" cy="361950"/>
                  <wp:effectExtent l="0" t="0" r="0" b="0"/>
                  <wp:docPr id="157" name="Picture 157" descr="Maritim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Maritime icon"/>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tc>
        <w:tc>
          <w:tcPr>
            <w:tcW w:w="6101" w:type="dxa"/>
            <w:vAlign w:val="center"/>
          </w:tcPr>
          <w:p w14:paraId="770B393D" w14:textId="144D4FCF" w:rsidR="00B969FE" w:rsidRPr="00B53F89" w:rsidRDefault="00B969FE" w:rsidP="008446E0">
            <w:pPr>
              <w:spacing w:after="80"/>
            </w:pPr>
            <w:r w:rsidRPr="00B53F89">
              <w:t>Maritime</w:t>
            </w:r>
          </w:p>
        </w:tc>
      </w:tr>
      <w:tr w:rsidR="00B969FE" w:rsidRPr="00B53F89" w14:paraId="7B23556C" w14:textId="77777777" w:rsidTr="008C44DD">
        <w:tc>
          <w:tcPr>
            <w:tcW w:w="1560" w:type="dxa"/>
            <w:vAlign w:val="center"/>
          </w:tcPr>
          <w:p w14:paraId="01C788F4" w14:textId="2EBB037C" w:rsidR="00B969FE" w:rsidRPr="00B53F89" w:rsidRDefault="00B969FE" w:rsidP="008446E0">
            <w:pPr>
              <w:spacing w:after="80"/>
            </w:pPr>
            <w:r w:rsidRPr="006A2F04">
              <w:rPr>
                <w:noProof/>
              </w:rPr>
              <w:drawing>
                <wp:inline distT="0" distB="0" distL="0" distR="0" wp14:anchorId="5781655E" wp14:editId="1A1A9F44">
                  <wp:extent cx="342900" cy="361950"/>
                  <wp:effectExtent l="0" t="0" r="0" b="0"/>
                  <wp:docPr id="158" name="Picture 158"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tc>
        <w:tc>
          <w:tcPr>
            <w:tcW w:w="6101" w:type="dxa"/>
            <w:vAlign w:val="center"/>
          </w:tcPr>
          <w:p w14:paraId="5EDDB987" w14:textId="2490556B" w:rsidR="00B969FE" w:rsidRPr="00B53F89" w:rsidRDefault="00B969FE" w:rsidP="008446E0">
            <w:pPr>
              <w:spacing w:after="80"/>
            </w:pPr>
            <w:r w:rsidRPr="00B53F89">
              <w:t>International interests and engagement</w:t>
            </w:r>
          </w:p>
        </w:tc>
      </w:tr>
      <w:tr w:rsidR="00B969FE" w:rsidRPr="00B53F89" w14:paraId="0738588C" w14:textId="77777777" w:rsidTr="008C44DD">
        <w:tc>
          <w:tcPr>
            <w:tcW w:w="1560" w:type="dxa"/>
            <w:vAlign w:val="center"/>
          </w:tcPr>
          <w:p w14:paraId="1590F7DD" w14:textId="0194C948" w:rsidR="00B969FE" w:rsidRPr="00B53F89" w:rsidRDefault="00B969FE" w:rsidP="008446E0">
            <w:pPr>
              <w:spacing w:after="80"/>
            </w:pPr>
            <w:r w:rsidRPr="006A2F04">
              <w:rPr>
                <w:noProof/>
              </w:rPr>
              <w:drawing>
                <wp:inline distT="0" distB="0" distL="0" distR="0" wp14:anchorId="43FA7A77" wp14:editId="7B39009E">
                  <wp:extent cx="342900" cy="361950"/>
                  <wp:effectExtent l="0" t="0" r="0" b="0"/>
                  <wp:docPr id="159" name="Picture 159" descr="Pric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Pricing icon"/>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tc>
        <w:tc>
          <w:tcPr>
            <w:tcW w:w="6101" w:type="dxa"/>
            <w:vAlign w:val="center"/>
          </w:tcPr>
          <w:p w14:paraId="758194DA" w14:textId="3B5C9068" w:rsidR="00B969FE" w:rsidRPr="00B53F89" w:rsidRDefault="00B969FE" w:rsidP="008446E0">
            <w:pPr>
              <w:spacing w:after="80"/>
            </w:pPr>
            <w:r w:rsidRPr="00B53F89">
              <w:t>Pricing</w:t>
            </w:r>
          </w:p>
        </w:tc>
      </w:tr>
    </w:tbl>
    <w:p w14:paraId="7104F9B8" w14:textId="467D1E92" w:rsidR="009116B7" w:rsidRPr="00B53F89" w:rsidRDefault="003F692F" w:rsidP="00DE694D">
      <w:pPr>
        <w:pStyle w:val="Heading1"/>
      </w:pPr>
      <w:bookmarkStart w:id="13" w:name="_Toc348105635"/>
      <w:bookmarkStart w:id="14" w:name="_Toc442879668"/>
      <w:bookmarkStart w:id="15" w:name="_Toc510795063"/>
      <w:bookmarkStart w:id="16" w:name="_Toc511716264"/>
      <w:bookmarkStart w:id="17" w:name="_Toc511719075"/>
      <w:bookmarkStart w:id="18" w:name="_Toc522794072"/>
      <w:bookmarkStart w:id="19" w:name="_Toc18505496"/>
      <w:bookmarkEnd w:id="12"/>
      <w:r w:rsidRPr="00B53F89">
        <w:lastRenderedPageBreak/>
        <w:t>At a glance</w:t>
      </w:r>
      <w:r w:rsidR="001801F4" w:rsidRPr="00B53F89">
        <w:t>—</w:t>
      </w:r>
      <w:r w:rsidR="00D02159" w:rsidRPr="00B53F89">
        <w:t>2019</w:t>
      </w:r>
      <w:r w:rsidR="001801F4" w:rsidRPr="00B53F89">
        <w:t>–</w:t>
      </w:r>
      <w:r w:rsidR="00D02159" w:rsidRPr="00B53F89">
        <w:t>20</w:t>
      </w:r>
      <w:r w:rsidR="009116B7" w:rsidRPr="00B53F89">
        <w:t xml:space="preserve"> </w:t>
      </w:r>
      <w:r w:rsidR="001801F4" w:rsidRPr="00B53F89">
        <w:t>w</w:t>
      </w:r>
      <w:r w:rsidR="009116B7" w:rsidRPr="00B53F89">
        <w:t>ork program</w:t>
      </w:r>
      <w:bookmarkEnd w:id="13"/>
      <w:bookmarkEnd w:id="14"/>
      <w:bookmarkEnd w:id="15"/>
      <w:bookmarkEnd w:id="16"/>
      <w:bookmarkEnd w:id="17"/>
      <w:bookmarkEnd w:id="18"/>
      <w:bookmarkEnd w:id="19"/>
    </w:p>
    <w:p w14:paraId="7B173B23" w14:textId="047C801B" w:rsidR="00B80555" w:rsidRPr="00B53F89" w:rsidRDefault="00A57D79" w:rsidP="00DE694D">
      <w:r w:rsidRPr="00B53F89">
        <w:t>The tables below provide a summary of the ACMA</w:t>
      </w:r>
      <w:r w:rsidR="00B80555" w:rsidRPr="00B53F89">
        <w:t>’s</w:t>
      </w:r>
      <w:r w:rsidRPr="00B53F89">
        <w:t xml:space="preserve"> </w:t>
      </w:r>
      <w:r w:rsidR="00B80555" w:rsidRPr="00B53F89">
        <w:t xml:space="preserve">proposed </w:t>
      </w:r>
      <w:r w:rsidRPr="00B53F89">
        <w:t xml:space="preserve">key </w:t>
      </w:r>
      <w:r w:rsidR="00B80555" w:rsidRPr="00B53F89">
        <w:t xml:space="preserve">spectrum management </w:t>
      </w:r>
      <w:r w:rsidRPr="00B53F89">
        <w:t xml:space="preserve">activities for </w:t>
      </w:r>
      <w:r w:rsidR="003A53AD" w:rsidRPr="00B53F89">
        <w:t xml:space="preserve">the </w:t>
      </w:r>
      <w:r w:rsidRPr="00B53F89">
        <w:t>2019</w:t>
      </w:r>
      <w:r w:rsidR="00AE2ABA" w:rsidRPr="00B53F89">
        <w:t>–</w:t>
      </w:r>
      <w:r w:rsidRPr="00B53F89">
        <w:t>20</w:t>
      </w:r>
      <w:r w:rsidR="003A53AD" w:rsidRPr="00B53F89">
        <w:t xml:space="preserve"> financial year</w:t>
      </w:r>
      <w:r w:rsidRPr="00B53F89">
        <w:t xml:space="preserve">. </w:t>
      </w:r>
    </w:p>
    <w:p w14:paraId="6DEAC7A9" w14:textId="1D2577B7" w:rsidR="00A57D79" w:rsidRPr="00B53F89" w:rsidRDefault="00B80555" w:rsidP="008C44DD">
      <w:r w:rsidRPr="00B53F89">
        <w:t>The ‘proposed timelines’ column details</w:t>
      </w:r>
      <w:r w:rsidR="00A57D79" w:rsidRPr="00B53F89">
        <w:t>:</w:t>
      </w:r>
    </w:p>
    <w:p w14:paraId="3EDC4439" w14:textId="32B1D3D4" w:rsidR="00A57D79" w:rsidRPr="00B53F89" w:rsidRDefault="00A57D79" w:rsidP="008C44DD">
      <w:pPr>
        <w:pStyle w:val="ListBullet"/>
        <w:ind w:left="284" w:hanging="284"/>
      </w:pPr>
      <w:r w:rsidRPr="00A01A2B">
        <w:t>t</w:t>
      </w:r>
      <w:r w:rsidR="007D4950" w:rsidRPr="00EF1004">
        <w:t>iming</w:t>
      </w:r>
      <w:r w:rsidR="001A3F7F" w:rsidRPr="00B53F89">
        <w:t xml:space="preserve"> for </w:t>
      </w:r>
      <w:r w:rsidR="009116B7" w:rsidRPr="00B53F89">
        <w:t xml:space="preserve">activities </w:t>
      </w:r>
      <w:r w:rsidR="00B80555" w:rsidRPr="00B53F89">
        <w:t>(</w:t>
      </w:r>
      <w:r w:rsidRPr="00B53F89">
        <w:t>these</w:t>
      </w:r>
      <w:r w:rsidR="007D4950" w:rsidRPr="00B53F89">
        <w:t xml:space="preserve"> may be affected by </w:t>
      </w:r>
      <w:r w:rsidR="001A3F7F" w:rsidRPr="00B53F89">
        <w:t xml:space="preserve">the </w:t>
      </w:r>
      <w:r w:rsidR="007D4950" w:rsidRPr="00B53F89">
        <w:t>progression o</w:t>
      </w:r>
      <w:r w:rsidR="001A3F7F" w:rsidRPr="00B53F89">
        <w:t>f</w:t>
      </w:r>
      <w:r w:rsidR="007D4950" w:rsidRPr="00B53F89">
        <w:t xml:space="preserve"> other projects</w:t>
      </w:r>
      <w:r w:rsidR="00B80555" w:rsidRPr="00B53F89">
        <w:t>)</w:t>
      </w:r>
    </w:p>
    <w:p w14:paraId="24FEF1DF" w14:textId="666239B2" w:rsidR="00A57D79" w:rsidRPr="00B53F89" w:rsidRDefault="001A3F7F" w:rsidP="008C44DD">
      <w:pPr>
        <w:pStyle w:val="ListBulletLast"/>
        <w:ind w:left="284" w:hanging="284"/>
      </w:pPr>
      <w:r w:rsidRPr="00B53F89">
        <w:t>o</w:t>
      </w:r>
      <w:r w:rsidR="009116B7" w:rsidRPr="00B53F89">
        <w:t>pportunities for consultation and engagement</w:t>
      </w:r>
      <w:r w:rsidR="009354DF" w:rsidRPr="00B53F89">
        <w:t>.</w:t>
      </w:r>
    </w:p>
    <w:p w14:paraId="2A415563" w14:textId="19500E5C" w:rsidR="00CC0240" w:rsidRPr="00B53F89" w:rsidRDefault="00A54553" w:rsidP="008C44DD">
      <w:r>
        <w:pict w14:anchorId="473A73A5">
          <v:shape id="_x0000_i1027" type="#_x0000_t75" alt="A close up of a sign&#10;&#10;Description automatically generated" style="width:21.75pt;height:14.25pt;visibility:visible;mso-wrap-style:square">
            <v:imagedata r:id="rId43" o:title="A close up of a sign&#10;&#10;Description automatically generated"/>
          </v:shape>
        </w:pict>
      </w:r>
      <w:r w:rsidR="006863EE" w:rsidRPr="00B53F89">
        <w:t xml:space="preserve"> </w:t>
      </w:r>
      <w:r w:rsidR="001A6339" w:rsidRPr="00B53F89">
        <w:t>Quarters refer to calendar year quarters</w:t>
      </w:r>
      <w:r w:rsidR="00E5180E" w:rsidRPr="00B53F89">
        <w:t>, reflecting feedback in submissions</w:t>
      </w:r>
      <w:r w:rsidR="001A6339" w:rsidRPr="00B53F89">
        <w:t xml:space="preserve">. </w:t>
      </w:r>
      <w:r w:rsidR="001A3F7F" w:rsidRPr="00B53F89">
        <w:t>T</w:t>
      </w:r>
      <w:r w:rsidR="00CC0240" w:rsidRPr="00B53F89">
        <w:t>he following abbreviations are used throughout:</w:t>
      </w:r>
    </w:p>
    <w:p w14:paraId="27757FF2" w14:textId="6B182C27" w:rsidR="00CC0240" w:rsidRPr="00B53F89" w:rsidRDefault="009354DF" w:rsidP="00A01A2B">
      <w:pPr>
        <w:pStyle w:val="ListBullet"/>
        <w:tabs>
          <w:tab w:val="clear" w:pos="-261"/>
          <w:tab w:val="num" w:pos="-249"/>
        </w:tabs>
        <w:ind w:left="284" w:hanging="289"/>
      </w:pPr>
      <w:r w:rsidRPr="00B53F89">
        <w:t>q</w:t>
      </w:r>
      <w:r w:rsidR="00CC0240" w:rsidRPr="00B53F89">
        <w:t xml:space="preserve">uarter 1 (Q1): </w:t>
      </w:r>
      <w:r w:rsidR="001A6339" w:rsidRPr="00B53F89">
        <w:t xml:space="preserve">1 January–31 March </w:t>
      </w:r>
    </w:p>
    <w:p w14:paraId="61BA3D9B" w14:textId="1962C098" w:rsidR="00CC0240" w:rsidRPr="00B53F89" w:rsidRDefault="009354DF" w:rsidP="008C44DD">
      <w:pPr>
        <w:pStyle w:val="ListBullet"/>
        <w:ind w:left="284" w:hanging="289"/>
      </w:pPr>
      <w:r w:rsidRPr="00B53F89">
        <w:t>q</w:t>
      </w:r>
      <w:r w:rsidR="00CC0240" w:rsidRPr="00B53F89">
        <w:t xml:space="preserve">uarter 2 (Q2): </w:t>
      </w:r>
      <w:r w:rsidR="001A6339" w:rsidRPr="00B53F89">
        <w:t xml:space="preserve">1 April–30 June </w:t>
      </w:r>
    </w:p>
    <w:p w14:paraId="40DA4338" w14:textId="7C833466" w:rsidR="00CC0240" w:rsidRPr="00B53F89" w:rsidRDefault="009354DF" w:rsidP="008C44DD">
      <w:pPr>
        <w:pStyle w:val="ListBullet"/>
        <w:ind w:left="284" w:hanging="289"/>
      </w:pPr>
      <w:r w:rsidRPr="00B53F89">
        <w:t>q</w:t>
      </w:r>
      <w:r w:rsidR="00CC0240" w:rsidRPr="00B53F89">
        <w:t xml:space="preserve">uarter 3 (Q3): </w:t>
      </w:r>
      <w:r w:rsidR="001A6339" w:rsidRPr="00B53F89">
        <w:t>1 July–30 September</w:t>
      </w:r>
    </w:p>
    <w:p w14:paraId="10518201" w14:textId="3C285E98" w:rsidR="00CC0240" w:rsidRPr="00B53F89" w:rsidRDefault="009354DF" w:rsidP="008C44DD">
      <w:pPr>
        <w:pStyle w:val="ListBulletLast"/>
        <w:ind w:left="284" w:hanging="289"/>
      </w:pPr>
      <w:r w:rsidRPr="00B53F89">
        <w:t>q</w:t>
      </w:r>
      <w:r w:rsidR="00CC0240" w:rsidRPr="00B53F89">
        <w:t>uarter 4 (Q4):</w:t>
      </w:r>
      <w:r w:rsidR="00633323" w:rsidRPr="00B53F89">
        <w:t xml:space="preserve"> </w:t>
      </w:r>
      <w:r w:rsidR="001A6339" w:rsidRPr="00B53F89">
        <w:t>1 October–31 December</w:t>
      </w:r>
      <w:r w:rsidR="00CC0240" w:rsidRPr="00B53F89">
        <w:t>.</w:t>
      </w:r>
    </w:p>
    <w:p w14:paraId="25056808" w14:textId="77777777" w:rsidR="001438A9" w:rsidRPr="00B53F89" w:rsidRDefault="001438A9" w:rsidP="001438A9">
      <w:pPr>
        <w:pStyle w:val="ACMATableHeader"/>
        <w:keepNext/>
        <w:keepLines/>
      </w:pPr>
      <w:r w:rsidRPr="00B53F89">
        <w:t>International engagement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1E0" w:firstRow="1" w:lastRow="1" w:firstColumn="1" w:lastColumn="1" w:noHBand="0" w:noVBand="0"/>
        <w:tblCaption w:val="Table title to go here"/>
        <w:tblDescription w:val="Table description to go here"/>
      </w:tblPr>
      <w:tblGrid>
        <w:gridCol w:w="3539"/>
        <w:gridCol w:w="4122"/>
      </w:tblGrid>
      <w:tr w:rsidR="001438A9" w:rsidRPr="00B53F89" w14:paraId="6FBAFCDD" w14:textId="77777777" w:rsidTr="00BC0C4A">
        <w:trPr>
          <w:tblHeader/>
        </w:trPr>
        <w:tc>
          <w:tcPr>
            <w:tcW w:w="2310" w:type="pct"/>
            <w:shd w:val="clear" w:color="auto" w:fill="404040" w:themeFill="text1" w:themeFillTint="BF"/>
          </w:tcPr>
          <w:p w14:paraId="5B74B067" w14:textId="77777777" w:rsidR="001438A9" w:rsidRPr="00B53F89" w:rsidRDefault="001438A9" w:rsidP="00BC0C4A">
            <w:pPr>
              <w:pStyle w:val="TableHeading"/>
            </w:pPr>
            <w:r w:rsidRPr="00B53F89">
              <w:t>Project priorities</w:t>
            </w:r>
          </w:p>
        </w:tc>
        <w:tc>
          <w:tcPr>
            <w:tcW w:w="2690" w:type="pct"/>
            <w:shd w:val="clear" w:color="auto" w:fill="404040" w:themeFill="text1" w:themeFillTint="BF"/>
          </w:tcPr>
          <w:p w14:paraId="26A053C9" w14:textId="77777777" w:rsidR="001438A9" w:rsidRPr="00B53F89" w:rsidRDefault="001438A9" w:rsidP="00BC0C4A">
            <w:pPr>
              <w:pStyle w:val="TableHeading"/>
            </w:pPr>
            <w:r w:rsidRPr="00B53F89">
              <w:t>Proposed timelines</w:t>
            </w:r>
          </w:p>
        </w:tc>
      </w:tr>
      <w:tr w:rsidR="001438A9" w:rsidRPr="00B53F89" w14:paraId="43D94C27" w14:textId="77777777" w:rsidTr="00BC0C4A">
        <w:tc>
          <w:tcPr>
            <w:tcW w:w="2310" w:type="pct"/>
            <w:shd w:val="clear" w:color="auto" w:fill="auto"/>
          </w:tcPr>
          <w:p w14:paraId="7383A8FC" w14:textId="77777777" w:rsidR="001438A9" w:rsidRPr="00B53F89" w:rsidRDefault="001438A9" w:rsidP="00BC0C4A">
            <w:pPr>
              <w:pStyle w:val="TableBody"/>
              <w:spacing w:before="100" w:beforeAutospacing="1" w:after="100" w:afterAutospacing="1" w:line="240" w:lineRule="atLeast"/>
              <w:contextualSpacing/>
              <w:mirrorIndents/>
              <w:rPr>
                <w:rFonts w:cs="Arial"/>
                <w:szCs w:val="20"/>
              </w:rPr>
            </w:pPr>
            <w:r w:rsidRPr="00B53F89">
              <w:rPr>
                <w:rFonts w:cs="Arial"/>
                <w:szCs w:val="20"/>
              </w:rPr>
              <w:t>ITU-R Study Group 4 block meetings</w:t>
            </w:r>
          </w:p>
        </w:tc>
        <w:tc>
          <w:tcPr>
            <w:tcW w:w="2690" w:type="pct"/>
            <w:shd w:val="clear" w:color="auto" w:fill="auto"/>
          </w:tcPr>
          <w:p w14:paraId="51D09883" w14:textId="437E13D9" w:rsidR="001438A9" w:rsidRPr="00B53F89" w:rsidRDefault="00AA26B9" w:rsidP="005F667E">
            <w:pPr>
              <w:pStyle w:val="TableBody"/>
            </w:pPr>
            <w:r w:rsidRPr="00B53F89">
              <w:t xml:space="preserve">Completed in </w:t>
            </w:r>
            <w:r w:rsidR="001438A9" w:rsidRPr="00B53F89">
              <w:t>Q</w:t>
            </w:r>
            <w:r w:rsidR="001A6339" w:rsidRPr="00B53F89">
              <w:t>3</w:t>
            </w:r>
            <w:r w:rsidR="001438A9" w:rsidRPr="00B53F89">
              <w:t xml:space="preserve"> 2019 (19 June–4 July 2019)</w:t>
            </w:r>
          </w:p>
          <w:p w14:paraId="1CF6D1BF" w14:textId="36D9C963" w:rsidR="005C36FC" w:rsidRPr="00B53F89" w:rsidRDefault="005C36FC" w:rsidP="00BC0C4A">
            <w:pPr>
              <w:pStyle w:val="TableBody"/>
              <w:spacing w:before="100" w:beforeAutospacing="1" w:after="100" w:afterAutospacing="1" w:line="240" w:lineRule="atLeast"/>
              <w:contextualSpacing/>
              <w:mirrorIndents/>
              <w:rPr>
                <w:rFonts w:cs="Arial"/>
                <w:szCs w:val="20"/>
              </w:rPr>
            </w:pPr>
          </w:p>
        </w:tc>
      </w:tr>
      <w:tr w:rsidR="001438A9" w:rsidRPr="00B53F89" w14:paraId="4E8D6CA4" w14:textId="77777777" w:rsidTr="00BC0C4A">
        <w:tc>
          <w:tcPr>
            <w:tcW w:w="2310" w:type="pct"/>
            <w:shd w:val="clear" w:color="auto" w:fill="auto"/>
          </w:tcPr>
          <w:p w14:paraId="1B8CB077" w14:textId="47E7743C" w:rsidR="001438A9" w:rsidRPr="00B53F89" w:rsidRDefault="001438A9" w:rsidP="00BC0C4A">
            <w:pPr>
              <w:pStyle w:val="TableBody"/>
              <w:spacing w:before="100" w:beforeAutospacing="1" w:after="100" w:afterAutospacing="1" w:line="240" w:lineRule="atLeast"/>
              <w:contextualSpacing/>
              <w:mirrorIndents/>
              <w:rPr>
                <w:rFonts w:cs="Arial"/>
                <w:szCs w:val="20"/>
              </w:rPr>
            </w:pPr>
            <w:r w:rsidRPr="00B53F89">
              <w:rPr>
                <w:rFonts w:cs="Arial"/>
                <w:szCs w:val="20"/>
              </w:rPr>
              <w:t>25th meeting of the APT Wireless Group (AWG-25)</w:t>
            </w:r>
          </w:p>
        </w:tc>
        <w:tc>
          <w:tcPr>
            <w:tcW w:w="2690" w:type="pct"/>
            <w:shd w:val="clear" w:color="auto" w:fill="auto"/>
          </w:tcPr>
          <w:p w14:paraId="641D12C2" w14:textId="09F2520B" w:rsidR="001438A9" w:rsidRPr="00B53F89" w:rsidRDefault="00AA26B9" w:rsidP="005F667E">
            <w:pPr>
              <w:pStyle w:val="TableBody"/>
              <w:spacing w:before="100" w:beforeAutospacing="1" w:after="100" w:afterAutospacing="1" w:line="240" w:lineRule="atLeast"/>
              <w:contextualSpacing/>
              <w:mirrorIndents/>
              <w:rPr>
                <w:rFonts w:cs="Arial"/>
                <w:szCs w:val="20"/>
              </w:rPr>
            </w:pPr>
            <w:r w:rsidRPr="00B53F89">
              <w:rPr>
                <w:rFonts w:cs="Arial"/>
                <w:szCs w:val="20"/>
              </w:rPr>
              <w:t xml:space="preserve">Completed in </w:t>
            </w:r>
            <w:r w:rsidR="001438A9" w:rsidRPr="00B53F89">
              <w:rPr>
                <w:rFonts w:cs="Arial"/>
                <w:szCs w:val="20"/>
              </w:rPr>
              <w:t>Q</w:t>
            </w:r>
            <w:r w:rsidR="001A6339" w:rsidRPr="00B53F89">
              <w:rPr>
                <w:rFonts w:cs="Arial"/>
                <w:szCs w:val="20"/>
              </w:rPr>
              <w:t>3</w:t>
            </w:r>
            <w:r w:rsidR="001438A9" w:rsidRPr="00B53F89">
              <w:rPr>
                <w:rFonts w:cs="Arial"/>
                <w:szCs w:val="20"/>
              </w:rPr>
              <w:t xml:space="preserve"> 2019 (1–5 July 2019)</w:t>
            </w:r>
          </w:p>
          <w:p w14:paraId="7F5A842B" w14:textId="5C0FAD16" w:rsidR="005C36FC" w:rsidRPr="00B53F89" w:rsidRDefault="005C36FC" w:rsidP="00BC0C4A">
            <w:pPr>
              <w:pStyle w:val="TableBody"/>
              <w:spacing w:before="100" w:beforeAutospacing="1" w:after="100" w:afterAutospacing="1" w:line="240" w:lineRule="atLeast"/>
              <w:contextualSpacing/>
              <w:mirrorIndents/>
              <w:rPr>
                <w:rFonts w:cs="Arial"/>
                <w:szCs w:val="20"/>
              </w:rPr>
            </w:pPr>
          </w:p>
        </w:tc>
      </w:tr>
      <w:tr w:rsidR="001438A9" w:rsidRPr="00B53F89" w14:paraId="301366F5" w14:textId="77777777" w:rsidTr="00BC0C4A">
        <w:tc>
          <w:tcPr>
            <w:tcW w:w="2310" w:type="pct"/>
            <w:shd w:val="clear" w:color="auto" w:fill="auto"/>
          </w:tcPr>
          <w:p w14:paraId="228DB5B5" w14:textId="1DE47484" w:rsidR="001438A9" w:rsidRPr="00B53F89" w:rsidRDefault="001438A9" w:rsidP="00BC0C4A">
            <w:pPr>
              <w:pStyle w:val="TableBody"/>
              <w:spacing w:before="100" w:beforeAutospacing="1" w:after="100" w:afterAutospacing="1" w:line="240" w:lineRule="atLeast"/>
              <w:contextualSpacing/>
              <w:mirrorIndents/>
              <w:rPr>
                <w:rFonts w:cs="Arial"/>
                <w:szCs w:val="20"/>
              </w:rPr>
            </w:pPr>
            <w:r w:rsidRPr="00B53F89">
              <w:rPr>
                <w:rFonts w:cs="Arial"/>
                <w:szCs w:val="20"/>
              </w:rPr>
              <w:t>Fifth meeting of the APT Conference Preparatory Group (Asia Pacific) for WRC-19 (APG19-5)</w:t>
            </w:r>
          </w:p>
        </w:tc>
        <w:tc>
          <w:tcPr>
            <w:tcW w:w="2690" w:type="pct"/>
            <w:shd w:val="clear" w:color="auto" w:fill="auto"/>
          </w:tcPr>
          <w:p w14:paraId="38792162" w14:textId="29630E6E" w:rsidR="001438A9" w:rsidRPr="00B53F89" w:rsidRDefault="00AA26B9" w:rsidP="005F667E">
            <w:pPr>
              <w:pStyle w:val="TableBody"/>
              <w:spacing w:before="100" w:beforeAutospacing="1" w:after="100" w:afterAutospacing="1" w:line="240" w:lineRule="atLeast"/>
              <w:contextualSpacing/>
              <w:mirrorIndents/>
              <w:rPr>
                <w:rFonts w:cs="Arial"/>
                <w:szCs w:val="20"/>
              </w:rPr>
            </w:pPr>
            <w:r w:rsidRPr="00B53F89">
              <w:rPr>
                <w:rFonts w:cs="Arial"/>
                <w:szCs w:val="20"/>
              </w:rPr>
              <w:t xml:space="preserve">Completed in </w:t>
            </w:r>
            <w:r w:rsidR="001438A9" w:rsidRPr="00B53F89">
              <w:rPr>
                <w:rFonts w:cs="Arial"/>
                <w:szCs w:val="20"/>
              </w:rPr>
              <w:t>Q</w:t>
            </w:r>
            <w:r w:rsidR="001A6339" w:rsidRPr="00B53F89">
              <w:rPr>
                <w:rFonts w:cs="Arial"/>
                <w:szCs w:val="20"/>
              </w:rPr>
              <w:t>3</w:t>
            </w:r>
            <w:r w:rsidR="001438A9" w:rsidRPr="00B53F89">
              <w:rPr>
                <w:rFonts w:cs="Arial"/>
                <w:szCs w:val="20"/>
              </w:rPr>
              <w:t xml:space="preserve"> 2019 (31 July–6 August 2019)</w:t>
            </w:r>
          </w:p>
          <w:p w14:paraId="3180AA56" w14:textId="607001D4" w:rsidR="005C36FC" w:rsidRPr="00B53F89" w:rsidRDefault="005C36FC" w:rsidP="00BC0C4A">
            <w:pPr>
              <w:pStyle w:val="TableBody"/>
              <w:spacing w:before="100" w:beforeAutospacing="1" w:after="100" w:afterAutospacing="1" w:line="240" w:lineRule="atLeast"/>
              <w:contextualSpacing/>
              <w:mirrorIndents/>
              <w:rPr>
                <w:rFonts w:cs="Arial"/>
                <w:szCs w:val="20"/>
              </w:rPr>
            </w:pPr>
          </w:p>
        </w:tc>
      </w:tr>
      <w:tr w:rsidR="001438A9" w:rsidRPr="00B53F89" w14:paraId="16293DCC" w14:textId="77777777" w:rsidTr="00BC0C4A">
        <w:tc>
          <w:tcPr>
            <w:tcW w:w="2310" w:type="pct"/>
            <w:shd w:val="clear" w:color="auto" w:fill="auto"/>
          </w:tcPr>
          <w:p w14:paraId="736183F1" w14:textId="7DEFC073" w:rsidR="001438A9" w:rsidRPr="00B53F89" w:rsidRDefault="001438A9" w:rsidP="00BC0C4A">
            <w:pPr>
              <w:pStyle w:val="TableBody"/>
              <w:spacing w:before="100" w:beforeAutospacing="1" w:after="100" w:afterAutospacing="1" w:line="240" w:lineRule="atLeast"/>
              <w:contextualSpacing/>
              <w:mirrorIndents/>
              <w:rPr>
                <w:rFonts w:cs="Arial"/>
                <w:szCs w:val="20"/>
              </w:rPr>
            </w:pPr>
            <w:r w:rsidRPr="00B53F89">
              <w:rPr>
                <w:rFonts w:cs="Arial"/>
                <w:szCs w:val="20"/>
              </w:rPr>
              <w:t>ITU Radiocommunication Assembly 2019</w:t>
            </w:r>
          </w:p>
        </w:tc>
        <w:tc>
          <w:tcPr>
            <w:tcW w:w="2690" w:type="pct"/>
            <w:shd w:val="clear" w:color="auto" w:fill="auto"/>
          </w:tcPr>
          <w:p w14:paraId="7F0FA491" w14:textId="31549420" w:rsidR="001438A9" w:rsidRPr="00B53F89" w:rsidRDefault="001438A9" w:rsidP="00BC0C4A">
            <w:pPr>
              <w:pStyle w:val="TableBody"/>
              <w:spacing w:before="100" w:beforeAutospacing="1" w:after="100" w:afterAutospacing="1" w:line="240" w:lineRule="atLeast"/>
              <w:contextualSpacing/>
              <w:mirrorIndents/>
              <w:rPr>
                <w:rFonts w:cs="Arial"/>
                <w:szCs w:val="20"/>
              </w:rPr>
            </w:pPr>
            <w:r w:rsidRPr="00B53F89">
              <w:rPr>
                <w:rFonts w:cs="Arial"/>
                <w:szCs w:val="20"/>
              </w:rPr>
              <w:t>Q</w:t>
            </w:r>
            <w:r w:rsidR="001A6339" w:rsidRPr="00B53F89">
              <w:rPr>
                <w:rFonts w:cs="Arial"/>
                <w:szCs w:val="20"/>
              </w:rPr>
              <w:t>4</w:t>
            </w:r>
            <w:r w:rsidRPr="00B53F89">
              <w:rPr>
                <w:rFonts w:cs="Arial"/>
                <w:szCs w:val="20"/>
              </w:rPr>
              <w:t xml:space="preserve"> 2019 (21–25 October 2019)</w:t>
            </w:r>
          </w:p>
        </w:tc>
      </w:tr>
      <w:tr w:rsidR="001438A9" w:rsidRPr="00B53F89" w14:paraId="185D89A8" w14:textId="77777777" w:rsidTr="00BC0C4A">
        <w:tc>
          <w:tcPr>
            <w:tcW w:w="2310" w:type="pct"/>
            <w:shd w:val="clear" w:color="auto" w:fill="auto"/>
          </w:tcPr>
          <w:p w14:paraId="47347CF9" w14:textId="6905FABF" w:rsidR="001438A9" w:rsidRPr="00B53F89" w:rsidRDefault="001438A9" w:rsidP="00BC0C4A">
            <w:pPr>
              <w:pStyle w:val="TableBody"/>
              <w:spacing w:before="100" w:beforeAutospacing="1" w:after="100" w:afterAutospacing="1" w:line="240" w:lineRule="atLeast"/>
              <w:contextualSpacing/>
              <w:mirrorIndents/>
              <w:rPr>
                <w:rFonts w:cs="Arial"/>
                <w:szCs w:val="20"/>
              </w:rPr>
            </w:pPr>
            <w:r w:rsidRPr="00B53F89">
              <w:rPr>
                <w:rFonts w:cs="Arial"/>
                <w:szCs w:val="20"/>
              </w:rPr>
              <w:t>World Radiocommunication Conference 2019</w:t>
            </w:r>
            <w:r w:rsidR="00876A2C" w:rsidRPr="00B53F89">
              <w:rPr>
                <w:rFonts w:cs="Arial"/>
                <w:szCs w:val="20"/>
              </w:rPr>
              <w:t xml:space="preserve"> (WRC-19)</w:t>
            </w:r>
          </w:p>
        </w:tc>
        <w:tc>
          <w:tcPr>
            <w:tcW w:w="2690" w:type="pct"/>
            <w:shd w:val="clear" w:color="auto" w:fill="auto"/>
          </w:tcPr>
          <w:p w14:paraId="43AB2955" w14:textId="23539E36" w:rsidR="001438A9" w:rsidRPr="00B53F89" w:rsidRDefault="001438A9" w:rsidP="00BC0C4A">
            <w:pPr>
              <w:pStyle w:val="TableBody"/>
              <w:spacing w:before="100" w:beforeAutospacing="1" w:after="100" w:afterAutospacing="1" w:line="240" w:lineRule="atLeast"/>
              <w:contextualSpacing/>
              <w:mirrorIndents/>
              <w:rPr>
                <w:rFonts w:cs="Arial"/>
                <w:szCs w:val="20"/>
              </w:rPr>
            </w:pPr>
            <w:r w:rsidRPr="00B53F89">
              <w:rPr>
                <w:rFonts w:cs="Arial"/>
                <w:szCs w:val="20"/>
              </w:rPr>
              <w:t>Q</w:t>
            </w:r>
            <w:r w:rsidR="001B6E03" w:rsidRPr="00B53F89">
              <w:rPr>
                <w:rFonts w:cs="Arial"/>
                <w:szCs w:val="20"/>
              </w:rPr>
              <w:t>4</w:t>
            </w:r>
            <w:r w:rsidRPr="00B53F89">
              <w:rPr>
                <w:rFonts w:cs="Arial"/>
                <w:szCs w:val="20"/>
              </w:rPr>
              <w:t xml:space="preserve"> 2019 (28 October–22 November 2019)</w:t>
            </w:r>
          </w:p>
        </w:tc>
      </w:tr>
      <w:tr w:rsidR="001438A9" w:rsidRPr="00B53F89" w14:paraId="56C2ABE8" w14:textId="77777777" w:rsidTr="00BC0C4A">
        <w:tc>
          <w:tcPr>
            <w:tcW w:w="2310" w:type="pct"/>
            <w:shd w:val="clear" w:color="auto" w:fill="auto"/>
          </w:tcPr>
          <w:p w14:paraId="5776BB76" w14:textId="77777777" w:rsidR="001438A9" w:rsidRPr="00B53F89" w:rsidRDefault="001438A9" w:rsidP="00BC0C4A">
            <w:pPr>
              <w:pStyle w:val="TableBody"/>
              <w:spacing w:before="100" w:beforeAutospacing="1" w:after="100" w:afterAutospacing="1" w:line="240" w:lineRule="atLeast"/>
              <w:contextualSpacing/>
              <w:mirrorIndents/>
              <w:rPr>
                <w:rFonts w:cs="Arial"/>
                <w:szCs w:val="20"/>
              </w:rPr>
            </w:pPr>
            <w:r w:rsidRPr="00B53F89">
              <w:rPr>
                <w:rFonts w:cs="Arial"/>
                <w:szCs w:val="20"/>
              </w:rPr>
              <w:t>First Conference Preparatory Meeting for WRC-23</w:t>
            </w:r>
          </w:p>
        </w:tc>
        <w:tc>
          <w:tcPr>
            <w:tcW w:w="2690" w:type="pct"/>
            <w:shd w:val="clear" w:color="auto" w:fill="auto"/>
          </w:tcPr>
          <w:p w14:paraId="01027803" w14:textId="6682640C" w:rsidR="001438A9" w:rsidRPr="00B53F89" w:rsidRDefault="001438A9" w:rsidP="00BC0C4A">
            <w:pPr>
              <w:pStyle w:val="TableBody"/>
              <w:spacing w:before="100" w:beforeAutospacing="1" w:after="100" w:afterAutospacing="1" w:line="240" w:lineRule="atLeast"/>
              <w:contextualSpacing/>
              <w:mirrorIndents/>
              <w:rPr>
                <w:rFonts w:cs="Arial"/>
                <w:szCs w:val="20"/>
              </w:rPr>
            </w:pPr>
            <w:r w:rsidRPr="00B53F89">
              <w:rPr>
                <w:rFonts w:cs="Arial"/>
                <w:szCs w:val="20"/>
              </w:rPr>
              <w:t>Q</w:t>
            </w:r>
            <w:r w:rsidR="001B6E03" w:rsidRPr="00B53F89">
              <w:rPr>
                <w:rFonts w:cs="Arial"/>
                <w:szCs w:val="20"/>
              </w:rPr>
              <w:t>4</w:t>
            </w:r>
            <w:r w:rsidRPr="00B53F89">
              <w:rPr>
                <w:rFonts w:cs="Arial"/>
                <w:szCs w:val="20"/>
              </w:rPr>
              <w:t xml:space="preserve"> 2019 (25–26 November 2019)</w:t>
            </w:r>
          </w:p>
        </w:tc>
      </w:tr>
    </w:tbl>
    <w:p w14:paraId="0549D28E" w14:textId="77777777" w:rsidR="001438A9" w:rsidRPr="00B53F89" w:rsidRDefault="001438A9" w:rsidP="001438A9">
      <w:pPr>
        <w:pStyle w:val="ACMASpaceaftertable"/>
      </w:pPr>
    </w:p>
    <w:p w14:paraId="21F51EDB" w14:textId="2C6C3CC9" w:rsidR="009116B7" w:rsidRPr="00B53F89" w:rsidRDefault="009116B7" w:rsidP="00DE694D">
      <w:pPr>
        <w:pStyle w:val="ACMATableHeader"/>
        <w:keepNext/>
      </w:pPr>
      <w:r w:rsidRPr="00B53F89">
        <w:t>Planning</w:t>
      </w:r>
      <w:r w:rsidR="001801F4" w:rsidRPr="00B53F89">
        <w:t>—</w:t>
      </w:r>
      <w:r w:rsidR="00F01663" w:rsidRPr="00B53F89">
        <w:t>major band planning and replanning activities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1E0" w:firstRow="1" w:lastRow="1" w:firstColumn="1" w:lastColumn="1" w:noHBand="0" w:noVBand="0"/>
        <w:tblCaption w:val="Table title to go here"/>
        <w:tblDescription w:val="Table description to go here"/>
      </w:tblPr>
      <w:tblGrid>
        <w:gridCol w:w="1686"/>
        <w:gridCol w:w="2704"/>
        <w:gridCol w:w="3271"/>
      </w:tblGrid>
      <w:tr w:rsidR="009116B7" w:rsidRPr="00B53F89" w14:paraId="5120AD78" w14:textId="77777777" w:rsidTr="00D31322">
        <w:trPr>
          <w:cantSplit/>
          <w:trHeight w:val="293"/>
          <w:tblHeader/>
        </w:trPr>
        <w:tc>
          <w:tcPr>
            <w:tcW w:w="1100" w:type="pct"/>
            <w:shd w:val="clear" w:color="auto" w:fill="404040" w:themeFill="text1" w:themeFillTint="BF"/>
          </w:tcPr>
          <w:p w14:paraId="53AD7DC4" w14:textId="77777777" w:rsidR="009116B7" w:rsidRPr="00B53F89" w:rsidRDefault="009116B7" w:rsidP="00B747E1">
            <w:pPr>
              <w:pStyle w:val="TableHeading"/>
            </w:pPr>
            <w:r w:rsidRPr="00B53F89">
              <w:t>Planning stage</w:t>
            </w:r>
          </w:p>
        </w:tc>
        <w:tc>
          <w:tcPr>
            <w:tcW w:w="1765" w:type="pct"/>
            <w:shd w:val="clear" w:color="auto" w:fill="404040" w:themeFill="text1" w:themeFillTint="BF"/>
          </w:tcPr>
          <w:p w14:paraId="41BEA99C" w14:textId="77777777" w:rsidR="009116B7" w:rsidRPr="00B53F89" w:rsidRDefault="009116B7" w:rsidP="00B747E1">
            <w:pPr>
              <w:pStyle w:val="TableHeading"/>
            </w:pPr>
            <w:r w:rsidRPr="00B53F89">
              <w:t>Project priorities</w:t>
            </w:r>
          </w:p>
        </w:tc>
        <w:tc>
          <w:tcPr>
            <w:tcW w:w="2135" w:type="pct"/>
            <w:shd w:val="clear" w:color="auto" w:fill="404040" w:themeFill="text1" w:themeFillTint="BF"/>
          </w:tcPr>
          <w:p w14:paraId="4A7DA49B" w14:textId="77777777" w:rsidR="009116B7" w:rsidRPr="00B53F89" w:rsidRDefault="009116B7" w:rsidP="00B747E1">
            <w:pPr>
              <w:pStyle w:val="TableHeading"/>
            </w:pPr>
            <w:r w:rsidRPr="00B53F89">
              <w:t>Proposed timelines</w:t>
            </w:r>
          </w:p>
        </w:tc>
      </w:tr>
      <w:tr w:rsidR="009116B7" w:rsidRPr="00B53F89" w14:paraId="0E14C2F5" w14:textId="77777777" w:rsidTr="00DE694D">
        <w:trPr>
          <w:trHeight w:val="477"/>
        </w:trPr>
        <w:tc>
          <w:tcPr>
            <w:tcW w:w="1100" w:type="pct"/>
            <w:shd w:val="clear" w:color="auto" w:fill="auto"/>
          </w:tcPr>
          <w:p w14:paraId="6DABA24B" w14:textId="77777777" w:rsidR="009116B7" w:rsidRPr="00B53F89" w:rsidRDefault="009116B7" w:rsidP="00D87E10">
            <w:pPr>
              <w:pStyle w:val="TableBody"/>
              <w:spacing w:before="100" w:beforeAutospacing="1" w:after="100" w:afterAutospacing="1" w:line="240" w:lineRule="atLeast"/>
              <w:contextualSpacing/>
              <w:mirrorIndents/>
              <w:rPr>
                <w:rFonts w:cs="Arial"/>
                <w:szCs w:val="20"/>
              </w:rPr>
            </w:pPr>
            <w:r w:rsidRPr="00B53F89">
              <w:rPr>
                <w:rFonts w:cs="Arial"/>
                <w:szCs w:val="20"/>
              </w:rPr>
              <w:t>Monitoring</w:t>
            </w:r>
          </w:p>
        </w:tc>
        <w:tc>
          <w:tcPr>
            <w:tcW w:w="1765" w:type="pct"/>
            <w:shd w:val="clear" w:color="auto" w:fill="auto"/>
          </w:tcPr>
          <w:p w14:paraId="6C7DFEF2" w14:textId="32D6A7B4" w:rsidR="00D87E10" w:rsidRPr="00B53F89" w:rsidRDefault="009116B7" w:rsidP="001C517F">
            <w:pPr>
              <w:pStyle w:val="TableBody"/>
              <w:spacing w:after="120" w:line="240" w:lineRule="atLeast"/>
              <w:mirrorIndents/>
              <w:rPr>
                <w:rFonts w:cs="Arial"/>
                <w:szCs w:val="20"/>
              </w:rPr>
            </w:pPr>
            <w:r w:rsidRPr="00B53F89">
              <w:rPr>
                <w:rFonts w:cs="Arial"/>
                <w:szCs w:val="20"/>
              </w:rPr>
              <w:t>600 MHz (617</w:t>
            </w:r>
            <w:r w:rsidR="00C94652" w:rsidRPr="00B53F89">
              <w:rPr>
                <w:rFonts w:cs="Arial"/>
                <w:szCs w:val="20"/>
              </w:rPr>
              <w:t>–</w:t>
            </w:r>
            <w:r w:rsidRPr="00B53F89">
              <w:rPr>
                <w:rFonts w:cs="Arial"/>
                <w:szCs w:val="20"/>
              </w:rPr>
              <w:t>698</w:t>
            </w:r>
            <w:r w:rsidR="00457EAA" w:rsidRPr="00B53F89">
              <w:rPr>
                <w:rFonts w:cs="Arial"/>
                <w:szCs w:val="20"/>
              </w:rPr>
              <w:t xml:space="preserve"> MHz</w:t>
            </w:r>
            <w:r w:rsidRPr="00B53F89">
              <w:rPr>
                <w:rFonts w:cs="Arial"/>
                <w:szCs w:val="20"/>
              </w:rPr>
              <w:t>)</w:t>
            </w:r>
          </w:p>
          <w:p w14:paraId="6FEC6846" w14:textId="4922A107" w:rsidR="002E2DD6" w:rsidRPr="00B53F89" w:rsidRDefault="002E2DD6" w:rsidP="001C517F">
            <w:pPr>
              <w:pStyle w:val="TableBody"/>
              <w:spacing w:after="120" w:line="240" w:lineRule="atLeast"/>
              <w:mirrorIndents/>
              <w:rPr>
                <w:rFonts w:cs="Arial"/>
                <w:szCs w:val="20"/>
              </w:rPr>
            </w:pPr>
            <w:r w:rsidRPr="00B53F89">
              <w:rPr>
                <w:rFonts w:cs="Arial"/>
                <w:szCs w:val="20"/>
              </w:rPr>
              <w:t>1900–1920 MHz</w:t>
            </w:r>
          </w:p>
          <w:p w14:paraId="38AA72BD" w14:textId="3404777D" w:rsidR="00D87E10" w:rsidRPr="00B53F89" w:rsidRDefault="009116B7" w:rsidP="001C517F">
            <w:pPr>
              <w:pStyle w:val="TableBody"/>
              <w:spacing w:after="120" w:line="240" w:lineRule="atLeast"/>
              <w:mirrorIndents/>
              <w:rPr>
                <w:rFonts w:cs="Arial"/>
                <w:szCs w:val="20"/>
              </w:rPr>
            </w:pPr>
            <w:r w:rsidRPr="00B53F89">
              <w:rPr>
                <w:rFonts w:cs="Arial"/>
                <w:szCs w:val="20"/>
              </w:rPr>
              <w:t>3.3 GHz (3300</w:t>
            </w:r>
            <w:r w:rsidR="00C94652" w:rsidRPr="00B53F89">
              <w:rPr>
                <w:rFonts w:cs="Arial"/>
                <w:szCs w:val="20"/>
              </w:rPr>
              <w:t>–</w:t>
            </w:r>
            <w:r w:rsidRPr="00B53F89">
              <w:rPr>
                <w:rFonts w:cs="Arial"/>
                <w:szCs w:val="20"/>
              </w:rPr>
              <w:t>3400</w:t>
            </w:r>
            <w:r w:rsidR="00457EAA" w:rsidRPr="00B53F89">
              <w:rPr>
                <w:rFonts w:cs="Arial"/>
                <w:szCs w:val="20"/>
              </w:rPr>
              <w:t xml:space="preserve"> MHz</w:t>
            </w:r>
            <w:r w:rsidRPr="00B53F89">
              <w:rPr>
                <w:rFonts w:cs="Arial"/>
                <w:szCs w:val="20"/>
              </w:rPr>
              <w:t>)</w:t>
            </w:r>
          </w:p>
          <w:p w14:paraId="7E009AFE" w14:textId="0387D943" w:rsidR="00D87E10" w:rsidRPr="00B53F89" w:rsidRDefault="009116B7" w:rsidP="001C517F">
            <w:pPr>
              <w:pStyle w:val="TableBody"/>
              <w:spacing w:after="120" w:line="240" w:lineRule="atLeast"/>
              <w:mirrorIndents/>
              <w:rPr>
                <w:rFonts w:cs="Arial"/>
                <w:szCs w:val="20"/>
              </w:rPr>
            </w:pPr>
            <w:r w:rsidRPr="00B53F89">
              <w:rPr>
                <w:rFonts w:cs="Arial"/>
                <w:szCs w:val="20"/>
              </w:rPr>
              <w:lastRenderedPageBreak/>
              <w:t>4.5 G</w:t>
            </w:r>
            <w:r w:rsidR="00786A4A" w:rsidRPr="00B53F89">
              <w:rPr>
                <w:rFonts w:cs="Arial"/>
                <w:szCs w:val="20"/>
              </w:rPr>
              <w:t>H</w:t>
            </w:r>
            <w:r w:rsidRPr="00B53F89">
              <w:rPr>
                <w:rFonts w:cs="Arial"/>
                <w:szCs w:val="20"/>
              </w:rPr>
              <w:t>z (4400</w:t>
            </w:r>
            <w:r w:rsidR="00C94652" w:rsidRPr="00B53F89">
              <w:rPr>
                <w:rFonts w:cs="Arial"/>
                <w:szCs w:val="20"/>
              </w:rPr>
              <w:t>–</w:t>
            </w:r>
            <w:r w:rsidRPr="00B53F89">
              <w:rPr>
                <w:rFonts w:cs="Arial"/>
                <w:szCs w:val="20"/>
              </w:rPr>
              <w:t>4500</w:t>
            </w:r>
            <w:r w:rsidR="00457EAA" w:rsidRPr="00B53F89">
              <w:rPr>
                <w:rFonts w:cs="Arial"/>
                <w:szCs w:val="20"/>
              </w:rPr>
              <w:t xml:space="preserve"> MHz</w:t>
            </w:r>
            <w:r w:rsidRPr="00B53F89">
              <w:rPr>
                <w:rFonts w:cs="Arial"/>
                <w:szCs w:val="20"/>
              </w:rPr>
              <w:t>)</w:t>
            </w:r>
          </w:p>
          <w:p w14:paraId="7846F669" w14:textId="01AAA9BE" w:rsidR="00D87E10" w:rsidRPr="00B53F89" w:rsidRDefault="009116B7" w:rsidP="001C517F">
            <w:pPr>
              <w:pStyle w:val="TableBody"/>
              <w:spacing w:after="120" w:line="240" w:lineRule="atLeast"/>
              <w:mirrorIndents/>
              <w:rPr>
                <w:rFonts w:cs="Arial"/>
                <w:szCs w:val="20"/>
              </w:rPr>
            </w:pPr>
            <w:r w:rsidRPr="00B53F89">
              <w:rPr>
                <w:rFonts w:cs="Arial"/>
                <w:szCs w:val="20"/>
              </w:rPr>
              <w:t>4.8 GHz (4800</w:t>
            </w:r>
            <w:r w:rsidR="00C94652" w:rsidRPr="00B53F89">
              <w:rPr>
                <w:rFonts w:cs="Arial"/>
                <w:szCs w:val="20"/>
              </w:rPr>
              <w:t>–</w:t>
            </w:r>
            <w:r w:rsidRPr="00B53F89">
              <w:rPr>
                <w:rFonts w:cs="Arial"/>
                <w:szCs w:val="20"/>
              </w:rPr>
              <w:t>4990</w:t>
            </w:r>
            <w:r w:rsidR="00457EAA" w:rsidRPr="00B53F89">
              <w:rPr>
                <w:rFonts w:cs="Arial"/>
                <w:szCs w:val="20"/>
              </w:rPr>
              <w:t xml:space="preserve"> MHz</w:t>
            </w:r>
            <w:r w:rsidRPr="00B53F89">
              <w:rPr>
                <w:rFonts w:cs="Arial"/>
                <w:szCs w:val="20"/>
              </w:rPr>
              <w:t>)</w:t>
            </w:r>
            <w:r w:rsidR="00D87E10" w:rsidRPr="00B53F89">
              <w:rPr>
                <w:rFonts w:cs="Arial"/>
                <w:szCs w:val="20"/>
              </w:rPr>
              <w:t xml:space="preserve"> </w:t>
            </w:r>
          </w:p>
          <w:p w14:paraId="294D265C" w14:textId="5B6F143E" w:rsidR="004D61EB" w:rsidRPr="00B53F89" w:rsidRDefault="009116B7" w:rsidP="001C517F">
            <w:pPr>
              <w:pStyle w:val="TableBody"/>
              <w:spacing w:after="120" w:line="240" w:lineRule="atLeast"/>
              <w:mirrorIndents/>
              <w:rPr>
                <w:rFonts w:cs="Arial"/>
                <w:szCs w:val="20"/>
              </w:rPr>
            </w:pPr>
            <w:r w:rsidRPr="00B53F89">
              <w:rPr>
                <w:rFonts w:cs="Arial"/>
                <w:szCs w:val="20"/>
              </w:rPr>
              <w:t xml:space="preserve">Bands </w:t>
            </w:r>
            <w:r w:rsidR="00197E92" w:rsidRPr="00B53F89">
              <w:rPr>
                <w:rFonts w:cs="Arial"/>
                <w:szCs w:val="20"/>
              </w:rPr>
              <w:t>being studied under</w:t>
            </w:r>
            <w:r w:rsidRPr="00B53F89">
              <w:rPr>
                <w:rFonts w:cs="Arial"/>
                <w:szCs w:val="20"/>
              </w:rPr>
              <w:t xml:space="preserve"> WRC-19 agenda item</w:t>
            </w:r>
            <w:r w:rsidR="004D61EB" w:rsidRPr="00B53F89">
              <w:rPr>
                <w:rFonts w:cs="Arial"/>
                <w:szCs w:val="20"/>
              </w:rPr>
              <w:t xml:space="preserve"> 1.1</w:t>
            </w:r>
            <w:r w:rsidR="008B5BEB" w:rsidRPr="00B53F89">
              <w:rPr>
                <w:rFonts w:cs="Arial"/>
                <w:szCs w:val="20"/>
              </w:rPr>
              <w:t>6</w:t>
            </w:r>
          </w:p>
          <w:p w14:paraId="359EDAFE" w14:textId="2A53E5C2" w:rsidR="002F643C" w:rsidRPr="00B53F89" w:rsidRDefault="004D61EB" w:rsidP="00DE694D">
            <w:pPr>
              <w:pStyle w:val="TableBody"/>
              <w:spacing w:after="120" w:line="240" w:lineRule="atLeast"/>
              <w:mirrorIndents/>
              <w:rPr>
                <w:rFonts w:cs="Arial"/>
                <w:szCs w:val="20"/>
              </w:rPr>
            </w:pPr>
            <w:r w:rsidRPr="00B53F89">
              <w:rPr>
                <w:rFonts w:cs="Arial"/>
                <w:szCs w:val="20"/>
              </w:rPr>
              <w:t>Bands being studied under WRC-19 agenda item 1.13</w:t>
            </w:r>
          </w:p>
        </w:tc>
        <w:tc>
          <w:tcPr>
            <w:tcW w:w="2135" w:type="pct"/>
            <w:shd w:val="clear" w:color="auto" w:fill="auto"/>
          </w:tcPr>
          <w:p w14:paraId="2A440230" w14:textId="77777777" w:rsidR="009116B7" w:rsidRPr="00B53F89" w:rsidRDefault="00F57787" w:rsidP="00D87E10">
            <w:pPr>
              <w:pStyle w:val="TableBody"/>
              <w:spacing w:before="100" w:beforeAutospacing="1" w:after="100" w:afterAutospacing="1" w:line="240" w:lineRule="atLeast"/>
              <w:contextualSpacing/>
              <w:mirrorIndents/>
              <w:rPr>
                <w:rFonts w:cs="Arial"/>
                <w:szCs w:val="20"/>
              </w:rPr>
            </w:pPr>
            <w:r w:rsidRPr="00B53F89">
              <w:rPr>
                <w:rFonts w:cs="Arial"/>
                <w:szCs w:val="20"/>
              </w:rPr>
              <w:lastRenderedPageBreak/>
              <w:t>Continue to</w:t>
            </w:r>
            <w:r w:rsidR="009116B7" w:rsidRPr="00B53F89">
              <w:rPr>
                <w:rFonts w:cs="Arial"/>
                <w:szCs w:val="20"/>
              </w:rPr>
              <w:t xml:space="preserve"> monitor domestic and international developments in these bands to identify usage trends</w:t>
            </w:r>
          </w:p>
        </w:tc>
      </w:tr>
      <w:tr w:rsidR="00BA5740" w:rsidRPr="00B53F89" w14:paraId="19930C05" w14:textId="77777777" w:rsidTr="000301A7">
        <w:trPr>
          <w:trHeight w:val="614"/>
        </w:trPr>
        <w:tc>
          <w:tcPr>
            <w:tcW w:w="1100" w:type="pct"/>
            <w:vMerge w:val="restart"/>
            <w:shd w:val="clear" w:color="auto" w:fill="auto"/>
          </w:tcPr>
          <w:p w14:paraId="4D87EA79" w14:textId="1D44D59A" w:rsidR="00BA5740" w:rsidRPr="00B53F89" w:rsidRDefault="00BA5740" w:rsidP="00D10280">
            <w:pPr>
              <w:pStyle w:val="TableBody"/>
              <w:spacing w:before="100" w:beforeAutospacing="1" w:after="100" w:afterAutospacing="1" w:line="240" w:lineRule="atLeast"/>
              <w:contextualSpacing/>
              <w:mirrorIndents/>
              <w:rPr>
                <w:rFonts w:cs="Arial"/>
                <w:szCs w:val="20"/>
              </w:rPr>
            </w:pPr>
            <w:r w:rsidRPr="00B53F89">
              <w:rPr>
                <w:rFonts w:cs="Arial"/>
                <w:szCs w:val="20"/>
              </w:rPr>
              <w:t>Initial investigation</w:t>
            </w:r>
          </w:p>
        </w:tc>
        <w:tc>
          <w:tcPr>
            <w:tcW w:w="1765" w:type="pct"/>
            <w:shd w:val="clear" w:color="auto" w:fill="auto"/>
          </w:tcPr>
          <w:p w14:paraId="00598183" w14:textId="5C367065" w:rsidR="00BA5740" w:rsidRPr="00B53F89" w:rsidRDefault="00BA5740" w:rsidP="001C517F">
            <w:pPr>
              <w:pStyle w:val="TableBody"/>
              <w:spacing w:after="120" w:line="240" w:lineRule="atLeast"/>
              <w:mirrorIndents/>
              <w:rPr>
                <w:rFonts w:cs="Arial"/>
                <w:szCs w:val="20"/>
              </w:rPr>
            </w:pPr>
            <w:r w:rsidRPr="00B53F89">
              <w:rPr>
                <w:rFonts w:cs="Arial"/>
                <w:szCs w:val="20"/>
              </w:rPr>
              <w:t>2 GHz (1980–2010 MHz and 2170–2200 MHz)</w:t>
            </w:r>
          </w:p>
        </w:tc>
        <w:tc>
          <w:tcPr>
            <w:tcW w:w="2135" w:type="pct"/>
            <w:shd w:val="clear" w:color="auto" w:fill="auto"/>
          </w:tcPr>
          <w:p w14:paraId="6B9BE26E" w14:textId="508871C4" w:rsidR="00BA5740" w:rsidRPr="00B53F89" w:rsidRDefault="00E734FC" w:rsidP="005865CD">
            <w:pPr>
              <w:pStyle w:val="TableBody"/>
              <w:numPr>
                <w:ilvl w:val="0"/>
                <w:numId w:val="89"/>
              </w:numPr>
              <w:tabs>
                <w:tab w:val="num" w:pos="397"/>
              </w:tabs>
              <w:spacing w:after="120" w:line="240" w:lineRule="atLeast"/>
              <w:ind w:left="0" w:firstLine="0"/>
              <w:mirrorIndents/>
              <w:rPr>
                <w:rFonts w:cs="Arial"/>
                <w:szCs w:val="20"/>
              </w:rPr>
            </w:pPr>
            <w:r w:rsidRPr="00B53F89">
              <w:rPr>
                <w:rFonts w:cs="Arial"/>
                <w:szCs w:val="20"/>
              </w:rPr>
              <w:t xml:space="preserve">Released in </w:t>
            </w:r>
            <w:r w:rsidR="00BA5740" w:rsidRPr="00B53F89">
              <w:rPr>
                <w:rFonts w:cs="Arial"/>
                <w:szCs w:val="20"/>
              </w:rPr>
              <w:t xml:space="preserve">Q3 2019: </w:t>
            </w:r>
            <w:r w:rsidR="004C6BFF" w:rsidRPr="00B53F89">
              <w:rPr>
                <w:rFonts w:cs="Arial"/>
                <w:szCs w:val="20"/>
              </w:rPr>
              <w:t>d</w:t>
            </w:r>
            <w:r w:rsidR="00BA5740" w:rsidRPr="00B53F89">
              <w:rPr>
                <w:rFonts w:cs="Arial"/>
                <w:szCs w:val="20"/>
              </w:rPr>
              <w:t>iscussion paper on planning issues</w:t>
            </w:r>
          </w:p>
          <w:p w14:paraId="14A1ADBE" w14:textId="1316C083" w:rsidR="00BA5740" w:rsidRPr="00B53F89" w:rsidRDefault="00BA5740" w:rsidP="005F667E">
            <w:pPr>
              <w:pStyle w:val="TableBody"/>
              <w:numPr>
                <w:ilvl w:val="0"/>
                <w:numId w:val="194"/>
              </w:numPr>
              <w:tabs>
                <w:tab w:val="num" w:pos="397"/>
              </w:tabs>
              <w:spacing w:after="120" w:line="240" w:lineRule="atLeast"/>
              <w:ind w:left="0" w:firstLine="0"/>
              <w:mirrorIndents/>
              <w:rPr>
                <w:rFonts w:cs="Arial"/>
                <w:szCs w:val="20"/>
              </w:rPr>
            </w:pPr>
            <w:r w:rsidRPr="00B53F89">
              <w:rPr>
                <w:rFonts w:cs="Arial"/>
                <w:szCs w:val="20"/>
              </w:rPr>
              <w:t>Q</w:t>
            </w:r>
            <w:r w:rsidR="005C36FC" w:rsidRPr="00B53F89">
              <w:rPr>
                <w:rFonts w:cs="Arial"/>
                <w:szCs w:val="20"/>
              </w:rPr>
              <w:t>1</w:t>
            </w:r>
            <w:r w:rsidRPr="00B53F89">
              <w:rPr>
                <w:rFonts w:cs="Arial"/>
                <w:szCs w:val="20"/>
              </w:rPr>
              <w:t xml:space="preserve"> 2020: </w:t>
            </w:r>
            <w:r w:rsidR="004C6BFF" w:rsidRPr="00B53F89">
              <w:rPr>
                <w:rFonts w:cs="Arial"/>
                <w:szCs w:val="20"/>
              </w:rPr>
              <w:t>p</w:t>
            </w:r>
            <w:r w:rsidRPr="00B53F89">
              <w:rPr>
                <w:rFonts w:cs="Arial"/>
                <w:szCs w:val="20"/>
              </w:rPr>
              <w:t>ossible options paper, dependent on outcomes of discussion paper</w:t>
            </w:r>
          </w:p>
        </w:tc>
      </w:tr>
      <w:tr w:rsidR="00BA5740" w:rsidRPr="00B53F89" w14:paraId="2784BBD8" w14:textId="77777777" w:rsidTr="00DE694D">
        <w:trPr>
          <w:trHeight w:val="424"/>
        </w:trPr>
        <w:tc>
          <w:tcPr>
            <w:tcW w:w="1100" w:type="pct"/>
            <w:vMerge/>
            <w:shd w:val="clear" w:color="auto" w:fill="auto"/>
          </w:tcPr>
          <w:p w14:paraId="20E47F87" w14:textId="77777777" w:rsidR="00BA5740" w:rsidRPr="00B53F89" w:rsidRDefault="00BA5740" w:rsidP="00D10280">
            <w:pPr>
              <w:pStyle w:val="TableBody"/>
              <w:spacing w:before="100" w:beforeAutospacing="1" w:after="100" w:afterAutospacing="1" w:line="240" w:lineRule="atLeast"/>
              <w:contextualSpacing/>
              <w:mirrorIndents/>
              <w:rPr>
                <w:rFonts w:cs="Arial"/>
                <w:szCs w:val="20"/>
              </w:rPr>
            </w:pPr>
          </w:p>
        </w:tc>
        <w:tc>
          <w:tcPr>
            <w:tcW w:w="1765" w:type="pct"/>
            <w:shd w:val="clear" w:color="auto" w:fill="auto"/>
          </w:tcPr>
          <w:p w14:paraId="78FD34E2" w14:textId="073759D5" w:rsidR="00BA5740" w:rsidRPr="00B53F89" w:rsidRDefault="00BA5740" w:rsidP="00DE694D">
            <w:pPr>
              <w:pStyle w:val="TableBody"/>
              <w:spacing w:after="120" w:line="240" w:lineRule="atLeast"/>
              <w:mirrorIndents/>
              <w:rPr>
                <w:rFonts w:cs="Arial"/>
                <w:szCs w:val="20"/>
              </w:rPr>
            </w:pPr>
            <w:r w:rsidRPr="00B53F89">
              <w:rPr>
                <w:rFonts w:cs="Arial"/>
                <w:szCs w:val="20"/>
              </w:rPr>
              <w:t>3700–4200 MHz</w:t>
            </w:r>
          </w:p>
        </w:tc>
        <w:tc>
          <w:tcPr>
            <w:tcW w:w="2135" w:type="pct"/>
            <w:shd w:val="clear" w:color="auto" w:fill="auto"/>
          </w:tcPr>
          <w:p w14:paraId="41F1C847" w14:textId="717DE371" w:rsidR="00BA5740" w:rsidRPr="00B53F89" w:rsidRDefault="00E734FC" w:rsidP="005865CD">
            <w:pPr>
              <w:pStyle w:val="TableBody"/>
              <w:numPr>
                <w:ilvl w:val="0"/>
                <w:numId w:val="90"/>
              </w:numPr>
              <w:tabs>
                <w:tab w:val="num" w:pos="397"/>
              </w:tabs>
              <w:spacing w:after="120" w:line="240" w:lineRule="atLeast"/>
              <w:ind w:left="0" w:firstLine="0"/>
              <w:mirrorIndents/>
              <w:rPr>
                <w:rFonts w:cs="Arial"/>
                <w:szCs w:val="20"/>
              </w:rPr>
            </w:pPr>
            <w:r w:rsidRPr="00B53F89">
              <w:rPr>
                <w:szCs w:val="20"/>
              </w:rPr>
              <w:t xml:space="preserve">Released in </w:t>
            </w:r>
            <w:r w:rsidR="00BA5740" w:rsidRPr="00B53F89">
              <w:rPr>
                <w:szCs w:val="20"/>
              </w:rPr>
              <w:t xml:space="preserve">Q3 2019: </w:t>
            </w:r>
            <w:r w:rsidR="004C6BFF" w:rsidRPr="00B53F89">
              <w:rPr>
                <w:rFonts w:cs="Arial"/>
                <w:szCs w:val="20"/>
              </w:rPr>
              <w:t>d</w:t>
            </w:r>
            <w:r w:rsidR="00BA5740" w:rsidRPr="00B53F89">
              <w:rPr>
                <w:rFonts w:cs="Arial"/>
                <w:szCs w:val="20"/>
              </w:rPr>
              <w:t>iscussion paper on planning issues</w:t>
            </w:r>
          </w:p>
          <w:p w14:paraId="24E2AFF3" w14:textId="7A0C1151" w:rsidR="00BA5740" w:rsidRPr="00B53F89" w:rsidRDefault="00BA5740" w:rsidP="005F667E">
            <w:pPr>
              <w:pStyle w:val="TableBody"/>
              <w:numPr>
                <w:ilvl w:val="0"/>
                <w:numId w:val="102"/>
              </w:numPr>
              <w:tabs>
                <w:tab w:val="num" w:pos="397"/>
              </w:tabs>
              <w:ind w:left="0" w:firstLine="0"/>
              <w:rPr>
                <w:rFonts w:cs="Arial"/>
                <w:szCs w:val="20"/>
              </w:rPr>
            </w:pPr>
            <w:r w:rsidRPr="00B53F89">
              <w:t xml:space="preserve">Q1 2020: </w:t>
            </w:r>
            <w:r w:rsidR="004C6BFF" w:rsidRPr="00B53F89">
              <w:t>p</w:t>
            </w:r>
            <w:r w:rsidR="005C36FC" w:rsidRPr="00B53F89">
              <w:t>ossible options paper, dependent on outcomes of discussion paper</w:t>
            </w:r>
          </w:p>
        </w:tc>
      </w:tr>
      <w:tr w:rsidR="00926054" w:rsidRPr="00B53F89" w14:paraId="4F33DF2F" w14:textId="77777777" w:rsidTr="00DE694D">
        <w:trPr>
          <w:trHeight w:val="374"/>
        </w:trPr>
        <w:tc>
          <w:tcPr>
            <w:tcW w:w="1100" w:type="pct"/>
            <w:vMerge w:val="restart"/>
            <w:shd w:val="clear" w:color="auto" w:fill="auto"/>
          </w:tcPr>
          <w:p w14:paraId="3940E5EC" w14:textId="77777777" w:rsidR="00926054" w:rsidRPr="00B53F89" w:rsidRDefault="00926054" w:rsidP="00926054">
            <w:pPr>
              <w:pStyle w:val="TableBody"/>
              <w:spacing w:before="100" w:beforeAutospacing="1" w:after="100" w:afterAutospacing="1" w:line="240" w:lineRule="atLeast"/>
              <w:contextualSpacing/>
              <w:mirrorIndents/>
              <w:rPr>
                <w:rFonts w:cs="Arial"/>
                <w:szCs w:val="20"/>
              </w:rPr>
            </w:pPr>
            <w:r w:rsidRPr="00B53F89">
              <w:rPr>
                <w:rFonts w:cs="Arial"/>
                <w:szCs w:val="20"/>
              </w:rPr>
              <w:t>Preliminary replanning</w:t>
            </w:r>
          </w:p>
        </w:tc>
        <w:tc>
          <w:tcPr>
            <w:tcW w:w="1765" w:type="pct"/>
            <w:shd w:val="clear" w:color="auto" w:fill="auto"/>
          </w:tcPr>
          <w:p w14:paraId="59C798BD" w14:textId="11FB2BF5" w:rsidR="00926054" w:rsidRPr="00B53F89" w:rsidRDefault="00926054" w:rsidP="00926054">
            <w:pPr>
              <w:pStyle w:val="TableBody"/>
            </w:pPr>
            <w:r w:rsidRPr="00B53F89">
              <w:t>1800 MHz (1710–1785 MHz and1805–1880 MHz) in remote areas</w:t>
            </w:r>
          </w:p>
        </w:tc>
        <w:tc>
          <w:tcPr>
            <w:tcW w:w="2135" w:type="pct"/>
            <w:shd w:val="clear" w:color="auto" w:fill="auto"/>
          </w:tcPr>
          <w:p w14:paraId="5A42C95D" w14:textId="058B668F" w:rsidR="00926054" w:rsidRPr="00B53F89" w:rsidRDefault="00926054" w:rsidP="00E21B3C">
            <w:pPr>
              <w:pStyle w:val="TableBody"/>
              <w:numPr>
                <w:ilvl w:val="0"/>
                <w:numId w:val="91"/>
              </w:numPr>
              <w:tabs>
                <w:tab w:val="num" w:pos="397"/>
              </w:tabs>
              <w:ind w:left="0" w:firstLine="0"/>
            </w:pPr>
            <w:r w:rsidRPr="00B53F89">
              <w:t>Q</w:t>
            </w:r>
            <w:r w:rsidR="008779D5" w:rsidRPr="00B53F89">
              <w:t>4</w:t>
            </w:r>
            <w:r w:rsidRPr="00B53F89">
              <w:t xml:space="preserve"> 2019: </w:t>
            </w:r>
            <w:r w:rsidR="004C6BFF" w:rsidRPr="00B53F89">
              <w:t>d</w:t>
            </w:r>
            <w:r w:rsidRPr="00B53F89">
              <w:t xml:space="preserve">iscussion paper on planning issues </w:t>
            </w:r>
          </w:p>
        </w:tc>
      </w:tr>
      <w:tr w:rsidR="00926054" w:rsidRPr="00B53F89" w14:paraId="7A2D5617" w14:textId="77777777" w:rsidTr="00EE318C">
        <w:trPr>
          <w:trHeight w:val="353"/>
        </w:trPr>
        <w:tc>
          <w:tcPr>
            <w:tcW w:w="1100" w:type="pct"/>
            <w:vMerge/>
            <w:shd w:val="clear" w:color="auto" w:fill="auto"/>
          </w:tcPr>
          <w:p w14:paraId="66A5A1F0" w14:textId="77777777" w:rsidR="00926054" w:rsidRPr="00B53F89" w:rsidRDefault="00926054" w:rsidP="00926054">
            <w:pPr>
              <w:pStyle w:val="TableBody"/>
              <w:spacing w:before="100" w:beforeAutospacing="1" w:after="100" w:afterAutospacing="1" w:line="240" w:lineRule="atLeast"/>
              <w:contextualSpacing/>
              <w:mirrorIndents/>
              <w:rPr>
                <w:rFonts w:cs="Arial"/>
                <w:szCs w:val="20"/>
              </w:rPr>
            </w:pPr>
          </w:p>
        </w:tc>
        <w:tc>
          <w:tcPr>
            <w:tcW w:w="1765" w:type="pct"/>
            <w:shd w:val="clear" w:color="auto" w:fill="auto"/>
          </w:tcPr>
          <w:p w14:paraId="7B4259DD" w14:textId="4FEA1CD8" w:rsidR="00926054" w:rsidRPr="00B53F89" w:rsidRDefault="00EE3C7B" w:rsidP="00926054">
            <w:pPr>
              <w:pStyle w:val="TableBody"/>
            </w:pPr>
            <w:r w:rsidRPr="00B53F89">
              <w:t>3400–3575 MHz</w:t>
            </w:r>
          </w:p>
        </w:tc>
        <w:tc>
          <w:tcPr>
            <w:tcW w:w="2135" w:type="pct"/>
            <w:shd w:val="clear" w:color="auto" w:fill="auto"/>
          </w:tcPr>
          <w:p w14:paraId="3B7E5FC8" w14:textId="73D2913B" w:rsidR="00926054" w:rsidRPr="00B53F89" w:rsidRDefault="006B6E36" w:rsidP="005F667E">
            <w:pPr>
              <w:pStyle w:val="TableBody"/>
              <w:numPr>
                <w:ilvl w:val="0"/>
                <w:numId w:val="195"/>
              </w:numPr>
              <w:tabs>
                <w:tab w:val="num" w:pos="397"/>
              </w:tabs>
              <w:ind w:left="0" w:firstLine="0"/>
            </w:pPr>
            <w:r w:rsidRPr="00B53F89">
              <w:t>Q</w:t>
            </w:r>
            <w:r w:rsidR="009E2173" w:rsidRPr="00B53F89">
              <w:t>4</w:t>
            </w:r>
            <w:r w:rsidRPr="00B53F89">
              <w:t xml:space="preserve"> 2</w:t>
            </w:r>
            <w:r w:rsidR="00703DA1" w:rsidRPr="00B53F89">
              <w:t>0</w:t>
            </w:r>
            <w:r w:rsidR="00F42C38" w:rsidRPr="00B53F89">
              <w:t>19</w:t>
            </w:r>
            <w:r w:rsidR="009E2173" w:rsidRPr="00B53F89">
              <w:t>:</w:t>
            </w:r>
            <w:r w:rsidRPr="00B53F89">
              <w:t xml:space="preserve"> </w:t>
            </w:r>
            <w:r w:rsidR="004C6BFF" w:rsidRPr="00B53F89">
              <w:t>p</w:t>
            </w:r>
            <w:r w:rsidR="009E2173" w:rsidRPr="00B53F89">
              <w:t>lanning decision</w:t>
            </w:r>
          </w:p>
        </w:tc>
      </w:tr>
      <w:tr w:rsidR="00926054" w:rsidRPr="00B53F89" w14:paraId="05B0C345" w14:textId="77777777" w:rsidTr="000301A7">
        <w:trPr>
          <w:trHeight w:val="294"/>
        </w:trPr>
        <w:tc>
          <w:tcPr>
            <w:tcW w:w="1100" w:type="pct"/>
            <w:vMerge/>
            <w:shd w:val="clear" w:color="auto" w:fill="auto"/>
          </w:tcPr>
          <w:p w14:paraId="384CB9C6" w14:textId="77777777" w:rsidR="00926054" w:rsidRPr="00B53F89" w:rsidRDefault="00926054" w:rsidP="00926054">
            <w:pPr>
              <w:pStyle w:val="TableBody"/>
              <w:spacing w:before="100" w:beforeAutospacing="1" w:after="100" w:afterAutospacing="1" w:line="240" w:lineRule="atLeast"/>
              <w:contextualSpacing/>
              <w:mirrorIndents/>
              <w:rPr>
                <w:rFonts w:cs="Arial"/>
                <w:szCs w:val="20"/>
              </w:rPr>
            </w:pPr>
          </w:p>
        </w:tc>
        <w:tc>
          <w:tcPr>
            <w:tcW w:w="1765" w:type="pct"/>
            <w:shd w:val="clear" w:color="auto" w:fill="auto"/>
          </w:tcPr>
          <w:p w14:paraId="727FBFDC" w14:textId="730FD2B0" w:rsidR="00926054" w:rsidRPr="00B53F89" w:rsidRDefault="00926054" w:rsidP="00926054">
            <w:pPr>
              <w:pStyle w:val="TableBody"/>
            </w:pPr>
            <w:r w:rsidRPr="00B53F89">
              <w:rPr>
                <w:rFonts w:cs="Arial"/>
                <w:szCs w:val="20"/>
              </w:rPr>
              <w:t xml:space="preserve">28 GHz </w:t>
            </w:r>
            <w:r w:rsidRPr="00B53F89">
              <w:rPr>
                <w:rFonts w:cs="Arial"/>
                <w:szCs w:val="20"/>
              </w:rPr>
              <w:br/>
              <w:t>(27.5–29.5 GHz)</w:t>
            </w:r>
          </w:p>
        </w:tc>
        <w:tc>
          <w:tcPr>
            <w:tcW w:w="2135" w:type="pct"/>
            <w:shd w:val="clear" w:color="auto" w:fill="auto"/>
          </w:tcPr>
          <w:p w14:paraId="29F06072" w14:textId="68804E95" w:rsidR="00926054" w:rsidRPr="00B53F89" w:rsidRDefault="00926054" w:rsidP="005F667E">
            <w:pPr>
              <w:pStyle w:val="TableBody"/>
            </w:pPr>
            <w:r w:rsidRPr="00B53F89">
              <w:rPr>
                <w:szCs w:val="20"/>
              </w:rPr>
              <w:t xml:space="preserve">Q3 2019: </w:t>
            </w:r>
            <w:r w:rsidR="004C6BFF" w:rsidRPr="00B53F89">
              <w:rPr>
                <w:szCs w:val="20"/>
              </w:rPr>
              <w:t>p</w:t>
            </w:r>
            <w:r w:rsidRPr="00B53F89">
              <w:rPr>
                <w:szCs w:val="20"/>
              </w:rPr>
              <w:t xml:space="preserve">lanning decision </w:t>
            </w:r>
          </w:p>
        </w:tc>
      </w:tr>
      <w:tr w:rsidR="00926054" w:rsidRPr="00B53F89" w14:paraId="703A14CD" w14:textId="77777777" w:rsidTr="00DE694D">
        <w:trPr>
          <w:trHeight w:val="981"/>
        </w:trPr>
        <w:tc>
          <w:tcPr>
            <w:tcW w:w="1100" w:type="pct"/>
            <w:vMerge w:val="restart"/>
            <w:shd w:val="clear" w:color="auto" w:fill="auto"/>
          </w:tcPr>
          <w:p w14:paraId="1405E538" w14:textId="39849B98" w:rsidR="00926054" w:rsidRPr="00B53F89" w:rsidRDefault="00926054" w:rsidP="00926054">
            <w:pPr>
              <w:pStyle w:val="TableBody"/>
              <w:spacing w:before="100" w:beforeAutospacing="1" w:after="100" w:afterAutospacing="1" w:line="240" w:lineRule="atLeast"/>
              <w:contextualSpacing/>
              <w:mirrorIndents/>
              <w:rPr>
                <w:rFonts w:cs="Arial"/>
                <w:szCs w:val="20"/>
              </w:rPr>
            </w:pPr>
            <w:r w:rsidRPr="00B53F89">
              <w:rPr>
                <w:rFonts w:cs="Arial"/>
                <w:szCs w:val="20"/>
              </w:rPr>
              <w:t>Replanning</w:t>
            </w:r>
          </w:p>
        </w:tc>
        <w:tc>
          <w:tcPr>
            <w:tcW w:w="1765" w:type="pct"/>
            <w:shd w:val="clear" w:color="auto" w:fill="auto"/>
          </w:tcPr>
          <w:p w14:paraId="7E9C4BDE" w14:textId="4E09C4CE" w:rsidR="00926054" w:rsidRPr="00B53F89" w:rsidRDefault="00926054" w:rsidP="00926054">
            <w:pPr>
              <w:pStyle w:val="TableBody"/>
            </w:pPr>
            <w:r w:rsidRPr="00B53F89">
              <w:t>850 MHz expansion band (809–824 MHz and 854–869 MHz)</w:t>
            </w:r>
          </w:p>
        </w:tc>
        <w:tc>
          <w:tcPr>
            <w:tcW w:w="2135" w:type="pct"/>
            <w:shd w:val="clear" w:color="auto" w:fill="auto"/>
          </w:tcPr>
          <w:p w14:paraId="15EE40D6" w14:textId="5378CC83" w:rsidR="00926054" w:rsidRPr="00B53F89" w:rsidRDefault="00926054" w:rsidP="00926054">
            <w:pPr>
              <w:pStyle w:val="TableBody"/>
            </w:pPr>
            <w:r w:rsidRPr="00B53F89">
              <w:t xml:space="preserve">Band is being cleared progressively. </w:t>
            </w:r>
            <w:r w:rsidR="000A709F" w:rsidRPr="00B53F89">
              <w:t xml:space="preserve">The </w:t>
            </w:r>
            <w:r w:rsidRPr="00B53F89">
              <w:t xml:space="preserve">ACMA continues to consider options for optimising its use. Allocation timeframes are tied to those of the 900 MHz band </w:t>
            </w:r>
          </w:p>
        </w:tc>
      </w:tr>
      <w:tr w:rsidR="00926054" w:rsidRPr="00B53F89" w14:paraId="606ED961" w14:textId="77777777" w:rsidTr="000301A7">
        <w:trPr>
          <w:trHeight w:val="735"/>
        </w:trPr>
        <w:tc>
          <w:tcPr>
            <w:tcW w:w="1100" w:type="pct"/>
            <w:vMerge/>
            <w:shd w:val="clear" w:color="auto" w:fill="auto"/>
          </w:tcPr>
          <w:p w14:paraId="1F7AC8AE" w14:textId="77777777" w:rsidR="00926054" w:rsidRPr="00B53F89" w:rsidRDefault="00926054" w:rsidP="00926054">
            <w:pPr>
              <w:pStyle w:val="TableBody"/>
              <w:spacing w:before="100" w:beforeAutospacing="1" w:after="100" w:afterAutospacing="1" w:line="240" w:lineRule="atLeast"/>
              <w:contextualSpacing/>
              <w:mirrorIndents/>
              <w:rPr>
                <w:rFonts w:cs="Arial"/>
                <w:szCs w:val="20"/>
              </w:rPr>
            </w:pPr>
          </w:p>
        </w:tc>
        <w:tc>
          <w:tcPr>
            <w:tcW w:w="1765" w:type="pct"/>
            <w:shd w:val="clear" w:color="auto" w:fill="auto"/>
          </w:tcPr>
          <w:p w14:paraId="44717C2C" w14:textId="1178A403" w:rsidR="00926054" w:rsidRPr="00B53F89" w:rsidRDefault="00926054" w:rsidP="00926054">
            <w:pPr>
              <w:pStyle w:val="TableBody"/>
            </w:pPr>
            <w:r w:rsidRPr="00B53F89">
              <w:t>900 MHz (890–915 MHz and 935–960 MHz)</w:t>
            </w:r>
          </w:p>
        </w:tc>
        <w:tc>
          <w:tcPr>
            <w:tcW w:w="2135" w:type="pct"/>
            <w:shd w:val="clear" w:color="auto" w:fill="auto"/>
          </w:tcPr>
          <w:p w14:paraId="50B59054" w14:textId="5C4A8F43" w:rsidR="00926054" w:rsidRPr="00B53F89" w:rsidRDefault="00926054" w:rsidP="00926054">
            <w:pPr>
              <w:pStyle w:val="TableBody"/>
            </w:pPr>
            <w:r w:rsidRPr="00B53F89">
              <w:t>Consultation on configuration options for the band was conducted in Q2 2019. The ACMA is considering the submissions</w:t>
            </w:r>
          </w:p>
        </w:tc>
      </w:tr>
      <w:tr w:rsidR="00926054" w:rsidRPr="00B53F89" w14:paraId="7D2AAF00" w14:textId="77777777" w:rsidTr="00E77F3C">
        <w:trPr>
          <w:trHeight w:val="735"/>
        </w:trPr>
        <w:tc>
          <w:tcPr>
            <w:tcW w:w="1100" w:type="pct"/>
            <w:vMerge/>
            <w:shd w:val="clear" w:color="auto" w:fill="auto"/>
          </w:tcPr>
          <w:p w14:paraId="1095B14E" w14:textId="77777777" w:rsidR="00926054" w:rsidRPr="00B53F89" w:rsidRDefault="00926054" w:rsidP="00926054">
            <w:pPr>
              <w:pStyle w:val="TableBody"/>
              <w:spacing w:before="100" w:beforeAutospacing="1" w:after="100" w:afterAutospacing="1" w:line="240" w:lineRule="atLeast"/>
              <w:contextualSpacing/>
              <w:mirrorIndents/>
              <w:rPr>
                <w:rFonts w:cs="Arial"/>
                <w:szCs w:val="20"/>
              </w:rPr>
            </w:pPr>
          </w:p>
        </w:tc>
        <w:tc>
          <w:tcPr>
            <w:tcW w:w="1765" w:type="pct"/>
            <w:shd w:val="clear" w:color="auto" w:fill="auto"/>
          </w:tcPr>
          <w:p w14:paraId="59BFB71B" w14:textId="22BC9031" w:rsidR="00926054" w:rsidRPr="00B53F89" w:rsidRDefault="00926054" w:rsidP="00926054">
            <w:pPr>
              <w:pStyle w:val="TableBody"/>
            </w:pPr>
            <w:r w:rsidRPr="00B53F89">
              <w:t>5.6 GHz (5600–5650 MHz)</w:t>
            </w:r>
          </w:p>
        </w:tc>
        <w:tc>
          <w:tcPr>
            <w:tcW w:w="2135" w:type="pct"/>
            <w:shd w:val="clear" w:color="auto" w:fill="auto"/>
          </w:tcPr>
          <w:p w14:paraId="2AE0625F" w14:textId="5BB69E71" w:rsidR="00926054" w:rsidRPr="00B53F89" w:rsidRDefault="00926054" w:rsidP="00926054">
            <w:pPr>
              <w:pStyle w:val="TableBody"/>
            </w:pPr>
            <w:r w:rsidRPr="00B53F89">
              <w:t>Q4 2019</w:t>
            </w:r>
            <w:r w:rsidR="009637AD" w:rsidRPr="00B53F89">
              <w:t>:</w:t>
            </w:r>
            <w:r w:rsidRPr="00B53F89">
              <w:t xml:space="preserve"> the ACMA plans to finalise the release of the 5.6 GHz band, including </w:t>
            </w:r>
            <w:r w:rsidR="005C36FC" w:rsidRPr="00B53F89">
              <w:t xml:space="preserve">possible </w:t>
            </w:r>
            <w:r w:rsidRPr="00B53F89">
              <w:t xml:space="preserve">transitional arrangements for 3.6 GHz band (3575–3700 MHz) point-to-multipoint licensees </w:t>
            </w:r>
          </w:p>
        </w:tc>
      </w:tr>
      <w:tr w:rsidR="00926054" w:rsidRPr="00B53F89" w14:paraId="16E82666" w14:textId="77777777" w:rsidTr="00E77F3C">
        <w:trPr>
          <w:trHeight w:val="735"/>
        </w:trPr>
        <w:tc>
          <w:tcPr>
            <w:tcW w:w="1100" w:type="pct"/>
            <w:vMerge/>
            <w:shd w:val="clear" w:color="auto" w:fill="auto"/>
          </w:tcPr>
          <w:p w14:paraId="2337EF02" w14:textId="77777777" w:rsidR="00926054" w:rsidRPr="00B53F89" w:rsidRDefault="00926054" w:rsidP="00926054">
            <w:pPr>
              <w:pStyle w:val="TableBody"/>
              <w:spacing w:before="100" w:beforeAutospacing="1" w:after="100" w:afterAutospacing="1" w:line="240" w:lineRule="atLeast"/>
              <w:contextualSpacing/>
              <w:mirrorIndents/>
              <w:rPr>
                <w:rFonts w:cs="Arial"/>
                <w:szCs w:val="20"/>
              </w:rPr>
            </w:pPr>
          </w:p>
        </w:tc>
        <w:tc>
          <w:tcPr>
            <w:tcW w:w="1765" w:type="pct"/>
            <w:shd w:val="clear" w:color="auto" w:fill="auto"/>
          </w:tcPr>
          <w:p w14:paraId="33D8E27D" w14:textId="50FAFD25" w:rsidR="00926054" w:rsidRPr="00B53F89" w:rsidRDefault="00926054" w:rsidP="00926054">
            <w:pPr>
              <w:pStyle w:val="TableBody"/>
            </w:pPr>
            <w:r w:rsidRPr="00B53F89">
              <w:t>26 GHz (24.25–27.5 GHz)</w:t>
            </w:r>
          </w:p>
        </w:tc>
        <w:tc>
          <w:tcPr>
            <w:tcW w:w="2135" w:type="pct"/>
            <w:shd w:val="clear" w:color="auto" w:fill="auto"/>
          </w:tcPr>
          <w:p w14:paraId="2275A92F" w14:textId="07E93E2E" w:rsidR="00926054" w:rsidRPr="00B53F89" w:rsidRDefault="00565C2D" w:rsidP="005F667E">
            <w:pPr>
              <w:pStyle w:val="TableBody"/>
              <w:numPr>
                <w:ilvl w:val="0"/>
                <w:numId w:val="102"/>
              </w:numPr>
              <w:tabs>
                <w:tab w:val="num" w:pos="397"/>
              </w:tabs>
              <w:ind w:left="0" w:firstLine="0"/>
            </w:pPr>
            <w:r w:rsidRPr="00B53F89">
              <w:t xml:space="preserve">Q3 2019: </w:t>
            </w:r>
            <w:r w:rsidR="004C6BFF" w:rsidRPr="00B53F89">
              <w:t>r</w:t>
            </w:r>
            <w:r w:rsidRPr="00B53F89">
              <w:t xml:space="preserve">ecommendation to </w:t>
            </w:r>
            <w:r w:rsidR="00AA6D3C" w:rsidRPr="00B53F89">
              <w:t>m</w:t>
            </w:r>
            <w:r w:rsidRPr="00B53F89">
              <w:t>inister</w:t>
            </w:r>
          </w:p>
        </w:tc>
      </w:tr>
    </w:tbl>
    <w:p w14:paraId="7F3CEC1D" w14:textId="77777777" w:rsidR="0058077F" w:rsidRPr="00B53F89" w:rsidRDefault="0058077F" w:rsidP="00D7755E">
      <w:pPr>
        <w:pStyle w:val="ACMASpaceaftertable"/>
      </w:pPr>
    </w:p>
    <w:p w14:paraId="5F3B0740" w14:textId="4FC2B685" w:rsidR="009116B7" w:rsidRPr="00B53F89" w:rsidRDefault="009116B7" w:rsidP="00DE694D">
      <w:pPr>
        <w:pStyle w:val="ACMATableHeader"/>
        <w:keepNext/>
      </w:pPr>
      <w:r w:rsidRPr="00B53F89">
        <w:lastRenderedPageBreak/>
        <w:t>Planning</w:t>
      </w:r>
      <w:r w:rsidR="00E6326B" w:rsidRPr="00B53F89">
        <w:t>—</w:t>
      </w:r>
      <w:r w:rsidRPr="00B53F89">
        <w:t>optimising established planning frameworks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85" w:type="dxa"/>
          <w:bottom w:w="85" w:type="dxa"/>
        </w:tblCellMar>
        <w:tblLook w:val="01E0" w:firstRow="1" w:lastRow="1" w:firstColumn="1" w:lastColumn="1" w:noHBand="0" w:noVBand="0"/>
        <w:tblCaption w:val="Table title to go here"/>
        <w:tblDescription w:val="Table description to go here"/>
      </w:tblPr>
      <w:tblGrid>
        <w:gridCol w:w="1698"/>
        <w:gridCol w:w="3827"/>
        <w:gridCol w:w="2136"/>
      </w:tblGrid>
      <w:tr w:rsidR="001178EE" w:rsidRPr="00B53F89" w14:paraId="2D42E986" w14:textId="77777777" w:rsidTr="00325B74">
        <w:trPr>
          <w:trHeight w:val="349"/>
          <w:tblHeader/>
        </w:trPr>
        <w:tc>
          <w:tcPr>
            <w:tcW w:w="1108" w:type="pct"/>
            <w:shd w:val="clear" w:color="auto" w:fill="404040" w:themeFill="text1" w:themeFillTint="BF"/>
          </w:tcPr>
          <w:p w14:paraId="7691FFAF" w14:textId="77777777" w:rsidR="001178EE" w:rsidRPr="00B53F89" w:rsidRDefault="001178EE" w:rsidP="00B747E1">
            <w:pPr>
              <w:pStyle w:val="TableHeading"/>
            </w:pPr>
            <w:r w:rsidRPr="00B53F89">
              <w:t>Planning area</w:t>
            </w:r>
          </w:p>
        </w:tc>
        <w:tc>
          <w:tcPr>
            <w:tcW w:w="2498" w:type="pct"/>
            <w:shd w:val="clear" w:color="auto" w:fill="404040" w:themeFill="text1" w:themeFillTint="BF"/>
          </w:tcPr>
          <w:p w14:paraId="5A0AC9D2" w14:textId="77777777" w:rsidR="001178EE" w:rsidRPr="00B53F89" w:rsidRDefault="001178EE" w:rsidP="00B747E1">
            <w:pPr>
              <w:pStyle w:val="TableHeading"/>
            </w:pPr>
            <w:r w:rsidRPr="00B53F89">
              <w:t>Project priorities</w:t>
            </w:r>
          </w:p>
        </w:tc>
        <w:tc>
          <w:tcPr>
            <w:tcW w:w="1394" w:type="pct"/>
            <w:shd w:val="clear" w:color="auto" w:fill="404040" w:themeFill="text1" w:themeFillTint="BF"/>
          </w:tcPr>
          <w:p w14:paraId="6AED50D5" w14:textId="77777777" w:rsidR="001178EE" w:rsidRPr="00B53F89" w:rsidRDefault="001178EE" w:rsidP="00B747E1">
            <w:pPr>
              <w:pStyle w:val="TableHeading"/>
            </w:pPr>
            <w:r w:rsidRPr="00B53F89">
              <w:t>Proposed timelines</w:t>
            </w:r>
          </w:p>
        </w:tc>
      </w:tr>
      <w:tr w:rsidR="00E77F3C" w:rsidRPr="00B53F89" w14:paraId="3CA22497" w14:textId="77777777" w:rsidTr="000A709F">
        <w:trPr>
          <w:trHeight w:val="489"/>
        </w:trPr>
        <w:tc>
          <w:tcPr>
            <w:tcW w:w="1108" w:type="pct"/>
            <w:vMerge w:val="restart"/>
            <w:shd w:val="clear" w:color="auto" w:fill="auto"/>
          </w:tcPr>
          <w:p w14:paraId="7B05941D" w14:textId="77777777" w:rsidR="00E77F3C" w:rsidRPr="00B53F89" w:rsidRDefault="00E77F3C" w:rsidP="00DE694D">
            <w:pPr>
              <w:pStyle w:val="TableBody"/>
            </w:pPr>
            <w:r w:rsidRPr="00B53F89">
              <w:t>Broadcasting analog and digital radio</w:t>
            </w:r>
          </w:p>
        </w:tc>
        <w:tc>
          <w:tcPr>
            <w:tcW w:w="2498" w:type="pct"/>
            <w:shd w:val="clear" w:color="auto" w:fill="auto"/>
          </w:tcPr>
          <w:p w14:paraId="22B53F84" w14:textId="0D7CCFFA" w:rsidR="00E77F3C" w:rsidRPr="00B53F89" w:rsidRDefault="00E77F3C" w:rsidP="00DE694D">
            <w:pPr>
              <w:pStyle w:val="TableBody"/>
            </w:pPr>
            <w:r w:rsidRPr="00B53F89">
              <w:t xml:space="preserve">Finalise outcome of the consultation on AM to FM conversion for Scottsdale, Tasmania </w:t>
            </w:r>
          </w:p>
        </w:tc>
        <w:tc>
          <w:tcPr>
            <w:tcW w:w="1394" w:type="pct"/>
            <w:shd w:val="clear" w:color="auto" w:fill="auto"/>
          </w:tcPr>
          <w:p w14:paraId="50A748D6" w14:textId="34622B3B" w:rsidR="00E77F3C" w:rsidRPr="00B53F89" w:rsidRDefault="00780118" w:rsidP="00F116D3">
            <w:pPr>
              <w:pStyle w:val="TableBody"/>
              <w:numPr>
                <w:ilvl w:val="0"/>
                <w:numId w:val="95"/>
              </w:numPr>
              <w:tabs>
                <w:tab w:val="num" w:pos="397"/>
              </w:tabs>
              <w:ind w:left="0" w:firstLine="0"/>
            </w:pPr>
            <w:r w:rsidRPr="00B53F89">
              <w:t>Completed</w:t>
            </w:r>
            <w:r w:rsidR="00E56F45" w:rsidRPr="00B53F89">
              <w:t xml:space="preserve"> in </w:t>
            </w:r>
            <w:r w:rsidR="00CA5E24" w:rsidRPr="00B53F89">
              <w:t>Q</w:t>
            </w:r>
            <w:r w:rsidR="00D8506D" w:rsidRPr="00B53F89">
              <w:t>3</w:t>
            </w:r>
            <w:r w:rsidR="00CA5E24" w:rsidRPr="00B53F89">
              <w:t xml:space="preserve"> 2019</w:t>
            </w:r>
          </w:p>
        </w:tc>
      </w:tr>
      <w:tr w:rsidR="00E77F3C" w:rsidRPr="00B53F89" w14:paraId="6CE7EFF2" w14:textId="77777777" w:rsidTr="000A709F">
        <w:trPr>
          <w:trHeight w:val="945"/>
        </w:trPr>
        <w:tc>
          <w:tcPr>
            <w:tcW w:w="1108" w:type="pct"/>
            <w:vMerge/>
            <w:shd w:val="clear" w:color="auto" w:fill="auto"/>
          </w:tcPr>
          <w:p w14:paraId="3B7EC000" w14:textId="77777777" w:rsidR="00E77F3C" w:rsidRPr="00B53F89" w:rsidRDefault="00E77F3C" w:rsidP="00DE694D">
            <w:pPr>
              <w:pStyle w:val="TableBody"/>
            </w:pPr>
          </w:p>
        </w:tc>
        <w:tc>
          <w:tcPr>
            <w:tcW w:w="2498" w:type="pct"/>
            <w:shd w:val="clear" w:color="auto" w:fill="auto"/>
          </w:tcPr>
          <w:p w14:paraId="089896EC" w14:textId="4998F19E" w:rsidR="00E77F3C" w:rsidRPr="00B53F89" w:rsidRDefault="00E77F3C" w:rsidP="00DE694D">
            <w:pPr>
              <w:pStyle w:val="TableBody"/>
            </w:pPr>
            <w:r w:rsidRPr="00B53F89">
              <w:t xml:space="preserve">Consult on AM to FM conversion </w:t>
            </w:r>
            <w:r w:rsidR="00671D80" w:rsidRPr="00B53F89">
              <w:t>proposals</w:t>
            </w:r>
            <w:r w:rsidRPr="00B53F89">
              <w:t xml:space="preserve"> for </w:t>
            </w:r>
            <w:r w:rsidR="002C5DB5" w:rsidRPr="00B53F89">
              <w:t xml:space="preserve">Riverland, </w:t>
            </w:r>
            <w:r w:rsidRPr="00B53F89">
              <w:t xml:space="preserve">Murray Bridge, Spencer </w:t>
            </w:r>
            <w:r w:rsidR="00357DDA" w:rsidRPr="00B53F89">
              <w:t xml:space="preserve">Gulf </w:t>
            </w:r>
            <w:r w:rsidRPr="00B53F89">
              <w:t>North and Port Lincoln</w:t>
            </w:r>
            <w:r w:rsidR="009F310D" w:rsidRPr="00B53F89">
              <w:t>, South Australia</w:t>
            </w:r>
          </w:p>
        </w:tc>
        <w:tc>
          <w:tcPr>
            <w:tcW w:w="1394" w:type="pct"/>
            <w:shd w:val="clear" w:color="auto" w:fill="auto"/>
          </w:tcPr>
          <w:p w14:paraId="60E283D2" w14:textId="5E3CF21D" w:rsidR="00E77F3C" w:rsidRPr="00B53F89" w:rsidRDefault="00E734FC" w:rsidP="00F116D3">
            <w:pPr>
              <w:pStyle w:val="TableBody"/>
              <w:numPr>
                <w:ilvl w:val="0"/>
                <w:numId w:val="96"/>
              </w:numPr>
              <w:tabs>
                <w:tab w:val="num" w:pos="397"/>
              </w:tabs>
              <w:ind w:left="0" w:firstLine="0"/>
            </w:pPr>
            <w:r w:rsidRPr="00B53F89">
              <w:t xml:space="preserve">Q3 2019: </w:t>
            </w:r>
            <w:r w:rsidR="005F064E" w:rsidRPr="00B53F89">
              <w:t>c</w:t>
            </w:r>
            <w:r w:rsidR="00E77F3C" w:rsidRPr="00B53F89">
              <w:t xml:space="preserve">onsult </w:t>
            </w:r>
            <w:r w:rsidR="007F3687" w:rsidRPr="00B53F89">
              <w:t xml:space="preserve">and finalise </w:t>
            </w:r>
          </w:p>
        </w:tc>
      </w:tr>
      <w:tr w:rsidR="00E77F3C" w:rsidRPr="00B53F89" w14:paraId="6E88E21B" w14:textId="77777777" w:rsidTr="000A709F">
        <w:trPr>
          <w:trHeight w:val="664"/>
        </w:trPr>
        <w:tc>
          <w:tcPr>
            <w:tcW w:w="1108" w:type="pct"/>
            <w:vMerge/>
            <w:shd w:val="clear" w:color="auto" w:fill="auto"/>
          </w:tcPr>
          <w:p w14:paraId="18ECFCE5" w14:textId="77777777" w:rsidR="00E77F3C" w:rsidRPr="00B53F89" w:rsidRDefault="00E77F3C" w:rsidP="00DE694D">
            <w:pPr>
              <w:pStyle w:val="TableBody"/>
            </w:pPr>
          </w:p>
        </w:tc>
        <w:tc>
          <w:tcPr>
            <w:tcW w:w="2498" w:type="pct"/>
            <w:shd w:val="clear" w:color="auto" w:fill="auto"/>
          </w:tcPr>
          <w:p w14:paraId="56AE98E8" w14:textId="0D920A80" w:rsidR="00E77F3C" w:rsidRPr="00B53F89" w:rsidRDefault="00E77F3C" w:rsidP="00DE694D">
            <w:pPr>
              <w:pStyle w:val="TableBody"/>
            </w:pPr>
            <w:bookmarkStart w:id="20" w:name="_Hlk12369180"/>
            <w:r w:rsidRPr="00B53F89">
              <w:t>Develop and consult on proposals for AM to FM conversions in Taree and Grafton</w:t>
            </w:r>
            <w:r w:rsidR="009F310D" w:rsidRPr="00B53F89">
              <w:t>, New South Wales</w:t>
            </w:r>
            <w:bookmarkEnd w:id="20"/>
          </w:p>
        </w:tc>
        <w:tc>
          <w:tcPr>
            <w:tcW w:w="1394" w:type="pct"/>
            <w:shd w:val="clear" w:color="auto" w:fill="auto"/>
          </w:tcPr>
          <w:p w14:paraId="7762A25D" w14:textId="04C48AFE" w:rsidR="00F40F62" w:rsidRPr="00B53F89" w:rsidRDefault="00E734FC" w:rsidP="00F116D3">
            <w:pPr>
              <w:pStyle w:val="TableBody"/>
              <w:numPr>
                <w:ilvl w:val="0"/>
                <w:numId w:val="97"/>
              </w:numPr>
              <w:tabs>
                <w:tab w:val="num" w:pos="397"/>
              </w:tabs>
              <w:ind w:left="0" w:firstLine="0"/>
            </w:pPr>
            <w:r w:rsidRPr="00B53F89">
              <w:t xml:space="preserve">Q4 2019: </w:t>
            </w:r>
            <w:r w:rsidR="005F064E" w:rsidRPr="00B53F89">
              <w:t>c</w:t>
            </w:r>
            <w:r w:rsidR="00E77F3C" w:rsidRPr="00B53F89">
              <w:t>onsult</w:t>
            </w:r>
          </w:p>
          <w:p w14:paraId="032CF392" w14:textId="75A24516" w:rsidR="00E77F3C" w:rsidRPr="00B53F89" w:rsidRDefault="00E77F3C" w:rsidP="00DE694D">
            <w:pPr>
              <w:pStyle w:val="TableBody"/>
            </w:pPr>
          </w:p>
        </w:tc>
      </w:tr>
      <w:tr w:rsidR="00E77F3C" w:rsidRPr="00B53F89" w14:paraId="74E31042" w14:textId="77777777" w:rsidTr="000A709F">
        <w:trPr>
          <w:trHeight w:val="552"/>
        </w:trPr>
        <w:tc>
          <w:tcPr>
            <w:tcW w:w="1108" w:type="pct"/>
            <w:vMerge/>
            <w:shd w:val="clear" w:color="auto" w:fill="auto"/>
          </w:tcPr>
          <w:p w14:paraId="14571D40" w14:textId="77777777" w:rsidR="00E77F3C" w:rsidRPr="00B53F89" w:rsidRDefault="00E77F3C" w:rsidP="00DE694D">
            <w:pPr>
              <w:pStyle w:val="TableBody"/>
            </w:pPr>
          </w:p>
        </w:tc>
        <w:tc>
          <w:tcPr>
            <w:tcW w:w="2498" w:type="pct"/>
            <w:shd w:val="clear" w:color="auto" w:fill="auto"/>
          </w:tcPr>
          <w:p w14:paraId="6D09D8F8" w14:textId="0314DFC2" w:rsidR="00E77F3C" w:rsidRPr="00B53F89" w:rsidRDefault="00E77F3C" w:rsidP="00DE694D">
            <w:pPr>
              <w:pStyle w:val="TableBody"/>
            </w:pPr>
            <w:bookmarkStart w:id="21" w:name="_Hlk12369217"/>
            <w:r w:rsidRPr="00B53F89">
              <w:t xml:space="preserve">Develop and consult on the potential for replanning analog radio services in Perth following the clearance of Band II </w:t>
            </w:r>
            <w:r w:rsidR="00167099" w:rsidRPr="00B53F89">
              <w:t>television</w:t>
            </w:r>
            <w:r w:rsidRPr="00B53F89">
              <w:t xml:space="preserve"> in Bunbury</w:t>
            </w:r>
            <w:bookmarkEnd w:id="21"/>
          </w:p>
        </w:tc>
        <w:tc>
          <w:tcPr>
            <w:tcW w:w="1394" w:type="pct"/>
            <w:shd w:val="clear" w:color="auto" w:fill="auto"/>
          </w:tcPr>
          <w:p w14:paraId="2DD58F31" w14:textId="5AAB8459" w:rsidR="00E77F3C" w:rsidRPr="00B53F89" w:rsidRDefault="0002402B" w:rsidP="00F116D3">
            <w:pPr>
              <w:pStyle w:val="TableBody"/>
              <w:numPr>
                <w:ilvl w:val="0"/>
                <w:numId w:val="98"/>
              </w:numPr>
              <w:tabs>
                <w:tab w:val="num" w:pos="397"/>
              </w:tabs>
              <w:ind w:left="0" w:firstLine="0"/>
            </w:pPr>
            <w:r w:rsidRPr="00B53F89">
              <w:t>Q</w:t>
            </w:r>
            <w:r w:rsidR="002D7AB2" w:rsidRPr="00B53F89">
              <w:t>2</w:t>
            </w:r>
            <w:r w:rsidRPr="00B53F89">
              <w:t xml:space="preserve"> </w:t>
            </w:r>
            <w:r w:rsidR="002D7AB2" w:rsidRPr="00B53F89">
              <w:t>20</w:t>
            </w:r>
            <w:r w:rsidRPr="00B53F89">
              <w:t>20</w:t>
            </w:r>
          </w:p>
        </w:tc>
      </w:tr>
      <w:tr w:rsidR="00E77F3C" w:rsidRPr="00B53F89" w14:paraId="09AB3402" w14:textId="77777777" w:rsidTr="000A709F">
        <w:trPr>
          <w:trHeight w:val="536"/>
        </w:trPr>
        <w:tc>
          <w:tcPr>
            <w:tcW w:w="1108" w:type="pct"/>
            <w:vMerge/>
            <w:shd w:val="clear" w:color="auto" w:fill="auto"/>
          </w:tcPr>
          <w:p w14:paraId="45F39C6D" w14:textId="77777777" w:rsidR="00E77F3C" w:rsidRPr="00B53F89" w:rsidRDefault="00E77F3C" w:rsidP="00DE694D">
            <w:pPr>
              <w:pStyle w:val="TableBody"/>
            </w:pPr>
          </w:p>
        </w:tc>
        <w:tc>
          <w:tcPr>
            <w:tcW w:w="2498" w:type="pct"/>
            <w:shd w:val="clear" w:color="auto" w:fill="auto"/>
          </w:tcPr>
          <w:p w14:paraId="2DC4E388" w14:textId="6AE9D8AB" w:rsidR="00E77F3C" w:rsidRPr="00B53F89" w:rsidRDefault="00E77F3C" w:rsidP="00DE694D">
            <w:pPr>
              <w:pStyle w:val="TableBody"/>
            </w:pPr>
            <w:r w:rsidRPr="00B53F89">
              <w:t xml:space="preserve">Complete engineering and consult on digital radio channel plans for </w:t>
            </w:r>
            <w:r w:rsidR="007C6885" w:rsidRPr="00B53F89">
              <w:t>a number of regional radio licence areas</w:t>
            </w:r>
          </w:p>
        </w:tc>
        <w:tc>
          <w:tcPr>
            <w:tcW w:w="1394" w:type="pct"/>
            <w:shd w:val="clear" w:color="auto" w:fill="auto"/>
          </w:tcPr>
          <w:p w14:paraId="75599B64" w14:textId="1D41D890" w:rsidR="00E77F3C" w:rsidRPr="00B53F89" w:rsidRDefault="0059434C" w:rsidP="00F116D3">
            <w:pPr>
              <w:pStyle w:val="TableBody"/>
              <w:numPr>
                <w:ilvl w:val="0"/>
                <w:numId w:val="99"/>
              </w:numPr>
              <w:tabs>
                <w:tab w:val="num" w:pos="397"/>
              </w:tabs>
              <w:ind w:left="0" w:firstLine="0"/>
            </w:pPr>
            <w:r w:rsidRPr="00B53F89">
              <w:t>Q</w:t>
            </w:r>
            <w:r w:rsidR="002D7AB2" w:rsidRPr="00B53F89">
              <w:t>1</w:t>
            </w:r>
            <w:r w:rsidRPr="00B53F89">
              <w:t xml:space="preserve"> 2020</w:t>
            </w:r>
          </w:p>
        </w:tc>
      </w:tr>
      <w:tr w:rsidR="00E77F3C" w:rsidRPr="00B53F89" w14:paraId="4794D711" w14:textId="77777777" w:rsidTr="000A709F">
        <w:trPr>
          <w:trHeight w:val="945"/>
        </w:trPr>
        <w:tc>
          <w:tcPr>
            <w:tcW w:w="1108" w:type="pct"/>
            <w:vMerge/>
            <w:shd w:val="clear" w:color="auto" w:fill="auto"/>
          </w:tcPr>
          <w:p w14:paraId="07F6DAC4" w14:textId="77777777" w:rsidR="00E77F3C" w:rsidRPr="00B53F89" w:rsidRDefault="00E77F3C" w:rsidP="00DE694D">
            <w:pPr>
              <w:pStyle w:val="TableBody"/>
            </w:pPr>
          </w:p>
        </w:tc>
        <w:tc>
          <w:tcPr>
            <w:tcW w:w="2498" w:type="pct"/>
            <w:shd w:val="clear" w:color="auto" w:fill="auto"/>
          </w:tcPr>
          <w:p w14:paraId="243340DC" w14:textId="1E64ED19" w:rsidR="00E77F3C" w:rsidRPr="00B53F89" w:rsidRDefault="00611B77" w:rsidP="00F116D3">
            <w:pPr>
              <w:pStyle w:val="TableBody"/>
              <w:numPr>
                <w:ilvl w:val="0"/>
                <w:numId w:val="101"/>
              </w:numPr>
              <w:tabs>
                <w:tab w:val="num" w:pos="397"/>
              </w:tabs>
              <w:ind w:left="0" w:firstLine="0"/>
            </w:pPr>
            <w:r w:rsidRPr="00B53F89">
              <w:t xml:space="preserve">Consult on </w:t>
            </w:r>
            <w:r w:rsidR="00E77F3C" w:rsidRPr="00B53F89">
              <w:t xml:space="preserve">whether </w:t>
            </w:r>
            <w:r w:rsidR="008D7F7A" w:rsidRPr="00B53F89">
              <w:t xml:space="preserve">the Hobart RA3 </w:t>
            </w:r>
            <w:r w:rsidR="00E77F3C" w:rsidRPr="00B53F89">
              <w:t>community radio licence area should be deemed the same as the Hobart RA1 commercial radio licence area for the purpose of digital radio</w:t>
            </w:r>
          </w:p>
        </w:tc>
        <w:tc>
          <w:tcPr>
            <w:tcW w:w="1394" w:type="pct"/>
            <w:shd w:val="clear" w:color="auto" w:fill="auto"/>
          </w:tcPr>
          <w:p w14:paraId="329CD4C6" w14:textId="20E8A4F6" w:rsidR="00E77F3C" w:rsidRPr="00B53F89" w:rsidRDefault="00C228CB" w:rsidP="00DE694D">
            <w:pPr>
              <w:pStyle w:val="TableBody"/>
            </w:pPr>
            <w:r w:rsidRPr="00B53F89">
              <w:t xml:space="preserve">Released in </w:t>
            </w:r>
            <w:r w:rsidR="0059434C" w:rsidRPr="00B53F89">
              <w:t>Q</w:t>
            </w:r>
            <w:r w:rsidRPr="00B53F89">
              <w:t>3</w:t>
            </w:r>
            <w:r w:rsidR="0059434C" w:rsidRPr="00B53F89">
              <w:t xml:space="preserve"> 2019</w:t>
            </w:r>
            <w:r w:rsidRPr="00B53F89">
              <w:t xml:space="preserve">: </w:t>
            </w:r>
            <w:r w:rsidR="00151263" w:rsidRPr="00B53F89">
              <w:t>consultation</w:t>
            </w:r>
            <w:r w:rsidRPr="00B53F89">
              <w:t xml:space="preserve"> paper</w:t>
            </w:r>
          </w:p>
          <w:p w14:paraId="5D4BFF7A" w14:textId="2C8A0DD5" w:rsidR="00E77F3C" w:rsidRPr="00B53F89" w:rsidRDefault="00E77F3C" w:rsidP="00DE694D">
            <w:pPr>
              <w:pStyle w:val="TableBody"/>
            </w:pPr>
          </w:p>
        </w:tc>
      </w:tr>
      <w:tr w:rsidR="00E77F3C" w:rsidRPr="00B53F89" w14:paraId="2DE5D55D" w14:textId="77777777" w:rsidTr="000A709F">
        <w:trPr>
          <w:trHeight w:val="945"/>
        </w:trPr>
        <w:tc>
          <w:tcPr>
            <w:tcW w:w="1108" w:type="pct"/>
            <w:vMerge/>
            <w:shd w:val="clear" w:color="auto" w:fill="auto"/>
          </w:tcPr>
          <w:p w14:paraId="340B88A9" w14:textId="77777777" w:rsidR="00E77F3C" w:rsidRPr="00B53F89" w:rsidRDefault="00E77F3C" w:rsidP="00DE694D">
            <w:pPr>
              <w:pStyle w:val="TableBody"/>
            </w:pPr>
          </w:p>
        </w:tc>
        <w:tc>
          <w:tcPr>
            <w:tcW w:w="2498" w:type="pct"/>
            <w:shd w:val="clear" w:color="auto" w:fill="auto"/>
          </w:tcPr>
          <w:p w14:paraId="39867AEF" w14:textId="180D32C8" w:rsidR="00E77F3C" w:rsidRPr="00B53F89" w:rsidRDefault="00611B77" w:rsidP="00DE694D">
            <w:pPr>
              <w:pStyle w:val="TableBody"/>
            </w:pPr>
            <w:r w:rsidRPr="00B53F89">
              <w:t xml:space="preserve">Consult on </w:t>
            </w:r>
            <w:r w:rsidR="00CE54A7" w:rsidRPr="00B53F89">
              <w:t>principles for determining</w:t>
            </w:r>
            <w:r w:rsidR="00357DDA" w:rsidRPr="00B53F89">
              <w:t xml:space="preserve"> whether specified community radio licence areas should be deemed to be the same as specified commercial radio licence areas for the purpose of digital radio</w:t>
            </w:r>
          </w:p>
        </w:tc>
        <w:tc>
          <w:tcPr>
            <w:tcW w:w="1394" w:type="pct"/>
            <w:shd w:val="clear" w:color="auto" w:fill="auto"/>
          </w:tcPr>
          <w:p w14:paraId="7726FDDC" w14:textId="21619B5A" w:rsidR="00E77F3C" w:rsidRPr="00B53F89" w:rsidRDefault="0002402B" w:rsidP="00F116D3">
            <w:pPr>
              <w:pStyle w:val="TableBody"/>
              <w:numPr>
                <w:ilvl w:val="0"/>
                <w:numId w:val="100"/>
              </w:numPr>
              <w:tabs>
                <w:tab w:val="num" w:pos="397"/>
              </w:tabs>
              <w:ind w:left="0" w:firstLine="0"/>
            </w:pPr>
            <w:r w:rsidRPr="00B53F89">
              <w:t>Q</w:t>
            </w:r>
            <w:r w:rsidR="00043310" w:rsidRPr="00B53F89">
              <w:t>1</w:t>
            </w:r>
            <w:r w:rsidRPr="00B53F89">
              <w:t xml:space="preserve"> 2020</w:t>
            </w:r>
          </w:p>
        </w:tc>
      </w:tr>
      <w:tr w:rsidR="00D47E9D" w:rsidRPr="00B53F89" w14:paraId="4C28C3D0" w14:textId="77777777" w:rsidTr="000A709F">
        <w:trPr>
          <w:trHeight w:val="945"/>
        </w:trPr>
        <w:tc>
          <w:tcPr>
            <w:tcW w:w="1108" w:type="pct"/>
            <w:vMerge/>
            <w:shd w:val="clear" w:color="auto" w:fill="auto"/>
          </w:tcPr>
          <w:p w14:paraId="00A4F1CF" w14:textId="77777777" w:rsidR="00D47E9D" w:rsidRPr="00B53F89" w:rsidRDefault="00D47E9D" w:rsidP="00DE694D">
            <w:pPr>
              <w:pStyle w:val="TableBody"/>
            </w:pPr>
          </w:p>
        </w:tc>
        <w:tc>
          <w:tcPr>
            <w:tcW w:w="2498" w:type="pct"/>
            <w:shd w:val="clear" w:color="auto" w:fill="auto"/>
          </w:tcPr>
          <w:p w14:paraId="52DD4E24" w14:textId="4D61EC16" w:rsidR="00D47E9D" w:rsidRPr="00B53F89" w:rsidRDefault="00D47E9D" w:rsidP="00F116D3">
            <w:pPr>
              <w:pStyle w:val="TableBody"/>
              <w:numPr>
                <w:ilvl w:val="0"/>
                <w:numId w:val="102"/>
              </w:numPr>
              <w:tabs>
                <w:tab w:val="num" w:pos="397"/>
              </w:tabs>
              <w:ind w:left="0" w:firstLine="0"/>
            </w:pPr>
            <w:r w:rsidRPr="00B53F89">
              <w:t>Consult on the future delivery of radio services in Australia</w:t>
            </w:r>
          </w:p>
        </w:tc>
        <w:tc>
          <w:tcPr>
            <w:tcW w:w="1394" w:type="pct"/>
            <w:shd w:val="clear" w:color="auto" w:fill="auto"/>
          </w:tcPr>
          <w:p w14:paraId="4515410D" w14:textId="28F7611E" w:rsidR="00D47E9D" w:rsidRPr="00B53F89" w:rsidRDefault="00D47E9D" w:rsidP="00DE694D">
            <w:pPr>
              <w:pStyle w:val="TableBody"/>
            </w:pPr>
            <w:r w:rsidRPr="00B53F89">
              <w:t xml:space="preserve">Q3 2019: </w:t>
            </w:r>
            <w:r w:rsidR="004C6BFF" w:rsidRPr="00B53F89">
              <w:t>p</w:t>
            </w:r>
            <w:r w:rsidRPr="00B53F89">
              <w:t>ublish submissions</w:t>
            </w:r>
          </w:p>
          <w:p w14:paraId="12237CF6" w14:textId="77777777" w:rsidR="00930A6A" w:rsidRDefault="00930A6A" w:rsidP="00DE694D">
            <w:pPr>
              <w:pStyle w:val="TableBody"/>
            </w:pPr>
          </w:p>
          <w:p w14:paraId="0F0BA0E9" w14:textId="087F2E65" w:rsidR="00D47E9D" w:rsidRPr="00B53F89" w:rsidDel="00F54608" w:rsidRDefault="00D47E9D" w:rsidP="00DE694D">
            <w:pPr>
              <w:pStyle w:val="TableBody"/>
            </w:pPr>
            <w:r w:rsidRPr="00B53F89">
              <w:t xml:space="preserve">Q4 2019: </w:t>
            </w:r>
            <w:r w:rsidR="004C6BFF" w:rsidRPr="00B53F89">
              <w:t>p</w:t>
            </w:r>
            <w:r w:rsidRPr="00B53F89">
              <w:t>ublish and consult on draft findings, and report to government</w:t>
            </w:r>
          </w:p>
        </w:tc>
      </w:tr>
      <w:tr w:rsidR="00DB2320" w:rsidRPr="00B53F89" w14:paraId="6AE473D8" w14:textId="77777777" w:rsidTr="000A709F">
        <w:trPr>
          <w:trHeight w:val="470"/>
        </w:trPr>
        <w:tc>
          <w:tcPr>
            <w:tcW w:w="1108" w:type="pct"/>
            <w:vMerge w:val="restart"/>
            <w:shd w:val="clear" w:color="auto" w:fill="auto"/>
          </w:tcPr>
          <w:p w14:paraId="52DD8D2A" w14:textId="7DC581FC" w:rsidR="00DB2320" w:rsidRPr="00B53F89" w:rsidRDefault="00DB2320" w:rsidP="00E07FBF">
            <w:pPr>
              <w:pStyle w:val="TableBody"/>
              <w:spacing w:before="100" w:beforeAutospacing="1" w:after="100" w:afterAutospacing="1" w:line="240" w:lineRule="atLeast"/>
              <w:ind w:right="176"/>
              <w:contextualSpacing/>
              <w:mirrorIndents/>
              <w:rPr>
                <w:rFonts w:cs="Arial"/>
                <w:szCs w:val="20"/>
              </w:rPr>
            </w:pPr>
            <w:r w:rsidRPr="00B53F89">
              <w:rPr>
                <w:rFonts w:cs="Arial"/>
                <w:szCs w:val="20"/>
              </w:rPr>
              <w:t>Satellite</w:t>
            </w:r>
          </w:p>
        </w:tc>
        <w:tc>
          <w:tcPr>
            <w:tcW w:w="2498" w:type="pct"/>
            <w:shd w:val="clear" w:color="auto" w:fill="auto"/>
          </w:tcPr>
          <w:p w14:paraId="2109EA7A" w14:textId="07DCEEA6" w:rsidR="00DB2320" w:rsidRPr="00B53F89" w:rsidRDefault="00DB2320" w:rsidP="00DE694D">
            <w:pPr>
              <w:pStyle w:val="TableBody"/>
            </w:pPr>
            <w:r w:rsidRPr="00B53F89">
              <w:t xml:space="preserve">Consider feasibility of inclusion of 10.7–11.7 GHz in </w:t>
            </w:r>
            <w:hyperlink r:id="rId44" w:history="1">
              <w:r w:rsidR="00176275" w:rsidRPr="006A2F04">
                <w:rPr>
                  <w:rStyle w:val="Hyperlink"/>
                </w:rPr>
                <w:t>Radiocommunications (</w:t>
              </w:r>
              <w:r w:rsidRPr="006A2F04">
                <w:rPr>
                  <w:rStyle w:val="Hyperlink"/>
                </w:rPr>
                <w:t>Communication</w:t>
              </w:r>
              <w:r w:rsidR="00176275" w:rsidRPr="006A2F04">
                <w:rPr>
                  <w:rStyle w:val="Hyperlink"/>
                </w:rPr>
                <w:t xml:space="preserve"> with</w:t>
              </w:r>
              <w:r w:rsidRPr="006A2F04">
                <w:rPr>
                  <w:rStyle w:val="Hyperlink"/>
                </w:rPr>
                <w:t xml:space="preserve"> Space Object</w:t>
              </w:r>
              <w:r w:rsidR="00176275" w:rsidRPr="006A2F04">
                <w:rPr>
                  <w:rStyle w:val="Hyperlink"/>
                </w:rPr>
                <w:t>)</w:t>
              </w:r>
              <w:r w:rsidRPr="006A2F04">
                <w:rPr>
                  <w:rStyle w:val="Hyperlink"/>
                </w:rPr>
                <w:t xml:space="preserve"> Class Licence</w:t>
              </w:r>
              <w:r w:rsidR="00176275" w:rsidRPr="006A2F04">
                <w:rPr>
                  <w:rStyle w:val="Hyperlink"/>
                </w:rPr>
                <w:t xml:space="preserve"> 2015</w:t>
              </w:r>
            </w:hyperlink>
          </w:p>
        </w:tc>
        <w:tc>
          <w:tcPr>
            <w:tcW w:w="1394" w:type="pct"/>
            <w:shd w:val="clear" w:color="auto" w:fill="auto"/>
          </w:tcPr>
          <w:p w14:paraId="381F4C1D" w14:textId="76B1F988" w:rsidR="00DB2320" w:rsidRPr="00B53F89" w:rsidRDefault="005F064E" w:rsidP="00010941">
            <w:pPr>
              <w:pStyle w:val="TableBody"/>
              <w:numPr>
                <w:ilvl w:val="0"/>
                <w:numId w:val="103"/>
              </w:numPr>
              <w:tabs>
                <w:tab w:val="num" w:pos="397"/>
              </w:tabs>
              <w:ind w:left="0" w:firstLine="0"/>
            </w:pPr>
            <w:r w:rsidRPr="00B53F89">
              <w:t>R</w:t>
            </w:r>
            <w:r w:rsidR="00043310" w:rsidRPr="00B53F89">
              <w:t>eleased</w:t>
            </w:r>
            <w:r w:rsidRPr="00B53F89">
              <w:t xml:space="preserve"> in</w:t>
            </w:r>
            <w:r w:rsidR="00043310" w:rsidRPr="00B53F89">
              <w:t xml:space="preserve"> </w:t>
            </w:r>
            <w:r w:rsidR="00DB2320" w:rsidRPr="00B53F89">
              <w:t>Q</w:t>
            </w:r>
            <w:r w:rsidR="008D3E7B" w:rsidRPr="00B53F89">
              <w:t>3</w:t>
            </w:r>
            <w:r w:rsidR="00DB2320" w:rsidRPr="00B53F89">
              <w:t xml:space="preserve"> </w:t>
            </w:r>
            <w:r w:rsidR="00DB2320" w:rsidRPr="00B53F89">
              <w:br/>
              <w:t>2019</w:t>
            </w:r>
            <w:r w:rsidRPr="00B53F89">
              <w:t>: discussion paper</w:t>
            </w:r>
          </w:p>
          <w:p w14:paraId="5E7A9EC7" w14:textId="77777777" w:rsidR="0043247C" w:rsidRPr="00B53F89" w:rsidRDefault="0043247C" w:rsidP="00DE694D">
            <w:pPr>
              <w:pStyle w:val="TableBody"/>
            </w:pPr>
          </w:p>
          <w:p w14:paraId="6810E314" w14:textId="2679E269" w:rsidR="0043247C" w:rsidRPr="00B53F89" w:rsidRDefault="0043247C" w:rsidP="002C14E7">
            <w:pPr>
              <w:pStyle w:val="TableBody"/>
              <w:numPr>
                <w:ilvl w:val="0"/>
                <w:numId w:val="196"/>
              </w:numPr>
              <w:tabs>
                <w:tab w:val="num" w:pos="397"/>
              </w:tabs>
              <w:ind w:left="0" w:firstLine="0"/>
            </w:pPr>
            <w:r w:rsidRPr="00B53F89">
              <w:t>Q4</w:t>
            </w:r>
            <w:r w:rsidR="00A23941" w:rsidRPr="00B53F89">
              <w:t xml:space="preserve"> </w:t>
            </w:r>
            <w:r w:rsidRPr="00B53F89">
              <w:t>201</w:t>
            </w:r>
            <w:r w:rsidR="00176583" w:rsidRPr="00B53F89">
              <w:t>9</w:t>
            </w:r>
            <w:r w:rsidR="004C6BFF" w:rsidRPr="00B53F89">
              <w:t>:</w:t>
            </w:r>
            <w:r w:rsidRPr="00B53F89">
              <w:t xml:space="preserve"> determinat</w:t>
            </w:r>
            <w:r w:rsidR="00A23941" w:rsidRPr="00B53F89">
              <w:t>i</w:t>
            </w:r>
            <w:r w:rsidRPr="00B53F89">
              <w:t>on of next steps</w:t>
            </w:r>
          </w:p>
        </w:tc>
      </w:tr>
      <w:tr w:rsidR="00DB2320" w:rsidRPr="00B53F89" w14:paraId="21CC46A5" w14:textId="77777777" w:rsidTr="000A709F">
        <w:trPr>
          <w:trHeight w:val="20"/>
        </w:trPr>
        <w:tc>
          <w:tcPr>
            <w:tcW w:w="1108" w:type="pct"/>
            <w:vMerge/>
            <w:shd w:val="clear" w:color="auto" w:fill="auto"/>
          </w:tcPr>
          <w:p w14:paraId="593D0FCA" w14:textId="4CF539E0" w:rsidR="00DB2320" w:rsidRPr="00B53F89" w:rsidRDefault="00DB2320" w:rsidP="00E07FBF">
            <w:pPr>
              <w:pStyle w:val="TableBody"/>
              <w:spacing w:before="100" w:beforeAutospacing="1" w:after="100" w:afterAutospacing="1" w:line="240" w:lineRule="atLeast"/>
              <w:ind w:right="176"/>
              <w:contextualSpacing/>
              <w:mirrorIndents/>
              <w:rPr>
                <w:rFonts w:cs="Arial"/>
                <w:szCs w:val="20"/>
              </w:rPr>
            </w:pPr>
          </w:p>
        </w:tc>
        <w:tc>
          <w:tcPr>
            <w:tcW w:w="2498" w:type="pct"/>
            <w:shd w:val="clear" w:color="auto" w:fill="auto"/>
          </w:tcPr>
          <w:p w14:paraId="1693AEFF" w14:textId="24BEC5AD" w:rsidR="00DB2320" w:rsidRPr="00B53F89" w:rsidRDefault="00214465" w:rsidP="00DE694D">
            <w:pPr>
              <w:pStyle w:val="TableBody"/>
            </w:pPr>
            <w:r w:rsidRPr="00B53F89">
              <w:t>Finalise r</w:t>
            </w:r>
            <w:r w:rsidR="00DB2320" w:rsidRPr="00B53F89">
              <w:t xml:space="preserve">eview </w:t>
            </w:r>
            <w:r w:rsidR="00A843A1" w:rsidRPr="00B53F89">
              <w:t>of</w:t>
            </w:r>
            <w:r w:rsidR="00DB2320" w:rsidRPr="00B53F89">
              <w:t xml:space="preserve"> regulatory arrangements for earth stations in motion in Ku</w:t>
            </w:r>
            <w:r w:rsidR="00301CA0" w:rsidRPr="00B53F89">
              <w:t xml:space="preserve"> </w:t>
            </w:r>
            <w:r w:rsidR="00DB2320" w:rsidRPr="00B53F89">
              <w:t>band</w:t>
            </w:r>
          </w:p>
        </w:tc>
        <w:tc>
          <w:tcPr>
            <w:tcW w:w="1394" w:type="pct"/>
            <w:shd w:val="clear" w:color="auto" w:fill="auto"/>
          </w:tcPr>
          <w:p w14:paraId="3C680EB1" w14:textId="19B1BF9A" w:rsidR="00DB2320" w:rsidRPr="00B53F89" w:rsidRDefault="004C6BFF" w:rsidP="002C14E7">
            <w:pPr>
              <w:pStyle w:val="TableBody"/>
              <w:numPr>
                <w:ilvl w:val="0"/>
                <w:numId w:val="197"/>
              </w:numPr>
              <w:tabs>
                <w:tab w:val="num" w:pos="397"/>
              </w:tabs>
              <w:ind w:left="0" w:firstLine="0"/>
            </w:pPr>
            <w:r w:rsidRPr="00B53F89">
              <w:t xml:space="preserve">Completed in </w:t>
            </w:r>
            <w:r w:rsidR="00DB2320" w:rsidRPr="00B53F89">
              <w:t>Q</w:t>
            </w:r>
            <w:r w:rsidR="008D3E7B" w:rsidRPr="00B53F89">
              <w:t>3</w:t>
            </w:r>
            <w:r w:rsidR="00DB2320" w:rsidRPr="00B53F89">
              <w:t xml:space="preserve"> 2019</w:t>
            </w:r>
          </w:p>
          <w:p w14:paraId="3AAD34B8" w14:textId="4A19083A" w:rsidR="009F5585" w:rsidRPr="00B53F89" w:rsidRDefault="009F5585" w:rsidP="00DE694D">
            <w:pPr>
              <w:pStyle w:val="TableBody"/>
            </w:pPr>
          </w:p>
        </w:tc>
      </w:tr>
      <w:tr w:rsidR="00DB2320" w:rsidRPr="00B53F89" w14:paraId="10411214" w14:textId="77777777" w:rsidTr="000A709F">
        <w:tc>
          <w:tcPr>
            <w:tcW w:w="1108" w:type="pct"/>
            <w:vMerge/>
            <w:shd w:val="clear" w:color="auto" w:fill="auto"/>
          </w:tcPr>
          <w:p w14:paraId="7A328F0D" w14:textId="142592E8" w:rsidR="00DB2320" w:rsidRPr="00B53F89" w:rsidRDefault="00DB2320" w:rsidP="00E07FBF">
            <w:pPr>
              <w:pStyle w:val="TableBody"/>
              <w:spacing w:before="100" w:beforeAutospacing="1" w:after="100" w:afterAutospacing="1" w:line="240" w:lineRule="atLeast"/>
              <w:ind w:right="176"/>
              <w:contextualSpacing/>
              <w:mirrorIndents/>
              <w:rPr>
                <w:rFonts w:cs="Arial"/>
                <w:szCs w:val="20"/>
              </w:rPr>
            </w:pPr>
          </w:p>
        </w:tc>
        <w:tc>
          <w:tcPr>
            <w:tcW w:w="2498" w:type="pct"/>
            <w:shd w:val="clear" w:color="auto" w:fill="auto"/>
          </w:tcPr>
          <w:p w14:paraId="00A6E255" w14:textId="6A709A61" w:rsidR="00DB2320" w:rsidRPr="00B53F89" w:rsidRDefault="00DB2320" w:rsidP="00DE694D">
            <w:pPr>
              <w:pStyle w:val="TableBody"/>
            </w:pPr>
            <w:r w:rsidRPr="00B53F89">
              <w:t>General review of licensing procedures for space-based communications systems</w:t>
            </w:r>
          </w:p>
        </w:tc>
        <w:tc>
          <w:tcPr>
            <w:tcW w:w="1394" w:type="pct"/>
            <w:shd w:val="clear" w:color="auto" w:fill="auto"/>
          </w:tcPr>
          <w:p w14:paraId="1D458D0E" w14:textId="5CC5F24D" w:rsidR="00DB2320" w:rsidRPr="00B53F89" w:rsidRDefault="00DB2320" w:rsidP="00010941">
            <w:pPr>
              <w:pStyle w:val="TableBody"/>
              <w:numPr>
                <w:ilvl w:val="0"/>
                <w:numId w:val="105"/>
              </w:numPr>
              <w:tabs>
                <w:tab w:val="num" w:pos="397"/>
              </w:tabs>
              <w:ind w:left="0" w:firstLine="0"/>
            </w:pPr>
            <w:r w:rsidRPr="00B53F89">
              <w:t>Q</w:t>
            </w:r>
            <w:r w:rsidR="00043310" w:rsidRPr="00B53F89">
              <w:t>4</w:t>
            </w:r>
            <w:r w:rsidRPr="00B53F89">
              <w:t xml:space="preserve"> 2019</w:t>
            </w:r>
            <w:r w:rsidR="002D639E" w:rsidRPr="00B53F89">
              <w:t>/Q1 201</w:t>
            </w:r>
            <w:r w:rsidR="00FB5756">
              <w:t>9</w:t>
            </w:r>
          </w:p>
        </w:tc>
      </w:tr>
      <w:tr w:rsidR="00DB2320" w:rsidRPr="00B53F89" w14:paraId="40E44911" w14:textId="77777777" w:rsidTr="000A709F">
        <w:tc>
          <w:tcPr>
            <w:tcW w:w="1108" w:type="pct"/>
            <w:vMerge/>
            <w:shd w:val="clear" w:color="auto" w:fill="auto"/>
          </w:tcPr>
          <w:p w14:paraId="34BEEC94" w14:textId="08FFD697" w:rsidR="00DB2320" w:rsidRPr="00B53F89" w:rsidRDefault="00DB2320" w:rsidP="00E07FBF">
            <w:pPr>
              <w:pStyle w:val="TableBody"/>
              <w:spacing w:before="100" w:beforeAutospacing="1" w:after="100" w:afterAutospacing="1" w:line="240" w:lineRule="atLeast"/>
              <w:ind w:right="176"/>
              <w:contextualSpacing/>
              <w:mirrorIndents/>
              <w:rPr>
                <w:rFonts w:cs="Arial"/>
                <w:szCs w:val="20"/>
              </w:rPr>
            </w:pPr>
          </w:p>
        </w:tc>
        <w:tc>
          <w:tcPr>
            <w:tcW w:w="2498" w:type="pct"/>
            <w:shd w:val="clear" w:color="auto" w:fill="auto"/>
          </w:tcPr>
          <w:p w14:paraId="49C7DB20" w14:textId="18C3F7C5" w:rsidR="00DB2320" w:rsidRPr="00B53F89" w:rsidRDefault="00DB2320" w:rsidP="00DE694D">
            <w:pPr>
              <w:pStyle w:val="TableBody"/>
            </w:pPr>
            <w:r w:rsidRPr="00B53F89">
              <w:t>Review spectrum arrangements for small satellites</w:t>
            </w:r>
          </w:p>
        </w:tc>
        <w:tc>
          <w:tcPr>
            <w:tcW w:w="1394" w:type="pct"/>
            <w:shd w:val="clear" w:color="auto" w:fill="auto"/>
          </w:tcPr>
          <w:p w14:paraId="6C6384A3" w14:textId="162A559E" w:rsidR="00DB2320" w:rsidRPr="00B53F89" w:rsidRDefault="00DB2320" w:rsidP="00010941">
            <w:pPr>
              <w:pStyle w:val="TableBody"/>
              <w:numPr>
                <w:ilvl w:val="0"/>
                <w:numId w:val="106"/>
              </w:numPr>
              <w:tabs>
                <w:tab w:val="num" w:pos="397"/>
              </w:tabs>
              <w:ind w:left="0" w:firstLine="0"/>
            </w:pPr>
            <w:r w:rsidRPr="00B53F89">
              <w:t>Q</w:t>
            </w:r>
            <w:r w:rsidR="00043310" w:rsidRPr="00B53F89">
              <w:t>4</w:t>
            </w:r>
            <w:r w:rsidRPr="00B53F89">
              <w:t xml:space="preserve"> </w:t>
            </w:r>
            <w:r w:rsidRPr="00B53F89">
              <w:br/>
              <w:t>2019</w:t>
            </w:r>
          </w:p>
        </w:tc>
      </w:tr>
      <w:tr w:rsidR="00AD7F8F" w:rsidRPr="00B53F89" w14:paraId="14407609" w14:textId="77777777" w:rsidTr="000A709F">
        <w:tc>
          <w:tcPr>
            <w:tcW w:w="1108" w:type="pct"/>
            <w:vMerge/>
            <w:shd w:val="clear" w:color="auto" w:fill="auto"/>
          </w:tcPr>
          <w:p w14:paraId="410E942C" w14:textId="77777777" w:rsidR="00AD7F8F" w:rsidRPr="00B53F89" w:rsidRDefault="00AD7F8F" w:rsidP="00E07FBF">
            <w:pPr>
              <w:pStyle w:val="TableBody"/>
              <w:spacing w:before="100" w:beforeAutospacing="1" w:after="100" w:afterAutospacing="1" w:line="240" w:lineRule="atLeast"/>
              <w:ind w:right="176"/>
              <w:contextualSpacing/>
              <w:mirrorIndents/>
              <w:rPr>
                <w:rFonts w:cs="Arial"/>
                <w:szCs w:val="20"/>
              </w:rPr>
            </w:pPr>
          </w:p>
        </w:tc>
        <w:tc>
          <w:tcPr>
            <w:tcW w:w="2498" w:type="pct"/>
            <w:shd w:val="clear" w:color="auto" w:fill="auto"/>
          </w:tcPr>
          <w:p w14:paraId="6757203E" w14:textId="47911597" w:rsidR="00AD7F8F" w:rsidRPr="00B53F89" w:rsidRDefault="00B93616" w:rsidP="00AD7F8F">
            <w:pPr>
              <w:pStyle w:val="TableBody"/>
              <w:numPr>
                <w:ilvl w:val="0"/>
                <w:numId w:val="204"/>
              </w:numPr>
              <w:tabs>
                <w:tab w:val="num" w:pos="397"/>
              </w:tabs>
              <w:ind w:left="0" w:firstLine="0"/>
            </w:pPr>
            <w:r w:rsidRPr="00B53F89">
              <w:t>C</w:t>
            </w:r>
            <w:r w:rsidR="00AD7F8F" w:rsidRPr="00B53F89">
              <w:t>onsult on</w:t>
            </w:r>
            <w:r w:rsidRPr="00B53F89">
              <w:t xml:space="preserve"> update for</w:t>
            </w:r>
            <w:r w:rsidR="00AD7F8F" w:rsidRPr="00B53F89">
              <w:t xml:space="preserve"> </w:t>
            </w:r>
            <w:hyperlink r:id="rId45" w:history="1">
              <w:r w:rsidR="00AD7F8F" w:rsidRPr="006A2F04">
                <w:rPr>
                  <w:rStyle w:val="Hyperlink"/>
                </w:rPr>
                <w:t>Radiocommunications (Foreign Space Objects) Determination 2014</w:t>
              </w:r>
            </w:hyperlink>
          </w:p>
        </w:tc>
        <w:tc>
          <w:tcPr>
            <w:tcW w:w="1394" w:type="pct"/>
            <w:shd w:val="clear" w:color="auto" w:fill="auto"/>
          </w:tcPr>
          <w:p w14:paraId="147CD693" w14:textId="43B22BDD" w:rsidR="00AD7F8F" w:rsidRPr="00B53F89" w:rsidRDefault="00AD7F8F" w:rsidP="00DE694D">
            <w:pPr>
              <w:pStyle w:val="TableBody"/>
            </w:pPr>
            <w:r w:rsidRPr="00B53F89">
              <w:t>Q3/4 2019</w:t>
            </w:r>
          </w:p>
        </w:tc>
      </w:tr>
      <w:tr w:rsidR="00DB2320" w:rsidRPr="00B53F89" w14:paraId="0541198A" w14:textId="77777777" w:rsidTr="000A709F">
        <w:tc>
          <w:tcPr>
            <w:tcW w:w="1108" w:type="pct"/>
            <w:vMerge/>
            <w:shd w:val="clear" w:color="auto" w:fill="auto"/>
          </w:tcPr>
          <w:p w14:paraId="10D3E1BA" w14:textId="40351294" w:rsidR="00DB2320" w:rsidRPr="00B53F89" w:rsidRDefault="00DB2320" w:rsidP="00E07FBF">
            <w:pPr>
              <w:pStyle w:val="TableBody"/>
              <w:spacing w:before="100" w:beforeAutospacing="1" w:after="100" w:afterAutospacing="1" w:line="240" w:lineRule="atLeast"/>
              <w:ind w:right="176"/>
              <w:contextualSpacing/>
              <w:mirrorIndents/>
              <w:rPr>
                <w:rFonts w:cs="Arial"/>
                <w:szCs w:val="20"/>
              </w:rPr>
            </w:pPr>
          </w:p>
        </w:tc>
        <w:tc>
          <w:tcPr>
            <w:tcW w:w="2498" w:type="pct"/>
            <w:shd w:val="clear" w:color="auto" w:fill="auto"/>
          </w:tcPr>
          <w:p w14:paraId="2B875A2A" w14:textId="77777777" w:rsidR="00DB2320" w:rsidRPr="00B53F89" w:rsidRDefault="00DB2320" w:rsidP="00DE694D">
            <w:pPr>
              <w:pStyle w:val="TableBody"/>
            </w:pPr>
            <w:r w:rsidRPr="00B53F89">
              <w:t>Consider applications for test and demonstration purposes in the 2 GHz band</w:t>
            </w:r>
          </w:p>
        </w:tc>
        <w:tc>
          <w:tcPr>
            <w:tcW w:w="1394" w:type="pct"/>
            <w:shd w:val="clear" w:color="auto" w:fill="auto"/>
          </w:tcPr>
          <w:p w14:paraId="029ABC94" w14:textId="77777777" w:rsidR="00DB2320" w:rsidRPr="00B53F89" w:rsidRDefault="00DB2320" w:rsidP="00DE694D">
            <w:pPr>
              <w:pStyle w:val="TableBody"/>
            </w:pPr>
            <w:r w:rsidRPr="00B53F89">
              <w:t>Ongoing</w:t>
            </w:r>
          </w:p>
        </w:tc>
      </w:tr>
      <w:tr w:rsidR="00DB2320" w:rsidRPr="00B53F89" w14:paraId="1BE9797D" w14:textId="77777777" w:rsidTr="000A709F">
        <w:tc>
          <w:tcPr>
            <w:tcW w:w="1108" w:type="pct"/>
            <w:vMerge/>
            <w:shd w:val="clear" w:color="auto" w:fill="auto"/>
          </w:tcPr>
          <w:p w14:paraId="2D7D7736" w14:textId="2B6F97C5" w:rsidR="00DB2320" w:rsidRPr="00B53F89" w:rsidRDefault="00DB2320" w:rsidP="00E07FBF">
            <w:pPr>
              <w:pStyle w:val="TableBody"/>
              <w:spacing w:before="100" w:beforeAutospacing="1" w:after="100" w:afterAutospacing="1" w:line="240" w:lineRule="atLeast"/>
              <w:ind w:right="176"/>
              <w:contextualSpacing/>
              <w:mirrorIndents/>
              <w:rPr>
                <w:rFonts w:cs="Arial"/>
                <w:szCs w:val="20"/>
              </w:rPr>
            </w:pPr>
          </w:p>
        </w:tc>
        <w:tc>
          <w:tcPr>
            <w:tcW w:w="2498" w:type="pct"/>
            <w:shd w:val="clear" w:color="auto" w:fill="auto"/>
          </w:tcPr>
          <w:p w14:paraId="4153264E" w14:textId="77777777" w:rsidR="00DB2320" w:rsidRPr="00B53F89" w:rsidRDefault="00DB2320" w:rsidP="00DE694D">
            <w:pPr>
              <w:pStyle w:val="TableBody"/>
            </w:pPr>
            <w:r w:rsidRPr="00B53F89">
              <w:t>Manage filing and coordination of Australian satellite systems</w:t>
            </w:r>
          </w:p>
        </w:tc>
        <w:tc>
          <w:tcPr>
            <w:tcW w:w="1394" w:type="pct"/>
            <w:shd w:val="clear" w:color="auto" w:fill="auto"/>
          </w:tcPr>
          <w:p w14:paraId="2DF144CF" w14:textId="77777777" w:rsidR="00DB2320" w:rsidRPr="00B53F89" w:rsidRDefault="00DB2320" w:rsidP="00DE694D">
            <w:pPr>
              <w:pStyle w:val="TableBody"/>
            </w:pPr>
            <w:r w:rsidRPr="00B53F89">
              <w:t xml:space="preserve">Ongoing </w:t>
            </w:r>
          </w:p>
        </w:tc>
      </w:tr>
      <w:tr w:rsidR="001178EE" w:rsidRPr="00B53F89" w14:paraId="662F7F08" w14:textId="618E2D95" w:rsidTr="000A709F">
        <w:trPr>
          <w:trHeight w:val="595"/>
        </w:trPr>
        <w:tc>
          <w:tcPr>
            <w:tcW w:w="1108" w:type="pct"/>
            <w:shd w:val="clear" w:color="auto" w:fill="auto"/>
          </w:tcPr>
          <w:p w14:paraId="66E68467" w14:textId="06D557FD" w:rsidR="001178EE" w:rsidRPr="00B53F89" w:rsidRDefault="001178EE" w:rsidP="00DE694D">
            <w:pPr>
              <w:pStyle w:val="TableBody"/>
            </w:pPr>
            <w:r w:rsidRPr="00B53F89">
              <w:t>Low interference potential devices (LIPD)</w:t>
            </w:r>
          </w:p>
        </w:tc>
        <w:tc>
          <w:tcPr>
            <w:tcW w:w="2498" w:type="pct"/>
            <w:shd w:val="clear" w:color="auto" w:fill="auto"/>
          </w:tcPr>
          <w:p w14:paraId="34725503" w14:textId="4343CE3B" w:rsidR="007B79CC" w:rsidRPr="00B53F89" w:rsidRDefault="002E2CFC" w:rsidP="00DE694D">
            <w:pPr>
              <w:pStyle w:val="TableBody"/>
            </w:pPr>
            <w:bookmarkStart w:id="22" w:name="_Hlk2755891"/>
            <w:r w:rsidRPr="00B53F89">
              <w:t xml:space="preserve">Completion of </w:t>
            </w:r>
            <w:r w:rsidR="00542CBA" w:rsidRPr="00B53F89">
              <w:t xml:space="preserve">consideration of </w:t>
            </w:r>
            <w:r w:rsidR="003D4016" w:rsidRPr="00B53F89">
              <w:t xml:space="preserve">proposed update of the LIPD </w:t>
            </w:r>
            <w:r w:rsidR="00A56FF3" w:rsidRPr="00B53F89">
              <w:t>class licence</w:t>
            </w:r>
            <w:r w:rsidR="003D4016" w:rsidRPr="00B53F89">
              <w:t xml:space="preserve"> to respond to industry</w:t>
            </w:r>
            <w:r w:rsidR="00135353" w:rsidRPr="00B53F89">
              <w:t xml:space="preserve"> requests</w:t>
            </w:r>
            <w:bookmarkEnd w:id="22"/>
            <w:r w:rsidR="00542CBA" w:rsidRPr="00B53F89">
              <w:t xml:space="preserve"> </w:t>
            </w:r>
          </w:p>
        </w:tc>
        <w:tc>
          <w:tcPr>
            <w:tcW w:w="1394" w:type="pct"/>
            <w:shd w:val="clear" w:color="auto" w:fill="auto"/>
          </w:tcPr>
          <w:p w14:paraId="61C2CC0E" w14:textId="5191D4B3" w:rsidR="001178EE" w:rsidRPr="00B53F89" w:rsidRDefault="004C6BFF" w:rsidP="002F5B33">
            <w:pPr>
              <w:pStyle w:val="TableBody"/>
            </w:pPr>
            <w:r w:rsidRPr="00B53F89">
              <w:t xml:space="preserve">Completed in </w:t>
            </w:r>
            <w:r w:rsidR="008C717C" w:rsidRPr="00B53F89">
              <w:t>Q</w:t>
            </w:r>
            <w:r w:rsidR="008D3E7B" w:rsidRPr="00B53F89">
              <w:t>3</w:t>
            </w:r>
            <w:r w:rsidR="009B3A86" w:rsidRPr="00B53F89">
              <w:t xml:space="preserve"> </w:t>
            </w:r>
            <w:r w:rsidR="008C717C" w:rsidRPr="00B53F89">
              <w:t>2019</w:t>
            </w:r>
          </w:p>
          <w:p w14:paraId="213415A8" w14:textId="27A99379" w:rsidR="00307CD7" w:rsidRPr="00B53F89" w:rsidRDefault="00307CD7" w:rsidP="00DE694D">
            <w:pPr>
              <w:pStyle w:val="TableBody"/>
            </w:pPr>
          </w:p>
        </w:tc>
      </w:tr>
      <w:tr w:rsidR="001178EE" w:rsidRPr="00B53F89" w14:paraId="70BC94A7" w14:textId="77777777" w:rsidTr="000A709F">
        <w:trPr>
          <w:trHeight w:val="21"/>
        </w:trPr>
        <w:tc>
          <w:tcPr>
            <w:tcW w:w="1108" w:type="pct"/>
            <w:shd w:val="clear" w:color="auto" w:fill="auto"/>
          </w:tcPr>
          <w:p w14:paraId="47294E2B" w14:textId="1696C3AA" w:rsidR="001178EE" w:rsidRPr="00B53F89" w:rsidRDefault="001178EE" w:rsidP="00DE694D">
            <w:pPr>
              <w:pStyle w:val="TableBody"/>
            </w:pPr>
            <w:r w:rsidRPr="00B53F89">
              <w:t xml:space="preserve">Internet of Things </w:t>
            </w:r>
          </w:p>
        </w:tc>
        <w:tc>
          <w:tcPr>
            <w:tcW w:w="2498" w:type="pct"/>
            <w:shd w:val="clear" w:color="auto" w:fill="auto"/>
          </w:tcPr>
          <w:p w14:paraId="16A88F8E" w14:textId="16DF4320" w:rsidR="001178EE" w:rsidRPr="00B53F89" w:rsidRDefault="002E1886" w:rsidP="00DE694D">
            <w:pPr>
              <w:pStyle w:val="TableBody"/>
            </w:pPr>
            <w:r w:rsidRPr="00B53F89">
              <w:t>Facilitation of early access to the 928</w:t>
            </w:r>
            <w:r w:rsidR="007835D5" w:rsidRPr="00B53F89">
              <w:t>–</w:t>
            </w:r>
            <w:r w:rsidRPr="00B53F89">
              <w:t>935 MHz band for low</w:t>
            </w:r>
            <w:r w:rsidR="00EF20BA" w:rsidRPr="00B53F89">
              <w:t>-</w:t>
            </w:r>
            <w:r w:rsidRPr="00B53F89">
              <w:t>power wide</w:t>
            </w:r>
            <w:r w:rsidR="00EF20BA" w:rsidRPr="00B53F89">
              <w:t>-</w:t>
            </w:r>
            <w:r w:rsidRPr="00B53F89">
              <w:t>area IoT applications</w:t>
            </w:r>
          </w:p>
        </w:tc>
        <w:tc>
          <w:tcPr>
            <w:tcW w:w="1394" w:type="pct"/>
            <w:shd w:val="clear" w:color="auto" w:fill="auto"/>
          </w:tcPr>
          <w:p w14:paraId="5B97FC72" w14:textId="77777777" w:rsidR="001178EE" w:rsidRPr="00B53F89" w:rsidRDefault="001178EE" w:rsidP="00DE694D">
            <w:pPr>
              <w:pStyle w:val="TableBody"/>
            </w:pPr>
            <w:r w:rsidRPr="00B53F89">
              <w:t xml:space="preserve">Ongoing </w:t>
            </w:r>
          </w:p>
        </w:tc>
      </w:tr>
      <w:tr w:rsidR="00631D8F" w:rsidRPr="00B53F89" w14:paraId="0070C512" w14:textId="77777777" w:rsidTr="000A709F">
        <w:trPr>
          <w:trHeight w:val="21"/>
        </w:trPr>
        <w:tc>
          <w:tcPr>
            <w:tcW w:w="1108" w:type="pct"/>
            <w:shd w:val="clear" w:color="auto" w:fill="auto"/>
          </w:tcPr>
          <w:p w14:paraId="15075629" w14:textId="4101DDF4" w:rsidR="00631D8F" w:rsidRPr="00B53F89" w:rsidRDefault="00631D8F" w:rsidP="00DE694D">
            <w:pPr>
              <w:pStyle w:val="TableBody"/>
            </w:pPr>
            <w:r w:rsidRPr="00B53F89">
              <w:t>Spectrum Licence Technical Framework</w:t>
            </w:r>
            <w:r w:rsidR="00D37C78" w:rsidRPr="00B53F89">
              <w:t xml:space="preserve"> review</w:t>
            </w:r>
          </w:p>
        </w:tc>
        <w:tc>
          <w:tcPr>
            <w:tcW w:w="2498" w:type="pct"/>
            <w:shd w:val="clear" w:color="auto" w:fill="auto"/>
          </w:tcPr>
          <w:p w14:paraId="55812667" w14:textId="0E1EE7A3" w:rsidR="00D37C78" w:rsidRPr="00B53F89" w:rsidRDefault="0093226E" w:rsidP="00DE694D">
            <w:pPr>
              <w:pStyle w:val="TableBody"/>
            </w:pPr>
            <w:r w:rsidRPr="00B53F89">
              <w:t>C</w:t>
            </w:r>
            <w:r w:rsidR="00D37C78" w:rsidRPr="00B53F89">
              <w:t xml:space="preserve">ommence discussion </w:t>
            </w:r>
            <w:r w:rsidRPr="00B53F89">
              <w:t xml:space="preserve">with industry on </w:t>
            </w:r>
            <w:r w:rsidR="00E7016E" w:rsidRPr="00B53F89">
              <w:t xml:space="preserve">a potential program of work for the </w:t>
            </w:r>
            <w:r w:rsidR="00D37C78" w:rsidRPr="00B53F89">
              <w:t xml:space="preserve">review </w:t>
            </w:r>
            <w:r w:rsidR="00E7016E" w:rsidRPr="00B53F89">
              <w:t xml:space="preserve">of spectrum licensing technical </w:t>
            </w:r>
            <w:r w:rsidR="00D37C78" w:rsidRPr="00B53F89">
              <w:t xml:space="preserve">arrangements </w:t>
            </w:r>
            <w:r w:rsidR="000458E6" w:rsidRPr="00B53F89">
              <w:t xml:space="preserve">in relation to </w:t>
            </w:r>
            <w:r w:rsidR="00D37C78" w:rsidRPr="00B53F89">
              <w:t>new technology developments</w:t>
            </w:r>
          </w:p>
        </w:tc>
        <w:tc>
          <w:tcPr>
            <w:tcW w:w="1394" w:type="pct"/>
            <w:shd w:val="clear" w:color="auto" w:fill="auto"/>
          </w:tcPr>
          <w:p w14:paraId="56AB3082" w14:textId="1F79C6D7" w:rsidR="00631D8F" w:rsidRPr="00B53F89" w:rsidRDefault="00D37C78" w:rsidP="00A513C2">
            <w:pPr>
              <w:pStyle w:val="TableBody"/>
            </w:pPr>
            <w:r w:rsidRPr="00B53F89">
              <w:t>Q</w:t>
            </w:r>
            <w:r w:rsidR="002A7116" w:rsidRPr="00B53F89">
              <w:t>4</w:t>
            </w:r>
            <w:r w:rsidRPr="00B53F89">
              <w:t xml:space="preserve"> </w:t>
            </w:r>
            <w:r w:rsidR="00EF20BA" w:rsidRPr="00B53F89">
              <w:br/>
            </w:r>
            <w:r w:rsidRPr="00B53F89">
              <w:t>2019</w:t>
            </w:r>
          </w:p>
        </w:tc>
      </w:tr>
      <w:tr w:rsidR="000D396A" w:rsidRPr="00B53F89" w14:paraId="65FACD32" w14:textId="77777777" w:rsidTr="000A709F">
        <w:trPr>
          <w:trHeight w:val="21"/>
        </w:trPr>
        <w:tc>
          <w:tcPr>
            <w:tcW w:w="1108" w:type="pct"/>
            <w:shd w:val="clear" w:color="auto" w:fill="auto"/>
          </w:tcPr>
          <w:p w14:paraId="6D50DF04" w14:textId="673B098E" w:rsidR="000D396A" w:rsidRPr="00B53F89" w:rsidRDefault="000D396A" w:rsidP="00DE694D">
            <w:pPr>
              <w:pStyle w:val="TableBody"/>
            </w:pPr>
            <w:r w:rsidRPr="00B53F89">
              <w:t>Amateur</w:t>
            </w:r>
            <w:r w:rsidR="00E93A04" w:rsidRPr="00B53F89">
              <w:t xml:space="preserve"> </w:t>
            </w:r>
            <w:r w:rsidRPr="00B53F89">
              <w:t>service in the frequency band 5351.5–5366.5 kHz</w:t>
            </w:r>
          </w:p>
        </w:tc>
        <w:tc>
          <w:tcPr>
            <w:tcW w:w="2498" w:type="pct"/>
            <w:shd w:val="clear" w:color="auto" w:fill="auto"/>
          </w:tcPr>
          <w:p w14:paraId="52887B63" w14:textId="5BD35958" w:rsidR="000D396A" w:rsidRPr="00B53F89" w:rsidRDefault="000D396A" w:rsidP="00DE694D">
            <w:pPr>
              <w:pStyle w:val="TableBody"/>
            </w:pPr>
            <w:r w:rsidRPr="00B53F89">
              <w:t xml:space="preserve">Discussion paper on </w:t>
            </w:r>
            <w:r w:rsidR="008720FB" w:rsidRPr="00B53F89">
              <w:t>i</w:t>
            </w:r>
            <w:r w:rsidRPr="00B53F89">
              <w:t>mplementation issues</w:t>
            </w:r>
          </w:p>
        </w:tc>
        <w:tc>
          <w:tcPr>
            <w:tcW w:w="1394" w:type="pct"/>
            <w:shd w:val="clear" w:color="auto" w:fill="auto"/>
          </w:tcPr>
          <w:p w14:paraId="58F26433" w14:textId="01535AD6" w:rsidR="000D396A" w:rsidRPr="00B53F89" w:rsidRDefault="000D396A" w:rsidP="00DE694D">
            <w:pPr>
              <w:pStyle w:val="TableBody"/>
            </w:pPr>
            <w:r w:rsidRPr="00B53F89">
              <w:t>Q</w:t>
            </w:r>
            <w:r w:rsidR="00FD1F2A" w:rsidRPr="00B53F89">
              <w:t>1</w:t>
            </w:r>
            <w:r w:rsidR="00EF20BA" w:rsidRPr="00B53F89">
              <w:br/>
            </w:r>
            <w:r w:rsidRPr="00B53F89">
              <w:t>2020</w:t>
            </w:r>
          </w:p>
        </w:tc>
      </w:tr>
      <w:tr w:rsidR="00436AC2" w:rsidRPr="00B53F89" w14:paraId="174C8093" w14:textId="77777777" w:rsidTr="000A709F">
        <w:trPr>
          <w:trHeight w:val="21"/>
        </w:trPr>
        <w:tc>
          <w:tcPr>
            <w:tcW w:w="1108" w:type="pct"/>
            <w:shd w:val="clear" w:color="auto" w:fill="auto"/>
          </w:tcPr>
          <w:p w14:paraId="2A21BADE" w14:textId="4FA12132" w:rsidR="00436AC2" w:rsidRPr="00B53F89" w:rsidRDefault="00436AC2" w:rsidP="00010941">
            <w:pPr>
              <w:pStyle w:val="TableBody"/>
              <w:numPr>
                <w:ilvl w:val="0"/>
                <w:numId w:val="109"/>
              </w:numPr>
              <w:tabs>
                <w:tab w:val="num" w:pos="397"/>
              </w:tabs>
              <w:ind w:left="0" w:firstLine="0"/>
            </w:pPr>
            <w:r w:rsidRPr="00B53F89">
              <w:t xml:space="preserve">Spectrum sharing </w:t>
            </w:r>
            <w:r w:rsidR="00C93C1C" w:rsidRPr="00B53F89">
              <w:t>approach</w:t>
            </w:r>
            <w:r w:rsidR="000C2325" w:rsidRPr="00B53F89">
              <w:t>es</w:t>
            </w:r>
          </w:p>
        </w:tc>
        <w:tc>
          <w:tcPr>
            <w:tcW w:w="2498" w:type="pct"/>
            <w:shd w:val="clear" w:color="auto" w:fill="auto"/>
          </w:tcPr>
          <w:p w14:paraId="6B0AA3D3" w14:textId="42A3C153" w:rsidR="00436AC2" w:rsidRPr="00B53F89" w:rsidRDefault="0053127A" w:rsidP="00DE694D">
            <w:pPr>
              <w:pStyle w:val="TableBody"/>
            </w:pPr>
            <w:r w:rsidRPr="00B53F89">
              <w:t>Discussion paper and tune-up event on spectrum sharing issues.</w:t>
            </w:r>
          </w:p>
        </w:tc>
        <w:tc>
          <w:tcPr>
            <w:tcW w:w="1394" w:type="pct"/>
            <w:shd w:val="clear" w:color="auto" w:fill="auto"/>
          </w:tcPr>
          <w:p w14:paraId="4423997A" w14:textId="0EEF2C32" w:rsidR="005F064E" w:rsidRPr="00B53F89" w:rsidRDefault="005F064E" w:rsidP="00DE694D">
            <w:pPr>
              <w:pStyle w:val="TableBody"/>
            </w:pPr>
            <w:r w:rsidRPr="00B53F89">
              <w:t>Released in Q3 2019: d</w:t>
            </w:r>
            <w:r w:rsidR="0053127A" w:rsidRPr="00B53F89">
              <w:t>iscussion paper</w:t>
            </w:r>
            <w:r w:rsidR="00930A6A">
              <w:br/>
            </w:r>
          </w:p>
          <w:p w14:paraId="123BB2F1" w14:textId="44D81DE9" w:rsidR="00436AC2" w:rsidRPr="00B53F89" w:rsidRDefault="005F064E" w:rsidP="00DE694D">
            <w:pPr>
              <w:pStyle w:val="TableBody"/>
            </w:pPr>
            <w:r w:rsidRPr="00B53F89">
              <w:t xml:space="preserve">Completed in Q3 2019: </w:t>
            </w:r>
            <w:r w:rsidR="0053127A" w:rsidRPr="00B53F89">
              <w:t>tune-up event</w:t>
            </w:r>
            <w:r w:rsidR="00307CD7" w:rsidRPr="00B53F89">
              <w:t xml:space="preserve"> </w:t>
            </w:r>
          </w:p>
        </w:tc>
      </w:tr>
    </w:tbl>
    <w:p w14:paraId="0D9FB272" w14:textId="64442EE8" w:rsidR="0058077F" w:rsidRPr="00B53F89" w:rsidRDefault="0058077F" w:rsidP="00D7755E">
      <w:pPr>
        <w:pStyle w:val="ACMASpaceaftertable"/>
      </w:pPr>
    </w:p>
    <w:p w14:paraId="428D88EB" w14:textId="6D31D101" w:rsidR="00201FB7" w:rsidRPr="00B53F89" w:rsidRDefault="00F646F2" w:rsidP="00DE694D">
      <w:pPr>
        <w:pStyle w:val="ACMATableHeader"/>
        <w:keepNext/>
      </w:pPr>
      <w:r w:rsidRPr="00B53F89">
        <w:t xml:space="preserve">Forward </w:t>
      </w:r>
      <w:r w:rsidR="00CB2B01" w:rsidRPr="00B53F89">
        <w:t>allocation</w:t>
      </w:r>
      <w:r w:rsidR="00B01AA6" w:rsidRPr="00B53F89">
        <w:t xml:space="preserve"> work</w:t>
      </w:r>
      <w:r w:rsidRPr="00B53F89">
        <w:t xml:space="preserve"> </w:t>
      </w:r>
      <w:r w:rsidR="00FF4EF2" w:rsidRPr="00B53F89">
        <w:t>plan</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1E0" w:firstRow="1" w:lastRow="1" w:firstColumn="1" w:lastColumn="1" w:noHBand="0" w:noVBand="0"/>
        <w:tblCaption w:val="Table title to go here"/>
        <w:tblDescription w:val="Table description to go here"/>
      </w:tblPr>
      <w:tblGrid>
        <w:gridCol w:w="1715"/>
        <w:gridCol w:w="5946"/>
      </w:tblGrid>
      <w:tr w:rsidR="009116B7" w:rsidRPr="00B53F89" w14:paraId="5042B5AA" w14:textId="77777777" w:rsidTr="00DE694D">
        <w:trPr>
          <w:tblHeader/>
        </w:trPr>
        <w:tc>
          <w:tcPr>
            <w:tcW w:w="1119" w:type="pct"/>
            <w:shd w:val="clear" w:color="auto" w:fill="404040" w:themeFill="text1" w:themeFillTint="BF"/>
          </w:tcPr>
          <w:p w14:paraId="4ACA807A" w14:textId="77777777" w:rsidR="009116B7" w:rsidRPr="00B53F89" w:rsidRDefault="009116B7" w:rsidP="00B747E1">
            <w:pPr>
              <w:pStyle w:val="TableHeading"/>
            </w:pPr>
            <w:r w:rsidRPr="00B53F89">
              <w:t>Project priorities</w:t>
            </w:r>
          </w:p>
        </w:tc>
        <w:tc>
          <w:tcPr>
            <w:tcW w:w="3881" w:type="pct"/>
            <w:shd w:val="clear" w:color="auto" w:fill="404040" w:themeFill="text1" w:themeFillTint="BF"/>
          </w:tcPr>
          <w:p w14:paraId="55AFB1BE" w14:textId="6A26A5FC" w:rsidR="009116B7" w:rsidRPr="00B53F89" w:rsidRDefault="009116B7" w:rsidP="00B747E1">
            <w:pPr>
              <w:pStyle w:val="TableHeading"/>
            </w:pPr>
            <w:r w:rsidRPr="00B53F89">
              <w:t>Proposed timelines</w:t>
            </w:r>
            <w:r w:rsidR="009D3560" w:rsidRPr="00B53F89">
              <w:t>—</w:t>
            </w:r>
            <w:r w:rsidR="00C02759" w:rsidRPr="00B53F89">
              <w:t>next steps</w:t>
            </w:r>
          </w:p>
        </w:tc>
      </w:tr>
      <w:tr w:rsidR="00316C42" w:rsidRPr="00B53F89" w14:paraId="6CF0F13A" w14:textId="77777777" w:rsidTr="00DE694D">
        <w:trPr>
          <w:trHeight w:val="189"/>
        </w:trPr>
        <w:tc>
          <w:tcPr>
            <w:tcW w:w="1119" w:type="pct"/>
            <w:shd w:val="clear" w:color="auto" w:fill="auto"/>
          </w:tcPr>
          <w:p w14:paraId="08ACC34E" w14:textId="660E0E33" w:rsidR="00316C42" w:rsidRPr="00B53F89" w:rsidRDefault="00316C42" w:rsidP="005270FE">
            <w:pPr>
              <w:pStyle w:val="TableBody"/>
              <w:spacing w:line="240" w:lineRule="atLeast"/>
              <w:mirrorIndents/>
              <w:rPr>
                <w:rFonts w:cs="Arial"/>
                <w:szCs w:val="20"/>
              </w:rPr>
            </w:pPr>
            <w:r w:rsidRPr="00B53F89">
              <w:rPr>
                <w:rFonts w:cs="Arial"/>
                <w:szCs w:val="20"/>
              </w:rPr>
              <w:t>26 GHz</w:t>
            </w:r>
          </w:p>
        </w:tc>
        <w:tc>
          <w:tcPr>
            <w:tcW w:w="3881" w:type="pct"/>
            <w:shd w:val="clear" w:color="auto" w:fill="auto"/>
          </w:tcPr>
          <w:p w14:paraId="66CD4C31" w14:textId="32003CFD" w:rsidR="00316C42" w:rsidRPr="00B53F89" w:rsidRDefault="00316C42" w:rsidP="002F5B33">
            <w:pPr>
              <w:pStyle w:val="TableBody"/>
              <w:numPr>
                <w:ilvl w:val="0"/>
                <w:numId w:val="109"/>
              </w:numPr>
              <w:tabs>
                <w:tab w:val="num" w:pos="397"/>
              </w:tabs>
              <w:ind w:left="0" w:firstLine="0"/>
            </w:pPr>
            <w:r w:rsidRPr="00B53F89">
              <w:t xml:space="preserve">Q3 2019: recommendation to </w:t>
            </w:r>
            <w:r w:rsidR="00AA6D3C" w:rsidRPr="00B53F89">
              <w:t>m</w:t>
            </w:r>
            <w:r w:rsidRPr="00B53F89">
              <w:t>inister</w:t>
            </w:r>
          </w:p>
        </w:tc>
      </w:tr>
      <w:tr w:rsidR="00316C42" w:rsidRPr="00B53F89" w14:paraId="2A8ECCCE" w14:textId="77777777" w:rsidTr="00DE694D">
        <w:trPr>
          <w:trHeight w:val="189"/>
        </w:trPr>
        <w:tc>
          <w:tcPr>
            <w:tcW w:w="1119" w:type="pct"/>
            <w:shd w:val="clear" w:color="auto" w:fill="auto"/>
          </w:tcPr>
          <w:p w14:paraId="205C9FF1" w14:textId="572E1AD9" w:rsidR="00316C42" w:rsidRPr="00B53F89" w:rsidRDefault="00316C42" w:rsidP="005270FE">
            <w:pPr>
              <w:pStyle w:val="TableBody"/>
              <w:spacing w:line="240" w:lineRule="atLeast"/>
              <w:mirrorIndents/>
              <w:rPr>
                <w:rFonts w:cs="Arial"/>
                <w:szCs w:val="20"/>
              </w:rPr>
            </w:pPr>
            <w:r w:rsidRPr="00B53F89">
              <w:rPr>
                <w:rFonts w:cs="Arial"/>
                <w:szCs w:val="20"/>
              </w:rPr>
              <w:t>850/900 MHz</w:t>
            </w:r>
          </w:p>
        </w:tc>
        <w:tc>
          <w:tcPr>
            <w:tcW w:w="3881" w:type="pct"/>
            <w:shd w:val="clear" w:color="auto" w:fill="auto"/>
          </w:tcPr>
          <w:p w14:paraId="1C70B2F9" w14:textId="4E30723A" w:rsidR="00316C42" w:rsidRPr="00B53F89" w:rsidRDefault="00316C42" w:rsidP="002F5B33">
            <w:pPr>
              <w:pStyle w:val="TableBody"/>
              <w:numPr>
                <w:ilvl w:val="0"/>
                <w:numId w:val="109"/>
              </w:numPr>
              <w:tabs>
                <w:tab w:val="num" w:pos="397"/>
              </w:tabs>
              <w:ind w:left="0" w:firstLine="0"/>
            </w:pPr>
            <w:r w:rsidRPr="00B53F89">
              <w:t>Q2 2020</w:t>
            </w:r>
            <w:r w:rsidR="00573638" w:rsidRPr="00B53F89">
              <w:t xml:space="preserve">: recommendation to </w:t>
            </w:r>
            <w:r w:rsidR="00AA6D3C" w:rsidRPr="00B53F89">
              <w:t>m</w:t>
            </w:r>
            <w:r w:rsidR="00573638" w:rsidRPr="00B53F89">
              <w:t>inister</w:t>
            </w:r>
          </w:p>
        </w:tc>
      </w:tr>
      <w:tr w:rsidR="004F0826" w:rsidRPr="00B53F89" w14:paraId="2A09E904" w14:textId="77777777" w:rsidTr="00777FDE">
        <w:trPr>
          <w:trHeight w:val="189"/>
        </w:trPr>
        <w:tc>
          <w:tcPr>
            <w:tcW w:w="1119" w:type="pct"/>
            <w:shd w:val="clear" w:color="auto" w:fill="auto"/>
          </w:tcPr>
          <w:p w14:paraId="6218D118" w14:textId="339AFD61" w:rsidR="004F0826" w:rsidRPr="00B53F89" w:rsidRDefault="00EE3C7B" w:rsidP="005270FE">
            <w:pPr>
              <w:pStyle w:val="TableBody"/>
              <w:spacing w:line="240" w:lineRule="atLeast"/>
              <w:mirrorIndents/>
              <w:rPr>
                <w:rFonts w:cs="Arial"/>
                <w:szCs w:val="20"/>
              </w:rPr>
            </w:pPr>
            <w:r w:rsidRPr="00B53F89">
              <w:t>3400–3575 MHz</w:t>
            </w:r>
          </w:p>
        </w:tc>
        <w:tc>
          <w:tcPr>
            <w:tcW w:w="3881" w:type="pct"/>
            <w:shd w:val="clear" w:color="auto" w:fill="auto"/>
          </w:tcPr>
          <w:p w14:paraId="6D1A6E64" w14:textId="487C4396" w:rsidR="004F0826" w:rsidRPr="00B53F89" w:rsidRDefault="004F0826" w:rsidP="00010941">
            <w:pPr>
              <w:pStyle w:val="TableBody"/>
              <w:numPr>
                <w:ilvl w:val="0"/>
                <w:numId w:val="112"/>
              </w:numPr>
              <w:spacing w:before="100" w:beforeAutospacing="1" w:after="100" w:afterAutospacing="1" w:line="240" w:lineRule="atLeast"/>
              <w:ind w:left="357" w:hanging="357"/>
              <w:contextualSpacing/>
              <w:mirrorIndents/>
              <w:rPr>
                <w:rFonts w:cs="Arial"/>
                <w:szCs w:val="20"/>
              </w:rPr>
            </w:pPr>
            <w:r w:rsidRPr="00B53F89">
              <w:t>Q</w:t>
            </w:r>
            <w:r w:rsidR="0056460C" w:rsidRPr="00B53F89">
              <w:t>4</w:t>
            </w:r>
            <w:r w:rsidRPr="00B53F89">
              <w:t xml:space="preserve"> 2019</w:t>
            </w:r>
            <w:r w:rsidR="00573638" w:rsidRPr="00B53F89">
              <w:t xml:space="preserve"> onwards: </w:t>
            </w:r>
            <w:r w:rsidR="0056460C" w:rsidRPr="00B53F89">
              <w:t>implementation of planning decisions</w:t>
            </w:r>
          </w:p>
        </w:tc>
      </w:tr>
      <w:tr w:rsidR="004F0826" w:rsidRPr="00B53F89" w14:paraId="0C622BCC" w14:textId="77777777" w:rsidTr="00DE694D">
        <w:trPr>
          <w:trHeight w:val="189"/>
        </w:trPr>
        <w:tc>
          <w:tcPr>
            <w:tcW w:w="1119" w:type="pct"/>
            <w:shd w:val="clear" w:color="auto" w:fill="auto"/>
          </w:tcPr>
          <w:p w14:paraId="11156E82" w14:textId="6624462D" w:rsidR="004F0826" w:rsidRPr="00B53F89" w:rsidRDefault="004F0826" w:rsidP="005270FE">
            <w:pPr>
              <w:pStyle w:val="TableBody"/>
              <w:spacing w:line="240" w:lineRule="atLeast"/>
              <w:mirrorIndents/>
              <w:rPr>
                <w:rFonts w:cs="Arial"/>
                <w:szCs w:val="20"/>
              </w:rPr>
            </w:pPr>
            <w:r w:rsidRPr="00B53F89">
              <w:rPr>
                <w:rFonts w:cs="Arial"/>
                <w:szCs w:val="20"/>
              </w:rPr>
              <w:t>28 GHz</w:t>
            </w:r>
          </w:p>
        </w:tc>
        <w:tc>
          <w:tcPr>
            <w:tcW w:w="3881" w:type="pct"/>
            <w:shd w:val="clear" w:color="auto" w:fill="auto"/>
          </w:tcPr>
          <w:p w14:paraId="7E3D2FDD" w14:textId="2135326B" w:rsidR="004F0826" w:rsidRPr="00B53F89" w:rsidRDefault="004F0826" w:rsidP="002F5B33">
            <w:pPr>
              <w:pStyle w:val="TableBody"/>
              <w:numPr>
                <w:ilvl w:val="0"/>
                <w:numId w:val="109"/>
              </w:numPr>
              <w:tabs>
                <w:tab w:val="num" w:pos="397"/>
              </w:tabs>
              <w:ind w:left="0" w:firstLine="0"/>
              <w:rPr>
                <w:rFonts w:cs="Arial"/>
                <w:szCs w:val="20"/>
              </w:rPr>
            </w:pPr>
            <w:r w:rsidRPr="00B53F89">
              <w:t>Q</w:t>
            </w:r>
            <w:r w:rsidR="00633323" w:rsidRPr="00B53F89">
              <w:t>3</w:t>
            </w:r>
            <w:r w:rsidRPr="00B53F89">
              <w:t xml:space="preserve"> 2019: </w:t>
            </w:r>
            <w:r w:rsidR="004C6BFF" w:rsidRPr="00B53F89">
              <w:t>p</w:t>
            </w:r>
            <w:r w:rsidR="00633323" w:rsidRPr="00B53F89">
              <w:t>lanning decision</w:t>
            </w:r>
          </w:p>
        </w:tc>
      </w:tr>
    </w:tbl>
    <w:p w14:paraId="51FCBC64" w14:textId="77777777" w:rsidR="001A5088" w:rsidRPr="00B53F89" w:rsidRDefault="001A5088" w:rsidP="00D7755E">
      <w:pPr>
        <w:pStyle w:val="ACMASpaceaftertable"/>
      </w:pPr>
    </w:p>
    <w:p w14:paraId="67D4272F" w14:textId="586FE713" w:rsidR="009116B7" w:rsidRPr="00B53F89" w:rsidRDefault="00DD1124" w:rsidP="00DE694D">
      <w:pPr>
        <w:pStyle w:val="ACMATableHeader"/>
        <w:keepNext/>
      </w:pPr>
      <w:r w:rsidRPr="00B53F89">
        <w:t xml:space="preserve">Spectrum management practice </w:t>
      </w:r>
      <w:r w:rsidR="00F01663" w:rsidRPr="00B53F89">
        <w:t>improvements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1E0" w:firstRow="1" w:lastRow="1" w:firstColumn="1" w:lastColumn="1" w:noHBand="0" w:noVBand="0"/>
        <w:tblCaption w:val="Table title to go here"/>
        <w:tblDescription w:val="Table description to go here"/>
      </w:tblPr>
      <w:tblGrid>
        <w:gridCol w:w="2648"/>
        <w:gridCol w:w="5013"/>
      </w:tblGrid>
      <w:tr w:rsidR="009116B7" w:rsidRPr="00B53F89" w14:paraId="226D7C07" w14:textId="77777777" w:rsidTr="00E97880">
        <w:trPr>
          <w:tblHeader/>
        </w:trPr>
        <w:tc>
          <w:tcPr>
            <w:tcW w:w="1728" w:type="pct"/>
            <w:tcBorders>
              <w:bottom w:val="single" w:sz="4" w:space="0" w:color="auto"/>
            </w:tcBorders>
            <w:shd w:val="clear" w:color="auto" w:fill="404040" w:themeFill="text1" w:themeFillTint="BF"/>
          </w:tcPr>
          <w:p w14:paraId="50F034A1" w14:textId="77777777" w:rsidR="009116B7" w:rsidRPr="00B53F89" w:rsidRDefault="009116B7" w:rsidP="00B747E1">
            <w:pPr>
              <w:pStyle w:val="TableHeading"/>
            </w:pPr>
            <w:r w:rsidRPr="00B53F89">
              <w:t>Project priorities</w:t>
            </w:r>
          </w:p>
        </w:tc>
        <w:tc>
          <w:tcPr>
            <w:tcW w:w="3272" w:type="pct"/>
            <w:tcBorders>
              <w:bottom w:val="single" w:sz="4" w:space="0" w:color="auto"/>
            </w:tcBorders>
            <w:shd w:val="clear" w:color="auto" w:fill="404040" w:themeFill="text1" w:themeFillTint="BF"/>
          </w:tcPr>
          <w:p w14:paraId="2A1FD650" w14:textId="77777777" w:rsidR="009116B7" w:rsidRPr="00B53F89" w:rsidRDefault="009116B7" w:rsidP="00B747E1">
            <w:pPr>
              <w:pStyle w:val="TableHeading"/>
            </w:pPr>
            <w:r w:rsidRPr="00B53F89">
              <w:t>Proposed timelines</w:t>
            </w:r>
          </w:p>
        </w:tc>
      </w:tr>
      <w:tr w:rsidR="009116B7" w:rsidRPr="00B53F89" w14:paraId="727C81C7" w14:textId="77777777" w:rsidTr="00DE694D">
        <w:tc>
          <w:tcPr>
            <w:tcW w:w="1728" w:type="pct"/>
            <w:shd w:val="clear" w:color="auto" w:fill="auto"/>
          </w:tcPr>
          <w:p w14:paraId="5D3BDE86" w14:textId="25936FC7" w:rsidR="009116B7" w:rsidRPr="00B53F89" w:rsidRDefault="0005496D" w:rsidP="005270FE">
            <w:pPr>
              <w:pStyle w:val="TableBody"/>
              <w:spacing w:line="240" w:lineRule="atLeast"/>
              <w:mirrorIndents/>
              <w:rPr>
                <w:rFonts w:cs="Arial"/>
                <w:szCs w:val="20"/>
              </w:rPr>
            </w:pPr>
            <w:r w:rsidRPr="00B53F89">
              <w:rPr>
                <w:rFonts w:cs="Arial"/>
                <w:szCs w:val="20"/>
              </w:rPr>
              <w:t>Five-year spectrum outlook/</w:t>
            </w:r>
            <w:r w:rsidR="009116B7" w:rsidRPr="00B53F89">
              <w:rPr>
                <w:rFonts w:cs="Arial"/>
                <w:szCs w:val="20"/>
              </w:rPr>
              <w:t>Annual work program</w:t>
            </w:r>
          </w:p>
        </w:tc>
        <w:tc>
          <w:tcPr>
            <w:tcW w:w="3272" w:type="pct"/>
            <w:shd w:val="clear" w:color="auto" w:fill="auto"/>
          </w:tcPr>
          <w:p w14:paraId="5CD4AD8B" w14:textId="3F79B3C9" w:rsidR="009704FD" w:rsidRPr="00B53F89" w:rsidRDefault="009704FD" w:rsidP="002F5B33">
            <w:pPr>
              <w:pStyle w:val="TableBody"/>
              <w:spacing w:after="120" w:line="240" w:lineRule="atLeast"/>
              <w:mirrorIndents/>
              <w:rPr>
                <w:rFonts w:cs="Arial"/>
                <w:szCs w:val="20"/>
              </w:rPr>
            </w:pPr>
            <w:r w:rsidRPr="00B53F89">
              <w:rPr>
                <w:rFonts w:cs="Arial"/>
                <w:szCs w:val="20"/>
              </w:rPr>
              <w:t>Q</w:t>
            </w:r>
            <w:r w:rsidR="00FD1F2A" w:rsidRPr="00B53F89">
              <w:rPr>
                <w:rFonts w:cs="Arial"/>
                <w:szCs w:val="20"/>
              </w:rPr>
              <w:t>3</w:t>
            </w:r>
            <w:r w:rsidR="00C90D8B" w:rsidRPr="00B53F89">
              <w:rPr>
                <w:rFonts w:cs="Arial"/>
                <w:szCs w:val="20"/>
              </w:rPr>
              <w:t xml:space="preserve"> 2019</w:t>
            </w:r>
            <w:r w:rsidRPr="00B53F89">
              <w:rPr>
                <w:rFonts w:cs="Arial"/>
                <w:szCs w:val="20"/>
              </w:rPr>
              <w:t xml:space="preserve">: </w:t>
            </w:r>
            <w:r w:rsidR="004C6BFF" w:rsidRPr="00B53F89">
              <w:rPr>
                <w:rFonts w:cs="Arial"/>
                <w:szCs w:val="20"/>
              </w:rPr>
              <w:t>p</w:t>
            </w:r>
            <w:r w:rsidRPr="00B53F89">
              <w:rPr>
                <w:rFonts w:cs="Arial"/>
                <w:szCs w:val="20"/>
              </w:rPr>
              <w:t>ublish final program</w:t>
            </w:r>
          </w:p>
          <w:p w14:paraId="661298CB" w14:textId="313D87F3" w:rsidR="009116B7" w:rsidRPr="00B53F89" w:rsidRDefault="009116B7" w:rsidP="005270FE">
            <w:pPr>
              <w:pStyle w:val="TableBody"/>
              <w:spacing w:line="240" w:lineRule="atLeast"/>
              <w:mirrorIndents/>
              <w:rPr>
                <w:rFonts w:cs="Arial"/>
                <w:szCs w:val="20"/>
              </w:rPr>
            </w:pPr>
            <w:r w:rsidRPr="00B53F89">
              <w:rPr>
                <w:rFonts w:cs="Arial"/>
                <w:szCs w:val="20"/>
              </w:rPr>
              <w:t>Q</w:t>
            </w:r>
            <w:r w:rsidR="00FD1F2A" w:rsidRPr="00B53F89">
              <w:rPr>
                <w:rFonts w:cs="Arial"/>
                <w:szCs w:val="20"/>
              </w:rPr>
              <w:t>2</w:t>
            </w:r>
            <w:r w:rsidR="00C90D8B" w:rsidRPr="00B53F89">
              <w:rPr>
                <w:rFonts w:cs="Arial"/>
                <w:szCs w:val="20"/>
              </w:rPr>
              <w:t xml:space="preserve"> 2020</w:t>
            </w:r>
            <w:r w:rsidR="00D456EC" w:rsidRPr="00B53F89">
              <w:rPr>
                <w:rFonts w:cs="Arial"/>
                <w:szCs w:val="20"/>
              </w:rPr>
              <w:t>:</w:t>
            </w:r>
            <w:r w:rsidRPr="00B53F89">
              <w:rPr>
                <w:rFonts w:cs="Arial"/>
                <w:szCs w:val="20"/>
              </w:rPr>
              <w:t xml:space="preserve"> </w:t>
            </w:r>
            <w:r w:rsidR="004C6BFF" w:rsidRPr="00B53F89">
              <w:rPr>
                <w:rFonts w:cs="Arial"/>
                <w:szCs w:val="20"/>
              </w:rPr>
              <w:t>c</w:t>
            </w:r>
            <w:r w:rsidRPr="00B53F89">
              <w:rPr>
                <w:rFonts w:cs="Arial"/>
                <w:szCs w:val="20"/>
              </w:rPr>
              <w:t>onsult on draft work program</w:t>
            </w:r>
            <w:r w:rsidR="00233575" w:rsidRPr="00B53F89">
              <w:rPr>
                <w:rFonts w:cs="Arial"/>
                <w:szCs w:val="20"/>
              </w:rPr>
              <w:t xml:space="preserve"> for </w:t>
            </w:r>
            <w:r w:rsidR="00122F87" w:rsidRPr="00B53F89">
              <w:rPr>
                <w:rFonts w:cs="Arial"/>
                <w:szCs w:val="20"/>
              </w:rPr>
              <w:t xml:space="preserve">the </w:t>
            </w:r>
            <w:r w:rsidR="00233575" w:rsidRPr="00B53F89">
              <w:rPr>
                <w:rFonts w:cs="Arial"/>
                <w:szCs w:val="20"/>
              </w:rPr>
              <w:t>next year</w:t>
            </w:r>
          </w:p>
        </w:tc>
      </w:tr>
      <w:tr w:rsidR="00E97BE0" w:rsidRPr="00B53F89" w14:paraId="78EAB394" w14:textId="77777777" w:rsidTr="00DE694D">
        <w:tc>
          <w:tcPr>
            <w:tcW w:w="1728" w:type="pct"/>
            <w:shd w:val="clear" w:color="auto" w:fill="auto"/>
          </w:tcPr>
          <w:p w14:paraId="0B253A49" w14:textId="33C47447" w:rsidR="00E97BE0" w:rsidRPr="00B53F89" w:rsidRDefault="00E97BE0" w:rsidP="00010941">
            <w:pPr>
              <w:pStyle w:val="TableBody"/>
              <w:numPr>
                <w:ilvl w:val="0"/>
                <w:numId w:val="115"/>
              </w:numPr>
              <w:tabs>
                <w:tab w:val="num" w:pos="397"/>
              </w:tabs>
              <w:spacing w:line="240" w:lineRule="atLeast"/>
              <w:ind w:left="0" w:firstLine="0"/>
              <w:mirrorIndents/>
              <w:rPr>
                <w:rFonts w:cs="Arial"/>
                <w:szCs w:val="20"/>
              </w:rPr>
            </w:pPr>
            <w:r w:rsidRPr="00B53F89">
              <w:rPr>
                <w:rFonts w:cs="Arial"/>
                <w:szCs w:val="20"/>
              </w:rPr>
              <w:t>Interference management</w:t>
            </w:r>
          </w:p>
        </w:tc>
        <w:tc>
          <w:tcPr>
            <w:tcW w:w="3272" w:type="pct"/>
            <w:shd w:val="clear" w:color="auto" w:fill="auto"/>
          </w:tcPr>
          <w:p w14:paraId="2E39C296" w14:textId="417D8DDE" w:rsidR="00E97BE0" w:rsidRPr="00B53F89" w:rsidRDefault="00C550F4" w:rsidP="005270FE">
            <w:pPr>
              <w:pStyle w:val="TableBody"/>
              <w:spacing w:after="120" w:line="240" w:lineRule="atLeast"/>
              <w:mirrorIndents/>
              <w:rPr>
                <w:rFonts w:cs="Arial"/>
                <w:szCs w:val="20"/>
              </w:rPr>
            </w:pPr>
            <w:r w:rsidRPr="00B53F89">
              <w:rPr>
                <w:rFonts w:cs="Arial"/>
                <w:szCs w:val="20"/>
              </w:rPr>
              <w:t>Q4</w:t>
            </w:r>
            <w:r w:rsidR="00E97BE0" w:rsidRPr="00B53F89">
              <w:rPr>
                <w:rFonts w:cs="Arial"/>
                <w:szCs w:val="20"/>
              </w:rPr>
              <w:t xml:space="preserve"> 2019: </w:t>
            </w:r>
            <w:r w:rsidR="004C6BFF" w:rsidRPr="00B53F89">
              <w:rPr>
                <w:rFonts w:cs="Arial"/>
                <w:szCs w:val="20"/>
              </w:rPr>
              <w:t>f</w:t>
            </w:r>
            <w:r w:rsidRPr="00B53F89">
              <w:rPr>
                <w:rFonts w:cs="Arial"/>
                <w:szCs w:val="20"/>
              </w:rPr>
              <w:t xml:space="preserve">inalise </w:t>
            </w:r>
            <w:r w:rsidR="00E97BE0" w:rsidRPr="00B53F89">
              <w:rPr>
                <w:rFonts w:cs="Arial"/>
                <w:szCs w:val="20"/>
              </w:rPr>
              <w:t>interference management principles</w:t>
            </w:r>
          </w:p>
        </w:tc>
      </w:tr>
      <w:tr w:rsidR="009116B7" w:rsidRPr="00B53F89" w14:paraId="699ECB76" w14:textId="77777777" w:rsidTr="00FA7446">
        <w:tc>
          <w:tcPr>
            <w:tcW w:w="1728" w:type="pct"/>
            <w:shd w:val="clear" w:color="auto" w:fill="auto"/>
          </w:tcPr>
          <w:p w14:paraId="76221E37" w14:textId="77777777" w:rsidR="009116B7" w:rsidRPr="00B53F89" w:rsidRDefault="009116B7" w:rsidP="005270FE">
            <w:pPr>
              <w:pStyle w:val="TableBody"/>
              <w:spacing w:line="240" w:lineRule="atLeast"/>
              <w:mirrorIndents/>
              <w:rPr>
                <w:rFonts w:cs="Arial"/>
                <w:szCs w:val="20"/>
              </w:rPr>
            </w:pPr>
            <w:bookmarkStart w:id="23" w:name="_Hlk14446133"/>
            <w:r w:rsidRPr="00B53F89">
              <w:rPr>
                <w:rFonts w:cs="Arial"/>
                <w:szCs w:val="20"/>
              </w:rPr>
              <w:t>Pricing review implementation</w:t>
            </w:r>
          </w:p>
        </w:tc>
        <w:tc>
          <w:tcPr>
            <w:tcW w:w="3272" w:type="pct"/>
            <w:shd w:val="clear" w:color="auto" w:fill="auto"/>
          </w:tcPr>
          <w:p w14:paraId="78A590B4" w14:textId="5BF731B3" w:rsidR="00D61EDE" w:rsidRPr="00B53F89" w:rsidRDefault="00520BA6" w:rsidP="00010941">
            <w:pPr>
              <w:pStyle w:val="TableBody"/>
              <w:numPr>
                <w:ilvl w:val="0"/>
                <w:numId w:val="117"/>
              </w:numPr>
              <w:tabs>
                <w:tab w:val="num" w:pos="397"/>
              </w:tabs>
              <w:spacing w:line="240" w:lineRule="atLeast"/>
              <w:ind w:left="0" w:firstLine="0"/>
              <w:mirrorIndents/>
            </w:pPr>
            <w:bookmarkStart w:id="24" w:name="_Hlk14446145"/>
            <w:r w:rsidRPr="00B53F89">
              <w:t xml:space="preserve">Q4 2019: </w:t>
            </w:r>
            <w:r w:rsidR="005F064E" w:rsidRPr="00B53F89">
              <w:rPr>
                <w:rFonts w:cs="Arial"/>
                <w:szCs w:val="20"/>
              </w:rPr>
              <w:t>c</w:t>
            </w:r>
            <w:r w:rsidRPr="00B53F89">
              <w:rPr>
                <w:rFonts w:cs="Arial"/>
                <w:szCs w:val="20"/>
              </w:rPr>
              <w:t>onsult on draft Spectrum Pricing Guidelines and potential new cost recovery proposals</w:t>
            </w:r>
            <w:bookmarkEnd w:id="24"/>
          </w:p>
        </w:tc>
      </w:tr>
      <w:bookmarkEnd w:id="23"/>
      <w:tr w:rsidR="00935DE8" w:rsidRPr="00B53F89" w14:paraId="6F95AC5C" w14:textId="77777777" w:rsidTr="00DE694D">
        <w:tc>
          <w:tcPr>
            <w:tcW w:w="1728" w:type="pct"/>
            <w:shd w:val="clear" w:color="auto" w:fill="auto"/>
          </w:tcPr>
          <w:p w14:paraId="79C88B1F" w14:textId="2E92F393" w:rsidR="00935DE8" w:rsidRPr="00B53F89" w:rsidRDefault="00935DE8" w:rsidP="00010941">
            <w:pPr>
              <w:pStyle w:val="TableBody"/>
              <w:numPr>
                <w:ilvl w:val="0"/>
                <w:numId w:val="116"/>
              </w:numPr>
              <w:tabs>
                <w:tab w:val="num" w:pos="397"/>
              </w:tabs>
              <w:spacing w:line="240" w:lineRule="atLeast"/>
              <w:ind w:left="0" w:firstLine="0"/>
              <w:mirrorIndents/>
            </w:pPr>
            <w:r w:rsidRPr="00B53F89">
              <w:t>Improving transparency of the spectrum planning framework</w:t>
            </w:r>
          </w:p>
        </w:tc>
        <w:tc>
          <w:tcPr>
            <w:tcW w:w="3272" w:type="pct"/>
            <w:shd w:val="clear" w:color="auto" w:fill="auto"/>
          </w:tcPr>
          <w:p w14:paraId="1D8E1A5A" w14:textId="1126D9C8" w:rsidR="00935DE8" w:rsidRPr="00B53F89" w:rsidDel="00935DE8" w:rsidRDefault="00935DE8" w:rsidP="005270FE">
            <w:pPr>
              <w:pStyle w:val="TableBody"/>
              <w:spacing w:line="240" w:lineRule="atLeast"/>
              <w:mirrorIndents/>
              <w:rPr>
                <w:rFonts w:cs="Arial"/>
                <w:szCs w:val="20"/>
              </w:rPr>
            </w:pPr>
            <w:r w:rsidRPr="00B53F89">
              <w:rPr>
                <w:rFonts w:cs="Arial"/>
                <w:szCs w:val="20"/>
              </w:rPr>
              <w:t>Under consideration for 2019</w:t>
            </w:r>
            <w:r w:rsidR="003208A0" w:rsidRPr="00B53F89">
              <w:rPr>
                <w:rFonts w:cs="Arial"/>
                <w:szCs w:val="20"/>
              </w:rPr>
              <w:t>–</w:t>
            </w:r>
            <w:r w:rsidRPr="00B53F89">
              <w:rPr>
                <w:rFonts w:cs="Arial"/>
                <w:szCs w:val="20"/>
              </w:rPr>
              <w:t>20</w:t>
            </w:r>
          </w:p>
        </w:tc>
      </w:tr>
    </w:tbl>
    <w:p w14:paraId="1CFCF08E" w14:textId="77777777" w:rsidR="00557D3A" w:rsidRPr="00B53F89" w:rsidRDefault="00557D3A" w:rsidP="00D7755E">
      <w:pPr>
        <w:pStyle w:val="ACMASpaceaftertable"/>
      </w:pPr>
    </w:p>
    <w:p w14:paraId="2EA5437D" w14:textId="47ACE486" w:rsidR="009116B7" w:rsidRPr="00B53F89" w:rsidRDefault="009116B7" w:rsidP="00DE694D">
      <w:pPr>
        <w:pStyle w:val="ACMATableHeader"/>
        <w:keepNext/>
        <w:keepLines/>
      </w:pPr>
      <w:r w:rsidRPr="00B53F89">
        <w:t>Licensing</w:t>
      </w:r>
      <w:r w:rsidR="00F01663" w:rsidRPr="00B53F89">
        <w:t xml:space="preserve"> and licensing systems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1E0" w:firstRow="1" w:lastRow="1" w:firstColumn="1" w:lastColumn="1" w:noHBand="0" w:noVBand="0"/>
        <w:tblCaption w:val="Table title to go here"/>
        <w:tblDescription w:val="Table description to go here"/>
      </w:tblPr>
      <w:tblGrid>
        <w:gridCol w:w="2689"/>
        <w:gridCol w:w="4972"/>
      </w:tblGrid>
      <w:tr w:rsidR="009116B7" w:rsidRPr="00B53F89" w14:paraId="3A69B504" w14:textId="77777777" w:rsidTr="00596594">
        <w:trPr>
          <w:tblHeader/>
        </w:trPr>
        <w:tc>
          <w:tcPr>
            <w:tcW w:w="1755" w:type="pct"/>
            <w:shd w:val="clear" w:color="auto" w:fill="404040" w:themeFill="text1" w:themeFillTint="BF"/>
          </w:tcPr>
          <w:p w14:paraId="151AEC54" w14:textId="77777777" w:rsidR="009116B7" w:rsidRPr="00B53F89" w:rsidRDefault="009116B7" w:rsidP="00E26672">
            <w:pPr>
              <w:pStyle w:val="TableHeading"/>
            </w:pPr>
            <w:r w:rsidRPr="00B53F89">
              <w:t>Project priorities</w:t>
            </w:r>
          </w:p>
        </w:tc>
        <w:tc>
          <w:tcPr>
            <w:tcW w:w="3245" w:type="pct"/>
            <w:shd w:val="clear" w:color="auto" w:fill="404040" w:themeFill="text1" w:themeFillTint="BF"/>
          </w:tcPr>
          <w:p w14:paraId="44E904CB" w14:textId="77777777" w:rsidR="009116B7" w:rsidRPr="00B53F89" w:rsidRDefault="009116B7" w:rsidP="00E26672">
            <w:pPr>
              <w:pStyle w:val="TableHeading"/>
            </w:pPr>
            <w:r w:rsidRPr="00B53F89">
              <w:t>Proposed timelines</w:t>
            </w:r>
          </w:p>
        </w:tc>
      </w:tr>
      <w:tr w:rsidR="00E933E2" w:rsidRPr="00B53F89" w14:paraId="5AB9D06A" w14:textId="77777777" w:rsidTr="00596594">
        <w:tc>
          <w:tcPr>
            <w:tcW w:w="1755" w:type="pct"/>
            <w:shd w:val="clear" w:color="auto" w:fill="auto"/>
          </w:tcPr>
          <w:p w14:paraId="4430F639" w14:textId="1A7D7752" w:rsidR="00E933E2" w:rsidRPr="00B53F89" w:rsidRDefault="00F327DE" w:rsidP="009A7729">
            <w:pPr>
              <w:pStyle w:val="TableBody"/>
              <w:numPr>
                <w:ilvl w:val="0"/>
                <w:numId w:val="118"/>
              </w:numPr>
              <w:tabs>
                <w:tab w:val="num" w:pos="397"/>
              </w:tabs>
              <w:ind w:left="0" w:firstLine="0"/>
              <w:rPr>
                <w:rFonts w:cs="Arial"/>
              </w:rPr>
            </w:pPr>
            <w:r w:rsidRPr="00B53F89">
              <w:t>A</w:t>
            </w:r>
            <w:r w:rsidR="00E933E2" w:rsidRPr="00B53F89">
              <w:t xml:space="preserve">mateur </w:t>
            </w:r>
            <w:r w:rsidRPr="00B53F89">
              <w:t>certificates of proficiency</w:t>
            </w:r>
            <w:r w:rsidR="00A061D5" w:rsidRPr="00B53F89">
              <w:t>—</w:t>
            </w:r>
            <w:r w:rsidR="00CC2EFB" w:rsidRPr="00B53F89">
              <w:t>update syllabi</w:t>
            </w:r>
          </w:p>
        </w:tc>
        <w:tc>
          <w:tcPr>
            <w:tcW w:w="3245" w:type="pct"/>
            <w:shd w:val="clear" w:color="auto" w:fill="auto"/>
          </w:tcPr>
          <w:p w14:paraId="2562CF5C" w14:textId="33AC0805" w:rsidR="00E933E2" w:rsidRPr="00B53F89" w:rsidRDefault="00CC2EFB" w:rsidP="00DE694D">
            <w:pPr>
              <w:pStyle w:val="TableBody"/>
            </w:pPr>
            <w:r w:rsidRPr="00B53F89">
              <w:t>Q</w:t>
            </w:r>
            <w:r w:rsidR="0005411F" w:rsidRPr="00B53F89">
              <w:t>4</w:t>
            </w:r>
            <w:r w:rsidRPr="00B53F89">
              <w:t xml:space="preserve"> </w:t>
            </w:r>
            <w:r w:rsidR="00E933E2" w:rsidRPr="00B53F89">
              <w:t>20</w:t>
            </w:r>
            <w:r w:rsidR="0005411F" w:rsidRPr="00B53F89">
              <w:t>19</w:t>
            </w:r>
            <w:r w:rsidR="00F327DE" w:rsidRPr="00B53F89">
              <w:t xml:space="preserve">: </w:t>
            </w:r>
            <w:r w:rsidR="004C6BFF" w:rsidRPr="00B53F89">
              <w:t>e</w:t>
            </w:r>
            <w:r w:rsidR="00F327DE" w:rsidRPr="00B53F89">
              <w:t>stablish a Syllabus Review Panel</w:t>
            </w:r>
          </w:p>
        </w:tc>
      </w:tr>
      <w:tr w:rsidR="00A802B9" w:rsidRPr="00B53F89" w14:paraId="19B5A121" w14:textId="77777777" w:rsidTr="00596594">
        <w:tc>
          <w:tcPr>
            <w:tcW w:w="1755" w:type="pct"/>
            <w:shd w:val="clear" w:color="auto" w:fill="auto"/>
          </w:tcPr>
          <w:p w14:paraId="73AAAD3C" w14:textId="3592E532" w:rsidR="00A802B9" w:rsidRPr="00B53F89" w:rsidDel="009814FB" w:rsidRDefault="00A802B9" w:rsidP="00DE694D">
            <w:pPr>
              <w:pStyle w:val="TableBody"/>
              <w:rPr>
                <w:rFonts w:cs="Arial"/>
              </w:rPr>
            </w:pPr>
            <w:r w:rsidRPr="00B53F89">
              <w:rPr>
                <w:rFonts w:cs="Arial"/>
              </w:rPr>
              <w:t>Consideration of changes to amateur licence conditions</w:t>
            </w:r>
          </w:p>
        </w:tc>
        <w:tc>
          <w:tcPr>
            <w:tcW w:w="3245" w:type="pct"/>
            <w:shd w:val="clear" w:color="auto" w:fill="auto"/>
          </w:tcPr>
          <w:p w14:paraId="75C4CB3C" w14:textId="5A5737F7" w:rsidR="00A802B9" w:rsidRPr="00B53F89" w:rsidDel="009814FB" w:rsidRDefault="002B619D" w:rsidP="009A7729">
            <w:pPr>
              <w:pStyle w:val="TableBody"/>
              <w:numPr>
                <w:ilvl w:val="0"/>
                <w:numId w:val="123"/>
              </w:numPr>
              <w:tabs>
                <w:tab w:val="num" w:pos="397"/>
              </w:tabs>
              <w:ind w:left="0" w:firstLine="0"/>
              <w:rPr>
                <w:rFonts w:cs="Arial"/>
              </w:rPr>
            </w:pPr>
            <w:r w:rsidRPr="00B53F89">
              <w:t>Q3/4</w:t>
            </w:r>
            <w:r w:rsidR="009A7729" w:rsidRPr="00B53F89">
              <w:t xml:space="preserve"> 2019</w:t>
            </w:r>
            <w:r w:rsidRPr="00B53F89">
              <w:t xml:space="preserve">: </w:t>
            </w:r>
            <w:r w:rsidR="004C6BFF" w:rsidRPr="00B53F89">
              <w:t>a</w:t>
            </w:r>
            <w:r w:rsidRPr="00B53F89">
              <w:t>mend amateur licence conditions</w:t>
            </w:r>
          </w:p>
        </w:tc>
      </w:tr>
      <w:tr w:rsidR="002A4293" w:rsidRPr="00B53F89" w:rsidDel="00434C07" w14:paraId="65A9ECB9" w14:textId="77777777" w:rsidTr="00E97880">
        <w:trPr>
          <w:trHeight w:val="1302"/>
        </w:trPr>
        <w:tc>
          <w:tcPr>
            <w:tcW w:w="1755" w:type="pct"/>
            <w:shd w:val="clear" w:color="auto" w:fill="auto"/>
          </w:tcPr>
          <w:p w14:paraId="4B21F378" w14:textId="1AB2C8A4" w:rsidR="002A4293" w:rsidRPr="00B53F89" w:rsidDel="00434C07" w:rsidRDefault="002A4293" w:rsidP="009A7729">
            <w:pPr>
              <w:pStyle w:val="TableBody"/>
              <w:numPr>
                <w:ilvl w:val="0"/>
                <w:numId w:val="119"/>
              </w:numPr>
              <w:tabs>
                <w:tab w:val="num" w:pos="397"/>
              </w:tabs>
              <w:ind w:left="0" w:firstLine="0"/>
              <w:rPr>
                <w:rFonts w:cs="Arial"/>
              </w:rPr>
            </w:pPr>
            <w:r w:rsidRPr="00B53F89">
              <w:rPr>
                <w:rFonts w:cs="Arial"/>
              </w:rPr>
              <w:t>Trial of mobile phone jammers at Goulburn Correctional Complex</w:t>
            </w:r>
          </w:p>
        </w:tc>
        <w:tc>
          <w:tcPr>
            <w:tcW w:w="3245" w:type="pct"/>
            <w:shd w:val="clear" w:color="auto" w:fill="auto"/>
          </w:tcPr>
          <w:p w14:paraId="70862798" w14:textId="3E7C46B4" w:rsidR="002A4293" w:rsidRPr="00B53F89" w:rsidDel="00434C07" w:rsidRDefault="00390ABF" w:rsidP="00DE694D">
            <w:pPr>
              <w:rPr>
                <w:rFonts w:cs="Arial"/>
              </w:rPr>
            </w:pPr>
            <w:r w:rsidRPr="00B53F89">
              <w:rPr>
                <w:rFonts w:cs="Arial"/>
              </w:rPr>
              <w:t>Q4</w:t>
            </w:r>
            <w:r w:rsidR="002A4293" w:rsidRPr="00B53F89">
              <w:rPr>
                <w:rFonts w:cs="Arial"/>
              </w:rPr>
              <w:t xml:space="preserve"> 2019: commence trial</w:t>
            </w:r>
          </w:p>
        </w:tc>
      </w:tr>
      <w:tr w:rsidR="00ED59E3" w:rsidRPr="00B53F89" w14:paraId="387C97F7" w14:textId="77777777" w:rsidTr="00596594">
        <w:tc>
          <w:tcPr>
            <w:tcW w:w="1755" w:type="pct"/>
            <w:shd w:val="clear" w:color="auto" w:fill="auto"/>
          </w:tcPr>
          <w:p w14:paraId="5AB5E6A7" w14:textId="1CFF5F4E" w:rsidR="00ED59E3" w:rsidRPr="00B53F89" w:rsidRDefault="00ED59E3" w:rsidP="00DE694D">
            <w:pPr>
              <w:pStyle w:val="TableBody"/>
              <w:rPr>
                <w:rFonts w:cs="Arial"/>
              </w:rPr>
            </w:pPr>
            <w:r w:rsidRPr="00B53F89">
              <w:rPr>
                <w:rFonts w:cs="Arial"/>
              </w:rPr>
              <w:t>Changes to VHF marine radio channels and their use</w:t>
            </w:r>
          </w:p>
        </w:tc>
        <w:tc>
          <w:tcPr>
            <w:tcW w:w="3245" w:type="pct"/>
            <w:shd w:val="clear" w:color="auto" w:fill="auto"/>
          </w:tcPr>
          <w:p w14:paraId="0F5E8763" w14:textId="4CF63CC1" w:rsidR="00ED59E3" w:rsidRPr="00B53F89" w:rsidDel="00043C65" w:rsidRDefault="00ED59E3" w:rsidP="009A7729">
            <w:pPr>
              <w:pStyle w:val="TableBody"/>
              <w:numPr>
                <w:ilvl w:val="0"/>
                <w:numId w:val="124"/>
              </w:numPr>
              <w:tabs>
                <w:tab w:val="num" w:pos="397"/>
              </w:tabs>
              <w:ind w:left="0" w:firstLine="0"/>
            </w:pPr>
            <w:r w:rsidRPr="00B53F89">
              <w:t>Ongoing: work with industry, noting outcomes of WRC-19</w:t>
            </w:r>
          </w:p>
        </w:tc>
      </w:tr>
      <w:tr w:rsidR="002717D0" w:rsidRPr="00B53F89" w14:paraId="37F0E447" w14:textId="77777777" w:rsidTr="00596594">
        <w:tc>
          <w:tcPr>
            <w:tcW w:w="1755" w:type="pct"/>
            <w:shd w:val="clear" w:color="auto" w:fill="auto"/>
          </w:tcPr>
          <w:p w14:paraId="05186A0D" w14:textId="77777777" w:rsidR="002717D0" w:rsidRPr="00B53F89" w:rsidRDefault="002717D0" w:rsidP="00DE694D">
            <w:pPr>
              <w:pStyle w:val="TableBody"/>
              <w:rPr>
                <w:rFonts w:cs="Arial"/>
              </w:rPr>
            </w:pPr>
            <w:r w:rsidRPr="00B53F89">
              <w:rPr>
                <w:rFonts w:cs="Arial"/>
              </w:rPr>
              <w:t xml:space="preserve">400 MHz band </w:t>
            </w:r>
          </w:p>
        </w:tc>
        <w:tc>
          <w:tcPr>
            <w:tcW w:w="3245" w:type="pct"/>
            <w:shd w:val="clear" w:color="auto" w:fill="auto"/>
          </w:tcPr>
          <w:p w14:paraId="14A924AE" w14:textId="64F01B51" w:rsidR="002717D0" w:rsidRPr="00B53F89" w:rsidRDefault="00043C65" w:rsidP="00DE694D">
            <w:pPr>
              <w:pStyle w:val="TableBody"/>
              <w:rPr>
                <w:rFonts w:cs="Arial"/>
              </w:rPr>
            </w:pPr>
            <w:r w:rsidRPr="00B53F89">
              <w:t>F</w:t>
            </w:r>
            <w:r w:rsidR="0068223A" w:rsidRPr="00B53F89">
              <w:t xml:space="preserve">inal milestone period of the </w:t>
            </w:r>
            <w:r w:rsidR="000C3803" w:rsidRPr="00B53F89">
              <w:br/>
            </w:r>
            <w:r w:rsidR="0068223A" w:rsidRPr="00B53F89">
              <w:t>400 MHz implementation project in 2019–20</w:t>
            </w:r>
          </w:p>
        </w:tc>
      </w:tr>
      <w:tr w:rsidR="00043C65" w:rsidRPr="00B53F89" w14:paraId="4E712A33" w14:textId="77777777" w:rsidTr="00772993">
        <w:trPr>
          <w:trHeight w:val="933"/>
        </w:trPr>
        <w:tc>
          <w:tcPr>
            <w:tcW w:w="1755" w:type="pct"/>
            <w:shd w:val="clear" w:color="auto" w:fill="auto"/>
          </w:tcPr>
          <w:p w14:paraId="15C30BA4" w14:textId="4F8B45E1" w:rsidR="00043C65" w:rsidRPr="00B53F89" w:rsidRDefault="00043C65" w:rsidP="009A7729">
            <w:pPr>
              <w:pStyle w:val="TableBody"/>
              <w:numPr>
                <w:ilvl w:val="0"/>
                <w:numId w:val="120"/>
              </w:numPr>
              <w:tabs>
                <w:tab w:val="num" w:pos="397"/>
              </w:tabs>
              <w:ind w:left="0" w:firstLine="0"/>
            </w:pPr>
            <w:r w:rsidRPr="00B53F89">
              <w:t>Review of prohibition declarations and exemption determinations</w:t>
            </w:r>
          </w:p>
        </w:tc>
        <w:tc>
          <w:tcPr>
            <w:tcW w:w="3245" w:type="pct"/>
            <w:shd w:val="clear" w:color="auto" w:fill="auto"/>
          </w:tcPr>
          <w:p w14:paraId="76A26106" w14:textId="6A54E6DD" w:rsidR="00043C65" w:rsidRPr="00B53F89" w:rsidRDefault="00A43062" w:rsidP="00DE694D">
            <w:r w:rsidRPr="00B53F89">
              <w:t>Q4 2019</w:t>
            </w:r>
            <w:r w:rsidR="003B520F" w:rsidRPr="00B53F89">
              <w:t>: consultation paper</w:t>
            </w:r>
          </w:p>
        </w:tc>
      </w:tr>
      <w:tr w:rsidR="00756048" w:rsidRPr="00B53F89" w14:paraId="3DF31AFE" w14:textId="77777777" w:rsidTr="00E97880">
        <w:trPr>
          <w:trHeight w:val="1352"/>
        </w:trPr>
        <w:tc>
          <w:tcPr>
            <w:tcW w:w="1755" w:type="pct"/>
            <w:shd w:val="clear" w:color="auto" w:fill="auto"/>
          </w:tcPr>
          <w:p w14:paraId="2F72530F" w14:textId="6E0BF054" w:rsidR="00756048" w:rsidRPr="00B53F89" w:rsidRDefault="009D6EE8" w:rsidP="00DE694D">
            <w:pPr>
              <w:pStyle w:val="TableBody"/>
              <w:rPr>
                <w:rFonts w:cs="Arial"/>
              </w:rPr>
            </w:pPr>
            <w:r w:rsidRPr="00B53F89">
              <w:t>C</w:t>
            </w:r>
            <w:r w:rsidR="00065CC4" w:rsidRPr="00B53F89">
              <w:t xml:space="preserve">onsult on any required changes to regulatory arrangements for counter-drone equipment </w:t>
            </w:r>
          </w:p>
        </w:tc>
        <w:tc>
          <w:tcPr>
            <w:tcW w:w="3245" w:type="pct"/>
            <w:shd w:val="clear" w:color="auto" w:fill="auto"/>
          </w:tcPr>
          <w:p w14:paraId="4FE92311" w14:textId="1DE6A820" w:rsidR="00756048" w:rsidRPr="00B53F89" w:rsidRDefault="00061A3C" w:rsidP="00DE694D">
            <w:pPr>
              <w:rPr>
                <w:rFonts w:ascii="Calibri" w:hAnsi="Calibri"/>
              </w:rPr>
            </w:pPr>
            <w:r w:rsidRPr="00B53F89">
              <w:t>2019–20</w:t>
            </w:r>
            <w:r w:rsidR="00FB73BB" w:rsidRPr="00B53F89">
              <w:t>: consultation</w:t>
            </w:r>
          </w:p>
        </w:tc>
      </w:tr>
      <w:tr w:rsidR="002A4293" w:rsidRPr="00B53F89" w14:paraId="0F004542" w14:textId="77777777" w:rsidTr="00E97880">
        <w:trPr>
          <w:trHeight w:val="1352"/>
        </w:trPr>
        <w:tc>
          <w:tcPr>
            <w:tcW w:w="1755" w:type="pct"/>
            <w:shd w:val="clear" w:color="auto" w:fill="auto"/>
          </w:tcPr>
          <w:p w14:paraId="2818F2A8" w14:textId="5B0FC644" w:rsidR="002A4293" w:rsidRPr="00B53F89" w:rsidRDefault="002A4293" w:rsidP="009A7729">
            <w:pPr>
              <w:pStyle w:val="TableBody"/>
              <w:numPr>
                <w:ilvl w:val="0"/>
                <w:numId w:val="121"/>
              </w:numPr>
              <w:tabs>
                <w:tab w:val="num" w:pos="397"/>
              </w:tabs>
              <w:ind w:left="0" w:firstLine="0"/>
            </w:pPr>
            <w:r w:rsidRPr="00B53F89">
              <w:lastRenderedPageBreak/>
              <w:t>Explor</w:t>
            </w:r>
            <w:r w:rsidR="009D6EE8" w:rsidRPr="00B53F89">
              <w:t>e</w:t>
            </w:r>
            <w:r w:rsidRPr="00B53F89">
              <w:t xml:space="preserve"> the design of an area-wide apparatus licence</w:t>
            </w:r>
          </w:p>
        </w:tc>
        <w:tc>
          <w:tcPr>
            <w:tcW w:w="3245" w:type="pct"/>
            <w:shd w:val="clear" w:color="auto" w:fill="auto"/>
          </w:tcPr>
          <w:p w14:paraId="312F4900" w14:textId="4091CFDF" w:rsidR="00261865" w:rsidRPr="00B53F89" w:rsidRDefault="005F064E" w:rsidP="00261865">
            <w:pPr>
              <w:pStyle w:val="TableBody"/>
              <w:spacing w:line="240" w:lineRule="atLeast"/>
              <w:mirrorIndents/>
              <w:rPr>
                <w:rFonts w:cs="Arial"/>
                <w:szCs w:val="20"/>
              </w:rPr>
            </w:pPr>
            <w:r w:rsidRPr="00B53F89">
              <w:rPr>
                <w:rFonts w:cs="Arial"/>
                <w:szCs w:val="20"/>
              </w:rPr>
              <w:t xml:space="preserve">Completed in </w:t>
            </w:r>
            <w:r w:rsidR="00261865" w:rsidRPr="00B53F89">
              <w:rPr>
                <w:rFonts w:cs="Arial"/>
                <w:szCs w:val="20"/>
              </w:rPr>
              <w:t>Q3 2019: consultation on framework for an area-wide apparatus licence</w:t>
            </w:r>
          </w:p>
          <w:p w14:paraId="7E105D56" w14:textId="77777777" w:rsidR="00261865" w:rsidRPr="00B53F89" w:rsidRDefault="00261865" w:rsidP="00261865">
            <w:pPr>
              <w:pStyle w:val="TableBody"/>
              <w:spacing w:line="240" w:lineRule="atLeast"/>
              <w:mirrorIndents/>
              <w:rPr>
                <w:rFonts w:cs="Arial"/>
                <w:szCs w:val="20"/>
              </w:rPr>
            </w:pPr>
          </w:p>
          <w:p w14:paraId="6021E2A2" w14:textId="1D25B822" w:rsidR="002A4293" w:rsidRPr="00B53F89" w:rsidDel="00065CC4" w:rsidRDefault="00261865" w:rsidP="00DE694D">
            <w:r w:rsidRPr="00B53F89">
              <w:rPr>
                <w:rFonts w:cs="Arial"/>
                <w:szCs w:val="20"/>
              </w:rPr>
              <w:t>Q4 2019: implement framework for an area-wide apparatus licence</w:t>
            </w:r>
          </w:p>
        </w:tc>
      </w:tr>
      <w:tr w:rsidR="00A802B9" w:rsidRPr="00B53F89" w14:paraId="5DAD78EE" w14:textId="77777777" w:rsidTr="005C4D86">
        <w:trPr>
          <w:trHeight w:val="628"/>
        </w:trPr>
        <w:tc>
          <w:tcPr>
            <w:tcW w:w="1755" w:type="pct"/>
            <w:shd w:val="clear" w:color="auto" w:fill="auto"/>
          </w:tcPr>
          <w:p w14:paraId="696489C1" w14:textId="3BA752C7" w:rsidR="00A802B9" w:rsidRPr="00B53F89" w:rsidRDefault="00DB0695" w:rsidP="00A802B9">
            <w:pPr>
              <w:pStyle w:val="TableBody"/>
            </w:pPr>
            <w:r w:rsidRPr="00B53F89">
              <w:rPr>
                <w:rFonts w:cs="Arial"/>
              </w:rPr>
              <w:t xml:space="preserve">Review of non-assigned amateur and outpost licensing arrangements with a view to reform </w:t>
            </w:r>
          </w:p>
        </w:tc>
        <w:tc>
          <w:tcPr>
            <w:tcW w:w="3245" w:type="pct"/>
            <w:shd w:val="clear" w:color="auto" w:fill="auto"/>
          </w:tcPr>
          <w:p w14:paraId="5105918C" w14:textId="474BC231" w:rsidR="00A802B9" w:rsidRPr="00B53F89" w:rsidRDefault="00A802B9" w:rsidP="00A802B9">
            <w:r w:rsidRPr="00B53F89">
              <w:t>Q</w:t>
            </w:r>
            <w:r w:rsidR="00FD1F2A" w:rsidRPr="00B53F89">
              <w:t>4</w:t>
            </w:r>
            <w:r w:rsidRPr="00B53F89">
              <w:t xml:space="preserve"> 2019</w:t>
            </w:r>
            <w:r w:rsidR="00DB0695" w:rsidRPr="00B53F89">
              <w:t>: consultation</w:t>
            </w:r>
          </w:p>
        </w:tc>
      </w:tr>
      <w:tr w:rsidR="00507AEB" w:rsidRPr="00B53F89" w14:paraId="2DA17DE2" w14:textId="77777777" w:rsidTr="005C4D86">
        <w:trPr>
          <w:trHeight w:val="628"/>
        </w:trPr>
        <w:tc>
          <w:tcPr>
            <w:tcW w:w="1755" w:type="pct"/>
            <w:shd w:val="clear" w:color="auto" w:fill="auto"/>
          </w:tcPr>
          <w:p w14:paraId="786ADD59" w14:textId="2ED451C6" w:rsidR="00507AEB" w:rsidRPr="00B53F89" w:rsidDel="00CD6124" w:rsidRDefault="00507AEB" w:rsidP="009A7729">
            <w:pPr>
              <w:pStyle w:val="TableBody"/>
              <w:numPr>
                <w:ilvl w:val="0"/>
                <w:numId w:val="122"/>
              </w:numPr>
              <w:tabs>
                <w:tab w:val="num" w:pos="397"/>
              </w:tabs>
              <w:ind w:left="0" w:firstLine="0"/>
              <w:rPr>
                <w:rFonts w:cs="Arial"/>
              </w:rPr>
            </w:pPr>
            <w:r w:rsidRPr="00B53F89">
              <w:rPr>
                <w:rFonts w:cs="Arial"/>
              </w:rPr>
              <w:t>Review of elements of existing apparatus licensing framework</w:t>
            </w:r>
          </w:p>
        </w:tc>
        <w:tc>
          <w:tcPr>
            <w:tcW w:w="3245" w:type="pct"/>
            <w:shd w:val="clear" w:color="auto" w:fill="auto"/>
          </w:tcPr>
          <w:p w14:paraId="36BA8C34" w14:textId="6C89C417" w:rsidR="00507AEB" w:rsidRPr="00B53F89" w:rsidRDefault="00126776" w:rsidP="00A802B9">
            <w:r w:rsidRPr="00B53F89">
              <w:t>2019</w:t>
            </w:r>
            <w:r w:rsidR="004C6BFF" w:rsidRPr="00B53F89">
              <w:t>–</w:t>
            </w:r>
            <w:r w:rsidRPr="00B53F89">
              <w:t xml:space="preserve">20: </w:t>
            </w:r>
            <w:r w:rsidR="006830C9" w:rsidRPr="00B53F89">
              <w:t>consideration in the context of any proposed legislative reform</w:t>
            </w:r>
          </w:p>
        </w:tc>
      </w:tr>
    </w:tbl>
    <w:p w14:paraId="325F579E" w14:textId="77777777" w:rsidR="0058077F" w:rsidRPr="00B53F89" w:rsidRDefault="0058077F" w:rsidP="00D7755E">
      <w:pPr>
        <w:pStyle w:val="ACMASpaceaftertable"/>
      </w:pPr>
    </w:p>
    <w:p w14:paraId="0EB11DF8" w14:textId="77777777" w:rsidR="009116B7" w:rsidRPr="00B53F89" w:rsidRDefault="009116B7" w:rsidP="00DE694D">
      <w:pPr>
        <w:pStyle w:val="ACMATableHeader"/>
        <w:keepNext/>
        <w:keepLines/>
      </w:pPr>
      <w:r w:rsidRPr="00B53F89">
        <w:t>Pricing</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1E0" w:firstRow="1" w:lastRow="1" w:firstColumn="1" w:lastColumn="1" w:noHBand="0" w:noVBand="0"/>
        <w:tblCaption w:val="Table title to go here"/>
        <w:tblDescription w:val="Table description to go here"/>
      </w:tblPr>
      <w:tblGrid>
        <w:gridCol w:w="3556"/>
        <w:gridCol w:w="4105"/>
      </w:tblGrid>
      <w:tr w:rsidR="009116B7" w:rsidRPr="00B53F89" w14:paraId="5AABB33C" w14:textId="77777777" w:rsidTr="00DE694D">
        <w:trPr>
          <w:tblHeader/>
        </w:trPr>
        <w:tc>
          <w:tcPr>
            <w:tcW w:w="2321" w:type="pct"/>
            <w:shd w:val="clear" w:color="auto" w:fill="404040" w:themeFill="text1" w:themeFillTint="BF"/>
          </w:tcPr>
          <w:p w14:paraId="3BD77734" w14:textId="77777777" w:rsidR="009116B7" w:rsidRPr="00B53F89" w:rsidRDefault="009116B7" w:rsidP="0063259B">
            <w:pPr>
              <w:pStyle w:val="TableHeading"/>
            </w:pPr>
            <w:r w:rsidRPr="00B53F89">
              <w:t>Project priorities</w:t>
            </w:r>
          </w:p>
        </w:tc>
        <w:tc>
          <w:tcPr>
            <w:tcW w:w="2679" w:type="pct"/>
            <w:shd w:val="clear" w:color="auto" w:fill="404040" w:themeFill="text1" w:themeFillTint="BF"/>
          </w:tcPr>
          <w:p w14:paraId="5404E400" w14:textId="77777777" w:rsidR="009116B7" w:rsidRPr="00B53F89" w:rsidRDefault="009116B7" w:rsidP="0063259B">
            <w:pPr>
              <w:pStyle w:val="TableHeading"/>
            </w:pPr>
            <w:r w:rsidRPr="00B53F89">
              <w:t>Proposed timelines</w:t>
            </w:r>
          </w:p>
        </w:tc>
      </w:tr>
      <w:tr w:rsidR="00BB46A4" w:rsidRPr="00B53F89" w14:paraId="73D57BBC" w14:textId="77777777" w:rsidTr="00F26CF0">
        <w:tc>
          <w:tcPr>
            <w:tcW w:w="2321" w:type="pct"/>
            <w:shd w:val="clear" w:color="auto" w:fill="auto"/>
          </w:tcPr>
          <w:p w14:paraId="3EC51233" w14:textId="633DAC3A" w:rsidR="00BB46A4" w:rsidRPr="00B53F89" w:rsidRDefault="00360B31" w:rsidP="00F26CF0">
            <w:pPr>
              <w:pStyle w:val="TableBody"/>
            </w:pPr>
            <w:r w:rsidRPr="00B53F89">
              <w:t>Implementation of spectrum pricing review</w:t>
            </w:r>
          </w:p>
        </w:tc>
        <w:tc>
          <w:tcPr>
            <w:tcW w:w="2679" w:type="pct"/>
            <w:shd w:val="clear" w:color="auto" w:fill="auto"/>
          </w:tcPr>
          <w:p w14:paraId="2958109C" w14:textId="77ACD4E8" w:rsidR="00BB46A4" w:rsidRPr="00B53F89" w:rsidRDefault="00BB46A4" w:rsidP="00247F97">
            <w:pPr>
              <w:pStyle w:val="TableBody"/>
              <w:numPr>
                <w:ilvl w:val="0"/>
                <w:numId w:val="128"/>
              </w:numPr>
              <w:tabs>
                <w:tab w:val="num" w:pos="397"/>
              </w:tabs>
              <w:ind w:left="0" w:firstLine="0"/>
            </w:pPr>
            <w:r w:rsidRPr="00B53F89">
              <w:t xml:space="preserve">Q4 2019: </w:t>
            </w:r>
            <w:r w:rsidR="004C6BFF" w:rsidRPr="00B53F89">
              <w:t>p</w:t>
            </w:r>
            <w:r w:rsidRPr="00B53F89">
              <w:t>ublish ACMA approach to implementing the Spectrum Pricing Review</w:t>
            </w:r>
          </w:p>
          <w:p w14:paraId="32820198" w14:textId="77777777" w:rsidR="00BB46A4" w:rsidRPr="00B53F89" w:rsidRDefault="00BB46A4" w:rsidP="00F26CF0">
            <w:pPr>
              <w:pStyle w:val="TableBody"/>
            </w:pPr>
          </w:p>
          <w:p w14:paraId="408404A7" w14:textId="34E065DE" w:rsidR="00BB46A4" w:rsidRPr="00B53F89" w:rsidRDefault="00BB46A4" w:rsidP="00F26CF0">
            <w:pPr>
              <w:pStyle w:val="TableBody"/>
            </w:pPr>
            <w:r w:rsidRPr="00B53F89">
              <w:t xml:space="preserve">Q4 2019: </w:t>
            </w:r>
            <w:r w:rsidR="004C6BFF" w:rsidRPr="00B53F89">
              <w:t>c</w:t>
            </w:r>
            <w:r w:rsidRPr="00B53F89">
              <w:t>onsult on draft Spectrum Pricing Guidelines and potential new cost recovery proposals</w:t>
            </w:r>
          </w:p>
          <w:p w14:paraId="23B34BBE" w14:textId="77777777" w:rsidR="00BB46A4" w:rsidRPr="00B53F89" w:rsidRDefault="00BB46A4" w:rsidP="00F26CF0">
            <w:pPr>
              <w:pStyle w:val="TableBody"/>
            </w:pPr>
          </w:p>
          <w:p w14:paraId="306D8008" w14:textId="597DB030" w:rsidR="00BB46A4" w:rsidRPr="00B53F89" w:rsidRDefault="00BB46A4" w:rsidP="00F26CF0">
            <w:pPr>
              <w:pStyle w:val="TableBody"/>
            </w:pPr>
            <w:r w:rsidRPr="00B53F89">
              <w:t xml:space="preserve">Q2 2020: </w:t>
            </w:r>
            <w:r w:rsidR="004C6BFF" w:rsidRPr="00B53F89">
              <w:rPr>
                <w:rFonts w:cs="Arial"/>
                <w:szCs w:val="20"/>
              </w:rPr>
              <w:t>c</w:t>
            </w:r>
            <w:r w:rsidRPr="00B53F89">
              <w:rPr>
                <w:rFonts w:cs="Arial"/>
                <w:szCs w:val="20"/>
              </w:rPr>
              <w:t>onsult on draft</w:t>
            </w:r>
            <w:r w:rsidRPr="00B53F89">
              <w:t xml:space="preserve"> approach to new spectrum pricing formula</w:t>
            </w:r>
          </w:p>
        </w:tc>
      </w:tr>
      <w:tr w:rsidR="009116B7" w:rsidRPr="00B53F89" w14:paraId="05032767" w14:textId="77777777" w:rsidTr="00DE694D">
        <w:tc>
          <w:tcPr>
            <w:tcW w:w="2321" w:type="pct"/>
            <w:shd w:val="clear" w:color="auto" w:fill="auto"/>
          </w:tcPr>
          <w:p w14:paraId="0807D978" w14:textId="77777777" w:rsidR="009116B7" w:rsidRPr="00B53F89" w:rsidRDefault="009116B7" w:rsidP="00DE694D">
            <w:pPr>
              <w:pStyle w:val="TableBody"/>
            </w:pPr>
            <w:r w:rsidRPr="00B53F89">
              <w:t xml:space="preserve">Commercial broadcasting tax </w:t>
            </w:r>
            <w:r w:rsidR="00D456EC" w:rsidRPr="00B53F89">
              <w:t>arrangements</w:t>
            </w:r>
            <w:r w:rsidRPr="00B53F89">
              <w:t xml:space="preserve"> </w:t>
            </w:r>
          </w:p>
        </w:tc>
        <w:tc>
          <w:tcPr>
            <w:tcW w:w="2679" w:type="pct"/>
            <w:shd w:val="clear" w:color="auto" w:fill="auto"/>
          </w:tcPr>
          <w:p w14:paraId="302E8DD0" w14:textId="529744FA" w:rsidR="009116B7" w:rsidRPr="00B53F89" w:rsidRDefault="001A3F7F" w:rsidP="00DE694D">
            <w:pPr>
              <w:pStyle w:val="TableBody"/>
            </w:pPr>
            <w:r w:rsidRPr="00B53F89">
              <w:t>Ongoing</w:t>
            </w:r>
            <w:r w:rsidR="001F0531" w:rsidRPr="00B53F89">
              <w:t xml:space="preserve"> assessment of taxes throughout 2019</w:t>
            </w:r>
            <w:r w:rsidR="004E64E0" w:rsidRPr="00B53F89">
              <w:t>–</w:t>
            </w:r>
            <w:r w:rsidR="001F0531" w:rsidRPr="00B53F89">
              <w:t>20</w:t>
            </w:r>
          </w:p>
        </w:tc>
      </w:tr>
      <w:tr w:rsidR="009116B7" w:rsidRPr="00B53F89" w14:paraId="465EBD5D" w14:textId="77777777" w:rsidTr="00DE694D">
        <w:tc>
          <w:tcPr>
            <w:tcW w:w="2321" w:type="pct"/>
            <w:shd w:val="clear" w:color="auto" w:fill="auto"/>
          </w:tcPr>
          <w:p w14:paraId="650B4ECA" w14:textId="788BF4E1" w:rsidR="009116B7" w:rsidRPr="00B53F89" w:rsidRDefault="009116B7" w:rsidP="00DE694D">
            <w:pPr>
              <w:pStyle w:val="TableBody"/>
            </w:pPr>
            <w:r w:rsidRPr="00B53F89">
              <w:t xml:space="preserve">Preparation for review of </w:t>
            </w:r>
            <w:hyperlink r:id="rId46" w:history="1">
              <w:r w:rsidRPr="006A2F04">
                <w:rPr>
                  <w:rStyle w:val="Hyperlink"/>
                </w:rPr>
                <w:t>Commercial Broadcasting (Tax) Act 2017</w:t>
              </w:r>
            </w:hyperlink>
          </w:p>
        </w:tc>
        <w:tc>
          <w:tcPr>
            <w:tcW w:w="2679" w:type="pct"/>
            <w:shd w:val="clear" w:color="auto" w:fill="auto"/>
          </w:tcPr>
          <w:p w14:paraId="7DDA9A4F" w14:textId="1F4FCC33" w:rsidR="009116B7" w:rsidRPr="00B53F89" w:rsidRDefault="00BB46A4" w:rsidP="009A7729">
            <w:pPr>
              <w:pStyle w:val="TableBody"/>
              <w:numPr>
                <w:ilvl w:val="0"/>
                <w:numId w:val="126"/>
              </w:numPr>
              <w:tabs>
                <w:tab w:val="num" w:pos="397"/>
              </w:tabs>
              <w:ind w:left="0" w:firstLine="0"/>
            </w:pPr>
            <w:r w:rsidRPr="00B53F89">
              <w:t xml:space="preserve">Q4 2019: </w:t>
            </w:r>
            <w:r w:rsidR="004C6BFF" w:rsidRPr="00B53F89">
              <w:t>a</w:t>
            </w:r>
            <w:r w:rsidRPr="00B53F89">
              <w:t xml:space="preserve">nnouncement regarding </w:t>
            </w:r>
            <w:r w:rsidR="009116B7" w:rsidRPr="00B53F89">
              <w:t>review</w:t>
            </w:r>
          </w:p>
        </w:tc>
      </w:tr>
      <w:tr w:rsidR="009116B7" w:rsidRPr="00B53F89" w14:paraId="1FBECAC7" w14:textId="77777777" w:rsidTr="00DE694D">
        <w:tc>
          <w:tcPr>
            <w:tcW w:w="2321" w:type="pct"/>
            <w:shd w:val="clear" w:color="auto" w:fill="auto"/>
          </w:tcPr>
          <w:p w14:paraId="3B936B95" w14:textId="77777777" w:rsidR="009116B7" w:rsidRPr="00B53F89" w:rsidRDefault="009116B7" w:rsidP="00DE694D">
            <w:pPr>
              <w:pStyle w:val="TableBody"/>
            </w:pPr>
            <w:r w:rsidRPr="00B53F89">
              <w:t>400 MHz opportunity</w:t>
            </w:r>
            <w:r w:rsidR="00533216" w:rsidRPr="00B53F89">
              <w:t>-</w:t>
            </w:r>
            <w:r w:rsidRPr="00B53F89">
              <w:t>cost pricing</w:t>
            </w:r>
          </w:p>
        </w:tc>
        <w:tc>
          <w:tcPr>
            <w:tcW w:w="2679" w:type="pct"/>
            <w:shd w:val="clear" w:color="auto" w:fill="auto"/>
          </w:tcPr>
          <w:p w14:paraId="219301F5" w14:textId="59EAD8D5" w:rsidR="009116B7" w:rsidRPr="00B53F89" w:rsidRDefault="009116B7" w:rsidP="00DE694D">
            <w:pPr>
              <w:pStyle w:val="TableBody"/>
            </w:pPr>
            <w:r w:rsidRPr="00B53F89">
              <w:t>Continued</w:t>
            </w:r>
            <w:r w:rsidR="00787C86" w:rsidRPr="00B53F89">
              <w:t xml:space="preserve"> semi</w:t>
            </w:r>
            <w:r w:rsidR="000C3803" w:rsidRPr="00B53F89">
              <w:t>-</w:t>
            </w:r>
            <w:r w:rsidR="00787C86" w:rsidRPr="00B53F89">
              <w:t>regular</w:t>
            </w:r>
            <w:r w:rsidRPr="00B53F89">
              <w:t xml:space="preserve"> monitoring of band use</w:t>
            </w:r>
            <w:r w:rsidR="00787C86" w:rsidRPr="00B53F89">
              <w:t xml:space="preserve"> </w:t>
            </w:r>
          </w:p>
        </w:tc>
      </w:tr>
      <w:tr w:rsidR="009116B7" w:rsidRPr="00B53F89" w14:paraId="403E0200" w14:textId="77777777" w:rsidTr="00DE694D">
        <w:tc>
          <w:tcPr>
            <w:tcW w:w="2321" w:type="pct"/>
            <w:shd w:val="clear" w:color="auto" w:fill="auto"/>
          </w:tcPr>
          <w:p w14:paraId="757605AA" w14:textId="47186979" w:rsidR="009116B7" w:rsidRPr="00B53F89" w:rsidRDefault="00266AD8" w:rsidP="00DE694D">
            <w:pPr>
              <w:pStyle w:val="TableBody"/>
            </w:pPr>
            <w:r w:rsidRPr="00B53F89">
              <w:t>Consultation on the adjusting of apparatus licence taxes for inflation and removing the freeze on taxes for fixed services in remote</w:t>
            </w:r>
            <w:r w:rsidR="000C3803" w:rsidRPr="00B53F89">
              <w:t>-</w:t>
            </w:r>
            <w:r w:rsidRPr="00B53F89">
              <w:t>density areas below 960</w:t>
            </w:r>
            <w:r w:rsidR="00454877" w:rsidRPr="00B53F89">
              <w:t xml:space="preserve"> </w:t>
            </w:r>
            <w:r w:rsidRPr="00B53F89">
              <w:t>MH</w:t>
            </w:r>
            <w:r w:rsidR="00454877" w:rsidRPr="00B53F89">
              <w:t>z</w:t>
            </w:r>
          </w:p>
        </w:tc>
        <w:tc>
          <w:tcPr>
            <w:tcW w:w="2679" w:type="pct"/>
            <w:shd w:val="clear" w:color="auto" w:fill="auto"/>
          </w:tcPr>
          <w:p w14:paraId="4BC42EA3" w14:textId="1EF74EC2" w:rsidR="009116B7" w:rsidRPr="00B53F89" w:rsidRDefault="00DB2964" w:rsidP="009A7729">
            <w:pPr>
              <w:pStyle w:val="TableBody"/>
              <w:numPr>
                <w:ilvl w:val="0"/>
                <w:numId w:val="127"/>
              </w:numPr>
              <w:tabs>
                <w:tab w:val="num" w:pos="397"/>
              </w:tabs>
              <w:ind w:left="0" w:firstLine="0"/>
            </w:pPr>
            <w:r w:rsidRPr="00B53F89">
              <w:t>Q</w:t>
            </w:r>
            <w:r w:rsidR="00FD1F2A" w:rsidRPr="00B53F89">
              <w:t>4</w:t>
            </w:r>
            <w:r w:rsidR="00970B23" w:rsidRPr="00B53F89">
              <w:t xml:space="preserve"> 2019</w:t>
            </w:r>
            <w:r w:rsidR="001444BE" w:rsidRPr="00B53F89">
              <w:t xml:space="preserve">: </w:t>
            </w:r>
            <w:r w:rsidR="004C6BFF" w:rsidRPr="00B53F89">
              <w:t>t</w:t>
            </w:r>
            <w:r w:rsidRPr="00B53F89">
              <w:t xml:space="preserve">his may be combined with consultation on the </w:t>
            </w:r>
            <w:r w:rsidR="00425FAB" w:rsidRPr="00B53F89">
              <w:t>S</w:t>
            </w:r>
            <w:r w:rsidRPr="00B53F89">
              <w:t xml:space="preserve">pectrum </w:t>
            </w:r>
            <w:r w:rsidR="00425FAB" w:rsidRPr="00B53F89">
              <w:t>P</w:t>
            </w:r>
            <w:r w:rsidRPr="00B53F89">
              <w:t xml:space="preserve">ricing </w:t>
            </w:r>
            <w:r w:rsidR="00425FAB" w:rsidRPr="00B53F89">
              <w:t>R</w:t>
            </w:r>
            <w:r w:rsidRPr="00B53F89">
              <w:t>eview</w:t>
            </w:r>
          </w:p>
        </w:tc>
      </w:tr>
    </w:tbl>
    <w:p w14:paraId="31F80F7B" w14:textId="77777777" w:rsidR="007538FB" w:rsidRPr="00B53F89" w:rsidRDefault="007538FB" w:rsidP="00D7755E">
      <w:pPr>
        <w:pStyle w:val="ACMASpaceaftertable"/>
      </w:pPr>
    </w:p>
    <w:p w14:paraId="1476C2CB" w14:textId="77777777" w:rsidR="009116B7" w:rsidRPr="00B53F89" w:rsidRDefault="009116B7" w:rsidP="00DE694D">
      <w:pPr>
        <w:pStyle w:val="ACMATableHeader"/>
        <w:keepNext/>
        <w:keepLines/>
      </w:pPr>
      <w:r w:rsidRPr="00B53F89">
        <w:lastRenderedPageBreak/>
        <w:t xml:space="preserve">Compliance and </w:t>
      </w:r>
      <w:r w:rsidR="0058077F" w:rsidRPr="00B53F89">
        <w:t>e</w:t>
      </w:r>
      <w:r w:rsidRPr="00B53F89">
        <w:t>nforcement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1E0" w:firstRow="1" w:lastRow="1" w:firstColumn="1" w:lastColumn="1" w:noHBand="0" w:noVBand="0"/>
        <w:tblCaption w:val="Table title to go here"/>
        <w:tblDescription w:val="Table description to go here"/>
      </w:tblPr>
      <w:tblGrid>
        <w:gridCol w:w="3556"/>
        <w:gridCol w:w="4105"/>
      </w:tblGrid>
      <w:tr w:rsidR="009116B7" w:rsidRPr="00B53F89" w14:paraId="165BF8E3" w14:textId="77777777" w:rsidTr="00D7755E">
        <w:trPr>
          <w:tblHeader/>
        </w:trPr>
        <w:tc>
          <w:tcPr>
            <w:tcW w:w="2321" w:type="pct"/>
            <w:shd w:val="clear" w:color="auto" w:fill="404040" w:themeFill="text1" w:themeFillTint="BF"/>
          </w:tcPr>
          <w:p w14:paraId="2B1BA8CF" w14:textId="77777777" w:rsidR="009116B7" w:rsidRPr="00B53F89" w:rsidRDefault="009116B7" w:rsidP="00E26672">
            <w:pPr>
              <w:pStyle w:val="TableHeading"/>
            </w:pPr>
            <w:r w:rsidRPr="00B53F89">
              <w:t>Project priorities</w:t>
            </w:r>
          </w:p>
        </w:tc>
        <w:tc>
          <w:tcPr>
            <w:tcW w:w="2679" w:type="pct"/>
            <w:shd w:val="clear" w:color="auto" w:fill="404040" w:themeFill="text1" w:themeFillTint="BF"/>
          </w:tcPr>
          <w:p w14:paraId="5F27D67A" w14:textId="77777777" w:rsidR="009116B7" w:rsidRPr="00B53F89" w:rsidRDefault="009116B7" w:rsidP="00E26672">
            <w:pPr>
              <w:pStyle w:val="TableHeading"/>
            </w:pPr>
            <w:r w:rsidRPr="00B53F89">
              <w:t>Proposed timelines</w:t>
            </w:r>
          </w:p>
        </w:tc>
      </w:tr>
      <w:tr w:rsidR="00E04EC9" w:rsidRPr="00B53F89" w14:paraId="0621A09D" w14:textId="77777777" w:rsidTr="00DE694D">
        <w:tc>
          <w:tcPr>
            <w:tcW w:w="2321" w:type="pct"/>
            <w:shd w:val="clear" w:color="auto" w:fill="auto"/>
          </w:tcPr>
          <w:p w14:paraId="69707467" w14:textId="199A623B" w:rsidR="00E04EC9" w:rsidRPr="00B53F89" w:rsidRDefault="00E04EC9" w:rsidP="00247F97">
            <w:pPr>
              <w:pStyle w:val="TableBody"/>
              <w:keepNext/>
              <w:keepLines/>
              <w:numPr>
                <w:ilvl w:val="0"/>
                <w:numId w:val="129"/>
              </w:numPr>
              <w:tabs>
                <w:tab w:val="num" w:pos="397"/>
              </w:tabs>
              <w:spacing w:before="100" w:beforeAutospacing="1" w:after="100" w:afterAutospacing="1" w:line="240" w:lineRule="atLeast"/>
              <w:ind w:left="0" w:firstLine="0"/>
              <w:contextualSpacing/>
              <w:mirrorIndents/>
              <w:rPr>
                <w:szCs w:val="20"/>
              </w:rPr>
            </w:pPr>
            <w:r w:rsidRPr="00B53F89">
              <w:rPr>
                <w:szCs w:val="20"/>
              </w:rPr>
              <w:t>Compliance audits focused on small cell deployments by mobile network operators</w:t>
            </w:r>
          </w:p>
        </w:tc>
        <w:tc>
          <w:tcPr>
            <w:tcW w:w="2679" w:type="pct"/>
            <w:shd w:val="clear" w:color="auto" w:fill="auto"/>
          </w:tcPr>
          <w:p w14:paraId="1A2E87EF" w14:textId="1ABF1D0F" w:rsidR="00E04EC9" w:rsidRPr="00B53F89" w:rsidRDefault="0013345D" w:rsidP="00E26672">
            <w:pPr>
              <w:pStyle w:val="TableBody"/>
              <w:keepNext/>
              <w:keepLines/>
              <w:spacing w:before="100" w:beforeAutospacing="1" w:after="100" w:afterAutospacing="1" w:line="240" w:lineRule="atLeast"/>
              <w:contextualSpacing/>
              <w:mirrorIndents/>
            </w:pPr>
            <w:r w:rsidRPr="00B53F89">
              <w:t>2019</w:t>
            </w:r>
            <w:r w:rsidR="001444BE" w:rsidRPr="00B53F89">
              <w:t>–</w:t>
            </w:r>
            <w:r w:rsidRPr="00B53F89">
              <w:t>20</w:t>
            </w:r>
          </w:p>
        </w:tc>
      </w:tr>
      <w:tr w:rsidR="00E04EC9" w:rsidRPr="00B53F89" w14:paraId="77468AAD" w14:textId="77777777" w:rsidTr="00DE694D">
        <w:tc>
          <w:tcPr>
            <w:tcW w:w="2321" w:type="pct"/>
            <w:shd w:val="clear" w:color="auto" w:fill="auto"/>
          </w:tcPr>
          <w:p w14:paraId="5F1C8EF1" w14:textId="4881CCEC" w:rsidR="00E04EC9" w:rsidRPr="00B53F89" w:rsidRDefault="00E04EC9" w:rsidP="002F5B33">
            <w:pPr>
              <w:pStyle w:val="TableBody"/>
              <w:keepNext/>
              <w:keepLines/>
              <w:spacing w:before="100" w:beforeAutospacing="1" w:after="100" w:afterAutospacing="1" w:line="240" w:lineRule="atLeast"/>
              <w:contextualSpacing/>
              <w:mirrorIndents/>
              <w:rPr>
                <w:szCs w:val="20"/>
              </w:rPr>
            </w:pPr>
            <w:r w:rsidRPr="00B53F89">
              <w:rPr>
                <w:szCs w:val="20"/>
              </w:rPr>
              <w:t xml:space="preserve">Licensing integrity program maximising </w:t>
            </w:r>
            <w:r w:rsidR="0013345D" w:rsidRPr="00B53F89">
              <w:rPr>
                <w:szCs w:val="20"/>
              </w:rPr>
              <w:t>u</w:t>
            </w:r>
            <w:r w:rsidRPr="00B53F89">
              <w:rPr>
                <w:szCs w:val="20"/>
              </w:rPr>
              <w:t>t</w:t>
            </w:r>
            <w:r w:rsidR="00B53F89">
              <w:rPr>
                <w:szCs w:val="20"/>
              </w:rPr>
              <w:t>i</w:t>
            </w:r>
            <w:r w:rsidRPr="00B53F89">
              <w:rPr>
                <w:szCs w:val="20"/>
              </w:rPr>
              <w:t>lity of licensed spectrum use by</w:t>
            </w:r>
            <w:r w:rsidR="008D67AD" w:rsidRPr="00B53F89">
              <w:rPr>
                <w:szCs w:val="20"/>
              </w:rPr>
              <w:t xml:space="preserve"> </w:t>
            </w:r>
            <w:r w:rsidRPr="00B53F89">
              <w:rPr>
                <w:szCs w:val="20"/>
              </w:rPr>
              <w:t>addressing unlicensed activity</w:t>
            </w:r>
          </w:p>
        </w:tc>
        <w:tc>
          <w:tcPr>
            <w:tcW w:w="2679" w:type="pct"/>
            <w:shd w:val="clear" w:color="auto" w:fill="auto"/>
          </w:tcPr>
          <w:p w14:paraId="65A49DCC" w14:textId="6C5B75F6" w:rsidR="00E04EC9" w:rsidRPr="00B53F89" w:rsidRDefault="0013345D" w:rsidP="00E26672">
            <w:pPr>
              <w:pStyle w:val="TableBody"/>
              <w:keepNext/>
              <w:keepLines/>
              <w:spacing w:before="100" w:beforeAutospacing="1" w:after="100" w:afterAutospacing="1" w:line="240" w:lineRule="atLeast"/>
              <w:contextualSpacing/>
              <w:mirrorIndents/>
            </w:pPr>
            <w:r w:rsidRPr="00B53F89">
              <w:t>2019</w:t>
            </w:r>
            <w:r w:rsidR="001444BE" w:rsidRPr="00B53F89">
              <w:t>–</w:t>
            </w:r>
            <w:r w:rsidRPr="00B53F89">
              <w:t>20</w:t>
            </w:r>
          </w:p>
        </w:tc>
      </w:tr>
      <w:tr w:rsidR="00E04EC9" w:rsidRPr="00B53F89" w14:paraId="3B803894" w14:textId="77777777" w:rsidTr="00DE694D">
        <w:tc>
          <w:tcPr>
            <w:tcW w:w="2321" w:type="pct"/>
            <w:shd w:val="clear" w:color="auto" w:fill="auto"/>
          </w:tcPr>
          <w:p w14:paraId="3AA73726" w14:textId="3366D6BB" w:rsidR="00E04EC9" w:rsidRPr="00B53F89" w:rsidRDefault="00F030F1" w:rsidP="00247F97">
            <w:pPr>
              <w:pStyle w:val="TableBody"/>
              <w:keepNext/>
              <w:keepLines/>
              <w:numPr>
                <w:ilvl w:val="0"/>
                <w:numId w:val="131"/>
              </w:numPr>
              <w:tabs>
                <w:tab w:val="num" w:pos="397"/>
              </w:tabs>
              <w:spacing w:before="100" w:beforeAutospacing="1" w:after="100" w:afterAutospacing="1" w:line="240" w:lineRule="atLeast"/>
              <w:ind w:left="0" w:firstLine="0"/>
              <w:contextualSpacing/>
              <w:mirrorIndents/>
              <w:rPr>
                <w:szCs w:val="20"/>
              </w:rPr>
            </w:pPr>
            <w:r w:rsidRPr="00B53F89">
              <w:rPr>
                <w:szCs w:val="20"/>
              </w:rPr>
              <w:t xml:space="preserve">Compliance audits focussing on suppliers of </w:t>
            </w:r>
            <w:r w:rsidR="00E56F45" w:rsidRPr="00B53F89">
              <w:rPr>
                <w:szCs w:val="20"/>
              </w:rPr>
              <w:t>s</w:t>
            </w:r>
            <w:r w:rsidRPr="00B53F89">
              <w:rPr>
                <w:szCs w:val="20"/>
              </w:rPr>
              <w:t xml:space="preserve">olar inverters </w:t>
            </w:r>
          </w:p>
        </w:tc>
        <w:tc>
          <w:tcPr>
            <w:tcW w:w="2679" w:type="pct"/>
            <w:shd w:val="clear" w:color="auto" w:fill="auto"/>
          </w:tcPr>
          <w:p w14:paraId="3BFB873E" w14:textId="24A762E0" w:rsidR="00E04EC9" w:rsidRPr="00B53F89" w:rsidRDefault="0013345D" w:rsidP="00E26672">
            <w:pPr>
              <w:pStyle w:val="TableBody"/>
              <w:keepNext/>
              <w:keepLines/>
              <w:spacing w:before="100" w:beforeAutospacing="1" w:after="100" w:afterAutospacing="1" w:line="240" w:lineRule="atLeast"/>
              <w:contextualSpacing/>
              <w:mirrorIndents/>
            </w:pPr>
            <w:r w:rsidRPr="00B53F89">
              <w:t>2019</w:t>
            </w:r>
            <w:r w:rsidR="001444BE" w:rsidRPr="00B53F89">
              <w:t>–</w:t>
            </w:r>
            <w:r w:rsidRPr="00B53F89">
              <w:t>20</w:t>
            </w:r>
          </w:p>
        </w:tc>
      </w:tr>
    </w:tbl>
    <w:p w14:paraId="663A2AB0" w14:textId="77777777" w:rsidR="009116B7" w:rsidRPr="00B53F89" w:rsidRDefault="009116B7" w:rsidP="00D7755E">
      <w:pPr>
        <w:pStyle w:val="ACMASpaceaftertable"/>
      </w:pPr>
    </w:p>
    <w:p w14:paraId="674A7AED" w14:textId="6B06F0AE" w:rsidR="00CC1371" w:rsidRPr="00B53F89" w:rsidRDefault="00F775E0" w:rsidP="00DE694D">
      <w:pPr>
        <w:pStyle w:val="ACMATableHeader"/>
        <w:keepNext/>
        <w:keepLines/>
      </w:pPr>
      <w:bookmarkStart w:id="25" w:name="_Toc510104926"/>
      <w:bookmarkStart w:id="26" w:name="_Toc510105723"/>
      <w:bookmarkStart w:id="27" w:name="_Toc510795064"/>
      <w:r w:rsidRPr="00B53F89">
        <w:t>C</w:t>
      </w:r>
      <w:r w:rsidR="00CC1371" w:rsidRPr="00B53F89">
        <w:t>onsultation plans</w:t>
      </w:r>
    </w:p>
    <w:p w14:paraId="2F5AB1F6" w14:textId="044C2C44" w:rsidR="003A4986" w:rsidRPr="00B53F89" w:rsidRDefault="00D745DF" w:rsidP="00DE694D">
      <w:pPr>
        <w:keepNext/>
        <w:keepLines/>
      </w:pPr>
      <w:r w:rsidRPr="00B53F89">
        <w:t>T</w:t>
      </w:r>
      <w:r w:rsidR="00F91A30" w:rsidRPr="00B53F89">
        <w:t>his table</w:t>
      </w:r>
      <w:r w:rsidRPr="00B53F89">
        <w:t xml:space="preserve"> summarises consultations flagged throughout the</w:t>
      </w:r>
      <w:r w:rsidR="005A3409" w:rsidRPr="00B53F89">
        <w:t xml:space="preserve"> draft</w:t>
      </w:r>
      <w:r w:rsidRPr="00B53F89">
        <w:t xml:space="preserve"> FYSO</w:t>
      </w:r>
      <w:r w:rsidR="00F775E0" w:rsidRPr="00B53F89">
        <w:t xml:space="preserve"> from July 2019 onwards</w:t>
      </w:r>
      <w:r w:rsidRPr="00B53F89">
        <w:t>. The list of consultations here is subject to change.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1E0" w:firstRow="1" w:lastRow="1" w:firstColumn="1" w:lastColumn="1" w:noHBand="0" w:noVBand="0"/>
        <w:tblCaption w:val="Table title to go here"/>
        <w:tblDescription w:val="Table description to go here"/>
      </w:tblPr>
      <w:tblGrid>
        <w:gridCol w:w="3539"/>
        <w:gridCol w:w="4122"/>
      </w:tblGrid>
      <w:tr w:rsidR="003A4986" w:rsidRPr="00B53F89" w14:paraId="3842A0C3" w14:textId="77777777" w:rsidTr="00596594">
        <w:trPr>
          <w:tblHeader/>
        </w:trPr>
        <w:tc>
          <w:tcPr>
            <w:tcW w:w="2310" w:type="pct"/>
            <w:shd w:val="clear" w:color="auto" w:fill="404040" w:themeFill="text1" w:themeFillTint="BF"/>
          </w:tcPr>
          <w:p w14:paraId="4569F85E" w14:textId="77777777" w:rsidR="003A4986" w:rsidRPr="00B53F89" w:rsidRDefault="003A4986" w:rsidP="00B747E1">
            <w:pPr>
              <w:pStyle w:val="TableHeading"/>
            </w:pPr>
            <w:r w:rsidRPr="00B53F89">
              <w:t xml:space="preserve">Issue </w:t>
            </w:r>
          </w:p>
        </w:tc>
        <w:tc>
          <w:tcPr>
            <w:tcW w:w="2690" w:type="pct"/>
            <w:shd w:val="clear" w:color="auto" w:fill="404040" w:themeFill="text1" w:themeFillTint="BF"/>
          </w:tcPr>
          <w:p w14:paraId="0D6A0B5D" w14:textId="77777777" w:rsidR="003A4986" w:rsidRPr="00B53F89" w:rsidRDefault="003A4986" w:rsidP="00B747E1">
            <w:pPr>
              <w:pStyle w:val="TableHeading"/>
            </w:pPr>
            <w:r w:rsidRPr="00B53F89">
              <w:t>Proposed timelines</w:t>
            </w:r>
          </w:p>
        </w:tc>
      </w:tr>
      <w:tr w:rsidR="00D27770" w:rsidRPr="00B53F89" w14:paraId="5BF61B17" w14:textId="77777777" w:rsidTr="00596594">
        <w:tc>
          <w:tcPr>
            <w:tcW w:w="2310" w:type="pct"/>
          </w:tcPr>
          <w:p w14:paraId="53613F91" w14:textId="7EAF24E0" w:rsidR="00D27770" w:rsidRPr="00B53F89" w:rsidRDefault="00D27770" w:rsidP="00D06A5D">
            <w:pPr>
              <w:pStyle w:val="TableBody"/>
              <w:numPr>
                <w:ilvl w:val="0"/>
                <w:numId w:val="132"/>
              </w:numPr>
              <w:tabs>
                <w:tab w:val="num" w:pos="397"/>
              </w:tabs>
              <w:ind w:left="0" w:firstLine="0"/>
            </w:pPr>
            <w:r w:rsidRPr="00B53F89">
              <w:t>Spectrum sharing approaches discussion paper</w:t>
            </w:r>
          </w:p>
        </w:tc>
        <w:tc>
          <w:tcPr>
            <w:tcW w:w="2690" w:type="pct"/>
          </w:tcPr>
          <w:p w14:paraId="54D073C4" w14:textId="5E315347" w:rsidR="00D27770" w:rsidRPr="00B53F89" w:rsidRDefault="00DB357F" w:rsidP="00500D12">
            <w:pPr>
              <w:pStyle w:val="TableBody"/>
            </w:pPr>
            <w:r w:rsidRPr="00B53F89">
              <w:t xml:space="preserve">Released in </w:t>
            </w:r>
            <w:r w:rsidR="00D27770" w:rsidRPr="00B53F89">
              <w:t xml:space="preserve">Q3 2019 </w:t>
            </w:r>
          </w:p>
        </w:tc>
      </w:tr>
      <w:tr w:rsidR="00261CA8" w:rsidRPr="00B53F89" w14:paraId="7483D883" w14:textId="77777777" w:rsidTr="00596594">
        <w:tc>
          <w:tcPr>
            <w:tcW w:w="2310" w:type="pct"/>
          </w:tcPr>
          <w:p w14:paraId="5C4CA862" w14:textId="4D8CC50B" w:rsidR="00261CA8" w:rsidRPr="00B53F89" w:rsidRDefault="00261CA8" w:rsidP="00261CA8">
            <w:pPr>
              <w:pStyle w:val="TableBody"/>
            </w:pPr>
            <w:r w:rsidRPr="00B53F89">
              <w:t xml:space="preserve">2 GHz </w:t>
            </w:r>
            <w:r w:rsidRPr="00B53F89" w:rsidDel="00F23C27">
              <w:t>(1980–2010 and 2170–2200 MHz)</w:t>
            </w:r>
            <w:r w:rsidRPr="00B53F89">
              <w:t xml:space="preserve"> review </w:t>
            </w:r>
          </w:p>
        </w:tc>
        <w:tc>
          <w:tcPr>
            <w:tcW w:w="2690" w:type="pct"/>
          </w:tcPr>
          <w:p w14:paraId="2C7023F1" w14:textId="64AAA978" w:rsidR="00261CA8" w:rsidRPr="00B53F89" w:rsidRDefault="00DB357F" w:rsidP="00D06A5D">
            <w:pPr>
              <w:pStyle w:val="TableBody"/>
              <w:numPr>
                <w:ilvl w:val="0"/>
                <w:numId w:val="133"/>
              </w:numPr>
              <w:tabs>
                <w:tab w:val="num" w:pos="397"/>
              </w:tabs>
              <w:ind w:left="0" w:firstLine="0"/>
            </w:pPr>
            <w:r w:rsidRPr="00B53F89">
              <w:t xml:space="preserve">Released in </w:t>
            </w:r>
            <w:r w:rsidR="00261CA8" w:rsidRPr="00B53F89">
              <w:t>Q3 2019</w:t>
            </w:r>
            <w:r w:rsidR="001444BE" w:rsidRPr="00B53F89">
              <w:t>:</w:t>
            </w:r>
            <w:r w:rsidR="00261CA8" w:rsidRPr="00B53F89">
              <w:t xml:space="preserve"> discussion paper</w:t>
            </w:r>
            <w:r w:rsidR="00930A6A">
              <w:br/>
            </w:r>
          </w:p>
          <w:p w14:paraId="03E49DBC" w14:textId="1591978C" w:rsidR="00261CA8" w:rsidRPr="00B53F89" w:rsidRDefault="00261CA8" w:rsidP="002F5B33">
            <w:pPr>
              <w:pStyle w:val="TableBody"/>
              <w:numPr>
                <w:ilvl w:val="0"/>
                <w:numId w:val="198"/>
              </w:numPr>
              <w:tabs>
                <w:tab w:val="num" w:pos="397"/>
              </w:tabs>
              <w:ind w:left="0" w:firstLine="0"/>
            </w:pPr>
            <w:r w:rsidRPr="00B53F89">
              <w:t>Q</w:t>
            </w:r>
            <w:r w:rsidR="00751DC1" w:rsidRPr="00B53F89">
              <w:t>1</w:t>
            </w:r>
            <w:r w:rsidRPr="00B53F89">
              <w:t xml:space="preserve"> 2020</w:t>
            </w:r>
            <w:r w:rsidR="001444BE" w:rsidRPr="00B53F89">
              <w:t>:</w:t>
            </w:r>
            <w:r w:rsidRPr="00B53F89">
              <w:t xml:space="preserve"> possible options paper</w:t>
            </w:r>
          </w:p>
        </w:tc>
      </w:tr>
      <w:tr w:rsidR="00261CA8" w:rsidRPr="00B53F89" w14:paraId="609A4614" w14:textId="77777777" w:rsidTr="00596594">
        <w:tc>
          <w:tcPr>
            <w:tcW w:w="2310" w:type="pct"/>
          </w:tcPr>
          <w:p w14:paraId="24050725" w14:textId="5DC7CFA5" w:rsidR="00261CA8" w:rsidRPr="00B53F89" w:rsidRDefault="00781E49" w:rsidP="00261CA8">
            <w:pPr>
              <w:pStyle w:val="TableBody"/>
            </w:pPr>
            <w:r w:rsidRPr="00B53F89">
              <w:t>37</w:t>
            </w:r>
            <w:r w:rsidR="00EE3C7B" w:rsidRPr="00B53F89">
              <w:t>00–</w:t>
            </w:r>
            <w:r w:rsidRPr="00B53F89">
              <w:t>42</w:t>
            </w:r>
            <w:r w:rsidR="00EE3C7B" w:rsidRPr="00B53F89">
              <w:t>00</w:t>
            </w:r>
            <w:r w:rsidRPr="00B53F89">
              <w:t xml:space="preserve"> </w:t>
            </w:r>
            <w:r w:rsidR="00EE3C7B" w:rsidRPr="00B53F89">
              <w:t>M</w:t>
            </w:r>
            <w:r w:rsidRPr="00B53F89">
              <w:t>Hz review</w:t>
            </w:r>
          </w:p>
        </w:tc>
        <w:tc>
          <w:tcPr>
            <w:tcW w:w="2690" w:type="pct"/>
          </w:tcPr>
          <w:p w14:paraId="593B50AA" w14:textId="02345F14" w:rsidR="00261CA8" w:rsidRPr="00B53F89" w:rsidRDefault="00DB357F" w:rsidP="00D06A5D">
            <w:pPr>
              <w:pStyle w:val="TableBody"/>
              <w:numPr>
                <w:ilvl w:val="0"/>
                <w:numId w:val="134"/>
              </w:numPr>
              <w:tabs>
                <w:tab w:val="num" w:pos="397"/>
              </w:tabs>
              <w:ind w:left="0" w:firstLine="0"/>
            </w:pPr>
            <w:r w:rsidRPr="00B53F89">
              <w:t xml:space="preserve">Released in </w:t>
            </w:r>
            <w:r w:rsidR="00261CA8" w:rsidRPr="00B53F89">
              <w:t>Q3 2019</w:t>
            </w:r>
            <w:r w:rsidR="001444BE" w:rsidRPr="00B53F89">
              <w:t>:</w:t>
            </w:r>
            <w:r w:rsidR="00261CA8" w:rsidRPr="00B53F89">
              <w:t xml:space="preserve"> discussion paper</w:t>
            </w:r>
            <w:r w:rsidR="00930A6A">
              <w:br/>
            </w:r>
          </w:p>
          <w:p w14:paraId="6FEFE111" w14:textId="63444796" w:rsidR="00261CA8" w:rsidRPr="00B53F89" w:rsidRDefault="00261CA8" w:rsidP="0089456D">
            <w:pPr>
              <w:pStyle w:val="TableBody"/>
              <w:numPr>
                <w:ilvl w:val="0"/>
                <w:numId w:val="199"/>
              </w:numPr>
              <w:tabs>
                <w:tab w:val="num" w:pos="397"/>
              </w:tabs>
              <w:ind w:left="0" w:firstLine="0"/>
            </w:pPr>
            <w:r w:rsidRPr="00B53F89">
              <w:t>Q1 2020: possible options paper</w:t>
            </w:r>
          </w:p>
        </w:tc>
      </w:tr>
      <w:tr w:rsidR="00261CA8" w:rsidRPr="00B53F89" w14:paraId="4B2B1FD0" w14:textId="77777777" w:rsidTr="00596594">
        <w:tc>
          <w:tcPr>
            <w:tcW w:w="2310" w:type="pct"/>
          </w:tcPr>
          <w:p w14:paraId="686A955E" w14:textId="2AC212DB" w:rsidR="00261CA8" w:rsidRPr="00B53F89" w:rsidRDefault="00261CA8" w:rsidP="00261CA8">
            <w:pPr>
              <w:pStyle w:val="TableBody"/>
            </w:pPr>
            <w:r w:rsidRPr="00B53F89">
              <w:t xml:space="preserve">Feasibility of inclusion of 10.7–11.7 GHz in </w:t>
            </w:r>
            <w:hyperlink r:id="rId47" w:history="1">
              <w:r w:rsidRPr="006A2F04">
                <w:rPr>
                  <w:rStyle w:val="Hyperlink"/>
                </w:rPr>
                <w:t>Radiocommunications (Communication with Space Object) Class Licence 2015</w:t>
              </w:r>
            </w:hyperlink>
            <w:r w:rsidR="00360F88" w:rsidRPr="00B53F89">
              <w:t>—discussion paper</w:t>
            </w:r>
          </w:p>
        </w:tc>
        <w:tc>
          <w:tcPr>
            <w:tcW w:w="2690" w:type="pct"/>
          </w:tcPr>
          <w:p w14:paraId="5BF117CE" w14:textId="58568618" w:rsidR="00261CA8" w:rsidRPr="00B53F89" w:rsidRDefault="00DB357F" w:rsidP="001901FF">
            <w:pPr>
              <w:pStyle w:val="TableBody"/>
              <w:numPr>
                <w:ilvl w:val="0"/>
                <w:numId w:val="135"/>
              </w:numPr>
              <w:tabs>
                <w:tab w:val="num" w:pos="397"/>
              </w:tabs>
              <w:ind w:left="0" w:firstLine="0"/>
            </w:pPr>
            <w:r w:rsidRPr="00B53F89">
              <w:t xml:space="preserve">Released in </w:t>
            </w:r>
            <w:r w:rsidR="00261CA8" w:rsidRPr="00B53F89">
              <w:t xml:space="preserve">Q3 2019 </w:t>
            </w:r>
          </w:p>
        </w:tc>
      </w:tr>
      <w:tr w:rsidR="00C228CB" w:rsidRPr="00B53F89" w14:paraId="1DC8A1E5" w14:textId="77777777" w:rsidTr="00596594">
        <w:tc>
          <w:tcPr>
            <w:tcW w:w="2310" w:type="pct"/>
          </w:tcPr>
          <w:p w14:paraId="3040624E" w14:textId="30914588" w:rsidR="00C228CB" w:rsidRPr="00B53F89" w:rsidRDefault="00C228CB" w:rsidP="006A2F04">
            <w:pPr>
              <w:pStyle w:val="TableBody"/>
              <w:numPr>
                <w:ilvl w:val="0"/>
                <w:numId w:val="205"/>
              </w:numPr>
              <w:tabs>
                <w:tab w:val="num" w:pos="397"/>
              </w:tabs>
              <w:ind w:left="0" w:firstLine="0"/>
            </w:pPr>
            <w:r w:rsidRPr="00B53F89">
              <w:t>Consult on whether the Hobart RA3 community radio licence area should be deemed to be the same as the Hobart RA1 commercial radio licence area for the purpose of digital radio</w:t>
            </w:r>
            <w:r w:rsidR="009D6EE8" w:rsidRPr="00B53F89">
              <w:t>—</w:t>
            </w:r>
            <w:r w:rsidR="00017F53" w:rsidRPr="00B53F89">
              <w:t>consultatio</w:t>
            </w:r>
            <w:r w:rsidR="009D6EE8" w:rsidRPr="00B53F89">
              <w:t>n paper</w:t>
            </w:r>
          </w:p>
        </w:tc>
        <w:tc>
          <w:tcPr>
            <w:tcW w:w="2690" w:type="pct"/>
          </w:tcPr>
          <w:p w14:paraId="310812DE" w14:textId="16061F0B" w:rsidR="00C228CB" w:rsidRPr="00B53F89" w:rsidRDefault="00C228CB" w:rsidP="006A2F04">
            <w:pPr>
              <w:pStyle w:val="TableBody"/>
            </w:pPr>
            <w:r w:rsidRPr="00B53F89">
              <w:t>Released in Q3 2019</w:t>
            </w:r>
          </w:p>
        </w:tc>
      </w:tr>
      <w:tr w:rsidR="00261CA8" w:rsidRPr="00B53F89" w14:paraId="1A47B36E" w14:textId="77777777" w:rsidTr="00596594">
        <w:tc>
          <w:tcPr>
            <w:tcW w:w="2310" w:type="pct"/>
          </w:tcPr>
          <w:p w14:paraId="7EACAC42" w14:textId="777F45C8" w:rsidR="00261CA8" w:rsidRPr="00B53F89" w:rsidRDefault="00261CA8" w:rsidP="00261CA8">
            <w:pPr>
              <w:pStyle w:val="TableBody"/>
            </w:pPr>
            <w:r w:rsidRPr="00B53F89">
              <w:t>1800 MHz</w:t>
            </w:r>
            <w:r w:rsidR="009D6EE8" w:rsidRPr="00B53F89">
              <w:t xml:space="preserve"> (1710–1785 MHz and1805–1880 MHz)</w:t>
            </w:r>
            <w:r w:rsidRPr="00B53F89">
              <w:t xml:space="preserve"> in remote areas</w:t>
            </w:r>
            <w:r w:rsidR="009D6EE8" w:rsidRPr="00B53F89">
              <w:t>—discussion paper</w:t>
            </w:r>
          </w:p>
        </w:tc>
        <w:tc>
          <w:tcPr>
            <w:tcW w:w="2690" w:type="pct"/>
          </w:tcPr>
          <w:p w14:paraId="620FF370" w14:textId="1C516CAB" w:rsidR="00261CA8" w:rsidRPr="00B53F89" w:rsidRDefault="00261CA8" w:rsidP="00D06A5D">
            <w:pPr>
              <w:pStyle w:val="TableBody"/>
              <w:numPr>
                <w:ilvl w:val="0"/>
                <w:numId w:val="136"/>
              </w:numPr>
              <w:tabs>
                <w:tab w:val="num" w:pos="397"/>
              </w:tabs>
              <w:ind w:left="0" w:firstLine="0"/>
            </w:pPr>
            <w:r w:rsidRPr="00B53F89">
              <w:t>Q</w:t>
            </w:r>
            <w:r w:rsidR="008779D5" w:rsidRPr="00B53F89">
              <w:t>4</w:t>
            </w:r>
            <w:r w:rsidRPr="00B53F89">
              <w:t xml:space="preserve"> 2019</w:t>
            </w:r>
          </w:p>
          <w:p w14:paraId="41594F65" w14:textId="77777777" w:rsidR="00261CA8" w:rsidRPr="00B53F89" w:rsidRDefault="00261CA8" w:rsidP="00261CA8">
            <w:pPr>
              <w:pStyle w:val="TableBody"/>
            </w:pPr>
          </w:p>
        </w:tc>
      </w:tr>
      <w:tr w:rsidR="00261CA8" w:rsidRPr="00B53F89" w14:paraId="5F7FACCB" w14:textId="77777777" w:rsidTr="00596594">
        <w:tc>
          <w:tcPr>
            <w:tcW w:w="2310" w:type="pct"/>
          </w:tcPr>
          <w:p w14:paraId="54808B9F" w14:textId="7030EFFF" w:rsidR="00261CA8" w:rsidRPr="00B53F89" w:rsidRDefault="00261CA8" w:rsidP="00261CA8">
            <w:pPr>
              <w:pStyle w:val="TableBody"/>
            </w:pPr>
            <w:r w:rsidRPr="00B53F89">
              <w:t xml:space="preserve">AM to FM conversion consultations for </w:t>
            </w:r>
            <w:r w:rsidR="002C5DB5" w:rsidRPr="00B53F89">
              <w:t xml:space="preserve">Riverland, </w:t>
            </w:r>
            <w:r w:rsidRPr="00B53F89">
              <w:t xml:space="preserve">Murray Bridge, Spencer </w:t>
            </w:r>
            <w:r w:rsidR="008D67AD" w:rsidRPr="00B53F89">
              <w:t xml:space="preserve">Gulf </w:t>
            </w:r>
            <w:r w:rsidRPr="00B53F89">
              <w:t>North and Port Lincoln</w:t>
            </w:r>
          </w:p>
        </w:tc>
        <w:tc>
          <w:tcPr>
            <w:tcW w:w="2690" w:type="pct"/>
          </w:tcPr>
          <w:p w14:paraId="627938AA" w14:textId="0DE10556" w:rsidR="00261CA8" w:rsidRPr="00B53F89" w:rsidRDefault="008D67AD" w:rsidP="00D06A5D">
            <w:pPr>
              <w:pStyle w:val="TableBody"/>
              <w:numPr>
                <w:ilvl w:val="0"/>
                <w:numId w:val="137"/>
              </w:numPr>
              <w:tabs>
                <w:tab w:val="num" w:pos="397"/>
              </w:tabs>
              <w:ind w:left="0" w:firstLine="0"/>
            </w:pPr>
            <w:r w:rsidRPr="00B53F89">
              <w:t>Q3 2019</w:t>
            </w:r>
          </w:p>
        </w:tc>
      </w:tr>
      <w:tr w:rsidR="00261CA8" w:rsidRPr="00B53F89" w14:paraId="513C6EDA" w14:textId="77777777" w:rsidTr="00596594">
        <w:tc>
          <w:tcPr>
            <w:tcW w:w="2310" w:type="pct"/>
          </w:tcPr>
          <w:p w14:paraId="092493E5" w14:textId="7AC2A912" w:rsidR="00261CA8" w:rsidRPr="00B53F89" w:rsidRDefault="00261CA8" w:rsidP="00261CA8">
            <w:pPr>
              <w:pStyle w:val="TableBody"/>
            </w:pPr>
            <w:r w:rsidRPr="00B53F89">
              <w:t>General review of space licensing procedures</w:t>
            </w:r>
            <w:r w:rsidR="008D331E" w:rsidRPr="00B53F89">
              <w:t>—</w:t>
            </w:r>
            <w:r w:rsidRPr="00B53F89">
              <w:t>consultation paper</w:t>
            </w:r>
          </w:p>
        </w:tc>
        <w:tc>
          <w:tcPr>
            <w:tcW w:w="2690" w:type="pct"/>
          </w:tcPr>
          <w:p w14:paraId="5B4A6CCA" w14:textId="18DD0649" w:rsidR="00261CA8" w:rsidRPr="00B53F89" w:rsidRDefault="00261CA8" w:rsidP="00D06A5D">
            <w:pPr>
              <w:pStyle w:val="TableBody"/>
              <w:numPr>
                <w:ilvl w:val="0"/>
                <w:numId w:val="138"/>
              </w:numPr>
              <w:tabs>
                <w:tab w:val="num" w:pos="397"/>
              </w:tabs>
              <w:ind w:left="0" w:firstLine="0"/>
            </w:pPr>
            <w:r w:rsidRPr="00B53F89">
              <w:t>Q4 2019</w:t>
            </w:r>
            <w:r w:rsidR="002D639E" w:rsidRPr="00B53F89">
              <w:t>/Q1 2020</w:t>
            </w:r>
          </w:p>
        </w:tc>
      </w:tr>
      <w:tr w:rsidR="00CE27B4" w:rsidRPr="00B53F89" w14:paraId="0AC24B34" w14:textId="77777777" w:rsidTr="00596594">
        <w:tc>
          <w:tcPr>
            <w:tcW w:w="2310" w:type="pct"/>
          </w:tcPr>
          <w:p w14:paraId="6496D7AF" w14:textId="7246E3FA" w:rsidR="00CE27B4" w:rsidRPr="00B53F89" w:rsidRDefault="00CE27B4" w:rsidP="00D06A5D">
            <w:pPr>
              <w:pStyle w:val="TableBody"/>
              <w:numPr>
                <w:ilvl w:val="0"/>
                <w:numId w:val="139"/>
              </w:numPr>
              <w:tabs>
                <w:tab w:val="num" w:pos="397"/>
              </w:tabs>
              <w:ind w:left="0" w:firstLine="0"/>
            </w:pPr>
            <w:r w:rsidRPr="00B53F89">
              <w:lastRenderedPageBreak/>
              <w:t xml:space="preserve">Update on </w:t>
            </w:r>
            <w:hyperlink r:id="rId48" w:history="1">
              <w:r w:rsidRPr="006A2F04">
                <w:rPr>
                  <w:rStyle w:val="Hyperlink"/>
                  <w:iCs/>
                </w:rPr>
                <w:t>Radiocommunications (Foreign Space Objects) Determination 2014</w:t>
              </w:r>
            </w:hyperlink>
            <w:r w:rsidR="008D331E" w:rsidRPr="00B53F89">
              <w:rPr>
                <w:iCs/>
              </w:rPr>
              <w:t>—</w:t>
            </w:r>
            <w:r w:rsidRPr="00B53F89">
              <w:rPr>
                <w:iCs/>
              </w:rPr>
              <w:t>consultation paper</w:t>
            </w:r>
          </w:p>
        </w:tc>
        <w:tc>
          <w:tcPr>
            <w:tcW w:w="2690" w:type="pct"/>
          </w:tcPr>
          <w:p w14:paraId="09DD52E8" w14:textId="2C7471C6" w:rsidR="00CE27B4" w:rsidRPr="00B53F89" w:rsidRDefault="00CE27B4" w:rsidP="00261CA8">
            <w:pPr>
              <w:pStyle w:val="TableBody"/>
            </w:pPr>
            <w:r w:rsidRPr="00B53F89">
              <w:t>Q3/4 2019</w:t>
            </w:r>
          </w:p>
        </w:tc>
      </w:tr>
      <w:tr w:rsidR="00261CA8" w:rsidRPr="00B53F89" w14:paraId="34F09BF5" w14:textId="77777777" w:rsidTr="00596594">
        <w:tc>
          <w:tcPr>
            <w:tcW w:w="2310" w:type="pct"/>
          </w:tcPr>
          <w:p w14:paraId="043DA9B0" w14:textId="6E157480" w:rsidR="00261CA8" w:rsidRPr="00B53F89" w:rsidRDefault="00261CA8" w:rsidP="00261CA8">
            <w:pPr>
              <w:pStyle w:val="TableBody"/>
            </w:pPr>
            <w:r w:rsidRPr="00B53F89">
              <w:t>Consultation on the adjusting of apparatus licence taxes for inflation and removing the freeze on taxes for fixed services in remote density areas below 960 MHz</w:t>
            </w:r>
          </w:p>
        </w:tc>
        <w:tc>
          <w:tcPr>
            <w:tcW w:w="2690" w:type="pct"/>
          </w:tcPr>
          <w:p w14:paraId="4CA36F46" w14:textId="190926A3" w:rsidR="00261CA8" w:rsidRPr="00B53F89" w:rsidRDefault="00261CA8" w:rsidP="00D06A5D">
            <w:pPr>
              <w:pStyle w:val="TableBody"/>
              <w:numPr>
                <w:ilvl w:val="0"/>
                <w:numId w:val="140"/>
              </w:numPr>
              <w:tabs>
                <w:tab w:val="num" w:pos="397"/>
              </w:tabs>
              <w:ind w:left="0" w:firstLine="0"/>
            </w:pPr>
            <w:r w:rsidRPr="00B53F89">
              <w:t>Q4 2019</w:t>
            </w:r>
          </w:p>
        </w:tc>
      </w:tr>
      <w:tr w:rsidR="00261CA8" w:rsidRPr="00B53F89" w14:paraId="11BF3F0C" w14:textId="77777777" w:rsidTr="00596594">
        <w:tc>
          <w:tcPr>
            <w:tcW w:w="2310" w:type="pct"/>
          </w:tcPr>
          <w:p w14:paraId="27EF310B" w14:textId="24A4D646" w:rsidR="00261CA8" w:rsidRPr="00B53F89" w:rsidRDefault="00261CA8" w:rsidP="00261CA8">
            <w:pPr>
              <w:pStyle w:val="TableBody"/>
            </w:pPr>
            <w:bookmarkStart w:id="28" w:name="_Hlk3384592"/>
            <w:r w:rsidRPr="00B53F89">
              <w:t>Spectrum arrangements for small satellites</w:t>
            </w:r>
            <w:r w:rsidR="008D331E" w:rsidRPr="00B53F89">
              <w:t>—</w:t>
            </w:r>
            <w:r w:rsidRPr="00B53F89">
              <w:t>discussion paper</w:t>
            </w:r>
            <w:bookmarkEnd w:id="28"/>
          </w:p>
        </w:tc>
        <w:tc>
          <w:tcPr>
            <w:tcW w:w="2690" w:type="pct"/>
          </w:tcPr>
          <w:p w14:paraId="1E3927F9" w14:textId="39C0C4D1" w:rsidR="00261CA8" w:rsidRPr="00B53F89" w:rsidRDefault="00261CA8" w:rsidP="00D06A5D">
            <w:pPr>
              <w:pStyle w:val="TableBody"/>
              <w:numPr>
                <w:ilvl w:val="0"/>
                <w:numId w:val="141"/>
              </w:numPr>
              <w:tabs>
                <w:tab w:val="num" w:pos="397"/>
              </w:tabs>
              <w:ind w:left="0" w:firstLine="0"/>
            </w:pPr>
            <w:r w:rsidRPr="00B53F89">
              <w:t>Q4 2019</w:t>
            </w:r>
          </w:p>
        </w:tc>
      </w:tr>
      <w:tr w:rsidR="00261CA8" w:rsidRPr="00B53F89" w14:paraId="26A48BCA" w14:textId="77777777" w:rsidTr="00596594">
        <w:tc>
          <w:tcPr>
            <w:tcW w:w="2310" w:type="pct"/>
          </w:tcPr>
          <w:p w14:paraId="59AF9973" w14:textId="62BCF6FF" w:rsidR="00261CA8" w:rsidRPr="00B53F89" w:rsidRDefault="00261CA8" w:rsidP="00D06A5D">
            <w:pPr>
              <w:pStyle w:val="TableBody"/>
              <w:numPr>
                <w:ilvl w:val="0"/>
                <w:numId w:val="142"/>
              </w:numPr>
              <w:tabs>
                <w:tab w:val="num" w:pos="397"/>
              </w:tabs>
              <w:ind w:left="0" w:firstLine="0"/>
            </w:pPr>
            <w:bookmarkStart w:id="29" w:name="_Hlk3384603"/>
            <w:r w:rsidRPr="00B53F89">
              <w:t>Future delivery of radio services in Australia</w:t>
            </w:r>
            <w:r w:rsidR="008D331E" w:rsidRPr="00B53F89">
              <w:t>—</w:t>
            </w:r>
            <w:bookmarkEnd w:id="29"/>
            <w:r w:rsidRPr="00B53F89">
              <w:t>consult on draft findings</w:t>
            </w:r>
          </w:p>
        </w:tc>
        <w:tc>
          <w:tcPr>
            <w:tcW w:w="2690" w:type="pct"/>
          </w:tcPr>
          <w:p w14:paraId="409EC97D" w14:textId="772E3DA5" w:rsidR="00261CA8" w:rsidRPr="00B53F89" w:rsidRDefault="00261CA8" w:rsidP="00261CA8">
            <w:pPr>
              <w:pStyle w:val="TableBody"/>
            </w:pPr>
            <w:r w:rsidRPr="00B53F89">
              <w:t>Q4 2019</w:t>
            </w:r>
          </w:p>
        </w:tc>
      </w:tr>
      <w:tr w:rsidR="00261CA8" w:rsidRPr="00B53F89" w14:paraId="7676157E" w14:textId="77777777" w:rsidTr="00596594">
        <w:tc>
          <w:tcPr>
            <w:tcW w:w="2310" w:type="pct"/>
          </w:tcPr>
          <w:p w14:paraId="3DC7412D" w14:textId="4DE7B7A3" w:rsidR="00261CA8" w:rsidRPr="00B53F89" w:rsidRDefault="00261CA8" w:rsidP="00261CA8">
            <w:pPr>
              <w:pStyle w:val="TableBody"/>
            </w:pPr>
            <w:r w:rsidRPr="00B53F89">
              <w:t>AM to FM conversion proposals in Taree and Grafton</w:t>
            </w:r>
          </w:p>
        </w:tc>
        <w:tc>
          <w:tcPr>
            <w:tcW w:w="2690" w:type="pct"/>
          </w:tcPr>
          <w:p w14:paraId="201C3DA8" w14:textId="3E12B6AB" w:rsidR="00261CA8" w:rsidRPr="00B53F89" w:rsidRDefault="00261CA8" w:rsidP="00D06A5D">
            <w:pPr>
              <w:pStyle w:val="TableBody"/>
              <w:numPr>
                <w:ilvl w:val="0"/>
                <w:numId w:val="143"/>
              </w:numPr>
              <w:tabs>
                <w:tab w:val="num" w:pos="397"/>
              </w:tabs>
              <w:ind w:left="0" w:firstLine="0"/>
            </w:pPr>
            <w:r w:rsidRPr="00B53F89">
              <w:t>Q4 2019</w:t>
            </w:r>
          </w:p>
        </w:tc>
      </w:tr>
      <w:tr w:rsidR="00261CA8" w:rsidRPr="00B53F89" w14:paraId="4ED62075" w14:textId="77777777" w:rsidTr="00596594">
        <w:tc>
          <w:tcPr>
            <w:tcW w:w="2310" w:type="pct"/>
          </w:tcPr>
          <w:p w14:paraId="01DFFC1D" w14:textId="065C7DFD" w:rsidR="00261CA8" w:rsidRPr="00B53F89" w:rsidRDefault="00261CA8" w:rsidP="00D06A5D">
            <w:pPr>
              <w:pStyle w:val="TableBody"/>
              <w:numPr>
                <w:ilvl w:val="0"/>
                <w:numId w:val="144"/>
              </w:numPr>
              <w:tabs>
                <w:tab w:val="num" w:pos="397"/>
              </w:tabs>
              <w:ind w:left="0" w:firstLine="0"/>
            </w:pPr>
            <w:r w:rsidRPr="00B53F89">
              <w:t>Review of prohibition declarations and exemption determinations</w:t>
            </w:r>
            <w:r w:rsidR="005F3411" w:rsidRPr="00B53F89">
              <w:t>—</w:t>
            </w:r>
            <w:r w:rsidRPr="00B53F89">
              <w:t>consultation paper</w:t>
            </w:r>
          </w:p>
        </w:tc>
        <w:tc>
          <w:tcPr>
            <w:tcW w:w="2690" w:type="pct"/>
          </w:tcPr>
          <w:p w14:paraId="08D78356" w14:textId="17C77CAD" w:rsidR="00261CA8" w:rsidRPr="00B53F89" w:rsidDel="00F40F62" w:rsidRDefault="00261CA8" w:rsidP="00261CA8">
            <w:pPr>
              <w:pStyle w:val="TableBody"/>
            </w:pPr>
            <w:r w:rsidRPr="00B53F89">
              <w:t>Q4 2019</w:t>
            </w:r>
          </w:p>
        </w:tc>
      </w:tr>
      <w:tr w:rsidR="00261CA8" w:rsidRPr="00B53F89" w14:paraId="15755D66" w14:textId="77777777" w:rsidTr="00596594">
        <w:tc>
          <w:tcPr>
            <w:tcW w:w="2310" w:type="pct"/>
          </w:tcPr>
          <w:p w14:paraId="6DF903A9" w14:textId="24B9F69D" w:rsidR="00261CA8" w:rsidRPr="00B53F89" w:rsidRDefault="00261CA8" w:rsidP="00261CA8">
            <w:pPr>
              <w:pStyle w:val="TableBody"/>
            </w:pPr>
            <w:r w:rsidRPr="00B53F89">
              <w:t xml:space="preserve">Consultation on </w:t>
            </w:r>
            <w:r w:rsidR="00A650D6" w:rsidRPr="00B53F89">
              <w:t>S</w:t>
            </w:r>
            <w:r w:rsidR="00110126" w:rsidRPr="00B53F89">
              <w:t xml:space="preserve">pectrum </w:t>
            </w:r>
            <w:r w:rsidR="00A650D6" w:rsidRPr="00B53F89">
              <w:t>P</w:t>
            </w:r>
            <w:r w:rsidR="00110126" w:rsidRPr="00B53F89">
              <w:t xml:space="preserve">ricing </w:t>
            </w:r>
            <w:r w:rsidR="00A650D6" w:rsidRPr="00B53F89">
              <w:t>G</w:t>
            </w:r>
            <w:r w:rsidR="00110126" w:rsidRPr="00B53F89">
              <w:t>uidelines</w:t>
            </w:r>
          </w:p>
        </w:tc>
        <w:tc>
          <w:tcPr>
            <w:tcW w:w="2690" w:type="pct"/>
          </w:tcPr>
          <w:p w14:paraId="050E6CEC" w14:textId="368C47E5" w:rsidR="00261CA8" w:rsidRPr="00B53F89" w:rsidRDefault="00261CA8" w:rsidP="00D06A5D">
            <w:pPr>
              <w:pStyle w:val="TableBody"/>
              <w:numPr>
                <w:ilvl w:val="0"/>
                <w:numId w:val="145"/>
              </w:numPr>
              <w:tabs>
                <w:tab w:val="num" w:pos="397"/>
              </w:tabs>
              <w:ind w:left="0" w:firstLine="0"/>
            </w:pPr>
            <w:r w:rsidRPr="00B53F89">
              <w:t>Q4 2019</w:t>
            </w:r>
          </w:p>
        </w:tc>
      </w:tr>
      <w:tr w:rsidR="00261CA8" w:rsidRPr="00B53F89" w14:paraId="474E3DDA" w14:textId="77777777" w:rsidTr="00596594">
        <w:tc>
          <w:tcPr>
            <w:tcW w:w="2310" w:type="pct"/>
          </w:tcPr>
          <w:p w14:paraId="3CC6C19B" w14:textId="7F6CA2CD" w:rsidR="00261CA8" w:rsidRPr="00B53F89" w:rsidRDefault="00261CA8" w:rsidP="00261CA8">
            <w:pPr>
              <w:pStyle w:val="TableBody"/>
            </w:pPr>
            <w:r w:rsidRPr="00B53F89">
              <w:t>Non-assigned amateur and outpost licensing arrangements</w:t>
            </w:r>
          </w:p>
        </w:tc>
        <w:tc>
          <w:tcPr>
            <w:tcW w:w="2690" w:type="pct"/>
          </w:tcPr>
          <w:p w14:paraId="2FFE3BF0" w14:textId="4C594321" w:rsidR="00261CA8" w:rsidRPr="00B53F89" w:rsidRDefault="00261CA8" w:rsidP="00261CA8">
            <w:pPr>
              <w:pStyle w:val="TableBody"/>
            </w:pPr>
            <w:r w:rsidRPr="00B53F89">
              <w:t>Q4 2019</w:t>
            </w:r>
          </w:p>
        </w:tc>
      </w:tr>
      <w:tr w:rsidR="00261CA8" w:rsidRPr="00B53F89" w14:paraId="767CABCA" w14:textId="77777777" w:rsidTr="00596594">
        <w:tc>
          <w:tcPr>
            <w:tcW w:w="2310" w:type="pct"/>
          </w:tcPr>
          <w:p w14:paraId="5BC6DB52" w14:textId="0F72FA2D" w:rsidR="00261CA8" w:rsidRPr="00B53F89" w:rsidRDefault="00261CA8" w:rsidP="00261CA8">
            <w:pPr>
              <w:pStyle w:val="TableBody"/>
            </w:pPr>
            <w:r w:rsidRPr="00B53F89">
              <w:t>Digital radio channel plans for a number of regional radio licence areas</w:t>
            </w:r>
          </w:p>
        </w:tc>
        <w:tc>
          <w:tcPr>
            <w:tcW w:w="2690" w:type="pct"/>
          </w:tcPr>
          <w:p w14:paraId="76D8CEA6" w14:textId="772320E2" w:rsidR="00261CA8" w:rsidRPr="00B53F89" w:rsidRDefault="00261CA8" w:rsidP="00D06A5D">
            <w:pPr>
              <w:pStyle w:val="TableBody"/>
              <w:numPr>
                <w:ilvl w:val="0"/>
                <w:numId w:val="146"/>
              </w:numPr>
              <w:tabs>
                <w:tab w:val="num" w:pos="397"/>
              </w:tabs>
              <w:ind w:left="0" w:firstLine="0"/>
            </w:pPr>
            <w:r w:rsidRPr="00B53F89">
              <w:t>Q1 2020</w:t>
            </w:r>
          </w:p>
        </w:tc>
      </w:tr>
      <w:tr w:rsidR="00261CA8" w:rsidRPr="00B53F89" w14:paraId="39DB8798" w14:textId="77777777" w:rsidTr="00596594">
        <w:tc>
          <w:tcPr>
            <w:tcW w:w="2310" w:type="pct"/>
          </w:tcPr>
          <w:p w14:paraId="550F5B69" w14:textId="0D36A434" w:rsidR="00261CA8" w:rsidRPr="00B53F89" w:rsidRDefault="006F2BAF" w:rsidP="00261CA8">
            <w:pPr>
              <w:pStyle w:val="TableBody"/>
            </w:pPr>
            <w:r w:rsidRPr="00B53F89">
              <w:t>Publish principles for determining</w:t>
            </w:r>
            <w:r w:rsidRPr="00B53F89" w:rsidDel="006F2BAF">
              <w:t xml:space="preserve"> </w:t>
            </w:r>
            <w:r w:rsidR="006A6BAF" w:rsidRPr="00B53F89">
              <w:t xml:space="preserve">whether specified community radio licence areas should be deemed to be the same as specified commercial </w:t>
            </w:r>
            <w:r w:rsidR="00261CA8" w:rsidRPr="00B53F89">
              <w:t>radio licence areas for the purpose of digital radio</w:t>
            </w:r>
          </w:p>
        </w:tc>
        <w:tc>
          <w:tcPr>
            <w:tcW w:w="2690" w:type="pct"/>
          </w:tcPr>
          <w:p w14:paraId="4932B877" w14:textId="372F06BD" w:rsidR="00261CA8" w:rsidRPr="00B53F89" w:rsidRDefault="00261CA8" w:rsidP="00D06A5D">
            <w:pPr>
              <w:pStyle w:val="TableBody"/>
              <w:numPr>
                <w:ilvl w:val="0"/>
                <w:numId w:val="147"/>
              </w:numPr>
              <w:tabs>
                <w:tab w:val="num" w:pos="397"/>
              </w:tabs>
              <w:ind w:left="0" w:firstLine="0"/>
            </w:pPr>
            <w:r w:rsidRPr="00B53F89">
              <w:t>Q1 2020</w:t>
            </w:r>
          </w:p>
        </w:tc>
      </w:tr>
      <w:tr w:rsidR="00261CA8" w:rsidRPr="00B53F89" w14:paraId="50113C95" w14:textId="77777777" w:rsidTr="00596594">
        <w:tc>
          <w:tcPr>
            <w:tcW w:w="2310" w:type="pct"/>
          </w:tcPr>
          <w:p w14:paraId="10B5419F" w14:textId="223BA8CD" w:rsidR="00261CA8" w:rsidRPr="00B53F89" w:rsidRDefault="00261CA8" w:rsidP="00261CA8">
            <w:pPr>
              <w:pStyle w:val="TableBody"/>
            </w:pPr>
            <w:r w:rsidRPr="00B53F89">
              <w:t>Amateur service in the frequency band 5351.5–5366.5 kHz</w:t>
            </w:r>
            <w:r w:rsidR="008D331E" w:rsidRPr="00B53F89">
              <w:t>—</w:t>
            </w:r>
            <w:r w:rsidRPr="00B53F89">
              <w:t>discussion paper on implementation issues</w:t>
            </w:r>
          </w:p>
        </w:tc>
        <w:tc>
          <w:tcPr>
            <w:tcW w:w="2690" w:type="pct"/>
          </w:tcPr>
          <w:p w14:paraId="14A31960" w14:textId="498E7CBA" w:rsidR="00261CA8" w:rsidRPr="00B53F89" w:rsidRDefault="00261CA8" w:rsidP="00261CA8">
            <w:pPr>
              <w:pStyle w:val="TableBody"/>
            </w:pPr>
            <w:r w:rsidRPr="00B53F89">
              <w:t>Q1 2020</w:t>
            </w:r>
          </w:p>
        </w:tc>
      </w:tr>
      <w:tr w:rsidR="00261CA8" w:rsidRPr="00B53F89" w14:paraId="39CC6821" w14:textId="77777777" w:rsidTr="00596594">
        <w:tc>
          <w:tcPr>
            <w:tcW w:w="2310" w:type="pct"/>
          </w:tcPr>
          <w:p w14:paraId="46EEBCBA" w14:textId="30619B52" w:rsidR="00261CA8" w:rsidRPr="00B53F89" w:rsidRDefault="00261CA8" w:rsidP="00261CA8">
            <w:pPr>
              <w:pStyle w:val="TableBody"/>
            </w:pPr>
            <w:r w:rsidRPr="00B53F89">
              <w:t xml:space="preserve">Potential for replanning analog radio services in Perth, following the clearance of Band II </w:t>
            </w:r>
            <w:r w:rsidR="00167099" w:rsidRPr="00B53F89">
              <w:t>television</w:t>
            </w:r>
            <w:r w:rsidRPr="00B53F89">
              <w:t xml:space="preserve"> in Bunbury</w:t>
            </w:r>
            <w:r w:rsidR="008D331E" w:rsidRPr="00B53F89">
              <w:t>—</w:t>
            </w:r>
            <w:r w:rsidRPr="00B53F89">
              <w:t>consultation paper</w:t>
            </w:r>
          </w:p>
        </w:tc>
        <w:tc>
          <w:tcPr>
            <w:tcW w:w="2690" w:type="pct"/>
          </w:tcPr>
          <w:p w14:paraId="4FCB0004" w14:textId="469FDCCA" w:rsidR="00261CA8" w:rsidRPr="00B53F89" w:rsidRDefault="00261CA8" w:rsidP="00D06A5D">
            <w:pPr>
              <w:pStyle w:val="TableBody"/>
              <w:numPr>
                <w:ilvl w:val="0"/>
                <w:numId w:val="149"/>
              </w:numPr>
              <w:tabs>
                <w:tab w:val="num" w:pos="397"/>
              </w:tabs>
              <w:ind w:left="0" w:firstLine="0"/>
            </w:pPr>
            <w:r w:rsidRPr="00B53F89">
              <w:t>Q2 2020</w:t>
            </w:r>
          </w:p>
        </w:tc>
      </w:tr>
      <w:tr w:rsidR="00261CA8" w:rsidRPr="00B53F89" w14:paraId="5E82C795" w14:textId="77777777" w:rsidTr="00596594">
        <w:tc>
          <w:tcPr>
            <w:tcW w:w="2310" w:type="pct"/>
          </w:tcPr>
          <w:p w14:paraId="09D95314" w14:textId="5D87D34F" w:rsidR="00261CA8" w:rsidRPr="00B53F89" w:rsidRDefault="00261CA8" w:rsidP="00D06A5D">
            <w:pPr>
              <w:pStyle w:val="TableBody"/>
              <w:numPr>
                <w:ilvl w:val="0"/>
                <w:numId w:val="150"/>
              </w:numPr>
              <w:tabs>
                <w:tab w:val="num" w:pos="397"/>
              </w:tabs>
              <w:ind w:left="0" w:firstLine="0"/>
            </w:pPr>
            <w:r w:rsidRPr="00B53F89">
              <w:t>Draft approach to new spectrum pricing formula</w:t>
            </w:r>
            <w:r w:rsidR="008D331E" w:rsidRPr="00B53F89">
              <w:t>—</w:t>
            </w:r>
            <w:r w:rsidRPr="00B53F89">
              <w:t>consultation</w:t>
            </w:r>
          </w:p>
        </w:tc>
        <w:tc>
          <w:tcPr>
            <w:tcW w:w="2690" w:type="pct"/>
          </w:tcPr>
          <w:p w14:paraId="7154D52B" w14:textId="76FA1CFB" w:rsidR="00261CA8" w:rsidRPr="00B53F89" w:rsidDel="00AA52DE" w:rsidRDefault="00261CA8" w:rsidP="00261CA8">
            <w:pPr>
              <w:pStyle w:val="TableBody"/>
            </w:pPr>
            <w:r w:rsidRPr="00B53F89">
              <w:t>Q2 2020</w:t>
            </w:r>
          </w:p>
        </w:tc>
      </w:tr>
      <w:tr w:rsidR="005778B6" w:rsidRPr="00B53F89" w14:paraId="791E66A8" w14:textId="77777777" w:rsidTr="00596594">
        <w:tc>
          <w:tcPr>
            <w:tcW w:w="2310" w:type="pct"/>
          </w:tcPr>
          <w:p w14:paraId="6B979A7E" w14:textId="3EC25FDB" w:rsidR="005778B6" w:rsidRPr="00B53F89" w:rsidRDefault="005778B6" w:rsidP="005778B6">
            <w:pPr>
              <w:pStyle w:val="TableBody"/>
            </w:pPr>
            <w:r w:rsidRPr="00B53F89">
              <w:rPr>
                <w:rFonts w:cs="Arial"/>
                <w:szCs w:val="20"/>
              </w:rPr>
              <w:t>Five-year spectrum outlook/Annual work program</w:t>
            </w:r>
            <w:r w:rsidR="008D331E" w:rsidRPr="00B53F89">
              <w:rPr>
                <w:rFonts w:cs="Arial"/>
                <w:szCs w:val="20"/>
              </w:rPr>
              <w:t>—</w:t>
            </w:r>
            <w:r w:rsidRPr="00B53F89">
              <w:t>consultation on draft</w:t>
            </w:r>
          </w:p>
        </w:tc>
        <w:tc>
          <w:tcPr>
            <w:tcW w:w="2690" w:type="pct"/>
          </w:tcPr>
          <w:p w14:paraId="320EB40F" w14:textId="0682DB57" w:rsidR="005778B6" w:rsidRPr="00B53F89" w:rsidRDefault="005778B6" w:rsidP="009B1B22">
            <w:pPr>
              <w:pStyle w:val="TableBody"/>
            </w:pPr>
            <w:r w:rsidRPr="00B53F89">
              <w:t xml:space="preserve">Q2 2020 </w:t>
            </w:r>
          </w:p>
        </w:tc>
      </w:tr>
      <w:tr w:rsidR="005778B6" w:rsidRPr="00B53F89" w14:paraId="48C5B440" w14:textId="77777777" w:rsidTr="00596594">
        <w:tc>
          <w:tcPr>
            <w:tcW w:w="2310" w:type="pct"/>
          </w:tcPr>
          <w:p w14:paraId="50A465DA" w14:textId="28861C40" w:rsidR="005778B6" w:rsidRPr="00B53F89" w:rsidRDefault="005778B6" w:rsidP="005778B6">
            <w:pPr>
              <w:pStyle w:val="TableBody"/>
            </w:pPr>
            <w:r w:rsidRPr="00B53F89">
              <w:t>Any further required changes to regulatory arrangements for counter-drone equipment</w:t>
            </w:r>
          </w:p>
        </w:tc>
        <w:tc>
          <w:tcPr>
            <w:tcW w:w="2690" w:type="pct"/>
          </w:tcPr>
          <w:p w14:paraId="4DE44206" w14:textId="2CFC7DFE" w:rsidR="005778B6" w:rsidRPr="00B53F89" w:rsidRDefault="005778B6" w:rsidP="005778B6">
            <w:pPr>
              <w:pStyle w:val="TableBody"/>
            </w:pPr>
            <w:r w:rsidRPr="00B53F89">
              <w:t>2019–20</w:t>
            </w:r>
          </w:p>
        </w:tc>
      </w:tr>
      <w:bookmarkEnd w:id="25"/>
      <w:bookmarkEnd w:id="26"/>
      <w:bookmarkEnd w:id="27"/>
    </w:tbl>
    <w:p w14:paraId="0C4A2498" w14:textId="3BF3E0DC" w:rsidR="00C61187" w:rsidRPr="00B53F89" w:rsidRDefault="00C61187" w:rsidP="00D7755E">
      <w:pPr>
        <w:pStyle w:val="ListNumber"/>
        <w:numPr>
          <w:ilvl w:val="0"/>
          <w:numId w:val="0"/>
        </w:numPr>
        <w:shd w:val="clear" w:color="auto" w:fill="auto"/>
        <w:ind w:left="360"/>
        <w:rPr>
          <w:rFonts w:eastAsiaTheme="majorEastAsia"/>
          <w:b w:val="0"/>
        </w:rPr>
      </w:pPr>
    </w:p>
    <w:p w14:paraId="2DB002B7" w14:textId="77777777" w:rsidR="00366016" w:rsidRPr="00B53F89" w:rsidRDefault="00366016" w:rsidP="00366016">
      <w:pPr>
        <w:pStyle w:val="Heading2"/>
        <w:keepLines/>
      </w:pPr>
      <w:bookmarkStart w:id="30" w:name="_Toc18505497"/>
      <w:r w:rsidRPr="00B53F89">
        <w:t>FYSO 2018–22 progress report</w:t>
      </w:r>
      <w:bookmarkEnd w:id="30"/>
    </w:p>
    <w:p w14:paraId="5464EE7C" w14:textId="638667DA" w:rsidR="00366016" w:rsidRPr="00B53F89" w:rsidRDefault="00366016" w:rsidP="00366016">
      <w:pPr>
        <w:keepNext/>
        <w:keepLines/>
      </w:pPr>
      <w:r w:rsidRPr="00B53F89">
        <w:t xml:space="preserve">The </w:t>
      </w:r>
      <w:hyperlink r:id="rId49" w:history="1">
        <w:r w:rsidRPr="00B53F89">
          <w:rPr>
            <w:rStyle w:val="Hyperlink"/>
            <w:i/>
            <w:iCs/>
          </w:rPr>
          <w:t>FYSO 2018–22 annual progress report</w:t>
        </w:r>
      </w:hyperlink>
      <w:r w:rsidRPr="00B53F89">
        <w:t xml:space="preserve"> outlines the extent to which the ACMA delivered the activities indicated in the most recent FYSO.</w:t>
      </w:r>
    </w:p>
    <w:p w14:paraId="3F1DFA3E" w14:textId="77777777" w:rsidR="00366016" w:rsidRPr="00B53F89" w:rsidRDefault="00366016" w:rsidP="00366016">
      <w:pPr>
        <w:keepNext/>
        <w:keepLines/>
      </w:pPr>
      <w:r w:rsidRPr="00B53F89">
        <w:t xml:space="preserve">The ACMA is committed to giving regular updates on processes and explanations of changes to plans. </w:t>
      </w:r>
    </w:p>
    <w:p w14:paraId="7C15E547" w14:textId="34D4818C" w:rsidR="00366016" w:rsidRPr="00B53F89" w:rsidRDefault="00366016" w:rsidP="00366016">
      <w:pPr>
        <w:keepNext/>
        <w:keepLines/>
      </w:pPr>
      <w:r w:rsidRPr="00B53F89">
        <w:t>The report has nine tables that show the ACMA’s 2018–19 work program for 1 July</w:t>
      </w:r>
      <w:r w:rsidR="009352D4" w:rsidRPr="00B53F89">
        <w:t xml:space="preserve"> 2018</w:t>
      </w:r>
      <w:r w:rsidRPr="00B53F89">
        <w:t xml:space="preserve"> to </w:t>
      </w:r>
      <w:r w:rsidR="009352D4" w:rsidRPr="00B53F89">
        <w:t>30 June 2019</w:t>
      </w:r>
      <w:r w:rsidRPr="00B53F89">
        <w:t xml:space="preserve">. </w:t>
      </w:r>
    </w:p>
    <w:p w14:paraId="16063A02" w14:textId="77777777" w:rsidR="00366016" w:rsidRPr="00B53F89" w:rsidRDefault="00366016" w:rsidP="00D7755E">
      <w:pPr>
        <w:pStyle w:val="ListNumber"/>
        <w:numPr>
          <w:ilvl w:val="0"/>
          <w:numId w:val="0"/>
        </w:numPr>
        <w:shd w:val="clear" w:color="auto" w:fill="auto"/>
        <w:ind w:left="360"/>
        <w:rPr>
          <w:rFonts w:eastAsiaTheme="majorEastAsia"/>
          <w:b w:val="0"/>
        </w:rPr>
      </w:pPr>
    </w:p>
    <w:p w14:paraId="528F1116" w14:textId="2D14275E" w:rsidR="000C4ED6" w:rsidRPr="00B53F89" w:rsidRDefault="000C4ED6" w:rsidP="00D7755E">
      <w:pPr>
        <w:pStyle w:val="Heading1"/>
        <w:rPr>
          <w:rStyle w:val="TitleChar"/>
          <w:rFonts w:ascii="Arial" w:hAnsi="Arial" w:cs="Arial"/>
          <w:b/>
          <w:bCs w:val="0"/>
          <w:color w:val="auto"/>
          <w:spacing w:val="0"/>
          <w:kern w:val="32"/>
          <w:sz w:val="53"/>
          <w:szCs w:val="32"/>
          <w:lang w:eastAsia="en-AU"/>
        </w:rPr>
      </w:pPr>
      <w:bookmarkStart w:id="31" w:name="_Toc492369998"/>
      <w:bookmarkStart w:id="32" w:name="_Toc492371194"/>
      <w:bookmarkStart w:id="33" w:name="_Toc492371270"/>
      <w:bookmarkStart w:id="34" w:name="_Toc492371763"/>
      <w:bookmarkStart w:id="35" w:name="_Toc492374153"/>
      <w:bookmarkStart w:id="36" w:name="_Toc492374934"/>
      <w:bookmarkStart w:id="37" w:name="_Toc492383120"/>
      <w:bookmarkStart w:id="38" w:name="_Toc492385610"/>
      <w:bookmarkStart w:id="39" w:name="_Toc492388328"/>
      <w:bookmarkStart w:id="40" w:name="_Toc492390376"/>
      <w:bookmarkStart w:id="41" w:name="_Toc492554253"/>
      <w:bookmarkStart w:id="42" w:name="_Toc492557299"/>
      <w:bookmarkStart w:id="43" w:name="_Toc492557555"/>
      <w:bookmarkStart w:id="44" w:name="_Toc492557668"/>
      <w:bookmarkStart w:id="45" w:name="_Toc492558039"/>
      <w:bookmarkStart w:id="46" w:name="_Toc492558077"/>
      <w:bookmarkStart w:id="47" w:name="_Toc492564195"/>
      <w:bookmarkStart w:id="48" w:name="_Toc492566411"/>
      <w:bookmarkStart w:id="49" w:name="_Toc492625052"/>
      <w:bookmarkStart w:id="50" w:name="_Toc492625218"/>
      <w:bookmarkStart w:id="51" w:name="_Toc492626134"/>
      <w:bookmarkStart w:id="52" w:name="_Toc492626758"/>
      <w:bookmarkStart w:id="53" w:name="_Toc492630909"/>
      <w:bookmarkStart w:id="54" w:name="_Toc492632457"/>
      <w:bookmarkStart w:id="55" w:name="_Toc492632760"/>
      <w:bookmarkStart w:id="56" w:name="_Toc492632894"/>
      <w:bookmarkStart w:id="57" w:name="_Toc492633051"/>
      <w:bookmarkStart w:id="58" w:name="_Toc492635018"/>
      <w:bookmarkStart w:id="59" w:name="_Toc492639666"/>
      <w:bookmarkStart w:id="60" w:name="_Toc492639974"/>
      <w:bookmarkStart w:id="61" w:name="_Toc492640190"/>
      <w:bookmarkStart w:id="62" w:name="_Toc492640237"/>
      <w:bookmarkStart w:id="63" w:name="_Toc492640276"/>
      <w:bookmarkStart w:id="64" w:name="_Toc492640315"/>
      <w:bookmarkStart w:id="65" w:name="_Toc492641289"/>
      <w:bookmarkStart w:id="66" w:name="_Toc492641336"/>
      <w:bookmarkStart w:id="67" w:name="_Toc492641778"/>
      <w:bookmarkStart w:id="68" w:name="_Toc492641904"/>
      <w:bookmarkStart w:id="69" w:name="_Toc492645934"/>
      <w:bookmarkStart w:id="70" w:name="_Toc492646224"/>
      <w:bookmarkStart w:id="71" w:name="_Toc492646633"/>
      <w:bookmarkStart w:id="72" w:name="_Toc492647421"/>
      <w:bookmarkStart w:id="73" w:name="_Toc492647473"/>
      <w:bookmarkStart w:id="74" w:name="_Toc492885144"/>
      <w:bookmarkStart w:id="75" w:name="_Toc492885264"/>
      <w:bookmarkStart w:id="76" w:name="_Toc492885536"/>
      <w:bookmarkStart w:id="77" w:name="_Toc492885600"/>
      <w:bookmarkStart w:id="78" w:name="_Toc492886707"/>
      <w:bookmarkStart w:id="79" w:name="_Toc492887240"/>
      <w:bookmarkStart w:id="80" w:name="_Toc492890828"/>
      <w:bookmarkStart w:id="81" w:name="_Toc492891431"/>
      <w:bookmarkStart w:id="82" w:name="_Toc492892962"/>
      <w:bookmarkStart w:id="83" w:name="_Toc492893943"/>
      <w:bookmarkStart w:id="84" w:name="_Toc492894078"/>
      <w:bookmarkStart w:id="85" w:name="_Toc492894346"/>
      <w:bookmarkStart w:id="86" w:name="_Toc492894782"/>
      <w:bookmarkStart w:id="87" w:name="_Toc492896235"/>
      <w:bookmarkStart w:id="88" w:name="_Toc492896670"/>
      <w:bookmarkStart w:id="89" w:name="_Toc492897540"/>
      <w:bookmarkStart w:id="90" w:name="_Toc492898003"/>
      <w:bookmarkStart w:id="91" w:name="_Toc492902338"/>
      <w:bookmarkStart w:id="92" w:name="_Part_1—Five-year_spectrum"/>
      <w:bookmarkStart w:id="93" w:name="_Toc510104928"/>
      <w:bookmarkStart w:id="94" w:name="_Toc510105725"/>
      <w:bookmarkStart w:id="95" w:name="_Toc510795066"/>
      <w:bookmarkStart w:id="96" w:name="_Toc511716267"/>
      <w:bookmarkStart w:id="97" w:name="_Toc511719078"/>
      <w:bookmarkStart w:id="98" w:name="_Toc522794074"/>
      <w:bookmarkStart w:id="99" w:name="_Toc18505498"/>
      <w:bookmarkStart w:id="100" w:name="_Toc509581797"/>
      <w:bookmarkStart w:id="101" w:name="_Toc509585113"/>
      <w:bookmarkStart w:id="102" w:name="_Toc509585649"/>
      <w:bookmarkStart w:id="103" w:name="_Toc491854091"/>
      <w:bookmarkStart w:id="104" w:name="_Toc494115147"/>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r w:rsidRPr="00B53F89">
        <w:rPr>
          <w:rStyle w:val="TitleChar"/>
          <w:rFonts w:ascii="Arial" w:hAnsi="Arial" w:cs="Arial"/>
          <w:spacing w:val="0"/>
          <w:kern w:val="32"/>
          <w:sz w:val="53"/>
          <w:szCs w:val="32"/>
          <w:lang w:eastAsia="en-AU"/>
        </w:rPr>
        <w:lastRenderedPageBreak/>
        <w:t>Part 1—Five-year spectrum outlook</w:t>
      </w:r>
      <w:bookmarkEnd w:id="93"/>
      <w:bookmarkEnd w:id="94"/>
      <w:bookmarkEnd w:id="95"/>
      <w:bookmarkEnd w:id="96"/>
      <w:bookmarkEnd w:id="97"/>
      <w:bookmarkEnd w:id="98"/>
      <w:bookmarkEnd w:id="99"/>
      <w:r w:rsidRPr="00B53F89">
        <w:rPr>
          <w:rStyle w:val="TitleChar"/>
          <w:rFonts w:ascii="Arial" w:hAnsi="Arial" w:cs="Arial"/>
          <w:spacing w:val="0"/>
          <w:kern w:val="32"/>
          <w:sz w:val="53"/>
          <w:szCs w:val="32"/>
          <w:lang w:eastAsia="en-AU"/>
        </w:rPr>
        <w:t xml:space="preserve"> </w:t>
      </w:r>
    </w:p>
    <w:p w14:paraId="558F4A37" w14:textId="77777777" w:rsidR="00913DC4" w:rsidRPr="00B53F89" w:rsidRDefault="00913DC4" w:rsidP="00D7755E">
      <w:pPr>
        <w:pStyle w:val="Heading2"/>
        <w:rPr>
          <w:rStyle w:val="TitleChar"/>
          <w:rFonts w:ascii="Arial" w:hAnsi="Arial" w:cs="Arial"/>
          <w:b w:val="0"/>
          <w:iCs w:val="0"/>
          <w:color w:val="323232"/>
          <w:spacing w:val="0"/>
          <w:kern w:val="0"/>
          <w:sz w:val="28"/>
          <w:szCs w:val="28"/>
          <w:lang w:eastAsia="en-AU"/>
        </w:rPr>
      </w:pPr>
      <w:bookmarkStart w:id="105" w:name="_Toc510104929"/>
      <w:bookmarkStart w:id="106" w:name="_Toc510105726"/>
      <w:bookmarkStart w:id="107" w:name="_Toc510795067"/>
      <w:bookmarkStart w:id="108" w:name="_Toc511716268"/>
      <w:bookmarkStart w:id="109" w:name="_Toc511719079"/>
      <w:bookmarkStart w:id="110" w:name="_Toc522794075"/>
      <w:bookmarkStart w:id="111" w:name="_Toc18505499"/>
      <w:r w:rsidRPr="00B53F89">
        <w:rPr>
          <w:rStyle w:val="TitleChar"/>
          <w:rFonts w:ascii="Arial" w:hAnsi="Arial" w:cs="Arial"/>
          <w:spacing w:val="0"/>
          <w:kern w:val="0"/>
          <w:sz w:val="28"/>
          <w:szCs w:val="28"/>
          <w:lang w:eastAsia="en-AU"/>
        </w:rPr>
        <w:t>Introduction</w:t>
      </w:r>
      <w:bookmarkEnd w:id="100"/>
      <w:bookmarkEnd w:id="101"/>
      <w:bookmarkEnd w:id="102"/>
      <w:bookmarkEnd w:id="105"/>
      <w:bookmarkEnd w:id="106"/>
      <w:bookmarkEnd w:id="107"/>
      <w:bookmarkEnd w:id="108"/>
      <w:bookmarkEnd w:id="109"/>
      <w:bookmarkEnd w:id="110"/>
      <w:bookmarkEnd w:id="111"/>
    </w:p>
    <w:p w14:paraId="751EF5EC" w14:textId="40725E12" w:rsidR="00CF322E" w:rsidRPr="00B53F89" w:rsidRDefault="00CF322E" w:rsidP="00D7755E">
      <w:bookmarkStart w:id="112" w:name="_Toc491854093"/>
      <w:bookmarkEnd w:id="103"/>
      <w:bookmarkEnd w:id="104"/>
      <w:r w:rsidRPr="00B53F89">
        <w:t xml:space="preserve">Part </w:t>
      </w:r>
      <w:r w:rsidR="0058077F" w:rsidRPr="00B53F89">
        <w:t>1</w:t>
      </w:r>
      <w:r w:rsidR="000F38B6" w:rsidRPr="00B53F89">
        <w:t xml:space="preserve"> </w:t>
      </w:r>
      <w:r w:rsidRPr="00B53F89">
        <w:t>take</w:t>
      </w:r>
      <w:r w:rsidR="0058077F" w:rsidRPr="00B53F89">
        <w:t>s</w:t>
      </w:r>
      <w:r w:rsidRPr="00B53F89">
        <w:t xml:space="preserve"> a broad view of trends in technology and spectrum uses that inform the</w:t>
      </w:r>
      <w:r w:rsidR="00B269A2" w:rsidRPr="00B53F89">
        <w:t xml:space="preserve"> ACMA’s</w:t>
      </w:r>
      <w:r w:rsidRPr="00B53F89">
        <w:t xml:space="preserve"> medium</w:t>
      </w:r>
      <w:r w:rsidR="0058077F" w:rsidRPr="00B53F89">
        <w:t>-</w:t>
      </w:r>
      <w:r w:rsidRPr="00B53F89">
        <w:t xml:space="preserve">term planning, </w:t>
      </w:r>
      <w:r w:rsidR="00B269A2" w:rsidRPr="00B53F89">
        <w:t xml:space="preserve">allocation and </w:t>
      </w:r>
      <w:r w:rsidRPr="00B53F89">
        <w:t>reallocation activities.</w:t>
      </w:r>
      <w:r w:rsidR="00447762" w:rsidRPr="00B53F89">
        <w:t xml:space="preserve"> </w:t>
      </w:r>
    </w:p>
    <w:p w14:paraId="3FCD45B0" w14:textId="38E82A97" w:rsidR="003E6F65" w:rsidRPr="00B53F89" w:rsidRDefault="003E6F65" w:rsidP="00D7755E">
      <w:r w:rsidRPr="00B53F89">
        <w:t>The ACMA takes account of a range of factors in planning its spectrum management work. We monitor developments in radiocommunications technology</w:t>
      </w:r>
      <w:r w:rsidR="0078767B" w:rsidRPr="00B53F89">
        <w:t>,</w:t>
      </w:r>
      <w:r w:rsidR="002064DB" w:rsidRPr="00B53F89">
        <w:t xml:space="preserve"> including equipment availability</w:t>
      </w:r>
      <w:r w:rsidRPr="00B53F89">
        <w:t>, in spectrum us</w:t>
      </w:r>
      <w:r w:rsidR="0058077F" w:rsidRPr="00B53F89">
        <w:t>e</w:t>
      </w:r>
      <w:r w:rsidRPr="00B53F89">
        <w:t xml:space="preserve"> markets and in the broader policy environment</w:t>
      </w:r>
      <w:r w:rsidR="00377FEF" w:rsidRPr="00B53F89">
        <w:t>,</w:t>
      </w:r>
      <w:r w:rsidRPr="00B53F89">
        <w:t xml:space="preserve"> to inform our allocation of resources.</w:t>
      </w:r>
    </w:p>
    <w:p w14:paraId="40F73A98" w14:textId="5CB201B6" w:rsidR="001F3495" w:rsidRPr="00B53F89" w:rsidRDefault="003D08DC" w:rsidP="00D7755E">
      <w:pPr>
        <w:pStyle w:val="Heading2"/>
      </w:pPr>
      <w:bookmarkStart w:id="113" w:name="_Toc511716269"/>
      <w:bookmarkStart w:id="114" w:name="_Toc511719080"/>
      <w:bookmarkStart w:id="115" w:name="_Toc522794076"/>
      <w:bookmarkStart w:id="116" w:name="_Toc18505500"/>
      <w:bookmarkStart w:id="117" w:name="_Toc510104930"/>
      <w:bookmarkStart w:id="118" w:name="_Toc510105727"/>
      <w:bookmarkStart w:id="119" w:name="_Toc510795068"/>
      <w:bookmarkStart w:id="120" w:name="_Toc509581799"/>
      <w:bookmarkStart w:id="121" w:name="_Toc509585115"/>
      <w:bookmarkStart w:id="122" w:name="_Toc509585651"/>
      <w:r w:rsidRPr="00B53F89">
        <w:rPr>
          <w:rStyle w:val="Heading2Char"/>
          <w:b/>
          <w:bCs/>
          <w:iCs/>
        </w:rPr>
        <w:t>Anticipated change d</w:t>
      </w:r>
      <w:r w:rsidR="007F1A09" w:rsidRPr="00B53F89">
        <w:rPr>
          <w:rStyle w:val="Heading2Char"/>
          <w:b/>
          <w:bCs/>
          <w:iCs/>
        </w:rPr>
        <w:t>rivers</w:t>
      </w:r>
      <w:bookmarkEnd w:id="113"/>
      <w:bookmarkEnd w:id="114"/>
      <w:bookmarkEnd w:id="115"/>
      <w:bookmarkEnd w:id="116"/>
      <w:r w:rsidR="007F1A09" w:rsidRPr="00B53F89">
        <w:rPr>
          <w:rStyle w:val="Heading2Char"/>
          <w:b/>
          <w:bCs/>
          <w:iCs/>
        </w:rPr>
        <w:t xml:space="preserve"> </w:t>
      </w:r>
      <w:bookmarkEnd w:id="117"/>
      <w:bookmarkEnd w:id="118"/>
      <w:bookmarkEnd w:id="119"/>
      <w:bookmarkEnd w:id="120"/>
      <w:bookmarkEnd w:id="121"/>
      <w:bookmarkEnd w:id="122"/>
    </w:p>
    <w:p w14:paraId="678FA1E6" w14:textId="6D891464" w:rsidR="007F1A09" w:rsidRPr="00B53F89" w:rsidRDefault="00B269A2" w:rsidP="00D7755E">
      <w:bookmarkStart w:id="123" w:name="_Toc494115151"/>
      <w:bookmarkEnd w:id="112"/>
      <w:r w:rsidRPr="00B53F89">
        <w:t>D</w:t>
      </w:r>
      <w:r w:rsidR="007F1A09" w:rsidRPr="00B53F89">
        <w:t xml:space="preserve">emand for new spectrum </w:t>
      </w:r>
      <w:r w:rsidR="00D210EA" w:rsidRPr="00B53F89">
        <w:t xml:space="preserve">and </w:t>
      </w:r>
      <w:r w:rsidR="007B1654" w:rsidRPr="00B53F89">
        <w:t xml:space="preserve">for </w:t>
      </w:r>
      <w:r w:rsidR="007F1A09" w:rsidRPr="00B53F89">
        <w:t>changes to existing arrangements continue</w:t>
      </w:r>
      <w:r w:rsidR="00E17DAB" w:rsidRPr="00B53F89">
        <w:t>s</w:t>
      </w:r>
      <w:r w:rsidR="007F1A09" w:rsidRPr="00B53F89">
        <w:t xml:space="preserve"> to evolve quickly</w:t>
      </w:r>
      <w:r w:rsidR="005135A3" w:rsidRPr="00B53F89">
        <w:t>. T</w:t>
      </w:r>
      <w:r w:rsidR="007F1A09" w:rsidRPr="00B53F89">
        <w:t>he ACMA regularly reassess</w:t>
      </w:r>
      <w:r w:rsidR="005135A3" w:rsidRPr="00B53F89">
        <w:t>es</w:t>
      </w:r>
      <w:r w:rsidR="007F1A09" w:rsidRPr="00B53F89">
        <w:t xml:space="preserve"> </w:t>
      </w:r>
      <w:r w:rsidR="007916F4" w:rsidRPr="00B53F89">
        <w:t xml:space="preserve">its work </w:t>
      </w:r>
      <w:r w:rsidR="00500299" w:rsidRPr="00B53F89">
        <w:t>priorities,</w:t>
      </w:r>
      <w:r w:rsidR="005135A3" w:rsidRPr="00B53F89">
        <w:t xml:space="preserve"> </w:t>
      </w:r>
      <w:r w:rsidR="007916F4" w:rsidRPr="00B53F89">
        <w:t>as new opportunities arise</w:t>
      </w:r>
      <w:r w:rsidR="00500299" w:rsidRPr="00B53F89">
        <w:t>,</w:t>
      </w:r>
      <w:r w:rsidR="007916F4" w:rsidRPr="00B53F89">
        <w:t xml:space="preserve"> to</w:t>
      </w:r>
      <w:r w:rsidR="007F1A09" w:rsidRPr="00B53F89">
        <w:t xml:space="preserve"> maximise the overall public benefit derived from allocating and using spectrum.</w:t>
      </w:r>
    </w:p>
    <w:p w14:paraId="0EAC7229" w14:textId="77777777" w:rsidR="00B11728" w:rsidRPr="00B53F89" w:rsidRDefault="007F1A09" w:rsidP="00D7755E">
      <w:r w:rsidRPr="00B53F89">
        <w:t xml:space="preserve">International trends </w:t>
      </w:r>
      <w:r w:rsidR="001C4306" w:rsidRPr="00B53F89">
        <w:t xml:space="preserve">driving demand for spectrum include the </w:t>
      </w:r>
      <w:r w:rsidR="004C23E1" w:rsidRPr="00B53F89">
        <w:t>appetite for</w:t>
      </w:r>
      <w:r w:rsidRPr="00B53F89" w:rsidDel="00FC6EF0">
        <w:t xml:space="preserve"> </w:t>
      </w:r>
      <w:r w:rsidR="00FC6EF0" w:rsidRPr="00B53F89">
        <w:t xml:space="preserve">wireless </w:t>
      </w:r>
      <w:r w:rsidRPr="00B53F89">
        <w:t>broadband</w:t>
      </w:r>
      <w:r w:rsidR="00FC6EF0" w:rsidRPr="00B53F89">
        <w:t>, particularly in the context of 5G services</w:t>
      </w:r>
      <w:r w:rsidRPr="00B53F89">
        <w:t xml:space="preserve">, </w:t>
      </w:r>
      <w:r w:rsidR="004C23E1" w:rsidRPr="00B53F89">
        <w:t>ongoing commercialisation of I</w:t>
      </w:r>
      <w:r w:rsidR="00142C48" w:rsidRPr="00B53F89">
        <w:t xml:space="preserve">nternet </w:t>
      </w:r>
      <w:r w:rsidR="004C23E1" w:rsidRPr="00B53F89">
        <w:t>o</w:t>
      </w:r>
      <w:r w:rsidR="00142C48" w:rsidRPr="00B53F89">
        <w:t xml:space="preserve">f </w:t>
      </w:r>
      <w:r w:rsidR="004C23E1" w:rsidRPr="00B53F89">
        <w:t>T</w:t>
      </w:r>
      <w:r w:rsidR="00142C48" w:rsidRPr="00B53F89">
        <w:t>hings (</w:t>
      </w:r>
      <w:r w:rsidR="004C23E1" w:rsidRPr="00B53F89">
        <w:t>IoT</w:t>
      </w:r>
      <w:r w:rsidR="00142C48" w:rsidRPr="00B53F89">
        <w:t>)</w:t>
      </w:r>
      <w:r w:rsidR="004C23E1" w:rsidRPr="00B53F89">
        <w:t xml:space="preserve"> applications, advances in broadcasting technology, </w:t>
      </w:r>
      <w:r w:rsidRPr="00B53F89">
        <w:t>rapid innovations in satellite technologies</w:t>
      </w:r>
      <w:r w:rsidR="00E47212" w:rsidRPr="00B53F89">
        <w:t>,</w:t>
      </w:r>
      <w:r w:rsidRPr="00B53F89">
        <w:t xml:space="preserve"> </w:t>
      </w:r>
      <w:r w:rsidR="007A7BF4" w:rsidRPr="00B53F89">
        <w:t>and new approaches to spectrum sharing.</w:t>
      </w:r>
      <w:r w:rsidR="00F14E81" w:rsidRPr="00B53F89">
        <w:t xml:space="preserve"> </w:t>
      </w:r>
    </w:p>
    <w:p w14:paraId="5EFB5EB2" w14:textId="6926FF41" w:rsidR="00500299" w:rsidRPr="00B53F89" w:rsidRDefault="00B11728" w:rsidP="00D7755E">
      <w:r w:rsidRPr="00B53F89">
        <w:t>T</w:t>
      </w:r>
      <w:r w:rsidR="00F14E81" w:rsidRPr="00B53F89">
        <w:t xml:space="preserve">he </w:t>
      </w:r>
      <w:r w:rsidR="008279B2" w:rsidRPr="00B53F89">
        <w:t>three-to-</w:t>
      </w:r>
      <w:r w:rsidR="00F14E81" w:rsidRPr="00B53F89">
        <w:t>four-yearly WRC</w:t>
      </w:r>
      <w:r w:rsidR="00037A1C" w:rsidRPr="00B53F89">
        <w:t xml:space="preserve"> </w:t>
      </w:r>
      <w:r w:rsidR="00F14E81" w:rsidRPr="00B53F89">
        <w:t xml:space="preserve">meeting </w:t>
      </w:r>
      <w:r w:rsidR="008279B2" w:rsidRPr="00B53F89">
        <w:t>will be held</w:t>
      </w:r>
      <w:r w:rsidR="00037A1C" w:rsidRPr="00B53F89">
        <w:t xml:space="preserve"> </w:t>
      </w:r>
      <w:r w:rsidR="00F14E81" w:rsidRPr="00B53F89">
        <w:t>in October</w:t>
      </w:r>
      <w:r w:rsidR="008279B2" w:rsidRPr="00B53F89">
        <w:t>–November</w:t>
      </w:r>
      <w:r w:rsidR="00F14E81" w:rsidRPr="00B53F89">
        <w:t xml:space="preserve"> this year</w:t>
      </w:r>
      <w:r w:rsidR="00037A1C" w:rsidRPr="00B53F89">
        <w:t xml:space="preserve"> </w:t>
      </w:r>
      <w:r w:rsidRPr="00B53F89">
        <w:t>where</w:t>
      </w:r>
      <w:r w:rsidR="00F14E81" w:rsidRPr="00B53F89">
        <w:t xml:space="preserve"> </w:t>
      </w:r>
      <w:r w:rsidRPr="00B53F89">
        <w:t>several</w:t>
      </w:r>
      <w:r w:rsidR="00F14E81" w:rsidRPr="00B53F89">
        <w:t xml:space="preserve"> important international harmonisation issues </w:t>
      </w:r>
      <w:r w:rsidRPr="00B53F89">
        <w:t>will be discussed</w:t>
      </w:r>
      <w:r w:rsidR="00F14E81" w:rsidRPr="00B53F89">
        <w:t xml:space="preserve">. The ACMA will consider the outcomes of WRC-19 in developing the </w:t>
      </w:r>
      <w:r w:rsidR="00E5304E" w:rsidRPr="00B53F89">
        <w:t>annual spectrum management work program</w:t>
      </w:r>
      <w:r w:rsidR="00122F87" w:rsidRPr="00B53F89">
        <w:t xml:space="preserve"> for 2020–21</w:t>
      </w:r>
      <w:r w:rsidR="00E5304E" w:rsidRPr="00B53F89">
        <w:t xml:space="preserve"> in the </w:t>
      </w:r>
      <w:r w:rsidR="00F14E81" w:rsidRPr="00B53F89">
        <w:t>FYSO 2020</w:t>
      </w:r>
      <w:r w:rsidR="00142C48" w:rsidRPr="00B53F89">
        <w:t>–</w:t>
      </w:r>
      <w:r w:rsidR="00F14E81" w:rsidRPr="00B53F89">
        <w:t>2</w:t>
      </w:r>
      <w:r w:rsidR="008279B2" w:rsidRPr="00B53F89">
        <w:t>4</w:t>
      </w:r>
      <w:r w:rsidR="00F14E81" w:rsidRPr="00B53F89">
        <w:t>.</w:t>
      </w:r>
    </w:p>
    <w:p w14:paraId="0C42D5BD" w14:textId="3EAD452C" w:rsidR="007F1A09" w:rsidRPr="00B53F89" w:rsidRDefault="00DB5A42" w:rsidP="00D7755E">
      <w:r w:rsidRPr="00B53F89">
        <w:t xml:space="preserve">As technology </w:t>
      </w:r>
      <w:r w:rsidR="0070084E" w:rsidRPr="00B53F89">
        <w:t>develops, it is able to use available spectrum more efficiently</w:t>
      </w:r>
      <w:r w:rsidR="00B11728" w:rsidRPr="00B53F89">
        <w:t xml:space="preserve">. </w:t>
      </w:r>
      <w:r w:rsidR="00037A1C" w:rsidRPr="00B53F89">
        <w:t>Examples i</w:t>
      </w:r>
      <w:r w:rsidR="007F1A09" w:rsidRPr="00B53F89">
        <w:t>nclud</w:t>
      </w:r>
      <w:r w:rsidR="00037A1C" w:rsidRPr="00B53F89">
        <w:t>e</w:t>
      </w:r>
      <w:r w:rsidR="007F1A09" w:rsidRPr="00B53F89">
        <w:t xml:space="preserve"> more efficient radiocommunications transmission and encoding technologies</w:t>
      </w:r>
      <w:r w:rsidR="00297CE0" w:rsidRPr="00B53F89">
        <w:t>,</w:t>
      </w:r>
      <w:r w:rsidR="00037A1C" w:rsidRPr="00B53F89">
        <w:t xml:space="preserve"> and</w:t>
      </w:r>
      <w:r w:rsidR="007F1A09" w:rsidRPr="00B53F89">
        <w:t xml:space="preserve"> </w:t>
      </w:r>
      <w:r w:rsidR="00037A1C" w:rsidRPr="00B53F89">
        <w:t xml:space="preserve">improved </w:t>
      </w:r>
      <w:r w:rsidR="007F1A09" w:rsidRPr="00B53F89">
        <w:t>antenna technology</w:t>
      </w:r>
      <w:r w:rsidR="001C4306" w:rsidRPr="00B53F89">
        <w:t xml:space="preserve"> that </w:t>
      </w:r>
      <w:r w:rsidR="007F1A09" w:rsidRPr="00B53F89">
        <w:t>provide</w:t>
      </w:r>
      <w:r w:rsidR="00037A1C" w:rsidRPr="00B53F89">
        <w:t>s</w:t>
      </w:r>
      <w:r w:rsidR="007F1A09" w:rsidRPr="00B53F89">
        <w:t xml:space="preserve"> greater options in the use of high frequency bands.</w:t>
      </w:r>
    </w:p>
    <w:p w14:paraId="66668FB5" w14:textId="77777777" w:rsidR="006521B4" w:rsidRDefault="009F6560" w:rsidP="00D7755E">
      <w:r w:rsidRPr="00B53F89">
        <w:t>Demand for spectrum is often influenced by the state of competition in downstream markets and the desire to gain a competitive advantage over rivals. The ACMA intends to further develop its consideration of the impact of spectrum allocation on downstream markets, in particular the state of, and opportunities for, competition in those markets</w:t>
      </w:r>
      <w:r w:rsidR="00372B2A" w:rsidRPr="00B53F89">
        <w:t>,</w:t>
      </w:r>
      <w:r w:rsidRPr="00B53F89">
        <w:t xml:space="preserve"> in </w:t>
      </w:r>
      <w:r w:rsidR="00372B2A" w:rsidRPr="00B53F89">
        <w:t>future</w:t>
      </w:r>
      <w:r w:rsidRPr="00B53F89">
        <w:t xml:space="preserve"> FYSO</w:t>
      </w:r>
      <w:r w:rsidR="00372B2A" w:rsidRPr="00B53F89">
        <w:t>s</w:t>
      </w:r>
      <w:r w:rsidRPr="00B53F89">
        <w:t xml:space="preserve">. The ACMA will seek input from stakeholders as part of ensuring competition is considered holistically in the planning and management of spectrum. </w:t>
      </w:r>
    </w:p>
    <w:p w14:paraId="04DE055E" w14:textId="7890CF1D" w:rsidR="00C364F1" w:rsidRPr="00B53F89" w:rsidRDefault="00C364F1" w:rsidP="00D7755E">
      <w:pPr>
        <w:rPr>
          <w:rStyle w:val="Heading2Char"/>
          <w:rFonts w:cs="Times New Roman"/>
          <w:b w:val="0"/>
          <w:bCs w:val="0"/>
          <w:sz w:val="20"/>
          <w:szCs w:val="24"/>
        </w:rPr>
      </w:pPr>
      <w:r w:rsidRPr="006A2F04">
        <w:t>The ACMA’s spectrum planning work program support</w:t>
      </w:r>
      <w:r w:rsidR="006714FD" w:rsidRPr="00B53F89">
        <w:t>s</w:t>
      </w:r>
      <w:r w:rsidRPr="00B53F89">
        <w:t xml:space="preserve"> the evolution of technical framework</w:t>
      </w:r>
      <w:r w:rsidR="006F4C38" w:rsidRPr="00B53F89">
        <w:t>s that</w:t>
      </w:r>
      <w:r w:rsidRPr="00B53F89">
        <w:t xml:space="preserve"> support more efficient technologies within an existing use.</w:t>
      </w:r>
    </w:p>
    <w:p w14:paraId="123E0E27" w14:textId="5BB5C431" w:rsidR="00500299" w:rsidRPr="00B53F89" w:rsidRDefault="00CF322E" w:rsidP="00D7755E">
      <w:pPr>
        <w:rPr>
          <w:rFonts w:cs="Arial"/>
          <w:bCs/>
          <w:szCs w:val="26"/>
        </w:rPr>
      </w:pPr>
      <w:r w:rsidRPr="00B53F89">
        <w:rPr>
          <w:rFonts w:cs="Arial"/>
          <w:bCs/>
          <w:szCs w:val="26"/>
        </w:rPr>
        <w:t>The ACMA’s response to these demand pressures</w:t>
      </w:r>
      <w:r w:rsidR="003F2C91" w:rsidRPr="00B53F89">
        <w:rPr>
          <w:rFonts w:cs="Arial"/>
          <w:bCs/>
          <w:szCs w:val="26"/>
        </w:rPr>
        <w:t xml:space="preserve"> for 2019</w:t>
      </w:r>
      <w:r w:rsidR="004F5E5F" w:rsidRPr="00B53F89">
        <w:rPr>
          <w:rFonts w:cs="Arial"/>
          <w:bCs/>
          <w:szCs w:val="26"/>
        </w:rPr>
        <w:t>–</w:t>
      </w:r>
      <w:r w:rsidR="003F2C91" w:rsidRPr="00B53F89">
        <w:rPr>
          <w:rFonts w:cs="Arial"/>
          <w:bCs/>
          <w:szCs w:val="26"/>
        </w:rPr>
        <w:t>20</w:t>
      </w:r>
      <w:r w:rsidRPr="00B53F89">
        <w:rPr>
          <w:rFonts w:cs="Arial"/>
          <w:bCs/>
          <w:szCs w:val="26"/>
        </w:rPr>
        <w:t xml:space="preserve"> is outlined in </w:t>
      </w:r>
      <w:r w:rsidR="001C4306" w:rsidRPr="00B53F89">
        <w:rPr>
          <w:rFonts w:cs="Arial"/>
          <w:bCs/>
          <w:szCs w:val="26"/>
        </w:rPr>
        <w:t xml:space="preserve">more detail </w:t>
      </w:r>
      <w:r w:rsidRPr="00B53F89">
        <w:rPr>
          <w:rFonts w:cs="Arial"/>
          <w:bCs/>
          <w:szCs w:val="26"/>
        </w:rPr>
        <w:t>in the planning and allocation work stream activities</w:t>
      </w:r>
      <w:r w:rsidR="000D4B8E" w:rsidRPr="00B53F89">
        <w:rPr>
          <w:rFonts w:cs="Arial"/>
          <w:bCs/>
          <w:szCs w:val="26"/>
        </w:rPr>
        <w:t xml:space="preserve"> in</w:t>
      </w:r>
      <w:r w:rsidR="00500299" w:rsidRPr="00B53F89">
        <w:rPr>
          <w:rFonts w:cs="Arial"/>
          <w:bCs/>
          <w:szCs w:val="26"/>
        </w:rPr>
        <w:t xml:space="preserve"> </w:t>
      </w:r>
      <w:r w:rsidR="00037A1C" w:rsidRPr="00B53F89">
        <w:t>Part 2</w:t>
      </w:r>
      <w:r w:rsidR="00242E62" w:rsidRPr="00B53F89">
        <w:rPr>
          <w:rFonts w:cs="Arial"/>
          <w:bCs/>
          <w:szCs w:val="26"/>
        </w:rPr>
        <w:t>.</w:t>
      </w:r>
    </w:p>
    <w:p w14:paraId="7B0E7DB0" w14:textId="1657B168" w:rsidR="00E02ED8" w:rsidRPr="00B53F89" w:rsidRDefault="00B5645B" w:rsidP="00D7755E">
      <w:pPr>
        <w:rPr>
          <w:rFonts w:cs="Arial"/>
          <w:bCs/>
          <w:szCs w:val="26"/>
        </w:rPr>
      </w:pPr>
      <w:r w:rsidRPr="00B53F89">
        <w:rPr>
          <w:rFonts w:cs="Arial"/>
          <w:bCs/>
          <w:szCs w:val="26"/>
        </w:rPr>
        <w:t>Part 1 (t</w:t>
      </w:r>
      <w:r w:rsidR="00B269A2" w:rsidRPr="00B53F89">
        <w:rPr>
          <w:rFonts w:cs="Arial"/>
          <w:bCs/>
          <w:szCs w:val="26"/>
        </w:rPr>
        <w:t>he five</w:t>
      </w:r>
      <w:r w:rsidR="0058077F" w:rsidRPr="00B53F89">
        <w:rPr>
          <w:rFonts w:cs="Arial"/>
          <w:bCs/>
          <w:szCs w:val="26"/>
        </w:rPr>
        <w:t>-</w:t>
      </w:r>
      <w:r w:rsidR="00B269A2" w:rsidRPr="00B53F89">
        <w:rPr>
          <w:rFonts w:cs="Arial"/>
          <w:bCs/>
          <w:szCs w:val="26"/>
        </w:rPr>
        <w:t xml:space="preserve">year </w:t>
      </w:r>
      <w:r w:rsidR="00FD5CC7" w:rsidRPr="00B53F89">
        <w:rPr>
          <w:rFonts w:cs="Arial"/>
          <w:bCs/>
          <w:szCs w:val="26"/>
        </w:rPr>
        <w:t xml:space="preserve">spectrum </w:t>
      </w:r>
      <w:r w:rsidRPr="00B53F89">
        <w:rPr>
          <w:rFonts w:cs="Arial"/>
          <w:bCs/>
          <w:szCs w:val="26"/>
        </w:rPr>
        <w:t>outlook)</w:t>
      </w:r>
      <w:r w:rsidR="00B269A2" w:rsidRPr="00B53F89" w:rsidDel="00B5645B">
        <w:rPr>
          <w:rFonts w:cs="Arial"/>
          <w:bCs/>
          <w:szCs w:val="26"/>
        </w:rPr>
        <w:t xml:space="preserve"> </w:t>
      </w:r>
      <w:r w:rsidR="003039C5" w:rsidRPr="00B53F89">
        <w:rPr>
          <w:rFonts w:cs="Arial"/>
          <w:bCs/>
          <w:szCs w:val="26"/>
        </w:rPr>
        <w:t xml:space="preserve">does not give timing commitments as experience shows the relative priority of work in future years is liable to change. The intention </w:t>
      </w:r>
      <w:r w:rsidRPr="00B53F89">
        <w:rPr>
          <w:rFonts w:cs="Arial"/>
          <w:bCs/>
          <w:szCs w:val="26"/>
        </w:rPr>
        <w:t xml:space="preserve">here </w:t>
      </w:r>
      <w:r w:rsidR="003039C5" w:rsidRPr="00B53F89">
        <w:rPr>
          <w:rFonts w:cs="Arial"/>
          <w:bCs/>
          <w:szCs w:val="26"/>
        </w:rPr>
        <w:t>is</w:t>
      </w:r>
      <w:r w:rsidR="009A42F6" w:rsidRPr="00B53F89">
        <w:rPr>
          <w:rFonts w:cs="Arial"/>
          <w:bCs/>
          <w:szCs w:val="26"/>
        </w:rPr>
        <w:t xml:space="preserve"> to alert stakeholders to the</w:t>
      </w:r>
      <w:r w:rsidR="006E6B6B" w:rsidRPr="00B53F89">
        <w:rPr>
          <w:rFonts w:cs="Arial"/>
          <w:bCs/>
          <w:szCs w:val="26"/>
        </w:rPr>
        <w:t xml:space="preserve"> medium and</w:t>
      </w:r>
      <w:r w:rsidR="009A42F6" w:rsidRPr="00B53F89">
        <w:rPr>
          <w:rFonts w:cs="Arial"/>
          <w:bCs/>
          <w:szCs w:val="26"/>
        </w:rPr>
        <w:t xml:space="preserve"> </w:t>
      </w:r>
      <w:r w:rsidRPr="00B53F89">
        <w:rPr>
          <w:rFonts w:cs="Arial"/>
          <w:bCs/>
          <w:szCs w:val="26"/>
        </w:rPr>
        <w:t>longer</w:t>
      </w:r>
      <w:r w:rsidR="00D50FE7" w:rsidRPr="00B53F89">
        <w:rPr>
          <w:rFonts w:cs="Arial"/>
          <w:bCs/>
          <w:szCs w:val="26"/>
        </w:rPr>
        <w:t>-term</w:t>
      </w:r>
      <w:r w:rsidRPr="00B53F89">
        <w:rPr>
          <w:rFonts w:cs="Arial"/>
          <w:bCs/>
          <w:szCs w:val="26"/>
        </w:rPr>
        <w:t xml:space="preserve"> </w:t>
      </w:r>
      <w:r w:rsidR="009A42F6" w:rsidRPr="00B53F89">
        <w:rPr>
          <w:rFonts w:cs="Arial"/>
          <w:bCs/>
          <w:szCs w:val="26"/>
        </w:rPr>
        <w:t xml:space="preserve">pressures </w:t>
      </w:r>
      <w:r w:rsidRPr="00B53F89">
        <w:rPr>
          <w:rFonts w:cs="Arial"/>
          <w:bCs/>
          <w:szCs w:val="26"/>
        </w:rPr>
        <w:t xml:space="preserve">that are shaping our immediate work program and </w:t>
      </w:r>
      <w:r w:rsidR="006F4C38" w:rsidRPr="00B53F89">
        <w:rPr>
          <w:rFonts w:cs="Arial"/>
          <w:bCs/>
          <w:szCs w:val="26"/>
        </w:rPr>
        <w:t xml:space="preserve">informing </w:t>
      </w:r>
      <w:r w:rsidR="009A42F6" w:rsidRPr="00B53F89">
        <w:rPr>
          <w:rFonts w:cs="Arial"/>
          <w:bCs/>
          <w:szCs w:val="26"/>
        </w:rPr>
        <w:t xml:space="preserve">future work programs. </w:t>
      </w:r>
    </w:p>
    <w:p w14:paraId="26682908" w14:textId="5E18E4F5" w:rsidR="00311094" w:rsidRPr="00B53F89" w:rsidRDefault="00311094" w:rsidP="00FA7446">
      <w:pPr>
        <w:keepNext/>
        <w:spacing w:after="0"/>
      </w:pPr>
      <w:bookmarkStart w:id="124" w:name="_Toc510795069"/>
      <w:bookmarkStart w:id="125" w:name="_Toc511716270"/>
      <w:bookmarkStart w:id="126" w:name="_Toc511719081"/>
      <w:bookmarkStart w:id="127" w:name="_Toc522794077"/>
      <w:bookmarkEnd w:id="123"/>
      <w:r w:rsidRPr="006A2F04">
        <w:rPr>
          <w:noProof/>
        </w:rPr>
        <w:lastRenderedPageBreak/>
        <w:drawing>
          <wp:inline distT="0" distB="0" distL="0" distR="0" wp14:anchorId="385A81B3" wp14:editId="032E8A18">
            <wp:extent cx="342900" cy="361950"/>
            <wp:effectExtent l="0" t="0" r="0" b="0"/>
            <wp:docPr id="13" name="Picture 13"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7079FFF7" wp14:editId="135D9913">
            <wp:extent cx="342900" cy="361950"/>
            <wp:effectExtent l="0" t="0" r="0" b="0"/>
            <wp:docPr id="10" name="Picture 10" descr="Internet of Thing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Internet of Things icon"/>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12E4F0FA" wp14:editId="73FD6E39">
            <wp:extent cx="342900" cy="361950"/>
            <wp:effectExtent l="0" t="0" r="0" b="0"/>
            <wp:docPr id="7" name="Picture 7"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Point to multipoint icon"/>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6124368C" wp14:editId="454D82E2">
            <wp:extent cx="342900" cy="361950"/>
            <wp:effectExtent l="0" t="0" r="0" b="0"/>
            <wp:docPr id="5" name="Picture 5"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465725" w:rsidRPr="006A2F04">
        <w:rPr>
          <w:noProof/>
        </w:rPr>
        <w:drawing>
          <wp:inline distT="0" distB="0" distL="0" distR="0" wp14:anchorId="746F7B0D" wp14:editId="73D0A2BF">
            <wp:extent cx="341630" cy="359410"/>
            <wp:effectExtent l="0" t="0" r="1270" b="2540"/>
            <wp:docPr id="108" name="Picture 108"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31"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6A2F04">
        <w:rPr>
          <w:noProof/>
        </w:rPr>
        <w:drawing>
          <wp:inline distT="0" distB="0" distL="0" distR="0" wp14:anchorId="5CC997F5" wp14:editId="3CD76E51">
            <wp:extent cx="342900" cy="361950"/>
            <wp:effectExtent l="0" t="0" r="0" b="0"/>
            <wp:docPr id="11" name="Picture 11"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75F8B475" w14:textId="280A18DA" w:rsidR="001F3495" w:rsidRPr="00B53F89" w:rsidRDefault="00B84965" w:rsidP="00D7755E">
      <w:pPr>
        <w:pStyle w:val="Heading3"/>
      </w:pPr>
      <w:bookmarkStart w:id="128" w:name="_Toc18505501"/>
      <w:r w:rsidRPr="00B53F89">
        <w:t>Wireless broadband, including 5G</w:t>
      </w:r>
      <w:bookmarkEnd w:id="124"/>
      <w:bookmarkEnd w:id="125"/>
      <w:bookmarkEnd w:id="126"/>
      <w:bookmarkEnd w:id="127"/>
      <w:bookmarkEnd w:id="128"/>
    </w:p>
    <w:p w14:paraId="3D2A5C4B" w14:textId="24778567" w:rsidR="00500299" w:rsidRPr="00B53F89" w:rsidRDefault="00835321" w:rsidP="00D7755E">
      <w:r w:rsidRPr="00B53F89">
        <w:t xml:space="preserve">Demand for spectrum to support </w:t>
      </w:r>
      <w:r w:rsidR="00B84965" w:rsidRPr="00B53F89">
        <w:t xml:space="preserve">wireless </w:t>
      </w:r>
      <w:r w:rsidRPr="00B53F89">
        <w:t>broadband</w:t>
      </w:r>
      <w:r w:rsidR="000D7086" w:rsidRPr="00B53F89">
        <w:t>, includ</w:t>
      </w:r>
      <w:r w:rsidR="005605BB" w:rsidRPr="00B53F89">
        <w:t>ing</w:t>
      </w:r>
      <w:r w:rsidR="000D7086" w:rsidRPr="00B53F89">
        <w:t xml:space="preserve"> both mobile and fixed applications,</w:t>
      </w:r>
      <w:r w:rsidRPr="00B53F89">
        <w:t xml:space="preserve"> continues to be a major driver for changes in highest-value spectrum use across bands</w:t>
      </w:r>
      <w:r w:rsidR="004D2D68" w:rsidRPr="00B53F89">
        <w:t xml:space="preserve">. </w:t>
      </w:r>
    </w:p>
    <w:p w14:paraId="612FDF84" w14:textId="3227B806" w:rsidR="00D74381" w:rsidRPr="00B53F89" w:rsidRDefault="004D2D68" w:rsidP="00F25AAF">
      <w:pPr>
        <w:keepNext/>
        <w:keepLines/>
      </w:pPr>
      <w:r w:rsidRPr="00B53F89">
        <w:t>M</w:t>
      </w:r>
      <w:r w:rsidR="00835321" w:rsidRPr="00B53F89">
        <w:t>obile broadband</w:t>
      </w:r>
      <w:r w:rsidR="006975FE" w:rsidRPr="00B53F89">
        <w:t xml:space="preserve"> applications</w:t>
      </w:r>
      <w:r w:rsidR="00835321" w:rsidRPr="00B53F89">
        <w:t xml:space="preserve"> continu</w:t>
      </w:r>
      <w:r w:rsidRPr="00B53F89">
        <w:t>e</w:t>
      </w:r>
      <w:r w:rsidR="00835321" w:rsidRPr="00B53F89">
        <w:t xml:space="preserve"> to be </w:t>
      </w:r>
      <w:r w:rsidR="0084769C" w:rsidRPr="00B53F89">
        <w:t>a significant</w:t>
      </w:r>
      <w:r w:rsidR="00BF7D9F" w:rsidRPr="00B53F89">
        <w:t xml:space="preserve"> source</w:t>
      </w:r>
      <w:r w:rsidR="005629C8" w:rsidRPr="00B53F89">
        <w:t xml:space="preserve"> of demand</w:t>
      </w:r>
      <w:r w:rsidR="00835321" w:rsidRPr="00B53F89">
        <w:t>. We anticipate further spectrum will be needed to support the growth in broadband applications and mobile data.</w:t>
      </w:r>
      <w:r w:rsidR="006975FE" w:rsidRPr="00B53F89">
        <w:t xml:space="preserve"> In addition, regulatory arrangements for broadband </w:t>
      </w:r>
      <w:r w:rsidR="00DF30FE" w:rsidRPr="00B53F89">
        <w:t xml:space="preserve">need to </w:t>
      </w:r>
      <w:r w:rsidR="006975FE" w:rsidRPr="00B53F89">
        <w:t>remain current and support</w:t>
      </w:r>
      <w:r w:rsidR="00DA4557" w:rsidRPr="00B53F89">
        <w:t xml:space="preserve"> the</w:t>
      </w:r>
      <w:r w:rsidR="006975FE" w:rsidRPr="00B53F89">
        <w:t xml:space="preserve"> latest technology developments.</w:t>
      </w:r>
      <w:r w:rsidR="00835321" w:rsidRPr="00B53F89">
        <w:t xml:space="preserve"> </w:t>
      </w:r>
    </w:p>
    <w:p w14:paraId="049EC444" w14:textId="7FBD6148" w:rsidR="001F3495" w:rsidRPr="00B53F89" w:rsidRDefault="00835321" w:rsidP="00D7755E">
      <w:r w:rsidRPr="00B53F89">
        <w:t xml:space="preserve">The </w:t>
      </w:r>
      <w:r w:rsidR="00ED0624" w:rsidRPr="00B53F89">
        <w:t xml:space="preserve">current </w:t>
      </w:r>
      <w:r w:rsidR="000E0A8D" w:rsidRPr="00B53F89">
        <w:t>FYSO</w:t>
      </w:r>
      <w:r w:rsidR="001F3495" w:rsidRPr="00B53F89">
        <w:t xml:space="preserve">, including the forward allocation </w:t>
      </w:r>
      <w:r w:rsidR="00BA6010" w:rsidRPr="00B53F89">
        <w:t>work plan</w:t>
      </w:r>
      <w:r w:rsidR="00E57BD4" w:rsidRPr="00B53F89">
        <w:t xml:space="preserve"> </w:t>
      </w:r>
      <w:r w:rsidR="00875AEB" w:rsidRPr="00B53F89">
        <w:t xml:space="preserve">and </w:t>
      </w:r>
      <w:r w:rsidR="00A9736E" w:rsidRPr="00B53F89">
        <w:t xml:space="preserve">reflecting </w:t>
      </w:r>
      <w:r w:rsidR="00875AEB" w:rsidRPr="00B53F89">
        <w:t xml:space="preserve">the </w:t>
      </w:r>
      <w:r w:rsidR="001B05AC" w:rsidRPr="00B53F89">
        <w:t xml:space="preserve"> </w:t>
      </w:r>
      <w:hyperlink r:id="rId51" w:history="1">
        <w:r w:rsidR="001B05AC" w:rsidRPr="00B53F89">
          <w:rPr>
            <w:rStyle w:val="Hyperlink"/>
            <w:i/>
            <w:iCs/>
          </w:rPr>
          <w:t>Mobile broadband strategy—The ACMA’s spectrum management strategy to address growth in mobile broadband capacity</w:t>
        </w:r>
      </w:hyperlink>
      <w:r w:rsidR="001F3495" w:rsidRPr="00B53F89">
        <w:t>,</w:t>
      </w:r>
      <w:r w:rsidRPr="00B53F89">
        <w:t xml:space="preserve"> </w:t>
      </w:r>
      <w:r w:rsidR="00A172C0" w:rsidRPr="00B53F89">
        <w:t xml:space="preserve">outlines </w:t>
      </w:r>
      <w:r w:rsidRPr="00B53F89">
        <w:t xml:space="preserve">the ACMA’s response to </w:t>
      </w:r>
      <w:r w:rsidR="00B84965" w:rsidRPr="00B53F89">
        <w:t xml:space="preserve">wireless </w:t>
      </w:r>
      <w:r w:rsidR="00292BAD" w:rsidRPr="00B53F89">
        <w:t>broadband spectrum demand.</w:t>
      </w:r>
    </w:p>
    <w:p w14:paraId="645D0469" w14:textId="19070C3A" w:rsidR="00AE4753" w:rsidRPr="00B53F89" w:rsidRDefault="00B337BB" w:rsidP="00DE694D">
      <w:pPr>
        <w:pStyle w:val="ListBullet"/>
        <w:numPr>
          <w:ilvl w:val="0"/>
          <w:numId w:val="0"/>
        </w:numPr>
        <w:spacing w:after="240"/>
      </w:pPr>
      <w:bookmarkStart w:id="129" w:name="_Hlk1983307"/>
      <w:r w:rsidRPr="00B53F89">
        <w:t>T</w:t>
      </w:r>
      <w:r w:rsidR="003E6CF6" w:rsidRPr="00B53F89">
        <w:t xml:space="preserve">he </w:t>
      </w:r>
      <w:r w:rsidR="003E6CF6" w:rsidRPr="00B53F89" w:rsidDel="005218A1">
        <w:t xml:space="preserve">ACMA </w:t>
      </w:r>
      <w:r w:rsidR="003E6CF6" w:rsidRPr="00B53F89">
        <w:t xml:space="preserve">recognises </w:t>
      </w:r>
      <w:r w:rsidRPr="00B53F89">
        <w:t xml:space="preserve">three </w:t>
      </w:r>
      <w:r w:rsidR="003E6CF6" w:rsidRPr="00B53F89">
        <w:t>broad categories of</w:t>
      </w:r>
      <w:r w:rsidR="00EB414F" w:rsidRPr="00B53F89">
        <w:t xml:space="preserve"> wireless broadband</w:t>
      </w:r>
      <w:r w:rsidR="003E6CF6" w:rsidRPr="00B53F89">
        <w:t xml:space="preserve"> use </w:t>
      </w:r>
      <w:r w:rsidR="00594766" w:rsidRPr="00B53F89">
        <w:t xml:space="preserve">and </w:t>
      </w:r>
      <w:r w:rsidR="003E6CF6" w:rsidRPr="00B53F89">
        <w:t xml:space="preserve">notes that deployments in practice may </w:t>
      </w:r>
      <w:r w:rsidR="00947B86" w:rsidRPr="00B53F89">
        <w:t>reflect</w:t>
      </w:r>
      <w:r w:rsidR="002C75CA" w:rsidRPr="00B53F89">
        <w:t xml:space="preserve"> </w:t>
      </w:r>
      <w:r w:rsidR="003E6CF6" w:rsidRPr="00B53F89">
        <w:t>combination</w:t>
      </w:r>
      <w:r w:rsidR="002C75CA" w:rsidRPr="00B53F89">
        <w:t>s</w:t>
      </w:r>
      <w:r w:rsidR="003E6CF6" w:rsidRPr="00B53F89">
        <w:t xml:space="preserve"> of these categories. </w:t>
      </w:r>
    </w:p>
    <w:p w14:paraId="2B7A6E82" w14:textId="57880367" w:rsidR="00AE4753" w:rsidRPr="00B53F89" w:rsidRDefault="003E6CF6" w:rsidP="00DE694D">
      <w:pPr>
        <w:pStyle w:val="ListBullet"/>
        <w:numPr>
          <w:ilvl w:val="0"/>
          <w:numId w:val="0"/>
        </w:numPr>
        <w:spacing w:after="240"/>
      </w:pPr>
      <w:r w:rsidRPr="00B53F89">
        <w:t>The first</w:t>
      </w:r>
      <w:r w:rsidR="004F5E5F" w:rsidRPr="00B53F89">
        <w:t xml:space="preserve"> is that of</w:t>
      </w:r>
      <w:r w:rsidRPr="00B53F89">
        <w:t xml:space="preserve"> wide-area subscriber networks, served by ubiquitous base stations operated by one or more mobile service providers</w:t>
      </w:r>
      <w:r w:rsidR="00607236" w:rsidRPr="00B53F89">
        <w:t>—</w:t>
      </w:r>
      <w:r w:rsidRPr="00B53F89">
        <w:t xml:space="preserve">this </w:t>
      </w:r>
      <w:r w:rsidR="00594766" w:rsidRPr="00B53F89">
        <w:t xml:space="preserve">category </w:t>
      </w:r>
      <w:r w:rsidRPr="00B53F89">
        <w:t xml:space="preserve">could be considered ‘conventional’ telecommunication carrier </w:t>
      </w:r>
      <w:r w:rsidR="00594766" w:rsidRPr="00B53F89">
        <w:t xml:space="preserve">mobile broadband </w:t>
      </w:r>
      <w:r w:rsidRPr="00B53F89">
        <w:t xml:space="preserve">operations. </w:t>
      </w:r>
    </w:p>
    <w:p w14:paraId="58EB320E" w14:textId="38D2A9CB" w:rsidR="00AE4753" w:rsidRPr="00B53F89" w:rsidRDefault="003E6CF6">
      <w:pPr>
        <w:pStyle w:val="ListBullet"/>
        <w:numPr>
          <w:ilvl w:val="0"/>
          <w:numId w:val="0"/>
        </w:numPr>
        <w:spacing w:after="240"/>
      </w:pPr>
      <w:r w:rsidRPr="00B53F89">
        <w:t xml:space="preserve">The second </w:t>
      </w:r>
      <w:r w:rsidR="00594766" w:rsidRPr="00B53F89">
        <w:t xml:space="preserve">category reflects </w:t>
      </w:r>
      <w:r w:rsidRPr="00B53F89">
        <w:t>more limited market subscriber networks over smaller, localised ar</w:t>
      </w:r>
      <w:r w:rsidR="00500299" w:rsidRPr="00B53F89">
        <w:t>e</w:t>
      </w:r>
      <w:r w:rsidRPr="00B53F89">
        <w:t>as, including</w:t>
      </w:r>
      <w:r w:rsidR="00607236" w:rsidRPr="00B53F89">
        <w:t xml:space="preserve">, </w:t>
      </w:r>
      <w:r w:rsidRPr="00B53F89">
        <w:t>but not limited to</w:t>
      </w:r>
      <w:r w:rsidR="00607236" w:rsidRPr="00B53F89">
        <w:t xml:space="preserve">, </w:t>
      </w:r>
      <w:r w:rsidRPr="00B53F89">
        <w:t xml:space="preserve">fixed wireless broadband and fleet-oriented services. </w:t>
      </w:r>
    </w:p>
    <w:p w14:paraId="6D70BC1C" w14:textId="23E17E04" w:rsidR="00AB5442" w:rsidRPr="00B53F89" w:rsidRDefault="00AB5442" w:rsidP="00772993">
      <w:pPr>
        <w:pStyle w:val="ListBullet"/>
        <w:numPr>
          <w:ilvl w:val="0"/>
          <w:numId w:val="0"/>
        </w:numPr>
        <w:tabs>
          <w:tab w:val="left" w:pos="720"/>
        </w:tabs>
        <w:spacing w:after="240"/>
      </w:pPr>
      <w:r w:rsidRPr="00B53F89">
        <w:t xml:space="preserve">The ACMA continues to provide support for local area fixed wireless access (FWA). </w:t>
      </w:r>
      <w:r w:rsidR="005A3409" w:rsidRPr="00B53F89">
        <w:t xml:space="preserve">Services provided by </w:t>
      </w:r>
      <w:r w:rsidRPr="00B53F89">
        <w:t>Wireless ISP</w:t>
      </w:r>
      <w:r w:rsidR="00136E32" w:rsidRPr="00B53F89">
        <w:t>s</w:t>
      </w:r>
      <w:r w:rsidRPr="00B53F89">
        <w:t xml:space="preserve"> (WISP</w:t>
      </w:r>
      <w:r w:rsidR="00136E32" w:rsidRPr="00B53F89">
        <w:t>s</w:t>
      </w:r>
      <w:r w:rsidRPr="00B53F89">
        <w:t>) are a good example of this type of use. Many of the bands</w:t>
      </w:r>
      <w:r w:rsidR="000A6F02" w:rsidRPr="00B53F89">
        <w:t xml:space="preserve"> that are suitable for </w:t>
      </w:r>
      <w:r w:rsidR="00BB6309" w:rsidRPr="00B53F89">
        <w:t>FWA</w:t>
      </w:r>
      <w:r w:rsidRPr="00B53F89">
        <w:t xml:space="preserve"> are subject to spectrum licensing</w:t>
      </w:r>
      <w:r w:rsidR="00E24427" w:rsidRPr="00B53F89">
        <w:t xml:space="preserve"> in </w:t>
      </w:r>
      <w:r w:rsidR="00BB6309" w:rsidRPr="00B53F89">
        <w:t xml:space="preserve">the relevant </w:t>
      </w:r>
      <w:r w:rsidR="00E24427" w:rsidRPr="00B53F89">
        <w:t>geographical ar</w:t>
      </w:r>
      <w:r w:rsidR="00136E32" w:rsidRPr="00B53F89">
        <w:t>e</w:t>
      </w:r>
      <w:r w:rsidR="00E24427" w:rsidRPr="00B53F89">
        <w:t>as</w:t>
      </w:r>
      <w:r w:rsidRPr="00B53F89">
        <w:t xml:space="preserve">. </w:t>
      </w:r>
      <w:r w:rsidR="00BB6309" w:rsidRPr="00B53F89">
        <w:t xml:space="preserve">Spectrum licensing </w:t>
      </w:r>
      <w:r w:rsidR="00E24427" w:rsidRPr="00B53F89">
        <w:t xml:space="preserve">arrangements </w:t>
      </w:r>
      <w:r w:rsidR="009D643B" w:rsidRPr="00B53F89">
        <w:t>may</w:t>
      </w:r>
      <w:r w:rsidR="00E24427" w:rsidRPr="00B53F89">
        <w:t xml:space="preserve"> </w:t>
      </w:r>
      <w:r w:rsidRPr="00B53F89">
        <w:t>not</w:t>
      </w:r>
      <w:r w:rsidR="009D643B" w:rsidRPr="00B53F89">
        <w:t xml:space="preserve"> be</w:t>
      </w:r>
      <w:r w:rsidRPr="00B53F89">
        <w:t xml:space="preserve"> ideal for small and medium enterprises (SME)</w:t>
      </w:r>
      <w:r w:rsidR="00BB6309" w:rsidRPr="00B53F89">
        <w:t xml:space="preserve">, and </w:t>
      </w:r>
      <w:r w:rsidRPr="00B53F89">
        <w:t>apparatus-licensed arrangements</w:t>
      </w:r>
      <w:r w:rsidR="00E24427" w:rsidRPr="00B53F89">
        <w:t xml:space="preserve"> are often preferred</w:t>
      </w:r>
      <w:r w:rsidRPr="00B53F89">
        <w:t>. Part 2 discusses a number of possible bands and access arrangements at various stages of maturity that may provide options for SME FWA interests (recognising that not all bands, if implemented, will be suitable for all FWA deployment models)</w:t>
      </w:r>
      <w:r w:rsidR="00023A5C" w:rsidRPr="00B53F89">
        <w:t>. Most notably, these bands are</w:t>
      </w:r>
      <w:r w:rsidRPr="00B53F89">
        <w:t>:</w:t>
      </w:r>
    </w:p>
    <w:p w14:paraId="18ED7DB4" w14:textId="1A6ABBF6" w:rsidR="00AB5442" w:rsidRPr="00B53F89" w:rsidRDefault="00AB5442" w:rsidP="00772993">
      <w:pPr>
        <w:pStyle w:val="ListBullet"/>
        <w:ind w:left="284" w:hanging="284"/>
      </w:pPr>
      <w:r w:rsidRPr="00B53F89">
        <w:t>5.6 GHz band</w:t>
      </w:r>
      <w:r w:rsidR="004C59CC" w:rsidRPr="00B53F89">
        <w:t xml:space="preserve"> (5600–5650 MHz)</w:t>
      </w:r>
      <w:r w:rsidRPr="00B53F89">
        <w:t xml:space="preserve"> arrangements shared with weather radar</w:t>
      </w:r>
    </w:p>
    <w:p w14:paraId="69FC1BDC" w14:textId="30C0A82A" w:rsidR="00AB5442" w:rsidRPr="00B53F89" w:rsidRDefault="00AB5442" w:rsidP="00772993">
      <w:pPr>
        <w:pStyle w:val="ListBullet"/>
        <w:ind w:left="284" w:hanging="284"/>
      </w:pPr>
      <w:r w:rsidRPr="00B53F89">
        <w:t>26</w:t>
      </w:r>
      <w:r w:rsidR="00F23C27" w:rsidRPr="00B53F89">
        <w:t xml:space="preserve"> GHz (24.25–27.5 GHz)</w:t>
      </w:r>
      <w:r w:rsidRPr="00B53F89">
        <w:t xml:space="preserve"> and 28 GHz</w:t>
      </w:r>
      <w:r w:rsidR="00F23C27" w:rsidRPr="00B53F89">
        <w:t xml:space="preserve"> (27.5–29.5 GHz)</w:t>
      </w:r>
    </w:p>
    <w:p w14:paraId="07C5ACFA" w14:textId="7690402A" w:rsidR="00AB5442" w:rsidRPr="00B53F89" w:rsidRDefault="00E66711" w:rsidP="00772993">
      <w:pPr>
        <w:pStyle w:val="ListBullet"/>
        <w:ind w:left="284" w:hanging="284"/>
      </w:pPr>
      <w:r w:rsidRPr="00B53F89">
        <w:t>3700–4200 MHz</w:t>
      </w:r>
    </w:p>
    <w:p w14:paraId="4589B56E" w14:textId="16FA70B7" w:rsidR="00AB5442" w:rsidRPr="00B53F89" w:rsidRDefault="00FC5CF7" w:rsidP="00772993">
      <w:pPr>
        <w:pStyle w:val="ListBulletLast"/>
        <w:ind w:left="284" w:hanging="284"/>
      </w:pPr>
      <w:r w:rsidRPr="00B53F89">
        <w:t xml:space="preserve">a number of </w:t>
      </w:r>
      <w:r w:rsidR="00AB5442" w:rsidRPr="00B53F89">
        <w:t>sub</w:t>
      </w:r>
      <w:r w:rsidR="00A53364" w:rsidRPr="00B53F89">
        <w:t>-</w:t>
      </w:r>
      <w:r w:rsidR="00AB5442" w:rsidRPr="00B53F89">
        <w:t>6 GHz bands that may be candidates for new spectrum-sharing approaches</w:t>
      </w:r>
      <w:r w:rsidR="00F25AAF" w:rsidRPr="00B53F89">
        <w:t>.</w:t>
      </w:r>
    </w:p>
    <w:p w14:paraId="0D6F8E81" w14:textId="4F365854" w:rsidR="003E6CF6" w:rsidRPr="00B53F89" w:rsidRDefault="003E6CF6" w:rsidP="00DE694D">
      <w:pPr>
        <w:pStyle w:val="ListBullet"/>
        <w:numPr>
          <w:ilvl w:val="0"/>
          <w:numId w:val="0"/>
        </w:numPr>
        <w:spacing w:after="240"/>
      </w:pPr>
      <w:r w:rsidRPr="00B53F89">
        <w:t xml:space="preserve">The final </w:t>
      </w:r>
      <w:r w:rsidR="00AB5442" w:rsidRPr="00B53F89">
        <w:t>category of wireless broadband</w:t>
      </w:r>
      <w:r w:rsidRPr="00B53F89">
        <w:t xml:space="preserve"> covers business enterprise services operated by private entities within the confines of their own premises or land estate</w:t>
      </w:r>
      <w:r w:rsidR="00607236" w:rsidRPr="00B53F89">
        <w:t>—</w:t>
      </w:r>
      <w:r w:rsidRPr="00B53F89">
        <w:t>for example</w:t>
      </w:r>
      <w:r w:rsidR="004F5E5F" w:rsidRPr="00B53F89">
        <w:t>,</w:t>
      </w:r>
      <w:r w:rsidRPr="00B53F89">
        <w:t xml:space="preserve"> a hospital, education precinct or an industrial facility.</w:t>
      </w:r>
    </w:p>
    <w:p w14:paraId="0FE27B90" w14:textId="10E3A816" w:rsidR="00B337BB" w:rsidRPr="00B53F89" w:rsidRDefault="00875AEB" w:rsidP="00772993">
      <w:bookmarkStart w:id="130" w:name="_Toc509581801"/>
      <w:bookmarkStart w:id="131" w:name="_Toc509585117"/>
      <w:bookmarkStart w:id="132" w:name="_Toc509585653"/>
      <w:bookmarkStart w:id="133" w:name="_Toc510104932"/>
      <w:bookmarkStart w:id="134" w:name="_Toc510105729"/>
      <w:r w:rsidRPr="00B53F89">
        <w:t xml:space="preserve">The rapid development of the next generation of wireless broadband technology, known as 5G, has emerged as </w:t>
      </w:r>
      <w:r w:rsidR="005629C8" w:rsidRPr="00B53F89">
        <w:t>a key</w:t>
      </w:r>
      <w:r w:rsidRPr="00B53F89">
        <w:t xml:space="preserve"> driver of </w:t>
      </w:r>
      <w:r w:rsidR="00BF7D9F" w:rsidRPr="00B53F89">
        <w:t xml:space="preserve">change to existing </w:t>
      </w:r>
      <w:r w:rsidRPr="00B53F89">
        <w:t xml:space="preserve">spectrum </w:t>
      </w:r>
      <w:r w:rsidR="00BF7D9F" w:rsidRPr="00B53F89">
        <w:t>arrangements</w:t>
      </w:r>
      <w:r w:rsidRPr="00B53F89">
        <w:t xml:space="preserve">. This is </w:t>
      </w:r>
      <w:r w:rsidR="00B337BB" w:rsidRPr="00B53F89">
        <w:t>due to:</w:t>
      </w:r>
    </w:p>
    <w:p w14:paraId="54D1D523" w14:textId="2CE1726D" w:rsidR="00B337BB" w:rsidRPr="00B53F89" w:rsidRDefault="00BF7D9F" w:rsidP="00772993">
      <w:pPr>
        <w:pStyle w:val="ListBullet"/>
        <w:ind w:left="284" w:hanging="289"/>
      </w:pPr>
      <w:r w:rsidRPr="00B53F89">
        <w:lastRenderedPageBreak/>
        <w:t xml:space="preserve">the potential for </w:t>
      </w:r>
      <w:r w:rsidR="003E6CF6" w:rsidRPr="00B53F89">
        <w:t>re-farming</w:t>
      </w:r>
      <w:r w:rsidRPr="00B53F89">
        <w:t xml:space="preserve"> additional</w:t>
      </w:r>
      <w:r w:rsidR="00875AEB" w:rsidRPr="00B53F89">
        <w:t xml:space="preserve"> spectrum bands to support its deployment</w:t>
      </w:r>
    </w:p>
    <w:p w14:paraId="2C6F7238" w14:textId="78414996" w:rsidR="00B337BB" w:rsidRPr="00B53F89" w:rsidRDefault="00594766" w:rsidP="00772993">
      <w:pPr>
        <w:pStyle w:val="ListBullet"/>
        <w:ind w:left="284" w:hanging="289"/>
      </w:pPr>
      <w:r w:rsidRPr="00B53F89">
        <w:t xml:space="preserve">the </w:t>
      </w:r>
      <w:r w:rsidR="00BF7D9F" w:rsidRPr="00B53F89">
        <w:t>characteristics</w:t>
      </w:r>
      <w:r w:rsidRPr="00B53F89">
        <w:t xml:space="preserve"> of 5G</w:t>
      </w:r>
      <w:r w:rsidR="00F81C86" w:rsidRPr="00B53F89">
        <w:t xml:space="preserve"> (such as </w:t>
      </w:r>
      <w:r w:rsidR="009C65CB" w:rsidRPr="00B53F89">
        <w:t>the need to accommodate</w:t>
      </w:r>
      <w:r w:rsidR="00F81C86" w:rsidRPr="00B53F89">
        <w:t xml:space="preserve"> </w:t>
      </w:r>
      <w:r w:rsidR="007F068B" w:rsidRPr="00B53F89">
        <w:t>broader channel bandwidths</w:t>
      </w:r>
      <w:r w:rsidR="00F81C86" w:rsidRPr="00B53F89">
        <w:t>)</w:t>
      </w:r>
    </w:p>
    <w:p w14:paraId="59DC1B1A" w14:textId="02C74B98" w:rsidR="0084523B" w:rsidRPr="00B53F89" w:rsidRDefault="00BF7D9F" w:rsidP="00772993">
      <w:pPr>
        <w:pStyle w:val="ListBulletLast"/>
        <w:ind w:left="284" w:hanging="289"/>
      </w:pPr>
      <w:r w:rsidRPr="00B53F89">
        <w:t xml:space="preserve">some of the bands into which </w:t>
      </w:r>
      <w:r w:rsidR="00594766" w:rsidRPr="00B53F89">
        <w:t xml:space="preserve">5G </w:t>
      </w:r>
      <w:r w:rsidRPr="00B53F89">
        <w:t>will be introduced</w:t>
      </w:r>
      <w:r w:rsidR="00B337BB" w:rsidRPr="00B53F89">
        <w:t xml:space="preserve"> </w:t>
      </w:r>
      <w:r w:rsidRPr="00B53F89">
        <w:t>challenge us to consider new ways to</w:t>
      </w:r>
      <w:r w:rsidR="00875AEB" w:rsidRPr="00B53F89">
        <w:t xml:space="preserve"> plan and licen</w:t>
      </w:r>
      <w:r w:rsidRPr="00B53F89">
        <w:t>se</w:t>
      </w:r>
      <w:r w:rsidR="00875AEB" w:rsidRPr="00B53F89">
        <w:t xml:space="preserve"> that spectrum.</w:t>
      </w:r>
    </w:p>
    <w:p w14:paraId="3A1DA825" w14:textId="1060C02F" w:rsidR="00B337BB" w:rsidRPr="00B53F89" w:rsidRDefault="00D26845" w:rsidP="00D7755E">
      <w:pPr>
        <w:rPr>
          <w:rFonts w:cs="Arial"/>
        </w:rPr>
      </w:pPr>
      <w:r w:rsidRPr="00B53F89">
        <w:rPr>
          <w:rFonts w:cs="Arial"/>
        </w:rPr>
        <w:t>Reviewing the arrangements in bands that are already licensed for wireless broadband is important to ensure existing allocations are efficient and can cater for new technology developments</w:t>
      </w:r>
      <w:r w:rsidR="00990D9B" w:rsidRPr="00B53F89">
        <w:rPr>
          <w:rFonts w:cs="Arial"/>
        </w:rPr>
        <w:t>,</w:t>
      </w:r>
      <w:r w:rsidRPr="00B53F89">
        <w:rPr>
          <w:rFonts w:cs="Arial"/>
        </w:rPr>
        <w:t xml:space="preserve"> such as 5G. </w:t>
      </w:r>
      <w:r w:rsidR="00727FEB" w:rsidRPr="00B53F89">
        <w:rPr>
          <w:rFonts w:cs="Arial"/>
        </w:rPr>
        <w:t>The ACMA’s work program includes a number of projects that consider optimising existing planning fr</w:t>
      </w:r>
      <w:r w:rsidR="0083252D" w:rsidRPr="00B53F89">
        <w:rPr>
          <w:rFonts w:cs="Arial"/>
        </w:rPr>
        <w:t>ame</w:t>
      </w:r>
      <w:r w:rsidR="00727FEB" w:rsidRPr="00B53F89">
        <w:rPr>
          <w:rFonts w:cs="Arial"/>
        </w:rPr>
        <w:t>works.</w:t>
      </w:r>
    </w:p>
    <w:bookmarkEnd w:id="129"/>
    <w:p w14:paraId="6C088956" w14:textId="4369204C" w:rsidR="005629C8" w:rsidRPr="00B53F89" w:rsidRDefault="0084523B" w:rsidP="00D7755E">
      <w:r w:rsidRPr="00B53F89">
        <w:t xml:space="preserve">The definition of 5G </w:t>
      </w:r>
      <w:r w:rsidR="00491821" w:rsidRPr="00B53F89">
        <w:t>and</w:t>
      </w:r>
      <w:r w:rsidR="003E6CF6" w:rsidRPr="00B53F89">
        <w:t xml:space="preserve"> </w:t>
      </w:r>
      <w:r w:rsidR="006B7748" w:rsidRPr="00B53F89">
        <w:t xml:space="preserve">related </w:t>
      </w:r>
      <w:r w:rsidR="003E6CF6" w:rsidRPr="00B53F89">
        <w:t>spectrum harmonisation and technology specifications</w:t>
      </w:r>
      <w:r w:rsidR="006B7748" w:rsidRPr="00B53F89">
        <w:t xml:space="preserve"> and </w:t>
      </w:r>
      <w:r w:rsidR="003E6CF6" w:rsidRPr="00B53F89">
        <w:t xml:space="preserve">standards </w:t>
      </w:r>
      <w:r w:rsidR="00607236" w:rsidRPr="00B53F89">
        <w:t>ha</w:t>
      </w:r>
      <w:r w:rsidR="00491821" w:rsidRPr="00B53F89">
        <w:t>ve</w:t>
      </w:r>
      <w:r w:rsidR="00607236" w:rsidRPr="00B53F89">
        <w:t xml:space="preserve"> </w:t>
      </w:r>
      <w:r w:rsidR="003E6CF6" w:rsidRPr="00B53F89">
        <w:t>continued to</w:t>
      </w:r>
      <w:r w:rsidRPr="00B53F89">
        <w:t xml:space="preserve"> </w:t>
      </w:r>
      <w:r w:rsidR="00727FEB" w:rsidRPr="00B53F89">
        <w:t>mature</w:t>
      </w:r>
      <w:r w:rsidR="003E6CF6" w:rsidRPr="00B53F89">
        <w:t>.</w:t>
      </w:r>
      <w:r w:rsidRPr="00B53F89">
        <w:t xml:space="preserve"> </w:t>
      </w:r>
      <w:r w:rsidR="003E6CF6" w:rsidRPr="00B53F89">
        <w:t xml:space="preserve">Work has progressed in </w:t>
      </w:r>
      <w:r w:rsidRPr="00B53F89">
        <w:t xml:space="preserve">the </w:t>
      </w:r>
      <w:r w:rsidRPr="00B53F89">
        <w:rPr>
          <w:rFonts w:cs="Arial"/>
          <w:szCs w:val="20"/>
        </w:rPr>
        <w:t>International Telecommunication Union Radiocommunication Sector (ITU-R)</w:t>
      </w:r>
      <w:r w:rsidRPr="00B53F89">
        <w:t xml:space="preserve"> </w:t>
      </w:r>
      <w:r w:rsidR="00293704" w:rsidRPr="00B53F89">
        <w:t>to</w:t>
      </w:r>
      <w:r w:rsidRPr="00B53F89">
        <w:t xml:space="preserve"> defin</w:t>
      </w:r>
      <w:r w:rsidR="00293704" w:rsidRPr="00B53F89">
        <w:t>e</w:t>
      </w:r>
      <w:r w:rsidRPr="00B53F89">
        <w:t xml:space="preserve"> IMT-2020</w:t>
      </w:r>
      <w:r w:rsidRPr="00B53F89">
        <w:rPr>
          <w:rStyle w:val="FootnoteReference"/>
        </w:rPr>
        <w:footnoteReference w:id="4"/>
      </w:r>
      <w:r w:rsidR="00EE1182" w:rsidRPr="00B53F89">
        <w:t>,</w:t>
      </w:r>
      <w:r w:rsidRPr="00B53F89">
        <w:t xml:space="preserve"> </w:t>
      </w:r>
      <w:r w:rsidR="003E6CF6" w:rsidRPr="00B53F89">
        <w:t xml:space="preserve">and spectrum harmonisation considerations relating to the </w:t>
      </w:r>
      <w:r w:rsidR="00DE2074" w:rsidRPr="00B53F89">
        <w:t>WRC</w:t>
      </w:r>
      <w:r w:rsidR="00742B4C" w:rsidRPr="00B53F89">
        <w:t xml:space="preserve"> 2019</w:t>
      </w:r>
      <w:r w:rsidR="003E6CF6" w:rsidRPr="00B53F89">
        <w:t xml:space="preserve">. </w:t>
      </w:r>
      <w:r w:rsidR="00727FEB" w:rsidRPr="00B53F89">
        <w:t>T</w:t>
      </w:r>
      <w:r w:rsidR="00886BCC" w:rsidRPr="00B53F89">
        <w:t>he 3rd Generation Partnership Project (</w:t>
      </w:r>
      <w:r w:rsidRPr="00B53F89">
        <w:t>3GPP</w:t>
      </w:r>
      <w:r w:rsidR="00886BCC" w:rsidRPr="00B53F89">
        <w:t>)</w:t>
      </w:r>
      <w:r w:rsidR="003E6CF6" w:rsidRPr="00B53F89">
        <w:t xml:space="preserve"> </w:t>
      </w:r>
      <w:r w:rsidR="00727FEB" w:rsidRPr="00B53F89">
        <w:t xml:space="preserve">continues to develop </w:t>
      </w:r>
      <w:r w:rsidR="003E6CF6" w:rsidRPr="00B53F89">
        <w:t>5G-related specifications in</w:t>
      </w:r>
      <w:r w:rsidRPr="00B53F89">
        <w:t xml:space="preserve"> Release 15</w:t>
      </w:r>
      <w:r w:rsidR="00727FEB" w:rsidRPr="00B53F89">
        <w:t xml:space="preserve"> and </w:t>
      </w:r>
      <w:r w:rsidR="00491821" w:rsidRPr="00B53F89">
        <w:t>R</w:t>
      </w:r>
      <w:r w:rsidR="00727FEB" w:rsidRPr="00B53F89">
        <w:t>elease 16</w:t>
      </w:r>
      <w:r w:rsidRPr="00B53F89">
        <w:t xml:space="preserve">. </w:t>
      </w:r>
    </w:p>
    <w:p w14:paraId="1E89A0BB" w14:textId="4ABFAEBB" w:rsidR="005629C8" w:rsidRPr="00B53F89" w:rsidRDefault="003E6CF6" w:rsidP="00772993">
      <w:pPr>
        <w:keepNext/>
        <w:keepLines/>
      </w:pPr>
      <w:r w:rsidRPr="00B53F89">
        <w:rPr>
          <w:color w:val="000000"/>
        </w:rPr>
        <w:t>Key characteristics</w:t>
      </w:r>
      <w:r w:rsidR="0084523B" w:rsidRPr="00B53F89">
        <w:rPr>
          <w:color w:val="000000"/>
        </w:rPr>
        <w:t xml:space="preserve"> of 5G that distinguish it </w:t>
      </w:r>
      <w:r w:rsidR="0084523B" w:rsidRPr="00B53F89">
        <w:t>from previous developments continue to include</w:t>
      </w:r>
      <w:r w:rsidR="005629C8" w:rsidRPr="00B53F89">
        <w:t>:</w:t>
      </w:r>
    </w:p>
    <w:p w14:paraId="20E7DC69" w14:textId="77777777" w:rsidR="005629C8" w:rsidRPr="00B53F89" w:rsidRDefault="0084523B" w:rsidP="00772993">
      <w:pPr>
        <w:pStyle w:val="ListBullet"/>
        <w:ind w:left="284" w:hanging="284"/>
      </w:pPr>
      <w:r w:rsidRPr="00B53F89">
        <w:t>support for very low latency and ultra-reliable communications</w:t>
      </w:r>
    </w:p>
    <w:p w14:paraId="79FF5DA4" w14:textId="3308EDC9" w:rsidR="0047527A" w:rsidRPr="00B53F89" w:rsidRDefault="0084523B" w:rsidP="00772993">
      <w:pPr>
        <w:pStyle w:val="ListBullet"/>
        <w:ind w:left="284" w:hanging="284"/>
        <w:rPr>
          <w:color w:val="000000"/>
        </w:rPr>
      </w:pPr>
      <w:r w:rsidRPr="00B53F89">
        <w:t xml:space="preserve">enhanced mobile broadband enabling data rates exceeding that of </w:t>
      </w:r>
      <w:r w:rsidR="00334701" w:rsidRPr="00B53F89">
        <w:t>Long Term Evolution (LTE)/</w:t>
      </w:r>
      <w:r w:rsidRPr="00B53F89">
        <w:t>4G</w:t>
      </w:r>
    </w:p>
    <w:p w14:paraId="54B850F1" w14:textId="7896FA41" w:rsidR="0047527A" w:rsidRPr="00B53F89" w:rsidRDefault="0084523B" w:rsidP="00772993">
      <w:pPr>
        <w:pStyle w:val="ListBullet"/>
        <w:ind w:left="284" w:hanging="284"/>
        <w:rPr>
          <w:color w:val="000000"/>
        </w:rPr>
      </w:pPr>
      <w:r w:rsidRPr="00B53F89">
        <w:t>an ‘anytime, anywhere, anyone and anything’ capability, which is anticipated</w:t>
      </w:r>
      <w:r w:rsidRPr="00B53F89" w:rsidDel="00D1185A">
        <w:t xml:space="preserve"> </w:t>
      </w:r>
      <w:r w:rsidRPr="00B53F89">
        <w:t>to play a role in supporting multiple</w:t>
      </w:r>
      <w:r w:rsidR="0025695C" w:rsidRPr="00B53F89">
        <w:t>-</w:t>
      </w:r>
      <w:r w:rsidRPr="00B53F89">
        <w:t xml:space="preserve">device </w:t>
      </w:r>
      <w:r w:rsidR="0025695C" w:rsidRPr="00B53F89">
        <w:t>machine-to-machine</w:t>
      </w:r>
      <w:r w:rsidRPr="00B53F89">
        <w:t xml:space="preserve"> communications and a wider deployment of IoT</w:t>
      </w:r>
    </w:p>
    <w:p w14:paraId="3EB9F824" w14:textId="5ADB7186" w:rsidR="00856E1C" w:rsidRPr="00B53F89" w:rsidRDefault="00856E1C" w:rsidP="00772993">
      <w:pPr>
        <w:pStyle w:val="ListBullet"/>
        <w:ind w:left="284" w:hanging="284"/>
        <w:rPr>
          <w:color w:val="000000"/>
        </w:rPr>
      </w:pPr>
      <w:r w:rsidRPr="00B53F89">
        <w:t xml:space="preserve">use of frequency ranges in the previously </w:t>
      </w:r>
      <w:r w:rsidR="00293704" w:rsidRPr="00B53F89">
        <w:t xml:space="preserve">little-used </w:t>
      </w:r>
      <w:r w:rsidRPr="00B53F89">
        <w:t>millimetre wave (mmWave) bands</w:t>
      </w:r>
      <w:r w:rsidRPr="00B53F89">
        <w:rPr>
          <w:rStyle w:val="FootnoteReference"/>
        </w:rPr>
        <w:footnoteReference w:id="5"/>
      </w:r>
    </w:p>
    <w:p w14:paraId="3E060AD6" w14:textId="1DCB92D9" w:rsidR="0084523B" w:rsidRPr="00B53F89" w:rsidRDefault="0047527A" w:rsidP="00772993">
      <w:pPr>
        <w:pStyle w:val="ListBulletLast"/>
        <w:ind w:left="284" w:hanging="284"/>
      </w:pPr>
      <w:r w:rsidRPr="00B53F89">
        <w:t xml:space="preserve">use of broader channel bandwidths than </w:t>
      </w:r>
      <w:r w:rsidR="00BF7D9F" w:rsidRPr="00B53F89">
        <w:t>are</w:t>
      </w:r>
      <w:r w:rsidRPr="00B53F89">
        <w:t xml:space="preserve"> currently used for wireless broadband services, particularly in the mid and high</w:t>
      </w:r>
      <w:r w:rsidR="003B6D5F">
        <w:t xml:space="preserve"> </w:t>
      </w:r>
      <w:r w:rsidRPr="00B53F89">
        <w:t>bands where channel bandwidths of hundreds of MHz are being contemplated.</w:t>
      </w:r>
      <w:r w:rsidR="00447762" w:rsidRPr="00B53F89">
        <w:t xml:space="preserve"> </w:t>
      </w:r>
    </w:p>
    <w:p w14:paraId="08DA930E" w14:textId="0F3B884E" w:rsidR="0047527A" w:rsidRPr="00B53F89" w:rsidRDefault="0084523B" w:rsidP="00772993">
      <w:pPr>
        <w:pStyle w:val="ListBullet"/>
        <w:numPr>
          <w:ilvl w:val="0"/>
          <w:numId w:val="0"/>
        </w:numPr>
        <w:spacing w:after="240"/>
      </w:pPr>
      <w:r w:rsidRPr="00B53F89">
        <w:t xml:space="preserve">From a spectrum </w:t>
      </w:r>
      <w:r w:rsidR="00353B4E" w:rsidRPr="00B53F89">
        <w:t xml:space="preserve">management </w:t>
      </w:r>
      <w:r w:rsidRPr="00B53F89">
        <w:t xml:space="preserve">perspective, 5G </w:t>
      </w:r>
      <w:r w:rsidR="00856E1C" w:rsidRPr="00B53F89">
        <w:t>will</w:t>
      </w:r>
      <w:r w:rsidRPr="00B53F89">
        <w:t xml:space="preserve"> </w:t>
      </w:r>
      <w:r w:rsidR="0075534E" w:rsidRPr="00B53F89">
        <w:t xml:space="preserve">utilise spectrum </w:t>
      </w:r>
      <w:r w:rsidR="0047527A" w:rsidRPr="00B53F89">
        <w:t xml:space="preserve">across </w:t>
      </w:r>
      <w:r w:rsidR="00BF7D9F" w:rsidRPr="00B53F89">
        <w:t xml:space="preserve">an unprecedentedly wide range of </w:t>
      </w:r>
      <w:r w:rsidR="0075534E" w:rsidRPr="00B53F89">
        <w:t>frequency bands. This will include</w:t>
      </w:r>
      <w:r w:rsidR="0047527A" w:rsidRPr="00B53F89">
        <w:t>:</w:t>
      </w:r>
    </w:p>
    <w:p w14:paraId="4448355C" w14:textId="77777777" w:rsidR="0047527A" w:rsidRPr="00B53F89" w:rsidRDefault="0075534E" w:rsidP="00772993">
      <w:pPr>
        <w:pStyle w:val="ListBullet"/>
        <w:ind w:left="284" w:hanging="284"/>
      </w:pPr>
      <w:r w:rsidRPr="00B53F89">
        <w:t>‘low</w:t>
      </w:r>
      <w:r w:rsidR="00EE1182" w:rsidRPr="00B53F89">
        <w:t>-</w:t>
      </w:r>
      <w:r w:rsidRPr="00B53F89">
        <w:t>band’ spectrum below 1 GHz</w:t>
      </w:r>
      <w:r w:rsidR="00EE1182" w:rsidRPr="00B53F89">
        <w:t>,</w:t>
      </w:r>
      <w:r w:rsidR="0084523B" w:rsidRPr="00B53F89">
        <w:t xml:space="preserve"> </w:t>
      </w:r>
      <w:r w:rsidRPr="00B53F89">
        <w:t>much of which is already used for mobile broadband networks</w:t>
      </w:r>
    </w:p>
    <w:p w14:paraId="2133E9E2" w14:textId="4C191F5D" w:rsidR="0047527A" w:rsidRPr="00B53F89" w:rsidRDefault="0075534E" w:rsidP="00772993">
      <w:pPr>
        <w:pStyle w:val="ListBullet"/>
        <w:ind w:left="284" w:hanging="284"/>
      </w:pPr>
      <w:r w:rsidRPr="00B53F89">
        <w:t>‘mid</w:t>
      </w:r>
      <w:r w:rsidR="00EE1182" w:rsidRPr="00B53F89">
        <w:t>-</w:t>
      </w:r>
      <w:r w:rsidRPr="00B53F89">
        <w:t>band’ spectrum between 1 and 6 GHz</w:t>
      </w:r>
      <w:r w:rsidR="00082995" w:rsidRPr="00B53F89">
        <w:t>, some of which is already used for wireless broadband</w:t>
      </w:r>
      <w:r w:rsidRPr="00B53F89">
        <w:t xml:space="preserve"> </w:t>
      </w:r>
    </w:p>
    <w:p w14:paraId="5FA04650" w14:textId="3084A4E6" w:rsidR="0047527A" w:rsidRPr="00B53F89" w:rsidRDefault="0075534E" w:rsidP="00772993">
      <w:pPr>
        <w:pStyle w:val="ListBulletLast"/>
        <w:ind w:left="284" w:hanging="284"/>
      </w:pPr>
      <w:r w:rsidRPr="00B53F89">
        <w:t>’high</w:t>
      </w:r>
      <w:r w:rsidR="00E14A5D" w:rsidRPr="00B53F89">
        <w:t>-</w:t>
      </w:r>
      <w:r w:rsidRPr="00B53F89">
        <w:t>band’</w:t>
      </w:r>
      <w:r w:rsidR="00E14A5D" w:rsidRPr="00B53F89">
        <w:t xml:space="preserve"> spectrum</w:t>
      </w:r>
      <w:r w:rsidR="00EE1182" w:rsidRPr="00B53F89">
        <w:t>,</w:t>
      </w:r>
      <w:r w:rsidR="00082995" w:rsidRPr="00B53F89">
        <w:t xml:space="preserve"> above 6 GHz, specifically the</w:t>
      </w:r>
      <w:r w:rsidRPr="00B53F89">
        <w:t xml:space="preserve"> mmWave bands.</w:t>
      </w:r>
    </w:p>
    <w:p w14:paraId="599F182B" w14:textId="77777777" w:rsidR="00AE4753" w:rsidRPr="00B53F89" w:rsidRDefault="00AC7D4B">
      <w:r w:rsidRPr="00B53F89">
        <w:t>In addition to</w:t>
      </w:r>
      <w:r w:rsidR="00241986" w:rsidRPr="00B53F89">
        <w:t xml:space="preserve"> considering</w:t>
      </w:r>
      <w:r w:rsidRPr="00B53F89">
        <w:t xml:space="preserve"> the use of ‘new’ frequency bands</w:t>
      </w:r>
      <w:r w:rsidR="00241986" w:rsidRPr="00B53F89">
        <w:t xml:space="preserve"> (bands previously unused for wireless broadband)</w:t>
      </w:r>
      <w:r w:rsidRPr="00B53F89">
        <w:t xml:space="preserve">, we expect that many of the bands already available for broadband in Australia will be re-farmed over time by </w:t>
      </w:r>
      <w:r w:rsidR="0047527A" w:rsidRPr="00B53F89">
        <w:t xml:space="preserve">incumbent users </w:t>
      </w:r>
      <w:r w:rsidRPr="00B53F89">
        <w:t>for 5G technologies.</w:t>
      </w:r>
      <w:r w:rsidR="001B473D" w:rsidRPr="00B53F89">
        <w:t xml:space="preserve"> </w:t>
      </w:r>
    </w:p>
    <w:p w14:paraId="22B64248" w14:textId="6A62E86B" w:rsidR="00AC7D4B" w:rsidRPr="00B53F89" w:rsidRDefault="001B473D" w:rsidP="00D7755E">
      <w:r w:rsidRPr="00B53F89">
        <w:lastRenderedPageBreak/>
        <w:t>This re-farming will require the ACMA</w:t>
      </w:r>
      <w:r w:rsidR="00607236" w:rsidRPr="00B53F89">
        <w:t>,</w:t>
      </w:r>
      <w:r w:rsidRPr="00B53F89">
        <w:t xml:space="preserve"> in conjunction with licensees and other potentially affected parties</w:t>
      </w:r>
      <w:r w:rsidR="004F5E5F" w:rsidRPr="00B53F89">
        <w:t>,</w:t>
      </w:r>
      <w:r w:rsidRPr="00B53F89">
        <w:t xml:space="preserve"> to revise existing technical frameworks to ensure they are compatible with 5G by permitting implementation of the related technology advances. </w:t>
      </w:r>
    </w:p>
    <w:p w14:paraId="24CEC953" w14:textId="6172C027" w:rsidR="000F51E4" w:rsidRPr="00B53F89" w:rsidRDefault="0075534E" w:rsidP="0062732F">
      <w:r w:rsidRPr="00B53F89">
        <w:t xml:space="preserve">Globally, 5G is </w:t>
      </w:r>
      <w:r w:rsidRPr="00B53F89" w:rsidDel="004D2D68">
        <w:t xml:space="preserve">seen as </w:t>
      </w:r>
      <w:r w:rsidR="004D2D68" w:rsidRPr="00B53F89">
        <w:t>having</w:t>
      </w:r>
      <w:r w:rsidRPr="00B53F89">
        <w:t xml:space="preserve"> </w:t>
      </w:r>
      <w:r w:rsidR="00AC7D4B" w:rsidRPr="00B53F89">
        <w:t xml:space="preserve">potentially revolutionary </w:t>
      </w:r>
      <w:r w:rsidRPr="00B53F89">
        <w:t>economy</w:t>
      </w:r>
      <w:r w:rsidR="00EE1182" w:rsidRPr="00B53F89">
        <w:t>-</w:t>
      </w:r>
      <w:r w:rsidRPr="00B53F89">
        <w:t xml:space="preserve">wide benefits, including in areas not traditionally </w:t>
      </w:r>
      <w:r w:rsidR="004D2D68" w:rsidRPr="00B53F89">
        <w:t>associated</w:t>
      </w:r>
      <w:r w:rsidRPr="00B53F89">
        <w:t xml:space="preserve"> </w:t>
      </w:r>
      <w:r w:rsidR="004D2D68" w:rsidRPr="00B53F89">
        <w:t>with fixed and</w:t>
      </w:r>
      <w:r w:rsidR="002256FC" w:rsidRPr="00B53F89">
        <w:t xml:space="preserve"> </w:t>
      </w:r>
      <w:r w:rsidR="004D2D68" w:rsidRPr="00B53F89">
        <w:t>mobile wireless broadband</w:t>
      </w:r>
      <w:r w:rsidRPr="00B53F89">
        <w:t xml:space="preserve">. </w:t>
      </w:r>
      <w:bookmarkEnd w:id="130"/>
      <w:bookmarkEnd w:id="131"/>
      <w:bookmarkEnd w:id="132"/>
      <w:bookmarkEnd w:id="133"/>
      <w:bookmarkEnd w:id="134"/>
      <w:r w:rsidR="002F3686" w:rsidRPr="00B53F89">
        <w:t xml:space="preserve">The ACMA contributes to the work of the government’s </w:t>
      </w:r>
      <w:r w:rsidR="00F03D7F" w:rsidRPr="00B53F89">
        <w:t>working group to drive the deployment of 5G mobile technology in Australia</w:t>
      </w:r>
      <w:r w:rsidR="00F7439E" w:rsidRPr="00B53F89">
        <w:t>.</w:t>
      </w:r>
      <w:r w:rsidR="00F03D7F" w:rsidRPr="00B53F89">
        <w:rPr>
          <w:rStyle w:val="FootnoteReference"/>
        </w:rPr>
        <w:footnoteReference w:id="6"/>
      </w:r>
    </w:p>
    <w:p w14:paraId="1B624D36" w14:textId="58CEBA57" w:rsidR="00982A9F" w:rsidRPr="00B53F89" w:rsidRDefault="00982A9F" w:rsidP="00982A9F">
      <w:r w:rsidRPr="006A2F04">
        <w:rPr>
          <w:color w:val="12293A"/>
        </w:rPr>
        <w:t xml:space="preserve">In April 2018, DoCA released the </w:t>
      </w:r>
      <w:hyperlink r:id="rId52" w:history="1">
        <w:r w:rsidRPr="006A2F04">
          <w:rPr>
            <w:rStyle w:val="Hyperlink"/>
            <w:i/>
          </w:rPr>
          <w:t>Impacts of 5G on productivity and economic growth</w:t>
        </w:r>
      </w:hyperlink>
      <w:r w:rsidRPr="006A2F04">
        <w:rPr>
          <w:color w:val="12293A"/>
        </w:rPr>
        <w:t xml:space="preserve"> research paper </w:t>
      </w:r>
      <w:r w:rsidR="0025695C" w:rsidRPr="006A2F04">
        <w:rPr>
          <w:color w:val="12293A"/>
        </w:rPr>
        <w:t>which</w:t>
      </w:r>
      <w:r w:rsidRPr="006A2F04">
        <w:rPr>
          <w:color w:val="12293A"/>
        </w:rPr>
        <w:t xml:space="preserve"> conservatively estimated that 5G </w:t>
      </w:r>
      <w:r w:rsidRPr="00B53F89">
        <w:t>is likely to improve productivity across the economy. This could add an additional $1,300 to $2,000 in gross domestic product per person after the first decade of the rollout.</w:t>
      </w:r>
    </w:p>
    <w:p w14:paraId="2C0E4E05" w14:textId="6F59AB39" w:rsidR="005629C8" w:rsidRPr="00B53F89" w:rsidRDefault="00835321" w:rsidP="00D7755E">
      <w:r w:rsidRPr="00B53F89">
        <w:t xml:space="preserve">The ACMA acknowledges the importance of </w:t>
      </w:r>
      <w:r w:rsidR="007269E8" w:rsidRPr="00B53F89">
        <w:t xml:space="preserve">addressing the </w:t>
      </w:r>
      <w:r w:rsidRPr="00B53F89">
        <w:t xml:space="preserve">5G spectrum </w:t>
      </w:r>
      <w:r w:rsidR="001F76E6" w:rsidRPr="00B53F89">
        <w:t xml:space="preserve">needs </w:t>
      </w:r>
      <w:r w:rsidRPr="00B53F89">
        <w:t>and is committed to ensuring that Australia is well placed to take advantage of the opportunities offered by 5G.</w:t>
      </w:r>
      <w:r w:rsidR="005F2DB5" w:rsidRPr="00B53F89">
        <w:t xml:space="preserve"> The ACMA continues to implement arrangements to support the rollout of 5G services in Australia, across a number of bands.</w:t>
      </w:r>
      <w:r w:rsidR="001F76E6" w:rsidRPr="00B53F89">
        <w:t xml:space="preserve"> </w:t>
      </w:r>
    </w:p>
    <w:p w14:paraId="50698963" w14:textId="50F9169F" w:rsidR="00440CC7" w:rsidRPr="00B53F89" w:rsidRDefault="00512E30" w:rsidP="00D7755E">
      <w:r w:rsidRPr="00B53F89">
        <w:t>Each of the broad bands identified for wireless broadband</w:t>
      </w:r>
      <w:r w:rsidR="0011749C" w:rsidRPr="00B53F89">
        <w:t xml:space="preserve"> (sub 1 GHz, 1–6 GHz, above 6 GHz)</w:t>
      </w:r>
      <w:r w:rsidR="004602C5" w:rsidRPr="00B53F89">
        <w:t xml:space="preserve"> </w:t>
      </w:r>
      <w:r w:rsidRPr="00B53F89">
        <w:t xml:space="preserve">requires a specific approach by the ACMA. This </w:t>
      </w:r>
      <w:r w:rsidR="00387B74" w:rsidRPr="00B53F89">
        <w:t>i</w:t>
      </w:r>
      <w:r w:rsidR="0002172A" w:rsidRPr="00B53F89">
        <w:t xml:space="preserve">s </w:t>
      </w:r>
      <w:r w:rsidRPr="00B53F89">
        <w:t xml:space="preserve">because different </w:t>
      </w:r>
      <w:r w:rsidR="00D82D08" w:rsidRPr="00B53F89">
        <w:t>considerations apply</w:t>
      </w:r>
      <w:r w:rsidR="002C6A94" w:rsidRPr="00B53F89">
        <w:t>,</w:t>
      </w:r>
      <w:r w:rsidR="00D82D08" w:rsidRPr="00B53F89">
        <w:t xml:space="preserve"> such as</w:t>
      </w:r>
      <w:r w:rsidR="004602C5" w:rsidRPr="00B53F89">
        <w:t xml:space="preserve"> intrinsic features of the band</w:t>
      </w:r>
      <w:r w:rsidR="001C3B42" w:rsidRPr="00B53F89">
        <w:t>—</w:t>
      </w:r>
      <w:r w:rsidR="00A2079D" w:rsidRPr="00B53F89">
        <w:t>for example,</w:t>
      </w:r>
      <w:r w:rsidR="004602C5" w:rsidRPr="00B53F89">
        <w:t xml:space="preserve"> propagation characteristics,</w:t>
      </w:r>
      <w:r w:rsidR="00D82D08" w:rsidRPr="00B53F89">
        <w:t xml:space="preserve"> </w:t>
      </w:r>
      <w:r w:rsidR="001C3B42" w:rsidRPr="00B53F89">
        <w:t xml:space="preserve">as well as </w:t>
      </w:r>
      <w:r w:rsidRPr="00B53F89">
        <w:t>international harmonisation and standardisation, domestic policy, legacy planning and allocation arrangements</w:t>
      </w:r>
      <w:r w:rsidR="002C6A94" w:rsidRPr="00B53F89">
        <w:t>,</w:t>
      </w:r>
      <w:r w:rsidRPr="00B53F89">
        <w:t xml:space="preserve"> and other </w:t>
      </w:r>
      <w:r w:rsidR="00D82D08" w:rsidRPr="00B53F89">
        <w:t xml:space="preserve">incumbency </w:t>
      </w:r>
      <w:r w:rsidRPr="00B53F89">
        <w:t>factors</w:t>
      </w:r>
      <w:r w:rsidR="00D82D08" w:rsidRPr="00B53F89">
        <w:t>.</w:t>
      </w:r>
    </w:p>
    <w:p w14:paraId="79F41110" w14:textId="7EE5A035" w:rsidR="001C7338" w:rsidRPr="00B53F89" w:rsidRDefault="00E14A5D" w:rsidP="00E94604">
      <w:pPr>
        <w:pStyle w:val="BodySubHeader"/>
      </w:pPr>
      <w:bookmarkStart w:id="135" w:name="_Hlk16237048"/>
      <w:r w:rsidRPr="00B53F89">
        <w:t>Low-band spectrum</w:t>
      </w:r>
    </w:p>
    <w:p w14:paraId="4950B7BA" w14:textId="20CD5CE7" w:rsidR="00D82D08" w:rsidRPr="00B53F89" w:rsidRDefault="00512E30" w:rsidP="0005757D">
      <w:r w:rsidRPr="00B53F89">
        <w:t>In the bands below 1 GHz, the A</w:t>
      </w:r>
      <w:r w:rsidR="00361357" w:rsidRPr="00B53F89">
        <w:t>CMA</w:t>
      </w:r>
      <w:r w:rsidRPr="00B53F89">
        <w:t xml:space="preserve"> has two primary short</w:t>
      </w:r>
      <w:r w:rsidR="002C6A94" w:rsidRPr="00B53F89">
        <w:t>-</w:t>
      </w:r>
      <w:r w:rsidRPr="00B53F89">
        <w:t>to</w:t>
      </w:r>
      <w:r w:rsidR="00176275" w:rsidRPr="00B53F89">
        <w:t>-</w:t>
      </w:r>
      <w:r w:rsidRPr="00B53F89">
        <w:t>medium</w:t>
      </w:r>
      <w:r w:rsidR="002C6A94" w:rsidRPr="00B53F89">
        <w:t>-</w:t>
      </w:r>
      <w:r w:rsidRPr="00B53F89">
        <w:t>term objectives</w:t>
      </w:r>
      <w:r w:rsidR="00D82D08" w:rsidRPr="00B53F89">
        <w:t>:</w:t>
      </w:r>
    </w:p>
    <w:p w14:paraId="38A523ED" w14:textId="4A401846" w:rsidR="00D82D08" w:rsidRPr="00B53F89" w:rsidRDefault="00B6218E" w:rsidP="0005757D">
      <w:pPr>
        <w:pStyle w:val="ListBullet"/>
        <w:ind w:left="284" w:hanging="284"/>
      </w:pPr>
      <w:r w:rsidRPr="00B53F89">
        <w:t xml:space="preserve">working with industry </w:t>
      </w:r>
      <w:r w:rsidR="00353F8B" w:rsidRPr="00B53F89">
        <w:t xml:space="preserve">to </w:t>
      </w:r>
      <w:r w:rsidR="00A25816" w:rsidRPr="00B53F89">
        <w:t>optimi</w:t>
      </w:r>
      <w:r w:rsidR="0025695C" w:rsidRPr="00B53F89">
        <w:t>s</w:t>
      </w:r>
      <w:r w:rsidR="00A25816" w:rsidRPr="00B53F89">
        <w:t>e</w:t>
      </w:r>
      <w:r w:rsidR="002C6A94" w:rsidRPr="00B53F89">
        <w:t xml:space="preserve"> </w:t>
      </w:r>
      <w:r w:rsidR="00512E30" w:rsidRPr="00B53F89">
        <w:t xml:space="preserve">the </w:t>
      </w:r>
      <w:r w:rsidR="00A25816" w:rsidRPr="00B53F89">
        <w:t xml:space="preserve">efficient configuration of </w:t>
      </w:r>
      <w:r w:rsidR="00512E30" w:rsidRPr="00B53F89">
        <w:t xml:space="preserve">the </w:t>
      </w:r>
      <w:r w:rsidR="004D0E46" w:rsidRPr="00B53F89">
        <w:t xml:space="preserve">existing </w:t>
      </w:r>
      <w:r w:rsidR="00A25816" w:rsidRPr="00B53F89">
        <w:t>850</w:t>
      </w:r>
      <w:r w:rsidR="004C59CC" w:rsidRPr="00B53F89">
        <w:t xml:space="preserve"> MHz (</w:t>
      </w:r>
      <w:r w:rsidR="00076479" w:rsidRPr="00B53F89">
        <w:t>825</w:t>
      </w:r>
      <w:r w:rsidR="003208A0" w:rsidRPr="00B53F89">
        <w:t>–</w:t>
      </w:r>
      <w:r w:rsidR="00076479" w:rsidRPr="00B53F89">
        <w:t>845</w:t>
      </w:r>
      <w:r w:rsidR="004C59CC" w:rsidRPr="00B53F89">
        <w:t xml:space="preserve"> MHz and </w:t>
      </w:r>
      <w:r w:rsidR="00076479" w:rsidRPr="00B53F89">
        <w:t>870</w:t>
      </w:r>
      <w:r w:rsidR="004C59CC" w:rsidRPr="00B53F89">
        <w:t>–8</w:t>
      </w:r>
      <w:r w:rsidR="00076479" w:rsidRPr="00B53F89">
        <w:t>90</w:t>
      </w:r>
      <w:r w:rsidR="004C59CC" w:rsidRPr="00B53F89">
        <w:t xml:space="preserve"> MHz)</w:t>
      </w:r>
      <w:r w:rsidR="00A25816" w:rsidRPr="00B53F89">
        <w:t xml:space="preserve"> and </w:t>
      </w:r>
      <w:r w:rsidR="00512E30" w:rsidRPr="00B53F89">
        <w:t>900 MHz</w:t>
      </w:r>
      <w:r w:rsidR="004C59CC" w:rsidRPr="00B53F89">
        <w:t xml:space="preserve"> (890–915 MHz and 935–960 MHz)</w:t>
      </w:r>
      <w:r w:rsidR="00512E30" w:rsidRPr="00B53F89">
        <w:t xml:space="preserve"> band</w:t>
      </w:r>
      <w:r w:rsidR="00A25816" w:rsidRPr="00B53F89">
        <w:t xml:space="preserve"> allocations</w:t>
      </w:r>
      <w:r w:rsidR="00D82D08" w:rsidRPr="00B53F89">
        <w:t>,</w:t>
      </w:r>
      <w:r w:rsidR="00512E30" w:rsidRPr="00B53F89">
        <w:t xml:space="preserve"> already </w:t>
      </w:r>
      <w:r w:rsidR="008A0B01" w:rsidRPr="00B53F89">
        <w:t xml:space="preserve">licensed </w:t>
      </w:r>
      <w:r w:rsidR="00512E30" w:rsidRPr="00B53F89">
        <w:t>for mobile broadband purposes</w:t>
      </w:r>
      <w:r w:rsidR="00D82D08" w:rsidRPr="00B53F89">
        <w:t>,</w:t>
      </w:r>
      <w:r w:rsidR="00512E30" w:rsidRPr="00B53F89">
        <w:t xml:space="preserve"> </w:t>
      </w:r>
      <w:r w:rsidRPr="00B53F89">
        <w:t xml:space="preserve">including by securing a </w:t>
      </w:r>
      <w:r w:rsidR="00A25816" w:rsidRPr="00B53F89">
        <w:t xml:space="preserve">1 MHz </w:t>
      </w:r>
      <w:r w:rsidRPr="00B53F89">
        <w:t xml:space="preserve">downshift of the 850 MHz spectrum </w:t>
      </w:r>
      <w:r w:rsidR="00A25816" w:rsidRPr="00B53F89">
        <w:t>l</w:t>
      </w:r>
      <w:r w:rsidR="00CB2B01" w:rsidRPr="00B53F89">
        <w:t>icences</w:t>
      </w:r>
    </w:p>
    <w:bookmarkEnd w:id="135"/>
    <w:p w14:paraId="32600E45" w14:textId="761CCDD6" w:rsidR="00D82D08" w:rsidRPr="00B53F89" w:rsidRDefault="00512E30" w:rsidP="0005757D">
      <w:pPr>
        <w:pStyle w:val="ListBulletLast"/>
        <w:ind w:left="284" w:hanging="284"/>
      </w:pPr>
      <w:r w:rsidRPr="00B53F89">
        <w:t>implement</w:t>
      </w:r>
      <w:r w:rsidR="00A30790" w:rsidRPr="00B53F89">
        <w:t>ing</w:t>
      </w:r>
      <w:r w:rsidRPr="00B53F89">
        <w:t xml:space="preserve"> the </w:t>
      </w:r>
      <w:r w:rsidR="002C6A94" w:rsidRPr="00B53F89">
        <w:t>existing</w:t>
      </w:r>
      <w:r w:rsidRPr="00B53F89">
        <w:t xml:space="preserve"> planning decision to make additional spectrum available for mobile broadband in the 850 MHz expansion band</w:t>
      </w:r>
      <w:r w:rsidR="00BB4FBE" w:rsidRPr="00B53F89">
        <w:t xml:space="preserve"> (809–824 MHz and 854–869 MHz)</w:t>
      </w:r>
      <w:r w:rsidRPr="00B53F89">
        <w:t xml:space="preserve">. </w:t>
      </w:r>
    </w:p>
    <w:p w14:paraId="60EC6E0F" w14:textId="523A3C74" w:rsidR="001C7338" w:rsidRPr="00B53F89" w:rsidRDefault="001C7338" w:rsidP="00E94604">
      <w:pPr>
        <w:pStyle w:val="BodySubHeader"/>
      </w:pPr>
      <w:r w:rsidRPr="00B53F89">
        <w:t>Mid-band spectrum</w:t>
      </w:r>
    </w:p>
    <w:p w14:paraId="6EF955D4" w14:textId="60A9785F" w:rsidR="00924191" w:rsidRPr="00B53F89" w:rsidRDefault="00512E30">
      <w:r w:rsidRPr="00B53F89">
        <w:t>The mid</w:t>
      </w:r>
      <w:r w:rsidR="002C6A94" w:rsidRPr="00B53F89">
        <w:t>-</w:t>
      </w:r>
      <w:r w:rsidRPr="00B53F89">
        <w:t xml:space="preserve">band between 1 and 6 GHz </w:t>
      </w:r>
      <w:r w:rsidR="00621AD3" w:rsidRPr="00B53F89">
        <w:t xml:space="preserve">is </w:t>
      </w:r>
      <w:r w:rsidRPr="00B53F89">
        <w:t>currently the focus of near</w:t>
      </w:r>
      <w:r w:rsidR="002C6A94" w:rsidRPr="00B53F89">
        <w:t>-</w:t>
      </w:r>
      <w:r w:rsidRPr="00B53F89">
        <w:t>term 5G deployments</w:t>
      </w:r>
      <w:r w:rsidR="00265523" w:rsidRPr="00B53F89">
        <w:t>, particularly</w:t>
      </w:r>
      <w:r w:rsidRPr="00B53F89">
        <w:t xml:space="preserve"> around 3.4</w:t>
      </w:r>
      <w:r w:rsidR="00E14A5D" w:rsidRPr="00B53F89">
        <w:t>–</w:t>
      </w:r>
      <w:r w:rsidRPr="00B53F89">
        <w:t>3.7 GHz</w:t>
      </w:r>
      <w:r w:rsidR="001407B1" w:rsidRPr="00B53F89">
        <w:t xml:space="preserve"> in Australia</w:t>
      </w:r>
      <w:r w:rsidRPr="00B53F89">
        <w:t>.</w:t>
      </w:r>
      <w:r w:rsidR="006C35F3" w:rsidRPr="00B53F89">
        <w:t xml:space="preserve"> In December 2018</w:t>
      </w:r>
      <w:r w:rsidR="00A30790" w:rsidRPr="00B53F89">
        <w:t>,</w:t>
      </w:r>
      <w:r w:rsidR="006C35F3" w:rsidRPr="00B53F89">
        <w:t xml:space="preserve"> the ACMA successfully allocated 125 MHz of spectrum in the 3.6 GHz band</w:t>
      </w:r>
      <w:r w:rsidR="004C59CC" w:rsidRPr="00B53F89">
        <w:t xml:space="preserve"> (3575–3700 MHz)</w:t>
      </w:r>
      <w:r w:rsidR="006C35F3" w:rsidRPr="00B53F89">
        <w:t>, in metropolitan and regional areas.</w:t>
      </w:r>
    </w:p>
    <w:p w14:paraId="4B4F5D0B" w14:textId="20E725B5" w:rsidR="00F850E7" w:rsidRPr="00B53F89" w:rsidRDefault="0094390D" w:rsidP="00D7755E">
      <w:r w:rsidRPr="00B53F89">
        <w:t>T</w:t>
      </w:r>
      <w:r w:rsidR="00512E30" w:rsidRPr="00B53F89">
        <w:t xml:space="preserve">he ACMA </w:t>
      </w:r>
      <w:r w:rsidR="00813809" w:rsidRPr="00B53F89">
        <w:t xml:space="preserve">also </w:t>
      </w:r>
      <w:r w:rsidR="00512E30" w:rsidRPr="00B53F89">
        <w:t xml:space="preserve">sees a major opportunity for efficiency gains through the defragmentation of the current </w:t>
      </w:r>
      <w:r w:rsidR="00EE3C7B" w:rsidRPr="00B53F89">
        <w:t>3400–3575 MHz</w:t>
      </w:r>
      <w:r w:rsidR="0026479C" w:rsidRPr="00B53F89">
        <w:t xml:space="preserve"> </w:t>
      </w:r>
      <w:r w:rsidR="00DA6A5B" w:rsidRPr="00B53F89">
        <w:t>frequency range</w:t>
      </w:r>
      <w:r w:rsidR="00512E30" w:rsidRPr="00B53F89">
        <w:t>.</w:t>
      </w:r>
      <w:r w:rsidR="00B514B8" w:rsidRPr="00B53F89">
        <w:t xml:space="preserve"> T</w:t>
      </w:r>
      <w:r w:rsidR="00512E30" w:rsidRPr="00B53F89">
        <w:t xml:space="preserve">his will require both industry commitment and ACMA assistance to achieve. </w:t>
      </w:r>
      <w:r w:rsidR="00273BF7" w:rsidRPr="00B53F89">
        <w:t xml:space="preserve">As well as </w:t>
      </w:r>
      <w:r w:rsidR="00863342" w:rsidRPr="00B53F89">
        <w:t>the 1.</w:t>
      </w:r>
      <w:r w:rsidR="002C6A94" w:rsidRPr="00B53F89">
        <w:t>5 </w:t>
      </w:r>
      <w:r w:rsidR="00863342" w:rsidRPr="00B53F89">
        <w:t>GHz band</w:t>
      </w:r>
      <w:r w:rsidR="0026479C" w:rsidRPr="00B53F89">
        <w:t xml:space="preserve"> (1427–1518 MHz),</w:t>
      </w:r>
      <w:r w:rsidR="00863342" w:rsidRPr="00B53F89">
        <w:t xml:space="preserve"> there are several other potential areas of investigation in the mid</w:t>
      </w:r>
      <w:r w:rsidR="002C6A94" w:rsidRPr="00B53F89">
        <w:t>-</w:t>
      </w:r>
      <w:r w:rsidR="00863342" w:rsidRPr="00B53F89">
        <w:t xml:space="preserve">bands. </w:t>
      </w:r>
      <w:r w:rsidR="005E1451" w:rsidRPr="00B53F89">
        <w:t>Some stakeholders have indicated interest in planning for private LTE networks in mid-band spectrum</w:t>
      </w:r>
      <w:r w:rsidR="00990D9B" w:rsidRPr="00B53F89">
        <w:t>,</w:t>
      </w:r>
      <w:r w:rsidR="005E1451" w:rsidRPr="00B53F89">
        <w:t xml:space="preserve"> such as 1.5 GHz.</w:t>
      </w:r>
    </w:p>
    <w:p w14:paraId="0F425486" w14:textId="6368D98E" w:rsidR="00863342" w:rsidRPr="00B53F89" w:rsidRDefault="00231649" w:rsidP="0005757D">
      <w:pPr>
        <w:keepNext/>
        <w:keepLines/>
      </w:pPr>
      <w:r w:rsidRPr="00B53F89">
        <w:lastRenderedPageBreak/>
        <w:t xml:space="preserve">Spectrum </w:t>
      </w:r>
      <w:r w:rsidR="00F850E7" w:rsidRPr="00B53F89">
        <w:t>in the 3</w:t>
      </w:r>
      <w:r w:rsidR="00EE3C7B" w:rsidRPr="00B53F89">
        <w:t>700–4200</w:t>
      </w:r>
      <w:r w:rsidR="00F850E7" w:rsidRPr="00B53F89">
        <w:t xml:space="preserve"> </w:t>
      </w:r>
      <w:r w:rsidR="00EE3C7B" w:rsidRPr="00B53F89">
        <w:t>M</w:t>
      </w:r>
      <w:r w:rsidR="00F850E7" w:rsidRPr="00B53F89">
        <w:t xml:space="preserve">Hz </w:t>
      </w:r>
      <w:r w:rsidR="00E66711" w:rsidRPr="00B53F89">
        <w:t>band</w:t>
      </w:r>
      <w:r w:rsidR="00F850E7" w:rsidRPr="00B53F89">
        <w:t xml:space="preserve"> </w:t>
      </w:r>
      <w:r w:rsidRPr="00B53F89">
        <w:t xml:space="preserve">has been the subject of considerable interest </w:t>
      </w:r>
      <w:r w:rsidR="00376D57" w:rsidRPr="00B53F89">
        <w:t xml:space="preserve">internationally as well as domestically from large </w:t>
      </w:r>
      <w:r w:rsidR="0010283C" w:rsidRPr="00B53F89">
        <w:t>mobile network operators (</w:t>
      </w:r>
      <w:r w:rsidR="00376D57" w:rsidRPr="00B53F89">
        <w:t>MNOs</w:t>
      </w:r>
      <w:r w:rsidR="0010283C" w:rsidRPr="00B53F89">
        <w:t>)</w:t>
      </w:r>
      <w:r w:rsidR="00376D57" w:rsidRPr="00B53F89">
        <w:t xml:space="preserve"> and </w:t>
      </w:r>
      <w:r w:rsidR="00AB5442" w:rsidRPr="00B53F89">
        <w:t xml:space="preserve">FWA operators (such as </w:t>
      </w:r>
      <w:r w:rsidR="00376D57" w:rsidRPr="00B53F89">
        <w:t>WISP</w:t>
      </w:r>
      <w:r w:rsidR="00E7016E" w:rsidRPr="00B53F89">
        <w:t>s</w:t>
      </w:r>
      <w:r w:rsidR="00AB5442" w:rsidRPr="00B53F89">
        <w:t>)</w:t>
      </w:r>
      <w:r w:rsidR="00DA7873" w:rsidRPr="00B53F89">
        <w:t>,</w:t>
      </w:r>
      <w:r w:rsidRPr="00B53F89">
        <w:t xml:space="preserve"> with </w:t>
      </w:r>
      <w:r w:rsidR="00924191" w:rsidRPr="00B53F89">
        <w:t>several</w:t>
      </w:r>
      <w:r w:rsidRPr="00B53F89">
        <w:t xml:space="preserve"> processes </w:t>
      </w:r>
      <w:r w:rsidR="00F850E7" w:rsidRPr="00B53F89">
        <w:t xml:space="preserve">underway considering arrangements in the band. </w:t>
      </w:r>
      <w:r w:rsidR="006E6FB1" w:rsidRPr="00B53F89">
        <w:t xml:space="preserve">The </w:t>
      </w:r>
      <w:r w:rsidR="00F850E7" w:rsidRPr="00B53F89">
        <w:t xml:space="preserve">ACMA </w:t>
      </w:r>
      <w:r w:rsidR="006E6FB1" w:rsidRPr="00B53F89">
        <w:t>is paying close attention to the g</w:t>
      </w:r>
      <w:r w:rsidR="00F850E7" w:rsidRPr="00B53F89">
        <w:t xml:space="preserve">lobal </w:t>
      </w:r>
      <w:r w:rsidR="006E6FB1" w:rsidRPr="00B53F89">
        <w:t xml:space="preserve">environment in this band </w:t>
      </w:r>
      <w:r w:rsidR="00F850E7" w:rsidRPr="00B53F89">
        <w:t xml:space="preserve">and </w:t>
      </w:r>
      <w:r w:rsidR="00CF189A" w:rsidRPr="00B53F89">
        <w:t>has release</w:t>
      </w:r>
      <w:r w:rsidR="00E022B4" w:rsidRPr="00B53F89">
        <w:t>d</w:t>
      </w:r>
      <w:r w:rsidR="0009789D" w:rsidRPr="00B53F89">
        <w:t xml:space="preserve"> a discussion paper to</w:t>
      </w:r>
      <w:r w:rsidR="00FD13E4" w:rsidRPr="00B53F89">
        <w:t xml:space="preserve"> commenc</w:t>
      </w:r>
      <w:r w:rsidR="0009789D" w:rsidRPr="00B53F89">
        <w:t>e</w:t>
      </w:r>
      <w:r w:rsidR="00FD13E4" w:rsidRPr="00B53F89">
        <w:t xml:space="preserve"> a </w:t>
      </w:r>
      <w:r w:rsidR="001A47A1" w:rsidRPr="00B53F89">
        <w:t xml:space="preserve">broad review of arrangements in the </w:t>
      </w:r>
      <w:r w:rsidR="004D1B59" w:rsidRPr="00B53F89">
        <w:t>3</w:t>
      </w:r>
      <w:r w:rsidR="00EE3C7B" w:rsidRPr="00B53F89">
        <w:t>700–4200</w:t>
      </w:r>
      <w:r w:rsidR="001A47A1" w:rsidRPr="00B53F89">
        <w:t xml:space="preserve"> </w:t>
      </w:r>
      <w:r w:rsidR="00EE3C7B" w:rsidRPr="00B53F89">
        <w:t>M</w:t>
      </w:r>
      <w:r w:rsidR="001A47A1" w:rsidRPr="00B53F89">
        <w:t>Hz band</w:t>
      </w:r>
      <w:r w:rsidR="00365525" w:rsidRPr="00B53F89">
        <w:t>,</w:t>
      </w:r>
      <w:r w:rsidR="001A47A1" w:rsidRPr="00B53F89">
        <w:t xml:space="preserve"> which is discussed </w:t>
      </w:r>
      <w:r w:rsidR="00D20753" w:rsidRPr="00B53F89">
        <w:t>in Part 2</w:t>
      </w:r>
      <w:r w:rsidR="00F850E7" w:rsidRPr="00B53F89">
        <w:t>.</w:t>
      </w:r>
      <w:r w:rsidR="00B75775" w:rsidRPr="00B53F89">
        <w:t xml:space="preserve"> </w:t>
      </w:r>
    </w:p>
    <w:p w14:paraId="671D9424" w14:textId="0402A86A" w:rsidR="001C7338" w:rsidRPr="00B53F89" w:rsidRDefault="00A54553" w:rsidP="0005757D">
      <w:pPr>
        <w:pStyle w:val="BodySubHeader"/>
        <w:keepNext/>
      </w:pPr>
      <w:r>
        <w:pict w14:anchorId="0EAFF8E7">
          <v:shape id="_x0000_i1028" type="#_x0000_t75" alt="A close up of a sign&#10;&#10;Description automatically generated" style="width:18.75pt;height:11.25pt;visibility:visible;mso-wrap-style:square">
            <v:imagedata r:id="rId43" o:title="A close up of a sign&#10;&#10;Description automatically generated"/>
          </v:shape>
        </w:pict>
      </w:r>
      <w:r w:rsidR="001C6177">
        <w:t xml:space="preserve"> </w:t>
      </w:r>
      <w:r w:rsidR="001C7338" w:rsidRPr="00B53F89">
        <w:t>High-band spectrum</w:t>
      </w:r>
    </w:p>
    <w:p w14:paraId="331C7C1F" w14:textId="517603BD" w:rsidR="0009789D" w:rsidRPr="00B53F89" w:rsidRDefault="00863342" w:rsidP="00FA7446">
      <w:pPr>
        <w:keepNext/>
      </w:pPr>
      <w:r w:rsidRPr="00B53F89">
        <w:t>The</w:t>
      </w:r>
      <w:r w:rsidR="00853E3C" w:rsidRPr="00B53F89">
        <w:t xml:space="preserve"> ACMA’s </w:t>
      </w:r>
      <w:r w:rsidR="005F0005" w:rsidRPr="00B53F89">
        <w:t>consideration of high-band spectrum for wireless broadband is focused on the</w:t>
      </w:r>
      <w:r w:rsidRPr="00B53F89">
        <w:t xml:space="preserve"> </w:t>
      </w:r>
      <w:r w:rsidR="00DE780F" w:rsidRPr="00B53F89">
        <w:t>mm</w:t>
      </w:r>
      <w:r w:rsidR="00BD7424" w:rsidRPr="00B53F89">
        <w:t xml:space="preserve">Wave </w:t>
      </w:r>
      <w:r w:rsidRPr="00B53F89">
        <w:t>in the bands above 24 GHz.</w:t>
      </w:r>
      <w:r w:rsidR="006F0649" w:rsidRPr="00B53F89">
        <w:t xml:space="preserve"> Part 2</w:t>
      </w:r>
      <w:r w:rsidR="001D3119" w:rsidRPr="00B53F89">
        <w:t xml:space="preserve"> </w:t>
      </w:r>
      <w:r w:rsidR="002B5905" w:rsidRPr="00B53F89">
        <w:t>describes the ACMA’s proposed next steps in relation to the 26 and 28 GHz bands</w:t>
      </w:r>
      <w:r w:rsidR="001D3119" w:rsidRPr="00B53F89">
        <w:t>.</w:t>
      </w:r>
    </w:p>
    <w:p w14:paraId="7EB145EF" w14:textId="67F596F8" w:rsidR="001D3119" w:rsidRPr="00B53F89" w:rsidRDefault="00231649" w:rsidP="00D7755E">
      <w:bookmarkStart w:id="136" w:name="_Hlk17115687"/>
      <w:r w:rsidRPr="00B53F89">
        <w:t>H</w:t>
      </w:r>
      <w:r w:rsidR="001D3119" w:rsidRPr="00B53F89">
        <w:t xml:space="preserve">igher in the </w:t>
      </w:r>
      <w:r w:rsidR="00511801" w:rsidRPr="00B53F89">
        <w:t>spectrum</w:t>
      </w:r>
      <w:r w:rsidR="001D3119" w:rsidRPr="00B53F89">
        <w:t xml:space="preserve">, the ACMA has </w:t>
      </w:r>
      <w:r w:rsidR="0064524B" w:rsidRPr="00B53F89">
        <w:t xml:space="preserve">recently </w:t>
      </w:r>
      <w:r w:rsidR="00D431CC" w:rsidRPr="00B53F89">
        <w:t>consulted</w:t>
      </w:r>
      <w:r w:rsidR="00D431CC" w:rsidRPr="00B53F89">
        <w:rPr>
          <w:rStyle w:val="FootnoteReference"/>
        </w:rPr>
        <w:footnoteReference w:id="7"/>
      </w:r>
      <w:r w:rsidR="00D431CC" w:rsidRPr="00B53F89">
        <w:t xml:space="preserve"> on</w:t>
      </w:r>
      <w:r w:rsidR="001D3119" w:rsidRPr="00B53F89">
        <w:t xml:space="preserve"> changes to class</w:t>
      </w:r>
      <w:r w:rsidR="00DA7873" w:rsidRPr="00B53F89">
        <w:t>-</w:t>
      </w:r>
      <w:r w:rsidR="001D3119" w:rsidRPr="00B53F89">
        <w:t>licensing arrangements to support additional spectrum in the 60 GHz range</w:t>
      </w:r>
      <w:r w:rsidR="0064524B" w:rsidRPr="00B53F89">
        <w:t xml:space="preserve"> </w:t>
      </w:r>
      <w:r w:rsidR="00B44378" w:rsidRPr="00B53F89">
        <w:t>for wireless data communications systems (including those supporting 5G)</w:t>
      </w:r>
      <w:bookmarkEnd w:id="136"/>
      <w:r w:rsidR="001D3119" w:rsidRPr="00B53F89">
        <w:t>.</w:t>
      </w:r>
      <w:r w:rsidR="006E5E42" w:rsidRPr="00B53F89">
        <w:t xml:space="preserve"> An update to</w:t>
      </w:r>
      <w:r w:rsidR="000B7D7D" w:rsidRPr="00B53F89">
        <w:t xml:space="preserve"> </w:t>
      </w:r>
      <w:hyperlink r:id="rId53" w:history="1">
        <w:r w:rsidR="000B7D7D" w:rsidRPr="00B53F89">
          <w:rPr>
            <w:rStyle w:val="Hyperlink"/>
          </w:rPr>
          <w:t>Radiocommunications (Low Interference Potential Devices) Class Licence 2015</w:t>
        </w:r>
      </w:hyperlink>
      <w:r w:rsidR="006E5E42" w:rsidRPr="00B53F89">
        <w:t xml:space="preserve"> </w:t>
      </w:r>
      <w:r w:rsidR="000B7D7D" w:rsidRPr="00B53F89">
        <w:t>(</w:t>
      </w:r>
      <w:r w:rsidR="006E5E42" w:rsidRPr="00B53F89">
        <w:t>the LIPD class licence</w:t>
      </w:r>
      <w:r w:rsidR="000B7D7D" w:rsidRPr="00B53F89">
        <w:t>)</w:t>
      </w:r>
      <w:r w:rsidR="006E5E42" w:rsidRPr="00B53F89">
        <w:t xml:space="preserve"> was recently released which </w:t>
      </w:r>
      <w:r w:rsidR="000B7D7D" w:rsidRPr="00B53F89">
        <w:t xml:space="preserve">varied </w:t>
      </w:r>
      <w:r w:rsidR="006E5E42" w:rsidRPr="00B53F89">
        <w:t>and expanded existing 60 GHz arrangements. Further details can be found in Part 2 under ‘Low interference potential devices’ in ‘Optimising established planning frameworks</w:t>
      </w:r>
      <w:r w:rsidR="009870C5" w:rsidRPr="00B53F89">
        <w:t>’</w:t>
      </w:r>
      <w:r w:rsidR="006E5E42" w:rsidRPr="00B53F89">
        <w:t>.</w:t>
      </w:r>
    </w:p>
    <w:p w14:paraId="1E188BDA" w14:textId="19CC498C" w:rsidR="002D7804" w:rsidRPr="00B53F89" w:rsidRDefault="00B514B8" w:rsidP="00D7755E">
      <w:pPr>
        <w:rPr>
          <w:rFonts w:cs="Arial"/>
        </w:rPr>
      </w:pPr>
      <w:r w:rsidRPr="00B53F89">
        <w:rPr>
          <w:rFonts w:cs="Arial"/>
        </w:rPr>
        <w:t xml:space="preserve">Along with the ACMA’s efforts to make </w:t>
      </w:r>
      <w:r w:rsidR="0064524B" w:rsidRPr="00B53F89">
        <w:rPr>
          <w:rFonts w:cs="Arial"/>
        </w:rPr>
        <w:t xml:space="preserve">further </w:t>
      </w:r>
      <w:r w:rsidRPr="00B53F89">
        <w:rPr>
          <w:rFonts w:cs="Arial"/>
        </w:rPr>
        <w:t>spectrum available</w:t>
      </w:r>
      <w:r w:rsidR="0064524B" w:rsidRPr="00B53F89">
        <w:rPr>
          <w:rFonts w:cs="Arial"/>
        </w:rPr>
        <w:t xml:space="preserve"> for wireless broadband</w:t>
      </w:r>
      <w:r w:rsidRPr="00B53F89">
        <w:rPr>
          <w:rFonts w:cs="Arial"/>
        </w:rPr>
        <w:t xml:space="preserve">, there are continuing opportunities </w:t>
      </w:r>
      <w:r w:rsidR="002C6A94" w:rsidRPr="00B53F89">
        <w:rPr>
          <w:rFonts w:cs="Arial"/>
        </w:rPr>
        <w:t>for</w:t>
      </w:r>
      <w:r w:rsidRPr="00B53F89">
        <w:rPr>
          <w:rFonts w:cs="Arial"/>
        </w:rPr>
        <w:t xml:space="preserve"> spectrum users to enter into commercial arrangements </w:t>
      </w:r>
      <w:r w:rsidR="002C6A94" w:rsidRPr="00B53F89">
        <w:rPr>
          <w:rFonts w:cs="Arial"/>
        </w:rPr>
        <w:t xml:space="preserve">to share </w:t>
      </w:r>
      <w:r w:rsidRPr="00B53F89">
        <w:rPr>
          <w:rFonts w:cs="Arial"/>
        </w:rPr>
        <w:t>infrastructure or spectrum</w:t>
      </w:r>
      <w:r w:rsidR="00FD5CC7" w:rsidRPr="00B53F89">
        <w:rPr>
          <w:rFonts w:cs="Arial"/>
        </w:rPr>
        <w:t xml:space="preserve"> in a way</w:t>
      </w:r>
      <w:r w:rsidRPr="00B53F89">
        <w:rPr>
          <w:rFonts w:cs="Arial"/>
        </w:rPr>
        <w:t xml:space="preserve"> that will realise more efficient spectrum use</w:t>
      </w:r>
      <w:r w:rsidR="002C6A94" w:rsidRPr="00B53F89">
        <w:rPr>
          <w:rFonts w:cs="Arial"/>
        </w:rPr>
        <w:t>.</w:t>
      </w:r>
      <w:r w:rsidRPr="00B53F89">
        <w:rPr>
          <w:rFonts w:cs="Arial"/>
        </w:rPr>
        <w:t xml:space="preserve"> </w:t>
      </w:r>
    </w:p>
    <w:p w14:paraId="3D949B79" w14:textId="77777777" w:rsidR="00D45FDA" w:rsidRPr="00B53F89" w:rsidRDefault="00B514B8" w:rsidP="00D7755E">
      <w:pPr>
        <w:rPr>
          <w:rFonts w:cs="Arial"/>
        </w:rPr>
      </w:pPr>
      <w:r w:rsidRPr="00B53F89">
        <w:rPr>
          <w:rFonts w:cs="Arial"/>
        </w:rPr>
        <w:t>Achieving more efficient configuration and use of bands that are already licensed for wireless broadband is a vital adjunct to the clearance and reallocation of new bands to address rising demand for wireless broadband. In part</w:t>
      </w:r>
      <w:r w:rsidR="002C6A94" w:rsidRPr="00B53F89">
        <w:rPr>
          <w:rFonts w:cs="Arial"/>
        </w:rPr>
        <w:t>,</w:t>
      </w:r>
      <w:r w:rsidRPr="00B53F89">
        <w:rPr>
          <w:rFonts w:cs="Arial"/>
        </w:rPr>
        <w:t xml:space="preserve"> this obligation must fall on existing licensees, as well as the regulator, to ensure that the market works to achieve defragmentation and reconfiguration of existing holdings to maximise the overall utility of bands.</w:t>
      </w:r>
    </w:p>
    <w:p w14:paraId="0508560E" w14:textId="02FDD689" w:rsidR="00B04C47" w:rsidRPr="00B53F89" w:rsidRDefault="00D45FDA" w:rsidP="00FA7446">
      <w:r w:rsidRPr="00B53F89">
        <w:t>In addition to the planning and allocation activities</w:t>
      </w:r>
      <w:r w:rsidR="004C7804" w:rsidRPr="00B53F89">
        <w:t xml:space="preserve"> currently underway</w:t>
      </w:r>
      <w:r w:rsidRPr="00B53F89">
        <w:t xml:space="preserve">, the ACMA continues to monitor several other bands for possible replanning for 5G wireless broadband services. The bands are identified in </w:t>
      </w:r>
      <w:r w:rsidR="008D54A0" w:rsidRPr="00B53F89">
        <w:t xml:space="preserve">the </w:t>
      </w:r>
      <w:r w:rsidR="00912927">
        <w:t>‘</w:t>
      </w:r>
      <w:r w:rsidR="008D54A0" w:rsidRPr="00B53F89">
        <w:t>Monitoring</w:t>
      </w:r>
      <w:r w:rsidR="00912927">
        <w:t>’</w:t>
      </w:r>
      <w:r w:rsidR="008D54A0" w:rsidRPr="00B53F89">
        <w:t xml:space="preserve"> section </w:t>
      </w:r>
      <w:r w:rsidRPr="00B53F89">
        <w:t>of Part 2</w:t>
      </w:r>
      <w:r w:rsidR="008D54A0" w:rsidRPr="00B53F89">
        <w:t xml:space="preserve"> (see ‘Bands being studied under WRC-19 agenda item 1.13’)</w:t>
      </w:r>
      <w:r w:rsidRPr="00B53F89">
        <w:t xml:space="preserve">. These bands are generally less mature in terms of harmonisation, standardisation and international implementation of 5G. </w:t>
      </w:r>
    </w:p>
    <w:p w14:paraId="40980546" w14:textId="5325B46B" w:rsidR="00366F24" w:rsidRPr="00B53F89" w:rsidRDefault="00D45FDA" w:rsidP="00FA7446">
      <w:r w:rsidRPr="00B53F89">
        <w:t>However, the ACMA acknowledges that spectrum between 37</w:t>
      </w:r>
      <w:r w:rsidR="003208A0" w:rsidRPr="00B53F89">
        <w:t>–</w:t>
      </w:r>
      <w:r w:rsidRPr="00B53F89">
        <w:t>43.5 GHz is of significant interest for both terrestrial 5G and satellite broadband services</w:t>
      </w:r>
      <w:r w:rsidR="00A061D5" w:rsidRPr="00B53F89">
        <w:t>—</w:t>
      </w:r>
      <w:r w:rsidRPr="00B53F89">
        <w:t>the</w:t>
      </w:r>
      <w:r w:rsidR="000D337E" w:rsidRPr="00B53F89">
        <w:t xml:space="preserve"> United States</w:t>
      </w:r>
      <w:r w:rsidRPr="00B53F89">
        <w:t xml:space="preserve"> </w:t>
      </w:r>
      <w:r w:rsidR="000D337E" w:rsidRPr="00B53F89">
        <w:t>(</w:t>
      </w:r>
      <w:r w:rsidRPr="00B53F89">
        <w:t>US</w:t>
      </w:r>
      <w:r w:rsidR="000D337E" w:rsidRPr="00B53F89">
        <w:t>)</w:t>
      </w:r>
      <w:r w:rsidR="00326C3D" w:rsidRPr="00B53F89">
        <w:t>,</w:t>
      </w:r>
      <w:r w:rsidRPr="00B53F89">
        <w:t xml:space="preserve"> for example</w:t>
      </w:r>
      <w:r w:rsidR="00326C3D" w:rsidRPr="00B53F89">
        <w:t>,</w:t>
      </w:r>
      <w:r w:rsidRPr="00B53F89">
        <w:t xml:space="preserve"> has established arrangements supporting both services. The ACMA will consider global trends and local circumstances</w:t>
      </w:r>
      <w:r w:rsidR="004E4195" w:rsidRPr="00B53F89">
        <w:t>, including domestic and international take-up of mmWave 5G services,</w:t>
      </w:r>
      <w:r w:rsidRPr="00B53F89">
        <w:t xml:space="preserve"> </w:t>
      </w:r>
      <w:r w:rsidR="004E4195" w:rsidRPr="00B53F89">
        <w:t xml:space="preserve">in </w:t>
      </w:r>
      <w:r w:rsidRPr="00B53F89">
        <w:t>determin</w:t>
      </w:r>
      <w:r w:rsidR="004E4195" w:rsidRPr="00B53F89">
        <w:t>ing whether</w:t>
      </w:r>
      <w:r w:rsidRPr="00B53F89">
        <w:t xml:space="preserve"> replanning for possible 5G in the 37</w:t>
      </w:r>
      <w:r w:rsidR="003208A0" w:rsidRPr="00B53F89">
        <w:t>–</w:t>
      </w:r>
      <w:r w:rsidRPr="00B53F89">
        <w:t>43.5 GHz band is appropriate</w:t>
      </w:r>
      <w:r w:rsidR="004E4195" w:rsidRPr="00B53F89">
        <w:t>. The ACMA notes</w:t>
      </w:r>
      <w:r w:rsidRPr="00B53F89">
        <w:t xml:space="preserve"> that the case for replanning of part of th</w:t>
      </w:r>
      <w:r w:rsidR="004E4195" w:rsidRPr="00B53F89">
        <w:t>is</w:t>
      </w:r>
      <w:r w:rsidRPr="00B53F89">
        <w:t xml:space="preserve"> band for satellite services may be appropriate regardless.</w:t>
      </w:r>
    </w:p>
    <w:p w14:paraId="71D4D6EF" w14:textId="00E4AC53" w:rsidR="00B514B8" w:rsidRPr="00B53F89" w:rsidRDefault="00D45FDA" w:rsidP="00FA7446">
      <w:pPr>
        <w:keepNext/>
        <w:spacing w:before="60" w:after="0"/>
      </w:pPr>
      <w:r w:rsidRPr="00B53F89">
        <w:lastRenderedPageBreak/>
        <w:t xml:space="preserve"> </w:t>
      </w:r>
      <w:r w:rsidR="00465725" w:rsidRPr="006A2F04">
        <w:rPr>
          <w:noProof/>
        </w:rPr>
        <w:drawing>
          <wp:inline distT="0" distB="0" distL="0" distR="0" wp14:anchorId="2546BDA2" wp14:editId="25E5B11E">
            <wp:extent cx="341630" cy="359410"/>
            <wp:effectExtent l="0" t="0" r="1270" b="2540"/>
            <wp:docPr id="109" name="Picture 109"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31"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00311094" w:rsidRPr="006A2F04">
        <w:rPr>
          <w:noProof/>
        </w:rPr>
        <w:drawing>
          <wp:inline distT="0" distB="0" distL="0" distR="0" wp14:anchorId="532B6B0C" wp14:editId="43B69F20">
            <wp:extent cx="342900" cy="361950"/>
            <wp:effectExtent l="0" t="0" r="0" b="0"/>
            <wp:docPr id="8" name="Picture 8"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311094" w:rsidRPr="006A2F04">
        <w:rPr>
          <w:noProof/>
        </w:rPr>
        <w:drawing>
          <wp:inline distT="0" distB="0" distL="0" distR="0" wp14:anchorId="6CEFB1E5" wp14:editId="42889F98">
            <wp:extent cx="342900" cy="361950"/>
            <wp:effectExtent l="0" t="0" r="0" b="0"/>
            <wp:docPr id="9" name="Picture 9" descr="Internet of Thing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Internet of Things icon"/>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E17E82" w:rsidRPr="006A2F04">
        <w:rPr>
          <w:noProof/>
        </w:rPr>
        <w:drawing>
          <wp:inline distT="0" distB="0" distL="0" distR="0" wp14:anchorId="298251A0" wp14:editId="078224B8">
            <wp:extent cx="342900" cy="361950"/>
            <wp:effectExtent l="0" t="0" r="0" b="0"/>
            <wp:docPr id="16" name="Picture 16"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4A535AF7" w14:textId="3E013511" w:rsidR="0047696E" w:rsidRPr="00B53F89" w:rsidRDefault="007764EF" w:rsidP="00E97880">
      <w:pPr>
        <w:pStyle w:val="Heading3"/>
      </w:pPr>
      <w:bookmarkStart w:id="137" w:name="_Toc18505502"/>
      <w:r w:rsidRPr="00B53F89">
        <w:t xml:space="preserve">Machine-to-machine communications and the </w:t>
      </w:r>
      <w:r w:rsidR="008C226E" w:rsidRPr="00B53F89">
        <w:t xml:space="preserve">Internet of Things </w:t>
      </w:r>
      <w:r w:rsidR="00C8052B" w:rsidRPr="00B53F89">
        <w:t>(IoT)</w:t>
      </w:r>
      <w:bookmarkEnd w:id="137"/>
    </w:p>
    <w:p w14:paraId="0B42B09C" w14:textId="77777777" w:rsidR="00CA01D5" w:rsidRPr="00B53F89" w:rsidRDefault="00835321">
      <w:r w:rsidRPr="00B53F89">
        <w:t xml:space="preserve">The IoT potentially involves unprecedented numbers of wireless and wired interconnections of personal, consumer and industrial devices supporting a range of applications. </w:t>
      </w:r>
    </w:p>
    <w:p w14:paraId="05DB097E" w14:textId="73305DDB" w:rsidR="00835321" w:rsidRPr="00B53F89" w:rsidRDefault="00835321" w:rsidP="00D7755E">
      <w:r w:rsidRPr="00B53F89">
        <w:t>It is not limited to any specific technology platform and is likely to use frequency allocations across the entire spectrum. For example, 4G and 5G standards have made</w:t>
      </w:r>
      <w:r w:rsidR="00C367FC" w:rsidRPr="00B53F89">
        <w:t>—</w:t>
      </w:r>
      <w:r w:rsidRPr="00B53F89">
        <w:t xml:space="preserve">or </w:t>
      </w:r>
      <w:r w:rsidR="00CE3CC3" w:rsidRPr="00B53F89">
        <w:t>are in the process of making</w:t>
      </w:r>
      <w:r w:rsidR="00C367FC" w:rsidRPr="00B53F89">
        <w:t>—</w:t>
      </w:r>
      <w:r w:rsidRPr="00B53F89">
        <w:t>specific provisions for dedicated IoT service delivery,</w:t>
      </w:r>
      <w:r w:rsidR="00450E6D" w:rsidRPr="00B53F89">
        <w:t xml:space="preserve"> dedicated terrestrial IoT technologies have been developed and deployed that usually utilise class</w:t>
      </w:r>
      <w:r w:rsidR="00BB1258" w:rsidRPr="00B53F89">
        <w:t>-</w:t>
      </w:r>
      <w:r w:rsidR="00450E6D" w:rsidRPr="00B53F89">
        <w:t>licensed bands,</w:t>
      </w:r>
      <w:r w:rsidRPr="00B53F89">
        <w:t xml:space="preserve"> and </w:t>
      </w:r>
      <w:r w:rsidR="00450E6D" w:rsidRPr="00B53F89">
        <w:t xml:space="preserve">multiple </w:t>
      </w:r>
      <w:r w:rsidRPr="00B53F89">
        <w:t xml:space="preserve">satellite </w:t>
      </w:r>
      <w:r w:rsidR="00450E6D" w:rsidRPr="00B53F89">
        <w:t xml:space="preserve">systems </w:t>
      </w:r>
      <w:r w:rsidRPr="00B53F89">
        <w:t xml:space="preserve">are </w:t>
      </w:r>
      <w:r w:rsidR="00450E6D" w:rsidRPr="00B53F89">
        <w:t>also in use or in development</w:t>
      </w:r>
      <w:r w:rsidRPr="00B53F89">
        <w:t xml:space="preserve"> to enable IoT</w:t>
      </w:r>
      <w:r w:rsidR="00AD7F28" w:rsidRPr="00B53F89">
        <w:t xml:space="preserve"> in a range of dedicated satellite bands</w:t>
      </w:r>
      <w:r w:rsidRPr="00B53F89">
        <w:t>.</w:t>
      </w:r>
    </w:p>
    <w:p w14:paraId="3C892308" w14:textId="174AB3FD" w:rsidR="0044006D" w:rsidRPr="00B53F89" w:rsidRDefault="00835321">
      <w:r w:rsidRPr="00B53F89">
        <w:t>Devices providing industrial metering, switching and/or control (including smart infrastructure) are a subset of IoT communications technologies</w:t>
      </w:r>
      <w:r w:rsidR="00A96482" w:rsidRPr="00B53F89">
        <w:t xml:space="preserve"> that have been of </w:t>
      </w:r>
      <w:r w:rsidR="00CA01D5" w:rsidRPr="00B53F89">
        <w:t>interest</w:t>
      </w:r>
      <w:r w:rsidR="00A96482" w:rsidRPr="00B53F89">
        <w:t xml:space="preserve"> in recent years</w:t>
      </w:r>
      <w:r w:rsidRPr="00B53F89">
        <w:t>. They require very low</w:t>
      </w:r>
      <w:r w:rsidR="002C6A94" w:rsidRPr="00B53F89">
        <w:t xml:space="preserve"> </w:t>
      </w:r>
      <w:r w:rsidRPr="00B53F89">
        <w:t>data rates and/or very low duty cycles and operate in low</w:t>
      </w:r>
      <w:r w:rsidR="004C110B" w:rsidRPr="00B53F89">
        <w:t>-</w:t>
      </w:r>
      <w:r w:rsidRPr="00B53F89">
        <w:t>power wide</w:t>
      </w:r>
      <w:r w:rsidR="004C110B" w:rsidRPr="00B53F89">
        <w:t>-</w:t>
      </w:r>
      <w:r w:rsidRPr="00B53F89">
        <w:t>area (LPWA) networks</w:t>
      </w:r>
      <w:r w:rsidR="00887A04" w:rsidRPr="00B53F89">
        <w:t>.</w:t>
      </w:r>
      <w:r w:rsidR="0031384A" w:rsidRPr="00B53F89">
        <w:rPr>
          <w:rStyle w:val="FootnoteReference"/>
        </w:rPr>
        <w:footnoteReference w:id="8"/>
      </w:r>
      <w:r w:rsidR="00887A04" w:rsidRPr="00B53F89">
        <w:t xml:space="preserve"> </w:t>
      </w:r>
      <w:r w:rsidRPr="00B53F89">
        <w:t>An international market has emerged for LPWA networks and devices that operate in the 900 MHz band.</w:t>
      </w:r>
      <w:r w:rsidR="00D16385" w:rsidRPr="00B53F89">
        <w:t xml:space="preserve"> </w:t>
      </w:r>
    </w:p>
    <w:p w14:paraId="75C602C0" w14:textId="489E5B46" w:rsidR="00A96482" w:rsidRPr="00B53F89" w:rsidRDefault="00D16385" w:rsidP="00D7755E">
      <w:r w:rsidRPr="00B53F89">
        <w:t xml:space="preserve">Separately, mobile </w:t>
      </w:r>
      <w:r w:rsidR="0047527A" w:rsidRPr="00B53F89">
        <w:t>network operators</w:t>
      </w:r>
      <w:r w:rsidRPr="00B53F89">
        <w:t xml:space="preserve"> have been deploying IoT-specific variants of the 4G standard</w:t>
      </w:r>
      <w:r w:rsidR="002C6A94" w:rsidRPr="00B53F89">
        <w:t>,</w:t>
      </w:r>
      <w:r w:rsidRPr="00B53F89">
        <w:t xml:space="preserve"> such as Narrowband IoT</w:t>
      </w:r>
      <w:r w:rsidRPr="00B53F89" w:rsidDel="006F4C38">
        <w:t xml:space="preserve"> </w:t>
      </w:r>
      <w:r w:rsidRPr="00B53F89">
        <w:t xml:space="preserve">and </w:t>
      </w:r>
      <w:r w:rsidR="004C110B" w:rsidRPr="00B53F89">
        <w:t xml:space="preserve">Category </w:t>
      </w:r>
      <w:r w:rsidRPr="00B53F89">
        <w:t>M1</w:t>
      </w:r>
      <w:r w:rsidR="004C110B" w:rsidRPr="00B53F89">
        <w:t xml:space="preserve">, commonly known as </w:t>
      </w:r>
      <w:r w:rsidRPr="00B53F89">
        <w:t>Cat-M1</w:t>
      </w:r>
      <w:r w:rsidR="00381F16" w:rsidRPr="00B53F89">
        <w:t>.</w:t>
      </w:r>
      <w:bookmarkStart w:id="138" w:name="_Toc494115153"/>
      <w:bookmarkStart w:id="139" w:name="_Toc509581803"/>
      <w:bookmarkStart w:id="140" w:name="_Toc509585119"/>
      <w:bookmarkStart w:id="141" w:name="_Toc509585655"/>
      <w:r w:rsidR="00BE7AFE" w:rsidRPr="00B53F89">
        <w:t xml:space="preserve"> </w:t>
      </w:r>
      <w:r w:rsidR="00A96482" w:rsidRPr="00B53F89">
        <w:t xml:space="preserve">In both cases services are, or </w:t>
      </w:r>
      <w:r w:rsidR="00D90F28" w:rsidRPr="00B53F89">
        <w:t xml:space="preserve">are expected to </w:t>
      </w:r>
      <w:r w:rsidR="00A96482" w:rsidRPr="00B53F89">
        <w:t xml:space="preserve">be, largely deployed </w:t>
      </w:r>
      <w:r w:rsidR="00D90F28" w:rsidRPr="00B53F89">
        <w:t xml:space="preserve">using </w:t>
      </w:r>
      <w:r w:rsidR="00A96482" w:rsidRPr="00B53F89">
        <w:t>existing spectrum management framework</w:t>
      </w:r>
      <w:r w:rsidR="00D90F28" w:rsidRPr="00B53F89">
        <w:t>s</w:t>
      </w:r>
      <w:r w:rsidR="00A96482" w:rsidRPr="00B53F89">
        <w:t xml:space="preserve"> and established bands.</w:t>
      </w:r>
    </w:p>
    <w:p w14:paraId="11E1E41C" w14:textId="268220B2" w:rsidR="00375635" w:rsidRPr="00B53F89" w:rsidRDefault="00A96482" w:rsidP="00D7755E">
      <w:r w:rsidRPr="00B53F89">
        <w:t>Given the unique capabilities of satellite systems, for example in terms of coverage, multiple companies are delivering or pursuing new space</w:t>
      </w:r>
      <w:r w:rsidR="004C110B" w:rsidRPr="00B53F89">
        <w:t>-</w:t>
      </w:r>
      <w:r w:rsidRPr="00B53F89">
        <w:t>based IoT services</w:t>
      </w:r>
      <w:r w:rsidR="00875697" w:rsidRPr="00B53F89">
        <w:t>—</w:t>
      </w:r>
      <w:r w:rsidRPr="00B53F89">
        <w:t xml:space="preserve">in some cases enabled </w:t>
      </w:r>
      <w:r w:rsidR="00AA6EE0" w:rsidRPr="00B53F89">
        <w:t xml:space="preserve">through </w:t>
      </w:r>
      <w:r w:rsidRPr="00B53F89">
        <w:t xml:space="preserve">new small satellite technology. Some of these services are being pursued or delivered within established satellite bands </w:t>
      </w:r>
      <w:r w:rsidR="00A02AE2" w:rsidRPr="00B53F89">
        <w:t xml:space="preserve">in </w:t>
      </w:r>
      <w:r w:rsidRPr="00B53F89">
        <w:t>the existing regulatory framework. However</w:t>
      </w:r>
      <w:r w:rsidRPr="00B53F89" w:rsidDel="00EA6BBC">
        <w:t xml:space="preserve">, </w:t>
      </w:r>
      <w:r w:rsidRPr="00B53F89">
        <w:t>in some cases</w:t>
      </w:r>
      <w:r w:rsidR="00F95170" w:rsidRPr="00B53F89">
        <w:t>,</w:t>
      </w:r>
      <w:r w:rsidRPr="00B53F89">
        <w:t xml:space="preserve"> enabling satellite IoT </w:t>
      </w:r>
      <w:r w:rsidR="00EA6BBC" w:rsidRPr="00B53F89">
        <w:t xml:space="preserve">may require </w:t>
      </w:r>
      <w:r w:rsidRPr="00B53F89">
        <w:t>specific changes to the regulatory regime</w:t>
      </w:r>
      <w:r w:rsidR="00FC384C" w:rsidRPr="00B53F89">
        <w:t>. A recent example is</w:t>
      </w:r>
      <w:r w:rsidRPr="00B53F89">
        <w:t xml:space="preserve"> the inclusion of spectrum around 400 MHz in the </w:t>
      </w:r>
      <w:hyperlink r:id="rId54" w:history="1">
        <w:r w:rsidR="00FC384C" w:rsidRPr="00B53F89">
          <w:rPr>
            <w:rStyle w:val="Hyperlink"/>
          </w:rPr>
          <w:t>Radiocommunications (</w:t>
        </w:r>
        <w:r w:rsidRPr="00B53F89">
          <w:rPr>
            <w:rStyle w:val="Hyperlink"/>
          </w:rPr>
          <w:t>Communication with Space Object</w:t>
        </w:r>
        <w:r w:rsidR="00FC384C" w:rsidRPr="00B53F89">
          <w:rPr>
            <w:rStyle w:val="Hyperlink"/>
          </w:rPr>
          <w:t>)</w:t>
        </w:r>
        <w:r w:rsidRPr="00B53F89">
          <w:rPr>
            <w:rStyle w:val="Hyperlink"/>
          </w:rPr>
          <w:t xml:space="preserve"> Class Licence</w:t>
        </w:r>
        <w:r w:rsidR="00FC384C" w:rsidRPr="00B53F89">
          <w:rPr>
            <w:rStyle w:val="Hyperlink"/>
          </w:rPr>
          <w:t xml:space="preserve"> 2015</w:t>
        </w:r>
      </w:hyperlink>
      <w:r w:rsidR="00FC384C" w:rsidRPr="00B53F89">
        <w:t xml:space="preserve"> in 2018</w:t>
      </w:r>
      <w:r w:rsidRPr="00B53F89">
        <w:t>.</w:t>
      </w:r>
      <w:r w:rsidRPr="00B53F89">
        <w:rPr>
          <w:rStyle w:val="FootnoteReference"/>
        </w:rPr>
        <w:footnoteReference w:id="9"/>
      </w:r>
    </w:p>
    <w:p w14:paraId="0D198078" w14:textId="72135764" w:rsidR="00050C4F" w:rsidRPr="00B53F89" w:rsidRDefault="00D65A4D" w:rsidP="00FA7446">
      <w:pPr>
        <w:keepNext/>
        <w:spacing w:before="60" w:after="0"/>
      </w:pPr>
      <w:r w:rsidRPr="006A2F04">
        <w:rPr>
          <w:noProof/>
        </w:rPr>
        <w:drawing>
          <wp:inline distT="0" distB="0" distL="0" distR="0" wp14:anchorId="51320F30" wp14:editId="087D88EC">
            <wp:extent cx="342900" cy="361950"/>
            <wp:effectExtent l="0" t="0" r="0" b="0"/>
            <wp:docPr id="14" name="Picture 14"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Radio/TV broadcasting icon"/>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465725" w:rsidRPr="006A2F04">
        <w:rPr>
          <w:noProof/>
        </w:rPr>
        <w:drawing>
          <wp:inline distT="0" distB="0" distL="0" distR="0" wp14:anchorId="5D53AECF" wp14:editId="6E661483">
            <wp:extent cx="341630" cy="359410"/>
            <wp:effectExtent l="0" t="0" r="1270" b="2540"/>
            <wp:docPr id="130" name="Picture 130"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31"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p>
    <w:p w14:paraId="69EDCE58" w14:textId="2D0E2097" w:rsidR="00835321" w:rsidRPr="00B53F89" w:rsidRDefault="00C45AA4" w:rsidP="00D7755E">
      <w:pPr>
        <w:pStyle w:val="Heading3"/>
        <w:rPr>
          <w:rFonts w:cs="Times New Roman"/>
          <w:b w:val="0"/>
          <w:bCs w:val="0"/>
          <w:szCs w:val="24"/>
        </w:rPr>
      </w:pPr>
      <w:bookmarkStart w:id="142" w:name="_Toc510104934"/>
      <w:bookmarkStart w:id="143" w:name="_Toc510105731"/>
      <w:bookmarkStart w:id="144" w:name="_Toc18505503"/>
      <w:r w:rsidRPr="00B53F89">
        <w:t>Future delivery of broadcasting services</w:t>
      </w:r>
      <w:bookmarkEnd w:id="138"/>
      <w:bookmarkEnd w:id="139"/>
      <w:bookmarkEnd w:id="140"/>
      <w:bookmarkEnd w:id="141"/>
      <w:bookmarkEnd w:id="142"/>
      <w:bookmarkEnd w:id="143"/>
      <w:bookmarkEnd w:id="144"/>
    </w:p>
    <w:p w14:paraId="24A55DB9" w14:textId="4E7EF547" w:rsidR="00296EFA" w:rsidRPr="00B53F89" w:rsidRDefault="00264555" w:rsidP="00DE694D">
      <w:r w:rsidRPr="00B53F89">
        <w:t>T</w:t>
      </w:r>
      <w:r w:rsidR="00D357B4" w:rsidRPr="00B53F89">
        <w:t xml:space="preserve">he ACMA’s management of spectrum to support broadcasting services will need to </w:t>
      </w:r>
      <w:r w:rsidR="00F95170" w:rsidRPr="00B53F89">
        <w:t>consider</w:t>
      </w:r>
      <w:r w:rsidR="00D357B4" w:rsidRPr="00B53F89">
        <w:t xml:space="preserve"> the evolution of broadcasting services and their audiences. </w:t>
      </w:r>
    </w:p>
    <w:p w14:paraId="3AF8CF57" w14:textId="251241DC" w:rsidR="00E12E45" w:rsidRPr="00B53F89" w:rsidRDefault="009F0FF1" w:rsidP="00DE694D">
      <w:r w:rsidRPr="00B53F89">
        <w:t>Broadcasting services are delivered using radiocommunications spectrum</w:t>
      </w:r>
      <w:r w:rsidR="00D357B4" w:rsidRPr="00B53F89">
        <w:t>,</w:t>
      </w:r>
      <w:r w:rsidR="00BB6634" w:rsidRPr="00B53F89">
        <w:t xml:space="preserve"> includ</w:t>
      </w:r>
      <w:r w:rsidR="00D357B4" w:rsidRPr="00B53F89">
        <w:t>ing</w:t>
      </w:r>
      <w:r w:rsidR="00BB6634" w:rsidRPr="00B53F89" w:rsidDel="00D357B4">
        <w:t xml:space="preserve"> </w:t>
      </w:r>
      <w:r w:rsidR="00BB6634" w:rsidRPr="00B53F89">
        <w:t>AM and FM frequencies</w:t>
      </w:r>
      <w:r w:rsidR="00D357B4" w:rsidRPr="00B53F89">
        <w:t xml:space="preserve"> (for radio)</w:t>
      </w:r>
      <w:r w:rsidR="00BB6634" w:rsidRPr="00B53F89">
        <w:t>, UHF</w:t>
      </w:r>
      <w:r w:rsidR="00D357B4" w:rsidRPr="00B53F89">
        <w:t xml:space="preserve"> and satellite frequencies</w:t>
      </w:r>
      <w:r w:rsidR="00BB6634" w:rsidRPr="00B53F89">
        <w:t xml:space="preserve"> </w:t>
      </w:r>
      <w:r w:rsidR="00D357B4" w:rsidRPr="00B53F89">
        <w:t xml:space="preserve">(for television) </w:t>
      </w:r>
      <w:r w:rsidR="00BB6634" w:rsidRPr="00B53F89">
        <w:t xml:space="preserve">and other </w:t>
      </w:r>
      <w:r w:rsidR="00D357B4" w:rsidRPr="00B53F89">
        <w:t xml:space="preserve">parts of the spectrum deliver broadcasting services using </w:t>
      </w:r>
      <w:r w:rsidR="00BB6634" w:rsidRPr="00B53F89">
        <w:t xml:space="preserve">mobile </w:t>
      </w:r>
      <w:r w:rsidR="00D357B4" w:rsidRPr="00B53F89">
        <w:t xml:space="preserve">broadband </w:t>
      </w:r>
      <w:r w:rsidR="00BB6634" w:rsidRPr="00B53F89">
        <w:t xml:space="preserve">and </w:t>
      </w:r>
      <w:r w:rsidR="00D357B4" w:rsidRPr="00B53F89">
        <w:t xml:space="preserve">other </w:t>
      </w:r>
      <w:r w:rsidR="00BB6634" w:rsidRPr="00B53F89">
        <w:t xml:space="preserve">wireless </w:t>
      </w:r>
      <w:r w:rsidR="00D357B4" w:rsidRPr="00B53F89">
        <w:t>delivery systems</w:t>
      </w:r>
      <w:r w:rsidR="00BB6634" w:rsidRPr="00B53F89">
        <w:t xml:space="preserve">. </w:t>
      </w:r>
      <w:r w:rsidR="0080223C" w:rsidRPr="00B53F89">
        <w:t xml:space="preserve">Evolving digital transmission technology </w:t>
      </w:r>
      <w:r w:rsidRPr="00B53F89">
        <w:t xml:space="preserve">and changes in </w:t>
      </w:r>
      <w:r w:rsidR="00D357B4" w:rsidRPr="00B53F89">
        <w:t xml:space="preserve">viewer and </w:t>
      </w:r>
      <w:r w:rsidRPr="00B53F89">
        <w:t>listener behaviour are altering the modes of delivery</w:t>
      </w:r>
      <w:r w:rsidR="00C8052B" w:rsidRPr="00B53F89">
        <w:t xml:space="preserve"> and</w:t>
      </w:r>
      <w:r w:rsidR="00BB6634" w:rsidRPr="00B53F89">
        <w:t xml:space="preserve"> </w:t>
      </w:r>
      <w:r w:rsidR="00C8052B" w:rsidRPr="00B53F89">
        <w:t>consequently</w:t>
      </w:r>
      <w:r w:rsidR="00C8052B" w:rsidRPr="00B53F89" w:rsidDel="00C8052B">
        <w:t xml:space="preserve"> </w:t>
      </w:r>
      <w:r w:rsidR="00F95170" w:rsidRPr="00B53F89">
        <w:t>changing the</w:t>
      </w:r>
      <w:r w:rsidR="00BB6634" w:rsidRPr="00B53F89">
        <w:t xml:space="preserve"> </w:t>
      </w:r>
      <w:r w:rsidR="00C8052B" w:rsidRPr="00B53F89">
        <w:t xml:space="preserve">broadcasting </w:t>
      </w:r>
      <w:r w:rsidR="00BB6634" w:rsidRPr="00B53F89">
        <w:t>demand for spectrum</w:t>
      </w:r>
      <w:r w:rsidR="00EC564D" w:rsidRPr="00B53F89">
        <w:t xml:space="preserve">. </w:t>
      </w:r>
    </w:p>
    <w:p w14:paraId="51245918" w14:textId="5085B3BB" w:rsidR="00BB6634" w:rsidRPr="00B53F89" w:rsidRDefault="00E12E45" w:rsidP="00DE694D">
      <w:r w:rsidRPr="00B53F89">
        <w:t>In recognition of the technological evolution occurring in broadcasting, the ACMA has actively supported new technology trials, such as the DVB-T2 trials for television that commenced in Q</w:t>
      </w:r>
      <w:r w:rsidR="00E00B33" w:rsidRPr="00B53F89">
        <w:t>2</w:t>
      </w:r>
      <w:r w:rsidRPr="00B53F89">
        <w:t xml:space="preserve"> 20</w:t>
      </w:r>
      <w:r w:rsidR="00082070" w:rsidRPr="00B53F89">
        <w:t>19</w:t>
      </w:r>
      <w:r w:rsidRPr="00B53F89">
        <w:t xml:space="preserve">. The ACMA continues its work in facilitating the progressive </w:t>
      </w:r>
      <w:r w:rsidRPr="00B53F89">
        <w:lastRenderedPageBreak/>
        <w:t>migration of legacy AM services in solus markets to FM services. Similarly, the ACMA continues to progress the roll-out of digital radio into regional Australia</w:t>
      </w:r>
      <w:r w:rsidR="00B7372D" w:rsidRPr="00B53F89">
        <w:t>.</w:t>
      </w:r>
      <w:r w:rsidRPr="00B53F89">
        <w:t xml:space="preserve"> </w:t>
      </w:r>
    </w:p>
    <w:p w14:paraId="51941E9C" w14:textId="76B12350" w:rsidR="00C8052B" w:rsidRPr="00B53F89" w:rsidRDefault="002E6284">
      <w:r w:rsidRPr="00B53F89">
        <w:t xml:space="preserve">The ACMA </w:t>
      </w:r>
      <w:r w:rsidR="00515EC0" w:rsidRPr="00B53F89">
        <w:t>is</w:t>
      </w:r>
      <w:r w:rsidRPr="00B53F89">
        <w:t xml:space="preserve"> investigating the future delivery of</w:t>
      </w:r>
      <w:r w:rsidR="00627CDC" w:rsidRPr="00B53F89">
        <w:t xml:space="preserve"> radio</w:t>
      </w:r>
      <w:r w:rsidRPr="00B53F89">
        <w:t xml:space="preserve"> broadcasting services in Australia to facilitate a discussion with industry on the issues and opportunities with current and new delivery systems</w:t>
      </w:r>
      <w:r w:rsidR="00362445" w:rsidRPr="00B53F89">
        <w:t>, and</w:t>
      </w:r>
      <w:r w:rsidR="002D769B" w:rsidRPr="00B53F89">
        <w:t xml:space="preserve"> the</w:t>
      </w:r>
      <w:r w:rsidR="00362445" w:rsidRPr="00B53F89">
        <w:t xml:space="preserve"> impact on metropolitan</w:t>
      </w:r>
      <w:r w:rsidR="00627CDC" w:rsidRPr="00B53F89">
        <w:t>,</w:t>
      </w:r>
      <w:r w:rsidR="00362445" w:rsidRPr="00B53F89">
        <w:t xml:space="preserve"> and regional and remote markets</w:t>
      </w:r>
      <w:r w:rsidRPr="00B53F89">
        <w:t xml:space="preserve">. </w:t>
      </w:r>
    </w:p>
    <w:p w14:paraId="03C42C09" w14:textId="1D9FAB77" w:rsidR="002E6284" w:rsidRPr="00B53F89" w:rsidRDefault="002E6284" w:rsidP="00DE694D">
      <w:r w:rsidRPr="00B53F89">
        <w:t xml:space="preserve">This </w:t>
      </w:r>
      <w:r w:rsidR="00C8052B" w:rsidRPr="00B53F89">
        <w:t xml:space="preserve">will </w:t>
      </w:r>
      <w:r w:rsidR="006C005C" w:rsidRPr="00B53F89">
        <w:t xml:space="preserve">inform </w:t>
      </w:r>
      <w:r w:rsidRPr="00B53F89">
        <w:t xml:space="preserve">a </w:t>
      </w:r>
      <w:r w:rsidR="00124141" w:rsidRPr="00B53F89">
        <w:t xml:space="preserve">comprehensive </w:t>
      </w:r>
      <w:r w:rsidRPr="00B53F89">
        <w:t xml:space="preserve">assessment of </w:t>
      </w:r>
      <w:r w:rsidR="00627CDC" w:rsidRPr="00B53F89">
        <w:t xml:space="preserve">radio </w:t>
      </w:r>
      <w:r w:rsidRPr="00B53F89">
        <w:t>broadcasting delivery issues and develop a common understanding of those issues that will have benefits for the public and industry in the long term.</w:t>
      </w:r>
    </w:p>
    <w:p w14:paraId="512ADF84" w14:textId="7E73D69E" w:rsidR="00335C95" w:rsidRPr="00B53F89" w:rsidRDefault="00465725" w:rsidP="008B5C1E">
      <w:pPr>
        <w:spacing w:after="0"/>
      </w:pPr>
      <w:bookmarkStart w:id="145" w:name="_Toc494115154"/>
      <w:bookmarkStart w:id="146" w:name="_Toc510104935"/>
      <w:bookmarkStart w:id="147" w:name="_Toc510105732"/>
      <w:bookmarkStart w:id="148" w:name="_Toc511716273"/>
      <w:bookmarkStart w:id="149" w:name="_Toc511719084"/>
      <w:bookmarkStart w:id="150" w:name="_Toc522794080"/>
      <w:bookmarkStart w:id="151" w:name="_Toc509581804"/>
      <w:bookmarkStart w:id="152" w:name="_Toc509585120"/>
      <w:bookmarkStart w:id="153" w:name="_Toc509585656"/>
      <w:bookmarkStart w:id="154" w:name="_Toc510795072"/>
      <w:bookmarkStart w:id="155" w:name="_Hlk2582851"/>
      <w:r w:rsidRPr="006A2F04">
        <w:rPr>
          <w:noProof/>
        </w:rPr>
        <w:drawing>
          <wp:inline distT="0" distB="0" distL="0" distR="0" wp14:anchorId="7C749D18" wp14:editId="20BBA512">
            <wp:extent cx="341630" cy="359410"/>
            <wp:effectExtent l="0" t="0" r="1270" b="2540"/>
            <wp:docPr id="138" name="Picture 138"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31"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p>
    <w:p w14:paraId="7152E04D" w14:textId="27DFD63E" w:rsidR="005A2067" w:rsidRPr="00B53F89" w:rsidRDefault="00835321" w:rsidP="00D7755E">
      <w:pPr>
        <w:pStyle w:val="Heading3"/>
      </w:pPr>
      <w:bookmarkStart w:id="156" w:name="_Toc18505504"/>
      <w:r w:rsidRPr="00B53F89">
        <w:t>Satellite communications</w:t>
      </w:r>
      <w:bookmarkEnd w:id="145"/>
      <w:bookmarkEnd w:id="146"/>
      <w:bookmarkEnd w:id="147"/>
      <w:bookmarkEnd w:id="148"/>
      <w:bookmarkEnd w:id="149"/>
      <w:bookmarkEnd w:id="150"/>
      <w:bookmarkEnd w:id="156"/>
      <w:r w:rsidR="00F45C16" w:rsidRPr="00B53F89">
        <w:t xml:space="preserve"> </w:t>
      </w:r>
      <w:bookmarkEnd w:id="151"/>
      <w:bookmarkEnd w:id="152"/>
      <w:bookmarkEnd w:id="153"/>
      <w:bookmarkEnd w:id="154"/>
    </w:p>
    <w:p w14:paraId="070CDFAE" w14:textId="407CC104" w:rsidR="00D02662" w:rsidRPr="00B53F89" w:rsidRDefault="00D02662" w:rsidP="00D7755E">
      <w:r w:rsidRPr="00B53F89">
        <w:t xml:space="preserve">There is continuing </w:t>
      </w:r>
      <w:r w:rsidR="00835321" w:rsidRPr="00B53F89">
        <w:t>growth and innovation in the provision of satellite-delivered telecommunication</w:t>
      </w:r>
      <w:r w:rsidR="0063544C" w:rsidRPr="00B53F89">
        <w:t>s</w:t>
      </w:r>
      <w:r w:rsidR="00835321" w:rsidRPr="00B53F89">
        <w:t xml:space="preserve"> and in space science services</w:t>
      </w:r>
      <w:r w:rsidRPr="00B53F89">
        <w:t xml:space="preserve">. These changes are </w:t>
      </w:r>
      <w:r w:rsidR="00835321" w:rsidRPr="00B53F89">
        <w:t>increasing pressure both internationally and domestically to ensure that regulatory arrangements support this change.</w:t>
      </w:r>
      <w:r w:rsidR="004C0AFC" w:rsidRPr="00B53F89">
        <w:t xml:space="preserve"> </w:t>
      </w:r>
      <w:r w:rsidRPr="00B53F89">
        <w:t xml:space="preserve">This </w:t>
      </w:r>
      <w:r w:rsidR="003D3A85" w:rsidRPr="00B53F89">
        <w:t xml:space="preserve">can </w:t>
      </w:r>
      <w:r w:rsidRPr="00B53F89">
        <w:t>result in</w:t>
      </w:r>
      <w:r w:rsidRPr="00B53F89" w:rsidDel="00366EA5">
        <w:t xml:space="preserve"> </w:t>
      </w:r>
      <w:r w:rsidRPr="00B53F89">
        <w:t xml:space="preserve">both </w:t>
      </w:r>
      <w:r w:rsidR="00366EA5" w:rsidRPr="00B53F89">
        <w:t xml:space="preserve">the </w:t>
      </w:r>
      <w:r w:rsidRPr="00B53F89">
        <w:t>establish</w:t>
      </w:r>
      <w:r w:rsidR="00366EA5" w:rsidRPr="00B53F89">
        <w:t>ment of</w:t>
      </w:r>
      <w:r w:rsidRPr="00B53F89">
        <w:t xml:space="preserve"> new spectrum access arrangements and </w:t>
      </w:r>
      <w:r w:rsidR="00366EA5" w:rsidRPr="00B53F89">
        <w:t xml:space="preserve">the </w:t>
      </w:r>
      <w:r w:rsidRPr="00B53F89">
        <w:t>refine</w:t>
      </w:r>
      <w:r w:rsidR="00366EA5" w:rsidRPr="00B53F89">
        <w:t>ment of</w:t>
      </w:r>
      <w:r w:rsidRPr="00B53F89">
        <w:t xml:space="preserve"> existing ones.</w:t>
      </w:r>
    </w:p>
    <w:p w14:paraId="469826A8" w14:textId="58FFA902" w:rsidR="00A96482" w:rsidRPr="00B53F89" w:rsidRDefault="00A96482" w:rsidP="00D7755E">
      <w:r w:rsidRPr="00B53F89">
        <w:t>The development of lower-cost, miniaturised space hardware (often referred to as nanosats, cubesats or smallsats) and reduced launch costs are supporting growth in the diversity and capability of services delivered by satellite. In some case</w:t>
      </w:r>
      <w:r w:rsidR="003360A4" w:rsidRPr="00B53F89">
        <w:t>s</w:t>
      </w:r>
      <w:r w:rsidR="00BC5180" w:rsidRPr="00B53F89">
        <w:t>,</w:t>
      </w:r>
      <w:r w:rsidRPr="00B53F89">
        <w:t xml:space="preserve"> smallsats are allowing commercial broadband business models and services requiring constellations of satellites in non-geostationary orbit that were once cost prohibitive to now be viable. Some proposed </w:t>
      </w:r>
      <w:r w:rsidR="00B84A97" w:rsidRPr="00B53F89">
        <w:t>non-geostationary orbit</w:t>
      </w:r>
      <w:r w:rsidRPr="00B53F89">
        <w:t xml:space="preserve"> broadband systems require the deployment of very large numbers</w:t>
      </w:r>
      <w:r w:rsidR="00990D9B" w:rsidRPr="00B53F89">
        <w:t>—for example,</w:t>
      </w:r>
      <w:r w:rsidR="00B53F89">
        <w:t xml:space="preserve"> </w:t>
      </w:r>
      <w:r w:rsidRPr="00B53F89">
        <w:t>hundreds or thousands</w:t>
      </w:r>
      <w:r w:rsidR="00990D9B" w:rsidRPr="00B53F89">
        <w:t>,</w:t>
      </w:r>
      <w:r w:rsidRPr="00B53F89" w:rsidDel="00126CB6">
        <w:t xml:space="preserve"> </w:t>
      </w:r>
      <w:r w:rsidRPr="00B53F89">
        <w:t xml:space="preserve">of satellites. This changed environment has also increased the opportunity for academic and scientific space missions, often of short duration. </w:t>
      </w:r>
    </w:p>
    <w:p w14:paraId="560FD7F1" w14:textId="431A41E3" w:rsidR="00A96482" w:rsidRPr="00B53F89" w:rsidRDefault="00A96482" w:rsidP="00D7755E">
      <w:r w:rsidRPr="00B53F89">
        <w:t>Collectively these environmental changes are driving several spectrum management challenges</w:t>
      </w:r>
      <w:r w:rsidR="00A97E6D" w:rsidRPr="00B53F89">
        <w:t>.</w:t>
      </w:r>
      <w:r w:rsidRPr="00B53F89">
        <w:t xml:space="preserve"> </w:t>
      </w:r>
      <w:r w:rsidR="00A97E6D" w:rsidRPr="00B53F89">
        <w:rPr>
          <w:rStyle w:val="CommentReference"/>
          <w:sz w:val="20"/>
          <w:szCs w:val="20"/>
        </w:rPr>
        <w:t>M</w:t>
      </w:r>
      <w:r w:rsidRPr="00B53F89">
        <w:t>any of</w:t>
      </w:r>
      <w:r w:rsidRPr="00B53F89" w:rsidDel="00A97E6D">
        <w:t xml:space="preserve"> </w:t>
      </w:r>
      <w:r w:rsidR="00A97E6D" w:rsidRPr="00B53F89">
        <w:t xml:space="preserve">these </w:t>
      </w:r>
      <w:r w:rsidRPr="00B53F89">
        <w:t>are being addressed</w:t>
      </w:r>
      <w:r w:rsidR="00A97E6D" w:rsidRPr="00B53F89">
        <w:t>, to some extent,</w:t>
      </w:r>
      <w:r w:rsidRPr="00B53F89">
        <w:t xml:space="preserve"> on an international basis given the nature of satellite systems. For example, for reasons of economy and equipment availability, short duration smallsat missions often utilise systems operating in bands not allocated for space services </w:t>
      </w:r>
      <w:r w:rsidR="00EE1971" w:rsidRPr="00B53F89">
        <w:t>in the</w:t>
      </w:r>
      <w:r w:rsidR="008E6685" w:rsidRPr="00B53F89">
        <w:t xml:space="preserve"> </w:t>
      </w:r>
      <w:hyperlink r:id="rId55" w:history="1">
        <w:r w:rsidR="008E6685" w:rsidRPr="00B53F89">
          <w:rPr>
            <w:rStyle w:val="Hyperlink"/>
            <w:rFonts w:cs="Arial"/>
            <w:i/>
          </w:rPr>
          <w:t xml:space="preserve">Australian Radiofrequency </w:t>
        </w:r>
        <w:r w:rsidR="008E6685" w:rsidRPr="00B53F89">
          <w:rPr>
            <w:rStyle w:val="Hyperlink"/>
            <w:i/>
          </w:rPr>
          <w:t>Spectrum Plan</w:t>
        </w:r>
        <w:r w:rsidR="00F86111" w:rsidRPr="00B53F89">
          <w:rPr>
            <w:rStyle w:val="Hyperlink"/>
            <w:i/>
          </w:rPr>
          <w:t xml:space="preserve"> 2017</w:t>
        </w:r>
      </w:hyperlink>
      <w:r w:rsidR="00EE1971" w:rsidRPr="00B53F89">
        <w:t xml:space="preserve"> </w:t>
      </w:r>
      <w:r w:rsidR="008E6685" w:rsidRPr="00B53F89">
        <w:t>(</w:t>
      </w:r>
      <w:r w:rsidR="00EE1971" w:rsidRPr="00B53F89">
        <w:t>ARSP</w:t>
      </w:r>
      <w:r w:rsidR="008E6685" w:rsidRPr="00B53F89">
        <w:t>)</w:t>
      </w:r>
      <w:r w:rsidR="00EE1971" w:rsidRPr="00B53F89">
        <w:t xml:space="preserve"> </w:t>
      </w:r>
      <w:r w:rsidRPr="00B53F89">
        <w:t>and/or are not filed and coordinated internationally for interference management purposes. This creates practical challenges for national spectrum managers</w:t>
      </w:r>
      <w:r w:rsidR="00BD28D6" w:rsidRPr="00B53F89">
        <w:t>,</w:t>
      </w:r>
      <w:r w:rsidRPr="00B53F89">
        <w:t xml:space="preserve"> such as the ACMA</w:t>
      </w:r>
      <w:r w:rsidR="00BD28D6" w:rsidRPr="00B53F89">
        <w:t>,</w:t>
      </w:r>
      <w:r w:rsidRPr="00B53F89">
        <w:t xml:space="preserve"> which are generally eager to support these missions but need to ensure practical interference management considerations are addressed. </w:t>
      </w:r>
    </w:p>
    <w:p w14:paraId="29E78FEF" w14:textId="43A3C9FC" w:rsidR="004C0AFC" w:rsidRPr="00B53F89" w:rsidRDefault="009962F3">
      <w:r w:rsidRPr="00B53F89">
        <w:t>The</w:t>
      </w:r>
      <w:r w:rsidR="006A45A2" w:rsidRPr="00B53F89">
        <w:t>re has also recently been</w:t>
      </w:r>
      <w:r w:rsidRPr="00B53F89">
        <w:t xml:space="preserve"> growth in satellite broadband high throughput systems (HTS) that increase the demand for spectrum arrangements to support ubiquitous earth stations for user terminals and </w:t>
      </w:r>
      <w:r w:rsidR="006A45A2" w:rsidRPr="00B53F89">
        <w:t xml:space="preserve">for </w:t>
      </w:r>
      <w:r w:rsidRPr="00B53F89">
        <w:t>supporting gateway earth stations</w:t>
      </w:r>
      <w:r w:rsidR="006A45A2" w:rsidRPr="00B53F89">
        <w:t xml:space="preserve">. </w:t>
      </w:r>
    </w:p>
    <w:p w14:paraId="41A3323B" w14:textId="1C4731BE" w:rsidR="004C0AFC" w:rsidRPr="00B53F89" w:rsidRDefault="009962F3">
      <w:r w:rsidRPr="00B53F89">
        <w:t xml:space="preserve">The current Australian spectrum management framework already provides for ubiquitous, uncoordinated </w:t>
      </w:r>
      <w:r w:rsidR="005F5045" w:rsidRPr="00B53F89">
        <w:t>e</w:t>
      </w:r>
      <w:r w:rsidRPr="00B53F89">
        <w:t>arth stations suitable for broadband HTS (</w:t>
      </w:r>
      <w:r w:rsidR="006A45A2" w:rsidRPr="00B53F89">
        <w:t xml:space="preserve">using </w:t>
      </w:r>
      <w:r w:rsidRPr="00B53F89">
        <w:t>1.55 GHz total uplink/downlink spectrum in Ku</w:t>
      </w:r>
      <w:r w:rsidR="00301CA0" w:rsidRPr="00B53F89">
        <w:t xml:space="preserve"> </w:t>
      </w:r>
      <w:r w:rsidRPr="00B53F89">
        <w:t>band and 2.6 GHz in Ka</w:t>
      </w:r>
      <w:r w:rsidR="00301CA0" w:rsidRPr="00B53F89">
        <w:t xml:space="preserve"> </w:t>
      </w:r>
      <w:r w:rsidRPr="00B53F89">
        <w:t xml:space="preserve">band). Parts of the satellite industry </w:t>
      </w:r>
      <w:r w:rsidR="001E0016" w:rsidRPr="00B53F89">
        <w:t xml:space="preserve">have suggested that </w:t>
      </w:r>
      <w:r w:rsidRPr="00B53F89">
        <w:t xml:space="preserve">additional spectrum in both bands </w:t>
      </w:r>
      <w:r w:rsidR="001E0016" w:rsidRPr="00B53F89">
        <w:t xml:space="preserve">is required </w:t>
      </w:r>
      <w:r w:rsidRPr="00B53F89">
        <w:t xml:space="preserve">to support planned satellite systems and expected future growth in satellite broadband HTS requirements. </w:t>
      </w:r>
    </w:p>
    <w:p w14:paraId="135D7519" w14:textId="4ECE2589" w:rsidR="009962F3" w:rsidRPr="00B53F89" w:rsidRDefault="001E0016" w:rsidP="00D7755E">
      <w:r w:rsidRPr="00B53F89">
        <w:t xml:space="preserve">The </w:t>
      </w:r>
      <w:r w:rsidR="009962F3" w:rsidRPr="00B53F89">
        <w:t xml:space="preserve">ACMA </w:t>
      </w:r>
      <w:r w:rsidRPr="00B53F89">
        <w:t xml:space="preserve">is </w:t>
      </w:r>
      <w:r w:rsidR="009962F3" w:rsidRPr="00B53F89">
        <w:t>investigating possible changes in both the Ku</w:t>
      </w:r>
      <w:r w:rsidR="00301CA0" w:rsidRPr="00B53F89">
        <w:t xml:space="preserve"> </w:t>
      </w:r>
      <w:r w:rsidR="009962F3" w:rsidRPr="00B53F89">
        <w:t>band for additional downlink spectrum shared with terrestrial fixed links in 10.7</w:t>
      </w:r>
      <w:r w:rsidR="00004D7C" w:rsidRPr="00B53F89">
        <w:t>–</w:t>
      </w:r>
      <w:r w:rsidR="009962F3" w:rsidRPr="00B53F89">
        <w:t xml:space="preserve">11.7 GHz and </w:t>
      </w:r>
      <w:r w:rsidRPr="00B53F89">
        <w:t xml:space="preserve">the </w:t>
      </w:r>
      <w:r w:rsidR="009962F3" w:rsidRPr="00B53F89">
        <w:t>Ka</w:t>
      </w:r>
      <w:r w:rsidR="00B53F89">
        <w:t xml:space="preserve"> </w:t>
      </w:r>
      <w:r w:rsidR="009962F3" w:rsidRPr="00B53F89">
        <w:t xml:space="preserve">band </w:t>
      </w:r>
      <w:r w:rsidRPr="00B53F89">
        <w:t xml:space="preserve">in the context of </w:t>
      </w:r>
      <w:r w:rsidR="009962F3" w:rsidRPr="00B53F89">
        <w:t>the 28 GHz band review that considers spectrum in the uplink range of 27.5</w:t>
      </w:r>
      <w:r w:rsidR="004E64E0" w:rsidRPr="00B53F89">
        <w:t>–</w:t>
      </w:r>
      <w:r w:rsidR="009962F3" w:rsidRPr="00B53F89">
        <w:t>29.5 GHz</w:t>
      </w:r>
      <w:r w:rsidR="00B7372D" w:rsidRPr="00B53F89">
        <w:t>.</w:t>
      </w:r>
      <w:r w:rsidR="009962F3" w:rsidRPr="00B53F89">
        <w:t xml:space="preserve"> The ACMA acknowledges that downlink spectrum </w:t>
      </w:r>
      <w:r w:rsidR="009962F3" w:rsidRPr="00B53F89">
        <w:lastRenderedPageBreak/>
        <w:t xml:space="preserve">arrangements </w:t>
      </w:r>
      <w:r w:rsidR="001C221D" w:rsidRPr="00B53F89">
        <w:t>in the Ka</w:t>
      </w:r>
      <w:r w:rsidR="00301CA0" w:rsidRPr="00B53F89">
        <w:t xml:space="preserve"> </w:t>
      </w:r>
      <w:r w:rsidR="001C221D" w:rsidRPr="00B53F89">
        <w:t xml:space="preserve">band </w:t>
      </w:r>
      <w:r w:rsidR="009962F3" w:rsidRPr="00B53F89">
        <w:t xml:space="preserve">would need to be reviewed if changes are made in the uplink </w:t>
      </w:r>
      <w:r w:rsidR="00EF65D2" w:rsidRPr="00B53F89">
        <w:t>(</w:t>
      </w:r>
      <w:r w:rsidR="009962F3" w:rsidRPr="00B53F89">
        <w:t>28 GHz</w:t>
      </w:r>
      <w:r w:rsidR="00EF65D2" w:rsidRPr="00B53F89">
        <w:t>)</w:t>
      </w:r>
      <w:r w:rsidR="009962F3" w:rsidRPr="00B53F89">
        <w:t xml:space="preserve"> band. </w:t>
      </w:r>
    </w:p>
    <w:p w14:paraId="60A19278" w14:textId="2DD89D87" w:rsidR="009962F3" w:rsidRPr="00B53F89" w:rsidRDefault="009962F3" w:rsidP="00D7755E">
      <w:r w:rsidRPr="00B53F89">
        <w:t>One of the traditional strengths of satellite services</w:t>
      </w:r>
      <w:r w:rsidR="000B0939" w:rsidRPr="00B53F89">
        <w:t xml:space="preserve"> is</w:t>
      </w:r>
      <w:r w:rsidRPr="00B53F89">
        <w:t xml:space="preserve"> mobility</w:t>
      </w:r>
      <w:r w:rsidR="000B0939" w:rsidRPr="00B53F89">
        <w:t>. Recently, there</w:t>
      </w:r>
      <w:r w:rsidRPr="00B53F89">
        <w:t xml:space="preserve"> has </w:t>
      </w:r>
      <w:r w:rsidR="000B0939" w:rsidRPr="00B53F89">
        <w:t>been increased interest</w:t>
      </w:r>
      <w:r w:rsidRPr="00B53F89">
        <w:t xml:space="preserve"> in delivering broadband to moving </w:t>
      </w:r>
      <w:r w:rsidR="000B0939" w:rsidRPr="00B53F89">
        <w:t xml:space="preserve">earth </w:t>
      </w:r>
      <w:r w:rsidRPr="00B53F89">
        <w:t>stations</w:t>
      </w:r>
      <w:r w:rsidR="000B0939" w:rsidRPr="00B53F89">
        <w:t xml:space="preserve"> from satellites</w:t>
      </w:r>
      <w:r w:rsidRPr="00B53F89">
        <w:t>. This recent innovation has resulted from technology developments that enable moving earth stations (also referred to as ‘earth stations in motion’</w:t>
      </w:r>
      <w:r w:rsidR="00BC5180" w:rsidRPr="00B53F89">
        <w:t xml:space="preserve"> (</w:t>
      </w:r>
      <w:r w:rsidR="000B0939" w:rsidRPr="00B53F89">
        <w:t>ESIMs</w:t>
      </w:r>
      <w:r w:rsidRPr="00B53F89">
        <w:t xml:space="preserve">) communicating with space stations in the fixed satellite service </w:t>
      </w:r>
      <w:r w:rsidR="000B0939" w:rsidRPr="00B53F89">
        <w:t xml:space="preserve">bands </w:t>
      </w:r>
      <w:r w:rsidRPr="00B53F89">
        <w:t>(FSS)</w:t>
      </w:r>
      <w:r w:rsidRPr="00B53F89">
        <w:rPr>
          <w:vertAlign w:val="superscript"/>
        </w:rPr>
        <w:footnoteReference w:id="10"/>
      </w:r>
      <w:r w:rsidRPr="00B53F89">
        <w:t xml:space="preserve">. The ACMA </w:t>
      </w:r>
      <w:r w:rsidR="000B0939" w:rsidRPr="00B53F89">
        <w:t xml:space="preserve">has, </w:t>
      </w:r>
      <w:r w:rsidRPr="00B53F89">
        <w:t>on two occasions</w:t>
      </w:r>
      <w:r w:rsidR="00924F1E" w:rsidRPr="00B53F89">
        <w:rPr>
          <w:rStyle w:val="FootnoteReference"/>
        </w:rPr>
        <w:footnoteReference w:id="11"/>
      </w:r>
      <w:r w:rsidR="000B0939" w:rsidRPr="00B53F89">
        <w:t>,</w:t>
      </w:r>
      <w:r w:rsidRPr="00B53F89" w:rsidDel="000B0939">
        <w:t xml:space="preserve"> </w:t>
      </w:r>
      <w:r w:rsidRPr="00B53F89">
        <w:t>established interim arrangements supporting ESIMs in parts of the Ka</w:t>
      </w:r>
      <w:r w:rsidR="00301CA0" w:rsidRPr="00B53F89">
        <w:t xml:space="preserve"> </w:t>
      </w:r>
      <w:r w:rsidRPr="00B53F89">
        <w:t>band prior to international regulatory arrangements being established</w:t>
      </w:r>
      <w:r w:rsidR="000A5DBC" w:rsidRPr="00B53F89">
        <w:t>. The ACMA also recently finalised the establishment of arrange</w:t>
      </w:r>
      <w:r w:rsidR="00C15D07" w:rsidRPr="00B53F89">
        <w:t>ment</w:t>
      </w:r>
      <w:r w:rsidR="000A5DBC" w:rsidRPr="00B53F89">
        <w:t>s supporting ESIMs in Ku</w:t>
      </w:r>
      <w:r w:rsidR="00301CA0" w:rsidRPr="00B53F89">
        <w:t xml:space="preserve"> </w:t>
      </w:r>
      <w:r w:rsidR="000A5DBC" w:rsidRPr="00B53F89">
        <w:t>band</w:t>
      </w:r>
      <w:r w:rsidR="00BD28D6" w:rsidRPr="00B53F89">
        <w:t>.</w:t>
      </w:r>
      <w:r w:rsidR="000A5DBC" w:rsidRPr="00B53F89">
        <w:rPr>
          <w:rStyle w:val="FootnoteReference"/>
        </w:rPr>
        <w:footnoteReference w:id="12"/>
      </w:r>
    </w:p>
    <w:p w14:paraId="28633F96" w14:textId="58E98423" w:rsidR="00D65A4D" w:rsidRPr="00B53F89" w:rsidRDefault="00D65A4D" w:rsidP="00FA7446">
      <w:pPr>
        <w:keepNext/>
        <w:spacing w:before="60" w:after="0"/>
      </w:pPr>
      <w:bookmarkStart w:id="157" w:name="_Toc510795073"/>
      <w:bookmarkStart w:id="158" w:name="_Toc509581805"/>
      <w:bookmarkStart w:id="159" w:name="_Toc509585121"/>
      <w:bookmarkStart w:id="160" w:name="_Toc509585657"/>
      <w:bookmarkStart w:id="161" w:name="_Toc510104937"/>
      <w:bookmarkStart w:id="162" w:name="_Toc510105734"/>
      <w:bookmarkStart w:id="163" w:name="_Toc511716274"/>
      <w:bookmarkStart w:id="164" w:name="_Toc511719085"/>
      <w:bookmarkStart w:id="165" w:name="_Toc522794081"/>
      <w:bookmarkStart w:id="166" w:name="_Toc491854101"/>
      <w:bookmarkStart w:id="167" w:name="_Toc494115155"/>
      <w:bookmarkEnd w:id="155"/>
      <w:r w:rsidRPr="006A2F04">
        <w:rPr>
          <w:noProof/>
        </w:rPr>
        <w:drawing>
          <wp:inline distT="0" distB="0" distL="0" distR="0" wp14:anchorId="5936F25F" wp14:editId="2BFD04D9">
            <wp:extent cx="342900" cy="361950"/>
            <wp:effectExtent l="0" t="0" r="0" b="0"/>
            <wp:docPr id="18" name="Picture 18" descr="Defenc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Defence icon"/>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4D830A52" wp14:editId="372FD4C4">
            <wp:extent cx="342900" cy="361950"/>
            <wp:effectExtent l="0" t="0" r="0" b="0"/>
            <wp:docPr id="19" name="Picture 19" descr="Aviation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Aviation icon"/>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117F1BC4" wp14:editId="5458FB01">
            <wp:extent cx="342900" cy="361950"/>
            <wp:effectExtent l="0" t="0" r="0" b="0"/>
            <wp:docPr id="20" name="Picture 20"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40025A72" w14:textId="3D95807A" w:rsidR="00B14DB9" w:rsidRPr="00B53F89" w:rsidRDefault="00A54553" w:rsidP="0005757D">
      <w:pPr>
        <w:pStyle w:val="Heading3"/>
      </w:pPr>
      <w:bookmarkStart w:id="168" w:name="_Toc18505505"/>
      <w:r>
        <w:pict w14:anchorId="0D0BD291">
          <v:shape id="_x0000_i1029" type="#_x0000_t75" alt="A close up of a sign&#10;&#10;Description automatically generated" style="width:18.75pt;height:11.25pt;visibility:visible;mso-wrap-style:square">
            <v:imagedata r:id="rId43" o:title="A close up of a sign&#10;&#10;Description automatically generated"/>
          </v:shape>
        </w:pict>
      </w:r>
      <w:r w:rsidR="001C6177">
        <w:t xml:space="preserve"> </w:t>
      </w:r>
      <w:r w:rsidR="00E60636" w:rsidRPr="00B53F89">
        <w:t xml:space="preserve">Government </w:t>
      </w:r>
      <w:r w:rsidR="00F36B41" w:rsidRPr="00B53F89">
        <w:t>spectrum requirements</w:t>
      </w:r>
      <w:bookmarkEnd w:id="157"/>
      <w:bookmarkEnd w:id="158"/>
      <w:bookmarkEnd w:id="159"/>
      <w:bookmarkEnd w:id="160"/>
      <w:bookmarkEnd w:id="161"/>
      <w:bookmarkEnd w:id="162"/>
      <w:bookmarkEnd w:id="163"/>
      <w:bookmarkEnd w:id="164"/>
      <w:bookmarkEnd w:id="165"/>
      <w:bookmarkEnd w:id="168"/>
    </w:p>
    <w:bookmarkEnd w:id="166"/>
    <w:bookmarkEnd w:id="167"/>
    <w:p w14:paraId="028195B6" w14:textId="77777777" w:rsidR="004A50A3" w:rsidRPr="00B53F89" w:rsidRDefault="00F9560D">
      <w:r w:rsidRPr="00B53F89">
        <w:t xml:space="preserve">Government spectrum users primarily incorporate commonwealth and state agencies responsible for the provision of defence, national security, law enforcement, and emergency services, as well as scientific, meteorological and transport services. </w:t>
      </w:r>
    </w:p>
    <w:p w14:paraId="23BC4F38" w14:textId="5400883D" w:rsidR="00F9560D" w:rsidRPr="00B53F89" w:rsidRDefault="007542A3" w:rsidP="00D7755E">
      <w:pPr>
        <w:rPr>
          <w:rFonts w:asciiTheme="minorHAnsi" w:hAnsiTheme="minorHAnsi"/>
        </w:rPr>
      </w:pPr>
      <w:r w:rsidRPr="00B53F89">
        <w:t>Generally</w:t>
      </w:r>
      <w:r w:rsidR="00F9560D" w:rsidRPr="00B53F89">
        <w:t xml:space="preserve">, government spectrum users operate within the same spectrum management framework as all other users. However, in recognising their unique needs and responsibilities, on some occasions government spectrum needs require specific consideration. The ACMA’s interaction with the government spectrum community is extensive, </w:t>
      </w:r>
      <w:r w:rsidR="00085DC0" w:rsidRPr="00B53F89">
        <w:t xml:space="preserve">typically </w:t>
      </w:r>
      <w:r w:rsidR="00F9560D" w:rsidRPr="00B53F89">
        <w:t>on a business as usual</w:t>
      </w:r>
      <w:r w:rsidR="00085DC0" w:rsidRPr="00B53F89">
        <w:t xml:space="preserve">, rather </w:t>
      </w:r>
      <w:r w:rsidR="00F9560D" w:rsidRPr="00B53F89">
        <w:t>than major project</w:t>
      </w:r>
      <w:r w:rsidR="000175A7" w:rsidRPr="00B53F89">
        <w:t>,</w:t>
      </w:r>
      <w:r w:rsidR="00F9560D" w:rsidRPr="00B53F89">
        <w:t xml:space="preserve"> basis</w:t>
      </w:r>
      <w:r w:rsidR="00085DC0" w:rsidRPr="00B53F89">
        <w:t xml:space="preserve">. </w:t>
      </w:r>
      <w:r w:rsidR="00E84B24" w:rsidRPr="00B53F89">
        <w:t xml:space="preserve">Here </w:t>
      </w:r>
      <w:r w:rsidR="00085DC0" w:rsidRPr="00B53F89">
        <w:t>we outline some of the medium-term drivers of change from this sector</w:t>
      </w:r>
      <w:r w:rsidR="00F9560D" w:rsidRPr="00B53F89">
        <w:t>.</w:t>
      </w:r>
    </w:p>
    <w:p w14:paraId="0A37EF3D" w14:textId="448D8F63" w:rsidR="00F9560D" w:rsidRPr="00B53F89" w:rsidRDefault="00F9560D" w:rsidP="00D7755E">
      <w:r w:rsidRPr="00B53F89">
        <w:t>The ACMA works closely with</w:t>
      </w:r>
      <w:r w:rsidR="00557853" w:rsidRPr="00B53F89">
        <w:t xml:space="preserve"> the Department of</w:t>
      </w:r>
      <w:r w:rsidRPr="00B53F89">
        <w:t xml:space="preserve"> Defence’s Chief Information Officer Group to </w:t>
      </w:r>
      <w:r w:rsidR="009D3560" w:rsidRPr="00B53F89">
        <w:t>en</w:t>
      </w:r>
      <w:r w:rsidRPr="00B53F89">
        <w:t xml:space="preserve">sure </w:t>
      </w:r>
      <w:r w:rsidR="00557853" w:rsidRPr="00B53F89">
        <w:t xml:space="preserve">its </w:t>
      </w:r>
      <w:r w:rsidRPr="00B53F89">
        <w:t>ongoing access to spectrum to support a range of key capabilities.</w:t>
      </w:r>
      <w:r w:rsidR="00B53F89">
        <w:t xml:space="preserve"> </w:t>
      </w:r>
      <w:r w:rsidR="00661F34" w:rsidRPr="00B53F89">
        <w:t xml:space="preserve">The ACMA also works with a range of </w:t>
      </w:r>
      <w:r w:rsidR="000175A7" w:rsidRPr="00B53F89">
        <w:t>c</w:t>
      </w:r>
      <w:r w:rsidR="00661F34" w:rsidRPr="00B53F89">
        <w:t>ommonwealth and state-based law enforcement and emergency services bodies to accommodate their critical, and often unique spectrum needs.</w:t>
      </w:r>
      <w:r w:rsidRPr="00B53F89">
        <w:t xml:space="preserve"> </w:t>
      </w:r>
    </w:p>
    <w:p w14:paraId="52BADC9E" w14:textId="4E004EAD" w:rsidR="00F9560D" w:rsidRPr="00B53F89" w:rsidRDefault="00D81EAB" w:rsidP="00D7755E">
      <w:r w:rsidRPr="00B53F89">
        <w:t>The ACMA supports DoCA’s leadership of the Government Spectrum Steering Committee (GS</w:t>
      </w:r>
      <w:r w:rsidR="00F74B7B" w:rsidRPr="00B53F89">
        <w:t>S</w:t>
      </w:r>
      <w:r w:rsidRPr="00B53F89">
        <w:t>C) in a technical advisory capacity.</w:t>
      </w:r>
      <w:r w:rsidRPr="00B53F89" w:rsidDel="00D81EAB">
        <w:t xml:space="preserve"> </w:t>
      </w:r>
      <w:r w:rsidRPr="00B53F89">
        <w:t>The GS</w:t>
      </w:r>
      <w:r w:rsidR="00F74B7B" w:rsidRPr="00B53F89">
        <w:t>S</w:t>
      </w:r>
      <w:r w:rsidRPr="00B53F89">
        <w:t>C</w:t>
      </w:r>
      <w:r w:rsidR="00F9560D" w:rsidRPr="00B53F89">
        <w:t xml:space="preserve"> comprises commonwealth agencies that rely on spectrum access to meet their business objectives. The GS</w:t>
      </w:r>
      <w:r w:rsidR="00F74B7B" w:rsidRPr="00B53F89">
        <w:t>S</w:t>
      </w:r>
      <w:r w:rsidR="00F9560D" w:rsidRPr="00B53F89">
        <w:t>C was set</w:t>
      </w:r>
      <w:r w:rsidR="009D3560" w:rsidRPr="00B53F89">
        <w:t xml:space="preserve"> </w:t>
      </w:r>
      <w:r w:rsidR="00F9560D" w:rsidRPr="00B53F89">
        <w:t>up to improve transparency around the nature and management of commonwealth-held spectrum</w:t>
      </w:r>
      <w:r w:rsidR="00F9560D" w:rsidRPr="00B53F89" w:rsidDel="0000676B">
        <w:t>.</w:t>
      </w:r>
    </w:p>
    <w:p w14:paraId="608F41D1" w14:textId="2C00CB89" w:rsidR="00F9560D" w:rsidRPr="00B53F89" w:rsidRDefault="00F9560D" w:rsidP="00D7755E">
      <w:r w:rsidRPr="00B53F89">
        <w:t xml:space="preserve">We continue to work with law enforcement agencies to assist with operation under the </w:t>
      </w:r>
      <w:hyperlink r:id="rId56" w:history="1">
        <w:r w:rsidR="004D1C26" w:rsidRPr="006A2F04">
          <w:rPr>
            <w:rStyle w:val="Hyperlink"/>
          </w:rPr>
          <w:t>Radiocommunications (Prohibited Devices) (Use of Electronic Counter Measures for Bomb Disposal Activities) Exemption Determination 2010</w:t>
        </w:r>
      </w:hyperlink>
      <w:r w:rsidRPr="00B53F89">
        <w:t xml:space="preserve"> and are working with DoCA and the Department of Home Affairs towards putting in place similar measures to support countermeasures against remote piloted aircraft systems (RPAS, or drones). </w:t>
      </w:r>
    </w:p>
    <w:p w14:paraId="1E371EB3" w14:textId="4344BACD" w:rsidR="00844615" w:rsidRPr="00B53F89" w:rsidRDefault="00180017" w:rsidP="00D7755E">
      <w:r w:rsidRPr="00B53F89">
        <w:t>T</w:t>
      </w:r>
      <w:r w:rsidR="00F9560D" w:rsidRPr="00B53F89">
        <w:t xml:space="preserve">he ACMA has been monitoring RPAS regulatory arrangements, both internationally and within the Civil Aviation Safety Authority (CASA), as a precursor to reviewing </w:t>
      </w:r>
      <w:r w:rsidR="00F9560D" w:rsidRPr="00B53F89">
        <w:lastRenderedPageBreak/>
        <w:t xml:space="preserve">planning and licensing arrangements for RPAS command and control radiocommunications systems. </w:t>
      </w:r>
    </w:p>
    <w:p w14:paraId="72DCE755" w14:textId="412887B0" w:rsidR="00F9560D" w:rsidRPr="00B53F89" w:rsidRDefault="00F9560D" w:rsidP="00D7755E">
      <w:r w:rsidRPr="00B53F89">
        <w:t xml:space="preserve">Currently, these systems are generally authorised under </w:t>
      </w:r>
      <w:r w:rsidR="004A5499" w:rsidRPr="00B53F89">
        <w:t>t</w:t>
      </w:r>
      <w:r w:rsidR="00004D7C" w:rsidRPr="00B53F89">
        <w:t>he LIPD class licence</w:t>
      </w:r>
      <w:r w:rsidRPr="00B53F89">
        <w:t>, however in the medium term the ACMA may look at creating new RPAS-specific planning and apparatus licen</w:t>
      </w:r>
      <w:r w:rsidR="001820EF" w:rsidRPr="00B53F89">
        <w:t>sing arrangements</w:t>
      </w:r>
      <w:r w:rsidRPr="00B53F89">
        <w:t xml:space="preserve"> in bands allocated</w:t>
      </w:r>
      <w:r w:rsidR="008720AB" w:rsidRPr="00B53F89">
        <w:t xml:space="preserve"> in the </w:t>
      </w:r>
      <w:r w:rsidR="00FC5A44" w:rsidRPr="00B53F89">
        <w:t>ITU’s Radio Regulation</w:t>
      </w:r>
      <w:r w:rsidR="00DB0ECD" w:rsidRPr="00B53F89">
        <w:t>s</w:t>
      </w:r>
      <w:r w:rsidR="00FC5A44" w:rsidRPr="00B53F89">
        <w:t xml:space="preserve"> (</w:t>
      </w:r>
      <w:r w:rsidR="008720AB" w:rsidRPr="00B53F89">
        <w:t>RR</w:t>
      </w:r>
      <w:r w:rsidR="00DB0ECD" w:rsidRPr="00B53F89">
        <w:t>s</w:t>
      </w:r>
      <w:r w:rsidR="00FC5A44" w:rsidRPr="00B53F89">
        <w:t>)</w:t>
      </w:r>
      <w:r w:rsidRPr="00B53F89">
        <w:t xml:space="preserve"> to the Aeronautical Mobile Services in the 5 GHz band (specifically in the range 5030</w:t>
      </w:r>
      <w:r w:rsidR="00004D7C" w:rsidRPr="00B53F89">
        <w:t>–</w:t>
      </w:r>
      <w:r w:rsidRPr="00B53F89">
        <w:t xml:space="preserve">5091 MHz). </w:t>
      </w:r>
    </w:p>
    <w:p w14:paraId="1FA3A41D" w14:textId="4203C248" w:rsidR="00F9560D" w:rsidRPr="00B53F89" w:rsidRDefault="00F9560D" w:rsidP="00D7755E">
      <w:r w:rsidRPr="00B53F89">
        <w:t>The necessity</w:t>
      </w:r>
      <w:r w:rsidR="00F722A0" w:rsidRPr="00B53F89">
        <w:t xml:space="preserve"> of,</w:t>
      </w:r>
      <w:r w:rsidRPr="00B53F89">
        <w:t xml:space="preserve"> and planning arrangements for</w:t>
      </w:r>
      <w:r w:rsidR="00F722A0" w:rsidRPr="00B53F89">
        <w:t>,</w:t>
      </w:r>
      <w:r w:rsidRPr="00B53F89">
        <w:t xml:space="preserve"> these licensing arrangements will be informed by CASA’s consideration of availability and protection requirements for these communications. It is likely that apparatus licensing would only be required for command and control of certain classes of RPAS operating in certain classes of airspace</w:t>
      </w:r>
      <w:r w:rsidR="009D3560" w:rsidRPr="00B53F89">
        <w:t>—</w:t>
      </w:r>
      <w:r w:rsidRPr="00B53F89">
        <w:t xml:space="preserve">other consumer RPAS would continue to operate </w:t>
      </w:r>
      <w:r w:rsidR="006E243C" w:rsidRPr="00B53F89">
        <w:t xml:space="preserve">under the LIPD class licence. </w:t>
      </w:r>
    </w:p>
    <w:p w14:paraId="797FCDD4" w14:textId="3872FF37" w:rsidR="00EE0BFC" w:rsidRPr="00B53F89" w:rsidRDefault="00EE0BFC" w:rsidP="00FA7446">
      <w:pPr>
        <w:keepNext/>
        <w:spacing w:before="60" w:after="0"/>
      </w:pPr>
      <w:bookmarkStart w:id="169" w:name="_New_approaches_to"/>
      <w:bookmarkStart w:id="170" w:name="_Toc511716275"/>
      <w:bookmarkStart w:id="171" w:name="_Toc511719086"/>
      <w:bookmarkStart w:id="172" w:name="_Toc522794082"/>
      <w:bookmarkEnd w:id="169"/>
      <w:r w:rsidRPr="006A2F04">
        <w:rPr>
          <w:noProof/>
        </w:rPr>
        <w:drawing>
          <wp:inline distT="0" distB="0" distL="0" distR="0" wp14:anchorId="77E55027" wp14:editId="3340D2A4">
            <wp:extent cx="342900" cy="361950"/>
            <wp:effectExtent l="0" t="0" r="0" b="0"/>
            <wp:docPr id="21" name="Picture 21"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465725" w:rsidRPr="006A2F04">
        <w:rPr>
          <w:noProof/>
        </w:rPr>
        <w:drawing>
          <wp:inline distT="0" distB="0" distL="0" distR="0" wp14:anchorId="42C49159" wp14:editId="0A08E797">
            <wp:extent cx="342900" cy="361950"/>
            <wp:effectExtent l="0" t="0" r="0" b="0"/>
            <wp:docPr id="45" name="Picture 45"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465725" w:rsidRPr="006A2F04">
        <w:rPr>
          <w:noProof/>
        </w:rPr>
        <w:drawing>
          <wp:inline distT="0" distB="0" distL="0" distR="0" wp14:anchorId="2EB5AADD" wp14:editId="0A68A2FA">
            <wp:extent cx="342900" cy="361950"/>
            <wp:effectExtent l="0" t="0" r="0" b="0"/>
            <wp:docPr id="101" name="Picture 101" descr="Internet of Thing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Internet of Things icon"/>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563D3816" w14:textId="65BF5DD6" w:rsidR="00EA54D5" w:rsidRPr="00B53F89" w:rsidRDefault="00EA54D5">
      <w:pPr>
        <w:pStyle w:val="Heading3"/>
        <w:rPr>
          <w:b w:val="0"/>
        </w:rPr>
      </w:pPr>
      <w:bookmarkStart w:id="173" w:name="_Toc18505506"/>
      <w:r w:rsidRPr="00B53F89">
        <w:t>New approaches to spectrum sharing</w:t>
      </w:r>
      <w:bookmarkEnd w:id="173"/>
    </w:p>
    <w:p w14:paraId="654AC182" w14:textId="77777777" w:rsidR="0010188F" w:rsidRPr="00B53F89" w:rsidRDefault="00EA54D5">
      <w:r w:rsidRPr="00B53F89">
        <w:t xml:space="preserve">Spectrum sharing is fundamental to effective spectrum management and a key tool in maximising the benefits achieved through use of the spectrum resource. </w:t>
      </w:r>
    </w:p>
    <w:p w14:paraId="059D8F12" w14:textId="4AEA4680" w:rsidR="00EA54D5" w:rsidRPr="00B53F89" w:rsidRDefault="00EA54D5">
      <w:r w:rsidRPr="00B53F89">
        <w:rPr>
          <w:rFonts w:cs="Arial"/>
        </w:rPr>
        <w:t xml:space="preserve">The ACMA, like many national spectrum managers, </w:t>
      </w:r>
      <w:r w:rsidR="00CF5999" w:rsidRPr="00B53F89">
        <w:rPr>
          <w:rFonts w:cs="Arial"/>
        </w:rPr>
        <w:t xml:space="preserve">implements a range of spectrum </w:t>
      </w:r>
      <w:r w:rsidRPr="00B53F89">
        <w:rPr>
          <w:rFonts w:cs="Arial"/>
        </w:rPr>
        <w:t xml:space="preserve">sharing </w:t>
      </w:r>
      <w:r w:rsidR="00CF5999" w:rsidRPr="00B53F89">
        <w:rPr>
          <w:rFonts w:cs="Arial"/>
        </w:rPr>
        <w:t xml:space="preserve">approaches </w:t>
      </w:r>
      <w:r w:rsidRPr="00B53F89">
        <w:rPr>
          <w:rFonts w:cs="Arial"/>
        </w:rPr>
        <w:t>to maximise the overall public benefit</w:t>
      </w:r>
      <w:r w:rsidR="00CF5999" w:rsidRPr="00B53F89">
        <w:rPr>
          <w:rFonts w:cs="Arial"/>
        </w:rPr>
        <w:t xml:space="preserve"> derived from using spectrum</w:t>
      </w:r>
      <w:r w:rsidRPr="00B53F89">
        <w:rPr>
          <w:rFonts w:cs="Arial"/>
        </w:rPr>
        <w:t xml:space="preserve">. </w:t>
      </w:r>
      <w:r w:rsidRPr="00B53F89">
        <w:t xml:space="preserve">As with all forms of resource sharing, spectrum sharing requires some degree of compromise between multiple spectrum uses services or applications) </w:t>
      </w:r>
      <w:r w:rsidR="00CF5999" w:rsidRPr="00B53F89">
        <w:t xml:space="preserve">and </w:t>
      </w:r>
      <w:r w:rsidRPr="00B53F89">
        <w:t xml:space="preserve">users (individual licensees) accessing the shared spectrum. </w:t>
      </w:r>
    </w:p>
    <w:p w14:paraId="0886484F" w14:textId="0A8C1BEC" w:rsidR="00EA54D5" w:rsidRPr="00B53F89" w:rsidRDefault="00EA54D5">
      <w:r w:rsidRPr="00B53F89">
        <w:t>Traditionally, spectrum sharing has largely focused on static approaches that establish coexistence arrangements defined through fixed geographic and spectral boundaries. More recently</w:t>
      </w:r>
      <w:r w:rsidR="00A56FF3" w:rsidRPr="00B53F89">
        <w:t>,</w:t>
      </w:r>
      <w:r w:rsidRPr="00B53F89">
        <w:t xml:space="preserve"> new technologies and techniques have been developed that mak</w:t>
      </w:r>
      <w:r w:rsidR="00CF5999" w:rsidRPr="00B53F89">
        <w:t>e</w:t>
      </w:r>
      <w:r w:rsidRPr="00B53F89">
        <w:t xml:space="preserve"> new approaches to spectrum sharing </w:t>
      </w:r>
      <w:r w:rsidR="00CF5999" w:rsidRPr="00B53F89">
        <w:t xml:space="preserve">more </w:t>
      </w:r>
      <w:r w:rsidRPr="00B53F89">
        <w:t>viable</w:t>
      </w:r>
      <w:r w:rsidR="00CF5999" w:rsidRPr="00B53F89">
        <w:t xml:space="preserve">. These include </w:t>
      </w:r>
      <w:r w:rsidRPr="00B53F89">
        <w:t xml:space="preserve">dynamic </w:t>
      </w:r>
      <w:r w:rsidR="00CF5999" w:rsidRPr="00B53F89">
        <w:t xml:space="preserve">sharing approaches </w:t>
      </w:r>
      <w:r w:rsidRPr="00B53F89">
        <w:t xml:space="preserve">sometimes referred to collectively as dynamic spectrum access (DSA) or dynamic spectrum management. These techniques typically take advantage of time-based changes in spectrum use by spectrum users—that is, some spectrum users may not use all the spectrum, in all geographic areas, all the time. </w:t>
      </w:r>
    </w:p>
    <w:p w14:paraId="2290BCF7" w14:textId="77777777" w:rsidR="00EA54D5" w:rsidRPr="00B53F89" w:rsidRDefault="00EA54D5">
      <w:r w:rsidRPr="00B53F89">
        <w:t>In practice, DSA approaches have relied on a hierarchical access approach, where lower-tier users</w:t>
      </w:r>
      <w:r w:rsidRPr="00B53F89">
        <w:rPr>
          <w:rStyle w:val="FootnoteReference"/>
        </w:rPr>
        <w:footnoteReference w:id="13"/>
      </w:r>
      <w:r w:rsidRPr="00B53F89">
        <w:t xml:space="preserve"> dynamically give way to higher-tier users. Clarity on tier rights is important as it provides confidence to each user about the terms of spectrum access, which allows an assessment of whether the access is suitable to their needs.</w:t>
      </w:r>
    </w:p>
    <w:p w14:paraId="25AE2766" w14:textId="509DAA9D" w:rsidR="00EA54D5" w:rsidRPr="00B53F89" w:rsidRDefault="00EA54D5">
      <w:r w:rsidRPr="00B53F89">
        <w:t xml:space="preserve">Tiered sharing works best when the users are complementary in nature—for example, when one user’s usage is intermittent (often the top-tier user) and the lower-tier user can accept that in some circumstances they will need to cease operations for some time. If this condition cannot be met, then enough spectrum is needed to ensure there is a high probability of </w:t>
      </w:r>
      <w:r w:rsidR="0010188F" w:rsidRPr="00B53F89">
        <w:t>enough</w:t>
      </w:r>
      <w:r w:rsidRPr="00B53F89">
        <w:t xml:space="preserve"> clear, unused, spectrum being available to meet all user needs. Lower-tier users are unlikely to invest in expensive infrastructure without sufficiently reliable spectrum access. </w:t>
      </w:r>
    </w:p>
    <w:p w14:paraId="252A3B77" w14:textId="3857FB9B" w:rsidR="00EA54D5" w:rsidRPr="00B53F89" w:rsidRDefault="00EA54D5">
      <w:r w:rsidRPr="00B53F89">
        <w:t xml:space="preserve">DSA </w:t>
      </w:r>
      <w:r w:rsidR="00B57D57" w:rsidRPr="00B53F89">
        <w:t xml:space="preserve">implementations to date have been limited, </w:t>
      </w:r>
      <w:r w:rsidRPr="00B53F89" w:rsidDel="00B57D57">
        <w:t xml:space="preserve">in </w:t>
      </w:r>
      <w:r w:rsidRPr="00B53F89">
        <w:t xml:space="preserve">part due to technological </w:t>
      </w:r>
      <w:r w:rsidR="00B57D57" w:rsidRPr="00B53F89">
        <w:t>constraints</w:t>
      </w:r>
      <w:r w:rsidRPr="00B53F89">
        <w:t xml:space="preserve">, spectrum availability factors and user expectations. </w:t>
      </w:r>
      <w:r w:rsidR="002263B2" w:rsidRPr="00B53F89">
        <w:t>To date, r</w:t>
      </w:r>
      <w:r w:rsidRPr="00B53F89">
        <w:t xml:space="preserve">egulatory </w:t>
      </w:r>
      <w:r w:rsidRPr="00B53F89">
        <w:lastRenderedPageBreak/>
        <w:t>frameworks ha</w:t>
      </w:r>
      <w:r w:rsidR="002263B2" w:rsidRPr="00B53F89">
        <w:t>ve</w:t>
      </w:r>
      <w:r w:rsidRPr="00B53F89">
        <w:t xml:space="preserve"> not been widely developed to facilitate DSA</w:t>
      </w:r>
      <w:r w:rsidR="00050C4F" w:rsidRPr="00B53F89">
        <w:t xml:space="preserve"> arrangements</w:t>
      </w:r>
      <w:r w:rsidRPr="00B53F89">
        <w:t xml:space="preserve">. </w:t>
      </w:r>
      <w:r w:rsidR="00050C4F" w:rsidRPr="00B53F89">
        <w:t>More recently, h</w:t>
      </w:r>
      <w:r w:rsidRPr="00B53F89">
        <w:t xml:space="preserve">owever, </w:t>
      </w:r>
      <w:r w:rsidR="0010188F" w:rsidRPr="00B53F89">
        <w:t>several</w:t>
      </w:r>
      <w:r w:rsidRPr="00B53F89">
        <w:t xml:space="preserve"> DSA frameworks have been proposed or </w:t>
      </w:r>
      <w:r w:rsidR="00050C4F" w:rsidRPr="00B53F89">
        <w:t xml:space="preserve">trialled </w:t>
      </w:r>
      <w:r w:rsidRPr="00B53F89">
        <w:t>by overseas spectrum regulators</w:t>
      </w:r>
      <w:r w:rsidR="00326C3D" w:rsidRPr="00B53F89">
        <w:t>—</w:t>
      </w:r>
      <w:r w:rsidR="007F7991" w:rsidRPr="00B53F89">
        <w:t>for example</w:t>
      </w:r>
      <w:r w:rsidR="007C0B07" w:rsidRPr="00B53F89">
        <w:t>,</w:t>
      </w:r>
      <w:r w:rsidR="007F7991" w:rsidRPr="00B53F89">
        <w:t xml:space="preserve"> the F</w:t>
      </w:r>
      <w:r w:rsidR="00FF1179" w:rsidRPr="00B53F89">
        <w:t>ederal Communications Commission</w:t>
      </w:r>
      <w:r w:rsidR="007F7991" w:rsidRPr="00B53F89">
        <w:t xml:space="preserve"> </w:t>
      </w:r>
      <w:r w:rsidR="003E3FDF" w:rsidRPr="00B53F89">
        <w:t xml:space="preserve">(FCC) </w:t>
      </w:r>
      <w:r w:rsidR="007F7991" w:rsidRPr="00B53F89">
        <w:t>and Ofcom</w:t>
      </w:r>
      <w:r w:rsidRPr="00B53F89">
        <w:t xml:space="preserve">. </w:t>
      </w:r>
    </w:p>
    <w:p w14:paraId="4D52D254" w14:textId="02A71A40" w:rsidR="00CD61C3" w:rsidRPr="00B53F89" w:rsidRDefault="00EA54D5">
      <w:r w:rsidRPr="00B53F89">
        <w:t>The ACMA will continue to monitor international regulatory and technical developments</w:t>
      </w:r>
      <w:r w:rsidR="0010188F" w:rsidRPr="00B53F89">
        <w:t xml:space="preserve"> and</w:t>
      </w:r>
      <w:r w:rsidRPr="00B53F89">
        <w:t xml:space="preserve"> investigate and implement new sharing opportunities</w:t>
      </w:r>
      <w:r w:rsidR="00BD28D6" w:rsidRPr="00B53F89">
        <w:t>,</w:t>
      </w:r>
      <w:r w:rsidRPr="00B53F89">
        <w:t xml:space="preserve"> such as DSA arrangements when and where appropriate. </w:t>
      </w:r>
      <w:r w:rsidR="007E28C7" w:rsidRPr="00B53F89">
        <w:t>Th</w:t>
      </w:r>
      <w:r w:rsidR="00BB0B09" w:rsidRPr="00B53F89">
        <w:t>e</w:t>
      </w:r>
      <w:r w:rsidR="007E28C7" w:rsidRPr="00B53F89">
        <w:t xml:space="preserve"> ACMA is also aware of related regulatory approaches to sharing</w:t>
      </w:r>
      <w:r w:rsidR="00BD28D6" w:rsidRPr="00B53F89">
        <w:t>,</w:t>
      </w:r>
      <w:r w:rsidR="007E28C7" w:rsidRPr="00B53F89">
        <w:t xml:space="preserve"> such as licensed shared access and is monitoring technological developments that could facilitate more intensive spectrum sharing. </w:t>
      </w:r>
    </w:p>
    <w:p w14:paraId="6037FBAD" w14:textId="2DAC130F" w:rsidR="00EA54D5" w:rsidRPr="00B53F89" w:rsidRDefault="00EA54D5">
      <w:r w:rsidRPr="00B53F89">
        <w:t>To facilitate a discussion with industry to share ideas and develop a common understanding on the issues and opportunities with new sharing approaches, the ACMA</w:t>
      </w:r>
      <w:r w:rsidR="00E47AFA" w:rsidRPr="00B53F89">
        <w:t xml:space="preserve"> host</w:t>
      </w:r>
      <w:r w:rsidR="008854C3" w:rsidRPr="00B53F89">
        <w:t>ed</w:t>
      </w:r>
      <w:r w:rsidR="00E47AFA" w:rsidRPr="00B53F89">
        <w:t xml:space="preserve"> a</w:t>
      </w:r>
      <w:r w:rsidR="00BA48AA" w:rsidRPr="00B53F89">
        <w:t xml:space="preserve"> </w:t>
      </w:r>
      <w:r w:rsidR="00397DC6" w:rsidRPr="00B53F89">
        <w:t>‘s</w:t>
      </w:r>
      <w:r w:rsidRPr="00B53F89">
        <w:t xml:space="preserve">pectrum </w:t>
      </w:r>
      <w:r w:rsidR="00397DC6" w:rsidRPr="00B53F89">
        <w:t>t</w:t>
      </w:r>
      <w:r w:rsidRPr="00B53F89">
        <w:t>une-up</w:t>
      </w:r>
      <w:r w:rsidR="00397DC6" w:rsidRPr="00B53F89">
        <w:t>’</w:t>
      </w:r>
      <w:r w:rsidRPr="00B53F89">
        <w:t xml:space="preserve"> on th</w:t>
      </w:r>
      <w:r w:rsidR="008854C3" w:rsidRPr="00B53F89">
        <w:t>is</w:t>
      </w:r>
      <w:r w:rsidRPr="00B53F89">
        <w:t xml:space="preserve"> issue</w:t>
      </w:r>
      <w:r w:rsidR="008854C3" w:rsidRPr="00B53F89">
        <w:t xml:space="preserve"> </w:t>
      </w:r>
      <w:r w:rsidR="00896E1C" w:rsidRPr="00B53F89">
        <w:t>in</w:t>
      </w:r>
      <w:r w:rsidR="008854C3" w:rsidRPr="00B53F89">
        <w:t xml:space="preserve"> August 2019.</w:t>
      </w:r>
      <w:r w:rsidR="003C78EA" w:rsidRPr="00B53F89">
        <w:t xml:space="preserve"> </w:t>
      </w:r>
    </w:p>
    <w:p w14:paraId="3A489473" w14:textId="058860A3" w:rsidR="00EE0BFC" w:rsidRPr="00B53F89" w:rsidRDefault="00EE0BFC" w:rsidP="00FA7446">
      <w:pPr>
        <w:keepNext/>
        <w:spacing w:before="60" w:after="0"/>
      </w:pPr>
      <w:r w:rsidRPr="006A2F04">
        <w:rPr>
          <w:noProof/>
        </w:rPr>
        <w:drawing>
          <wp:inline distT="0" distB="0" distL="0" distR="0" wp14:anchorId="2BDE23A0" wp14:editId="04097397">
            <wp:extent cx="342900" cy="361950"/>
            <wp:effectExtent l="0" t="0" r="0" b="0"/>
            <wp:docPr id="22" name="Picture 22"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3231928F" wp14:editId="32D04799">
            <wp:extent cx="342900" cy="361950"/>
            <wp:effectExtent l="0" t="0" r="0" b="0"/>
            <wp:docPr id="23" name="Picture 23"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465725" w:rsidRPr="006A2F04">
        <w:rPr>
          <w:noProof/>
        </w:rPr>
        <w:drawing>
          <wp:inline distT="0" distB="0" distL="0" distR="0" wp14:anchorId="1F0DA9A8" wp14:editId="6A3253AB">
            <wp:extent cx="341630" cy="359410"/>
            <wp:effectExtent l="0" t="0" r="1270" b="2540"/>
            <wp:docPr id="139" name="Picture 139"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31"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6A2F04">
        <w:rPr>
          <w:noProof/>
        </w:rPr>
        <w:drawing>
          <wp:inline distT="0" distB="0" distL="0" distR="0" wp14:anchorId="5C556C94" wp14:editId="54334182">
            <wp:extent cx="342900" cy="361950"/>
            <wp:effectExtent l="0" t="0" r="0" b="0"/>
            <wp:docPr id="25" name="Picture 25"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5EBF0592" w14:textId="381C8C8B" w:rsidR="00EA54D5" w:rsidRPr="00B53F89" w:rsidRDefault="00EA54D5">
      <w:pPr>
        <w:pStyle w:val="Heading3"/>
        <w:rPr>
          <w:b w:val="0"/>
        </w:rPr>
      </w:pPr>
      <w:bookmarkStart w:id="174" w:name="_Toc18505507"/>
      <w:r w:rsidRPr="00B53F89">
        <w:t>Class licensing and the spectrum commons</w:t>
      </w:r>
      <w:bookmarkEnd w:id="174"/>
    </w:p>
    <w:p w14:paraId="16C83683" w14:textId="0440831F" w:rsidR="001B76B6" w:rsidRPr="00B53F89" w:rsidRDefault="001B76B6">
      <w:r w:rsidRPr="00B53F89">
        <w:t>Significant changes in d</w:t>
      </w:r>
      <w:r w:rsidR="000D1444" w:rsidRPr="00B53F89">
        <w:t>emand for spectrum in class</w:t>
      </w:r>
      <w:r w:rsidR="007C0B07" w:rsidRPr="00B53F89">
        <w:t>-</w:t>
      </w:r>
      <w:r w:rsidR="000D1444" w:rsidRPr="00B53F89">
        <w:t>licen</w:t>
      </w:r>
      <w:r w:rsidR="00DF6126" w:rsidRPr="00B53F89">
        <w:t>s</w:t>
      </w:r>
      <w:r w:rsidR="000D1444" w:rsidRPr="00B53F89">
        <w:t>ed bands</w:t>
      </w:r>
      <w:r w:rsidR="009228B8" w:rsidRPr="00B53F89">
        <w:t>, including Wi-Fi,</w:t>
      </w:r>
      <w:r w:rsidR="000D1444" w:rsidRPr="00B53F89">
        <w:t xml:space="preserve"> is monitored through </w:t>
      </w:r>
      <w:r w:rsidR="00F042EC" w:rsidRPr="00B53F89">
        <w:t xml:space="preserve">the ACMA’s active </w:t>
      </w:r>
      <w:r w:rsidR="000D1444" w:rsidRPr="00B53F89">
        <w:t>environmental awareness</w:t>
      </w:r>
      <w:r w:rsidRPr="00B53F89">
        <w:t xml:space="preserve"> and stakeholder feedback</w:t>
      </w:r>
      <w:r w:rsidR="000D1444" w:rsidRPr="00B53F89">
        <w:t>.</w:t>
      </w:r>
    </w:p>
    <w:p w14:paraId="3373556E" w14:textId="41F16751" w:rsidR="00E50661" w:rsidRPr="00B53F89" w:rsidRDefault="00EA54D5">
      <w:r w:rsidRPr="00B53F89">
        <w:t xml:space="preserve">Class licensing is the approach used in Australia to implement </w:t>
      </w:r>
      <w:r w:rsidR="003D2F51" w:rsidRPr="00B53F89">
        <w:t>less closely managed spectrum arrangements, including</w:t>
      </w:r>
      <w:r w:rsidRPr="00B53F89">
        <w:t xml:space="preserve"> ‘spectrum commons</w:t>
      </w:r>
      <w:r w:rsidR="00B45DAB" w:rsidRPr="00B53F89">
        <w:t>’</w:t>
      </w:r>
      <w:r w:rsidR="003D2F51" w:rsidRPr="00B53F89">
        <w:t>.</w:t>
      </w:r>
      <w:r w:rsidRPr="00B53F89">
        <w:t xml:space="preserve"> </w:t>
      </w:r>
      <w:r w:rsidR="00E50661" w:rsidRPr="00B53F89">
        <w:t>The fundamental idea of a spectrum commons is that anyone can use commons spectrum, so long as they follow the set rules</w:t>
      </w:r>
      <w:r w:rsidR="005F6C41" w:rsidRPr="00B53F89">
        <w:rPr>
          <w:rStyle w:val="FootnoteReference"/>
        </w:rPr>
        <w:footnoteReference w:id="14"/>
      </w:r>
      <w:r w:rsidR="007C0B07" w:rsidRPr="00B53F89">
        <w:t>—</w:t>
      </w:r>
      <w:r w:rsidR="00E50661" w:rsidRPr="00B53F89">
        <w:t>in Australia those r</w:t>
      </w:r>
      <w:r w:rsidR="0010188F" w:rsidRPr="00B53F89">
        <w:t>u</w:t>
      </w:r>
      <w:r w:rsidR="00E50661" w:rsidRPr="00B53F89">
        <w:t>les are set out in class licences.</w:t>
      </w:r>
    </w:p>
    <w:p w14:paraId="03969275" w14:textId="39F2F25C" w:rsidR="00CD61C3" w:rsidRPr="00B53F89" w:rsidRDefault="003D2F51">
      <w:r w:rsidRPr="00B53F89">
        <w:t>Class licences</w:t>
      </w:r>
      <w:r w:rsidR="00EA54D5" w:rsidRPr="00B53F89" w:rsidDel="003D2F51">
        <w:t xml:space="preserve"> </w:t>
      </w:r>
      <w:r w:rsidRPr="00B53F89">
        <w:t xml:space="preserve">make available </w:t>
      </w:r>
      <w:r w:rsidR="00EA54D5" w:rsidRPr="00B53F89">
        <w:t xml:space="preserve">spectrum used by services which </w:t>
      </w:r>
      <w:r w:rsidR="001D376C" w:rsidRPr="00B53F89">
        <w:t xml:space="preserve">operate on a </w:t>
      </w:r>
      <w:r w:rsidR="00EA54D5" w:rsidRPr="00B53F89">
        <w:t>limited set of common frequencies under a common set of conditions</w:t>
      </w:r>
      <w:r w:rsidR="001D376C" w:rsidRPr="00B53F89">
        <w:t xml:space="preserve"> and </w:t>
      </w:r>
      <w:r w:rsidR="00A64DB5" w:rsidRPr="00B53F89">
        <w:t xml:space="preserve">often comply with industry or legislative </w:t>
      </w:r>
      <w:r w:rsidR="001D376C" w:rsidRPr="00B53F89">
        <w:t>standards</w:t>
      </w:r>
      <w:r w:rsidR="00EA54D5" w:rsidRPr="00B53F89">
        <w:t xml:space="preserve">. Class licences authorise users of designated segments of spectrum to operate on a shared basis. </w:t>
      </w:r>
      <w:r w:rsidRPr="00B53F89">
        <w:t xml:space="preserve">Class licences do </w:t>
      </w:r>
      <w:r w:rsidR="00EA54D5" w:rsidRPr="00B53F89">
        <w:t xml:space="preserve">not involve licence fees, and there is minimal regulatory overhead </w:t>
      </w:r>
      <w:r w:rsidR="0090224F" w:rsidRPr="00B53F89">
        <w:t xml:space="preserve">for </w:t>
      </w:r>
      <w:r w:rsidR="00EA54D5" w:rsidRPr="00B53F89">
        <w:t xml:space="preserve">spectrum users. </w:t>
      </w:r>
    </w:p>
    <w:p w14:paraId="61459731" w14:textId="384892CE" w:rsidR="00EA54D5" w:rsidRPr="00B53F89" w:rsidRDefault="00B136B3">
      <w:r w:rsidRPr="00B53F89">
        <w:t>In Australia, the</w:t>
      </w:r>
      <w:r w:rsidR="00A56FF3" w:rsidRPr="00B53F89">
        <w:t xml:space="preserve"> LIPD class licence</w:t>
      </w:r>
      <w:r w:rsidRPr="00B53F89">
        <w:t xml:space="preserve"> </w:t>
      </w:r>
      <w:r w:rsidR="00CC2FB3" w:rsidRPr="00B53F89">
        <w:t xml:space="preserve">authorises </w:t>
      </w:r>
      <w:r w:rsidR="0010188F" w:rsidRPr="00B53F89">
        <w:t>most</w:t>
      </w:r>
      <w:r w:rsidR="00CC2FB3" w:rsidRPr="00B53F89">
        <w:t xml:space="preserve"> class</w:t>
      </w:r>
      <w:r w:rsidR="007C0B07" w:rsidRPr="00B53F89">
        <w:t>-</w:t>
      </w:r>
      <w:r w:rsidR="00CC2FB3" w:rsidRPr="00B53F89">
        <w:t>licen</w:t>
      </w:r>
      <w:r w:rsidR="00DF6126" w:rsidRPr="00B53F89">
        <w:t>s</w:t>
      </w:r>
      <w:r w:rsidR="00CC2FB3" w:rsidRPr="00B53F89">
        <w:t>ed devices, including Wi-Fi and Bluetooth services along with a range of other uses including certain spread spectrum and ultra-wideband transmitters.</w:t>
      </w:r>
    </w:p>
    <w:p w14:paraId="397547AB" w14:textId="5334CB71" w:rsidR="00281E49" w:rsidRPr="00B53F89" w:rsidRDefault="00CF505E">
      <w:r w:rsidRPr="00B53F89">
        <w:t>I</w:t>
      </w:r>
      <w:r w:rsidR="00281E49" w:rsidRPr="00B53F89">
        <w:t>n many class</w:t>
      </w:r>
      <w:r w:rsidR="007C0B07" w:rsidRPr="00B53F89">
        <w:t>-</w:t>
      </w:r>
      <w:r w:rsidR="00281E49" w:rsidRPr="00B53F89">
        <w:t xml:space="preserve">licensed bands, particularly those included in </w:t>
      </w:r>
      <w:r w:rsidR="00365C08" w:rsidRPr="00B53F89">
        <w:t xml:space="preserve">the </w:t>
      </w:r>
      <w:r w:rsidR="00281E49" w:rsidRPr="00B53F89">
        <w:t xml:space="preserve">LIPD class licence, use of the spectrum is on an uncoordinated basis </w:t>
      </w:r>
      <w:r w:rsidR="000D1444" w:rsidRPr="00B53F89">
        <w:t xml:space="preserve">and </w:t>
      </w:r>
      <w:r w:rsidR="00281E49" w:rsidRPr="00B53F89">
        <w:t>sharing mechanisms are implemented via technical and operational conditions on device usage</w:t>
      </w:r>
      <w:r w:rsidR="000D1444" w:rsidRPr="00B53F89">
        <w:t>, and, in some cases, network or system design considerations</w:t>
      </w:r>
      <w:r w:rsidR="00281E49" w:rsidRPr="00B53F89">
        <w:t xml:space="preserve">. In </w:t>
      </w:r>
      <w:r w:rsidR="009162AA" w:rsidRPr="00B53F89">
        <w:t>such bands</w:t>
      </w:r>
      <w:r w:rsidR="00281E49" w:rsidRPr="00B53F89">
        <w:t xml:space="preserve">, protection of individual devices from interference cannot be guaranteed. This </w:t>
      </w:r>
      <w:r w:rsidR="00365C08" w:rsidRPr="00B53F89">
        <w:t xml:space="preserve">relatively low </w:t>
      </w:r>
      <w:r w:rsidR="00281E49" w:rsidRPr="00B53F89">
        <w:t xml:space="preserve">level of interference protection means that these bands are </w:t>
      </w:r>
      <w:r w:rsidR="0049086C" w:rsidRPr="00B53F89">
        <w:t xml:space="preserve">not </w:t>
      </w:r>
      <w:r w:rsidR="00281E49" w:rsidRPr="00B53F89">
        <w:t xml:space="preserve">useful for </w:t>
      </w:r>
      <w:r w:rsidR="0049086C" w:rsidRPr="00B53F89">
        <w:t xml:space="preserve">all </w:t>
      </w:r>
      <w:r w:rsidR="00281E49" w:rsidRPr="00B53F89">
        <w:t xml:space="preserve">applications. </w:t>
      </w:r>
      <w:r w:rsidRPr="00B53F89">
        <w:t>T</w:t>
      </w:r>
      <w:r w:rsidR="0049086C" w:rsidRPr="00B53F89">
        <w:t xml:space="preserve">his </w:t>
      </w:r>
      <w:r w:rsidR="00281E49" w:rsidRPr="00B53F89">
        <w:t xml:space="preserve">is balanced by </w:t>
      </w:r>
      <w:r w:rsidR="000D1444" w:rsidRPr="00B53F89">
        <w:t xml:space="preserve">the </w:t>
      </w:r>
      <w:r w:rsidR="00281E49" w:rsidRPr="00B53F89">
        <w:t xml:space="preserve">high degree of flexibility </w:t>
      </w:r>
      <w:r w:rsidR="000D1444" w:rsidRPr="00B53F89">
        <w:t xml:space="preserve">that is </w:t>
      </w:r>
      <w:r w:rsidR="00281E49" w:rsidRPr="00B53F89">
        <w:t xml:space="preserve">possible in </w:t>
      </w:r>
      <w:r w:rsidR="000D1444" w:rsidRPr="00B53F89">
        <w:t xml:space="preserve">the </w:t>
      </w:r>
      <w:r w:rsidR="00281E49" w:rsidRPr="00B53F89">
        <w:t>use of these class</w:t>
      </w:r>
      <w:r w:rsidR="00D1527A" w:rsidRPr="00B53F89">
        <w:t>-</w:t>
      </w:r>
      <w:r w:rsidR="00281E49" w:rsidRPr="00B53F89">
        <w:t xml:space="preserve">licensed bands. </w:t>
      </w:r>
    </w:p>
    <w:p w14:paraId="5B1BF306" w14:textId="225C4027" w:rsidR="00EA54D5" w:rsidRPr="00B53F89" w:rsidRDefault="00EA54D5">
      <w:r w:rsidRPr="00B53F89">
        <w:t>This flexibility</w:t>
      </w:r>
      <w:r w:rsidR="009228B8" w:rsidRPr="00B53F89">
        <w:t xml:space="preserve">, </w:t>
      </w:r>
      <w:r w:rsidRPr="00B53F89">
        <w:t>and</w:t>
      </w:r>
      <w:r w:rsidR="009228B8" w:rsidRPr="00B53F89">
        <w:t xml:space="preserve"> the absence of licensing fees, </w:t>
      </w:r>
      <w:r w:rsidRPr="00B53F89">
        <w:t xml:space="preserve">has </w:t>
      </w:r>
      <w:r w:rsidR="009228B8" w:rsidRPr="00B53F89">
        <w:t xml:space="preserve">enabled </w:t>
      </w:r>
      <w:r w:rsidRPr="00B53F89">
        <w:t>massive innovation both in technology use and deployment approaches</w:t>
      </w:r>
      <w:r w:rsidR="009228B8" w:rsidRPr="00B53F89">
        <w:t xml:space="preserve"> in some class</w:t>
      </w:r>
      <w:r w:rsidR="007C0B07" w:rsidRPr="00B53F89">
        <w:t>-</w:t>
      </w:r>
      <w:r w:rsidR="009228B8" w:rsidRPr="00B53F89">
        <w:t>licensed bands</w:t>
      </w:r>
      <w:r w:rsidRPr="00B53F89">
        <w:t>. There is no greater example of this than the 2.4</w:t>
      </w:r>
      <w:r w:rsidR="00801E32" w:rsidRPr="00B53F89">
        <w:t xml:space="preserve"> GHz (2400 MHz–2</w:t>
      </w:r>
      <w:r w:rsidR="00663E68" w:rsidRPr="00B53F89">
        <w:t>483.5</w:t>
      </w:r>
      <w:r w:rsidR="00801E32" w:rsidRPr="00B53F89">
        <w:t xml:space="preserve"> MHz) </w:t>
      </w:r>
      <w:r w:rsidRPr="00B53F89">
        <w:t xml:space="preserve">and </w:t>
      </w:r>
      <w:r w:rsidRPr="00B53F89">
        <w:lastRenderedPageBreak/>
        <w:t>5</w:t>
      </w:r>
      <w:r w:rsidR="00801E32" w:rsidRPr="00B53F89">
        <w:t> </w:t>
      </w:r>
      <w:r w:rsidRPr="00B53F89">
        <w:t xml:space="preserve">GHz </w:t>
      </w:r>
      <w:r w:rsidR="00801E32" w:rsidRPr="00B53F89">
        <w:t xml:space="preserve">(5725–5875 MHz) </w:t>
      </w:r>
      <w:r w:rsidRPr="00B53F89">
        <w:t xml:space="preserve">bands </w:t>
      </w:r>
      <w:r w:rsidR="003360A4" w:rsidRPr="00B53F89">
        <w:t xml:space="preserve">that are </w:t>
      </w:r>
      <w:r w:rsidRPr="00B53F89">
        <w:t xml:space="preserve">class licensed </w:t>
      </w:r>
      <w:r w:rsidR="003360A4" w:rsidRPr="00B53F89">
        <w:t xml:space="preserve">and </w:t>
      </w:r>
      <w:r w:rsidRPr="00B53F89">
        <w:t>used for radio local area networks (RLANs)</w:t>
      </w:r>
      <w:r w:rsidR="007C0B07" w:rsidRPr="00B53F89">
        <w:t>—</w:t>
      </w:r>
      <w:r w:rsidRPr="00B53F89">
        <w:t>especially Wi</w:t>
      </w:r>
      <w:r w:rsidR="003E3B37" w:rsidRPr="00B53F89">
        <w:t>-</w:t>
      </w:r>
      <w:r w:rsidRPr="00B53F89">
        <w:t>Fi.</w:t>
      </w:r>
    </w:p>
    <w:p w14:paraId="5A470D9C" w14:textId="32D5B33C" w:rsidR="00EA54D5" w:rsidRPr="00B53F89" w:rsidRDefault="00EA54D5" w:rsidP="00E26672">
      <w:r w:rsidRPr="00B53F89">
        <w:t>Wi-Fi devices now carry approximately half of all global Internet Protocol (IP) traffic</w:t>
      </w:r>
      <w:r w:rsidRPr="00B53F89">
        <w:rPr>
          <w:rStyle w:val="FootnoteReference"/>
        </w:rPr>
        <w:footnoteReference w:id="15"/>
      </w:r>
      <w:r w:rsidRPr="00B53F89">
        <w:t xml:space="preserve"> with Wi</w:t>
      </w:r>
      <w:r w:rsidR="003E3B37" w:rsidRPr="00B53F89">
        <w:t>-</w:t>
      </w:r>
      <w:r w:rsidRPr="00B53F89">
        <w:t>Fi networks almost ubiquitous in homes and business</w:t>
      </w:r>
      <w:r w:rsidR="00A23463" w:rsidRPr="00B53F89">
        <w:t>es</w:t>
      </w:r>
      <w:r w:rsidRPr="00B53F89">
        <w:t xml:space="preserve"> along with many public space</w:t>
      </w:r>
      <w:r w:rsidR="003B46D3" w:rsidRPr="00B53F89">
        <w:t>s</w:t>
      </w:r>
      <w:r w:rsidRPr="00B53F89">
        <w:t xml:space="preserve">. There are regular questions </w:t>
      </w:r>
      <w:r w:rsidR="003B46D3" w:rsidRPr="00B53F89">
        <w:t xml:space="preserve">about </w:t>
      </w:r>
      <w:r w:rsidRPr="00B53F89">
        <w:t>whether the class</w:t>
      </w:r>
      <w:r w:rsidR="007C0B07" w:rsidRPr="00B53F89">
        <w:t>-</w:t>
      </w:r>
      <w:r w:rsidRPr="00B53F89">
        <w:t>licensed bands used for Wi</w:t>
      </w:r>
      <w:r w:rsidR="003E3B37" w:rsidRPr="00B53F89">
        <w:t>-</w:t>
      </w:r>
      <w:r w:rsidRPr="00B53F89">
        <w:t xml:space="preserve">Fi are victims of their own success </w:t>
      </w:r>
      <w:r w:rsidR="003B46D3" w:rsidRPr="00B53F89">
        <w:t xml:space="preserve">and </w:t>
      </w:r>
      <w:r w:rsidRPr="00B53F89">
        <w:t>are experiencing spectrum congestion due to their utilisation. These questions are hard to answer definitive</w:t>
      </w:r>
      <w:r w:rsidR="003B46D3" w:rsidRPr="00B53F89">
        <w:t>ly. W</w:t>
      </w:r>
      <w:r w:rsidRPr="00B53F89">
        <w:t>hile there are anecdotal reports of congestion events</w:t>
      </w:r>
      <w:r w:rsidR="00326C3D" w:rsidRPr="00B53F89">
        <w:t>—</w:t>
      </w:r>
      <w:r w:rsidR="00EA60DE" w:rsidRPr="00B53F89">
        <w:t>for example,</w:t>
      </w:r>
      <w:r w:rsidR="003B46D3" w:rsidRPr="00B53F89">
        <w:t xml:space="preserve"> poor </w:t>
      </w:r>
      <w:r w:rsidRPr="00B53F89">
        <w:t>or no Wi</w:t>
      </w:r>
      <w:r w:rsidR="003E3B37" w:rsidRPr="00B53F89">
        <w:t>-</w:t>
      </w:r>
      <w:r w:rsidRPr="00B53F89">
        <w:t>Fi coverage</w:t>
      </w:r>
      <w:r w:rsidR="007C0B07" w:rsidRPr="00B53F89">
        <w:t>,</w:t>
      </w:r>
      <w:r w:rsidRPr="00B53F89">
        <w:t xml:space="preserve"> it is </w:t>
      </w:r>
      <w:r w:rsidR="003B46D3" w:rsidRPr="00B53F89">
        <w:t xml:space="preserve">difficult </w:t>
      </w:r>
      <w:r w:rsidRPr="00B53F89">
        <w:t>to determine the cause</w:t>
      </w:r>
      <w:r w:rsidR="003B46D3" w:rsidRPr="00B53F89">
        <w:t>, which could be</w:t>
      </w:r>
      <w:r w:rsidRPr="00B53F89">
        <w:t xml:space="preserve"> spectrum interference</w:t>
      </w:r>
      <w:r w:rsidR="007C0B07" w:rsidRPr="00B53F89">
        <w:t>,</w:t>
      </w:r>
      <w:r w:rsidR="003B46D3" w:rsidRPr="00B53F89">
        <w:t xml:space="preserve"> </w:t>
      </w:r>
      <w:r w:rsidRPr="00B53F89">
        <w:t>congestion</w:t>
      </w:r>
      <w:r w:rsidR="003B46D3" w:rsidRPr="00B53F89">
        <w:t xml:space="preserve"> </w:t>
      </w:r>
      <w:r w:rsidRPr="00B53F89">
        <w:t>or</w:t>
      </w:r>
      <w:r w:rsidR="0038436D" w:rsidRPr="00B53F89">
        <w:t xml:space="preserve"> a range of</w:t>
      </w:r>
      <w:r w:rsidRPr="00B53F89">
        <w:t xml:space="preserve"> other factors</w:t>
      </w:r>
      <w:r w:rsidR="003B46D3" w:rsidRPr="00B53F89">
        <w:t>.</w:t>
      </w:r>
      <w:r w:rsidRPr="00B53F89">
        <w:t xml:space="preserve"> </w:t>
      </w:r>
    </w:p>
    <w:p w14:paraId="0F904BE1" w14:textId="67EF92ED" w:rsidR="00CC78AD" w:rsidRPr="00B53F89" w:rsidRDefault="00CC78AD" w:rsidP="00E26672">
      <w:r w:rsidRPr="00B53F89">
        <w:t>T</w:t>
      </w:r>
      <w:r w:rsidR="00EA54D5" w:rsidRPr="00B53F89">
        <w:t xml:space="preserve">he ACMA </w:t>
      </w:r>
      <w:r w:rsidRPr="00B53F89">
        <w:t>will continue to</w:t>
      </w:r>
      <w:r w:rsidR="00EA54D5" w:rsidRPr="00B53F89">
        <w:t xml:space="preserve"> review </w:t>
      </w:r>
      <w:r w:rsidR="00954440" w:rsidRPr="00B53F89">
        <w:t xml:space="preserve">class licensing </w:t>
      </w:r>
      <w:r w:rsidR="00EA54D5" w:rsidRPr="00B53F89">
        <w:t>arrangement</w:t>
      </w:r>
      <w:r w:rsidR="00954440" w:rsidRPr="00B53F89">
        <w:t>s</w:t>
      </w:r>
      <w:r w:rsidR="00EA54D5" w:rsidRPr="00B53F89">
        <w:t xml:space="preserve"> to assess whether regulatory settings can be changed to support the ongoing benefits derive</w:t>
      </w:r>
      <w:r w:rsidR="00954440" w:rsidRPr="00B53F89">
        <w:t>d</w:t>
      </w:r>
      <w:r w:rsidR="00EA54D5" w:rsidRPr="00B53F89">
        <w:t xml:space="preserve"> from RLANs and Wi</w:t>
      </w:r>
      <w:r w:rsidR="003E3B37" w:rsidRPr="00B53F89">
        <w:t>-</w:t>
      </w:r>
      <w:r w:rsidR="00EA54D5" w:rsidRPr="00B53F89">
        <w:t xml:space="preserve">Fi. </w:t>
      </w:r>
      <w:r w:rsidR="00C61187" w:rsidRPr="00B53F89">
        <w:t>C</w:t>
      </w:r>
      <w:r w:rsidRPr="00B53F89">
        <w:t>onsider</w:t>
      </w:r>
      <w:r w:rsidR="00C61187" w:rsidRPr="00B53F89">
        <w:t>ations will include</w:t>
      </w:r>
      <w:r w:rsidR="00EA54D5" w:rsidRPr="00B53F89">
        <w:t xml:space="preserve"> whether more spectrum is required and </w:t>
      </w:r>
      <w:r w:rsidRPr="00B53F89">
        <w:t xml:space="preserve">if </w:t>
      </w:r>
      <w:r w:rsidR="00EA54D5" w:rsidRPr="00B53F89">
        <w:t xml:space="preserve">changes to existing arrangements are necessary. </w:t>
      </w:r>
      <w:r w:rsidRPr="00B53F89">
        <w:t xml:space="preserve">For example, </w:t>
      </w:r>
      <w:r w:rsidR="00400A7B" w:rsidRPr="00B53F89">
        <w:t>the ACMA can consider whether</w:t>
      </w:r>
      <w:r w:rsidR="00EA54D5" w:rsidRPr="00B53F89">
        <w:t xml:space="preserve"> existing class licence conditions</w:t>
      </w:r>
      <w:r w:rsidR="00BD28D6" w:rsidRPr="00B53F89">
        <w:t>,</w:t>
      </w:r>
      <w:r w:rsidR="00EA54D5" w:rsidRPr="00B53F89">
        <w:t xml:space="preserve"> such as power</w:t>
      </w:r>
      <w:r w:rsidR="003360A4" w:rsidRPr="00B53F89">
        <w:t xml:space="preserve"> level</w:t>
      </w:r>
      <w:r w:rsidR="00EA54D5" w:rsidRPr="00B53F89">
        <w:t>s and other operating conditions</w:t>
      </w:r>
      <w:r w:rsidR="001C3B42" w:rsidRPr="00B53F89">
        <w:t>—</w:t>
      </w:r>
      <w:r w:rsidR="00637B9F" w:rsidRPr="00B53F89">
        <w:t>for example,</w:t>
      </w:r>
      <w:r w:rsidR="00EA54D5" w:rsidRPr="00B53F89">
        <w:t xml:space="preserve"> indoor usage limitations in some frequency ranges</w:t>
      </w:r>
      <w:r w:rsidR="001C3B42" w:rsidRPr="00B53F89">
        <w:t>,</w:t>
      </w:r>
      <w:r w:rsidR="00EA54D5" w:rsidRPr="00B53F89">
        <w:t xml:space="preserve"> </w:t>
      </w:r>
      <w:r w:rsidR="00C61187" w:rsidRPr="00B53F89">
        <w:t>should be reviewed.</w:t>
      </w:r>
    </w:p>
    <w:p w14:paraId="65B7272D" w14:textId="12C7649A" w:rsidR="00EA54D5" w:rsidRPr="00B53F89" w:rsidRDefault="00954440" w:rsidP="006E0361">
      <w:r w:rsidRPr="00B53F89">
        <w:t xml:space="preserve">As described in this </w:t>
      </w:r>
      <w:r w:rsidR="006960A5" w:rsidRPr="00B53F89">
        <w:t xml:space="preserve">(see </w:t>
      </w:r>
      <w:r w:rsidR="00DF0112" w:rsidRPr="00B53F89">
        <w:t>Part 2</w:t>
      </w:r>
      <w:r w:rsidR="006960A5" w:rsidRPr="00B53F89">
        <w:t xml:space="preserve">) </w:t>
      </w:r>
      <w:r w:rsidRPr="00B53F89">
        <w:t>and previous FYSOs, the ACMA regularly updates class licences to improve their operation and reflect changes in demand for access to class</w:t>
      </w:r>
      <w:r w:rsidR="00D1527A" w:rsidRPr="00B53F89">
        <w:t>-</w:t>
      </w:r>
      <w:r w:rsidRPr="00B53F89">
        <w:t>licensed spectrum.</w:t>
      </w:r>
      <w:r w:rsidR="00CF7EF4" w:rsidRPr="00B53F89">
        <w:t xml:space="preserve"> T</w:t>
      </w:r>
      <w:r w:rsidR="00EA54D5" w:rsidRPr="00B53F89">
        <w:t>he ACMA monitors and, if appropriate, responds to</w:t>
      </w:r>
      <w:r w:rsidR="00637B9F" w:rsidRPr="00B53F89">
        <w:t>,</w:t>
      </w:r>
      <w:r w:rsidR="00EA54D5" w:rsidRPr="00B53F89">
        <w:t xml:space="preserve"> developments in Wi</w:t>
      </w:r>
      <w:r w:rsidR="003E3B37" w:rsidRPr="00B53F89">
        <w:t>-</w:t>
      </w:r>
      <w:r w:rsidR="00EA54D5" w:rsidRPr="00B53F89">
        <w:t xml:space="preserve">Fi and RLAN technology. </w:t>
      </w:r>
      <w:bookmarkStart w:id="175" w:name="_Hlk17119866"/>
      <w:r w:rsidR="007C0B07" w:rsidRPr="00B53F89">
        <w:t>T</w:t>
      </w:r>
      <w:r w:rsidR="00EA54D5" w:rsidRPr="00B53F89">
        <w:t xml:space="preserve">he ACMA recently </w:t>
      </w:r>
      <w:r w:rsidR="00920D3D" w:rsidRPr="00B53F89">
        <w:t xml:space="preserve">made </w:t>
      </w:r>
      <w:r w:rsidR="00EA54D5" w:rsidRPr="00B53F89">
        <w:t>spectrum available via class licensing in the 66</w:t>
      </w:r>
      <w:r w:rsidR="004E64E0" w:rsidRPr="00B53F89">
        <w:t>–</w:t>
      </w:r>
      <w:r w:rsidR="00EA54D5" w:rsidRPr="00B53F89">
        <w:t>71 GHz frequency range expected to support wireless gigabit RLANs</w:t>
      </w:r>
      <w:r w:rsidR="001C3B42" w:rsidRPr="00B53F89">
        <w:t>—</w:t>
      </w:r>
      <w:r w:rsidR="00EA54D5" w:rsidRPr="00B53F89">
        <w:t>for exampl</w:t>
      </w:r>
      <w:r w:rsidR="003360A4" w:rsidRPr="00B53F89">
        <w:t>e,</w:t>
      </w:r>
      <w:r w:rsidR="00EA54D5" w:rsidRPr="00B53F89">
        <w:t xml:space="preserve"> utilising IEEE 802.11ad. </w:t>
      </w:r>
      <w:bookmarkEnd w:id="175"/>
    </w:p>
    <w:p w14:paraId="3E66D89E" w14:textId="1B1BB7D1" w:rsidR="00EA54D5" w:rsidRPr="00B53F89" w:rsidRDefault="00C61187">
      <w:r w:rsidRPr="00B53F89">
        <w:t>There are</w:t>
      </w:r>
      <w:r w:rsidR="00EA54D5" w:rsidRPr="00B53F89">
        <w:t xml:space="preserve"> global developments in making more spectrum available for </w:t>
      </w:r>
      <w:r w:rsidR="003E3B37" w:rsidRPr="00B53F89">
        <w:t>Wi-Fi</w:t>
      </w:r>
      <w:r w:rsidR="00EA54D5" w:rsidRPr="00B53F89">
        <w:t xml:space="preserve"> above the 5 GHz band already included in the LIPD</w:t>
      </w:r>
      <w:r w:rsidR="00A56FF3" w:rsidRPr="00B53F89">
        <w:t xml:space="preserve"> class licence</w:t>
      </w:r>
      <w:r w:rsidR="00EA54D5" w:rsidRPr="00B53F89">
        <w:t>. For example, in the US the FCC has commenced a notice of proposed rulemaking proposing rules in the 5925</w:t>
      </w:r>
      <w:r w:rsidR="004E64E0" w:rsidRPr="00B53F89">
        <w:t>–</w:t>
      </w:r>
      <w:r w:rsidR="00EA54D5" w:rsidRPr="00B53F89">
        <w:t xml:space="preserve">7125 MHz band that would support </w:t>
      </w:r>
      <w:r w:rsidR="003E3B37" w:rsidRPr="00B53F89">
        <w:t>Wi-Fi</w:t>
      </w:r>
      <w:r w:rsidR="00EA54D5" w:rsidRPr="00B53F89">
        <w:t xml:space="preserve"> use</w:t>
      </w:r>
      <w:r w:rsidR="00AC2382" w:rsidRPr="00B53F89">
        <w:t>.</w:t>
      </w:r>
      <w:r w:rsidR="00EA54D5" w:rsidRPr="00B53F89">
        <w:rPr>
          <w:rStyle w:val="FootnoteReference"/>
        </w:rPr>
        <w:footnoteReference w:id="16"/>
      </w:r>
      <w:r w:rsidR="00EA54D5" w:rsidRPr="00B53F89">
        <w:t xml:space="preserve"> This would create over another 1 GHz of spectrum available for </w:t>
      </w:r>
      <w:r w:rsidR="003E3B37" w:rsidRPr="00B53F89">
        <w:t>Wi-Fi</w:t>
      </w:r>
      <w:r w:rsidR="009955CD" w:rsidRPr="00B53F89">
        <w:t xml:space="preserve"> in this band</w:t>
      </w:r>
      <w:r w:rsidR="00EA54D5" w:rsidRPr="00B53F89">
        <w:t xml:space="preserve">. </w:t>
      </w:r>
      <w:r w:rsidR="005D75EE" w:rsidRPr="00B53F89">
        <w:t xml:space="preserve">However, internationally both the microwave fixed link and satellite industry have expressed concerns about these proposals. </w:t>
      </w:r>
      <w:r w:rsidR="00EA54D5" w:rsidRPr="00B53F89">
        <w:t>The ACMA will monitor the progress of this issue</w:t>
      </w:r>
      <w:r w:rsidR="00AC2382" w:rsidRPr="00B53F89">
        <w:t>—</w:t>
      </w:r>
      <w:r w:rsidR="00EA54D5" w:rsidRPr="00B53F89">
        <w:t xml:space="preserve">particularly the matter of coexistence between possible </w:t>
      </w:r>
      <w:r w:rsidR="003E3B37" w:rsidRPr="00B53F89">
        <w:t>Wi-Fi</w:t>
      </w:r>
      <w:r w:rsidR="00EA54D5" w:rsidRPr="00B53F89">
        <w:t xml:space="preserve"> </w:t>
      </w:r>
      <w:r w:rsidR="00400A7B" w:rsidRPr="00B53F89">
        <w:t xml:space="preserve">and similar </w:t>
      </w:r>
      <w:r w:rsidR="00EA54D5" w:rsidRPr="00B53F89">
        <w:t>use</w:t>
      </w:r>
      <w:r w:rsidR="00400A7B" w:rsidRPr="00B53F89">
        <w:t>s</w:t>
      </w:r>
      <w:r w:rsidR="00EA54D5" w:rsidRPr="00B53F89">
        <w:t xml:space="preserve"> of the band with other uses</w:t>
      </w:r>
      <w:r w:rsidR="00BD28D6" w:rsidRPr="00B53F89">
        <w:t>,</w:t>
      </w:r>
      <w:r w:rsidR="00EA54D5" w:rsidRPr="00B53F89">
        <w:t xml:space="preserve"> such as satellite uplinks and fixed links. </w:t>
      </w:r>
    </w:p>
    <w:p w14:paraId="0A90F520" w14:textId="70FE56BA" w:rsidR="00EA54D5" w:rsidRPr="00B53F89" w:rsidRDefault="00EA54D5">
      <w:r w:rsidRPr="00B53F89">
        <w:t xml:space="preserve">The ACMA will monitor both domestic and international factors that inform consideration of </w:t>
      </w:r>
      <w:r w:rsidR="00117DF8" w:rsidRPr="00B53F89">
        <w:t xml:space="preserve">future </w:t>
      </w:r>
      <w:r w:rsidRPr="00B53F89">
        <w:t xml:space="preserve">changes to class licensing arrangements in Australia. </w:t>
      </w:r>
    </w:p>
    <w:bookmarkEnd w:id="170"/>
    <w:bookmarkEnd w:id="171"/>
    <w:bookmarkEnd w:id="172"/>
    <w:p w14:paraId="12E408DF" w14:textId="746FF5C7" w:rsidR="00C27E21" w:rsidRPr="00B53F89" w:rsidRDefault="00C27E21" w:rsidP="00FA7446">
      <w:pPr>
        <w:keepNext/>
        <w:spacing w:before="60" w:after="0"/>
      </w:pPr>
      <w:r w:rsidRPr="006A2F04">
        <w:rPr>
          <w:noProof/>
        </w:rPr>
        <w:drawing>
          <wp:inline distT="0" distB="0" distL="0" distR="0" wp14:anchorId="0634D79F" wp14:editId="344099D9">
            <wp:extent cx="342900" cy="361950"/>
            <wp:effectExtent l="0" t="0" r="0" b="0"/>
            <wp:docPr id="26" name="Picture 26" descr="Amateur radio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Amateur radio icon"/>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6A6E171B" w14:textId="57CD7978" w:rsidR="00082A09" w:rsidRPr="00B53F89" w:rsidRDefault="00A54553" w:rsidP="002111ED">
      <w:pPr>
        <w:pStyle w:val="Heading3"/>
      </w:pPr>
      <w:r>
        <w:pict w14:anchorId="38D2F3FC">
          <v:shape id="_x0000_i1030" type="#_x0000_t75" alt="A close up of a sign&#10;&#10;Description automatically generated" style="width:18.75pt;height:11.25pt;visibility:visible;mso-wrap-style:square">
            <v:imagedata r:id="rId43" o:title="A close up of a sign&#10;&#10;Description automatically generated"/>
          </v:shape>
        </w:pict>
      </w:r>
      <w:bookmarkStart w:id="176" w:name="_Toc18505508"/>
      <w:r w:rsidR="001C6177">
        <w:t xml:space="preserve"> </w:t>
      </w:r>
      <w:r w:rsidR="00082A09" w:rsidRPr="00B53F89">
        <w:t>Amateur radio</w:t>
      </w:r>
      <w:bookmarkEnd w:id="176"/>
    </w:p>
    <w:p w14:paraId="1C795EEC" w14:textId="637B221F" w:rsidR="00082A09" w:rsidRPr="00B53F89" w:rsidRDefault="00082A09" w:rsidP="00DE694D">
      <w:r w:rsidRPr="00B53F89">
        <w:t xml:space="preserve">The amateur service is a longstanding user of radiofrequency spectrum, with a range of bands made available for qualified amateurs. The amateur service is designed primarily to facilitate hobby radiocommunications and technical experimentation. Amateur radio operators communicate using transmission modes including, but not limited to, Morse code, </w:t>
      </w:r>
      <w:r w:rsidR="006231E7" w:rsidRPr="00B53F89">
        <w:t>voice</w:t>
      </w:r>
      <w:r w:rsidRPr="00B53F89">
        <w:t xml:space="preserve"> and data.</w:t>
      </w:r>
    </w:p>
    <w:p w14:paraId="46DFAD19" w14:textId="0A1B6F13" w:rsidR="00C61187" w:rsidRPr="00B53F89" w:rsidRDefault="00082A09" w:rsidP="00DE694D">
      <w:r w:rsidRPr="00B53F89">
        <w:lastRenderedPageBreak/>
        <w:t>The ACMA</w:t>
      </w:r>
      <w:r w:rsidR="006231E7" w:rsidRPr="00B53F89">
        <w:t>’s amateur</w:t>
      </w:r>
      <w:r w:rsidR="004534D7" w:rsidRPr="00B53F89">
        <w:t>-</w:t>
      </w:r>
      <w:r w:rsidR="006231E7" w:rsidRPr="00B53F89">
        <w:t xml:space="preserve">related work program is multidimensional. </w:t>
      </w:r>
      <w:r w:rsidRPr="00B53F89">
        <w:t>The ACMA support</w:t>
      </w:r>
      <w:r w:rsidR="006231E7" w:rsidRPr="00B53F89">
        <w:t>s</w:t>
      </w:r>
      <w:r w:rsidRPr="00B53F89">
        <w:t xml:space="preserve"> the amateur service through planning arrangements </w:t>
      </w:r>
      <w:r w:rsidR="006231E7" w:rsidRPr="00B53F89">
        <w:t xml:space="preserve">which recognise the </w:t>
      </w:r>
      <w:r w:rsidR="00E56F45" w:rsidRPr="00B53F89">
        <w:t>request</w:t>
      </w:r>
      <w:r w:rsidR="006231E7" w:rsidRPr="00B53F89">
        <w:t xml:space="preserve">s of amateur radio operators to </w:t>
      </w:r>
      <w:r w:rsidR="004A29EC" w:rsidRPr="00B53F89">
        <w:t xml:space="preserve">access </w:t>
      </w:r>
      <w:r w:rsidR="006231E7" w:rsidRPr="00B53F89">
        <w:t>frequency bands,</w:t>
      </w:r>
      <w:r w:rsidRPr="00B53F89">
        <w:t xml:space="preserve"> while balancing other demands for spectrum.</w:t>
      </w:r>
      <w:r w:rsidR="006231E7" w:rsidRPr="00B53F89">
        <w:t xml:space="preserve"> For example, this year’s work</w:t>
      </w:r>
      <w:r w:rsidR="004534D7" w:rsidRPr="00B53F89">
        <w:t xml:space="preserve"> </w:t>
      </w:r>
      <w:r w:rsidR="006231E7" w:rsidRPr="00B53F89">
        <w:t>plan includes reviewing non-assigned amateur licensing arrangements,</w:t>
      </w:r>
      <w:r w:rsidR="00A30790" w:rsidRPr="00B53F89">
        <w:t xml:space="preserve"> and</w:t>
      </w:r>
      <w:r w:rsidR="006231E7" w:rsidRPr="00B53F89">
        <w:t xml:space="preserve"> considering outcomes of WRC-15 in the 5351.5–5366.5 kHz band.</w:t>
      </w:r>
    </w:p>
    <w:p w14:paraId="78D59EE9" w14:textId="33D69D3C" w:rsidR="006231E7" w:rsidRPr="00B53F89" w:rsidRDefault="006231E7" w:rsidP="006E0361">
      <w:r w:rsidRPr="00B53F89">
        <w:t>The ACMA’s amateur</w:t>
      </w:r>
      <w:r w:rsidR="004534D7" w:rsidRPr="00B53F89">
        <w:t>-</w:t>
      </w:r>
      <w:r w:rsidRPr="00B53F89">
        <w:t xml:space="preserve">related work program </w:t>
      </w:r>
      <w:r w:rsidR="003E6473" w:rsidRPr="00B53F89">
        <w:t>for 2019</w:t>
      </w:r>
      <w:r w:rsidR="003673CB" w:rsidRPr="00B53F89">
        <w:t>–</w:t>
      </w:r>
      <w:r w:rsidR="003E6473" w:rsidRPr="00B53F89">
        <w:t>20</w:t>
      </w:r>
      <w:r w:rsidR="00262A29" w:rsidRPr="00B53F89">
        <w:t xml:space="preserve"> </w:t>
      </w:r>
      <w:r w:rsidRPr="00B53F89">
        <w:t>also includes management of licensing and the arrangements for the qualification of amateur operators</w:t>
      </w:r>
      <w:r w:rsidR="00E709AF" w:rsidRPr="00B53F89">
        <w:t xml:space="preserve">. </w:t>
      </w:r>
    </w:p>
    <w:p w14:paraId="770EEF27" w14:textId="18F4AE89" w:rsidR="00B026E8" w:rsidRPr="00B53F89" w:rsidRDefault="00B026E8" w:rsidP="00D7755E">
      <w:pPr>
        <w:pStyle w:val="Heading1"/>
        <w:rPr>
          <w:rStyle w:val="TitleChar"/>
          <w:rFonts w:ascii="Arial" w:hAnsi="Arial" w:cs="Arial"/>
          <w:bCs w:val="0"/>
          <w:color w:val="auto"/>
          <w:spacing w:val="0"/>
          <w:kern w:val="32"/>
          <w:sz w:val="53"/>
          <w:szCs w:val="32"/>
          <w:lang w:eastAsia="en-AU"/>
        </w:rPr>
      </w:pPr>
      <w:bookmarkStart w:id="177" w:name="_Part_2—Proposed_20189–1920"/>
      <w:bookmarkStart w:id="178" w:name="_Part_2—Proposed_2019–20"/>
      <w:bookmarkStart w:id="179" w:name="_Toc509581810"/>
      <w:bookmarkStart w:id="180" w:name="_Toc509585126"/>
      <w:bookmarkStart w:id="181" w:name="_Toc509585662"/>
      <w:bookmarkStart w:id="182" w:name="_Toc510104940"/>
      <w:bookmarkStart w:id="183" w:name="_Toc510105737"/>
      <w:bookmarkStart w:id="184" w:name="_Toc510795075"/>
      <w:bookmarkStart w:id="185" w:name="_Toc511716277"/>
      <w:bookmarkStart w:id="186" w:name="_Toc511719088"/>
      <w:bookmarkStart w:id="187" w:name="_Toc522794083"/>
      <w:bookmarkStart w:id="188" w:name="_Toc18505509"/>
      <w:bookmarkStart w:id="189" w:name="_Toc491854106"/>
      <w:bookmarkStart w:id="190" w:name="_Toc494115161"/>
      <w:bookmarkEnd w:id="177"/>
      <w:bookmarkEnd w:id="178"/>
      <w:r w:rsidRPr="00B53F89">
        <w:rPr>
          <w:rStyle w:val="TitleChar"/>
          <w:rFonts w:ascii="Arial" w:hAnsi="Arial" w:cs="Arial"/>
          <w:spacing w:val="0"/>
          <w:kern w:val="32"/>
          <w:sz w:val="53"/>
          <w:szCs w:val="32"/>
          <w:lang w:eastAsia="en-AU"/>
        </w:rPr>
        <w:lastRenderedPageBreak/>
        <w:t>Part 2</w:t>
      </w:r>
      <w:r w:rsidR="007261F6" w:rsidRPr="00B53F89">
        <w:rPr>
          <w:rStyle w:val="TitleChar"/>
          <w:rFonts w:ascii="Arial" w:hAnsi="Arial" w:cs="Arial"/>
          <w:spacing w:val="0"/>
          <w:kern w:val="32"/>
          <w:sz w:val="53"/>
          <w:szCs w:val="32"/>
          <w:lang w:eastAsia="en-AU"/>
        </w:rPr>
        <w:t>—</w:t>
      </w:r>
      <w:r w:rsidRPr="00B53F89">
        <w:rPr>
          <w:rStyle w:val="TitleChar"/>
          <w:rFonts w:ascii="Arial" w:hAnsi="Arial" w:cs="Arial"/>
          <w:spacing w:val="0"/>
          <w:kern w:val="32"/>
          <w:sz w:val="53"/>
          <w:szCs w:val="32"/>
          <w:lang w:eastAsia="en-AU"/>
        </w:rPr>
        <w:t>Proposed 201</w:t>
      </w:r>
      <w:r w:rsidR="00B52324" w:rsidRPr="00B53F89">
        <w:rPr>
          <w:rStyle w:val="TitleChar"/>
          <w:rFonts w:ascii="Arial" w:hAnsi="Arial" w:cs="Arial"/>
          <w:spacing w:val="0"/>
          <w:kern w:val="32"/>
          <w:sz w:val="53"/>
          <w:szCs w:val="32"/>
          <w:lang w:eastAsia="en-AU"/>
        </w:rPr>
        <w:t>9</w:t>
      </w:r>
      <w:r w:rsidRPr="00B53F89">
        <w:rPr>
          <w:rStyle w:val="TitleChar"/>
          <w:rFonts w:ascii="Arial" w:hAnsi="Arial" w:cs="Arial"/>
          <w:spacing w:val="0"/>
          <w:kern w:val="32"/>
          <w:sz w:val="53"/>
          <w:szCs w:val="32"/>
          <w:lang w:eastAsia="en-AU"/>
        </w:rPr>
        <w:t>–</w:t>
      </w:r>
      <w:r w:rsidR="00B52324" w:rsidRPr="00B53F89">
        <w:rPr>
          <w:rStyle w:val="TitleChar"/>
          <w:rFonts w:ascii="Arial" w:hAnsi="Arial" w:cs="Arial"/>
          <w:spacing w:val="0"/>
          <w:kern w:val="32"/>
          <w:sz w:val="53"/>
          <w:szCs w:val="32"/>
          <w:lang w:eastAsia="en-AU"/>
        </w:rPr>
        <w:t>20</w:t>
      </w:r>
      <w:r w:rsidRPr="00B53F89">
        <w:rPr>
          <w:rStyle w:val="TitleChar"/>
          <w:rFonts w:ascii="Arial" w:hAnsi="Arial" w:cs="Arial"/>
          <w:spacing w:val="0"/>
          <w:kern w:val="32"/>
          <w:sz w:val="53"/>
          <w:szCs w:val="32"/>
          <w:lang w:eastAsia="en-AU"/>
        </w:rPr>
        <w:t xml:space="preserve"> </w:t>
      </w:r>
      <w:r w:rsidR="00151518" w:rsidRPr="00B53F89">
        <w:rPr>
          <w:rStyle w:val="TitleChar"/>
          <w:rFonts w:ascii="Arial" w:hAnsi="Arial" w:cs="Arial"/>
          <w:spacing w:val="0"/>
          <w:kern w:val="32"/>
          <w:sz w:val="53"/>
          <w:szCs w:val="32"/>
          <w:lang w:eastAsia="en-AU"/>
        </w:rPr>
        <w:t xml:space="preserve">annual </w:t>
      </w:r>
      <w:r w:rsidRPr="00B53F89">
        <w:rPr>
          <w:rStyle w:val="TitleChar"/>
          <w:rFonts w:ascii="Arial" w:hAnsi="Arial" w:cs="Arial"/>
          <w:spacing w:val="0"/>
          <w:kern w:val="32"/>
          <w:sz w:val="53"/>
          <w:szCs w:val="32"/>
          <w:lang w:eastAsia="en-AU"/>
        </w:rPr>
        <w:t>spectrum</w:t>
      </w:r>
      <w:r w:rsidR="00151518" w:rsidRPr="00B53F89">
        <w:rPr>
          <w:rStyle w:val="TitleChar"/>
          <w:rFonts w:ascii="Arial" w:hAnsi="Arial" w:cs="Arial"/>
          <w:spacing w:val="0"/>
          <w:kern w:val="32"/>
          <w:sz w:val="53"/>
          <w:szCs w:val="32"/>
          <w:lang w:eastAsia="en-AU"/>
        </w:rPr>
        <w:t xml:space="preserve"> management</w:t>
      </w:r>
      <w:r w:rsidRPr="00B53F89">
        <w:rPr>
          <w:rStyle w:val="TitleChar"/>
          <w:rFonts w:ascii="Arial" w:hAnsi="Arial" w:cs="Arial"/>
          <w:spacing w:val="0"/>
          <w:kern w:val="32"/>
          <w:sz w:val="53"/>
          <w:szCs w:val="32"/>
          <w:lang w:eastAsia="en-AU"/>
        </w:rPr>
        <w:t xml:space="preserve"> work program</w:t>
      </w:r>
      <w:bookmarkEnd w:id="179"/>
      <w:bookmarkEnd w:id="180"/>
      <w:bookmarkEnd w:id="181"/>
      <w:bookmarkEnd w:id="182"/>
      <w:bookmarkEnd w:id="183"/>
      <w:bookmarkEnd w:id="184"/>
      <w:bookmarkEnd w:id="185"/>
      <w:bookmarkEnd w:id="186"/>
      <w:bookmarkEnd w:id="187"/>
      <w:bookmarkEnd w:id="188"/>
    </w:p>
    <w:bookmarkEnd w:id="189"/>
    <w:bookmarkEnd w:id="190"/>
    <w:p w14:paraId="1EB019BB" w14:textId="1DF29166" w:rsidR="00500299" w:rsidRPr="00B53F89" w:rsidRDefault="00410CC1" w:rsidP="00D7755E">
      <w:r w:rsidRPr="00B53F89">
        <w:rPr>
          <w:rFonts w:cs="Arial"/>
          <w:szCs w:val="20"/>
        </w:rPr>
        <w:t>Part 2 provide</w:t>
      </w:r>
      <w:r w:rsidR="00876A2C" w:rsidRPr="00B53F89">
        <w:rPr>
          <w:rFonts w:cs="Arial"/>
          <w:szCs w:val="20"/>
        </w:rPr>
        <w:t>s</w:t>
      </w:r>
      <w:r w:rsidRPr="00B53F89">
        <w:rPr>
          <w:rFonts w:cs="Arial"/>
          <w:szCs w:val="20"/>
        </w:rPr>
        <w:t xml:space="preserve"> information about the work</w:t>
      </w:r>
      <w:r w:rsidR="00AD35B8" w:rsidRPr="00B53F89">
        <w:rPr>
          <w:rFonts w:cs="Arial"/>
          <w:szCs w:val="20"/>
        </w:rPr>
        <w:t xml:space="preserve"> </w:t>
      </w:r>
      <w:r w:rsidRPr="00B53F89">
        <w:rPr>
          <w:rFonts w:cs="Arial"/>
          <w:szCs w:val="20"/>
        </w:rPr>
        <w:t xml:space="preserve">streams and </w:t>
      </w:r>
      <w:r w:rsidR="004F595C" w:rsidRPr="00B53F89">
        <w:t xml:space="preserve">activities that the </w:t>
      </w:r>
      <w:r w:rsidR="00835321" w:rsidRPr="00B53F89">
        <w:t xml:space="preserve">ACMA is proposing to focus on over the </w:t>
      </w:r>
      <w:r w:rsidR="00A43006" w:rsidRPr="00B53F89">
        <w:t>2019</w:t>
      </w:r>
      <w:r w:rsidR="007261F6" w:rsidRPr="00B53F89">
        <w:t>–</w:t>
      </w:r>
      <w:r w:rsidR="00A43006" w:rsidRPr="00B53F89">
        <w:t>20</w:t>
      </w:r>
      <w:r w:rsidR="00835321" w:rsidRPr="00B53F89">
        <w:t xml:space="preserve"> financial year</w:t>
      </w:r>
      <w:r w:rsidRPr="00B53F89">
        <w:t xml:space="preserve">. </w:t>
      </w:r>
      <w:r w:rsidR="00BE2C02" w:rsidRPr="00B53F89">
        <w:t xml:space="preserve">The planning information also reflects expected developments over a </w:t>
      </w:r>
      <w:r w:rsidR="00BE2C02" w:rsidRPr="00B53F89" w:rsidDel="00AA40BB">
        <w:t>five</w:t>
      </w:r>
      <w:r w:rsidR="00BE2C02" w:rsidRPr="00B53F89">
        <w:t>-year timeframe.</w:t>
      </w:r>
    </w:p>
    <w:p w14:paraId="12F9AF92" w14:textId="499FF842" w:rsidR="009A117B" w:rsidRPr="00B53F89" w:rsidRDefault="00410CC1" w:rsidP="002111ED">
      <w:r w:rsidRPr="00B53F89">
        <w:t xml:space="preserve">Where elements of planning, allocation and </w:t>
      </w:r>
      <w:r w:rsidR="008A21A4" w:rsidRPr="00B53F89">
        <w:t>activities to improve</w:t>
      </w:r>
      <w:r w:rsidRPr="00B53F89">
        <w:t xml:space="preserve"> </w:t>
      </w:r>
      <w:r w:rsidR="00500299" w:rsidRPr="00B53F89">
        <w:t>spectrum</w:t>
      </w:r>
      <w:r w:rsidR="008A21A4" w:rsidRPr="00B53F89">
        <w:t xml:space="preserve"> management</w:t>
      </w:r>
      <w:r w:rsidR="00500299" w:rsidRPr="00B53F89">
        <w:t xml:space="preserve"> </w:t>
      </w:r>
      <w:r w:rsidRPr="00B53F89">
        <w:t>span multiple years, we have identified the relevant timing information. Activities</w:t>
      </w:r>
      <w:r w:rsidR="004F595C" w:rsidRPr="00B53F89">
        <w:t xml:space="preserve"> </w:t>
      </w:r>
      <w:r w:rsidR="00835321" w:rsidRPr="00B53F89">
        <w:t xml:space="preserve">are grouped according to </w:t>
      </w:r>
      <w:r w:rsidRPr="00B53F89">
        <w:t xml:space="preserve">the ACMA’s </w:t>
      </w:r>
      <w:r w:rsidR="00835321" w:rsidRPr="00B53F89">
        <w:t>main spectrum management functions</w:t>
      </w:r>
      <w:r w:rsidR="009A117B" w:rsidRPr="00B53F89">
        <w:t>:</w:t>
      </w:r>
    </w:p>
    <w:p w14:paraId="13250DA0" w14:textId="336E9B1E" w:rsidR="00987287" w:rsidRPr="00B53F89" w:rsidRDefault="00987287" w:rsidP="002111ED">
      <w:pPr>
        <w:pStyle w:val="ListBullet"/>
        <w:ind w:left="284" w:hanging="284"/>
      </w:pPr>
      <w:r w:rsidRPr="00B53F89">
        <w:t>international engagement</w:t>
      </w:r>
    </w:p>
    <w:p w14:paraId="0FD12605" w14:textId="77777777" w:rsidR="009A117B" w:rsidRPr="00B53F89" w:rsidRDefault="001A47A9" w:rsidP="002111ED">
      <w:pPr>
        <w:pStyle w:val="ListBullet"/>
        <w:ind w:left="284" w:hanging="284"/>
      </w:pPr>
      <w:r w:rsidRPr="00B53F89">
        <w:t>p</w:t>
      </w:r>
      <w:r w:rsidR="009A117B" w:rsidRPr="00B53F89">
        <w:t>lanning</w:t>
      </w:r>
    </w:p>
    <w:p w14:paraId="65AC4736" w14:textId="77777777" w:rsidR="00CF322E" w:rsidRPr="00B53F89" w:rsidRDefault="001A47A9" w:rsidP="002111ED">
      <w:pPr>
        <w:pStyle w:val="ListBullet"/>
        <w:ind w:left="284" w:hanging="284"/>
      </w:pPr>
      <w:r w:rsidRPr="00B53F89">
        <w:t>a</w:t>
      </w:r>
      <w:r w:rsidR="00CF322E" w:rsidRPr="00B53F89">
        <w:t xml:space="preserve">llocations </w:t>
      </w:r>
    </w:p>
    <w:p w14:paraId="1D34C1B4" w14:textId="35B88070" w:rsidR="00950ACD" w:rsidRPr="00B53F89" w:rsidRDefault="001A47A9" w:rsidP="002111ED">
      <w:pPr>
        <w:pStyle w:val="ListBullet"/>
        <w:ind w:left="284" w:hanging="284"/>
      </w:pPr>
      <w:r w:rsidRPr="00B53F89">
        <w:t>r</w:t>
      </w:r>
      <w:r w:rsidR="00950ACD" w:rsidRPr="00B53F89">
        <w:t>egulatory review and reform</w:t>
      </w:r>
    </w:p>
    <w:p w14:paraId="0BF7DD20" w14:textId="77777777" w:rsidR="00A03B91" w:rsidRPr="00B53F89" w:rsidRDefault="001A47A9" w:rsidP="002111ED">
      <w:pPr>
        <w:pStyle w:val="ListBullet"/>
        <w:ind w:left="284" w:hanging="284"/>
      </w:pPr>
      <w:r w:rsidRPr="00B53F89">
        <w:t>l</w:t>
      </w:r>
      <w:r w:rsidR="00A03B91" w:rsidRPr="00B53F89">
        <w:t>icensing</w:t>
      </w:r>
    </w:p>
    <w:p w14:paraId="3EEADA15" w14:textId="77777777" w:rsidR="00A03B91" w:rsidRPr="00B53F89" w:rsidRDefault="001A47A9" w:rsidP="002111ED">
      <w:pPr>
        <w:pStyle w:val="ListBullet"/>
        <w:ind w:left="284" w:hanging="284"/>
      </w:pPr>
      <w:r w:rsidRPr="00B53F89">
        <w:t>p</w:t>
      </w:r>
      <w:r w:rsidR="00A03B91" w:rsidRPr="00B53F89">
        <w:t xml:space="preserve">ricing </w:t>
      </w:r>
    </w:p>
    <w:p w14:paraId="52BD4014" w14:textId="613FC5E9" w:rsidR="009A117B" w:rsidRPr="00B53F89" w:rsidRDefault="001A47A9" w:rsidP="002111ED">
      <w:pPr>
        <w:pStyle w:val="ListBulletLast"/>
        <w:ind w:left="284" w:hanging="284"/>
      </w:pPr>
      <w:r w:rsidRPr="00B53F89">
        <w:t>c</w:t>
      </w:r>
      <w:r w:rsidR="009A117B" w:rsidRPr="00B53F89">
        <w:t>ompliance and enforcement</w:t>
      </w:r>
      <w:r w:rsidR="00987287" w:rsidRPr="00B53F89">
        <w:t>.</w:t>
      </w:r>
    </w:p>
    <w:p w14:paraId="5051FE8B" w14:textId="240132BB" w:rsidR="009414DF" w:rsidRPr="00B53F89" w:rsidRDefault="002C689F" w:rsidP="00D7755E">
      <w:r w:rsidRPr="00B53F89">
        <w:t>The planned milestones,</w:t>
      </w:r>
      <w:r w:rsidRPr="00B53F89" w:rsidDel="004F00F6">
        <w:t xml:space="preserve"> </w:t>
      </w:r>
      <w:r w:rsidR="004F00F6" w:rsidRPr="00B53F89">
        <w:t xml:space="preserve">including </w:t>
      </w:r>
      <w:r w:rsidRPr="00B53F89">
        <w:t>those relating to 20</w:t>
      </w:r>
      <w:r w:rsidR="00A43006" w:rsidRPr="00B53F89">
        <w:t>19</w:t>
      </w:r>
      <w:r w:rsidR="005435F9" w:rsidRPr="00B53F89">
        <w:t>–</w:t>
      </w:r>
      <w:r w:rsidR="00A43006" w:rsidRPr="00B53F89">
        <w:t>20</w:t>
      </w:r>
      <w:r w:rsidRPr="00B53F89">
        <w:t>, are subject to change. The ACMA</w:t>
      </w:r>
      <w:r w:rsidRPr="00B53F89" w:rsidDel="009414DF">
        <w:t xml:space="preserve"> </w:t>
      </w:r>
      <w:r w:rsidR="009414DF" w:rsidRPr="00B53F89">
        <w:t>is</w:t>
      </w:r>
      <w:r w:rsidR="00BE2C02" w:rsidRPr="00B53F89">
        <w:t xml:space="preserve"> </w:t>
      </w:r>
      <w:r w:rsidR="009414DF" w:rsidRPr="00B53F89">
        <w:t>continually monitoring factors that may impact spectrum management including any</w:t>
      </w:r>
      <w:r w:rsidR="00BE2C02" w:rsidRPr="00B53F89">
        <w:t xml:space="preserve"> </w:t>
      </w:r>
      <w:r w:rsidR="009414DF" w:rsidRPr="00B53F89">
        <w:t>short-term</w:t>
      </w:r>
      <w:r w:rsidR="00BE2C02" w:rsidRPr="00B53F89">
        <w:t xml:space="preserve"> changes in spectr</w:t>
      </w:r>
      <w:r w:rsidR="009414DF" w:rsidRPr="00B53F89">
        <w:t xml:space="preserve">um demand, technological developments, government priorities and available resourcing. </w:t>
      </w:r>
    </w:p>
    <w:p w14:paraId="3A10A4C6" w14:textId="003400F9" w:rsidR="002C689F" w:rsidRPr="00B53F89" w:rsidRDefault="009414DF" w:rsidP="00D7755E">
      <w:r w:rsidRPr="00B53F89">
        <w:t xml:space="preserve">The ACMA </w:t>
      </w:r>
      <w:r w:rsidR="003E4159" w:rsidRPr="00B53F89">
        <w:t>is also working with DoCA to consider</w:t>
      </w:r>
      <w:r w:rsidR="00B523A3" w:rsidRPr="00B53F89">
        <w:t xml:space="preserve"> potential</w:t>
      </w:r>
      <w:r w:rsidRPr="00B53F89">
        <w:t xml:space="preserve"> </w:t>
      </w:r>
      <w:r w:rsidR="00B523A3" w:rsidRPr="00B53F89">
        <w:t xml:space="preserve">changes to </w:t>
      </w:r>
      <w:r w:rsidR="002C689F" w:rsidRPr="00B53F89">
        <w:t>spectrum management legislation</w:t>
      </w:r>
      <w:r w:rsidR="00387C46" w:rsidRPr="00B53F89">
        <w:t xml:space="preserve">. </w:t>
      </w:r>
      <w:r w:rsidR="002C689F" w:rsidRPr="00B53F89">
        <w:t xml:space="preserve">As </w:t>
      </w:r>
      <w:r w:rsidR="00B523A3" w:rsidRPr="00B53F89">
        <w:t xml:space="preserve">any changes to </w:t>
      </w:r>
      <w:r w:rsidR="002C689F" w:rsidRPr="00B53F89">
        <w:t xml:space="preserve">legislation </w:t>
      </w:r>
      <w:r w:rsidR="00B523A3" w:rsidRPr="00B53F89">
        <w:t xml:space="preserve">are </w:t>
      </w:r>
      <w:r w:rsidR="002C689F" w:rsidRPr="00B53F89">
        <w:t>settled, the timing and nature of the ACMA’s responsibilities will become clearer and may affect other milestones.</w:t>
      </w:r>
    </w:p>
    <w:p w14:paraId="0BF42631" w14:textId="3DD7F167" w:rsidR="00BE2C02" w:rsidRPr="00B53F89" w:rsidRDefault="00BE2C02" w:rsidP="00DE694D">
      <w:pPr>
        <w:pStyle w:val="Heading2"/>
        <w:keepNext w:val="0"/>
      </w:pPr>
      <w:bookmarkStart w:id="191" w:name="_Toc18505510"/>
      <w:r w:rsidRPr="00B53F89">
        <w:t>Priorities and resources</w:t>
      </w:r>
      <w:bookmarkEnd w:id="191"/>
    </w:p>
    <w:p w14:paraId="2B8E0A7C" w14:textId="4B1BBABB" w:rsidR="00F029CD" w:rsidRPr="00B53F89" w:rsidRDefault="00051696" w:rsidP="00E26672">
      <w:r w:rsidRPr="00B53F89">
        <w:t>T</w:t>
      </w:r>
      <w:r w:rsidR="00F029CD" w:rsidRPr="00B53F89">
        <w:t>here</w:t>
      </w:r>
      <w:r w:rsidRPr="00B53F89">
        <w:t xml:space="preserve"> remains a continued</w:t>
      </w:r>
      <w:r w:rsidR="00F029CD" w:rsidRPr="00B53F89">
        <w:t xml:space="preserve"> demand for more activity from the ACMA than can be accommodated within our finite resources.</w:t>
      </w:r>
    </w:p>
    <w:p w14:paraId="033506A0" w14:textId="1C3FED34" w:rsidR="00F029CD" w:rsidRPr="00B53F89" w:rsidRDefault="00F029CD" w:rsidP="002111ED">
      <w:r w:rsidRPr="00B53F89">
        <w:t xml:space="preserve">In responding to suggestions </w:t>
      </w:r>
      <w:r w:rsidR="007F5626" w:rsidRPr="00B53F89">
        <w:t xml:space="preserve">about revising </w:t>
      </w:r>
      <w:r w:rsidRPr="00B53F89">
        <w:t xml:space="preserve">our spectrum management priorities, the ACMA </w:t>
      </w:r>
      <w:r w:rsidR="00BE2C02" w:rsidRPr="00B53F89">
        <w:t>considers</w:t>
      </w:r>
      <w:r w:rsidRPr="00B53F89">
        <w:t xml:space="preserve"> a range of relevant considerations</w:t>
      </w:r>
      <w:r w:rsidR="00315B33" w:rsidRPr="00B53F89">
        <w:t>,</w:t>
      </w:r>
      <w:r w:rsidRPr="00B53F89">
        <w:t xml:space="preserve"> including:</w:t>
      </w:r>
    </w:p>
    <w:p w14:paraId="244BD7DB" w14:textId="77777777" w:rsidR="00585DA3" w:rsidRPr="00B53F89" w:rsidRDefault="00A76060" w:rsidP="002111ED">
      <w:pPr>
        <w:pStyle w:val="ListBullet"/>
        <w:keepNext w:val="0"/>
        <w:keepLines w:val="0"/>
        <w:ind w:left="284" w:hanging="284"/>
      </w:pPr>
      <w:r w:rsidRPr="00B53F89">
        <w:t xml:space="preserve">maximising the efficient allocation and use of </w:t>
      </w:r>
      <w:r w:rsidR="00585DA3" w:rsidRPr="00B53F89">
        <w:t>radiofrequency spectrum</w:t>
      </w:r>
    </w:p>
    <w:p w14:paraId="0CA4BB17" w14:textId="0B1FC67F" w:rsidR="00F029CD" w:rsidRPr="00B53F89" w:rsidRDefault="00F029CD" w:rsidP="002111ED">
      <w:pPr>
        <w:pStyle w:val="ListBullet"/>
        <w:keepNext w:val="0"/>
        <w:keepLines w:val="0"/>
        <w:ind w:left="284" w:hanging="284"/>
      </w:pPr>
      <w:r w:rsidRPr="00B53F89">
        <w:t>changes in the development, availability and take-up of radiofrequency technologies</w:t>
      </w:r>
      <w:r w:rsidR="00585DA3" w:rsidRPr="00B53F89">
        <w:t>, both in Australia and internationally</w:t>
      </w:r>
    </w:p>
    <w:p w14:paraId="62EF9F79" w14:textId="451524A7" w:rsidR="009414DF" w:rsidRPr="00B53F89" w:rsidRDefault="00585DA3" w:rsidP="002111ED">
      <w:pPr>
        <w:pStyle w:val="ListBullet"/>
        <w:keepNext w:val="0"/>
        <w:keepLines w:val="0"/>
        <w:ind w:left="284" w:hanging="284"/>
      </w:pPr>
      <w:r w:rsidRPr="00B53F89">
        <w:t xml:space="preserve">spectrum management trends, including through the four-yearly </w:t>
      </w:r>
      <w:r w:rsidR="00AA45B0" w:rsidRPr="00B53F89">
        <w:t xml:space="preserve">ITU-R </w:t>
      </w:r>
      <w:r w:rsidR="001C517F" w:rsidRPr="00B53F89">
        <w:t xml:space="preserve">WRC </w:t>
      </w:r>
      <w:r w:rsidRPr="00B53F89">
        <w:t>process</w:t>
      </w:r>
    </w:p>
    <w:p w14:paraId="0A63B2AF" w14:textId="54DCCBE9" w:rsidR="009414DF" w:rsidRPr="00B53F89" w:rsidRDefault="00BD36DA" w:rsidP="002111ED">
      <w:pPr>
        <w:pStyle w:val="ListBullet"/>
        <w:keepNext w:val="0"/>
        <w:keepLines w:val="0"/>
        <w:ind w:left="284" w:hanging="284"/>
      </w:pPr>
      <w:r w:rsidRPr="00B53F89">
        <w:t>the least cost and least restrictive approach to achieve policy objectives</w:t>
      </w:r>
      <w:r w:rsidR="00315B33" w:rsidRPr="00B53F89">
        <w:t>.</w:t>
      </w:r>
    </w:p>
    <w:p w14:paraId="3B062E8A" w14:textId="773447B6" w:rsidR="00C6573A" w:rsidRPr="00B53F89" w:rsidRDefault="00C6573A" w:rsidP="00FA7446">
      <w:pPr>
        <w:keepNext/>
        <w:pageBreakBefore/>
        <w:spacing w:after="0"/>
      </w:pPr>
      <w:r w:rsidRPr="006A2F04">
        <w:rPr>
          <w:noProof/>
        </w:rPr>
        <w:lastRenderedPageBreak/>
        <w:drawing>
          <wp:inline distT="0" distB="0" distL="0" distR="0" wp14:anchorId="2BAFFA51" wp14:editId="1922D02B">
            <wp:extent cx="342900" cy="361950"/>
            <wp:effectExtent l="0" t="0" r="0" b="0"/>
            <wp:docPr id="27" name="Picture 27"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2FB14691" w14:textId="77777777" w:rsidR="00961E3F" w:rsidRPr="00B53F89" w:rsidRDefault="00961E3F" w:rsidP="00FA7446">
      <w:pPr>
        <w:pStyle w:val="Heading1"/>
        <w:pageBreakBefore w:val="0"/>
        <w:spacing w:before="60"/>
      </w:pPr>
      <w:bookmarkStart w:id="192" w:name="_Toc18505511"/>
      <w:r w:rsidRPr="00B53F89">
        <w:t>International engagement</w:t>
      </w:r>
      <w:bookmarkEnd w:id="192"/>
    </w:p>
    <w:p w14:paraId="3EED080F" w14:textId="77777777" w:rsidR="00961E3F" w:rsidRPr="00B53F89" w:rsidRDefault="00961E3F">
      <w:r w:rsidRPr="00B53F89">
        <w:t xml:space="preserve">The ACMA, DoCA, Australian industry and government stakeholders participate in international radiocommunications forums to promote and protect Australian interests in spectrum management, including spectrum harmonisation and international frequency coordination. </w:t>
      </w:r>
    </w:p>
    <w:p w14:paraId="72D56326" w14:textId="17D99235" w:rsidR="00BE7323" w:rsidRPr="00B53F89" w:rsidRDefault="00961E3F" w:rsidP="00D7755E">
      <w:bookmarkStart w:id="193" w:name="_Hlk2352723"/>
      <w:r w:rsidRPr="00B53F89">
        <w:t xml:space="preserve">The peak international forum is the International Telecommunication Union’s (ITU) WRC, which reviews and revises the </w:t>
      </w:r>
      <w:r w:rsidR="00262A29" w:rsidRPr="00B53F89">
        <w:t>RRs</w:t>
      </w:r>
      <w:r w:rsidRPr="00B53F89">
        <w:t xml:space="preserve">, the international treaty </w:t>
      </w:r>
      <w:r w:rsidR="00703070" w:rsidRPr="00B53F89">
        <w:t>level document</w:t>
      </w:r>
      <w:r w:rsidRPr="00B53F89">
        <w:t xml:space="preserve"> regarding use of the spectrum and satellite orbits</w:t>
      </w:r>
      <w:bookmarkEnd w:id="193"/>
      <w:r w:rsidRPr="00B53F89">
        <w:t xml:space="preserve">. </w:t>
      </w:r>
    </w:p>
    <w:p w14:paraId="265B0A0F" w14:textId="00077737" w:rsidR="00961E3F" w:rsidRPr="00B53F89" w:rsidRDefault="00961E3F">
      <w:r w:rsidRPr="00B53F89">
        <w:t>The next WRC will be held from 28 October–22 November 2019 (WRC-19) in Sharm El-Sheik</w:t>
      </w:r>
      <w:r w:rsidR="004A4E78" w:rsidRPr="00B53F89">
        <w:t>h</w:t>
      </w:r>
      <w:r w:rsidRPr="00B53F89">
        <w:t xml:space="preserve">, Egypt. WRC-19 will consider a large agenda concerning a range of new frequency allocation and procedural matters, including possible allocations for satellite services and identification of spectrum suitable for 5G services. </w:t>
      </w:r>
      <w:r w:rsidR="0050338D" w:rsidRPr="00B53F89">
        <w:t xml:space="preserve">DoCA will lead the </w:t>
      </w:r>
      <w:r w:rsidRPr="00B53F89">
        <w:t xml:space="preserve">Australian preparatory processes and Australian delegation to this meeting, </w:t>
      </w:r>
      <w:r w:rsidR="00262A29" w:rsidRPr="00B53F89">
        <w:t xml:space="preserve">including Asia-Pacific region and international preparation meetings, </w:t>
      </w:r>
      <w:r w:rsidRPr="00B53F89">
        <w:t>with the ACMA providing technical expertise.</w:t>
      </w:r>
    </w:p>
    <w:p w14:paraId="0D9D966D" w14:textId="5F06E9B7" w:rsidR="00961E3F" w:rsidRPr="00B53F89" w:rsidRDefault="0050338D">
      <w:r w:rsidRPr="00B53F89">
        <w:t>O</w:t>
      </w:r>
      <w:r w:rsidR="00961E3F" w:rsidRPr="00B53F89">
        <w:t xml:space="preserve">ther forums within the ITU and regionally within the </w:t>
      </w:r>
      <w:r w:rsidR="00D25B7C" w:rsidRPr="00B53F89">
        <w:t>Asia-Pacific Telecommunity (</w:t>
      </w:r>
      <w:r w:rsidR="00961E3F" w:rsidRPr="00B53F89">
        <w:t>APT</w:t>
      </w:r>
      <w:r w:rsidR="00D25B7C" w:rsidRPr="00B53F89">
        <w:t>)</w:t>
      </w:r>
      <w:r w:rsidR="00961E3F" w:rsidRPr="00B53F89">
        <w:t xml:space="preserve"> consider issues with a technical focus that are of significance to Australian spectrum management, </w:t>
      </w:r>
      <w:r w:rsidRPr="00B53F89">
        <w:t>including</w:t>
      </w:r>
      <w:r w:rsidR="00961E3F" w:rsidRPr="00B53F89">
        <w:t xml:space="preserve"> ITU-R </w:t>
      </w:r>
      <w:r w:rsidR="003973CB" w:rsidRPr="00B53F89">
        <w:t xml:space="preserve">study groups </w:t>
      </w:r>
      <w:r w:rsidR="00961E3F" w:rsidRPr="00B53F89">
        <w:t xml:space="preserve">and </w:t>
      </w:r>
      <w:r w:rsidR="003973CB" w:rsidRPr="00B53F89">
        <w:t>w</w:t>
      </w:r>
      <w:r w:rsidR="00961E3F" w:rsidRPr="00B53F89">
        <w:t xml:space="preserve">orking </w:t>
      </w:r>
      <w:r w:rsidR="003973CB" w:rsidRPr="00B53F89">
        <w:t>p</w:t>
      </w:r>
      <w:r w:rsidR="00961E3F" w:rsidRPr="00B53F89">
        <w:t>arties, and the APT Wireless Group (AWG). The ACMA manages Australian input and participation in these meetings in consultation with DoCA and industry.</w:t>
      </w:r>
    </w:p>
    <w:p w14:paraId="71A0972E" w14:textId="1C10C834" w:rsidR="00961E3F" w:rsidRPr="00B53F89" w:rsidRDefault="00DA3C27">
      <w:r w:rsidRPr="00B53F89">
        <w:t>T</w:t>
      </w:r>
      <w:r w:rsidR="00961E3F" w:rsidRPr="00B53F89">
        <w:t>he ACMA</w:t>
      </w:r>
      <w:r w:rsidRPr="00B53F89">
        <w:t xml:space="preserve"> also</w:t>
      </w:r>
      <w:r w:rsidR="00961E3F" w:rsidRPr="00B53F89">
        <w:t xml:space="preserve"> undertakes informal bilateral and multilateral engagement with peer regulators from around the world. This engagement is invaluable in coordinating international activities and sharing information from other spectrum managers on issues of common interest. </w:t>
      </w:r>
    </w:p>
    <w:p w14:paraId="38D4B9C5" w14:textId="7180AB24" w:rsidR="00961E3F" w:rsidRPr="00B53F89" w:rsidRDefault="00961E3F" w:rsidP="002111ED">
      <w:pPr>
        <w:pStyle w:val="Heading2"/>
        <w:numPr>
          <w:ilvl w:val="0"/>
          <w:numId w:val="155"/>
        </w:numPr>
        <w:tabs>
          <w:tab w:val="clear" w:pos="720"/>
          <w:tab w:val="num" w:pos="284"/>
          <w:tab w:val="num" w:pos="567"/>
        </w:tabs>
        <w:ind w:left="0" w:firstLine="0"/>
      </w:pPr>
      <w:bookmarkStart w:id="194" w:name="_Toc18505512"/>
      <w:r w:rsidRPr="00B53F89">
        <w:t xml:space="preserve">International </w:t>
      </w:r>
      <w:r w:rsidR="00DE14D6" w:rsidRPr="00B53F89">
        <w:t>m</w:t>
      </w:r>
      <w:r w:rsidRPr="00B53F89">
        <w:t>eetings 2018</w:t>
      </w:r>
      <w:r w:rsidR="0050338D" w:rsidRPr="00B53F89">
        <w:t>–</w:t>
      </w:r>
      <w:r w:rsidRPr="00B53F89">
        <w:t>19</w:t>
      </w:r>
      <w:bookmarkEnd w:id="194"/>
    </w:p>
    <w:p w14:paraId="53E7905C" w14:textId="38511089" w:rsidR="00961E3F" w:rsidRPr="00B53F89" w:rsidRDefault="00961E3F">
      <w:r w:rsidRPr="00B53F89">
        <w:t>ACMA staff headed delegations to</w:t>
      </w:r>
      <w:r w:rsidR="00262A29" w:rsidRPr="00B53F89">
        <w:t xml:space="preserve"> several</w:t>
      </w:r>
      <w:r w:rsidRPr="00B53F89">
        <w:t xml:space="preserve"> </w:t>
      </w:r>
      <w:r w:rsidRPr="00B53F89" w:rsidDel="0050338D">
        <w:t>ITU</w:t>
      </w:r>
      <w:r w:rsidRPr="00B53F89">
        <w:noBreakHyphen/>
        <w:t xml:space="preserve">R meetings during 2018–19, including meetings of Task Group 5/1 and Study Groups 4 and 5 and their associated </w:t>
      </w:r>
      <w:r w:rsidR="003973CB" w:rsidRPr="00B53F89">
        <w:t>w</w:t>
      </w:r>
      <w:r w:rsidRPr="00B53F89">
        <w:t xml:space="preserve">orking </w:t>
      </w:r>
      <w:r w:rsidR="003973CB" w:rsidRPr="00B53F89">
        <w:t>parties</w:t>
      </w:r>
      <w:r w:rsidRPr="00B53F89">
        <w:t>, and regional AWG meetings. The ACMA also supported industry</w:t>
      </w:r>
      <w:r w:rsidR="00320D78" w:rsidRPr="00B53F89">
        <w:t>-</w:t>
      </w:r>
      <w:r w:rsidRPr="00B53F89">
        <w:t xml:space="preserve">led Australian delegations to ITU-R Study Groups 3, 6 and 7 and their associated </w:t>
      </w:r>
      <w:r w:rsidR="003973CB" w:rsidRPr="00B53F89">
        <w:t>w</w:t>
      </w:r>
      <w:r w:rsidRPr="00B53F89">
        <w:t xml:space="preserve">orking </w:t>
      </w:r>
      <w:r w:rsidR="003973CB" w:rsidRPr="00B53F89">
        <w:t>parties</w:t>
      </w:r>
      <w:r w:rsidRPr="00B53F89">
        <w:t>.</w:t>
      </w:r>
    </w:p>
    <w:p w14:paraId="3196BC75" w14:textId="73496A88" w:rsidR="00BE7323" w:rsidRPr="00B53F89" w:rsidRDefault="00961E3F" w:rsidP="00D7755E">
      <w:bookmarkStart w:id="195" w:name="_Hlk18394144"/>
      <w:bookmarkStart w:id="196" w:name="_Hlk16254818"/>
      <w:r w:rsidRPr="00B53F89">
        <w:t>The ACMA supported DoCA by providing the Deputy Head of Delegation</w:t>
      </w:r>
      <w:r w:rsidR="00124232" w:rsidRPr="00B53F89">
        <w:t xml:space="preserve"> (and other delegates with subject matter expertise)</w:t>
      </w:r>
      <w:r w:rsidRPr="00B53F89">
        <w:t xml:space="preserve"> to the fourth</w:t>
      </w:r>
      <w:r w:rsidR="00124232" w:rsidRPr="00B53F89">
        <w:t xml:space="preserve"> and fifth</w:t>
      </w:r>
      <w:r w:rsidRPr="00B53F89">
        <w:t xml:space="preserve"> meeting</w:t>
      </w:r>
      <w:r w:rsidR="00124232" w:rsidRPr="00B53F89">
        <w:t>s</w:t>
      </w:r>
      <w:r w:rsidRPr="00B53F89">
        <w:t xml:space="preserve"> of the </w:t>
      </w:r>
      <w:r w:rsidR="00876A2C" w:rsidRPr="00B53F89">
        <w:rPr>
          <w:rFonts w:cs="Arial"/>
          <w:szCs w:val="20"/>
        </w:rPr>
        <w:t>APT Conference Preparatory Group (Asia Pacific) (</w:t>
      </w:r>
      <w:r w:rsidRPr="00B53F89">
        <w:t>APG19</w:t>
      </w:r>
      <w:r w:rsidR="00876A2C" w:rsidRPr="00B53F89">
        <w:t>)</w:t>
      </w:r>
      <w:r w:rsidR="00124232" w:rsidRPr="00B53F89">
        <w:t>, with</w:t>
      </w:r>
      <w:r w:rsidRPr="00B53F89">
        <w:t xml:space="preserve"> APG19-4 held from 7</w:t>
      </w:r>
      <w:r w:rsidR="0050338D" w:rsidRPr="00B53F89">
        <w:t>–</w:t>
      </w:r>
      <w:r w:rsidRPr="00B53F89">
        <w:t xml:space="preserve">12 January 2019 in Busan, </w:t>
      </w:r>
      <w:r w:rsidR="000934ED" w:rsidRPr="00B53F89">
        <w:t>Republic of Korea (</w:t>
      </w:r>
      <w:r w:rsidR="002B1D8F" w:rsidRPr="00B53F89">
        <w:t xml:space="preserve">South </w:t>
      </w:r>
      <w:r w:rsidRPr="00B53F89">
        <w:t>Korea</w:t>
      </w:r>
      <w:r w:rsidR="000934ED" w:rsidRPr="00B53F89">
        <w:t>)</w:t>
      </w:r>
      <w:r w:rsidR="00124232" w:rsidRPr="00B53F89">
        <w:t xml:space="preserve"> and APG19-5 held from 31 July</w:t>
      </w:r>
      <w:r w:rsidR="003B6D5F">
        <w:t>–</w:t>
      </w:r>
      <w:r w:rsidR="00124232" w:rsidRPr="00B53F89">
        <w:t>6 August 2019 in Tokyo, Japan</w:t>
      </w:r>
      <w:r w:rsidRPr="00B53F89">
        <w:t xml:space="preserve">. </w:t>
      </w:r>
      <w:bookmarkEnd w:id="195"/>
      <w:r w:rsidRPr="00B53F89">
        <w:t>Th</w:t>
      </w:r>
      <w:r w:rsidR="00124232" w:rsidRPr="00B53F89">
        <w:t>e APG19-4</w:t>
      </w:r>
      <w:r w:rsidRPr="00B53F89">
        <w:t xml:space="preserve"> meeting determined preliminary APT views in preparation for the second meeting of the Conference Preparatory Meeting</w:t>
      </w:r>
      <w:r w:rsidR="00FD5CC7" w:rsidRPr="00B53F89">
        <w:t xml:space="preserve"> (CPM)</w:t>
      </w:r>
      <w:r w:rsidRPr="00B53F89">
        <w:t xml:space="preserve"> for WRC-19 (CPM 19-2).</w:t>
      </w:r>
      <w:bookmarkEnd w:id="196"/>
      <w:r w:rsidRPr="00B53F89">
        <w:t xml:space="preserve"> </w:t>
      </w:r>
      <w:r w:rsidR="00124232" w:rsidRPr="00B53F89">
        <w:t>The APG19-5 meeting determined the final preliminary APT views in preparation for the WRC-19 in November 2019. The ACMA’s Chris Hose has also taken on the role of acting Vice Chairman of the APG to assist the Asia Pacific region’s preparation for the WRC.</w:t>
      </w:r>
    </w:p>
    <w:p w14:paraId="7599F26F" w14:textId="58916A52" w:rsidR="00961E3F" w:rsidRPr="00B53F89" w:rsidRDefault="00961E3F">
      <w:r w:rsidRPr="00B53F89">
        <w:t xml:space="preserve">The ACMA also provided </w:t>
      </w:r>
      <w:r w:rsidR="002E1793" w:rsidRPr="00B53F89">
        <w:t xml:space="preserve">staff and </w:t>
      </w:r>
      <w:r w:rsidRPr="00B53F89">
        <w:t>the Deputy Head of Delegation at CPM 19-2, which met from 18</w:t>
      </w:r>
      <w:r w:rsidR="00320D78" w:rsidRPr="00B53F89">
        <w:t>–</w:t>
      </w:r>
      <w:r w:rsidRPr="00B53F89">
        <w:t xml:space="preserve">28 February 2019 in Geneva, Switzerland, and finalised a consolidated report to WRC-19 on ITU-R </w:t>
      </w:r>
      <w:r w:rsidR="003973CB" w:rsidRPr="00B53F89">
        <w:t>p</w:t>
      </w:r>
      <w:r w:rsidRPr="00B53F89">
        <w:t xml:space="preserve">reparatory </w:t>
      </w:r>
      <w:r w:rsidR="003973CB" w:rsidRPr="00B53F89">
        <w:t xml:space="preserve">studies </w:t>
      </w:r>
      <w:r w:rsidRPr="00B53F89">
        <w:t xml:space="preserve">undertaken since 2015. The CPM </w:t>
      </w:r>
      <w:r w:rsidRPr="00B53F89">
        <w:lastRenderedPageBreak/>
        <w:t>report included possible solutions to address WRC-19 agenda items to be used in support of the work of WRC-19.</w:t>
      </w:r>
    </w:p>
    <w:p w14:paraId="7FB53E9F" w14:textId="03FE6E75" w:rsidR="005244A5" w:rsidRPr="00B53F89" w:rsidRDefault="005244A5">
      <w:r w:rsidRPr="00B53F89">
        <w:t>Developments in international band planning are being actively considered in the lead up to WRC-19, and these may have an impact on the ACMA’s spectrum management activities for 2019</w:t>
      </w:r>
      <w:r w:rsidR="00384BE2" w:rsidRPr="00B53F89">
        <w:t>–</w:t>
      </w:r>
      <w:r w:rsidRPr="00B53F89">
        <w:t xml:space="preserve">20. </w:t>
      </w:r>
    </w:p>
    <w:p w14:paraId="2DF68470" w14:textId="74D1B839" w:rsidR="00961E3F" w:rsidRPr="00B53F89" w:rsidRDefault="00961E3F" w:rsidP="0067276C">
      <w:pPr>
        <w:pStyle w:val="Heading2"/>
        <w:numPr>
          <w:ilvl w:val="0"/>
          <w:numId w:val="156"/>
        </w:numPr>
        <w:tabs>
          <w:tab w:val="num" w:pos="397"/>
        </w:tabs>
        <w:ind w:left="0" w:firstLine="0"/>
      </w:pPr>
      <w:bookmarkStart w:id="197" w:name="_Toc18505513"/>
      <w:r w:rsidRPr="00B53F89">
        <w:t>New and ongoing activities planned for 2019–20</w:t>
      </w:r>
      <w:bookmarkEnd w:id="197"/>
    </w:p>
    <w:p w14:paraId="654376C1" w14:textId="5B00FD09" w:rsidR="00961E3F" w:rsidRPr="00B53F89" w:rsidRDefault="00961E3F">
      <w:r w:rsidRPr="00B53F89">
        <w:t>The ACMA will continue to manage and provide technical expertise for Australian engagement in</w:t>
      </w:r>
      <w:r w:rsidR="00320D78" w:rsidRPr="00B53F89">
        <w:t>,</w:t>
      </w:r>
      <w:r w:rsidRPr="00B53F89">
        <w:t xml:space="preserve"> international spectrum management forums through the domestic and international consultative frameworks. </w:t>
      </w:r>
    </w:p>
    <w:p w14:paraId="6061FC54" w14:textId="072D98F4" w:rsidR="00F24C8A" w:rsidRPr="00B53F89" w:rsidRDefault="00961E3F" w:rsidP="002111ED">
      <w:r w:rsidRPr="00B53F89">
        <w:t>In addition to WRC-19</w:t>
      </w:r>
      <w:r w:rsidR="00384BE2" w:rsidRPr="00B53F89">
        <w:t>,</w:t>
      </w:r>
      <w:r w:rsidRPr="00B53F89">
        <w:t xml:space="preserve"> the ACMA will provide input into development of Australian positions for key ITU and APT radiocommunication meetings during 2019</w:t>
      </w:r>
      <w:r w:rsidR="00320D78" w:rsidRPr="00B53F89">
        <w:t>–</w:t>
      </w:r>
      <w:r w:rsidRPr="00B53F89">
        <w:t>20, such as the</w:t>
      </w:r>
      <w:r w:rsidR="00F24C8A" w:rsidRPr="00B53F89">
        <w:t>:</w:t>
      </w:r>
      <w:r w:rsidRPr="00B53F89">
        <w:t xml:space="preserve"> </w:t>
      </w:r>
    </w:p>
    <w:p w14:paraId="391FA108" w14:textId="097F2D25" w:rsidR="008C66C2" w:rsidRPr="00B53F89" w:rsidRDefault="00C8072E" w:rsidP="002111ED">
      <w:pPr>
        <w:pStyle w:val="ListBullet"/>
        <w:ind w:left="284" w:hanging="284"/>
      </w:pPr>
      <w:r w:rsidRPr="00D40D18">
        <w:t>APG19</w:t>
      </w:r>
      <w:r w:rsidR="008C66C2" w:rsidRPr="00B53F89">
        <w:t xml:space="preserve"> for WRC-19, the fifth and final meeting (31 July to 6 August 2019) (APG19-5)</w:t>
      </w:r>
      <w:r w:rsidR="00A061D5" w:rsidRPr="00B53F89">
        <w:t>—</w:t>
      </w:r>
      <w:r w:rsidR="00B20F51" w:rsidRPr="00B53F89">
        <w:t>completed</w:t>
      </w:r>
      <w:r w:rsidR="008C66C2" w:rsidRPr="00B53F89">
        <w:t xml:space="preserve"> </w:t>
      </w:r>
    </w:p>
    <w:p w14:paraId="5347C21C" w14:textId="08CB59C7" w:rsidR="00F24C8A" w:rsidRPr="00B53F89" w:rsidRDefault="00961E3F" w:rsidP="002111ED">
      <w:pPr>
        <w:pStyle w:val="ListBullet"/>
        <w:ind w:left="284" w:hanging="284"/>
      </w:pPr>
      <w:r w:rsidRPr="00B53F89">
        <w:t xml:space="preserve">ITU’s </w:t>
      </w:r>
      <w:r w:rsidRPr="007F77A0">
        <w:t>Radiocommunication</w:t>
      </w:r>
      <w:r w:rsidRPr="00B53F89">
        <w:t xml:space="preserve"> Assembly 2019 (21</w:t>
      </w:r>
      <w:r w:rsidR="003973CB" w:rsidRPr="00B53F89">
        <w:t>–</w:t>
      </w:r>
      <w:r w:rsidRPr="00B53F89">
        <w:t>25 October 2019)</w:t>
      </w:r>
    </w:p>
    <w:p w14:paraId="5C9CD18D" w14:textId="15176184" w:rsidR="00F24C8A" w:rsidRPr="00B53F89" w:rsidRDefault="00961E3F" w:rsidP="002111ED">
      <w:pPr>
        <w:pStyle w:val="ListBulletLast"/>
        <w:ind w:left="284" w:hanging="284"/>
      </w:pPr>
      <w:r w:rsidRPr="00B53F89">
        <w:t xml:space="preserve">first </w:t>
      </w:r>
      <w:r w:rsidR="00C8072E" w:rsidRPr="00B53F89">
        <w:t>CPM</w:t>
      </w:r>
      <w:r w:rsidRPr="00B53F89">
        <w:t xml:space="preserve"> for </w:t>
      </w:r>
      <w:r w:rsidRPr="00D40D18">
        <w:t>WRC</w:t>
      </w:r>
      <w:r w:rsidR="00C8072E" w:rsidRPr="00B53F89">
        <w:t>-</w:t>
      </w:r>
      <w:r w:rsidRPr="00B53F89">
        <w:t>23 (25</w:t>
      </w:r>
      <w:r w:rsidR="003973CB" w:rsidRPr="00B53F89">
        <w:t>–</w:t>
      </w:r>
      <w:r w:rsidRPr="00B53F89">
        <w:t xml:space="preserve">26 </w:t>
      </w:r>
      <w:r w:rsidRPr="00D40D18">
        <w:t>November</w:t>
      </w:r>
      <w:r w:rsidRPr="00B53F89">
        <w:t xml:space="preserve"> 2019)</w:t>
      </w:r>
      <w:r w:rsidR="00B3132A" w:rsidRPr="00B53F89">
        <w:t>.</w:t>
      </w:r>
    </w:p>
    <w:p w14:paraId="682FC18C" w14:textId="744A33C3" w:rsidR="00961E3F" w:rsidRPr="00B53F89" w:rsidRDefault="00961E3F">
      <w:r w:rsidRPr="00B53F89">
        <w:t>DoCA will lead the delegation to these meetings with the ACMA closely involved in supporting Australian preparatory processes and providing technical expertise.</w:t>
      </w:r>
    </w:p>
    <w:p w14:paraId="0B21063B" w14:textId="5135A019" w:rsidR="00961E3F" w:rsidRPr="00B53F89" w:rsidRDefault="00961E3F">
      <w:r w:rsidRPr="00B53F89">
        <w:t xml:space="preserve">Supporting these meetings will require significant </w:t>
      </w:r>
      <w:r w:rsidR="00FA13BB" w:rsidRPr="00B53F89">
        <w:t xml:space="preserve">input </w:t>
      </w:r>
      <w:r w:rsidRPr="00B53F89">
        <w:t xml:space="preserve">from ACMA </w:t>
      </w:r>
      <w:r w:rsidR="00FA13BB" w:rsidRPr="00B53F89">
        <w:t xml:space="preserve">planning and </w:t>
      </w:r>
      <w:r w:rsidRPr="00B53F89">
        <w:t xml:space="preserve">engineering </w:t>
      </w:r>
      <w:r w:rsidR="00FA13BB" w:rsidRPr="00B53F89">
        <w:t xml:space="preserve">staff </w:t>
      </w:r>
      <w:r w:rsidRPr="00B53F89">
        <w:t>and will be a priority for the ACMA in 2019</w:t>
      </w:r>
      <w:r w:rsidR="00320D78" w:rsidRPr="00B53F89">
        <w:t>–</w:t>
      </w:r>
      <w:r w:rsidRPr="00B53F89">
        <w:t>20.</w:t>
      </w:r>
    </w:p>
    <w:p w14:paraId="400DCF75" w14:textId="3D04C445" w:rsidR="00961E3F" w:rsidRPr="00B53F89" w:rsidRDefault="00961E3F">
      <w:r w:rsidRPr="00B53F89">
        <w:t>Australia participate</w:t>
      </w:r>
      <w:r w:rsidR="00EC5D59" w:rsidRPr="00B53F89">
        <w:t>d</w:t>
      </w:r>
      <w:r w:rsidRPr="00B53F89">
        <w:t xml:space="preserve"> in other </w:t>
      </w:r>
      <w:r w:rsidR="00EC5D59" w:rsidRPr="00B53F89">
        <w:t xml:space="preserve">recent </w:t>
      </w:r>
      <w:r w:rsidRPr="00B53F89">
        <w:t>ITU-R and A</w:t>
      </w:r>
      <w:r w:rsidR="00D11951" w:rsidRPr="00B53F89">
        <w:t>PT</w:t>
      </w:r>
      <w:r w:rsidRPr="00B53F89">
        <w:t xml:space="preserve"> forums, </w:t>
      </w:r>
      <w:r w:rsidR="00EC5D59" w:rsidRPr="00B53F89">
        <w:t>including</w:t>
      </w:r>
      <w:r w:rsidR="0064598B" w:rsidRPr="00B53F89">
        <w:t xml:space="preserve"> the 25th meeting of the </w:t>
      </w:r>
      <w:r w:rsidR="00C8072E" w:rsidRPr="00B53F89">
        <w:t>AWG</w:t>
      </w:r>
      <w:r w:rsidR="0064598B" w:rsidRPr="00B53F89">
        <w:t xml:space="preserve"> (1</w:t>
      </w:r>
      <w:r w:rsidR="001D3B96" w:rsidRPr="00B53F89">
        <w:t>–</w:t>
      </w:r>
      <w:r w:rsidR="0064598B" w:rsidRPr="00B53F89">
        <w:t xml:space="preserve">5 July 2019) and the meetings of ITU-R Working Parties 4A, 4B and </w:t>
      </w:r>
      <w:r w:rsidR="00206A1E" w:rsidRPr="00B53F89">
        <w:t>4</w:t>
      </w:r>
      <w:r w:rsidR="0064598B" w:rsidRPr="00B53F89">
        <w:t>C (19</w:t>
      </w:r>
      <w:r w:rsidR="001D3B96" w:rsidRPr="00B53F89">
        <w:t xml:space="preserve"> </w:t>
      </w:r>
      <w:r w:rsidR="0064598B" w:rsidRPr="00B53F89">
        <w:t xml:space="preserve">June </w:t>
      </w:r>
      <w:r w:rsidR="00DF0112" w:rsidRPr="00B53F89">
        <w:t>to</w:t>
      </w:r>
      <w:r w:rsidR="0064598B" w:rsidRPr="00B53F89">
        <w:t xml:space="preserve"> 4 July 2019)</w:t>
      </w:r>
      <w:r w:rsidRPr="00B53F89">
        <w:t xml:space="preserve">. </w:t>
      </w:r>
    </w:p>
    <w:p w14:paraId="6AE47968" w14:textId="6C3A9728" w:rsidR="00CF322E" w:rsidRPr="00B53F89" w:rsidRDefault="00CF322E" w:rsidP="00D7755E">
      <w:pPr>
        <w:pStyle w:val="Heading1"/>
      </w:pPr>
      <w:bookmarkStart w:id="198" w:name="_Toc510104942"/>
      <w:bookmarkStart w:id="199" w:name="_Toc510105739"/>
      <w:bookmarkStart w:id="200" w:name="_Toc510795076"/>
      <w:bookmarkStart w:id="201" w:name="_Toc511716278"/>
      <w:bookmarkStart w:id="202" w:name="_Toc511719089"/>
      <w:bookmarkStart w:id="203" w:name="_Toc522794084"/>
      <w:bookmarkStart w:id="204" w:name="_Toc18505514"/>
      <w:bookmarkStart w:id="205" w:name="_Toc491854085"/>
      <w:bookmarkStart w:id="206" w:name="_Toc494115131"/>
      <w:bookmarkStart w:id="207" w:name="_Toc496624990"/>
      <w:bookmarkStart w:id="208" w:name="_Toc509581812"/>
      <w:bookmarkStart w:id="209" w:name="_Toc509585128"/>
      <w:bookmarkStart w:id="210" w:name="_Toc509585664"/>
      <w:r w:rsidRPr="00B53F89">
        <w:lastRenderedPageBreak/>
        <w:t>Planning</w:t>
      </w:r>
      <w:bookmarkEnd w:id="198"/>
      <w:bookmarkEnd w:id="199"/>
      <w:bookmarkEnd w:id="200"/>
      <w:bookmarkEnd w:id="201"/>
      <w:bookmarkEnd w:id="202"/>
      <w:bookmarkEnd w:id="203"/>
      <w:bookmarkEnd w:id="204"/>
    </w:p>
    <w:p w14:paraId="02FA4223" w14:textId="168EA7B9" w:rsidR="00CC5C65" w:rsidRPr="00B53F89" w:rsidRDefault="00CC5C65" w:rsidP="00D7755E">
      <w:bookmarkStart w:id="211" w:name="_Hlk2352813"/>
      <w:r w:rsidRPr="00B53F89">
        <w:t>Planning is informed by</w:t>
      </w:r>
      <w:r w:rsidRPr="00B53F89" w:rsidDel="00A56174">
        <w:t xml:space="preserve"> </w:t>
      </w:r>
      <w:r w:rsidRPr="00B53F89">
        <w:t xml:space="preserve">domestic and international </w:t>
      </w:r>
      <w:r w:rsidR="00703070" w:rsidRPr="00B53F89">
        <w:t>trends in</w:t>
      </w:r>
      <w:r w:rsidRPr="00B53F89">
        <w:t xml:space="preserve"> spectrum uses, developments in international spectrum harmonisation and technology standardisation, and evolution of communications technology. </w:t>
      </w:r>
    </w:p>
    <w:bookmarkEnd w:id="211"/>
    <w:p w14:paraId="5F3B152E" w14:textId="410944CC" w:rsidR="00CC5C65" w:rsidRPr="00B53F89" w:rsidRDefault="008A199D" w:rsidP="00D7755E">
      <w:r w:rsidRPr="00B53F89">
        <w:t xml:space="preserve">The ACMA aims to optimise planning arrangements in each band for the use or uses that maximise the overall public benefit. </w:t>
      </w:r>
      <w:r w:rsidR="009079DD" w:rsidRPr="00B53F89">
        <w:t xml:space="preserve">These </w:t>
      </w:r>
      <w:r w:rsidRPr="00B53F89">
        <w:t xml:space="preserve">arrangements </w:t>
      </w:r>
      <w:r w:rsidR="009079DD" w:rsidRPr="00B53F89">
        <w:t>aim to allow</w:t>
      </w:r>
      <w:r w:rsidRPr="00B53F89">
        <w:t xml:space="preserve"> the allocation (or movement) of spectrum to users with no, or minimal, further regulatory intervention, and may remain stable over long periods of time. </w:t>
      </w:r>
    </w:p>
    <w:p w14:paraId="0DC0E55C" w14:textId="5981568B" w:rsidR="009079DD" w:rsidRPr="00B53F89" w:rsidRDefault="009079DD" w:rsidP="00D7755E">
      <w:r w:rsidRPr="00B53F89">
        <w:t>However, w</w:t>
      </w:r>
      <w:r w:rsidR="008A199D" w:rsidRPr="00B53F89">
        <w:t xml:space="preserve">here there is evidence of </w:t>
      </w:r>
      <w:r w:rsidR="00FB2521" w:rsidRPr="00B53F89">
        <w:t xml:space="preserve">changing </w:t>
      </w:r>
      <w:r w:rsidR="008A199D" w:rsidRPr="00B53F89">
        <w:t>optimal use, the ACMA may identify a net public benefit in the band moving to a new or changed use</w:t>
      </w:r>
      <w:r w:rsidRPr="00B53F89">
        <w:t xml:space="preserve"> or</w:t>
      </w:r>
      <w:r w:rsidR="008A199D" w:rsidRPr="00B53F89">
        <w:t xml:space="preserve"> being reconfigured to better support an existing use. </w:t>
      </w:r>
    </w:p>
    <w:p w14:paraId="117F58EC" w14:textId="75A19879" w:rsidR="008A199D" w:rsidRPr="00B53F89" w:rsidRDefault="008A199D" w:rsidP="00D7755E">
      <w:r w:rsidRPr="00B53F89">
        <w:t>Consulting where appropriate with existing and future users, the ACMA will then consider how best to accommodate additional uses or users within the available spectrum.</w:t>
      </w:r>
      <w:r w:rsidR="00466A9E" w:rsidRPr="00B53F89">
        <w:t xml:space="preserve"> </w:t>
      </w:r>
      <w:r w:rsidR="00CC09F5" w:rsidRPr="00B53F89">
        <w:t xml:space="preserve">In considering replanning options, the ACMA will </w:t>
      </w:r>
      <w:r w:rsidR="00466A9E" w:rsidRPr="00B53F89">
        <w:t xml:space="preserve">seek </w:t>
      </w:r>
      <w:r w:rsidR="00311BF8" w:rsidRPr="00B53F89">
        <w:t>to identify alternative</w:t>
      </w:r>
      <w:r w:rsidR="009520A3" w:rsidRPr="00B53F89">
        <w:t xml:space="preserve"> bands</w:t>
      </w:r>
      <w:r w:rsidR="00311BF8" w:rsidRPr="00B53F89">
        <w:t xml:space="preserve"> or alternative arrangements within the same band</w:t>
      </w:r>
      <w:r w:rsidR="00CC09F5" w:rsidRPr="00B53F89">
        <w:t xml:space="preserve"> </w:t>
      </w:r>
      <w:r w:rsidR="00466A9E" w:rsidRPr="00B53F89">
        <w:t>for incumbents</w:t>
      </w:r>
      <w:r w:rsidR="00FD5CC7" w:rsidRPr="00B53F89">
        <w:t>,</w:t>
      </w:r>
      <w:r w:rsidR="00466A9E" w:rsidRPr="00B53F89">
        <w:t xml:space="preserve"> </w:t>
      </w:r>
      <w:r w:rsidR="009520A3" w:rsidRPr="00B53F89">
        <w:t xml:space="preserve">as part of our responsibilities to ensure spectrum is used and managed to maximise overall public benefit. However, there </w:t>
      </w:r>
      <w:r w:rsidR="00AB5442" w:rsidRPr="00B53F89">
        <w:t>can be</w:t>
      </w:r>
      <w:r w:rsidR="009520A3" w:rsidRPr="00B53F89">
        <w:t xml:space="preserve"> no </w:t>
      </w:r>
      <w:r w:rsidR="00AB5442" w:rsidRPr="00B53F89">
        <w:t xml:space="preserve">guarantee </w:t>
      </w:r>
      <w:r w:rsidR="009520A3" w:rsidRPr="00B53F89">
        <w:t xml:space="preserve">that all incumbent users will have an alternative </w:t>
      </w:r>
      <w:r w:rsidR="00311BF8" w:rsidRPr="00B53F89">
        <w:t xml:space="preserve">arrangement </w:t>
      </w:r>
      <w:r w:rsidR="009520A3" w:rsidRPr="00B53F89">
        <w:t xml:space="preserve">following a necessary band clearance activity. </w:t>
      </w:r>
    </w:p>
    <w:p w14:paraId="5D830D08" w14:textId="77777777" w:rsidR="00C50635" w:rsidRPr="00B53F89" w:rsidRDefault="00C50635" w:rsidP="002111ED">
      <w:r w:rsidRPr="00B53F89">
        <w:t>Planning activities are directed into two main streams:</w:t>
      </w:r>
    </w:p>
    <w:p w14:paraId="7DBDC1EE" w14:textId="009B9266" w:rsidR="00A45CCD" w:rsidRPr="00B53F89" w:rsidRDefault="00B43510" w:rsidP="002111ED">
      <w:pPr>
        <w:pStyle w:val="ListBullet"/>
        <w:ind w:left="284" w:hanging="284"/>
      </w:pPr>
      <w:r w:rsidRPr="00B53F89">
        <w:t>m</w:t>
      </w:r>
      <w:r w:rsidR="008A199D" w:rsidRPr="00B53F89">
        <w:t xml:space="preserve">ajor </w:t>
      </w:r>
      <w:r w:rsidR="00C50635" w:rsidRPr="009F36F7">
        <w:t>band</w:t>
      </w:r>
      <w:r w:rsidR="00C50635" w:rsidRPr="00B53F89">
        <w:t xml:space="preserve"> planning</w:t>
      </w:r>
      <w:r w:rsidR="00C1270E" w:rsidRPr="00B53F89">
        <w:t xml:space="preserve"> and replanning</w:t>
      </w:r>
      <w:r w:rsidR="00C50635" w:rsidRPr="00B53F89">
        <w:t xml:space="preserve"> </w:t>
      </w:r>
      <w:r w:rsidR="009E2FED" w:rsidRPr="00B53F89">
        <w:t xml:space="preserve">activities </w:t>
      </w:r>
      <w:r w:rsidR="00C50635" w:rsidRPr="00B53F89">
        <w:t xml:space="preserve">to support the establishment of new </w:t>
      </w:r>
      <w:r w:rsidR="00E41275" w:rsidRPr="00B53F89">
        <w:t xml:space="preserve">spectrum </w:t>
      </w:r>
      <w:r w:rsidR="00C50635" w:rsidRPr="00B53F89">
        <w:t>uses</w:t>
      </w:r>
    </w:p>
    <w:p w14:paraId="20F67DBB" w14:textId="1BDB6412" w:rsidR="00CC5C65" w:rsidRPr="00B53F89" w:rsidRDefault="00B43510" w:rsidP="002111ED">
      <w:pPr>
        <w:pStyle w:val="ListBulletLast"/>
        <w:ind w:left="284" w:hanging="284"/>
      </w:pPr>
      <w:r w:rsidRPr="00B53F89">
        <w:t>o</w:t>
      </w:r>
      <w:r w:rsidR="00C50635" w:rsidRPr="00B53F89">
        <w:t>ptimising</w:t>
      </w:r>
      <w:r w:rsidR="00C50635" w:rsidRPr="00B53F89" w:rsidDel="008A199D">
        <w:t xml:space="preserve"> </w:t>
      </w:r>
      <w:r w:rsidR="008A199D" w:rsidRPr="00B53F89">
        <w:t xml:space="preserve">established </w:t>
      </w:r>
      <w:r w:rsidR="00E41275" w:rsidRPr="00B53F89">
        <w:t xml:space="preserve">planning </w:t>
      </w:r>
      <w:r w:rsidR="00C50635" w:rsidRPr="00B53F89">
        <w:t xml:space="preserve">frameworks </w:t>
      </w:r>
      <w:r w:rsidR="008A199D" w:rsidRPr="00B53F89">
        <w:t xml:space="preserve">for existing spectrum use </w:t>
      </w:r>
      <w:r w:rsidR="00C50635" w:rsidRPr="00B53F89">
        <w:t>through updating technical coordination arrangements</w:t>
      </w:r>
      <w:r w:rsidR="00E3328B" w:rsidRPr="00B53F89">
        <w:t xml:space="preserve">. </w:t>
      </w:r>
    </w:p>
    <w:p w14:paraId="648D6AE9" w14:textId="204B5852" w:rsidR="00783534" w:rsidRPr="00B53F89" w:rsidRDefault="00783534" w:rsidP="00FA7446">
      <w:pPr>
        <w:keepNext/>
        <w:spacing w:before="320" w:after="0"/>
      </w:pPr>
      <w:r w:rsidRPr="006A2F04">
        <w:rPr>
          <w:noProof/>
        </w:rPr>
        <w:drawing>
          <wp:inline distT="0" distB="0" distL="0" distR="0" wp14:anchorId="0587F5F1" wp14:editId="4BF2E236">
            <wp:extent cx="342900" cy="361950"/>
            <wp:effectExtent l="0" t="0" r="0" b="0"/>
            <wp:docPr id="28" name="Picture 28"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4EC95F6B" w14:textId="488F46A0" w:rsidR="0059149F" w:rsidRPr="00B53F89" w:rsidRDefault="0059149F" w:rsidP="00FA7446">
      <w:pPr>
        <w:pStyle w:val="Heading2"/>
        <w:spacing w:before="60"/>
      </w:pPr>
      <w:bookmarkStart w:id="212" w:name="_Toc18505515"/>
      <w:bookmarkStart w:id="213" w:name="_Hlk17105203"/>
      <w:r w:rsidRPr="00B53F89">
        <w:t>Implementing outcomes of WRC-19</w:t>
      </w:r>
      <w:bookmarkEnd w:id="212"/>
    </w:p>
    <w:p w14:paraId="1586F101" w14:textId="7417EB36" w:rsidR="0059149F" w:rsidRPr="00B53F89" w:rsidRDefault="0059149F" w:rsidP="00D7755E">
      <w:pPr>
        <w:rPr>
          <w:rFonts w:cs="Arial"/>
        </w:rPr>
      </w:pPr>
      <w:r w:rsidRPr="00B53F89">
        <w:rPr>
          <w:rFonts w:cs="Arial"/>
        </w:rPr>
        <w:t xml:space="preserve">The outcomes of WRC-19 will affect the ACMA’s future </w:t>
      </w:r>
      <w:r w:rsidR="00387C46" w:rsidRPr="00B53F89">
        <w:rPr>
          <w:rFonts w:cs="Arial"/>
        </w:rPr>
        <w:t>planning arrangements</w:t>
      </w:r>
      <w:r w:rsidR="00CC5C65" w:rsidRPr="00B53F89">
        <w:rPr>
          <w:rFonts w:cs="Arial"/>
        </w:rPr>
        <w:t>.</w:t>
      </w:r>
      <w:r w:rsidRPr="00B53F89">
        <w:rPr>
          <w:rFonts w:cs="Arial"/>
        </w:rPr>
        <w:t xml:space="preserve"> Australia’s spectrum </w:t>
      </w:r>
      <w:r w:rsidR="00761079" w:rsidRPr="00B53F89">
        <w:rPr>
          <w:rFonts w:cs="Arial"/>
        </w:rPr>
        <w:t xml:space="preserve">arrangements </w:t>
      </w:r>
      <w:r w:rsidR="00CC5C65" w:rsidRPr="00B53F89">
        <w:rPr>
          <w:rFonts w:cs="Arial"/>
        </w:rPr>
        <w:t>will be</w:t>
      </w:r>
      <w:r w:rsidR="00761079" w:rsidRPr="00B53F89">
        <w:rPr>
          <w:rFonts w:cs="Arial"/>
        </w:rPr>
        <w:t xml:space="preserve"> reviewed and </w:t>
      </w:r>
      <w:r w:rsidRPr="00B53F89">
        <w:rPr>
          <w:rFonts w:cs="Arial"/>
        </w:rPr>
        <w:t xml:space="preserve">updated to align with revision of the ITU </w:t>
      </w:r>
      <w:r w:rsidR="00262A29" w:rsidRPr="00B53F89">
        <w:rPr>
          <w:rFonts w:cs="Arial"/>
        </w:rPr>
        <w:t>RR</w:t>
      </w:r>
      <w:r w:rsidRPr="00B53F89">
        <w:rPr>
          <w:rFonts w:cs="Arial"/>
        </w:rPr>
        <w:t xml:space="preserve">s and their impact on global and regional spectrum allocations and regulatory requirements. </w:t>
      </w:r>
    </w:p>
    <w:p w14:paraId="03EAA0C9" w14:textId="30291C97" w:rsidR="00827ECA" w:rsidRPr="00B53F89" w:rsidRDefault="0059149F" w:rsidP="00D7755E">
      <w:r w:rsidRPr="00B53F89">
        <w:rPr>
          <w:rFonts w:cs="Arial"/>
        </w:rPr>
        <w:t xml:space="preserve">A key task in this work is </w:t>
      </w:r>
      <w:r w:rsidR="007D7271" w:rsidRPr="00B53F89">
        <w:rPr>
          <w:rFonts w:cs="Arial"/>
        </w:rPr>
        <w:t xml:space="preserve">making a new </w:t>
      </w:r>
      <w:r w:rsidR="00761079" w:rsidRPr="00B53F89">
        <w:t>ARSP</w:t>
      </w:r>
      <w:r w:rsidRPr="00B53F89">
        <w:t xml:space="preserve"> </w:t>
      </w:r>
      <w:r w:rsidR="007D7271" w:rsidRPr="00B53F89">
        <w:t xml:space="preserve">to ensure that Australian spectrum arrangements take account of changes arising from the ITU WRC-19. </w:t>
      </w:r>
    </w:p>
    <w:p w14:paraId="6A78C441" w14:textId="6279A395" w:rsidR="007D7271" w:rsidRPr="00B53F89" w:rsidRDefault="007D7271" w:rsidP="00D7755E">
      <w:bookmarkStart w:id="214" w:name="_Hlk17105036"/>
      <w:r w:rsidRPr="00B53F89">
        <w:t xml:space="preserve">While timing of such work is dependent on when WRC changes come into effect (typically </w:t>
      </w:r>
      <w:r w:rsidR="00E44D4A" w:rsidRPr="00B53F89">
        <w:t xml:space="preserve">approximately </w:t>
      </w:r>
      <w:r w:rsidR="00827ECA" w:rsidRPr="00B53F89">
        <w:t>one</w:t>
      </w:r>
      <w:r w:rsidRPr="00B53F89">
        <w:t xml:space="preserve"> year after the WRC), it is expected that the ACMA will </w:t>
      </w:r>
      <w:r w:rsidR="00761079" w:rsidRPr="00B53F89">
        <w:t>commence</w:t>
      </w:r>
      <w:r w:rsidRPr="00B53F89">
        <w:t xml:space="preserve"> scoping this work after WRC-19 in Q</w:t>
      </w:r>
      <w:r w:rsidR="00E00B33" w:rsidRPr="00B53F89">
        <w:t>1</w:t>
      </w:r>
      <w:r w:rsidRPr="00B53F89">
        <w:t>/</w:t>
      </w:r>
      <w:r w:rsidR="00E00B33" w:rsidRPr="00B53F89">
        <w:t>2</w:t>
      </w:r>
      <w:r w:rsidRPr="00B53F89">
        <w:t xml:space="preserve"> 2020. </w:t>
      </w:r>
    </w:p>
    <w:bookmarkEnd w:id="213"/>
    <w:bookmarkEnd w:id="214"/>
    <w:p w14:paraId="4991CE71" w14:textId="25404B6D" w:rsidR="0059149F" w:rsidRPr="00B53F89" w:rsidRDefault="00262A29" w:rsidP="00D7755E">
      <w:r w:rsidRPr="00B53F89">
        <w:t xml:space="preserve">Amendments to the RRs </w:t>
      </w:r>
      <w:r w:rsidR="007D7271" w:rsidRPr="00B53F89">
        <w:t xml:space="preserve">agreed at WRC </w:t>
      </w:r>
      <w:r w:rsidRPr="00B53F89">
        <w:t>are subject to parliamentary review through the Joint Standing Committee on Treaties. DoCA administers this process of review.</w:t>
      </w:r>
      <w:r w:rsidR="007D7271" w:rsidRPr="00B53F89">
        <w:t xml:space="preserve"> </w:t>
      </w:r>
    </w:p>
    <w:p w14:paraId="2ED836DC" w14:textId="54107EB3" w:rsidR="00783534" w:rsidRPr="00B53F89" w:rsidRDefault="00783534" w:rsidP="00FA7446">
      <w:pPr>
        <w:keepNext/>
        <w:spacing w:before="320" w:after="0"/>
      </w:pPr>
      <w:bookmarkStart w:id="215" w:name="_Toc522794087"/>
      <w:r w:rsidRPr="006A2F04">
        <w:rPr>
          <w:noProof/>
        </w:rPr>
        <w:lastRenderedPageBreak/>
        <w:drawing>
          <wp:inline distT="0" distB="0" distL="0" distR="0" wp14:anchorId="24AB7B68" wp14:editId="61A9FA34">
            <wp:extent cx="342900" cy="361950"/>
            <wp:effectExtent l="0" t="0" r="0" b="0"/>
            <wp:docPr id="29" name="Picture 29"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09F19818" wp14:editId="146494AF">
            <wp:extent cx="342900" cy="361950"/>
            <wp:effectExtent l="0" t="0" r="0" b="0"/>
            <wp:docPr id="30" name="Picture 30"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Point to multipoint icon"/>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208C0994" wp14:editId="37582FE8">
            <wp:extent cx="342900" cy="361950"/>
            <wp:effectExtent l="0" t="0" r="0" b="0"/>
            <wp:docPr id="31" name="Picture 31"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465725" w:rsidRPr="006A2F04">
        <w:rPr>
          <w:noProof/>
        </w:rPr>
        <w:drawing>
          <wp:inline distT="0" distB="0" distL="0" distR="0" wp14:anchorId="44E19AF0" wp14:editId="1E01C43A">
            <wp:extent cx="341630" cy="359410"/>
            <wp:effectExtent l="0" t="0" r="1270" b="2540"/>
            <wp:docPr id="140" name="Picture 140"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31"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6A2F04">
        <w:rPr>
          <w:noProof/>
        </w:rPr>
        <w:drawing>
          <wp:inline distT="0" distB="0" distL="0" distR="0" wp14:anchorId="32C0A638" wp14:editId="23B583DE">
            <wp:extent cx="342900" cy="361950"/>
            <wp:effectExtent l="0" t="0" r="0" b="0"/>
            <wp:docPr id="33" name="Picture 33"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542091AC" w14:textId="391A8B4A" w:rsidR="00011B67" w:rsidRPr="00B53F89" w:rsidRDefault="006A7EB2" w:rsidP="00FA7446">
      <w:pPr>
        <w:pStyle w:val="Heading2"/>
        <w:spacing w:before="60"/>
      </w:pPr>
      <w:bookmarkStart w:id="216" w:name="_Toc18505516"/>
      <w:r w:rsidRPr="00B53F89">
        <w:t>Major re</w:t>
      </w:r>
      <w:bookmarkStart w:id="217" w:name="_Toc509844722"/>
      <w:r w:rsidRPr="00B53F89">
        <w:t>p</w:t>
      </w:r>
      <w:r w:rsidR="00C50635" w:rsidRPr="00B53F89">
        <w:t xml:space="preserve">lanning progress achieved since </w:t>
      </w:r>
      <w:bookmarkEnd w:id="215"/>
      <w:bookmarkEnd w:id="217"/>
      <w:r w:rsidR="004012D8" w:rsidRPr="00B53F89">
        <w:t>FYSO 2018</w:t>
      </w:r>
      <w:r w:rsidR="00081979" w:rsidRPr="00B53F89">
        <w:t>–</w:t>
      </w:r>
      <w:r w:rsidR="004012D8" w:rsidRPr="00B53F89">
        <w:t>22</w:t>
      </w:r>
      <w:bookmarkEnd w:id="216"/>
    </w:p>
    <w:p w14:paraId="0B59C85A" w14:textId="195B1638" w:rsidR="00077DAC" w:rsidRPr="00B53F89" w:rsidRDefault="00077DAC" w:rsidP="002111ED">
      <w:pPr>
        <w:pStyle w:val="ListBullet"/>
        <w:tabs>
          <w:tab w:val="clear" w:pos="-261"/>
          <w:tab w:val="num" w:pos="-272"/>
        </w:tabs>
        <w:ind w:left="284" w:hanging="284"/>
        <w:rPr>
          <w:rFonts w:cs="Arial"/>
          <w:szCs w:val="20"/>
        </w:rPr>
      </w:pPr>
      <w:r w:rsidRPr="00B53F89" w:rsidDel="003755A0">
        <w:t>3.6 GHz band</w:t>
      </w:r>
      <w:r w:rsidRPr="00B53F89">
        <w:t xml:space="preserve"> (3575–3700 MHz)—in December 2018</w:t>
      </w:r>
      <w:r w:rsidR="004A29A2" w:rsidRPr="00B53F89">
        <w:t>,</w:t>
      </w:r>
      <w:r w:rsidRPr="00B53F89">
        <w:t xml:space="preserve"> the ACMA successfully allocated 125 MHz of spectrum in the 3.6 GHz band in metropolitan and regional areas. </w:t>
      </w:r>
    </w:p>
    <w:p w14:paraId="0E67EECE" w14:textId="77777777" w:rsidR="00077DAC" w:rsidRPr="00B53F89" w:rsidRDefault="00077DAC" w:rsidP="002111ED">
      <w:pPr>
        <w:pStyle w:val="ListBullet"/>
        <w:tabs>
          <w:tab w:val="clear" w:pos="-261"/>
          <w:tab w:val="num" w:pos="-272"/>
        </w:tabs>
        <w:ind w:left="284" w:hanging="284"/>
        <w:rPr>
          <w:rFonts w:cs="Arial"/>
          <w:szCs w:val="20"/>
        </w:rPr>
      </w:pPr>
      <w:r w:rsidRPr="00B53F89">
        <w:t xml:space="preserve">5.6 GHz band (5600–5650 MHz)—in December 2018, the ACMA published Radiocommunication Assignment and Licensing Instruction (RALI) FX23 describing frequency coordination for fixed point-to-multipoint services including FWA in the 5.6 GHz band. </w:t>
      </w:r>
    </w:p>
    <w:p w14:paraId="00814516" w14:textId="5EAA7672" w:rsidR="006A7EB2" w:rsidRPr="00B53F89" w:rsidRDefault="006A7EB2" w:rsidP="002111ED">
      <w:pPr>
        <w:pStyle w:val="ListBullet"/>
        <w:ind w:left="284" w:hanging="284"/>
      </w:pPr>
      <w:r w:rsidRPr="00B53F89">
        <w:t>900 MHz band</w:t>
      </w:r>
      <w:r w:rsidR="005B7218" w:rsidRPr="00B53F89">
        <w:t xml:space="preserve"> (890–915 MHz and 935–960 MHz)</w:t>
      </w:r>
      <w:r w:rsidR="00590573" w:rsidRPr="00B53F89">
        <w:t>—</w:t>
      </w:r>
      <w:r w:rsidR="00EB5605" w:rsidRPr="00B53F89">
        <w:t>t</w:t>
      </w:r>
      <w:r w:rsidRPr="00B53F89">
        <w:t>he ACMA</w:t>
      </w:r>
      <w:r w:rsidR="001C18FF" w:rsidRPr="00B53F89">
        <w:t xml:space="preserve"> </w:t>
      </w:r>
      <w:r w:rsidR="00AB1A67" w:rsidRPr="00B53F89">
        <w:t xml:space="preserve">has </w:t>
      </w:r>
      <w:r w:rsidR="001C18FF" w:rsidRPr="00B53F89">
        <w:t>continue</w:t>
      </w:r>
      <w:r w:rsidR="00AB1A67" w:rsidRPr="00B53F89">
        <w:t>d</w:t>
      </w:r>
      <w:r w:rsidR="001C18FF" w:rsidRPr="00B53F89">
        <w:t xml:space="preserve"> to engage with stakeholders</w:t>
      </w:r>
      <w:r w:rsidRPr="00B53F89">
        <w:t xml:space="preserve"> to firm up implementation timeframes for the reconfiguration of the 900 MHz band to </w:t>
      </w:r>
      <w:r w:rsidR="00A566E0" w:rsidRPr="00B53F89">
        <w:t>optimise the band’s planning arrangements for LTE services</w:t>
      </w:r>
      <w:r w:rsidRPr="00B53F89">
        <w:t>.</w:t>
      </w:r>
    </w:p>
    <w:p w14:paraId="5481D5D3" w14:textId="0A39EBF8" w:rsidR="0068779F" w:rsidRPr="00B53F89" w:rsidRDefault="00C50635" w:rsidP="002111ED">
      <w:pPr>
        <w:pStyle w:val="ListBulletLast"/>
        <w:ind w:left="284" w:hanging="284"/>
      </w:pPr>
      <w:r w:rsidRPr="00B53F89">
        <w:rPr>
          <w:bCs/>
          <w:szCs w:val="20"/>
        </w:rPr>
        <w:t>mmWave spectrum for 5G</w:t>
      </w:r>
      <w:r w:rsidR="00590573" w:rsidRPr="00B53F89">
        <w:rPr>
          <w:bCs/>
          <w:szCs w:val="20"/>
        </w:rPr>
        <w:t>—</w:t>
      </w:r>
      <w:r w:rsidR="00EB5605" w:rsidRPr="00B53F89">
        <w:t>t</w:t>
      </w:r>
      <w:r w:rsidR="0014623C" w:rsidRPr="00B53F89">
        <w:t>he ACMA released t</w:t>
      </w:r>
      <w:r w:rsidR="008F2D70" w:rsidRPr="00B53F89">
        <w:t>wo consultation papers in September 2018</w:t>
      </w:r>
      <w:r w:rsidR="004A29A2" w:rsidRPr="00B53F89">
        <w:t>,</w:t>
      </w:r>
      <w:r w:rsidR="0014623C" w:rsidRPr="00B53F89">
        <w:t xml:space="preserve"> which considered planning options for 5G in the 26 GHz band</w:t>
      </w:r>
      <w:r w:rsidR="00D325B2" w:rsidRPr="00B53F89">
        <w:t xml:space="preserve"> (24.25–27.5 GHz)</w:t>
      </w:r>
      <w:r w:rsidR="00115791" w:rsidRPr="00B53F89">
        <w:t xml:space="preserve"> and</w:t>
      </w:r>
      <w:r w:rsidR="0014623C" w:rsidRPr="00B53F89">
        <w:t xml:space="preserve"> discussed the suitability of the 28 GHz band</w:t>
      </w:r>
      <w:r w:rsidR="00D325B2" w:rsidRPr="00B53F89">
        <w:t xml:space="preserve"> (</w:t>
      </w:r>
      <w:r w:rsidR="00D34806" w:rsidRPr="00B53F89">
        <w:t>27.5–29.5 GHz</w:t>
      </w:r>
      <w:r w:rsidR="00D325B2" w:rsidRPr="00B53F89">
        <w:t>)</w:t>
      </w:r>
      <w:r w:rsidR="0014623C" w:rsidRPr="00B53F89">
        <w:t xml:space="preserve"> for a broad range of users and service types</w:t>
      </w:r>
      <w:r w:rsidR="00167099" w:rsidRPr="00B53F89">
        <w:t>,</w:t>
      </w:r>
      <w:r w:rsidR="0014623C" w:rsidRPr="00B53F89">
        <w:t xml:space="preserve"> including 5G. </w:t>
      </w:r>
      <w:r w:rsidR="00CB42C1" w:rsidRPr="00B53F89">
        <w:t xml:space="preserve">A decision paper on the 26 GHz band was released in April 2019. </w:t>
      </w:r>
      <w:r w:rsidR="0080506C" w:rsidRPr="00B53F89">
        <w:t xml:space="preserve">In December </w:t>
      </w:r>
      <w:r w:rsidR="00190008" w:rsidRPr="00B53F89">
        <w:t>2018</w:t>
      </w:r>
      <w:r w:rsidR="00FD5CC7" w:rsidRPr="00B53F89">
        <w:t>,</w:t>
      </w:r>
      <w:r w:rsidR="00190008" w:rsidRPr="00B53F89">
        <w:t xml:space="preserve"> </w:t>
      </w:r>
      <w:r w:rsidR="0080506C" w:rsidRPr="00B53F89">
        <w:t xml:space="preserve">the </w:t>
      </w:r>
      <w:r w:rsidR="000510EB" w:rsidRPr="00B53F89">
        <w:t xml:space="preserve">ACMA </w:t>
      </w:r>
      <w:r w:rsidR="0080506C" w:rsidRPr="00B53F89">
        <w:t xml:space="preserve">commenced </w:t>
      </w:r>
      <w:r w:rsidR="000510EB" w:rsidRPr="00B53F89">
        <w:t>consult</w:t>
      </w:r>
      <w:r w:rsidR="0080506C" w:rsidRPr="00B53F89">
        <w:t xml:space="preserve">ation </w:t>
      </w:r>
      <w:r w:rsidR="000510EB" w:rsidRPr="00B53F89">
        <w:t xml:space="preserve">on </w:t>
      </w:r>
      <w:r w:rsidR="00E45424" w:rsidRPr="00B53F89">
        <w:t>propos</w:t>
      </w:r>
      <w:r w:rsidR="0080506C" w:rsidRPr="00B53F89">
        <w:t>ed</w:t>
      </w:r>
      <w:r w:rsidR="00E45424" w:rsidRPr="00B53F89">
        <w:t xml:space="preserve"> updates to class licensing arrangements which </w:t>
      </w:r>
      <w:r w:rsidR="0080506C" w:rsidRPr="00B53F89">
        <w:t>included</w:t>
      </w:r>
      <w:r w:rsidR="00E45424" w:rsidRPr="00B53F89">
        <w:t xml:space="preserve"> additional spectrum in the 60 GHz range for </w:t>
      </w:r>
      <w:r w:rsidR="000510EB" w:rsidRPr="00B53F89">
        <w:t>data communication systems, including 5G</w:t>
      </w:r>
      <w:r w:rsidR="00E45424" w:rsidRPr="00B53F89">
        <w:t>.</w:t>
      </w:r>
    </w:p>
    <w:p w14:paraId="6BB62756" w14:textId="4D38DD84" w:rsidR="00516EAC" w:rsidRPr="006A2F04" w:rsidRDefault="00516EAC" w:rsidP="00D7755E">
      <w:pPr>
        <w:pStyle w:val="Heading2"/>
        <w:rPr>
          <w:rStyle w:val="Heading2Char"/>
        </w:rPr>
      </w:pPr>
      <w:bookmarkStart w:id="218" w:name="_Toc18505517"/>
      <w:bookmarkStart w:id="219" w:name="_Hlk2180539"/>
      <w:r w:rsidRPr="00B53F89">
        <w:rPr>
          <w:rStyle w:val="Heading2Char"/>
          <w:b/>
          <w:bCs/>
          <w:iCs/>
        </w:rPr>
        <w:t xml:space="preserve">Major band </w:t>
      </w:r>
      <w:r w:rsidR="0070084E" w:rsidRPr="00B53F89">
        <w:rPr>
          <w:rStyle w:val="Heading2Char"/>
          <w:b/>
          <w:bCs/>
          <w:iCs/>
        </w:rPr>
        <w:t xml:space="preserve">planning and </w:t>
      </w:r>
      <w:r w:rsidRPr="00B53F89">
        <w:rPr>
          <w:rStyle w:val="Heading2Char"/>
          <w:b/>
          <w:bCs/>
          <w:iCs/>
        </w:rPr>
        <w:t>replanning activities</w:t>
      </w:r>
      <w:bookmarkEnd w:id="218"/>
      <w:r w:rsidRPr="00B53F89">
        <w:rPr>
          <w:rStyle w:val="Heading2Char"/>
          <w:b/>
          <w:bCs/>
          <w:iCs/>
        </w:rPr>
        <w:t xml:space="preserve"> </w:t>
      </w:r>
    </w:p>
    <w:p w14:paraId="460FF6D8" w14:textId="4F751BD4" w:rsidR="00516EAC" w:rsidRPr="00B53F89" w:rsidRDefault="00516EAC" w:rsidP="00D7755E">
      <w:bookmarkStart w:id="220" w:name="_Hlk4141764"/>
      <w:bookmarkEnd w:id="219"/>
      <w:r w:rsidRPr="00B53F89">
        <w:t xml:space="preserve">This section provides an overview of the ACMA’s work in establishing new planning frameworks, including other major band </w:t>
      </w:r>
      <w:r w:rsidR="0070084E" w:rsidRPr="00B53F89">
        <w:t>re-farming and reallocation</w:t>
      </w:r>
      <w:r w:rsidRPr="00B53F89">
        <w:t xml:space="preserve"> activities.</w:t>
      </w:r>
      <w:bookmarkEnd w:id="220"/>
    </w:p>
    <w:p w14:paraId="6D7D85D2" w14:textId="75F359E8" w:rsidR="00516EAC" w:rsidRPr="00B53F89" w:rsidRDefault="004B065E" w:rsidP="00D7755E">
      <w:r w:rsidRPr="00B53F89">
        <w:t xml:space="preserve">For </w:t>
      </w:r>
      <w:r w:rsidR="00516EAC" w:rsidRPr="00B53F89">
        <w:t>allocation of spectrum resulting from major band replanning activities</w:t>
      </w:r>
      <w:r w:rsidR="00446847" w:rsidRPr="00B53F89">
        <w:t>,</w:t>
      </w:r>
      <w:r w:rsidR="00516EAC" w:rsidRPr="00B53F89">
        <w:t xml:space="preserve"> </w:t>
      </w:r>
      <w:r w:rsidRPr="00B53F89">
        <w:t>see</w:t>
      </w:r>
      <w:r w:rsidR="00D25046" w:rsidRPr="00B53F89">
        <w:t xml:space="preserve"> </w:t>
      </w:r>
      <w:r w:rsidR="002B2BED" w:rsidRPr="00B53F89">
        <w:t>‘</w:t>
      </w:r>
      <w:r w:rsidR="00D25046" w:rsidRPr="00B53F89">
        <w:rPr>
          <w:rStyle w:val="Hyperlink"/>
          <w:color w:val="auto"/>
          <w:u w:val="none"/>
        </w:rPr>
        <w:t>The f</w:t>
      </w:r>
      <w:r w:rsidR="00E463B3" w:rsidRPr="00B53F89">
        <w:rPr>
          <w:rStyle w:val="Hyperlink"/>
          <w:color w:val="auto"/>
          <w:u w:val="none"/>
        </w:rPr>
        <w:t>orward allocation work plan</w:t>
      </w:r>
      <w:r w:rsidR="002B2BED" w:rsidRPr="00B53F89">
        <w:rPr>
          <w:rStyle w:val="Hyperlink"/>
          <w:color w:val="auto"/>
          <w:u w:val="none"/>
        </w:rPr>
        <w:t>’</w:t>
      </w:r>
      <w:r w:rsidRPr="00B53F89">
        <w:t xml:space="preserve"> below</w:t>
      </w:r>
      <w:r w:rsidR="00516EAC" w:rsidRPr="00B53F89">
        <w:t xml:space="preserve">. </w:t>
      </w:r>
    </w:p>
    <w:p w14:paraId="2D560364" w14:textId="01700B50" w:rsidR="00FF0C2E" w:rsidRPr="00B53F89" w:rsidRDefault="00516EAC" w:rsidP="00D7755E">
      <w:bookmarkStart w:id="221" w:name="_Hlk2248565"/>
      <w:r w:rsidRPr="00B53F89">
        <w:t xml:space="preserve">Bands listed are categorised </w:t>
      </w:r>
      <w:r w:rsidR="00FF0C2E" w:rsidRPr="00B53F89">
        <w:t xml:space="preserve">into </w:t>
      </w:r>
      <w:r w:rsidR="00851C18" w:rsidRPr="00B53F89">
        <w:t xml:space="preserve">the ACMA’s </w:t>
      </w:r>
      <w:r w:rsidR="00FF0C2E" w:rsidRPr="00B53F89">
        <w:t xml:space="preserve">four </w:t>
      </w:r>
      <w:r w:rsidR="00851C18" w:rsidRPr="00B53F89">
        <w:t xml:space="preserve">planning </w:t>
      </w:r>
      <w:r w:rsidR="00FF0C2E" w:rsidRPr="00B53F89">
        <w:t>stages</w:t>
      </w:r>
      <w:r w:rsidR="00683A0C" w:rsidRPr="00B53F89">
        <w:t xml:space="preserve">, </w:t>
      </w:r>
      <w:r w:rsidR="00FF0C2E" w:rsidRPr="00B53F89">
        <w:t xml:space="preserve">shown </w:t>
      </w:r>
      <w:r w:rsidR="00683A0C" w:rsidRPr="00B53F89">
        <w:t>in Figure 1</w:t>
      </w:r>
      <w:r w:rsidR="00FF0C2E" w:rsidRPr="00B53F89">
        <w:t>.</w:t>
      </w:r>
    </w:p>
    <w:p w14:paraId="641DDAF5" w14:textId="4D3DA6D9" w:rsidR="00FF0C2E" w:rsidRPr="00B53F89" w:rsidRDefault="00FF0C2E" w:rsidP="00252163">
      <w:pPr>
        <w:pStyle w:val="ACMAFigureHeader"/>
        <w:keepNext/>
      </w:pPr>
      <w:r w:rsidRPr="00B53F89">
        <w:t>Four stages in spectrum management band planning</w:t>
      </w:r>
    </w:p>
    <w:p w14:paraId="7ED0EDFC" w14:textId="636807D4" w:rsidR="00C837A5" w:rsidRPr="00B53F89" w:rsidRDefault="00FF0C2E">
      <w:r w:rsidRPr="006A2F04">
        <w:rPr>
          <w:noProof/>
        </w:rPr>
        <w:drawing>
          <wp:inline distT="0" distB="0" distL="0" distR="0" wp14:anchorId="5FAC452A" wp14:editId="4DB3752D">
            <wp:extent cx="5013761" cy="2924355"/>
            <wp:effectExtent l="0" t="0" r="0" b="0"/>
            <wp:docPr id="3" name="Picture 3" descr="Diagram showing the four stages in spectrum management band plan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5038577" cy="2938829"/>
                    </a:xfrm>
                    <a:prstGeom prst="rect">
                      <a:avLst/>
                    </a:prstGeom>
                    <a:noFill/>
                  </pic:spPr>
                </pic:pic>
              </a:graphicData>
            </a:graphic>
          </wp:inline>
        </w:drawing>
      </w:r>
      <w:r w:rsidR="00516EAC" w:rsidRPr="00B53F89">
        <w:t xml:space="preserve"> </w:t>
      </w:r>
      <w:bookmarkEnd w:id="221"/>
      <w:r w:rsidR="00C837A5" w:rsidRPr="00B53F89">
        <w:rPr>
          <w:b/>
          <w:bCs/>
        </w:rPr>
        <w:br w:type="page"/>
      </w:r>
    </w:p>
    <w:tbl>
      <w:tblPr>
        <w:tblW w:w="7797" w:type="dxa"/>
        <w:tblBorders>
          <w:top w:val="single" w:sz="4" w:space="0" w:color="auto"/>
          <w:bottom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Caption w:val="Monitoring"/>
      </w:tblPr>
      <w:tblGrid>
        <w:gridCol w:w="7797"/>
      </w:tblGrid>
      <w:tr w:rsidR="00172695" w:rsidRPr="00B53F89" w14:paraId="4F50E989" w14:textId="77777777" w:rsidTr="00DE694D">
        <w:trPr>
          <w:tblHeader/>
        </w:trPr>
        <w:tc>
          <w:tcPr>
            <w:tcW w:w="7797" w:type="dxa"/>
            <w:tcBorders>
              <w:top w:val="nil"/>
              <w:left w:val="nil"/>
              <w:bottom w:val="nil"/>
              <w:right w:val="nil"/>
            </w:tcBorders>
            <w:shd w:val="clear" w:color="auto" w:fill="D9D9D9" w:themeFill="background1" w:themeFillShade="D9"/>
            <w:tcMar>
              <w:top w:w="57" w:type="dxa"/>
              <w:left w:w="0" w:type="dxa"/>
              <w:bottom w:w="57" w:type="dxa"/>
            </w:tcMar>
            <w:vAlign w:val="center"/>
          </w:tcPr>
          <w:p w14:paraId="02CB60E5" w14:textId="27E7AD28" w:rsidR="00115791" w:rsidRPr="00B53F89" w:rsidRDefault="00115791" w:rsidP="00DE694D">
            <w:pPr>
              <w:pStyle w:val="Tableheading2"/>
              <w:keepNext w:val="0"/>
            </w:pPr>
            <w:bookmarkStart w:id="222" w:name="_Toc18505518"/>
            <w:r w:rsidRPr="00B53F89">
              <w:lastRenderedPageBreak/>
              <w:t>Monitoring</w:t>
            </w:r>
            <w:bookmarkEnd w:id="222"/>
          </w:p>
        </w:tc>
      </w:tr>
      <w:tr w:rsidR="00032439" w:rsidRPr="00B53F89" w14:paraId="0C0E1552" w14:textId="77777777" w:rsidTr="00DE694D">
        <w:trPr>
          <w:trHeight w:val="227"/>
          <w:tblHeader/>
        </w:trPr>
        <w:tc>
          <w:tcPr>
            <w:tcW w:w="7797" w:type="dxa"/>
            <w:tcBorders>
              <w:top w:val="nil"/>
              <w:left w:val="nil"/>
              <w:bottom w:val="nil"/>
              <w:right w:val="nil"/>
            </w:tcBorders>
            <w:shd w:val="clear" w:color="auto" w:fill="auto"/>
            <w:tcMar>
              <w:top w:w="57" w:type="dxa"/>
              <w:left w:w="57" w:type="dxa"/>
              <w:bottom w:w="57" w:type="dxa"/>
            </w:tcMar>
            <w:vAlign w:val="center"/>
          </w:tcPr>
          <w:p w14:paraId="212B0FE9" w14:textId="77777777" w:rsidR="00032439" w:rsidRPr="00B53F89" w:rsidRDefault="00032439" w:rsidP="00DE694D">
            <w:pPr>
              <w:spacing w:after="0" w:line="140" w:lineRule="atLeast"/>
              <w:rPr>
                <w:sz w:val="14"/>
              </w:rPr>
            </w:pPr>
          </w:p>
        </w:tc>
      </w:tr>
      <w:tr w:rsidR="00FE0089" w:rsidRPr="00B53F89" w14:paraId="657C2414" w14:textId="77777777" w:rsidTr="00DE694D">
        <w:tc>
          <w:tcPr>
            <w:tcW w:w="7797" w:type="dxa"/>
            <w:tcBorders>
              <w:top w:val="nil"/>
              <w:left w:val="nil"/>
              <w:bottom w:val="nil"/>
              <w:right w:val="nil"/>
            </w:tcBorders>
          </w:tcPr>
          <w:p w14:paraId="45716BF6" w14:textId="77777777" w:rsidR="00FE0089" w:rsidRPr="00B53F89" w:rsidRDefault="00FE0089" w:rsidP="00DE694D">
            <w:r w:rsidRPr="00B53F89">
              <w:t xml:space="preserve">In the </w:t>
            </w:r>
            <w:r w:rsidRPr="00AB3EDB">
              <w:rPr>
                <w:i/>
                <w:iCs/>
              </w:rPr>
              <w:t>monitoring</w:t>
            </w:r>
            <w:r w:rsidRPr="00B53F89">
              <w:t xml:space="preserve"> stage, the ACMA maintains an awareness of developments and interest in potential changes to the use of the band that may require substantial planning activities. </w:t>
            </w:r>
          </w:p>
          <w:p w14:paraId="718BACB8" w14:textId="036AEEAE" w:rsidR="00FE0089" w:rsidRPr="00B53F89" w:rsidRDefault="00FE0089" w:rsidP="00DE694D">
            <w:r w:rsidRPr="00B53F89">
              <w:t>There is no direct action required by stakeholders at this stage</w:t>
            </w:r>
            <w:r w:rsidR="00167099" w:rsidRPr="00B53F89">
              <w:t>.</w:t>
            </w:r>
            <w:r w:rsidRPr="00B53F89">
              <w:t xml:space="preserve"> </w:t>
            </w:r>
            <w:r w:rsidR="00167099" w:rsidRPr="00B53F89">
              <w:t>H</w:t>
            </w:r>
            <w:r w:rsidRPr="00B53F89">
              <w:t xml:space="preserve">owever, there is an opportunity for stakeholders to keep the ACMA appraised of relevant developments and issues. </w:t>
            </w:r>
          </w:p>
          <w:p w14:paraId="43AD2BF5" w14:textId="2B47837A" w:rsidR="00FE0089" w:rsidRPr="00B53F89" w:rsidRDefault="00FE0089" w:rsidP="00DE694D">
            <w:r w:rsidRPr="00B53F89">
              <w:t xml:space="preserve">In general, the ACMA sees bands and issues included at the </w:t>
            </w:r>
            <w:r w:rsidRPr="00AB3EDB">
              <w:rPr>
                <w:i/>
                <w:iCs/>
              </w:rPr>
              <w:t>monitoring</w:t>
            </w:r>
            <w:r w:rsidRPr="00B53F89">
              <w:t xml:space="preserve"> stage as representing potential work items beyond its immediate 12-month work program.</w:t>
            </w:r>
          </w:p>
        </w:tc>
      </w:tr>
      <w:tr w:rsidR="00064A98" w:rsidRPr="00B53F89" w14:paraId="01C143C5" w14:textId="77777777" w:rsidTr="00DE694D">
        <w:tc>
          <w:tcPr>
            <w:tcW w:w="7797" w:type="dxa"/>
            <w:tcBorders>
              <w:top w:val="nil"/>
              <w:bottom w:val="nil"/>
            </w:tcBorders>
          </w:tcPr>
          <w:p w14:paraId="0EDBAC61" w14:textId="12D59A42" w:rsidR="0068411D" w:rsidRPr="00B53F89" w:rsidRDefault="0068411D" w:rsidP="00C4441C">
            <w:pPr>
              <w:keepNext/>
              <w:spacing w:before="60" w:after="0"/>
            </w:pPr>
            <w:r w:rsidRPr="006A2F04">
              <w:rPr>
                <w:noProof/>
              </w:rPr>
              <w:drawing>
                <wp:inline distT="0" distB="0" distL="0" distR="0" wp14:anchorId="2F978881" wp14:editId="635C8252">
                  <wp:extent cx="342900" cy="361950"/>
                  <wp:effectExtent l="0" t="0" r="0" b="0"/>
                  <wp:docPr id="34" name="Picture 34"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Radio/TV broadcasting icon"/>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28914BC7" wp14:editId="6914E642">
                  <wp:extent cx="342900" cy="361950"/>
                  <wp:effectExtent l="0" t="0" r="0" b="0"/>
                  <wp:docPr id="35" name="Picture 35"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38310832" wp14:editId="4C144120">
                  <wp:extent cx="342900" cy="361950"/>
                  <wp:effectExtent l="0" t="0" r="0" b="0"/>
                  <wp:docPr id="36" name="Picture 36"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278B8CAD" wp14:editId="2FA09341">
                  <wp:extent cx="342900" cy="361950"/>
                  <wp:effectExtent l="0" t="0" r="0" b="0"/>
                  <wp:docPr id="37" name="Picture 37"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6E1C1D63" w14:textId="49424847" w:rsidR="00115791" w:rsidRPr="00B53F89" w:rsidRDefault="00115791" w:rsidP="00DE694D">
            <w:pPr>
              <w:pStyle w:val="Heading3"/>
              <w:keepNext w:val="0"/>
            </w:pPr>
            <w:bookmarkStart w:id="223" w:name="_Toc18505519"/>
            <w:r w:rsidRPr="00B53F89">
              <w:t>600 MHz (617–698</w:t>
            </w:r>
            <w:r w:rsidRPr="002111ED">
              <w:rPr>
                <w:rStyle w:val="FootnoteReference"/>
                <w:b w:val="0"/>
              </w:rPr>
              <w:footnoteReference w:id="17"/>
            </w:r>
            <w:r w:rsidRPr="00B53F89">
              <w:t xml:space="preserve"> MHz)</w:t>
            </w:r>
            <w:bookmarkEnd w:id="223"/>
          </w:p>
        </w:tc>
      </w:tr>
      <w:tr w:rsidR="00064A98" w:rsidRPr="00B53F89" w14:paraId="1F579BC2" w14:textId="77777777" w:rsidTr="00DE694D">
        <w:tc>
          <w:tcPr>
            <w:tcW w:w="7797" w:type="dxa"/>
            <w:tcBorders>
              <w:top w:val="nil"/>
              <w:bottom w:val="nil"/>
            </w:tcBorders>
          </w:tcPr>
          <w:p w14:paraId="42F7CE17" w14:textId="38533019" w:rsidR="00115791" w:rsidRPr="00B53F89" w:rsidRDefault="00115791" w:rsidP="00DE694D">
            <w:bookmarkStart w:id="224" w:name="_Hlk18393588"/>
            <w:r w:rsidRPr="00B53F89">
              <w:t>The 600 MHz band is currently used by digital television services in Australia and is available for some services under the</w:t>
            </w:r>
            <w:r w:rsidR="002C6981" w:rsidRPr="00B53F89">
              <w:t xml:space="preserve"> LIPD class licence.</w:t>
            </w:r>
            <w:r w:rsidRPr="00B53F89">
              <w:t xml:space="preserve"> </w:t>
            </w:r>
          </w:p>
          <w:p w14:paraId="37AA2BF0" w14:textId="77777777" w:rsidR="00115791" w:rsidRPr="00B53F89" w:rsidRDefault="00115791" w:rsidP="00DE694D">
            <w:r w:rsidRPr="00B53F89">
              <w:t>Monitoring of this band is consistent with the Australian Government’s interest in considering the long-term availability of the television ‘sixth channel’ for non-broadcasting uses.</w:t>
            </w:r>
            <w:r w:rsidRPr="00B53F89">
              <w:rPr>
                <w:rStyle w:val="FootnoteReference"/>
                <w:szCs w:val="20"/>
              </w:rPr>
              <w:footnoteReference w:id="18"/>
            </w:r>
            <w:r w:rsidRPr="00B53F89">
              <w:t xml:space="preserve"> </w:t>
            </w:r>
          </w:p>
          <w:p w14:paraId="16645907" w14:textId="6E34FCC2" w:rsidR="00115791" w:rsidRPr="00B53F89" w:rsidRDefault="00115791" w:rsidP="00DE694D">
            <w:bookmarkStart w:id="225" w:name="_Hlk18397208"/>
            <w:r w:rsidRPr="00B53F89">
              <w:t xml:space="preserve">Current </w:t>
            </w:r>
            <w:r w:rsidR="00167099" w:rsidRPr="00B53F89">
              <w:t>television</w:t>
            </w:r>
            <w:r w:rsidRPr="00B53F89">
              <w:t xml:space="preserve"> channel arrangements include spectrum both inside and outside of the 600 MHz band and would require a further restack (sometimes referred to as a ‘second digital dividend’) to yield a contiguous block of spectrum in the 600 MHz range. The sixth channel</w:t>
            </w:r>
            <w:r w:rsidR="00967519" w:rsidRPr="00B53F89">
              <w:t xml:space="preserve"> </w:t>
            </w:r>
            <w:r w:rsidRPr="00B53F89">
              <w:t xml:space="preserve">is currently available for trials of more advanced digital television technology. There are no current government or industry plans for technical standards migration of television or the reconfiguration of </w:t>
            </w:r>
            <w:r w:rsidR="00167099" w:rsidRPr="00B53F89">
              <w:t>television</w:t>
            </w:r>
            <w:r w:rsidRPr="00B53F89">
              <w:t xml:space="preserve"> channels.</w:t>
            </w:r>
            <w:r w:rsidR="00083D03" w:rsidRPr="00B53F89">
              <w:t xml:space="preserve"> The sixth channel could also support scenarios in which national broadcasting services were consolidated onto a single multiplex in each area, potentially freeing up an additional channel for broadcasting or other uses.</w:t>
            </w:r>
          </w:p>
          <w:bookmarkEnd w:id="224"/>
          <w:bookmarkEnd w:id="225"/>
          <w:p w14:paraId="22B815EC" w14:textId="335A49BA" w:rsidR="00115791" w:rsidRPr="00B53F89" w:rsidRDefault="00115791" w:rsidP="00DE694D">
            <w:pPr>
              <w:pStyle w:val="BodySubHeader"/>
            </w:pPr>
            <w:r w:rsidRPr="00B53F89">
              <w:t>Recent developments</w:t>
            </w:r>
          </w:p>
          <w:p w14:paraId="0B2DB0F1" w14:textId="29013C24" w:rsidR="00115791" w:rsidRPr="00B53F89" w:rsidRDefault="00115791" w:rsidP="00DE694D">
            <w:r w:rsidRPr="00B53F89">
              <w:t xml:space="preserve">The FCC incentive auction (closed on 30 March 2017) resulted in a repurposing of </w:t>
            </w:r>
            <w:r w:rsidR="009228E1" w:rsidRPr="00B53F89">
              <w:t>84 </w:t>
            </w:r>
            <w:r w:rsidRPr="00B53F89">
              <w:t>MHz of spectrum—70 MHz for licensed use and another 14 MHz for wireless microphones and unlicensed use.</w:t>
            </w:r>
            <w:r w:rsidRPr="00B53F89">
              <w:rPr>
                <w:rStyle w:val="FootnoteReference"/>
              </w:rPr>
              <w:footnoteReference w:id="19"/>
            </w:r>
            <w:r w:rsidRPr="00B53F89">
              <w:t xml:space="preserve"> </w:t>
            </w:r>
          </w:p>
          <w:p w14:paraId="72E9B57C" w14:textId="77777777" w:rsidR="00115791" w:rsidRPr="00B53F89" w:rsidRDefault="00115791" w:rsidP="00DE694D">
            <w:r w:rsidRPr="00B53F89">
              <w:t xml:space="preserve">In addition, the Radio Spectrum Policy Group (RSPG) of the European Commission (EC) has also provided a </w:t>
            </w:r>
            <w:hyperlink r:id="rId58" w:history="1">
              <w:r w:rsidRPr="00B53F89">
                <w:rPr>
                  <w:rStyle w:val="Hyperlink"/>
                  <w:rFonts w:eastAsiaTheme="majorEastAsia" w:cs="Arial"/>
                </w:rPr>
                <w:t>long-term strategy for the future of the UHF band</w:t>
              </w:r>
            </w:hyperlink>
            <w:r w:rsidRPr="00B53F89">
              <w:rPr>
                <w:rStyle w:val="Hyperlink"/>
                <w:rFonts w:eastAsiaTheme="majorEastAsia" w:cs="Arial"/>
              </w:rPr>
              <w:t>,</w:t>
            </w:r>
            <w:r w:rsidRPr="00B53F89">
              <w:t xml:space="preserve"> which suggests the band remain available for broadcasting services until at least 2030. It also recommends that the band should be available for downlink-only broadband services on a secondary basis. This outcome is reflected in the </w:t>
            </w:r>
            <w:hyperlink r:id="rId59" w:history="1">
              <w:r w:rsidRPr="00B53F89">
                <w:rPr>
                  <w:rStyle w:val="Hyperlink"/>
                  <w:rFonts w:eastAsiaTheme="majorEastAsia" w:cs="Arial"/>
                </w:rPr>
                <w:t>EC’s inception assessment</w:t>
              </w:r>
            </w:hyperlink>
            <w:r w:rsidRPr="00B53F89">
              <w:t>, but a final decision is still pending.</w:t>
            </w:r>
          </w:p>
          <w:p w14:paraId="73BC9334" w14:textId="76471672" w:rsidR="00115791" w:rsidRPr="00B53F89" w:rsidRDefault="00115791" w:rsidP="00DE694D">
            <w:pPr>
              <w:rPr>
                <w:rFonts w:eastAsia="SimSun"/>
                <w:lang w:eastAsia="zh-CN"/>
              </w:rPr>
            </w:pPr>
            <w:r w:rsidRPr="00B53F89">
              <w:lastRenderedPageBreak/>
              <w:t xml:space="preserve">ITU-R Working Party 5D </w:t>
            </w:r>
            <w:r w:rsidRPr="00B53F89">
              <w:rPr>
                <w:lang w:eastAsia="zh-CN"/>
              </w:rPr>
              <w:t xml:space="preserve">is continuing the </w:t>
            </w:r>
            <w:r w:rsidRPr="00B53F89">
              <w:rPr>
                <w:rFonts w:eastAsia="SimSun"/>
                <w:lang w:eastAsia="zh-CN"/>
              </w:rPr>
              <w:t xml:space="preserve">revision of Recommendation ITU-R M.1036-5 </w:t>
            </w:r>
            <w:r w:rsidRPr="00B53F89">
              <w:t>on frequency arrangements for implementation of the terrestrial component of International Mobile Telecommunications (IMT) in the bands identified for IMT in the RR</w:t>
            </w:r>
            <w:r w:rsidR="00E463B3" w:rsidRPr="00B53F89">
              <w:t>s</w:t>
            </w:r>
            <w:r w:rsidRPr="00B53F89">
              <w:t xml:space="preserve">. </w:t>
            </w:r>
          </w:p>
          <w:p w14:paraId="24683983" w14:textId="77777777" w:rsidR="00115791" w:rsidRPr="00B53F89" w:rsidRDefault="00115791" w:rsidP="00DE694D">
            <w:pPr>
              <w:pStyle w:val="BodySubHeader"/>
            </w:pPr>
            <w:r w:rsidRPr="00B53F89">
              <w:t>Next steps</w:t>
            </w:r>
          </w:p>
          <w:p w14:paraId="4D7327BD" w14:textId="20DD4C46" w:rsidR="00115791" w:rsidRPr="00B53F89" w:rsidRDefault="00115791" w:rsidP="00DE694D">
            <w:r w:rsidRPr="00B53F89">
              <w:t xml:space="preserve">The ACMA will continue to monitor international developments. In particular, the implementation of the results of the incentive auction process in the US will be of key interest. </w:t>
            </w:r>
          </w:p>
          <w:p w14:paraId="2CFDB64C" w14:textId="684CF28B" w:rsidR="00115791" w:rsidRPr="00B53F89" w:rsidRDefault="00115791" w:rsidP="00DE694D">
            <w:bookmarkStart w:id="226" w:name="_Hlk16244594"/>
            <w:r w:rsidRPr="00B53F89">
              <w:t xml:space="preserve">The ACMA will </w:t>
            </w:r>
            <w:r w:rsidR="00B07FB5" w:rsidRPr="00B53F89">
              <w:t xml:space="preserve">continue to </w:t>
            </w:r>
            <w:r w:rsidRPr="00B53F89">
              <w:t xml:space="preserve">engage with industry and government </w:t>
            </w:r>
            <w:r w:rsidR="00B07FB5" w:rsidRPr="00B53F89">
              <w:t xml:space="preserve">as required </w:t>
            </w:r>
            <w:r w:rsidRPr="00B53F89">
              <w:t>on technological evolution of terrestrial digital television, including DVB-T2 and HEVC</w:t>
            </w:r>
            <w:r w:rsidR="004F0100" w:rsidRPr="00B53F89">
              <w:t xml:space="preserve"> standards</w:t>
            </w:r>
            <w:r w:rsidRPr="00B53F89">
              <w:t>. Adoption of these technologies is likely to be a prerequisite for any future reallocation of broadcasting spectrum for non-broadcasting uses, though it is also key to the more efficient use of spectrum by the television industry itself. Both the government and the ACMA have emphasised the availability of ‘sixth channel’ spectrum for trialling the new standards.</w:t>
            </w:r>
            <w:bookmarkEnd w:id="226"/>
          </w:p>
          <w:p w14:paraId="6B01A7D8" w14:textId="0DDE547A" w:rsidR="00A6506C" w:rsidRPr="00B53F89" w:rsidRDefault="00A6506C" w:rsidP="00AD5DBF">
            <w:pPr>
              <w:spacing w:after="0"/>
            </w:pPr>
            <w:r w:rsidRPr="006A2F04">
              <w:rPr>
                <w:noProof/>
              </w:rPr>
              <w:drawing>
                <wp:inline distT="0" distB="0" distL="0" distR="0" wp14:anchorId="08A645D8" wp14:editId="6DD21F1F">
                  <wp:extent cx="342900" cy="361950"/>
                  <wp:effectExtent l="0" t="0" r="0" b="0"/>
                  <wp:docPr id="98" name="Picture 98"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4BE9AF10" wp14:editId="5EEDC3ED">
                  <wp:extent cx="342900" cy="361950"/>
                  <wp:effectExtent l="0" t="0" r="0" b="0"/>
                  <wp:docPr id="160" name="Picture 160"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255B8DA9" wp14:editId="44564EDB">
                  <wp:extent cx="342900" cy="361950"/>
                  <wp:effectExtent l="0" t="0" r="0" b="0"/>
                  <wp:docPr id="162" name="Picture 162"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Point to multipoint icon"/>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0F05B240" w14:textId="69A535CF" w:rsidR="00210980" w:rsidRPr="00B53F89" w:rsidRDefault="00A54553" w:rsidP="002111ED">
            <w:pPr>
              <w:pStyle w:val="Heading3"/>
            </w:pPr>
            <w:r>
              <w:pict w14:anchorId="7E6C6AE8">
                <v:shape id="_x0000_i1031" type="#_x0000_t75" alt="A picture containing clipart&#10;&#10;Description automatically generated" style="width:19.5pt;height:11.25pt;visibility:visible;mso-wrap-style:square">
                  <v:imagedata r:id="rId60" o:title="A picture containing clipart&#10;&#10;Description automatically generated"/>
                </v:shape>
              </w:pict>
            </w:r>
            <w:bookmarkStart w:id="227" w:name="_Toc18505520"/>
            <w:r w:rsidR="00AC69B8">
              <w:t xml:space="preserve"> </w:t>
            </w:r>
            <w:r w:rsidR="00210980" w:rsidRPr="00B53F89">
              <w:t>1900</w:t>
            </w:r>
            <w:r w:rsidR="00F4360B" w:rsidRPr="00B53F89">
              <w:t>–</w:t>
            </w:r>
            <w:r w:rsidR="00210980" w:rsidRPr="00B53F89">
              <w:t>1920 MHz</w:t>
            </w:r>
            <w:bookmarkEnd w:id="227"/>
          </w:p>
          <w:p w14:paraId="757AAE60" w14:textId="1598ADB0" w:rsidR="00210980" w:rsidRPr="00B53F89" w:rsidRDefault="00210980" w:rsidP="00210980">
            <w:pPr>
              <w:rPr>
                <w:rFonts w:ascii="Calibri" w:hAnsi="Calibri"/>
              </w:rPr>
            </w:pPr>
            <w:r w:rsidRPr="00B53F89">
              <w:t>The 1900</w:t>
            </w:r>
            <w:r w:rsidR="00F4360B" w:rsidRPr="00B53F89">
              <w:t>–</w:t>
            </w:r>
            <w:r w:rsidRPr="00B53F89">
              <w:t>1920 MHz band is allocated in the ARSP to the Fixed and Mobile services on a primary basis. There are arrangements in place for point-to-point and point-to-multipoint licensing in the band in regi</w:t>
            </w:r>
            <w:r w:rsidR="00DA3629" w:rsidRPr="00B53F89">
              <w:t>o</w:t>
            </w:r>
            <w:r w:rsidRPr="00B53F89">
              <w:t xml:space="preserve">nal and remote areas. </w:t>
            </w:r>
          </w:p>
          <w:p w14:paraId="7E807C87" w14:textId="77777777" w:rsidR="00210980" w:rsidRPr="00B53F89" w:rsidRDefault="00210980" w:rsidP="00210980">
            <w:pPr>
              <w:pStyle w:val="BodySubHeader"/>
            </w:pPr>
            <w:r w:rsidRPr="00B53F89">
              <w:t>Recent developments</w:t>
            </w:r>
          </w:p>
          <w:p w14:paraId="2236375D" w14:textId="01D1A115" w:rsidR="00210980" w:rsidRPr="00B53F89" w:rsidRDefault="00210980" w:rsidP="00210980">
            <w:pPr>
              <w:rPr>
                <w:lang w:eastAsia="zh-CN"/>
              </w:rPr>
            </w:pPr>
            <w:r w:rsidRPr="00B53F89">
              <w:t>Metropolitan areas of the 1900</w:t>
            </w:r>
            <w:r w:rsidR="003208A0" w:rsidRPr="00B53F89">
              <w:t>–</w:t>
            </w:r>
            <w:r w:rsidRPr="00B53F89">
              <w:t xml:space="preserve">1920 MHz band were previously subject to spectrum licensing. However, when licences expired in 2017, licensees did not seek to have them re-issued. While the band is identified internationally for IMT by the ITU, to date, use of it domestically for wireless broadband services has been low in metropolitan, regional and remote areas. </w:t>
            </w:r>
          </w:p>
          <w:p w14:paraId="14F6A90E" w14:textId="77777777" w:rsidR="00210980" w:rsidRPr="00B53F89" w:rsidRDefault="00210980" w:rsidP="00210980">
            <w:pPr>
              <w:pStyle w:val="BodySubHeader"/>
            </w:pPr>
            <w:r w:rsidRPr="00B53F89">
              <w:t>Next steps</w:t>
            </w:r>
          </w:p>
          <w:p w14:paraId="6C2B207D" w14:textId="6311F277" w:rsidR="00115791" w:rsidRPr="00B53F89" w:rsidRDefault="00210980" w:rsidP="00DE694D">
            <w:r w:rsidRPr="00B53F89">
              <w:t>The ACMA will monitor developments in the 1900</w:t>
            </w:r>
            <w:r w:rsidR="00F4360B" w:rsidRPr="00B53F89">
              <w:rPr>
                <w:bCs/>
              </w:rPr>
              <w:t>–</w:t>
            </w:r>
            <w:r w:rsidRPr="00B53F89">
              <w:t>1920 MHz band.</w:t>
            </w:r>
          </w:p>
        </w:tc>
      </w:tr>
      <w:tr w:rsidR="008B50ED" w:rsidRPr="00B53F89" w14:paraId="3A05AA3F" w14:textId="77777777" w:rsidTr="00DE694D">
        <w:tc>
          <w:tcPr>
            <w:tcW w:w="7797" w:type="dxa"/>
            <w:tcBorders>
              <w:top w:val="nil"/>
              <w:bottom w:val="nil"/>
            </w:tcBorders>
          </w:tcPr>
          <w:p w14:paraId="0BA96CA0" w14:textId="77777777" w:rsidR="005C5D01" w:rsidRPr="00B53F89" w:rsidRDefault="0068411D" w:rsidP="00AD5DBF">
            <w:pPr>
              <w:spacing w:after="0"/>
            </w:pPr>
            <w:r w:rsidRPr="006A2F04">
              <w:rPr>
                <w:noProof/>
              </w:rPr>
              <w:lastRenderedPageBreak/>
              <w:drawing>
                <wp:inline distT="0" distB="0" distL="0" distR="0" wp14:anchorId="7FFBDFC0" wp14:editId="7CC3C760">
                  <wp:extent cx="342900" cy="361950"/>
                  <wp:effectExtent l="0" t="0" r="0" b="0"/>
                  <wp:docPr id="38" name="Picture 38" descr="Defenc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Defence icon"/>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05E373B8" wp14:editId="01DAFFD6">
                  <wp:extent cx="342900" cy="361950"/>
                  <wp:effectExtent l="0" t="0" r="0" b="0"/>
                  <wp:docPr id="39" name="Picture 39"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4F28D05F" w14:textId="61EE6A30" w:rsidR="008B50ED" w:rsidRPr="00B53F89" w:rsidRDefault="00A54553" w:rsidP="002111ED">
            <w:pPr>
              <w:pStyle w:val="Heading3"/>
            </w:pPr>
            <w:r>
              <w:pict w14:anchorId="4E598C23">
                <v:shape id="_x0000_i1032" type="#_x0000_t75" alt="A close up of a sign&#10;&#10;Description automatically generated" style="width:18.75pt;height:11.25pt;visibility:visible;mso-wrap-style:square">
                  <v:imagedata r:id="rId43" o:title="A close up of a sign&#10;&#10;Description automatically generated"/>
                </v:shape>
              </w:pict>
            </w:r>
            <w:bookmarkStart w:id="228" w:name="_Toc18505521"/>
            <w:r w:rsidR="000922AB">
              <w:t xml:space="preserve"> </w:t>
            </w:r>
            <w:r w:rsidR="008B50ED" w:rsidRPr="00B53F89">
              <w:t>3.3 GHz (3300–3400 MHz)</w:t>
            </w:r>
            <w:bookmarkEnd w:id="228"/>
          </w:p>
        </w:tc>
      </w:tr>
      <w:tr w:rsidR="008B50ED" w:rsidRPr="00B53F89" w14:paraId="4C1030A2" w14:textId="77777777" w:rsidTr="00DE694D">
        <w:tc>
          <w:tcPr>
            <w:tcW w:w="7797" w:type="dxa"/>
            <w:tcBorders>
              <w:top w:val="nil"/>
              <w:bottom w:val="nil"/>
            </w:tcBorders>
          </w:tcPr>
          <w:p w14:paraId="1E455BD1" w14:textId="621D46D1" w:rsidR="008B50ED" w:rsidRPr="00B53F89" w:rsidRDefault="008B50ED" w:rsidP="008B50ED">
            <w:pPr>
              <w:rPr>
                <w:rFonts w:cs="Arial"/>
              </w:rPr>
            </w:pPr>
            <w:r w:rsidRPr="00B53F89">
              <w:t xml:space="preserve">The </w:t>
            </w:r>
            <w:r w:rsidR="00F4360B" w:rsidRPr="00B53F89">
              <w:t>3.3 GHz</w:t>
            </w:r>
            <w:r w:rsidRPr="00B53F89">
              <w:t xml:space="preserve"> band is currently allocated in the </w:t>
            </w:r>
            <w:r w:rsidR="0020287F" w:rsidRPr="00B53F89">
              <w:t xml:space="preserve">RRs </w:t>
            </w:r>
            <w:r w:rsidRPr="00B53F89">
              <w:t xml:space="preserve">on a primary basis to the radiolocation service worldwide. In Australia, this band is designated to be used principally for the purposes of defence and national security via footnote AUS101A of the ARSP. The Department of Defence is normally consulted in considering non-defence use of this service. At WRC-15, the </w:t>
            </w:r>
            <w:r w:rsidR="00F4360B" w:rsidRPr="00B53F89">
              <w:t>3.3 GHz</w:t>
            </w:r>
            <w:r w:rsidRPr="00B53F89">
              <w:t xml:space="preserve"> band was identified for IMT by several countries</w:t>
            </w:r>
            <w:r w:rsidRPr="00B53F89">
              <w:rPr>
                <w:rFonts w:cs="Arial"/>
              </w:rPr>
              <w:t xml:space="preserve">. </w:t>
            </w:r>
          </w:p>
          <w:p w14:paraId="65E013E0" w14:textId="77777777" w:rsidR="008B50ED" w:rsidRPr="00B53F89" w:rsidRDefault="008B50ED" w:rsidP="008B50ED">
            <w:pPr>
              <w:pStyle w:val="BodySubHeader"/>
            </w:pPr>
            <w:r w:rsidRPr="00B53F89">
              <w:t>Recent developments</w:t>
            </w:r>
          </w:p>
          <w:p w14:paraId="606765FE" w14:textId="23D83E84" w:rsidR="008B50ED" w:rsidRPr="00B53F89" w:rsidRDefault="008B50ED" w:rsidP="008B50ED">
            <w:r w:rsidRPr="00B53F89">
              <w:t xml:space="preserve">ITU-R Working Party 5D </w:t>
            </w:r>
            <w:r w:rsidR="008111D8" w:rsidRPr="00B53F89">
              <w:rPr>
                <w:lang w:eastAsia="zh-CN"/>
              </w:rPr>
              <w:t>had developed draft a</w:t>
            </w:r>
            <w:r w:rsidRPr="00B53F89">
              <w:rPr>
                <w:lang w:eastAsia="zh-CN"/>
              </w:rPr>
              <w:t xml:space="preserve"> </w:t>
            </w:r>
            <w:r w:rsidRPr="00B53F89">
              <w:rPr>
                <w:rFonts w:eastAsia="SimSun"/>
                <w:lang w:eastAsia="zh-CN"/>
              </w:rPr>
              <w:t>revision of Recommendation ITU-</w:t>
            </w:r>
            <w:r w:rsidRPr="00B53F89">
              <w:t>R M.1036-5 on frequency arrangements for implementation of the terrestrial component of IMT in the bands identified for IMT in the</w:t>
            </w:r>
            <w:r w:rsidRPr="006A2F04">
              <w:rPr>
                <w:color w:val="000000"/>
                <w:szCs w:val="20"/>
              </w:rPr>
              <w:t xml:space="preserve"> </w:t>
            </w:r>
            <w:r w:rsidRPr="00B53F89">
              <w:t xml:space="preserve">RRs. The draft revision includes arrangements for the </w:t>
            </w:r>
            <w:r w:rsidR="00F4360B" w:rsidRPr="00B53F89">
              <w:t>3.3 GHz</w:t>
            </w:r>
            <w:r w:rsidR="007E1423" w:rsidRPr="00B53F89">
              <w:t xml:space="preserve"> band</w:t>
            </w:r>
            <w:r w:rsidRPr="00B53F89">
              <w:t xml:space="preserve">. Working Party 5D </w:t>
            </w:r>
            <w:r w:rsidR="008111D8" w:rsidRPr="00B53F89">
              <w:t xml:space="preserve">has also completed </w:t>
            </w:r>
            <w:r w:rsidRPr="00B53F89">
              <w:t xml:space="preserve">studies </w:t>
            </w:r>
            <w:r w:rsidR="008111D8" w:rsidRPr="00B53F89">
              <w:t>with incumbent radiolocation services in the 3100</w:t>
            </w:r>
            <w:r w:rsidR="00243F7D" w:rsidRPr="00B53F89">
              <w:t>–</w:t>
            </w:r>
            <w:r w:rsidR="008111D8" w:rsidRPr="00B53F89">
              <w:t xml:space="preserve">3400 MHz band </w:t>
            </w:r>
            <w:r w:rsidRPr="00B53F89">
              <w:t xml:space="preserve">as called for in Resolution </w:t>
            </w:r>
            <w:r w:rsidRPr="00B53F89">
              <w:rPr>
                <w:b/>
              </w:rPr>
              <w:t>223 (Rev. WRC-15).</w:t>
            </w:r>
            <w:r w:rsidRPr="00B53F89">
              <w:t xml:space="preserve"> </w:t>
            </w:r>
            <w:r w:rsidR="008111D8" w:rsidRPr="00B53F89">
              <w:t xml:space="preserve">These are contained in </w:t>
            </w:r>
            <w:r w:rsidR="00243F7D" w:rsidRPr="00B53F89">
              <w:t>d</w:t>
            </w:r>
            <w:r w:rsidR="008111D8" w:rsidRPr="00B53F89">
              <w:t xml:space="preserve">raft new </w:t>
            </w:r>
            <w:r w:rsidR="00243F7D" w:rsidRPr="00B53F89">
              <w:t>r</w:t>
            </w:r>
            <w:r w:rsidR="008111D8" w:rsidRPr="00B53F89">
              <w:t>eport ITU-R M.</w:t>
            </w:r>
            <w:r w:rsidR="009F36F7">
              <w:t xml:space="preserve"> </w:t>
            </w:r>
            <w:r w:rsidR="008111D8" w:rsidRPr="00B53F89">
              <w:t xml:space="preserve">[RADAR&amp;IMT SHARING]. </w:t>
            </w:r>
            <w:r w:rsidR="008111D8" w:rsidRPr="00B53F89">
              <w:lastRenderedPageBreak/>
              <w:t xml:space="preserve">The revisions to </w:t>
            </w:r>
            <w:r w:rsidR="008111D8" w:rsidRPr="00B53F89">
              <w:rPr>
                <w:rFonts w:eastAsia="SimSun"/>
                <w:lang w:eastAsia="zh-CN"/>
              </w:rPr>
              <w:t>Recommendation ITU-</w:t>
            </w:r>
            <w:r w:rsidR="008111D8" w:rsidRPr="00B53F89">
              <w:t>R M.1036-5 and the draft new report are expected to be adopted by the ITU-R by the end of 2019.</w:t>
            </w:r>
            <w:r w:rsidRPr="00B53F89">
              <w:rPr>
                <w:rFonts w:eastAsia="SimSun"/>
                <w:lang w:eastAsia="zh-CN"/>
              </w:rPr>
              <w:t>The AWG</w:t>
            </w:r>
            <w:r w:rsidRPr="00B53F89" w:rsidDel="005601C6">
              <w:rPr>
                <w:rFonts w:eastAsia="SimSun"/>
                <w:lang w:eastAsia="zh-CN"/>
              </w:rPr>
              <w:t xml:space="preserve"> </w:t>
            </w:r>
            <w:r w:rsidRPr="00B53F89">
              <w:rPr>
                <w:rFonts w:eastAsia="SimSun"/>
                <w:lang w:eastAsia="zh-CN"/>
              </w:rPr>
              <w:t xml:space="preserve">has a work plan to develop a recommendation or report on harmonised frequency arrangement(s) for the </w:t>
            </w:r>
            <w:r w:rsidR="00F4360B" w:rsidRPr="00B53F89">
              <w:rPr>
                <w:rFonts w:eastAsia="SimSun"/>
                <w:lang w:eastAsia="zh-CN"/>
              </w:rPr>
              <w:t>3.3 GHz</w:t>
            </w:r>
            <w:r w:rsidRPr="00B53F89">
              <w:rPr>
                <w:rFonts w:eastAsia="SimSun"/>
                <w:lang w:eastAsia="zh-CN"/>
              </w:rPr>
              <w:t xml:space="preserve"> band. </w:t>
            </w:r>
            <w:r w:rsidRPr="00B53F89">
              <w:t xml:space="preserve">Technology standardisation within the 3GPP is also developing, with two bands defined by the 3GPP in July 2017—the first band being 3.3–3.8 GHz and the second being 3.3–4.2 GHz. </w:t>
            </w:r>
          </w:p>
          <w:p w14:paraId="47F02590" w14:textId="220C1445" w:rsidR="008B50ED" w:rsidRPr="00B53F89" w:rsidRDefault="008B50ED" w:rsidP="008B50ED">
            <w:pPr>
              <w:rPr>
                <w:rFonts w:eastAsia="SimSun"/>
                <w:lang w:eastAsia="zh-CN"/>
              </w:rPr>
            </w:pPr>
            <w:r w:rsidRPr="00B53F89">
              <w:rPr>
                <w:rFonts w:eastAsiaTheme="majorEastAsia"/>
              </w:rPr>
              <w:t>Due to the current availability of equipment, WISPs and other FWA operators have also expressed interest in accessing the band.</w:t>
            </w:r>
          </w:p>
          <w:p w14:paraId="79C0B782" w14:textId="77777777" w:rsidR="008B50ED" w:rsidRPr="00B53F89" w:rsidRDefault="008B50ED" w:rsidP="008B50ED">
            <w:pPr>
              <w:pStyle w:val="BodySubHeader"/>
            </w:pPr>
            <w:r w:rsidRPr="00B53F89">
              <w:t>Next steps</w:t>
            </w:r>
          </w:p>
          <w:p w14:paraId="72E1B014" w14:textId="428FA3B6" w:rsidR="008B50ED" w:rsidRPr="00B53F89" w:rsidRDefault="008B50ED" w:rsidP="008B50ED">
            <w:r w:rsidRPr="00B53F89">
              <w:t xml:space="preserve">The ACMA will continue to monitor developments in this band. </w:t>
            </w:r>
          </w:p>
        </w:tc>
      </w:tr>
      <w:tr w:rsidR="008B50ED" w:rsidRPr="00B53F89" w14:paraId="6C8BBFE1" w14:textId="77777777" w:rsidTr="00DE694D">
        <w:tc>
          <w:tcPr>
            <w:tcW w:w="7797" w:type="dxa"/>
            <w:tcBorders>
              <w:top w:val="nil"/>
              <w:bottom w:val="nil"/>
            </w:tcBorders>
          </w:tcPr>
          <w:p w14:paraId="41A030FE" w14:textId="4FEBF9F1" w:rsidR="0068411D" w:rsidRPr="00B53F89" w:rsidRDefault="0068411D" w:rsidP="00C4441C">
            <w:pPr>
              <w:keepNext/>
              <w:spacing w:before="60" w:after="0"/>
            </w:pPr>
            <w:r w:rsidRPr="006A2F04">
              <w:rPr>
                <w:noProof/>
              </w:rPr>
              <w:lastRenderedPageBreak/>
              <w:drawing>
                <wp:inline distT="0" distB="0" distL="0" distR="0" wp14:anchorId="39845F82" wp14:editId="2650D2E6">
                  <wp:extent cx="342900" cy="361950"/>
                  <wp:effectExtent l="0" t="0" r="0" b="0"/>
                  <wp:docPr id="40" name="Picture 40" descr="Defenc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Defence icon"/>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05B77EC6" wp14:editId="6B8734C3">
                  <wp:extent cx="342900" cy="361950"/>
                  <wp:effectExtent l="0" t="0" r="0" b="0"/>
                  <wp:docPr id="41" name="Picture 41"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2AE06F50" wp14:editId="7F1B24F4">
                  <wp:extent cx="342900" cy="361950"/>
                  <wp:effectExtent l="0" t="0" r="0" b="0"/>
                  <wp:docPr id="42" name="Picture 42" descr="Aviation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Aviation icon"/>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70AF6E90" w14:textId="4BDEAA05" w:rsidR="008B50ED" w:rsidRPr="00B53F89" w:rsidRDefault="008B50ED" w:rsidP="008B50ED">
            <w:pPr>
              <w:pStyle w:val="Heading3"/>
            </w:pPr>
            <w:bookmarkStart w:id="229" w:name="_Toc18505522"/>
            <w:r w:rsidRPr="00B53F89">
              <w:t>4.5 GHz (4400–4500 MHz)</w:t>
            </w:r>
            <w:bookmarkEnd w:id="229"/>
          </w:p>
        </w:tc>
      </w:tr>
      <w:tr w:rsidR="008B50ED" w:rsidRPr="00B53F89" w14:paraId="107E75E4" w14:textId="77777777" w:rsidTr="00DE694D">
        <w:tc>
          <w:tcPr>
            <w:tcW w:w="7797" w:type="dxa"/>
            <w:tcBorders>
              <w:top w:val="nil"/>
              <w:bottom w:val="nil"/>
            </w:tcBorders>
          </w:tcPr>
          <w:p w14:paraId="1F1858CD" w14:textId="457C2DFC" w:rsidR="008B50ED" w:rsidRPr="00B53F89" w:rsidRDefault="008B50ED" w:rsidP="008B50ED">
            <w:pPr>
              <w:rPr>
                <w:rFonts w:cs="Arial"/>
              </w:rPr>
            </w:pPr>
            <w:r w:rsidRPr="00B53F89">
              <w:t xml:space="preserve">The </w:t>
            </w:r>
            <w:r w:rsidR="00F4360B" w:rsidRPr="00B53F89">
              <w:t>4.5 GHz</w:t>
            </w:r>
            <w:r w:rsidRPr="00B53F89">
              <w:t xml:space="preserve"> band is currently allocated in the </w:t>
            </w:r>
            <w:r w:rsidR="0020287F" w:rsidRPr="00B53F89">
              <w:t xml:space="preserve">RRs </w:t>
            </w:r>
            <w:r w:rsidRPr="00B53F89">
              <w:t xml:space="preserve">on a co-primary basis to fixed and mobile service worldwide. In Australia, the band is designated to be used principally for the purposes of defence and national security via footnote AUS101 of the ARSP. </w:t>
            </w:r>
            <w:r w:rsidR="0066184D" w:rsidRPr="00B53F89">
              <w:t xml:space="preserve">The Department of </w:t>
            </w:r>
            <w:r w:rsidRPr="00B53F89">
              <w:t>Defence is normally consulted in considering non-defence use of this service. Typical use is</w:t>
            </w:r>
            <w:r w:rsidRPr="00B53F89" w:rsidDel="005601C6">
              <w:t xml:space="preserve"> for </w:t>
            </w:r>
            <w:r w:rsidRPr="00B53F89">
              <w:t>aeronautical mobile telemetry for flight testing by aircraft stations.</w:t>
            </w:r>
          </w:p>
          <w:p w14:paraId="041381A0" w14:textId="29B26159" w:rsidR="008B50ED" w:rsidRPr="00B53F89" w:rsidRDefault="008B50ED" w:rsidP="008B50ED">
            <w:pPr>
              <w:rPr>
                <w:rFonts w:cs="Arial"/>
              </w:rPr>
            </w:pPr>
            <w:bookmarkStart w:id="230" w:name="_Hlk18394181"/>
            <w:r w:rsidRPr="00B53F89">
              <w:rPr>
                <w:rFonts w:cs="Arial"/>
              </w:rPr>
              <w:t xml:space="preserve">The 4.5 GHz band was not identified for IMT at WRC-15 despite strong interest from China, Japan and </w:t>
            </w:r>
            <w:r w:rsidR="000934ED" w:rsidRPr="00B53F89">
              <w:rPr>
                <w:rFonts w:cs="Arial"/>
              </w:rPr>
              <w:t>Republic of Korea (</w:t>
            </w:r>
            <w:r w:rsidR="002B1D8F" w:rsidRPr="00B53F89">
              <w:rPr>
                <w:rFonts w:cs="Arial"/>
              </w:rPr>
              <w:t xml:space="preserve">South </w:t>
            </w:r>
            <w:r w:rsidRPr="00B53F89">
              <w:rPr>
                <w:rFonts w:cs="Arial"/>
              </w:rPr>
              <w:t>Korea</w:t>
            </w:r>
            <w:r w:rsidR="000934ED" w:rsidRPr="00B53F89">
              <w:rPr>
                <w:rFonts w:cs="Arial"/>
              </w:rPr>
              <w:t>)</w:t>
            </w:r>
            <w:r w:rsidRPr="00B53F89">
              <w:rPr>
                <w:rFonts w:cs="Arial"/>
              </w:rPr>
              <w:t>.</w:t>
            </w:r>
          </w:p>
          <w:bookmarkEnd w:id="230"/>
          <w:p w14:paraId="7B607FBC" w14:textId="176E1BD3" w:rsidR="008B50ED" w:rsidRPr="00B53F89" w:rsidRDefault="008B50ED" w:rsidP="008B50ED">
            <w:r w:rsidRPr="00B53F89">
              <w:rPr>
                <w:rFonts w:cs="Arial"/>
              </w:rPr>
              <w:t>Since then, there has been increasing interest in this band, particularly from ITU Region 3 countries. In June 2016, Japan’s Ministry of Internal Affairs and Communications (MIC) named the 4.4–4.9 GHz band as a nationally suitable candidate band for 5G.</w:t>
            </w:r>
            <w:r w:rsidRPr="00B53F89">
              <w:rPr>
                <w:rStyle w:val="FootnoteReference"/>
              </w:rPr>
              <w:footnoteReference w:id="20"/>
            </w:r>
            <w:r w:rsidRPr="00B53F89">
              <w:rPr>
                <w:rFonts w:cs="Arial"/>
              </w:rPr>
              <w:t xml:space="preserve"> </w:t>
            </w:r>
            <w:r w:rsidRPr="00B53F89">
              <w:t xml:space="preserve">There is some interest from domestic fixed and mobile wireless broadband interests in pursuing this band for mobile broadband in Australia. </w:t>
            </w:r>
          </w:p>
          <w:p w14:paraId="420FB314" w14:textId="77777777" w:rsidR="008B50ED" w:rsidRPr="00B53F89" w:rsidRDefault="008B50ED" w:rsidP="008B50ED">
            <w:pPr>
              <w:pStyle w:val="BodySubHeader"/>
              <w:keepNext/>
              <w:keepLines/>
            </w:pPr>
            <w:r w:rsidRPr="00B53F89">
              <w:t>Next steps</w:t>
            </w:r>
          </w:p>
          <w:p w14:paraId="28879C88" w14:textId="1B8846D9" w:rsidR="008B50ED" w:rsidRPr="00B53F89" w:rsidRDefault="008B50ED" w:rsidP="008B50ED">
            <w:pPr>
              <w:keepNext/>
              <w:keepLines/>
            </w:pPr>
            <w:r w:rsidRPr="00B53F89">
              <w:t xml:space="preserve">The ACMA will continue to monitor developments in this band. </w:t>
            </w:r>
          </w:p>
        </w:tc>
      </w:tr>
      <w:tr w:rsidR="008B50ED" w:rsidRPr="00B53F89" w14:paraId="307AA27C" w14:textId="77777777" w:rsidTr="00DE694D">
        <w:tc>
          <w:tcPr>
            <w:tcW w:w="7797" w:type="dxa"/>
            <w:tcBorders>
              <w:top w:val="nil"/>
              <w:bottom w:val="nil"/>
            </w:tcBorders>
          </w:tcPr>
          <w:p w14:paraId="225A6B7E" w14:textId="1E60A85E" w:rsidR="00EB452E" w:rsidRPr="00B53F89" w:rsidRDefault="00EB452E" w:rsidP="00C4441C">
            <w:pPr>
              <w:keepNext/>
              <w:spacing w:before="60" w:after="0"/>
            </w:pPr>
            <w:r w:rsidRPr="006A2F04">
              <w:rPr>
                <w:noProof/>
              </w:rPr>
              <w:drawing>
                <wp:inline distT="0" distB="0" distL="0" distR="0" wp14:anchorId="01DA754D" wp14:editId="34D2CB1D">
                  <wp:extent cx="342900" cy="361950"/>
                  <wp:effectExtent l="0" t="0" r="0" b="0"/>
                  <wp:docPr id="43" name="Picture 43" descr="Defenc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Defence icon"/>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15C6DD99" wp14:editId="092FFAB2">
                  <wp:extent cx="342900" cy="361950"/>
                  <wp:effectExtent l="0" t="0" r="0" b="0"/>
                  <wp:docPr id="44" name="Picture 44"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7D27DDD6" wp14:editId="7D7643B7">
                  <wp:extent cx="342900" cy="361950"/>
                  <wp:effectExtent l="0" t="0" r="0" b="0"/>
                  <wp:docPr id="46" name="Picture 46"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06FCEF72" w14:textId="06ECFFDC" w:rsidR="008B50ED" w:rsidRPr="00B53F89" w:rsidRDefault="008B50ED" w:rsidP="008B50ED">
            <w:pPr>
              <w:pStyle w:val="Heading3"/>
              <w:rPr>
                <w:szCs w:val="20"/>
              </w:rPr>
            </w:pPr>
            <w:bookmarkStart w:id="231" w:name="_Toc18505523"/>
            <w:r w:rsidRPr="00B53F89">
              <w:t>4.8 GHz (4800–4990 MHz)</w:t>
            </w:r>
            <w:bookmarkEnd w:id="231"/>
          </w:p>
        </w:tc>
      </w:tr>
      <w:tr w:rsidR="008B50ED" w:rsidRPr="00B53F89" w14:paraId="494A1958" w14:textId="77777777" w:rsidTr="00DE694D">
        <w:tc>
          <w:tcPr>
            <w:tcW w:w="7797" w:type="dxa"/>
            <w:tcBorders>
              <w:top w:val="nil"/>
              <w:bottom w:val="nil"/>
            </w:tcBorders>
          </w:tcPr>
          <w:p w14:paraId="75DA1AA5" w14:textId="2B29C8B5" w:rsidR="008B50ED" w:rsidRPr="00B53F89" w:rsidRDefault="008B50ED" w:rsidP="008B50ED">
            <w:bookmarkStart w:id="232" w:name="_Hlk2163734"/>
            <w:r w:rsidRPr="00B53F89">
              <w:t xml:space="preserve">At WRC-15, the 4.8 GHz band was identified for IMT by several countries, including Uruguay, Cambodia, Laos and Vietnam. Notably, there was also strong interest from China and Japan in identifying the band for IMT. This suggests that a viable ecosystem could develop for mobile broadband systems in this band. The 4.8 GHz band is currently allocated in the </w:t>
            </w:r>
            <w:r w:rsidR="0020287F" w:rsidRPr="00B53F89">
              <w:t xml:space="preserve">RRs </w:t>
            </w:r>
            <w:r w:rsidRPr="00B53F89">
              <w:t xml:space="preserve">on a primary basis for the fixed and mobile services in Australia. </w:t>
            </w:r>
          </w:p>
          <w:p w14:paraId="4B3D1871" w14:textId="2ED82959" w:rsidR="008B50ED" w:rsidRPr="00B53F89" w:rsidRDefault="008B50ED" w:rsidP="008B50ED">
            <w:pPr>
              <w:rPr>
                <w:szCs w:val="20"/>
              </w:rPr>
            </w:pPr>
            <w:r w:rsidRPr="00B53F89">
              <w:rPr>
                <w:szCs w:val="20"/>
              </w:rPr>
              <w:t xml:space="preserve">In Australia, the fixed and mobile services in this band are designated to be used principally for defence and national security purposes, as defined in footnote AUS101A of the ARSP. </w:t>
            </w:r>
            <w:r w:rsidR="0066184D" w:rsidRPr="00B53F89">
              <w:rPr>
                <w:szCs w:val="20"/>
              </w:rPr>
              <w:t xml:space="preserve">The Department of </w:t>
            </w:r>
            <w:r w:rsidRPr="00B53F89">
              <w:rPr>
                <w:szCs w:val="20"/>
              </w:rPr>
              <w:t>Defence is normally consulted in considering non-</w:t>
            </w:r>
            <w:r w:rsidRPr="00B53F89">
              <w:rPr>
                <w:szCs w:val="20"/>
              </w:rPr>
              <w:lastRenderedPageBreak/>
              <w:t>defence use of these services. The 4950–4990 MHz part of the band is also allocated to the radio astronomy service on a primary basis under footnote 443 of the ARSP.</w:t>
            </w:r>
          </w:p>
          <w:p w14:paraId="15DF55B9" w14:textId="4398931E" w:rsidR="008B50ED" w:rsidRPr="00B53F89" w:rsidRDefault="008B50ED" w:rsidP="008B50ED">
            <w:r w:rsidRPr="00B53F89">
              <w:t xml:space="preserve">At WRC-03, the </w:t>
            </w:r>
            <w:r w:rsidRPr="00B53F89">
              <w:rPr>
                <w:szCs w:val="20"/>
              </w:rPr>
              <w:t>4940–4990 MHz</w:t>
            </w:r>
            <w:r w:rsidRPr="00B53F89">
              <w:t xml:space="preserve"> band was identified to support public safety services in ITU Regions 2 and 3 for use by government agencies responsible for the provision of defence, national security, law enforcement and emergency services.</w:t>
            </w:r>
            <w:r w:rsidRPr="00B53F89">
              <w:rPr>
                <w:rStyle w:val="FootnoteReference"/>
              </w:rPr>
              <w:footnoteReference w:id="21"/>
            </w:r>
            <w:r w:rsidRPr="00B53F89">
              <w:rPr>
                <w:rStyle w:val="FootnoteReference"/>
              </w:rPr>
              <w:t xml:space="preserve"> </w:t>
            </w:r>
          </w:p>
          <w:p w14:paraId="0F2A279D" w14:textId="11678354" w:rsidR="008B50ED" w:rsidRPr="00B53F89" w:rsidRDefault="008B50ED" w:rsidP="008B50ED">
            <w:pPr>
              <w:rPr>
                <w:szCs w:val="20"/>
              </w:rPr>
            </w:pPr>
            <w:r w:rsidRPr="00B53F89">
              <w:t>There is some interest domestically from large MNOs as well as WISPs and other FWA operators in pursuing this band for wireless broadband in Australia.</w:t>
            </w:r>
            <w:r w:rsidRPr="00B53F89">
              <w:rPr>
                <w:szCs w:val="20"/>
              </w:rPr>
              <w:t xml:space="preserve"> However, the ACMA is not aware of any significant interest in this band by regional bodies</w:t>
            </w:r>
            <w:r w:rsidR="00BD28D6" w:rsidRPr="00B53F89">
              <w:rPr>
                <w:szCs w:val="20"/>
              </w:rPr>
              <w:t>,</w:t>
            </w:r>
            <w:r w:rsidRPr="00B53F89">
              <w:rPr>
                <w:szCs w:val="20"/>
              </w:rPr>
              <w:t xml:space="preserve"> such as the European Conference of Postal and Telecommunications Administrations (CEPT), Inter-American Telecommunication Commission or APT. </w:t>
            </w:r>
          </w:p>
          <w:p w14:paraId="1FC1B60D" w14:textId="7196AC67" w:rsidR="008B50ED" w:rsidRPr="00B53F89" w:rsidRDefault="008B50ED" w:rsidP="008B50ED">
            <w:r w:rsidRPr="00B53F89">
              <w:t xml:space="preserve">Several countries, including Australia, have implemented arrangements in the </w:t>
            </w:r>
            <w:r w:rsidRPr="00B53F89">
              <w:rPr>
                <w:szCs w:val="20"/>
              </w:rPr>
              <w:t>4940–4990 MHz</w:t>
            </w:r>
            <w:r w:rsidRPr="00B53F89">
              <w:t xml:space="preserve"> band for defence and national security purposes. This is principally to support high-speed localised coverage around an incident or event. The </w:t>
            </w:r>
            <w:hyperlink r:id="rId61" w:history="1">
              <w:r w:rsidRPr="006A2F04">
                <w:rPr>
                  <w:rStyle w:val="Hyperlink"/>
                  <w:rFonts w:eastAsiaTheme="majorEastAsia" w:cs="Arial"/>
                </w:rPr>
                <w:t>Radiocommunications (Public Safety and Emergency Response) Class Licence 2013</w:t>
              </w:r>
            </w:hyperlink>
            <w:r w:rsidRPr="00B53F89">
              <w:t xml:space="preserve"> (the PSER </w:t>
            </w:r>
            <w:r w:rsidR="002B1D8F" w:rsidRPr="00B53F89">
              <w:t>c</w:t>
            </w:r>
            <w:r w:rsidRPr="00B53F89">
              <w:t xml:space="preserve">lass </w:t>
            </w:r>
            <w:r w:rsidR="002B1D8F" w:rsidRPr="00B53F89">
              <w:t>l</w:t>
            </w:r>
            <w:r w:rsidRPr="00B53F89">
              <w:t xml:space="preserve">icence) outlines arrangements for the use of this band, which allows public safety agencies to enhance their ability to perform public safety activities and provide significant flexibility in deployment during emergency response and disaster recovery activities. </w:t>
            </w:r>
          </w:p>
          <w:p w14:paraId="48489293" w14:textId="77777777" w:rsidR="008B50ED" w:rsidRPr="00B53F89" w:rsidRDefault="008B50ED" w:rsidP="008B50ED">
            <w:pPr>
              <w:pStyle w:val="BodySubHeader"/>
              <w:keepNext/>
              <w:keepLines/>
            </w:pPr>
            <w:r w:rsidRPr="00B53F89">
              <w:t>Recent developments</w:t>
            </w:r>
          </w:p>
          <w:p w14:paraId="232BE04E" w14:textId="3015E8BA" w:rsidR="008B50ED" w:rsidRPr="00B53F89" w:rsidRDefault="008B50ED" w:rsidP="008B50ED">
            <w:pPr>
              <w:keepNext/>
              <w:keepLines/>
              <w:rPr>
                <w:rFonts w:eastAsia="SimSun"/>
              </w:rPr>
            </w:pPr>
            <w:r w:rsidRPr="00B53F89">
              <w:t xml:space="preserve">ITU-R Working Party 5D </w:t>
            </w:r>
            <w:r w:rsidRPr="00B53F89">
              <w:rPr>
                <w:lang w:eastAsia="zh-CN"/>
              </w:rPr>
              <w:t xml:space="preserve">is continuing the </w:t>
            </w:r>
            <w:r w:rsidRPr="00B53F89">
              <w:rPr>
                <w:rFonts w:eastAsia="SimSun"/>
                <w:lang w:eastAsia="zh-CN"/>
              </w:rPr>
              <w:t>revision of Recommendation ITU-</w:t>
            </w:r>
            <w:r w:rsidRPr="00B53F89">
              <w:t xml:space="preserve">R M.1036-5 on frequency arrangements for implementation of the terrestrial component of IMT in the bands identified for IMT in the RRs. The draft revision includes arrangements for 4.9 GHz band. Working Party 5D is also continuing studies called for in Resolution </w:t>
            </w:r>
            <w:r w:rsidRPr="00B53F89">
              <w:rPr>
                <w:b/>
                <w:bCs/>
              </w:rPr>
              <w:t>223 (Rev. WRC-15)</w:t>
            </w:r>
            <w:r w:rsidRPr="00B53F89">
              <w:t xml:space="preserve"> on the </w:t>
            </w:r>
            <w:r w:rsidRPr="00B53F89">
              <w:rPr>
                <w:lang w:eastAsia="ja-JP"/>
              </w:rPr>
              <w:t>coexistence conditions between IMT and aeronautical mobile services in the band</w:t>
            </w:r>
            <w:r w:rsidRPr="00B53F89">
              <w:t xml:space="preserve">, with work currently underway to develop sharing characteristics for IMT-2020 in this band. </w:t>
            </w:r>
          </w:p>
          <w:p w14:paraId="51A7F309" w14:textId="6A7EA410" w:rsidR="00293633" w:rsidRPr="00B53F89" w:rsidRDefault="008B50ED" w:rsidP="00926054">
            <w:r w:rsidRPr="00B53F89">
              <w:t xml:space="preserve">Separately, the 4940–4990 MHz band is included in IEEE standard 802.11y Public Safety </w:t>
            </w:r>
            <w:r w:rsidR="002B1D8F" w:rsidRPr="00B53F89">
              <w:t>Wireless Local Area Network (</w:t>
            </w:r>
            <w:r w:rsidRPr="00B53F89">
              <w:t>WLAN</w:t>
            </w:r>
            <w:r w:rsidR="002B1D8F" w:rsidRPr="00B53F89">
              <w:t>)</w:t>
            </w:r>
            <w:r w:rsidRPr="00B53F89">
              <w:t xml:space="preserve"> but has also been included in 5G standards (3GPP band n79) which may enable public safety agencies in Australia to deploy their own 5G capabilities under the PSER </w:t>
            </w:r>
            <w:r w:rsidR="002B1D8F" w:rsidRPr="00B53F89">
              <w:t>c</w:t>
            </w:r>
            <w:r w:rsidRPr="00B53F89">
              <w:t xml:space="preserve">lass </w:t>
            </w:r>
            <w:r w:rsidR="002B1D8F" w:rsidRPr="00B53F89">
              <w:t>l</w:t>
            </w:r>
            <w:r w:rsidRPr="00B53F89">
              <w:t>icence. To help foster markets for public safety-grade 5G equipment in this band, the ACMA recently led an Australian proposal to update the relevant ITU-R band plan (Recommendation ITU-R M.1826) to include provisions for up to 50 MHz 5G channels bandwidths. This proposal was agreed at the May 2019 meeting of ITU-R Working Party 5A.</w:t>
            </w:r>
          </w:p>
          <w:p w14:paraId="3516A285" w14:textId="77777777" w:rsidR="008B50ED" w:rsidRPr="00B53F89" w:rsidRDefault="008B50ED" w:rsidP="008B50ED">
            <w:pPr>
              <w:pStyle w:val="BodySubHeader"/>
            </w:pPr>
            <w:r w:rsidRPr="00B53F89">
              <w:t>Next steps</w:t>
            </w:r>
          </w:p>
          <w:p w14:paraId="086C9984" w14:textId="6F638C41" w:rsidR="008B50ED" w:rsidRPr="00B53F89" w:rsidRDefault="008B50ED" w:rsidP="008B50ED">
            <w:r w:rsidRPr="00B53F89">
              <w:t xml:space="preserve">The ACMA will continue to monitor developments in this band. </w:t>
            </w:r>
            <w:bookmarkEnd w:id="232"/>
          </w:p>
        </w:tc>
      </w:tr>
      <w:tr w:rsidR="008B50ED" w:rsidRPr="00B53F89" w14:paraId="298C9DF8" w14:textId="77777777" w:rsidTr="00DE694D">
        <w:tc>
          <w:tcPr>
            <w:tcW w:w="7797" w:type="dxa"/>
            <w:tcBorders>
              <w:top w:val="nil"/>
              <w:bottom w:val="nil"/>
            </w:tcBorders>
          </w:tcPr>
          <w:p w14:paraId="498B078C" w14:textId="6E3D53C5" w:rsidR="00EB452E" w:rsidRPr="00B53F89" w:rsidRDefault="00EB452E" w:rsidP="00C4441C">
            <w:pPr>
              <w:keepNext/>
              <w:spacing w:before="60" w:after="0"/>
            </w:pPr>
            <w:r w:rsidRPr="006A2F04">
              <w:rPr>
                <w:noProof/>
              </w:rPr>
              <w:lastRenderedPageBreak/>
              <w:drawing>
                <wp:inline distT="0" distB="0" distL="0" distR="0" wp14:anchorId="07BE8CA4" wp14:editId="34263078">
                  <wp:extent cx="342900" cy="361950"/>
                  <wp:effectExtent l="0" t="0" r="0" b="0"/>
                  <wp:docPr id="47" name="Picture 47"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41C3AF3E" wp14:editId="0B26AEF9">
                  <wp:extent cx="342900" cy="361950"/>
                  <wp:effectExtent l="0" t="0" r="0" b="0"/>
                  <wp:docPr id="48" name="Picture 48"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3811DEC2" w14:textId="020D0BD1" w:rsidR="008B50ED" w:rsidRPr="00B53F89" w:rsidRDefault="008B50ED" w:rsidP="008B50ED">
            <w:pPr>
              <w:pStyle w:val="Heading3"/>
            </w:pPr>
            <w:bookmarkStart w:id="233" w:name="_Toc18505524"/>
            <w:r w:rsidRPr="00B53F89">
              <w:t>Bands being studied under WRC-19 agenda item 1.16</w:t>
            </w:r>
            <w:bookmarkEnd w:id="233"/>
          </w:p>
        </w:tc>
      </w:tr>
      <w:tr w:rsidR="008B50ED" w:rsidRPr="00B53F89" w14:paraId="59FFC3A9" w14:textId="77777777" w:rsidTr="00DE694D">
        <w:tc>
          <w:tcPr>
            <w:tcW w:w="7797" w:type="dxa"/>
            <w:tcBorders>
              <w:top w:val="nil"/>
              <w:bottom w:val="nil"/>
            </w:tcBorders>
          </w:tcPr>
          <w:p w14:paraId="7417A7AD" w14:textId="5A6FA6CD" w:rsidR="008B50ED" w:rsidRPr="00B53F89" w:rsidRDefault="008B50ED" w:rsidP="008B50ED">
            <w:r w:rsidRPr="00B53F89">
              <w:t xml:space="preserve">WRC-19 agenda item 1.16 considers issues related to wireless access systems, including radio local area networks (WAS/RLAN), in the frequency bands 5150–5350 MHz (to enable outdoor usage), 5350–5470 MHz, 5725–5850 MHz and </w:t>
            </w:r>
            <w:r w:rsidR="009F36F7">
              <w:br/>
            </w:r>
            <w:r w:rsidRPr="00B53F89">
              <w:lastRenderedPageBreak/>
              <w:t xml:space="preserve">5850–5925 MHz, while ensuring the protection of incumbent services including their current and planned use. </w:t>
            </w:r>
          </w:p>
          <w:p w14:paraId="4A889EA5" w14:textId="4D540585" w:rsidR="008B50ED" w:rsidRPr="00B53F89" w:rsidRDefault="008B50ED" w:rsidP="008B50ED">
            <w:r w:rsidRPr="00B53F89">
              <w:t>There was initially strong interest from the US and the United Kingdom (UK) to investigate use of the 5350–5470 MHz band for RLANs but this appears to have eased. Europe has also indicated interest in investigating use of the 5725–5850 MHz band for RLANs. Arrangements already exist in Australia for RLANs in the 5150–5350 MHz band (low power indoor use only) and the 5725–5850 MHz band. The ACMA has also received requests to review existing Australian arrangements with a view to aligning them with US arrangements. The 5150–5350 MHz and 5725–5850 MHz bands are also included in the IEEE 802.11 series of standards for WLAN. There are no arrangements in place for RLANs in the 5350–5470 MHz and 5850–5925 MHz bands in Australia.</w:t>
            </w:r>
          </w:p>
          <w:p w14:paraId="763AF116" w14:textId="3FD60E40" w:rsidR="008B50ED" w:rsidRPr="00B53F89" w:rsidRDefault="008B50ED" w:rsidP="008B50ED">
            <w:r w:rsidRPr="00B53F89">
              <w:t>Numerous countries around the world have</w:t>
            </w:r>
            <w:r w:rsidR="002368B2" w:rsidRPr="00B53F89">
              <w:t xml:space="preserve"> identified</w:t>
            </w:r>
            <w:r w:rsidRPr="00B53F89">
              <w:t xml:space="preserve"> or are considering identifying the 5850–5925 MHz band for Intelligent Transport Systems (ITS). </w:t>
            </w:r>
          </w:p>
          <w:p w14:paraId="4E3FCE54" w14:textId="7DC80758" w:rsidR="008B50ED" w:rsidRPr="00B53F89" w:rsidRDefault="008B50ED" w:rsidP="008B50ED">
            <w:pPr>
              <w:pStyle w:val="BodySubHeader"/>
            </w:pPr>
            <w:r w:rsidRPr="00B53F89">
              <w:t>Recent developments</w:t>
            </w:r>
          </w:p>
          <w:p w14:paraId="00DB57BE" w14:textId="3781834C" w:rsidR="008B50ED" w:rsidRPr="00B53F89" w:rsidRDefault="008B50ED" w:rsidP="008B50ED">
            <w:bookmarkStart w:id="234" w:name="_Hlk18333223"/>
            <w:r w:rsidRPr="00B53F89">
              <w:t xml:space="preserve">ITU-R Working Party 5A is continuing work towards WRC-19 agenda item 1.16. Australia has submitted several contributions providing the regulatory background to the operation of WAS/RLANs and other input regarding the 5150–5250 MHz segment. </w:t>
            </w:r>
          </w:p>
          <w:bookmarkEnd w:id="234"/>
          <w:p w14:paraId="79C1C4B9" w14:textId="34F371CF" w:rsidR="008B50ED" w:rsidRPr="00B53F89" w:rsidRDefault="008B50ED" w:rsidP="008B50ED">
            <w:pPr>
              <w:rPr>
                <w:rFonts w:cs="Arial"/>
              </w:rPr>
            </w:pPr>
            <w:r w:rsidRPr="00B53F89">
              <w:t>Working documents towards preliminary draft new reports are being developed on:</w:t>
            </w:r>
            <w:r w:rsidRPr="00B53F89">
              <w:rPr>
                <w:rFonts w:cs="Arial"/>
              </w:rPr>
              <w:t xml:space="preserve"> proposed additional mitigation techniques to facilitate sharing between RLAN systems and incumbent services; technical characteristics and operational requirements of WAS/RLAN in the 5 GHz frequency range; use of aggregate RLAN measurements from airborne and terrestrial platforms to support studies under WRC-19 agenda item 1.16; and sharing and compatibility studies of WAS/RLAN in the 5 GHz frequency range.</w:t>
            </w:r>
          </w:p>
          <w:p w14:paraId="19A4EFF6" w14:textId="3F7D4EA9" w:rsidR="008B50ED" w:rsidRPr="00B53F89" w:rsidRDefault="008B50ED" w:rsidP="008B50ED">
            <w:bookmarkStart w:id="235" w:name="_Hlk18333264"/>
            <w:r w:rsidRPr="00B53F89">
              <w:rPr>
                <w:rFonts w:cs="Arial"/>
              </w:rPr>
              <w:t xml:space="preserve">In December 2018, the ACMA made the </w:t>
            </w:r>
            <w:hyperlink r:id="rId62" w:history="1">
              <w:r w:rsidRPr="00B53F89">
                <w:rPr>
                  <w:rStyle w:val="Hyperlink"/>
                  <w:rFonts w:cs="Arial"/>
                </w:rPr>
                <w:t>Radiocommunications (Intelligent Transport Systems) Standard 2018</w:t>
              </w:r>
            </w:hyperlink>
            <w:r w:rsidRPr="00B53F89">
              <w:rPr>
                <w:rFonts w:cs="Arial"/>
              </w:rPr>
              <w:t xml:space="preserve"> to support the use of complying wireless ITS technologies and devices in the frequency range 5855–5925 MHz</w:t>
            </w:r>
            <w:bookmarkEnd w:id="235"/>
            <w:r w:rsidRPr="00B53F89">
              <w:rPr>
                <w:rFonts w:cs="Arial"/>
              </w:rPr>
              <w:t>.</w:t>
            </w:r>
          </w:p>
          <w:p w14:paraId="67966E08" w14:textId="3107A18E" w:rsidR="008B50ED" w:rsidRPr="00B53F89" w:rsidRDefault="008B50ED" w:rsidP="008B50ED">
            <w:pPr>
              <w:pStyle w:val="BodySubHeader"/>
            </w:pPr>
            <w:r w:rsidRPr="00B53F89">
              <w:t>Next steps</w:t>
            </w:r>
          </w:p>
          <w:p w14:paraId="244A85E7" w14:textId="710A6468" w:rsidR="008B50ED" w:rsidRPr="00B53F89" w:rsidRDefault="008B50ED" w:rsidP="008B50ED">
            <w:pPr>
              <w:rPr>
                <w:rFonts w:cs="Arial"/>
              </w:rPr>
            </w:pPr>
            <w:r w:rsidRPr="00B53F89">
              <w:t>The ACMA will continue to monitor and, where appropriate, engage with stakeholders via the usual international preparatory process to develop Australian positions on WRC-19 agenda item 1.16</w:t>
            </w:r>
            <w:r w:rsidRPr="00B53F89">
              <w:rPr>
                <w:rFonts w:cs="Arial"/>
              </w:rPr>
              <w:t xml:space="preserve">. </w:t>
            </w:r>
          </w:p>
        </w:tc>
      </w:tr>
      <w:tr w:rsidR="008B50ED" w:rsidRPr="00B53F89" w14:paraId="1CA4699B" w14:textId="77777777" w:rsidTr="00DE694D">
        <w:tc>
          <w:tcPr>
            <w:tcW w:w="7797" w:type="dxa"/>
            <w:tcBorders>
              <w:top w:val="nil"/>
              <w:bottom w:val="nil"/>
            </w:tcBorders>
          </w:tcPr>
          <w:p w14:paraId="11445F3F" w14:textId="36363E99" w:rsidR="002F0C55" w:rsidRPr="00B53F89" w:rsidRDefault="002F0C55" w:rsidP="00C4441C">
            <w:pPr>
              <w:keepNext/>
              <w:spacing w:before="60" w:after="0"/>
            </w:pPr>
            <w:r w:rsidRPr="006A2F04">
              <w:rPr>
                <w:noProof/>
              </w:rPr>
              <w:lastRenderedPageBreak/>
              <w:drawing>
                <wp:inline distT="0" distB="0" distL="0" distR="0" wp14:anchorId="5EC5203B" wp14:editId="4B726A26">
                  <wp:extent cx="342900" cy="361950"/>
                  <wp:effectExtent l="0" t="0" r="0" b="0"/>
                  <wp:docPr id="49" name="Picture 49"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01A2A262" wp14:editId="573C49F7">
                  <wp:extent cx="342900" cy="361950"/>
                  <wp:effectExtent l="0" t="0" r="0" b="0"/>
                  <wp:docPr id="50" name="Picture 50"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7F9CED0A" wp14:editId="423E9CF5">
                  <wp:extent cx="342900" cy="361950"/>
                  <wp:effectExtent l="0" t="0" r="0" b="0"/>
                  <wp:docPr id="51" name="Picture 51"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B42C41" w:rsidRPr="006A2F04">
              <w:rPr>
                <w:noProof/>
              </w:rPr>
              <w:drawing>
                <wp:inline distT="0" distB="0" distL="0" distR="0" wp14:anchorId="40137E7B" wp14:editId="46E7FA11">
                  <wp:extent cx="341630" cy="359410"/>
                  <wp:effectExtent l="0" t="0" r="1270" b="2540"/>
                  <wp:docPr id="141" name="Picture 141"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31"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p>
          <w:p w14:paraId="1EEA46A2" w14:textId="1ACBA34C" w:rsidR="008B50ED" w:rsidRPr="00B53F89" w:rsidRDefault="008B50ED" w:rsidP="008B50ED">
            <w:pPr>
              <w:pStyle w:val="Heading3"/>
            </w:pPr>
            <w:bookmarkStart w:id="236" w:name="_Toc18505525"/>
            <w:r w:rsidRPr="00B53F89">
              <w:t>Bands being studied under WRC-19 agenda item 1.13</w:t>
            </w:r>
            <w:bookmarkEnd w:id="236"/>
          </w:p>
        </w:tc>
      </w:tr>
      <w:tr w:rsidR="008B50ED" w:rsidRPr="00B53F89" w14:paraId="7C3238AF" w14:textId="77777777" w:rsidTr="00DE694D">
        <w:tc>
          <w:tcPr>
            <w:tcW w:w="7797" w:type="dxa"/>
            <w:tcBorders>
              <w:top w:val="nil"/>
              <w:bottom w:val="nil"/>
            </w:tcBorders>
          </w:tcPr>
          <w:p w14:paraId="1FF8D72A" w14:textId="7D059E38" w:rsidR="008B50ED" w:rsidRPr="00B53F89" w:rsidRDefault="008B50ED" w:rsidP="008B50ED">
            <w:r w:rsidRPr="00B53F89">
              <w:t xml:space="preserve">WRC-19 agenda item 1.13 considers identification of frequency bands for the future development of IMT, including possible additional allocations in the </w:t>
            </w:r>
            <w:r w:rsidR="0020287F" w:rsidRPr="00B53F89">
              <w:t xml:space="preserve">RRs </w:t>
            </w:r>
            <w:r w:rsidRPr="00B53F89">
              <w:t xml:space="preserve">to the mobile service on a primary basis. This agenda item is widely acknowledged to be focusing on spectrum harmonisation requirements for 5G mobile broadband technologies. </w:t>
            </w:r>
          </w:p>
          <w:p w14:paraId="28633B27" w14:textId="5B93BBB5" w:rsidR="008B50ED" w:rsidRPr="00B53F89" w:rsidRDefault="008B50ED" w:rsidP="008B50ED">
            <w:r w:rsidRPr="00B53F89">
              <w:t xml:space="preserve">The frequency bands to be considered under this agenda item are 24.25–27.5 GHz, 37–40.5 GHz, 42.5–43.5 GHz, 45.5–47 GHz, 47.2–50.2 GHz, 50.4–52.6 GHz, 66–76 GHz and 81–86 GHz, which have allocations to the mobile service in the </w:t>
            </w:r>
            <w:r w:rsidR="0020287F" w:rsidRPr="00B53F89">
              <w:t xml:space="preserve">RRs </w:t>
            </w:r>
            <w:r w:rsidRPr="00B53F89">
              <w:t xml:space="preserve">on a primary basis; and 31.8–33.4 GHz, 40.5–42.5 GHz and 47–47.2 GHz, which may require additional allocations to the mobile service on a primary basis. </w:t>
            </w:r>
          </w:p>
          <w:p w14:paraId="01E1194B" w14:textId="1768E244" w:rsidR="008B50ED" w:rsidRPr="00B53F89" w:rsidRDefault="008B50ED" w:rsidP="008B50ED">
            <w:bookmarkStart w:id="237" w:name="_Hlk18394214"/>
            <w:bookmarkStart w:id="238" w:name="_Hlk2353233"/>
            <w:r w:rsidRPr="00B53F89">
              <w:t>There is strong interest in these bands domestically and internationally, particularly in ITU Region 3 countries</w:t>
            </w:r>
            <w:r w:rsidR="00BD28D6" w:rsidRPr="00B53F89">
              <w:t>,</w:t>
            </w:r>
            <w:r w:rsidRPr="00B53F89">
              <w:t xml:space="preserve"> such as </w:t>
            </w:r>
            <w:r w:rsidR="000934ED" w:rsidRPr="00B53F89">
              <w:t>Republic of Korea (</w:t>
            </w:r>
            <w:r w:rsidRPr="00B53F89">
              <w:t>South Korea</w:t>
            </w:r>
            <w:r w:rsidR="000934ED" w:rsidRPr="00B53F89">
              <w:t>)</w:t>
            </w:r>
            <w:r w:rsidRPr="00B53F89">
              <w:t xml:space="preserve">, Japan and China. </w:t>
            </w:r>
            <w:bookmarkEnd w:id="237"/>
            <w:r w:rsidRPr="00B53F89">
              <w:t xml:space="preserve">In </w:t>
            </w:r>
            <w:r w:rsidRPr="00B53F89">
              <w:lastRenderedPageBreak/>
              <w:t xml:space="preserve">its </w:t>
            </w:r>
            <w:r w:rsidRPr="00B53F89">
              <w:rPr>
                <w:rStyle w:val="Hyperlink"/>
                <w:rFonts w:eastAsiaTheme="majorEastAsia"/>
                <w:color w:val="auto"/>
                <w:u w:val="none"/>
              </w:rPr>
              <w:t>opinion on spectrum related aspects for next-generation wireless systems (5G)</w:t>
            </w:r>
            <w:r w:rsidRPr="00B53F89">
              <w:t xml:space="preserve">, released 9 November 2016, the RSPG </w:t>
            </w:r>
            <w:bookmarkEnd w:id="238"/>
            <w:r w:rsidRPr="00B53F89">
              <w:t>stated that considerations of bands above 6 GHz for 5G should be limited to the bands listed in WRC-19 agenda item 1.13 in order to strengthen the global harmonisation opportunities, in particular, the bands 24.5–27.5 GHz, 31.8–33.4 GHz and 40.5–43.5 GHz. There are wide and varied ranges of incumbency and coexistence issues associated with each of these bands, which w</w:t>
            </w:r>
            <w:r w:rsidR="00CA4858" w:rsidRPr="00B53F89">
              <w:t>ould</w:t>
            </w:r>
            <w:r w:rsidRPr="00B53F89">
              <w:t xml:space="preserve"> need to be considered if the bands were to be investigated domestically for mobile broadband in the future.</w:t>
            </w:r>
          </w:p>
          <w:p w14:paraId="339408B8" w14:textId="77777777" w:rsidR="008B50ED" w:rsidRPr="00B53F89" w:rsidRDefault="008B50ED" w:rsidP="008B50ED">
            <w:pPr>
              <w:pStyle w:val="BodySubHeader"/>
            </w:pPr>
            <w:r w:rsidRPr="00B53F89">
              <w:t>Recent developments</w:t>
            </w:r>
          </w:p>
          <w:p w14:paraId="511F56B5" w14:textId="77777777" w:rsidR="008B50ED" w:rsidRPr="00B53F89" w:rsidRDefault="008B50ED" w:rsidP="008B50ED">
            <w:pPr>
              <w:rPr>
                <w:bCs/>
                <w:lang w:eastAsia="ja-JP"/>
              </w:rPr>
            </w:pPr>
            <w:r w:rsidRPr="00B53F89">
              <w:t>ITU-R Task Group 5/1 (TG 5/1) held its final meeting in August 2018 and concluded its work to address WRC-19 agenda item 1.13 under its</w:t>
            </w:r>
            <w:r w:rsidRPr="00B53F89">
              <w:rPr>
                <w:bCs/>
                <w:lang w:eastAsia="ja-JP"/>
              </w:rPr>
              <w:t xml:space="preserve"> Terms of Reference (</w:t>
            </w:r>
            <w:hyperlink r:id="rId63" w:history="1">
              <w:r w:rsidRPr="00B53F89">
                <w:rPr>
                  <w:rStyle w:val="Hyperlink"/>
                  <w:rFonts w:eastAsiaTheme="majorEastAsia"/>
                  <w:lang w:eastAsia="ja-JP"/>
                </w:rPr>
                <w:t>CA/226</w:t>
              </w:r>
              <w:r w:rsidRPr="00B53F89">
                <w:rPr>
                  <w:rStyle w:val="Hyperlink"/>
                  <w:rFonts w:eastAsiaTheme="majorEastAsia"/>
                </w:rPr>
                <w:t xml:space="preserve"> (Annex 9)</w:t>
              </w:r>
            </w:hyperlink>
            <w:r w:rsidRPr="00B53F89">
              <w:rPr>
                <w:bCs/>
                <w:lang w:eastAsia="ja-JP"/>
              </w:rPr>
              <w:t xml:space="preserve">). Australia has contributed to the meetings of TG 5/1 on the issue of IMT coexistence with FSS uplinks in the 24.25–27.5 GHz band (see documents </w:t>
            </w:r>
            <w:hyperlink r:id="rId64" w:history="1">
              <w:r w:rsidRPr="00B53F89">
                <w:rPr>
                  <w:rStyle w:val="Hyperlink"/>
                  <w:rFonts w:eastAsiaTheme="majorEastAsia"/>
                  <w:bCs/>
                  <w:lang w:eastAsia="ja-JP"/>
                </w:rPr>
                <w:t>5-1/76</w:t>
              </w:r>
            </w:hyperlink>
            <w:r w:rsidRPr="00B53F89">
              <w:rPr>
                <w:rStyle w:val="Hyperlink"/>
                <w:rFonts w:eastAsiaTheme="majorEastAsia"/>
                <w:bCs/>
                <w:lang w:eastAsia="ja-JP"/>
              </w:rPr>
              <w:t>,</w:t>
            </w:r>
            <w:r w:rsidRPr="00B53F89">
              <w:rPr>
                <w:bCs/>
                <w:lang w:eastAsia="ja-JP"/>
              </w:rPr>
              <w:t xml:space="preserve"> </w:t>
            </w:r>
            <w:hyperlink r:id="rId65" w:history="1">
              <w:r w:rsidRPr="00B53F89">
                <w:rPr>
                  <w:rStyle w:val="Hyperlink"/>
                  <w:rFonts w:eastAsiaTheme="majorEastAsia"/>
                  <w:bCs/>
                  <w:lang w:eastAsia="ja-JP"/>
                </w:rPr>
                <w:t>5-1/117</w:t>
              </w:r>
            </w:hyperlink>
            <w:r w:rsidRPr="00B53F89">
              <w:rPr>
                <w:rStyle w:val="Hyperlink"/>
                <w:rFonts w:eastAsiaTheme="majorEastAsia"/>
                <w:bCs/>
                <w:lang w:eastAsia="ja-JP"/>
              </w:rPr>
              <w:t>,</w:t>
            </w:r>
            <w:r w:rsidRPr="00B53F89">
              <w:t xml:space="preserve"> </w:t>
            </w:r>
            <w:hyperlink r:id="rId66" w:history="1">
              <w:r w:rsidRPr="00B53F89">
                <w:rPr>
                  <w:rStyle w:val="Hyperlink"/>
                </w:rPr>
                <w:t>5-1/193</w:t>
              </w:r>
            </w:hyperlink>
            <w:r w:rsidRPr="00B53F89">
              <w:t xml:space="preserve"> and </w:t>
            </w:r>
            <w:hyperlink r:id="rId67" w:history="1">
              <w:r w:rsidRPr="00B53F89">
                <w:rPr>
                  <w:rStyle w:val="Hyperlink"/>
                </w:rPr>
                <w:t>5-1/290</w:t>
              </w:r>
            </w:hyperlink>
            <w:r w:rsidRPr="00B53F89">
              <w:t>)</w:t>
            </w:r>
            <w:r w:rsidRPr="00B53F89">
              <w:rPr>
                <w:bCs/>
                <w:lang w:eastAsia="ja-JP"/>
              </w:rPr>
              <w:t xml:space="preserve">. </w:t>
            </w:r>
          </w:p>
          <w:p w14:paraId="3A4E42C2" w14:textId="77777777" w:rsidR="008B50ED" w:rsidRPr="00B53F89" w:rsidRDefault="008B50ED" w:rsidP="008B50ED">
            <w:r w:rsidRPr="00B53F89">
              <w:t xml:space="preserve">However, several other organisations internationally are considering frequency bands outside those listed for consideration in WRC-19 agenda item 1.13 for the next generation of IMT. </w:t>
            </w:r>
          </w:p>
          <w:p w14:paraId="6763E09E" w14:textId="6D3D8183" w:rsidR="008B50ED" w:rsidRPr="00B53F89" w:rsidRDefault="008B50ED" w:rsidP="008B50ED">
            <w:r w:rsidRPr="00B53F89">
              <w:t>At APG19-</w:t>
            </w:r>
            <w:r w:rsidR="002D3E68" w:rsidRPr="00B53F89">
              <w:t>5</w:t>
            </w:r>
            <w:r w:rsidRPr="00B53F89">
              <w:t xml:space="preserve"> (</w:t>
            </w:r>
            <w:r w:rsidR="002D3E68" w:rsidRPr="00B53F89">
              <w:t>31 July</w:t>
            </w:r>
            <w:r w:rsidR="00DF706E" w:rsidRPr="00B53F89">
              <w:t>–</w:t>
            </w:r>
            <w:r w:rsidR="002D3E68" w:rsidRPr="00B53F89">
              <w:t>6 August</w:t>
            </w:r>
            <w:r w:rsidRPr="00B53F89">
              <w:t xml:space="preserve"> 2019) a common view developed, expressing interest in the 24.</w:t>
            </w:r>
            <w:r w:rsidR="002D3E68" w:rsidRPr="00B53F89">
              <w:t>2</w:t>
            </w:r>
            <w:r w:rsidRPr="00B53F89">
              <w:t>5–27.5 GHz</w:t>
            </w:r>
            <w:r w:rsidR="002D3E68" w:rsidRPr="00B53F89">
              <w:t>,</w:t>
            </w:r>
            <w:r w:rsidRPr="00B53F89">
              <w:t xml:space="preserve"> 37–43.5 GHz</w:t>
            </w:r>
            <w:r w:rsidR="002D3E68" w:rsidRPr="00B53F89">
              <w:t xml:space="preserve"> and 66–71 GHz</w:t>
            </w:r>
            <w:r w:rsidRPr="00B53F89">
              <w:t xml:space="preserve"> bands. </w:t>
            </w:r>
          </w:p>
          <w:p w14:paraId="7DAD0CEC" w14:textId="77777777" w:rsidR="008B50ED" w:rsidRPr="00B53F89" w:rsidRDefault="008B50ED" w:rsidP="008B50ED">
            <w:pPr>
              <w:pStyle w:val="BodySubHeader"/>
              <w:keepNext/>
              <w:keepLines/>
            </w:pPr>
            <w:r w:rsidRPr="00B53F89">
              <w:t>Next steps</w:t>
            </w:r>
          </w:p>
          <w:p w14:paraId="72D5BFC7" w14:textId="29C3120A" w:rsidR="008B50ED" w:rsidRPr="00B53F89" w:rsidRDefault="008B50ED" w:rsidP="008B50ED">
            <w:pPr>
              <w:keepNext/>
              <w:keepLines/>
            </w:pPr>
            <w:r w:rsidRPr="00B53F89">
              <w:t>The ACMA will continue to engage with stakeholders via the usual international preparatory process to develop Australian positions on WRC</w:t>
            </w:r>
            <w:r w:rsidRPr="00B53F89">
              <w:noBreakHyphen/>
              <w:t>19 agenda item 1.13</w:t>
            </w:r>
            <w:r w:rsidRPr="00B53F89">
              <w:rPr>
                <w:rFonts w:cs="Arial"/>
              </w:rPr>
              <w:t xml:space="preserve">. </w:t>
            </w:r>
            <w:r w:rsidRPr="00B53F89">
              <w:t xml:space="preserve">Developments in Europe and other regions and countries (such as the US) will be monitored for possible early implementation bands for 5G. Early implementation in Australia will depend on factors such as the location, type and number of incumbent services in the band, whether adequate interference management (or sharing) frameworks can be developed, and whether the development of economies of scale are likely. </w:t>
            </w:r>
          </w:p>
          <w:p w14:paraId="0D2B33DA" w14:textId="3CE5E808" w:rsidR="008B50ED" w:rsidRPr="00B53F89" w:rsidRDefault="008B50ED" w:rsidP="008B50ED">
            <w:bookmarkStart w:id="239" w:name="_Hlk4756054"/>
            <w:r w:rsidRPr="00B53F89">
              <w:t xml:space="preserve">The 24.25–27.5 GHz band has been advanced to the </w:t>
            </w:r>
            <w:r w:rsidRPr="00B53F89">
              <w:rPr>
                <w:i/>
              </w:rPr>
              <w:t>replanning</w:t>
            </w:r>
            <w:r w:rsidRPr="00B53F89">
              <w:t xml:space="preserve"> stage of the process for consideration of additional spectrum for mobile broadband services.</w:t>
            </w:r>
            <w:bookmarkEnd w:id="239"/>
            <w:r w:rsidRPr="00B53F89">
              <w:t xml:space="preserve"> </w:t>
            </w:r>
          </w:p>
          <w:p w14:paraId="014982F9" w14:textId="1303327A" w:rsidR="008B50ED" w:rsidRPr="00B53F89" w:rsidRDefault="008B50ED" w:rsidP="008B50ED">
            <w:pPr>
              <w:spacing w:after="120"/>
            </w:pPr>
            <w:r w:rsidRPr="00B53F89">
              <w:t>For 66–76 GHz, see related work on 6</w:t>
            </w:r>
            <w:r w:rsidR="00870937" w:rsidRPr="00B53F89">
              <w:t>6</w:t>
            </w:r>
            <w:r w:rsidRPr="00B53F89">
              <w:t xml:space="preserve">–71 GHz outlined on the </w:t>
            </w:r>
            <w:r w:rsidR="00424A6A" w:rsidRPr="00B53F89">
              <w:t xml:space="preserve">LIPD </w:t>
            </w:r>
            <w:r w:rsidRPr="00B53F89">
              <w:t xml:space="preserve">class licence in the </w:t>
            </w:r>
            <w:r w:rsidR="00D159D8" w:rsidRPr="00B53F89">
              <w:t>‘</w:t>
            </w:r>
            <w:r w:rsidRPr="00B53F89">
              <w:t>Optimising established planning frameworks section</w:t>
            </w:r>
            <w:r w:rsidR="00D159D8" w:rsidRPr="00B53F89">
              <w:t>’</w:t>
            </w:r>
            <w:r w:rsidRPr="00B53F89">
              <w:t>.</w:t>
            </w:r>
          </w:p>
        </w:tc>
      </w:tr>
    </w:tbl>
    <w:p w14:paraId="4433767D" w14:textId="77777777" w:rsidR="009009FD" w:rsidRPr="00B53F89" w:rsidRDefault="009009FD"/>
    <w:tbl>
      <w:tblPr>
        <w:tblW w:w="7797" w:type="dxa"/>
        <w:tblLayout w:type="fixed"/>
        <w:tblCellMar>
          <w:left w:w="0" w:type="dxa"/>
          <w:right w:w="0" w:type="dxa"/>
        </w:tblCellMar>
        <w:tblLook w:val="04A0" w:firstRow="1" w:lastRow="0" w:firstColumn="1" w:lastColumn="0" w:noHBand="0" w:noVBand="1"/>
        <w:tblCaption w:val="Monitoring"/>
      </w:tblPr>
      <w:tblGrid>
        <w:gridCol w:w="7797"/>
      </w:tblGrid>
      <w:tr w:rsidR="00172695" w:rsidRPr="00B53F89" w14:paraId="7041E264" w14:textId="77777777" w:rsidTr="00DE694D">
        <w:trPr>
          <w:tblHeader/>
        </w:trPr>
        <w:tc>
          <w:tcPr>
            <w:tcW w:w="7797" w:type="dxa"/>
            <w:shd w:val="clear" w:color="auto" w:fill="D9D9D9" w:themeFill="background1" w:themeFillShade="D9"/>
            <w:tcMar>
              <w:top w:w="57" w:type="dxa"/>
              <w:bottom w:w="57" w:type="dxa"/>
            </w:tcMar>
            <w:vAlign w:val="center"/>
          </w:tcPr>
          <w:p w14:paraId="5C136CCD" w14:textId="37906A9A" w:rsidR="00D9739D" w:rsidRPr="00B53F89" w:rsidRDefault="00D9739D" w:rsidP="00DE694D">
            <w:pPr>
              <w:pStyle w:val="Tableheading2"/>
            </w:pPr>
            <w:bookmarkStart w:id="240" w:name="_Toc18505526"/>
            <w:r w:rsidRPr="00B53F89">
              <w:t xml:space="preserve">Initial </w:t>
            </w:r>
            <w:r w:rsidR="00FA44DA">
              <w:t>i</w:t>
            </w:r>
            <w:r w:rsidRPr="00B53F89">
              <w:t>nvestigation</w:t>
            </w:r>
            <w:bookmarkEnd w:id="240"/>
          </w:p>
        </w:tc>
      </w:tr>
      <w:tr w:rsidR="007C47C1" w:rsidRPr="00B53F89" w14:paraId="5F8C53A2" w14:textId="77777777" w:rsidTr="00DE694D">
        <w:trPr>
          <w:tblHeader/>
        </w:trPr>
        <w:tc>
          <w:tcPr>
            <w:tcW w:w="7797" w:type="dxa"/>
            <w:shd w:val="clear" w:color="auto" w:fill="FFFFFF" w:themeFill="background1"/>
          </w:tcPr>
          <w:p w14:paraId="6B13540C" w14:textId="77777777" w:rsidR="007C47C1" w:rsidRPr="00B53F89" w:rsidRDefault="007C47C1" w:rsidP="007C47C1">
            <w:pPr>
              <w:pStyle w:val="Tableheading2"/>
              <w:keepNext w:val="0"/>
            </w:pPr>
          </w:p>
        </w:tc>
      </w:tr>
      <w:tr w:rsidR="00FE0089" w:rsidRPr="00B53F89" w14:paraId="63C070A2" w14:textId="77777777" w:rsidTr="00DE694D">
        <w:tc>
          <w:tcPr>
            <w:tcW w:w="7797" w:type="dxa"/>
          </w:tcPr>
          <w:p w14:paraId="733CE62C" w14:textId="6B9E816A" w:rsidR="00FE0089" w:rsidRPr="00B53F89" w:rsidRDefault="00FE0089" w:rsidP="00DE694D">
            <w:r w:rsidRPr="00B53F89">
              <w:t>Th</w:t>
            </w:r>
            <w:r w:rsidR="00D104E9" w:rsidRPr="00B53F89">
              <w:t xml:space="preserve">e </w:t>
            </w:r>
            <w:r w:rsidR="00CA4858" w:rsidRPr="006E0D63">
              <w:rPr>
                <w:i/>
                <w:iCs/>
              </w:rPr>
              <w:t>i</w:t>
            </w:r>
            <w:r w:rsidR="00D104E9" w:rsidRPr="006E0D63">
              <w:rPr>
                <w:i/>
                <w:iCs/>
              </w:rPr>
              <w:t>nitial investigation</w:t>
            </w:r>
            <w:r w:rsidRPr="00B53F89">
              <w:t xml:space="preserve"> stage normally includes initial consideration of whether the new spectrum use contributes to maximising the overall public benefit derived from use of the spectrum, along with preliminary assessments on coexistence and other technical considerations. </w:t>
            </w:r>
          </w:p>
          <w:p w14:paraId="49447EC7" w14:textId="69AA482D" w:rsidR="00FE0089" w:rsidRPr="00B53F89" w:rsidRDefault="00FE0089" w:rsidP="00DE694D">
            <w:pPr>
              <w:rPr>
                <w:b/>
              </w:rPr>
            </w:pPr>
            <w:r w:rsidRPr="00B53F89">
              <w:t>Formal public consultation may occur through mechanisms such as public industry meetings (such as spectrum tune-ups) and/or discussion papers where general feedback on issues is sought</w:t>
            </w:r>
            <w:r w:rsidRPr="00B53F89" w:rsidDel="00F97D59">
              <w:t>.</w:t>
            </w:r>
            <w:r w:rsidRPr="00B53F89">
              <w:t xml:space="preserve"> </w:t>
            </w:r>
          </w:p>
        </w:tc>
      </w:tr>
      <w:tr w:rsidR="00D9739D" w:rsidRPr="00B53F89" w14:paraId="7E377488" w14:textId="77777777" w:rsidTr="00DE694D">
        <w:tc>
          <w:tcPr>
            <w:tcW w:w="7797" w:type="dxa"/>
          </w:tcPr>
          <w:p w14:paraId="140B2BEB" w14:textId="3CC8F28A" w:rsidR="002F0C55" w:rsidRPr="00B53F89" w:rsidRDefault="00B42C41" w:rsidP="00C4441C">
            <w:pPr>
              <w:keepNext/>
              <w:spacing w:before="60" w:after="0"/>
            </w:pPr>
            <w:r w:rsidRPr="006A2F04">
              <w:rPr>
                <w:noProof/>
              </w:rPr>
              <w:lastRenderedPageBreak/>
              <w:drawing>
                <wp:inline distT="0" distB="0" distL="0" distR="0" wp14:anchorId="7814E9A6" wp14:editId="55548821">
                  <wp:extent cx="341630" cy="359410"/>
                  <wp:effectExtent l="0" t="0" r="1270" b="2540"/>
                  <wp:docPr id="142" name="Picture 142"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31"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p>
          <w:p w14:paraId="2A970214" w14:textId="0AA26BB8" w:rsidR="00D9739D" w:rsidRPr="00B53F89" w:rsidRDefault="00D9739D" w:rsidP="00DE694D">
            <w:pPr>
              <w:pStyle w:val="Heading3"/>
              <w:spacing w:after="0"/>
            </w:pPr>
            <w:bookmarkStart w:id="241" w:name="_Toc18505527"/>
            <w:r w:rsidRPr="00B53F89">
              <w:t xml:space="preserve">‘Extended MSS L-band’ </w:t>
            </w:r>
            <w:r w:rsidRPr="00B53F89" w:rsidDel="00DA6C55">
              <w:t>(1518</w:t>
            </w:r>
            <w:r w:rsidRPr="00B53F89">
              <w:t>–</w:t>
            </w:r>
            <w:r w:rsidRPr="00B53F89" w:rsidDel="00DA6C55">
              <w:t>1525</w:t>
            </w:r>
            <w:r w:rsidR="004B3B8D" w:rsidRPr="00B53F89">
              <w:t xml:space="preserve"> MHz</w:t>
            </w:r>
            <w:r w:rsidRPr="00B53F89" w:rsidDel="00DA6C55">
              <w:t xml:space="preserve"> and 1668</w:t>
            </w:r>
            <w:r w:rsidRPr="00B53F89">
              <w:t>–</w:t>
            </w:r>
            <w:r w:rsidRPr="00B53F89" w:rsidDel="00DA6C55">
              <w:t>1675 MHz)</w:t>
            </w:r>
            <w:bookmarkEnd w:id="241"/>
          </w:p>
        </w:tc>
      </w:tr>
      <w:tr w:rsidR="00D9739D" w:rsidRPr="00B53F89" w14:paraId="7EFE38D4" w14:textId="77777777" w:rsidTr="00DE694D">
        <w:tc>
          <w:tcPr>
            <w:tcW w:w="7797" w:type="dxa"/>
          </w:tcPr>
          <w:p w14:paraId="1205B584" w14:textId="78F1F213" w:rsidR="00D9739D" w:rsidRPr="00B53F89" w:rsidRDefault="00D9739D" w:rsidP="00DE694D">
            <w:r w:rsidRPr="00B53F89">
              <w:t xml:space="preserve">WRC-03 and WRC-07 allocated additional spectrum </w:t>
            </w:r>
            <w:r w:rsidR="001A5433" w:rsidRPr="00B53F89">
              <w:t xml:space="preserve">in the </w:t>
            </w:r>
            <w:r w:rsidR="0020287F" w:rsidRPr="00B53F89">
              <w:t xml:space="preserve">RRs </w:t>
            </w:r>
            <w:r w:rsidRPr="00B53F89">
              <w:t xml:space="preserve">to the mobile satellite service (MSS) to complement existing ‘L-band’ allocations used by numerous satellite operators. </w:t>
            </w:r>
          </w:p>
          <w:p w14:paraId="00115037" w14:textId="10B30833" w:rsidR="00D9739D" w:rsidRPr="00B53F89" w:rsidRDefault="00D9739D" w:rsidP="00DE694D">
            <w:r w:rsidRPr="00B53F89">
              <w:t>The upper and lower frequency ranges also have mobile and fixed allocations</w:t>
            </w:r>
            <w:r w:rsidR="00D104E9" w:rsidRPr="00B53F89">
              <w:t xml:space="preserve"> in the RR</w:t>
            </w:r>
            <w:r w:rsidRPr="00B53F89">
              <w:t>, while the upper band also has various meteorological, radioastronomy and space research service allocations. In Australia, channel planning arrangements are in place to support use of the band by fixed service Digital Radio Concentrator Systems.</w:t>
            </w:r>
          </w:p>
          <w:p w14:paraId="11A96861" w14:textId="77777777" w:rsidR="00D9739D" w:rsidRPr="00B53F89" w:rsidRDefault="00D9739D" w:rsidP="00DE694D">
            <w:pPr>
              <w:pStyle w:val="BodySubHeader"/>
              <w:keepNext/>
              <w:keepLines/>
            </w:pPr>
            <w:r w:rsidRPr="00B53F89">
              <w:t>Next steps</w:t>
            </w:r>
          </w:p>
          <w:p w14:paraId="2B161CEB" w14:textId="77777777" w:rsidR="00D9739D" w:rsidRPr="00B53F89" w:rsidRDefault="00D9739D" w:rsidP="00DE694D">
            <w:pPr>
              <w:keepNext/>
              <w:keepLines/>
            </w:pPr>
            <w:r w:rsidRPr="00B53F89">
              <w:t xml:space="preserve">The ACMA recognises the need to review planning arrangements in these bands to identify the spectrum use or uses that would maximise the overall public benefit and, if appropriate, vary spectrum management arrangements to support this use. </w:t>
            </w:r>
          </w:p>
          <w:p w14:paraId="307E793F" w14:textId="3B97DF47" w:rsidR="00D9739D" w:rsidRPr="00B53F89" w:rsidRDefault="00D9739D" w:rsidP="00DE694D">
            <w:pPr>
              <w:rPr>
                <w:rFonts w:cs="Arial"/>
                <w:b/>
                <w:szCs w:val="20"/>
              </w:rPr>
            </w:pPr>
            <w:r w:rsidRPr="00B53F89">
              <w:t xml:space="preserve">As the coexistence with potential broadband use below 1518 MHz is likely to be a substantial consideration, the simultaneous review of the extended MSS L-band and the 1.5 GHz bands is </w:t>
            </w:r>
            <w:r w:rsidR="00593172" w:rsidRPr="00B53F89">
              <w:t>considered to</w:t>
            </w:r>
            <w:r w:rsidRPr="00B53F89">
              <w:t xml:space="preserve"> be appropriate.</w:t>
            </w:r>
          </w:p>
        </w:tc>
      </w:tr>
      <w:tr w:rsidR="00D9739D" w:rsidRPr="00B53F89" w14:paraId="4CF8DA1F" w14:textId="77777777" w:rsidTr="00DE694D">
        <w:tc>
          <w:tcPr>
            <w:tcW w:w="7797" w:type="dxa"/>
          </w:tcPr>
          <w:p w14:paraId="7F22A8BF" w14:textId="2AB20367" w:rsidR="004A7341" w:rsidRPr="00B53F89" w:rsidRDefault="004A7341" w:rsidP="00C4441C">
            <w:pPr>
              <w:keepNext/>
              <w:spacing w:before="60" w:after="0"/>
            </w:pPr>
            <w:bookmarkStart w:id="242" w:name="_Hlk16255430"/>
            <w:r w:rsidRPr="006A2F04">
              <w:rPr>
                <w:noProof/>
              </w:rPr>
              <w:drawing>
                <wp:inline distT="0" distB="0" distL="0" distR="0" wp14:anchorId="182EAE0B" wp14:editId="51D78F19">
                  <wp:extent cx="342900" cy="361950"/>
                  <wp:effectExtent l="0" t="0" r="0" b="0"/>
                  <wp:docPr id="54" name="Picture 54"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Radio/TV broadcasting icon"/>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B42C41" w:rsidRPr="006A2F04">
              <w:rPr>
                <w:noProof/>
              </w:rPr>
              <w:drawing>
                <wp:inline distT="0" distB="0" distL="0" distR="0" wp14:anchorId="60CB02BB" wp14:editId="6734B319">
                  <wp:extent cx="341630" cy="359410"/>
                  <wp:effectExtent l="0" t="0" r="1270" b="2540"/>
                  <wp:docPr id="143" name="Picture 143"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31"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6A2F04">
              <w:rPr>
                <w:noProof/>
              </w:rPr>
              <w:drawing>
                <wp:inline distT="0" distB="0" distL="0" distR="0" wp14:anchorId="71912038" wp14:editId="678DF243">
                  <wp:extent cx="342900" cy="361950"/>
                  <wp:effectExtent l="0" t="0" r="0" b="0"/>
                  <wp:docPr id="56" name="Picture 56"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60EC45D8" wp14:editId="6340572B">
                  <wp:extent cx="342900" cy="361950"/>
                  <wp:effectExtent l="0" t="0" r="0" b="0"/>
                  <wp:docPr id="57" name="Picture 57" descr="Aviation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Aviation icon"/>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79D72023" w14:textId="3F764FFC" w:rsidR="00D9739D" w:rsidRPr="00B53F89" w:rsidRDefault="00A54553" w:rsidP="00D54969">
            <w:pPr>
              <w:pStyle w:val="Heading3"/>
              <w:rPr>
                <w:szCs w:val="20"/>
              </w:rPr>
            </w:pPr>
            <w:bookmarkStart w:id="243" w:name="_Toc18505528"/>
            <w:r>
              <w:pict w14:anchorId="1895027B">
                <v:shape id="_x0000_i1033" type="#_x0000_t75" alt="A close up of a sign&#10;&#10;Description automatically generated" style="width:18.75pt;height:11.25pt;visibility:visible;mso-wrap-style:square">
                  <v:imagedata r:id="rId43" o:title="A close up of a sign&#10;&#10;Description automatically generated"/>
                </v:shape>
              </w:pict>
            </w:r>
            <w:r w:rsidR="000922AB">
              <w:t xml:space="preserve"> </w:t>
            </w:r>
            <w:r w:rsidR="00D9739D" w:rsidRPr="00B53F89">
              <w:t>2 GHz (1980–2010 MHz and 2170–2200 MHz)</w:t>
            </w:r>
            <w:bookmarkEnd w:id="242"/>
            <w:bookmarkEnd w:id="243"/>
          </w:p>
        </w:tc>
      </w:tr>
      <w:tr w:rsidR="00D9739D" w:rsidRPr="00B53F89" w14:paraId="588C7941" w14:textId="77777777" w:rsidTr="00DE694D">
        <w:tc>
          <w:tcPr>
            <w:tcW w:w="7797" w:type="dxa"/>
          </w:tcPr>
          <w:p w14:paraId="290E42BA" w14:textId="3AD79F0B" w:rsidR="00566F8A" w:rsidRPr="00B53F89" w:rsidRDefault="00B572AE" w:rsidP="00566F8A">
            <w:r w:rsidRPr="00B53F89">
              <w:rPr>
                <w:rFonts w:cs="Arial"/>
              </w:rPr>
              <w:t>T</w:t>
            </w:r>
            <w:r w:rsidRPr="00B53F89">
              <w:t>he 1980–2010 MHz and 2170–2200 MHz bands are currently used for television outside broadcast (TOB) services on a shared and non-exclusive basis for short-term applications</w:t>
            </w:r>
            <w:r w:rsidR="00BD28D6" w:rsidRPr="00B53F89">
              <w:t>,</w:t>
            </w:r>
            <w:r w:rsidRPr="00B53F89">
              <w:t xml:space="preserve"> such as covering special events. TOB was introduced in the 2 GHz band in 2012 on an interim basis while the future use of the band is under review. </w:t>
            </w:r>
          </w:p>
          <w:p w14:paraId="3F240A1A" w14:textId="73F8C0ED" w:rsidR="00B572AE" w:rsidRPr="00B53F89" w:rsidRDefault="00B572AE" w:rsidP="002C3414">
            <w:r w:rsidRPr="00B53F89">
              <w:t xml:space="preserve">In Australia, policy arrangements are currently in place to support the following uses in various parts of the 2 GHz band: </w:t>
            </w:r>
          </w:p>
          <w:p w14:paraId="64A4682D" w14:textId="6579FBCA" w:rsidR="00B572AE" w:rsidRPr="00B53F89" w:rsidRDefault="00534F27" w:rsidP="00D54969">
            <w:pPr>
              <w:pStyle w:val="ListBullet"/>
              <w:ind w:left="284" w:hanging="284"/>
            </w:pPr>
            <w:r w:rsidRPr="009F36F7">
              <w:t>TOB</w:t>
            </w:r>
            <w:r w:rsidR="00B572AE" w:rsidRPr="00B53F89">
              <w:t xml:space="preserve"> </w:t>
            </w:r>
            <w:r w:rsidR="00B572AE" w:rsidRPr="009F36F7">
              <w:t>services</w:t>
            </w:r>
            <w:r w:rsidR="00B572AE" w:rsidRPr="00B53F89">
              <w:t xml:space="preserve">—as detailed in </w:t>
            </w:r>
            <w:hyperlink r:id="rId68" w:history="1">
              <w:r w:rsidR="00B572AE" w:rsidRPr="00B53F89">
                <w:rPr>
                  <w:rStyle w:val="Hyperlink"/>
                </w:rPr>
                <w:t>RALI FX21</w:t>
              </w:r>
            </w:hyperlink>
          </w:p>
          <w:p w14:paraId="123D734C" w14:textId="289239BB" w:rsidR="00B572AE" w:rsidRPr="00B53F89" w:rsidRDefault="00B3132A" w:rsidP="00D54969">
            <w:pPr>
              <w:pStyle w:val="ListBullet"/>
              <w:ind w:left="284" w:hanging="284"/>
            </w:pPr>
            <w:r w:rsidRPr="00B53F89">
              <w:t>f</w:t>
            </w:r>
            <w:r w:rsidR="00B572AE" w:rsidRPr="00B53F89">
              <w:t>ixed point-to-point services that were licensed prior to the TOB band plan coming into effect</w:t>
            </w:r>
          </w:p>
          <w:p w14:paraId="5A7CE221" w14:textId="0CBD8B69" w:rsidR="00B572AE" w:rsidRPr="00B53F89" w:rsidRDefault="002D0188" w:rsidP="00D54969">
            <w:pPr>
              <w:pStyle w:val="ListBulletLast"/>
              <w:ind w:left="284" w:hanging="284"/>
            </w:pPr>
            <w:bookmarkStart w:id="244" w:name="_Hlk12439854"/>
            <w:r w:rsidRPr="00B53F89">
              <w:t>s</w:t>
            </w:r>
            <w:r w:rsidR="00B572AE" w:rsidRPr="00B53F89">
              <w:t>hort-term technology demonstrations or other short-term applications</w:t>
            </w:r>
            <w:bookmarkEnd w:id="244"/>
            <w:r w:rsidR="00B572AE" w:rsidRPr="00B53F89">
              <w:t>.</w:t>
            </w:r>
          </w:p>
          <w:p w14:paraId="552FD0AE" w14:textId="77777777" w:rsidR="00D9739D" w:rsidRPr="00B53F89" w:rsidRDefault="00D9739D" w:rsidP="002C3414">
            <w:pPr>
              <w:pStyle w:val="BodySubHeader"/>
              <w:keepNext/>
            </w:pPr>
            <w:r w:rsidRPr="00B53F89">
              <w:t>Recent developments</w:t>
            </w:r>
          </w:p>
          <w:p w14:paraId="787756E6" w14:textId="5019D661" w:rsidR="00566F8A" w:rsidRPr="00B53F89" w:rsidRDefault="00265C73" w:rsidP="00D54969">
            <w:pPr>
              <w:rPr>
                <w:rFonts w:cs="Arial"/>
              </w:rPr>
            </w:pPr>
            <w:r w:rsidRPr="00B53F89">
              <w:rPr>
                <w:rFonts w:cs="Arial"/>
              </w:rPr>
              <w:t xml:space="preserve">To assist future consideration of the </w:t>
            </w:r>
            <w:r w:rsidRPr="00B53F89">
              <w:rPr>
                <w:rFonts w:cs="Arial"/>
                <w:szCs w:val="26"/>
              </w:rPr>
              <w:t>2 GHz band</w:t>
            </w:r>
            <w:r w:rsidRPr="00B53F89">
              <w:rPr>
                <w:rFonts w:cs="Arial"/>
              </w:rPr>
              <w:t>, t</w:t>
            </w:r>
            <w:r w:rsidRPr="00B53F89">
              <w:t xml:space="preserve">he ACMA released </w:t>
            </w:r>
            <w:r w:rsidR="00566F8A" w:rsidRPr="00B53F89">
              <w:t>the</w:t>
            </w:r>
            <w:r w:rsidRPr="00B53F89">
              <w:t xml:space="preserve"> discussion paper </w:t>
            </w:r>
            <w:hyperlink r:id="rId69" w:history="1">
              <w:r w:rsidR="00566F8A" w:rsidRPr="006A2F04">
                <w:rPr>
                  <w:rStyle w:val="Hyperlink"/>
                  <w:i/>
                  <w:iCs/>
                </w:rPr>
                <w:t>Planning of the 2 GHz band</w:t>
              </w:r>
            </w:hyperlink>
            <w:r w:rsidRPr="00B53F89">
              <w:t xml:space="preserve"> in </w:t>
            </w:r>
            <w:r w:rsidR="00566F8A" w:rsidRPr="00B53F89">
              <w:t>August</w:t>
            </w:r>
            <w:r w:rsidRPr="00B53F89">
              <w:t xml:space="preserve"> 2019 seeking industry views on what technologies should be supported and replanning considerations.</w:t>
            </w:r>
            <w:r w:rsidR="00566F8A" w:rsidRPr="00B53F89">
              <w:t xml:space="preserve"> </w:t>
            </w:r>
            <w:r w:rsidR="00566F8A" w:rsidRPr="00B53F89">
              <w:rPr>
                <w:rFonts w:cs="Arial"/>
              </w:rPr>
              <w:t>Reflecting on international and domestic trends in the 2 GHz band, it appears one or a combination of the following four services could potentially make use of this spectrum in the future:</w:t>
            </w:r>
          </w:p>
          <w:p w14:paraId="154DA0A1" w14:textId="6CC56D27" w:rsidR="00566F8A" w:rsidRPr="00B53F89" w:rsidRDefault="002D0188" w:rsidP="00D54969">
            <w:pPr>
              <w:pStyle w:val="ListBullet"/>
              <w:keepNext w:val="0"/>
              <w:keepLines w:val="0"/>
              <w:tabs>
                <w:tab w:val="clear" w:pos="-261"/>
                <w:tab w:val="num" w:pos="295"/>
              </w:tabs>
              <w:ind w:left="284" w:hanging="284"/>
              <w:rPr>
                <w:rFonts w:cs="Arial"/>
              </w:rPr>
            </w:pPr>
            <w:r w:rsidRPr="00B53F89">
              <w:t>t</w:t>
            </w:r>
            <w:r w:rsidR="00566F8A" w:rsidRPr="00B53F89">
              <w:t>elevision</w:t>
            </w:r>
            <w:r w:rsidR="00566F8A" w:rsidRPr="00B53F89">
              <w:rPr>
                <w:rFonts w:cs="Arial"/>
              </w:rPr>
              <w:t xml:space="preserve"> outside broadcast</w:t>
            </w:r>
          </w:p>
          <w:p w14:paraId="5E1809B1" w14:textId="6CF95C03" w:rsidR="00566F8A" w:rsidRPr="00B53F89" w:rsidRDefault="002D0188" w:rsidP="00D54969">
            <w:pPr>
              <w:pStyle w:val="ListBullet"/>
              <w:keepNext w:val="0"/>
              <w:keepLines w:val="0"/>
              <w:tabs>
                <w:tab w:val="clear" w:pos="-261"/>
                <w:tab w:val="num" w:pos="295"/>
                <w:tab w:val="num" w:pos="397"/>
              </w:tabs>
              <w:ind w:left="284" w:hanging="284"/>
              <w:rPr>
                <w:rFonts w:cs="Arial"/>
              </w:rPr>
            </w:pPr>
            <w:r w:rsidRPr="00B53F89">
              <w:rPr>
                <w:rFonts w:cs="Arial"/>
              </w:rPr>
              <w:t>m</w:t>
            </w:r>
            <w:r w:rsidR="00566F8A" w:rsidRPr="00B53F89">
              <w:rPr>
                <w:rFonts w:cs="Arial"/>
              </w:rPr>
              <w:t xml:space="preserve">obile-satellite </w:t>
            </w:r>
            <w:r w:rsidR="00566F8A" w:rsidRPr="00B53F89">
              <w:t xml:space="preserve">services </w:t>
            </w:r>
            <w:r w:rsidR="00566F8A" w:rsidRPr="00B53F89">
              <w:rPr>
                <w:rFonts w:cs="Arial"/>
              </w:rPr>
              <w:t>(</w:t>
            </w:r>
            <w:r w:rsidR="00566F8A" w:rsidRPr="00B53F89">
              <w:t>with</w:t>
            </w:r>
            <w:r w:rsidR="00566F8A" w:rsidRPr="00B53F89">
              <w:rPr>
                <w:rFonts w:cs="Arial"/>
              </w:rPr>
              <w:t xml:space="preserve"> or without Ancillary Terrestrial Component/Complementary Ground Component rules), including satellite IoT</w:t>
            </w:r>
          </w:p>
          <w:p w14:paraId="5B38B6E5" w14:textId="354BE031" w:rsidR="00566F8A" w:rsidRPr="00B53F89" w:rsidRDefault="002D0188" w:rsidP="00D54969">
            <w:pPr>
              <w:pStyle w:val="ListBullet"/>
              <w:keepNext w:val="0"/>
              <w:keepLines w:val="0"/>
              <w:tabs>
                <w:tab w:val="clear" w:pos="-261"/>
                <w:tab w:val="num" w:pos="295"/>
              </w:tabs>
              <w:ind w:left="284" w:hanging="284"/>
              <w:rPr>
                <w:rFonts w:cs="Arial"/>
              </w:rPr>
            </w:pPr>
            <w:r w:rsidRPr="00B53F89">
              <w:rPr>
                <w:rFonts w:cs="Arial"/>
              </w:rPr>
              <w:t>m</w:t>
            </w:r>
            <w:r w:rsidR="00566F8A" w:rsidRPr="00B53F89">
              <w:rPr>
                <w:rFonts w:cs="Arial"/>
              </w:rPr>
              <w:t xml:space="preserve">obile broadband services </w:t>
            </w:r>
          </w:p>
          <w:p w14:paraId="29CD691A" w14:textId="3AE49071" w:rsidR="00566F8A" w:rsidRPr="00B53F89" w:rsidRDefault="002D0188" w:rsidP="00D54969">
            <w:pPr>
              <w:pStyle w:val="ListBulletLast"/>
              <w:ind w:left="284" w:hanging="284"/>
            </w:pPr>
            <w:r w:rsidRPr="00B53F89">
              <w:t>d</w:t>
            </w:r>
            <w:r w:rsidR="00566F8A" w:rsidRPr="00B53F89">
              <w:t xml:space="preserve">irect air-to-ground communications. </w:t>
            </w:r>
          </w:p>
          <w:p w14:paraId="1F52C3B3" w14:textId="77777777" w:rsidR="00D9739D" w:rsidRPr="00B53F89" w:rsidRDefault="00D9739D" w:rsidP="004D0F4E">
            <w:pPr>
              <w:pStyle w:val="BodySubHeader"/>
              <w:keepNext/>
              <w:keepLines/>
            </w:pPr>
            <w:r w:rsidRPr="00B53F89">
              <w:lastRenderedPageBreak/>
              <w:t>Next steps</w:t>
            </w:r>
          </w:p>
          <w:p w14:paraId="227E2FE0" w14:textId="4A624661" w:rsidR="002C7C8A" w:rsidRPr="00B53F89" w:rsidRDefault="002C58C3" w:rsidP="004D0F4E">
            <w:pPr>
              <w:keepNext/>
              <w:keepLines/>
            </w:pPr>
            <w:r w:rsidRPr="00B53F89">
              <w:t xml:space="preserve">Contingent on outcomes of </w:t>
            </w:r>
            <w:r w:rsidR="00176BB4" w:rsidRPr="00B53F89">
              <w:t xml:space="preserve">consultations on </w:t>
            </w:r>
            <w:r w:rsidRPr="00B53F89">
              <w:t>th</w:t>
            </w:r>
            <w:r w:rsidR="00265C73" w:rsidRPr="00B53F89">
              <w:t>e</w:t>
            </w:r>
            <w:r w:rsidRPr="00B53F89">
              <w:t xml:space="preserve"> </w:t>
            </w:r>
            <w:hyperlink r:id="rId70" w:history="1">
              <w:r w:rsidRPr="006A2F04">
                <w:rPr>
                  <w:rStyle w:val="Hyperlink"/>
                </w:rPr>
                <w:t>discussion paper</w:t>
              </w:r>
            </w:hyperlink>
            <w:r w:rsidRPr="00B53F89">
              <w:t xml:space="preserve">, the ACMA </w:t>
            </w:r>
            <w:r w:rsidR="00265C73" w:rsidRPr="00B53F89">
              <w:t xml:space="preserve">may </w:t>
            </w:r>
            <w:r w:rsidRPr="00B53F89">
              <w:t xml:space="preserve">release an options paper in </w:t>
            </w:r>
            <w:r w:rsidR="00593172" w:rsidRPr="00B53F89">
              <w:t>Q1</w:t>
            </w:r>
            <w:r w:rsidRPr="00B53F89">
              <w:t xml:space="preserve"> 2020.</w:t>
            </w:r>
          </w:p>
          <w:p w14:paraId="5C15B95A" w14:textId="77777777" w:rsidR="00566F8A" w:rsidRPr="00B53F89" w:rsidRDefault="00D9739D" w:rsidP="00566F8A">
            <w:pPr>
              <w:pStyle w:val="ACMANormalTabbed"/>
            </w:pPr>
            <w:r w:rsidRPr="00B53F89">
              <w:t xml:space="preserve">The ACMA remains open to case-by-case consideration of </w:t>
            </w:r>
            <w:r w:rsidR="00566F8A" w:rsidRPr="00B53F89">
              <w:t>licence applications for test and demonstration purposes in the frequency ranges 1980–1985 MHz and 2170–2175 MHz (the guard band between TOB and frequency adjacent spectrum licensing and apparatus-licensed public mobile telecommunications services) on a short-term basis, subject to appropriate interference management and resolution conditions where these applications will not impact on existing services.</w:t>
            </w:r>
          </w:p>
          <w:p w14:paraId="26F08707" w14:textId="1DCFDD72" w:rsidR="00D9739D" w:rsidRPr="00B53F89" w:rsidRDefault="00566F8A" w:rsidP="00DE694D">
            <w:r w:rsidRPr="00B53F89">
              <w:t xml:space="preserve">With TOB usage typically limited to capital city areas and regional areas for major events, the ACMA considers it is also possible to support licence applications for test and demonstration purposes in the wider 1980–2010 MHz and 2170–2200 MHz bands in remote-density and some low-density areas on a short-term basis, subject to appropriate interference management and resolution conditions. </w:t>
            </w:r>
          </w:p>
          <w:p w14:paraId="6C479F3C" w14:textId="5AEB0367" w:rsidR="00927734" w:rsidRPr="00B53F89" w:rsidRDefault="00927734" w:rsidP="006B6CC2">
            <w:r w:rsidRPr="006A2F04">
              <w:rPr>
                <w:noProof/>
              </w:rPr>
              <w:drawing>
                <wp:inline distT="0" distB="0" distL="0" distR="0" wp14:anchorId="43E47E47" wp14:editId="2FCD3EEA">
                  <wp:extent cx="342900" cy="361950"/>
                  <wp:effectExtent l="0" t="0" r="0" b="0"/>
                  <wp:docPr id="163" name="Picture 163" descr="Amateur radio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Amateur radio icon"/>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04EE7192" wp14:editId="4A8797C6">
                  <wp:extent cx="342900" cy="361950"/>
                  <wp:effectExtent l="0" t="0" r="0" b="0"/>
                  <wp:docPr id="164" name="Picture 164"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596D4C59" w14:textId="21B85014" w:rsidR="00210980" w:rsidRPr="00B53F89" w:rsidRDefault="00A54553" w:rsidP="00D54969">
            <w:pPr>
              <w:pStyle w:val="Heading3"/>
            </w:pPr>
            <w:r>
              <w:pict w14:anchorId="07CF50B4">
                <v:shape id="_x0000_i1034" type="#_x0000_t75" alt="A picture containing clipart&#10;&#10;Description automatically generated" style="width:19.5pt;height:11.25pt;visibility:visible;mso-wrap-style:square">
                  <v:imagedata r:id="rId60" o:title="A picture containing clipart&#10;&#10;Description automatically generated"/>
                </v:shape>
              </w:pict>
            </w:r>
            <w:bookmarkStart w:id="245" w:name="_Toc18505529"/>
            <w:r w:rsidR="00AC69B8">
              <w:t xml:space="preserve"> </w:t>
            </w:r>
            <w:r w:rsidR="00210980" w:rsidRPr="00B53F89">
              <w:t>2300</w:t>
            </w:r>
            <w:r w:rsidR="00B50C3D" w:rsidRPr="00B53F89">
              <w:t>–</w:t>
            </w:r>
            <w:r w:rsidR="00210980" w:rsidRPr="00B53F89">
              <w:t>2302 MHz</w:t>
            </w:r>
            <w:bookmarkEnd w:id="245"/>
          </w:p>
          <w:p w14:paraId="0D29F6A6" w14:textId="0766B8C6" w:rsidR="00210980" w:rsidRPr="00B53F89" w:rsidRDefault="00210980" w:rsidP="00210980">
            <w:pPr>
              <w:rPr>
                <w:rFonts w:ascii="Calibri" w:hAnsi="Calibri"/>
              </w:rPr>
            </w:pPr>
            <w:r w:rsidRPr="00B53F89">
              <w:t>The 2300</w:t>
            </w:r>
            <w:r w:rsidR="00B50C3D" w:rsidRPr="00B53F89">
              <w:t>–</w:t>
            </w:r>
            <w:r w:rsidRPr="00B53F89">
              <w:t xml:space="preserve">2302 MHz band is allocated in the ARSP to the </w:t>
            </w:r>
            <w:r w:rsidR="00534F27" w:rsidRPr="00B53F89">
              <w:t>f</w:t>
            </w:r>
            <w:r w:rsidRPr="00B53F89">
              <w:t xml:space="preserve">ixed and </w:t>
            </w:r>
            <w:r w:rsidR="00534F27" w:rsidRPr="00B53F89">
              <w:t>m</w:t>
            </w:r>
            <w:r w:rsidRPr="00B53F89">
              <w:t xml:space="preserve">obile services on a primary basis and </w:t>
            </w:r>
            <w:r w:rsidR="00A02AE2" w:rsidRPr="00B53F89">
              <w:t>a</w:t>
            </w:r>
            <w:r w:rsidRPr="00B53F89">
              <w:t xml:space="preserve">mateur services on a secondary basis. It is currently used by </w:t>
            </w:r>
            <w:r w:rsidR="00A02AE2" w:rsidRPr="00B53F89">
              <w:t>a</w:t>
            </w:r>
            <w:r w:rsidRPr="00B53F89">
              <w:t>mateur services. The adjacent 2302</w:t>
            </w:r>
            <w:r w:rsidR="00863CCC" w:rsidRPr="00B53F89">
              <w:t>–</w:t>
            </w:r>
            <w:r w:rsidRPr="00B53F89">
              <w:t>2400 MHz (2.3 GHz) frequency range has been subject to spectrum licensing since the year 2000.</w:t>
            </w:r>
          </w:p>
          <w:p w14:paraId="1DE8069D" w14:textId="4CD22A7E" w:rsidR="00210980" w:rsidRPr="00B53F89" w:rsidRDefault="00210980" w:rsidP="00210980">
            <w:pPr>
              <w:pStyle w:val="BodySubHeader"/>
            </w:pPr>
            <w:r w:rsidRPr="00B53F89">
              <w:t>Recent developments</w:t>
            </w:r>
          </w:p>
          <w:p w14:paraId="69527360" w14:textId="0ACB2786" w:rsidR="00210980" w:rsidRPr="00B53F89" w:rsidRDefault="00210980" w:rsidP="00210980">
            <w:pPr>
              <w:rPr>
                <w:lang w:eastAsia="zh-CN"/>
              </w:rPr>
            </w:pPr>
            <w:r w:rsidRPr="00B53F89">
              <w:t>The 2300</w:t>
            </w:r>
            <w:r w:rsidR="003208A0" w:rsidRPr="00B53F89">
              <w:t>–</w:t>
            </w:r>
            <w:r w:rsidRPr="00B53F89">
              <w:t>2400 MHz band was identified globally for IMT at WRC-07. The 2.3 GHz band is currently being used to provide wireless broadband services across Australia. The most spectrally efficient profile bandwidths for internationally standardised wireless broadband equipment are in multiple</w:t>
            </w:r>
            <w:r w:rsidR="00BE1E1D" w:rsidRPr="00B53F89">
              <w:t>s</w:t>
            </w:r>
            <w:r w:rsidRPr="00B53F89">
              <w:t xml:space="preserve"> of 5 MHz. In addition to this, carrier aggregation and emerging 5G technologies will allow operators to deploy services in bandwidths up to 100 MHz. The current 98 MHz of spectrum available in the 2.3 GHz band is not optimised for such use. Consequently</w:t>
            </w:r>
            <w:r w:rsidR="00BE1E1D" w:rsidRPr="00B53F89">
              <w:t>,</w:t>
            </w:r>
            <w:r w:rsidRPr="00B53F89">
              <w:t xml:space="preserve"> there is interest from spectrum licensees in the 2.3 GHz band in making the 2300</w:t>
            </w:r>
            <w:r w:rsidR="00B92022" w:rsidRPr="00B53F89">
              <w:t>–</w:t>
            </w:r>
            <w:r w:rsidRPr="00B53F89">
              <w:t xml:space="preserve">2302 MHz band available for wireless broadband use. </w:t>
            </w:r>
          </w:p>
          <w:p w14:paraId="1B210883" w14:textId="77777777" w:rsidR="00210980" w:rsidRPr="00B53F89" w:rsidRDefault="00210980" w:rsidP="00210980">
            <w:pPr>
              <w:pStyle w:val="BodySubHeader"/>
            </w:pPr>
            <w:r w:rsidRPr="00B53F89">
              <w:t>Next steps</w:t>
            </w:r>
          </w:p>
          <w:p w14:paraId="01D4B766" w14:textId="2EB7FDDF" w:rsidR="00D9739D" w:rsidRPr="00B53F89" w:rsidRDefault="00210980" w:rsidP="00DE694D">
            <w:pPr>
              <w:rPr>
                <w:rFonts w:cs="Arial"/>
                <w:b/>
                <w:szCs w:val="20"/>
              </w:rPr>
            </w:pPr>
            <w:r w:rsidRPr="00B53F89">
              <w:t>Recognising competing interests for use of the 2300</w:t>
            </w:r>
            <w:r w:rsidR="00B50C3D" w:rsidRPr="00B53F89">
              <w:t>–</w:t>
            </w:r>
            <w:r w:rsidRPr="00B53F89">
              <w:t xml:space="preserve">2302 MHz band from incumbent and new services, the ACMA has moved it to the </w:t>
            </w:r>
            <w:r w:rsidRPr="00AB3EDB">
              <w:rPr>
                <w:i/>
                <w:iCs/>
              </w:rPr>
              <w:t>initial investigation</w:t>
            </w:r>
            <w:r w:rsidRPr="00B53F89">
              <w:t xml:space="preserve"> stage. The ACMA will consider the relative priority of performing this work in the next update to the FYSO. Any review will necessarily take into account the </w:t>
            </w:r>
            <w:r w:rsidR="00593172" w:rsidRPr="00B53F89">
              <w:t xml:space="preserve">interests </w:t>
            </w:r>
            <w:r w:rsidRPr="00B53F89">
              <w:t xml:space="preserve">of incumbent </w:t>
            </w:r>
            <w:r w:rsidR="00A02AE2" w:rsidRPr="00B53F89">
              <w:t>a</w:t>
            </w:r>
            <w:r w:rsidRPr="00B53F89">
              <w:t>mateur services and the importance of the band for activities such as Earth-Moon-Earth operations</w:t>
            </w:r>
            <w:r w:rsidRPr="00B53F89">
              <w:rPr>
                <w:b/>
                <w:bCs/>
              </w:rPr>
              <w:t>.</w:t>
            </w:r>
          </w:p>
        </w:tc>
      </w:tr>
      <w:tr w:rsidR="00D9739D" w:rsidRPr="00B53F89" w14:paraId="4F296925" w14:textId="77777777" w:rsidTr="00DE694D">
        <w:tc>
          <w:tcPr>
            <w:tcW w:w="7797" w:type="dxa"/>
          </w:tcPr>
          <w:p w14:paraId="709522E2" w14:textId="6876570F" w:rsidR="004D14B4" w:rsidRPr="00B53F89" w:rsidRDefault="004D14B4" w:rsidP="007B6741">
            <w:pPr>
              <w:keepNext/>
              <w:tabs>
                <w:tab w:val="left" w:pos="397"/>
              </w:tabs>
              <w:spacing w:before="60" w:after="0"/>
            </w:pPr>
            <w:r w:rsidRPr="006A2F04">
              <w:rPr>
                <w:noProof/>
              </w:rPr>
              <w:lastRenderedPageBreak/>
              <w:drawing>
                <wp:inline distT="0" distB="0" distL="0" distR="0" wp14:anchorId="12CE86B4" wp14:editId="181257CC">
                  <wp:extent cx="342900" cy="361950"/>
                  <wp:effectExtent l="0" t="0" r="0" b="0"/>
                  <wp:docPr id="58" name="Picture 58"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B42C41" w:rsidRPr="006A2F04">
              <w:rPr>
                <w:noProof/>
              </w:rPr>
              <w:drawing>
                <wp:inline distT="0" distB="0" distL="0" distR="0" wp14:anchorId="4D1BCA9E" wp14:editId="3E38E57E">
                  <wp:extent cx="341630" cy="359410"/>
                  <wp:effectExtent l="0" t="0" r="1270" b="2540"/>
                  <wp:docPr id="144" name="Picture 144"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31"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6A2F04">
              <w:rPr>
                <w:noProof/>
              </w:rPr>
              <w:drawing>
                <wp:inline distT="0" distB="0" distL="0" distR="0" wp14:anchorId="65864E93" wp14:editId="6C814733">
                  <wp:extent cx="342900" cy="361950"/>
                  <wp:effectExtent l="0" t="0" r="0" b="0"/>
                  <wp:docPr id="60" name="Picture 60"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20148B1C" w14:textId="53BC0AC4" w:rsidR="00D9739D" w:rsidRPr="00B53F89" w:rsidRDefault="00A54553" w:rsidP="00D54969">
            <w:pPr>
              <w:pStyle w:val="Heading3"/>
            </w:pPr>
            <w:r>
              <w:pict w14:anchorId="0DFEBC35">
                <v:shape id="_x0000_i1035" type="#_x0000_t75" alt="A close up of a sign&#10;&#10;Description automatically generated" style="width:18.75pt;height:11.25pt;visibility:visible;mso-wrap-style:square">
                  <v:imagedata r:id="rId43" o:title="A close up of a sign&#10;&#10;Description automatically generated"/>
                </v:shape>
              </w:pict>
            </w:r>
            <w:bookmarkStart w:id="246" w:name="_Toc18505530"/>
            <w:r w:rsidR="00125C80">
              <w:t xml:space="preserve"> </w:t>
            </w:r>
            <w:r w:rsidR="00D9739D" w:rsidRPr="00B53F89">
              <w:t>3700–4200 MHz</w:t>
            </w:r>
            <w:bookmarkEnd w:id="246"/>
          </w:p>
        </w:tc>
      </w:tr>
      <w:tr w:rsidR="00D9739D" w:rsidRPr="00B53F89" w14:paraId="3AFDF2A6" w14:textId="77777777" w:rsidTr="00DE694D">
        <w:tc>
          <w:tcPr>
            <w:tcW w:w="7797" w:type="dxa"/>
          </w:tcPr>
          <w:p w14:paraId="1D063BD6" w14:textId="342F381F" w:rsidR="00D9739D" w:rsidRPr="00B53F89" w:rsidRDefault="00D9739D" w:rsidP="00DE694D">
            <w:r w:rsidRPr="00B53F89">
              <w:t>The 3</w:t>
            </w:r>
            <w:r w:rsidR="00EE3C7B" w:rsidRPr="00B53F89">
              <w:t>700–4200</w:t>
            </w:r>
            <w:r w:rsidRPr="00B53F89">
              <w:t xml:space="preserve"> </w:t>
            </w:r>
            <w:r w:rsidR="00EE3C7B" w:rsidRPr="00B53F89">
              <w:t>M</w:t>
            </w:r>
            <w:r w:rsidRPr="00B53F89">
              <w:t>Hz band is allocated</w:t>
            </w:r>
            <w:r w:rsidR="005E7F54" w:rsidRPr="00B53F89">
              <w:t xml:space="preserve"> </w:t>
            </w:r>
            <w:r w:rsidRPr="00B53F89">
              <w:t xml:space="preserve">on a co-primary basis in </w:t>
            </w:r>
            <w:r w:rsidR="007825EB" w:rsidRPr="00B53F89">
              <w:t xml:space="preserve">the ARSP </w:t>
            </w:r>
            <w:r w:rsidRPr="00B53F89">
              <w:t xml:space="preserve">to the fixed, fixed-satellite (space-to-earth) and mobile services. </w:t>
            </w:r>
          </w:p>
          <w:p w14:paraId="1332442E" w14:textId="25B99D3E" w:rsidR="00D9739D" w:rsidRPr="00B53F89" w:rsidRDefault="00D9739D" w:rsidP="00DE694D">
            <w:r w:rsidRPr="00B53F89">
              <w:lastRenderedPageBreak/>
              <w:t xml:space="preserve">The use of the </w:t>
            </w:r>
            <w:r w:rsidR="00EE3C7B" w:rsidRPr="00B53F89">
              <w:t>3700–4200</w:t>
            </w:r>
            <w:r w:rsidRPr="00B53F89">
              <w:t xml:space="preserve"> </w:t>
            </w:r>
            <w:r w:rsidR="00EE3C7B" w:rsidRPr="00B53F89">
              <w:t>M</w:t>
            </w:r>
            <w:r w:rsidRPr="00B53F89">
              <w:t xml:space="preserve">Hz band has been debated internationally for several years. Recently, there has been increasing interest in the lower and lower-adjacent parts of this band for 5G services, particularly given the large bandwidths potentially available in this range. </w:t>
            </w:r>
          </w:p>
          <w:p w14:paraId="5BB052F1" w14:textId="01B0CDAD" w:rsidR="00E460CF" w:rsidRPr="00B53F89" w:rsidRDefault="00E460CF" w:rsidP="00E460CF">
            <w:r w:rsidRPr="00B53F89">
              <w:t>The ACMA is alert to the needs of existing fixed satellite and point-to-point uses of the band, as well as the potential for both wide area and site based</w:t>
            </w:r>
            <w:r w:rsidR="001C3B42" w:rsidRPr="00B53F89">
              <w:t>—</w:t>
            </w:r>
            <w:r w:rsidRPr="00B53F89">
              <w:t>for example, FWA</w:t>
            </w:r>
            <w:r w:rsidR="001C3B42" w:rsidRPr="00B53F89">
              <w:t>,</w:t>
            </w:r>
            <w:r w:rsidRPr="00B53F89">
              <w:t xml:space="preserve"> wireless broadband. Considering the whole band simultaneously will maximise the opportunity for balanced approaches that take appropriate account of all interests.</w:t>
            </w:r>
          </w:p>
          <w:p w14:paraId="0A6E5E79" w14:textId="4E28BCC3" w:rsidR="00D9739D" w:rsidRPr="00B53F89" w:rsidRDefault="00D9739D" w:rsidP="00DE694D">
            <w:pPr>
              <w:pStyle w:val="BodySubHeader"/>
              <w:keepNext/>
              <w:keepLines/>
            </w:pPr>
            <w:r w:rsidRPr="00B53F89">
              <w:t>Recent developments</w:t>
            </w:r>
          </w:p>
          <w:p w14:paraId="472AFF8E" w14:textId="7F53B61F" w:rsidR="00D9739D" w:rsidRPr="00B53F89" w:rsidRDefault="00D9739D" w:rsidP="00DE694D">
            <w:pPr>
              <w:keepNext/>
              <w:keepLines/>
            </w:pPr>
            <w:r w:rsidRPr="00B53F89">
              <w:t xml:space="preserve">In July 2018, the US FCC released a Notice of Proposed Rulemaking that identifies the opportunity for satellite services to share </w:t>
            </w:r>
            <w:r w:rsidR="00863CCC" w:rsidRPr="00B53F89">
              <w:t>the 3</w:t>
            </w:r>
            <w:r w:rsidR="00EE3C7B" w:rsidRPr="00B53F89">
              <w:t>700–4200</w:t>
            </w:r>
            <w:r w:rsidRPr="00B53F89">
              <w:t xml:space="preserve"> </w:t>
            </w:r>
            <w:r w:rsidR="00EE3C7B" w:rsidRPr="00B53F89">
              <w:t>M</w:t>
            </w:r>
            <w:r w:rsidRPr="00B53F89">
              <w:t>Hz</w:t>
            </w:r>
            <w:r w:rsidR="00863CCC" w:rsidRPr="00B53F89">
              <w:t xml:space="preserve"> band</w:t>
            </w:r>
            <w:r w:rsidRPr="00B53F89">
              <w:t xml:space="preserve"> for fixed and mobile wireless broadband services, including 5G.</w:t>
            </w:r>
            <w:r w:rsidRPr="00B53F89">
              <w:rPr>
                <w:rStyle w:val="FootnoteReference"/>
              </w:rPr>
              <w:footnoteReference w:id="22"/>
            </w:r>
          </w:p>
          <w:p w14:paraId="3E20B500" w14:textId="79F0B9E6" w:rsidR="000E5C87" w:rsidRPr="00B53F89" w:rsidRDefault="000E5C87" w:rsidP="000E5C87">
            <w:pPr>
              <w:rPr>
                <w:szCs w:val="20"/>
              </w:rPr>
            </w:pPr>
            <w:r w:rsidRPr="00B53F89">
              <w:t xml:space="preserve">In 2018, </w:t>
            </w:r>
            <w:r w:rsidRPr="00B53F89">
              <w:rPr>
                <w:szCs w:val="20"/>
              </w:rPr>
              <w:t xml:space="preserve">Innovation, Science and Economic Development Canada (ISED) </w:t>
            </w:r>
            <w:r w:rsidRPr="00B53F89">
              <w:rPr>
                <w:rFonts w:cs="Open Sans"/>
                <w:color w:val="000000"/>
                <w:szCs w:val="20"/>
              </w:rPr>
              <w:t xml:space="preserve">launched a preliminary consultation on changes to the </w:t>
            </w:r>
            <w:r w:rsidR="00383ADA" w:rsidRPr="00B53F89">
              <w:rPr>
                <w:rFonts w:cs="Open Sans"/>
                <w:color w:val="000000"/>
                <w:szCs w:val="20"/>
              </w:rPr>
              <w:t>3</w:t>
            </w:r>
            <w:r w:rsidR="00EE3C7B" w:rsidRPr="00B53F89">
              <w:rPr>
                <w:rFonts w:cs="Open Sans"/>
                <w:color w:val="000000"/>
                <w:szCs w:val="20"/>
              </w:rPr>
              <w:t>700–4200</w:t>
            </w:r>
            <w:r w:rsidRPr="00B53F89">
              <w:rPr>
                <w:rFonts w:cs="Open Sans"/>
                <w:color w:val="000000"/>
                <w:szCs w:val="20"/>
              </w:rPr>
              <w:t xml:space="preserve"> </w:t>
            </w:r>
            <w:r w:rsidR="00EE3C7B" w:rsidRPr="00B53F89">
              <w:rPr>
                <w:rFonts w:cs="Open Sans"/>
                <w:color w:val="000000"/>
                <w:szCs w:val="20"/>
              </w:rPr>
              <w:t>M</w:t>
            </w:r>
            <w:r w:rsidRPr="00B53F89">
              <w:rPr>
                <w:rFonts w:cs="Open Sans"/>
                <w:color w:val="000000"/>
                <w:szCs w:val="20"/>
              </w:rPr>
              <w:t>Hz band to accommodate wireless broadband use.</w:t>
            </w:r>
            <w:r w:rsidRPr="00B53F89">
              <w:rPr>
                <w:rStyle w:val="FootnoteReference"/>
                <w:rFonts w:cs="Open Sans"/>
                <w:color w:val="000000"/>
                <w:szCs w:val="20"/>
              </w:rPr>
              <w:footnoteReference w:id="23"/>
            </w:r>
            <w:r w:rsidRPr="00B53F89">
              <w:rPr>
                <w:rFonts w:cs="Open Sans"/>
                <w:color w:val="000000"/>
                <w:szCs w:val="20"/>
              </w:rPr>
              <w:t xml:space="preserve"> The outcomes of the consultation where announced June 2019. Submissions indicated that equipment for the 3300</w:t>
            </w:r>
            <w:r w:rsidR="00B14BFD" w:rsidRPr="00B53F89">
              <w:rPr>
                <w:rFonts w:cs="Open Sans"/>
                <w:color w:val="000000"/>
                <w:szCs w:val="20"/>
              </w:rPr>
              <w:t>–</w:t>
            </w:r>
            <w:r w:rsidRPr="00B53F89">
              <w:rPr>
                <w:rFonts w:cs="Open Sans"/>
                <w:color w:val="000000"/>
                <w:szCs w:val="20"/>
              </w:rPr>
              <w:t>3800 MHz band is expected to be available in 2019 while equipment for the 3300</w:t>
            </w:r>
            <w:r w:rsidR="00B14BFD" w:rsidRPr="00B53F89">
              <w:rPr>
                <w:rFonts w:cs="Open Sans"/>
                <w:color w:val="000000"/>
                <w:szCs w:val="20"/>
              </w:rPr>
              <w:t>–</w:t>
            </w:r>
            <w:r w:rsidRPr="00B53F89">
              <w:rPr>
                <w:rFonts w:cs="Open Sans"/>
                <w:color w:val="000000"/>
                <w:szCs w:val="20"/>
              </w:rPr>
              <w:t xml:space="preserve">4200 MHz band would likely be available in 2020. ISED also announced its decision to undertake further study and review of the </w:t>
            </w:r>
            <w:r w:rsidR="00383ADA" w:rsidRPr="00B53F89">
              <w:rPr>
                <w:rFonts w:cs="Open Sans"/>
                <w:color w:val="000000"/>
                <w:szCs w:val="20"/>
              </w:rPr>
              <w:t>3</w:t>
            </w:r>
            <w:r w:rsidR="00E54808" w:rsidRPr="00B53F89">
              <w:rPr>
                <w:rFonts w:cs="Open Sans"/>
                <w:color w:val="000000"/>
                <w:szCs w:val="20"/>
              </w:rPr>
              <w:t>700–4200</w:t>
            </w:r>
            <w:r w:rsidRPr="00B53F89">
              <w:rPr>
                <w:rFonts w:cs="Open Sans"/>
                <w:color w:val="000000"/>
                <w:szCs w:val="20"/>
              </w:rPr>
              <w:t xml:space="preserve"> </w:t>
            </w:r>
            <w:r w:rsidR="00E54808" w:rsidRPr="00B53F89">
              <w:rPr>
                <w:rFonts w:cs="Open Sans"/>
                <w:color w:val="000000"/>
                <w:szCs w:val="20"/>
              </w:rPr>
              <w:t>M</w:t>
            </w:r>
            <w:r w:rsidRPr="00B53F89">
              <w:rPr>
                <w:rFonts w:cs="Open Sans"/>
                <w:color w:val="000000"/>
                <w:szCs w:val="20"/>
              </w:rPr>
              <w:t>Hz band through a future formal consultation. This will consider the potential for implementing a spectrum access system or similar database approach in order to optimise use.</w:t>
            </w:r>
            <w:r w:rsidRPr="00B53F89">
              <w:rPr>
                <w:rStyle w:val="FootnoteReference"/>
                <w:rFonts w:cs="Open Sans"/>
                <w:color w:val="000000"/>
                <w:szCs w:val="20"/>
              </w:rPr>
              <w:footnoteReference w:id="24"/>
            </w:r>
            <w:r w:rsidRPr="00B53F89">
              <w:rPr>
                <w:rFonts w:cs="Open Sans"/>
                <w:color w:val="000000"/>
                <w:szCs w:val="20"/>
              </w:rPr>
              <w:t xml:space="preserve"> </w:t>
            </w:r>
          </w:p>
          <w:p w14:paraId="1E80559F" w14:textId="370D23A8" w:rsidR="000E5C87" w:rsidRPr="00B53F89" w:rsidRDefault="000E5C87" w:rsidP="000E5C87">
            <w:pPr>
              <w:rPr>
                <w:szCs w:val="20"/>
              </w:rPr>
            </w:pPr>
            <w:r w:rsidRPr="00B53F89">
              <w:rPr>
                <w:rFonts w:cs="Arial"/>
              </w:rPr>
              <w:t>In January 2019</w:t>
            </w:r>
            <w:r w:rsidR="00236E8C" w:rsidRPr="00B53F89">
              <w:rPr>
                <w:rFonts w:cs="Arial"/>
              </w:rPr>
              <w:t>,</w:t>
            </w:r>
            <w:r w:rsidRPr="00B53F89">
              <w:rPr>
                <w:rFonts w:cs="Arial"/>
              </w:rPr>
              <w:t xml:space="preserve"> </w:t>
            </w:r>
            <w:r w:rsidRPr="00B53F89">
              <w:rPr>
                <w:szCs w:val="20"/>
              </w:rPr>
              <w:t>the EC announced its decision to harmonise the 3400–3800 MHz frequency range as a pioneer band for 5G use within the European Union.</w:t>
            </w:r>
            <w:r w:rsidR="00236E8C" w:rsidRPr="00B53F89">
              <w:rPr>
                <w:rStyle w:val="FootnoteReference"/>
                <w:szCs w:val="20"/>
              </w:rPr>
              <w:footnoteReference w:id="25"/>
            </w:r>
            <w:r w:rsidRPr="00B53F89">
              <w:rPr>
                <w:szCs w:val="20"/>
              </w:rPr>
              <w:t xml:space="preserve"> Many European countries either have or are in the process of investigating or allocating the band for 5G use</w:t>
            </w:r>
            <w:r w:rsidRPr="00B53F89">
              <w:rPr>
                <w:rFonts w:cs="Arial"/>
              </w:rPr>
              <w:t>.</w:t>
            </w:r>
            <w:r w:rsidRPr="00B53F89">
              <w:rPr>
                <w:szCs w:val="20"/>
              </w:rPr>
              <w:t xml:space="preserve"> Germany and Lithuania are also developing plans to make the </w:t>
            </w:r>
            <w:r w:rsidR="00383ADA" w:rsidRPr="00B53F89">
              <w:rPr>
                <w:szCs w:val="20"/>
              </w:rPr>
              <w:t>3</w:t>
            </w:r>
            <w:r w:rsidR="00E54808" w:rsidRPr="00B53F89">
              <w:rPr>
                <w:szCs w:val="20"/>
              </w:rPr>
              <w:t>700–4200</w:t>
            </w:r>
            <w:r w:rsidR="00383ADA" w:rsidRPr="00B53F89">
              <w:rPr>
                <w:szCs w:val="20"/>
              </w:rPr>
              <w:t xml:space="preserve"> </w:t>
            </w:r>
            <w:r w:rsidR="00E54808" w:rsidRPr="00B53F89">
              <w:rPr>
                <w:szCs w:val="20"/>
              </w:rPr>
              <w:t>M</w:t>
            </w:r>
            <w:r w:rsidRPr="00B53F89">
              <w:rPr>
                <w:szCs w:val="20"/>
              </w:rPr>
              <w:t>Hz band available for localised 5G use rather than wide-area deployments.</w:t>
            </w:r>
            <w:bookmarkStart w:id="247" w:name="_Ref10188965"/>
            <w:r w:rsidRPr="00B53F89">
              <w:rPr>
                <w:rStyle w:val="FootnoteReference"/>
                <w:rFonts w:cs="Arial"/>
              </w:rPr>
              <w:footnoteReference w:id="26"/>
            </w:r>
            <w:bookmarkEnd w:id="247"/>
          </w:p>
          <w:p w14:paraId="4A46CEFD" w14:textId="39ECC1B4" w:rsidR="00963CDA" w:rsidRPr="00B53F89" w:rsidRDefault="00963CDA" w:rsidP="00DE694D">
            <w:pPr>
              <w:rPr>
                <w:rFonts w:cs="Arial"/>
                <w:szCs w:val="20"/>
              </w:rPr>
            </w:pPr>
            <w:r w:rsidRPr="00B53F89">
              <w:rPr>
                <w:rFonts w:cs="Arial"/>
                <w:szCs w:val="20"/>
              </w:rPr>
              <w:t xml:space="preserve">On 25 July 2019, Ofcom announced its decision to allow use of the 3800–4200 MHz band for </w:t>
            </w:r>
            <w:r w:rsidR="00236E8C" w:rsidRPr="00B53F89">
              <w:rPr>
                <w:rFonts w:cs="Arial"/>
                <w:szCs w:val="20"/>
              </w:rPr>
              <w:t>wireless broadband</w:t>
            </w:r>
            <w:r w:rsidRPr="00B53F89">
              <w:rPr>
                <w:rFonts w:cs="Arial"/>
                <w:szCs w:val="20"/>
              </w:rPr>
              <w:t xml:space="preserve"> through a shared local licensing arrangement</w:t>
            </w:r>
            <w:bookmarkStart w:id="248" w:name="_Ref15023435"/>
            <w:r w:rsidRPr="00B53F89">
              <w:rPr>
                <w:rStyle w:val="FootnoteReference"/>
                <w:rFonts w:cs="Arial"/>
                <w:szCs w:val="20"/>
              </w:rPr>
              <w:footnoteReference w:id="27"/>
            </w:r>
            <w:bookmarkEnd w:id="248"/>
            <w:r w:rsidRPr="00B53F89">
              <w:rPr>
                <w:rFonts w:cs="Arial"/>
                <w:szCs w:val="20"/>
              </w:rPr>
              <w:t xml:space="preserve"> on a first-in-time coordinated basis. Low power small area licences and medium power rural area base station licences will be available. Ofcom also indicated that this is an interim approach to enable the quickest route for new users to access the band but flagged its intention to explore the potential for introducing DSA arrangements.</w:t>
            </w:r>
          </w:p>
          <w:p w14:paraId="77B32CA9" w14:textId="22CF60D1" w:rsidR="00E460CF" w:rsidRPr="00B53F89" w:rsidRDefault="00E460CF" w:rsidP="00E460CF">
            <w:r w:rsidRPr="00B53F89">
              <w:t xml:space="preserve">In February 2019, </w:t>
            </w:r>
            <w:r w:rsidR="005A1BE3" w:rsidRPr="00B53F89">
              <w:t xml:space="preserve">the </w:t>
            </w:r>
            <w:r w:rsidRPr="00B53F89">
              <w:t xml:space="preserve">New Zealand </w:t>
            </w:r>
            <w:r w:rsidR="005A1BE3" w:rsidRPr="00B53F89">
              <w:rPr>
                <w:rFonts w:ascii="Helvetica" w:hAnsi="Helvetica"/>
                <w:color w:val="414042"/>
                <w:shd w:val="clear" w:color="auto" w:fill="FFFFFF"/>
              </w:rPr>
              <w:t xml:space="preserve">Minister of Broadcasting, Communications and Digital Media </w:t>
            </w:r>
            <w:r w:rsidRPr="00B53F89">
              <w:t>announced the 3410</w:t>
            </w:r>
            <w:r w:rsidRPr="00B53F89">
              <w:rPr>
                <w:szCs w:val="20"/>
              </w:rPr>
              <w:t>–</w:t>
            </w:r>
            <w:r w:rsidRPr="00B53F89">
              <w:t>3800 MHz band would be allocated for 5G. The spectrum will be auctioned in 2020 and ready for use in November 2022.</w:t>
            </w:r>
            <w:r w:rsidRPr="00B53F89">
              <w:rPr>
                <w:rStyle w:val="FootnoteReference"/>
              </w:rPr>
              <w:footnoteReference w:id="28"/>
            </w:r>
            <w:r w:rsidRPr="00B53F89">
              <w:t xml:space="preserve"> </w:t>
            </w:r>
          </w:p>
          <w:p w14:paraId="2FC558AA" w14:textId="7629C496" w:rsidR="00E460CF" w:rsidRPr="00B53F89" w:rsidRDefault="00E460CF" w:rsidP="00E460CF">
            <w:r w:rsidRPr="00B53F89">
              <w:lastRenderedPageBreak/>
              <w:t xml:space="preserve">In April 2019, the </w:t>
            </w:r>
            <w:r w:rsidR="007E1AEE" w:rsidRPr="00B53F89">
              <w:t xml:space="preserve">Japanese </w:t>
            </w:r>
            <w:r w:rsidRPr="00B53F89">
              <w:t>Ministry of Internal Affairs and Communications awarded spectrum in the 3600</w:t>
            </w:r>
            <w:r w:rsidRPr="00B53F89">
              <w:rPr>
                <w:szCs w:val="20"/>
              </w:rPr>
              <w:t>–</w:t>
            </w:r>
            <w:r w:rsidRPr="00B53F89">
              <w:t xml:space="preserve">4100 MHz band for 5G. Mobile operators must commence services within two </w:t>
            </w:r>
            <w:r w:rsidR="0033592D" w:rsidRPr="00B53F89">
              <w:t>years,</w:t>
            </w:r>
            <w:r w:rsidRPr="00B53F89">
              <w:t xml:space="preserve"> and must each meet defined coverage targets. </w:t>
            </w:r>
          </w:p>
          <w:p w14:paraId="3FF0756A" w14:textId="49CE9903" w:rsidR="001F4890" w:rsidRPr="00B53F89" w:rsidRDefault="001F4890" w:rsidP="00DE694D">
            <w:r w:rsidRPr="00B53F89">
              <w:t>Given the global developments on wireless broadband mentioned above, and domestic considerations arising from the known interests of incumbent and aspirant users of the band, it is timely to begin a discussion with industry on any implications for long-term arrangements for the entire 3</w:t>
            </w:r>
            <w:r w:rsidR="00EE3C7B" w:rsidRPr="00B53F89">
              <w:t>700–4200</w:t>
            </w:r>
            <w:r w:rsidRPr="00B53F89">
              <w:t xml:space="preserve"> </w:t>
            </w:r>
            <w:r w:rsidR="00EE3C7B" w:rsidRPr="00B53F89">
              <w:t>M</w:t>
            </w:r>
            <w:r w:rsidRPr="00B53F89">
              <w:t>Hz band. The ACMA therefore released a discussion paper</w:t>
            </w:r>
            <w:r w:rsidR="00035ECB" w:rsidRPr="00B53F89">
              <w:t xml:space="preserve"> on </w:t>
            </w:r>
            <w:hyperlink r:id="rId71" w:history="1">
              <w:r w:rsidR="00035ECB" w:rsidRPr="00B53F89">
                <w:rPr>
                  <w:rStyle w:val="Hyperlink"/>
                </w:rPr>
                <w:t>planning of the 3700–4200 MHz band</w:t>
              </w:r>
            </w:hyperlink>
            <w:r w:rsidRPr="00B53F89">
              <w:t xml:space="preserve"> in Q3 2019</w:t>
            </w:r>
            <w:r w:rsidR="00E460CF" w:rsidRPr="00B53F89">
              <w:t xml:space="preserve"> in order to understand current and possible future uses of the band</w:t>
            </w:r>
            <w:r w:rsidRPr="00B53F89">
              <w:t>.</w:t>
            </w:r>
          </w:p>
          <w:p w14:paraId="6626AA03" w14:textId="77777777" w:rsidR="00D9739D" w:rsidRPr="00B53F89" w:rsidRDefault="00D9739D" w:rsidP="00DE694D">
            <w:pPr>
              <w:pStyle w:val="BodySubHeader"/>
            </w:pPr>
            <w:r w:rsidRPr="00B53F89">
              <w:t>Next steps</w:t>
            </w:r>
          </w:p>
          <w:p w14:paraId="02B37E39" w14:textId="07C62CAA" w:rsidR="00963CDA" w:rsidRPr="00B53F89" w:rsidRDefault="00963CDA" w:rsidP="00DE694D">
            <w:pPr>
              <w:rPr>
                <w:rFonts w:cs="Arial"/>
                <w:b/>
                <w:szCs w:val="20"/>
              </w:rPr>
            </w:pPr>
            <w:r w:rsidRPr="00B53F89">
              <w:t xml:space="preserve">The ACMA </w:t>
            </w:r>
            <w:r w:rsidR="00E460CF" w:rsidRPr="00B53F89">
              <w:t xml:space="preserve">plans to </w:t>
            </w:r>
            <w:r w:rsidRPr="00B53F89">
              <w:t xml:space="preserve">consider submissions to the discussion paper in Q4 2019, with an aim to developing, if </w:t>
            </w:r>
            <w:r w:rsidR="001928EB" w:rsidRPr="00B53F89">
              <w:t>appropriate</w:t>
            </w:r>
            <w:r w:rsidRPr="00B53F89">
              <w:t>, an options paper for future use of the 3</w:t>
            </w:r>
            <w:r w:rsidR="00EE3C7B" w:rsidRPr="00B53F89">
              <w:t>700–4200</w:t>
            </w:r>
            <w:r w:rsidRPr="00B53F89">
              <w:t xml:space="preserve"> </w:t>
            </w:r>
            <w:r w:rsidR="00EE3C7B" w:rsidRPr="00B53F89">
              <w:t>M</w:t>
            </w:r>
            <w:r w:rsidRPr="00B53F89">
              <w:t>Hz band in Q1 2020</w:t>
            </w:r>
            <w:r w:rsidR="00A315E1" w:rsidRPr="00B53F89">
              <w:t>.</w:t>
            </w:r>
          </w:p>
        </w:tc>
      </w:tr>
    </w:tbl>
    <w:p w14:paraId="5195250B" w14:textId="77777777" w:rsidR="009009FD" w:rsidRPr="00B53F89" w:rsidRDefault="009009FD"/>
    <w:tbl>
      <w:tblPr>
        <w:tblW w:w="7797" w:type="dxa"/>
        <w:tblLayout w:type="fixed"/>
        <w:tblCellMar>
          <w:left w:w="0" w:type="dxa"/>
          <w:right w:w="0" w:type="dxa"/>
        </w:tblCellMar>
        <w:tblLook w:val="04A0" w:firstRow="1" w:lastRow="0" w:firstColumn="1" w:lastColumn="0" w:noHBand="0" w:noVBand="1"/>
        <w:tblCaption w:val="Monitoring"/>
      </w:tblPr>
      <w:tblGrid>
        <w:gridCol w:w="7797"/>
      </w:tblGrid>
      <w:tr w:rsidR="00D9739D" w:rsidRPr="00B53F89" w14:paraId="7E50B7B6" w14:textId="77777777" w:rsidTr="00DE694D">
        <w:trPr>
          <w:tblHeader/>
        </w:trPr>
        <w:tc>
          <w:tcPr>
            <w:tcW w:w="7797" w:type="dxa"/>
            <w:shd w:val="clear" w:color="auto" w:fill="D9D9D9" w:themeFill="background1" w:themeFillShade="D9"/>
            <w:tcMar>
              <w:top w:w="57" w:type="dxa"/>
              <w:bottom w:w="57" w:type="dxa"/>
            </w:tcMar>
          </w:tcPr>
          <w:p w14:paraId="0052AA02" w14:textId="74E777DE" w:rsidR="00D9739D" w:rsidRPr="00B53F89" w:rsidRDefault="00D9739D" w:rsidP="00DE694D">
            <w:pPr>
              <w:pStyle w:val="Tableheading2"/>
              <w:rPr>
                <w:color w:val="FFFFFF" w:themeColor="background1"/>
              </w:rPr>
            </w:pPr>
            <w:bookmarkStart w:id="249" w:name="_Toc18505531"/>
            <w:r w:rsidRPr="00B53F89">
              <w:t>Preliminary replanning</w:t>
            </w:r>
            <w:bookmarkEnd w:id="249"/>
          </w:p>
        </w:tc>
      </w:tr>
      <w:tr w:rsidR="00CB5884" w:rsidRPr="00B53F89" w14:paraId="2F30D50D" w14:textId="77777777" w:rsidTr="00DE694D">
        <w:trPr>
          <w:tblHeader/>
        </w:trPr>
        <w:tc>
          <w:tcPr>
            <w:tcW w:w="7797" w:type="dxa"/>
            <w:shd w:val="clear" w:color="auto" w:fill="auto"/>
          </w:tcPr>
          <w:p w14:paraId="6A71EA27" w14:textId="77777777" w:rsidR="00CB5884" w:rsidRPr="00B53F89" w:rsidRDefault="00CB5884" w:rsidP="00CB5884">
            <w:pPr>
              <w:pStyle w:val="Tableheading2"/>
            </w:pPr>
          </w:p>
        </w:tc>
      </w:tr>
      <w:tr w:rsidR="00D9739D" w:rsidRPr="00B53F89" w14:paraId="3EA0AB1D" w14:textId="77777777" w:rsidTr="00DE694D">
        <w:tc>
          <w:tcPr>
            <w:tcW w:w="7797" w:type="dxa"/>
          </w:tcPr>
          <w:p w14:paraId="7A4482BD" w14:textId="57A5AB9F" w:rsidR="001D59F8" w:rsidRPr="00B53F89" w:rsidRDefault="001D59F8" w:rsidP="00C4441C">
            <w:pPr>
              <w:keepNext/>
              <w:spacing w:before="60" w:after="0"/>
            </w:pPr>
            <w:r w:rsidRPr="006A2F04">
              <w:rPr>
                <w:noProof/>
              </w:rPr>
              <w:drawing>
                <wp:inline distT="0" distB="0" distL="0" distR="0" wp14:anchorId="0F3FEFBB" wp14:editId="22DC9148">
                  <wp:extent cx="342900" cy="361950"/>
                  <wp:effectExtent l="0" t="0" r="0" b="0"/>
                  <wp:docPr id="61" name="Picture 61"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D32654" w:rsidRPr="006A2F04">
              <w:rPr>
                <w:noProof/>
              </w:rPr>
              <w:drawing>
                <wp:inline distT="0" distB="0" distL="0" distR="0" wp14:anchorId="39CD8E66" wp14:editId="1DDCA7BD">
                  <wp:extent cx="341630" cy="359410"/>
                  <wp:effectExtent l="0" t="0" r="1270" b="2540"/>
                  <wp:docPr id="145" name="Picture 145"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31"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6A2F04">
              <w:rPr>
                <w:noProof/>
              </w:rPr>
              <w:drawing>
                <wp:inline distT="0" distB="0" distL="0" distR="0" wp14:anchorId="745392A7" wp14:editId="1F58DF63">
                  <wp:extent cx="342900" cy="361950"/>
                  <wp:effectExtent l="0" t="0" r="0" b="0"/>
                  <wp:docPr id="63" name="Picture 63"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Radio/TV broadcasting icon"/>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68817380" wp14:editId="4938E90A">
                  <wp:extent cx="342900" cy="361950"/>
                  <wp:effectExtent l="0" t="0" r="0" b="0"/>
                  <wp:docPr id="64" name="Picture 64" descr="Aviation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Aviation icon"/>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272D44" w:rsidRPr="006A2F04">
              <w:rPr>
                <w:noProof/>
              </w:rPr>
              <w:drawing>
                <wp:inline distT="0" distB="0" distL="0" distR="0" wp14:anchorId="03869626" wp14:editId="5D3AD8DD">
                  <wp:extent cx="342900" cy="361950"/>
                  <wp:effectExtent l="0" t="0" r="0" b="0"/>
                  <wp:docPr id="185" name="Picture 185"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Point to multipoint icon"/>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272D44" w:rsidRPr="006A2F04">
              <w:rPr>
                <w:noProof/>
              </w:rPr>
              <w:drawing>
                <wp:inline distT="0" distB="0" distL="0" distR="0" wp14:anchorId="43529BE7" wp14:editId="5333C717">
                  <wp:extent cx="342900" cy="361950"/>
                  <wp:effectExtent l="0" t="0" r="0" b="0"/>
                  <wp:docPr id="186" name="Picture 186"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272D44" w:rsidRPr="006A2F04">
              <w:rPr>
                <w:noProof/>
              </w:rPr>
              <w:drawing>
                <wp:inline distT="0" distB="0" distL="0" distR="0" wp14:anchorId="1F08E5A7" wp14:editId="335F01A0">
                  <wp:extent cx="342900" cy="361950"/>
                  <wp:effectExtent l="0" t="0" r="0" b="0"/>
                  <wp:docPr id="187" name="Picture 187" descr="Defenc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Defence icon"/>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7DC0D9AB" wp14:editId="6A6B801C">
                  <wp:extent cx="342900" cy="361950"/>
                  <wp:effectExtent l="0" t="0" r="0" b="0"/>
                  <wp:docPr id="65" name="Picture 65"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79A4B42A" w14:textId="22D90293" w:rsidR="00D9739D" w:rsidRPr="00B53F89" w:rsidRDefault="00D9739D" w:rsidP="00DE694D">
            <w:pPr>
              <w:pStyle w:val="Heading3"/>
              <w:spacing w:after="0"/>
              <w:rPr>
                <w:szCs w:val="20"/>
              </w:rPr>
            </w:pPr>
            <w:bookmarkStart w:id="250" w:name="_Toc18505532"/>
            <w:r w:rsidRPr="00B53F89">
              <w:t>1.5 GHz (1427</w:t>
            </w:r>
            <w:r w:rsidRPr="00B53F89">
              <w:rPr>
                <w:rStyle w:val="Heading3Char"/>
              </w:rPr>
              <w:t>–</w:t>
            </w:r>
            <w:r w:rsidRPr="00B53F89">
              <w:t>1518 MHz)</w:t>
            </w:r>
            <w:bookmarkEnd w:id="250"/>
          </w:p>
        </w:tc>
      </w:tr>
      <w:tr w:rsidR="00D9739D" w:rsidRPr="00B53F89" w14:paraId="5EA150BC" w14:textId="77777777" w:rsidTr="00DE694D">
        <w:tc>
          <w:tcPr>
            <w:tcW w:w="7797" w:type="dxa"/>
          </w:tcPr>
          <w:p w14:paraId="4C49943B" w14:textId="51BBA2D6" w:rsidR="00D9739D" w:rsidRPr="00B53F89" w:rsidRDefault="00D9739D" w:rsidP="00DE694D">
            <w:r w:rsidRPr="00B53F89">
              <w:t xml:space="preserve">At WRC-15, </w:t>
            </w:r>
            <w:r w:rsidR="00900992" w:rsidRPr="00B53F89">
              <w:t xml:space="preserve">all of </w:t>
            </w:r>
            <w:r w:rsidRPr="00B53F89">
              <w:t xml:space="preserve">the </w:t>
            </w:r>
            <w:r w:rsidR="00900992" w:rsidRPr="00B53F89">
              <w:t>1.5 GHz</w:t>
            </w:r>
            <w:r w:rsidRPr="00B53F89">
              <w:t xml:space="preserve"> band was harmonised for IMT within </w:t>
            </w:r>
            <w:r w:rsidR="00900992" w:rsidRPr="00B53F89">
              <w:t>ITU R</w:t>
            </w:r>
            <w:r w:rsidRPr="00B53F89">
              <w:t xml:space="preserve">egions 2 and 3, while </w:t>
            </w:r>
            <w:r w:rsidR="00E744C2" w:rsidRPr="00B53F89">
              <w:t xml:space="preserve">ITU </w:t>
            </w:r>
            <w:r w:rsidRPr="00B53F89">
              <w:t xml:space="preserve">Region 1 identified 1427–1452 MHz and 1492–1518 MHz via regional footnotes. In </w:t>
            </w:r>
            <w:r w:rsidR="00E744C2" w:rsidRPr="00B53F89">
              <w:t xml:space="preserve">ITU </w:t>
            </w:r>
            <w:r w:rsidRPr="00B53F89">
              <w:t>Region 1, only African and Arab states identified the 1452–1492 MHz range (CEPT did not identify this band due to an ongoing dispute with R</w:t>
            </w:r>
            <w:r w:rsidR="007E1AEE" w:rsidRPr="00B53F89">
              <w:t xml:space="preserve">egional </w:t>
            </w:r>
            <w:r w:rsidRPr="00B53F89">
              <w:t>C</w:t>
            </w:r>
            <w:r w:rsidR="007E1AEE" w:rsidRPr="00B53F89">
              <w:t xml:space="preserve">ommonwealth in the field of </w:t>
            </w:r>
            <w:r w:rsidRPr="00B53F89">
              <w:t>C</w:t>
            </w:r>
            <w:r w:rsidR="007E1AEE" w:rsidRPr="00B53F89">
              <w:t>ommunications</w:t>
            </w:r>
            <w:r w:rsidRPr="00B53F89">
              <w:t xml:space="preserve"> countries over the protection of Aeronautical Mobile Telemetry services).</w:t>
            </w:r>
          </w:p>
          <w:p w14:paraId="3DC867F0" w14:textId="400C6CDB" w:rsidR="00D9739D" w:rsidRPr="00B53F89" w:rsidRDefault="00D9739D" w:rsidP="00DE694D">
            <w:r w:rsidRPr="00B53F89">
              <w:t xml:space="preserve">The ACMA notes that an additional outcome of WRC-15 was Resolution </w:t>
            </w:r>
            <w:r w:rsidRPr="00B53F89">
              <w:rPr>
                <w:b/>
              </w:rPr>
              <w:t>761 (WRC-15)</w:t>
            </w:r>
            <w:r w:rsidRPr="00B53F89">
              <w:t xml:space="preserve">. This resolution invites the ITU-R to conduct, in time for WRC-19, the appropriate regulatory and technical studies, with a view to ensuring the compatibility of IMT and the broadcasting-satellite service (BSS) (sound) in the frequency band 1452–1492 MHz in </w:t>
            </w:r>
            <w:r w:rsidR="00E744C2" w:rsidRPr="00B53F89">
              <w:t>ITU R</w:t>
            </w:r>
            <w:r w:rsidRPr="00B53F89">
              <w:t>egions 1 and 3, considering IMT and BSS (sound) operational requirements.</w:t>
            </w:r>
          </w:p>
          <w:p w14:paraId="4C48271F" w14:textId="3668BEC3" w:rsidR="00D9739D" w:rsidRPr="00B53F89" w:rsidRDefault="00D9739D" w:rsidP="00DE694D">
            <w:r w:rsidRPr="00B53F89">
              <w:t>Domestically, the impact on aeronautical telemetry services and fixed services, including the Digital Radio Concentrator System, will need to be considered in any re-</w:t>
            </w:r>
            <w:r w:rsidR="00872284" w:rsidRPr="00B53F89">
              <w:t xml:space="preserve">planning </w:t>
            </w:r>
            <w:r w:rsidRPr="00B53F89">
              <w:t>process.</w:t>
            </w:r>
          </w:p>
          <w:p w14:paraId="0711AE4D" w14:textId="60EA46A1" w:rsidR="00D9739D" w:rsidRPr="00B53F89" w:rsidRDefault="00D9739D" w:rsidP="00DE694D">
            <w:r w:rsidRPr="00B53F89">
              <w:t>As referred to in Resolution</w:t>
            </w:r>
            <w:r w:rsidRPr="00B53F89">
              <w:rPr>
                <w:b/>
              </w:rPr>
              <w:t xml:space="preserve"> 223 (Rev. WRC-15)</w:t>
            </w:r>
            <w:r w:rsidRPr="00B53F89">
              <w:t>, some satellite industry representatives have also pointed out that compatibility with MSS operating above 1518 MHz will need to be considered.</w:t>
            </w:r>
          </w:p>
          <w:p w14:paraId="4C5871E0" w14:textId="37B8E06E" w:rsidR="00D9739D" w:rsidRPr="00B53F89" w:rsidRDefault="00D9739D" w:rsidP="00DE694D">
            <w:pPr>
              <w:rPr>
                <w:rFonts w:cs="Arial"/>
              </w:rPr>
            </w:pPr>
            <w:r w:rsidRPr="00B53F89">
              <w:t>There is support domestically from mobile broadband representatives for progressing the re-farming of this band.</w:t>
            </w:r>
            <w:r w:rsidRPr="00B53F89">
              <w:rPr>
                <w:rFonts w:cs="Arial"/>
              </w:rPr>
              <w:t xml:space="preserve"> The ACMA released the discussion paper, </w:t>
            </w:r>
            <w:hyperlink r:id="rId72" w:history="1">
              <w:r w:rsidRPr="00B53F89">
                <w:rPr>
                  <w:rStyle w:val="Hyperlink"/>
                  <w:rFonts w:eastAsiaTheme="majorEastAsia" w:cs="Arial"/>
                  <w:i/>
                  <w:szCs w:val="20"/>
                </w:rPr>
                <w:t>Future use of the 1.5 GHz and 3.6 GHz bands</w:t>
              </w:r>
            </w:hyperlink>
            <w:r w:rsidRPr="00B53F89">
              <w:rPr>
                <w:rFonts w:cs="Arial"/>
              </w:rPr>
              <w:t xml:space="preserve"> in October 2016, with 72 submissions received from industry.</w:t>
            </w:r>
          </w:p>
          <w:p w14:paraId="78157729" w14:textId="16A47B49" w:rsidR="00D9739D" w:rsidRPr="00B53F89" w:rsidRDefault="00D9739D" w:rsidP="00DE694D">
            <w:pPr>
              <w:rPr>
                <w:rFonts w:cs="Arial"/>
              </w:rPr>
            </w:pPr>
            <w:r w:rsidRPr="00B53F89">
              <w:rPr>
                <w:rFonts w:cs="Arial"/>
              </w:rPr>
              <w:t xml:space="preserve">In June 2017, the ACMA released a </w:t>
            </w:r>
            <w:hyperlink r:id="rId73" w:history="1">
              <w:r w:rsidRPr="00B53F89">
                <w:rPr>
                  <w:rStyle w:val="Hyperlink"/>
                  <w:rFonts w:eastAsiaTheme="majorEastAsia" w:cs="Arial"/>
                  <w:szCs w:val="20"/>
                </w:rPr>
                <w:t>consultation package</w:t>
              </w:r>
            </w:hyperlink>
            <w:r w:rsidRPr="00B53F89">
              <w:rPr>
                <w:rFonts w:cs="Arial"/>
              </w:rPr>
              <w:t xml:space="preserve"> including </w:t>
            </w:r>
            <w:hyperlink r:id="rId74" w:history="1">
              <w:r w:rsidRPr="006A2F04">
                <w:rPr>
                  <w:rStyle w:val="Hyperlink"/>
                </w:rPr>
                <w:t>Future use of the 1.5 GHz and 3.6 GHz bands—Summary of and response to 3.6 GHz submissions</w:t>
              </w:r>
            </w:hyperlink>
            <w:r w:rsidRPr="00B53F89">
              <w:rPr>
                <w:rFonts w:cs="Arial"/>
              </w:rPr>
              <w:t xml:space="preserve">. This detailed the ACMA’s decision to progress both the 1.5 GHz and 3.6 GHz bands to the </w:t>
            </w:r>
            <w:r w:rsidRPr="00B53F89">
              <w:rPr>
                <w:rFonts w:cs="Arial"/>
                <w:i/>
              </w:rPr>
              <w:lastRenderedPageBreak/>
              <w:t>preliminary replanning</w:t>
            </w:r>
            <w:r w:rsidRPr="00B53F89">
              <w:rPr>
                <w:rFonts w:cs="Arial"/>
              </w:rPr>
              <w:t xml:space="preserve"> stage of the ACMA’s process for consideration of additional spectrum for </w:t>
            </w:r>
            <w:r w:rsidR="001D6F68" w:rsidRPr="00B53F89">
              <w:rPr>
                <w:rFonts w:cs="Arial"/>
              </w:rPr>
              <w:t>mobile broadband</w:t>
            </w:r>
            <w:r w:rsidRPr="00B53F89">
              <w:rPr>
                <w:rFonts w:cs="Arial"/>
              </w:rPr>
              <w:t xml:space="preserve"> services.</w:t>
            </w:r>
          </w:p>
          <w:p w14:paraId="6A896976" w14:textId="77777777" w:rsidR="00D9739D" w:rsidRPr="00B53F89" w:rsidRDefault="00D9739D" w:rsidP="00DE694D">
            <w:pPr>
              <w:pStyle w:val="BodySubHeader"/>
              <w:keepNext/>
              <w:keepLines/>
            </w:pPr>
            <w:r w:rsidRPr="00B53F89">
              <w:t>Recent developments</w:t>
            </w:r>
          </w:p>
          <w:p w14:paraId="349FC097" w14:textId="2C5E1221" w:rsidR="00D9739D" w:rsidRPr="00B53F89" w:rsidRDefault="00D9739D" w:rsidP="00DE694D">
            <w:pPr>
              <w:keepNext/>
              <w:keepLines/>
            </w:pPr>
            <w:r w:rsidRPr="00B53F89">
              <w:t xml:space="preserve">ITU-R Working Party 5D </w:t>
            </w:r>
            <w:r w:rsidRPr="00B53F89">
              <w:rPr>
                <w:lang w:eastAsia="zh-CN"/>
              </w:rPr>
              <w:t xml:space="preserve">has continued </w:t>
            </w:r>
            <w:r w:rsidRPr="00B53F89">
              <w:rPr>
                <w:rFonts w:eastAsia="SimSun"/>
                <w:lang w:eastAsia="zh-CN"/>
              </w:rPr>
              <w:t>revision of Recommendation ITU-</w:t>
            </w:r>
            <w:r w:rsidRPr="00B53F89">
              <w:t xml:space="preserve">R M.1036-5 on frequency arrangements for implementation of the terrestrial component of IMT in the bands identified for IMT in the RRs. The draft revision includes arrangements for the frequency band </w:t>
            </w:r>
            <w:r w:rsidR="00FD52F9" w:rsidRPr="00B53F89">
              <w:t>1.5 G</w:t>
            </w:r>
            <w:r w:rsidRPr="00B53F89">
              <w:t xml:space="preserve">Hz. </w:t>
            </w:r>
          </w:p>
          <w:p w14:paraId="6FAC29D5" w14:textId="5A5939F8" w:rsidR="00D9739D" w:rsidRPr="00B53F89" w:rsidRDefault="00D9739D" w:rsidP="00DE694D">
            <w:pPr>
              <w:rPr>
                <w:rFonts w:eastAsia="SimSun"/>
                <w:lang w:eastAsia="zh-CN"/>
              </w:rPr>
            </w:pPr>
            <w:r w:rsidRPr="00B53F89">
              <w:t xml:space="preserve">Working Party 5D is also undertaking studies called for in Resolution </w:t>
            </w:r>
            <w:r w:rsidRPr="00B53F89">
              <w:rPr>
                <w:b/>
              </w:rPr>
              <w:t>223 (Rev. WRC-15)</w:t>
            </w:r>
            <w:r w:rsidRPr="00B53F89">
              <w:t>.</w:t>
            </w:r>
            <w:r w:rsidRPr="00B53F89">
              <w:rPr>
                <w:rFonts w:eastAsia="SimSun"/>
                <w:lang w:eastAsia="zh-CN"/>
              </w:rPr>
              <w:t xml:space="preserve"> </w:t>
            </w:r>
            <w:bookmarkStart w:id="251" w:name="_Hlk18404497"/>
            <w:r w:rsidRPr="00B53F89">
              <w:rPr>
                <w:rFonts w:eastAsia="SimSun"/>
                <w:lang w:eastAsia="zh-CN"/>
              </w:rPr>
              <w:t xml:space="preserve">Working Party 5D </w:t>
            </w:r>
            <w:r w:rsidR="002A7116" w:rsidRPr="00B53F89">
              <w:rPr>
                <w:rFonts w:eastAsia="SimSun"/>
                <w:lang w:eastAsia="zh-CN"/>
              </w:rPr>
              <w:t>has</w:t>
            </w:r>
            <w:r w:rsidRPr="00B53F89">
              <w:rPr>
                <w:rFonts w:eastAsia="SimSun"/>
                <w:lang w:eastAsia="zh-CN"/>
              </w:rPr>
              <w:t xml:space="preserve"> complete</w:t>
            </w:r>
            <w:r w:rsidR="002A7116" w:rsidRPr="00B53F89">
              <w:rPr>
                <w:rFonts w:eastAsia="SimSun"/>
                <w:lang w:eastAsia="zh-CN"/>
              </w:rPr>
              <w:t>d</w:t>
            </w:r>
            <w:r w:rsidRPr="00B53F89">
              <w:rPr>
                <w:rFonts w:eastAsia="SimSun"/>
                <w:lang w:eastAsia="zh-CN"/>
              </w:rPr>
              <w:t xml:space="preserve"> these work items </w:t>
            </w:r>
            <w:r w:rsidR="002A7116" w:rsidRPr="00B53F89">
              <w:rPr>
                <w:rFonts w:eastAsia="SimSun"/>
                <w:lang w:eastAsia="zh-CN"/>
              </w:rPr>
              <w:t>which will then go through approval and adoption processes, expected to be completed in</w:t>
            </w:r>
            <w:r w:rsidRPr="00B53F89">
              <w:rPr>
                <w:rFonts w:eastAsia="SimSun"/>
                <w:lang w:eastAsia="zh-CN"/>
              </w:rPr>
              <w:t xml:space="preserve"> 2019. </w:t>
            </w:r>
            <w:bookmarkEnd w:id="251"/>
          </w:p>
          <w:p w14:paraId="3ACDCD6F" w14:textId="2258B2D8" w:rsidR="00D9739D" w:rsidRPr="00B53F89" w:rsidRDefault="00D9739D" w:rsidP="00DE694D">
            <w:pPr>
              <w:rPr>
                <w:rFonts w:eastAsia="SimSun"/>
                <w:lang w:eastAsia="zh-CN"/>
              </w:rPr>
            </w:pPr>
            <w:r w:rsidRPr="00B53F89">
              <w:rPr>
                <w:rFonts w:eastAsia="SimSun"/>
                <w:lang w:eastAsia="zh-CN"/>
              </w:rPr>
              <w:t xml:space="preserve">The AWG has a work plan to develop a report on frequency arrangements for the </w:t>
            </w:r>
            <w:r w:rsidR="00FD52F9" w:rsidRPr="00B53F89">
              <w:rPr>
                <w:rFonts w:cs="Arial"/>
              </w:rPr>
              <w:t>1.5 G</w:t>
            </w:r>
            <w:r w:rsidRPr="00B53F89">
              <w:rPr>
                <w:rFonts w:cs="Arial"/>
              </w:rPr>
              <w:t>Hz</w:t>
            </w:r>
            <w:r w:rsidRPr="00B53F89">
              <w:rPr>
                <w:rFonts w:eastAsia="SimSun"/>
                <w:lang w:eastAsia="zh-CN"/>
              </w:rPr>
              <w:t xml:space="preserve"> band. The current proposal is to finalise the work at AWG-2</w:t>
            </w:r>
            <w:r w:rsidR="00242011" w:rsidRPr="00B53F89">
              <w:rPr>
                <w:rFonts w:eastAsia="SimSun"/>
                <w:lang w:eastAsia="zh-CN"/>
              </w:rPr>
              <w:t>6</w:t>
            </w:r>
            <w:r w:rsidRPr="00B53F89">
              <w:rPr>
                <w:rFonts w:eastAsia="SimSun"/>
                <w:lang w:eastAsia="zh-CN"/>
              </w:rPr>
              <w:t xml:space="preserve"> in March/April 20</w:t>
            </w:r>
            <w:r w:rsidR="00242011" w:rsidRPr="00B53F89">
              <w:rPr>
                <w:rFonts w:eastAsia="SimSun"/>
                <w:lang w:eastAsia="zh-CN"/>
              </w:rPr>
              <w:t>20</w:t>
            </w:r>
            <w:r w:rsidRPr="00B53F89">
              <w:rPr>
                <w:rFonts w:eastAsia="SimSun"/>
                <w:lang w:eastAsia="zh-CN"/>
              </w:rPr>
              <w:t xml:space="preserve"> but this may be reviewed depending on progress.</w:t>
            </w:r>
          </w:p>
          <w:p w14:paraId="044EFB50" w14:textId="77777777" w:rsidR="00D9739D" w:rsidRPr="00B53F89" w:rsidRDefault="00D9739D" w:rsidP="00DE694D">
            <w:pPr>
              <w:pStyle w:val="BodySubHeader"/>
            </w:pPr>
            <w:r w:rsidRPr="00B53F89">
              <w:t>Next steps</w:t>
            </w:r>
          </w:p>
          <w:p w14:paraId="650BD353" w14:textId="4AFCBECD" w:rsidR="00D9739D" w:rsidRPr="00B53F89" w:rsidRDefault="00D9739D" w:rsidP="00DE694D">
            <w:pPr>
              <w:rPr>
                <w:rFonts w:cs="Arial"/>
                <w:szCs w:val="20"/>
              </w:rPr>
            </w:pPr>
            <w:r w:rsidRPr="00B53F89">
              <w:t xml:space="preserve">The ACMA will continue to monitor and engage with stakeholders via the usual international preparatory process to develop Australian positions on studies under </w:t>
            </w:r>
            <w:r w:rsidRPr="00B53F89">
              <w:rPr>
                <w:rFonts w:cs="Arial"/>
              </w:rPr>
              <w:t xml:space="preserve">Resolution </w:t>
            </w:r>
            <w:r w:rsidRPr="00B53F89">
              <w:rPr>
                <w:rFonts w:cs="Arial"/>
                <w:b/>
              </w:rPr>
              <w:t xml:space="preserve">223 (Rev. WRC-15) </w:t>
            </w:r>
            <w:r w:rsidRPr="00B53F89">
              <w:t>and Resolution</w:t>
            </w:r>
            <w:r w:rsidRPr="00B53F89">
              <w:rPr>
                <w:rFonts w:cs="Arial"/>
                <w:b/>
              </w:rPr>
              <w:t xml:space="preserve"> 761 (WRC-15),</w:t>
            </w:r>
            <w:r w:rsidRPr="00B53F89">
              <w:rPr>
                <w:rFonts w:cs="Arial"/>
              </w:rPr>
              <w:t xml:space="preserve"> </w:t>
            </w:r>
            <w:r w:rsidRPr="00B53F89">
              <w:t xml:space="preserve">and other international issues related to the 1.5 GHz band, such as possible new band plans. </w:t>
            </w:r>
            <w:r w:rsidR="00C86356" w:rsidRPr="00B53F89">
              <w:rPr>
                <w:rFonts w:cs="Arial"/>
                <w:szCs w:val="20"/>
              </w:rPr>
              <w:t>Stakeholders have also indicated interest in the band for private LTE networks, subject to equipment availability.</w:t>
            </w:r>
          </w:p>
          <w:p w14:paraId="5D3088A6" w14:textId="7988A4B7" w:rsidR="00872284" w:rsidRPr="00B53F89" w:rsidRDefault="00872284" w:rsidP="00DE694D">
            <w:r w:rsidRPr="00B53F89">
              <w:t xml:space="preserve">As the coexistence with </w:t>
            </w:r>
            <w:r w:rsidR="00E022B4" w:rsidRPr="00B53F89">
              <w:t>possible</w:t>
            </w:r>
            <w:r w:rsidRPr="00B53F89">
              <w:t xml:space="preserve"> MSS use above 1518 MHz is likely to be a substantial consideration, the simultaneous review of the extended MSS L-band and the 1.5 GHz bands is considered to be appropriate.</w:t>
            </w:r>
          </w:p>
          <w:p w14:paraId="34D15B1E" w14:textId="2C11C96B" w:rsidR="00D9739D" w:rsidRPr="00B53F89" w:rsidRDefault="004615B7" w:rsidP="00DE694D">
            <w:pPr>
              <w:rPr>
                <w:rFonts w:cs="Arial"/>
              </w:rPr>
            </w:pPr>
            <w:r w:rsidRPr="00B53F89">
              <w:t xml:space="preserve">See under </w:t>
            </w:r>
            <w:r w:rsidR="00D159D8" w:rsidRPr="00B53F89">
              <w:t>‘T</w:t>
            </w:r>
            <w:r w:rsidRPr="00B53F89">
              <w:t>he Forward allocation work plan</w:t>
            </w:r>
            <w:r w:rsidR="00D159D8" w:rsidRPr="00B53F89">
              <w:t>’</w:t>
            </w:r>
            <w:r w:rsidRPr="00B53F89">
              <w:t xml:space="preserve"> for more information.</w:t>
            </w:r>
          </w:p>
        </w:tc>
      </w:tr>
      <w:tr w:rsidR="00D9739D" w:rsidRPr="00B53F89" w14:paraId="24B78CD6" w14:textId="77777777" w:rsidTr="00DE694D">
        <w:tc>
          <w:tcPr>
            <w:tcW w:w="7797" w:type="dxa"/>
          </w:tcPr>
          <w:p w14:paraId="39FBA3C3" w14:textId="4E1CF6EC" w:rsidR="00907BD5" w:rsidRPr="00B53F89" w:rsidRDefault="00907BD5" w:rsidP="00C4441C">
            <w:pPr>
              <w:keepNext/>
              <w:spacing w:before="60" w:after="0"/>
            </w:pPr>
            <w:r w:rsidRPr="006A2F04">
              <w:rPr>
                <w:noProof/>
              </w:rPr>
              <w:lastRenderedPageBreak/>
              <w:drawing>
                <wp:inline distT="0" distB="0" distL="0" distR="0" wp14:anchorId="48399DF7" wp14:editId="656DF70D">
                  <wp:extent cx="342900" cy="361950"/>
                  <wp:effectExtent l="0" t="0" r="0" b="0"/>
                  <wp:docPr id="66" name="Picture 66"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6DA31708" w14:textId="5D1E26C9" w:rsidR="00D9739D" w:rsidRPr="00B53F89" w:rsidRDefault="002E5AB0" w:rsidP="00DE694D">
            <w:pPr>
              <w:pStyle w:val="Heading3"/>
              <w:spacing w:after="0"/>
            </w:pPr>
            <w:bookmarkStart w:id="252" w:name="_Toc18505533"/>
            <w:r w:rsidRPr="00B53F89">
              <w:t>1800 MHz (</w:t>
            </w:r>
            <w:r w:rsidR="00D9739D" w:rsidRPr="00B53F89">
              <w:t>1710–1785</w:t>
            </w:r>
            <w:r w:rsidR="00400C75" w:rsidRPr="00B53F89">
              <w:t xml:space="preserve"> MHz and </w:t>
            </w:r>
            <w:r w:rsidR="00D9739D" w:rsidRPr="00B53F89">
              <w:t>1805–1880 MHz) in remote areas</w:t>
            </w:r>
            <w:bookmarkEnd w:id="252"/>
          </w:p>
        </w:tc>
      </w:tr>
      <w:tr w:rsidR="00D9739D" w:rsidRPr="00B53F89" w14:paraId="6E1A8475" w14:textId="77777777" w:rsidTr="00DE694D">
        <w:tc>
          <w:tcPr>
            <w:tcW w:w="7797" w:type="dxa"/>
          </w:tcPr>
          <w:p w14:paraId="155263CE" w14:textId="68C2D23F" w:rsidR="00D9739D" w:rsidRPr="00B53F89" w:rsidRDefault="00D9739D" w:rsidP="00D7755E">
            <w:pPr>
              <w:spacing w:after="120"/>
              <w:rPr>
                <w:rFonts w:cs="Arial"/>
              </w:rPr>
            </w:pPr>
            <w:r w:rsidRPr="00B53F89">
              <w:t xml:space="preserve">In 2016, the ACMA released arrangements for use of the 1800 MHz band in remote areas for fixed and mobile wireless broadband services. To manage a potential </w:t>
            </w:r>
            <w:r w:rsidR="00A82792" w:rsidRPr="00B53F89">
              <w:t>surge</w:t>
            </w:r>
            <w:r w:rsidRPr="00B53F89">
              <w:t xml:space="preserve"> in licence applications, a priority assignment model was adopted. An application window process was also adopted for the initial release of spectrum in the upper 2 x 30 MHz of the band to avoid conflicting assignments being made</w:t>
            </w:r>
            <w:r w:rsidRPr="00B53F89">
              <w:rPr>
                <w:rFonts w:cs="Arial"/>
              </w:rPr>
              <w:t xml:space="preserve">. </w:t>
            </w:r>
          </w:p>
          <w:p w14:paraId="14CB95C1" w14:textId="77777777" w:rsidR="00D9739D" w:rsidRPr="00B53F89" w:rsidRDefault="00D9739D" w:rsidP="00A66E8D">
            <w:pPr>
              <w:pStyle w:val="BodySubHeader"/>
              <w:keepNext/>
              <w:keepLines/>
            </w:pPr>
            <w:r w:rsidRPr="00B53F89">
              <w:t>Recent developments</w:t>
            </w:r>
          </w:p>
          <w:p w14:paraId="613CBE44" w14:textId="4168DE0B" w:rsidR="00D9739D" w:rsidRPr="00B53F89" w:rsidRDefault="00D9739D" w:rsidP="00A66E8D">
            <w:pPr>
              <w:keepNext/>
              <w:keepLines/>
            </w:pPr>
            <w:r w:rsidRPr="00B53F89">
              <w:t>The application window process has been finalised and prospective operators can now apply for licences on a first-in-time basis.</w:t>
            </w:r>
          </w:p>
          <w:p w14:paraId="725C1689" w14:textId="77777777" w:rsidR="00D9739D" w:rsidRPr="00B53F89" w:rsidRDefault="00D9739D" w:rsidP="00DE694D">
            <w:pPr>
              <w:pStyle w:val="BodySubHeader"/>
            </w:pPr>
            <w:r w:rsidRPr="00B53F89">
              <w:t>Next steps</w:t>
            </w:r>
          </w:p>
          <w:p w14:paraId="30A2BC32" w14:textId="6F1B3378" w:rsidR="00D9739D" w:rsidRPr="00B53F89" w:rsidRDefault="00D9739D" w:rsidP="00DE694D">
            <w:r w:rsidRPr="00B53F89">
              <w:t>Now that demand for spectrum in the 1800 MHz band in remote areas is better understood, the ACMA will review the existing arrangements. This includes reassessing the need for a priority assignment model and could include allowing existing or prospective licensees to obtain larger contiguous channels.</w:t>
            </w:r>
            <w:r w:rsidR="006A22CC" w:rsidRPr="00B53F89">
              <w:t xml:space="preserve"> The ACMA will release a discussion paper in Q</w:t>
            </w:r>
            <w:r w:rsidR="008779D5" w:rsidRPr="00B53F89">
              <w:t>4</w:t>
            </w:r>
            <w:r w:rsidR="006A22CC" w:rsidRPr="00B53F89">
              <w:t xml:space="preserve"> 2019.</w:t>
            </w:r>
          </w:p>
        </w:tc>
      </w:tr>
      <w:tr w:rsidR="008B4559" w:rsidRPr="00B53F89" w14:paraId="3325F346" w14:textId="77777777" w:rsidTr="00DE694D">
        <w:tc>
          <w:tcPr>
            <w:tcW w:w="7797" w:type="dxa"/>
          </w:tcPr>
          <w:p w14:paraId="3F6E3F23" w14:textId="46E72DAF" w:rsidR="009E12DE" w:rsidRPr="00B53F89" w:rsidRDefault="009E12DE" w:rsidP="00C4441C">
            <w:pPr>
              <w:keepNext/>
              <w:spacing w:before="60" w:after="0"/>
            </w:pPr>
            <w:r w:rsidRPr="006A2F04">
              <w:rPr>
                <w:noProof/>
              </w:rPr>
              <w:lastRenderedPageBreak/>
              <w:drawing>
                <wp:inline distT="0" distB="0" distL="0" distR="0" wp14:anchorId="31B01165" wp14:editId="4A98281B">
                  <wp:extent cx="342900" cy="361950"/>
                  <wp:effectExtent l="0" t="0" r="0" b="0"/>
                  <wp:docPr id="67" name="Picture 67"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53750111" wp14:editId="4AB6CD94">
                  <wp:extent cx="342900" cy="361950"/>
                  <wp:effectExtent l="0" t="0" r="0" b="0"/>
                  <wp:docPr id="68" name="Picture 68"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Radio/TV broadcasting icon"/>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21381F" w:rsidRPr="006A2F04">
              <w:rPr>
                <w:noProof/>
              </w:rPr>
              <w:drawing>
                <wp:inline distT="0" distB="0" distL="0" distR="0" wp14:anchorId="56B93667" wp14:editId="1A68FD70">
                  <wp:extent cx="342900" cy="361950"/>
                  <wp:effectExtent l="0" t="0" r="0" b="0"/>
                  <wp:docPr id="17" name="Picture 17"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21381F" w:rsidRPr="006A2F04">
              <w:rPr>
                <w:noProof/>
              </w:rPr>
              <w:drawing>
                <wp:inline distT="0" distB="0" distL="0" distR="0" wp14:anchorId="2B4FCA5F" wp14:editId="2F135BA8">
                  <wp:extent cx="342900" cy="361950"/>
                  <wp:effectExtent l="0" t="0" r="0" b="0"/>
                  <wp:docPr id="52" name="Picture 52"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Point to multipoint icon"/>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21381F" w:rsidRPr="006A2F04">
              <w:rPr>
                <w:noProof/>
              </w:rPr>
              <w:drawing>
                <wp:inline distT="0" distB="0" distL="0" distR="0" wp14:anchorId="5EC3F7A2" wp14:editId="1EFFF53E">
                  <wp:extent cx="342900" cy="361950"/>
                  <wp:effectExtent l="0" t="0" r="0" b="0"/>
                  <wp:docPr id="53" name="Picture 53"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21381F" w:rsidRPr="006A2F04">
              <w:rPr>
                <w:noProof/>
              </w:rPr>
              <w:drawing>
                <wp:inline distT="0" distB="0" distL="0" distR="0" wp14:anchorId="6044756D" wp14:editId="3D59D35B">
                  <wp:extent cx="342900" cy="361950"/>
                  <wp:effectExtent l="0" t="0" r="0" b="0"/>
                  <wp:docPr id="55" name="Picture 55" descr="Amateur radio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Amateur radio icon"/>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21381F" w:rsidRPr="006A2F04">
              <w:rPr>
                <w:noProof/>
              </w:rPr>
              <w:drawing>
                <wp:inline distT="0" distB="0" distL="0" distR="0" wp14:anchorId="6EA9565A" wp14:editId="71629F52">
                  <wp:extent cx="341630" cy="359410"/>
                  <wp:effectExtent l="0" t="0" r="1270" b="2540"/>
                  <wp:docPr id="59" name="Picture 59"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31"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0021381F" w:rsidRPr="006A2F04">
              <w:rPr>
                <w:noProof/>
              </w:rPr>
              <w:drawing>
                <wp:inline distT="0" distB="0" distL="0" distR="0" wp14:anchorId="71A74677" wp14:editId="3947307A">
                  <wp:extent cx="342900" cy="361950"/>
                  <wp:effectExtent l="0" t="0" r="0" b="0"/>
                  <wp:docPr id="62" name="Picture 62"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373CD0E0" w14:textId="1B81E96B" w:rsidR="008B4559" w:rsidRPr="00B53F89" w:rsidRDefault="008B4559" w:rsidP="00DE694D">
            <w:pPr>
              <w:pStyle w:val="Heading3"/>
              <w:spacing w:after="0"/>
            </w:pPr>
            <w:bookmarkStart w:id="253" w:name="_Toc18505534"/>
            <w:r w:rsidRPr="00B53F89">
              <w:t>34</w:t>
            </w:r>
            <w:r w:rsidR="00EE3C7B" w:rsidRPr="00B53F89">
              <w:t>00</w:t>
            </w:r>
            <w:r w:rsidRPr="00B53F89">
              <w:t xml:space="preserve">–3575 </w:t>
            </w:r>
            <w:r w:rsidR="00EE3C7B" w:rsidRPr="00B53F89">
              <w:t>M</w:t>
            </w:r>
            <w:r w:rsidRPr="00B53F89">
              <w:t>Hz band</w:t>
            </w:r>
            <w:bookmarkEnd w:id="253"/>
          </w:p>
        </w:tc>
      </w:tr>
      <w:tr w:rsidR="008B4559" w:rsidRPr="00B53F89" w14:paraId="46E9E62E" w14:textId="77777777" w:rsidTr="00DE694D">
        <w:tc>
          <w:tcPr>
            <w:tcW w:w="7797" w:type="dxa"/>
          </w:tcPr>
          <w:p w14:paraId="1A962812" w14:textId="61E48131" w:rsidR="008B4559" w:rsidRPr="00B53F89" w:rsidRDefault="00535FF6" w:rsidP="00DE694D">
            <w:pPr>
              <w:rPr>
                <w:rFonts w:eastAsiaTheme="majorEastAsia"/>
              </w:rPr>
            </w:pPr>
            <w:r w:rsidRPr="00B53F89">
              <w:t>T</w:t>
            </w:r>
            <w:r w:rsidR="00E84AB7" w:rsidRPr="00B53F89">
              <w:t>he ACMA recognises that o</w:t>
            </w:r>
            <w:r w:rsidR="008B4559" w:rsidRPr="00B53F89">
              <w:t xml:space="preserve">ptimising spectrum and apparatus licence arrangements in the </w:t>
            </w:r>
            <w:r w:rsidR="00EE3C7B" w:rsidRPr="00B53F89">
              <w:t>3400–3575 MHz</w:t>
            </w:r>
            <w:r w:rsidR="008B4559" w:rsidRPr="00B53F89">
              <w:t xml:space="preserve"> bands, adjacent to the 3.6 GHz band auctioned in 2018, </w:t>
            </w:r>
            <w:r w:rsidR="00E84AB7" w:rsidRPr="00B53F89">
              <w:t>i</w:t>
            </w:r>
            <w:r w:rsidR="008B4559" w:rsidRPr="00B53F89">
              <w:t>s an important priority. This is expected to result in more efficient use of spectrum and a reduction in deployment costs</w:t>
            </w:r>
            <w:r w:rsidR="00E84AB7" w:rsidRPr="00B53F89">
              <w:t>, supporting the implementation of 5G services in Australia.</w:t>
            </w:r>
          </w:p>
          <w:p w14:paraId="4F6CFC23" w14:textId="77777777" w:rsidR="008B4559" w:rsidRPr="00B53F89" w:rsidRDefault="008B4559" w:rsidP="00DE694D">
            <w:pPr>
              <w:pStyle w:val="BodySubHeader"/>
            </w:pPr>
            <w:r w:rsidRPr="00B53F89">
              <w:t>Next steps</w:t>
            </w:r>
          </w:p>
          <w:p w14:paraId="60FF8DA5" w14:textId="1F98232F" w:rsidR="008B4559" w:rsidRPr="00B53F89" w:rsidRDefault="000E5C87" w:rsidP="00DE694D">
            <w:pPr>
              <w:keepNext/>
              <w:keepLines/>
              <w:rPr>
                <w:rFonts w:cs="Arial"/>
              </w:rPr>
            </w:pPr>
            <w:r w:rsidRPr="00B53F89">
              <w:t xml:space="preserve">The ACMA consulted on </w:t>
            </w:r>
            <w:hyperlink r:id="rId75" w:history="1">
              <w:r w:rsidR="008B4559" w:rsidRPr="00B53F89">
                <w:rPr>
                  <w:rStyle w:val="Hyperlink"/>
                </w:rPr>
                <w:t xml:space="preserve">options for </w:t>
              </w:r>
              <w:r w:rsidRPr="00B53F89">
                <w:rPr>
                  <w:rStyle w:val="Hyperlink"/>
                </w:rPr>
                <w:t>optimising arrangements in</w:t>
              </w:r>
              <w:r w:rsidR="008B4559" w:rsidRPr="00B53F89">
                <w:rPr>
                  <w:rStyle w:val="Hyperlink"/>
                </w:rPr>
                <w:t xml:space="preserve"> the 34</w:t>
              </w:r>
              <w:r w:rsidR="00EE3C7B" w:rsidRPr="00B53F89">
                <w:rPr>
                  <w:rStyle w:val="Hyperlink"/>
                </w:rPr>
                <w:t>00</w:t>
              </w:r>
              <w:r w:rsidR="008B4559" w:rsidRPr="00B53F89">
                <w:rPr>
                  <w:rStyle w:val="Hyperlink"/>
                </w:rPr>
                <w:t xml:space="preserve">–3575 </w:t>
              </w:r>
              <w:r w:rsidR="00EE3C7B" w:rsidRPr="00B53F89">
                <w:rPr>
                  <w:rStyle w:val="Hyperlink"/>
                </w:rPr>
                <w:t>M</w:t>
              </w:r>
              <w:r w:rsidR="008B4559" w:rsidRPr="00B53F89">
                <w:rPr>
                  <w:rStyle w:val="Hyperlink"/>
                </w:rPr>
                <w:t>Hz band</w:t>
              </w:r>
            </w:hyperlink>
            <w:r w:rsidR="008B4559" w:rsidRPr="00B53F89">
              <w:t xml:space="preserve"> </w:t>
            </w:r>
            <w:r w:rsidR="004615B7" w:rsidRPr="00B53F89">
              <w:t xml:space="preserve">in </w:t>
            </w:r>
            <w:r w:rsidRPr="00B53F89">
              <w:t xml:space="preserve">April 2019. </w:t>
            </w:r>
            <w:r w:rsidR="004615B7" w:rsidRPr="00B53F89">
              <w:t xml:space="preserve">See under </w:t>
            </w:r>
            <w:r w:rsidR="00D159D8" w:rsidRPr="00B53F89">
              <w:t>‘T</w:t>
            </w:r>
            <w:r w:rsidR="004615B7" w:rsidRPr="00B53F89">
              <w:t>he Forward allocation work plan</w:t>
            </w:r>
            <w:r w:rsidR="00D159D8" w:rsidRPr="00B53F89">
              <w:t>’</w:t>
            </w:r>
            <w:r w:rsidR="004615B7" w:rsidRPr="00B53F89">
              <w:t xml:space="preserve"> for more information</w:t>
            </w:r>
            <w:r w:rsidR="008B4559" w:rsidRPr="00B53F89">
              <w:t>.</w:t>
            </w:r>
          </w:p>
        </w:tc>
      </w:tr>
      <w:tr w:rsidR="00D9739D" w:rsidRPr="00B53F89" w14:paraId="7BC6EAC3" w14:textId="77777777" w:rsidTr="00DE694D">
        <w:tc>
          <w:tcPr>
            <w:tcW w:w="7797" w:type="dxa"/>
          </w:tcPr>
          <w:p w14:paraId="1706C599" w14:textId="6E23D364" w:rsidR="00DA046D" w:rsidRPr="00B53F89" w:rsidRDefault="00D32654" w:rsidP="00C4441C">
            <w:pPr>
              <w:keepNext/>
              <w:spacing w:before="60" w:after="0"/>
            </w:pPr>
            <w:r w:rsidRPr="006A2F04">
              <w:rPr>
                <w:noProof/>
              </w:rPr>
              <w:drawing>
                <wp:inline distT="0" distB="0" distL="0" distR="0" wp14:anchorId="12110747" wp14:editId="3250EB90">
                  <wp:extent cx="341630" cy="359410"/>
                  <wp:effectExtent l="0" t="0" r="1270" b="2540"/>
                  <wp:docPr id="146" name="Picture 146"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31"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00DA046D" w:rsidRPr="006A2F04">
              <w:rPr>
                <w:noProof/>
              </w:rPr>
              <w:drawing>
                <wp:inline distT="0" distB="0" distL="0" distR="0" wp14:anchorId="0B9AD01A" wp14:editId="4D2E2327">
                  <wp:extent cx="342900" cy="361950"/>
                  <wp:effectExtent l="0" t="0" r="0" b="0"/>
                  <wp:docPr id="73" name="Picture 73"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Point to multipoint icon"/>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7921FB" w:rsidRPr="006A2F04">
              <w:rPr>
                <w:noProof/>
              </w:rPr>
              <w:drawing>
                <wp:inline distT="0" distB="0" distL="0" distR="0" wp14:anchorId="189F3D05" wp14:editId="2FF4A12A">
                  <wp:extent cx="342900" cy="361950"/>
                  <wp:effectExtent l="0" t="0" r="0" b="0"/>
                  <wp:docPr id="190" name="Picture 190"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DA046D" w:rsidRPr="006A2F04">
              <w:rPr>
                <w:noProof/>
              </w:rPr>
              <w:drawing>
                <wp:inline distT="0" distB="0" distL="0" distR="0" wp14:anchorId="10CDD9DC" wp14:editId="442B948E">
                  <wp:extent cx="342900" cy="361950"/>
                  <wp:effectExtent l="0" t="0" r="0" b="0"/>
                  <wp:docPr id="74" name="Picture 74"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B64EBB" w:rsidRPr="006A2F04">
              <w:rPr>
                <w:noProof/>
              </w:rPr>
              <w:drawing>
                <wp:inline distT="0" distB="0" distL="0" distR="0" wp14:anchorId="6389F493" wp14:editId="3E789833">
                  <wp:extent cx="342900" cy="361950"/>
                  <wp:effectExtent l="0" t="0" r="0" b="0"/>
                  <wp:docPr id="193" name="Picture 193"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7921FB" w:rsidRPr="006A2F04">
              <w:rPr>
                <w:noProof/>
              </w:rPr>
              <w:drawing>
                <wp:inline distT="0" distB="0" distL="0" distR="0" wp14:anchorId="2A1D76FC" wp14:editId="476A710C">
                  <wp:extent cx="342900" cy="361950"/>
                  <wp:effectExtent l="0" t="0" r="0" b="0"/>
                  <wp:docPr id="191" name="Picture 191"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0A58627C" w14:textId="06218363" w:rsidR="00D9739D" w:rsidRPr="00B53F89" w:rsidRDefault="00A54553" w:rsidP="00D54969">
            <w:pPr>
              <w:pStyle w:val="Heading3"/>
              <w:spacing w:after="0"/>
              <w:rPr>
                <w:szCs w:val="20"/>
              </w:rPr>
            </w:pPr>
            <w:r>
              <w:pict w14:anchorId="15A2EB5C">
                <v:shape id="_x0000_i1036" type="#_x0000_t75" alt="A close up of a sign&#10;&#10;Description automatically generated" style="width:18.75pt;height:11.25pt;visibility:visible;mso-wrap-style:square">
                  <v:imagedata r:id="rId43" o:title="A close up of a sign&#10;&#10;Description automatically generated"/>
                </v:shape>
              </w:pict>
            </w:r>
            <w:bookmarkStart w:id="254" w:name="_Toc18505535"/>
            <w:r w:rsidR="00125C80">
              <w:t xml:space="preserve"> </w:t>
            </w:r>
            <w:r w:rsidR="00E337A4" w:rsidRPr="00B53F89">
              <w:t>28 GHz (27.5–29.5 GHz)</w:t>
            </w:r>
            <w:bookmarkEnd w:id="254"/>
          </w:p>
        </w:tc>
      </w:tr>
      <w:tr w:rsidR="00D9739D" w:rsidRPr="00B53F89" w14:paraId="5C74D60E" w14:textId="77777777" w:rsidTr="00DE694D">
        <w:tc>
          <w:tcPr>
            <w:tcW w:w="7797" w:type="dxa"/>
          </w:tcPr>
          <w:p w14:paraId="2E22E0F9" w14:textId="6219F8F3" w:rsidR="00E337A4" w:rsidRPr="00B53F89" w:rsidRDefault="00E337A4" w:rsidP="00E337A4">
            <w:r w:rsidRPr="00B53F89">
              <w:t xml:space="preserve">In October 2017, the ACMA announced the preliminary views and outcomes of its </w:t>
            </w:r>
            <w:hyperlink r:id="rId76" w:history="1">
              <w:r w:rsidRPr="00B53F89">
                <w:rPr>
                  <w:rStyle w:val="Hyperlink"/>
                  <w:rFonts w:cs="Arial"/>
                  <w:szCs w:val="20"/>
                </w:rPr>
                <w:t>3.6 GHz band review</w:t>
              </w:r>
            </w:hyperlink>
            <w:r w:rsidRPr="00B53F89">
              <w:t>. As part of the outcomes announced, there were several mitigation measures identified for affected incumbent point-to-multipoint licensees. This included a commitment from the ACMA to investigate the possibility of developing arrangements for the licensees as part the 28 GHz band</w:t>
            </w:r>
            <w:r w:rsidR="0075246E" w:rsidRPr="00B53F89">
              <w:t xml:space="preserve"> planning activities</w:t>
            </w:r>
            <w:r w:rsidRPr="00B53F89">
              <w:t>.</w:t>
            </w:r>
          </w:p>
          <w:p w14:paraId="0B1D75EB" w14:textId="77777777" w:rsidR="00E337A4" w:rsidRPr="00B53F89" w:rsidRDefault="00E337A4" w:rsidP="00E337A4">
            <w:pPr>
              <w:pStyle w:val="BodySubHeader"/>
            </w:pPr>
            <w:r w:rsidRPr="00B53F89">
              <w:t>Recent developments</w:t>
            </w:r>
          </w:p>
          <w:p w14:paraId="04417A76" w14:textId="3B679299" w:rsidR="00E337A4" w:rsidRPr="00B53F89" w:rsidRDefault="00E337A4" w:rsidP="00E337A4">
            <w:pPr>
              <w:rPr>
                <w:rFonts w:cs="Arial"/>
                <w:szCs w:val="20"/>
              </w:rPr>
            </w:pPr>
            <w:r w:rsidRPr="00B53F89">
              <w:t>T</w:t>
            </w:r>
            <w:r w:rsidRPr="00B53F89">
              <w:rPr>
                <w:rFonts w:cs="Arial"/>
                <w:szCs w:val="20"/>
              </w:rPr>
              <w:t xml:space="preserve">he ACMA released a </w:t>
            </w:r>
            <w:hyperlink r:id="rId77" w:history="1">
              <w:r w:rsidRPr="00B53F89">
                <w:rPr>
                  <w:rStyle w:val="Hyperlink"/>
                </w:rPr>
                <w:t xml:space="preserve">discussion </w:t>
              </w:r>
              <w:r w:rsidRPr="00B53F89">
                <w:rPr>
                  <w:rStyle w:val="Hyperlink"/>
                  <w:rFonts w:cs="Arial"/>
                  <w:szCs w:val="20"/>
                </w:rPr>
                <w:t>paper</w:t>
              </w:r>
            </w:hyperlink>
            <w:r w:rsidRPr="00B53F89">
              <w:rPr>
                <w:rFonts w:cs="Arial"/>
                <w:szCs w:val="20"/>
              </w:rPr>
              <w:t xml:space="preserve"> in September 2018 to commence discussion on the suitability of the 28 GHz band for a broad range of uses and service types</w:t>
            </w:r>
            <w:r w:rsidR="00411294" w:rsidRPr="00B53F89">
              <w:rPr>
                <w:rFonts w:cs="Arial"/>
                <w:szCs w:val="20"/>
              </w:rPr>
              <w:t xml:space="preserve"> including </w:t>
            </w:r>
            <w:r w:rsidR="0065335D" w:rsidRPr="00B53F89">
              <w:rPr>
                <w:rFonts w:cs="Arial"/>
                <w:szCs w:val="20"/>
              </w:rPr>
              <w:t xml:space="preserve">various applications of </w:t>
            </w:r>
            <w:r w:rsidR="00411294" w:rsidRPr="00B53F89">
              <w:rPr>
                <w:rFonts w:cs="Arial"/>
                <w:szCs w:val="20"/>
              </w:rPr>
              <w:t>FSS and wireless broadband services</w:t>
            </w:r>
            <w:r w:rsidRPr="00B53F89">
              <w:rPr>
                <w:rFonts w:cs="Arial"/>
                <w:szCs w:val="20"/>
              </w:rPr>
              <w:t xml:space="preserve">. </w:t>
            </w:r>
            <w:r w:rsidR="001B2889">
              <w:rPr>
                <w:rFonts w:cs="Arial"/>
                <w:szCs w:val="20"/>
              </w:rPr>
              <w:t>24</w:t>
            </w:r>
            <w:r w:rsidRPr="00B53F89">
              <w:rPr>
                <w:rFonts w:cs="Arial"/>
                <w:szCs w:val="20"/>
              </w:rPr>
              <w:t xml:space="preserve"> </w:t>
            </w:r>
            <w:hyperlink r:id="rId78" w:history="1">
              <w:r w:rsidRPr="00B53F89">
                <w:rPr>
                  <w:rStyle w:val="Hyperlink"/>
                  <w:rFonts w:cs="Arial"/>
                  <w:szCs w:val="20"/>
                </w:rPr>
                <w:t>submissions</w:t>
              </w:r>
            </w:hyperlink>
            <w:r w:rsidRPr="00B53F89">
              <w:rPr>
                <w:rFonts w:cs="Arial"/>
                <w:szCs w:val="20"/>
              </w:rPr>
              <w:t xml:space="preserve"> were received.</w:t>
            </w:r>
          </w:p>
          <w:p w14:paraId="72623E8E" w14:textId="3A5679E6" w:rsidR="00E337A4" w:rsidRPr="00B53F89" w:rsidRDefault="000E5C87" w:rsidP="002C3414">
            <w:r w:rsidRPr="00B53F89">
              <w:rPr>
                <w:rFonts w:cs="Arial"/>
                <w:szCs w:val="20"/>
              </w:rPr>
              <w:t xml:space="preserve">The ACMA released an </w:t>
            </w:r>
            <w:hyperlink r:id="rId79" w:history="1">
              <w:r w:rsidRPr="00B53F89">
                <w:rPr>
                  <w:rStyle w:val="Hyperlink"/>
                  <w:rFonts w:cs="Arial"/>
                  <w:szCs w:val="20"/>
                </w:rPr>
                <w:t>options paper</w:t>
              </w:r>
            </w:hyperlink>
            <w:r w:rsidRPr="00B53F89">
              <w:rPr>
                <w:rFonts w:cs="Arial"/>
                <w:szCs w:val="20"/>
              </w:rPr>
              <w:t xml:space="preserve"> in April 2019 seeking feedback on possible planning arrangement for the 28 GHz band. </w:t>
            </w:r>
            <w:r w:rsidR="00E0663D">
              <w:rPr>
                <w:rFonts w:cs="Arial"/>
                <w:szCs w:val="20"/>
              </w:rPr>
              <w:t>25</w:t>
            </w:r>
            <w:r w:rsidR="00E74F77" w:rsidRPr="00B53F89">
              <w:rPr>
                <w:rFonts w:cs="Arial"/>
                <w:szCs w:val="20"/>
              </w:rPr>
              <w:t xml:space="preserve"> </w:t>
            </w:r>
            <w:hyperlink r:id="rId80" w:history="1">
              <w:r w:rsidR="005E47C6" w:rsidRPr="00B53F89">
                <w:rPr>
                  <w:rStyle w:val="Hyperlink"/>
                  <w:rFonts w:cs="Arial"/>
                  <w:szCs w:val="20"/>
                </w:rPr>
                <w:t>submissions</w:t>
              </w:r>
            </w:hyperlink>
            <w:r w:rsidR="005E47C6" w:rsidRPr="00B53F89">
              <w:rPr>
                <w:rFonts w:cs="Arial"/>
                <w:szCs w:val="20"/>
              </w:rPr>
              <w:t xml:space="preserve"> were received. </w:t>
            </w:r>
          </w:p>
          <w:p w14:paraId="3E06B536" w14:textId="77777777" w:rsidR="00E337A4" w:rsidRPr="00B53F89" w:rsidRDefault="00E337A4" w:rsidP="00E337A4">
            <w:pPr>
              <w:pStyle w:val="BodySubHeader"/>
              <w:keepNext/>
              <w:keepLines/>
            </w:pPr>
            <w:r w:rsidRPr="00B53F89">
              <w:t>Next steps</w:t>
            </w:r>
            <w:r w:rsidRPr="00B53F89" w:rsidDel="00772021">
              <w:t xml:space="preserve"> </w:t>
            </w:r>
          </w:p>
          <w:p w14:paraId="19293221" w14:textId="1EE8DB95" w:rsidR="00575BE0" w:rsidRPr="00B53F89" w:rsidRDefault="005E47C6" w:rsidP="00E97880">
            <w:r w:rsidRPr="00B53F89">
              <w:t>A</w:t>
            </w:r>
            <w:r w:rsidR="00E337A4" w:rsidRPr="00B53F89">
              <w:rPr>
                <w:rFonts w:cs="Arial"/>
                <w:szCs w:val="20"/>
              </w:rPr>
              <w:t xml:space="preserve"> decision on which planning arrangements will be implemented in the 28 GHz band is planned for Q</w:t>
            </w:r>
            <w:r w:rsidR="00E00B33" w:rsidRPr="00B53F89">
              <w:rPr>
                <w:rFonts w:cs="Arial"/>
                <w:szCs w:val="20"/>
              </w:rPr>
              <w:t>3</w:t>
            </w:r>
            <w:r w:rsidR="00E337A4" w:rsidRPr="00B53F89">
              <w:rPr>
                <w:rFonts w:cs="Arial"/>
                <w:szCs w:val="20"/>
              </w:rPr>
              <w:t xml:space="preserve"> 2019. </w:t>
            </w:r>
            <w:r w:rsidR="002A6EBA" w:rsidRPr="00B53F89">
              <w:rPr>
                <w:rFonts w:cs="Arial"/>
                <w:szCs w:val="20"/>
              </w:rPr>
              <w:t>Depending on</w:t>
            </w:r>
            <w:r w:rsidR="00E337A4" w:rsidRPr="00B53F89">
              <w:rPr>
                <w:rFonts w:cs="Arial"/>
                <w:szCs w:val="20"/>
              </w:rPr>
              <w:t xml:space="preserve"> this decision, the ACMA will </w:t>
            </w:r>
            <w:r w:rsidRPr="00B53F89">
              <w:rPr>
                <w:rFonts w:cs="Arial"/>
                <w:szCs w:val="20"/>
              </w:rPr>
              <w:t xml:space="preserve">then </w:t>
            </w:r>
            <w:r w:rsidR="00E337A4" w:rsidRPr="00B53F89">
              <w:rPr>
                <w:rFonts w:cs="Arial"/>
                <w:szCs w:val="20"/>
              </w:rPr>
              <w:t>commence work to implement the new arrangements.</w:t>
            </w:r>
            <w:r w:rsidR="00E827C8" w:rsidRPr="00B53F89">
              <w:rPr>
                <w:rFonts w:cs="Arial"/>
                <w:szCs w:val="20"/>
              </w:rPr>
              <w:t xml:space="preserve"> </w:t>
            </w:r>
            <w:r w:rsidR="00E827C8" w:rsidRPr="00B53F89">
              <w:t xml:space="preserve">See under </w:t>
            </w:r>
            <w:r w:rsidR="00D159D8" w:rsidRPr="00B53F89">
              <w:t>‘T</w:t>
            </w:r>
            <w:r w:rsidR="00E827C8" w:rsidRPr="00B53F89">
              <w:t>he Forward allocation work plan</w:t>
            </w:r>
            <w:r w:rsidR="00D159D8" w:rsidRPr="00B53F89">
              <w:t>’</w:t>
            </w:r>
            <w:r w:rsidR="00E827C8" w:rsidRPr="00B53F89">
              <w:t xml:space="preserve"> for more information.</w:t>
            </w:r>
          </w:p>
        </w:tc>
      </w:tr>
    </w:tbl>
    <w:p w14:paraId="54B0AFA4" w14:textId="77777777" w:rsidR="009009FD" w:rsidRPr="00B53F89" w:rsidRDefault="009009FD"/>
    <w:tbl>
      <w:tblPr>
        <w:tblW w:w="7797" w:type="dxa"/>
        <w:tblLayout w:type="fixed"/>
        <w:tblCellMar>
          <w:left w:w="0" w:type="dxa"/>
          <w:right w:w="0" w:type="dxa"/>
        </w:tblCellMar>
        <w:tblLook w:val="04A0" w:firstRow="1" w:lastRow="0" w:firstColumn="1" w:lastColumn="0" w:noHBand="0" w:noVBand="1"/>
        <w:tblCaption w:val="Monitoring"/>
      </w:tblPr>
      <w:tblGrid>
        <w:gridCol w:w="7797"/>
      </w:tblGrid>
      <w:tr w:rsidR="00172695" w:rsidRPr="00B53F89" w14:paraId="64F3F956" w14:textId="77777777" w:rsidTr="00DE694D">
        <w:trPr>
          <w:tblHeader/>
        </w:trPr>
        <w:tc>
          <w:tcPr>
            <w:tcW w:w="7797" w:type="dxa"/>
            <w:shd w:val="clear" w:color="auto" w:fill="D9D9D9" w:themeFill="background1" w:themeFillShade="D9"/>
            <w:tcMar>
              <w:top w:w="57" w:type="dxa"/>
              <w:bottom w:w="57" w:type="dxa"/>
            </w:tcMar>
          </w:tcPr>
          <w:p w14:paraId="1027E11E" w14:textId="19122428" w:rsidR="00172695" w:rsidRPr="00B53F89" w:rsidRDefault="00172695" w:rsidP="00DE694D">
            <w:pPr>
              <w:pStyle w:val="Tableheading2"/>
            </w:pPr>
            <w:bookmarkStart w:id="255" w:name="_Toc18505536"/>
            <w:r w:rsidRPr="00B53F89">
              <w:t>Replanning</w:t>
            </w:r>
            <w:bookmarkEnd w:id="255"/>
          </w:p>
        </w:tc>
      </w:tr>
      <w:tr w:rsidR="00CB5884" w:rsidRPr="00B53F89" w14:paraId="751161A9" w14:textId="77777777" w:rsidTr="0051233A">
        <w:trPr>
          <w:tblHeader/>
        </w:trPr>
        <w:tc>
          <w:tcPr>
            <w:tcW w:w="7797" w:type="dxa"/>
          </w:tcPr>
          <w:p w14:paraId="4DD4BADC" w14:textId="77777777" w:rsidR="00CB5884" w:rsidRPr="00B53F89" w:rsidRDefault="00CB5884" w:rsidP="00CB5884">
            <w:pPr>
              <w:pStyle w:val="Tableheading2"/>
            </w:pPr>
          </w:p>
        </w:tc>
      </w:tr>
      <w:tr w:rsidR="003F46FC" w:rsidRPr="00B53F89" w14:paraId="3CA3E775" w14:textId="77777777" w:rsidTr="00DE694D">
        <w:tc>
          <w:tcPr>
            <w:tcW w:w="7797" w:type="dxa"/>
          </w:tcPr>
          <w:p w14:paraId="703A7FEA" w14:textId="7A8C2D4F" w:rsidR="003F46FC" w:rsidRPr="00B53F89" w:rsidRDefault="003F46FC" w:rsidP="00DE694D">
            <w:pPr>
              <w:rPr>
                <w:rFonts w:eastAsia="Calibri"/>
              </w:rPr>
            </w:pPr>
            <w:r w:rsidRPr="00B53F89">
              <w:t xml:space="preserve">The </w:t>
            </w:r>
            <w:r w:rsidRPr="00AB3EDB">
              <w:rPr>
                <w:i/>
                <w:iCs/>
              </w:rPr>
              <w:t>replanning</w:t>
            </w:r>
            <w:r w:rsidRPr="00B53F89">
              <w:t xml:space="preserve"> stage </w:t>
            </w:r>
            <w:r w:rsidRPr="00B53F89">
              <w:rPr>
                <w:b/>
              </w:rPr>
              <w:t>i</w:t>
            </w:r>
            <w:r w:rsidRPr="00B53F89">
              <w:rPr>
                <w:rFonts w:eastAsia="Calibri"/>
              </w:rPr>
              <w:t>ncludes further development of detailed technical planning frameworks (including further consultation where necessary). Depending on the nature of the existing use of the band, this stage could potentially lead to re</w:t>
            </w:r>
            <w:r w:rsidRPr="00B53F89">
              <w:rPr>
                <w:rFonts w:eastAsia="Calibri"/>
              </w:rPr>
              <w:noBreakHyphen/>
              <w:t>farming</w:t>
            </w:r>
            <w:r w:rsidR="0070084E" w:rsidRPr="00B53F89">
              <w:rPr>
                <w:rFonts w:eastAsia="Calibri"/>
              </w:rPr>
              <w:t xml:space="preserve"> or </w:t>
            </w:r>
            <w:r w:rsidRPr="00B53F89">
              <w:rPr>
                <w:rFonts w:eastAsia="Calibri"/>
              </w:rPr>
              <w:t xml:space="preserve">reallocation activities. </w:t>
            </w:r>
          </w:p>
          <w:p w14:paraId="3F8A6DD2" w14:textId="41F99579" w:rsidR="003F46FC" w:rsidRPr="00B53F89" w:rsidRDefault="003F46FC" w:rsidP="00DE694D">
            <w:r w:rsidRPr="00B53F89">
              <w:rPr>
                <w:rFonts w:eastAsia="Calibri"/>
              </w:rPr>
              <w:t xml:space="preserve">Conclusions from the ACMA planning process are communicated in an outcomes </w:t>
            </w:r>
            <w:r w:rsidR="005C188F" w:rsidRPr="00B53F89">
              <w:rPr>
                <w:rFonts w:eastAsia="Calibri"/>
              </w:rPr>
              <w:t xml:space="preserve">(decision) </w:t>
            </w:r>
            <w:r w:rsidRPr="00B53F89">
              <w:rPr>
                <w:rFonts w:eastAsia="Calibri"/>
              </w:rPr>
              <w:t>paper that may include ACMA decisions on issues within its remit and/or identify preliminary dispositions on future activities subject to further legislative process</w:t>
            </w:r>
            <w:r w:rsidR="001C3B42" w:rsidRPr="00B53F89">
              <w:rPr>
                <w:rFonts w:eastAsia="Calibri"/>
              </w:rPr>
              <w:t>—</w:t>
            </w:r>
            <w:r w:rsidRPr="00B53F89">
              <w:rPr>
                <w:rFonts w:eastAsia="Calibri"/>
              </w:rPr>
              <w:t>for example, decision or actions to be undertaken by the minister.</w:t>
            </w:r>
          </w:p>
        </w:tc>
      </w:tr>
      <w:tr w:rsidR="00172695" w:rsidRPr="00B53F89" w14:paraId="744A62B4" w14:textId="77777777" w:rsidTr="00DE694D">
        <w:tc>
          <w:tcPr>
            <w:tcW w:w="7797" w:type="dxa"/>
          </w:tcPr>
          <w:p w14:paraId="18D00C44" w14:textId="3CAD66CF" w:rsidR="00B47E30" w:rsidRPr="00B53F89" w:rsidRDefault="00B47E30" w:rsidP="00C4441C">
            <w:pPr>
              <w:keepNext/>
              <w:spacing w:before="60" w:after="0"/>
            </w:pPr>
            <w:r w:rsidRPr="006A2F04">
              <w:rPr>
                <w:noProof/>
              </w:rPr>
              <w:lastRenderedPageBreak/>
              <w:drawing>
                <wp:inline distT="0" distB="0" distL="0" distR="0" wp14:anchorId="47DEA82D" wp14:editId="43E6AE0C">
                  <wp:extent cx="342900" cy="361950"/>
                  <wp:effectExtent l="0" t="0" r="0" b="0"/>
                  <wp:docPr id="75" name="Picture 75"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69D6E1B6" wp14:editId="739DF96D">
                  <wp:extent cx="342900" cy="361950"/>
                  <wp:effectExtent l="0" t="0" r="0" b="0"/>
                  <wp:docPr id="76" name="Picture 76"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Radio/TV broadcasting icon"/>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45CCA4BC" wp14:editId="56D8A620">
                  <wp:extent cx="342900" cy="361950"/>
                  <wp:effectExtent l="0" t="0" r="0" b="0"/>
                  <wp:docPr id="77" name="Picture 77"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Point to multipoint icon"/>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212A8CAA" wp14:editId="78631E36">
                  <wp:extent cx="342900" cy="361950"/>
                  <wp:effectExtent l="0" t="0" r="0" b="0"/>
                  <wp:docPr id="78" name="Picture 78"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634DEC4A" wp14:editId="3F6EAB99">
                  <wp:extent cx="342900" cy="361950"/>
                  <wp:effectExtent l="0" t="0" r="0" b="0"/>
                  <wp:docPr id="79" name="Picture 79"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7EB15658" w14:textId="4699E416" w:rsidR="00172695" w:rsidRPr="00B53F89" w:rsidRDefault="00172695" w:rsidP="00DE694D">
            <w:pPr>
              <w:pStyle w:val="Heading3"/>
            </w:pPr>
            <w:bookmarkStart w:id="256" w:name="_Toc18505537"/>
            <w:r w:rsidRPr="00B53F89">
              <w:t>850 MHz expansion band (809–824 MHz and 854–869 MHz)</w:t>
            </w:r>
            <w:bookmarkEnd w:id="256"/>
          </w:p>
        </w:tc>
      </w:tr>
      <w:tr w:rsidR="00172695" w:rsidRPr="00B53F89" w14:paraId="3E5FFFF7" w14:textId="77777777" w:rsidTr="00DE694D">
        <w:tc>
          <w:tcPr>
            <w:tcW w:w="7797" w:type="dxa"/>
          </w:tcPr>
          <w:p w14:paraId="48DE11B2" w14:textId="6232C1EA" w:rsidR="00172695" w:rsidRPr="00B53F89" w:rsidRDefault="00172695" w:rsidP="00DE694D">
            <w:r w:rsidRPr="00B53F89">
              <w:t xml:space="preserve">In November 2015, the ACMA released its </w:t>
            </w:r>
            <w:hyperlink r:id="rId81" w:history="1">
              <w:r w:rsidRPr="00B53F89">
                <w:rPr>
                  <w:rStyle w:val="Hyperlink"/>
                  <w:i/>
                </w:rPr>
                <w:t>Long-term strategy for the 803–960 MHz band</w:t>
              </w:r>
            </w:hyperlink>
            <w:r w:rsidRPr="00B53F89">
              <w:t xml:space="preserve"> decision paper, signalling an end to the review of this band and commencement of a long-term implementation plan to put those decisions into effect. One of the key decisions arising from the review was that 2 x 15 MHz of 4G-standardised spectrum will be made available for new mobile broadband services from 2024. This spectrum </w:t>
            </w:r>
            <w:r w:rsidR="0065335D" w:rsidRPr="00B53F89">
              <w:t>is known as</w:t>
            </w:r>
            <w:r w:rsidR="00362FA4" w:rsidRPr="00B53F89">
              <w:t xml:space="preserve"> </w:t>
            </w:r>
            <w:r w:rsidRPr="00B53F89">
              <w:t xml:space="preserve">the 850 MHz ‘expansion band’, which is lower adjacent to the current </w:t>
            </w:r>
            <w:r w:rsidR="00CB5884" w:rsidRPr="00B53F89">
              <w:t>850 </w:t>
            </w:r>
            <w:r w:rsidRPr="00B53F89">
              <w:t>MHz 3G band used by Telstra and V</w:t>
            </w:r>
            <w:r w:rsidR="00CA4858" w:rsidRPr="00B53F89">
              <w:t xml:space="preserve">odafone </w:t>
            </w:r>
            <w:r w:rsidRPr="00B53F89">
              <w:t>H</w:t>
            </w:r>
            <w:r w:rsidR="00CA4858" w:rsidRPr="00B53F89">
              <w:t xml:space="preserve">utchison </w:t>
            </w:r>
            <w:r w:rsidRPr="00B53F89">
              <w:t>A</w:t>
            </w:r>
            <w:r w:rsidR="00CA4858" w:rsidRPr="00B53F89">
              <w:t>ustralia</w:t>
            </w:r>
            <w:r w:rsidRPr="00B53F89">
              <w:t xml:space="preserve">. </w:t>
            </w:r>
          </w:p>
          <w:p w14:paraId="0A59C33E" w14:textId="77777777" w:rsidR="00172695" w:rsidRPr="00B53F89" w:rsidRDefault="00172695" w:rsidP="00DE694D">
            <w:pPr>
              <w:pStyle w:val="BodySubHeader"/>
            </w:pPr>
            <w:r w:rsidRPr="00B53F89">
              <w:t>Recent developments</w:t>
            </w:r>
          </w:p>
          <w:p w14:paraId="30A3D261" w14:textId="3B5607B4" w:rsidR="00172695" w:rsidRPr="00B53F89" w:rsidRDefault="00172695" w:rsidP="00DE694D">
            <w:r w:rsidRPr="00B53F89">
              <w:t>The project is now geared towards the clearance</w:t>
            </w:r>
            <w:r w:rsidR="00491C6D" w:rsidRPr="00B53F89">
              <w:t xml:space="preserve"> and/or </w:t>
            </w:r>
            <w:r w:rsidRPr="00B53F89">
              <w:t xml:space="preserve">relocation of incumbent services operating in the 850 MHz expansion </w:t>
            </w:r>
            <w:r w:rsidR="00491C6D" w:rsidRPr="00B53F89">
              <w:t xml:space="preserve">band </w:t>
            </w:r>
            <w:r w:rsidRPr="00B53F89">
              <w:t xml:space="preserve">frequencies earmarked for mobile broadband. </w:t>
            </w:r>
          </w:p>
          <w:p w14:paraId="17CA9733" w14:textId="424AB2FF" w:rsidR="00172695" w:rsidRPr="00B53F89" w:rsidRDefault="00172695" w:rsidP="00DE694D">
            <w:r w:rsidRPr="00B53F89">
              <w:t xml:space="preserve">As part of this process, in July 2016, a new RALI (FX 22) was put in place to facilitate the transition of single frequency fixed links (SFFLs) and studio-to-transmitter links (STLs) to the new arrangements. Further incremental updates will be made to this and other instructions as the implementation </w:t>
            </w:r>
            <w:r w:rsidR="006A22CC" w:rsidRPr="00B53F89">
              <w:t xml:space="preserve">stage </w:t>
            </w:r>
            <w:r w:rsidRPr="00B53F89">
              <w:t>progresses.</w:t>
            </w:r>
          </w:p>
          <w:p w14:paraId="52174FB3" w14:textId="501C472E" w:rsidR="00172695" w:rsidRPr="00B53F89" w:rsidRDefault="00063F94" w:rsidP="00DE694D">
            <w:r w:rsidRPr="00B53F89">
              <w:t xml:space="preserve">As per the </w:t>
            </w:r>
            <w:hyperlink r:id="rId82" w:history="1">
              <w:r w:rsidR="00491C6D" w:rsidRPr="00B53F89">
                <w:rPr>
                  <w:rStyle w:val="Hyperlink"/>
                </w:rPr>
                <w:t>Council of Australian Governments (</w:t>
              </w:r>
              <w:r w:rsidRPr="00B53F89">
                <w:rPr>
                  <w:rStyle w:val="Hyperlink"/>
                </w:rPr>
                <w:t>COAG</w:t>
              </w:r>
              <w:r w:rsidR="00491C6D" w:rsidRPr="00B53F89">
                <w:rPr>
                  <w:rStyle w:val="Hyperlink"/>
                </w:rPr>
                <w:t>)</w:t>
              </w:r>
              <w:r w:rsidRPr="00B53F89">
                <w:rPr>
                  <w:rStyle w:val="Hyperlink"/>
                </w:rPr>
                <w:t xml:space="preserve"> communique of December 2018</w:t>
              </w:r>
            </w:hyperlink>
            <w:r w:rsidRPr="00B53F89">
              <w:t>, all jurisdictions agreed a Strategic Roadmap that sets out a plan to design, implement and operate a</w:t>
            </w:r>
            <w:r w:rsidRPr="00B53F89" w:rsidDel="00063F94">
              <w:t xml:space="preserve"> </w:t>
            </w:r>
            <w:r w:rsidR="00172695" w:rsidRPr="00B53F89">
              <w:t>public safety mobile broadband (PSMB) service</w:t>
            </w:r>
            <w:r w:rsidR="008C0480" w:rsidRPr="00B53F89">
              <w:t xml:space="preserve"> and to continue to work together to resolve the supporting spectrum arrangements in parallel with proof of concept trials. </w:t>
            </w:r>
            <w:r w:rsidR="00172695" w:rsidRPr="00B53F89">
              <w:t>The ACMA is working with DoCA to provide advice on allocation options and manage the impact of this work on</w:t>
            </w:r>
            <w:r w:rsidR="006A22CC" w:rsidRPr="00B53F89">
              <w:t xml:space="preserve"> the</w:t>
            </w:r>
            <w:r w:rsidR="00172695" w:rsidRPr="00B53F89">
              <w:t xml:space="preserve"> allocation of other parts of that band for commercial wireless broadband services.</w:t>
            </w:r>
          </w:p>
          <w:p w14:paraId="63596D80" w14:textId="77777777" w:rsidR="00172695" w:rsidRPr="00B53F89" w:rsidRDefault="00172695" w:rsidP="00DE694D">
            <w:pPr>
              <w:pStyle w:val="BodySubHeader"/>
              <w:keepNext/>
              <w:keepLines/>
            </w:pPr>
            <w:r w:rsidRPr="00B53F89">
              <w:t>Next steps</w:t>
            </w:r>
          </w:p>
          <w:p w14:paraId="64B99397" w14:textId="1EE82B2F" w:rsidR="00172695" w:rsidRPr="00B53F89" w:rsidRDefault="00172695" w:rsidP="00DE694D">
            <w:pPr>
              <w:keepNext/>
              <w:keepLines/>
              <w:rPr>
                <w:rFonts w:cs="Arial"/>
              </w:rPr>
            </w:pPr>
            <w:r w:rsidRPr="00B53F89">
              <w:t xml:space="preserve">The implementation plan contains milestones for the transition to long-term arrangements by incumbent services. The ACMA is considering a range of options for how and when the 850 MHz expansion band might be allocated. The </w:t>
            </w:r>
            <w:r w:rsidR="00390189" w:rsidRPr="00B53F89">
              <w:t xml:space="preserve">ACMA intends </w:t>
            </w:r>
            <w:r w:rsidRPr="00B53F89">
              <w:t xml:space="preserve">to allocate it </w:t>
            </w:r>
            <w:r w:rsidR="00AC437D" w:rsidRPr="00B53F89">
              <w:t xml:space="preserve">in combination </w:t>
            </w:r>
            <w:r w:rsidRPr="00B53F89">
              <w:t xml:space="preserve">with the 900 MHz band, pending further consideration of </w:t>
            </w:r>
            <w:r w:rsidR="00CB5884" w:rsidRPr="00B53F89">
              <w:t>900 </w:t>
            </w:r>
            <w:r w:rsidRPr="00B53F89">
              <w:t>MHz reconfiguration options (see below).</w:t>
            </w:r>
            <w:r w:rsidR="00E827C8" w:rsidRPr="00B53F89">
              <w:t xml:space="preserve"> See under </w:t>
            </w:r>
            <w:r w:rsidR="00446847" w:rsidRPr="00B53F89">
              <w:t>‘T</w:t>
            </w:r>
            <w:r w:rsidR="00E827C8" w:rsidRPr="00B53F89">
              <w:t>he Forward allocation work plan</w:t>
            </w:r>
            <w:r w:rsidR="00446847" w:rsidRPr="00B53F89">
              <w:t>’</w:t>
            </w:r>
            <w:r w:rsidR="00E827C8" w:rsidRPr="00B53F89">
              <w:t xml:space="preserve"> for more information.</w:t>
            </w:r>
          </w:p>
        </w:tc>
      </w:tr>
      <w:tr w:rsidR="00172695" w:rsidRPr="00B53F89" w14:paraId="7DAA4775" w14:textId="77777777" w:rsidTr="00DE694D">
        <w:tc>
          <w:tcPr>
            <w:tcW w:w="7797" w:type="dxa"/>
          </w:tcPr>
          <w:p w14:paraId="72A314FF" w14:textId="7A1B4A78" w:rsidR="00683BDD" w:rsidRPr="00B53F89" w:rsidRDefault="00683BDD" w:rsidP="00C4441C">
            <w:pPr>
              <w:keepNext/>
              <w:spacing w:before="60" w:after="0"/>
            </w:pPr>
            <w:r w:rsidRPr="006A2F04">
              <w:rPr>
                <w:noProof/>
              </w:rPr>
              <w:drawing>
                <wp:inline distT="0" distB="0" distL="0" distR="0" wp14:anchorId="3C25DEC4" wp14:editId="13DFEAE2">
                  <wp:extent cx="342900" cy="361950"/>
                  <wp:effectExtent l="0" t="0" r="0" b="0"/>
                  <wp:docPr id="80" name="Picture 80"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1E366B77" wp14:editId="28C58382">
                  <wp:extent cx="342900" cy="361950"/>
                  <wp:effectExtent l="0" t="0" r="0" b="0"/>
                  <wp:docPr id="81" name="Picture 81"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Radio/TV broadcasting icon"/>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04CF98ED" wp14:editId="2B2A61A4">
                  <wp:extent cx="342900" cy="361950"/>
                  <wp:effectExtent l="0" t="0" r="0" b="0"/>
                  <wp:docPr id="82" name="Picture 82"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Point to multipoint icon"/>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3A66C7FB" wp14:editId="1412C43C">
                  <wp:extent cx="342900" cy="361950"/>
                  <wp:effectExtent l="0" t="0" r="0" b="0"/>
                  <wp:docPr id="83" name="Picture 83"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0404DF39" wp14:editId="49F44A79">
                  <wp:extent cx="342900" cy="361950"/>
                  <wp:effectExtent l="0" t="0" r="0" b="0"/>
                  <wp:docPr id="84" name="Picture 84"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03EB8718" w14:textId="5ACFB01E" w:rsidR="00172695" w:rsidRPr="00B53F89" w:rsidRDefault="00A54553" w:rsidP="00D54969">
            <w:pPr>
              <w:pStyle w:val="Heading3"/>
              <w:rPr>
                <w:szCs w:val="20"/>
              </w:rPr>
            </w:pPr>
            <w:r>
              <w:pict w14:anchorId="7AFA8985">
                <v:shape id="_x0000_i1037" type="#_x0000_t75" alt="A close up of a sign&#10;&#10;Description automatically generated" style="width:18.75pt;height:11.25pt;visibility:visible;mso-wrap-style:square">
                  <v:imagedata r:id="rId43" o:title="A close up of a sign&#10;&#10;Description automatically generated"/>
                </v:shape>
              </w:pict>
            </w:r>
            <w:bookmarkStart w:id="257" w:name="_Toc18505538"/>
            <w:r w:rsidR="00125C80">
              <w:t xml:space="preserve"> </w:t>
            </w:r>
            <w:r w:rsidR="00172695" w:rsidRPr="00B53F89">
              <w:t>900 MHz (890–915 MHz and 935–960 MHz)</w:t>
            </w:r>
            <w:bookmarkEnd w:id="257"/>
          </w:p>
        </w:tc>
      </w:tr>
      <w:tr w:rsidR="00172695" w:rsidRPr="00B53F89" w14:paraId="557E1017" w14:textId="77777777" w:rsidTr="00DE694D">
        <w:tc>
          <w:tcPr>
            <w:tcW w:w="7797" w:type="dxa"/>
          </w:tcPr>
          <w:p w14:paraId="34D251B5" w14:textId="4BCD76F3" w:rsidR="00172695" w:rsidRPr="00B53F89" w:rsidRDefault="00172695" w:rsidP="00DE694D">
            <w:r w:rsidRPr="00B53F89">
              <w:t xml:space="preserve">In October 2017, the ACMA released a </w:t>
            </w:r>
            <w:hyperlink r:id="rId83" w:history="1">
              <w:r w:rsidR="003475BE" w:rsidRPr="00B53F89">
                <w:rPr>
                  <w:rStyle w:val="Hyperlink"/>
                </w:rPr>
                <w:t xml:space="preserve">consultation </w:t>
              </w:r>
              <w:r w:rsidRPr="00B53F89">
                <w:rPr>
                  <w:rStyle w:val="Hyperlink"/>
                </w:rPr>
                <w:t>paper</w:t>
              </w:r>
            </w:hyperlink>
            <w:r w:rsidRPr="00B53F89">
              <w:t xml:space="preserve"> setting out its preferred reconfiguration option for the 900 MHz band</w:t>
            </w:r>
            <w:r w:rsidR="003C5202" w:rsidRPr="00B53F89">
              <w:t xml:space="preserve"> </w:t>
            </w:r>
            <w:r w:rsidRPr="00B53F89">
              <w:t xml:space="preserve">to </w:t>
            </w:r>
            <w:r w:rsidR="003C5202" w:rsidRPr="00B53F89">
              <w:t xml:space="preserve">support </w:t>
            </w:r>
            <w:r w:rsidRPr="00B53F89">
              <w:t>transition from the current 2 x 8.2 or 8.4 MHz frequency arrangements to multiples of 2 x 5 MHz</w:t>
            </w:r>
            <w:r w:rsidR="00E71503" w:rsidRPr="00B53F89">
              <w:t xml:space="preserve"> to more efficiently accommodate mobile broadband</w:t>
            </w:r>
            <w:r w:rsidRPr="00B53F89">
              <w:t>. The</w:t>
            </w:r>
            <w:r w:rsidRPr="00B53F89" w:rsidDel="00B45FDA">
              <w:t xml:space="preserve"> </w:t>
            </w:r>
            <w:r w:rsidR="00B45FDA" w:rsidRPr="00B53F89">
              <w:t>ACMA</w:t>
            </w:r>
            <w:r w:rsidRPr="00B53F89">
              <w:t xml:space="preserve"> also invited submissions about two related issues, namely the appropriate treatment of the 2 x 1 MHz of spectrum immediately adjacent to and below the existing 850 MHz spectrum licences, and the duration of any spectrum licences issued in 900 MHz or the 850 MHz expansion band. </w:t>
            </w:r>
          </w:p>
          <w:p w14:paraId="4E1D7FA4" w14:textId="77777777" w:rsidR="00963DBC" w:rsidRDefault="00963DBC" w:rsidP="00DE694D">
            <w:pPr>
              <w:pStyle w:val="BodySubHeader"/>
            </w:pPr>
          </w:p>
          <w:p w14:paraId="6330E625" w14:textId="77777777" w:rsidR="00963DBC" w:rsidRDefault="00963DBC" w:rsidP="00DE694D">
            <w:pPr>
              <w:pStyle w:val="BodySubHeader"/>
            </w:pPr>
          </w:p>
          <w:p w14:paraId="15D2A3CA" w14:textId="5CB692F7" w:rsidR="00172695" w:rsidRPr="00B53F89" w:rsidRDefault="00172695" w:rsidP="00DE694D">
            <w:pPr>
              <w:pStyle w:val="BodySubHeader"/>
            </w:pPr>
            <w:r w:rsidRPr="00B53F89">
              <w:lastRenderedPageBreak/>
              <w:t>Recent developments</w:t>
            </w:r>
          </w:p>
          <w:p w14:paraId="4CE23F98" w14:textId="0C955285" w:rsidR="00172695" w:rsidRPr="00B53F89" w:rsidRDefault="0094229E" w:rsidP="00D7755E">
            <w:pPr>
              <w:spacing w:after="120"/>
            </w:pPr>
            <w:r w:rsidRPr="00B53F89">
              <w:t xml:space="preserve">Reconfiguration options for the band remain under consideration, including the above-mentioned clearance and reallocation proposal. The ACMA released the </w:t>
            </w:r>
            <w:hyperlink r:id="rId84" w:history="1">
              <w:r w:rsidRPr="00B53F89">
                <w:rPr>
                  <w:rStyle w:val="Hyperlink"/>
                </w:rPr>
                <w:t>Reconfiguring the 900 MHz band</w:t>
              </w:r>
            </w:hyperlink>
            <w:r w:rsidRPr="00B53F89">
              <w:t xml:space="preserve"> consultation paper in Q2 2019 concerning these options.</w:t>
            </w:r>
          </w:p>
          <w:p w14:paraId="1EAE8170" w14:textId="77777777" w:rsidR="00172695" w:rsidRPr="00B53F89" w:rsidRDefault="00172695" w:rsidP="00E97880">
            <w:pPr>
              <w:pStyle w:val="BodySubHeader"/>
              <w:keepNext/>
              <w:keepLines/>
            </w:pPr>
            <w:r w:rsidRPr="00B53F89">
              <w:t>Next steps</w:t>
            </w:r>
          </w:p>
          <w:p w14:paraId="088445FF" w14:textId="1ABE9BE7" w:rsidR="00172695" w:rsidRPr="00B53F89" w:rsidRDefault="0094229E" w:rsidP="00E97880">
            <w:pPr>
              <w:keepNext/>
              <w:keepLines/>
              <w:rPr>
                <w:rFonts w:cs="Arial"/>
              </w:rPr>
            </w:pPr>
            <w:r w:rsidRPr="00B53F89">
              <w:t xml:space="preserve">The ACMA is currently considering the submissions to the Q2 2019 </w:t>
            </w:r>
            <w:hyperlink r:id="rId85" w:history="1">
              <w:r w:rsidRPr="00B53F89">
                <w:rPr>
                  <w:rStyle w:val="Hyperlink"/>
                </w:rPr>
                <w:t>Reconfiguring the 900 MHz band</w:t>
              </w:r>
            </w:hyperlink>
            <w:r w:rsidRPr="00B53F89">
              <w:t xml:space="preserve"> consultation paper</w:t>
            </w:r>
            <w:r w:rsidR="00E12E28" w:rsidRPr="00B53F89">
              <w:t>.</w:t>
            </w:r>
            <w:r w:rsidR="00E827C8" w:rsidRPr="00B53F89">
              <w:t xml:space="preserve"> See under the Forward allocation work plan for more information.</w:t>
            </w:r>
          </w:p>
        </w:tc>
      </w:tr>
      <w:tr w:rsidR="00172695" w:rsidRPr="00B53F89" w14:paraId="00C9F109" w14:textId="77777777" w:rsidTr="00DE694D">
        <w:tc>
          <w:tcPr>
            <w:tcW w:w="7797" w:type="dxa"/>
          </w:tcPr>
          <w:p w14:paraId="53E8CD90" w14:textId="2340BB44" w:rsidR="00683BDD" w:rsidRPr="00B53F89" w:rsidRDefault="00683BDD" w:rsidP="00C4441C">
            <w:pPr>
              <w:keepNext/>
              <w:spacing w:before="60" w:after="0"/>
            </w:pPr>
            <w:r w:rsidRPr="006A2F04">
              <w:rPr>
                <w:noProof/>
              </w:rPr>
              <w:lastRenderedPageBreak/>
              <w:drawing>
                <wp:inline distT="0" distB="0" distL="0" distR="0" wp14:anchorId="055CE5EA" wp14:editId="57ECFD0D">
                  <wp:extent cx="342900" cy="361950"/>
                  <wp:effectExtent l="0" t="0" r="0" b="0"/>
                  <wp:docPr id="85" name="Picture 85"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Point to multipoint icon"/>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603C34FE" w14:textId="09105DBD" w:rsidR="00172695" w:rsidRPr="00B53F89" w:rsidRDefault="00172695" w:rsidP="00E97880">
            <w:pPr>
              <w:pStyle w:val="Heading3"/>
            </w:pPr>
            <w:bookmarkStart w:id="258" w:name="_Toc18505539"/>
            <w:r w:rsidRPr="00B53F89">
              <w:t>5.6 GHz (5600–5650 MHz)</w:t>
            </w:r>
            <w:bookmarkEnd w:id="258"/>
          </w:p>
        </w:tc>
      </w:tr>
      <w:tr w:rsidR="00172695" w:rsidRPr="00B53F89" w14:paraId="06428BB3" w14:textId="77777777" w:rsidTr="00DE694D">
        <w:tc>
          <w:tcPr>
            <w:tcW w:w="7797" w:type="dxa"/>
          </w:tcPr>
          <w:p w14:paraId="4D1810BF" w14:textId="768BFB40" w:rsidR="00B959D2" w:rsidRPr="00B53F89" w:rsidRDefault="00B959D2" w:rsidP="00B959D2">
            <w:pPr>
              <w:pStyle w:val="BodySubHeader"/>
              <w:spacing w:before="120"/>
            </w:pPr>
            <w:r w:rsidRPr="00B53F89">
              <w:t xml:space="preserve">Recent developments </w:t>
            </w:r>
          </w:p>
          <w:p w14:paraId="2F4759B6" w14:textId="1D6FB5D3" w:rsidR="00B959D2" w:rsidRPr="00B53F89" w:rsidRDefault="00B959D2" w:rsidP="00B959D2">
            <w:r w:rsidRPr="00B53F89">
              <w:t xml:space="preserve">One of the outcomes from the </w:t>
            </w:r>
            <w:hyperlink r:id="rId86" w:history="1">
              <w:r w:rsidRPr="006A2F04">
                <w:rPr>
                  <w:rStyle w:val="Hyperlink"/>
                  <w:i/>
                  <w:iCs/>
                </w:rPr>
                <w:t>Future use of the 3.6 GHz band</w:t>
              </w:r>
            </w:hyperlink>
            <w:r w:rsidRPr="006A2F04">
              <w:rPr>
                <w:iCs/>
              </w:rPr>
              <w:t xml:space="preserve"> </w:t>
            </w:r>
            <w:r w:rsidRPr="00B53F89">
              <w:t>process was that the ACMA committed to implementing</w:t>
            </w:r>
            <w:r w:rsidRPr="00B53F89">
              <w:rPr>
                <w:lang w:eastAsia="en-US"/>
              </w:rPr>
              <w:t xml:space="preserve"> point-to-multipoint apparatus licen</w:t>
            </w:r>
            <w:r w:rsidR="003E7410" w:rsidRPr="00B53F89">
              <w:rPr>
                <w:lang w:eastAsia="en-US"/>
              </w:rPr>
              <w:t>c</w:t>
            </w:r>
            <w:r w:rsidRPr="00B53F89">
              <w:rPr>
                <w:lang w:eastAsia="en-US"/>
              </w:rPr>
              <w:t>e arrangements in the 5.6 GHz band. The ACMA also implemented a policy that existing 3.6 GHz point-to-multipoint licensees</w:t>
            </w:r>
            <w:r w:rsidR="005F7153" w:rsidRPr="00B53F89">
              <w:rPr>
                <w:lang w:eastAsia="en-US"/>
              </w:rPr>
              <w:t>,</w:t>
            </w:r>
            <w:r w:rsidR="00AE71F5" w:rsidRPr="00B53F89">
              <w:rPr>
                <w:lang w:eastAsia="en-US"/>
              </w:rPr>
              <w:t xml:space="preserve"> including FWA services</w:t>
            </w:r>
            <w:r w:rsidRPr="00B53F89">
              <w:rPr>
                <w:lang w:eastAsia="en-US"/>
              </w:rPr>
              <w:t xml:space="preserve"> affected by planning decisions made in the band would, as far as possible, be given preference when assessing applications for apparatus licences in the 5.6 GHz band.</w:t>
            </w:r>
          </w:p>
          <w:p w14:paraId="5F496B4A" w14:textId="32E959E8" w:rsidR="00B959D2" w:rsidRPr="00B53F89" w:rsidRDefault="00B959D2" w:rsidP="00B959D2">
            <w:pPr>
              <w:rPr>
                <w:rFonts w:cs="Arial"/>
              </w:rPr>
            </w:pPr>
            <w:bookmarkStart w:id="259" w:name="_Hlk16254958"/>
            <w:r w:rsidRPr="00B53F89">
              <w:rPr>
                <w:rFonts w:eastAsia="Calibri" w:cs="Arial"/>
                <w:lang w:eastAsia="en-US"/>
              </w:rPr>
              <w:t>In December 201</w:t>
            </w:r>
            <w:r w:rsidR="000109DF" w:rsidRPr="00B53F89">
              <w:rPr>
                <w:rFonts w:eastAsia="Calibri" w:cs="Arial"/>
                <w:lang w:eastAsia="en-US"/>
              </w:rPr>
              <w:t>8</w:t>
            </w:r>
            <w:r w:rsidRPr="00B53F89">
              <w:rPr>
                <w:rFonts w:eastAsia="Calibri" w:cs="Arial"/>
                <w:lang w:eastAsia="en-US"/>
              </w:rPr>
              <w:t xml:space="preserve"> the ACMA published the </w:t>
            </w:r>
            <w:r w:rsidRPr="00B53F89">
              <w:rPr>
                <w:rFonts w:eastAsia="Calibri" w:cs="Arial"/>
                <w:iCs/>
                <w:lang w:eastAsia="en-US"/>
              </w:rPr>
              <w:t xml:space="preserve">RALI </w:t>
            </w:r>
            <w:r w:rsidRPr="00B53F89">
              <w:rPr>
                <w:rFonts w:eastAsia="Calibri" w:cs="Arial"/>
                <w:lang w:eastAsia="en-US"/>
              </w:rPr>
              <w:t xml:space="preserve">FX23. This RALI defines </w:t>
            </w:r>
            <w:r w:rsidRPr="00B53F89">
              <w:rPr>
                <w:rFonts w:cs="Arial"/>
              </w:rPr>
              <w:t xml:space="preserve">frequency coordination requirements for new point-to-multipoint apparatus licences in the 5.6 GHz band. Before a new </w:t>
            </w:r>
            <w:r w:rsidR="003475BE" w:rsidRPr="00B53F89">
              <w:rPr>
                <w:rFonts w:cs="Arial"/>
              </w:rPr>
              <w:t>poin</w:t>
            </w:r>
            <w:r w:rsidR="00C242FE" w:rsidRPr="00B53F89">
              <w:rPr>
                <w:rFonts w:cs="Arial"/>
              </w:rPr>
              <w:t>t-to-multipoint</w:t>
            </w:r>
            <w:r w:rsidRPr="00B53F89">
              <w:rPr>
                <w:rFonts w:cs="Arial"/>
              </w:rPr>
              <w:t xml:space="preserve"> licence is issued, prospective licensees </w:t>
            </w:r>
            <w:r w:rsidR="00207915" w:rsidRPr="00B53F89">
              <w:rPr>
                <w:rFonts w:cs="Arial"/>
              </w:rPr>
              <w:t xml:space="preserve">should </w:t>
            </w:r>
            <w:r w:rsidRPr="00B53F89">
              <w:rPr>
                <w:rFonts w:cs="Arial"/>
              </w:rPr>
              <w:t xml:space="preserve">show they meet the defined protection criteria contained in RALI FX23. </w:t>
            </w:r>
          </w:p>
          <w:bookmarkEnd w:id="259"/>
          <w:p w14:paraId="1EA5DD5C" w14:textId="77777777" w:rsidR="00B959D2" w:rsidRPr="00B53F89" w:rsidRDefault="00B959D2" w:rsidP="00B959D2">
            <w:r w:rsidRPr="00B53F89">
              <w:t xml:space="preserve">The 5.6 GHz band is currently available for licensing in areas that will not affect the possible transition of 3.6 GHz band </w:t>
            </w:r>
            <w:r w:rsidRPr="00B53F89">
              <w:rPr>
                <w:rFonts w:cs="Arial"/>
              </w:rPr>
              <w:t>point-to-multipoint</w:t>
            </w:r>
            <w:r w:rsidRPr="00B53F89">
              <w:t xml:space="preserve"> licences into the band. The ACMA is still considering the most appropriate process and timing for release of the band in other areas. </w:t>
            </w:r>
          </w:p>
          <w:p w14:paraId="0DC68C7D" w14:textId="3D2ADF91" w:rsidR="00172695" w:rsidRPr="00B53F89" w:rsidRDefault="00172695" w:rsidP="00DE694D">
            <w:pPr>
              <w:pStyle w:val="BodySubHeader"/>
              <w:rPr>
                <w:rFonts w:cs="Arial"/>
                <w:szCs w:val="20"/>
              </w:rPr>
            </w:pPr>
            <w:r w:rsidRPr="00B53F89">
              <w:t>Next steps</w:t>
            </w:r>
          </w:p>
          <w:p w14:paraId="280DBF50" w14:textId="30CF7FB0" w:rsidR="00531E5D" w:rsidRPr="00B53F89" w:rsidRDefault="00172695" w:rsidP="00E337A4">
            <w:pPr>
              <w:rPr>
                <w:rFonts w:cs="Arial"/>
                <w:szCs w:val="20"/>
              </w:rPr>
            </w:pPr>
            <w:r w:rsidRPr="00B53F89">
              <w:t>Further information</w:t>
            </w:r>
            <w:r w:rsidR="00627CDC" w:rsidRPr="00B53F89">
              <w:t xml:space="preserve"> </w:t>
            </w:r>
            <w:r w:rsidR="00627CDC" w:rsidRPr="00B53F89">
              <w:rPr>
                <w:rFonts w:cs="Arial"/>
                <w:szCs w:val="20"/>
              </w:rPr>
              <w:t>about the mechanism to release spectrum in these areas</w:t>
            </w:r>
            <w:r w:rsidRPr="00B53F89">
              <w:t xml:space="preserve"> will be made available when options and arrangements have been developed.</w:t>
            </w:r>
            <w:r w:rsidR="00B959D2" w:rsidRPr="00B53F89">
              <w:t xml:space="preserve"> </w:t>
            </w:r>
            <w:r w:rsidR="00B959D2" w:rsidRPr="00B53F89">
              <w:rPr>
                <w:rFonts w:cs="Arial"/>
                <w:szCs w:val="20"/>
              </w:rPr>
              <w:t xml:space="preserve">The ACMA is aiming to finalise this issue in </w:t>
            </w:r>
            <w:r w:rsidR="005E47C6" w:rsidRPr="00B53F89">
              <w:rPr>
                <w:rFonts w:cs="Arial"/>
                <w:szCs w:val="20"/>
              </w:rPr>
              <w:t>Q4 2019</w:t>
            </w:r>
            <w:r w:rsidR="00B959D2" w:rsidRPr="00B53F89">
              <w:rPr>
                <w:rFonts w:cs="Arial"/>
                <w:szCs w:val="20"/>
              </w:rPr>
              <w:t>.</w:t>
            </w:r>
          </w:p>
          <w:p w14:paraId="6A829533" w14:textId="23625DC1" w:rsidR="00683BDD" w:rsidRPr="00B53F89" w:rsidRDefault="00683BDD" w:rsidP="00C4441C">
            <w:pPr>
              <w:keepNext/>
              <w:spacing w:before="60" w:after="0"/>
            </w:pPr>
            <w:r w:rsidRPr="006A2F04">
              <w:rPr>
                <w:noProof/>
              </w:rPr>
              <w:drawing>
                <wp:inline distT="0" distB="0" distL="0" distR="0" wp14:anchorId="2327AC0F" wp14:editId="44009151">
                  <wp:extent cx="342900" cy="361950"/>
                  <wp:effectExtent l="0" t="0" r="0" b="0"/>
                  <wp:docPr id="86" name="Picture 86"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F67B0F" w:rsidRPr="006A2F04">
              <w:rPr>
                <w:noProof/>
              </w:rPr>
              <w:drawing>
                <wp:inline distT="0" distB="0" distL="0" distR="0" wp14:anchorId="244EC367" wp14:editId="7CAAFFBC">
                  <wp:extent cx="342900" cy="361950"/>
                  <wp:effectExtent l="0" t="0" r="0" b="0"/>
                  <wp:docPr id="72" name="Picture 72"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F67B0F" w:rsidRPr="006A2F04">
              <w:rPr>
                <w:noProof/>
              </w:rPr>
              <w:drawing>
                <wp:inline distT="0" distB="0" distL="0" distR="0" wp14:anchorId="060AF732" wp14:editId="6DB9DD5A">
                  <wp:extent cx="342900" cy="361950"/>
                  <wp:effectExtent l="0" t="0" r="0" b="0"/>
                  <wp:docPr id="89" name="Picture 89"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Point to multipoint icon"/>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F67B0F" w:rsidRPr="006A2F04">
              <w:rPr>
                <w:noProof/>
              </w:rPr>
              <w:drawing>
                <wp:inline distT="0" distB="0" distL="0" distR="0" wp14:anchorId="14199354" wp14:editId="3435CCDE">
                  <wp:extent cx="342900" cy="361950"/>
                  <wp:effectExtent l="0" t="0" r="0" b="0"/>
                  <wp:docPr id="95" name="Picture 95"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F67B0F" w:rsidRPr="006A2F04">
              <w:rPr>
                <w:noProof/>
              </w:rPr>
              <w:drawing>
                <wp:inline distT="0" distB="0" distL="0" distR="0" wp14:anchorId="1FA9F092" wp14:editId="557EDE70">
                  <wp:extent cx="341630" cy="359410"/>
                  <wp:effectExtent l="0" t="0" r="1270" b="2540"/>
                  <wp:docPr id="110" name="Picture 110"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31"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00F67B0F" w:rsidRPr="006A2F04">
              <w:rPr>
                <w:noProof/>
              </w:rPr>
              <w:drawing>
                <wp:inline distT="0" distB="0" distL="0" distR="0" wp14:anchorId="00D7460E" wp14:editId="5DA7437A">
                  <wp:extent cx="342900" cy="361950"/>
                  <wp:effectExtent l="0" t="0" r="0" b="0"/>
                  <wp:docPr id="126" name="Picture 126"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78CC62D4" w14:textId="66D6DB10" w:rsidR="00E337A4" w:rsidRPr="00B53F89" w:rsidRDefault="00A54553" w:rsidP="0037419F">
            <w:pPr>
              <w:pStyle w:val="Heading3"/>
            </w:pPr>
            <w:r>
              <w:pict w14:anchorId="38E080B9">
                <v:shape id="_x0000_i1038" type="#_x0000_t75" alt="A close up of a sign&#10;&#10;Description automatically generated" style="width:18.75pt;height:11.25pt;visibility:visible;mso-wrap-style:square">
                  <v:imagedata r:id="rId43" o:title="A close up of a sign&#10;&#10;Description automatically generated"/>
                </v:shape>
              </w:pict>
            </w:r>
            <w:bookmarkStart w:id="260" w:name="_Toc18505540"/>
            <w:r w:rsidR="00125C80">
              <w:t xml:space="preserve"> </w:t>
            </w:r>
            <w:r w:rsidR="00E337A4" w:rsidRPr="00B53F89">
              <w:t>26 GHz (24.25–27.5 GHz)</w:t>
            </w:r>
            <w:bookmarkEnd w:id="260"/>
          </w:p>
          <w:p w14:paraId="71055327" w14:textId="3B0D1F49" w:rsidR="00E337A4" w:rsidRPr="00B53F89" w:rsidRDefault="00E337A4" w:rsidP="00E337A4">
            <w:r w:rsidRPr="00B53F89">
              <w:t xml:space="preserve">WRC-19 agenda item 1.13 is to consider identification of frequency bands for IMT </w:t>
            </w:r>
            <w:r w:rsidR="007825EB" w:rsidRPr="00B53F89">
              <w:t>in the RR</w:t>
            </w:r>
            <w:r w:rsidRPr="00B53F89">
              <w:t>. This agenda item is widely acknowledged to be focusing on spectrum harmonisation requirements for 5G mobile broadband technologies. The 26 GHz band is one of a number of the bands under consideration as part of WRC-19 agenda item 1.13.</w:t>
            </w:r>
          </w:p>
          <w:p w14:paraId="7453E0A6" w14:textId="77777777" w:rsidR="00E337A4" w:rsidRPr="00B53F89" w:rsidRDefault="00E337A4" w:rsidP="00E337A4">
            <w:r w:rsidRPr="00B53F89">
              <w:t xml:space="preserve">The ACMA hosted a spectrum tune-up in September 2017 to solicit further industry views on the use of 26 GHz and other mmWave bands by broadband services. The ACMA also invited formal submissions on the issues raised for discussion at the event. </w:t>
            </w:r>
          </w:p>
          <w:p w14:paraId="50DE2648" w14:textId="77777777" w:rsidR="00E337A4" w:rsidRPr="00B53F89" w:rsidRDefault="00E337A4" w:rsidP="00E337A4">
            <w:r w:rsidRPr="00B53F89">
              <w:lastRenderedPageBreak/>
              <w:t xml:space="preserve">The tune-up also floated some early ACMA thinking on potential technical planning scenarios and posed a number of </w:t>
            </w:r>
            <w:hyperlink r:id="rId87" w:history="1">
              <w:r w:rsidRPr="00B53F89">
                <w:rPr>
                  <w:rStyle w:val="Hyperlink"/>
                </w:rPr>
                <w:t>questions</w:t>
              </w:r>
            </w:hyperlink>
            <w:r w:rsidRPr="00B53F89">
              <w:t xml:space="preserve"> for industry input—27 </w:t>
            </w:r>
            <w:hyperlink r:id="rId88" w:history="1">
              <w:r w:rsidRPr="00B53F89">
                <w:rPr>
                  <w:rStyle w:val="Hyperlink"/>
                </w:rPr>
                <w:t>responses</w:t>
              </w:r>
            </w:hyperlink>
            <w:r w:rsidRPr="00B53F89">
              <w:t xml:space="preserve"> were received. </w:t>
            </w:r>
            <w:r w:rsidRPr="00B53F89">
              <w:rPr>
                <w:bCs/>
              </w:rPr>
              <w:t xml:space="preserve">A key question posed in the tune-up was the appropriateness of accelerating the band through the </w:t>
            </w:r>
            <w:r w:rsidRPr="00AB3EDB">
              <w:rPr>
                <w:bCs/>
                <w:i/>
                <w:iCs/>
              </w:rPr>
              <w:t xml:space="preserve">initial </w:t>
            </w:r>
            <w:r w:rsidRPr="00AB3EDB">
              <w:rPr>
                <w:i/>
                <w:iCs/>
              </w:rPr>
              <w:t>investigation</w:t>
            </w:r>
            <w:r w:rsidRPr="00B53F89">
              <w:rPr>
                <w:i/>
              </w:rPr>
              <w:t xml:space="preserve"> </w:t>
            </w:r>
            <w:r w:rsidRPr="00B53F89">
              <w:t xml:space="preserve">stage to the </w:t>
            </w:r>
            <w:r w:rsidRPr="009B08C1">
              <w:rPr>
                <w:i/>
              </w:rPr>
              <w:t>preliminary replanning</w:t>
            </w:r>
            <w:r w:rsidRPr="00B53F89">
              <w:rPr>
                <w:i/>
              </w:rPr>
              <w:t xml:space="preserve"> </w:t>
            </w:r>
            <w:r w:rsidRPr="00B53F89">
              <w:t xml:space="preserve">stage. </w:t>
            </w:r>
          </w:p>
          <w:p w14:paraId="50B14715" w14:textId="26A6005F" w:rsidR="00E337A4" w:rsidRPr="00B53F89" w:rsidRDefault="00E337A4" w:rsidP="00E337A4">
            <w:r w:rsidRPr="00B53F89">
              <w:t xml:space="preserve">Following the tune-up and consideration of feedback, the ACMA decided to </w:t>
            </w:r>
            <w:r w:rsidR="0081474A" w:rsidRPr="00B53F89">
              <w:t xml:space="preserve">move </w:t>
            </w:r>
            <w:r w:rsidRPr="00B53F89">
              <w:t xml:space="preserve">the </w:t>
            </w:r>
            <w:r w:rsidR="00942A48">
              <w:br/>
            </w:r>
            <w:r w:rsidRPr="00B53F89">
              <w:t xml:space="preserve">26 GHz band </w:t>
            </w:r>
            <w:r w:rsidR="0081474A" w:rsidRPr="00B53F89">
              <w:t xml:space="preserve">to the </w:t>
            </w:r>
            <w:r w:rsidRPr="00A5258F">
              <w:rPr>
                <w:i/>
              </w:rPr>
              <w:t>preliminary replanning</w:t>
            </w:r>
            <w:r w:rsidR="0081474A" w:rsidRPr="00B53F89">
              <w:t xml:space="preserve"> stage</w:t>
            </w:r>
            <w:r w:rsidRPr="00B53F89">
              <w:t>.</w:t>
            </w:r>
            <w:r w:rsidR="008F401E" w:rsidRPr="00B53F89">
              <w:t xml:space="preserve"> </w:t>
            </w:r>
          </w:p>
          <w:p w14:paraId="45947528" w14:textId="77777777" w:rsidR="0088347D" w:rsidRPr="00B53F89" w:rsidRDefault="0088347D" w:rsidP="0088347D">
            <w:pPr>
              <w:pStyle w:val="BodySubHeader"/>
              <w:keepNext/>
            </w:pPr>
            <w:r w:rsidRPr="00B53F89">
              <w:t>Recent developments</w:t>
            </w:r>
          </w:p>
          <w:p w14:paraId="066123E4" w14:textId="5679961F" w:rsidR="00E337A4" w:rsidRPr="00B53F89" w:rsidRDefault="00E337A4" w:rsidP="00E337A4">
            <w:r w:rsidRPr="00B53F89">
              <w:t xml:space="preserve">In July 2018, the Electronic Communication Committee of CEPT released a decision titled </w:t>
            </w:r>
            <w:hyperlink r:id="rId89" w:history="1">
              <w:r w:rsidRPr="00B53F89">
                <w:rPr>
                  <w:rStyle w:val="Hyperlink"/>
                  <w:iCs/>
                </w:rPr>
                <w:t>Harmonised technical conditions for Mobile/Fixed Communications Networks (MFCN) in the band 24.25–27.5 GHz</w:t>
              </w:r>
            </w:hyperlink>
            <w:r w:rsidRPr="00B53F89">
              <w:t xml:space="preserve">. This decision addressed sharing and compatibility conditions to ensure coexistence with other spectrum users and included technical conditions to achieve this coexistence. </w:t>
            </w:r>
          </w:p>
          <w:p w14:paraId="438281CA" w14:textId="06F47A53" w:rsidR="00E337A4" w:rsidRPr="00B53F89" w:rsidRDefault="00E337A4" w:rsidP="000D2B61">
            <w:r w:rsidRPr="00B53F89">
              <w:t xml:space="preserve">In September 2018, the ACMA released an </w:t>
            </w:r>
            <w:hyperlink r:id="rId90" w:history="1">
              <w:r w:rsidRPr="00B53F89">
                <w:rPr>
                  <w:rStyle w:val="Hyperlink"/>
                </w:rPr>
                <w:t>options paper</w:t>
              </w:r>
            </w:hyperlink>
            <w:r w:rsidRPr="00B53F89">
              <w:t xml:space="preserve"> consisting of a range of potential options, both for </w:t>
            </w:r>
            <w:r w:rsidRPr="00B53F89">
              <w:rPr>
                <w:i/>
              </w:rPr>
              <w:t xml:space="preserve">what </w:t>
            </w:r>
            <w:r w:rsidRPr="00B53F89">
              <w:t xml:space="preserve">should be allocated, in terms of specific frequencies and areas, and </w:t>
            </w:r>
            <w:r w:rsidRPr="00B53F89">
              <w:rPr>
                <w:i/>
              </w:rPr>
              <w:t xml:space="preserve">how </w:t>
            </w:r>
            <w:r w:rsidRPr="00B53F89">
              <w:t xml:space="preserve">the band should be allocated, in terms of which licence types should be adopted to meet a range of potentially varying wireless broadband use cases. </w:t>
            </w:r>
            <w:r w:rsidR="00B93ED6" w:rsidRPr="00B53F89">
              <w:t xml:space="preserve">Nineteen </w:t>
            </w:r>
            <w:hyperlink r:id="rId91" w:history="1">
              <w:r w:rsidRPr="00B53F89">
                <w:rPr>
                  <w:rStyle w:val="Hyperlink"/>
                </w:rPr>
                <w:t>submissions</w:t>
              </w:r>
            </w:hyperlink>
            <w:r w:rsidRPr="00B53F89">
              <w:t xml:space="preserve"> were received. </w:t>
            </w:r>
          </w:p>
          <w:p w14:paraId="31137182" w14:textId="5480BBB1" w:rsidR="000767CC" w:rsidRPr="00B53F89" w:rsidRDefault="00E337A4" w:rsidP="00E337A4">
            <w:r w:rsidRPr="00B53F89">
              <w:t xml:space="preserve">Using the information obtained from submissions to the options paper, the ACMA </w:t>
            </w:r>
            <w:r w:rsidR="00071FEB" w:rsidRPr="00B53F89">
              <w:t>released</w:t>
            </w:r>
            <w:r w:rsidRPr="00B53F89">
              <w:t xml:space="preserve"> a </w:t>
            </w:r>
            <w:hyperlink r:id="rId92" w:history="1">
              <w:r w:rsidR="00C242FE" w:rsidRPr="00B53F89">
                <w:rPr>
                  <w:rStyle w:val="Hyperlink"/>
                </w:rPr>
                <w:t xml:space="preserve">decision </w:t>
              </w:r>
              <w:r w:rsidRPr="00B53F89">
                <w:rPr>
                  <w:rStyle w:val="Hyperlink"/>
                </w:rPr>
                <w:t>paper</w:t>
              </w:r>
            </w:hyperlink>
            <w:r w:rsidRPr="00B53F89">
              <w:t xml:space="preserve"> </w:t>
            </w:r>
            <w:r w:rsidR="00E27627" w:rsidRPr="00B53F89">
              <w:t xml:space="preserve">in April 2019 </w:t>
            </w:r>
            <w:r w:rsidRPr="00B53F89">
              <w:t>detailing decisions and preliminary views for the introduction of wireless broadband in the 26 GHz band.</w:t>
            </w:r>
            <w:r w:rsidR="009E355E" w:rsidRPr="00B53F89">
              <w:t xml:space="preserve"> </w:t>
            </w:r>
          </w:p>
          <w:p w14:paraId="00B9EB24" w14:textId="11810E0A" w:rsidR="00E337A4" w:rsidRPr="00B53F89" w:rsidRDefault="00E27627" w:rsidP="00E337A4">
            <w:r w:rsidRPr="00B53F89">
              <w:t xml:space="preserve">In May 2019, the ACMA released a </w:t>
            </w:r>
            <w:hyperlink r:id="rId93" w:history="1">
              <w:r w:rsidRPr="00B53F89">
                <w:rPr>
                  <w:rStyle w:val="Hyperlink"/>
                </w:rPr>
                <w:t>consultation paper</w:t>
              </w:r>
            </w:hyperlink>
            <w:r w:rsidRPr="00B53F89">
              <w:t xml:space="preserve"> outlining a draft reallocation recommendation to be made to the </w:t>
            </w:r>
            <w:r w:rsidR="00AA6D3C" w:rsidRPr="00B53F89">
              <w:t>m</w:t>
            </w:r>
            <w:r w:rsidRPr="00B53F89">
              <w:t>inister to reallocate the band by issuing spectrum licences.</w:t>
            </w:r>
          </w:p>
          <w:p w14:paraId="4A9A7D52" w14:textId="77777777" w:rsidR="008B3EEB" w:rsidRPr="00B53F89" w:rsidRDefault="008B3EEB" w:rsidP="008B3EEB">
            <w:pPr>
              <w:pStyle w:val="BodySubHeader"/>
            </w:pPr>
            <w:r w:rsidRPr="00B53F89">
              <w:t>Next steps</w:t>
            </w:r>
          </w:p>
          <w:p w14:paraId="777E85DD" w14:textId="702C6914" w:rsidR="00E337A4" w:rsidRPr="00B53F89" w:rsidRDefault="002368B2" w:rsidP="00E337A4">
            <w:pPr>
              <w:keepNext/>
              <w:keepLines/>
            </w:pPr>
            <w:r w:rsidRPr="00B53F89">
              <w:t>T</w:t>
            </w:r>
            <w:r w:rsidR="00E337A4" w:rsidRPr="00B53F89">
              <w:t xml:space="preserve">he ACMA intends to continue engaging with stakeholders via the usual international preparatory process to develop Australian positions on WRC-19 agenda item 1.13, which includes the 26 GHz band. </w:t>
            </w:r>
            <w:r w:rsidR="001670BD" w:rsidRPr="00B53F89">
              <w:t xml:space="preserve">See also under the </w:t>
            </w:r>
            <w:r w:rsidR="00D159D8" w:rsidRPr="00B53F89">
              <w:t>‘</w:t>
            </w:r>
            <w:r w:rsidR="001670BD" w:rsidRPr="00B53F89">
              <w:t>Monitoring</w:t>
            </w:r>
            <w:r w:rsidR="00D159D8" w:rsidRPr="00B53F89">
              <w:t>’</w:t>
            </w:r>
            <w:r w:rsidR="001670BD" w:rsidRPr="00B53F89">
              <w:t xml:space="preserve"> section above.</w:t>
            </w:r>
          </w:p>
          <w:p w14:paraId="5E3083F1" w14:textId="1F0442E4" w:rsidR="00E00B33" w:rsidRPr="00B53F89" w:rsidRDefault="00E827C8" w:rsidP="00E00B33">
            <w:pPr>
              <w:rPr>
                <w:b/>
              </w:rPr>
            </w:pPr>
            <w:r w:rsidRPr="00B53F89">
              <w:t xml:space="preserve">See under </w:t>
            </w:r>
            <w:r w:rsidR="00D159D8" w:rsidRPr="00B53F89">
              <w:t>‘T</w:t>
            </w:r>
            <w:r w:rsidRPr="00B53F89">
              <w:t>he Forward allocation work plan</w:t>
            </w:r>
            <w:r w:rsidR="00D159D8" w:rsidRPr="00B53F89">
              <w:t>’</w:t>
            </w:r>
            <w:r w:rsidRPr="00B53F89">
              <w:t xml:space="preserve"> for more information.</w:t>
            </w:r>
          </w:p>
        </w:tc>
      </w:tr>
    </w:tbl>
    <w:p w14:paraId="2A0AE75B" w14:textId="71AFFDC2" w:rsidR="00F46EA9" w:rsidRPr="00B53F89" w:rsidRDefault="00CB5884" w:rsidP="00DE694D">
      <w:pPr>
        <w:pStyle w:val="Heading2"/>
        <w:keepLines/>
      </w:pPr>
      <w:bookmarkStart w:id="261" w:name="_Optimising_established_planning"/>
      <w:bookmarkStart w:id="262" w:name="_Toc510104951"/>
      <w:bookmarkStart w:id="263" w:name="_Toc510105748"/>
      <w:bookmarkStart w:id="264" w:name="_Toc510795080"/>
      <w:bookmarkStart w:id="265" w:name="_Toc511716282"/>
      <w:bookmarkStart w:id="266" w:name="_Toc511719093"/>
      <w:bookmarkStart w:id="267" w:name="_Toc522794088"/>
      <w:bookmarkEnd w:id="261"/>
      <w:r w:rsidRPr="00B53F89">
        <w:lastRenderedPageBreak/>
        <w:br w:type="column"/>
      </w:r>
      <w:bookmarkStart w:id="268" w:name="_Toc18505541"/>
      <w:r w:rsidR="00F46EA9" w:rsidRPr="00B53F89">
        <w:lastRenderedPageBreak/>
        <w:t>Optimising established planning frameworks</w:t>
      </w:r>
      <w:bookmarkEnd w:id="262"/>
      <w:bookmarkEnd w:id="263"/>
      <w:bookmarkEnd w:id="264"/>
      <w:bookmarkEnd w:id="265"/>
      <w:bookmarkEnd w:id="266"/>
      <w:bookmarkEnd w:id="267"/>
      <w:bookmarkEnd w:id="268"/>
    </w:p>
    <w:p w14:paraId="097EB5EC" w14:textId="0186F395" w:rsidR="00F24C8A" w:rsidRPr="00B53F89" w:rsidRDefault="00F22FDB" w:rsidP="00DE694D">
      <w:pPr>
        <w:keepNext/>
        <w:keepLines/>
      </w:pPr>
      <w:r w:rsidRPr="00B53F89">
        <w:t>T</w:t>
      </w:r>
      <w:r w:rsidR="0066634A" w:rsidRPr="00B53F89">
        <w:t>he optimisation of e</w:t>
      </w:r>
      <w:r w:rsidR="00F64B58" w:rsidRPr="00B53F89">
        <w:t>xisting spectrum</w:t>
      </w:r>
      <w:r w:rsidR="00E64CF7" w:rsidRPr="00B53F89">
        <w:t xml:space="preserve"> </w:t>
      </w:r>
      <w:r w:rsidR="00F15BFE" w:rsidRPr="00B53F89">
        <w:t>planning arrangements</w:t>
      </w:r>
      <w:r w:rsidRPr="00B53F89">
        <w:t xml:space="preserve"> is also a significant planning priority for the ACMA</w:t>
      </w:r>
      <w:r w:rsidR="00F15BFE" w:rsidRPr="00B53F89">
        <w:t>.</w:t>
      </w:r>
      <w:r w:rsidRPr="00B53F89">
        <w:t xml:space="preserve"> </w:t>
      </w:r>
      <w:r w:rsidR="00F15BFE" w:rsidRPr="00B53F89">
        <w:t xml:space="preserve">This is typically </w:t>
      </w:r>
      <w:r w:rsidR="0066634A" w:rsidRPr="00B53F89">
        <w:t>achieved through updates to</w:t>
      </w:r>
      <w:r w:rsidR="00D42D90" w:rsidRPr="00B53F89">
        <w:t xml:space="preserve"> elements of</w:t>
      </w:r>
      <w:r w:rsidR="0066634A" w:rsidRPr="00B53F89">
        <w:t xml:space="preserve"> </w:t>
      </w:r>
      <w:r w:rsidR="00F15BFE" w:rsidRPr="00B53F89">
        <w:t>spectrum</w:t>
      </w:r>
      <w:r w:rsidR="00375FAA" w:rsidRPr="00B53F89">
        <w:t xml:space="preserve"> </w:t>
      </w:r>
      <w:r w:rsidR="00F15BFE" w:rsidRPr="00B53F89">
        <w:t>planning technical framework such as band plans (either administrative or legislative</w:t>
      </w:r>
      <w:r w:rsidR="002957B9" w:rsidRPr="00B53F89">
        <w:t>)</w:t>
      </w:r>
      <w:r w:rsidR="00F15BFE" w:rsidRPr="00B53F89">
        <w:t xml:space="preserve"> and RALIs. </w:t>
      </w:r>
    </w:p>
    <w:p w14:paraId="7F5A5FBA" w14:textId="1CDDF14C" w:rsidR="00F64B58" w:rsidRPr="00B53F89" w:rsidRDefault="00E706F9">
      <w:r w:rsidRPr="00B53F89">
        <w:t>T</w:t>
      </w:r>
      <w:r w:rsidR="00F15BFE" w:rsidRPr="00B53F89">
        <w:t xml:space="preserve">hese changes </w:t>
      </w:r>
      <w:r w:rsidRPr="00B53F89">
        <w:t xml:space="preserve">are intended </w:t>
      </w:r>
      <w:r w:rsidR="00F15BFE" w:rsidRPr="00B53F89">
        <w:t xml:space="preserve">to </w:t>
      </w:r>
      <w:r w:rsidR="0066634A" w:rsidRPr="00B53F89">
        <w:t>address band</w:t>
      </w:r>
      <w:r w:rsidR="00F15BFE" w:rsidRPr="00B53F89">
        <w:t xml:space="preserve"> and service</w:t>
      </w:r>
      <w:r w:rsidRPr="00B53F89">
        <w:t>-</w:t>
      </w:r>
      <w:r w:rsidR="0066634A" w:rsidRPr="00B53F89">
        <w:t xml:space="preserve">specific </w:t>
      </w:r>
      <w:r w:rsidR="00472F67" w:rsidRPr="00B53F89">
        <w:t>issues</w:t>
      </w:r>
      <w:r w:rsidR="00F15BFE" w:rsidRPr="00B53F89">
        <w:t xml:space="preserve"> identified within existing frameworks</w:t>
      </w:r>
      <w:r w:rsidRPr="00B53F89">
        <w:t>—</w:t>
      </w:r>
      <w:r w:rsidR="00F15BFE" w:rsidRPr="00B53F89">
        <w:t>for example</w:t>
      </w:r>
      <w:r w:rsidRPr="00B53F89">
        <w:t>,</w:t>
      </w:r>
      <w:r w:rsidR="00F15BFE" w:rsidRPr="00B53F89">
        <w:t xml:space="preserve"> by </w:t>
      </w:r>
      <w:r w:rsidR="00F64B58" w:rsidRPr="00B53F89">
        <w:t xml:space="preserve">addressing </w:t>
      </w:r>
      <w:r w:rsidR="00F15BFE" w:rsidRPr="00B53F89">
        <w:t>technology developments, enabling sharing opportunities and other changes to improve the efficient use of the spectrum</w:t>
      </w:r>
      <w:r w:rsidR="00F64B58" w:rsidRPr="00B53F89">
        <w:t>.</w:t>
      </w:r>
    </w:p>
    <w:p w14:paraId="381E4DF6" w14:textId="77777777" w:rsidR="006A3C62" w:rsidRPr="00B53F89" w:rsidRDefault="006A3C62" w:rsidP="006A3C62">
      <w:r w:rsidRPr="00B53F89">
        <w:t>The ACMA’s optimisation work across a range of different spectrum uses is outlined below.</w:t>
      </w:r>
    </w:p>
    <w:p w14:paraId="0BA3CC30" w14:textId="7388834E" w:rsidR="00011742" w:rsidRPr="00B53F89" w:rsidRDefault="00A54553" w:rsidP="00036D0C">
      <w:pPr>
        <w:pStyle w:val="Heading3"/>
        <w:keepNext w:val="0"/>
      </w:pPr>
      <w:r>
        <w:pict w14:anchorId="1C7574E8">
          <v:shape id="_x0000_i1039" type="#_x0000_t75" alt="A picture containing clipart&#10;&#10;Description automatically generated" style="width:19.5pt;height:11.25pt;visibility:visible;mso-wrap-style:square">
            <v:imagedata r:id="rId60" o:title="A picture containing clipart&#10;&#10;Description automatically generated"/>
          </v:shape>
        </w:pict>
      </w:r>
      <w:bookmarkStart w:id="269" w:name="_Toc18505542"/>
      <w:r w:rsidR="00AC69B8">
        <w:t xml:space="preserve"> </w:t>
      </w:r>
      <w:r w:rsidR="00011742" w:rsidRPr="00B53F89">
        <w:t>Spectrum management advice and considering of out-of-policy requests</w:t>
      </w:r>
      <w:bookmarkEnd w:id="269"/>
    </w:p>
    <w:p w14:paraId="25DD1705" w14:textId="7789469E" w:rsidR="00011742" w:rsidRPr="00B53F89" w:rsidRDefault="00011742" w:rsidP="00011742">
      <w:r w:rsidRPr="00B53F89">
        <w:t>The ACMA has an ongoing role in providing advice on spectrum arrangements, including advice on requests</w:t>
      </w:r>
      <w:r w:rsidR="006F0CF9">
        <w:t xml:space="preserve"> that involve departing from the ACMA’s published policies</w:t>
      </w:r>
      <w:r w:rsidRPr="00B53F89">
        <w:t xml:space="preserve"> and considering applications for trial demonstration of new technologies.</w:t>
      </w:r>
    </w:p>
    <w:p w14:paraId="0C288C49" w14:textId="21CEF6DB" w:rsidR="00617A37" w:rsidRPr="00B53F89" w:rsidRDefault="00617A37" w:rsidP="00617A37">
      <w:pPr>
        <w:pStyle w:val="Heading3"/>
        <w:keepNext w:val="0"/>
      </w:pPr>
      <w:bookmarkStart w:id="270" w:name="_Toc18505543"/>
      <w:bookmarkStart w:id="271" w:name="_Hlk16250852"/>
      <w:r w:rsidRPr="00B53F89">
        <w:t>Public Protection and Disaster Relief (PPDR)</w:t>
      </w:r>
      <w:r w:rsidR="00BF77F7" w:rsidRPr="00B53F89">
        <w:t xml:space="preserve"> in the 4.9 GHz band</w:t>
      </w:r>
      <w:bookmarkEnd w:id="270"/>
    </w:p>
    <w:bookmarkEnd w:id="271"/>
    <w:p w14:paraId="458752B3" w14:textId="2D9ECEC1" w:rsidR="00AF6C4C" w:rsidRPr="00B53F89" w:rsidRDefault="00962925" w:rsidP="00AF6C4C">
      <w:r w:rsidRPr="00B53F89">
        <w:t>T</w:t>
      </w:r>
      <w:r w:rsidR="00AF6C4C" w:rsidRPr="00B53F89">
        <w:t xml:space="preserve">he ACMA </w:t>
      </w:r>
      <w:r w:rsidRPr="00B53F89">
        <w:t xml:space="preserve">recently </w:t>
      </w:r>
      <w:r w:rsidR="00AF6C4C" w:rsidRPr="00B53F89">
        <w:t>work</w:t>
      </w:r>
      <w:r w:rsidRPr="00B53F89">
        <w:t>ed</w:t>
      </w:r>
      <w:r w:rsidR="00AF6C4C" w:rsidRPr="00B53F89">
        <w:t xml:space="preserve"> within ITU-R Working Party 5A (responsible for recommendations and reports pertaining to PPDR communications, among other things) to include channelling arrangements for 5G N</w:t>
      </w:r>
      <w:r w:rsidR="00E64CF7" w:rsidRPr="00B53F89">
        <w:t xml:space="preserve">ew </w:t>
      </w:r>
      <w:r w:rsidR="00AF6C4C" w:rsidRPr="00B53F89">
        <w:t>R</w:t>
      </w:r>
      <w:r w:rsidR="00E64CF7" w:rsidRPr="00B53F89">
        <w:t>adio</w:t>
      </w:r>
      <w:r w:rsidR="00AF6C4C" w:rsidRPr="00B53F89">
        <w:t xml:space="preserve"> in documents relevant to 4.9 GHz PPDR arrangements. The benefit of this is that it may help pave the way for public safety-grade 5G equipment that could operate under the 4.9 GHz</w:t>
      </w:r>
      <w:r w:rsidR="00D42D90" w:rsidRPr="00B53F89">
        <w:t xml:space="preserve"> emergency services</w:t>
      </w:r>
      <w:r w:rsidR="00AF6C4C" w:rsidRPr="00B53F89">
        <w:t xml:space="preserve"> class licence and could augment a future PSMB capability.</w:t>
      </w:r>
      <w:r w:rsidR="00D42D90" w:rsidRPr="00B53F89">
        <w:t xml:space="preserve"> DoCA is considering future PSMB arrangements, which are centred around a 4G capability using 4G frequencies, in consultation with states and territories. Looking forward, the pre-existence of the 4.9 GHz class licence might potentially represent a path from progression from 4G to 5G-based PSMB systems in the longer term, if suitable equipment and protocols are established. The work within </w:t>
      </w:r>
      <w:r w:rsidR="007A3BEE" w:rsidRPr="00B53F89">
        <w:t xml:space="preserve">Working Party </w:t>
      </w:r>
      <w:r w:rsidR="00D42D90" w:rsidRPr="00B53F89">
        <w:t xml:space="preserve">5A </w:t>
      </w:r>
      <w:r w:rsidR="005F4EFF" w:rsidRPr="00B53F89">
        <w:t>was</w:t>
      </w:r>
      <w:r w:rsidR="00D42D90" w:rsidRPr="00B53F89">
        <w:t xml:space="preserve"> a first step in this process.</w:t>
      </w:r>
    </w:p>
    <w:p w14:paraId="065081A3" w14:textId="7E2BB3D3" w:rsidR="00683BDD" w:rsidRPr="00B53F89" w:rsidRDefault="00683BDD" w:rsidP="00C4441C">
      <w:pPr>
        <w:keepNext/>
        <w:spacing w:before="60" w:after="0"/>
      </w:pPr>
      <w:bookmarkStart w:id="272" w:name="_Toc510104952"/>
      <w:bookmarkStart w:id="273" w:name="_Toc510105749"/>
      <w:bookmarkStart w:id="274" w:name="_Toc510795081"/>
      <w:bookmarkStart w:id="275" w:name="_Toc511716284"/>
      <w:bookmarkStart w:id="276" w:name="_Toc511719095"/>
      <w:bookmarkStart w:id="277" w:name="_Toc522794090"/>
      <w:r w:rsidRPr="006A2F04">
        <w:rPr>
          <w:noProof/>
        </w:rPr>
        <w:drawing>
          <wp:inline distT="0" distB="0" distL="0" distR="0" wp14:anchorId="6D9EAF85" wp14:editId="7BC0638B">
            <wp:extent cx="342900" cy="361950"/>
            <wp:effectExtent l="0" t="0" r="0" b="0"/>
            <wp:docPr id="88" name="Picture 88"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Radio/TV broadcasting icon"/>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147B6225" w14:textId="4FBFA043" w:rsidR="00472F67" w:rsidRPr="00B53F89" w:rsidRDefault="00A54553" w:rsidP="00C92124">
      <w:pPr>
        <w:pStyle w:val="Heading3"/>
        <w:keepNext w:val="0"/>
      </w:pPr>
      <w:bookmarkStart w:id="278" w:name="_Toc18505544"/>
      <w:r>
        <w:pict w14:anchorId="61C74CC1">
          <v:shape id="_x0000_i1040" type="#_x0000_t75" alt="A close up of a sign&#10;&#10;Description automatically generated" style="width:18.75pt;height:11.25pt;visibility:visible;mso-wrap-style:square">
            <v:imagedata r:id="rId43" o:title="A close up of a sign&#10;&#10;Description automatically generated"/>
          </v:shape>
        </w:pict>
      </w:r>
      <w:r w:rsidR="00125C80">
        <w:t xml:space="preserve"> </w:t>
      </w:r>
      <w:r w:rsidR="00F46EA9" w:rsidRPr="00B53F89">
        <w:t>Broadcasting</w:t>
      </w:r>
      <w:bookmarkEnd w:id="272"/>
      <w:bookmarkEnd w:id="273"/>
      <w:bookmarkEnd w:id="274"/>
      <w:bookmarkEnd w:id="275"/>
      <w:bookmarkEnd w:id="276"/>
      <w:bookmarkEnd w:id="277"/>
      <w:bookmarkEnd w:id="278"/>
    </w:p>
    <w:p w14:paraId="715DF41C" w14:textId="2511D16E" w:rsidR="000901C6" w:rsidRPr="00B53F89" w:rsidRDefault="00491DC5" w:rsidP="00E26672">
      <w:r w:rsidRPr="00B53F89">
        <w:t xml:space="preserve">Since the restack of television spectrum for the 700 MHz digital dividend, </w:t>
      </w:r>
      <w:r w:rsidR="000F52C2" w:rsidRPr="00B53F89">
        <w:t xml:space="preserve">only </w:t>
      </w:r>
      <w:r w:rsidRPr="00B53F89">
        <w:t xml:space="preserve">limited further optimisation work has been necessary in </w:t>
      </w:r>
      <w:r w:rsidR="00907DBE" w:rsidRPr="00B53F89">
        <w:t xml:space="preserve">the television broadcasting </w:t>
      </w:r>
      <w:r w:rsidRPr="00B53F89">
        <w:t xml:space="preserve">bands. </w:t>
      </w:r>
      <w:r w:rsidR="000901C6" w:rsidRPr="00B53F89">
        <w:t>In contrast, there are significant activities progressing in the radio broadcasting spectrum.</w:t>
      </w:r>
    </w:p>
    <w:p w14:paraId="6559648A" w14:textId="4AB68851" w:rsidR="00F42E07" w:rsidRPr="00B53F89" w:rsidRDefault="000901C6">
      <w:r w:rsidRPr="00B53F89">
        <w:t>The ACMA has been working closely with the radio industry on two key initiatives for regional Australia—</w:t>
      </w:r>
      <w:r w:rsidR="00DB69B8" w:rsidRPr="00B53F89">
        <w:t>e</w:t>
      </w:r>
      <w:r w:rsidRPr="00B53F89">
        <w:t xml:space="preserve">xpansion of digital radio to regional areas, and </w:t>
      </w:r>
      <w:r w:rsidR="00E22D9C" w:rsidRPr="00B53F89">
        <w:t xml:space="preserve">the conversion to FM of the </w:t>
      </w:r>
      <w:r w:rsidR="000E208F" w:rsidRPr="00B53F89">
        <w:t xml:space="preserve">legacy </w:t>
      </w:r>
      <w:r w:rsidR="00E22D9C" w:rsidRPr="00B53F89">
        <w:t>commercial AM station in single licensee regional markets</w:t>
      </w:r>
      <w:r w:rsidR="005F18BE" w:rsidRPr="00B53F89">
        <w:t>.</w:t>
      </w:r>
      <w:r w:rsidRPr="00B53F89">
        <w:t xml:space="preserve"> </w:t>
      </w:r>
    </w:p>
    <w:p w14:paraId="1367CD7C" w14:textId="379C396F" w:rsidR="00F32B25" w:rsidRPr="00B53F89" w:rsidRDefault="00F32B25" w:rsidP="00F32B25">
      <w:bookmarkStart w:id="279" w:name="_Hlk2168169"/>
      <w:r w:rsidRPr="00B53F89">
        <w:t>The ACMA is also investigating the future delivery of radio broadcasting services in Australia.</w:t>
      </w:r>
    </w:p>
    <w:p w14:paraId="04EBB24F" w14:textId="77777777" w:rsidR="005F07AD" w:rsidRPr="00B53F89" w:rsidRDefault="005F07AD" w:rsidP="001D63C7">
      <w:pPr>
        <w:pStyle w:val="Heading4"/>
      </w:pPr>
      <w:r w:rsidRPr="00B53F89">
        <w:t>Digital radio and AM to FM conversion</w:t>
      </w:r>
    </w:p>
    <w:p w14:paraId="61243765" w14:textId="05C29373" w:rsidR="005F07AD" w:rsidRPr="00B53F89" w:rsidRDefault="005F07AD" w:rsidP="005F07AD">
      <w:r w:rsidRPr="00B53F89">
        <w:t>Over the next few years,</w:t>
      </w:r>
      <w:r w:rsidRPr="00B53F89" w:rsidDel="00B04F39">
        <w:t xml:space="preserve"> </w:t>
      </w:r>
      <w:r w:rsidRPr="00B53F89">
        <w:t>the ACMA will continue to plan for regional digital radio, where licensees commit to rolling out and</w:t>
      </w:r>
      <w:r w:rsidRPr="00B53F89" w:rsidDel="00474A22">
        <w:t xml:space="preserve"> </w:t>
      </w:r>
      <w:r w:rsidRPr="00B53F89">
        <w:t>provide for the AM to FM conversions in</w:t>
      </w:r>
      <w:r w:rsidR="00B53F89">
        <w:t xml:space="preserve"> </w:t>
      </w:r>
      <w:r w:rsidRPr="00B53F89">
        <w:t xml:space="preserve">certain regional licence areas. </w:t>
      </w:r>
    </w:p>
    <w:p w14:paraId="3D7D9577" w14:textId="57987A6E" w:rsidR="00572CC5" w:rsidRPr="00B53F89" w:rsidRDefault="005F07AD">
      <w:r w:rsidRPr="00B53F89">
        <w:lastRenderedPageBreak/>
        <w:t xml:space="preserve">While we can plan spectrum for digital radio services in regional Australia, the establishment of digital radio services in any given market is a commercial decision of the relevant incumbent </w:t>
      </w:r>
      <w:r w:rsidR="00A72323" w:rsidRPr="00B53F89">
        <w:t xml:space="preserve">radio </w:t>
      </w:r>
      <w:r w:rsidRPr="00B53F89">
        <w:t>broadcasting licensees. Similarly, where and when the ABC and SBS will roll out digital radio services a</w:t>
      </w:r>
      <w:r w:rsidR="00374875" w:rsidRPr="00B53F89">
        <w:t>re</w:t>
      </w:r>
      <w:r w:rsidRPr="00B53F89">
        <w:t xml:space="preserve"> decision</w:t>
      </w:r>
      <w:r w:rsidR="00374875" w:rsidRPr="00B53F89">
        <w:t>s</w:t>
      </w:r>
      <w:r w:rsidRPr="00B53F89">
        <w:t xml:space="preserve"> for those broadcasters.</w:t>
      </w:r>
    </w:p>
    <w:p w14:paraId="3172F453" w14:textId="77777777" w:rsidR="00D50A45" w:rsidRPr="00B53F89" w:rsidRDefault="00D50A45" w:rsidP="00223D30">
      <w:pPr>
        <w:pStyle w:val="Heading5"/>
      </w:pPr>
      <w:r w:rsidRPr="00B53F89">
        <w:t xml:space="preserve">Progress achieved </w:t>
      </w:r>
    </w:p>
    <w:p w14:paraId="02032E78" w14:textId="0F9DBECE" w:rsidR="001639FB" w:rsidRPr="00B53F89" w:rsidRDefault="00C82472" w:rsidP="00223D30">
      <w:pPr>
        <w:pStyle w:val="ListBullet"/>
        <w:keepNext w:val="0"/>
        <w:keepLines w:val="0"/>
        <w:ind w:left="284" w:hanging="289"/>
      </w:pPr>
      <w:bookmarkStart w:id="280" w:name="_Hlk2163342"/>
      <w:r w:rsidRPr="00B53F89">
        <w:t xml:space="preserve">In late 2018 </w:t>
      </w:r>
      <w:r w:rsidR="00891BA1" w:rsidRPr="00B53F89">
        <w:t>we</w:t>
      </w:r>
      <w:r w:rsidRPr="00B53F89">
        <w:t xml:space="preserve"> </w:t>
      </w:r>
      <w:r w:rsidR="001639FB" w:rsidRPr="00B53F89">
        <w:t xml:space="preserve">licensed a trial </w:t>
      </w:r>
      <w:r w:rsidR="00B548F2" w:rsidRPr="00B53F89">
        <w:t xml:space="preserve">of </w:t>
      </w:r>
      <w:r w:rsidR="001639FB" w:rsidRPr="00B53F89">
        <w:t>DVB-T</w:t>
      </w:r>
      <w:r w:rsidR="00EE0639" w:rsidRPr="00B53F89">
        <w:t>2 technology for Free T</w:t>
      </w:r>
      <w:r w:rsidR="00B548F2" w:rsidRPr="00B53F89">
        <w:t>V</w:t>
      </w:r>
      <w:r w:rsidR="00EE0639" w:rsidRPr="00B53F89">
        <w:t xml:space="preserve"> Australia in Brisbane and the Gold Coast. This trial </w:t>
      </w:r>
      <w:r w:rsidRPr="00B53F89">
        <w:t>follows on from the successful trial in Sydney earlier in 2018.</w:t>
      </w:r>
    </w:p>
    <w:p w14:paraId="66DE1DB3" w14:textId="507F746E" w:rsidR="00B548F2" w:rsidRPr="00B53F89" w:rsidRDefault="00891BA1" w:rsidP="00223D30">
      <w:pPr>
        <w:pStyle w:val="ListBullet"/>
        <w:keepNext w:val="0"/>
        <w:keepLines w:val="0"/>
        <w:ind w:left="284" w:hanging="289"/>
      </w:pPr>
      <w:r w:rsidRPr="00B53F89">
        <w:t>We</w:t>
      </w:r>
      <w:r w:rsidR="00B548F2" w:rsidRPr="00B53F89">
        <w:t xml:space="preserve"> completed</w:t>
      </w:r>
      <w:r w:rsidR="00CA3436" w:rsidRPr="00B53F89">
        <w:t xml:space="preserve"> Australia-wide frequency allotment planning for DAB+ digital radio</w:t>
      </w:r>
      <w:r w:rsidR="00E64CF7" w:rsidRPr="00B53F89">
        <w:t xml:space="preserve"> and published it on our website in June 2019</w:t>
      </w:r>
      <w:r w:rsidR="00CA3436" w:rsidRPr="00B53F89">
        <w:t>.</w:t>
      </w:r>
    </w:p>
    <w:bookmarkEnd w:id="280"/>
    <w:p w14:paraId="35DCC0C0" w14:textId="0B3FE3D2" w:rsidR="009630BF" w:rsidRPr="00B53F89" w:rsidRDefault="009630BF" w:rsidP="00223D30">
      <w:pPr>
        <w:pStyle w:val="ListBullet"/>
        <w:keepNext w:val="0"/>
        <w:keepLines w:val="0"/>
        <w:ind w:left="284" w:hanging="289"/>
      </w:pPr>
      <w:r w:rsidRPr="00B53F89">
        <w:t>In September 2018, the ACMA issued digital radio multiplex transmitter licences for the commercial and community broadcasters in Canberra</w:t>
      </w:r>
      <w:r w:rsidR="00B548F2" w:rsidRPr="00B53F89">
        <w:t>,</w:t>
      </w:r>
      <w:r w:rsidRPr="00B53F89" w:rsidDel="00B548F2">
        <w:t xml:space="preserve"> </w:t>
      </w:r>
      <w:r w:rsidRPr="00B53F89">
        <w:t xml:space="preserve">Darwin </w:t>
      </w:r>
      <w:r w:rsidR="00883A72" w:rsidRPr="00B53F89">
        <w:t>a</w:t>
      </w:r>
      <w:r w:rsidR="00B548F2" w:rsidRPr="00B53F89">
        <w:t>nd Hobart</w:t>
      </w:r>
      <w:r w:rsidR="005A322C" w:rsidRPr="00B53F89">
        <w:t>.</w:t>
      </w:r>
      <w:r w:rsidR="003C714E" w:rsidRPr="00B53F89">
        <w:t xml:space="preserve"> </w:t>
      </w:r>
      <w:r w:rsidR="00B548F2" w:rsidRPr="00B53F89">
        <w:t>The</w:t>
      </w:r>
      <w:r w:rsidR="008D7F7A" w:rsidRPr="00B53F89">
        <w:t xml:space="preserve"> ACMA declared the digital radio start-up day</w:t>
      </w:r>
      <w:r w:rsidR="0059434C" w:rsidRPr="00B53F89">
        <w:t xml:space="preserve"> for Hobart as 1 April 2019 and for Darwin as 7 May 2019.</w:t>
      </w:r>
      <w:r w:rsidR="00B548F2" w:rsidRPr="00B53F89">
        <w:t xml:space="preserve"> </w:t>
      </w:r>
      <w:r w:rsidR="0059434C" w:rsidRPr="00B53F89">
        <w:t>S</w:t>
      </w:r>
      <w:r w:rsidR="00B548F2" w:rsidRPr="00B53F89">
        <w:t xml:space="preserve">ervices under the </w:t>
      </w:r>
      <w:r w:rsidR="0059434C" w:rsidRPr="00B53F89">
        <w:t xml:space="preserve">Canberra </w:t>
      </w:r>
      <w:r w:rsidR="00B548F2" w:rsidRPr="00B53F89">
        <w:t>licence commence</w:t>
      </w:r>
      <w:r w:rsidR="00374875" w:rsidRPr="00B53F89">
        <w:t>d on 19 July 2019</w:t>
      </w:r>
      <w:r w:rsidR="00B548F2" w:rsidRPr="00B53F89">
        <w:t>. The services in Canberra and Darwin succeed</w:t>
      </w:r>
      <w:r w:rsidR="00C02F47" w:rsidRPr="00B53F89">
        <w:t>ed</w:t>
      </w:r>
      <w:r w:rsidR="00B548F2" w:rsidRPr="00B53F89">
        <w:t xml:space="preserve"> the </w:t>
      </w:r>
      <w:r w:rsidR="00C02F47" w:rsidRPr="00B53F89">
        <w:t xml:space="preserve">previous </w:t>
      </w:r>
      <w:r w:rsidR="00B548F2" w:rsidRPr="00B53F89">
        <w:t>trial services.</w:t>
      </w:r>
    </w:p>
    <w:p w14:paraId="1A0E451F" w14:textId="35B2185B" w:rsidR="00C52474" w:rsidRPr="00B53F89" w:rsidRDefault="00907DBE" w:rsidP="00223D30">
      <w:pPr>
        <w:pStyle w:val="ListBullet"/>
        <w:ind w:left="284" w:hanging="289"/>
      </w:pPr>
      <w:r w:rsidRPr="00B53F89">
        <w:t xml:space="preserve">In April 2019, </w:t>
      </w:r>
      <w:r w:rsidR="00891BA1" w:rsidRPr="00B53F89">
        <w:t>we</w:t>
      </w:r>
      <w:r w:rsidR="00C52474" w:rsidRPr="00B53F89">
        <w:t xml:space="preserve"> consulted on a new digital radio channel plan for Mandurah, W</w:t>
      </w:r>
      <w:r w:rsidR="002651E4" w:rsidRPr="00B53F89">
        <w:t xml:space="preserve">estern </w:t>
      </w:r>
      <w:r w:rsidR="00C52474" w:rsidRPr="00B53F89">
        <w:t>A</w:t>
      </w:r>
      <w:r w:rsidR="002651E4" w:rsidRPr="00B53F89">
        <w:t>ustralia</w:t>
      </w:r>
      <w:r w:rsidR="00C52474" w:rsidRPr="00B53F89">
        <w:t>.</w:t>
      </w:r>
    </w:p>
    <w:p w14:paraId="23EE6AB8" w14:textId="14F531F6" w:rsidR="007A2B62" w:rsidRPr="00B53F89" w:rsidRDefault="00474A22" w:rsidP="00223D30">
      <w:pPr>
        <w:pStyle w:val="ListBullet"/>
        <w:ind w:left="284" w:hanging="289"/>
      </w:pPr>
      <w:r w:rsidRPr="00B53F89">
        <w:t>In 2018</w:t>
      </w:r>
      <w:r w:rsidR="002651E4" w:rsidRPr="00B53F89">
        <w:t>–</w:t>
      </w:r>
      <w:r w:rsidRPr="00B53F89">
        <w:t xml:space="preserve">2019 </w:t>
      </w:r>
      <w:r w:rsidR="00891BA1" w:rsidRPr="00B53F89">
        <w:t>we</w:t>
      </w:r>
      <w:r w:rsidR="00C52474" w:rsidRPr="00B53F89">
        <w:t xml:space="preserve"> </w:t>
      </w:r>
      <w:r w:rsidR="001D5911" w:rsidRPr="00B53F89">
        <w:t>facilitated</w:t>
      </w:r>
      <w:r w:rsidR="00EA28B4" w:rsidRPr="00B53F89">
        <w:t xml:space="preserve"> </w:t>
      </w:r>
      <w:r w:rsidR="00C52474" w:rsidRPr="00B53F89">
        <w:t>AM</w:t>
      </w:r>
      <w:r w:rsidR="00374875" w:rsidRPr="00B53F89">
        <w:t xml:space="preserve"> to </w:t>
      </w:r>
      <w:r w:rsidR="00C52474" w:rsidRPr="00B53F89">
        <w:t>FM conversions for Bathurst,</w:t>
      </w:r>
      <w:r w:rsidR="00780118" w:rsidRPr="00B53F89">
        <w:t xml:space="preserve"> Bega,</w:t>
      </w:r>
      <w:r w:rsidR="00C52474" w:rsidRPr="00B53F89">
        <w:t xml:space="preserve"> Burnie, </w:t>
      </w:r>
      <w:r w:rsidR="00780118" w:rsidRPr="00B53F89">
        <w:t xml:space="preserve">Cooma, </w:t>
      </w:r>
      <w:r w:rsidR="00C52474" w:rsidRPr="00B53F89">
        <w:t xml:space="preserve">Devonport, </w:t>
      </w:r>
      <w:r w:rsidR="00780118" w:rsidRPr="00B53F89">
        <w:t xml:space="preserve">Goulburn, </w:t>
      </w:r>
      <w:r w:rsidRPr="00B53F89">
        <w:t>Queenstown</w:t>
      </w:r>
      <w:r w:rsidR="00780118" w:rsidRPr="00B53F89">
        <w:t>,</w:t>
      </w:r>
      <w:r w:rsidR="001217C7" w:rsidRPr="00B53F89">
        <w:t xml:space="preserve"> </w:t>
      </w:r>
      <w:r w:rsidRPr="00B53F89">
        <w:t>Mandurah</w:t>
      </w:r>
      <w:r w:rsidR="00780118" w:rsidRPr="00B53F89">
        <w:t xml:space="preserve"> </w:t>
      </w:r>
      <w:r w:rsidR="001F3E7B" w:rsidRPr="00B53F89">
        <w:t xml:space="preserve">and </w:t>
      </w:r>
      <w:r w:rsidR="00780118" w:rsidRPr="00B53F89">
        <w:t>Scottsdale</w:t>
      </w:r>
      <w:r w:rsidRPr="00B53F89">
        <w:t>.</w:t>
      </w:r>
    </w:p>
    <w:p w14:paraId="76FD9903" w14:textId="0F10566D" w:rsidR="003B0FDC" w:rsidRPr="00B53F89" w:rsidRDefault="002F3DE3" w:rsidP="00223D30">
      <w:pPr>
        <w:pStyle w:val="ListBullet"/>
        <w:ind w:left="284" w:hanging="289"/>
      </w:pPr>
      <w:r w:rsidRPr="00B53F89">
        <w:t>Internal engineering work has been completed on a study into the potential for replanning Perth radio.</w:t>
      </w:r>
    </w:p>
    <w:p w14:paraId="00D043B5" w14:textId="5DA91270" w:rsidR="000D2253" w:rsidRPr="00B53F89" w:rsidRDefault="000D2253" w:rsidP="00223D30">
      <w:pPr>
        <w:pStyle w:val="ListBullet"/>
        <w:ind w:left="284" w:hanging="289"/>
      </w:pPr>
      <w:r w:rsidRPr="00B53F89">
        <w:t>In July 2019 we consulted on whether the Hobart RA3 community radio licence area should be deemed to be the same as the Hobart RA1 commercial radio licence area for the purpose of digital radio</w:t>
      </w:r>
      <w:r w:rsidR="00581522" w:rsidRPr="00B53F89">
        <w:t>.</w:t>
      </w:r>
    </w:p>
    <w:p w14:paraId="71052F4D" w14:textId="43B0CBBE" w:rsidR="005F07AD" w:rsidRPr="00B53F89" w:rsidRDefault="005F07AD" w:rsidP="00223D30">
      <w:pPr>
        <w:pStyle w:val="Heading5"/>
      </w:pPr>
      <w:r w:rsidRPr="00B53F89">
        <w:t xml:space="preserve">Activities planned for 2019–20 </w:t>
      </w:r>
    </w:p>
    <w:p w14:paraId="653C726F" w14:textId="5255E0A2" w:rsidR="005716DE" w:rsidRPr="00B53F89" w:rsidRDefault="005716DE" w:rsidP="00223D30">
      <w:r w:rsidRPr="00B53F89">
        <w:t xml:space="preserve">In </w:t>
      </w:r>
      <w:r w:rsidR="0059434C" w:rsidRPr="00B53F89">
        <w:t>2019</w:t>
      </w:r>
      <w:r w:rsidR="00797F18" w:rsidRPr="00B53F89">
        <w:t>–</w:t>
      </w:r>
      <w:r w:rsidR="0059434C" w:rsidRPr="00B53F89">
        <w:t>20</w:t>
      </w:r>
      <w:r w:rsidRPr="00B53F89">
        <w:t xml:space="preserve"> we will:</w:t>
      </w:r>
    </w:p>
    <w:p w14:paraId="5AFF06AE" w14:textId="0DFE885E" w:rsidR="005716DE" w:rsidRPr="00B53F89" w:rsidRDefault="000D2253" w:rsidP="00223D30">
      <w:pPr>
        <w:pStyle w:val="ListBullet"/>
        <w:ind w:left="284" w:hanging="284"/>
      </w:pPr>
      <w:r w:rsidRPr="00B53F89">
        <w:t xml:space="preserve">review submissions on the consultation, and </w:t>
      </w:r>
      <w:r w:rsidR="005716DE" w:rsidRPr="00B53F89">
        <w:t xml:space="preserve">determine whether </w:t>
      </w:r>
      <w:r w:rsidR="0059434C" w:rsidRPr="00B53F89">
        <w:t xml:space="preserve">the Hobart RA3 </w:t>
      </w:r>
      <w:r w:rsidR="005716DE" w:rsidRPr="00B53F89">
        <w:t>community radio licence area should be deemed to be the same as the Hobart RA1 commercial radio licence area for the purpose of digital radio</w:t>
      </w:r>
    </w:p>
    <w:p w14:paraId="04B032CE" w14:textId="504F3242" w:rsidR="005716DE" w:rsidRPr="00B53F89" w:rsidRDefault="009554F2" w:rsidP="00223D30">
      <w:pPr>
        <w:pStyle w:val="ListBulletLast"/>
        <w:spacing w:after="80"/>
        <w:ind w:left="284" w:hanging="284"/>
      </w:pPr>
      <w:r w:rsidRPr="00B53F89">
        <w:t xml:space="preserve">consult on </w:t>
      </w:r>
      <w:r w:rsidR="001D5911" w:rsidRPr="00B53F89">
        <w:t>and finalise</w:t>
      </w:r>
      <w:r w:rsidRPr="00B53F89">
        <w:t xml:space="preserve"> proposals for the AM</w:t>
      </w:r>
      <w:r w:rsidR="00374875" w:rsidRPr="00B53F89">
        <w:t xml:space="preserve"> to </w:t>
      </w:r>
      <w:r w:rsidRPr="00B53F89">
        <w:t xml:space="preserve">FM conversion </w:t>
      </w:r>
      <w:r w:rsidR="002C5DB5" w:rsidRPr="00B53F89">
        <w:t xml:space="preserve">for Riverland, </w:t>
      </w:r>
      <w:r w:rsidRPr="00B53F89">
        <w:t>Murray Bridge, Spencer Gulf North and Port Lincoln in South Australia</w:t>
      </w:r>
    </w:p>
    <w:p w14:paraId="0F7EDFAD" w14:textId="7FDDFDE9" w:rsidR="006C2F18" w:rsidRPr="00B53F89" w:rsidRDefault="00EA0641" w:rsidP="00223D30">
      <w:pPr>
        <w:pStyle w:val="ListBullet"/>
        <w:ind w:left="284" w:hanging="284"/>
      </w:pPr>
      <w:r w:rsidRPr="00B53F89">
        <w:t xml:space="preserve">complete engineering for and </w:t>
      </w:r>
      <w:r w:rsidR="006D64BD" w:rsidRPr="00B53F89">
        <w:t>c</w:t>
      </w:r>
      <w:r w:rsidR="006C2F18" w:rsidRPr="00B53F89">
        <w:t xml:space="preserve">onsult on and finalise the digital radio channel plans for </w:t>
      </w:r>
      <w:r w:rsidR="005E257E" w:rsidRPr="00B53F89">
        <w:t xml:space="preserve">the </w:t>
      </w:r>
      <w:r w:rsidR="006C2F18" w:rsidRPr="00B53F89">
        <w:t xml:space="preserve">licence areas </w:t>
      </w:r>
      <w:r w:rsidR="001543E4" w:rsidRPr="00B53F89">
        <w:t>where a commercial licensee ha</w:t>
      </w:r>
      <w:r w:rsidR="008862A9" w:rsidRPr="00B53F89">
        <w:t>s</w:t>
      </w:r>
      <w:r w:rsidR="001543E4" w:rsidRPr="00B53F89">
        <w:t xml:space="preserve"> </w:t>
      </w:r>
      <w:r w:rsidR="004959E5" w:rsidRPr="00B53F89">
        <w:t>committed</w:t>
      </w:r>
      <w:r w:rsidR="001543E4" w:rsidRPr="00B53F89">
        <w:t xml:space="preserve"> to</w:t>
      </w:r>
      <w:r w:rsidR="00474A22" w:rsidRPr="00B53F89">
        <w:t xml:space="preserve"> starting up around 2020</w:t>
      </w:r>
    </w:p>
    <w:p w14:paraId="62D34EF7" w14:textId="7F82F8F6" w:rsidR="00DD4AA4" w:rsidRPr="00B53F89" w:rsidRDefault="005B72CC" w:rsidP="00223D30">
      <w:pPr>
        <w:pStyle w:val="ListBullet"/>
        <w:ind w:left="284" w:hanging="284"/>
      </w:pPr>
      <w:r w:rsidRPr="00B53F89">
        <w:t xml:space="preserve">further consult on whether variations to the digital radio channel plan </w:t>
      </w:r>
      <w:r w:rsidR="00980C5E" w:rsidRPr="00B53F89">
        <w:t xml:space="preserve">in relation to Brisbane </w:t>
      </w:r>
      <w:r w:rsidRPr="00B53F89">
        <w:t>are appropriate to improve digital coverage</w:t>
      </w:r>
    </w:p>
    <w:p w14:paraId="0CE728AD" w14:textId="26729027" w:rsidR="00DD4AA4" w:rsidRPr="00B53F89" w:rsidRDefault="00E52616" w:rsidP="00223D30">
      <w:pPr>
        <w:pStyle w:val="ListBullet"/>
        <w:ind w:left="284" w:hanging="284"/>
      </w:pPr>
      <w:r w:rsidRPr="00B53F89">
        <w:t xml:space="preserve">consult on the digital radio channel plan </w:t>
      </w:r>
      <w:r w:rsidR="00980C5E" w:rsidRPr="00B53F89">
        <w:t xml:space="preserve">in relation to Gold Coast </w:t>
      </w:r>
      <w:r w:rsidRPr="00B53F89">
        <w:t>taking into account the completion of frequency allotment planning</w:t>
      </w:r>
    </w:p>
    <w:p w14:paraId="51EDCABA" w14:textId="14F6C78A" w:rsidR="000F47BB" w:rsidRPr="00B53F89" w:rsidRDefault="000F47BB" w:rsidP="00223D30">
      <w:pPr>
        <w:pStyle w:val="ListBullet"/>
        <w:ind w:left="284" w:hanging="284"/>
      </w:pPr>
      <w:r w:rsidRPr="00B53F89">
        <w:t xml:space="preserve">consult on </w:t>
      </w:r>
      <w:r w:rsidR="001D5911" w:rsidRPr="00B53F89">
        <w:t>the principles to</w:t>
      </w:r>
      <w:r w:rsidRPr="00B53F89">
        <w:t xml:space="preserve"> </w:t>
      </w:r>
      <w:r w:rsidR="008C0297" w:rsidRPr="00B53F89">
        <w:t>determine whether specified community radio licence areas should be deemed to be the same as specified commercial radio licence areas for the purpose of digital radio</w:t>
      </w:r>
    </w:p>
    <w:p w14:paraId="0AC23323" w14:textId="675F483F" w:rsidR="00DD4AA4" w:rsidRPr="00B53F89" w:rsidRDefault="00F502CE" w:rsidP="00223D30">
      <w:pPr>
        <w:pStyle w:val="ListBulletLast"/>
        <w:ind w:left="284" w:hanging="284"/>
      </w:pPr>
      <w:r w:rsidRPr="00B53F89">
        <w:t>c</w:t>
      </w:r>
      <w:r w:rsidR="00DD4AA4" w:rsidRPr="00B53F89">
        <w:t xml:space="preserve">onsult on further </w:t>
      </w:r>
      <w:r w:rsidR="006C2F18" w:rsidRPr="00B53F89" w:rsidDel="00DD4AA4">
        <w:t>AM</w:t>
      </w:r>
      <w:r w:rsidR="00374875" w:rsidRPr="00B53F89">
        <w:t xml:space="preserve"> to </w:t>
      </w:r>
      <w:r w:rsidR="006C2F18" w:rsidRPr="00B53F89" w:rsidDel="00DD4AA4">
        <w:t xml:space="preserve">FM conversions </w:t>
      </w:r>
      <w:r w:rsidR="00DD4AA4" w:rsidRPr="00B53F89">
        <w:t xml:space="preserve">in </w:t>
      </w:r>
      <w:r w:rsidR="00374875" w:rsidRPr="00B53F89">
        <w:t xml:space="preserve">single licensee </w:t>
      </w:r>
      <w:r w:rsidR="00DD4AA4" w:rsidRPr="00B53F89">
        <w:t>markets</w:t>
      </w:r>
      <w:r w:rsidRPr="00B53F89">
        <w:t xml:space="preserve"> when</w:t>
      </w:r>
      <w:r w:rsidR="00DD4AA4" w:rsidRPr="00B53F89">
        <w:t xml:space="preserve"> engineering reports have been received from the licensees and approved by the ACMA. These area</w:t>
      </w:r>
      <w:r w:rsidR="00786F04" w:rsidRPr="00B53F89">
        <w:t>s</w:t>
      </w:r>
      <w:r w:rsidR="00DD4AA4" w:rsidRPr="00B53F89">
        <w:t xml:space="preserve"> </w:t>
      </w:r>
      <w:r w:rsidR="00DD4AA4" w:rsidRPr="00B53F89" w:rsidDel="00F22FDB">
        <w:t>include</w:t>
      </w:r>
      <w:r w:rsidR="00DD4AA4" w:rsidRPr="00B53F89">
        <w:t xml:space="preserve"> Nowra, Armidale, Gunnedah, Moree, Tamworth, Taree, Grafton, </w:t>
      </w:r>
      <w:r w:rsidR="00786F04" w:rsidRPr="00B53F89">
        <w:t>Parkes</w:t>
      </w:r>
      <w:r w:rsidR="00DD4AA4" w:rsidRPr="00B53F89">
        <w:t xml:space="preserve">, </w:t>
      </w:r>
      <w:r w:rsidR="00786F04" w:rsidRPr="00B53F89">
        <w:t>Inverell</w:t>
      </w:r>
      <w:r w:rsidR="00DD4AA4" w:rsidRPr="00B53F89">
        <w:t xml:space="preserve">, </w:t>
      </w:r>
      <w:r w:rsidR="00786F04" w:rsidRPr="00B53F89">
        <w:t>Lismore</w:t>
      </w:r>
      <w:r w:rsidR="00180CD4" w:rsidRPr="00B53F89">
        <w:t>,</w:t>
      </w:r>
      <w:r w:rsidR="003C714E" w:rsidRPr="00B53F89">
        <w:t xml:space="preserve"> </w:t>
      </w:r>
      <w:r w:rsidR="00786F04" w:rsidRPr="00B53F89">
        <w:t>Wangaratta</w:t>
      </w:r>
      <w:r w:rsidR="00DD4AA4" w:rsidRPr="00B53F89">
        <w:t xml:space="preserve">, </w:t>
      </w:r>
      <w:r w:rsidR="00786F04" w:rsidRPr="00B53F89">
        <w:t xml:space="preserve">Albany, Horsham, Hamilton, Colac, </w:t>
      </w:r>
      <w:r w:rsidR="00907DBE" w:rsidRPr="00B53F89">
        <w:t xml:space="preserve">Swan </w:t>
      </w:r>
      <w:r w:rsidR="00786F04" w:rsidRPr="00B53F89">
        <w:t>Hill</w:t>
      </w:r>
      <w:r w:rsidRPr="00B53F89">
        <w:t xml:space="preserve"> and</w:t>
      </w:r>
      <w:r w:rsidR="00786F04" w:rsidRPr="00B53F89">
        <w:t xml:space="preserve"> Lithgow.</w:t>
      </w:r>
    </w:p>
    <w:p w14:paraId="4A20B199" w14:textId="439B8518" w:rsidR="00FB1D8C" w:rsidRPr="00B53F89" w:rsidRDefault="002345FB" w:rsidP="008A2164">
      <w:pPr>
        <w:pStyle w:val="Heading4"/>
        <w:keepNext/>
        <w:keepLines/>
      </w:pPr>
      <w:r w:rsidRPr="00B53F89">
        <w:lastRenderedPageBreak/>
        <w:t>Potential f</w:t>
      </w:r>
      <w:r w:rsidR="008D74BE" w:rsidRPr="00B53F89">
        <w:t>or</w:t>
      </w:r>
      <w:r w:rsidR="00C06D75" w:rsidRPr="00B53F89">
        <w:t xml:space="preserve"> Perth </w:t>
      </w:r>
      <w:r w:rsidR="00FB1D8C" w:rsidRPr="00B53F89">
        <w:t xml:space="preserve">analog </w:t>
      </w:r>
      <w:r w:rsidR="007E6806" w:rsidRPr="00B53F89">
        <w:t xml:space="preserve">radio broadcast </w:t>
      </w:r>
      <w:r w:rsidR="00FB1D8C" w:rsidRPr="00B53F89">
        <w:t>planning initiative</w:t>
      </w:r>
    </w:p>
    <w:p w14:paraId="634A14A5" w14:textId="4D9D2525" w:rsidR="00FB1D8C" w:rsidRPr="00B53F89" w:rsidRDefault="002F3DE3" w:rsidP="008A2164">
      <w:pPr>
        <w:keepNext/>
        <w:keepLines/>
        <w:spacing w:after="80"/>
      </w:pPr>
      <w:r w:rsidRPr="00B53F89">
        <w:t xml:space="preserve">The clearance of Band II television in Bunbury, following digital switch-over, has provided new planning options. </w:t>
      </w:r>
      <w:r w:rsidR="00351778" w:rsidRPr="00B53F89">
        <w:t>In 2019</w:t>
      </w:r>
      <w:r w:rsidR="00243870" w:rsidRPr="00B53F89">
        <w:t>–</w:t>
      </w:r>
      <w:r w:rsidR="00351778" w:rsidRPr="00B53F89">
        <w:t>20, we will</w:t>
      </w:r>
      <w:r w:rsidR="0091315D" w:rsidRPr="00B53F89">
        <w:t xml:space="preserve"> </w:t>
      </w:r>
      <w:r w:rsidR="000609CE" w:rsidRPr="00B53F89">
        <w:t>consu</w:t>
      </w:r>
      <w:r w:rsidR="007E6806" w:rsidRPr="00B53F89">
        <w:t>lt</w:t>
      </w:r>
      <w:r w:rsidR="000609CE" w:rsidRPr="00B53F89">
        <w:t xml:space="preserve"> on </w:t>
      </w:r>
      <w:r w:rsidR="007E6806" w:rsidRPr="00B53F89">
        <w:t>the potential to replan</w:t>
      </w:r>
      <w:r w:rsidR="000609CE" w:rsidRPr="00B53F89">
        <w:t xml:space="preserve"> </w:t>
      </w:r>
      <w:r w:rsidR="007E6806" w:rsidRPr="00B53F89">
        <w:t>the</w:t>
      </w:r>
      <w:r w:rsidR="000609CE" w:rsidRPr="00B53F89">
        <w:t xml:space="preserve"> Perth </w:t>
      </w:r>
      <w:r w:rsidR="007E6806" w:rsidRPr="00B53F89">
        <w:t>FM broadcast band</w:t>
      </w:r>
      <w:r w:rsidR="000609CE" w:rsidRPr="00B53F89" w:rsidDel="00DD4AA4">
        <w:t>.</w:t>
      </w:r>
    </w:p>
    <w:p w14:paraId="5115E93D" w14:textId="58F8191C" w:rsidR="00895D88" w:rsidRPr="00B53F89" w:rsidRDefault="00982F6C" w:rsidP="001D63C7">
      <w:pPr>
        <w:pStyle w:val="Heading4"/>
      </w:pPr>
      <w:r w:rsidRPr="00B53F89">
        <w:t>C</w:t>
      </w:r>
      <w:r w:rsidR="00351778" w:rsidRPr="00B53F89">
        <w:t>onsultation on the f</w:t>
      </w:r>
      <w:r w:rsidR="00895D88" w:rsidRPr="00B53F89">
        <w:t>uture delivery of radio services in Australia</w:t>
      </w:r>
    </w:p>
    <w:p w14:paraId="36DBEFCB" w14:textId="7D21A131" w:rsidR="00351778" w:rsidRPr="00B53F89" w:rsidRDefault="00351778" w:rsidP="005F18BE">
      <w:pPr>
        <w:keepNext/>
        <w:keepLines/>
      </w:pPr>
      <w:r w:rsidRPr="00B53F89">
        <w:t>Radio broadcasting faces new opportunities and challenges due to technological</w:t>
      </w:r>
      <w:r w:rsidR="002D769B" w:rsidRPr="00B53F89">
        <w:t xml:space="preserve"> evolution and changing listener preferences. </w:t>
      </w:r>
      <w:r w:rsidRPr="00B53F89">
        <w:t>As demand grows for IP</w:t>
      </w:r>
      <w:r w:rsidR="00AE63A3" w:rsidRPr="00B53F89">
        <w:t>-</w:t>
      </w:r>
      <w:r w:rsidRPr="00B53F89">
        <w:t>based services and platforms, the ACMA will need to manage available spectrum resources in an effective and efficient manner. This includes understanding the future roles of AM radio, FM radio, digital radio and radio delivered via IP in metropolitan areas</w:t>
      </w:r>
      <w:r w:rsidR="00362445" w:rsidRPr="00B53F89">
        <w:t>,</w:t>
      </w:r>
      <w:r w:rsidRPr="00B53F89">
        <w:t xml:space="preserve"> and regional and remote areas. It is timely to ask </w:t>
      </w:r>
      <w:r w:rsidR="00986663" w:rsidRPr="00B53F89">
        <w:t xml:space="preserve">radio industry participants </w:t>
      </w:r>
      <w:r w:rsidRPr="00B53F89">
        <w:t xml:space="preserve">about emerging technology, its impact on their businesses and the choices </w:t>
      </w:r>
      <w:r w:rsidR="00A37F8D" w:rsidRPr="00B53F89">
        <w:t xml:space="preserve">it </w:t>
      </w:r>
      <w:r w:rsidRPr="00B53F89">
        <w:t>create</w:t>
      </w:r>
      <w:r w:rsidR="00A37F8D" w:rsidRPr="00B53F89">
        <w:t>s</w:t>
      </w:r>
      <w:r w:rsidRPr="00B53F89">
        <w:t xml:space="preserve"> for the radio industry.</w:t>
      </w:r>
    </w:p>
    <w:p w14:paraId="2AC7E20A" w14:textId="77777777" w:rsidR="00E64CF7" w:rsidRPr="00B53F89" w:rsidRDefault="00E64CF7" w:rsidP="00223D30">
      <w:pPr>
        <w:pStyle w:val="Heading5"/>
      </w:pPr>
      <w:r w:rsidRPr="00B53F89">
        <w:t xml:space="preserve">Progress achieved </w:t>
      </w:r>
    </w:p>
    <w:p w14:paraId="0E31E26B" w14:textId="36CE79CE" w:rsidR="00E64CF7" w:rsidRPr="00B53F89" w:rsidRDefault="00E64CF7" w:rsidP="00223D30">
      <w:pPr>
        <w:pStyle w:val="ListBullet"/>
        <w:numPr>
          <w:ilvl w:val="0"/>
          <w:numId w:val="0"/>
        </w:numPr>
      </w:pPr>
      <w:r w:rsidRPr="00B53F89">
        <w:t>In April 2019 we published for consultation an issues paper, followed by an industry forum in June 2019, on the future delivery of radio services in Australia.</w:t>
      </w:r>
    </w:p>
    <w:p w14:paraId="322704A2" w14:textId="24E709CE" w:rsidR="005F07AD" w:rsidRPr="00B53F89" w:rsidRDefault="005F07AD" w:rsidP="002E3623">
      <w:pPr>
        <w:pStyle w:val="Heading5"/>
      </w:pPr>
      <w:r w:rsidRPr="00B53F89">
        <w:t xml:space="preserve">Activities planned for 2019–20 </w:t>
      </w:r>
    </w:p>
    <w:p w14:paraId="7EC18ADC" w14:textId="77777777" w:rsidR="00895D88" w:rsidRPr="00B53F89" w:rsidRDefault="00895D88" w:rsidP="002E3623">
      <w:r w:rsidRPr="00B53F89">
        <w:t>In 2019–20, we will:</w:t>
      </w:r>
    </w:p>
    <w:p w14:paraId="54C71EB3" w14:textId="3E5A5F38" w:rsidR="009E641E" w:rsidRPr="00B53F89" w:rsidRDefault="009E641E" w:rsidP="001025B8">
      <w:pPr>
        <w:pStyle w:val="ListBullet"/>
        <w:ind w:left="284" w:hanging="284"/>
      </w:pPr>
      <w:bookmarkStart w:id="281" w:name="_Hlk16256634"/>
      <w:r w:rsidRPr="00B53F89">
        <w:t>publish submissions in Q</w:t>
      </w:r>
      <w:r w:rsidR="00DB478B" w:rsidRPr="00B53F89">
        <w:t>3</w:t>
      </w:r>
      <w:r w:rsidRPr="00B53F89">
        <w:t xml:space="preserve"> 20</w:t>
      </w:r>
      <w:r w:rsidR="00DB478B" w:rsidRPr="00B53F89">
        <w:t>19</w:t>
      </w:r>
    </w:p>
    <w:p w14:paraId="1C0C0B6E" w14:textId="5D59A080" w:rsidR="009E641E" w:rsidRPr="00B53F89" w:rsidRDefault="009E641E" w:rsidP="001025B8">
      <w:pPr>
        <w:pStyle w:val="ListBullet"/>
        <w:ind w:left="284" w:hanging="284"/>
      </w:pPr>
      <w:r w:rsidRPr="00B53F89">
        <w:t>review submissions in Q</w:t>
      </w:r>
      <w:r w:rsidR="00DB478B" w:rsidRPr="00B53F89">
        <w:t>3/4</w:t>
      </w:r>
      <w:r w:rsidRPr="00B53F89">
        <w:t xml:space="preserve"> 2019</w:t>
      </w:r>
    </w:p>
    <w:p w14:paraId="678532CC" w14:textId="1CA9B599" w:rsidR="009E641E" w:rsidRPr="00B53F89" w:rsidRDefault="00176BB4" w:rsidP="001025B8">
      <w:pPr>
        <w:pStyle w:val="ListBulletLast"/>
        <w:ind w:left="284" w:hanging="284"/>
      </w:pPr>
      <w:r w:rsidRPr="00B53F89">
        <w:t xml:space="preserve">communicate our findings and </w:t>
      </w:r>
      <w:r w:rsidR="009E641E" w:rsidRPr="00B53F89">
        <w:t>report to government in Q</w:t>
      </w:r>
      <w:r w:rsidR="00DB478B" w:rsidRPr="00B53F89">
        <w:t>4</w:t>
      </w:r>
      <w:r w:rsidR="009E641E" w:rsidRPr="00B53F89">
        <w:t xml:space="preserve"> 2019</w:t>
      </w:r>
      <w:r w:rsidR="00D159D8" w:rsidRPr="00B53F89">
        <w:t>.</w:t>
      </w:r>
    </w:p>
    <w:p w14:paraId="6E804EBE" w14:textId="4216FD33" w:rsidR="003C6F8E" w:rsidRPr="00B53F89" w:rsidRDefault="00D32654" w:rsidP="00C4441C">
      <w:pPr>
        <w:keepNext/>
        <w:spacing w:before="60" w:after="0"/>
      </w:pPr>
      <w:bookmarkStart w:id="282" w:name="_Toc510104953"/>
      <w:bookmarkStart w:id="283" w:name="_Toc510105750"/>
      <w:bookmarkStart w:id="284" w:name="_Toc510795082"/>
      <w:bookmarkStart w:id="285" w:name="_Toc511716285"/>
      <w:bookmarkStart w:id="286" w:name="_Toc511719096"/>
      <w:bookmarkStart w:id="287" w:name="_Toc522794091"/>
      <w:bookmarkEnd w:id="279"/>
      <w:bookmarkEnd w:id="281"/>
      <w:r w:rsidRPr="006A2F04">
        <w:rPr>
          <w:noProof/>
        </w:rPr>
        <w:drawing>
          <wp:inline distT="0" distB="0" distL="0" distR="0" wp14:anchorId="6545CD19" wp14:editId="41DA2314">
            <wp:extent cx="341630" cy="359410"/>
            <wp:effectExtent l="0" t="0" r="1270" b="2540"/>
            <wp:docPr id="179" name="Picture 179"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31"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003C6F8E" w:rsidRPr="006A2F04">
        <w:rPr>
          <w:noProof/>
        </w:rPr>
        <w:drawing>
          <wp:inline distT="0" distB="0" distL="0" distR="0" wp14:anchorId="2615271D" wp14:editId="148A55BC">
            <wp:extent cx="342900" cy="361950"/>
            <wp:effectExtent l="0" t="0" r="0" b="0"/>
            <wp:docPr id="90" name="Picture 90"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0A4137" w:rsidRPr="006A2F04">
        <w:rPr>
          <w:noProof/>
        </w:rPr>
        <w:drawing>
          <wp:inline distT="0" distB="0" distL="0" distR="0" wp14:anchorId="2CD92082" wp14:editId="20C0F837">
            <wp:extent cx="342900" cy="361950"/>
            <wp:effectExtent l="0" t="0" r="0" b="0"/>
            <wp:docPr id="91" name="Picture 91"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0A4137" w:rsidRPr="006A2F04">
        <w:rPr>
          <w:noProof/>
        </w:rPr>
        <w:drawing>
          <wp:inline distT="0" distB="0" distL="0" distR="0" wp14:anchorId="702778D6" wp14:editId="3553A1A1">
            <wp:extent cx="342900" cy="361950"/>
            <wp:effectExtent l="0" t="0" r="0" b="0"/>
            <wp:docPr id="92" name="Picture 92"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2C06E485" w14:textId="1414B5B9" w:rsidR="003D7FAC" w:rsidRPr="00B53F89" w:rsidRDefault="00A54553" w:rsidP="001025B8">
      <w:pPr>
        <w:pStyle w:val="Heading3"/>
      </w:pPr>
      <w:bookmarkStart w:id="288" w:name="_Toc18505545"/>
      <w:r>
        <w:pict w14:anchorId="1DA93BC4">
          <v:shape id="_x0000_i1041" type="#_x0000_t75" alt="A close up of a sign&#10;&#10;Description automatically generated" style="width:18.75pt;height:11.25pt;visibility:visible;mso-wrap-style:square">
            <v:imagedata r:id="rId43" o:title="A close up of a sign&#10;&#10;Description automatically generated"/>
          </v:shape>
        </w:pict>
      </w:r>
      <w:r w:rsidR="00125C80">
        <w:t xml:space="preserve"> </w:t>
      </w:r>
      <w:r w:rsidR="003D7FAC" w:rsidRPr="00B53F89">
        <w:t xml:space="preserve">Satellite </w:t>
      </w:r>
      <w:r w:rsidR="00161584" w:rsidRPr="00B53F89">
        <w:t>planning</w:t>
      </w:r>
      <w:bookmarkEnd w:id="282"/>
      <w:bookmarkEnd w:id="283"/>
      <w:bookmarkEnd w:id="284"/>
      <w:bookmarkEnd w:id="285"/>
      <w:bookmarkEnd w:id="286"/>
      <w:bookmarkEnd w:id="287"/>
      <w:bookmarkEnd w:id="288"/>
      <w:r w:rsidR="00161584" w:rsidRPr="00B53F89">
        <w:t xml:space="preserve"> </w:t>
      </w:r>
    </w:p>
    <w:p w14:paraId="0E21F900" w14:textId="26DD2C0C" w:rsidR="00401E19" w:rsidRPr="00B53F89" w:rsidRDefault="003D7FAC" w:rsidP="000D2B61">
      <w:pPr>
        <w:spacing w:after="80"/>
      </w:pPr>
      <w:r w:rsidRPr="00B53F89">
        <w:t xml:space="preserve">The ACMA continues to engage internationally on the coordination, development and implementation of measures to enhance spectrum usage for satellite communications and space research services. </w:t>
      </w:r>
    </w:p>
    <w:p w14:paraId="45C5D7A1" w14:textId="3D06F4F7" w:rsidR="007F3368" w:rsidRPr="00B53F89" w:rsidRDefault="007F3368" w:rsidP="001D63C7">
      <w:pPr>
        <w:pStyle w:val="Heading4"/>
      </w:pPr>
      <w:r w:rsidRPr="00B53F89">
        <w:t xml:space="preserve">Progress achieved </w:t>
      </w:r>
    </w:p>
    <w:p w14:paraId="51EE230A" w14:textId="7EB1D4AA" w:rsidR="007F3368" w:rsidRPr="00B53F89" w:rsidRDefault="007F3368" w:rsidP="001025B8">
      <w:r w:rsidRPr="00B53F89">
        <w:t>In 201</w:t>
      </w:r>
      <w:r w:rsidR="001355CA" w:rsidRPr="00B53F89">
        <w:t>8</w:t>
      </w:r>
      <w:r w:rsidR="00EF0E76" w:rsidRPr="00B53F89">
        <w:t>–</w:t>
      </w:r>
      <w:r w:rsidR="006E164C" w:rsidRPr="00B53F89">
        <w:t>19</w:t>
      </w:r>
      <w:r w:rsidRPr="00B53F89">
        <w:t xml:space="preserve">, the ACMA finalised consultation on </w:t>
      </w:r>
      <w:r w:rsidR="00F22FDB" w:rsidRPr="00B53F89">
        <w:t>several</w:t>
      </w:r>
      <w:r w:rsidRPr="00B53F89">
        <w:t xml:space="preserve"> issues to support developments in satellite communications</w:t>
      </w:r>
      <w:r w:rsidR="006E164C" w:rsidRPr="00B53F89">
        <w:t xml:space="preserve"> and in September 2018 </w:t>
      </w:r>
      <w:r w:rsidR="00EC7F5D" w:rsidRPr="00B53F89">
        <w:t>varied</w:t>
      </w:r>
      <w:r w:rsidR="006E164C" w:rsidRPr="00B53F89">
        <w:t xml:space="preserve"> the</w:t>
      </w:r>
      <w:r w:rsidRPr="00B53F89">
        <w:t>:</w:t>
      </w:r>
    </w:p>
    <w:p w14:paraId="454CE216" w14:textId="7A31CEC0" w:rsidR="006E164C" w:rsidRPr="00B53F89" w:rsidRDefault="00A54553" w:rsidP="001025B8">
      <w:pPr>
        <w:pStyle w:val="ListBullet"/>
        <w:tabs>
          <w:tab w:val="clear" w:pos="-261"/>
          <w:tab w:val="num" w:pos="-260"/>
        </w:tabs>
        <w:ind w:left="284" w:hanging="284"/>
        <w:rPr>
          <w:iCs/>
        </w:rPr>
      </w:pPr>
      <w:hyperlink r:id="rId94" w:history="1">
        <w:r w:rsidR="006E164C" w:rsidRPr="00B53F89">
          <w:rPr>
            <w:rStyle w:val="Hyperlink"/>
            <w:iCs/>
          </w:rPr>
          <w:t>Radiocommunications (Communication with Space Object) Class Licence</w:t>
        </w:r>
        <w:r w:rsidR="00B45FDA" w:rsidRPr="00B53F89">
          <w:rPr>
            <w:rStyle w:val="Hyperlink"/>
            <w:iCs/>
          </w:rPr>
          <w:t xml:space="preserve"> 2015</w:t>
        </w:r>
      </w:hyperlink>
    </w:p>
    <w:p w14:paraId="3609BF26" w14:textId="72A0FD53" w:rsidR="006E164C" w:rsidRPr="00B53F89" w:rsidRDefault="00A54553" w:rsidP="001025B8">
      <w:pPr>
        <w:pStyle w:val="ListBullet"/>
        <w:tabs>
          <w:tab w:val="clear" w:pos="-261"/>
          <w:tab w:val="num" w:pos="-260"/>
        </w:tabs>
        <w:ind w:left="284" w:hanging="284"/>
        <w:rPr>
          <w:iCs/>
        </w:rPr>
      </w:pPr>
      <w:hyperlink r:id="rId95" w:history="1">
        <w:r w:rsidR="006E164C" w:rsidRPr="00B53F89">
          <w:rPr>
            <w:rStyle w:val="Hyperlink"/>
            <w:iCs/>
          </w:rPr>
          <w:t>Radiocommunications (Foreign Space Objects) Determination 2014</w:t>
        </w:r>
      </w:hyperlink>
    </w:p>
    <w:p w14:paraId="50469B59" w14:textId="322D012A" w:rsidR="00330303" w:rsidRPr="00B53F89" w:rsidRDefault="00A54553" w:rsidP="001025B8">
      <w:pPr>
        <w:pStyle w:val="ListBulletLast"/>
        <w:ind w:left="284" w:hanging="284"/>
        <w:rPr>
          <w:iCs/>
        </w:rPr>
      </w:pPr>
      <w:hyperlink r:id="rId96" w:history="1">
        <w:r w:rsidR="006E164C" w:rsidRPr="00B53F89">
          <w:rPr>
            <w:rStyle w:val="Hyperlink"/>
            <w:iCs/>
          </w:rPr>
          <w:t>Radiocommunications (Australian Space Objects) Determination 2014</w:t>
        </w:r>
      </w:hyperlink>
      <w:r w:rsidR="008643C3" w:rsidRPr="00B53F89">
        <w:rPr>
          <w:iCs/>
        </w:rPr>
        <w:t>.</w:t>
      </w:r>
    </w:p>
    <w:p w14:paraId="48AAF63D" w14:textId="6867136E" w:rsidR="000E050A" w:rsidRPr="00B53F89" w:rsidRDefault="000E050A" w:rsidP="000D2B61">
      <w:pPr>
        <w:spacing w:after="80"/>
      </w:pPr>
      <w:r w:rsidRPr="00B53F89">
        <w:t xml:space="preserve">In </w:t>
      </w:r>
      <w:r w:rsidR="00C21AD3" w:rsidRPr="00B53F89">
        <w:t xml:space="preserve">January </w:t>
      </w:r>
      <w:r w:rsidRPr="00B53F89">
        <w:t>201</w:t>
      </w:r>
      <w:r w:rsidR="00C21AD3" w:rsidRPr="00B53F89">
        <w:t>9</w:t>
      </w:r>
      <w:r w:rsidRPr="00B53F89">
        <w:t xml:space="preserve"> the ACMA consulted on frequency coordination requirements between apparatus-licensed fixed point-to-point links (in the 6 GHz </w:t>
      </w:r>
      <w:r w:rsidR="000D40F0" w:rsidRPr="00B53F89">
        <w:t>(5925</w:t>
      </w:r>
      <w:r w:rsidR="003B6D5F">
        <w:t>–</w:t>
      </w:r>
      <w:r w:rsidR="000D40F0" w:rsidRPr="00B53F89">
        <w:t xml:space="preserve">6425 MHz) </w:t>
      </w:r>
      <w:r w:rsidRPr="00B53F89">
        <w:t xml:space="preserve">and 6.7 GHz </w:t>
      </w:r>
      <w:r w:rsidR="000D40F0" w:rsidRPr="00B53F89">
        <w:t>(6425</w:t>
      </w:r>
      <w:r w:rsidR="003208A0" w:rsidRPr="00B53F89">
        <w:t>–</w:t>
      </w:r>
      <w:r w:rsidR="000D40F0" w:rsidRPr="00B53F89">
        <w:t xml:space="preserve">7110 MHz) </w:t>
      </w:r>
      <w:r w:rsidRPr="00B53F89">
        <w:t>bands) and FSS earth stations communicating with geostationary orbit satellites.</w:t>
      </w:r>
      <w:r w:rsidR="000D40F0" w:rsidRPr="00B53F89">
        <w:t xml:space="preserve"> This work was completed in August 2019 with the finalisation of new RALI MS45.</w:t>
      </w:r>
    </w:p>
    <w:p w14:paraId="2B4B7063" w14:textId="77777777" w:rsidR="000D40F0" w:rsidRPr="00B53F89" w:rsidRDefault="006E164C" w:rsidP="000D2B61">
      <w:pPr>
        <w:spacing w:after="80"/>
      </w:pPr>
      <w:r w:rsidRPr="00B53F89">
        <w:t>In December 2018</w:t>
      </w:r>
      <w:r w:rsidR="00F22FDB" w:rsidRPr="00B53F89">
        <w:t>,</w:t>
      </w:r>
      <w:r w:rsidRPr="00B53F89">
        <w:t xml:space="preserve"> the ACMA commence</w:t>
      </w:r>
      <w:r w:rsidR="00545902" w:rsidRPr="00B53F89">
        <w:t>d</w:t>
      </w:r>
      <w:r w:rsidRPr="00B53F89">
        <w:t xml:space="preserve"> consultation on an update to frequency coordination procedures for the earth station protection zones around Moree, Quirindi and Roma.</w:t>
      </w:r>
      <w:r w:rsidR="00EF6022" w:rsidRPr="00B53F89">
        <w:t xml:space="preserve"> This work </w:t>
      </w:r>
      <w:r w:rsidR="000D40F0" w:rsidRPr="00B53F89">
        <w:t xml:space="preserve">was completed in August 2019 with the finalisation of an update to RALI MS44. </w:t>
      </w:r>
    </w:p>
    <w:p w14:paraId="22A137A7" w14:textId="1C29247E" w:rsidR="007F3368" w:rsidRDefault="000D40F0" w:rsidP="00D7755E">
      <w:r w:rsidRPr="00B53F89">
        <w:t>The review of arrangements for ubiquitous</w:t>
      </w:r>
      <w:r w:rsidR="007200C5" w:rsidRPr="00B53F89">
        <w:t xml:space="preserve"> </w:t>
      </w:r>
      <w:r w:rsidR="006608EF" w:rsidRPr="00B53F89">
        <w:t xml:space="preserve">(uncoordinated) </w:t>
      </w:r>
      <w:r w:rsidRPr="00B53F89">
        <w:t>ESIMs in the FSS in those parts of the Ku</w:t>
      </w:r>
      <w:r w:rsidR="00301CA0" w:rsidRPr="00B53F89">
        <w:t xml:space="preserve"> </w:t>
      </w:r>
      <w:r w:rsidRPr="00B53F89">
        <w:t xml:space="preserve">band included in the </w:t>
      </w:r>
      <w:hyperlink r:id="rId97" w:history="1">
        <w:r w:rsidRPr="00B53F89">
          <w:rPr>
            <w:rStyle w:val="Hyperlink"/>
          </w:rPr>
          <w:t>Radiocommunications (Communication with Space Object) Class Licence 2015</w:t>
        </w:r>
      </w:hyperlink>
      <w:r w:rsidRPr="00B53F89">
        <w:t xml:space="preserve"> was completed in </w:t>
      </w:r>
      <w:r w:rsidR="001C39C8" w:rsidRPr="00B53F89">
        <w:t xml:space="preserve">July 2019. Business operating </w:t>
      </w:r>
      <w:r w:rsidR="001C39C8" w:rsidRPr="00B53F89">
        <w:lastRenderedPageBreak/>
        <w:t>procedure—Submission and processing of applications for space and space receive apparatus licences has been reviewed for clarity of requirements for Ku</w:t>
      </w:r>
      <w:r w:rsidR="00301CA0" w:rsidRPr="00B53F89">
        <w:t>-</w:t>
      </w:r>
      <w:r w:rsidR="001C39C8" w:rsidRPr="00B53F89">
        <w:t>band ESIM in the 11.7–12.75 GHz and 14–14.5 GHz bands.</w:t>
      </w:r>
    </w:p>
    <w:p w14:paraId="1DE0B9B7" w14:textId="3296A8BB" w:rsidR="009C2FFE" w:rsidRPr="00B53F89" w:rsidRDefault="009C2FFE" w:rsidP="001D63C7">
      <w:pPr>
        <w:pStyle w:val="Heading4"/>
      </w:pPr>
      <w:bookmarkStart w:id="289" w:name="_Hlk17129610"/>
      <w:r w:rsidRPr="00B53F89">
        <w:t>Activities planned for 201</w:t>
      </w:r>
      <w:r w:rsidR="00041CA4" w:rsidRPr="00B53F89">
        <w:t>9</w:t>
      </w:r>
      <w:r w:rsidR="002F10B6" w:rsidRPr="00B53F89">
        <w:t>–</w:t>
      </w:r>
      <w:r w:rsidR="00041CA4" w:rsidRPr="00B53F89">
        <w:t>20</w:t>
      </w:r>
      <w:bookmarkEnd w:id="289"/>
      <w:r w:rsidRPr="00B53F89">
        <w:t xml:space="preserve"> </w:t>
      </w:r>
    </w:p>
    <w:p w14:paraId="74589724" w14:textId="01294BD1" w:rsidR="00EC0268" w:rsidRPr="00B53F89" w:rsidRDefault="00303F02" w:rsidP="008743BE">
      <w:r w:rsidRPr="00B53F89">
        <w:t>While the ACMA intends to prioriti</w:t>
      </w:r>
      <w:r w:rsidR="003A1F35" w:rsidRPr="00B53F89">
        <w:t>se</w:t>
      </w:r>
      <w:r w:rsidRPr="00B53F89">
        <w:t xml:space="preserve"> its support for </w:t>
      </w:r>
      <w:r w:rsidR="003A1F35" w:rsidRPr="00B53F89">
        <w:t>Australia’s</w:t>
      </w:r>
      <w:r w:rsidRPr="00B53F89">
        <w:t xml:space="preserve"> international engagement activities </w:t>
      </w:r>
      <w:r w:rsidR="003A1F35" w:rsidRPr="00B53F89">
        <w:t>leading up to, and including,</w:t>
      </w:r>
      <w:r w:rsidRPr="00B53F89">
        <w:t xml:space="preserve"> WRC-19, the following </w:t>
      </w:r>
      <w:r w:rsidR="00CF7C7A" w:rsidRPr="00B53F89">
        <w:t>satellite planning activities</w:t>
      </w:r>
      <w:r w:rsidRPr="00B53F89">
        <w:t xml:space="preserve"> are envisaged for 2019</w:t>
      </w:r>
      <w:r w:rsidR="00545902" w:rsidRPr="00B53F89">
        <w:t>–</w:t>
      </w:r>
      <w:r w:rsidRPr="00B53F89">
        <w:t>20</w:t>
      </w:r>
      <w:r w:rsidR="00CF7C7A" w:rsidRPr="00B53F89">
        <w:t>.</w:t>
      </w:r>
      <w:r w:rsidR="00EC0268" w:rsidRPr="00B53F89">
        <w:t xml:space="preserve"> However, domestically, our key spectrum planning priorities over the next year</w:t>
      </w:r>
      <w:r w:rsidR="00EC0268" w:rsidRPr="00B53F89" w:rsidDel="001A3A21">
        <w:t xml:space="preserve"> </w:t>
      </w:r>
      <w:r w:rsidR="00EC0268" w:rsidRPr="00B53F89">
        <w:t>are to:</w:t>
      </w:r>
    </w:p>
    <w:p w14:paraId="05AB4036" w14:textId="77777777" w:rsidR="00EC0268" w:rsidRPr="00B53F89" w:rsidRDefault="00EC0268" w:rsidP="008743BE">
      <w:pPr>
        <w:pStyle w:val="ListBullet"/>
        <w:tabs>
          <w:tab w:val="clear" w:pos="-261"/>
          <w:tab w:val="num" w:pos="-260"/>
        </w:tabs>
        <w:ind w:left="284" w:hanging="284"/>
      </w:pPr>
      <w:r w:rsidRPr="00B53F89">
        <w:t>provide ongoing operational support for Australian-filed satellite networks</w:t>
      </w:r>
    </w:p>
    <w:p w14:paraId="15CAFC1C" w14:textId="77777777" w:rsidR="00EC0268" w:rsidRPr="00B53F89" w:rsidRDefault="00EC0268" w:rsidP="008743BE">
      <w:pPr>
        <w:pStyle w:val="ListBullet"/>
        <w:tabs>
          <w:tab w:val="clear" w:pos="-261"/>
          <w:tab w:val="num" w:pos="-260"/>
        </w:tabs>
        <w:ind w:left="284" w:hanging="284"/>
      </w:pPr>
      <w:r w:rsidRPr="00B53F89">
        <w:t>progressing work commenced in 2018–19 on:</w:t>
      </w:r>
    </w:p>
    <w:p w14:paraId="27368342" w14:textId="77777777" w:rsidR="00EC0268" w:rsidRPr="00B53F89" w:rsidRDefault="00EC0268" w:rsidP="008743BE">
      <w:pPr>
        <w:pStyle w:val="ListBullet2"/>
        <w:ind w:left="851" w:hanging="494"/>
      </w:pPr>
      <w:r w:rsidRPr="00F0187E">
        <w:t>reviewing</w:t>
      </w:r>
      <w:r w:rsidRPr="00B53F89" w:rsidDel="00205514">
        <w:t xml:space="preserve"> </w:t>
      </w:r>
      <w:r w:rsidRPr="00B53F89">
        <w:t>licensing procedures for space-based communications systems to consider whether existing procedures are commensurate</w:t>
      </w:r>
      <w:r w:rsidRPr="00B53F89" w:rsidDel="001971EA">
        <w:t xml:space="preserve"> </w:t>
      </w:r>
      <w:r w:rsidRPr="00B53F89">
        <w:t>with the risk of interference, including consideration of the status of a satellite network in the ITU satellite coordination process</w:t>
      </w:r>
    </w:p>
    <w:p w14:paraId="3D83ADA0" w14:textId="5F059C3A" w:rsidR="006608EF" w:rsidRPr="00B53F89" w:rsidRDefault="00EC0268" w:rsidP="008743BE">
      <w:pPr>
        <w:pStyle w:val="ListBullet2"/>
        <w:ind w:left="851" w:hanging="494"/>
      </w:pPr>
      <w:r w:rsidRPr="00B53F89">
        <w:t>work supporting the use of small satellites focusing on short-duration satellite missions for experimental purposes</w:t>
      </w:r>
    </w:p>
    <w:p w14:paraId="69B5FFE3" w14:textId="351D4963" w:rsidR="001D063A" w:rsidRPr="00B53F89" w:rsidRDefault="00D47117" w:rsidP="008743BE">
      <w:pPr>
        <w:pStyle w:val="ListBullet2"/>
        <w:ind w:left="851" w:hanging="494"/>
      </w:pPr>
      <w:r w:rsidRPr="00B53F89">
        <w:t>e</w:t>
      </w:r>
      <w:r w:rsidR="001D063A" w:rsidRPr="00B53F89">
        <w:t>xpansion of RALI MS 45 on frequency coordination requirements between apparatus-licensed fixed point-to-point links and FSS earth stations communicating with geostationary orbit satellites to include other frequency bands and requirements for earth station receivers.</w:t>
      </w:r>
    </w:p>
    <w:p w14:paraId="311D666A" w14:textId="77777777" w:rsidR="003D7FAC" w:rsidRPr="00B53F89" w:rsidRDefault="00016561" w:rsidP="001D63C7">
      <w:pPr>
        <w:pStyle w:val="Heading4"/>
      </w:pPr>
      <w:bookmarkStart w:id="290" w:name="_Hlk17129621"/>
      <w:r w:rsidRPr="00B53F89">
        <w:t xml:space="preserve">Spectrum arrangements for </w:t>
      </w:r>
      <w:r w:rsidR="002F10B6" w:rsidRPr="00B53F89">
        <w:t>‘</w:t>
      </w:r>
      <w:r w:rsidRPr="00B53F89">
        <w:t>small satellites</w:t>
      </w:r>
      <w:r w:rsidR="002F10B6" w:rsidRPr="00B53F89">
        <w:t>’</w:t>
      </w:r>
      <w:bookmarkEnd w:id="290"/>
    </w:p>
    <w:p w14:paraId="31E3359B" w14:textId="458A0BEA" w:rsidR="00CF7C7A" w:rsidRPr="00B53F89" w:rsidRDefault="00CF7C7A" w:rsidP="00D7755E">
      <w:r w:rsidRPr="00B53F89">
        <w:t>The ACMA is continuing the work identified in the FYSO</w:t>
      </w:r>
      <w:r w:rsidR="00545902" w:rsidRPr="00B53F89">
        <w:t xml:space="preserve"> 2018–22</w:t>
      </w:r>
      <w:r w:rsidRPr="00B53F89">
        <w:t xml:space="preserve"> in support</w:t>
      </w:r>
      <w:r w:rsidR="003A1F35" w:rsidRPr="00B53F89">
        <w:t xml:space="preserve"> of</w:t>
      </w:r>
      <w:r w:rsidRPr="00B53F89">
        <w:t xml:space="preserve"> ‘small </w:t>
      </w:r>
      <w:r w:rsidR="001062C2" w:rsidRPr="00B53F89">
        <w:t>satellites’</w:t>
      </w:r>
      <w:r w:rsidRPr="00B53F89">
        <w:t xml:space="preserve">. </w:t>
      </w:r>
    </w:p>
    <w:p w14:paraId="1433AA5D" w14:textId="0F74F93C" w:rsidR="00672016" w:rsidRPr="00B53F89" w:rsidRDefault="008C7725" w:rsidP="00D7755E">
      <w:r w:rsidRPr="00B53F89">
        <w:t xml:space="preserve">The ACMA </w:t>
      </w:r>
      <w:r w:rsidR="00C70FBF" w:rsidRPr="00B53F89">
        <w:t>will</w:t>
      </w:r>
      <w:r w:rsidR="00B971FB" w:rsidRPr="00B53F89">
        <w:t xml:space="preserve"> </w:t>
      </w:r>
      <w:r w:rsidR="00CF7C7A" w:rsidRPr="00B53F89">
        <w:t xml:space="preserve">target its work on supporting short-duration satellite missions for experimental </w:t>
      </w:r>
      <w:r w:rsidR="001062C2" w:rsidRPr="00B53F89">
        <w:t>purposes as</w:t>
      </w:r>
      <w:r w:rsidR="00CF7C7A" w:rsidRPr="00B53F89">
        <w:t xml:space="preserve"> well as seeking </w:t>
      </w:r>
      <w:r w:rsidR="004A3036" w:rsidRPr="00B53F89">
        <w:t xml:space="preserve">industry’s </w:t>
      </w:r>
      <w:r w:rsidRPr="00B53F89">
        <w:t xml:space="preserve">views </w:t>
      </w:r>
      <w:r w:rsidR="004A3036" w:rsidRPr="00B53F89">
        <w:t>on</w:t>
      </w:r>
      <w:r w:rsidRPr="00B53F89">
        <w:t xml:space="preserve"> what changes can be made to the existing spectrum management framework to support </w:t>
      </w:r>
      <w:r w:rsidR="003A1F35" w:rsidRPr="00B53F89">
        <w:t xml:space="preserve">the </w:t>
      </w:r>
      <w:r w:rsidR="00CF7C7A" w:rsidRPr="00B53F89">
        <w:t xml:space="preserve">broader </w:t>
      </w:r>
      <w:r w:rsidRPr="00B53F89">
        <w:t>needs</w:t>
      </w:r>
      <w:r w:rsidR="00CF7C7A" w:rsidRPr="00B53F89">
        <w:t xml:space="preserve"> of smallsat users</w:t>
      </w:r>
      <w:r w:rsidR="0037254E" w:rsidRPr="00B53F89">
        <w:t>,</w:t>
      </w:r>
      <w:r w:rsidRPr="00B53F89">
        <w:t xml:space="preserve"> </w:t>
      </w:r>
      <w:r w:rsidR="00B971FB" w:rsidRPr="00B53F89">
        <w:t xml:space="preserve">while ensuring a </w:t>
      </w:r>
      <w:r w:rsidR="0037254E" w:rsidRPr="00B53F89">
        <w:t xml:space="preserve">continuing, </w:t>
      </w:r>
      <w:r w:rsidR="00B971FB" w:rsidRPr="00B53F89">
        <w:t>stable regulatory environment for ‘traditional’ satellite use</w:t>
      </w:r>
      <w:r w:rsidR="0037254E" w:rsidRPr="00B53F89">
        <w:t>rs</w:t>
      </w:r>
      <w:r w:rsidR="00016561" w:rsidRPr="00B53F89">
        <w:t>.</w:t>
      </w:r>
      <w:r w:rsidR="00B971FB" w:rsidRPr="00B53F89">
        <w:t xml:space="preserve"> </w:t>
      </w:r>
    </w:p>
    <w:p w14:paraId="1D1B78BF" w14:textId="5B8F137E" w:rsidR="008C7725" w:rsidRPr="00B53F89" w:rsidRDefault="00CF7C7A" w:rsidP="00D7755E">
      <w:r w:rsidRPr="00B53F89">
        <w:t>T</w:t>
      </w:r>
      <w:r w:rsidR="008C7725" w:rsidRPr="00B53F89">
        <w:t xml:space="preserve">he ACMA </w:t>
      </w:r>
      <w:r w:rsidR="00B971FB" w:rsidRPr="00B53F89">
        <w:t xml:space="preserve">expects to </w:t>
      </w:r>
      <w:r w:rsidR="00CB4118" w:rsidRPr="00B53F89">
        <w:t>release</w:t>
      </w:r>
      <w:r w:rsidR="00CB4118" w:rsidRPr="00B53F89" w:rsidDel="008F3780">
        <w:t xml:space="preserve"> </w:t>
      </w:r>
      <w:r w:rsidR="00CB4118" w:rsidRPr="00B53F89">
        <w:t>a discussion paper by</w:t>
      </w:r>
      <w:r w:rsidR="004A3036" w:rsidRPr="00B53F89">
        <w:t xml:space="preserve"> the</w:t>
      </w:r>
      <w:r w:rsidR="00CB4118" w:rsidRPr="00B53F89">
        <w:t xml:space="preserve"> end</w:t>
      </w:r>
      <w:r w:rsidR="004A3036" w:rsidRPr="00B53F89">
        <w:t xml:space="preserve"> of</w:t>
      </w:r>
      <w:r w:rsidR="00CB4118" w:rsidRPr="00B53F89">
        <w:t xml:space="preserve"> Q</w:t>
      </w:r>
      <w:r w:rsidR="00753AFB" w:rsidRPr="00B53F89">
        <w:t>4</w:t>
      </w:r>
      <w:r w:rsidR="00CB4118" w:rsidRPr="00B53F89">
        <w:t xml:space="preserve"> 2019</w:t>
      </w:r>
      <w:r w:rsidR="008C7725" w:rsidRPr="00B53F89">
        <w:t>.</w:t>
      </w:r>
      <w:r w:rsidRPr="00B53F89">
        <w:t xml:space="preserve"> This work </w:t>
      </w:r>
      <w:r w:rsidR="004A3036" w:rsidRPr="00B53F89">
        <w:t>should</w:t>
      </w:r>
      <w:r w:rsidRPr="00B53F89">
        <w:t xml:space="preserve"> continue into 2019</w:t>
      </w:r>
      <w:r w:rsidR="00243870" w:rsidRPr="00B53F89">
        <w:t>–</w:t>
      </w:r>
      <w:r w:rsidRPr="00B53F89">
        <w:t>20 with the ACMA reviewing submissions received and developing a way forward.</w:t>
      </w:r>
    </w:p>
    <w:p w14:paraId="41F3EB63" w14:textId="77777777" w:rsidR="00B971FB" w:rsidRPr="00B53F89" w:rsidRDefault="00992750" w:rsidP="001D63C7">
      <w:pPr>
        <w:pStyle w:val="Heading4"/>
      </w:pPr>
      <w:r w:rsidRPr="00B53F89">
        <w:t>Updating regulatory arrangement</w:t>
      </w:r>
      <w:r w:rsidR="00985FA1" w:rsidRPr="00B53F89">
        <w:t>s</w:t>
      </w:r>
      <w:r w:rsidRPr="00B53F89">
        <w:t xml:space="preserve"> for space</w:t>
      </w:r>
      <w:r w:rsidR="000B35F0" w:rsidRPr="00B53F89">
        <w:t>-</w:t>
      </w:r>
      <w:r w:rsidRPr="00B53F89">
        <w:t xml:space="preserve">based communications systems </w:t>
      </w:r>
    </w:p>
    <w:p w14:paraId="5750FD06" w14:textId="77777777" w:rsidR="00483DC5" w:rsidRPr="00B53F89" w:rsidRDefault="00FB6B0A" w:rsidP="00D7755E">
      <w:r w:rsidRPr="00B53F89">
        <w:t xml:space="preserve">The ACMA will continue to monitor trends in the spectrum needs of space-based communications systems, as well as developments in emerging space-based technologies and applications. </w:t>
      </w:r>
    </w:p>
    <w:p w14:paraId="7F458360" w14:textId="3008548F" w:rsidR="00483DC5" w:rsidRPr="00B53F89" w:rsidRDefault="00C21AD3" w:rsidP="00D7755E">
      <w:bookmarkStart w:id="291" w:name="_Hlk16253799"/>
      <w:r w:rsidRPr="00B53F89">
        <w:t xml:space="preserve">The ACMA has received requests to update the </w:t>
      </w:r>
      <w:hyperlink r:id="rId98" w:history="1">
        <w:r w:rsidR="00547999" w:rsidRPr="00B53F89">
          <w:rPr>
            <w:rStyle w:val="Hyperlink"/>
            <w:iCs/>
          </w:rPr>
          <w:t>Radiocommunications (Foreign Space Objects) Determination 2014</w:t>
        </w:r>
      </w:hyperlink>
      <w:r w:rsidRPr="006A2F04">
        <w:rPr>
          <w:rStyle w:val="Hyperlink"/>
          <w:rFonts w:cs="Arial"/>
          <w:color w:val="auto"/>
          <w:szCs w:val="20"/>
          <w:u w:val="none"/>
        </w:rPr>
        <w:t xml:space="preserve"> and will consider such an update </w:t>
      </w:r>
      <w:r w:rsidR="00547999" w:rsidRPr="006A2F04">
        <w:rPr>
          <w:rStyle w:val="Hyperlink"/>
          <w:rFonts w:cs="Arial"/>
          <w:color w:val="auto"/>
          <w:szCs w:val="20"/>
          <w:u w:val="none"/>
        </w:rPr>
        <w:t xml:space="preserve">in </w:t>
      </w:r>
      <w:r w:rsidRPr="006A2F04">
        <w:rPr>
          <w:rStyle w:val="Hyperlink"/>
          <w:rFonts w:cs="Arial"/>
          <w:color w:val="auto"/>
          <w:szCs w:val="20"/>
          <w:u w:val="none"/>
        </w:rPr>
        <w:t xml:space="preserve">Q3/4 </w:t>
      </w:r>
      <w:r w:rsidR="00547999" w:rsidRPr="006A2F04">
        <w:rPr>
          <w:rStyle w:val="Hyperlink"/>
          <w:rFonts w:cs="Arial"/>
          <w:color w:val="auto"/>
          <w:szCs w:val="20"/>
          <w:u w:val="none"/>
        </w:rPr>
        <w:t xml:space="preserve">2019 </w:t>
      </w:r>
      <w:r w:rsidRPr="006A2F04">
        <w:rPr>
          <w:rStyle w:val="Hyperlink"/>
          <w:rFonts w:cs="Arial"/>
          <w:color w:val="auto"/>
          <w:szCs w:val="20"/>
          <w:u w:val="none"/>
        </w:rPr>
        <w:t>dependent on priorit</w:t>
      </w:r>
      <w:r w:rsidR="00C22313" w:rsidRPr="006A2F04">
        <w:rPr>
          <w:rStyle w:val="Hyperlink"/>
          <w:rFonts w:cs="Arial"/>
          <w:color w:val="auto"/>
          <w:szCs w:val="20"/>
          <w:u w:val="none"/>
        </w:rPr>
        <w:t>i</w:t>
      </w:r>
      <w:r w:rsidRPr="006A2F04">
        <w:rPr>
          <w:rStyle w:val="Hyperlink"/>
          <w:rFonts w:cs="Arial"/>
          <w:color w:val="auto"/>
          <w:szCs w:val="20"/>
          <w:u w:val="none"/>
        </w:rPr>
        <w:t xml:space="preserve">es and progress of other projects. </w:t>
      </w:r>
      <w:r w:rsidR="00001C6C" w:rsidRPr="006A2F04">
        <w:rPr>
          <w:rStyle w:val="Hyperlink"/>
          <w:rFonts w:cs="Arial"/>
          <w:color w:val="auto"/>
          <w:szCs w:val="20"/>
          <w:u w:val="none"/>
        </w:rPr>
        <w:t>Other than</w:t>
      </w:r>
      <w:r w:rsidRPr="006A2F04">
        <w:rPr>
          <w:rStyle w:val="Hyperlink"/>
          <w:rFonts w:cs="Arial"/>
          <w:color w:val="auto"/>
          <w:szCs w:val="20"/>
          <w:u w:val="none"/>
        </w:rPr>
        <w:t xml:space="preserve"> </w:t>
      </w:r>
      <w:r w:rsidR="001355CA" w:rsidRPr="00B53F89">
        <w:t xml:space="preserve">consideration of inclusion 10.7–11.7 GHz in the </w:t>
      </w:r>
      <w:hyperlink r:id="rId99" w:history="1">
        <w:r w:rsidR="00176275" w:rsidRPr="00B53F89">
          <w:rPr>
            <w:rStyle w:val="Hyperlink"/>
            <w:iCs/>
          </w:rPr>
          <w:t>Radiocommunications (</w:t>
        </w:r>
        <w:r w:rsidR="001355CA" w:rsidRPr="00B53F89">
          <w:rPr>
            <w:rStyle w:val="Hyperlink"/>
            <w:iCs/>
          </w:rPr>
          <w:t>Communication with Space Object</w:t>
        </w:r>
        <w:r w:rsidR="00176275" w:rsidRPr="00B53F89">
          <w:rPr>
            <w:rStyle w:val="Hyperlink"/>
            <w:iCs/>
          </w:rPr>
          <w:t>)</w:t>
        </w:r>
        <w:r w:rsidR="001355CA" w:rsidRPr="00B53F89">
          <w:rPr>
            <w:rStyle w:val="Hyperlink"/>
            <w:iCs/>
          </w:rPr>
          <w:t xml:space="preserve"> Class Licence</w:t>
        </w:r>
        <w:r w:rsidR="00176275" w:rsidRPr="00B53F89">
          <w:rPr>
            <w:rStyle w:val="Hyperlink"/>
            <w:iCs/>
          </w:rPr>
          <w:t xml:space="preserve"> 2015</w:t>
        </w:r>
      </w:hyperlink>
      <w:r w:rsidR="001355CA" w:rsidRPr="00B53F89">
        <w:t xml:space="preserve"> (see below), the ACMA is not aware of </w:t>
      </w:r>
      <w:r w:rsidR="00147F0C" w:rsidRPr="00B53F89">
        <w:t xml:space="preserve">any </w:t>
      </w:r>
      <w:r w:rsidR="001355CA" w:rsidRPr="00B53F89">
        <w:t>proposal</w:t>
      </w:r>
      <w:r w:rsidR="00147F0C" w:rsidRPr="00B53F89">
        <w:t>s</w:t>
      </w:r>
      <w:r w:rsidR="001355CA" w:rsidRPr="00B53F89">
        <w:t xml:space="preserve"> </w:t>
      </w:r>
      <w:r w:rsidR="00753AFB" w:rsidRPr="00B53F89">
        <w:t>for new satellite syste</w:t>
      </w:r>
      <w:r w:rsidR="006608EF" w:rsidRPr="00B53F89">
        <w:t>m</w:t>
      </w:r>
      <w:r w:rsidR="00753AFB" w:rsidRPr="00B53F89">
        <w:t xml:space="preserve">s in Australia </w:t>
      </w:r>
      <w:r w:rsidR="001355CA" w:rsidRPr="00B53F89">
        <w:t xml:space="preserve">that could necessitate the need for </w:t>
      </w:r>
      <w:r w:rsidR="00FB6B0A" w:rsidRPr="00B53F89">
        <w:t>updates</w:t>
      </w:r>
      <w:r w:rsidR="00147F0C" w:rsidRPr="00B53F89">
        <w:t xml:space="preserve"> to </w:t>
      </w:r>
      <w:r w:rsidR="00A641F6" w:rsidRPr="00B53F89">
        <w:t xml:space="preserve">legislative </w:t>
      </w:r>
      <w:r w:rsidR="006608EF" w:rsidRPr="00B53F89">
        <w:t>instruments related to licensing of space-based communications systems</w:t>
      </w:r>
      <w:bookmarkEnd w:id="291"/>
      <w:r w:rsidR="00483DC5" w:rsidRPr="00B53F89">
        <w:t>.</w:t>
      </w:r>
      <w:r w:rsidR="00FB6B0A" w:rsidRPr="00B53F89">
        <w:rPr>
          <w:rStyle w:val="FootnoteReference"/>
        </w:rPr>
        <w:footnoteReference w:id="29"/>
      </w:r>
      <w:r w:rsidR="00FB6B0A" w:rsidRPr="00B53F89">
        <w:t xml:space="preserve"> </w:t>
      </w:r>
    </w:p>
    <w:p w14:paraId="428D02A1" w14:textId="01A7131C" w:rsidR="00B514B8" w:rsidRPr="00B53F89" w:rsidRDefault="00FB6B0A" w:rsidP="00D7755E">
      <w:r w:rsidRPr="00B53F89">
        <w:lastRenderedPageBreak/>
        <w:t xml:space="preserve">Organisations planning new satellite communication systems and intending to use existing systems are encouraged to contact the ACMA to discuss whether such updates are required and </w:t>
      </w:r>
      <w:r w:rsidR="004A3036" w:rsidRPr="00B53F89">
        <w:t xml:space="preserve">if so, </w:t>
      </w:r>
      <w:r w:rsidRPr="00B53F89">
        <w:t>the</w:t>
      </w:r>
      <w:r w:rsidR="004A3036" w:rsidRPr="00B53F89">
        <w:t>ir</w:t>
      </w:r>
      <w:r w:rsidRPr="00B53F89">
        <w:t xml:space="preserve"> timing.</w:t>
      </w:r>
      <w:r w:rsidR="001355CA" w:rsidRPr="00B53F89">
        <w:t xml:space="preserve"> Any future work will depend on stakeholder feedback, priority relative to other projects in the ACMA’s </w:t>
      </w:r>
      <w:r w:rsidR="00151518" w:rsidRPr="00B53F89">
        <w:t xml:space="preserve">annual </w:t>
      </w:r>
      <w:r w:rsidR="001355CA" w:rsidRPr="00B53F89">
        <w:t>work program and technical viability</w:t>
      </w:r>
      <w:r w:rsidR="001C3B42" w:rsidRPr="00B53F89">
        <w:t>—</w:t>
      </w:r>
      <w:r w:rsidR="001355CA" w:rsidRPr="00B53F89">
        <w:t>for example</w:t>
      </w:r>
      <w:r w:rsidR="004A3036" w:rsidRPr="00B53F89">
        <w:t>,</w:t>
      </w:r>
      <w:r w:rsidR="001355CA" w:rsidRPr="00B53F89">
        <w:t xml:space="preserve"> consideration of </w:t>
      </w:r>
      <w:r w:rsidR="00B514B8" w:rsidRPr="00B53F89">
        <w:t xml:space="preserve">the potential impact on terrestrial services. </w:t>
      </w:r>
    </w:p>
    <w:p w14:paraId="36AAAB56" w14:textId="3EBC3793" w:rsidR="00B514B8" w:rsidRPr="00B53F89" w:rsidRDefault="001062C2" w:rsidP="00D7755E">
      <w:r w:rsidRPr="00B53F89">
        <w:t>C</w:t>
      </w:r>
      <w:r w:rsidR="00CB4118" w:rsidRPr="00B53F89">
        <w:t xml:space="preserve">onsideration of </w:t>
      </w:r>
      <w:r w:rsidRPr="00B53F89">
        <w:t xml:space="preserve">future </w:t>
      </w:r>
      <w:r w:rsidR="00E94117" w:rsidRPr="00B53F89">
        <w:t>Ka</w:t>
      </w:r>
      <w:r w:rsidR="00301CA0" w:rsidRPr="00B53F89">
        <w:t xml:space="preserve"> </w:t>
      </w:r>
      <w:r w:rsidR="00E94117" w:rsidRPr="00B53F89">
        <w:t xml:space="preserve">band </w:t>
      </w:r>
      <w:r w:rsidR="00CB4118" w:rsidRPr="00B53F89">
        <w:t>satellite usage</w:t>
      </w:r>
      <w:r w:rsidRPr="00B53F89">
        <w:t>, including expanding the frequency range support</w:t>
      </w:r>
      <w:r w:rsidR="003A1F35" w:rsidRPr="00B53F89">
        <w:t>ing</w:t>
      </w:r>
      <w:r w:rsidRPr="00B53F89">
        <w:t xml:space="preserve"> </w:t>
      </w:r>
      <w:r w:rsidR="003A1F35" w:rsidRPr="00B53F89">
        <w:t xml:space="preserve">growing </w:t>
      </w:r>
      <w:r w:rsidRPr="00B53F89">
        <w:t xml:space="preserve">ubiquitous usage, is being undertaken as part of the ACMA </w:t>
      </w:r>
      <w:r w:rsidR="00A138EE" w:rsidRPr="00B53F89">
        <w:t xml:space="preserve">review of the </w:t>
      </w:r>
      <w:r w:rsidRPr="00B53F89">
        <w:t>28 GHz</w:t>
      </w:r>
      <w:r w:rsidR="00A138EE" w:rsidRPr="00B53F89">
        <w:t xml:space="preserve"> band</w:t>
      </w:r>
      <w:r w:rsidR="00446847" w:rsidRPr="00B53F89">
        <w:t>. S</w:t>
      </w:r>
      <w:r w:rsidR="00CA2E02" w:rsidRPr="00B53F89">
        <w:t>ee above under ‘</w:t>
      </w:r>
      <w:r w:rsidR="00EB78D9" w:rsidRPr="00B53F89">
        <w:t>Preliminary</w:t>
      </w:r>
      <w:r w:rsidR="00CA2E02" w:rsidRPr="00B53F89">
        <w:t xml:space="preserve"> replanning’</w:t>
      </w:r>
      <w:r w:rsidRPr="00B53F89">
        <w:t>.</w:t>
      </w:r>
    </w:p>
    <w:p w14:paraId="4C7BDBB5" w14:textId="77777777" w:rsidR="00AF65F1" w:rsidRPr="00B53F89" w:rsidRDefault="00AF65F1" w:rsidP="001D63C7">
      <w:pPr>
        <w:pStyle w:val="Heading4"/>
      </w:pPr>
      <w:r w:rsidRPr="00B53F89">
        <w:t>General review of space licensing procedures</w:t>
      </w:r>
    </w:p>
    <w:p w14:paraId="7FCC10C6" w14:textId="42298767" w:rsidR="00483DC5" w:rsidRPr="00B53F89" w:rsidRDefault="00FB6B0A" w:rsidP="00D7755E">
      <w:pPr>
        <w:spacing w:after="80"/>
      </w:pPr>
      <w:r w:rsidRPr="00B53F89">
        <w:t xml:space="preserve">The ACMA is </w:t>
      </w:r>
      <w:r w:rsidR="00822964" w:rsidRPr="00B53F89">
        <w:t xml:space="preserve">continuing </w:t>
      </w:r>
      <w:r w:rsidR="00AC03A7" w:rsidRPr="00B53F89">
        <w:t xml:space="preserve">the </w:t>
      </w:r>
      <w:r w:rsidR="00822964" w:rsidRPr="00B53F89">
        <w:t xml:space="preserve">work </w:t>
      </w:r>
      <w:r w:rsidR="00AC03A7" w:rsidRPr="00B53F89">
        <w:t>identified in the FYSO</w:t>
      </w:r>
      <w:r w:rsidR="004A3036" w:rsidRPr="00B53F89">
        <w:t xml:space="preserve"> 2018</w:t>
      </w:r>
      <w:r w:rsidR="00243870" w:rsidRPr="00B53F89">
        <w:t>–</w:t>
      </w:r>
      <w:r w:rsidR="004A3036" w:rsidRPr="00B53F89">
        <w:t>22</w:t>
      </w:r>
      <w:r w:rsidR="00AC03A7" w:rsidRPr="00B53F89">
        <w:t xml:space="preserve"> </w:t>
      </w:r>
      <w:r w:rsidRPr="00B53F89">
        <w:t>review</w:t>
      </w:r>
      <w:r w:rsidR="00822964" w:rsidRPr="00B53F89">
        <w:t>ing its administrative assessment procedures for apparatus licensing of space</w:t>
      </w:r>
      <w:r w:rsidR="004A3036" w:rsidRPr="00B53F89">
        <w:t>-</w:t>
      </w:r>
      <w:r w:rsidR="00822964" w:rsidRPr="00B53F89">
        <w:t>based communications systems</w:t>
      </w:r>
      <w:r w:rsidRPr="00B53F89">
        <w:t xml:space="preserve">. </w:t>
      </w:r>
    </w:p>
    <w:p w14:paraId="46A883F3" w14:textId="0A175EF4" w:rsidR="00FB6B0A" w:rsidRPr="00B53F89" w:rsidRDefault="00FB6B0A" w:rsidP="008743BE">
      <w:pPr>
        <w:keepNext/>
        <w:keepLines/>
      </w:pPr>
      <w:bookmarkStart w:id="292" w:name="_Hlk16254116"/>
      <w:r w:rsidRPr="00B53F89">
        <w:t>One of the key purposes of the review is to consider whether</w:t>
      </w:r>
      <w:r w:rsidR="00063F57" w:rsidRPr="00B53F89">
        <w:t>,</w:t>
      </w:r>
      <w:r w:rsidRPr="00B53F89">
        <w:t xml:space="preserve"> in light of trends in space-based communications systems</w:t>
      </w:r>
      <w:r w:rsidR="00063F57" w:rsidRPr="00B53F89">
        <w:t>,</w:t>
      </w:r>
      <w:r w:rsidRPr="00B53F89">
        <w:t xml:space="preserve"> licensing procedures are appropriate and commensurate with the risk of interference</w:t>
      </w:r>
      <w:r w:rsidR="008D3021" w:rsidRPr="00B53F89">
        <w:t>. A second key purpose is</w:t>
      </w:r>
      <w:r w:rsidR="004A3036" w:rsidRPr="00B53F89">
        <w:t xml:space="preserve"> to</w:t>
      </w:r>
      <w:r w:rsidRPr="00B53F89">
        <w:t xml:space="preserve"> consider possible updates to business operating procedures for licensing of space-based communications systems.</w:t>
      </w:r>
      <w:r w:rsidRPr="00B53F89">
        <w:rPr>
          <w:rStyle w:val="FootnoteReference"/>
        </w:rPr>
        <w:footnoteReference w:id="30"/>
      </w:r>
      <w:r w:rsidRPr="00B53F89">
        <w:t xml:space="preserve"> </w:t>
      </w:r>
      <w:bookmarkStart w:id="293" w:name="_Hlk2679884"/>
      <w:r w:rsidRPr="00B53F89">
        <w:t xml:space="preserve">Given issues raised in </w:t>
      </w:r>
      <w:r w:rsidR="001062C2" w:rsidRPr="00B53F89">
        <w:t>previous consultations</w:t>
      </w:r>
      <w:r w:rsidRPr="00B53F89">
        <w:t>, the review</w:t>
      </w:r>
      <w:r w:rsidR="00EB229F" w:rsidRPr="00B53F89">
        <w:t xml:space="preserve"> will consider topics including</w:t>
      </w:r>
      <w:r w:rsidRPr="00B53F89">
        <w:t xml:space="preserve"> </w:t>
      </w:r>
      <w:r w:rsidR="009263D1" w:rsidRPr="00B53F89">
        <w:t>whether</w:t>
      </w:r>
      <w:r w:rsidR="000B35F0" w:rsidRPr="00B53F89">
        <w:t xml:space="preserve"> </w:t>
      </w:r>
      <w:r w:rsidRPr="00B53F89">
        <w:t>there is a need to include additional measures for:</w:t>
      </w:r>
      <w:bookmarkEnd w:id="293"/>
    </w:p>
    <w:p w14:paraId="49DAC8E9" w14:textId="30AA96F5" w:rsidR="00FB6B0A" w:rsidRPr="00B53F89" w:rsidRDefault="00FB6B0A" w:rsidP="008743BE">
      <w:pPr>
        <w:pStyle w:val="ListBullet"/>
        <w:tabs>
          <w:tab w:val="clear" w:pos="-261"/>
          <w:tab w:val="num" w:pos="-260"/>
        </w:tabs>
        <w:ind w:left="284" w:hanging="284"/>
      </w:pPr>
      <w:bookmarkStart w:id="294" w:name="_Hlk2679972"/>
      <w:bookmarkEnd w:id="292"/>
      <w:r w:rsidRPr="00B53F89">
        <w:t>when</w:t>
      </w:r>
      <w:r w:rsidRPr="00B53F89" w:rsidDel="006D64BD">
        <w:t xml:space="preserve"> </w:t>
      </w:r>
      <w:r w:rsidRPr="00B53F89">
        <w:t xml:space="preserve">the ITU satellite coordination process </w:t>
      </w:r>
      <w:r w:rsidR="009E0F86" w:rsidRPr="00B53F89">
        <w:t xml:space="preserve">is </w:t>
      </w:r>
      <w:r w:rsidRPr="00B53F89">
        <w:t>not completed</w:t>
      </w:r>
    </w:p>
    <w:p w14:paraId="695A5EFF" w14:textId="2CC99A6F" w:rsidR="00FB6B0A" w:rsidRPr="00B53F89" w:rsidRDefault="00FB6B0A" w:rsidP="008743BE">
      <w:pPr>
        <w:pStyle w:val="ListBulletLast"/>
        <w:ind w:left="284" w:hanging="284"/>
        <w:rPr>
          <w:color w:val="1F497D"/>
        </w:rPr>
      </w:pPr>
      <w:r w:rsidRPr="00B53F89">
        <w:t>where the satellite network has been recorded in the Master International Frequency Register (MIFR) in accordance with ITU Radio Regulation No. 11.</w:t>
      </w:r>
      <w:r w:rsidR="001971EA" w:rsidRPr="00B53F89">
        <w:t>41</w:t>
      </w:r>
      <w:r w:rsidR="00063F57" w:rsidRPr="00B53F89">
        <w:t>.</w:t>
      </w:r>
      <w:bookmarkEnd w:id="294"/>
    </w:p>
    <w:p w14:paraId="4AFB39FF" w14:textId="18C2AA1C" w:rsidR="00D34C68" w:rsidRPr="00B53F89" w:rsidRDefault="009E4543" w:rsidP="008713AA">
      <w:r w:rsidRPr="00B53F89">
        <w:t>A</w:t>
      </w:r>
      <w:r w:rsidR="00AC35F5" w:rsidRPr="00B53F89">
        <w:t xml:space="preserve"> </w:t>
      </w:r>
      <w:r w:rsidR="00F84899" w:rsidRPr="00B53F89">
        <w:t xml:space="preserve">consultation paper </w:t>
      </w:r>
      <w:r w:rsidRPr="00B53F89">
        <w:t xml:space="preserve">is </w:t>
      </w:r>
      <w:r w:rsidR="00AC35F5" w:rsidRPr="00B53F89">
        <w:t xml:space="preserve">expected to </w:t>
      </w:r>
      <w:r w:rsidR="00822964" w:rsidRPr="00B53F89">
        <w:t xml:space="preserve">be </w:t>
      </w:r>
      <w:r w:rsidR="00F84899" w:rsidRPr="00B53F89">
        <w:t>release</w:t>
      </w:r>
      <w:r w:rsidR="00822964" w:rsidRPr="00B53F89">
        <w:t>d</w:t>
      </w:r>
      <w:r w:rsidR="00F84899" w:rsidRPr="00B53F89">
        <w:t xml:space="preserve"> in Q</w:t>
      </w:r>
      <w:r w:rsidR="00A2616B" w:rsidRPr="00B53F89">
        <w:t>4</w:t>
      </w:r>
      <w:r w:rsidR="00F84899" w:rsidRPr="00B53F89">
        <w:t xml:space="preserve"> 2019</w:t>
      </w:r>
      <w:r w:rsidR="002D639E" w:rsidRPr="00B53F89">
        <w:t>/Q1 2020</w:t>
      </w:r>
      <w:r w:rsidR="00F84899" w:rsidRPr="00B53F89">
        <w:t>.</w:t>
      </w:r>
      <w:r w:rsidR="00A30C58" w:rsidRPr="00B53F89">
        <w:t xml:space="preserve"> The ACMA is aware </w:t>
      </w:r>
      <w:r w:rsidR="00483DC5" w:rsidRPr="00B53F89">
        <w:t>several</w:t>
      </w:r>
      <w:r w:rsidR="00A30C58" w:rsidRPr="00B53F89">
        <w:t xml:space="preserve"> stakeholders interested in this work are involved in </w:t>
      </w:r>
      <w:r w:rsidR="009E0F86" w:rsidRPr="00B53F89">
        <w:t xml:space="preserve">the </w:t>
      </w:r>
      <w:r w:rsidR="00A30C58" w:rsidRPr="00B53F89">
        <w:t>WRC-19 process and will be mindful of this in timing any follow</w:t>
      </w:r>
      <w:r w:rsidR="004A3036" w:rsidRPr="00B53F89">
        <w:t>-</w:t>
      </w:r>
      <w:r w:rsidR="00A30C58" w:rsidRPr="00B53F89">
        <w:t xml:space="preserve">up work after the release of the paper. </w:t>
      </w:r>
    </w:p>
    <w:p w14:paraId="0FA4246D" w14:textId="7DED0E8F" w:rsidR="00DB04B9" w:rsidRPr="00B53F89" w:rsidRDefault="00DB04B9" w:rsidP="001D63C7">
      <w:pPr>
        <w:pStyle w:val="Heading4"/>
      </w:pPr>
      <w:r w:rsidRPr="00B53F89">
        <w:t>Feasibility of inclusion of 10.7</w:t>
      </w:r>
      <w:r w:rsidR="00727DD8" w:rsidRPr="00B53F89">
        <w:t>–</w:t>
      </w:r>
      <w:r w:rsidRPr="00B53F89">
        <w:t xml:space="preserve">11.7 GHz in the </w:t>
      </w:r>
      <w:r w:rsidR="00176275" w:rsidRPr="00B53F89">
        <w:t xml:space="preserve">Communication </w:t>
      </w:r>
      <w:r w:rsidRPr="00B53F89">
        <w:t>with Space Object Class Licence</w:t>
      </w:r>
    </w:p>
    <w:p w14:paraId="27162B50" w14:textId="3CF31160" w:rsidR="006E113A" w:rsidRPr="00B53F89" w:rsidRDefault="00205997" w:rsidP="00D7755E">
      <w:pPr>
        <w:rPr>
          <w:iCs/>
        </w:rPr>
      </w:pPr>
      <w:r w:rsidRPr="00B53F89">
        <w:t>The ACMA is continuing the work identified in the FYSO</w:t>
      </w:r>
      <w:r w:rsidR="00FB6D20" w:rsidRPr="00B53F89">
        <w:t xml:space="preserve"> 2018–22</w:t>
      </w:r>
      <w:r w:rsidRPr="00B53F89">
        <w:t xml:space="preserve"> investigat</w:t>
      </w:r>
      <w:r w:rsidR="00FB6D20" w:rsidRPr="00B53F89">
        <w:t>ing</w:t>
      </w:r>
      <w:r w:rsidRPr="00B53F89">
        <w:t xml:space="preserve"> the feasibility of including the </w:t>
      </w:r>
      <w:r w:rsidR="00A6055C" w:rsidRPr="00B53F89">
        <w:t>11 GHz band (</w:t>
      </w:r>
      <w:r w:rsidRPr="00B53F89">
        <w:t>10.7–11.7 GHz</w:t>
      </w:r>
      <w:r w:rsidR="00A6055C" w:rsidRPr="00B53F89">
        <w:t>)</w:t>
      </w:r>
      <w:r w:rsidRPr="00B53F89">
        <w:t xml:space="preserve"> for earth station receivers in</w:t>
      </w:r>
      <w:r w:rsidR="004044E4" w:rsidRPr="00B53F89">
        <w:t xml:space="preserve"> the</w:t>
      </w:r>
      <w:r w:rsidR="006E113A" w:rsidRPr="00B53F89">
        <w:t xml:space="preserve"> </w:t>
      </w:r>
      <w:hyperlink r:id="rId100" w:history="1">
        <w:r w:rsidR="006E113A" w:rsidRPr="00B53F89">
          <w:rPr>
            <w:rStyle w:val="Hyperlink"/>
            <w:iCs/>
          </w:rPr>
          <w:t>Radiocommunications (Communication with Space Object) Class Licence</w:t>
        </w:r>
        <w:r w:rsidR="00176275" w:rsidRPr="00B53F89">
          <w:rPr>
            <w:rStyle w:val="Hyperlink"/>
            <w:iCs/>
          </w:rPr>
          <w:t xml:space="preserve"> 2015</w:t>
        </w:r>
      </w:hyperlink>
      <w:r w:rsidR="006E113A" w:rsidRPr="00B53F89">
        <w:rPr>
          <w:iCs/>
        </w:rPr>
        <w:t xml:space="preserve">. </w:t>
      </w:r>
    </w:p>
    <w:p w14:paraId="18885B01" w14:textId="17C6FFB7" w:rsidR="006E113A" w:rsidRPr="00B53F89" w:rsidRDefault="003372F6" w:rsidP="00D7755E">
      <w:r w:rsidRPr="00B53F89">
        <w:t>T</w:t>
      </w:r>
      <w:r w:rsidR="00063F57" w:rsidRPr="00B53F89">
        <w:t xml:space="preserve">he 11 GHz band </w:t>
      </w:r>
      <w:r w:rsidR="006E113A" w:rsidRPr="00B53F89">
        <w:t>is used for fixed point-to-point links and is one of the most heavily used microwave fixed point-to-point link bands in Australia</w:t>
      </w:r>
      <w:r w:rsidR="00231D4A" w:rsidRPr="00B53F89">
        <w:t>,</w:t>
      </w:r>
      <w:r w:rsidR="006E113A" w:rsidRPr="00B53F89">
        <w:t xml:space="preserve"> with over </w:t>
      </w:r>
      <w:r w:rsidR="00052E1E" w:rsidRPr="00B53F89">
        <w:t>15</w:t>
      </w:r>
      <w:r w:rsidR="00231D4A" w:rsidRPr="00B53F89">
        <w:t>,</w:t>
      </w:r>
      <w:r w:rsidR="00052E1E" w:rsidRPr="00B53F89">
        <w:t>3</w:t>
      </w:r>
      <w:r w:rsidR="006E113A" w:rsidRPr="00B53F89">
        <w:t>00 links in operation. Earth stations currently operate in this frequency range on an individual</w:t>
      </w:r>
      <w:r w:rsidRPr="00B53F89">
        <w:t>ly</w:t>
      </w:r>
      <w:r w:rsidR="006E113A" w:rsidRPr="00B53F89">
        <w:t xml:space="preserve"> coordinated basis. </w:t>
      </w:r>
    </w:p>
    <w:p w14:paraId="4217FF05" w14:textId="77777777" w:rsidR="004B3010" w:rsidRPr="00B53F89" w:rsidRDefault="006E113A" w:rsidP="00D7755E">
      <w:r w:rsidRPr="00B53F89">
        <w:t xml:space="preserve">The possible use of ‘ubiquitous’ user terminals under the class licence would require consideration of the impact on fixed links and </w:t>
      </w:r>
      <w:r w:rsidR="002460B3" w:rsidRPr="00B53F89">
        <w:t xml:space="preserve">investigation </w:t>
      </w:r>
      <w:r w:rsidRPr="00B53F89">
        <w:t>of</w:t>
      </w:r>
      <w:r w:rsidR="002460B3" w:rsidRPr="00B53F89">
        <w:t xml:space="preserve"> any required technical restrictions</w:t>
      </w:r>
      <w:r w:rsidRPr="00B53F89">
        <w:t xml:space="preserve"> </w:t>
      </w:r>
      <w:r w:rsidR="002460B3" w:rsidRPr="00B53F89">
        <w:t>on</w:t>
      </w:r>
      <w:r w:rsidRPr="00B53F89">
        <w:t xml:space="preserve"> earth station receive use. </w:t>
      </w:r>
    </w:p>
    <w:p w14:paraId="2D9F2B80" w14:textId="0ECA4226" w:rsidR="006E113A" w:rsidRPr="00B53F89" w:rsidRDefault="006E113A" w:rsidP="00D7755E">
      <w:r w:rsidRPr="00B53F89">
        <w:t xml:space="preserve">While </w:t>
      </w:r>
      <w:r w:rsidR="005540A2" w:rsidRPr="00B53F89">
        <w:t xml:space="preserve">uncoordinated </w:t>
      </w:r>
      <w:r w:rsidRPr="00B53F89">
        <w:t>earth</w:t>
      </w:r>
      <w:r w:rsidRPr="00B53F89" w:rsidDel="002B369B">
        <w:t xml:space="preserve"> </w:t>
      </w:r>
      <w:r w:rsidRPr="00B53F89">
        <w:t xml:space="preserve">station </w:t>
      </w:r>
      <w:r w:rsidR="002B369B" w:rsidRPr="00B53F89">
        <w:t xml:space="preserve">receiver </w:t>
      </w:r>
      <w:r w:rsidRPr="00B53F89">
        <w:t xml:space="preserve">use would not pose an interference risk to point-to-point links, a relevant consideration is </w:t>
      </w:r>
      <w:r w:rsidR="005540A2" w:rsidRPr="00B53F89">
        <w:t xml:space="preserve">under what conditions earth station receivers </w:t>
      </w:r>
      <w:r w:rsidR="00A138EE" w:rsidRPr="00B53F89">
        <w:t xml:space="preserve">could </w:t>
      </w:r>
      <w:r w:rsidR="005540A2" w:rsidRPr="00B53F89">
        <w:t>operate on a</w:t>
      </w:r>
      <w:r w:rsidR="00746F0C" w:rsidRPr="00B53F89">
        <w:t>n</w:t>
      </w:r>
      <w:r w:rsidR="005540A2" w:rsidRPr="00B53F89">
        <w:t xml:space="preserve"> uncoordinated basis with an acceptable probability of </w:t>
      </w:r>
      <w:r w:rsidR="005540A2" w:rsidRPr="00B53F89">
        <w:lastRenderedPageBreak/>
        <w:t>interference</w:t>
      </w:r>
      <w:r w:rsidR="00231D4A" w:rsidRPr="00B53F89">
        <w:t>, given</w:t>
      </w:r>
      <w:r w:rsidR="005540A2" w:rsidRPr="00B53F89">
        <w:t xml:space="preserve"> that the</w:t>
      </w:r>
      <w:r w:rsidR="00676443" w:rsidRPr="00B53F89">
        <w:t xml:space="preserve"> </w:t>
      </w:r>
      <w:r w:rsidR="005540A2" w:rsidRPr="00B53F89">
        <w:t xml:space="preserve">introduction </w:t>
      </w:r>
      <w:r w:rsidRPr="00B53F89">
        <w:t>of class</w:t>
      </w:r>
      <w:r w:rsidR="00231D4A" w:rsidRPr="00B53F89">
        <w:t>-</w:t>
      </w:r>
      <w:r w:rsidRPr="00B53F89">
        <w:t>licensed earth station receive</w:t>
      </w:r>
      <w:r w:rsidR="005540A2" w:rsidRPr="00B53F89">
        <w:t xml:space="preserve">rs should not lead to undue constraints </w:t>
      </w:r>
      <w:r w:rsidRPr="00B53F89">
        <w:t xml:space="preserve">on the future deployment and growth of fixed links. </w:t>
      </w:r>
    </w:p>
    <w:p w14:paraId="4E548851" w14:textId="7F04BC53" w:rsidR="00DB04B9" w:rsidRPr="00B53F89" w:rsidRDefault="00205997" w:rsidP="00D7755E">
      <w:pPr>
        <w:keepNext/>
      </w:pPr>
      <w:r w:rsidRPr="00B53F89">
        <w:t>T</w:t>
      </w:r>
      <w:r w:rsidR="00DB04B9" w:rsidRPr="00B53F89">
        <w:t xml:space="preserve">he ACMA </w:t>
      </w:r>
      <w:r w:rsidRPr="00B53F89">
        <w:t>release</w:t>
      </w:r>
      <w:r w:rsidR="00C21AD3" w:rsidRPr="00B53F89">
        <w:t>d</w:t>
      </w:r>
      <w:r w:rsidRPr="00B53F89">
        <w:t xml:space="preserve"> a </w:t>
      </w:r>
      <w:hyperlink r:id="rId101" w:history="1">
        <w:r w:rsidRPr="00B53F89">
          <w:rPr>
            <w:rStyle w:val="Hyperlink"/>
          </w:rPr>
          <w:t>discussion paper</w:t>
        </w:r>
      </w:hyperlink>
      <w:r w:rsidRPr="00B53F89">
        <w:t xml:space="preserve"> considering the technical feasibility in </w:t>
      </w:r>
      <w:r w:rsidR="00C21AD3" w:rsidRPr="00B53F89">
        <w:t xml:space="preserve">July </w:t>
      </w:r>
      <w:r w:rsidR="00DB04B9" w:rsidRPr="00B53F89">
        <w:t>2019</w:t>
      </w:r>
      <w:r w:rsidR="00DB04B9" w:rsidRPr="00B53F89" w:rsidDel="002B2F2E">
        <w:t>.</w:t>
      </w:r>
      <w:r w:rsidR="006921C5" w:rsidRPr="00B53F89">
        <w:t xml:space="preserve"> The ACMA expects to determine a way forward on this issue in Q4 2019. </w:t>
      </w:r>
    </w:p>
    <w:p w14:paraId="1BFE7BD2" w14:textId="77777777" w:rsidR="00A0073F" w:rsidRPr="00B53F89" w:rsidRDefault="00A0073F" w:rsidP="001D63C7">
      <w:pPr>
        <w:pStyle w:val="Heading4"/>
      </w:pPr>
      <w:r w:rsidRPr="00B53F89">
        <w:t xml:space="preserve">Filing and coordination of Australian satellite systems. </w:t>
      </w:r>
    </w:p>
    <w:p w14:paraId="0CE0EC74" w14:textId="77777777" w:rsidR="00A0073F" w:rsidRPr="00B53F89" w:rsidRDefault="00A0073F" w:rsidP="008743BE">
      <w:pPr>
        <w:keepNext/>
        <w:rPr>
          <w:rFonts w:cs="Arial"/>
          <w:szCs w:val="20"/>
        </w:rPr>
      </w:pPr>
      <w:r w:rsidRPr="00B53F89">
        <w:t xml:space="preserve">In accordance with the </w:t>
      </w:r>
      <w:hyperlink r:id="rId102" w:tgtFrame="_top" w:history="1">
        <w:r w:rsidRPr="00B53F89">
          <w:rPr>
            <w:rStyle w:val="Hyperlink"/>
          </w:rPr>
          <w:t>Australian procedures for the coordination and notification of satellite systems</w:t>
        </w:r>
      </w:hyperlink>
      <w:r w:rsidR="00A312EF" w:rsidRPr="00B53F89">
        <w:rPr>
          <w:rStyle w:val="Hyperlink"/>
          <w:color w:val="auto"/>
          <w:u w:val="none"/>
        </w:rPr>
        <w:t>,</w:t>
      </w:r>
      <w:r w:rsidRPr="00B53F89">
        <w:t xml:space="preserve"> the ACMA has an ongoing role in the filing and coordination of </w:t>
      </w:r>
      <w:r w:rsidRPr="00B53F89">
        <w:rPr>
          <w:rFonts w:cs="Arial"/>
          <w:szCs w:val="20"/>
        </w:rPr>
        <w:t>Australian satellite systems with the ITU. This includes:</w:t>
      </w:r>
    </w:p>
    <w:p w14:paraId="2BDBC45B" w14:textId="77777777" w:rsidR="00A0073F" w:rsidRPr="00B53F89" w:rsidRDefault="00A0073F" w:rsidP="008743BE">
      <w:pPr>
        <w:pStyle w:val="ListBullet"/>
        <w:tabs>
          <w:tab w:val="clear" w:pos="-261"/>
          <w:tab w:val="num" w:pos="-260"/>
        </w:tabs>
        <w:ind w:left="284" w:hanging="284"/>
      </w:pPr>
      <w:r w:rsidRPr="00B53F89">
        <w:t>assisting Australian satellite operators with ongoing satellite coordination negotiations with other administrations</w:t>
      </w:r>
    </w:p>
    <w:p w14:paraId="2908A2F6" w14:textId="77777777" w:rsidR="00A0073F" w:rsidRPr="00B53F89" w:rsidRDefault="00A0073F" w:rsidP="008743BE">
      <w:pPr>
        <w:pStyle w:val="ListBullet"/>
        <w:tabs>
          <w:tab w:val="clear" w:pos="-261"/>
          <w:tab w:val="num" w:pos="-260"/>
        </w:tabs>
        <w:ind w:left="284" w:hanging="284"/>
      </w:pPr>
      <w:r w:rsidRPr="00B53F89">
        <w:t>assessment of new notices related to progress of existing Australian satellite networks</w:t>
      </w:r>
    </w:p>
    <w:p w14:paraId="4B609148" w14:textId="77777777" w:rsidR="00A0073F" w:rsidRPr="00B53F89" w:rsidRDefault="00A0073F" w:rsidP="008743BE">
      <w:pPr>
        <w:pStyle w:val="ListBullet"/>
        <w:tabs>
          <w:tab w:val="clear" w:pos="-261"/>
          <w:tab w:val="num" w:pos="-260"/>
        </w:tabs>
        <w:ind w:left="284" w:hanging="284"/>
      </w:pPr>
      <w:r w:rsidRPr="00B53F89">
        <w:t>filing of new Australian satellite networks</w:t>
      </w:r>
    </w:p>
    <w:p w14:paraId="52B24FCC" w14:textId="77777777" w:rsidR="00A0073F" w:rsidRPr="00B53F89" w:rsidRDefault="00A0073F" w:rsidP="008743BE">
      <w:pPr>
        <w:pStyle w:val="ListBulletLast"/>
        <w:ind w:left="284" w:hanging="284"/>
      </w:pPr>
      <w:r w:rsidRPr="00B53F89">
        <w:t xml:space="preserve">supporting international administration-level satellite coordination meetings with other </w:t>
      </w:r>
      <w:r w:rsidR="00A312EF" w:rsidRPr="00B53F89">
        <w:t>a</w:t>
      </w:r>
      <w:r w:rsidRPr="00B53F89">
        <w:t>dministrations</w:t>
      </w:r>
      <w:r w:rsidR="00A312EF" w:rsidRPr="00B53F89">
        <w:t>.</w:t>
      </w:r>
    </w:p>
    <w:p w14:paraId="1DAC1A61" w14:textId="13A3820A" w:rsidR="00AF65F1" w:rsidRPr="00B53F89" w:rsidRDefault="00D34C68" w:rsidP="001D63C7">
      <w:pPr>
        <w:pStyle w:val="Heading4"/>
      </w:pPr>
      <w:r w:rsidRPr="00B53F89">
        <w:t>Updating procedures for submission of Australian satellite networks to the ITU</w:t>
      </w:r>
    </w:p>
    <w:p w14:paraId="6E7CC9D6" w14:textId="4999BF33" w:rsidR="00AF65F1" w:rsidRPr="00B53F89" w:rsidRDefault="00AF65F1" w:rsidP="00D7755E">
      <w:r w:rsidRPr="00B53F89">
        <w:t xml:space="preserve">Australian procedures for the coordination and notification of satellite systems with the ITU were developed in 2012. </w:t>
      </w:r>
      <w:r w:rsidR="0076382A" w:rsidRPr="00B53F89">
        <w:t>Outcomes of WRC-19 might result in the need for possible updates</w:t>
      </w:r>
      <w:r w:rsidR="00194846" w:rsidRPr="00B53F89">
        <w:t xml:space="preserve"> to those procedures</w:t>
      </w:r>
      <w:r w:rsidR="0076382A" w:rsidRPr="00B53F89">
        <w:t xml:space="preserve">. </w:t>
      </w:r>
      <w:r w:rsidRPr="00B53F89">
        <w:t xml:space="preserve">The ACMA will consider </w:t>
      </w:r>
      <w:r w:rsidR="000C70F6" w:rsidRPr="00B53F89">
        <w:t xml:space="preserve">the </w:t>
      </w:r>
      <w:r w:rsidRPr="00B53F89">
        <w:t>need for possible updates, drawing on experience in the application of the procedures and input from the Australian satellite operators.</w:t>
      </w:r>
    </w:p>
    <w:p w14:paraId="44580556" w14:textId="02C0719C" w:rsidR="00AF65F1" w:rsidRPr="00B53F89" w:rsidRDefault="00147F0C" w:rsidP="00D7755E">
      <w:r w:rsidRPr="00B53F89">
        <w:t xml:space="preserve">Any future </w:t>
      </w:r>
      <w:r w:rsidR="00AF65F1" w:rsidRPr="00B53F89">
        <w:t xml:space="preserve">update will consider whether </w:t>
      </w:r>
      <w:r w:rsidR="00A312EF" w:rsidRPr="00B53F89">
        <w:t xml:space="preserve">providing </w:t>
      </w:r>
      <w:r w:rsidR="00AF65F1" w:rsidRPr="00B53F89">
        <w:t>better support</w:t>
      </w:r>
      <w:r w:rsidR="00A312EF" w:rsidRPr="00B53F89">
        <w:t xml:space="preserve"> to</w:t>
      </w:r>
      <w:r w:rsidR="00AF65F1" w:rsidRPr="00B53F89">
        <w:t xml:space="preserve"> innovations such as the deployment of low-cost, miniaturised space hardware (often referred to as nanosats, cubesats or smallsats), changes in ITU requirements and general improvements,</w:t>
      </w:r>
      <w:r w:rsidR="00A312EF" w:rsidRPr="00B53F89">
        <w:t xml:space="preserve"> is required.</w:t>
      </w:r>
    </w:p>
    <w:p w14:paraId="7FD191F9" w14:textId="0D43C9A2" w:rsidR="00AF65F1" w:rsidRPr="00B53F89" w:rsidRDefault="00B4490D" w:rsidP="0062732F">
      <w:bookmarkStart w:id="295" w:name="_Hlk16254282"/>
      <w:r w:rsidRPr="00B53F89">
        <w:t>T</w:t>
      </w:r>
      <w:r w:rsidR="002F450E" w:rsidRPr="00B53F89">
        <w:t>he</w:t>
      </w:r>
      <w:r w:rsidR="002F450E" w:rsidRPr="00B53F89" w:rsidDel="00483DC5">
        <w:t xml:space="preserve"> </w:t>
      </w:r>
      <w:r w:rsidR="00147F0C" w:rsidRPr="00B53F89">
        <w:t>ACMA will not consider this matter until after WRC-19</w:t>
      </w:r>
      <w:r w:rsidR="00AF65F1" w:rsidRPr="00B53F89">
        <w:t>.</w:t>
      </w:r>
      <w:r w:rsidR="00E94117" w:rsidRPr="00B53F89">
        <w:t xml:space="preserve"> </w:t>
      </w:r>
      <w:r w:rsidR="002F450E" w:rsidRPr="00B53F89">
        <w:t>A caveat is that i</w:t>
      </w:r>
      <w:r w:rsidR="00E94117" w:rsidRPr="00B53F89">
        <w:t xml:space="preserve">t </w:t>
      </w:r>
      <w:r w:rsidR="00E94117" w:rsidRPr="00B53F89" w:rsidDel="0097320E">
        <w:t xml:space="preserve">is </w:t>
      </w:r>
      <w:r w:rsidR="00E94117" w:rsidRPr="00B53F89">
        <w:t xml:space="preserve">possible that work on spectrum for small satellites could result in </w:t>
      </w:r>
      <w:r w:rsidR="00147F0C" w:rsidRPr="00B53F89">
        <w:t xml:space="preserve">the need for </w:t>
      </w:r>
      <w:r w:rsidR="00E94117" w:rsidRPr="00B53F89">
        <w:t>an earlier update.</w:t>
      </w:r>
    </w:p>
    <w:p w14:paraId="33259D72" w14:textId="27E49F62" w:rsidR="00770CB1" w:rsidRPr="00B53F89" w:rsidRDefault="00770CB1" w:rsidP="00C4441C">
      <w:pPr>
        <w:keepNext/>
        <w:spacing w:before="60" w:after="0"/>
      </w:pPr>
      <w:bookmarkStart w:id="296" w:name="_Toc510795083"/>
      <w:bookmarkStart w:id="297" w:name="_Toc511716286"/>
      <w:bookmarkStart w:id="298" w:name="_Toc511719097"/>
      <w:bookmarkStart w:id="299" w:name="_Toc522794092"/>
      <w:bookmarkEnd w:id="295"/>
      <w:r w:rsidRPr="006A2F04">
        <w:rPr>
          <w:noProof/>
        </w:rPr>
        <w:drawing>
          <wp:inline distT="0" distB="0" distL="0" distR="0" wp14:anchorId="08C32FD2" wp14:editId="430E4E20">
            <wp:extent cx="342900" cy="361950"/>
            <wp:effectExtent l="0" t="0" r="0" b="0"/>
            <wp:docPr id="93" name="Picture 93"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25DA0694" w14:textId="73B9B948" w:rsidR="00B830D0" w:rsidRPr="00B53F89" w:rsidRDefault="00B830D0" w:rsidP="00D7755E">
      <w:pPr>
        <w:pStyle w:val="Heading3"/>
      </w:pPr>
      <w:bookmarkStart w:id="300" w:name="_Toc18505546"/>
      <w:r w:rsidRPr="00B53F89">
        <w:t>Low interference potential devices</w:t>
      </w:r>
      <w:bookmarkEnd w:id="296"/>
      <w:bookmarkEnd w:id="297"/>
      <w:bookmarkEnd w:id="298"/>
      <w:bookmarkEnd w:id="299"/>
      <w:bookmarkEnd w:id="300"/>
    </w:p>
    <w:p w14:paraId="7BDBA217" w14:textId="3705E62F" w:rsidR="00C568CD" w:rsidRPr="00B53F89" w:rsidRDefault="00A312EF" w:rsidP="00DE694D">
      <w:pPr>
        <w:spacing w:after="80"/>
        <w:rPr>
          <w:rFonts w:cs="Arial"/>
        </w:rPr>
      </w:pPr>
      <w:r w:rsidRPr="00B53F89">
        <w:t>In</w:t>
      </w:r>
      <w:r w:rsidR="00B830D0" w:rsidRPr="00B53F89">
        <w:t xml:space="preserve"> </w:t>
      </w:r>
      <w:r w:rsidR="00E301E2" w:rsidRPr="00B53F89">
        <w:t xml:space="preserve">December </w:t>
      </w:r>
      <w:r w:rsidR="00B830D0" w:rsidRPr="00B53F89">
        <w:t>201</w:t>
      </w:r>
      <w:r w:rsidR="00E301E2" w:rsidRPr="00B53F89">
        <w:t>8</w:t>
      </w:r>
      <w:r w:rsidRPr="00B53F89">
        <w:t>,</w:t>
      </w:r>
      <w:r w:rsidR="00B830D0" w:rsidRPr="00B53F89">
        <w:t xml:space="preserve"> the ACMA </w:t>
      </w:r>
      <w:r w:rsidR="00F11130" w:rsidRPr="00B53F89">
        <w:t xml:space="preserve">commenced consultation </w:t>
      </w:r>
      <w:r w:rsidR="00B830D0" w:rsidRPr="00B53F89">
        <w:t>on proposed update</w:t>
      </w:r>
      <w:r w:rsidR="00C33CDD" w:rsidRPr="00B53F89">
        <w:t>s</w:t>
      </w:r>
      <w:r w:rsidR="00B830D0" w:rsidRPr="00B53F89">
        <w:t xml:space="preserve"> to the </w:t>
      </w:r>
      <w:r w:rsidR="00A56FF3" w:rsidRPr="00B53F89">
        <w:t>LIPD class licence</w:t>
      </w:r>
      <w:r w:rsidR="00B830D0" w:rsidRPr="00B53F89">
        <w:t>.</w:t>
      </w:r>
      <w:r w:rsidR="00C568CD" w:rsidRPr="00B53F89">
        <w:t xml:space="preserve"> The proposed updates considered</w:t>
      </w:r>
      <w:r w:rsidR="00C568CD" w:rsidRPr="00B53F89">
        <w:rPr>
          <w:rFonts w:cs="Arial"/>
        </w:rPr>
        <w:t>:</w:t>
      </w:r>
    </w:p>
    <w:p w14:paraId="33E637E1" w14:textId="0F9A8950" w:rsidR="00C568CD" w:rsidRPr="00B53F89" w:rsidRDefault="00714BBD" w:rsidP="00663A93">
      <w:pPr>
        <w:pStyle w:val="ListBullet"/>
        <w:ind w:left="284" w:hanging="284"/>
      </w:pPr>
      <w:r w:rsidRPr="00B53F89">
        <w:t>u</w:t>
      </w:r>
      <w:r w:rsidR="00C568CD" w:rsidRPr="00B53F89">
        <w:t>pdating and expanding existing 60 GHz arrangements (57</w:t>
      </w:r>
      <w:r w:rsidRPr="00B53F89">
        <w:t>–</w:t>
      </w:r>
      <w:r w:rsidR="00C568CD" w:rsidRPr="00B53F89">
        <w:t>66 GHz) for data communication systems, including 5G. Specifically:</w:t>
      </w:r>
    </w:p>
    <w:p w14:paraId="24338789" w14:textId="018E4AD3" w:rsidR="00C568CD" w:rsidRPr="00B53F89" w:rsidRDefault="00714BBD" w:rsidP="00663A93">
      <w:pPr>
        <w:pStyle w:val="ListBullet2"/>
        <w:ind w:left="851" w:hanging="494"/>
      </w:pPr>
      <w:r w:rsidRPr="00B53F89">
        <w:t>a</w:t>
      </w:r>
      <w:r w:rsidR="00C568CD" w:rsidRPr="00B53F89">
        <w:t>dding 66–71 GHz</w:t>
      </w:r>
    </w:p>
    <w:p w14:paraId="2E8428E3" w14:textId="2A63AFF0" w:rsidR="00C568CD" w:rsidRPr="00B53F89" w:rsidRDefault="00714BBD" w:rsidP="00663A93">
      <w:pPr>
        <w:pStyle w:val="ListBullet2"/>
        <w:ind w:left="851" w:hanging="494"/>
      </w:pPr>
      <w:r w:rsidRPr="00B53F89">
        <w:t>u</w:t>
      </w:r>
      <w:r w:rsidR="00C568CD" w:rsidRPr="00B53F89">
        <w:t>pdating existing arrangements in 57–66 GHz regarding indoor and outdoor data communications systems</w:t>
      </w:r>
    </w:p>
    <w:p w14:paraId="73596451" w14:textId="785C699E" w:rsidR="00C568CD" w:rsidRPr="00B53F89" w:rsidRDefault="008E6685" w:rsidP="00663A93">
      <w:pPr>
        <w:pStyle w:val="ListBullet2"/>
        <w:ind w:left="851" w:hanging="494"/>
      </w:pPr>
      <w:r w:rsidRPr="00A12C5B">
        <w:t>a</w:t>
      </w:r>
      <w:r w:rsidR="00C568CD" w:rsidRPr="00A12C5B">
        <w:t>dding</w:t>
      </w:r>
      <w:r w:rsidR="00C568CD" w:rsidRPr="00B53F89">
        <w:t xml:space="preserve"> new arrangements for ‘</w:t>
      </w:r>
      <w:r w:rsidR="00446847" w:rsidRPr="00B53F89">
        <w:t>a</w:t>
      </w:r>
      <w:r w:rsidR="00C568CD" w:rsidRPr="00B53F89">
        <w:t>ll transmitters’ in 57–64 GHz</w:t>
      </w:r>
    </w:p>
    <w:p w14:paraId="476A76CE" w14:textId="485389B5" w:rsidR="00C568CD" w:rsidRPr="00B53F89" w:rsidRDefault="00714BBD" w:rsidP="00663A93">
      <w:pPr>
        <w:pStyle w:val="ListBullet2"/>
        <w:ind w:left="851" w:hanging="494"/>
      </w:pPr>
      <w:r w:rsidRPr="00B53F89">
        <w:t>r</w:t>
      </w:r>
      <w:r w:rsidR="00C568CD" w:rsidRPr="00B53F89">
        <w:t>evising arrangements for underground transmitters in certain bands supporting fixed and mobile services between 70–520 MHz</w:t>
      </w:r>
    </w:p>
    <w:p w14:paraId="5A5C8E95" w14:textId="0C4CDCB8" w:rsidR="00C568CD" w:rsidRPr="00B53F89" w:rsidRDefault="00714BBD" w:rsidP="00663A93">
      <w:pPr>
        <w:pStyle w:val="ListBullet2"/>
        <w:ind w:left="851" w:hanging="494"/>
      </w:pPr>
      <w:r w:rsidRPr="00B53F89">
        <w:t>a</w:t>
      </w:r>
      <w:r w:rsidR="00C568CD" w:rsidRPr="00B53F89">
        <w:t>dding support for higher power radiodetermination transmitters</w:t>
      </w:r>
      <w:r w:rsidR="000E208F" w:rsidRPr="00B53F89">
        <w:t>, that is,</w:t>
      </w:r>
      <w:r w:rsidR="00C568CD" w:rsidRPr="00B53F89">
        <w:t xml:space="preserve"> radars (76–77</w:t>
      </w:r>
      <w:r w:rsidR="00463A65" w:rsidRPr="00B53F89">
        <w:t> </w:t>
      </w:r>
      <w:r w:rsidR="00C568CD" w:rsidRPr="00B53F89">
        <w:t>GHz)</w:t>
      </w:r>
    </w:p>
    <w:p w14:paraId="2BD6CA7D" w14:textId="57B185A3" w:rsidR="00C568CD" w:rsidRPr="00B53F89" w:rsidRDefault="00714BBD" w:rsidP="00663A93">
      <w:pPr>
        <w:pStyle w:val="ListBullet2"/>
        <w:ind w:left="851" w:hanging="494"/>
      </w:pPr>
      <w:r w:rsidRPr="00B53F89">
        <w:t>a</w:t>
      </w:r>
      <w:r w:rsidR="00C568CD" w:rsidRPr="00B53F89">
        <w:t>dding support for ground and wall penetration radar as an adjunct to current apparatus licence arrangements (30–12400 MHz)</w:t>
      </w:r>
    </w:p>
    <w:p w14:paraId="39E5ABB3" w14:textId="5060A816" w:rsidR="00C568CD" w:rsidRPr="00B53F89" w:rsidRDefault="00714BBD" w:rsidP="00663A93">
      <w:pPr>
        <w:pStyle w:val="ListBullet2"/>
        <w:ind w:left="851" w:hanging="494"/>
      </w:pPr>
      <w:r w:rsidRPr="00B53F89">
        <w:lastRenderedPageBreak/>
        <w:t>a</w:t>
      </w:r>
      <w:r w:rsidR="00C568CD" w:rsidRPr="00B53F89">
        <w:t>ligning existing arrangements for ultra-wideband devices with US and European arrangements for generic (indoor and handheld) devices (3100–3400 MHz and 8500–9000 MHz) and aircraft applications (6000–8500 MHz).</w:t>
      </w:r>
    </w:p>
    <w:p w14:paraId="4F1A744B" w14:textId="77777777" w:rsidR="00AC2377" w:rsidRPr="00B53F89" w:rsidRDefault="00AC2377" w:rsidP="001D63C7">
      <w:pPr>
        <w:pStyle w:val="Heading4"/>
      </w:pPr>
      <w:r w:rsidRPr="00B53F89">
        <w:t xml:space="preserve">Progress achieved </w:t>
      </w:r>
    </w:p>
    <w:p w14:paraId="44EC53D0" w14:textId="1ED9E9DA" w:rsidR="00B830D0" w:rsidRPr="00B53F89" w:rsidRDefault="00A5541A" w:rsidP="00DE694D">
      <w:pPr>
        <w:keepNext/>
        <w:keepLines/>
      </w:pPr>
      <w:r w:rsidRPr="00B53F89">
        <w:t>T</w:t>
      </w:r>
      <w:r w:rsidR="00C568CD" w:rsidRPr="00B53F89">
        <w:t xml:space="preserve">he ACMA </w:t>
      </w:r>
      <w:r w:rsidR="00213B58" w:rsidRPr="00B53F89">
        <w:t xml:space="preserve">has concluded this review </w:t>
      </w:r>
      <w:r w:rsidR="000544B1" w:rsidRPr="00B53F89">
        <w:t>and varied the</w:t>
      </w:r>
      <w:r w:rsidR="00213B58" w:rsidRPr="00B53F89">
        <w:t xml:space="preserve"> LIPD </w:t>
      </w:r>
      <w:r w:rsidR="000544B1" w:rsidRPr="00B53F89">
        <w:t xml:space="preserve">class licence </w:t>
      </w:r>
      <w:r w:rsidR="00213B58" w:rsidRPr="00B53F89">
        <w:t>in August 2019</w:t>
      </w:r>
      <w:r w:rsidR="00B830D0" w:rsidRPr="00B53F89">
        <w:t>.</w:t>
      </w:r>
    </w:p>
    <w:p w14:paraId="395821FD" w14:textId="15FE87A6" w:rsidR="00B830D0" w:rsidRPr="00B53F89" w:rsidRDefault="00B830D0" w:rsidP="001D63C7">
      <w:pPr>
        <w:pStyle w:val="Heading4"/>
      </w:pPr>
      <w:r w:rsidRPr="00B53F89">
        <w:t xml:space="preserve">Activities planned for </w:t>
      </w:r>
      <w:r w:rsidR="00041CA4" w:rsidRPr="00B53F89">
        <w:t>2019</w:t>
      </w:r>
      <w:r w:rsidR="00727DD8" w:rsidRPr="00B53F89">
        <w:t>–</w:t>
      </w:r>
      <w:r w:rsidR="00041CA4" w:rsidRPr="00B53F89">
        <w:t>20</w:t>
      </w:r>
      <w:r w:rsidRPr="00B53F89">
        <w:t xml:space="preserve"> </w:t>
      </w:r>
    </w:p>
    <w:p w14:paraId="1A5DDA4A" w14:textId="7096864C" w:rsidR="00C568CD" w:rsidRPr="00B53F89" w:rsidRDefault="00C568CD">
      <w:bookmarkStart w:id="301" w:name="_Hlk3357645"/>
      <w:r w:rsidRPr="00B53F89">
        <w:rPr>
          <w:rFonts w:cs="Arial"/>
          <w:szCs w:val="20"/>
        </w:rPr>
        <w:t xml:space="preserve">Organisations interested in </w:t>
      </w:r>
      <w:r w:rsidR="00A5541A" w:rsidRPr="00B53F89">
        <w:rPr>
          <w:rFonts w:cs="Arial"/>
          <w:szCs w:val="20"/>
        </w:rPr>
        <w:t xml:space="preserve">any </w:t>
      </w:r>
      <w:r w:rsidRPr="00B53F89">
        <w:rPr>
          <w:rFonts w:cs="Arial"/>
          <w:szCs w:val="20"/>
        </w:rPr>
        <w:t>further updates to the LIPD class licence should contact the ACMA to discuss the requirements and timing of such updates.</w:t>
      </w:r>
      <w:bookmarkEnd w:id="301"/>
    </w:p>
    <w:p w14:paraId="361E799D" w14:textId="1DBAAED2" w:rsidR="00770CB1" w:rsidRPr="00B53F89" w:rsidRDefault="00770CB1" w:rsidP="00C4441C">
      <w:pPr>
        <w:keepNext/>
        <w:spacing w:before="60" w:after="0"/>
      </w:pPr>
      <w:bookmarkStart w:id="302" w:name="_Toc510795084"/>
      <w:bookmarkStart w:id="303" w:name="_Toc511716287"/>
      <w:bookmarkStart w:id="304" w:name="_Toc511719098"/>
      <w:bookmarkStart w:id="305" w:name="_Toc522794093"/>
      <w:r w:rsidRPr="006A2F04">
        <w:rPr>
          <w:noProof/>
        </w:rPr>
        <w:drawing>
          <wp:inline distT="0" distB="0" distL="0" distR="0" wp14:anchorId="1DD163A4" wp14:editId="04E84AA5">
            <wp:extent cx="342900" cy="361950"/>
            <wp:effectExtent l="0" t="0" r="0" b="0"/>
            <wp:docPr id="94" name="Picture 94" descr="Amateur radio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Amateur radio icon"/>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660B5404" w14:textId="245398ED" w:rsidR="00A91C26" w:rsidRPr="00B53F89" w:rsidRDefault="00B830D0">
      <w:pPr>
        <w:pStyle w:val="Heading3"/>
        <w:keepLines/>
      </w:pPr>
      <w:bookmarkStart w:id="306" w:name="_Toc18505547"/>
      <w:r w:rsidRPr="00B53F89" w:rsidDel="007E55F4">
        <w:t>Amateur radio</w:t>
      </w:r>
      <w:bookmarkEnd w:id="302"/>
      <w:bookmarkEnd w:id="303"/>
      <w:bookmarkEnd w:id="304"/>
      <w:bookmarkEnd w:id="305"/>
      <w:bookmarkEnd w:id="306"/>
    </w:p>
    <w:p w14:paraId="7A4D37C2" w14:textId="7BBC3E4E" w:rsidR="00431E8B" w:rsidRPr="00B53F89" w:rsidRDefault="001D3F8B">
      <w:r w:rsidRPr="00B53F89">
        <w:t xml:space="preserve">WRC-15 introduced a secondary allocation </w:t>
      </w:r>
      <w:r w:rsidR="00E20EBC" w:rsidRPr="00B53F89">
        <w:t xml:space="preserve">for </w:t>
      </w:r>
      <w:r w:rsidRPr="00B53F89">
        <w:t>the amateur service in the frequency band 5351.5–5366.5 kHz with a maximum radiated power of 15 W (</w:t>
      </w:r>
      <w:r w:rsidR="004C506A" w:rsidRPr="00B53F89">
        <w:t>EIRP</w:t>
      </w:r>
      <w:r w:rsidRPr="00B53F89">
        <w:t>)</w:t>
      </w:r>
      <w:r w:rsidR="00E20EBC" w:rsidRPr="00B53F89">
        <w:rPr>
          <w:rStyle w:val="FootnoteReference"/>
          <w:b/>
        </w:rPr>
        <w:footnoteReference w:id="31"/>
      </w:r>
      <w:r w:rsidRPr="00B53F89">
        <w:t xml:space="preserve">. </w:t>
      </w:r>
      <w:r w:rsidR="00E20EBC" w:rsidRPr="00B53F89">
        <w:t>While the spectrum allocation is in</w:t>
      </w:r>
      <w:r w:rsidR="002F450E" w:rsidRPr="00B53F89">
        <w:t>cluded</w:t>
      </w:r>
      <w:r w:rsidR="008E6685" w:rsidRPr="00B53F89">
        <w:t xml:space="preserve"> in</w:t>
      </w:r>
      <w:r w:rsidR="002F450E" w:rsidRPr="00B53F89">
        <w:t xml:space="preserve"> </w:t>
      </w:r>
      <w:r w:rsidR="00E20EBC" w:rsidRPr="00B53F89">
        <w:t>the ARSP, the ACMA is yet to consider the technical feasibility and associate</w:t>
      </w:r>
      <w:r w:rsidR="00236532" w:rsidRPr="00B53F89">
        <w:t>d</w:t>
      </w:r>
      <w:r w:rsidR="00E20EBC" w:rsidRPr="00B53F89">
        <w:t xml:space="preserve"> technical conditions that could support operation in Australia.</w:t>
      </w:r>
    </w:p>
    <w:p w14:paraId="3DC5E468" w14:textId="1F35B7D6" w:rsidR="00E20EBC" w:rsidRPr="00B53F89" w:rsidRDefault="00E20EBC">
      <w:r w:rsidRPr="00B53F89" w:rsidDel="007E55F4">
        <w:t>In</w:t>
      </w:r>
      <w:r w:rsidR="002F450E" w:rsidRPr="00B53F89">
        <w:t xml:space="preserve"> </w:t>
      </w:r>
      <w:r w:rsidR="002F450E" w:rsidRPr="00B53F89" w:rsidDel="007E55F4">
        <w:t>Australia</w:t>
      </w:r>
      <w:r w:rsidRPr="00B53F89" w:rsidDel="007E55F4">
        <w:t xml:space="preserve">, the band is currently used by some emergency service and law enforcement organisations for mobile operations. </w:t>
      </w:r>
      <w:r w:rsidR="0066184D" w:rsidRPr="00B53F89">
        <w:t xml:space="preserve">The Department of </w:t>
      </w:r>
      <w:r w:rsidRPr="00B53F89" w:rsidDel="007E55F4">
        <w:t xml:space="preserve">Defence also uses these frequencies in support of key capabilities. The ACMA consulted with local stakeholders on this potential allocation in the lead-up to WRC-15. Stakeholder views were varied, with opposition to the allocation from </w:t>
      </w:r>
      <w:r w:rsidR="0066184D" w:rsidRPr="00B53F89">
        <w:t xml:space="preserve">the Department of </w:t>
      </w:r>
      <w:r w:rsidRPr="00B53F89" w:rsidDel="007E55F4">
        <w:t>Defence, due to the potential for interference to its systems</w:t>
      </w:r>
      <w:r w:rsidR="00483DC5" w:rsidRPr="00B53F89">
        <w:t>.</w:t>
      </w:r>
    </w:p>
    <w:p w14:paraId="2D70AD70" w14:textId="7332B8F6" w:rsidR="00D42D90" w:rsidRPr="00B53F89" w:rsidRDefault="00D42D90" w:rsidP="001D63C7">
      <w:pPr>
        <w:pStyle w:val="Heading4"/>
      </w:pPr>
      <w:r w:rsidRPr="00B53F89">
        <w:t xml:space="preserve">Activities planned for 2019–20 </w:t>
      </w:r>
    </w:p>
    <w:p w14:paraId="6731DE49" w14:textId="2BC52F67" w:rsidR="001D3F8B" w:rsidRPr="00B53F89" w:rsidRDefault="00E20EBC" w:rsidP="00D7755E">
      <w:r w:rsidRPr="00B53F89">
        <w:t>With a range of existing uses currently support</w:t>
      </w:r>
      <w:r w:rsidR="006728B9" w:rsidRPr="00B53F89">
        <w:t>ed</w:t>
      </w:r>
      <w:r w:rsidRPr="00B53F89">
        <w:t xml:space="preserve"> in the band, the ACMA intends to </w:t>
      </w:r>
      <w:r w:rsidR="00D42D90" w:rsidRPr="00B53F89">
        <w:t xml:space="preserve">publish </w:t>
      </w:r>
      <w:r w:rsidRPr="00B53F89">
        <w:t>a discussion paper</w:t>
      </w:r>
      <w:r w:rsidR="00D42D90" w:rsidRPr="00B53F89">
        <w:t xml:space="preserve"> in Q</w:t>
      </w:r>
      <w:r w:rsidR="00E00B33" w:rsidRPr="00B53F89">
        <w:t>1</w:t>
      </w:r>
      <w:r w:rsidR="00D42D90" w:rsidRPr="00B53F89">
        <w:t xml:space="preserve"> 2020</w:t>
      </w:r>
      <w:r w:rsidRPr="00B53F89">
        <w:t xml:space="preserve"> seeking industry views o</w:t>
      </w:r>
      <w:r w:rsidR="0008463B" w:rsidRPr="00B53F89">
        <w:t>n</w:t>
      </w:r>
      <w:r w:rsidRPr="00B53F89">
        <w:t xml:space="preserve"> implementation issues, </w:t>
      </w:r>
      <w:bookmarkStart w:id="307" w:name="_Hlk2680328"/>
      <w:r w:rsidRPr="00B53F89">
        <w:t xml:space="preserve">including appropriate technical conditions and </w:t>
      </w:r>
      <w:r w:rsidR="00932BC3" w:rsidRPr="00B53F89">
        <w:t xml:space="preserve">in </w:t>
      </w:r>
      <w:r w:rsidRPr="00B53F89">
        <w:t xml:space="preserve">which part of the band </w:t>
      </w:r>
      <w:r w:rsidR="00F11130" w:rsidRPr="00B53F89">
        <w:t xml:space="preserve">the </w:t>
      </w:r>
      <w:r w:rsidR="002F450E" w:rsidRPr="00B53F89">
        <w:t>amateur</w:t>
      </w:r>
      <w:r w:rsidRPr="00B53F89">
        <w:t xml:space="preserve"> </w:t>
      </w:r>
      <w:r w:rsidR="00F11130" w:rsidRPr="00B53F89">
        <w:t xml:space="preserve">service </w:t>
      </w:r>
      <w:r w:rsidR="00932BC3" w:rsidRPr="00B53F89">
        <w:t xml:space="preserve">could be </w:t>
      </w:r>
      <w:r w:rsidR="002F450E" w:rsidRPr="00B53F89">
        <w:t>s</w:t>
      </w:r>
      <w:r w:rsidRPr="00B53F89">
        <w:t>upported</w:t>
      </w:r>
      <w:bookmarkEnd w:id="307"/>
      <w:r w:rsidRPr="00B53F89">
        <w:t xml:space="preserve">. </w:t>
      </w:r>
    </w:p>
    <w:p w14:paraId="3A4A6944" w14:textId="06FC63EC" w:rsidR="00770CB1" w:rsidRPr="00B53F89" w:rsidRDefault="00FE7029" w:rsidP="00C4441C">
      <w:pPr>
        <w:keepNext/>
        <w:spacing w:before="60" w:after="0"/>
      </w:pPr>
      <w:bookmarkStart w:id="308" w:name="_Toc510795085"/>
      <w:bookmarkStart w:id="309" w:name="_Toc511716288"/>
      <w:bookmarkStart w:id="310" w:name="_Toc511719099"/>
      <w:bookmarkStart w:id="311" w:name="_Toc522794094"/>
      <w:bookmarkStart w:id="312" w:name="_Hlk16255540"/>
      <w:r w:rsidRPr="006A2F04">
        <w:rPr>
          <w:noProof/>
        </w:rPr>
        <w:drawing>
          <wp:inline distT="0" distB="0" distL="0" distR="0" wp14:anchorId="119C84C2" wp14:editId="3C9DC98A">
            <wp:extent cx="341630" cy="359410"/>
            <wp:effectExtent l="0" t="0" r="1270" b="2540"/>
            <wp:docPr id="194" name="Picture 194"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31"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00770CB1" w:rsidRPr="006A2F04">
        <w:rPr>
          <w:noProof/>
        </w:rPr>
        <w:drawing>
          <wp:inline distT="0" distB="0" distL="0" distR="0" wp14:anchorId="3C5C34D5" wp14:editId="38639AAF">
            <wp:extent cx="342900" cy="361950"/>
            <wp:effectExtent l="0" t="0" r="0" b="0"/>
            <wp:docPr id="96" name="Picture 96" descr="Defenc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Defence icon"/>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6B271CEA" w14:textId="047F6155" w:rsidR="00785F7B" w:rsidRPr="00B53F89" w:rsidRDefault="00785F7B">
      <w:pPr>
        <w:pStyle w:val="Heading3"/>
      </w:pPr>
      <w:bookmarkStart w:id="313" w:name="_Toc18505548"/>
      <w:r w:rsidRPr="00B53F89">
        <w:t>Ongoing review of spectrum planning, assignment and coordination requirements</w:t>
      </w:r>
      <w:bookmarkEnd w:id="308"/>
      <w:bookmarkEnd w:id="309"/>
      <w:bookmarkEnd w:id="310"/>
      <w:bookmarkEnd w:id="311"/>
      <w:bookmarkEnd w:id="313"/>
    </w:p>
    <w:bookmarkEnd w:id="312"/>
    <w:p w14:paraId="4FFA0FF5" w14:textId="77777777" w:rsidR="005B5690" w:rsidRPr="00B53F89" w:rsidRDefault="005B5690">
      <w:r w:rsidRPr="00B53F89">
        <w:t xml:space="preserve">The ACMA has an ongoing program of review of the </w:t>
      </w:r>
      <w:hyperlink r:id="rId103" w:history="1">
        <w:r w:rsidRPr="00B53F89">
          <w:rPr>
            <w:rStyle w:val="Hyperlink"/>
          </w:rPr>
          <w:t>spectrum planning</w:t>
        </w:r>
      </w:hyperlink>
      <w:r w:rsidRPr="00B53F89">
        <w:t xml:space="preserve"> technical framework to ensure its currency and consistency with current technologies and operational practices. </w:t>
      </w:r>
    </w:p>
    <w:p w14:paraId="237414D9" w14:textId="7FAF30C4" w:rsidR="005B5690" w:rsidRPr="00B53F89" w:rsidRDefault="005B5690">
      <w:r w:rsidRPr="00B53F89">
        <w:t xml:space="preserve">This work is primarily focused on frequency coordination requirements for apparatus-licensed services. This material is predominately recorded in </w:t>
      </w:r>
      <w:r w:rsidR="00483DC5" w:rsidRPr="00B53F89">
        <w:t>RALIs</w:t>
      </w:r>
      <w:r w:rsidRPr="00B53F89">
        <w:t>. Consideration of spectrum-licensing technical frameworks and ensuring the continuing appropriateness of spectrum embargoes are additional elements of this work program.</w:t>
      </w:r>
    </w:p>
    <w:p w14:paraId="4549889C" w14:textId="411939AD" w:rsidR="005B5690" w:rsidRPr="00B53F89" w:rsidRDefault="005B5690">
      <w:r w:rsidRPr="00B53F89">
        <w:t>In September 2018</w:t>
      </w:r>
      <w:r w:rsidR="00EB229F" w:rsidRPr="00B53F89">
        <w:t>,</w:t>
      </w:r>
      <w:r w:rsidRPr="00B53F89">
        <w:t xml:space="preserve"> following industry consultation</w:t>
      </w:r>
      <w:r w:rsidR="00EB229F" w:rsidRPr="00B53F89">
        <w:t>,</w:t>
      </w:r>
      <w:r w:rsidRPr="00B53F89">
        <w:t xml:space="preserve"> the ACMA released its </w:t>
      </w:r>
      <w:hyperlink r:id="rId104" w:history="1">
        <w:r w:rsidRPr="00B53F89">
          <w:rPr>
            <w:rStyle w:val="Hyperlink"/>
          </w:rPr>
          <w:t>Frequency coordination requirements review work program</w:t>
        </w:r>
      </w:hyperlink>
      <w:r w:rsidRPr="00B53F89">
        <w:t xml:space="preserve"> for 2018</w:t>
      </w:r>
      <w:r w:rsidR="001470A3" w:rsidRPr="00B53F89">
        <w:t>–</w:t>
      </w:r>
      <w:r w:rsidRPr="00B53F89">
        <w:t>19.</w:t>
      </w:r>
    </w:p>
    <w:p w14:paraId="278D2132" w14:textId="25F5A415" w:rsidR="00FD0856" w:rsidRPr="00B53F89" w:rsidRDefault="005B5690">
      <w:r w:rsidRPr="00B53F89">
        <w:lastRenderedPageBreak/>
        <w:t>Th</w:t>
      </w:r>
      <w:r w:rsidR="00B65737" w:rsidRPr="00B53F89">
        <w:t>is</w:t>
      </w:r>
      <w:r w:rsidRPr="00B53F89">
        <w:t xml:space="preserve"> work program outlined updates to frequency coordination rules (</w:t>
      </w:r>
      <w:r w:rsidR="00624C6C" w:rsidRPr="00B53F89">
        <w:t xml:space="preserve">as </w:t>
      </w:r>
      <w:r w:rsidRPr="00B53F89">
        <w:t>recorded in</w:t>
      </w:r>
      <w:r w:rsidR="00624C6C" w:rsidRPr="00B53F89">
        <w:t xml:space="preserve"> RALIs)</w:t>
      </w:r>
      <w:r w:rsidRPr="00B53F89">
        <w:t xml:space="preserve"> </w:t>
      </w:r>
      <w:r w:rsidR="00624C6C" w:rsidRPr="00B53F89">
        <w:t xml:space="preserve">and future work the ACMA also intends to consider subject </w:t>
      </w:r>
      <w:r w:rsidR="004078EC" w:rsidRPr="00B53F89">
        <w:t xml:space="preserve">to </w:t>
      </w:r>
      <w:r w:rsidR="00624C6C" w:rsidRPr="00B53F89">
        <w:t>completion of other priorities</w:t>
      </w:r>
      <w:r w:rsidR="00407F95" w:rsidRPr="00B53F89">
        <w:t>.</w:t>
      </w:r>
    </w:p>
    <w:p w14:paraId="39D55376" w14:textId="77777777" w:rsidR="00444646" w:rsidRPr="00B53F89" w:rsidRDefault="00444646" w:rsidP="00444646">
      <w:r w:rsidRPr="00B53F89">
        <w:t>The ACMA has been progressing this work program and has released several proposed updates for industry consultation covering:</w:t>
      </w:r>
    </w:p>
    <w:bookmarkStart w:id="314" w:name="_Hlk16499095"/>
    <w:p w14:paraId="20ACDA43" w14:textId="29782776" w:rsidR="00444646" w:rsidRPr="00B53F89" w:rsidRDefault="00444646" w:rsidP="00663A93">
      <w:pPr>
        <w:pStyle w:val="ListBullet"/>
        <w:ind w:left="284" w:hanging="284"/>
      </w:pPr>
      <w:r w:rsidRPr="006A2F04">
        <w:fldChar w:fldCharType="begin"/>
      </w:r>
      <w:r w:rsidRPr="00B53F89">
        <w:instrText xml:space="preserve"> HYPERLINK "https://www.acma.gov.au/theACMA/land-mobile-services-new-small-service-area-models" </w:instrText>
      </w:r>
      <w:r w:rsidRPr="006A2F04">
        <w:fldChar w:fldCharType="separate"/>
      </w:r>
      <w:r w:rsidRPr="00B53F89">
        <w:rPr>
          <w:rStyle w:val="Hyperlink"/>
        </w:rPr>
        <w:t>land mobile services: new small service area models</w:t>
      </w:r>
      <w:r w:rsidRPr="006A2F04">
        <w:rPr>
          <w:rStyle w:val="Hyperlink"/>
        </w:rPr>
        <w:fldChar w:fldCharType="end"/>
      </w:r>
      <w:r w:rsidR="00C33CDD" w:rsidRPr="00663A93">
        <w:rPr>
          <w:rStyle w:val="Hyperlink"/>
          <w:color w:val="auto"/>
          <w:u w:val="none"/>
        </w:rPr>
        <w:t>,</w:t>
      </w:r>
      <w:r w:rsidRPr="00B53F89">
        <w:t xml:space="preserve"> </w:t>
      </w:r>
      <w:r w:rsidR="00C33CDD" w:rsidRPr="00B53F89">
        <w:t xml:space="preserve">in </w:t>
      </w:r>
      <w:r w:rsidRPr="00B53F89">
        <w:t>September 2018</w:t>
      </w:r>
    </w:p>
    <w:bookmarkEnd w:id="314"/>
    <w:p w14:paraId="39862C24" w14:textId="127D13CD" w:rsidR="00CA6ED9" w:rsidRPr="00B53F89" w:rsidRDefault="00444646" w:rsidP="00663A93">
      <w:pPr>
        <w:pStyle w:val="ListParagraph"/>
        <w:numPr>
          <w:ilvl w:val="0"/>
          <w:numId w:val="76"/>
        </w:numPr>
        <w:ind w:left="284" w:hanging="284"/>
      </w:pPr>
      <w:r w:rsidRPr="00B53F89">
        <w:t>coordination zones and protection requirements for space research services at New Norcia and Tidbinbilla RALI MS 38 with earth station transmitters in the fixed-satellite service in frequencies between 27.5–30 GHz</w:t>
      </w:r>
      <w:r w:rsidR="00C33CDD" w:rsidRPr="00B53F89">
        <w:t xml:space="preserve">, </w:t>
      </w:r>
      <w:r w:rsidR="00DC674A" w:rsidRPr="00B53F89">
        <w:t>a</w:t>
      </w:r>
      <w:r w:rsidR="0022063D" w:rsidRPr="00B53F89">
        <w:t xml:space="preserve">s part of a consultation on </w:t>
      </w:r>
      <w:hyperlink r:id="rId105" w:history="1">
        <w:r w:rsidR="0022063D" w:rsidRPr="00B53F89">
          <w:rPr>
            <w:rStyle w:val="Hyperlink"/>
          </w:rPr>
          <w:t>updates to several RALIs</w:t>
        </w:r>
      </w:hyperlink>
      <w:r w:rsidR="00C33CDD" w:rsidRPr="00663A93">
        <w:rPr>
          <w:rStyle w:val="Hyperlink"/>
          <w:color w:val="auto"/>
          <w:u w:val="none"/>
        </w:rPr>
        <w:t>,</w:t>
      </w:r>
      <w:r w:rsidR="0022063D" w:rsidRPr="00A12C5B">
        <w:t xml:space="preserve"> </w:t>
      </w:r>
      <w:r w:rsidR="00C33CDD" w:rsidRPr="00B53F89">
        <w:t xml:space="preserve">in </w:t>
      </w:r>
      <w:r w:rsidR="0022063D" w:rsidRPr="00B53F89">
        <w:t>December 201</w:t>
      </w:r>
      <w:r w:rsidR="00C33CDD" w:rsidRPr="00B53F89">
        <w:t>8</w:t>
      </w:r>
      <w:r w:rsidR="00DC674A" w:rsidRPr="00B53F89">
        <w:t>.</w:t>
      </w:r>
    </w:p>
    <w:p w14:paraId="1BB8020A" w14:textId="2666AEF5" w:rsidR="007677E6" w:rsidRPr="00B53F89" w:rsidRDefault="007677E6" w:rsidP="004B6199">
      <w:r w:rsidRPr="00B53F89">
        <w:t xml:space="preserve">This work is expected to be completed in </w:t>
      </w:r>
      <w:r w:rsidR="004B6199" w:rsidRPr="00B53F89">
        <w:t>Q3 2019.</w:t>
      </w:r>
    </w:p>
    <w:p w14:paraId="3516EBEA" w14:textId="77777777" w:rsidR="00AA099C" w:rsidRPr="00B53F89" w:rsidRDefault="005F07AD" w:rsidP="00AA099C">
      <w:pPr>
        <w:pStyle w:val="Heading4"/>
      </w:pPr>
      <w:r w:rsidRPr="00B53F89">
        <w:t>Progress achieved</w:t>
      </w:r>
    </w:p>
    <w:p w14:paraId="2496477C" w14:textId="6598E1AF" w:rsidR="00CA6ED9" w:rsidRPr="00B53F89" w:rsidRDefault="00CA6ED9" w:rsidP="00CA6ED9">
      <w:r w:rsidRPr="00B53F89">
        <w:t xml:space="preserve">In July 2019, RALI FX01 was updated to include coordination arrangements between 400 MHz wideband fixed services and narrowband services. This was the subject of a </w:t>
      </w:r>
      <w:hyperlink r:id="rId106" w:history="1">
        <w:r w:rsidRPr="00B53F89">
          <w:rPr>
            <w:rStyle w:val="Hyperlink"/>
          </w:rPr>
          <w:t>consultation process</w:t>
        </w:r>
      </w:hyperlink>
      <w:r w:rsidRPr="00B53F89">
        <w:t xml:space="preserve"> in March 2019. </w:t>
      </w:r>
    </w:p>
    <w:p w14:paraId="3CDA22D6" w14:textId="48E216EC" w:rsidR="00444646" w:rsidRPr="00B53F89" w:rsidRDefault="00444646">
      <w:r w:rsidRPr="00B53F89">
        <w:t xml:space="preserve">Coordination requirements for Earth station protection zones were updated in August 2019 following the </w:t>
      </w:r>
      <w:hyperlink r:id="rId107" w:history="1">
        <w:r w:rsidRPr="00B53F89">
          <w:rPr>
            <w:rStyle w:val="Hyperlink"/>
          </w:rPr>
          <w:t>December 2018 consultation</w:t>
        </w:r>
      </w:hyperlink>
      <w:r w:rsidRPr="00B53F89">
        <w:t xml:space="preserve"> on changes to RALI MS 44. </w:t>
      </w:r>
    </w:p>
    <w:p w14:paraId="0246A307" w14:textId="3B08BAF2" w:rsidR="00F223BA" w:rsidRPr="00B53F89" w:rsidRDefault="00444646">
      <w:r w:rsidRPr="00B53F89">
        <w:t xml:space="preserve">Updates to several RALIs were provided for </w:t>
      </w:r>
      <w:hyperlink r:id="rId108" w:history="1">
        <w:r w:rsidRPr="00B53F89">
          <w:rPr>
            <w:rStyle w:val="Hyperlink"/>
          </w:rPr>
          <w:t>comment from industry</w:t>
        </w:r>
      </w:hyperlink>
      <w:r w:rsidRPr="00B53F89">
        <w:t xml:space="preserve"> in December 2018. In August 2019, RALI MS 33 and MS 34 were updated to support PTS operation in underground environments in the 1800 MHz and 2 GHz bands outside of spectrum licensing areas, and RALI MS 35 was updated to </w:t>
      </w:r>
      <w:r w:rsidR="004313FB" w:rsidRPr="00B53F89">
        <w:t>i</w:t>
      </w:r>
      <w:r w:rsidR="00F223BA" w:rsidRPr="00B53F89">
        <w:t xml:space="preserve">nclude additional radar sites for coordination between 2.5 GHz band </w:t>
      </w:r>
      <w:r w:rsidR="00452BAB" w:rsidRPr="00B53F89">
        <w:t>(2.5–2.69 GHz)</w:t>
      </w:r>
      <w:r w:rsidR="00F223BA" w:rsidRPr="00B53F89">
        <w:t xml:space="preserve"> spectrum</w:t>
      </w:r>
      <w:r w:rsidR="00D1527A" w:rsidRPr="00B53F89">
        <w:t>-</w:t>
      </w:r>
      <w:r w:rsidR="00F223BA" w:rsidRPr="00B53F89">
        <w:t xml:space="preserve">licensed transmitters with radiodetermination stations operated by the </w:t>
      </w:r>
      <w:r w:rsidR="001D0A2E" w:rsidRPr="00B53F89">
        <w:t>D</w:t>
      </w:r>
      <w:r w:rsidR="00F223BA" w:rsidRPr="00B53F89">
        <w:t>epartment of Defence in the 2700</w:t>
      </w:r>
      <w:r w:rsidR="00243870" w:rsidRPr="00B53F89">
        <w:t>–</w:t>
      </w:r>
      <w:r w:rsidR="00F223BA" w:rsidRPr="00B53F89">
        <w:t>2900 MHz band</w:t>
      </w:r>
      <w:r w:rsidR="004313FB" w:rsidRPr="00B53F89">
        <w:t>.</w:t>
      </w:r>
      <w:r w:rsidR="00CA6ED9" w:rsidRPr="00B53F89">
        <w:t xml:space="preserve"> </w:t>
      </w:r>
    </w:p>
    <w:p w14:paraId="58F8AF87" w14:textId="5F26FEA2" w:rsidR="00F27C8F" w:rsidRPr="00B53F89" w:rsidRDefault="00F27C8F">
      <w:r w:rsidRPr="00B53F89">
        <w:t xml:space="preserve">The ACMA is also considering a broader review of the spectrum planning framework. </w:t>
      </w:r>
      <w:r w:rsidRPr="00B53F89">
        <w:rPr>
          <w:bCs/>
        </w:rPr>
        <w:t>The framework is complex, made up of a large array of interlinking technical and policy documents. The content and interrelationships can be difficult to understand and interpret, even for experienced practitioners, with information on any one service or part of the spectrum contained over multiple documents. A number of broad areas for review have become apparent, including improving the transparency and clarity of the framework overall</w:t>
      </w:r>
      <w:r w:rsidRPr="00B53F89">
        <w:rPr>
          <w:b/>
          <w:bCs/>
        </w:rPr>
        <w:t>.</w:t>
      </w:r>
    </w:p>
    <w:p w14:paraId="796282AE" w14:textId="7A326585" w:rsidR="00785F7B" w:rsidRPr="00B53F89" w:rsidRDefault="00785F7B" w:rsidP="001D63C7">
      <w:pPr>
        <w:pStyle w:val="Heading4"/>
      </w:pPr>
      <w:r w:rsidRPr="00B53F89">
        <w:t xml:space="preserve">Activities planned for </w:t>
      </w:r>
      <w:r w:rsidR="00041CA4" w:rsidRPr="00B53F89">
        <w:t>2019</w:t>
      </w:r>
      <w:r w:rsidR="00A42082" w:rsidRPr="00B53F89">
        <w:t>–</w:t>
      </w:r>
      <w:r w:rsidR="00041CA4" w:rsidRPr="00B53F89">
        <w:t>20</w:t>
      </w:r>
      <w:r w:rsidRPr="00B53F89">
        <w:t xml:space="preserve"> </w:t>
      </w:r>
    </w:p>
    <w:p w14:paraId="3A1B141B" w14:textId="7755A071" w:rsidR="00824F96" w:rsidRPr="00B53F89" w:rsidRDefault="00824F96">
      <w:bookmarkStart w:id="315" w:name="_Hlk17104741"/>
      <w:bookmarkStart w:id="316" w:name="_Hlk17104573"/>
      <w:r w:rsidRPr="00B53F89">
        <w:t xml:space="preserve">In addition </w:t>
      </w:r>
      <w:r w:rsidR="00407F95" w:rsidRPr="00B53F89">
        <w:t xml:space="preserve">to </w:t>
      </w:r>
      <w:r w:rsidRPr="00B53F89">
        <w:t>progressing tasks already identified in the review work program the ACMA intends to seek</w:t>
      </w:r>
      <w:r w:rsidR="00C33CDD" w:rsidRPr="00B53F89">
        <w:t xml:space="preserve"> industry</w:t>
      </w:r>
      <w:r w:rsidRPr="00B53F89">
        <w:t xml:space="preserve"> comment on a draft up</w:t>
      </w:r>
      <w:r w:rsidR="00B53F89">
        <w:t>d</w:t>
      </w:r>
      <w:r w:rsidRPr="00B53F89">
        <w:t>ate</w:t>
      </w:r>
      <w:r w:rsidR="00B53F89">
        <w:t>d</w:t>
      </w:r>
      <w:r w:rsidRPr="00B53F89">
        <w:t xml:space="preserve"> frequency coordination review work program in Q4 2019.</w:t>
      </w:r>
    </w:p>
    <w:p w14:paraId="0A2147D2" w14:textId="2AF908F6" w:rsidR="00407F95" w:rsidRPr="00B53F89" w:rsidRDefault="00AE31E2">
      <w:bookmarkStart w:id="317" w:name="_Hlk17104811"/>
      <w:bookmarkEnd w:id="315"/>
      <w:bookmarkEnd w:id="316"/>
      <w:r w:rsidRPr="00B53F89">
        <w:t>Work on the b</w:t>
      </w:r>
      <w:r w:rsidR="00295BE3" w:rsidRPr="00B53F89">
        <w:t>r</w:t>
      </w:r>
      <w:r w:rsidRPr="00B53F89">
        <w:t>oader review of the spectrum planning framework</w:t>
      </w:r>
      <w:r w:rsidR="00863E78" w:rsidRPr="00B53F89">
        <w:rPr>
          <w:bCs/>
        </w:rPr>
        <w:t xml:space="preserve">, which is flagged in the </w:t>
      </w:r>
      <w:r w:rsidR="00446847" w:rsidRPr="00B53F89">
        <w:rPr>
          <w:bCs/>
        </w:rPr>
        <w:t>‘S</w:t>
      </w:r>
      <w:r w:rsidR="00863E78" w:rsidRPr="00B53F89">
        <w:rPr>
          <w:bCs/>
        </w:rPr>
        <w:t>pectrum management</w:t>
      </w:r>
      <w:r w:rsidR="00446847" w:rsidRPr="00B53F89">
        <w:rPr>
          <w:bCs/>
        </w:rPr>
        <w:t xml:space="preserve"> practice</w:t>
      </w:r>
      <w:r w:rsidR="00863E78" w:rsidRPr="00B53F89">
        <w:rPr>
          <w:bCs/>
        </w:rPr>
        <w:t xml:space="preserve"> improvements</w:t>
      </w:r>
      <w:r w:rsidR="00446847" w:rsidRPr="00B53F89">
        <w:rPr>
          <w:bCs/>
        </w:rPr>
        <w:t>’</w:t>
      </w:r>
      <w:r w:rsidR="00863E78" w:rsidRPr="00B53F89">
        <w:rPr>
          <w:bCs/>
        </w:rPr>
        <w:t xml:space="preserve"> section below,</w:t>
      </w:r>
      <w:r w:rsidRPr="00B53F89">
        <w:t xml:space="preserve"> is subject to further consideration of timelines and priorities</w:t>
      </w:r>
      <w:bookmarkEnd w:id="317"/>
      <w:r w:rsidRPr="00B53F89">
        <w:t xml:space="preserve">. </w:t>
      </w:r>
    </w:p>
    <w:p w14:paraId="17540A68" w14:textId="6467544F" w:rsidR="00215AD1" w:rsidRPr="00B53F89" w:rsidRDefault="00215AD1" w:rsidP="008713AA">
      <w:pPr>
        <w:pStyle w:val="Heading3"/>
      </w:pPr>
      <w:bookmarkStart w:id="318" w:name="_Toc18505549"/>
      <w:r w:rsidRPr="00B53F89">
        <w:t>Review of spectrum licen</w:t>
      </w:r>
      <w:r w:rsidR="00493062" w:rsidRPr="00B53F89">
        <w:t>c</w:t>
      </w:r>
      <w:r w:rsidRPr="00B53F89">
        <w:t>e technical frameworks</w:t>
      </w:r>
      <w:bookmarkEnd w:id="318"/>
    </w:p>
    <w:p w14:paraId="7EBE2A3C" w14:textId="702F8DC8" w:rsidR="00215AD1" w:rsidRPr="00B53F89" w:rsidRDefault="00215AD1" w:rsidP="00D7755E">
      <w:r w:rsidRPr="00B53F89">
        <w:rPr>
          <w:rFonts w:cs="Arial"/>
        </w:rPr>
        <w:t xml:space="preserve">Reviewing the arrangements in bands that are already licensed for wireless broadband is important to ensure existing allocations are efficient and can cater for new technology developments such as 5G. </w:t>
      </w:r>
      <w:r w:rsidRPr="00B53F89">
        <w:t>The update of the technical framework for the 2.3 GHz band has already been raised in this context.</w:t>
      </w:r>
    </w:p>
    <w:p w14:paraId="60673A01" w14:textId="77777777" w:rsidR="00215AD1" w:rsidRPr="00B53F89" w:rsidRDefault="00215AD1" w:rsidP="00F56EE6">
      <w:pPr>
        <w:pStyle w:val="Heading4"/>
        <w:keepNext/>
        <w:keepLines/>
      </w:pPr>
      <w:r w:rsidRPr="00B53F89">
        <w:lastRenderedPageBreak/>
        <w:t xml:space="preserve">Activities planned for 2019–20 </w:t>
      </w:r>
    </w:p>
    <w:p w14:paraId="161CC147" w14:textId="2ED98D3A" w:rsidR="00215AD1" w:rsidRPr="00B53F89" w:rsidRDefault="00215AD1" w:rsidP="00F56EE6">
      <w:pPr>
        <w:keepNext/>
        <w:keepLines/>
      </w:pPr>
      <w:r w:rsidRPr="00B53F89">
        <w:t>The ACMA intends to commence a discussion with industry in Q</w:t>
      </w:r>
      <w:r w:rsidR="002A7116" w:rsidRPr="00B53F89">
        <w:t>4</w:t>
      </w:r>
      <w:r w:rsidRPr="00B53F89">
        <w:t xml:space="preserve"> 2019 on the scope of a program of work to determine the bands that may need to be examined.</w:t>
      </w:r>
    </w:p>
    <w:p w14:paraId="1C8670A5" w14:textId="6350208E" w:rsidR="00493EE3" w:rsidRPr="00B53F89" w:rsidRDefault="00A54553" w:rsidP="00F56EE6">
      <w:pPr>
        <w:pStyle w:val="Heading3"/>
      </w:pPr>
      <w:r>
        <w:pict w14:anchorId="4BF0D126">
          <v:shape id="_x0000_i1042" type="#_x0000_t75" alt="A picture containing clipart&#10;&#10;Description automatically generated" style="width:19.5pt;height:11.25pt;visibility:visible;mso-wrap-style:square">
            <v:imagedata r:id="rId60" o:title="A picture containing clipart&#10;&#10;Description automatically generated"/>
          </v:shape>
        </w:pict>
      </w:r>
      <w:bookmarkStart w:id="319" w:name="_Toc18505550"/>
      <w:r w:rsidR="00125C80">
        <w:t xml:space="preserve"> </w:t>
      </w:r>
      <w:r w:rsidR="00493EE3" w:rsidRPr="00B53F89">
        <w:t>Spectrum sharing approaches</w:t>
      </w:r>
      <w:bookmarkEnd w:id="319"/>
    </w:p>
    <w:p w14:paraId="19455BE9" w14:textId="3BF74BD6" w:rsidR="00436AC2" w:rsidRPr="00B53F89" w:rsidRDefault="00424B25">
      <w:r w:rsidRPr="00B53F89">
        <w:rPr>
          <w:rFonts w:cs="Arial"/>
        </w:rPr>
        <w:t xml:space="preserve">The ACMA </w:t>
      </w:r>
      <w:r w:rsidR="00622DBC" w:rsidRPr="00B53F89">
        <w:rPr>
          <w:rFonts w:cs="Arial"/>
        </w:rPr>
        <w:t>has commenced a</w:t>
      </w:r>
      <w:r w:rsidRPr="00B53F89">
        <w:rPr>
          <w:rFonts w:cs="Arial"/>
        </w:rPr>
        <w:t xml:space="preserve"> discussion </w:t>
      </w:r>
      <w:r w:rsidR="00622DBC" w:rsidRPr="00B53F89">
        <w:rPr>
          <w:rFonts w:cs="Arial"/>
        </w:rPr>
        <w:t xml:space="preserve">with stakeholders </w:t>
      </w:r>
      <w:r w:rsidRPr="00B53F89">
        <w:rPr>
          <w:rFonts w:cs="Arial"/>
        </w:rPr>
        <w:t xml:space="preserve">on how </w:t>
      </w:r>
      <w:r w:rsidR="00622DBC" w:rsidRPr="00B53F89">
        <w:rPr>
          <w:rFonts w:cs="Arial"/>
        </w:rPr>
        <w:t>new approaches to sharing</w:t>
      </w:r>
      <w:r w:rsidRPr="00B53F89">
        <w:rPr>
          <w:rFonts w:cs="Arial"/>
        </w:rPr>
        <w:t xml:space="preserve"> might improve the management of and access to spectrum.</w:t>
      </w:r>
      <w:r w:rsidR="00436AC2" w:rsidRPr="00B53F89">
        <w:t xml:space="preserve"> </w:t>
      </w:r>
    </w:p>
    <w:p w14:paraId="175170A9" w14:textId="77777777" w:rsidR="00BC3396" w:rsidRPr="00B53F89" w:rsidRDefault="00BC3396" w:rsidP="001D63C7">
      <w:pPr>
        <w:pStyle w:val="Heading4"/>
      </w:pPr>
      <w:r w:rsidRPr="00B53F89">
        <w:t xml:space="preserve">Activities planned for 2019–20 </w:t>
      </w:r>
    </w:p>
    <w:p w14:paraId="6AD67BBD" w14:textId="0C41EBE8" w:rsidR="00493EE3" w:rsidRPr="00B53F89" w:rsidRDefault="00493EE3" w:rsidP="00D7755E">
      <w:r w:rsidRPr="00B53F89">
        <w:t xml:space="preserve">The ACMA held a tune-up event in </w:t>
      </w:r>
      <w:r w:rsidR="00AC7712" w:rsidRPr="00B53F89">
        <w:t>August 2019</w:t>
      </w:r>
      <w:r w:rsidRPr="00B53F89">
        <w:t xml:space="preserve"> on new and emerging approaches to spectrum sharing. </w:t>
      </w:r>
      <w:r w:rsidR="002C2521" w:rsidRPr="00B53F89">
        <w:t xml:space="preserve">The tune-up was informed by a </w:t>
      </w:r>
      <w:hyperlink r:id="rId109" w:history="1">
        <w:r w:rsidR="002C2521" w:rsidRPr="00B53F89">
          <w:rPr>
            <w:rStyle w:val="Hyperlink"/>
          </w:rPr>
          <w:t>discussion paper</w:t>
        </w:r>
      </w:hyperlink>
      <w:r w:rsidR="002C2521" w:rsidRPr="00B53F89">
        <w:t xml:space="preserve"> released in early Aug</w:t>
      </w:r>
      <w:r w:rsidR="00CC24F8" w:rsidRPr="00B53F89">
        <w:t>u</w:t>
      </w:r>
      <w:r w:rsidR="002C2521" w:rsidRPr="00B53F89">
        <w:t xml:space="preserve">st. </w:t>
      </w:r>
      <w:r w:rsidRPr="00B53F89">
        <w:t>Topics covered included approaches to spectrum sharing; their applicability to the Australian environment; recent international developments and how and why similar arrang</w:t>
      </w:r>
      <w:r w:rsidR="00436AC2" w:rsidRPr="00B53F89">
        <w:t>e</w:t>
      </w:r>
      <w:r w:rsidRPr="00B53F89">
        <w:t>ments might be adopted domestically; how sharing affects incumbent users and how shared access can be managed by industry operators and third parties.</w:t>
      </w:r>
    </w:p>
    <w:p w14:paraId="52D28BA5" w14:textId="25316DA3" w:rsidR="003F4B80" w:rsidRPr="00B53F89" w:rsidRDefault="003F4B80" w:rsidP="00775B4A">
      <w:pPr>
        <w:pStyle w:val="Heading1"/>
      </w:pPr>
      <w:bookmarkStart w:id="320" w:name="_The_forward_allocation"/>
      <w:bookmarkStart w:id="321" w:name="_Toc510104961"/>
      <w:bookmarkStart w:id="322" w:name="_Toc510105758"/>
      <w:bookmarkStart w:id="323" w:name="_Toc510795090"/>
      <w:bookmarkStart w:id="324" w:name="_Toc511716291"/>
      <w:bookmarkStart w:id="325" w:name="_Toc511719102"/>
      <w:bookmarkStart w:id="326" w:name="_Toc522794095"/>
      <w:bookmarkStart w:id="327" w:name="_Toc18505551"/>
      <w:bookmarkEnd w:id="320"/>
      <w:r w:rsidRPr="00B53F89">
        <w:lastRenderedPageBreak/>
        <w:t>The forward allocation work plan</w:t>
      </w:r>
      <w:bookmarkEnd w:id="321"/>
      <w:bookmarkEnd w:id="322"/>
      <w:bookmarkEnd w:id="323"/>
      <w:bookmarkEnd w:id="324"/>
      <w:bookmarkEnd w:id="325"/>
      <w:bookmarkEnd w:id="326"/>
      <w:bookmarkEnd w:id="327"/>
    </w:p>
    <w:p w14:paraId="72441613" w14:textId="77777777" w:rsidR="003F4B80" w:rsidRPr="00B53F89" w:rsidRDefault="003F4B80">
      <w:pPr>
        <w:pStyle w:val="Heading2"/>
        <w:rPr>
          <w:rFonts w:eastAsiaTheme="majorEastAsia"/>
        </w:rPr>
      </w:pPr>
      <w:bookmarkStart w:id="328" w:name="_Toc510104962"/>
      <w:bookmarkStart w:id="329" w:name="_Toc510105759"/>
      <w:bookmarkStart w:id="330" w:name="_Toc510795091"/>
      <w:bookmarkStart w:id="331" w:name="_Toc511716292"/>
      <w:bookmarkStart w:id="332" w:name="_Toc511719103"/>
      <w:bookmarkStart w:id="333" w:name="_Toc522794096"/>
      <w:bookmarkStart w:id="334" w:name="_Toc18505552"/>
      <w:r w:rsidRPr="00B53F89">
        <w:rPr>
          <w:rFonts w:eastAsiaTheme="majorEastAsia"/>
        </w:rPr>
        <w:t xml:space="preserve">Purpose of the </w:t>
      </w:r>
      <w:r w:rsidR="00327EA2" w:rsidRPr="00B53F89">
        <w:rPr>
          <w:rFonts w:eastAsiaTheme="majorEastAsia"/>
        </w:rPr>
        <w:t xml:space="preserve">forward </w:t>
      </w:r>
      <w:r w:rsidRPr="00B53F89">
        <w:rPr>
          <w:rFonts w:eastAsiaTheme="majorEastAsia"/>
        </w:rPr>
        <w:t xml:space="preserve">allocation </w:t>
      </w:r>
      <w:bookmarkEnd w:id="328"/>
      <w:bookmarkEnd w:id="329"/>
      <w:bookmarkEnd w:id="330"/>
      <w:r w:rsidR="00BA6010" w:rsidRPr="00B53F89">
        <w:rPr>
          <w:rFonts w:eastAsiaTheme="majorEastAsia"/>
        </w:rPr>
        <w:t>work plan</w:t>
      </w:r>
      <w:bookmarkEnd w:id="331"/>
      <w:bookmarkEnd w:id="332"/>
      <w:bookmarkEnd w:id="333"/>
      <w:bookmarkEnd w:id="334"/>
      <w:r w:rsidRPr="00B53F89">
        <w:rPr>
          <w:rFonts w:eastAsiaTheme="majorEastAsia"/>
        </w:rPr>
        <w:t xml:space="preserve"> </w:t>
      </w:r>
    </w:p>
    <w:p w14:paraId="390FCEA3" w14:textId="6CC2A453" w:rsidR="003F4B80" w:rsidRPr="00B53F89" w:rsidRDefault="003F4B80" w:rsidP="00A10BF6">
      <w:pPr>
        <w:rPr>
          <w:rFonts w:cs="Arial"/>
        </w:rPr>
      </w:pPr>
      <w:r w:rsidRPr="00B53F89">
        <w:t xml:space="preserve">Timely access to spectrum is of increasing importance to an innovative and dynamic </w:t>
      </w:r>
      <w:r w:rsidR="003D4996" w:rsidRPr="00B53F89">
        <w:t>economy</w:t>
      </w:r>
      <w:r w:rsidRPr="00B53F89">
        <w:t xml:space="preserve">. </w:t>
      </w:r>
      <w:r w:rsidRPr="00B53F89">
        <w:rPr>
          <w:rFonts w:cs="Arial"/>
        </w:rPr>
        <w:t>For incumbent and prospective spectrum users, th</w:t>
      </w:r>
      <w:r w:rsidR="00D433F2" w:rsidRPr="00B53F89">
        <w:rPr>
          <w:rFonts w:cs="Arial"/>
        </w:rPr>
        <w:t>is forward</w:t>
      </w:r>
      <w:r w:rsidRPr="00B53F89">
        <w:rPr>
          <w:rFonts w:cs="Arial"/>
        </w:rPr>
        <w:t xml:space="preserve"> allocation work </w:t>
      </w:r>
      <w:r w:rsidR="0088477E" w:rsidRPr="00B53F89">
        <w:rPr>
          <w:rFonts w:cs="Arial"/>
        </w:rPr>
        <w:t xml:space="preserve">plan </w:t>
      </w:r>
      <w:r w:rsidRPr="00B53F89">
        <w:rPr>
          <w:rFonts w:cs="Arial"/>
        </w:rPr>
        <w:t>provide</w:t>
      </w:r>
      <w:r w:rsidR="00280702" w:rsidRPr="00B53F89">
        <w:rPr>
          <w:rFonts w:cs="Arial"/>
        </w:rPr>
        <w:t>s</w:t>
      </w:r>
      <w:r w:rsidRPr="00B53F89">
        <w:rPr>
          <w:rFonts w:cs="Arial"/>
        </w:rPr>
        <w:t xml:space="preserve"> information for stakeholders </w:t>
      </w:r>
      <w:r w:rsidR="0072754E" w:rsidRPr="00B53F89">
        <w:rPr>
          <w:rFonts w:cs="Arial"/>
        </w:rPr>
        <w:t xml:space="preserve">about </w:t>
      </w:r>
      <w:r w:rsidRPr="00B53F89">
        <w:rPr>
          <w:rFonts w:cs="Arial"/>
        </w:rPr>
        <w:t>the planning status and possible timing</w:t>
      </w:r>
      <w:r w:rsidR="003A1815" w:rsidRPr="00B53F89">
        <w:rPr>
          <w:rFonts w:cs="Arial"/>
        </w:rPr>
        <w:t xml:space="preserve"> and sequencing</w:t>
      </w:r>
      <w:r w:rsidRPr="00B53F89">
        <w:rPr>
          <w:rFonts w:cs="Arial"/>
        </w:rPr>
        <w:t xml:space="preserve"> of </w:t>
      </w:r>
      <w:r w:rsidR="00682BE8" w:rsidRPr="00B53F89">
        <w:rPr>
          <w:rFonts w:cs="Arial"/>
        </w:rPr>
        <w:t>major spectrum allocations</w:t>
      </w:r>
      <w:r w:rsidR="00280702" w:rsidRPr="00B53F89">
        <w:rPr>
          <w:rFonts w:cs="Arial"/>
        </w:rPr>
        <w:t>,</w:t>
      </w:r>
      <w:r w:rsidRPr="00B53F89">
        <w:rPr>
          <w:rFonts w:cs="Arial"/>
        </w:rPr>
        <w:t xml:space="preserve"> to better support:</w:t>
      </w:r>
    </w:p>
    <w:p w14:paraId="2E77273F" w14:textId="77777777" w:rsidR="003F4B80" w:rsidRPr="00B53F89" w:rsidRDefault="003F4B80" w:rsidP="00A10BF6">
      <w:pPr>
        <w:pStyle w:val="ListBullet"/>
        <w:ind w:left="284" w:hanging="284"/>
      </w:pPr>
      <w:r w:rsidRPr="00B53F89">
        <w:rPr>
          <w:rFonts w:eastAsiaTheme="minorEastAsia"/>
        </w:rPr>
        <w:t xml:space="preserve">strategic network planning by </w:t>
      </w:r>
      <w:r w:rsidRPr="00F0187E">
        <w:rPr>
          <w:rFonts w:eastAsiaTheme="minorEastAsia"/>
        </w:rPr>
        <w:t>spectrum</w:t>
      </w:r>
      <w:r w:rsidRPr="00B53F89">
        <w:rPr>
          <w:rFonts w:eastAsiaTheme="minorEastAsia"/>
        </w:rPr>
        <w:t xml:space="preserve"> users </w:t>
      </w:r>
    </w:p>
    <w:p w14:paraId="2C29622C" w14:textId="77777777" w:rsidR="003F4B80" w:rsidRPr="00B53F89" w:rsidRDefault="003F4B80" w:rsidP="00A10BF6">
      <w:pPr>
        <w:pStyle w:val="ListBullet"/>
        <w:ind w:left="284" w:hanging="284"/>
      </w:pPr>
      <w:r w:rsidRPr="00B53F89">
        <w:rPr>
          <w:rFonts w:eastAsiaTheme="minorEastAsia"/>
        </w:rPr>
        <w:t>technology deployment planning</w:t>
      </w:r>
    </w:p>
    <w:p w14:paraId="4AA7F3FF" w14:textId="03A1A43C" w:rsidR="003F4B80" w:rsidRPr="00B53F89" w:rsidRDefault="003F4B80" w:rsidP="00A10BF6">
      <w:pPr>
        <w:pStyle w:val="ListBulletLast"/>
        <w:ind w:left="284" w:hanging="284"/>
        <w:rPr>
          <w:rFonts w:eastAsiaTheme="minorEastAsia"/>
        </w:rPr>
      </w:pPr>
      <w:r w:rsidRPr="00B53F89">
        <w:rPr>
          <w:rFonts w:eastAsiaTheme="minorEastAsia"/>
        </w:rPr>
        <w:t>capital-raising.</w:t>
      </w:r>
    </w:p>
    <w:p w14:paraId="28485874" w14:textId="6B0BA4F6" w:rsidR="003F4B80" w:rsidRPr="00B53F89" w:rsidRDefault="001D0A2E">
      <w:r w:rsidRPr="00B53F89">
        <w:t>Under current law, s</w:t>
      </w:r>
      <w:r w:rsidR="003F4B80" w:rsidRPr="00B53F89">
        <w:t>pecific allocation</w:t>
      </w:r>
      <w:r w:rsidR="00D23F2E" w:rsidRPr="00B53F89">
        <w:t xml:space="preserve"> processe</w:t>
      </w:r>
      <w:r w:rsidR="003F4B80" w:rsidRPr="00B53F89">
        <w:t>s depend on ACMA and</w:t>
      </w:r>
      <w:r w:rsidR="00C61075" w:rsidRPr="00B53F89">
        <w:t xml:space="preserve">, in some cases, </w:t>
      </w:r>
      <w:r w:rsidR="00AA6D3C" w:rsidRPr="00B53F89">
        <w:t>M</w:t>
      </w:r>
      <w:r w:rsidR="003F4B80" w:rsidRPr="00B53F89">
        <w:t xml:space="preserve">inisterial decisions made during the planning </w:t>
      </w:r>
      <w:r w:rsidR="00D23EA9" w:rsidRPr="00B53F89">
        <w:t>and allocation stages</w:t>
      </w:r>
      <w:r w:rsidR="003F4B80" w:rsidRPr="00B53F89">
        <w:t>, and reflect other relevant government policy considerations about planning priorities. Information from incumbent and prospective spectrum users about the demand for access to specific bands and the timing of any possible allocation will also provide important input to allocation decisions.</w:t>
      </w:r>
    </w:p>
    <w:p w14:paraId="7A76134F" w14:textId="35126171" w:rsidR="003F4B80" w:rsidRPr="00B53F89" w:rsidRDefault="003F4B80">
      <w:r w:rsidRPr="00B53F89">
        <w:t>There is no certainty that any band will move to</w:t>
      </w:r>
      <w:r w:rsidR="001D0A2E" w:rsidRPr="00B53F89">
        <w:t xml:space="preserve"> changed</w:t>
      </w:r>
      <w:r w:rsidRPr="00B53F89">
        <w:t xml:space="preserve"> allocation </w:t>
      </w:r>
      <w:r w:rsidR="001D0A2E" w:rsidRPr="00B53F89">
        <w:t xml:space="preserve">arrangements </w:t>
      </w:r>
      <w:r w:rsidRPr="00B53F89">
        <w:t xml:space="preserve">until </w:t>
      </w:r>
      <w:r w:rsidR="00A96CF8" w:rsidRPr="00B53F89">
        <w:t xml:space="preserve">the relevant </w:t>
      </w:r>
      <w:r w:rsidRPr="00B53F89">
        <w:t>formal decision has been made. The ACMA emphasises that the information presented here does not in any way pre-empt such formal decisions.</w:t>
      </w:r>
      <w:r w:rsidR="00447762" w:rsidRPr="00B53F89">
        <w:t xml:space="preserve"> </w:t>
      </w:r>
    </w:p>
    <w:p w14:paraId="1ECFAE3E" w14:textId="38C468BB" w:rsidR="003F4B80" w:rsidRPr="00B53F89" w:rsidRDefault="003F4B80">
      <w:r w:rsidRPr="00B53F89">
        <w:t>Even once a formal decision has been made to move towards a</w:t>
      </w:r>
      <w:r w:rsidR="001D0A2E" w:rsidRPr="00B53F89">
        <w:t xml:space="preserve"> changed</w:t>
      </w:r>
      <w:r w:rsidRPr="00B53F89">
        <w:t xml:space="preserve"> allocation</w:t>
      </w:r>
      <w:r w:rsidR="001D0A2E" w:rsidRPr="00B53F89">
        <w:t xml:space="preserve"> arrangement</w:t>
      </w:r>
      <w:r w:rsidRPr="00B53F89">
        <w:t xml:space="preserve">, the specific design of each </w:t>
      </w:r>
      <w:r w:rsidR="001D0A2E" w:rsidRPr="00B53F89">
        <w:t xml:space="preserve">arrangement is dependent on a range of planning </w:t>
      </w:r>
      <w:r w:rsidR="00352C46" w:rsidRPr="00B53F89">
        <w:t xml:space="preserve">and allocation </w:t>
      </w:r>
      <w:r w:rsidR="001D0A2E" w:rsidRPr="00B53F89">
        <w:t xml:space="preserve">decisions yet to be made. These considerations include, </w:t>
      </w:r>
      <w:r w:rsidRPr="00B53F89">
        <w:t>for example, allocation timing, methodology</w:t>
      </w:r>
      <w:r w:rsidR="001D0A2E" w:rsidRPr="00B53F89">
        <w:t xml:space="preserve"> (such as whether it involves an auction</w:t>
      </w:r>
      <w:r w:rsidR="00C33CDD" w:rsidRPr="00B53F89">
        <w:t>,</w:t>
      </w:r>
      <w:r w:rsidR="001D0A2E" w:rsidRPr="00B53F89">
        <w:t xml:space="preserve"> other price-based allocation or conversion of existing apparatus licences to spectrum licences, and whether it involves the issue of apparatus or spectrum licences, or a combination)</w:t>
      </w:r>
      <w:r w:rsidRPr="00B53F89">
        <w:t xml:space="preserve"> and lot configuration. The ACMA </w:t>
      </w:r>
      <w:r w:rsidR="003A1815" w:rsidRPr="00B53F89">
        <w:t>will</w:t>
      </w:r>
      <w:r w:rsidRPr="00B53F89">
        <w:t xml:space="preserve"> take account of feedback from industry about likely demand and their priorities for access to particular spectrum bands. </w:t>
      </w:r>
    </w:p>
    <w:p w14:paraId="11067ED7" w14:textId="2B4B1EAA" w:rsidR="00A61888" w:rsidRPr="00B53F89" w:rsidRDefault="00A61888" w:rsidP="00633E1E">
      <w:r w:rsidRPr="00B53F89">
        <w:t xml:space="preserve">The </w:t>
      </w:r>
      <w:r w:rsidR="00C61075" w:rsidRPr="00B53F89">
        <w:t>ACMA has completed a number of allocation and re-issue processes in recent years, providing significant predictability regarding spectrum availability in a number of key bands including 700 MHz</w:t>
      </w:r>
      <w:r w:rsidR="009655EF" w:rsidRPr="00B53F89">
        <w:t xml:space="preserve"> (</w:t>
      </w:r>
      <w:r w:rsidR="009655EF" w:rsidRPr="00B53F89">
        <w:rPr>
          <w:rFonts w:ascii="HelveticaNeueW01-45Ligh" w:hAnsi="HelveticaNeueW01-45Ligh"/>
        </w:rPr>
        <w:t>7</w:t>
      </w:r>
      <w:r w:rsidR="00015E27" w:rsidRPr="00B53F89">
        <w:rPr>
          <w:rFonts w:ascii="HelveticaNeueW01-45Ligh" w:hAnsi="HelveticaNeueW01-45Ligh"/>
        </w:rPr>
        <w:t>0</w:t>
      </w:r>
      <w:r w:rsidR="009655EF" w:rsidRPr="00B53F89">
        <w:rPr>
          <w:rFonts w:ascii="HelveticaNeueW01-45Ligh" w:hAnsi="HelveticaNeueW01-45Ligh"/>
        </w:rPr>
        <w:t>3</w:t>
      </w:r>
      <w:r w:rsidR="003208A0" w:rsidRPr="00B53F89">
        <w:rPr>
          <w:rFonts w:ascii="HelveticaNeueW01-45Ligh" w:hAnsi="HelveticaNeueW01-45Ligh" w:hint="eastAsia"/>
        </w:rPr>
        <w:t>–</w:t>
      </w:r>
      <w:r w:rsidR="009655EF" w:rsidRPr="00B53F89">
        <w:rPr>
          <w:rFonts w:ascii="HelveticaNeueW01-45Ligh" w:hAnsi="HelveticaNeueW01-45Ligh"/>
        </w:rPr>
        <w:t>7</w:t>
      </w:r>
      <w:r w:rsidR="00015E27" w:rsidRPr="00B53F89">
        <w:rPr>
          <w:rFonts w:ascii="HelveticaNeueW01-45Ligh" w:hAnsi="HelveticaNeueW01-45Ligh"/>
        </w:rPr>
        <w:t>4</w:t>
      </w:r>
      <w:r w:rsidR="009655EF" w:rsidRPr="00B53F89">
        <w:rPr>
          <w:rFonts w:ascii="HelveticaNeueW01-45Ligh" w:hAnsi="HelveticaNeueW01-45Ligh"/>
        </w:rPr>
        <w:t>8 MHz and 7</w:t>
      </w:r>
      <w:r w:rsidR="00015E27" w:rsidRPr="00B53F89">
        <w:rPr>
          <w:rFonts w:ascii="HelveticaNeueW01-45Ligh" w:hAnsi="HelveticaNeueW01-45Ligh"/>
        </w:rPr>
        <w:t>5</w:t>
      </w:r>
      <w:r w:rsidR="009655EF" w:rsidRPr="00B53F89">
        <w:rPr>
          <w:rFonts w:ascii="HelveticaNeueW01-45Ligh" w:hAnsi="HelveticaNeueW01-45Ligh"/>
        </w:rPr>
        <w:t>8</w:t>
      </w:r>
      <w:r w:rsidR="003208A0" w:rsidRPr="00B53F89">
        <w:rPr>
          <w:rFonts w:ascii="HelveticaNeueW01-45Ligh" w:hAnsi="HelveticaNeueW01-45Ligh" w:hint="eastAsia"/>
        </w:rPr>
        <w:t>–</w:t>
      </w:r>
      <w:r w:rsidR="00015E27" w:rsidRPr="00B53F89">
        <w:rPr>
          <w:rFonts w:ascii="HelveticaNeueW01-45Ligh" w:hAnsi="HelveticaNeueW01-45Ligh"/>
        </w:rPr>
        <w:t>803</w:t>
      </w:r>
      <w:r w:rsidR="009655EF" w:rsidRPr="00B53F89">
        <w:rPr>
          <w:rFonts w:ascii="HelveticaNeueW01-45Ligh" w:hAnsi="HelveticaNeueW01-45Ligh"/>
        </w:rPr>
        <w:t xml:space="preserve"> MHz)</w:t>
      </w:r>
      <w:r w:rsidR="00C61075" w:rsidRPr="00B53F89">
        <w:t>, 1800 MHz</w:t>
      </w:r>
      <w:r w:rsidR="009655EF" w:rsidRPr="00B53F89">
        <w:t xml:space="preserve"> (</w:t>
      </w:r>
      <w:r w:rsidR="009655EF" w:rsidRPr="00B53F89">
        <w:rPr>
          <w:rFonts w:ascii="HelveticaNeueW01-45Ligh" w:hAnsi="HelveticaNeueW01-45Ligh"/>
        </w:rPr>
        <w:t>1725</w:t>
      </w:r>
      <w:r w:rsidR="009655EF" w:rsidRPr="00B53F89">
        <w:rPr>
          <w:rFonts w:ascii="HelveticaNeueW01-45Ligh" w:hAnsi="HelveticaNeueW01-45Ligh" w:hint="eastAsia"/>
        </w:rPr>
        <w:t>–</w:t>
      </w:r>
      <w:r w:rsidR="009655EF" w:rsidRPr="00B53F89">
        <w:rPr>
          <w:rFonts w:ascii="HelveticaNeueW01-45Ligh" w:hAnsi="HelveticaNeueW01-45Ligh"/>
        </w:rPr>
        <w:t>1785 MHz and 1820</w:t>
      </w:r>
      <w:r w:rsidR="009655EF" w:rsidRPr="00B53F89">
        <w:rPr>
          <w:rFonts w:ascii="HelveticaNeueW01-45Ligh" w:hAnsi="HelveticaNeueW01-45Ligh" w:hint="eastAsia"/>
        </w:rPr>
        <w:t>–</w:t>
      </w:r>
      <w:r w:rsidR="009655EF" w:rsidRPr="00B53F89">
        <w:rPr>
          <w:rFonts w:ascii="HelveticaNeueW01-45Ligh" w:hAnsi="HelveticaNeueW01-45Ligh"/>
        </w:rPr>
        <w:t>1880 MHz)</w:t>
      </w:r>
      <w:r w:rsidR="00C61075" w:rsidRPr="00B53F89">
        <w:t xml:space="preserve">, </w:t>
      </w:r>
      <w:bookmarkStart w:id="335" w:name="_Hlk16255418"/>
      <w:r w:rsidR="00C61075" w:rsidRPr="00B53F89">
        <w:t>2</w:t>
      </w:r>
      <w:r w:rsidR="00FD7182" w:rsidRPr="00B53F89">
        <w:t>.1</w:t>
      </w:r>
      <w:r w:rsidR="00C61075" w:rsidRPr="00B53F89">
        <w:t xml:space="preserve"> GHz</w:t>
      </w:r>
      <w:r w:rsidR="00FD7182" w:rsidRPr="00B53F89">
        <w:t xml:space="preserve"> apparatus PTS</w:t>
      </w:r>
      <w:r w:rsidR="003D632C" w:rsidRPr="00B53F89">
        <w:t xml:space="preserve"> (</w:t>
      </w:r>
      <w:r w:rsidR="00633E1E" w:rsidRPr="00B53F89">
        <w:t>1920</w:t>
      </w:r>
      <w:r w:rsidR="00243870" w:rsidRPr="00B53F89">
        <w:t>–</w:t>
      </w:r>
      <w:r w:rsidR="00633E1E" w:rsidRPr="00B53F89">
        <w:t>1980 and 2110</w:t>
      </w:r>
      <w:r w:rsidR="00243870" w:rsidRPr="00B53F89">
        <w:t>–</w:t>
      </w:r>
      <w:r w:rsidR="00633E1E" w:rsidRPr="00B53F89">
        <w:t>2170 MHz)</w:t>
      </w:r>
      <w:r w:rsidR="00C61075" w:rsidRPr="00B53F89">
        <w:t xml:space="preserve">, </w:t>
      </w:r>
      <w:bookmarkEnd w:id="335"/>
      <w:r w:rsidR="00C61075" w:rsidRPr="00B53F89">
        <w:t>2.3 GHz</w:t>
      </w:r>
      <w:r w:rsidR="009655EF" w:rsidRPr="00B53F89">
        <w:t xml:space="preserve"> (</w:t>
      </w:r>
      <w:r w:rsidR="009655EF" w:rsidRPr="00B53F89">
        <w:rPr>
          <w:rFonts w:ascii="HelveticaNeueW01-45Ligh" w:hAnsi="HelveticaNeueW01-45Ligh"/>
        </w:rPr>
        <w:t>2302</w:t>
      </w:r>
      <w:r w:rsidR="003208A0" w:rsidRPr="00B53F89">
        <w:rPr>
          <w:rFonts w:ascii="HelveticaNeueW01-45Ligh" w:hAnsi="HelveticaNeueW01-45Ligh" w:hint="eastAsia"/>
        </w:rPr>
        <w:t>–</w:t>
      </w:r>
      <w:r w:rsidR="009655EF" w:rsidRPr="00B53F89">
        <w:rPr>
          <w:rFonts w:ascii="HelveticaNeueW01-45Ligh" w:hAnsi="HelveticaNeueW01-45Ligh"/>
        </w:rPr>
        <w:t>2400 MHz)</w:t>
      </w:r>
      <w:r w:rsidR="00D23F2E" w:rsidRPr="00B53F89">
        <w:t xml:space="preserve">, </w:t>
      </w:r>
      <w:r w:rsidR="00C61075" w:rsidRPr="00B53F89">
        <w:t>3.4 GHz</w:t>
      </w:r>
      <w:r w:rsidR="009655EF" w:rsidRPr="00B53F89">
        <w:t xml:space="preserve"> (</w:t>
      </w:r>
      <w:r w:rsidR="009655EF" w:rsidRPr="00B53F89">
        <w:rPr>
          <w:rFonts w:ascii="HelveticaNeueW01-45Ligh" w:hAnsi="HelveticaNeueW01-45Ligh"/>
        </w:rPr>
        <w:t>3425</w:t>
      </w:r>
      <w:r w:rsidR="003208A0" w:rsidRPr="00B53F89">
        <w:rPr>
          <w:rFonts w:ascii="HelveticaNeueW01-45Ligh" w:hAnsi="HelveticaNeueW01-45Ligh" w:hint="eastAsia"/>
        </w:rPr>
        <w:t>–</w:t>
      </w:r>
      <w:r w:rsidR="009655EF" w:rsidRPr="00B53F89">
        <w:rPr>
          <w:rFonts w:ascii="HelveticaNeueW01-45Ligh" w:hAnsi="HelveticaNeueW01-45Ligh"/>
        </w:rPr>
        <w:t>3442.5/3475</w:t>
      </w:r>
      <w:r w:rsidR="003208A0" w:rsidRPr="00B53F89">
        <w:rPr>
          <w:rFonts w:ascii="HelveticaNeueW01-45Ligh" w:hAnsi="HelveticaNeueW01-45Ligh" w:hint="eastAsia"/>
        </w:rPr>
        <w:t>–</w:t>
      </w:r>
      <w:r w:rsidR="009655EF" w:rsidRPr="00B53F89">
        <w:rPr>
          <w:rFonts w:ascii="HelveticaNeueW01-45Ligh" w:hAnsi="HelveticaNeueW01-45Ligh"/>
        </w:rPr>
        <w:t>3492.5 MHz and 3442.5</w:t>
      </w:r>
      <w:r w:rsidR="003208A0" w:rsidRPr="00B53F89">
        <w:rPr>
          <w:rFonts w:ascii="HelveticaNeueW01-45Ligh" w:hAnsi="HelveticaNeueW01-45Ligh" w:hint="eastAsia"/>
        </w:rPr>
        <w:t>–</w:t>
      </w:r>
      <w:r w:rsidR="009655EF" w:rsidRPr="00B53F89">
        <w:rPr>
          <w:rFonts w:ascii="HelveticaNeueW01-45Ligh" w:hAnsi="HelveticaNeueW01-45Ligh"/>
        </w:rPr>
        <w:t>3475/3542.5</w:t>
      </w:r>
      <w:r w:rsidR="003208A0" w:rsidRPr="00B53F89">
        <w:rPr>
          <w:rFonts w:ascii="HelveticaNeueW01-45Ligh" w:hAnsi="HelveticaNeueW01-45Ligh" w:hint="eastAsia"/>
        </w:rPr>
        <w:t>–</w:t>
      </w:r>
      <w:r w:rsidR="009655EF" w:rsidRPr="00B53F89">
        <w:rPr>
          <w:rFonts w:ascii="HelveticaNeueW01-45Ligh" w:hAnsi="HelveticaNeueW01-45Ligh"/>
        </w:rPr>
        <w:t>3575 MHz)</w:t>
      </w:r>
      <w:r w:rsidR="00D23F2E" w:rsidRPr="00B53F89">
        <w:t xml:space="preserve"> and 3.6 GHz</w:t>
      </w:r>
      <w:r w:rsidR="009655EF" w:rsidRPr="00B53F89">
        <w:t xml:space="preserve"> (</w:t>
      </w:r>
      <w:r w:rsidR="009655EF" w:rsidRPr="00B53F89">
        <w:rPr>
          <w:rFonts w:ascii="HelveticaNeueW01-45Ligh" w:hAnsi="HelveticaNeueW01-45Ligh"/>
        </w:rPr>
        <w:t>3575</w:t>
      </w:r>
      <w:r w:rsidR="003208A0" w:rsidRPr="00B53F89">
        <w:rPr>
          <w:rFonts w:ascii="HelveticaNeueW01-45Ligh" w:hAnsi="HelveticaNeueW01-45Ligh" w:hint="eastAsia"/>
        </w:rPr>
        <w:t>–</w:t>
      </w:r>
      <w:r w:rsidR="009655EF" w:rsidRPr="00B53F89">
        <w:rPr>
          <w:rFonts w:ascii="HelveticaNeueW01-45Ligh" w:hAnsi="HelveticaNeueW01-45Ligh"/>
        </w:rPr>
        <w:t>3700 MHz)</w:t>
      </w:r>
      <w:r w:rsidR="00C61075" w:rsidRPr="00B53F89">
        <w:t xml:space="preserve">. This has set the stage </w:t>
      </w:r>
      <w:r w:rsidRPr="00B53F89">
        <w:t xml:space="preserve">not only </w:t>
      </w:r>
      <w:r w:rsidR="00C61075" w:rsidRPr="00B53F89">
        <w:t xml:space="preserve">for </w:t>
      </w:r>
      <w:r w:rsidRPr="00B53F89">
        <w:t>improved services and greater choice for consumers</w:t>
      </w:r>
      <w:r w:rsidR="00CD20C4" w:rsidRPr="00B53F89">
        <w:t xml:space="preserve">, </w:t>
      </w:r>
      <w:r w:rsidR="00F41CDB" w:rsidRPr="00B53F89">
        <w:t>bu</w:t>
      </w:r>
      <w:r w:rsidRPr="00B53F89">
        <w:t>t also increases the opportunities for licensees to undertak</w:t>
      </w:r>
      <w:r w:rsidR="001C2180" w:rsidRPr="00B53F89">
        <w:t>e</w:t>
      </w:r>
      <w:r w:rsidRPr="00B53F89">
        <w:t xml:space="preserve"> trading and contribute to defragmentation in some bands, allowing more efficient use of spectrum.</w:t>
      </w:r>
    </w:p>
    <w:p w14:paraId="4A46E956" w14:textId="7DCA5104" w:rsidR="00CA46C1" w:rsidRPr="00B53F89" w:rsidRDefault="008F041B">
      <w:pPr>
        <w:keepNext/>
        <w:keepLines/>
        <w:sectPr w:rsidR="00CA46C1" w:rsidRPr="00B53F89" w:rsidSect="00E97880">
          <w:headerReference w:type="even" r:id="rId110"/>
          <w:headerReference w:type="default" r:id="rId111"/>
          <w:footerReference w:type="even" r:id="rId112"/>
          <w:footerReference w:type="default" r:id="rId113"/>
          <w:pgSz w:w="11906" w:h="16838" w:code="9"/>
          <w:pgMar w:top="1945" w:right="3101" w:bottom="1134" w:left="1134" w:header="709" w:footer="119" w:gutter="0"/>
          <w:pgNumType w:start="1"/>
          <w:cols w:space="708"/>
          <w:docGrid w:linePitch="360"/>
        </w:sectPr>
      </w:pPr>
      <w:r w:rsidRPr="00B53F89">
        <w:t xml:space="preserve">Following the proposed </w:t>
      </w:r>
      <w:r w:rsidR="003F4B80" w:rsidRPr="00B53F89">
        <w:t>series of timing and sequencing options for allocations planned over the next few years</w:t>
      </w:r>
      <w:r w:rsidRPr="00B53F89">
        <w:t xml:space="preserve"> that was published in the FYSO 2018</w:t>
      </w:r>
      <w:r w:rsidR="00243870" w:rsidRPr="00B53F89">
        <w:t>–</w:t>
      </w:r>
      <w:r w:rsidRPr="00B53F89">
        <w:t xml:space="preserve">22, we updated the forward allocation </w:t>
      </w:r>
      <w:r w:rsidR="0088477E" w:rsidRPr="00B53F89">
        <w:t xml:space="preserve">plan </w:t>
      </w:r>
      <w:r w:rsidR="001B12D2" w:rsidRPr="00B53F89">
        <w:t>in the draft FYSO 2019</w:t>
      </w:r>
      <w:r w:rsidR="002C3401" w:rsidRPr="00B53F89">
        <w:t>–</w:t>
      </w:r>
      <w:r w:rsidR="001B12D2" w:rsidRPr="00B53F89">
        <w:t xml:space="preserve">23 </w:t>
      </w:r>
      <w:r w:rsidRPr="00B53F89">
        <w:t xml:space="preserve">and </w:t>
      </w:r>
      <w:r w:rsidR="001B12D2" w:rsidRPr="00B53F89">
        <w:t xml:space="preserve">sought </w:t>
      </w:r>
      <w:r w:rsidRPr="00B53F89">
        <w:t>stakeholder feedback</w:t>
      </w:r>
      <w:r w:rsidR="003F4B80" w:rsidRPr="00B53F89" w:rsidDel="00586644">
        <w:t>.</w:t>
      </w:r>
      <w:r w:rsidR="001B12D2" w:rsidRPr="00B53F89">
        <w:t xml:space="preserve"> Stakeholder feedback is summarised in </w:t>
      </w:r>
      <w:r w:rsidR="00303368" w:rsidRPr="00B53F89">
        <w:t>the</w:t>
      </w:r>
      <w:r w:rsidR="001B12D2" w:rsidRPr="00B53F89">
        <w:t xml:space="preserve"> </w:t>
      </w:r>
      <w:r w:rsidR="00303368" w:rsidRPr="00B53F89">
        <w:t>Addendum to FYSO 2019</w:t>
      </w:r>
      <w:r w:rsidR="003208A0" w:rsidRPr="00B53F89">
        <w:t>–</w:t>
      </w:r>
      <w:r w:rsidR="00303368" w:rsidRPr="00B53F89">
        <w:t>23</w:t>
      </w:r>
      <w:r w:rsidR="003208A0" w:rsidRPr="00B53F89">
        <w:t>—</w:t>
      </w:r>
      <w:r w:rsidR="00303368" w:rsidRPr="00B53F89">
        <w:t>Response to submissions</w:t>
      </w:r>
      <w:r w:rsidR="001B12D2" w:rsidRPr="00B53F89">
        <w:t>.</w:t>
      </w:r>
    </w:p>
    <w:p w14:paraId="5BFEF011" w14:textId="77777777" w:rsidR="003F4B80" w:rsidRPr="00B53F89" w:rsidRDefault="003F4B80">
      <w:pPr>
        <w:pStyle w:val="Heading2"/>
      </w:pPr>
      <w:bookmarkStart w:id="336" w:name="_Toc510104964"/>
      <w:bookmarkStart w:id="337" w:name="_Toc510105761"/>
      <w:bookmarkStart w:id="338" w:name="_Toc510795093"/>
      <w:bookmarkStart w:id="339" w:name="_Toc511716294"/>
      <w:bookmarkStart w:id="340" w:name="_Toc511719105"/>
      <w:bookmarkStart w:id="341" w:name="_Toc522794098"/>
      <w:bookmarkStart w:id="342" w:name="_Toc18505553"/>
      <w:r w:rsidRPr="00B53F89">
        <w:lastRenderedPageBreak/>
        <w:t>What we</w:t>
      </w:r>
      <w:r w:rsidR="009D54DB" w:rsidRPr="00B53F89">
        <w:t>’</w:t>
      </w:r>
      <w:r w:rsidRPr="00B53F89">
        <w:t>re proposing</w:t>
      </w:r>
      <w:bookmarkEnd w:id="336"/>
      <w:bookmarkEnd w:id="337"/>
      <w:bookmarkEnd w:id="338"/>
      <w:bookmarkEnd w:id="339"/>
      <w:bookmarkEnd w:id="340"/>
      <w:bookmarkEnd w:id="341"/>
      <w:bookmarkEnd w:id="342"/>
    </w:p>
    <w:p w14:paraId="672AD33E" w14:textId="357657F7" w:rsidR="003F4B80" w:rsidRPr="00B53F89" w:rsidRDefault="005234FD">
      <w:r w:rsidRPr="00B53F89">
        <w:t>T</w:t>
      </w:r>
      <w:r w:rsidR="003F4B80" w:rsidRPr="00B53F89">
        <w:t xml:space="preserve">he set of spectrum bands </w:t>
      </w:r>
      <w:r w:rsidR="002026C0" w:rsidRPr="00B53F89">
        <w:t xml:space="preserve">under consideration for potential </w:t>
      </w:r>
      <w:r w:rsidR="003F4B80" w:rsidRPr="00B53F89">
        <w:t xml:space="preserve">future </w:t>
      </w:r>
      <w:r w:rsidR="001B12D2" w:rsidRPr="00B53F89">
        <w:rPr>
          <w:rFonts w:cs="Arial"/>
        </w:rPr>
        <w:t>major allocations</w:t>
      </w:r>
      <w:r w:rsidR="001B12D2" w:rsidRPr="00B53F89" w:rsidDel="001B12D2">
        <w:t xml:space="preserve"> </w:t>
      </w:r>
      <w:r w:rsidR="003F4B80" w:rsidRPr="00B53F89">
        <w:t>is outlined in Table</w:t>
      </w:r>
      <w:r w:rsidR="00D71281" w:rsidRPr="00B53F89">
        <w:t xml:space="preserve"> </w:t>
      </w:r>
      <w:r w:rsidR="00196553" w:rsidRPr="00B53F89">
        <w:t>1</w:t>
      </w:r>
      <w:r w:rsidR="00D71281" w:rsidRPr="00B53F89">
        <w:t>0</w:t>
      </w:r>
      <w:r w:rsidR="004047DA" w:rsidRPr="00B53F89">
        <w:t>.</w:t>
      </w:r>
      <w:r w:rsidR="003F4B80" w:rsidRPr="00B53F89">
        <w:t xml:space="preserve"> </w:t>
      </w:r>
    </w:p>
    <w:p w14:paraId="70F6EA28" w14:textId="59BCD314" w:rsidR="00585FB9" w:rsidRPr="00B53F89" w:rsidRDefault="00A54553" w:rsidP="00A10BF6">
      <w:pPr>
        <w:pStyle w:val="ACMATableHeader"/>
        <w:numPr>
          <w:ilvl w:val="0"/>
          <w:numId w:val="0"/>
        </w:numPr>
      </w:pPr>
      <w:r>
        <w:pict w14:anchorId="22CC28CD">
          <v:shape id="_x0000_i1043" type="#_x0000_t75" alt="A close up of a sign&#10;&#10;Description automatically generated" style="width:18.75pt;height:11.25pt;visibility:visible;mso-wrap-style:square">
            <v:imagedata r:id="rId43" o:title="A close up of a sign&#10;&#10;Description automatically generated"/>
          </v:shape>
        </w:pict>
      </w:r>
      <w:r w:rsidR="00125C80">
        <w:t xml:space="preserve"> </w:t>
      </w:r>
      <w:r w:rsidR="0065435D" w:rsidRPr="00B53F89">
        <w:t>Table 10:</w:t>
      </w:r>
      <w:r w:rsidR="0065435D" w:rsidRPr="00B53F89">
        <w:tab/>
      </w:r>
      <w:r w:rsidR="00585FB9" w:rsidRPr="00B53F89">
        <w:t>Spectrum bands under consideration</w:t>
      </w:r>
      <w:r w:rsidR="0093278E" w:rsidRPr="00B53F89">
        <w:t xml:space="preserve"> for </w:t>
      </w:r>
      <w:r w:rsidR="00A13E17" w:rsidRPr="00B53F89">
        <w:t>potential future</w:t>
      </w:r>
      <w:r w:rsidR="0093278E" w:rsidRPr="00B53F89">
        <w:t xml:space="preserve"> allocations</w:t>
      </w:r>
    </w:p>
    <w:tbl>
      <w:tblPr>
        <w:tblW w:w="5000" w:type="pct"/>
        <w:tblCellMar>
          <w:top w:w="57" w:type="dxa"/>
          <w:left w:w="57" w:type="dxa"/>
          <w:bottom w:w="57" w:type="dxa"/>
          <w:right w:w="57" w:type="dxa"/>
        </w:tblCellMar>
        <w:tblLook w:val="04A0" w:firstRow="1" w:lastRow="0" w:firstColumn="1" w:lastColumn="0" w:noHBand="0" w:noVBand="1"/>
        <w:tblCaption w:val="Spectrum bands currently being considered for allocation"/>
        <w:tblDescription w:val="Table includes information about multi-band residual lots, 3.6 GHz band, 850 MHz band, 900 MHz band, mmWave band and 1.5 GHz band."/>
      </w:tblPr>
      <w:tblGrid>
        <w:gridCol w:w="1272"/>
        <w:gridCol w:w="1685"/>
        <w:gridCol w:w="1581"/>
        <w:gridCol w:w="3123"/>
      </w:tblGrid>
      <w:tr w:rsidR="00585FB9" w:rsidRPr="00B53F89" w14:paraId="44DE40DA" w14:textId="77777777" w:rsidTr="00DE694D">
        <w:trPr>
          <w:tblHeader/>
        </w:trPr>
        <w:tc>
          <w:tcPr>
            <w:tcW w:w="830" w:type="pct"/>
            <w:tcBorders>
              <w:top w:val="single" w:sz="4" w:space="0" w:color="auto"/>
              <w:left w:val="single" w:sz="4" w:space="0" w:color="auto"/>
              <w:bottom w:val="single" w:sz="4" w:space="0" w:color="auto"/>
              <w:right w:val="single" w:sz="4" w:space="0" w:color="auto"/>
            </w:tcBorders>
            <w:shd w:val="clear" w:color="auto" w:fill="404040" w:themeFill="text1" w:themeFillTint="BF"/>
          </w:tcPr>
          <w:p w14:paraId="4B81EB4E" w14:textId="77777777" w:rsidR="00585FB9" w:rsidRPr="00B53F89" w:rsidRDefault="00585FB9" w:rsidP="00B747E1">
            <w:pPr>
              <w:pStyle w:val="TableHeading"/>
            </w:pPr>
            <w:r w:rsidRPr="00B53F89">
              <w:t>Band name</w:t>
            </w:r>
          </w:p>
        </w:tc>
        <w:tc>
          <w:tcPr>
            <w:tcW w:w="1100" w:type="pct"/>
            <w:tcBorders>
              <w:top w:val="single" w:sz="4" w:space="0" w:color="auto"/>
              <w:left w:val="single" w:sz="4" w:space="0" w:color="auto"/>
              <w:bottom w:val="single" w:sz="4" w:space="0" w:color="auto"/>
              <w:right w:val="single" w:sz="4" w:space="0" w:color="auto"/>
            </w:tcBorders>
            <w:shd w:val="clear" w:color="auto" w:fill="404040" w:themeFill="text1" w:themeFillTint="BF"/>
          </w:tcPr>
          <w:p w14:paraId="522CE308" w14:textId="3476D809" w:rsidR="00585FB9" w:rsidRPr="00B53F89" w:rsidRDefault="00585FB9" w:rsidP="00B747E1">
            <w:pPr>
              <w:pStyle w:val="TableHeading"/>
            </w:pPr>
            <w:r w:rsidRPr="00B53F89">
              <w:t>Spectrum parameters</w:t>
            </w:r>
          </w:p>
        </w:tc>
        <w:tc>
          <w:tcPr>
            <w:tcW w:w="1032" w:type="pct"/>
            <w:tcBorders>
              <w:top w:val="single" w:sz="4" w:space="0" w:color="auto"/>
              <w:left w:val="single" w:sz="4" w:space="0" w:color="auto"/>
              <w:bottom w:val="single" w:sz="4" w:space="0" w:color="auto"/>
              <w:right w:val="single" w:sz="4" w:space="0" w:color="auto"/>
            </w:tcBorders>
            <w:shd w:val="clear" w:color="auto" w:fill="404040" w:themeFill="text1" w:themeFillTint="BF"/>
          </w:tcPr>
          <w:p w14:paraId="1F0E7FA0" w14:textId="77777777" w:rsidR="00585FB9" w:rsidRPr="00B53F89" w:rsidRDefault="00585FB9" w:rsidP="00B747E1">
            <w:pPr>
              <w:pStyle w:val="TableHeading"/>
            </w:pPr>
            <w:r w:rsidRPr="00B53F89">
              <w:t>Current use</w:t>
            </w:r>
          </w:p>
        </w:tc>
        <w:tc>
          <w:tcPr>
            <w:tcW w:w="2038" w:type="pct"/>
            <w:tcBorders>
              <w:top w:val="single" w:sz="4" w:space="0" w:color="auto"/>
              <w:left w:val="single" w:sz="4" w:space="0" w:color="auto"/>
              <w:bottom w:val="single" w:sz="4" w:space="0" w:color="auto"/>
              <w:right w:val="single" w:sz="4" w:space="0" w:color="auto"/>
            </w:tcBorders>
            <w:shd w:val="clear" w:color="auto" w:fill="404040" w:themeFill="text1" w:themeFillTint="BF"/>
          </w:tcPr>
          <w:p w14:paraId="0A42EF2D" w14:textId="77777777" w:rsidR="00585FB9" w:rsidRPr="00B53F89" w:rsidRDefault="00585FB9" w:rsidP="00B747E1">
            <w:pPr>
              <w:pStyle w:val="TableHeading"/>
            </w:pPr>
            <w:r w:rsidRPr="00B53F89">
              <w:t>Comments</w:t>
            </w:r>
          </w:p>
        </w:tc>
      </w:tr>
      <w:tr w:rsidR="00445F0B" w:rsidRPr="00B53F89" w14:paraId="36EAC64E" w14:textId="77777777" w:rsidTr="00DE694D">
        <w:tc>
          <w:tcPr>
            <w:tcW w:w="830" w:type="pct"/>
            <w:tcBorders>
              <w:top w:val="single" w:sz="4" w:space="0" w:color="auto"/>
              <w:left w:val="single" w:sz="4" w:space="0" w:color="auto"/>
              <w:bottom w:val="single" w:sz="4" w:space="0" w:color="auto"/>
              <w:right w:val="single" w:sz="4" w:space="0" w:color="auto"/>
            </w:tcBorders>
            <w:shd w:val="clear" w:color="auto" w:fill="FFFFFF" w:themeFill="background1"/>
          </w:tcPr>
          <w:p w14:paraId="1D6ACB2E" w14:textId="4AD5394B" w:rsidR="00445F0B" w:rsidRPr="00B53F89" w:rsidRDefault="00445F0B" w:rsidP="00445F0B">
            <w:pPr>
              <w:spacing w:after="0"/>
              <w:rPr>
                <w:szCs w:val="20"/>
              </w:rPr>
            </w:pPr>
            <w:r w:rsidRPr="00B53F89">
              <w:rPr>
                <w:szCs w:val="20"/>
              </w:rPr>
              <w:t xml:space="preserve">850 MHz </w:t>
            </w:r>
            <w:r w:rsidR="00545114" w:rsidRPr="00B53F89">
              <w:rPr>
                <w:szCs w:val="20"/>
              </w:rPr>
              <w:t xml:space="preserve">expansion </w:t>
            </w:r>
            <w:r w:rsidRPr="00B53F89">
              <w:rPr>
                <w:szCs w:val="20"/>
              </w:rPr>
              <w:t>band</w:t>
            </w:r>
          </w:p>
        </w:tc>
        <w:tc>
          <w:tcPr>
            <w:tcW w:w="1100" w:type="pct"/>
            <w:tcBorders>
              <w:top w:val="single" w:sz="4" w:space="0" w:color="auto"/>
              <w:left w:val="single" w:sz="4" w:space="0" w:color="auto"/>
              <w:bottom w:val="single" w:sz="4" w:space="0" w:color="auto"/>
              <w:right w:val="single" w:sz="4" w:space="0" w:color="auto"/>
            </w:tcBorders>
            <w:shd w:val="clear" w:color="auto" w:fill="FFFFFF" w:themeFill="background1"/>
          </w:tcPr>
          <w:p w14:paraId="25017157" w14:textId="2033F8C1" w:rsidR="00445F0B" w:rsidRPr="00B53F89" w:rsidRDefault="00445F0B" w:rsidP="00445F0B">
            <w:pPr>
              <w:spacing w:after="0"/>
              <w:rPr>
                <w:szCs w:val="20"/>
              </w:rPr>
            </w:pPr>
            <w:r w:rsidRPr="00B53F89">
              <w:rPr>
                <w:szCs w:val="20"/>
              </w:rPr>
              <w:t xml:space="preserve">809–824 MHz and </w:t>
            </w:r>
            <w:r w:rsidR="00FA7A83" w:rsidRPr="00B53F89">
              <w:rPr>
                <w:szCs w:val="20"/>
              </w:rPr>
              <w:br/>
            </w:r>
            <w:r w:rsidRPr="00B53F89">
              <w:rPr>
                <w:szCs w:val="20"/>
              </w:rPr>
              <w:t>85</w:t>
            </w:r>
            <w:r w:rsidR="000718EC" w:rsidRPr="00B53F89">
              <w:rPr>
                <w:szCs w:val="20"/>
              </w:rPr>
              <w:t>4</w:t>
            </w:r>
            <w:r w:rsidRPr="00B53F89">
              <w:rPr>
                <w:szCs w:val="20"/>
              </w:rPr>
              <w:t>–8</w:t>
            </w:r>
            <w:r w:rsidR="000718EC" w:rsidRPr="00B53F89">
              <w:rPr>
                <w:szCs w:val="20"/>
              </w:rPr>
              <w:t>69</w:t>
            </w:r>
            <w:r w:rsidRPr="00B53F89">
              <w:rPr>
                <w:szCs w:val="20"/>
              </w:rPr>
              <w:t xml:space="preserve"> MHz</w:t>
            </w:r>
          </w:p>
        </w:tc>
        <w:tc>
          <w:tcPr>
            <w:tcW w:w="1032" w:type="pct"/>
            <w:tcBorders>
              <w:top w:val="single" w:sz="4" w:space="0" w:color="auto"/>
              <w:left w:val="single" w:sz="4" w:space="0" w:color="auto"/>
              <w:bottom w:val="single" w:sz="4" w:space="0" w:color="auto"/>
              <w:right w:val="single" w:sz="4" w:space="0" w:color="auto"/>
            </w:tcBorders>
            <w:shd w:val="clear" w:color="auto" w:fill="FFFFFF" w:themeFill="background1"/>
          </w:tcPr>
          <w:p w14:paraId="4365D0FA" w14:textId="1BFA91C9" w:rsidR="00445F0B" w:rsidRPr="00B53F89" w:rsidRDefault="00445F0B" w:rsidP="00445F0B">
            <w:pPr>
              <w:spacing w:after="0"/>
              <w:rPr>
                <w:szCs w:val="20"/>
              </w:rPr>
            </w:pPr>
            <w:r w:rsidRPr="00B53F89">
              <w:rPr>
                <w:szCs w:val="20"/>
              </w:rPr>
              <w:t>Fixed links</w:t>
            </w:r>
            <w:r w:rsidR="005428EA" w:rsidRPr="00B53F89">
              <w:rPr>
                <w:szCs w:val="20"/>
              </w:rPr>
              <w:t xml:space="preserve"> point-to-point</w:t>
            </w:r>
            <w:r w:rsidRPr="00B53F89">
              <w:rPr>
                <w:szCs w:val="20"/>
              </w:rPr>
              <w:t>, point-to-multipoint, land mobile</w:t>
            </w:r>
          </w:p>
        </w:tc>
        <w:tc>
          <w:tcPr>
            <w:tcW w:w="2038" w:type="pct"/>
            <w:tcBorders>
              <w:top w:val="single" w:sz="4" w:space="0" w:color="auto"/>
              <w:left w:val="single" w:sz="4" w:space="0" w:color="auto"/>
              <w:bottom w:val="single" w:sz="4" w:space="0" w:color="auto"/>
              <w:right w:val="single" w:sz="4" w:space="0" w:color="auto"/>
            </w:tcBorders>
            <w:shd w:val="clear" w:color="auto" w:fill="FFFFFF" w:themeFill="background1"/>
          </w:tcPr>
          <w:p w14:paraId="340ECD67" w14:textId="0B48922A" w:rsidR="00445F0B" w:rsidRPr="00B53F89" w:rsidRDefault="00445F0B" w:rsidP="00445F0B">
            <w:pPr>
              <w:spacing w:after="40"/>
              <w:rPr>
                <w:szCs w:val="20"/>
              </w:rPr>
            </w:pPr>
            <w:r w:rsidRPr="00B53F89">
              <w:rPr>
                <w:szCs w:val="20"/>
              </w:rPr>
              <w:t xml:space="preserve">Decision to re-farm </w:t>
            </w:r>
            <w:r w:rsidR="002616CF" w:rsidRPr="00B53F89">
              <w:rPr>
                <w:szCs w:val="20"/>
              </w:rPr>
              <w:t xml:space="preserve">optimised for </w:t>
            </w:r>
            <w:r w:rsidR="0072787A" w:rsidRPr="00B53F89">
              <w:rPr>
                <w:szCs w:val="20"/>
              </w:rPr>
              <w:t>wireless</w:t>
            </w:r>
            <w:r w:rsidR="002616CF" w:rsidRPr="00B53F89">
              <w:rPr>
                <w:szCs w:val="20"/>
              </w:rPr>
              <w:t xml:space="preserve"> broadband was </w:t>
            </w:r>
            <w:r w:rsidRPr="00B53F89">
              <w:rPr>
                <w:szCs w:val="20"/>
              </w:rPr>
              <w:t xml:space="preserve">made </w:t>
            </w:r>
            <w:r w:rsidR="00C107F5" w:rsidRPr="00B53F89">
              <w:rPr>
                <w:szCs w:val="20"/>
              </w:rPr>
              <w:t>in November 2015. C</w:t>
            </w:r>
            <w:r w:rsidRPr="00B53F89">
              <w:rPr>
                <w:szCs w:val="20"/>
              </w:rPr>
              <w:t xml:space="preserve">learance process </w:t>
            </w:r>
            <w:r w:rsidR="00C107F5" w:rsidRPr="00B53F89">
              <w:rPr>
                <w:szCs w:val="20"/>
              </w:rPr>
              <w:t xml:space="preserve">extends </w:t>
            </w:r>
            <w:r w:rsidRPr="00B53F89">
              <w:rPr>
                <w:szCs w:val="20"/>
              </w:rPr>
              <w:t>to 2024</w:t>
            </w:r>
          </w:p>
        </w:tc>
      </w:tr>
      <w:tr w:rsidR="00585FB9" w:rsidRPr="00B53F89" w14:paraId="41402908" w14:textId="77777777" w:rsidTr="00DE694D">
        <w:tc>
          <w:tcPr>
            <w:tcW w:w="830" w:type="pct"/>
            <w:tcBorders>
              <w:top w:val="single" w:sz="4" w:space="0" w:color="auto"/>
              <w:left w:val="single" w:sz="4" w:space="0" w:color="auto"/>
              <w:bottom w:val="single" w:sz="4" w:space="0" w:color="auto"/>
              <w:right w:val="single" w:sz="4" w:space="0" w:color="auto"/>
            </w:tcBorders>
            <w:shd w:val="clear" w:color="auto" w:fill="auto"/>
          </w:tcPr>
          <w:p w14:paraId="67C668AA" w14:textId="01B3AA0F" w:rsidR="00585FB9" w:rsidRPr="00B53F89" w:rsidRDefault="00585FB9" w:rsidP="00585FB9">
            <w:pPr>
              <w:spacing w:after="0"/>
              <w:rPr>
                <w:szCs w:val="20"/>
              </w:rPr>
            </w:pPr>
            <w:r w:rsidRPr="00B53F89">
              <w:rPr>
                <w:szCs w:val="20"/>
              </w:rPr>
              <w:t>900 MHz band</w:t>
            </w:r>
          </w:p>
        </w:tc>
        <w:tc>
          <w:tcPr>
            <w:tcW w:w="1100" w:type="pct"/>
            <w:tcBorders>
              <w:top w:val="single" w:sz="4" w:space="0" w:color="auto"/>
              <w:left w:val="single" w:sz="4" w:space="0" w:color="auto"/>
              <w:bottom w:val="single" w:sz="4" w:space="0" w:color="auto"/>
              <w:right w:val="single" w:sz="4" w:space="0" w:color="auto"/>
            </w:tcBorders>
            <w:shd w:val="clear" w:color="auto" w:fill="auto"/>
          </w:tcPr>
          <w:p w14:paraId="41AA22CA" w14:textId="77777777" w:rsidR="00585FB9" w:rsidRPr="00B53F89" w:rsidRDefault="00585FB9" w:rsidP="00585FB9">
            <w:pPr>
              <w:spacing w:after="0"/>
              <w:rPr>
                <w:szCs w:val="20"/>
              </w:rPr>
            </w:pPr>
            <w:r w:rsidRPr="00B53F89">
              <w:rPr>
                <w:szCs w:val="20"/>
              </w:rPr>
              <w:t xml:space="preserve">890–915 MHz and </w:t>
            </w:r>
            <w:r w:rsidR="00FA7A83" w:rsidRPr="00B53F89">
              <w:rPr>
                <w:szCs w:val="20"/>
              </w:rPr>
              <w:br/>
            </w:r>
            <w:r w:rsidRPr="00B53F89">
              <w:rPr>
                <w:szCs w:val="20"/>
              </w:rPr>
              <w:t>935–960 MHz</w:t>
            </w:r>
          </w:p>
        </w:tc>
        <w:tc>
          <w:tcPr>
            <w:tcW w:w="1032" w:type="pct"/>
            <w:tcBorders>
              <w:top w:val="single" w:sz="4" w:space="0" w:color="auto"/>
              <w:left w:val="single" w:sz="4" w:space="0" w:color="auto"/>
              <w:bottom w:val="single" w:sz="4" w:space="0" w:color="auto"/>
              <w:right w:val="single" w:sz="4" w:space="0" w:color="auto"/>
            </w:tcBorders>
            <w:shd w:val="clear" w:color="auto" w:fill="auto"/>
          </w:tcPr>
          <w:p w14:paraId="370581D7" w14:textId="45D6E755" w:rsidR="00585FB9" w:rsidRPr="00B53F89" w:rsidRDefault="00585FB9" w:rsidP="00585FB9">
            <w:pPr>
              <w:spacing w:after="0"/>
              <w:rPr>
                <w:szCs w:val="20"/>
              </w:rPr>
            </w:pPr>
            <w:r w:rsidRPr="00B53F89">
              <w:rPr>
                <w:szCs w:val="20"/>
              </w:rPr>
              <w:t>3G, 4G</w:t>
            </w:r>
          </w:p>
        </w:tc>
        <w:tc>
          <w:tcPr>
            <w:tcW w:w="2038" w:type="pct"/>
            <w:tcBorders>
              <w:top w:val="single" w:sz="4" w:space="0" w:color="auto"/>
              <w:left w:val="single" w:sz="4" w:space="0" w:color="auto"/>
              <w:bottom w:val="single" w:sz="4" w:space="0" w:color="auto"/>
              <w:right w:val="single" w:sz="4" w:space="0" w:color="auto"/>
            </w:tcBorders>
            <w:shd w:val="clear" w:color="auto" w:fill="auto"/>
          </w:tcPr>
          <w:p w14:paraId="2BC8610E" w14:textId="7A1BFAA5" w:rsidR="00585FB9" w:rsidRPr="00B53F89" w:rsidRDefault="00585FB9" w:rsidP="002460EB">
            <w:pPr>
              <w:spacing w:after="120"/>
              <w:rPr>
                <w:szCs w:val="20"/>
              </w:rPr>
            </w:pPr>
            <w:r w:rsidRPr="00B53F89">
              <w:rPr>
                <w:szCs w:val="20"/>
              </w:rPr>
              <w:t xml:space="preserve">ACMA </w:t>
            </w:r>
            <w:r w:rsidR="00835E98" w:rsidRPr="00B53F89">
              <w:rPr>
                <w:szCs w:val="20"/>
              </w:rPr>
              <w:t>decision on way forward</w:t>
            </w:r>
            <w:r w:rsidRPr="00B53F89">
              <w:rPr>
                <w:szCs w:val="20"/>
              </w:rPr>
              <w:t xml:space="preserve"> </w:t>
            </w:r>
            <w:r w:rsidR="007269A3" w:rsidRPr="00B53F89">
              <w:rPr>
                <w:szCs w:val="20"/>
              </w:rPr>
              <w:t>i</w:t>
            </w:r>
            <w:r w:rsidR="00EF4037" w:rsidRPr="00B53F89">
              <w:rPr>
                <w:szCs w:val="20"/>
              </w:rPr>
              <w:t xml:space="preserve">n </w:t>
            </w:r>
            <w:r w:rsidR="007269A3" w:rsidRPr="00B53F89">
              <w:rPr>
                <w:szCs w:val="20"/>
              </w:rPr>
              <w:t>October</w:t>
            </w:r>
            <w:r w:rsidR="00EF4037" w:rsidRPr="00B53F89">
              <w:rPr>
                <w:szCs w:val="20"/>
              </w:rPr>
              <w:t xml:space="preserve"> 2017 </w:t>
            </w:r>
            <w:r w:rsidR="003240F9" w:rsidRPr="00B53F89">
              <w:rPr>
                <w:szCs w:val="20"/>
              </w:rPr>
              <w:t xml:space="preserve">prompted </w:t>
            </w:r>
            <w:r w:rsidR="00176275" w:rsidRPr="00B53F89">
              <w:rPr>
                <w:szCs w:val="20"/>
              </w:rPr>
              <w:t xml:space="preserve">comments </w:t>
            </w:r>
            <w:r w:rsidR="003240F9" w:rsidRPr="00B53F89">
              <w:rPr>
                <w:szCs w:val="20"/>
              </w:rPr>
              <w:t>regarding continued operations in this band</w:t>
            </w:r>
            <w:r w:rsidR="00673940" w:rsidRPr="00B53F89">
              <w:rPr>
                <w:szCs w:val="20"/>
              </w:rPr>
              <w:t>.</w:t>
            </w:r>
            <w:r w:rsidRPr="00B53F89">
              <w:rPr>
                <w:szCs w:val="20"/>
              </w:rPr>
              <w:t xml:space="preserve"> </w:t>
            </w:r>
            <w:r w:rsidR="00577600" w:rsidRPr="00B53F89">
              <w:rPr>
                <w:szCs w:val="20"/>
              </w:rPr>
              <w:t>Based on those comments, t</w:t>
            </w:r>
            <w:r w:rsidR="005A2C0D" w:rsidRPr="00B53F89">
              <w:rPr>
                <w:szCs w:val="20"/>
              </w:rPr>
              <w:t>he</w:t>
            </w:r>
            <w:r w:rsidR="0094426F" w:rsidRPr="00B53F89">
              <w:rPr>
                <w:szCs w:val="20"/>
              </w:rPr>
              <w:t xml:space="preserve"> ACMA </w:t>
            </w:r>
            <w:r w:rsidR="00CE1133" w:rsidRPr="00B53F89">
              <w:rPr>
                <w:szCs w:val="20"/>
              </w:rPr>
              <w:t>ha</w:t>
            </w:r>
            <w:r w:rsidR="002C6CB2" w:rsidRPr="00B53F89">
              <w:rPr>
                <w:szCs w:val="20"/>
              </w:rPr>
              <w:t>s</w:t>
            </w:r>
            <w:r w:rsidR="005A2C0D" w:rsidRPr="00B53F89">
              <w:rPr>
                <w:szCs w:val="20"/>
              </w:rPr>
              <w:t xml:space="preserve"> </w:t>
            </w:r>
            <w:r w:rsidR="00577600" w:rsidRPr="00B53F89">
              <w:rPr>
                <w:szCs w:val="20"/>
              </w:rPr>
              <w:t xml:space="preserve">reconsidered </w:t>
            </w:r>
            <w:r w:rsidR="001D0A2E" w:rsidRPr="00B53F89">
              <w:rPr>
                <w:szCs w:val="20"/>
              </w:rPr>
              <w:t>configuration</w:t>
            </w:r>
            <w:r w:rsidR="0094426F" w:rsidRPr="00B53F89">
              <w:rPr>
                <w:szCs w:val="20"/>
              </w:rPr>
              <w:t xml:space="preserve"> options</w:t>
            </w:r>
          </w:p>
        </w:tc>
      </w:tr>
      <w:tr w:rsidR="00BD5B2C" w:rsidRPr="00B53F89" w14:paraId="53CA9632" w14:textId="77777777" w:rsidTr="00DE694D">
        <w:tc>
          <w:tcPr>
            <w:tcW w:w="830" w:type="pct"/>
            <w:tcBorders>
              <w:top w:val="single" w:sz="4" w:space="0" w:color="auto"/>
              <w:left w:val="single" w:sz="4" w:space="0" w:color="auto"/>
              <w:bottom w:val="single" w:sz="4" w:space="0" w:color="auto"/>
              <w:right w:val="single" w:sz="4" w:space="0" w:color="auto"/>
            </w:tcBorders>
            <w:shd w:val="clear" w:color="auto" w:fill="auto"/>
          </w:tcPr>
          <w:p w14:paraId="5289C32F" w14:textId="77777777" w:rsidR="00BD5B2C" w:rsidRPr="00B53F89" w:rsidRDefault="00BD5B2C" w:rsidP="006F5B0F">
            <w:pPr>
              <w:spacing w:after="0"/>
              <w:rPr>
                <w:szCs w:val="20"/>
              </w:rPr>
            </w:pPr>
            <w:r w:rsidRPr="00B53F89">
              <w:rPr>
                <w:szCs w:val="20"/>
              </w:rPr>
              <w:t>1.5 GHz band</w:t>
            </w:r>
          </w:p>
        </w:tc>
        <w:tc>
          <w:tcPr>
            <w:tcW w:w="1100" w:type="pct"/>
            <w:tcBorders>
              <w:top w:val="single" w:sz="4" w:space="0" w:color="auto"/>
              <w:left w:val="single" w:sz="4" w:space="0" w:color="auto"/>
              <w:bottom w:val="single" w:sz="4" w:space="0" w:color="auto"/>
              <w:right w:val="single" w:sz="4" w:space="0" w:color="auto"/>
            </w:tcBorders>
            <w:shd w:val="clear" w:color="auto" w:fill="auto"/>
          </w:tcPr>
          <w:p w14:paraId="0A11C762" w14:textId="77777777" w:rsidR="00BD5B2C" w:rsidRPr="00B53F89" w:rsidRDefault="00BD5B2C" w:rsidP="006F5B0F">
            <w:pPr>
              <w:spacing w:after="0"/>
              <w:rPr>
                <w:szCs w:val="20"/>
              </w:rPr>
            </w:pPr>
            <w:r w:rsidRPr="00B53F89">
              <w:rPr>
                <w:szCs w:val="20"/>
              </w:rPr>
              <w:t>1427–1518 MHz</w:t>
            </w:r>
          </w:p>
        </w:tc>
        <w:tc>
          <w:tcPr>
            <w:tcW w:w="1032" w:type="pct"/>
            <w:tcBorders>
              <w:top w:val="single" w:sz="4" w:space="0" w:color="auto"/>
              <w:left w:val="single" w:sz="4" w:space="0" w:color="auto"/>
              <w:bottom w:val="single" w:sz="4" w:space="0" w:color="auto"/>
              <w:right w:val="single" w:sz="4" w:space="0" w:color="auto"/>
            </w:tcBorders>
            <w:shd w:val="clear" w:color="auto" w:fill="auto"/>
          </w:tcPr>
          <w:p w14:paraId="671A9DE4" w14:textId="55931258" w:rsidR="00BD5B2C" w:rsidRPr="00B53F89" w:rsidRDefault="005428EA" w:rsidP="006F5B0F">
            <w:pPr>
              <w:spacing w:after="0"/>
              <w:rPr>
                <w:szCs w:val="20"/>
              </w:rPr>
            </w:pPr>
            <w:r w:rsidRPr="00B53F89">
              <w:rPr>
                <w:szCs w:val="20"/>
              </w:rPr>
              <w:t>Fixed links</w:t>
            </w:r>
            <w:r w:rsidR="00BD5B2C" w:rsidRPr="00B53F89">
              <w:rPr>
                <w:szCs w:val="20"/>
              </w:rPr>
              <w:t xml:space="preserve">, some </w:t>
            </w:r>
            <w:r w:rsidR="00744060" w:rsidRPr="00B53F89">
              <w:rPr>
                <w:szCs w:val="20"/>
              </w:rPr>
              <w:t>point-to-</w:t>
            </w:r>
            <w:r w:rsidR="00BD5B2C" w:rsidRPr="00B53F89">
              <w:rPr>
                <w:szCs w:val="20"/>
              </w:rPr>
              <w:t xml:space="preserve">multipoint, </w:t>
            </w:r>
            <w:r w:rsidR="0066184D" w:rsidRPr="00B53F89">
              <w:rPr>
                <w:szCs w:val="20"/>
              </w:rPr>
              <w:t>d</w:t>
            </w:r>
            <w:r w:rsidR="00BD5B2C" w:rsidRPr="00B53F89">
              <w:rPr>
                <w:szCs w:val="20"/>
              </w:rPr>
              <w:t>efence</w:t>
            </w:r>
          </w:p>
        </w:tc>
        <w:tc>
          <w:tcPr>
            <w:tcW w:w="2038" w:type="pct"/>
            <w:tcBorders>
              <w:top w:val="single" w:sz="4" w:space="0" w:color="auto"/>
              <w:left w:val="single" w:sz="4" w:space="0" w:color="auto"/>
              <w:bottom w:val="single" w:sz="4" w:space="0" w:color="auto"/>
              <w:right w:val="single" w:sz="4" w:space="0" w:color="auto"/>
            </w:tcBorders>
            <w:shd w:val="clear" w:color="auto" w:fill="auto"/>
          </w:tcPr>
          <w:p w14:paraId="032822E0" w14:textId="42097272" w:rsidR="00BD5B2C" w:rsidRPr="00B53F89" w:rsidRDefault="00BD5B2C" w:rsidP="006F5B0F">
            <w:pPr>
              <w:spacing w:after="120"/>
              <w:rPr>
                <w:szCs w:val="20"/>
              </w:rPr>
            </w:pPr>
            <w:r w:rsidRPr="00B53F89">
              <w:rPr>
                <w:szCs w:val="20"/>
              </w:rPr>
              <w:t>Technology standardisation progressing</w:t>
            </w:r>
          </w:p>
          <w:p w14:paraId="35CEA632" w14:textId="7F78684F" w:rsidR="00BD5B2C" w:rsidRPr="00B53F89" w:rsidRDefault="00BD5B2C" w:rsidP="006F5B0F">
            <w:pPr>
              <w:spacing w:after="0"/>
              <w:rPr>
                <w:szCs w:val="20"/>
              </w:rPr>
            </w:pPr>
            <w:r w:rsidRPr="00B53F89">
              <w:rPr>
                <w:szCs w:val="20"/>
              </w:rPr>
              <w:t xml:space="preserve">Lower level of near-term domestic interest, but available for allocation consideration, should demand change </w:t>
            </w:r>
          </w:p>
        </w:tc>
      </w:tr>
      <w:tr w:rsidR="00BD5B2C" w:rsidRPr="00B53F89" w14:paraId="62A08E7A" w14:textId="77777777" w:rsidTr="00DE694D">
        <w:tc>
          <w:tcPr>
            <w:tcW w:w="830" w:type="pct"/>
            <w:tcBorders>
              <w:top w:val="single" w:sz="4" w:space="0" w:color="auto"/>
              <w:left w:val="single" w:sz="4" w:space="0" w:color="auto"/>
              <w:bottom w:val="single" w:sz="4" w:space="0" w:color="auto"/>
              <w:right w:val="single" w:sz="4" w:space="0" w:color="auto"/>
            </w:tcBorders>
            <w:shd w:val="clear" w:color="auto" w:fill="auto"/>
          </w:tcPr>
          <w:p w14:paraId="59BC5F23" w14:textId="0633989B" w:rsidR="00BD5B2C" w:rsidRPr="00B53F89" w:rsidRDefault="00EE3C7B" w:rsidP="006F5B0F">
            <w:pPr>
              <w:spacing w:after="0"/>
              <w:rPr>
                <w:szCs w:val="20"/>
              </w:rPr>
            </w:pPr>
            <w:r w:rsidRPr="00B53F89">
              <w:t>3400–3575 MHz</w:t>
            </w:r>
            <w:r w:rsidR="00BD5B2C" w:rsidRPr="00B53F89">
              <w:rPr>
                <w:szCs w:val="20"/>
              </w:rPr>
              <w:t xml:space="preserve"> band</w:t>
            </w:r>
          </w:p>
        </w:tc>
        <w:tc>
          <w:tcPr>
            <w:tcW w:w="1100" w:type="pct"/>
            <w:tcBorders>
              <w:top w:val="single" w:sz="4" w:space="0" w:color="auto"/>
              <w:left w:val="single" w:sz="4" w:space="0" w:color="auto"/>
              <w:bottom w:val="single" w:sz="4" w:space="0" w:color="auto"/>
              <w:right w:val="single" w:sz="4" w:space="0" w:color="auto"/>
            </w:tcBorders>
            <w:shd w:val="clear" w:color="auto" w:fill="auto"/>
          </w:tcPr>
          <w:p w14:paraId="2A9A9902" w14:textId="7F51F693" w:rsidR="00BD5B2C" w:rsidRPr="00B53F89" w:rsidRDefault="00BD5B2C" w:rsidP="006F5B0F">
            <w:pPr>
              <w:spacing w:after="0"/>
              <w:rPr>
                <w:szCs w:val="20"/>
              </w:rPr>
            </w:pPr>
            <w:r w:rsidRPr="00B53F89">
              <w:rPr>
                <w:szCs w:val="20"/>
              </w:rPr>
              <w:t>3400–3575 MHz</w:t>
            </w:r>
          </w:p>
        </w:tc>
        <w:tc>
          <w:tcPr>
            <w:tcW w:w="1032" w:type="pct"/>
            <w:tcBorders>
              <w:top w:val="single" w:sz="4" w:space="0" w:color="auto"/>
              <w:left w:val="single" w:sz="4" w:space="0" w:color="auto"/>
              <w:bottom w:val="single" w:sz="4" w:space="0" w:color="auto"/>
              <w:right w:val="single" w:sz="4" w:space="0" w:color="auto"/>
            </w:tcBorders>
            <w:shd w:val="clear" w:color="auto" w:fill="auto"/>
          </w:tcPr>
          <w:p w14:paraId="07ECACA9" w14:textId="434E16DA" w:rsidR="00BD5B2C" w:rsidRPr="00B53F89" w:rsidRDefault="00BD5B2C" w:rsidP="006F5B0F">
            <w:pPr>
              <w:spacing w:after="0"/>
              <w:rPr>
                <w:szCs w:val="20"/>
              </w:rPr>
            </w:pPr>
            <w:r w:rsidRPr="00B53F89">
              <w:rPr>
                <w:szCs w:val="20"/>
              </w:rPr>
              <w:t xml:space="preserve">Fixed </w:t>
            </w:r>
            <w:r w:rsidR="00942A48">
              <w:rPr>
                <w:szCs w:val="20"/>
              </w:rPr>
              <w:t>w</w:t>
            </w:r>
            <w:r w:rsidRPr="00B53F89">
              <w:rPr>
                <w:szCs w:val="20"/>
              </w:rPr>
              <w:t>ireless</w:t>
            </w:r>
            <w:r w:rsidR="005428EA" w:rsidRPr="00B53F89">
              <w:rPr>
                <w:szCs w:val="20"/>
              </w:rPr>
              <w:t xml:space="preserve">, </w:t>
            </w:r>
            <w:r w:rsidR="00744060" w:rsidRPr="00B53F89">
              <w:rPr>
                <w:szCs w:val="20"/>
              </w:rPr>
              <w:t xml:space="preserve">point-to-multipoint, </w:t>
            </w:r>
            <w:r w:rsidR="005428EA" w:rsidRPr="00B53F89">
              <w:rPr>
                <w:szCs w:val="20"/>
              </w:rPr>
              <w:t>5G</w:t>
            </w:r>
            <w:r w:rsidRPr="00B53F89">
              <w:rPr>
                <w:szCs w:val="20"/>
              </w:rPr>
              <w:t xml:space="preserve"> </w:t>
            </w:r>
          </w:p>
        </w:tc>
        <w:tc>
          <w:tcPr>
            <w:tcW w:w="2038" w:type="pct"/>
            <w:tcBorders>
              <w:top w:val="single" w:sz="4" w:space="0" w:color="auto"/>
              <w:left w:val="single" w:sz="4" w:space="0" w:color="auto"/>
              <w:bottom w:val="single" w:sz="4" w:space="0" w:color="auto"/>
              <w:right w:val="single" w:sz="4" w:space="0" w:color="auto"/>
            </w:tcBorders>
            <w:shd w:val="clear" w:color="auto" w:fill="auto"/>
          </w:tcPr>
          <w:p w14:paraId="1DA87516" w14:textId="4946AA4A" w:rsidR="00BD5B2C" w:rsidRPr="00B53F89" w:rsidRDefault="00BD5B2C" w:rsidP="006F5B0F">
            <w:pPr>
              <w:spacing w:after="120"/>
              <w:rPr>
                <w:szCs w:val="20"/>
              </w:rPr>
            </w:pPr>
            <w:r w:rsidRPr="00B53F89">
              <w:rPr>
                <w:szCs w:val="20"/>
              </w:rPr>
              <w:t xml:space="preserve">Identify options for </w:t>
            </w:r>
            <w:r w:rsidR="005E47C6" w:rsidRPr="00B53F89">
              <w:rPr>
                <w:szCs w:val="20"/>
              </w:rPr>
              <w:t xml:space="preserve">optimisation </w:t>
            </w:r>
            <w:r w:rsidR="008C0480" w:rsidRPr="00B53F89">
              <w:rPr>
                <w:szCs w:val="20"/>
              </w:rPr>
              <w:t xml:space="preserve">which could include </w:t>
            </w:r>
            <w:r w:rsidR="005E47C6" w:rsidRPr="00B53F89">
              <w:rPr>
                <w:szCs w:val="20"/>
              </w:rPr>
              <w:t xml:space="preserve">spectrum licence </w:t>
            </w:r>
            <w:r w:rsidR="008C0480" w:rsidRPr="00B53F89">
              <w:rPr>
                <w:szCs w:val="20"/>
              </w:rPr>
              <w:t>conversion and other allocation processes</w:t>
            </w:r>
          </w:p>
        </w:tc>
      </w:tr>
      <w:tr w:rsidR="00445F0B" w:rsidRPr="00B53F89" w14:paraId="74DC19EB" w14:textId="77777777" w:rsidTr="00DE694D">
        <w:tc>
          <w:tcPr>
            <w:tcW w:w="830" w:type="pct"/>
            <w:tcBorders>
              <w:top w:val="single" w:sz="4" w:space="0" w:color="auto"/>
              <w:left w:val="single" w:sz="4" w:space="0" w:color="auto"/>
              <w:bottom w:val="single" w:sz="4" w:space="0" w:color="auto"/>
              <w:right w:val="single" w:sz="4" w:space="0" w:color="auto"/>
            </w:tcBorders>
            <w:shd w:val="clear" w:color="auto" w:fill="FFFFFF" w:themeFill="background1"/>
          </w:tcPr>
          <w:p w14:paraId="5572F4AB" w14:textId="648FB453" w:rsidR="00445F0B" w:rsidRPr="00B53F89" w:rsidRDefault="00835E98" w:rsidP="00445F0B">
            <w:pPr>
              <w:spacing w:after="0"/>
              <w:rPr>
                <w:szCs w:val="20"/>
              </w:rPr>
            </w:pPr>
            <w:r w:rsidRPr="00B53F89">
              <w:rPr>
                <w:szCs w:val="20"/>
              </w:rPr>
              <w:t xml:space="preserve">26 GHz </w:t>
            </w:r>
            <w:r w:rsidR="00445F0B" w:rsidRPr="00B53F89">
              <w:rPr>
                <w:szCs w:val="20"/>
              </w:rPr>
              <w:t>band</w:t>
            </w:r>
          </w:p>
        </w:tc>
        <w:tc>
          <w:tcPr>
            <w:tcW w:w="1100" w:type="pct"/>
            <w:tcBorders>
              <w:top w:val="single" w:sz="4" w:space="0" w:color="auto"/>
              <w:left w:val="single" w:sz="4" w:space="0" w:color="auto"/>
              <w:bottom w:val="single" w:sz="4" w:space="0" w:color="auto"/>
              <w:right w:val="single" w:sz="4" w:space="0" w:color="auto"/>
            </w:tcBorders>
            <w:shd w:val="clear" w:color="auto" w:fill="FFFFFF" w:themeFill="background1"/>
          </w:tcPr>
          <w:p w14:paraId="36211904" w14:textId="20D3C020" w:rsidR="00445F0B" w:rsidRPr="00B53F89" w:rsidRDefault="00445F0B" w:rsidP="00445F0B">
            <w:pPr>
              <w:spacing w:after="0"/>
              <w:rPr>
                <w:szCs w:val="20"/>
              </w:rPr>
            </w:pPr>
            <w:r w:rsidRPr="00B53F89">
              <w:rPr>
                <w:szCs w:val="20"/>
              </w:rPr>
              <w:t>24.25–27.5 GHz</w:t>
            </w:r>
          </w:p>
        </w:tc>
        <w:tc>
          <w:tcPr>
            <w:tcW w:w="1032" w:type="pct"/>
            <w:tcBorders>
              <w:top w:val="single" w:sz="4" w:space="0" w:color="auto"/>
              <w:left w:val="single" w:sz="4" w:space="0" w:color="auto"/>
              <w:bottom w:val="single" w:sz="4" w:space="0" w:color="auto"/>
              <w:right w:val="single" w:sz="4" w:space="0" w:color="auto"/>
            </w:tcBorders>
            <w:shd w:val="clear" w:color="auto" w:fill="FFFFFF" w:themeFill="background1"/>
          </w:tcPr>
          <w:p w14:paraId="2EC98093" w14:textId="2B406E75" w:rsidR="00445F0B" w:rsidRPr="00B53F89" w:rsidRDefault="00445F0B" w:rsidP="00445F0B">
            <w:pPr>
              <w:spacing w:after="0"/>
              <w:rPr>
                <w:szCs w:val="20"/>
              </w:rPr>
            </w:pPr>
            <w:r w:rsidRPr="00B53F89">
              <w:rPr>
                <w:szCs w:val="20"/>
              </w:rPr>
              <w:t>Space research</w:t>
            </w:r>
            <w:r w:rsidRPr="00B53F89" w:rsidDel="005428EA">
              <w:rPr>
                <w:szCs w:val="20"/>
              </w:rPr>
              <w:t xml:space="preserve"> </w:t>
            </w:r>
            <w:r w:rsidRPr="00B53F89">
              <w:rPr>
                <w:szCs w:val="20"/>
              </w:rPr>
              <w:t xml:space="preserve">(ESA, CSIRO, NASA), </w:t>
            </w:r>
            <w:r w:rsidR="00777B6A" w:rsidRPr="00B53F89">
              <w:rPr>
                <w:szCs w:val="20"/>
              </w:rPr>
              <w:t>FSS</w:t>
            </w:r>
            <w:r w:rsidR="007370FE" w:rsidRPr="00B53F89">
              <w:rPr>
                <w:szCs w:val="20"/>
              </w:rPr>
              <w:t xml:space="preserve"> (</w:t>
            </w:r>
            <w:r w:rsidRPr="00B53F89">
              <w:rPr>
                <w:szCs w:val="20"/>
              </w:rPr>
              <w:t>NBN</w:t>
            </w:r>
            <w:r w:rsidR="00DC54D4" w:rsidRPr="00B53F89">
              <w:rPr>
                <w:szCs w:val="20"/>
              </w:rPr>
              <w:t xml:space="preserve"> Co</w:t>
            </w:r>
            <w:r w:rsidR="007370FE" w:rsidRPr="00B53F89">
              <w:rPr>
                <w:szCs w:val="20"/>
              </w:rPr>
              <w:t>)</w:t>
            </w:r>
          </w:p>
        </w:tc>
        <w:tc>
          <w:tcPr>
            <w:tcW w:w="2038" w:type="pct"/>
            <w:tcBorders>
              <w:top w:val="single" w:sz="4" w:space="0" w:color="auto"/>
              <w:left w:val="single" w:sz="4" w:space="0" w:color="auto"/>
              <w:bottom w:val="single" w:sz="4" w:space="0" w:color="auto"/>
              <w:right w:val="single" w:sz="4" w:space="0" w:color="auto"/>
            </w:tcBorders>
            <w:shd w:val="clear" w:color="auto" w:fill="FFFFFF" w:themeFill="background1"/>
          </w:tcPr>
          <w:p w14:paraId="38B4382E" w14:textId="222281A1" w:rsidR="00445F0B" w:rsidRPr="00B53F89" w:rsidRDefault="00DD7D6F" w:rsidP="00714539">
            <w:pPr>
              <w:spacing w:after="120"/>
              <w:rPr>
                <w:szCs w:val="20"/>
              </w:rPr>
            </w:pPr>
            <w:r w:rsidRPr="00B53F89">
              <w:rPr>
                <w:szCs w:val="20"/>
              </w:rPr>
              <w:t xml:space="preserve">ACMA decision paper released in April 2019, and draft reallocation recommendation to the </w:t>
            </w:r>
            <w:r w:rsidR="00AA6D3C" w:rsidRPr="00B53F89">
              <w:rPr>
                <w:szCs w:val="20"/>
              </w:rPr>
              <w:t>m</w:t>
            </w:r>
            <w:r w:rsidRPr="00B53F89">
              <w:rPr>
                <w:szCs w:val="20"/>
              </w:rPr>
              <w:t>inister released in May 2019</w:t>
            </w:r>
          </w:p>
        </w:tc>
      </w:tr>
      <w:tr w:rsidR="00BB4594" w:rsidRPr="00B53F89" w14:paraId="6062CF8A" w14:textId="77777777" w:rsidTr="00DE694D">
        <w:tc>
          <w:tcPr>
            <w:tcW w:w="830" w:type="pct"/>
            <w:tcBorders>
              <w:top w:val="single" w:sz="4" w:space="0" w:color="auto"/>
              <w:left w:val="single" w:sz="4" w:space="0" w:color="auto"/>
              <w:bottom w:val="single" w:sz="4" w:space="0" w:color="auto"/>
              <w:right w:val="single" w:sz="4" w:space="0" w:color="auto"/>
            </w:tcBorders>
            <w:shd w:val="clear" w:color="auto" w:fill="auto"/>
          </w:tcPr>
          <w:p w14:paraId="60AA4F4A" w14:textId="0B7CF7CF" w:rsidR="00BB4594" w:rsidRPr="00B53F89" w:rsidRDefault="00BB4594" w:rsidP="00585FB9">
            <w:pPr>
              <w:spacing w:after="0"/>
              <w:rPr>
                <w:szCs w:val="20"/>
              </w:rPr>
            </w:pPr>
            <w:r w:rsidRPr="00B53F89">
              <w:rPr>
                <w:szCs w:val="20"/>
              </w:rPr>
              <w:t>28 GHz band</w:t>
            </w:r>
          </w:p>
        </w:tc>
        <w:tc>
          <w:tcPr>
            <w:tcW w:w="1100" w:type="pct"/>
            <w:tcBorders>
              <w:top w:val="single" w:sz="4" w:space="0" w:color="auto"/>
              <w:left w:val="single" w:sz="4" w:space="0" w:color="auto"/>
              <w:bottom w:val="single" w:sz="4" w:space="0" w:color="auto"/>
              <w:right w:val="single" w:sz="4" w:space="0" w:color="auto"/>
            </w:tcBorders>
            <w:shd w:val="clear" w:color="auto" w:fill="auto"/>
          </w:tcPr>
          <w:p w14:paraId="00B0B4A9" w14:textId="5D6913B9" w:rsidR="00BB4594" w:rsidRPr="00B53F89" w:rsidRDefault="003A7BAF" w:rsidP="00585FB9">
            <w:pPr>
              <w:spacing w:after="0"/>
              <w:rPr>
                <w:szCs w:val="20"/>
              </w:rPr>
            </w:pPr>
            <w:r w:rsidRPr="00B53F89">
              <w:t>27.5–29.5 GHz</w:t>
            </w:r>
          </w:p>
        </w:tc>
        <w:tc>
          <w:tcPr>
            <w:tcW w:w="1032" w:type="pct"/>
            <w:tcBorders>
              <w:top w:val="single" w:sz="4" w:space="0" w:color="auto"/>
              <w:left w:val="single" w:sz="4" w:space="0" w:color="auto"/>
              <w:bottom w:val="single" w:sz="4" w:space="0" w:color="auto"/>
              <w:right w:val="single" w:sz="4" w:space="0" w:color="auto"/>
            </w:tcBorders>
            <w:shd w:val="clear" w:color="auto" w:fill="auto"/>
          </w:tcPr>
          <w:p w14:paraId="160F64A7" w14:textId="25CF70AE" w:rsidR="00BB4594" w:rsidRPr="00B53F89" w:rsidRDefault="00777B6A" w:rsidP="00585FB9">
            <w:pPr>
              <w:spacing w:after="0"/>
              <w:rPr>
                <w:szCs w:val="20"/>
              </w:rPr>
            </w:pPr>
            <w:r w:rsidRPr="00B53F89">
              <w:rPr>
                <w:szCs w:val="20"/>
              </w:rPr>
              <w:t>FSS</w:t>
            </w:r>
            <w:r w:rsidR="009059E2" w:rsidRPr="00B53F89">
              <w:rPr>
                <w:szCs w:val="20"/>
              </w:rPr>
              <w:t xml:space="preserve">, </w:t>
            </w:r>
            <w:r w:rsidR="00942A48">
              <w:rPr>
                <w:szCs w:val="20"/>
              </w:rPr>
              <w:t>f</w:t>
            </w:r>
            <w:r w:rsidR="009059E2" w:rsidRPr="00B53F89">
              <w:rPr>
                <w:szCs w:val="20"/>
              </w:rPr>
              <w:t xml:space="preserve">ixed </w:t>
            </w:r>
            <w:r w:rsidR="005428EA" w:rsidRPr="00B53F89">
              <w:rPr>
                <w:szCs w:val="20"/>
              </w:rPr>
              <w:t>links point-to-point</w:t>
            </w:r>
            <w:r w:rsidR="009059E2" w:rsidRPr="00B53F89">
              <w:rPr>
                <w:szCs w:val="20"/>
              </w:rPr>
              <w:t>, body scanners</w:t>
            </w:r>
          </w:p>
        </w:tc>
        <w:tc>
          <w:tcPr>
            <w:tcW w:w="2038" w:type="pct"/>
            <w:tcBorders>
              <w:top w:val="single" w:sz="4" w:space="0" w:color="auto"/>
              <w:left w:val="single" w:sz="4" w:space="0" w:color="auto"/>
              <w:bottom w:val="single" w:sz="4" w:space="0" w:color="auto"/>
              <w:right w:val="single" w:sz="4" w:space="0" w:color="auto"/>
            </w:tcBorders>
            <w:shd w:val="clear" w:color="auto" w:fill="auto"/>
          </w:tcPr>
          <w:p w14:paraId="6795296B" w14:textId="20D3BCBB" w:rsidR="00BB4594" w:rsidRPr="00B53F89" w:rsidRDefault="00A03F53" w:rsidP="009059E2">
            <w:pPr>
              <w:spacing w:after="120"/>
              <w:rPr>
                <w:szCs w:val="20"/>
              </w:rPr>
            </w:pPr>
            <w:r w:rsidRPr="00B53F89">
              <w:rPr>
                <w:szCs w:val="20"/>
              </w:rPr>
              <w:t>ACMA options paper released in April 2019 for feedback</w:t>
            </w:r>
          </w:p>
        </w:tc>
      </w:tr>
    </w:tbl>
    <w:p w14:paraId="309B326B" w14:textId="77777777" w:rsidR="00585FB9" w:rsidRPr="00B53F89" w:rsidRDefault="00585FB9">
      <w:pPr>
        <w:pStyle w:val="ACMASpaceaftertable"/>
      </w:pPr>
    </w:p>
    <w:p w14:paraId="2ED2FA9B" w14:textId="311BD2F9" w:rsidR="00770CB1" w:rsidRPr="00B53F89" w:rsidRDefault="00770CB1" w:rsidP="00CF66CF">
      <w:pPr>
        <w:keepNext/>
        <w:spacing w:before="60" w:after="0"/>
      </w:pPr>
      <w:r w:rsidRPr="006A2F04">
        <w:rPr>
          <w:noProof/>
        </w:rPr>
        <w:drawing>
          <wp:inline distT="0" distB="0" distL="0" distR="0" wp14:anchorId="243B5800" wp14:editId="13ABAB8E">
            <wp:extent cx="342900" cy="361950"/>
            <wp:effectExtent l="0" t="0" r="0" b="0"/>
            <wp:docPr id="97" name="Picture 97"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1C4E21" w:rsidRPr="006A2F04">
        <w:rPr>
          <w:noProof/>
        </w:rPr>
        <w:drawing>
          <wp:inline distT="0" distB="0" distL="0" distR="0" wp14:anchorId="030623DB" wp14:editId="1D9A337F">
            <wp:extent cx="342900" cy="361950"/>
            <wp:effectExtent l="0" t="0" r="0" b="0"/>
            <wp:docPr id="174" name="Picture 174"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Radio/TV broadcasting icon"/>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1C4E21" w:rsidRPr="006A2F04">
        <w:rPr>
          <w:noProof/>
        </w:rPr>
        <w:drawing>
          <wp:inline distT="0" distB="0" distL="0" distR="0" wp14:anchorId="517E8501" wp14:editId="7DC14702">
            <wp:extent cx="342900" cy="361950"/>
            <wp:effectExtent l="0" t="0" r="0" b="0"/>
            <wp:docPr id="175" name="Picture 175"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Point to multipoint icon"/>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1C4E21" w:rsidRPr="006A2F04">
        <w:rPr>
          <w:noProof/>
        </w:rPr>
        <w:drawing>
          <wp:inline distT="0" distB="0" distL="0" distR="0" wp14:anchorId="73BE4BBE" wp14:editId="666CAA49">
            <wp:extent cx="342900" cy="361950"/>
            <wp:effectExtent l="0" t="0" r="0" b="0"/>
            <wp:docPr id="176" name="Picture 176"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1C4E21" w:rsidRPr="006A2F04">
        <w:rPr>
          <w:noProof/>
        </w:rPr>
        <w:drawing>
          <wp:inline distT="0" distB="0" distL="0" distR="0" wp14:anchorId="137964F0" wp14:editId="332213CB">
            <wp:extent cx="342900" cy="361950"/>
            <wp:effectExtent l="0" t="0" r="0" b="0"/>
            <wp:docPr id="177" name="Picture 177"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3FC3576A" w14:textId="740CEC52" w:rsidR="00C12F50" w:rsidRPr="00B53F89" w:rsidRDefault="003F4B80">
      <w:pPr>
        <w:pStyle w:val="Heading3"/>
      </w:pPr>
      <w:bookmarkStart w:id="343" w:name="_Toc18505554"/>
      <w:r w:rsidRPr="00B53F89">
        <w:t>850 MHz</w:t>
      </w:r>
      <w:r w:rsidR="00F640C7" w:rsidRPr="00B53F89">
        <w:t xml:space="preserve"> expansion band</w:t>
      </w:r>
      <w:bookmarkEnd w:id="343"/>
    </w:p>
    <w:p w14:paraId="43FD41C4" w14:textId="00D8C27A" w:rsidR="005B397B" w:rsidRPr="00B53F89" w:rsidRDefault="003F4B80">
      <w:r w:rsidRPr="00B53F89">
        <w:t>In late 2015, the ACMA finalised a review of the 803–960 MHz band, deciding to reallocate</w:t>
      </w:r>
      <w:r w:rsidR="002A6185" w:rsidRPr="00B53F89">
        <w:t xml:space="preserve"> 2 x 15 MHz in</w:t>
      </w:r>
      <w:r w:rsidRPr="00B53F89">
        <w:t xml:space="preserve"> the 850 MHz expansion band for spectrum licences configured for wireless broadband. The band is being cleared progressively, and is expected to be fully cleared by 2024, although a significant portion of the band will be available for use from mid-2021. </w:t>
      </w:r>
    </w:p>
    <w:p w14:paraId="65D0E83F" w14:textId="33446288" w:rsidR="005B397B" w:rsidRPr="00B53F89" w:rsidRDefault="005B397B">
      <w:r w:rsidRPr="00B53F89" w:rsidDel="00C232CA">
        <w:lastRenderedPageBreak/>
        <w:t xml:space="preserve">The </w:t>
      </w:r>
      <w:r w:rsidRPr="00B53F89">
        <w:t xml:space="preserve">850 MHz expansion band </w:t>
      </w:r>
      <w:r w:rsidR="00C232CA" w:rsidRPr="00B53F89">
        <w:t xml:space="preserve">has </w:t>
      </w:r>
      <w:r w:rsidRPr="00B53F89">
        <w:t>value as a substitute for wireless broadband licences in the 900 MHz band</w:t>
      </w:r>
      <w:r w:rsidR="00810445" w:rsidRPr="00B53F89">
        <w:t xml:space="preserve">. The ACMA </w:t>
      </w:r>
      <w:r w:rsidR="00BB7915" w:rsidRPr="00B53F89">
        <w:t xml:space="preserve">supports </w:t>
      </w:r>
      <w:r w:rsidR="00AF7DDA" w:rsidRPr="00B53F89">
        <w:t xml:space="preserve">combining </w:t>
      </w:r>
      <w:r w:rsidR="00BB7915" w:rsidRPr="00B53F89">
        <w:t>the</w:t>
      </w:r>
      <w:r w:rsidRPr="00B53F89">
        <w:t xml:space="preserve"> </w:t>
      </w:r>
      <w:r w:rsidR="00AF675B" w:rsidRPr="00B53F89">
        <w:t>850 </w:t>
      </w:r>
      <w:r w:rsidRPr="00B53F89">
        <w:t xml:space="preserve">MHz </w:t>
      </w:r>
      <w:r w:rsidR="006624CE" w:rsidRPr="00B53F89">
        <w:t xml:space="preserve">expansion band </w:t>
      </w:r>
      <w:r w:rsidRPr="00B53F89">
        <w:t xml:space="preserve">reallocation with </w:t>
      </w:r>
      <w:r w:rsidR="00252ACF" w:rsidRPr="00B53F89">
        <w:t xml:space="preserve">any </w:t>
      </w:r>
      <w:r w:rsidRPr="00B53F89">
        <w:t xml:space="preserve">reallocation of 900 MHz </w:t>
      </w:r>
      <w:r w:rsidR="004163C0" w:rsidRPr="00B53F89">
        <w:t>if possible.</w:t>
      </w:r>
    </w:p>
    <w:p w14:paraId="01F322E8" w14:textId="563B754C" w:rsidR="00CE04A3" w:rsidRPr="00B53F89" w:rsidRDefault="005B397B" w:rsidP="002E3C54">
      <w:r w:rsidRPr="00B53F89">
        <w:t xml:space="preserve">The addition of a 1 MHz guard band between the 850 MHz band base-transmit segment and the </w:t>
      </w:r>
      <w:r w:rsidR="00E03672" w:rsidRPr="00B53F89">
        <w:t>900</w:t>
      </w:r>
      <w:r w:rsidRPr="00B53F89">
        <w:t xml:space="preserve"> MHz</w:t>
      </w:r>
      <w:r w:rsidR="00E03672" w:rsidRPr="00B53F89">
        <w:t xml:space="preserve"> band</w:t>
      </w:r>
      <w:r w:rsidRPr="00B53F89">
        <w:t xml:space="preserve"> base-receive segment </w:t>
      </w:r>
      <w:r w:rsidR="00252ACF" w:rsidRPr="00B53F89">
        <w:t xml:space="preserve">is necessary to </w:t>
      </w:r>
      <w:r w:rsidRPr="00B53F89">
        <w:t xml:space="preserve">optimise the utility of the lower segment in the </w:t>
      </w:r>
      <w:r w:rsidR="00E03672" w:rsidRPr="00B53F89">
        <w:t>900</w:t>
      </w:r>
      <w:r w:rsidRPr="00B53F89">
        <w:t xml:space="preserve"> MHz band</w:t>
      </w:r>
      <w:r w:rsidR="00252ACF" w:rsidRPr="00B53F89">
        <w:t xml:space="preserve"> for wireless broadband</w:t>
      </w:r>
      <w:r w:rsidRPr="00B53F89">
        <w:t xml:space="preserve">. Prior to expiration of the current spectrum licences in 2028, this can only be achieved via a voluntary (negotiated) downshift of the existing 850 MHz band spectrum licences, which are held by VHA and Telstra. The availability of the </w:t>
      </w:r>
      <w:r w:rsidR="00AF675B" w:rsidRPr="00B53F89">
        <w:t>1 </w:t>
      </w:r>
      <w:r w:rsidRPr="00B53F89">
        <w:t>MHz of spectrum immediately below the 850 MHz base</w:t>
      </w:r>
      <w:r w:rsidR="00AF675B" w:rsidRPr="00B53F89">
        <w:t>-</w:t>
      </w:r>
      <w:r w:rsidRPr="00B53F89">
        <w:t xml:space="preserve">transmit segment </w:t>
      </w:r>
      <w:r w:rsidR="00252ACF" w:rsidRPr="00B53F89">
        <w:t xml:space="preserve">to accommodate the downshift </w:t>
      </w:r>
      <w:r w:rsidRPr="00B53F89">
        <w:t xml:space="preserve">will be critical to </w:t>
      </w:r>
      <w:r w:rsidR="00252ACF" w:rsidRPr="00B53F89">
        <w:t>these negotiations</w:t>
      </w:r>
      <w:r w:rsidRPr="00B53F89">
        <w:t xml:space="preserve">. </w:t>
      </w:r>
      <w:r w:rsidR="00AF675B" w:rsidRPr="00B53F89">
        <w:t xml:space="preserve">The </w:t>
      </w:r>
      <w:r w:rsidRPr="00B53F89">
        <w:t xml:space="preserve">ACMA </w:t>
      </w:r>
      <w:r w:rsidR="00DF43B1" w:rsidRPr="00B53F89">
        <w:t xml:space="preserve">is considering </w:t>
      </w:r>
      <w:r w:rsidR="001B76CC" w:rsidRPr="00B53F89">
        <w:t>optimisation options for the 900 MHz and 850 MHz expansion band</w:t>
      </w:r>
      <w:r w:rsidR="00BC0C4A" w:rsidRPr="00B53F89">
        <w:t>s</w:t>
      </w:r>
      <w:r w:rsidR="001B76CC" w:rsidRPr="00B53F89">
        <w:t>.</w:t>
      </w:r>
    </w:p>
    <w:p w14:paraId="486FFFCE" w14:textId="6F0E2AA0" w:rsidR="00B73252" w:rsidRPr="00B53F89" w:rsidRDefault="00B73252" w:rsidP="002E3C54">
      <w:bookmarkStart w:id="344" w:name="_Hlk2859258"/>
      <w:r w:rsidRPr="00B53F89">
        <w:t xml:space="preserve">The Australian Government has agreed to set aside 2 x 5 MHz of spectrum in the 850 MHz expansion band for </w:t>
      </w:r>
      <w:r w:rsidR="002A6185" w:rsidRPr="00B53F89">
        <w:t xml:space="preserve">a public safety mobile broadband (PSMB) </w:t>
      </w:r>
      <w:r w:rsidRPr="00B53F89" w:rsidDel="002A6185">
        <w:t>capability</w:t>
      </w:r>
      <w:r w:rsidRPr="00B53F89">
        <w:t xml:space="preserve">. </w:t>
      </w:r>
      <w:bookmarkEnd w:id="344"/>
      <w:r w:rsidRPr="00B53F89">
        <w:t xml:space="preserve">At the 12 December 2018 meeting of COAG, </w:t>
      </w:r>
      <w:r w:rsidR="002A6185" w:rsidRPr="00B53F89">
        <w:t>a</w:t>
      </w:r>
      <w:r w:rsidRPr="00B53F89">
        <w:t>ll jurisdictions agreed a Strategic Roadmap that sets out a plan to design, implement and operate PSMB and to continue to work together to resolve the supporting spectrum arrangements in parallel with proof of concept trials. In December 2018, the NSW Telco Authority on behalf of all jurisdictions issued a request for proposal from the telecommunications industry, to support a proof of concept for</w:t>
      </w:r>
      <w:r w:rsidR="001D0A2E" w:rsidRPr="00B53F89">
        <w:t xml:space="preserve"> a</w:t>
      </w:r>
      <w:r w:rsidRPr="00B53F89">
        <w:t xml:space="preserve"> trial of a national PSMB capability.</w:t>
      </w:r>
      <w:r w:rsidR="00F82C7C" w:rsidRPr="00B53F89">
        <w:t xml:space="preserve"> The ACMA is working with DoCA to provide advice on allocation options and manage the impact of this work on allocation of other parts of the 850 MHz expansion band for commercial wireless broadband services.</w:t>
      </w:r>
    </w:p>
    <w:p w14:paraId="6EE64FAE" w14:textId="7C0C0B9C" w:rsidR="001C2BF4" w:rsidRPr="00B53F89" w:rsidRDefault="001C2BF4" w:rsidP="00EC7994">
      <w:pPr>
        <w:spacing w:after="0"/>
      </w:pPr>
      <w:bookmarkStart w:id="345" w:name="_Toc522794099"/>
      <w:bookmarkStart w:id="346" w:name="_Toc510104965"/>
      <w:bookmarkStart w:id="347" w:name="_Toc510105762"/>
      <w:bookmarkStart w:id="348" w:name="_Toc510795094"/>
      <w:bookmarkStart w:id="349" w:name="_Toc511716295"/>
      <w:bookmarkStart w:id="350" w:name="_Toc511719106"/>
      <w:r w:rsidRPr="006A2F04">
        <w:rPr>
          <w:noProof/>
        </w:rPr>
        <w:drawing>
          <wp:inline distT="0" distB="0" distL="0" distR="0" wp14:anchorId="4C905892" wp14:editId="58A2BDE4">
            <wp:extent cx="342900" cy="361950"/>
            <wp:effectExtent l="0" t="0" r="0" b="0"/>
            <wp:docPr id="161" name="Picture 161"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603853" w:rsidRPr="006A2F04">
        <w:rPr>
          <w:noProof/>
        </w:rPr>
        <w:drawing>
          <wp:inline distT="0" distB="0" distL="0" distR="0" wp14:anchorId="7DA82289" wp14:editId="3641D47C">
            <wp:extent cx="342900" cy="361950"/>
            <wp:effectExtent l="0" t="0" r="0" b="0"/>
            <wp:docPr id="171" name="Picture 171"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Radio/TV broadcasting icon"/>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603853" w:rsidRPr="006A2F04">
        <w:rPr>
          <w:noProof/>
        </w:rPr>
        <w:drawing>
          <wp:inline distT="0" distB="0" distL="0" distR="0" wp14:anchorId="21D5F8D9" wp14:editId="28B8624B">
            <wp:extent cx="342900" cy="361950"/>
            <wp:effectExtent l="0" t="0" r="0" b="0"/>
            <wp:docPr id="172" name="Picture 172"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Point to multipoint icon"/>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603853" w:rsidRPr="006A2F04">
        <w:rPr>
          <w:noProof/>
        </w:rPr>
        <w:drawing>
          <wp:inline distT="0" distB="0" distL="0" distR="0" wp14:anchorId="7526686A" wp14:editId="5D809761">
            <wp:extent cx="342900" cy="361950"/>
            <wp:effectExtent l="0" t="0" r="0" b="0"/>
            <wp:docPr id="173" name="Picture 173"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603853" w:rsidRPr="006A2F04">
        <w:rPr>
          <w:noProof/>
        </w:rPr>
        <w:drawing>
          <wp:inline distT="0" distB="0" distL="0" distR="0" wp14:anchorId="6DD958A9" wp14:editId="462B465B">
            <wp:extent cx="342900" cy="361950"/>
            <wp:effectExtent l="0" t="0" r="0" b="0"/>
            <wp:docPr id="170" name="Picture 170"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4ED05E9C" w14:textId="40BE941F" w:rsidR="001F03F1" w:rsidRPr="00B53F89" w:rsidRDefault="00A54553" w:rsidP="00E20AFE">
      <w:pPr>
        <w:pStyle w:val="Heading3"/>
      </w:pPr>
      <w:r>
        <w:pict w14:anchorId="6119366B">
          <v:shape id="_x0000_i1044" type="#_x0000_t75" alt="A close up of a sign&#10;&#10;Description automatically generated" style="width:18.75pt;height:11.25pt;visibility:visible;mso-wrap-style:square">
            <v:imagedata r:id="rId43" o:title="A close up of a sign&#10;&#10;Description automatically generated"/>
          </v:shape>
        </w:pict>
      </w:r>
      <w:bookmarkStart w:id="351" w:name="_Toc18505555"/>
      <w:r w:rsidR="00125C80">
        <w:t xml:space="preserve"> </w:t>
      </w:r>
      <w:r w:rsidR="001F03F1" w:rsidRPr="00B53F89">
        <w:t>900 MHz</w:t>
      </w:r>
      <w:bookmarkEnd w:id="351"/>
    </w:p>
    <w:p w14:paraId="2ACA763E" w14:textId="7BBC8E18" w:rsidR="001F03F1" w:rsidRPr="00B53F89" w:rsidRDefault="001F03F1" w:rsidP="001F03F1">
      <w:r w:rsidRPr="00B53F89">
        <w:t xml:space="preserve">In October 2017, the ACMA published its planning decision on the 900 MHz band, and consulted on specific configuration arrangements for the band in </w:t>
      </w:r>
      <w:hyperlink r:id="rId114" w:history="1">
        <w:r w:rsidRPr="006A2F04">
          <w:rPr>
            <w:rStyle w:val="Hyperlink"/>
            <w:i/>
            <w:iCs/>
          </w:rPr>
          <w:t>Reconfiguring the 890−915/935−960 MHz band: Way forward</w:t>
        </w:r>
      </w:hyperlink>
      <w:r w:rsidRPr="00B53F89">
        <w:t>. Submitters to the 900 MHz reconfiguration consultations raised concerns about the spectrum available for reallocation, including the role of 900 MHz in 3G regional coverage, and mitigations for consumers migrating from 2G to 3G and 4G technologies.</w:t>
      </w:r>
    </w:p>
    <w:p w14:paraId="3426EDC2" w14:textId="3C7C189B" w:rsidR="001F03F1" w:rsidRPr="00B53F89" w:rsidRDefault="001F03F1" w:rsidP="001F03F1">
      <w:r w:rsidRPr="00B53F89">
        <w:t xml:space="preserve">Continued engagement from mobile network operators operating in this band indicates a range of differing approaches to resolving configuration issues in the band. This requires resolution before there is any certainty on </w:t>
      </w:r>
      <w:r w:rsidR="00F41CDB" w:rsidRPr="00B53F89">
        <w:t xml:space="preserve">the </w:t>
      </w:r>
      <w:r w:rsidRPr="00B53F89">
        <w:t>method of licensing, and the amount of spectrum that can be allocated.</w:t>
      </w:r>
    </w:p>
    <w:p w14:paraId="33F350F6" w14:textId="474C976A" w:rsidR="001F03F1" w:rsidRPr="00B53F89" w:rsidRDefault="001F03F1" w:rsidP="001F03F1">
      <w:r w:rsidRPr="00B53F89">
        <w:t xml:space="preserve">For the purposes of the </w:t>
      </w:r>
      <w:r w:rsidR="00A02E95" w:rsidRPr="00B53F89">
        <w:t xml:space="preserve">forward </w:t>
      </w:r>
      <w:r w:rsidRPr="00B53F89">
        <w:t>allocation work plan, the ACMA remains keen to consider ways to optimise holdings in the band</w:t>
      </w:r>
      <w:r w:rsidR="00AC004B" w:rsidRPr="00B53F89">
        <w:t xml:space="preserve">. </w:t>
      </w:r>
      <w:r w:rsidRPr="00B53F89">
        <w:t xml:space="preserve">Further consultation on configuration options for the 900 MHz band </w:t>
      </w:r>
      <w:r w:rsidR="00125B1C" w:rsidRPr="00B53F89">
        <w:t xml:space="preserve">was </w:t>
      </w:r>
      <w:r w:rsidRPr="00B53F89">
        <w:t>conducted in Q</w:t>
      </w:r>
      <w:r w:rsidR="00E00B33" w:rsidRPr="00B53F89">
        <w:t>2</w:t>
      </w:r>
      <w:r w:rsidRPr="00B53F89">
        <w:t xml:space="preserve"> 2019</w:t>
      </w:r>
      <w:r w:rsidR="00C0070D" w:rsidRPr="00B53F89">
        <w:t xml:space="preserve"> (see </w:t>
      </w:r>
      <w:hyperlink r:id="rId115" w:history="1">
        <w:r w:rsidR="00C0070D" w:rsidRPr="006A2F04">
          <w:rPr>
            <w:rStyle w:val="Hyperlink"/>
            <w:i/>
            <w:iCs/>
          </w:rPr>
          <w:t>Reconfiguring the 900 MHz band</w:t>
        </w:r>
      </w:hyperlink>
      <w:r w:rsidR="00C0070D" w:rsidRPr="00B53F89">
        <w:t>)</w:t>
      </w:r>
      <w:r w:rsidRPr="00B53F89">
        <w:t>.</w:t>
      </w:r>
      <w:r w:rsidR="008C0480" w:rsidRPr="00B53F89">
        <w:t xml:space="preserve"> </w:t>
      </w:r>
      <w:r w:rsidR="007E4B7B" w:rsidRPr="00B53F89">
        <w:t xml:space="preserve">The ACMA’s approach includes </w:t>
      </w:r>
      <w:r w:rsidR="007E4B7B" w:rsidRPr="00B53F89">
        <w:rPr>
          <w:szCs w:val="20"/>
        </w:rPr>
        <w:t xml:space="preserve">a focus on optimising the band for </w:t>
      </w:r>
      <w:r w:rsidR="00B3622F" w:rsidRPr="00B53F89">
        <w:rPr>
          <w:szCs w:val="20"/>
        </w:rPr>
        <w:t xml:space="preserve">4G (and in the </w:t>
      </w:r>
      <w:r w:rsidR="007E4B7B" w:rsidRPr="00B53F89">
        <w:rPr>
          <w:szCs w:val="20"/>
        </w:rPr>
        <w:t>longer term 5G</w:t>
      </w:r>
      <w:r w:rsidR="00B3622F" w:rsidRPr="00B53F89">
        <w:rPr>
          <w:szCs w:val="20"/>
        </w:rPr>
        <w:t>)</w:t>
      </w:r>
      <w:r w:rsidR="007E4B7B" w:rsidRPr="00B53F89">
        <w:rPr>
          <w:szCs w:val="20"/>
        </w:rPr>
        <w:t>, providing flexibility for licensees to negotiate a downshift in the 850 MHz band, conversion to longer term licence tenure</w:t>
      </w:r>
      <w:r w:rsidR="00B64CCC" w:rsidRPr="00B53F89">
        <w:rPr>
          <w:szCs w:val="20"/>
        </w:rPr>
        <w:t>, and enabling licensees to mitigate risks to consumer services</w:t>
      </w:r>
      <w:r w:rsidR="007E4B7B" w:rsidRPr="00B53F89">
        <w:t>.</w:t>
      </w:r>
      <w:r w:rsidR="008C0480" w:rsidRPr="00B53F89">
        <w:t xml:space="preserve"> </w:t>
      </w:r>
      <w:r w:rsidR="00125B1C" w:rsidRPr="00B53F89">
        <w:t>The ACMA is currently considering the submissions</w:t>
      </w:r>
      <w:r w:rsidR="008C0480" w:rsidRPr="00B53F89">
        <w:t>.</w:t>
      </w:r>
    </w:p>
    <w:p w14:paraId="1875C7A9" w14:textId="7A78C921" w:rsidR="001F03F1" w:rsidRPr="00B53F89" w:rsidRDefault="001F03F1" w:rsidP="001F03F1">
      <w:r w:rsidRPr="00B53F89">
        <w:t xml:space="preserve">As part of these optimisation considerations, the ACMA also proposes the reallocation of the 850 MHz expansion band for wireless broadband (see </w:t>
      </w:r>
      <w:r w:rsidR="00CE04A3" w:rsidRPr="00B53F89">
        <w:t>above</w:t>
      </w:r>
      <w:r w:rsidRPr="00B53F89">
        <w:t>).</w:t>
      </w:r>
      <w:r w:rsidR="00785CFB" w:rsidRPr="00B53F89">
        <w:t xml:space="preserve"> The ACMA expects to decide its approach to reconfiguring the 900 MHz band and allocating the 850 MHz expansion</w:t>
      </w:r>
      <w:r w:rsidR="000674DA" w:rsidRPr="00B53F89">
        <w:t xml:space="preserve"> band</w:t>
      </w:r>
      <w:r w:rsidR="00785CFB" w:rsidRPr="00B53F89">
        <w:t xml:space="preserve"> in Q4 2019.</w:t>
      </w:r>
    </w:p>
    <w:p w14:paraId="10567B69" w14:textId="1B9218C6" w:rsidR="00770CB1" w:rsidRPr="00B53F89" w:rsidRDefault="00770CB1" w:rsidP="00CF66CF">
      <w:pPr>
        <w:keepNext/>
        <w:spacing w:before="60" w:after="0"/>
      </w:pPr>
      <w:r w:rsidRPr="006A2F04">
        <w:rPr>
          <w:noProof/>
        </w:rPr>
        <w:lastRenderedPageBreak/>
        <w:drawing>
          <wp:inline distT="0" distB="0" distL="0" distR="0" wp14:anchorId="3DEB3B3F" wp14:editId="044CC305">
            <wp:extent cx="342900" cy="361950"/>
            <wp:effectExtent l="0" t="0" r="0" b="0"/>
            <wp:docPr id="99" name="Picture 99"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FE7029" w:rsidRPr="006A2F04">
        <w:rPr>
          <w:noProof/>
        </w:rPr>
        <w:drawing>
          <wp:inline distT="0" distB="0" distL="0" distR="0" wp14:anchorId="0A81FC91" wp14:editId="37C2F61B">
            <wp:extent cx="341630" cy="359410"/>
            <wp:effectExtent l="0" t="0" r="1270" b="2540"/>
            <wp:docPr id="195" name="Picture 195"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31"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00051029" w:rsidRPr="006A2F04">
        <w:rPr>
          <w:noProof/>
        </w:rPr>
        <w:drawing>
          <wp:inline distT="0" distB="0" distL="0" distR="0" wp14:anchorId="0AC6C27B" wp14:editId="061F9C3D">
            <wp:extent cx="342900" cy="361950"/>
            <wp:effectExtent l="0" t="0" r="0" b="0"/>
            <wp:docPr id="181" name="Picture 181"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Radio/TV broadcasting icon"/>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DF1BA4" w:rsidRPr="006A2F04">
        <w:rPr>
          <w:noProof/>
        </w:rPr>
        <w:drawing>
          <wp:inline distT="0" distB="0" distL="0" distR="0" wp14:anchorId="762933A2" wp14:editId="25AEB2DB">
            <wp:extent cx="342900" cy="361950"/>
            <wp:effectExtent l="0" t="0" r="0" b="0"/>
            <wp:docPr id="180" name="Picture 180" descr="Aviation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Aviation icon"/>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B43FB0" w:rsidRPr="006A2F04">
        <w:rPr>
          <w:noProof/>
        </w:rPr>
        <w:drawing>
          <wp:inline distT="0" distB="0" distL="0" distR="0" wp14:anchorId="47B9726C" wp14:editId="3067649D">
            <wp:extent cx="342900" cy="361950"/>
            <wp:effectExtent l="0" t="0" r="0" b="0"/>
            <wp:docPr id="182" name="Picture 182"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Point to multipoint icon"/>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B43FB0" w:rsidRPr="006A2F04">
        <w:rPr>
          <w:noProof/>
        </w:rPr>
        <w:drawing>
          <wp:inline distT="0" distB="0" distL="0" distR="0" wp14:anchorId="48DBA1C9" wp14:editId="2CDA897E">
            <wp:extent cx="342900" cy="361950"/>
            <wp:effectExtent l="0" t="0" r="0" b="0"/>
            <wp:docPr id="183" name="Picture 183"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B43FB0" w:rsidRPr="006A2F04">
        <w:rPr>
          <w:noProof/>
        </w:rPr>
        <w:drawing>
          <wp:inline distT="0" distB="0" distL="0" distR="0" wp14:anchorId="7873C140" wp14:editId="0BC9AAB7">
            <wp:extent cx="342900" cy="361950"/>
            <wp:effectExtent l="0" t="0" r="0" b="0"/>
            <wp:docPr id="184" name="Picture 184" descr="Defenc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Defence icon"/>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29D1B2A3" wp14:editId="29C6C435">
            <wp:extent cx="342900" cy="361950"/>
            <wp:effectExtent l="0" t="0" r="0" b="0"/>
            <wp:docPr id="100" name="Picture 100"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3D39851D" w14:textId="05E6CB49" w:rsidR="001F03F1" w:rsidRPr="00B53F89" w:rsidRDefault="00A54553" w:rsidP="00E20AFE">
      <w:pPr>
        <w:pStyle w:val="Heading3"/>
      </w:pPr>
      <w:r>
        <w:pict w14:anchorId="7A985A99">
          <v:shape id="_x0000_i1045" type="#_x0000_t75" alt="A close up of a sign&#10;&#10;Description automatically generated" style="width:18.75pt;height:11.25pt;visibility:visible;mso-wrap-style:square">
            <v:imagedata r:id="rId43" o:title="A close up of a sign&#10;&#10;Description automatically generated"/>
          </v:shape>
        </w:pict>
      </w:r>
      <w:bookmarkStart w:id="352" w:name="_Toc18505556"/>
      <w:r w:rsidR="00125C80">
        <w:t xml:space="preserve"> </w:t>
      </w:r>
      <w:r w:rsidR="001F03F1" w:rsidRPr="00B53F89">
        <w:t>1.5 GHz</w:t>
      </w:r>
      <w:bookmarkEnd w:id="352"/>
    </w:p>
    <w:p w14:paraId="596BA6B7" w14:textId="627E1B4F" w:rsidR="00002B03" w:rsidRPr="00B53F89" w:rsidRDefault="00002B03" w:rsidP="00002B03">
      <w:pPr>
        <w:spacing w:after="120"/>
        <w:rPr>
          <w:rFonts w:cs="Arial"/>
          <w:szCs w:val="20"/>
        </w:rPr>
      </w:pPr>
      <w:r w:rsidRPr="00B53F89">
        <w:rPr>
          <w:rFonts w:cs="Arial"/>
          <w:szCs w:val="20"/>
        </w:rPr>
        <w:t xml:space="preserve">In June 2017, the ACMA released a </w:t>
      </w:r>
      <w:hyperlink r:id="rId116" w:history="1">
        <w:r w:rsidRPr="00B53F89">
          <w:rPr>
            <w:rStyle w:val="Hyperlink"/>
            <w:rFonts w:eastAsiaTheme="majorEastAsia" w:cs="Arial"/>
            <w:szCs w:val="20"/>
          </w:rPr>
          <w:t>consultation package</w:t>
        </w:r>
      </w:hyperlink>
      <w:r w:rsidRPr="00B53F89">
        <w:rPr>
          <w:rFonts w:cs="Arial"/>
          <w:szCs w:val="20"/>
        </w:rPr>
        <w:t xml:space="preserve"> including </w:t>
      </w:r>
      <w:hyperlink r:id="rId117" w:history="1">
        <w:r w:rsidRPr="00B53F89">
          <w:rPr>
            <w:rStyle w:val="Hyperlink"/>
            <w:rFonts w:cs="Arial"/>
            <w:i/>
            <w:szCs w:val="20"/>
          </w:rPr>
          <w:t>Future use of the 1.5 GHz and 3.6 GHz bands—Summary of and response to 3.6 GHz submissions</w:t>
        </w:r>
      </w:hyperlink>
      <w:r w:rsidRPr="00B53F89">
        <w:rPr>
          <w:rFonts w:cs="Arial"/>
          <w:szCs w:val="20"/>
        </w:rPr>
        <w:t xml:space="preserve">. This detailed the ACMA’s decision to progress the 1.5 GHz band to the </w:t>
      </w:r>
      <w:r w:rsidRPr="00B53F89">
        <w:rPr>
          <w:rFonts w:cs="Arial"/>
          <w:i/>
          <w:szCs w:val="20"/>
        </w:rPr>
        <w:t>preliminary replanning</w:t>
      </w:r>
      <w:r w:rsidRPr="00B53F89">
        <w:rPr>
          <w:rFonts w:cs="Arial"/>
          <w:szCs w:val="20"/>
        </w:rPr>
        <w:t xml:space="preserve"> stage of the ACMA’s process for consideration of additional spectrum for </w:t>
      </w:r>
      <w:r w:rsidR="008C0480" w:rsidRPr="00B53F89">
        <w:rPr>
          <w:rFonts w:cs="Arial"/>
          <w:szCs w:val="20"/>
        </w:rPr>
        <w:t>mobile broadband</w:t>
      </w:r>
      <w:r w:rsidRPr="00B53F89">
        <w:rPr>
          <w:rFonts w:cs="Arial"/>
          <w:szCs w:val="20"/>
        </w:rPr>
        <w:t xml:space="preserve"> services.</w:t>
      </w:r>
    </w:p>
    <w:p w14:paraId="6CF67C42" w14:textId="30397EFF" w:rsidR="00EA1B63" w:rsidRPr="00B53F89" w:rsidRDefault="000908EE" w:rsidP="00002B03">
      <w:pPr>
        <w:spacing w:after="120"/>
        <w:rPr>
          <w:rFonts w:cs="Arial"/>
          <w:szCs w:val="20"/>
        </w:rPr>
      </w:pPr>
      <w:r w:rsidRPr="00B53F89">
        <w:rPr>
          <w:rFonts w:eastAsiaTheme="majorEastAsia"/>
        </w:rPr>
        <w:t xml:space="preserve">Ongoing work in international spectrum harmonisation, technology standardisation and coexistence with other services will clarify the amount of spectrum that could be made available for allocation. The ACMA is yet to </w:t>
      </w:r>
      <w:r w:rsidR="00635DBD" w:rsidRPr="00B53F89">
        <w:rPr>
          <w:rFonts w:eastAsiaTheme="majorEastAsia"/>
        </w:rPr>
        <w:t>decide</w:t>
      </w:r>
      <w:r w:rsidRPr="00B53F89">
        <w:rPr>
          <w:rFonts w:eastAsiaTheme="majorEastAsia"/>
        </w:rPr>
        <w:t xml:space="preserve"> on the quantum of spectrum that should be made available for allocation.</w:t>
      </w:r>
      <w:r w:rsidR="00EA1B63" w:rsidRPr="00B53F89">
        <w:rPr>
          <w:rFonts w:cs="Arial"/>
          <w:szCs w:val="20"/>
        </w:rPr>
        <w:t xml:space="preserve"> </w:t>
      </w:r>
      <w:r w:rsidR="00925362" w:rsidRPr="00B53F89">
        <w:rPr>
          <w:rFonts w:cs="Arial"/>
          <w:szCs w:val="20"/>
        </w:rPr>
        <w:t xml:space="preserve">This and other </w:t>
      </w:r>
      <w:r w:rsidR="00EE6E9B" w:rsidRPr="00B53F89">
        <w:rPr>
          <w:rFonts w:cs="Arial"/>
          <w:szCs w:val="20"/>
        </w:rPr>
        <w:t>considerations</w:t>
      </w:r>
      <w:r w:rsidR="00925362" w:rsidRPr="00B53F89">
        <w:rPr>
          <w:rFonts w:cs="Arial"/>
          <w:szCs w:val="20"/>
        </w:rPr>
        <w:t xml:space="preserve"> would be determined in further replanning activities that would be undertaken together with co</w:t>
      </w:r>
      <w:r w:rsidR="00EE6E9B" w:rsidRPr="00B53F89">
        <w:rPr>
          <w:rFonts w:cs="Arial"/>
          <w:szCs w:val="20"/>
        </w:rPr>
        <w:t>nsid</w:t>
      </w:r>
      <w:r w:rsidR="00925362" w:rsidRPr="00B53F89">
        <w:rPr>
          <w:rFonts w:cs="Arial"/>
          <w:szCs w:val="20"/>
        </w:rPr>
        <w:t>er</w:t>
      </w:r>
      <w:r w:rsidR="001D6F68" w:rsidRPr="00B53F89">
        <w:rPr>
          <w:rFonts w:cs="Arial"/>
          <w:szCs w:val="20"/>
        </w:rPr>
        <w:t>ation of</w:t>
      </w:r>
      <w:r w:rsidR="00925362" w:rsidRPr="00B53F89">
        <w:rPr>
          <w:rFonts w:cs="Arial"/>
          <w:szCs w:val="20"/>
        </w:rPr>
        <w:t xml:space="preserve"> the upper adjacent band that is of interest for L</w:t>
      </w:r>
      <w:r w:rsidR="008B211A" w:rsidRPr="00B53F89">
        <w:rPr>
          <w:rFonts w:cs="Arial"/>
          <w:szCs w:val="20"/>
        </w:rPr>
        <w:t>-</w:t>
      </w:r>
      <w:r w:rsidR="00925362" w:rsidRPr="00B53F89">
        <w:rPr>
          <w:rFonts w:cs="Arial"/>
          <w:szCs w:val="20"/>
        </w:rPr>
        <w:t>band MSS services.</w:t>
      </w:r>
    </w:p>
    <w:p w14:paraId="4735FC95" w14:textId="32AFB159" w:rsidR="004F3D3C" w:rsidRPr="00B53F89" w:rsidRDefault="006F5B0F" w:rsidP="001F03F1">
      <w:pPr>
        <w:rPr>
          <w:szCs w:val="20"/>
        </w:rPr>
      </w:pPr>
      <w:r w:rsidRPr="00B53F89">
        <w:t xml:space="preserve">Feedback to the </w:t>
      </w:r>
      <w:r w:rsidR="005548E6" w:rsidRPr="00B53F89">
        <w:t xml:space="preserve">draft </w:t>
      </w:r>
      <w:r w:rsidRPr="00B53F89">
        <w:t>FYSO 201</w:t>
      </w:r>
      <w:r w:rsidR="005548E6" w:rsidRPr="00B53F89">
        <w:t>9</w:t>
      </w:r>
      <w:r w:rsidR="00243870" w:rsidRPr="00B53F89">
        <w:t>–</w:t>
      </w:r>
      <w:r w:rsidRPr="00B53F89">
        <w:t>2</w:t>
      </w:r>
      <w:r w:rsidR="005548E6" w:rsidRPr="00B53F89">
        <w:t>3</w:t>
      </w:r>
      <w:r w:rsidRPr="00B53F89">
        <w:t xml:space="preserve"> </w:t>
      </w:r>
      <w:r w:rsidR="005548E6" w:rsidRPr="00B53F89">
        <w:t xml:space="preserve">confirmed </w:t>
      </w:r>
      <w:r w:rsidRPr="00B53F89">
        <w:rPr>
          <w:szCs w:val="20"/>
        </w:rPr>
        <w:t>a lower level of near-term domestic interest</w:t>
      </w:r>
      <w:r w:rsidR="005548E6" w:rsidRPr="00B53F89">
        <w:rPr>
          <w:szCs w:val="20"/>
        </w:rPr>
        <w:t xml:space="preserve"> in the reallocation of this band</w:t>
      </w:r>
      <w:r w:rsidRPr="00B53F89">
        <w:rPr>
          <w:szCs w:val="20"/>
        </w:rPr>
        <w:t>, compared to other potential wireless broadband bands</w:t>
      </w:r>
      <w:r w:rsidR="005548E6" w:rsidRPr="00B53F89">
        <w:rPr>
          <w:szCs w:val="20"/>
        </w:rPr>
        <w:t>. S</w:t>
      </w:r>
      <w:r w:rsidR="000E5DBC" w:rsidRPr="00B53F89">
        <w:rPr>
          <w:szCs w:val="20"/>
        </w:rPr>
        <w:t>takeholders have indicated broader interest in the band for private LTE networks</w:t>
      </w:r>
      <w:r w:rsidR="005548E6" w:rsidRPr="00B53F89">
        <w:rPr>
          <w:szCs w:val="20"/>
        </w:rPr>
        <w:t>.</w:t>
      </w:r>
    </w:p>
    <w:p w14:paraId="5F83E7E8" w14:textId="538383EC" w:rsidR="00AD2FEE" w:rsidRPr="00B53F89" w:rsidRDefault="00B7374B" w:rsidP="00CF66CF">
      <w:pPr>
        <w:keepNext/>
        <w:spacing w:before="60" w:after="0"/>
      </w:pPr>
      <w:r w:rsidRPr="006A2F04">
        <w:rPr>
          <w:noProof/>
        </w:rPr>
        <w:drawing>
          <wp:inline distT="0" distB="0" distL="0" distR="0" wp14:anchorId="4711AEB3" wp14:editId="0C67E69E">
            <wp:extent cx="342900" cy="361950"/>
            <wp:effectExtent l="0" t="0" r="0" b="0"/>
            <wp:docPr id="165" name="Picture 165"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21381F" w:rsidRPr="006A2F04">
        <w:rPr>
          <w:noProof/>
        </w:rPr>
        <w:drawing>
          <wp:inline distT="0" distB="0" distL="0" distR="0" wp14:anchorId="596EDD62" wp14:editId="0D2FD225">
            <wp:extent cx="342900" cy="361950"/>
            <wp:effectExtent l="0" t="0" r="0" b="0"/>
            <wp:docPr id="6" name="Picture 6"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Radio/TV broadcasting icon"/>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21C12DA6" wp14:editId="0B01109A">
            <wp:extent cx="342900" cy="361950"/>
            <wp:effectExtent l="0" t="0" r="0" b="0"/>
            <wp:docPr id="166" name="Picture 166"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17421ABE" wp14:editId="5E08AA7C">
            <wp:extent cx="342900" cy="361950"/>
            <wp:effectExtent l="0" t="0" r="0" b="0"/>
            <wp:docPr id="167" name="Picture 167"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Point to multipoint icon"/>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21381F" w:rsidRPr="006A2F04">
        <w:rPr>
          <w:noProof/>
        </w:rPr>
        <w:drawing>
          <wp:inline distT="0" distB="0" distL="0" distR="0" wp14:anchorId="24181ACC" wp14:editId="4BC8BF87">
            <wp:extent cx="342900" cy="361950"/>
            <wp:effectExtent l="0" t="0" r="0" b="0"/>
            <wp:docPr id="12" name="Picture 12"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7D8D13F2" wp14:editId="28432F77">
            <wp:extent cx="342900" cy="361950"/>
            <wp:effectExtent l="0" t="0" r="0" b="0"/>
            <wp:docPr id="168" name="Picture 168" descr="Amateur radio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Amateur radio icon"/>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FE7029" w:rsidRPr="006A2F04">
        <w:rPr>
          <w:noProof/>
        </w:rPr>
        <w:drawing>
          <wp:inline distT="0" distB="0" distL="0" distR="0" wp14:anchorId="7F60DC4E" wp14:editId="41F0A621">
            <wp:extent cx="341630" cy="359410"/>
            <wp:effectExtent l="0" t="0" r="1270" b="2540"/>
            <wp:docPr id="196" name="Picture 196"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31"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0021381F" w:rsidRPr="006A2F04">
        <w:rPr>
          <w:noProof/>
        </w:rPr>
        <w:drawing>
          <wp:inline distT="0" distB="0" distL="0" distR="0" wp14:anchorId="7768E74C" wp14:editId="0E7E4466">
            <wp:extent cx="342900" cy="361950"/>
            <wp:effectExtent l="0" t="0" r="0" b="0"/>
            <wp:docPr id="15" name="Picture 15"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70A0A7B9" w14:textId="4E288406" w:rsidR="00953D65" w:rsidRPr="00B53F89" w:rsidRDefault="00A54553" w:rsidP="00E20AFE">
      <w:pPr>
        <w:pStyle w:val="Heading3"/>
        <w:rPr>
          <w:rFonts w:eastAsiaTheme="majorEastAsia"/>
        </w:rPr>
      </w:pPr>
      <w:r>
        <w:pict w14:anchorId="31D596EE">
          <v:shape id="_x0000_i1046" type="#_x0000_t75" alt="A close up of a sign&#10;&#10;Description automatically generated" style="width:18.75pt;height:11.25pt;visibility:visible;mso-wrap-style:square">
            <v:imagedata r:id="rId43" o:title="A close up of a sign&#10;&#10;Description automatically generated"/>
          </v:shape>
        </w:pict>
      </w:r>
      <w:bookmarkStart w:id="353" w:name="_Toc18505557"/>
      <w:r w:rsidR="00125C80">
        <w:t xml:space="preserve"> </w:t>
      </w:r>
      <w:r w:rsidR="00953D65" w:rsidRPr="00B53F89">
        <w:t>34</w:t>
      </w:r>
      <w:r w:rsidR="00EE3C7B" w:rsidRPr="00B53F89">
        <w:t>00</w:t>
      </w:r>
      <w:r w:rsidR="00953D65" w:rsidRPr="00B53F89">
        <w:t xml:space="preserve">–3575 </w:t>
      </w:r>
      <w:r w:rsidR="00EE3C7B" w:rsidRPr="00B53F89">
        <w:rPr>
          <w:rFonts w:eastAsiaTheme="majorEastAsia"/>
        </w:rPr>
        <w:t>M</w:t>
      </w:r>
      <w:r w:rsidR="00953D65" w:rsidRPr="00B53F89">
        <w:rPr>
          <w:rFonts w:eastAsiaTheme="majorEastAsia"/>
        </w:rPr>
        <w:t>Hz</w:t>
      </w:r>
      <w:bookmarkEnd w:id="353"/>
    </w:p>
    <w:p w14:paraId="76A9CDB2" w14:textId="53B23F1C" w:rsidR="008C0480" w:rsidRPr="00B53F89" w:rsidRDefault="00953D65" w:rsidP="00953D65">
      <w:pPr>
        <w:keepNext/>
        <w:keepLines/>
      </w:pPr>
      <w:r w:rsidRPr="00B53F89">
        <w:t>Stakeholder engagement in the lead</w:t>
      </w:r>
      <w:r w:rsidR="00C171A0" w:rsidRPr="00B53F89">
        <w:t>-</w:t>
      </w:r>
      <w:r w:rsidRPr="00B53F89">
        <w:t xml:space="preserve">up to the 3.6 GHz auction in 2018 identified optimising spectrum </w:t>
      </w:r>
      <w:r w:rsidR="00181D78" w:rsidRPr="00B53F89">
        <w:t>and apparatus licence arrangements</w:t>
      </w:r>
      <w:r w:rsidRPr="00B53F89" w:rsidDel="00181D78">
        <w:t xml:space="preserve"> </w:t>
      </w:r>
      <w:r w:rsidRPr="00B53F89">
        <w:t xml:space="preserve">in the adjacent </w:t>
      </w:r>
      <w:r w:rsidR="00EE3C7B" w:rsidRPr="00B53F89">
        <w:t>3400–3575 MHz</w:t>
      </w:r>
      <w:r w:rsidRPr="00B53F89">
        <w:t xml:space="preserve"> band as an important priority for the ACMA. This </w:t>
      </w:r>
      <w:r w:rsidR="00181D78" w:rsidRPr="00B53F89">
        <w:t>is</w:t>
      </w:r>
      <w:r w:rsidRPr="00B53F89">
        <w:t xml:space="preserve"> expected to </w:t>
      </w:r>
      <w:r w:rsidR="00181D78" w:rsidRPr="00B53F89">
        <w:t xml:space="preserve">result in more efficient use of spectrum and a reduction in deployment costs. </w:t>
      </w:r>
    </w:p>
    <w:p w14:paraId="3C08BE0B" w14:textId="2DAC5CEC" w:rsidR="00176D22" w:rsidRPr="00B53F89" w:rsidRDefault="00814452" w:rsidP="00953D65">
      <w:pPr>
        <w:keepNext/>
        <w:keepLines/>
      </w:pPr>
      <w:r w:rsidRPr="00B53F89">
        <w:t xml:space="preserve">The ACMA </w:t>
      </w:r>
      <w:r w:rsidR="005E47C6" w:rsidRPr="00B53F89">
        <w:t>commenced</w:t>
      </w:r>
      <w:r w:rsidRPr="00B53F89">
        <w:t xml:space="preserve"> consideration of this issue</w:t>
      </w:r>
      <w:r w:rsidR="00953D65" w:rsidRPr="00B53F89">
        <w:t xml:space="preserve"> </w:t>
      </w:r>
      <w:r w:rsidR="005E47C6" w:rsidRPr="00B53F89">
        <w:t>via the release of</w:t>
      </w:r>
      <w:r w:rsidR="00953D65" w:rsidRPr="00B53F89">
        <w:t xml:space="preserve"> an </w:t>
      </w:r>
      <w:hyperlink r:id="rId118" w:history="1">
        <w:r w:rsidR="00953D65" w:rsidRPr="00B53F89">
          <w:rPr>
            <w:rStyle w:val="Hyperlink"/>
          </w:rPr>
          <w:t>options paper</w:t>
        </w:r>
      </w:hyperlink>
      <w:r w:rsidR="00953D65" w:rsidRPr="00B53F89">
        <w:t xml:space="preserve"> </w:t>
      </w:r>
      <w:r w:rsidR="00150635" w:rsidRPr="00B53F89">
        <w:t xml:space="preserve">in </w:t>
      </w:r>
      <w:r w:rsidR="005E47C6" w:rsidRPr="00B53F89">
        <w:t>April 2019</w:t>
      </w:r>
      <w:r w:rsidR="00953D65" w:rsidRPr="00B53F89">
        <w:t>.</w:t>
      </w:r>
      <w:r w:rsidRPr="00B53F89">
        <w:t xml:space="preserve"> This </w:t>
      </w:r>
      <w:r w:rsidR="008C0480" w:rsidRPr="00B53F89">
        <w:t xml:space="preserve">paper </w:t>
      </w:r>
      <w:r w:rsidRPr="00B53F89">
        <w:t>also</w:t>
      </w:r>
      <w:r w:rsidR="00176D22" w:rsidRPr="00B53F89">
        <w:t>:</w:t>
      </w:r>
      <w:r w:rsidRPr="00B53F89">
        <w:t xml:space="preserve"> </w:t>
      </w:r>
    </w:p>
    <w:p w14:paraId="6790C18E" w14:textId="57078EB3" w:rsidR="00176D22" w:rsidRPr="00B53F89" w:rsidRDefault="00DC674A" w:rsidP="00E20AFE">
      <w:pPr>
        <w:pStyle w:val="ListParagraph"/>
        <w:numPr>
          <w:ilvl w:val="0"/>
          <w:numId w:val="75"/>
        </w:numPr>
        <w:tabs>
          <w:tab w:val="right" w:pos="9923"/>
        </w:tabs>
        <w:spacing w:before="120" w:after="120" w:line="240" w:lineRule="auto"/>
        <w:ind w:left="284" w:hanging="284"/>
        <w:rPr>
          <w:rFonts w:cs="Arial"/>
        </w:rPr>
      </w:pPr>
      <w:r w:rsidRPr="00B53F89">
        <w:rPr>
          <w:rFonts w:cs="Arial"/>
        </w:rPr>
        <w:t>i</w:t>
      </w:r>
      <w:r w:rsidR="00176D22" w:rsidRPr="00B53F89">
        <w:rPr>
          <w:rFonts w:cs="Arial"/>
        </w:rPr>
        <w:t>nvestigated planning options to make more of the band available for wireless broadband use</w:t>
      </w:r>
    </w:p>
    <w:p w14:paraId="375E4312" w14:textId="325F4970" w:rsidR="00176D22" w:rsidRPr="00B53F89" w:rsidRDefault="00176D22" w:rsidP="00E20AFE">
      <w:pPr>
        <w:pStyle w:val="ListParagraph"/>
        <w:numPr>
          <w:ilvl w:val="0"/>
          <w:numId w:val="75"/>
        </w:numPr>
        <w:tabs>
          <w:tab w:val="right" w:pos="9923"/>
        </w:tabs>
        <w:spacing w:after="240" w:line="240" w:lineRule="auto"/>
        <w:ind w:left="284" w:hanging="284"/>
        <w:rPr>
          <w:rFonts w:cs="Arial"/>
        </w:rPr>
      </w:pPr>
      <w:r w:rsidRPr="00B53F89">
        <w:rPr>
          <w:rFonts w:cs="Arial"/>
        </w:rPr>
        <w:t xml:space="preserve">started the discussion on whether or not (and how) urban areas of NBN Co’s public telecommunications service (PTS) apparatus licences in the band could be made available for use by other operators. </w:t>
      </w:r>
    </w:p>
    <w:p w14:paraId="39A4F53D" w14:textId="3A60BD02" w:rsidR="00953D65" w:rsidRPr="00B53F89" w:rsidRDefault="00A30730" w:rsidP="00953D65">
      <w:pPr>
        <w:keepNext/>
        <w:keepLines/>
      </w:pPr>
      <w:r w:rsidRPr="00B53F89">
        <w:t>The ACMA</w:t>
      </w:r>
      <w:r w:rsidR="005552DB" w:rsidRPr="00B53F89">
        <w:t xml:space="preserve"> </w:t>
      </w:r>
      <w:r w:rsidR="0035302B" w:rsidRPr="00B53F89">
        <w:t xml:space="preserve">plans to release </w:t>
      </w:r>
      <w:r w:rsidR="00925362" w:rsidRPr="00B53F89">
        <w:t>in a planning decision paper</w:t>
      </w:r>
      <w:r w:rsidR="006923AF" w:rsidRPr="00B53F89">
        <w:t xml:space="preserve"> on</w:t>
      </w:r>
      <w:r w:rsidR="00925362" w:rsidRPr="00B53F89">
        <w:t xml:space="preserve"> </w:t>
      </w:r>
      <w:r w:rsidR="00176D22" w:rsidRPr="00B53F89">
        <w:t xml:space="preserve">the outcomes of this process </w:t>
      </w:r>
      <w:r w:rsidR="0035302B" w:rsidRPr="00B53F89">
        <w:t xml:space="preserve">on how we intend to implement the optimisation of the band </w:t>
      </w:r>
      <w:r w:rsidRPr="00B53F89">
        <w:t>Q</w:t>
      </w:r>
      <w:r w:rsidR="00B27758" w:rsidRPr="00B53F89">
        <w:t>4</w:t>
      </w:r>
      <w:r w:rsidRPr="00B53F89">
        <w:t xml:space="preserve"> 2019.</w:t>
      </w:r>
    </w:p>
    <w:p w14:paraId="03EDE66C" w14:textId="2CA0471C" w:rsidR="00AD2FEE" w:rsidRPr="00B53F89" w:rsidRDefault="00AD2FEE" w:rsidP="00CF66CF">
      <w:pPr>
        <w:keepNext/>
        <w:spacing w:before="60" w:after="0"/>
      </w:pPr>
      <w:r w:rsidRPr="006A2F04">
        <w:rPr>
          <w:noProof/>
        </w:rPr>
        <w:drawing>
          <wp:inline distT="0" distB="0" distL="0" distR="0" wp14:anchorId="2F193333" wp14:editId="74CDF9AD">
            <wp:extent cx="342900" cy="361950"/>
            <wp:effectExtent l="0" t="0" r="0" b="0"/>
            <wp:docPr id="102" name="Picture 102"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399E35F6" wp14:editId="0588F045">
            <wp:extent cx="342900" cy="361950"/>
            <wp:effectExtent l="0" t="0" r="0" b="0"/>
            <wp:docPr id="103" name="Picture 103"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50B5A2B5" wp14:editId="632FD670">
            <wp:extent cx="342900" cy="361950"/>
            <wp:effectExtent l="0" t="0" r="0" b="0"/>
            <wp:docPr id="105" name="Picture 105"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Point to multipoint icon"/>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5EFDFFC3" wp14:editId="5149D1B4">
            <wp:extent cx="342900" cy="361950"/>
            <wp:effectExtent l="0" t="0" r="0" b="0"/>
            <wp:docPr id="106" name="Picture 106"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FE7029" w:rsidRPr="006A2F04">
        <w:rPr>
          <w:noProof/>
        </w:rPr>
        <w:drawing>
          <wp:inline distT="0" distB="0" distL="0" distR="0" wp14:anchorId="30ED9EA8" wp14:editId="26EC654E">
            <wp:extent cx="341630" cy="359410"/>
            <wp:effectExtent l="0" t="0" r="1270" b="2540"/>
            <wp:docPr id="197" name="Picture 197"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31"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6A2F04">
        <w:rPr>
          <w:noProof/>
        </w:rPr>
        <w:drawing>
          <wp:inline distT="0" distB="0" distL="0" distR="0" wp14:anchorId="3ECF2082" wp14:editId="2B1EFD4F">
            <wp:extent cx="342900" cy="361950"/>
            <wp:effectExtent l="0" t="0" r="0" b="0"/>
            <wp:docPr id="107" name="Picture 107"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37FA7B9C" w14:textId="786EA627" w:rsidR="001F03F1" w:rsidRPr="00B53F89" w:rsidRDefault="00125C80" w:rsidP="00140240">
      <w:pPr>
        <w:pStyle w:val="Heading3"/>
        <w:numPr>
          <w:ilvl w:val="0"/>
          <w:numId w:val="183"/>
        </w:numPr>
        <w:tabs>
          <w:tab w:val="num" w:pos="397"/>
        </w:tabs>
        <w:ind w:left="0" w:firstLine="0"/>
        <w:rPr>
          <w:rFonts w:asciiTheme="majorHAnsi" w:eastAsiaTheme="majorEastAsia" w:hAnsiTheme="majorHAnsi"/>
          <w:sz w:val="26"/>
        </w:rPr>
      </w:pPr>
      <w:bookmarkStart w:id="354" w:name="_Toc18505558"/>
      <w:r>
        <w:t xml:space="preserve"> </w:t>
      </w:r>
      <w:r w:rsidR="001F03F1" w:rsidRPr="00B53F89">
        <w:t>26 GHz</w:t>
      </w:r>
      <w:bookmarkEnd w:id="354"/>
    </w:p>
    <w:p w14:paraId="1F64CF97" w14:textId="27A066EB" w:rsidR="001F03F1" w:rsidRPr="00B53F89" w:rsidRDefault="001F03F1" w:rsidP="001F03F1">
      <w:r w:rsidRPr="00B53F89">
        <w:t xml:space="preserve">The 26 GHz band remains </w:t>
      </w:r>
      <w:r w:rsidR="00AF5601" w:rsidRPr="00B53F89">
        <w:t xml:space="preserve">a strong </w:t>
      </w:r>
      <w:r w:rsidRPr="00B53F89">
        <w:t xml:space="preserve">candidate for </w:t>
      </w:r>
      <w:r w:rsidR="00AF5601" w:rsidRPr="00B53F89">
        <w:t xml:space="preserve">the next wireless broadband band to be </w:t>
      </w:r>
      <w:r w:rsidRPr="00B53F89">
        <w:t>allocat</w:t>
      </w:r>
      <w:r w:rsidR="00AF5601" w:rsidRPr="00B53F89">
        <w:t>ed</w:t>
      </w:r>
      <w:r w:rsidRPr="00B53F89">
        <w:t>, following the allocation of the 3.6 GHz band</w:t>
      </w:r>
      <w:r w:rsidR="00BF0ED1" w:rsidRPr="00B53F89">
        <w:t xml:space="preserve"> in late 2018</w:t>
      </w:r>
      <w:r w:rsidRPr="00B53F89">
        <w:t xml:space="preserve">. </w:t>
      </w:r>
    </w:p>
    <w:p w14:paraId="3CF4D4E9" w14:textId="48F5D254" w:rsidR="007C610F" w:rsidRPr="00B53F89" w:rsidRDefault="001F03F1" w:rsidP="001F03F1">
      <w:r w:rsidRPr="00B53F89">
        <w:t xml:space="preserve">In September 2018 the ACMA released an </w:t>
      </w:r>
      <w:hyperlink r:id="rId119" w:history="1">
        <w:r w:rsidRPr="00B53F89">
          <w:rPr>
            <w:rStyle w:val="Hyperlink"/>
          </w:rPr>
          <w:t>options paper</w:t>
        </w:r>
      </w:hyperlink>
      <w:r w:rsidRPr="00B53F89">
        <w:t xml:space="preserve"> outlining the various planning and configuration options for the 26 GHz band, and seek</w:t>
      </w:r>
      <w:r w:rsidR="00DD59F3" w:rsidRPr="00B53F89">
        <w:t>ing</w:t>
      </w:r>
      <w:r w:rsidRPr="00B53F89">
        <w:t xml:space="preserve"> views on</w:t>
      </w:r>
      <w:r w:rsidR="006923AF" w:rsidRPr="00B53F89">
        <w:t xml:space="preserve"> the</w:t>
      </w:r>
      <w:r w:rsidRPr="00B53F89">
        <w:t xml:space="preserve"> proposal that the band proceeds to allocation. </w:t>
      </w:r>
    </w:p>
    <w:p w14:paraId="39077D90" w14:textId="1992CCA4" w:rsidR="001F03F1" w:rsidRPr="00B53F89" w:rsidRDefault="001F03F1" w:rsidP="001F03F1">
      <w:r w:rsidRPr="00B53F89">
        <w:t>The ACMA consider</w:t>
      </w:r>
      <w:r w:rsidR="00332E1A" w:rsidRPr="00B53F89">
        <w:t>ed</w:t>
      </w:r>
      <w:r w:rsidRPr="00B53F89">
        <w:t xml:space="preserve"> submissions </w:t>
      </w:r>
      <w:r w:rsidR="007C610F" w:rsidRPr="00B53F89">
        <w:t xml:space="preserve">to the options paper </w:t>
      </w:r>
      <w:r w:rsidRPr="00B53F89">
        <w:t xml:space="preserve">and </w:t>
      </w:r>
      <w:r w:rsidR="007C610F" w:rsidRPr="00B53F89">
        <w:t>releas</w:t>
      </w:r>
      <w:r w:rsidR="00914760" w:rsidRPr="00B53F89">
        <w:t>ed</w:t>
      </w:r>
      <w:r w:rsidRPr="00B53F89">
        <w:t xml:space="preserve"> a </w:t>
      </w:r>
      <w:hyperlink r:id="rId120" w:history="1">
        <w:r w:rsidR="0076534E" w:rsidRPr="00B53F89">
          <w:rPr>
            <w:rStyle w:val="Hyperlink"/>
          </w:rPr>
          <w:t xml:space="preserve">decision </w:t>
        </w:r>
        <w:r w:rsidRPr="00B53F89">
          <w:rPr>
            <w:rStyle w:val="Hyperlink"/>
          </w:rPr>
          <w:t>paper</w:t>
        </w:r>
      </w:hyperlink>
      <w:r w:rsidRPr="00B53F89">
        <w:t xml:space="preserve"> </w:t>
      </w:r>
      <w:r w:rsidR="00963F43" w:rsidRPr="00B53F89">
        <w:t xml:space="preserve">in </w:t>
      </w:r>
      <w:r w:rsidR="00332E1A" w:rsidRPr="00B53F89">
        <w:t>April 2019</w:t>
      </w:r>
      <w:r w:rsidR="00963F43" w:rsidRPr="00B53F89">
        <w:t xml:space="preserve"> </w:t>
      </w:r>
      <w:r w:rsidRPr="00B53F89">
        <w:t>detailing decisions and preliminary views for the introduction of wireless broadband in the 26 GHz band.</w:t>
      </w:r>
      <w:r w:rsidR="007C610F" w:rsidRPr="00B53F89">
        <w:t xml:space="preserve"> That paper describe</w:t>
      </w:r>
      <w:r w:rsidR="006923AF" w:rsidRPr="00B53F89">
        <w:t>d</w:t>
      </w:r>
      <w:r w:rsidR="007C610F" w:rsidRPr="00B53F89">
        <w:t xml:space="preserve"> </w:t>
      </w:r>
      <w:r w:rsidR="00365B45" w:rsidRPr="00B53F89">
        <w:t>proposed</w:t>
      </w:r>
      <w:r w:rsidR="007C610F" w:rsidRPr="00B53F89">
        <w:t xml:space="preserve"> arrangements for </w:t>
      </w:r>
      <w:r w:rsidR="00694CE2" w:rsidRPr="00B53F89">
        <w:t xml:space="preserve">spectrum, </w:t>
      </w:r>
      <w:r w:rsidR="007C610F" w:rsidRPr="00B53F89">
        <w:t>apparatus and class licensing in parts of the band.</w:t>
      </w:r>
    </w:p>
    <w:p w14:paraId="2C99F576" w14:textId="299FFAA6" w:rsidR="00AA7A03" w:rsidRPr="00B53F89" w:rsidRDefault="00A4216F" w:rsidP="001F03F1">
      <w:r w:rsidRPr="00B53F89">
        <w:lastRenderedPageBreak/>
        <w:t>In addition to class licensing from 24.25–</w:t>
      </w:r>
      <w:r w:rsidR="00F16497" w:rsidRPr="00B53F89">
        <w:t>25.1</w:t>
      </w:r>
      <w:r w:rsidRPr="00B53F89">
        <w:t xml:space="preserve"> GHz, t</w:t>
      </w:r>
      <w:r w:rsidR="00AA7A03" w:rsidRPr="00B53F89">
        <w:t>he ACMA</w:t>
      </w:r>
      <w:r w:rsidR="00C3564A" w:rsidRPr="00B53F89">
        <w:t xml:space="preserve"> has</w:t>
      </w:r>
      <w:r w:rsidR="00AA7A03" w:rsidRPr="00B53F89">
        <w:t xml:space="preserve"> proposed </w:t>
      </w:r>
      <w:r w:rsidR="00365B45" w:rsidRPr="00B53F89">
        <w:t xml:space="preserve">three distinct approaches in </w:t>
      </w:r>
      <w:r w:rsidR="00AA7A03" w:rsidRPr="00B53F89">
        <w:t>the 26 GHz band:</w:t>
      </w:r>
    </w:p>
    <w:p w14:paraId="78AC323E" w14:textId="5C465606" w:rsidR="00AA7A03" w:rsidRPr="00B53F89" w:rsidRDefault="00AA7A03" w:rsidP="000C609A">
      <w:pPr>
        <w:pStyle w:val="ListBullet"/>
        <w:ind w:left="284" w:hanging="284"/>
      </w:pPr>
      <w:r w:rsidRPr="00B53F89">
        <w:t>25.1–27.</w:t>
      </w:r>
      <w:r w:rsidR="00A4216F" w:rsidRPr="00B53F89">
        <w:t>5</w:t>
      </w:r>
      <w:r w:rsidRPr="00B53F89">
        <w:t xml:space="preserve"> GHz in defined areas (metropolitan and regional centres): spectrum licences allocated via auction</w:t>
      </w:r>
    </w:p>
    <w:p w14:paraId="73BE497A" w14:textId="07A230B2" w:rsidR="00AA7A03" w:rsidRPr="00B53F89" w:rsidRDefault="00AA7A03" w:rsidP="000C609A">
      <w:pPr>
        <w:pStyle w:val="ListBullet"/>
        <w:ind w:left="284" w:hanging="284"/>
      </w:pPr>
      <w:r w:rsidRPr="00B53F89">
        <w:t>25.1–27.</w:t>
      </w:r>
      <w:r w:rsidR="00A4216F" w:rsidRPr="00B53F89">
        <w:t>5</w:t>
      </w:r>
      <w:r w:rsidRPr="00B53F89">
        <w:t xml:space="preserve"> GHz in all other areas: apparatus licences</w:t>
      </w:r>
    </w:p>
    <w:p w14:paraId="6A69CBC0" w14:textId="06B2167B" w:rsidR="00AA7A03" w:rsidRPr="00B53F89" w:rsidRDefault="00AA7A03" w:rsidP="000C609A">
      <w:pPr>
        <w:pStyle w:val="ListBulletLast"/>
        <w:ind w:left="284" w:hanging="284"/>
      </w:pPr>
      <w:r w:rsidRPr="00B53F89">
        <w:t>24.7–25.1 GHz Australia-wide: apparatus licences</w:t>
      </w:r>
      <w:r w:rsidR="00DC674A" w:rsidRPr="00B53F89">
        <w:t>.</w:t>
      </w:r>
    </w:p>
    <w:p w14:paraId="128F2D27" w14:textId="79153390" w:rsidR="003D6916" w:rsidRPr="00B53F89" w:rsidRDefault="003D6916" w:rsidP="001F03F1">
      <w:bookmarkStart w:id="355" w:name="_Hlk16242189"/>
      <w:r w:rsidRPr="00B53F89">
        <w:t xml:space="preserve">In May 2019, the ACMA released a </w:t>
      </w:r>
      <w:hyperlink r:id="rId121" w:history="1">
        <w:r w:rsidRPr="00B53F89">
          <w:rPr>
            <w:rStyle w:val="Hyperlink"/>
          </w:rPr>
          <w:t>consultation paper</w:t>
        </w:r>
      </w:hyperlink>
      <w:r w:rsidRPr="00B53F89">
        <w:t xml:space="preserve"> outlining a draft spectrum reallocation recommendation for the 26 GHz band. The paper sought views on the terms of a </w:t>
      </w:r>
      <w:r w:rsidR="00365B45" w:rsidRPr="00B53F89">
        <w:t>spectrum reallocation</w:t>
      </w:r>
      <w:r w:rsidRPr="00B53F89">
        <w:t xml:space="preserve"> recommendation </w:t>
      </w:r>
      <w:r w:rsidR="00365B45" w:rsidRPr="00B53F89">
        <w:t>for the 26 GHz band</w:t>
      </w:r>
      <w:r w:rsidRPr="00B53F89">
        <w:t xml:space="preserve"> </w:t>
      </w:r>
      <w:r w:rsidR="00365B45" w:rsidRPr="00B53F89">
        <w:t xml:space="preserve">that </w:t>
      </w:r>
      <w:r w:rsidRPr="00B53F89">
        <w:t xml:space="preserve">the ACMA </w:t>
      </w:r>
      <w:r w:rsidR="0033037C" w:rsidRPr="00B53F89">
        <w:t xml:space="preserve">proposed to </w:t>
      </w:r>
      <w:r w:rsidR="00365B45" w:rsidRPr="00B53F89">
        <w:t>give</w:t>
      </w:r>
      <w:r w:rsidRPr="00B53F89">
        <w:t xml:space="preserve"> the </w:t>
      </w:r>
      <w:r w:rsidR="00216EAE" w:rsidRPr="00B53F89">
        <w:t>Minister for Communications</w:t>
      </w:r>
      <w:r w:rsidR="008B57CC" w:rsidRPr="00B53F89">
        <w:t>, Cyber Safety and the Arts</w:t>
      </w:r>
      <w:r w:rsidR="00216EAE" w:rsidRPr="00B53F89">
        <w:t xml:space="preserve"> </w:t>
      </w:r>
      <w:r w:rsidR="00365B45" w:rsidRPr="00B53F89">
        <w:t xml:space="preserve">under section 153F of </w:t>
      </w:r>
      <w:r w:rsidRPr="00B53F89">
        <w:t xml:space="preserve">the </w:t>
      </w:r>
      <w:hyperlink r:id="rId122" w:history="1">
        <w:r w:rsidRPr="00B53F89">
          <w:rPr>
            <w:rStyle w:val="Hyperlink"/>
            <w:i/>
          </w:rPr>
          <w:t>Radiocommunications Act 1992</w:t>
        </w:r>
      </w:hyperlink>
      <w:r w:rsidRPr="00B53F89">
        <w:t xml:space="preserve">. The ACMA </w:t>
      </w:r>
      <w:r w:rsidR="00BA7A2D" w:rsidRPr="00B53F89">
        <w:t xml:space="preserve">expects to make a recommendation to the </w:t>
      </w:r>
      <w:r w:rsidR="00AA6D3C" w:rsidRPr="00B53F89">
        <w:t>m</w:t>
      </w:r>
      <w:r w:rsidR="00BA7A2D" w:rsidRPr="00B53F89">
        <w:t>inister regarding the allocation of spectrum licences in the 26 GHz band in Q3 2019</w:t>
      </w:r>
      <w:r w:rsidRPr="00B53F89">
        <w:t>.</w:t>
      </w:r>
      <w:bookmarkEnd w:id="355"/>
    </w:p>
    <w:p w14:paraId="0D79F3C5" w14:textId="1BD4D178" w:rsidR="007C49B5" w:rsidRPr="00B53F89" w:rsidRDefault="00FE7029" w:rsidP="00CF66CF">
      <w:pPr>
        <w:keepNext/>
        <w:spacing w:before="60" w:after="0"/>
      </w:pPr>
      <w:r w:rsidRPr="006A2F04">
        <w:rPr>
          <w:noProof/>
        </w:rPr>
        <w:drawing>
          <wp:inline distT="0" distB="0" distL="0" distR="0" wp14:anchorId="77BD7226" wp14:editId="39D125C0">
            <wp:extent cx="341630" cy="359410"/>
            <wp:effectExtent l="0" t="0" r="1270" b="2540"/>
            <wp:docPr id="198" name="Picture 198"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31"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007C49B5" w:rsidRPr="006A2F04">
        <w:rPr>
          <w:noProof/>
        </w:rPr>
        <w:drawing>
          <wp:inline distT="0" distB="0" distL="0" distR="0" wp14:anchorId="6BAE36E8" wp14:editId="157D651C">
            <wp:extent cx="342900" cy="361950"/>
            <wp:effectExtent l="0" t="0" r="0" b="0"/>
            <wp:docPr id="111" name="Picture 111"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Point to multipoint icon"/>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7C49B5" w:rsidRPr="006A2F04">
        <w:rPr>
          <w:noProof/>
        </w:rPr>
        <w:drawing>
          <wp:inline distT="0" distB="0" distL="0" distR="0" wp14:anchorId="58F61EDF" wp14:editId="750B4359">
            <wp:extent cx="342900" cy="361950"/>
            <wp:effectExtent l="0" t="0" r="0" b="0"/>
            <wp:docPr id="112" name="Picture 112" descr="Point to 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oint to point icon"/>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285CA6" w:rsidRPr="006A2F04">
        <w:rPr>
          <w:noProof/>
        </w:rPr>
        <w:drawing>
          <wp:inline distT="0" distB="0" distL="0" distR="0" wp14:anchorId="52B9B53D" wp14:editId="396AB735">
            <wp:extent cx="342900" cy="361950"/>
            <wp:effectExtent l="0" t="0" r="0" b="0"/>
            <wp:docPr id="189" name="Picture 189"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B64EBB" w:rsidRPr="006A2F04">
        <w:rPr>
          <w:noProof/>
        </w:rPr>
        <w:drawing>
          <wp:inline distT="0" distB="0" distL="0" distR="0" wp14:anchorId="046D5D00" wp14:editId="72957AC0">
            <wp:extent cx="342900" cy="361950"/>
            <wp:effectExtent l="0" t="0" r="0" b="0"/>
            <wp:docPr id="192" name="Picture 192"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7C49B5" w:rsidRPr="006A2F04">
        <w:rPr>
          <w:noProof/>
        </w:rPr>
        <w:drawing>
          <wp:inline distT="0" distB="0" distL="0" distR="0" wp14:anchorId="6B7C37FB" wp14:editId="177C759F">
            <wp:extent cx="342900" cy="361950"/>
            <wp:effectExtent l="0" t="0" r="0" b="0"/>
            <wp:docPr id="113" name="Picture 113"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55653107" w14:textId="31346D7F" w:rsidR="00EB5146" w:rsidRPr="00B53F89" w:rsidRDefault="00A54553" w:rsidP="000C609A">
      <w:pPr>
        <w:pStyle w:val="Heading3"/>
        <w:keepLines/>
        <w:rPr>
          <w:rFonts w:eastAsiaTheme="majorEastAsia"/>
        </w:rPr>
      </w:pPr>
      <w:r>
        <w:pict w14:anchorId="28283E46">
          <v:shape id="_x0000_i1047" type="#_x0000_t75" alt="A close up of a sign&#10;&#10;Description automatically generated" style="width:18.75pt;height:11.25pt;visibility:visible;mso-wrap-style:square">
            <v:imagedata r:id="rId43" o:title="A close up of a sign&#10;&#10;Description automatically generated"/>
          </v:shape>
        </w:pict>
      </w:r>
      <w:bookmarkStart w:id="356" w:name="_Toc18505559"/>
      <w:r w:rsidR="00125C80">
        <w:t xml:space="preserve"> </w:t>
      </w:r>
      <w:r w:rsidR="00EB5146" w:rsidRPr="00B53F89">
        <w:t xml:space="preserve">28 </w:t>
      </w:r>
      <w:r w:rsidR="00EB5146" w:rsidRPr="00B53F89">
        <w:rPr>
          <w:rFonts w:eastAsiaTheme="majorEastAsia"/>
        </w:rPr>
        <w:t>GHz</w:t>
      </w:r>
      <w:bookmarkEnd w:id="356"/>
    </w:p>
    <w:p w14:paraId="74018BD7" w14:textId="7D0D10AE" w:rsidR="00D14434" w:rsidRPr="00B53F89" w:rsidRDefault="00D14434" w:rsidP="00DE694D">
      <w:pPr>
        <w:keepNext/>
        <w:keepLines/>
        <w:rPr>
          <w:rFonts w:eastAsiaTheme="majorEastAsia"/>
        </w:rPr>
      </w:pPr>
      <w:r w:rsidRPr="00B53F89">
        <w:rPr>
          <w:rFonts w:eastAsiaTheme="majorEastAsia"/>
        </w:rPr>
        <w:t xml:space="preserve">The ACMA has previously </w:t>
      </w:r>
      <w:r w:rsidR="00014090" w:rsidRPr="00B53F89">
        <w:rPr>
          <w:rFonts w:eastAsiaTheme="majorEastAsia"/>
        </w:rPr>
        <w:t xml:space="preserve">committed to </w:t>
      </w:r>
      <w:r w:rsidRPr="00B53F89">
        <w:rPr>
          <w:rFonts w:eastAsiaTheme="majorEastAsia"/>
        </w:rPr>
        <w:t>investigat</w:t>
      </w:r>
      <w:r w:rsidR="00014090" w:rsidRPr="00B53F89">
        <w:rPr>
          <w:rFonts w:eastAsiaTheme="majorEastAsia"/>
        </w:rPr>
        <w:t>ing</w:t>
      </w:r>
      <w:r w:rsidRPr="00B53F89">
        <w:rPr>
          <w:rFonts w:eastAsiaTheme="majorEastAsia"/>
        </w:rPr>
        <w:t xml:space="preserve"> the possibility of establishing new apparatus-licensed point-to-multipoint arrangements for wireless broadband in part of the </w:t>
      </w:r>
      <w:r w:rsidR="00D051C8" w:rsidRPr="00B53F89">
        <w:rPr>
          <w:rFonts w:eastAsiaTheme="majorEastAsia"/>
        </w:rPr>
        <w:t xml:space="preserve">28 GHz </w:t>
      </w:r>
      <w:r w:rsidRPr="00B53F89">
        <w:rPr>
          <w:rFonts w:eastAsiaTheme="majorEastAsia"/>
        </w:rPr>
        <w:t>band.</w:t>
      </w:r>
      <w:r w:rsidR="003335E7" w:rsidRPr="00B53F89">
        <w:rPr>
          <w:rStyle w:val="FootnoteReference"/>
        </w:rPr>
        <w:footnoteReference w:id="32"/>
      </w:r>
      <w:r w:rsidRPr="00B53F89">
        <w:rPr>
          <w:rFonts w:eastAsiaTheme="majorEastAsia"/>
        </w:rPr>
        <w:t xml:space="preserve"> </w:t>
      </w:r>
      <w:r w:rsidR="00014090" w:rsidRPr="00B53F89">
        <w:rPr>
          <w:rFonts w:eastAsiaTheme="majorEastAsia"/>
        </w:rPr>
        <w:t xml:space="preserve">In September 2018 the ACMA released a </w:t>
      </w:r>
      <w:hyperlink r:id="rId123" w:history="1">
        <w:r w:rsidR="00014090" w:rsidRPr="00B53F89">
          <w:rPr>
            <w:rStyle w:val="Hyperlink"/>
            <w:rFonts w:eastAsiaTheme="majorEastAsia"/>
          </w:rPr>
          <w:t>discussion paper</w:t>
        </w:r>
      </w:hyperlink>
      <w:r w:rsidR="00014090" w:rsidRPr="00B53F89">
        <w:rPr>
          <w:rFonts w:eastAsiaTheme="majorEastAsia"/>
        </w:rPr>
        <w:t xml:space="preserve"> commencing a review of</w:t>
      </w:r>
      <w:r w:rsidRPr="00B53F89">
        <w:rPr>
          <w:rFonts w:eastAsiaTheme="majorEastAsia"/>
        </w:rPr>
        <w:t xml:space="preserve"> all potential uses of the band</w:t>
      </w:r>
      <w:r w:rsidR="00014090" w:rsidRPr="00B53F89">
        <w:rPr>
          <w:rFonts w:eastAsiaTheme="majorEastAsia"/>
        </w:rPr>
        <w:t>.</w:t>
      </w:r>
      <w:r w:rsidRPr="00B53F89">
        <w:rPr>
          <w:rFonts w:eastAsiaTheme="majorEastAsia"/>
        </w:rPr>
        <w:t xml:space="preserve"> </w:t>
      </w:r>
    </w:p>
    <w:p w14:paraId="1FBC373D" w14:textId="3F3F9838" w:rsidR="00D14434" w:rsidRPr="00B53F89" w:rsidRDefault="00D14434" w:rsidP="00D14434">
      <w:pPr>
        <w:rPr>
          <w:rFonts w:eastAsiaTheme="majorEastAsia"/>
        </w:rPr>
      </w:pPr>
      <w:r w:rsidRPr="00B53F89">
        <w:rPr>
          <w:rFonts w:eastAsiaTheme="majorEastAsia"/>
        </w:rPr>
        <w:t>Currently, the 28 GHz band is used by the FSS for both apparatus-licensed, coordinated earth stations and, in part of the band, for ubiquitously deployed, uncoordinated, class-licensed earth stations</w:t>
      </w:r>
      <w:r w:rsidR="00D53E9B" w:rsidRPr="00B53F89">
        <w:rPr>
          <w:rFonts w:eastAsiaTheme="majorEastAsia"/>
        </w:rPr>
        <w:t xml:space="preserve"> (both fixed and mobile applications)</w:t>
      </w:r>
      <w:r w:rsidRPr="00B53F89">
        <w:rPr>
          <w:rFonts w:eastAsiaTheme="majorEastAsia"/>
        </w:rPr>
        <w:t xml:space="preserve">. Both FSS uses of the band are expected to continue and require ongoing regulatory support. In addition to FSS uses, part of the 28 GHz band is also currently planned for fixed point-to-point links. </w:t>
      </w:r>
    </w:p>
    <w:p w14:paraId="42680F3A" w14:textId="5CFD33D2" w:rsidR="00C86924" w:rsidRPr="00B53F89" w:rsidRDefault="00D53E9B" w:rsidP="00D14434">
      <w:pPr>
        <w:rPr>
          <w:rFonts w:eastAsiaTheme="majorEastAsia"/>
        </w:rPr>
      </w:pPr>
      <w:r w:rsidRPr="00B53F89">
        <w:rPr>
          <w:rFonts w:eastAsiaTheme="majorEastAsia"/>
        </w:rPr>
        <w:t>There has been growing interest internationally and domestically in making more of the band available for ubiquitous earth station deployments</w:t>
      </w:r>
      <w:r w:rsidR="00C86924" w:rsidRPr="00B53F89">
        <w:rPr>
          <w:rFonts w:eastAsiaTheme="majorEastAsia"/>
        </w:rPr>
        <w:t>. A number of satellite operat</w:t>
      </w:r>
      <w:r w:rsidR="00B53F89">
        <w:rPr>
          <w:rFonts w:eastAsiaTheme="majorEastAsia"/>
        </w:rPr>
        <w:t>o</w:t>
      </w:r>
      <w:r w:rsidR="00C86924" w:rsidRPr="00B53F89">
        <w:rPr>
          <w:rFonts w:eastAsiaTheme="majorEastAsia"/>
        </w:rPr>
        <w:t xml:space="preserve">rs are considering or </w:t>
      </w:r>
      <w:r w:rsidR="009719CB" w:rsidRPr="00B53F89">
        <w:rPr>
          <w:rFonts w:eastAsiaTheme="majorEastAsia"/>
        </w:rPr>
        <w:t xml:space="preserve">are </w:t>
      </w:r>
      <w:r w:rsidR="00C86924" w:rsidRPr="00B53F89">
        <w:rPr>
          <w:rFonts w:eastAsiaTheme="majorEastAsia"/>
        </w:rPr>
        <w:t>in the process of launching satellite networks that can take advantage of this</w:t>
      </w:r>
      <w:r w:rsidRPr="00B53F89">
        <w:rPr>
          <w:rFonts w:eastAsiaTheme="majorEastAsia"/>
        </w:rPr>
        <w:t>. I</w:t>
      </w:r>
      <w:r w:rsidR="00D14434" w:rsidRPr="00B53F89">
        <w:rPr>
          <w:rFonts w:eastAsiaTheme="majorEastAsia"/>
        </w:rPr>
        <w:t xml:space="preserve">n the </w:t>
      </w:r>
      <w:r w:rsidR="00E463B3" w:rsidRPr="00B53F89">
        <w:rPr>
          <w:rFonts w:eastAsiaTheme="majorEastAsia"/>
        </w:rPr>
        <w:t>US</w:t>
      </w:r>
      <w:r w:rsidR="00D14434" w:rsidRPr="00B53F89">
        <w:rPr>
          <w:rFonts w:eastAsiaTheme="majorEastAsia"/>
        </w:rPr>
        <w:t xml:space="preserve"> and other major markets</w:t>
      </w:r>
      <w:r w:rsidRPr="00B53F89">
        <w:rPr>
          <w:rFonts w:eastAsiaTheme="majorEastAsia"/>
        </w:rPr>
        <w:t>, there ha</w:t>
      </w:r>
      <w:r w:rsidR="00F41CDB" w:rsidRPr="00B53F89">
        <w:rPr>
          <w:rFonts w:eastAsiaTheme="majorEastAsia"/>
        </w:rPr>
        <w:t>ve</w:t>
      </w:r>
      <w:r w:rsidRPr="00B53F89">
        <w:rPr>
          <w:rFonts w:eastAsiaTheme="majorEastAsia"/>
        </w:rPr>
        <w:t xml:space="preserve"> also been moves to make </w:t>
      </w:r>
      <w:r w:rsidR="00D14434" w:rsidRPr="00B53F89">
        <w:rPr>
          <w:rFonts w:eastAsiaTheme="majorEastAsia"/>
        </w:rPr>
        <w:t xml:space="preserve">some or all of the band </w:t>
      </w:r>
      <w:r w:rsidRPr="00B53F89">
        <w:rPr>
          <w:rFonts w:eastAsiaTheme="majorEastAsia"/>
        </w:rPr>
        <w:t xml:space="preserve">available </w:t>
      </w:r>
      <w:r w:rsidR="00D14434" w:rsidRPr="00B53F89">
        <w:rPr>
          <w:rFonts w:eastAsiaTheme="majorEastAsia"/>
        </w:rPr>
        <w:t>for wide area wireless broadband</w:t>
      </w:r>
      <w:r w:rsidRPr="00B53F89">
        <w:rPr>
          <w:rFonts w:eastAsiaTheme="majorEastAsia"/>
        </w:rPr>
        <w:t xml:space="preserve"> use</w:t>
      </w:r>
      <w:r w:rsidR="00D14434" w:rsidRPr="00B53F89">
        <w:rPr>
          <w:rFonts w:eastAsiaTheme="majorEastAsia"/>
        </w:rPr>
        <w:t xml:space="preserve"> </w:t>
      </w:r>
      <w:r w:rsidRPr="00B53F89">
        <w:rPr>
          <w:rFonts w:eastAsiaTheme="majorEastAsia"/>
        </w:rPr>
        <w:t>(</w:t>
      </w:r>
      <w:r w:rsidR="00D14434" w:rsidRPr="00B53F89">
        <w:rPr>
          <w:rFonts w:eastAsiaTheme="majorEastAsia"/>
        </w:rPr>
        <w:t>both fixed and mobile applications</w:t>
      </w:r>
      <w:r w:rsidRPr="00B53F89">
        <w:rPr>
          <w:rFonts w:eastAsiaTheme="majorEastAsia"/>
        </w:rPr>
        <w:t>)</w:t>
      </w:r>
      <w:r w:rsidR="00D14434" w:rsidRPr="00B53F89">
        <w:rPr>
          <w:rFonts w:eastAsiaTheme="majorEastAsia"/>
        </w:rPr>
        <w:t>. This international interest is part of broader momentum in support of mmWave bands for 5G wireless broadband services.</w:t>
      </w:r>
      <w:r w:rsidR="00E875FC" w:rsidRPr="00B53F89">
        <w:rPr>
          <w:rFonts w:eastAsiaTheme="majorEastAsia"/>
        </w:rPr>
        <w:t xml:space="preserve"> </w:t>
      </w:r>
      <w:r w:rsidR="00E24427" w:rsidRPr="00B53F89">
        <w:rPr>
          <w:rFonts w:eastAsiaTheme="majorEastAsia"/>
        </w:rPr>
        <w:t xml:space="preserve">This is expected to create a viable equipment ecosystem for both wide-area wireless broadband services as well as localised fixed and mobile wireless broadband services (typically deployed by WISPs, miners and other FWA operators). </w:t>
      </w:r>
    </w:p>
    <w:p w14:paraId="5B7C7B87" w14:textId="78B9E8C9" w:rsidR="00953D65" w:rsidRPr="00B53F89" w:rsidRDefault="00C86924" w:rsidP="0038729C">
      <w:pPr>
        <w:rPr>
          <w:rFonts w:eastAsiaTheme="majorEastAsia"/>
        </w:rPr>
      </w:pPr>
      <w:r w:rsidRPr="00B53F89">
        <w:rPr>
          <w:rFonts w:eastAsiaTheme="majorEastAsia"/>
        </w:rPr>
        <w:t>Due to these competing interests, t</w:t>
      </w:r>
      <w:r w:rsidR="00E24427" w:rsidRPr="00B53F89">
        <w:rPr>
          <w:rFonts w:eastAsiaTheme="majorEastAsia"/>
        </w:rPr>
        <w:t>he ACMA is considering planning options in the 28 GHz band</w:t>
      </w:r>
      <w:r w:rsidRPr="00B53F89">
        <w:rPr>
          <w:rFonts w:eastAsiaTheme="majorEastAsia"/>
        </w:rPr>
        <w:t xml:space="preserve">. </w:t>
      </w:r>
      <w:r w:rsidRPr="00B53F89">
        <w:t>A</w:t>
      </w:r>
      <w:r w:rsidR="00360774" w:rsidRPr="00B53F89">
        <w:t xml:space="preserve">n </w:t>
      </w:r>
      <w:hyperlink r:id="rId124" w:history="1">
        <w:r w:rsidR="00360774" w:rsidRPr="00B53F89">
          <w:rPr>
            <w:rStyle w:val="Hyperlink"/>
          </w:rPr>
          <w:t>options paper</w:t>
        </w:r>
      </w:hyperlink>
      <w:r w:rsidR="00360774" w:rsidRPr="00B53F89">
        <w:t xml:space="preserve"> </w:t>
      </w:r>
      <w:r w:rsidRPr="00B53F89">
        <w:t xml:space="preserve">presenting different </w:t>
      </w:r>
      <w:r w:rsidR="00360774" w:rsidRPr="00B53F89">
        <w:t>band planning arrangements</w:t>
      </w:r>
      <w:r w:rsidRPr="00B53F89">
        <w:t xml:space="preserve"> was re</w:t>
      </w:r>
      <w:r w:rsidR="00B53F89">
        <w:t>le</w:t>
      </w:r>
      <w:r w:rsidRPr="00B53F89">
        <w:t>a</w:t>
      </w:r>
      <w:r w:rsidR="00B53F89">
        <w:t>s</w:t>
      </w:r>
      <w:r w:rsidRPr="00B53F89">
        <w:t>ed</w:t>
      </w:r>
      <w:r w:rsidR="00360774" w:rsidRPr="00B53F89">
        <w:t xml:space="preserve"> in Q</w:t>
      </w:r>
      <w:r w:rsidR="00E00B33" w:rsidRPr="00B53F89">
        <w:t>2</w:t>
      </w:r>
      <w:r w:rsidR="00360774" w:rsidRPr="00B53F89">
        <w:t xml:space="preserve"> 2019.</w:t>
      </w:r>
      <w:r w:rsidR="00A30730" w:rsidRPr="00B53F89">
        <w:t xml:space="preserve"> A planning decision is expected in Q</w:t>
      </w:r>
      <w:r w:rsidR="00C04A62" w:rsidRPr="00B53F89">
        <w:t>3</w:t>
      </w:r>
      <w:r w:rsidR="00A30730" w:rsidRPr="00B53F89">
        <w:t xml:space="preserve"> 20</w:t>
      </w:r>
      <w:r w:rsidR="00C04A62" w:rsidRPr="00B53F89">
        <w:t>19.</w:t>
      </w:r>
    </w:p>
    <w:p w14:paraId="5F7DE958" w14:textId="77777777" w:rsidR="00561BBD" w:rsidRPr="00B53F89" w:rsidRDefault="003F4B80" w:rsidP="00F26959">
      <w:pPr>
        <w:pStyle w:val="Heading2"/>
        <w:numPr>
          <w:ilvl w:val="0"/>
          <w:numId w:val="186"/>
        </w:numPr>
        <w:tabs>
          <w:tab w:val="num" w:pos="397"/>
        </w:tabs>
        <w:ind w:left="0" w:firstLine="0"/>
        <w:rPr>
          <w:rFonts w:eastAsiaTheme="majorEastAsia"/>
        </w:rPr>
      </w:pPr>
      <w:bookmarkStart w:id="358" w:name="_Toc18505560"/>
      <w:r w:rsidRPr="00B53F89">
        <w:rPr>
          <w:rFonts w:eastAsiaTheme="majorEastAsia"/>
        </w:rPr>
        <w:t xml:space="preserve">Allocation </w:t>
      </w:r>
      <w:r w:rsidR="00561BBD" w:rsidRPr="00B53F89">
        <w:rPr>
          <w:rFonts w:eastAsiaTheme="majorEastAsia"/>
        </w:rPr>
        <w:t>priorities and sequencing</w:t>
      </w:r>
      <w:bookmarkEnd w:id="345"/>
      <w:bookmarkEnd w:id="358"/>
    </w:p>
    <w:bookmarkEnd w:id="346"/>
    <w:bookmarkEnd w:id="347"/>
    <w:bookmarkEnd w:id="348"/>
    <w:bookmarkEnd w:id="349"/>
    <w:bookmarkEnd w:id="350"/>
    <w:p w14:paraId="3BA85740" w14:textId="16F39B7F" w:rsidR="000A216C" w:rsidRPr="00B53F89" w:rsidRDefault="000A216C" w:rsidP="000A216C">
      <w:r w:rsidRPr="00B53F89">
        <w:t xml:space="preserve">The </w:t>
      </w:r>
      <w:hyperlink r:id="rId125" w:history="1">
        <w:r w:rsidRPr="00B53F89">
          <w:rPr>
            <w:rStyle w:val="Hyperlink"/>
            <w:i/>
          </w:rPr>
          <w:t>Radiocommunications Act 1992</w:t>
        </w:r>
      </w:hyperlink>
      <w:r w:rsidRPr="00B53F89">
        <w:t xml:space="preserve"> establishes a set of mandatory processes for allocating spectrum. In the ACMA’s experience</w:t>
      </w:r>
      <w:r w:rsidR="00D57DA8" w:rsidRPr="00B53F89">
        <w:t xml:space="preserve">, this process </w:t>
      </w:r>
      <w:r w:rsidR="00167BA4" w:rsidRPr="00B53F89">
        <w:t>can be</w:t>
      </w:r>
      <w:r w:rsidR="00D57DA8" w:rsidRPr="00B53F89">
        <w:t xml:space="preserve"> expected to take at least 16 to 18 months from confirmation of the planning decision to the commencement of an auction</w:t>
      </w:r>
      <w:r w:rsidR="00706222" w:rsidRPr="00B53F89">
        <w:t xml:space="preserve"> for a price-based allocation of spectrum licences</w:t>
      </w:r>
      <w:r w:rsidR="009719CB" w:rsidRPr="00B53F89">
        <w:t xml:space="preserve"> of the </w:t>
      </w:r>
      <w:r w:rsidR="009719CB" w:rsidRPr="00B53F89">
        <w:lastRenderedPageBreak/>
        <w:t>bands under consideration</w:t>
      </w:r>
      <w:r w:rsidR="00D57DA8" w:rsidRPr="00B53F89">
        <w:t>.</w:t>
      </w:r>
      <w:r w:rsidRPr="00B53F89">
        <w:t xml:space="preserve"> This process will take longer where there is uncertainty</w:t>
      </w:r>
      <w:r w:rsidR="001C3B42" w:rsidRPr="00B53F89">
        <w:t>—</w:t>
      </w:r>
      <w:r w:rsidRPr="00B53F89">
        <w:t xml:space="preserve">for example if there is optionality around how the spectrum can be configured because further consultation and engagement with potential bidders will be necessary and important. The process can also be expected to be longer if there is a need to acquire new auction tools. </w:t>
      </w:r>
    </w:p>
    <w:p w14:paraId="10826337" w14:textId="6232B6D9" w:rsidR="008E3660" w:rsidRPr="00B53F89" w:rsidRDefault="008E3660">
      <w:r w:rsidRPr="00B53F89">
        <w:t xml:space="preserve">Following publication of the forward allocation </w:t>
      </w:r>
      <w:r w:rsidR="0088477E" w:rsidRPr="00B53F89">
        <w:t xml:space="preserve">plan </w:t>
      </w:r>
      <w:r w:rsidRPr="00B53F89">
        <w:t xml:space="preserve">in the </w:t>
      </w:r>
      <w:r w:rsidR="005A63F9" w:rsidRPr="00B53F89">
        <w:t xml:space="preserve">draft </w:t>
      </w:r>
      <w:r w:rsidR="00243870" w:rsidRPr="00B53F89">
        <w:t xml:space="preserve">FYSO </w:t>
      </w:r>
      <w:r w:rsidRPr="00B53F89">
        <w:t>201</w:t>
      </w:r>
      <w:r w:rsidR="005A63F9" w:rsidRPr="00B53F89">
        <w:t>9</w:t>
      </w:r>
      <w:r w:rsidR="004E64E0" w:rsidRPr="00B53F89">
        <w:t>–</w:t>
      </w:r>
      <w:r w:rsidRPr="00B53F89">
        <w:t>2</w:t>
      </w:r>
      <w:r w:rsidR="005A63F9" w:rsidRPr="00B53F89">
        <w:t>3</w:t>
      </w:r>
      <w:r w:rsidRPr="00B53F89">
        <w:t xml:space="preserve">, the ACMA has considered </w:t>
      </w:r>
      <w:r w:rsidR="0005463D" w:rsidRPr="00B53F89">
        <w:t xml:space="preserve">stakeholder submissions and other relevant considerations for </w:t>
      </w:r>
      <w:r w:rsidR="00B90D53" w:rsidRPr="00B53F89">
        <w:t>the identified bands.</w:t>
      </w:r>
      <w:r w:rsidR="00697F31" w:rsidRPr="00B53F89">
        <w:t xml:space="preserve"> </w:t>
      </w:r>
    </w:p>
    <w:p w14:paraId="33DA517A" w14:textId="1AA117A7" w:rsidR="0005463D" w:rsidRPr="00B53F89" w:rsidRDefault="0005463D" w:rsidP="0005463D">
      <w:r w:rsidRPr="00B53F89">
        <w:t xml:space="preserve">Reflecting submitter support for defragmentation of the </w:t>
      </w:r>
      <w:r w:rsidR="00EE3C7B" w:rsidRPr="00B53F89">
        <w:t>3400–3575 MHz</w:t>
      </w:r>
      <w:r w:rsidRPr="00B53F89">
        <w:t xml:space="preserve"> band, work on this band is progressing as a priority.</w:t>
      </w:r>
    </w:p>
    <w:p w14:paraId="59747E99" w14:textId="31152FB5" w:rsidR="0005463D" w:rsidRPr="00B53F89" w:rsidRDefault="0005463D" w:rsidP="0005463D">
      <w:bookmarkStart w:id="359" w:name="_Hlk17120075"/>
      <w:r w:rsidRPr="00B53F89">
        <w:t xml:space="preserve">Noting the </w:t>
      </w:r>
      <w:r w:rsidR="00DF43B1" w:rsidRPr="00B53F89">
        <w:t xml:space="preserve">relatively lower level of </w:t>
      </w:r>
      <w:r w:rsidRPr="00B53F89">
        <w:t>interest in progressing the 1.5 GHz</w:t>
      </w:r>
      <w:r w:rsidR="008B211A" w:rsidRPr="00B53F89">
        <w:t xml:space="preserve"> </w:t>
      </w:r>
      <w:r w:rsidR="00DF43B1" w:rsidRPr="00B53F89">
        <w:t xml:space="preserve">band and </w:t>
      </w:r>
      <w:r w:rsidR="008B211A" w:rsidRPr="00B53F89">
        <w:t xml:space="preserve">the </w:t>
      </w:r>
      <w:r w:rsidR="00DF43B1" w:rsidRPr="00B53F89">
        <w:t xml:space="preserve">scope of work being undertaken for other bands, </w:t>
      </w:r>
      <w:r w:rsidRPr="00B53F89">
        <w:t xml:space="preserve">work </w:t>
      </w:r>
      <w:r w:rsidR="00AF7C6C" w:rsidRPr="00B53F89">
        <w:t xml:space="preserve">on </w:t>
      </w:r>
      <w:r w:rsidRPr="00B53F89">
        <w:t>th</w:t>
      </w:r>
      <w:r w:rsidR="00DF43B1" w:rsidRPr="00B53F89">
        <w:t>e 1.5 GHz allocation</w:t>
      </w:r>
      <w:r w:rsidRPr="00B53F89">
        <w:t xml:space="preserve"> </w:t>
      </w:r>
      <w:r w:rsidR="00AF7C6C" w:rsidRPr="00B53F89">
        <w:t>(along with the adjacent L</w:t>
      </w:r>
      <w:r w:rsidR="008B211A" w:rsidRPr="00B53F89">
        <w:t>-</w:t>
      </w:r>
      <w:r w:rsidR="00AF7C6C" w:rsidRPr="00B53F89">
        <w:t xml:space="preserve">band MSS extension band) </w:t>
      </w:r>
      <w:r w:rsidR="00C137B9" w:rsidRPr="00B53F89">
        <w:t>will not be prioritised</w:t>
      </w:r>
      <w:r w:rsidR="00AF7C6C" w:rsidRPr="00B53F89">
        <w:t xml:space="preserve"> in 2019</w:t>
      </w:r>
      <w:r w:rsidR="003208A0" w:rsidRPr="00B53F89">
        <w:t>–</w:t>
      </w:r>
      <w:r w:rsidR="00AF7C6C" w:rsidRPr="00B53F89">
        <w:t>20</w:t>
      </w:r>
      <w:r w:rsidRPr="00B53F89">
        <w:t>.</w:t>
      </w:r>
      <w:r w:rsidR="00AA4184" w:rsidRPr="00B53F89">
        <w:t xml:space="preserve"> The ACMA acknowledges that timely consideration of this band is of importance to the satellite industry.</w:t>
      </w:r>
    </w:p>
    <w:p w14:paraId="2B6B836F" w14:textId="77777777" w:rsidR="0075215F" w:rsidRPr="00B53F89" w:rsidRDefault="0075215F" w:rsidP="00DE694D">
      <w:pPr>
        <w:pStyle w:val="Heading3"/>
        <w:keepLines/>
      </w:pPr>
      <w:bookmarkStart w:id="360" w:name="_Toc522794100"/>
      <w:bookmarkStart w:id="361" w:name="_Toc18505561"/>
      <w:bookmarkEnd w:id="359"/>
      <w:r w:rsidRPr="00B53F89">
        <w:t>Timing considerations</w:t>
      </w:r>
      <w:bookmarkEnd w:id="360"/>
      <w:bookmarkEnd w:id="361"/>
    </w:p>
    <w:p w14:paraId="1B74B48E" w14:textId="0AE6B138" w:rsidR="001C0D0E" w:rsidRPr="00B53F89" w:rsidRDefault="00F33E86">
      <w:r w:rsidRPr="00B53F89">
        <w:t xml:space="preserve">This year’s forward allocation </w:t>
      </w:r>
      <w:r w:rsidR="0088477E" w:rsidRPr="00B53F89">
        <w:t xml:space="preserve">plan </w:t>
      </w:r>
      <w:r w:rsidRPr="00B53F89">
        <w:t>reflects the addition of two new allocation processes</w:t>
      </w:r>
      <w:r w:rsidR="00343CFF" w:rsidRPr="00B53F89">
        <w:t xml:space="preserve"> since the publication of the FYSO 2018</w:t>
      </w:r>
      <w:r w:rsidR="003208A0" w:rsidRPr="00B53F89">
        <w:t>–</w:t>
      </w:r>
      <w:r w:rsidR="00343CFF" w:rsidRPr="00B53F89">
        <w:t>22</w:t>
      </w:r>
      <w:r w:rsidRPr="00B53F89">
        <w:t xml:space="preserve">: the optimisation of the </w:t>
      </w:r>
      <w:r w:rsidR="00EE3C7B" w:rsidRPr="00B53F89">
        <w:t>3400–3575 MHz</w:t>
      </w:r>
      <w:r w:rsidRPr="00B53F89">
        <w:t xml:space="preserve"> band (which may lead to allocation activities such as licence conversion and/or an auction of some spectrum), and consideration of the 28 GHz band</w:t>
      </w:r>
      <w:r w:rsidR="00F15C88" w:rsidRPr="00B53F89">
        <w:t xml:space="preserve"> (which may lead to changed allocations arrangements in that band)</w:t>
      </w:r>
      <w:r w:rsidRPr="00B53F89">
        <w:t>.</w:t>
      </w:r>
    </w:p>
    <w:p w14:paraId="131FDA77" w14:textId="4F295A8E" w:rsidR="00AA7A03" w:rsidRPr="00B53F89" w:rsidRDefault="00AA7A03" w:rsidP="00AA7A03">
      <w:r w:rsidRPr="00B53F89" w:rsidDel="004F1842">
        <w:t xml:space="preserve">The ACMA </w:t>
      </w:r>
      <w:r w:rsidRPr="00B53F89">
        <w:t>recognises</w:t>
      </w:r>
      <w:r w:rsidRPr="00B53F89" w:rsidDel="004F1842">
        <w:t xml:space="preserve"> that </w:t>
      </w:r>
      <w:r w:rsidRPr="00B53F89">
        <w:t xml:space="preserve">while there may be timing, administrative and potentially efficiency benefits </w:t>
      </w:r>
      <w:r w:rsidR="0080603B" w:rsidRPr="00B53F89">
        <w:t xml:space="preserve">in </w:t>
      </w:r>
      <w:r w:rsidRPr="00B53F89">
        <w:t>running an allocation of multiple bands concurrently, there may also be an additional burden on auction participants</w:t>
      </w:r>
      <w:r w:rsidRPr="00B53F89" w:rsidDel="00937D6F">
        <w:t xml:space="preserve"> </w:t>
      </w:r>
      <w:r w:rsidRPr="00B53F89">
        <w:t xml:space="preserve">associated with capital funding, as well as potential auction complexity considerations. Submitters supported the separation of the 26 GHz and 850/900 MHz </w:t>
      </w:r>
      <w:r w:rsidR="00EE57A6" w:rsidRPr="00B53F89">
        <w:t xml:space="preserve">spectrum licence </w:t>
      </w:r>
      <w:r w:rsidRPr="00B53F89">
        <w:t>allocations due to regulatory and financial burden on potential bidders and the subsequent negative impact this could have on competition in downstream markets. Taking this feedback into account, the ACMA will plan for a spacing of at least six months between major spectrum licence a</w:t>
      </w:r>
      <w:r w:rsidR="00176BB4" w:rsidRPr="00B53F89">
        <w:t>llocations</w:t>
      </w:r>
      <w:r w:rsidR="00B71AFE" w:rsidRPr="00B53F89">
        <w:t xml:space="preserve">, unless there are clear reasons to auction bands together such as </w:t>
      </w:r>
      <w:r w:rsidR="00260547" w:rsidRPr="00B53F89">
        <w:t>that the characteristics of the bands complement each other or where one band can be a substitute for the other</w:t>
      </w:r>
      <w:r w:rsidRPr="00B53F89">
        <w:t>.</w:t>
      </w:r>
    </w:p>
    <w:p w14:paraId="413B683A" w14:textId="47CA188D" w:rsidR="00065477" w:rsidRPr="00B53F89" w:rsidRDefault="00065477" w:rsidP="00AA7A03">
      <w:r w:rsidRPr="00B53F89">
        <w:t>The 26 GHz and 28 GHz bands are both included in intern</w:t>
      </w:r>
      <w:r w:rsidR="00F83901" w:rsidRPr="00B53F89">
        <w:t>a</w:t>
      </w:r>
      <w:r w:rsidRPr="00B53F89">
        <w:t>tional consideration of possible 5G wireless broadband spectrum</w:t>
      </w:r>
      <w:r w:rsidR="00AF4C03" w:rsidRPr="00B53F89">
        <w:t>, as well as currently or potentially supporting a range of other services</w:t>
      </w:r>
      <w:r w:rsidRPr="00B53F89">
        <w:t>. Both the planning, and the timing and sequencing</w:t>
      </w:r>
      <w:r w:rsidR="00F41CDB" w:rsidRPr="00B53F89">
        <w:t>,</w:t>
      </w:r>
      <w:r w:rsidRPr="00B53F89">
        <w:t xml:space="preserve"> of the allocation of licences in these bands, needs to be considered together as much as possible. A number of stakeholders have indicated they are interested in the planning arrangements in both bands.</w:t>
      </w:r>
      <w:r w:rsidR="004A41AA" w:rsidRPr="00B53F89">
        <w:t xml:space="preserve"> The ACMA will endeavour to ensure that the timing of allocation processes for both bands (whether price-based processes such as auctions, or administrative processes)</w:t>
      </w:r>
      <w:r w:rsidR="0026211E" w:rsidRPr="00B53F89">
        <w:t xml:space="preserve"> will be coordinated to reflect the close connection between the bands.</w:t>
      </w:r>
    </w:p>
    <w:p w14:paraId="5CCC7F08" w14:textId="0083CFAF" w:rsidR="00133FE5" w:rsidRPr="00B53F89" w:rsidRDefault="00133FE5" w:rsidP="00AA7A03">
      <w:r w:rsidRPr="00B53F89">
        <w:t>In summary, the following timing and sequencing aims are consistent with many submissions to the draft FYSO 2019</w:t>
      </w:r>
      <w:r w:rsidR="003208A0" w:rsidRPr="00B53F89">
        <w:t>–</w:t>
      </w:r>
      <w:r w:rsidRPr="00B53F89">
        <w:t>23:</w:t>
      </w:r>
    </w:p>
    <w:p w14:paraId="2461AA65" w14:textId="16550399" w:rsidR="00133FE5" w:rsidRPr="00B53F89" w:rsidRDefault="00DC674A" w:rsidP="000C609A">
      <w:pPr>
        <w:numPr>
          <w:ilvl w:val="0"/>
          <w:numId w:val="80"/>
        </w:numPr>
        <w:spacing w:after="80"/>
        <w:ind w:left="284" w:hanging="284"/>
        <w:rPr>
          <w:bCs/>
        </w:rPr>
      </w:pPr>
      <w:r w:rsidRPr="00B53F89">
        <w:rPr>
          <w:bCs/>
        </w:rPr>
        <w:t>d</w:t>
      </w:r>
      <w:r w:rsidR="00133FE5" w:rsidRPr="00B53F89">
        <w:rPr>
          <w:bCs/>
        </w:rPr>
        <w:t xml:space="preserve">efragmentation of </w:t>
      </w:r>
      <w:r w:rsidR="00AF7C6C" w:rsidRPr="00B53F89">
        <w:rPr>
          <w:bCs/>
        </w:rPr>
        <w:t xml:space="preserve">the </w:t>
      </w:r>
      <w:r w:rsidR="00EE3C7B" w:rsidRPr="00B53F89">
        <w:t>3400–3575 MHz</w:t>
      </w:r>
      <w:r w:rsidR="00133FE5" w:rsidRPr="00B53F89">
        <w:rPr>
          <w:bCs/>
        </w:rPr>
        <w:t xml:space="preserve"> band is a high priority</w:t>
      </w:r>
    </w:p>
    <w:p w14:paraId="51D2AEF2" w14:textId="213159D2" w:rsidR="00133FE5" w:rsidRPr="00B53F89" w:rsidRDefault="00DC674A" w:rsidP="000C609A">
      <w:pPr>
        <w:numPr>
          <w:ilvl w:val="0"/>
          <w:numId w:val="80"/>
        </w:numPr>
        <w:spacing w:after="80"/>
        <w:ind w:left="284" w:hanging="284"/>
        <w:rPr>
          <w:bCs/>
        </w:rPr>
      </w:pPr>
      <w:r w:rsidRPr="00B53F89">
        <w:t>n</w:t>
      </w:r>
      <w:r w:rsidR="00133FE5" w:rsidRPr="00B53F89">
        <w:t>o concurrent auctions due to bidding capacity and competition concerns</w:t>
      </w:r>
    </w:p>
    <w:p w14:paraId="1A8E53FB" w14:textId="0AB17CD4" w:rsidR="00133FE5" w:rsidRPr="00B53F89" w:rsidRDefault="00DC674A" w:rsidP="000C609A">
      <w:pPr>
        <w:numPr>
          <w:ilvl w:val="0"/>
          <w:numId w:val="80"/>
        </w:numPr>
        <w:ind w:left="284" w:hanging="284"/>
        <w:rPr>
          <w:bCs/>
        </w:rPr>
      </w:pPr>
      <w:r w:rsidRPr="00B53F89">
        <w:rPr>
          <w:bCs/>
        </w:rPr>
        <w:t>l</w:t>
      </w:r>
      <w:r w:rsidR="00133FE5" w:rsidRPr="00B53F89">
        <w:rPr>
          <w:bCs/>
        </w:rPr>
        <w:t>ow priority for</w:t>
      </w:r>
      <w:r w:rsidR="00AF7C6C" w:rsidRPr="00B53F89">
        <w:rPr>
          <w:bCs/>
        </w:rPr>
        <w:t xml:space="preserve"> a</w:t>
      </w:r>
      <w:r w:rsidR="00133FE5" w:rsidRPr="00B53F89">
        <w:rPr>
          <w:bCs/>
        </w:rPr>
        <w:t xml:space="preserve"> 1.5 GHz</w:t>
      </w:r>
      <w:r w:rsidR="00AF7C6C" w:rsidRPr="00B53F89">
        <w:rPr>
          <w:bCs/>
        </w:rPr>
        <w:t xml:space="preserve"> band</w:t>
      </w:r>
      <w:r w:rsidR="00133FE5" w:rsidRPr="00B53F89">
        <w:rPr>
          <w:bCs/>
        </w:rPr>
        <w:t xml:space="preserve"> allocation</w:t>
      </w:r>
      <w:r w:rsidR="002368B2" w:rsidRPr="00B53F89">
        <w:rPr>
          <w:bCs/>
        </w:rPr>
        <w:t>.</w:t>
      </w:r>
    </w:p>
    <w:p w14:paraId="150581FB" w14:textId="65FF57EC" w:rsidR="003C32A6" w:rsidRPr="00B53F89" w:rsidRDefault="00133FE5">
      <w:r w:rsidRPr="00B53F89">
        <w:lastRenderedPageBreak/>
        <w:t xml:space="preserve">In keeping with the </w:t>
      </w:r>
      <w:r w:rsidR="00320B36" w:rsidRPr="00B53F89">
        <w:t xml:space="preserve">importance of addressing 5G spectrum needs as set out in the </w:t>
      </w:r>
      <w:r w:rsidR="00B35517" w:rsidRPr="00B53F89">
        <w:t>g</w:t>
      </w:r>
      <w:r w:rsidR="00320B36" w:rsidRPr="00B53F89">
        <w:t xml:space="preserve">overnment’s </w:t>
      </w:r>
      <w:hyperlink r:id="rId126" w:history="1">
        <w:r w:rsidR="00320B36" w:rsidRPr="006A2F04">
          <w:rPr>
            <w:rStyle w:val="Hyperlink"/>
            <w:i/>
          </w:rPr>
          <w:t>Impacts of 5G on productivity and economic growth</w:t>
        </w:r>
      </w:hyperlink>
      <w:r w:rsidR="00320B36" w:rsidRPr="006A2F04">
        <w:rPr>
          <w:color w:val="12293A"/>
        </w:rPr>
        <w:t xml:space="preserve"> research paper, the </w:t>
      </w:r>
      <w:r w:rsidR="00320B36" w:rsidRPr="006A2F04">
        <w:rPr>
          <w:caps/>
          <w:color w:val="12293A"/>
        </w:rPr>
        <w:t>ACMa</w:t>
      </w:r>
      <w:r w:rsidR="00320B36" w:rsidRPr="00B53F89">
        <w:t xml:space="preserve"> will prioritise release of the 26 GHz band (using a combination of apparatus and spectrum licensing arrangements to support innovative services)</w:t>
      </w:r>
      <w:r w:rsidR="00850A4B" w:rsidRPr="00B53F89">
        <w:t xml:space="preserve">. </w:t>
      </w:r>
      <w:r w:rsidR="003C32A6" w:rsidRPr="00B53F89">
        <w:t>The ACMA consulted on options for reconfiguring the 900 MHz in Q2 2019, and is currently considering allocation methods</w:t>
      </w:r>
      <w:r w:rsidR="00B91085" w:rsidRPr="00B53F89">
        <w:t>. We</w:t>
      </w:r>
      <w:r w:rsidR="003C32A6" w:rsidRPr="00B53F89">
        <w:t xml:space="preserve"> </w:t>
      </w:r>
      <w:r w:rsidR="00760C0F" w:rsidRPr="00B53F89">
        <w:t xml:space="preserve">note </w:t>
      </w:r>
      <w:r w:rsidR="003C32A6" w:rsidRPr="00B53F89">
        <w:t xml:space="preserve">concerns raised </w:t>
      </w:r>
      <w:r w:rsidR="00850A4B" w:rsidRPr="00B53F89">
        <w:t>about</w:t>
      </w:r>
      <w:r w:rsidR="00760C0F" w:rsidRPr="00B53F89">
        <w:t xml:space="preserve"> continued access to spectrum to support ongoing provision of </w:t>
      </w:r>
      <w:r w:rsidR="00850A4B" w:rsidRPr="00B53F89">
        <w:t>consumer services. Accordingly</w:t>
      </w:r>
      <w:r w:rsidR="00B53F89">
        <w:t>,</w:t>
      </w:r>
      <w:r w:rsidR="00850A4B" w:rsidRPr="00B53F89">
        <w:t xml:space="preserve"> the allocation of the combined 850 MHz expansion band and 900 MHz band is </w:t>
      </w:r>
      <w:r w:rsidR="006F0930" w:rsidRPr="00B53F89">
        <w:t xml:space="preserve">now expected in </w:t>
      </w:r>
      <w:r w:rsidR="00850A4B" w:rsidRPr="00B53F89">
        <w:t>Q4 2021.</w:t>
      </w:r>
    </w:p>
    <w:p w14:paraId="2BCBC905" w14:textId="0C5F36B8" w:rsidR="00A001ED" w:rsidRPr="00B53F89" w:rsidRDefault="005C7A3B">
      <w:r w:rsidRPr="00B53F89">
        <w:t xml:space="preserve">The allocation of spectrum licences in the 26 GHz band is now the earliest expected major allocation, currently planned to occur in Q1 of 2021. This has been revised from the previous expectation of Q3/4 2020 due to industry’s </w:t>
      </w:r>
      <w:r w:rsidR="00A001ED" w:rsidRPr="00B53F89">
        <w:t>preference</w:t>
      </w:r>
      <w:r w:rsidRPr="00B53F89">
        <w:t xml:space="preserve"> to have greater clarity about planned arrangements in the 28 GHz band to assist in informing considerations about participation in any 26 GHz allocation</w:t>
      </w:r>
      <w:r w:rsidR="00A001ED" w:rsidRPr="00B53F89">
        <w:t>,</w:t>
      </w:r>
      <w:r w:rsidRPr="00B53F89">
        <w:t xml:space="preserve"> and the need for government to carefully consider the details of the allocation arrangements for both spectrum and apparatus licences in both the 26 GHz and 28 GHz bands.</w:t>
      </w:r>
    </w:p>
    <w:p w14:paraId="388318A2" w14:textId="0FDCE60F" w:rsidR="00D23EA9" w:rsidRPr="00B53F89" w:rsidRDefault="00F15C88" w:rsidP="00D23EA9">
      <w:r w:rsidRPr="00B53F89">
        <w:t>Table 11 below outlines the ACMA’s current timing expectations in relation to future allocations, under current law.</w:t>
      </w:r>
      <w:r w:rsidR="00D23EA9" w:rsidRPr="00B53F89">
        <w:t xml:space="preserve"> Please note that specific allocation processes depend on ACMA and, in some cases, </w:t>
      </w:r>
      <w:r w:rsidR="00AA6D3C" w:rsidRPr="00B53F89">
        <w:t>M</w:t>
      </w:r>
      <w:r w:rsidR="00D23EA9" w:rsidRPr="00B53F89">
        <w:t>inisterial decisions made during the planning and allocation stages, as well as the outcomes of consultation processes, including the views of incumbent and prospective spectrum users. As a result, the ACMA cannot be definitive about these timing expectations.</w:t>
      </w:r>
    </w:p>
    <w:p w14:paraId="673F76A9" w14:textId="35B8C79F" w:rsidR="003F4B80" w:rsidRPr="00B53F89" w:rsidRDefault="00A54553" w:rsidP="000C609A">
      <w:pPr>
        <w:pStyle w:val="ACMATableHeader"/>
        <w:keepNext/>
        <w:numPr>
          <w:ilvl w:val="0"/>
          <w:numId w:val="0"/>
        </w:numPr>
      </w:pPr>
      <w:r>
        <w:pict w14:anchorId="16EB5BEF">
          <v:shape id="_x0000_i1048" type="#_x0000_t75" alt="A close up of a sign&#10;&#10;Description automatically generated" style="width:18.75pt;height:11.25pt;visibility:visible;mso-wrap-style:square">
            <v:imagedata r:id="rId43" o:title="A close up of a sign&#10;&#10;Description automatically generated"/>
          </v:shape>
        </w:pict>
      </w:r>
      <w:r w:rsidR="00125C80">
        <w:t xml:space="preserve"> </w:t>
      </w:r>
      <w:r w:rsidR="00F26959" w:rsidRPr="00B53F89">
        <w:t>Table 11:</w:t>
      </w:r>
      <w:r w:rsidR="00F26959" w:rsidRPr="00B53F89">
        <w:tab/>
      </w:r>
      <w:r w:rsidR="00EC2F66" w:rsidRPr="00B53F89">
        <w:t xml:space="preserve">Potential timing of </w:t>
      </w:r>
      <w:r w:rsidR="004959E5" w:rsidRPr="00B53F89">
        <w:t>allocations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4A0" w:firstRow="1" w:lastRow="0" w:firstColumn="1" w:lastColumn="0" w:noHBand="0" w:noVBand="1"/>
        <w:tblCaption w:val="Scenario 2—3.6 GHz prioritised, with mmWave next"/>
        <w:tblDescription w:val="Shows planning decision and auction timeframes."/>
      </w:tblPr>
      <w:tblGrid>
        <w:gridCol w:w="1042"/>
        <w:gridCol w:w="1604"/>
        <w:gridCol w:w="1726"/>
        <w:gridCol w:w="1665"/>
        <w:gridCol w:w="1624"/>
      </w:tblGrid>
      <w:tr w:rsidR="0009395C" w:rsidRPr="00B53F89" w14:paraId="54C5905E" w14:textId="77777777" w:rsidTr="00CF66CF">
        <w:trPr>
          <w:tblHeader/>
        </w:trPr>
        <w:tc>
          <w:tcPr>
            <w:tcW w:w="1042" w:type="dxa"/>
            <w:shd w:val="clear" w:color="auto" w:fill="404040" w:themeFill="text1" w:themeFillTint="BF"/>
          </w:tcPr>
          <w:p w14:paraId="08B831C0" w14:textId="77777777" w:rsidR="0001077C" w:rsidRPr="00B53F89" w:rsidRDefault="00575163" w:rsidP="00B747E1">
            <w:pPr>
              <w:pStyle w:val="TableHeading"/>
            </w:pPr>
            <w:bookmarkStart w:id="362" w:name="_Hlk522785298"/>
            <w:r w:rsidRPr="00B53F89">
              <w:t>Band</w:t>
            </w:r>
          </w:p>
          <w:p w14:paraId="1D594BFF" w14:textId="77777777" w:rsidR="003F4B80" w:rsidRPr="00B53F89" w:rsidRDefault="003F4B80" w:rsidP="0001077C">
            <w:pPr>
              <w:tabs>
                <w:tab w:val="left" w:pos="538"/>
              </w:tabs>
              <w:rPr>
                <w:color w:val="FFFFFF" w:themeColor="background1"/>
              </w:rPr>
            </w:pPr>
          </w:p>
        </w:tc>
        <w:tc>
          <w:tcPr>
            <w:tcW w:w="1604" w:type="dxa"/>
            <w:shd w:val="clear" w:color="auto" w:fill="404040" w:themeFill="text1" w:themeFillTint="BF"/>
          </w:tcPr>
          <w:p w14:paraId="05C546CA" w14:textId="33AB2872" w:rsidR="003F4B80" w:rsidRPr="00B53F89" w:rsidRDefault="003F4B80" w:rsidP="00B747E1">
            <w:pPr>
              <w:pStyle w:val="TableHeading"/>
            </w:pPr>
            <w:r w:rsidRPr="00B53F89">
              <w:t xml:space="preserve">ACMA </w:t>
            </w:r>
            <w:r w:rsidR="00966DE2" w:rsidRPr="00B53F89">
              <w:t>next steps</w:t>
            </w:r>
          </w:p>
        </w:tc>
        <w:tc>
          <w:tcPr>
            <w:tcW w:w="1726" w:type="dxa"/>
            <w:shd w:val="clear" w:color="auto" w:fill="404040" w:themeFill="text1" w:themeFillTint="BF"/>
          </w:tcPr>
          <w:p w14:paraId="7C395BFE" w14:textId="3BECD301" w:rsidR="003F4B80" w:rsidRPr="00B53F89" w:rsidRDefault="0009395C" w:rsidP="00B747E1">
            <w:pPr>
              <w:pStyle w:val="TableHeading"/>
            </w:pPr>
            <w:r w:rsidRPr="00B53F89">
              <w:t xml:space="preserve">ACMA recommendation to </w:t>
            </w:r>
            <w:r w:rsidR="00561D76" w:rsidRPr="00B53F89">
              <w:t>m</w:t>
            </w:r>
            <w:r w:rsidR="003F4B80" w:rsidRPr="00B53F89">
              <w:t>in</w:t>
            </w:r>
            <w:r w:rsidR="00715BB9" w:rsidRPr="00B53F89">
              <w:t>ister</w:t>
            </w:r>
            <w:r w:rsidR="003F4B80" w:rsidRPr="00B53F89">
              <w:t xml:space="preserve"> </w:t>
            </w:r>
            <w:r w:rsidR="00715BB9" w:rsidRPr="00B53F89">
              <w:t>where applicable</w:t>
            </w:r>
          </w:p>
        </w:tc>
        <w:tc>
          <w:tcPr>
            <w:tcW w:w="1665" w:type="dxa"/>
            <w:shd w:val="clear" w:color="auto" w:fill="404040" w:themeFill="text1" w:themeFillTint="BF"/>
          </w:tcPr>
          <w:p w14:paraId="3F8B0A59" w14:textId="64B3E846" w:rsidR="003F4B80" w:rsidRPr="00B53F89" w:rsidRDefault="00B37A05" w:rsidP="00B747E1">
            <w:pPr>
              <w:pStyle w:val="TableHeading"/>
            </w:pPr>
            <w:r w:rsidRPr="00B53F89">
              <w:t>Proposed a</w:t>
            </w:r>
            <w:r w:rsidR="00BE2203" w:rsidRPr="00B53F89">
              <w:t xml:space="preserve">llocation </w:t>
            </w:r>
            <w:r w:rsidRPr="00B53F89">
              <w:t>timi</w:t>
            </w:r>
            <w:r w:rsidR="00567FAB" w:rsidRPr="00B53F89">
              <w:t>n</w:t>
            </w:r>
            <w:r w:rsidRPr="00B53F89">
              <w:t>g</w:t>
            </w:r>
          </w:p>
        </w:tc>
        <w:tc>
          <w:tcPr>
            <w:tcW w:w="1624" w:type="dxa"/>
            <w:shd w:val="clear" w:color="auto" w:fill="404040" w:themeFill="text1" w:themeFillTint="BF"/>
          </w:tcPr>
          <w:p w14:paraId="5418C189" w14:textId="77777777" w:rsidR="003F4B80" w:rsidRPr="00B53F89" w:rsidRDefault="003F4B80" w:rsidP="00B747E1">
            <w:pPr>
              <w:pStyle w:val="TableHeading"/>
            </w:pPr>
            <w:r w:rsidRPr="00B53F89">
              <w:t>Notes</w:t>
            </w:r>
          </w:p>
        </w:tc>
      </w:tr>
      <w:tr w:rsidR="0009395C" w:rsidRPr="00B53F89" w14:paraId="3229A9D0" w14:textId="77777777" w:rsidTr="00CF66CF">
        <w:tc>
          <w:tcPr>
            <w:tcW w:w="1042" w:type="dxa"/>
            <w:shd w:val="clear" w:color="auto" w:fill="FFFFFF" w:themeFill="background1"/>
          </w:tcPr>
          <w:p w14:paraId="09720721" w14:textId="28728174" w:rsidR="00283D92" w:rsidRPr="00B53F89" w:rsidRDefault="00283D92" w:rsidP="00DE694D">
            <w:pPr>
              <w:pStyle w:val="TableBody"/>
            </w:pPr>
            <w:r w:rsidRPr="00B53F89">
              <w:t>26 GHz</w:t>
            </w:r>
            <w:r w:rsidR="00A061D5" w:rsidRPr="00B53F89">
              <w:t>—</w:t>
            </w:r>
            <w:r w:rsidR="00320B36" w:rsidRPr="00B53F89">
              <w:t>spectrum licences</w:t>
            </w:r>
          </w:p>
        </w:tc>
        <w:tc>
          <w:tcPr>
            <w:tcW w:w="1604" w:type="dxa"/>
            <w:shd w:val="clear" w:color="auto" w:fill="FFFFFF" w:themeFill="background1"/>
          </w:tcPr>
          <w:p w14:paraId="768840F2" w14:textId="7F24CC83" w:rsidR="00AC437D" w:rsidRPr="00B53F89" w:rsidRDefault="00AC437D" w:rsidP="00DE694D">
            <w:pPr>
              <w:pStyle w:val="TableBody"/>
              <w:rPr>
                <w:highlight w:val="cyan"/>
              </w:rPr>
            </w:pPr>
          </w:p>
        </w:tc>
        <w:tc>
          <w:tcPr>
            <w:tcW w:w="1726" w:type="dxa"/>
            <w:shd w:val="clear" w:color="auto" w:fill="FFFFFF" w:themeFill="background1"/>
          </w:tcPr>
          <w:p w14:paraId="64307A73" w14:textId="404FB8C5" w:rsidR="00283D92" w:rsidRPr="00B53F89" w:rsidRDefault="00290235" w:rsidP="00DE694D">
            <w:pPr>
              <w:pStyle w:val="TableBody"/>
              <w:rPr>
                <w:highlight w:val="cyan"/>
              </w:rPr>
            </w:pPr>
            <w:r w:rsidRPr="00B53F89">
              <w:t>Q</w:t>
            </w:r>
            <w:r w:rsidR="00E00B33" w:rsidRPr="00B53F89">
              <w:t>3</w:t>
            </w:r>
            <w:r w:rsidRPr="00B53F89">
              <w:t xml:space="preserve"> 2019 </w:t>
            </w:r>
          </w:p>
        </w:tc>
        <w:tc>
          <w:tcPr>
            <w:tcW w:w="1665" w:type="dxa"/>
            <w:shd w:val="clear" w:color="auto" w:fill="FFFFFF" w:themeFill="background1"/>
          </w:tcPr>
          <w:p w14:paraId="32D67568" w14:textId="72345364" w:rsidR="00283D92" w:rsidRPr="00B53F89" w:rsidRDefault="007B5D20" w:rsidP="00DE694D">
            <w:pPr>
              <w:pStyle w:val="TableBody"/>
            </w:pPr>
            <w:r w:rsidRPr="00B53F89">
              <w:t>Q1 2021</w:t>
            </w:r>
          </w:p>
        </w:tc>
        <w:tc>
          <w:tcPr>
            <w:tcW w:w="1624" w:type="dxa"/>
            <w:shd w:val="clear" w:color="auto" w:fill="FFFFFF" w:themeFill="background1"/>
          </w:tcPr>
          <w:p w14:paraId="6862D246" w14:textId="61BCE646" w:rsidR="00283D92" w:rsidRPr="00B53F89" w:rsidRDefault="00283D92" w:rsidP="00DE694D">
            <w:pPr>
              <w:pStyle w:val="TableBody"/>
            </w:pPr>
          </w:p>
        </w:tc>
      </w:tr>
      <w:tr w:rsidR="0009395C" w:rsidRPr="00B53F89" w14:paraId="79054976" w14:textId="77777777" w:rsidTr="00CF66CF">
        <w:tc>
          <w:tcPr>
            <w:tcW w:w="1042" w:type="dxa"/>
            <w:shd w:val="clear" w:color="auto" w:fill="FFFFFF" w:themeFill="background1"/>
          </w:tcPr>
          <w:p w14:paraId="03645700" w14:textId="1780D29A" w:rsidR="00283D92" w:rsidRPr="00B53F89" w:rsidRDefault="00283D92" w:rsidP="00DE694D">
            <w:pPr>
              <w:pStyle w:val="TableBody"/>
            </w:pPr>
            <w:r w:rsidRPr="00B53F89">
              <w:t xml:space="preserve">850/900 </w:t>
            </w:r>
            <w:r w:rsidR="00552064" w:rsidRPr="00B53F89">
              <w:t>MHz</w:t>
            </w:r>
          </w:p>
        </w:tc>
        <w:tc>
          <w:tcPr>
            <w:tcW w:w="1604" w:type="dxa"/>
            <w:shd w:val="clear" w:color="auto" w:fill="FFFFFF" w:themeFill="background1"/>
          </w:tcPr>
          <w:p w14:paraId="3B6A4496" w14:textId="4BDCF4DD" w:rsidR="00283D92" w:rsidRPr="00B53F89" w:rsidRDefault="00C34362" w:rsidP="00DE694D">
            <w:pPr>
              <w:pStyle w:val="TableBody"/>
            </w:pPr>
            <w:r w:rsidRPr="00B53F89">
              <w:t>Q4 2019</w:t>
            </w:r>
            <w:r w:rsidR="00154D22" w:rsidRPr="00B53F89">
              <w:t xml:space="preserve"> </w:t>
            </w:r>
            <w:r w:rsidR="003603EA" w:rsidRPr="00B53F89">
              <w:t>ACMA decide</w:t>
            </w:r>
            <w:r w:rsidR="002368B2" w:rsidRPr="00B53F89">
              <w:t>s</w:t>
            </w:r>
            <w:r w:rsidR="003603EA" w:rsidRPr="00B53F89">
              <w:t xml:space="preserve"> approach for reconfiguring the 900 MHz band and allocating the 850 MHz expansion band</w:t>
            </w:r>
          </w:p>
        </w:tc>
        <w:tc>
          <w:tcPr>
            <w:tcW w:w="1726" w:type="dxa"/>
            <w:shd w:val="clear" w:color="auto" w:fill="FFFFFF" w:themeFill="background1"/>
          </w:tcPr>
          <w:p w14:paraId="76D6010F" w14:textId="507C50F5" w:rsidR="00283D92" w:rsidRPr="00B53F89" w:rsidRDefault="00673277" w:rsidP="00F2797B">
            <w:pPr>
              <w:pStyle w:val="TableBody"/>
            </w:pPr>
            <w:r w:rsidRPr="00B53F89">
              <w:t>Q</w:t>
            </w:r>
            <w:r w:rsidR="00C8181C" w:rsidRPr="00B53F89">
              <w:t>2</w:t>
            </w:r>
            <w:r w:rsidR="00F2797B" w:rsidRPr="00B53F89">
              <w:t xml:space="preserve"> 2020</w:t>
            </w:r>
          </w:p>
        </w:tc>
        <w:tc>
          <w:tcPr>
            <w:tcW w:w="1665" w:type="dxa"/>
            <w:shd w:val="clear" w:color="auto" w:fill="FFFFFF" w:themeFill="background1"/>
          </w:tcPr>
          <w:p w14:paraId="0AF3A319" w14:textId="2C05F09A" w:rsidR="00283D92" w:rsidRPr="00B53F89" w:rsidRDefault="00F2797B" w:rsidP="00DE694D">
            <w:pPr>
              <w:pStyle w:val="TableBody"/>
            </w:pPr>
            <w:r w:rsidRPr="00B53F89">
              <w:t>Q</w:t>
            </w:r>
            <w:r w:rsidR="001D2120" w:rsidRPr="00B53F89">
              <w:t>4</w:t>
            </w:r>
            <w:r w:rsidRPr="00B53F89">
              <w:t xml:space="preserve"> 202</w:t>
            </w:r>
            <w:r w:rsidR="00560241" w:rsidRPr="00B53F89">
              <w:t>1</w:t>
            </w:r>
          </w:p>
        </w:tc>
        <w:tc>
          <w:tcPr>
            <w:tcW w:w="1624" w:type="dxa"/>
            <w:shd w:val="clear" w:color="auto" w:fill="FFFFFF" w:themeFill="background1"/>
          </w:tcPr>
          <w:p w14:paraId="3FC4B94B" w14:textId="4D766E41" w:rsidR="00283D92" w:rsidRPr="00B53F89" w:rsidRDefault="00E66D57" w:rsidP="00DE694D">
            <w:pPr>
              <w:pStyle w:val="TableBody"/>
            </w:pPr>
            <w:r w:rsidRPr="00B53F89">
              <w:t xml:space="preserve">Auction 6 months after 26 GHz </w:t>
            </w:r>
            <w:r w:rsidR="009D335A" w:rsidRPr="00B53F89">
              <w:t xml:space="preserve">SL </w:t>
            </w:r>
            <w:r w:rsidRPr="00B53F89">
              <w:t>auction</w:t>
            </w:r>
          </w:p>
        </w:tc>
      </w:tr>
      <w:tr w:rsidR="0009395C" w:rsidRPr="00B53F89" w14:paraId="0D61E85C" w14:textId="77777777" w:rsidTr="00CF66CF">
        <w:tc>
          <w:tcPr>
            <w:tcW w:w="1042" w:type="dxa"/>
            <w:shd w:val="clear" w:color="auto" w:fill="FFFFFF" w:themeFill="background1"/>
          </w:tcPr>
          <w:p w14:paraId="5AE01E30" w14:textId="77777777" w:rsidR="00B30DBE" w:rsidRPr="00B53F89" w:rsidRDefault="00B30DBE" w:rsidP="00DE694D">
            <w:pPr>
              <w:pStyle w:val="TableBody"/>
            </w:pPr>
            <w:r w:rsidRPr="00B53F89" w:rsidDel="00D205F9">
              <w:t>1.5 GHz</w:t>
            </w:r>
          </w:p>
        </w:tc>
        <w:tc>
          <w:tcPr>
            <w:tcW w:w="1604" w:type="dxa"/>
            <w:shd w:val="clear" w:color="auto" w:fill="FFFFFF" w:themeFill="background1"/>
          </w:tcPr>
          <w:p w14:paraId="5E66460C" w14:textId="7FB52190" w:rsidR="00B30DBE" w:rsidRPr="00B53F89" w:rsidRDefault="00C070D8" w:rsidP="00DE694D">
            <w:pPr>
              <w:pStyle w:val="TableBody"/>
            </w:pPr>
            <w:r w:rsidRPr="00B53F89">
              <w:t>TBC</w:t>
            </w:r>
            <w:r w:rsidR="009D335A" w:rsidRPr="00B53F89">
              <w:t xml:space="preserve"> Options paper</w:t>
            </w:r>
          </w:p>
          <w:p w14:paraId="5049AA17" w14:textId="77777777" w:rsidR="009D335A" w:rsidRPr="00B53F89" w:rsidRDefault="009D335A" w:rsidP="00DE694D">
            <w:pPr>
              <w:pStyle w:val="TableBody"/>
            </w:pPr>
          </w:p>
          <w:p w14:paraId="62F30E0C" w14:textId="532CEE73" w:rsidR="009D335A" w:rsidRPr="00B53F89" w:rsidRDefault="00C070D8" w:rsidP="00DE694D">
            <w:pPr>
              <w:pStyle w:val="TableBody"/>
            </w:pPr>
            <w:r w:rsidRPr="00B53F89">
              <w:t>TBC</w:t>
            </w:r>
            <w:r w:rsidR="009D335A" w:rsidRPr="00B53F89">
              <w:t xml:space="preserve"> Planning decision</w:t>
            </w:r>
          </w:p>
        </w:tc>
        <w:tc>
          <w:tcPr>
            <w:tcW w:w="1726" w:type="dxa"/>
            <w:shd w:val="clear" w:color="auto" w:fill="FFFFFF" w:themeFill="background1"/>
          </w:tcPr>
          <w:p w14:paraId="216ED0CE" w14:textId="46EB4BDA" w:rsidR="00B30DBE" w:rsidRPr="00B53F89" w:rsidRDefault="00B30DBE" w:rsidP="00DE694D">
            <w:pPr>
              <w:pStyle w:val="TableBody"/>
            </w:pPr>
          </w:p>
        </w:tc>
        <w:tc>
          <w:tcPr>
            <w:tcW w:w="1665" w:type="dxa"/>
            <w:shd w:val="clear" w:color="auto" w:fill="FFFFFF" w:themeFill="background1"/>
          </w:tcPr>
          <w:p w14:paraId="334D3EA3" w14:textId="1C54944D" w:rsidR="00B30DBE" w:rsidRPr="00B53F89" w:rsidRDefault="00B30DBE" w:rsidP="00DE694D">
            <w:pPr>
              <w:pStyle w:val="TableBody"/>
            </w:pPr>
          </w:p>
        </w:tc>
        <w:tc>
          <w:tcPr>
            <w:tcW w:w="1624" w:type="dxa"/>
            <w:shd w:val="clear" w:color="auto" w:fill="FFFFFF" w:themeFill="background1"/>
          </w:tcPr>
          <w:p w14:paraId="3568B7DA" w14:textId="2EDA4295" w:rsidR="00B30DBE" w:rsidRPr="00B53F89" w:rsidRDefault="009D335A" w:rsidP="00DE694D">
            <w:pPr>
              <w:pStyle w:val="TableBody"/>
            </w:pPr>
            <w:r w:rsidRPr="00B53F89">
              <w:t>Lower priority</w:t>
            </w:r>
          </w:p>
        </w:tc>
      </w:tr>
      <w:tr w:rsidR="00C02759" w:rsidRPr="00B53F89" w14:paraId="5AF7B771" w14:textId="77777777" w:rsidTr="00CF66CF">
        <w:tc>
          <w:tcPr>
            <w:tcW w:w="1042" w:type="dxa"/>
            <w:shd w:val="clear" w:color="auto" w:fill="FFFFFF" w:themeFill="background1"/>
          </w:tcPr>
          <w:p w14:paraId="1C76E7D0" w14:textId="3234CED8" w:rsidR="00C02759" w:rsidRPr="00B53F89" w:rsidDel="00D205F9" w:rsidRDefault="00EE3C7B" w:rsidP="00DE694D">
            <w:pPr>
              <w:pStyle w:val="TableBody"/>
            </w:pPr>
            <w:r w:rsidRPr="00B53F89">
              <w:t>3400–3575 MHz</w:t>
            </w:r>
            <w:r w:rsidR="00B53F89">
              <w:t xml:space="preserve"> </w:t>
            </w:r>
            <w:r w:rsidR="00C02759" w:rsidRPr="00B53F89">
              <w:rPr>
                <w:szCs w:val="20"/>
              </w:rPr>
              <w:t>band</w:t>
            </w:r>
          </w:p>
        </w:tc>
        <w:tc>
          <w:tcPr>
            <w:tcW w:w="1604" w:type="dxa"/>
            <w:shd w:val="clear" w:color="auto" w:fill="FFFFFF" w:themeFill="background1"/>
          </w:tcPr>
          <w:p w14:paraId="345851E2" w14:textId="75948F7B" w:rsidR="00C02759" w:rsidRPr="00B53F89" w:rsidRDefault="00D53E9B">
            <w:pPr>
              <w:pStyle w:val="TableBody"/>
            </w:pPr>
            <w:r w:rsidRPr="00B53F89">
              <w:t>Q4</w:t>
            </w:r>
            <w:r w:rsidR="004E2782" w:rsidRPr="00B53F89">
              <w:t xml:space="preserve"> 2019 </w:t>
            </w:r>
            <w:r w:rsidR="003F2430" w:rsidRPr="00B53F89">
              <w:t>planning decision</w:t>
            </w:r>
          </w:p>
        </w:tc>
        <w:tc>
          <w:tcPr>
            <w:tcW w:w="1726" w:type="dxa"/>
            <w:shd w:val="clear" w:color="auto" w:fill="FFFFFF" w:themeFill="background1"/>
          </w:tcPr>
          <w:p w14:paraId="3B4A2325" w14:textId="6AF58DBA" w:rsidR="00C02759" w:rsidRPr="00B53F89" w:rsidRDefault="00A30730" w:rsidP="00DE694D">
            <w:pPr>
              <w:pStyle w:val="TableBody"/>
            </w:pPr>
            <w:r w:rsidRPr="00B53F89">
              <w:t>TBC</w:t>
            </w:r>
          </w:p>
        </w:tc>
        <w:tc>
          <w:tcPr>
            <w:tcW w:w="1665" w:type="dxa"/>
            <w:shd w:val="clear" w:color="auto" w:fill="FFFFFF" w:themeFill="background1"/>
          </w:tcPr>
          <w:p w14:paraId="26330654" w14:textId="5F514E1A" w:rsidR="00C02759" w:rsidRPr="00B53F89" w:rsidDel="00D205F9" w:rsidRDefault="003F2430" w:rsidP="00DE694D">
            <w:pPr>
              <w:pStyle w:val="TableBody"/>
            </w:pPr>
            <w:r w:rsidRPr="00B53F89">
              <w:t>TBC</w:t>
            </w:r>
          </w:p>
        </w:tc>
        <w:tc>
          <w:tcPr>
            <w:tcW w:w="1624" w:type="dxa"/>
            <w:shd w:val="clear" w:color="auto" w:fill="FFFFFF" w:themeFill="background1"/>
          </w:tcPr>
          <w:p w14:paraId="0E868DB9" w14:textId="13BF89E0" w:rsidR="00C02759" w:rsidRPr="00B53F89" w:rsidDel="00D205F9" w:rsidRDefault="00C02759" w:rsidP="00DE694D">
            <w:pPr>
              <w:pStyle w:val="TableBody"/>
            </w:pPr>
          </w:p>
        </w:tc>
      </w:tr>
      <w:tr w:rsidR="002C7CB4" w:rsidRPr="00B53F89" w14:paraId="3010F72F" w14:textId="77777777" w:rsidTr="00CF66CF">
        <w:tc>
          <w:tcPr>
            <w:tcW w:w="1042" w:type="dxa"/>
            <w:shd w:val="clear" w:color="auto" w:fill="FFFFFF" w:themeFill="background1"/>
          </w:tcPr>
          <w:p w14:paraId="2C70895B" w14:textId="4B6795FE" w:rsidR="002C7CB4" w:rsidRPr="00B53F89" w:rsidDel="00D205F9" w:rsidRDefault="002C7CB4" w:rsidP="002C7CB4">
            <w:pPr>
              <w:pStyle w:val="TableBody"/>
            </w:pPr>
            <w:bookmarkStart w:id="363" w:name="_Toc510104966"/>
            <w:bookmarkStart w:id="364" w:name="_Toc510105763"/>
            <w:bookmarkStart w:id="365" w:name="_Toc510795095"/>
            <w:bookmarkStart w:id="366" w:name="_Toc511716296"/>
            <w:bookmarkStart w:id="367" w:name="_Toc511719107"/>
            <w:bookmarkEnd w:id="362"/>
            <w:r w:rsidRPr="00B53F89">
              <w:rPr>
                <w:szCs w:val="20"/>
              </w:rPr>
              <w:t>28 GHz band</w:t>
            </w:r>
          </w:p>
        </w:tc>
        <w:tc>
          <w:tcPr>
            <w:tcW w:w="1604" w:type="dxa"/>
            <w:shd w:val="clear" w:color="auto" w:fill="FFFFFF" w:themeFill="background1"/>
          </w:tcPr>
          <w:p w14:paraId="124EAB2B" w14:textId="56054577" w:rsidR="002C7CB4" w:rsidRPr="00B53F89" w:rsidRDefault="002C7CB4" w:rsidP="002C7CB4">
            <w:pPr>
              <w:pStyle w:val="TableBody"/>
            </w:pPr>
            <w:r w:rsidRPr="00B53F89">
              <w:t>Q3 2019 planning decision</w:t>
            </w:r>
          </w:p>
          <w:p w14:paraId="52525B92" w14:textId="77777777" w:rsidR="002C7CB4" w:rsidRPr="00B53F89" w:rsidRDefault="002C7CB4" w:rsidP="002C7CB4">
            <w:pPr>
              <w:pStyle w:val="TableBody"/>
            </w:pPr>
          </w:p>
          <w:p w14:paraId="745245B7" w14:textId="110D781D" w:rsidR="002C7CB4" w:rsidRPr="00B53F89" w:rsidRDefault="002C7CB4" w:rsidP="002C7CB4">
            <w:pPr>
              <w:pStyle w:val="TableBody"/>
            </w:pPr>
            <w:r w:rsidRPr="00B53F89">
              <w:lastRenderedPageBreak/>
              <w:t>Q4 2019 onwards (prepare licences and supporting frameworks)</w:t>
            </w:r>
          </w:p>
        </w:tc>
        <w:tc>
          <w:tcPr>
            <w:tcW w:w="1726" w:type="dxa"/>
            <w:shd w:val="clear" w:color="auto" w:fill="FFFFFF" w:themeFill="background1"/>
          </w:tcPr>
          <w:p w14:paraId="13497FA2" w14:textId="2346CA90" w:rsidR="002C7CB4" w:rsidRPr="00B53F89" w:rsidRDefault="002C7CB4" w:rsidP="002C7CB4">
            <w:pPr>
              <w:pStyle w:val="TableBody"/>
            </w:pPr>
          </w:p>
        </w:tc>
        <w:tc>
          <w:tcPr>
            <w:tcW w:w="1665" w:type="dxa"/>
            <w:shd w:val="clear" w:color="auto" w:fill="FFFFFF" w:themeFill="background1"/>
          </w:tcPr>
          <w:p w14:paraId="05B230F6" w14:textId="07012A2C" w:rsidR="002C7CB4" w:rsidRPr="00B53F89" w:rsidDel="00D205F9" w:rsidRDefault="00170EE1" w:rsidP="002C7CB4">
            <w:pPr>
              <w:pStyle w:val="TableBody"/>
            </w:pPr>
            <w:r w:rsidRPr="00B53F89">
              <w:t>Q</w:t>
            </w:r>
            <w:r w:rsidR="007C7CD4" w:rsidRPr="00B53F89">
              <w:t>1</w:t>
            </w:r>
            <w:r w:rsidRPr="00B53F89">
              <w:t xml:space="preserve"> 202</w:t>
            </w:r>
            <w:r w:rsidR="00735745" w:rsidRPr="00B53F89">
              <w:t>1</w:t>
            </w:r>
            <w:r w:rsidRPr="00B53F89">
              <w:t>: c</w:t>
            </w:r>
            <w:r w:rsidR="002C7CB4" w:rsidRPr="00B53F89">
              <w:t xml:space="preserve">hanged allocation arrangements implemented </w:t>
            </w:r>
          </w:p>
        </w:tc>
        <w:tc>
          <w:tcPr>
            <w:tcW w:w="1624" w:type="dxa"/>
            <w:shd w:val="clear" w:color="auto" w:fill="FFFFFF" w:themeFill="background1"/>
          </w:tcPr>
          <w:p w14:paraId="200D0F4E" w14:textId="447B620A" w:rsidR="002C7CB4" w:rsidRPr="00B53F89" w:rsidDel="00D205F9" w:rsidRDefault="002C7CB4" w:rsidP="002C7CB4">
            <w:pPr>
              <w:pStyle w:val="TableBody"/>
            </w:pPr>
            <w:r w:rsidRPr="00B53F89">
              <w:t xml:space="preserve">Timing of </w:t>
            </w:r>
            <w:r w:rsidR="00181063" w:rsidRPr="00B53F89">
              <w:t xml:space="preserve">availability of </w:t>
            </w:r>
            <w:r w:rsidRPr="00B53F89">
              <w:t xml:space="preserve">allocations to align with 26 GHz band </w:t>
            </w:r>
            <w:r w:rsidR="002771D8" w:rsidRPr="00B53F89">
              <w:t xml:space="preserve">ALs </w:t>
            </w:r>
            <w:r w:rsidRPr="00B53F89">
              <w:lastRenderedPageBreak/>
              <w:t>where feasible and appropriate</w:t>
            </w:r>
          </w:p>
        </w:tc>
      </w:tr>
    </w:tbl>
    <w:p w14:paraId="3A709ADF" w14:textId="1C9E05F8" w:rsidR="004012D8" w:rsidRPr="00B53F89" w:rsidRDefault="004012D8" w:rsidP="00D7755E"/>
    <w:p w14:paraId="0A5643B5" w14:textId="4B02F47B" w:rsidR="00C56B65" w:rsidRPr="00B53F89" w:rsidRDefault="00C56B65">
      <w:pPr>
        <w:pStyle w:val="Heading1"/>
      </w:pPr>
      <w:bookmarkStart w:id="368" w:name="_Spectrum_management_enhancements"/>
      <w:bookmarkStart w:id="369" w:name="_Spectrum_management_practice"/>
      <w:bookmarkStart w:id="370" w:name="_Toc510104967"/>
      <w:bookmarkStart w:id="371" w:name="_Toc510105764"/>
      <w:bookmarkStart w:id="372" w:name="_Toc510795096"/>
      <w:bookmarkStart w:id="373" w:name="_Toc511716297"/>
      <w:bookmarkStart w:id="374" w:name="_Toc511719108"/>
      <w:bookmarkStart w:id="375" w:name="_Toc522794101"/>
      <w:bookmarkStart w:id="376" w:name="_Toc18505562"/>
      <w:bookmarkEnd w:id="205"/>
      <w:bookmarkEnd w:id="206"/>
      <w:bookmarkEnd w:id="207"/>
      <w:bookmarkEnd w:id="208"/>
      <w:bookmarkEnd w:id="209"/>
      <w:bookmarkEnd w:id="210"/>
      <w:bookmarkEnd w:id="363"/>
      <w:bookmarkEnd w:id="364"/>
      <w:bookmarkEnd w:id="365"/>
      <w:bookmarkEnd w:id="366"/>
      <w:bookmarkEnd w:id="367"/>
      <w:bookmarkEnd w:id="368"/>
      <w:bookmarkEnd w:id="369"/>
      <w:r w:rsidRPr="00B53F89">
        <w:lastRenderedPageBreak/>
        <w:t xml:space="preserve">Spectrum </w:t>
      </w:r>
      <w:r w:rsidR="00DA2A39" w:rsidRPr="00B53F89">
        <w:t xml:space="preserve">management </w:t>
      </w:r>
      <w:bookmarkEnd w:id="370"/>
      <w:bookmarkEnd w:id="371"/>
      <w:bookmarkEnd w:id="372"/>
      <w:bookmarkEnd w:id="373"/>
      <w:bookmarkEnd w:id="374"/>
      <w:bookmarkEnd w:id="375"/>
      <w:r w:rsidR="00253B7B" w:rsidRPr="00B53F89">
        <w:t xml:space="preserve">practice </w:t>
      </w:r>
      <w:r w:rsidR="008624E0" w:rsidRPr="00B53F89">
        <w:t>improvements</w:t>
      </w:r>
      <w:bookmarkEnd w:id="376"/>
      <w:r w:rsidR="00253B7B" w:rsidRPr="00B53F89">
        <w:t xml:space="preserve"> </w:t>
      </w:r>
    </w:p>
    <w:p w14:paraId="3158B852" w14:textId="62818307" w:rsidR="00124128" w:rsidRPr="00B53F89" w:rsidRDefault="00124128" w:rsidP="00C83864">
      <w:pPr>
        <w:pStyle w:val="Heading2"/>
        <w:numPr>
          <w:ilvl w:val="0"/>
          <w:numId w:val="188"/>
        </w:numPr>
        <w:tabs>
          <w:tab w:val="clear" w:pos="720"/>
          <w:tab w:val="num" w:pos="397"/>
          <w:tab w:val="num" w:pos="567"/>
        </w:tabs>
        <w:ind w:left="0" w:firstLine="0"/>
      </w:pPr>
      <w:bookmarkStart w:id="377" w:name="_Spectrum_Review_implementation"/>
      <w:bookmarkStart w:id="378" w:name="_Toc18505563"/>
      <w:bookmarkEnd w:id="377"/>
      <w:r w:rsidRPr="00B53F89">
        <w:t xml:space="preserve">Spectrum </w:t>
      </w:r>
      <w:r w:rsidR="007919E4" w:rsidRPr="00B53F89">
        <w:t>r</w:t>
      </w:r>
      <w:r w:rsidRPr="00B53F89">
        <w:t>eform</w:t>
      </w:r>
      <w:bookmarkEnd w:id="378"/>
      <w:r w:rsidRPr="00B53F89">
        <w:t xml:space="preserve"> </w:t>
      </w:r>
    </w:p>
    <w:p w14:paraId="33A3F2F0" w14:textId="5FB11973" w:rsidR="00124128" w:rsidRPr="00B53F89" w:rsidRDefault="00124128" w:rsidP="00124128">
      <w:pPr>
        <w:spacing w:line="240" w:lineRule="auto"/>
      </w:pPr>
      <w:r w:rsidRPr="00B53F89">
        <w:t xml:space="preserve">Following his appointment as the Minister for Communications, Cyber Safety and the Arts in May 2019, including responsibility for administering the </w:t>
      </w:r>
      <w:hyperlink r:id="rId127" w:history="1">
        <w:r w:rsidRPr="00B53F89">
          <w:rPr>
            <w:rStyle w:val="Hyperlink"/>
            <w:i/>
            <w:iCs/>
          </w:rPr>
          <w:t>Radiocommunications Act 1992</w:t>
        </w:r>
      </w:hyperlink>
      <w:r w:rsidRPr="00B53F89">
        <w:rPr>
          <w:iCs/>
        </w:rPr>
        <w:t xml:space="preserve">, the Hon Paul Fletcher MP has indicated that he expects to pursue legislative reform </w:t>
      </w:r>
      <w:r w:rsidRPr="00B53F89">
        <w:t>where it will deliver tangible improvements to the current administration of spect</w:t>
      </w:r>
      <w:r w:rsidR="008863B5" w:rsidRPr="00B53F89">
        <w:t>r</w:t>
      </w:r>
      <w:r w:rsidRPr="00B53F89">
        <w:t>um and a more efficient regulatory framework.</w:t>
      </w:r>
    </w:p>
    <w:p w14:paraId="33ABB02A" w14:textId="76F946D0" w:rsidR="00124128" w:rsidRPr="00B53F89" w:rsidRDefault="00124128" w:rsidP="00124128">
      <w:pPr>
        <w:spacing w:line="240" w:lineRule="auto"/>
      </w:pPr>
      <w:r w:rsidRPr="00B53F89">
        <w:t xml:space="preserve">It is expected that a legislative reform agenda will complement the findings and recommendations of the Spectrum Pricing Review that the </w:t>
      </w:r>
      <w:r w:rsidR="00B35517" w:rsidRPr="00B53F89">
        <w:t>g</w:t>
      </w:r>
      <w:r w:rsidRPr="00B53F89">
        <w:t>overnment released in March 2018.</w:t>
      </w:r>
    </w:p>
    <w:p w14:paraId="33CBFD88" w14:textId="4C624B78" w:rsidR="00007BD1" w:rsidRPr="00B53F89" w:rsidRDefault="00C3593B" w:rsidP="00C83864">
      <w:r w:rsidRPr="00B53F89">
        <w:t>As this process continues, the ACMA will progress</w:t>
      </w:r>
      <w:r w:rsidR="00E66FDC" w:rsidRPr="00B53F89">
        <w:t xml:space="preserve"> the following</w:t>
      </w:r>
      <w:r w:rsidRPr="00B53F89">
        <w:t xml:space="preserve"> improvements </w:t>
      </w:r>
      <w:r w:rsidR="00E66FDC" w:rsidRPr="00B53F89">
        <w:t>to spectrum management identified in the draft FYSO</w:t>
      </w:r>
      <w:r w:rsidR="00F41CDB" w:rsidRPr="00B53F89">
        <w:t xml:space="preserve"> 2019–23</w:t>
      </w:r>
      <w:r w:rsidR="00E66FDC" w:rsidRPr="00B53F89">
        <w:t>:</w:t>
      </w:r>
    </w:p>
    <w:p w14:paraId="0032E8C6" w14:textId="5BA04516" w:rsidR="00E07819" w:rsidRPr="00B53F89" w:rsidRDefault="00007BD1" w:rsidP="00C83864">
      <w:pPr>
        <w:pStyle w:val="ListBullet"/>
        <w:ind w:left="284" w:hanging="284"/>
      </w:pPr>
      <w:r w:rsidRPr="00B53F89">
        <w:t>continu</w:t>
      </w:r>
      <w:r w:rsidR="009870FD" w:rsidRPr="00B53F89">
        <w:t>ing</w:t>
      </w:r>
      <w:r w:rsidRPr="00B53F89">
        <w:t xml:space="preserve"> to consult on and </w:t>
      </w:r>
      <w:r w:rsidR="009870FD" w:rsidRPr="00B53F89">
        <w:t>publish</w:t>
      </w:r>
      <w:r w:rsidRPr="00B53F89">
        <w:t xml:space="preserve"> the</w:t>
      </w:r>
      <w:r w:rsidR="00E07819" w:rsidRPr="00B53F89">
        <w:t xml:space="preserve"> FYSO </w:t>
      </w:r>
      <w:r w:rsidR="00A465B9" w:rsidRPr="00B53F89">
        <w:t>as an important transparency measure</w:t>
      </w:r>
    </w:p>
    <w:p w14:paraId="5AD45A67" w14:textId="1AADB6B7" w:rsidR="002A7167" w:rsidRPr="00B53F89" w:rsidRDefault="009870FD" w:rsidP="00C83864">
      <w:pPr>
        <w:pStyle w:val="ListBullet"/>
        <w:ind w:left="284" w:hanging="284"/>
      </w:pPr>
      <w:r w:rsidRPr="00B53F89">
        <w:t>implementing</w:t>
      </w:r>
      <w:r w:rsidR="002A7167" w:rsidRPr="00B53F89">
        <w:t xml:space="preserve"> the recommendations of the government’s Spectrum Pricing</w:t>
      </w:r>
      <w:r w:rsidR="002A7167" w:rsidRPr="00B53F89">
        <w:rPr>
          <w:b/>
        </w:rPr>
        <w:t xml:space="preserve"> </w:t>
      </w:r>
      <w:r w:rsidR="002A7167" w:rsidRPr="00B53F89">
        <w:t xml:space="preserve">Review </w:t>
      </w:r>
      <w:r w:rsidRPr="00B53F89">
        <w:t>(see the</w:t>
      </w:r>
      <w:r w:rsidR="002A7167" w:rsidRPr="00B53F89">
        <w:t xml:space="preserve"> </w:t>
      </w:r>
      <w:r w:rsidR="009261CD" w:rsidRPr="00B53F89">
        <w:t>‘</w:t>
      </w:r>
      <w:r w:rsidR="004A2F93" w:rsidRPr="00B53F89">
        <w:rPr>
          <w:rStyle w:val="Hyperlink"/>
          <w:color w:val="auto"/>
          <w:u w:val="none"/>
        </w:rPr>
        <w:t>Pricing</w:t>
      </w:r>
      <w:r w:rsidR="009261CD" w:rsidRPr="00B53F89">
        <w:rPr>
          <w:rStyle w:val="Hyperlink"/>
          <w:color w:val="auto"/>
          <w:u w:val="none"/>
        </w:rPr>
        <w:t>’</w:t>
      </w:r>
      <w:r w:rsidR="004A2F93" w:rsidRPr="00B53F89">
        <w:rPr>
          <w:rStyle w:val="Hyperlink"/>
          <w:color w:val="auto"/>
          <w:u w:val="none"/>
        </w:rPr>
        <w:t xml:space="preserve"> section</w:t>
      </w:r>
      <w:r w:rsidR="002A7167" w:rsidRPr="00B53F89">
        <w:t xml:space="preserve"> below</w:t>
      </w:r>
      <w:r w:rsidRPr="00B53F89">
        <w:t>)</w:t>
      </w:r>
      <w:r w:rsidR="002A7167" w:rsidRPr="00B53F89">
        <w:t xml:space="preserve"> </w:t>
      </w:r>
    </w:p>
    <w:p w14:paraId="0BF1D856" w14:textId="1C064BAF" w:rsidR="002A7167" w:rsidRPr="00B53F89" w:rsidRDefault="002A7167" w:rsidP="00C83864">
      <w:pPr>
        <w:pStyle w:val="ListBullet"/>
        <w:ind w:left="284" w:hanging="284"/>
      </w:pPr>
      <w:bookmarkStart w:id="379" w:name="_Hlk16501526"/>
      <w:r w:rsidRPr="00B53F89">
        <w:t>continu</w:t>
      </w:r>
      <w:r w:rsidR="009870FD" w:rsidRPr="00B53F89">
        <w:t>ing</w:t>
      </w:r>
      <w:r w:rsidRPr="00B53F89">
        <w:t xml:space="preserve"> to consider industry feedback on its</w:t>
      </w:r>
      <w:r w:rsidRPr="00B53F89" w:rsidDel="008023C1">
        <w:t xml:space="preserve"> </w:t>
      </w:r>
      <w:r w:rsidRPr="00B53F89">
        <w:t>interference management principles and expect</w:t>
      </w:r>
      <w:r w:rsidR="00E13A22" w:rsidRPr="00B53F89">
        <w:t>ing</w:t>
      </w:r>
      <w:r w:rsidRPr="00B53F89">
        <w:t xml:space="preserve"> to finalise them during 201</w:t>
      </w:r>
      <w:r w:rsidR="00E13A22" w:rsidRPr="00B53F89">
        <w:t>9</w:t>
      </w:r>
      <w:r w:rsidRPr="00B53F89">
        <w:t>. The principles will inform the development of an interference management framework, which will provide updated procedural guidance for licensees making interference complaints to the ACMA</w:t>
      </w:r>
    </w:p>
    <w:bookmarkEnd w:id="379"/>
    <w:p w14:paraId="5F74D373" w14:textId="3F9205E5" w:rsidR="0028306F" w:rsidRPr="00B53F89" w:rsidRDefault="0028306F" w:rsidP="00C83864">
      <w:pPr>
        <w:pStyle w:val="ListBulletLast"/>
        <w:ind w:left="284" w:hanging="284"/>
      </w:pPr>
      <w:r w:rsidRPr="00B53F89">
        <w:t>continu</w:t>
      </w:r>
      <w:r w:rsidR="00E13A22" w:rsidRPr="00B53F89">
        <w:t>ing</w:t>
      </w:r>
      <w:r w:rsidRPr="00B53F89">
        <w:t xml:space="preserve"> to work closely with DoCA on </w:t>
      </w:r>
      <w:r w:rsidR="00BC7702" w:rsidRPr="00B53F89">
        <w:t>proposals for legislative reform</w:t>
      </w:r>
      <w:r w:rsidRPr="00B53F89">
        <w:t xml:space="preserve">. </w:t>
      </w:r>
    </w:p>
    <w:p w14:paraId="5C5AB775" w14:textId="224F50AA" w:rsidR="007C49B5" w:rsidRPr="00B53F89" w:rsidRDefault="007C49B5" w:rsidP="00CF66CF">
      <w:pPr>
        <w:spacing w:before="320" w:after="60"/>
      </w:pPr>
      <w:bookmarkStart w:id="380" w:name="_Toc522794105"/>
      <w:bookmarkStart w:id="381" w:name="_Toc510104971"/>
      <w:bookmarkStart w:id="382" w:name="_Toc510105768"/>
      <w:bookmarkStart w:id="383" w:name="_Toc510795100"/>
      <w:bookmarkStart w:id="384" w:name="_Toc511716303"/>
      <w:bookmarkStart w:id="385" w:name="_Toc511719114"/>
      <w:r w:rsidRPr="006A2F04">
        <w:rPr>
          <w:noProof/>
        </w:rPr>
        <w:drawing>
          <wp:inline distT="0" distB="0" distL="0" distR="0" wp14:anchorId="3CC8C214" wp14:editId="7CCA465D">
            <wp:extent cx="342900" cy="361950"/>
            <wp:effectExtent l="0" t="0" r="0" b="0"/>
            <wp:docPr id="114" name="Picture 114" descr="Internet of Thing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Internet of Things icon"/>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6E62E496" wp14:editId="62E838E3">
            <wp:extent cx="342900" cy="361950"/>
            <wp:effectExtent l="0" t="0" r="0" b="0"/>
            <wp:docPr id="115" name="Picture 115" descr="Amateur radio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Amateur radio icon"/>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57D6604D" wp14:editId="56393BF1">
            <wp:extent cx="342900" cy="361950"/>
            <wp:effectExtent l="0" t="0" r="0" b="0"/>
            <wp:docPr id="116" name="Picture 116" descr="Pric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Pricing icon"/>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386EADAF" w14:textId="355D6E3C" w:rsidR="00C0236C" w:rsidRPr="00B53F89" w:rsidRDefault="00E76074" w:rsidP="00CF66CF">
      <w:pPr>
        <w:pStyle w:val="Heading2"/>
        <w:spacing w:before="0"/>
      </w:pPr>
      <w:bookmarkStart w:id="386" w:name="_Toc18505564"/>
      <w:r w:rsidRPr="00B53F89">
        <w:t xml:space="preserve">New/ongoing activities planned for </w:t>
      </w:r>
      <w:r w:rsidR="00B91108" w:rsidRPr="00B53F89">
        <w:t>20</w:t>
      </w:r>
      <w:r w:rsidRPr="00B53F89">
        <w:t>1</w:t>
      </w:r>
      <w:r w:rsidR="00B76F6D" w:rsidRPr="00B53F89">
        <w:t>9</w:t>
      </w:r>
      <w:r w:rsidR="00B91108" w:rsidRPr="00B53F89">
        <w:t>–</w:t>
      </w:r>
      <w:bookmarkEnd w:id="380"/>
      <w:r w:rsidR="00B76F6D" w:rsidRPr="00B53F89">
        <w:t>20</w:t>
      </w:r>
      <w:bookmarkEnd w:id="386"/>
      <w:r w:rsidRPr="00B53F89">
        <w:t xml:space="preserve"> </w:t>
      </w:r>
      <w:bookmarkEnd w:id="381"/>
      <w:bookmarkEnd w:id="382"/>
      <w:bookmarkEnd w:id="383"/>
      <w:bookmarkEnd w:id="384"/>
      <w:bookmarkEnd w:id="385"/>
    </w:p>
    <w:p w14:paraId="109C65B4" w14:textId="26F5713D" w:rsidR="00007BD1" w:rsidRPr="00B53F89" w:rsidRDefault="00E129A4">
      <w:r w:rsidRPr="00B53F89">
        <w:t>T</w:t>
      </w:r>
      <w:r w:rsidR="00007BD1" w:rsidRPr="00B53F89">
        <w:t>he ACMA is</w:t>
      </w:r>
      <w:r w:rsidR="0051589F" w:rsidRPr="00B53F89">
        <w:t xml:space="preserve"> </w:t>
      </w:r>
      <w:r w:rsidR="00007BD1" w:rsidRPr="00B53F89">
        <w:t xml:space="preserve">actively pursuing </w:t>
      </w:r>
      <w:r w:rsidR="003E4246" w:rsidRPr="00B53F89">
        <w:t xml:space="preserve">improvements </w:t>
      </w:r>
      <w:r w:rsidR="00007BD1" w:rsidRPr="00B53F89">
        <w:t>to spectrum management that can be achieved in the shorter term.</w:t>
      </w:r>
    </w:p>
    <w:p w14:paraId="6F0E7F2C" w14:textId="4DA1EA89" w:rsidR="007121CF" w:rsidRPr="00B53F89" w:rsidRDefault="00D45071" w:rsidP="00A16C15">
      <w:r w:rsidRPr="00B53F89">
        <w:t xml:space="preserve">The main areas of </w:t>
      </w:r>
      <w:r w:rsidR="00C91243" w:rsidRPr="00B53F89">
        <w:t>s</w:t>
      </w:r>
      <w:r w:rsidRPr="00B53F89">
        <w:t xml:space="preserve">pectrum </w:t>
      </w:r>
      <w:r w:rsidR="003D7E71" w:rsidRPr="00B53F89">
        <w:t xml:space="preserve">management improvement </w:t>
      </w:r>
      <w:r w:rsidRPr="00B53F89">
        <w:t xml:space="preserve">activity that are expected to be undertaken </w:t>
      </w:r>
      <w:r w:rsidR="0051589F" w:rsidRPr="00B53F89">
        <w:t>in 2019</w:t>
      </w:r>
      <w:r w:rsidR="00243870" w:rsidRPr="00B53F89">
        <w:t>–</w:t>
      </w:r>
      <w:r w:rsidR="0051589F" w:rsidRPr="00B53F89">
        <w:t xml:space="preserve">20 </w:t>
      </w:r>
      <w:r w:rsidRPr="00B53F89">
        <w:t xml:space="preserve">are outlined below. </w:t>
      </w:r>
    </w:p>
    <w:p w14:paraId="253FBAA0" w14:textId="73AB4E6E" w:rsidR="00431E8B" w:rsidRPr="00B53F89" w:rsidRDefault="00431E8B" w:rsidP="00C83864">
      <w:pPr>
        <w:pStyle w:val="ACMATableHeader"/>
        <w:keepNext/>
        <w:keepLines/>
        <w:numPr>
          <w:ilvl w:val="0"/>
          <w:numId w:val="189"/>
        </w:numPr>
      </w:pPr>
      <w:r w:rsidRPr="00B53F89">
        <w:lastRenderedPageBreak/>
        <w:t xml:space="preserve">ACMA Spectrum </w:t>
      </w:r>
      <w:r w:rsidR="003D7E71" w:rsidRPr="00B53F89">
        <w:t xml:space="preserve">management </w:t>
      </w:r>
      <w:r w:rsidR="00253B7B" w:rsidRPr="00B53F89">
        <w:t xml:space="preserve">practice </w:t>
      </w:r>
      <w:r w:rsidR="003D7E71" w:rsidRPr="00B53F89">
        <w:t>improvement</w:t>
      </w:r>
      <w:r w:rsidRPr="00B53F89">
        <w:t xml:space="preserve"> activities </w:t>
      </w:r>
      <w:r w:rsidR="003C43A9" w:rsidRPr="00B53F89">
        <w:br/>
      </w:r>
      <w:r w:rsidRPr="00B53F89">
        <w:t>2019</w:t>
      </w:r>
      <w:r w:rsidR="00243870" w:rsidRPr="00B53F89">
        <w:t>–</w:t>
      </w:r>
      <w:r w:rsidRPr="00B53F89">
        <w:t>20</w:t>
      </w:r>
    </w:p>
    <w:tbl>
      <w:tblPr>
        <w:tblStyle w:val="PlainTable1"/>
        <w:tblW w:w="89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8" w:type="dxa"/>
          <w:bottom w:w="108" w:type="dxa"/>
        </w:tblCellMar>
        <w:tblLook w:val="04A0" w:firstRow="1" w:lastRow="0" w:firstColumn="1" w:lastColumn="0" w:noHBand="0" w:noVBand="1"/>
      </w:tblPr>
      <w:tblGrid>
        <w:gridCol w:w="2206"/>
        <w:gridCol w:w="3231"/>
        <w:gridCol w:w="3505"/>
      </w:tblGrid>
      <w:tr w:rsidR="00C2668B" w:rsidRPr="00B53F89" w14:paraId="4BE55167" w14:textId="2E1B91AA" w:rsidTr="00DE694D">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206" w:type="dxa"/>
            <w:shd w:val="clear" w:color="auto" w:fill="404040" w:themeFill="text1" w:themeFillTint="BF"/>
            <w:vAlign w:val="center"/>
          </w:tcPr>
          <w:p w14:paraId="4F246425" w14:textId="17E27FE5" w:rsidR="00C2668B" w:rsidRPr="00B53F89" w:rsidRDefault="00C2668B" w:rsidP="00C83864">
            <w:pPr>
              <w:keepNext/>
              <w:keepLines/>
              <w:spacing w:before="120" w:after="120"/>
              <w:ind w:right="-102"/>
              <w:rPr>
                <w:rFonts w:cstheme="minorHAnsi"/>
                <w:color w:val="FFFFFF" w:themeColor="background1"/>
                <w:szCs w:val="20"/>
              </w:rPr>
            </w:pPr>
            <w:r w:rsidRPr="00B53F89">
              <w:rPr>
                <w:rFonts w:cstheme="minorHAnsi"/>
                <w:color w:val="FFFFFF" w:themeColor="background1"/>
                <w:szCs w:val="20"/>
              </w:rPr>
              <w:t>Activity</w:t>
            </w:r>
          </w:p>
        </w:tc>
        <w:tc>
          <w:tcPr>
            <w:tcW w:w="3231" w:type="dxa"/>
            <w:shd w:val="clear" w:color="auto" w:fill="404040" w:themeFill="text1" w:themeFillTint="BF"/>
          </w:tcPr>
          <w:p w14:paraId="4222CB7D" w14:textId="0A867543" w:rsidR="00C2668B" w:rsidRPr="00B53F89" w:rsidRDefault="00C2668B" w:rsidP="00C83864">
            <w:pPr>
              <w:keepNext/>
              <w:keepLines/>
              <w:spacing w:before="120" w:after="120"/>
              <w:cnfStyle w:val="100000000000" w:firstRow="1" w:lastRow="0" w:firstColumn="0" w:lastColumn="0" w:oddVBand="0" w:evenVBand="0" w:oddHBand="0" w:evenHBand="0" w:firstRowFirstColumn="0" w:firstRowLastColumn="0" w:lastRowFirstColumn="0" w:lastRowLastColumn="0"/>
              <w:rPr>
                <w:rFonts w:cstheme="minorHAnsi"/>
                <w:color w:val="FFFFFF" w:themeColor="background1"/>
                <w:szCs w:val="20"/>
              </w:rPr>
            </w:pPr>
            <w:r w:rsidRPr="00B53F89">
              <w:rPr>
                <w:rFonts w:cstheme="minorHAnsi"/>
                <w:color w:val="FFFFFF" w:themeColor="background1"/>
                <w:szCs w:val="20"/>
              </w:rPr>
              <w:t>Description</w:t>
            </w:r>
          </w:p>
        </w:tc>
        <w:tc>
          <w:tcPr>
            <w:tcW w:w="3505" w:type="dxa"/>
            <w:shd w:val="clear" w:color="auto" w:fill="404040" w:themeFill="text1" w:themeFillTint="BF"/>
          </w:tcPr>
          <w:p w14:paraId="72AFF5CE" w14:textId="5018647A" w:rsidR="00C2668B" w:rsidRPr="00B53F89" w:rsidRDefault="00C2668B" w:rsidP="00C83864">
            <w:pPr>
              <w:keepNext/>
              <w:keepLines/>
              <w:spacing w:before="120" w:after="120"/>
              <w:cnfStyle w:val="100000000000" w:firstRow="1" w:lastRow="0" w:firstColumn="0" w:lastColumn="0" w:oddVBand="0" w:evenVBand="0" w:oddHBand="0" w:evenHBand="0" w:firstRowFirstColumn="0" w:firstRowLastColumn="0" w:lastRowFirstColumn="0" w:lastRowLastColumn="0"/>
              <w:rPr>
                <w:rFonts w:cstheme="minorHAnsi"/>
                <w:color w:val="FFFFFF" w:themeColor="background1"/>
                <w:szCs w:val="20"/>
              </w:rPr>
            </w:pPr>
            <w:r w:rsidRPr="00B53F89">
              <w:rPr>
                <w:rFonts w:cstheme="minorHAnsi"/>
                <w:color w:val="FFFFFF" w:themeColor="background1"/>
                <w:szCs w:val="20"/>
              </w:rPr>
              <w:t>Timing</w:t>
            </w:r>
          </w:p>
        </w:tc>
      </w:tr>
      <w:tr w:rsidR="00B3401B" w:rsidRPr="00B53F89" w14:paraId="3F955004" w14:textId="77777777" w:rsidTr="00DE694D">
        <w:trPr>
          <w:cnfStyle w:val="000000100000" w:firstRow="0" w:lastRow="0" w:firstColumn="0" w:lastColumn="0" w:oddVBand="0" w:evenVBand="0" w:oddHBand="1" w:evenHBand="0" w:firstRowFirstColumn="0" w:firstRowLastColumn="0" w:lastRowFirstColumn="0" w:lastRowLastColumn="0"/>
          <w:trHeight w:val="979"/>
        </w:trPr>
        <w:tc>
          <w:tcPr>
            <w:cnfStyle w:val="001000000000" w:firstRow="0" w:lastRow="0" w:firstColumn="1" w:lastColumn="0" w:oddVBand="0" w:evenVBand="0" w:oddHBand="0" w:evenHBand="0" w:firstRowFirstColumn="0" w:firstRowLastColumn="0" w:lastRowFirstColumn="0" w:lastRowLastColumn="0"/>
            <w:tcW w:w="2206" w:type="dxa"/>
            <w:shd w:val="clear" w:color="auto" w:fill="auto"/>
          </w:tcPr>
          <w:p w14:paraId="29808926" w14:textId="4BA2BD59" w:rsidR="00B3401B" w:rsidRPr="00B53F89" w:rsidRDefault="00C75EC8" w:rsidP="00C83864">
            <w:pPr>
              <w:pStyle w:val="TableBody"/>
              <w:keepNext/>
              <w:keepLines/>
            </w:pPr>
            <w:r w:rsidRPr="00B53F89">
              <w:t xml:space="preserve">Explore design of </w:t>
            </w:r>
            <w:r w:rsidR="00A01EB5" w:rsidRPr="00B53F89">
              <w:t>a</w:t>
            </w:r>
            <w:r w:rsidR="00BF3437" w:rsidRPr="00B53F89">
              <w:t>n</w:t>
            </w:r>
            <w:r w:rsidR="00A01EB5" w:rsidRPr="00B53F89">
              <w:t xml:space="preserve"> </w:t>
            </w:r>
            <w:r w:rsidR="00BF3437" w:rsidRPr="00B53F89">
              <w:t>area-wide</w:t>
            </w:r>
            <w:r w:rsidRPr="00B53F89">
              <w:t xml:space="preserve"> apparatus licence type</w:t>
            </w:r>
          </w:p>
        </w:tc>
        <w:tc>
          <w:tcPr>
            <w:tcW w:w="3231" w:type="dxa"/>
            <w:shd w:val="clear" w:color="auto" w:fill="auto"/>
          </w:tcPr>
          <w:p w14:paraId="55AEC4FE" w14:textId="57AF75BD" w:rsidR="00C75EC8" w:rsidRPr="00B53F89" w:rsidRDefault="00C75EC8" w:rsidP="00C83864">
            <w:pPr>
              <w:pStyle w:val="TableBody"/>
              <w:keepNext/>
              <w:keepLines/>
              <w:cnfStyle w:val="000000100000" w:firstRow="0" w:lastRow="0" w:firstColumn="0" w:lastColumn="0" w:oddVBand="0" w:evenVBand="0" w:oddHBand="1" w:evenHBand="0" w:firstRowFirstColumn="0" w:firstRowLastColumn="0" w:lastRowFirstColumn="0" w:lastRowLastColumn="0"/>
            </w:pPr>
            <w:r w:rsidRPr="00B53F89">
              <w:t>‘Off the shelf’ licence product that c</w:t>
            </w:r>
            <w:r w:rsidR="00C564E1" w:rsidRPr="00B53F89">
              <w:t>ould</w:t>
            </w:r>
            <w:r w:rsidRPr="00B53F89">
              <w:t xml:space="preserve"> be adapted to authorise operation</w:t>
            </w:r>
            <w:r w:rsidR="00627CDC" w:rsidRPr="00B53F89">
              <w:t xml:space="preserve"> of</w:t>
            </w:r>
            <w:r w:rsidRPr="00B53F89">
              <w:t xml:space="preserve"> multiple devices within a defined spectrum space</w:t>
            </w:r>
          </w:p>
          <w:p w14:paraId="3338AD53" w14:textId="77777777" w:rsidR="000B664A" w:rsidRPr="00B53F89" w:rsidRDefault="000B664A" w:rsidP="00C83864">
            <w:pPr>
              <w:pStyle w:val="TableBody"/>
              <w:keepNext/>
              <w:keepLines/>
              <w:cnfStyle w:val="000000100000" w:firstRow="0" w:lastRow="0" w:firstColumn="0" w:lastColumn="0" w:oddVBand="0" w:evenVBand="0" w:oddHBand="1" w:evenHBand="0" w:firstRowFirstColumn="0" w:firstRowLastColumn="0" w:lastRowFirstColumn="0" w:lastRowLastColumn="0"/>
            </w:pPr>
          </w:p>
          <w:p w14:paraId="431A4D7F" w14:textId="0144CA0D" w:rsidR="00B3401B" w:rsidRPr="00B53F89" w:rsidRDefault="00C75EC8" w:rsidP="00C83864">
            <w:pPr>
              <w:pStyle w:val="TableBody"/>
              <w:keepNext/>
              <w:keepLines/>
              <w:cnfStyle w:val="000000100000" w:firstRow="0" w:lastRow="0" w:firstColumn="0" w:lastColumn="0" w:oddVBand="0" w:evenVBand="0" w:oddHBand="1" w:evenHBand="0" w:firstRowFirstColumn="0" w:firstRowLastColumn="0" w:lastRowFirstColumn="0" w:lastRowLastColumn="0"/>
            </w:pPr>
            <w:r w:rsidRPr="00B53F89">
              <w:t xml:space="preserve">Assist in authorising new &amp; emerging technologies e.g. </w:t>
            </w:r>
            <w:r w:rsidR="00BF3437" w:rsidRPr="00B53F89">
              <w:t xml:space="preserve">Internet of Things and </w:t>
            </w:r>
            <w:r w:rsidRPr="00B53F89">
              <w:t>in 26 GHz allocation</w:t>
            </w:r>
          </w:p>
        </w:tc>
        <w:tc>
          <w:tcPr>
            <w:tcW w:w="3505" w:type="dxa"/>
            <w:shd w:val="clear" w:color="auto" w:fill="auto"/>
          </w:tcPr>
          <w:p w14:paraId="631BE10B" w14:textId="470807E6" w:rsidR="00B3401B" w:rsidRPr="00B53F89" w:rsidRDefault="004B063F" w:rsidP="00C83864">
            <w:pPr>
              <w:pStyle w:val="TableBody"/>
              <w:keepNext/>
              <w:keepLines/>
              <w:cnfStyle w:val="000000100000" w:firstRow="0" w:lastRow="0" w:firstColumn="0" w:lastColumn="0" w:oddVBand="0" w:evenVBand="0" w:oddHBand="1" w:evenHBand="0" w:firstRowFirstColumn="0" w:firstRowLastColumn="0" w:lastRowFirstColumn="0" w:lastRowLastColumn="0"/>
            </w:pPr>
            <w:r w:rsidRPr="00B53F89">
              <w:t>Consultation commenced</w:t>
            </w:r>
            <w:r w:rsidR="00A26F89" w:rsidRPr="00B53F89">
              <w:t xml:space="preserve"> Q</w:t>
            </w:r>
            <w:r w:rsidR="00E00B33" w:rsidRPr="00B53F89">
              <w:t>2</w:t>
            </w:r>
            <w:r w:rsidR="00A26F89" w:rsidRPr="00B53F89">
              <w:t xml:space="preserve"> 2019 </w:t>
            </w:r>
          </w:p>
        </w:tc>
      </w:tr>
      <w:tr w:rsidR="00C2668B" w:rsidRPr="00B53F89" w14:paraId="6F84EBB0" w14:textId="380AB1D8" w:rsidTr="00561D76">
        <w:trPr>
          <w:trHeight w:val="393"/>
        </w:trPr>
        <w:tc>
          <w:tcPr>
            <w:cnfStyle w:val="001000000000" w:firstRow="0" w:lastRow="0" w:firstColumn="1" w:lastColumn="0" w:oddVBand="0" w:evenVBand="0" w:oddHBand="0" w:evenHBand="0" w:firstRowFirstColumn="0" w:firstRowLastColumn="0" w:lastRowFirstColumn="0" w:lastRowLastColumn="0"/>
            <w:tcW w:w="2206" w:type="dxa"/>
            <w:shd w:val="clear" w:color="auto" w:fill="auto"/>
          </w:tcPr>
          <w:p w14:paraId="255EA34D" w14:textId="2B9AD5B6" w:rsidR="00C2668B" w:rsidRPr="00834714" w:rsidRDefault="00CC2EFB" w:rsidP="00C83864">
            <w:pPr>
              <w:pStyle w:val="TableBody"/>
              <w:keepNext/>
              <w:keepLines/>
              <w:rPr>
                <w:b w:val="0"/>
              </w:rPr>
            </w:pPr>
            <w:r w:rsidRPr="00834714">
              <w:t>Updating amateur syllabi</w:t>
            </w:r>
          </w:p>
        </w:tc>
        <w:tc>
          <w:tcPr>
            <w:tcW w:w="3231" w:type="dxa"/>
            <w:shd w:val="clear" w:color="auto" w:fill="auto"/>
          </w:tcPr>
          <w:p w14:paraId="046D488D" w14:textId="577FA51C" w:rsidR="00C2668B" w:rsidRPr="00B53F89" w:rsidRDefault="00ED52AD" w:rsidP="00C83864">
            <w:pPr>
              <w:pStyle w:val="TableBody"/>
              <w:keepNext/>
              <w:keepLines/>
              <w:cnfStyle w:val="000000000000" w:firstRow="0" w:lastRow="0" w:firstColumn="0" w:lastColumn="0" w:oddVBand="0" w:evenVBand="0" w:oddHBand="0" w:evenHBand="0" w:firstRowFirstColumn="0" w:firstRowLastColumn="0" w:lastRowFirstColumn="0" w:lastRowLastColumn="0"/>
            </w:pPr>
            <w:r w:rsidRPr="00B53F89">
              <w:t>Establish a Syllabus Review Panel</w:t>
            </w:r>
          </w:p>
        </w:tc>
        <w:tc>
          <w:tcPr>
            <w:tcW w:w="3505" w:type="dxa"/>
            <w:shd w:val="clear" w:color="auto" w:fill="auto"/>
          </w:tcPr>
          <w:p w14:paraId="0D557A39" w14:textId="59D41AF7" w:rsidR="00C41F76" w:rsidRPr="00B53F89" w:rsidRDefault="0005411F" w:rsidP="00C83864">
            <w:pPr>
              <w:pStyle w:val="TableBody"/>
              <w:keepNext/>
              <w:keepLines/>
              <w:cnfStyle w:val="000000000000" w:firstRow="0" w:lastRow="0" w:firstColumn="0" w:lastColumn="0" w:oddVBand="0" w:evenVBand="0" w:oddHBand="0" w:evenHBand="0" w:firstRowFirstColumn="0" w:firstRowLastColumn="0" w:lastRowFirstColumn="0" w:lastRowLastColumn="0"/>
            </w:pPr>
            <w:r w:rsidRPr="00B53F89">
              <w:t xml:space="preserve">Q4 </w:t>
            </w:r>
            <w:r w:rsidR="00ED52AD" w:rsidRPr="00B53F89">
              <w:t>2019</w:t>
            </w:r>
          </w:p>
        </w:tc>
      </w:tr>
      <w:tr w:rsidR="00C2668B" w:rsidRPr="00B53F89" w14:paraId="47F72F36" w14:textId="77777777" w:rsidTr="00561D76">
        <w:trPr>
          <w:cnfStyle w:val="000000100000" w:firstRow="0" w:lastRow="0" w:firstColumn="0" w:lastColumn="0" w:oddVBand="0" w:evenVBand="0" w:oddHBand="1" w:evenHBand="0" w:firstRowFirstColumn="0" w:firstRowLastColumn="0" w:lastRowFirstColumn="0" w:lastRowLastColumn="0"/>
          <w:trHeight w:val="750"/>
        </w:trPr>
        <w:tc>
          <w:tcPr>
            <w:cnfStyle w:val="001000000000" w:firstRow="0" w:lastRow="0" w:firstColumn="1" w:lastColumn="0" w:oddVBand="0" w:evenVBand="0" w:oddHBand="0" w:evenHBand="0" w:firstRowFirstColumn="0" w:firstRowLastColumn="0" w:lastRowFirstColumn="0" w:lastRowLastColumn="0"/>
            <w:tcW w:w="2206" w:type="dxa"/>
            <w:shd w:val="clear" w:color="auto" w:fill="auto"/>
          </w:tcPr>
          <w:p w14:paraId="0F1B31B1" w14:textId="77777777" w:rsidR="00C2668B" w:rsidRPr="00834714" w:rsidRDefault="00C2668B" w:rsidP="00DE694D">
            <w:pPr>
              <w:pStyle w:val="TableBody"/>
              <w:rPr>
                <w:b w:val="0"/>
                <w:bCs w:val="0"/>
              </w:rPr>
            </w:pPr>
            <w:r w:rsidRPr="00834714">
              <w:t xml:space="preserve">Implement the Spectrum </w:t>
            </w:r>
          </w:p>
          <w:p w14:paraId="3AB6197A" w14:textId="214E0DAC" w:rsidR="00C2668B" w:rsidRPr="00834714" w:rsidRDefault="00C2668B" w:rsidP="00DE694D">
            <w:pPr>
              <w:pStyle w:val="TableBody"/>
              <w:rPr>
                <w:b w:val="0"/>
              </w:rPr>
            </w:pPr>
            <w:r w:rsidRPr="00834714">
              <w:t>Pricing Review</w:t>
            </w:r>
          </w:p>
        </w:tc>
        <w:tc>
          <w:tcPr>
            <w:tcW w:w="3231" w:type="dxa"/>
            <w:shd w:val="clear" w:color="auto" w:fill="auto"/>
          </w:tcPr>
          <w:p w14:paraId="4A6F4611" w14:textId="77777777" w:rsidR="00C2668B" w:rsidRPr="00B53F89" w:rsidRDefault="00C2668B" w:rsidP="00561D76">
            <w:pPr>
              <w:pStyle w:val="TableBody"/>
              <w:spacing w:after="120"/>
              <w:cnfStyle w:val="000000100000" w:firstRow="0" w:lastRow="0" w:firstColumn="0" w:lastColumn="0" w:oddVBand="0" w:evenVBand="0" w:oddHBand="1" w:evenHBand="0" w:firstRowFirstColumn="0" w:firstRowLastColumn="0" w:lastRowFirstColumn="0" w:lastRowLastColumn="0"/>
            </w:pPr>
            <w:r w:rsidRPr="00B53F89">
              <w:t>Provide incentives for more efficient spectrum use</w:t>
            </w:r>
          </w:p>
          <w:p w14:paraId="76FC2D91" w14:textId="69B3465C" w:rsidR="00C2668B" w:rsidRPr="00B53F89" w:rsidRDefault="00C2668B" w:rsidP="00DE694D">
            <w:pPr>
              <w:pStyle w:val="TableBody"/>
              <w:cnfStyle w:val="000000100000" w:firstRow="0" w:lastRow="0" w:firstColumn="0" w:lastColumn="0" w:oddVBand="0" w:evenVBand="0" w:oddHBand="1" w:evenHBand="0" w:firstRowFirstColumn="0" w:firstRowLastColumn="0" w:lastRowFirstColumn="0" w:lastRowLastColumn="0"/>
            </w:pPr>
            <w:r w:rsidRPr="00B53F89">
              <w:t>Reform cost recover</w:t>
            </w:r>
            <w:r w:rsidR="002B4C0F" w:rsidRPr="00B53F89">
              <w:t>y</w:t>
            </w:r>
            <w:r w:rsidR="00A23B40" w:rsidRPr="00B53F89">
              <w:t xml:space="preserve"> approach</w:t>
            </w:r>
          </w:p>
        </w:tc>
        <w:tc>
          <w:tcPr>
            <w:tcW w:w="3505" w:type="dxa"/>
            <w:shd w:val="clear" w:color="auto" w:fill="auto"/>
          </w:tcPr>
          <w:p w14:paraId="44C423F2" w14:textId="1A23DEB8" w:rsidR="00C2668B" w:rsidRPr="00B53F89" w:rsidRDefault="00066B73" w:rsidP="00DE694D">
            <w:pPr>
              <w:pStyle w:val="TableBody"/>
              <w:cnfStyle w:val="000000100000" w:firstRow="0" w:lastRow="0" w:firstColumn="0" w:lastColumn="0" w:oddVBand="0" w:evenVBand="0" w:oddHBand="1" w:evenHBand="0" w:firstRowFirstColumn="0" w:firstRowLastColumn="0" w:lastRowFirstColumn="0" w:lastRowLastColumn="0"/>
            </w:pPr>
            <w:r w:rsidRPr="00B53F89">
              <w:t>C</w:t>
            </w:r>
            <w:r w:rsidR="00CB0ED4" w:rsidRPr="00B53F89">
              <w:t xml:space="preserve">onsultation </w:t>
            </w:r>
            <w:r w:rsidRPr="00B53F89">
              <w:t xml:space="preserve">to commence </w:t>
            </w:r>
            <w:r w:rsidR="00536827" w:rsidRPr="00B53F89">
              <w:t>Q</w:t>
            </w:r>
            <w:r w:rsidR="001C3132" w:rsidRPr="00B53F89">
              <w:t>4</w:t>
            </w:r>
            <w:r w:rsidR="00536827" w:rsidRPr="00B53F89">
              <w:t xml:space="preserve"> </w:t>
            </w:r>
            <w:r w:rsidR="00CB0ED4" w:rsidRPr="00B53F89">
              <w:t>2019</w:t>
            </w:r>
          </w:p>
          <w:p w14:paraId="436D021F" w14:textId="05F67A2D" w:rsidR="00C41F76" w:rsidRPr="00B53F89" w:rsidRDefault="00C41F76" w:rsidP="00DE694D">
            <w:pPr>
              <w:pStyle w:val="TableBody"/>
              <w:cnfStyle w:val="000000100000" w:firstRow="0" w:lastRow="0" w:firstColumn="0" w:lastColumn="0" w:oddVBand="0" w:evenVBand="0" w:oddHBand="1" w:evenHBand="0" w:firstRowFirstColumn="0" w:firstRowLastColumn="0" w:lastRowFirstColumn="0" w:lastRowLastColumn="0"/>
            </w:pPr>
          </w:p>
        </w:tc>
      </w:tr>
      <w:tr w:rsidR="00C2668B" w:rsidRPr="00B53F89" w14:paraId="4A565729" w14:textId="14FD3023" w:rsidTr="00DE694D">
        <w:trPr>
          <w:trHeight w:val="1508"/>
        </w:trPr>
        <w:tc>
          <w:tcPr>
            <w:cnfStyle w:val="001000000000" w:firstRow="0" w:lastRow="0" w:firstColumn="1" w:lastColumn="0" w:oddVBand="0" w:evenVBand="0" w:oddHBand="0" w:evenHBand="0" w:firstRowFirstColumn="0" w:firstRowLastColumn="0" w:lastRowFirstColumn="0" w:lastRowLastColumn="0"/>
            <w:tcW w:w="2206" w:type="dxa"/>
            <w:shd w:val="clear" w:color="auto" w:fill="auto"/>
          </w:tcPr>
          <w:p w14:paraId="5952AE0E" w14:textId="58D72307" w:rsidR="00C2668B" w:rsidRPr="00834714" w:rsidRDefault="00DF6DDF" w:rsidP="00DE694D">
            <w:pPr>
              <w:pStyle w:val="TableBody"/>
              <w:rPr>
                <w:b w:val="0"/>
              </w:rPr>
            </w:pPr>
            <w:r w:rsidRPr="00834714">
              <w:t xml:space="preserve">Further review of non-assigned </w:t>
            </w:r>
            <w:r w:rsidR="00C2668B" w:rsidRPr="00834714">
              <w:t xml:space="preserve">amateur </w:t>
            </w:r>
            <w:r w:rsidR="008877B6" w:rsidRPr="00834714">
              <w:t xml:space="preserve">licensing </w:t>
            </w:r>
            <w:r w:rsidR="00C2668B" w:rsidRPr="00834714">
              <w:t xml:space="preserve">and </w:t>
            </w:r>
            <w:r w:rsidRPr="00834714">
              <w:t xml:space="preserve">review of </w:t>
            </w:r>
            <w:r w:rsidR="00C2668B" w:rsidRPr="00834714">
              <w:t>non-assigned outpost licensing arrangements with a view to reform</w:t>
            </w:r>
          </w:p>
        </w:tc>
        <w:tc>
          <w:tcPr>
            <w:tcW w:w="3231" w:type="dxa"/>
            <w:shd w:val="clear" w:color="auto" w:fill="auto"/>
          </w:tcPr>
          <w:p w14:paraId="731A12F6" w14:textId="6D2407D1" w:rsidR="00C2668B" w:rsidRPr="00B53F89" w:rsidRDefault="00DF6DDF" w:rsidP="00DE694D">
            <w:pPr>
              <w:pStyle w:val="TableBody"/>
              <w:cnfStyle w:val="000000000000" w:firstRow="0" w:lastRow="0" w:firstColumn="0" w:lastColumn="0" w:oddVBand="0" w:evenVBand="0" w:oddHBand="0" w:evenHBand="0" w:firstRowFirstColumn="0" w:firstRowLastColumn="0" w:lastRowFirstColumn="0" w:lastRowLastColumn="0"/>
            </w:pPr>
            <w:r w:rsidRPr="00B53F89">
              <w:t>Consider</w:t>
            </w:r>
            <w:r w:rsidR="009307F1" w:rsidRPr="00B53F89">
              <w:t xml:space="preserve"> options</w:t>
            </w:r>
            <w:r w:rsidRPr="00B53F89">
              <w:t xml:space="preserve"> </w:t>
            </w:r>
            <w:r w:rsidR="0038595F" w:rsidRPr="00B53F89">
              <w:t xml:space="preserve">for </w:t>
            </w:r>
            <w:r w:rsidR="00253B7B" w:rsidRPr="00B53F89">
              <w:t xml:space="preserve">a range of </w:t>
            </w:r>
            <w:r w:rsidRPr="00B53F89">
              <w:t>licensing mechanisms and conditions for these non-assigned licences</w:t>
            </w:r>
          </w:p>
        </w:tc>
        <w:tc>
          <w:tcPr>
            <w:tcW w:w="3505" w:type="dxa"/>
            <w:shd w:val="clear" w:color="auto" w:fill="auto"/>
          </w:tcPr>
          <w:p w14:paraId="502C6A95" w14:textId="1E6B7E49" w:rsidR="00C41F76" w:rsidRPr="00B53F89" w:rsidRDefault="00DF6DDF" w:rsidP="00DE694D">
            <w:pPr>
              <w:pStyle w:val="TableBody"/>
              <w:cnfStyle w:val="000000000000" w:firstRow="0" w:lastRow="0" w:firstColumn="0" w:lastColumn="0" w:oddVBand="0" w:evenVBand="0" w:oddHBand="0" w:evenHBand="0" w:firstRowFirstColumn="0" w:firstRowLastColumn="0" w:lastRowFirstColumn="0" w:lastRowLastColumn="0"/>
            </w:pPr>
            <w:r w:rsidRPr="00B53F89">
              <w:t>Following review of submissions on amateur licence conditions in 2018</w:t>
            </w:r>
            <w:r w:rsidR="00243870" w:rsidRPr="00B53F89">
              <w:t>–</w:t>
            </w:r>
            <w:r w:rsidRPr="00B53F89">
              <w:t>19, the ACMA will continue to consider the fitness for purpose of existing arrangements.</w:t>
            </w:r>
            <w:r w:rsidR="001E3005" w:rsidRPr="00B53F89">
              <w:t xml:space="preserve"> The ACM</w:t>
            </w:r>
            <w:r w:rsidR="003E1695" w:rsidRPr="00B53F89">
              <w:t>A</w:t>
            </w:r>
            <w:r w:rsidR="001E3005" w:rsidRPr="00B53F89">
              <w:t xml:space="preserve"> expects to consult further on these arrangements in Q</w:t>
            </w:r>
            <w:r w:rsidR="00E00B33" w:rsidRPr="00B53F89">
              <w:t>4</w:t>
            </w:r>
            <w:r w:rsidR="001E3005" w:rsidRPr="00B53F89">
              <w:t xml:space="preserve"> 2019</w:t>
            </w:r>
          </w:p>
        </w:tc>
      </w:tr>
      <w:tr w:rsidR="00A36B17" w:rsidRPr="00B53F89" w14:paraId="65B7D855" w14:textId="77777777" w:rsidTr="00DE694D">
        <w:trPr>
          <w:cnfStyle w:val="000000100000" w:firstRow="0" w:lastRow="0" w:firstColumn="0" w:lastColumn="0" w:oddVBand="0" w:evenVBand="0" w:oddHBand="1" w:evenHBand="0" w:firstRowFirstColumn="0" w:firstRowLastColumn="0" w:lastRowFirstColumn="0" w:lastRowLastColumn="0"/>
          <w:trHeight w:val="208"/>
        </w:trPr>
        <w:tc>
          <w:tcPr>
            <w:cnfStyle w:val="001000000000" w:firstRow="0" w:lastRow="0" w:firstColumn="1" w:lastColumn="0" w:oddVBand="0" w:evenVBand="0" w:oddHBand="0" w:evenHBand="0" w:firstRowFirstColumn="0" w:firstRowLastColumn="0" w:lastRowFirstColumn="0" w:lastRowLastColumn="0"/>
            <w:tcW w:w="2206" w:type="dxa"/>
            <w:shd w:val="clear" w:color="auto" w:fill="auto"/>
          </w:tcPr>
          <w:p w14:paraId="0E315210" w14:textId="3853ED29" w:rsidR="00A36B17" w:rsidRPr="00834714" w:rsidRDefault="00A36B17" w:rsidP="00DE694D">
            <w:pPr>
              <w:pStyle w:val="TableBody"/>
              <w:rPr>
                <w:b w:val="0"/>
              </w:rPr>
            </w:pPr>
            <w:r w:rsidRPr="00834714">
              <w:t>Improving transparency of the spectrum planning framework</w:t>
            </w:r>
          </w:p>
        </w:tc>
        <w:tc>
          <w:tcPr>
            <w:tcW w:w="3231" w:type="dxa"/>
            <w:shd w:val="clear" w:color="auto" w:fill="auto"/>
          </w:tcPr>
          <w:p w14:paraId="1525E46A" w14:textId="1A4CC800" w:rsidR="00A36B17" w:rsidRPr="00B53F89" w:rsidRDefault="00A36B17" w:rsidP="00DE694D">
            <w:pPr>
              <w:pStyle w:val="TableBody"/>
              <w:cnfStyle w:val="000000100000" w:firstRow="0" w:lastRow="0" w:firstColumn="0" w:lastColumn="0" w:oddVBand="0" w:evenVBand="0" w:oddHBand="1" w:evenHBand="0" w:firstRowFirstColumn="0" w:firstRowLastColumn="0" w:lastRowFirstColumn="0" w:lastRowLastColumn="0"/>
            </w:pPr>
            <w:r w:rsidRPr="00B53F89">
              <w:t xml:space="preserve">Review the overall design and scope </w:t>
            </w:r>
            <w:r w:rsidR="00FF7E28" w:rsidRPr="00B53F89">
              <w:t>of</w:t>
            </w:r>
            <w:r w:rsidRPr="00B53F89">
              <w:t xml:space="preserve"> the spectrum p</w:t>
            </w:r>
            <w:r w:rsidR="00253B7B" w:rsidRPr="00B53F89">
              <w:t>lan</w:t>
            </w:r>
            <w:r w:rsidRPr="00B53F89">
              <w:t>ning framework</w:t>
            </w:r>
          </w:p>
        </w:tc>
        <w:tc>
          <w:tcPr>
            <w:tcW w:w="3505" w:type="dxa"/>
            <w:shd w:val="clear" w:color="auto" w:fill="auto"/>
          </w:tcPr>
          <w:p w14:paraId="69B87D9D" w14:textId="00D865F6" w:rsidR="00A36B17" w:rsidRPr="00B53F89" w:rsidRDefault="00930A61" w:rsidP="00DE694D">
            <w:pPr>
              <w:pStyle w:val="TableBody"/>
              <w:cnfStyle w:val="000000100000" w:firstRow="0" w:lastRow="0" w:firstColumn="0" w:lastColumn="0" w:oddVBand="0" w:evenVBand="0" w:oddHBand="1" w:evenHBand="0" w:firstRowFirstColumn="0" w:firstRowLastColumn="0" w:lastRowFirstColumn="0" w:lastRowLastColumn="0"/>
            </w:pPr>
            <w:r w:rsidRPr="00B53F89">
              <w:t xml:space="preserve">Progressively review and </w:t>
            </w:r>
            <w:r w:rsidR="00627D5C" w:rsidRPr="00B53F89">
              <w:t xml:space="preserve">consider </w:t>
            </w:r>
            <w:r w:rsidRPr="00B53F89">
              <w:t>improve</w:t>
            </w:r>
            <w:r w:rsidR="00627D5C" w:rsidRPr="00B53F89">
              <w:t>ment</w:t>
            </w:r>
            <w:r w:rsidRPr="00B53F89">
              <w:t xml:space="preserve"> through 2019</w:t>
            </w:r>
            <w:r w:rsidR="004E64E0" w:rsidRPr="00B53F89">
              <w:t>–</w:t>
            </w:r>
            <w:r w:rsidRPr="00B53F89">
              <w:t>20</w:t>
            </w:r>
          </w:p>
        </w:tc>
      </w:tr>
      <w:tr w:rsidR="00A36B17" w:rsidRPr="00B53F89" w14:paraId="50213AF0" w14:textId="77777777" w:rsidTr="00DE694D">
        <w:trPr>
          <w:trHeight w:val="718"/>
        </w:trPr>
        <w:tc>
          <w:tcPr>
            <w:cnfStyle w:val="001000000000" w:firstRow="0" w:lastRow="0" w:firstColumn="1" w:lastColumn="0" w:oddVBand="0" w:evenVBand="0" w:oddHBand="0" w:evenHBand="0" w:firstRowFirstColumn="0" w:firstRowLastColumn="0" w:lastRowFirstColumn="0" w:lastRowLastColumn="0"/>
            <w:tcW w:w="2206" w:type="dxa"/>
            <w:shd w:val="clear" w:color="auto" w:fill="auto"/>
          </w:tcPr>
          <w:p w14:paraId="48DB9CCA" w14:textId="57A21E56" w:rsidR="00A36B17" w:rsidRPr="00834714" w:rsidRDefault="001E3005" w:rsidP="00DE694D">
            <w:pPr>
              <w:pStyle w:val="TableBody"/>
              <w:rPr>
                <w:b w:val="0"/>
              </w:rPr>
            </w:pPr>
            <w:r w:rsidRPr="00834714">
              <w:t>Review elements of the existing apparatus licensing framework</w:t>
            </w:r>
            <w:r w:rsidR="00F70039" w:rsidRPr="00834714">
              <w:t xml:space="preserve"> </w:t>
            </w:r>
            <w:r w:rsidRPr="00834714">
              <w:t>with a view t</w:t>
            </w:r>
            <w:r w:rsidR="001C7BF2" w:rsidRPr="00834714">
              <w:t>o</w:t>
            </w:r>
            <w:r w:rsidRPr="00834714">
              <w:t xml:space="preserve"> streamlining</w:t>
            </w:r>
            <w:r w:rsidR="008A21A4" w:rsidRPr="00834714">
              <w:t xml:space="preserve"> existing arrangements</w:t>
            </w:r>
          </w:p>
        </w:tc>
        <w:tc>
          <w:tcPr>
            <w:tcW w:w="3231" w:type="dxa"/>
            <w:shd w:val="clear" w:color="auto" w:fill="auto"/>
          </w:tcPr>
          <w:p w14:paraId="2C1ACA53" w14:textId="08CC2FCA" w:rsidR="00A36B17" w:rsidRPr="00B53F89" w:rsidRDefault="001E3005" w:rsidP="00DE694D">
            <w:pPr>
              <w:pStyle w:val="TableBody"/>
              <w:cnfStyle w:val="000000000000" w:firstRow="0" w:lastRow="0" w:firstColumn="0" w:lastColumn="0" w:oddVBand="0" w:evenVBand="0" w:oddHBand="0" w:evenHBand="0" w:firstRowFirstColumn="0" w:firstRowLastColumn="0" w:lastRowFirstColumn="0" w:lastRowLastColumn="0"/>
            </w:pPr>
            <w:r w:rsidRPr="00B53F89">
              <w:t>Review of potential for reduced complexity</w:t>
            </w:r>
          </w:p>
        </w:tc>
        <w:tc>
          <w:tcPr>
            <w:tcW w:w="3505" w:type="dxa"/>
            <w:shd w:val="clear" w:color="auto" w:fill="auto"/>
          </w:tcPr>
          <w:p w14:paraId="1AD09CEF" w14:textId="12AF1353" w:rsidR="00A36B17" w:rsidRPr="00B53F89" w:rsidRDefault="00124128" w:rsidP="00DE694D">
            <w:pPr>
              <w:pStyle w:val="TableBody"/>
              <w:cnfStyle w:val="000000000000" w:firstRow="0" w:lastRow="0" w:firstColumn="0" w:lastColumn="0" w:oddVBand="0" w:evenVBand="0" w:oddHBand="0" w:evenHBand="0" w:firstRowFirstColumn="0" w:firstRowLastColumn="0" w:lastRowFirstColumn="0" w:lastRowLastColumn="0"/>
            </w:pPr>
            <w:r w:rsidRPr="00B53F89">
              <w:t>Consideration during 2019</w:t>
            </w:r>
            <w:r w:rsidR="003208A0" w:rsidRPr="00B53F89">
              <w:t>–</w:t>
            </w:r>
            <w:r w:rsidRPr="00B53F89">
              <w:t>20 (in the context of any proposed legislative reform)</w:t>
            </w:r>
          </w:p>
        </w:tc>
      </w:tr>
    </w:tbl>
    <w:p w14:paraId="6B8D583E" w14:textId="0CC67E52" w:rsidR="00D90D77" w:rsidRPr="00B53F89" w:rsidRDefault="00D90D77" w:rsidP="00DE694D">
      <w:pPr>
        <w:pStyle w:val="ACMACorporateAddressHeader"/>
      </w:pPr>
    </w:p>
    <w:p w14:paraId="187C74CA" w14:textId="5FA3F217" w:rsidR="008A3150" w:rsidRPr="00B53F89" w:rsidRDefault="008A3150" w:rsidP="008A3150">
      <w:r w:rsidRPr="00B53F89">
        <w:t xml:space="preserve">Further details on each of these ACMA </w:t>
      </w:r>
      <w:r w:rsidR="00561D76" w:rsidRPr="00B53F89">
        <w:t>s</w:t>
      </w:r>
      <w:r w:rsidRPr="00B53F89">
        <w:t xml:space="preserve">pectrum management practice improvement activities can be found elsewhere in the FYSO. Activities relating to amateur qualifications and licensing, </w:t>
      </w:r>
      <w:r w:rsidR="00BF3437" w:rsidRPr="00B53F89">
        <w:t>area-wide</w:t>
      </w:r>
      <w:r w:rsidR="00A802B9" w:rsidRPr="00B53F89">
        <w:t xml:space="preserve"> apparatus</w:t>
      </w:r>
      <w:r w:rsidRPr="00B53F89">
        <w:t xml:space="preserve"> licensing and the existing apparatus framework are expanded on in the </w:t>
      </w:r>
      <w:r w:rsidR="00446847" w:rsidRPr="00B53F89">
        <w:t>‘</w:t>
      </w:r>
      <w:r w:rsidRPr="00B53F89">
        <w:t>Licensing and licensing systems</w:t>
      </w:r>
      <w:r w:rsidR="00446847" w:rsidRPr="00B53F89">
        <w:t>’</w:t>
      </w:r>
      <w:r w:rsidRPr="00B53F89">
        <w:t xml:space="preserve"> section below. Further details on the implementation of the Spectrum Pricing Review can be found in the </w:t>
      </w:r>
      <w:r w:rsidR="009261CD" w:rsidRPr="00B53F89">
        <w:t>‘</w:t>
      </w:r>
      <w:r w:rsidRPr="00B53F89">
        <w:t>Pricing</w:t>
      </w:r>
      <w:r w:rsidR="009261CD" w:rsidRPr="00B53F89">
        <w:t>’</w:t>
      </w:r>
      <w:r w:rsidRPr="00B53F89">
        <w:t xml:space="preserve"> section below. Further details on improving the transparency of the spectrum planning framework can be found in the </w:t>
      </w:r>
      <w:r w:rsidR="009261CD" w:rsidRPr="00B53F89">
        <w:t>‘</w:t>
      </w:r>
      <w:r w:rsidRPr="00B53F89">
        <w:t xml:space="preserve">Optimising established </w:t>
      </w:r>
      <w:r w:rsidR="009261CD" w:rsidRPr="00B53F89">
        <w:t xml:space="preserve">planning </w:t>
      </w:r>
      <w:r w:rsidRPr="00B53F89">
        <w:t>frameworks</w:t>
      </w:r>
      <w:r w:rsidR="009261CD" w:rsidRPr="00B53F89">
        <w:t>’</w:t>
      </w:r>
      <w:r w:rsidRPr="00B53F89">
        <w:t xml:space="preserve"> section above.</w:t>
      </w:r>
    </w:p>
    <w:p w14:paraId="53484414" w14:textId="4460C031" w:rsidR="00E00B33" w:rsidRPr="00B53F89" w:rsidRDefault="00E00B33" w:rsidP="008A3150"/>
    <w:p w14:paraId="08341B30" w14:textId="60FCA0AB" w:rsidR="00286D6B" w:rsidRPr="00B53F89" w:rsidRDefault="00286D6B">
      <w:pPr>
        <w:pStyle w:val="Heading1"/>
      </w:pPr>
      <w:bookmarkStart w:id="387" w:name="_Toc510104978"/>
      <w:bookmarkStart w:id="388" w:name="_Toc510105775"/>
      <w:bookmarkStart w:id="389" w:name="_Toc510795107"/>
      <w:bookmarkStart w:id="390" w:name="_Toc511716310"/>
      <w:bookmarkStart w:id="391" w:name="_Toc511719121"/>
      <w:bookmarkStart w:id="392" w:name="_Toc522794113"/>
      <w:bookmarkStart w:id="393" w:name="_Toc18505565"/>
      <w:r w:rsidRPr="00B53F89">
        <w:lastRenderedPageBreak/>
        <w:t>Licensing</w:t>
      </w:r>
      <w:r w:rsidR="008B4A81" w:rsidRPr="00B53F89">
        <w:t xml:space="preserve"> and licensing systems</w:t>
      </w:r>
      <w:bookmarkEnd w:id="387"/>
      <w:bookmarkEnd w:id="388"/>
      <w:bookmarkEnd w:id="389"/>
      <w:bookmarkEnd w:id="390"/>
      <w:bookmarkEnd w:id="391"/>
      <w:bookmarkEnd w:id="392"/>
      <w:bookmarkEnd w:id="393"/>
    </w:p>
    <w:p w14:paraId="5203BF14" w14:textId="77777777" w:rsidR="008B4A81" w:rsidRPr="00B53F89" w:rsidRDefault="008B4A81">
      <w:pPr>
        <w:pStyle w:val="Heading2"/>
      </w:pPr>
      <w:bookmarkStart w:id="394" w:name="_Toc510104979"/>
      <w:bookmarkStart w:id="395" w:name="_Toc510105776"/>
      <w:bookmarkStart w:id="396" w:name="_Toc510795108"/>
      <w:bookmarkStart w:id="397" w:name="_Toc511716311"/>
      <w:bookmarkStart w:id="398" w:name="_Toc511719122"/>
      <w:bookmarkStart w:id="399" w:name="_Toc522794114"/>
      <w:bookmarkStart w:id="400" w:name="_Toc18505566"/>
      <w:r w:rsidRPr="00B53F89">
        <w:t>Progress achieved</w:t>
      </w:r>
      <w:bookmarkEnd w:id="394"/>
      <w:bookmarkEnd w:id="395"/>
      <w:bookmarkEnd w:id="396"/>
      <w:bookmarkEnd w:id="397"/>
      <w:bookmarkEnd w:id="398"/>
      <w:bookmarkEnd w:id="399"/>
      <w:bookmarkEnd w:id="400"/>
    </w:p>
    <w:p w14:paraId="74C63668" w14:textId="77777777" w:rsidR="008B4A81" w:rsidRPr="00B53F89" w:rsidRDefault="008B4A81">
      <w:pPr>
        <w:pStyle w:val="Heading3"/>
      </w:pPr>
      <w:bookmarkStart w:id="401" w:name="_Toc510104980"/>
      <w:bookmarkStart w:id="402" w:name="_Toc510105777"/>
      <w:bookmarkStart w:id="403" w:name="_Toc510795109"/>
      <w:bookmarkStart w:id="404" w:name="_Toc511716312"/>
      <w:bookmarkStart w:id="405" w:name="_Toc511719123"/>
      <w:bookmarkStart w:id="406" w:name="_Toc522794115"/>
      <w:bookmarkStart w:id="407" w:name="_Toc18505567"/>
      <w:r w:rsidRPr="00B53F89">
        <w:t>Body scanners in airports</w:t>
      </w:r>
      <w:bookmarkEnd w:id="401"/>
      <w:bookmarkEnd w:id="402"/>
      <w:bookmarkEnd w:id="403"/>
      <w:bookmarkEnd w:id="404"/>
      <w:bookmarkEnd w:id="405"/>
      <w:bookmarkEnd w:id="406"/>
      <w:bookmarkEnd w:id="407"/>
    </w:p>
    <w:p w14:paraId="7322334E" w14:textId="6863B35E" w:rsidR="008B4A81" w:rsidRPr="00B53F89" w:rsidRDefault="005E39B2">
      <w:pPr>
        <w:rPr>
          <w:rFonts w:cs="Arial"/>
        </w:rPr>
      </w:pPr>
      <w:r w:rsidRPr="00B53F89">
        <w:t>On 15 November</w:t>
      </w:r>
      <w:r w:rsidR="008B4A81" w:rsidRPr="00B53F89">
        <w:t xml:space="preserve"> 2018</w:t>
      </w:r>
      <w:r w:rsidR="00B91108" w:rsidRPr="00B53F89">
        <w:t xml:space="preserve">, </w:t>
      </w:r>
      <w:r w:rsidR="008B4A81" w:rsidRPr="00B53F89">
        <w:t xml:space="preserve">the ACMA </w:t>
      </w:r>
      <w:r w:rsidRPr="00B53F89">
        <w:t xml:space="preserve">made the </w:t>
      </w:r>
      <w:hyperlink r:id="rId128" w:history="1">
        <w:r w:rsidRPr="00B53F89">
          <w:rPr>
            <w:rStyle w:val="Hyperlink"/>
          </w:rPr>
          <w:t>Radiocommunications (Body Scanning – Aviation Security</w:t>
        </w:r>
        <w:r w:rsidR="00AD0483" w:rsidRPr="00B53F89">
          <w:rPr>
            <w:rStyle w:val="Hyperlink"/>
          </w:rPr>
          <w:t>)</w:t>
        </w:r>
        <w:r w:rsidRPr="00B53F89">
          <w:rPr>
            <w:rStyle w:val="Hyperlink"/>
          </w:rPr>
          <w:t xml:space="preserve"> Class Licence 2018</w:t>
        </w:r>
      </w:hyperlink>
      <w:r w:rsidRPr="00B53F89">
        <w:t>, authorising the operation of applicable body scanners used for aviation security screening in airports</w:t>
      </w:r>
      <w:r w:rsidR="008D375E" w:rsidRPr="00B53F89">
        <w:t xml:space="preserve"> in the frequency ranges </w:t>
      </w:r>
      <w:r w:rsidR="008D375E" w:rsidRPr="00B53F89">
        <w:rPr>
          <w:rFonts w:cs="Arial"/>
        </w:rPr>
        <w:t>24.25</w:t>
      </w:r>
      <w:r w:rsidR="004E64E0" w:rsidRPr="00B53F89">
        <w:rPr>
          <w:rFonts w:cs="Arial"/>
        </w:rPr>
        <w:t>–</w:t>
      </w:r>
      <w:r w:rsidR="008D375E" w:rsidRPr="00B53F89">
        <w:rPr>
          <w:rFonts w:cs="Arial"/>
        </w:rPr>
        <w:t>30 and 67</w:t>
      </w:r>
      <w:r w:rsidR="004E64E0" w:rsidRPr="00B53F89">
        <w:rPr>
          <w:rFonts w:cs="Arial"/>
        </w:rPr>
        <w:t>–</w:t>
      </w:r>
      <w:r w:rsidR="008D375E" w:rsidRPr="00B53F89">
        <w:rPr>
          <w:rFonts w:cs="Arial"/>
        </w:rPr>
        <w:t>80 GHz</w:t>
      </w:r>
      <w:r w:rsidRPr="00B53F89" w:rsidDel="008D375E">
        <w:rPr>
          <w:rFonts w:cs="Arial"/>
        </w:rPr>
        <w:t>.</w:t>
      </w:r>
      <w:r w:rsidRPr="00B53F89">
        <w:rPr>
          <w:rFonts w:cs="Arial"/>
        </w:rPr>
        <w:t xml:space="preserve"> Following public consultation, and prior to making the </w:t>
      </w:r>
      <w:r w:rsidR="00AE7619" w:rsidRPr="00B53F89">
        <w:rPr>
          <w:rFonts w:cs="Arial"/>
        </w:rPr>
        <w:t xml:space="preserve">class </w:t>
      </w:r>
      <w:r w:rsidRPr="00B53F89">
        <w:rPr>
          <w:rFonts w:cs="Arial"/>
        </w:rPr>
        <w:t>licence, the ACMA conferred closely with stakeholders regarding coexistence between relevant body scanners authorised by the class licence and 5G services</w:t>
      </w:r>
      <w:r w:rsidR="00426CFA" w:rsidRPr="00B53F89">
        <w:rPr>
          <w:rFonts w:cs="Arial"/>
        </w:rPr>
        <w:t>.</w:t>
      </w:r>
    </w:p>
    <w:p w14:paraId="2332BB77" w14:textId="18EE038F" w:rsidR="00156B40" w:rsidRPr="00B53F89" w:rsidRDefault="00987B06" w:rsidP="00CF66CF">
      <w:pPr>
        <w:keepNext/>
        <w:spacing w:before="60" w:after="0"/>
      </w:pPr>
      <w:r w:rsidRPr="006A2F04">
        <w:rPr>
          <w:noProof/>
        </w:rPr>
        <w:drawing>
          <wp:inline distT="0" distB="0" distL="0" distR="0" wp14:anchorId="7E0B4862" wp14:editId="11E4C3BA">
            <wp:extent cx="342900" cy="361950"/>
            <wp:effectExtent l="0" t="0" r="0" b="0"/>
            <wp:docPr id="118" name="Picture 118"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14A49B0B" w14:textId="577B3524" w:rsidR="008D47CE" w:rsidRPr="00B53F89" w:rsidRDefault="007C0ABA">
      <w:pPr>
        <w:pStyle w:val="Heading3"/>
        <w:keepNext w:val="0"/>
      </w:pPr>
      <w:bookmarkStart w:id="408" w:name="_Toc18505568"/>
      <w:r w:rsidRPr="00B53F89">
        <w:t>M</w:t>
      </w:r>
      <w:r w:rsidR="008D47CE" w:rsidRPr="00B53F89">
        <w:t>obile phone jammers in prisons</w:t>
      </w:r>
      <w:bookmarkEnd w:id="408"/>
    </w:p>
    <w:p w14:paraId="311DCE38" w14:textId="21B5D3FC" w:rsidR="003321B7" w:rsidRPr="00B53F89" w:rsidRDefault="00C25658" w:rsidP="008713AA">
      <w:r w:rsidRPr="00B53F89">
        <w:t>F</w:t>
      </w:r>
      <w:r w:rsidR="005D2EE9" w:rsidRPr="00B53F89">
        <w:t xml:space="preserve">ollowing a </w:t>
      </w:r>
      <w:r w:rsidR="003321B7" w:rsidRPr="00B53F89">
        <w:t>successful trial by Corrective Services NSW at Lithgow Correctional Centre,</w:t>
      </w:r>
      <w:r w:rsidRPr="00B53F89">
        <w:t xml:space="preserve"> and stakeholder consultation,</w:t>
      </w:r>
      <w:r w:rsidR="003321B7" w:rsidRPr="00B53F89">
        <w:t xml:space="preserve"> </w:t>
      </w:r>
      <w:r w:rsidRPr="00B53F89">
        <w:t>t</w:t>
      </w:r>
      <w:r w:rsidR="003321B7" w:rsidRPr="00B53F89">
        <w:t xml:space="preserve">he ACMA made the </w:t>
      </w:r>
      <w:hyperlink r:id="rId129" w:history="1">
        <w:r w:rsidR="003321B7" w:rsidRPr="00B53F89">
          <w:rPr>
            <w:rStyle w:val="Hyperlink"/>
          </w:rPr>
          <w:t>Radiocommunications (Use by Corrective Services NSW of PMTS Jamming Devices at Lithgow Correctional Centre) Exemption Determination 2018</w:t>
        </w:r>
      </w:hyperlink>
      <w:r w:rsidR="00121A9B" w:rsidRPr="00B53F89">
        <w:t xml:space="preserve"> in </w:t>
      </w:r>
      <w:r w:rsidR="00271764" w:rsidRPr="00B53F89">
        <w:t>August 2018</w:t>
      </w:r>
      <w:r w:rsidR="003321B7" w:rsidRPr="00B53F89">
        <w:t>, which will allow Corrective Services NSW to continue operating the mobile phone jammer at Lithgow</w:t>
      </w:r>
      <w:r w:rsidR="00AE7619" w:rsidRPr="00B53F89">
        <w:t xml:space="preserve"> Correctional Centre</w:t>
      </w:r>
      <w:r w:rsidR="003321B7" w:rsidRPr="00B53F89">
        <w:t xml:space="preserve"> on an ongoing basis, subject to certain conditions and safeguards.</w:t>
      </w:r>
    </w:p>
    <w:p w14:paraId="11668FBC" w14:textId="7F3CCA5E" w:rsidR="00987B06" w:rsidRPr="00B53F89" w:rsidRDefault="00987B06" w:rsidP="00CF66CF">
      <w:pPr>
        <w:keepNext/>
        <w:spacing w:before="60" w:after="0"/>
      </w:pPr>
      <w:bookmarkStart w:id="409" w:name="_Toc524517129"/>
      <w:r w:rsidRPr="006A2F04">
        <w:rPr>
          <w:noProof/>
        </w:rPr>
        <w:drawing>
          <wp:inline distT="0" distB="0" distL="0" distR="0" wp14:anchorId="5A2C75DE" wp14:editId="76B2AEC5">
            <wp:extent cx="342900" cy="361950"/>
            <wp:effectExtent l="0" t="0" r="0" b="0"/>
            <wp:docPr id="119" name="Picture 119" descr="Amateur radio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Amateur radio icon"/>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5CE31587" w14:textId="2D8CE629" w:rsidR="0083652C" w:rsidRPr="00B53F89" w:rsidRDefault="0083652C" w:rsidP="002E3C54">
      <w:pPr>
        <w:pStyle w:val="Heading3"/>
      </w:pPr>
      <w:bookmarkStart w:id="410" w:name="_Toc18505569"/>
      <w:r w:rsidRPr="00B53F89">
        <w:t>Renewed arrangements for amateur certificates of proficiency</w:t>
      </w:r>
      <w:bookmarkEnd w:id="409"/>
      <w:bookmarkEnd w:id="410"/>
    </w:p>
    <w:p w14:paraId="726AC9C5" w14:textId="2B498DAA" w:rsidR="0083652C" w:rsidRPr="00B53F89" w:rsidRDefault="0083652C" w:rsidP="00DE694D">
      <w:r w:rsidRPr="00B53F89">
        <w:t>Following an approach to market</w:t>
      </w:r>
      <w:r w:rsidR="00AE7619" w:rsidRPr="00B53F89">
        <w:t>,</w:t>
      </w:r>
      <w:r w:rsidRPr="00B53F89">
        <w:t xml:space="preserve"> the ACMA selected the University of Tasmania, through its A</w:t>
      </w:r>
      <w:r w:rsidR="006E161E" w:rsidRPr="00B53F89">
        <w:t xml:space="preserve">ustralian </w:t>
      </w:r>
      <w:r w:rsidRPr="00B53F89">
        <w:t>M</w:t>
      </w:r>
      <w:r w:rsidR="006E161E" w:rsidRPr="00B53F89">
        <w:t xml:space="preserve">aritime </w:t>
      </w:r>
      <w:r w:rsidRPr="00B53F89">
        <w:t>C</w:t>
      </w:r>
      <w:r w:rsidR="006E161E" w:rsidRPr="00B53F89">
        <w:t>ollege</w:t>
      </w:r>
      <w:r w:rsidR="007701B8" w:rsidRPr="00B53F89">
        <w:t xml:space="preserve"> (AMC)</w:t>
      </w:r>
      <w:r w:rsidRPr="00B53F89">
        <w:t xml:space="preserve"> to provide services and functions related to amateur radio operator qualifications. The previous Deed of Agreement with the Wireless Institute of Australia expired on 1 February 2019. </w:t>
      </w:r>
    </w:p>
    <w:p w14:paraId="05CB769E" w14:textId="3FCC89D3" w:rsidR="0083652C" w:rsidRPr="00B53F89" w:rsidRDefault="0083652C" w:rsidP="00DE694D">
      <w:r w:rsidRPr="00B53F89">
        <w:t>Under the new arrangements, the AMC performs statutory functions and provides administrative services through delegation of powers and a new Deed of Agreement with the ACMA.</w:t>
      </w:r>
    </w:p>
    <w:p w14:paraId="50A07088" w14:textId="6435980C" w:rsidR="008B4A81" w:rsidRPr="00B53F89" w:rsidRDefault="0083652C" w:rsidP="008713AA">
      <w:r w:rsidRPr="00B53F89">
        <w:t xml:space="preserve">Before initiating the procurement process, the ACMA released a </w:t>
      </w:r>
      <w:hyperlink r:id="rId130" w:history="1">
        <w:r w:rsidRPr="00B53F89">
          <w:rPr>
            <w:rStyle w:val="Hyperlink"/>
            <w:rFonts w:cs="Arial"/>
            <w:szCs w:val="20"/>
          </w:rPr>
          <w:t>consultation paper</w:t>
        </w:r>
      </w:hyperlink>
      <w:r w:rsidRPr="00B53F89">
        <w:rPr>
          <w:rStyle w:val="Hyperlink"/>
          <w:rFonts w:cs="Arial"/>
          <w:szCs w:val="20"/>
        </w:rPr>
        <w:t xml:space="preserve"> </w:t>
      </w:r>
      <w:r w:rsidRPr="00B53F89">
        <w:t xml:space="preserve">in June 2018 exploring future options for managing the services and functions </w:t>
      </w:r>
      <w:r w:rsidR="00AE7619" w:rsidRPr="00B53F89">
        <w:t>then</w:t>
      </w:r>
      <w:r w:rsidR="00921643" w:rsidRPr="00B53F89">
        <w:t xml:space="preserve"> </w:t>
      </w:r>
      <w:r w:rsidRPr="00B53F89">
        <w:t xml:space="preserve">provided under the </w:t>
      </w:r>
      <w:r w:rsidR="009261CD" w:rsidRPr="00B53F89">
        <w:t>d</w:t>
      </w:r>
      <w:r w:rsidRPr="00B53F89">
        <w:t>eed.</w:t>
      </w:r>
    </w:p>
    <w:p w14:paraId="0B49D934" w14:textId="388307CF" w:rsidR="00156B40" w:rsidRPr="00B53F89" w:rsidRDefault="00156B40" w:rsidP="007A2435">
      <w:pPr>
        <w:keepNext/>
        <w:spacing w:before="60" w:after="0"/>
      </w:pPr>
      <w:r w:rsidRPr="006A2F04">
        <w:rPr>
          <w:noProof/>
        </w:rPr>
        <w:drawing>
          <wp:inline distT="0" distB="0" distL="0" distR="0" wp14:anchorId="15CF670C" wp14:editId="50B0E3F1">
            <wp:extent cx="342900" cy="361950"/>
            <wp:effectExtent l="0" t="0" r="0" b="0"/>
            <wp:docPr id="117" name="Picture 117" descr="Maritim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Maritime icon"/>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4CEAA93B" w14:textId="4A1E665D" w:rsidR="00EC0268" w:rsidRPr="00B53F89" w:rsidRDefault="00EC0268" w:rsidP="00EC0268">
      <w:pPr>
        <w:pStyle w:val="Heading3"/>
        <w:keepLines/>
      </w:pPr>
      <w:bookmarkStart w:id="411" w:name="_Toc18505570"/>
      <w:r w:rsidRPr="00B53F89">
        <w:t>Marine VHF channel arrangements</w:t>
      </w:r>
      <w:bookmarkEnd w:id="411"/>
      <w:r w:rsidRPr="00B53F89">
        <w:t xml:space="preserve"> </w:t>
      </w:r>
    </w:p>
    <w:p w14:paraId="642B4E22" w14:textId="2089D141" w:rsidR="00EC0268" w:rsidRPr="00B53F89" w:rsidRDefault="00F20A70" w:rsidP="00EC0268">
      <w:r w:rsidRPr="00B53F89">
        <w:t>In 2018</w:t>
      </w:r>
      <w:r w:rsidR="003208A0" w:rsidRPr="00B53F89">
        <w:t>–</w:t>
      </w:r>
      <w:r w:rsidRPr="00B53F89">
        <w:t>19, t</w:t>
      </w:r>
      <w:r w:rsidR="00EC0268" w:rsidRPr="00B53F89">
        <w:t xml:space="preserve">he ACMA, with the assistance of key maritime stakeholders, undertook a review of the current regulatory arrangements governing the operation of the VHF marine radio in Australia. The review was triggered by updates to the ITU RRs at WRC-12 and WRC-15. Representations were made by maritime stakeholders that Australia’s regulatory arrangements could be usefully updated to reflect emerging safety-of-life technologies and systems. </w:t>
      </w:r>
    </w:p>
    <w:p w14:paraId="6C6168B5" w14:textId="71A63C7C" w:rsidR="00EC0268" w:rsidRPr="00B53F89" w:rsidRDefault="00EC0268" w:rsidP="00EC0268">
      <w:r w:rsidRPr="00B53F89">
        <w:t xml:space="preserve">In May 2019, following the outcome of </w:t>
      </w:r>
      <w:hyperlink r:id="rId131" w:history="1">
        <w:r w:rsidRPr="00B53F89">
          <w:t>public consultation</w:t>
        </w:r>
      </w:hyperlink>
      <w:r w:rsidRPr="00B53F89">
        <w:t xml:space="preserve">, the ACMA made the </w:t>
      </w:r>
      <w:hyperlink r:id="rId132" w:history="1">
        <w:r w:rsidRPr="00B53F89">
          <w:rPr>
            <w:rStyle w:val="Hyperlink"/>
          </w:rPr>
          <w:t>Radiocommunications – Maritime Omnibus Variation 2019</w:t>
        </w:r>
      </w:hyperlink>
      <w:r w:rsidR="00AF32E1" w:rsidRPr="00B53F89">
        <w:rPr>
          <w:rStyle w:val="Hyperlink"/>
        </w:rPr>
        <w:t xml:space="preserve"> (No. 1)</w:t>
      </w:r>
      <w:r w:rsidRPr="00B53F89">
        <w:t xml:space="preserve"> (the Maritime Variation Instrument) bringing in a raft of changes to the VHF maritime mobile band. </w:t>
      </w:r>
    </w:p>
    <w:p w14:paraId="6FFAD958" w14:textId="77777777" w:rsidR="00EC0268" w:rsidRPr="00B53F89" w:rsidRDefault="00EC0268" w:rsidP="00C83864">
      <w:pPr>
        <w:keepNext/>
      </w:pPr>
      <w:r w:rsidRPr="00B53F89">
        <w:lastRenderedPageBreak/>
        <w:t>The changes include:</w:t>
      </w:r>
    </w:p>
    <w:p w14:paraId="0570ECE6" w14:textId="77777777" w:rsidR="00EC0268" w:rsidRPr="00B53F89" w:rsidRDefault="00EC0268" w:rsidP="00C83864">
      <w:pPr>
        <w:pStyle w:val="ListBullet"/>
        <w:ind w:left="284" w:hanging="284"/>
      </w:pPr>
      <w:r w:rsidRPr="00B53F89">
        <w:t xml:space="preserve">improvements to the integrity of the VHF maritime mobile band as it applies to all maritime stakeholders </w:t>
      </w:r>
    </w:p>
    <w:p w14:paraId="583CE4A2" w14:textId="01658B32" w:rsidR="00EC0268" w:rsidRPr="00B53F89" w:rsidRDefault="00EC0268" w:rsidP="00C83864">
      <w:pPr>
        <w:pStyle w:val="ListBullet"/>
        <w:ind w:left="284" w:hanging="284"/>
      </w:pPr>
      <w:r w:rsidRPr="00B53F89">
        <w:t xml:space="preserve">implementing </w:t>
      </w:r>
      <w:r w:rsidR="00AE7619" w:rsidRPr="00B53F89">
        <w:t>i</w:t>
      </w:r>
      <w:r w:rsidRPr="00B53F89">
        <w:t>nternational obligations to enhance and protect safety-of-life and search and rescue services</w:t>
      </w:r>
      <w:r w:rsidR="004D05C7" w:rsidRPr="00B53F89">
        <w:t xml:space="preserve"> (SAR)</w:t>
      </w:r>
      <w:r w:rsidRPr="00B53F89">
        <w:t xml:space="preserve"> in Australia, including:</w:t>
      </w:r>
    </w:p>
    <w:p w14:paraId="331BF3B8" w14:textId="2F99AEEB" w:rsidR="00EC0268" w:rsidRPr="00B53F89" w:rsidRDefault="00EC0268" w:rsidP="00C83864">
      <w:pPr>
        <w:pStyle w:val="ListBullet2"/>
        <w:ind w:left="851" w:hanging="494"/>
      </w:pPr>
      <w:r w:rsidRPr="00B53F89">
        <w:t>access to new safety of life technologies</w:t>
      </w:r>
      <w:r w:rsidR="00990D9B" w:rsidRPr="00B53F89">
        <w:t>,</w:t>
      </w:r>
      <w:r w:rsidRPr="00B53F89">
        <w:t xml:space="preserve"> such as Automatic Identification System (AIS) satellite, and the integrated functionality provided by VHF Data Exchange System (VDES) and Application Specific Messages (ASM) </w:t>
      </w:r>
    </w:p>
    <w:p w14:paraId="52619DA7" w14:textId="5337D640" w:rsidR="00EC0268" w:rsidRPr="00B53F89" w:rsidRDefault="00EC0268" w:rsidP="00C83864">
      <w:pPr>
        <w:pStyle w:val="ListBullet2"/>
        <w:ind w:left="851" w:hanging="494"/>
      </w:pPr>
      <w:r w:rsidRPr="00B53F89">
        <w:t xml:space="preserve">specifying channels in the relevant licensing instruments to provide greater protection to SAR functions by limiting use of Channel 06 for SAR operations </w:t>
      </w:r>
    </w:p>
    <w:p w14:paraId="27D285DC" w14:textId="20233563" w:rsidR="008C6D61" w:rsidRPr="006A2F04" w:rsidRDefault="004D05C7" w:rsidP="00C83864">
      <w:pPr>
        <w:pStyle w:val="ListBullet2"/>
        <w:ind w:left="851" w:hanging="494"/>
      </w:pPr>
      <w:r w:rsidRPr="006A2F04">
        <w:t>a</w:t>
      </w:r>
      <w:r w:rsidR="00EC0268" w:rsidRPr="006A2F04">
        <w:t xml:space="preserve"> number of channels identified in Appendix 18 </w:t>
      </w:r>
      <w:r w:rsidR="00280AD1" w:rsidRPr="006A2F04">
        <w:t>o</w:t>
      </w:r>
      <w:r w:rsidR="00F20A70" w:rsidRPr="006A2F04">
        <w:t xml:space="preserve">f the </w:t>
      </w:r>
      <w:r w:rsidR="00AF32E1" w:rsidRPr="006A2F04">
        <w:t>RRs</w:t>
      </w:r>
      <w:r w:rsidR="00F20A70" w:rsidRPr="006A2F04">
        <w:t xml:space="preserve"> </w:t>
      </w:r>
      <w:r w:rsidR="00EC0268" w:rsidRPr="006A2F04">
        <w:t>that are not currently included in the relevant legislative instruments.</w:t>
      </w:r>
    </w:p>
    <w:p w14:paraId="360A015A" w14:textId="5137FFF1" w:rsidR="00266584" w:rsidRPr="00B53F89" w:rsidRDefault="008B4A81">
      <w:pPr>
        <w:pStyle w:val="Heading2"/>
      </w:pPr>
      <w:bookmarkStart w:id="412" w:name="_Toc18505571"/>
      <w:bookmarkStart w:id="413" w:name="_Toc510104982"/>
      <w:bookmarkStart w:id="414" w:name="_Toc510105779"/>
      <w:bookmarkStart w:id="415" w:name="_Toc510795111"/>
      <w:bookmarkStart w:id="416" w:name="_Toc511716314"/>
      <w:bookmarkStart w:id="417" w:name="_Toc511719125"/>
      <w:bookmarkStart w:id="418" w:name="_Toc522794117"/>
      <w:r w:rsidRPr="00B53F89">
        <w:t xml:space="preserve">New/ongoing activities planned for </w:t>
      </w:r>
      <w:r w:rsidR="004A6CDE" w:rsidRPr="00B53F89">
        <w:t>20</w:t>
      </w:r>
      <w:r w:rsidRPr="00B53F89">
        <w:t>1</w:t>
      </w:r>
      <w:r w:rsidR="00B76F6D" w:rsidRPr="00B53F89">
        <w:t>9</w:t>
      </w:r>
      <w:r w:rsidR="004A6CDE" w:rsidRPr="00B53F89">
        <w:t>–</w:t>
      </w:r>
      <w:r w:rsidR="00B76F6D" w:rsidRPr="00B53F89">
        <w:t>20</w:t>
      </w:r>
      <w:bookmarkEnd w:id="412"/>
      <w:r w:rsidRPr="00B53F89">
        <w:t xml:space="preserve"> </w:t>
      </w:r>
      <w:bookmarkEnd w:id="413"/>
      <w:bookmarkEnd w:id="414"/>
      <w:bookmarkEnd w:id="415"/>
      <w:bookmarkEnd w:id="416"/>
      <w:bookmarkEnd w:id="417"/>
      <w:bookmarkEnd w:id="418"/>
    </w:p>
    <w:p w14:paraId="563126DF" w14:textId="36AD2D60" w:rsidR="00987B06" w:rsidRPr="00B53F89" w:rsidRDefault="00987B06" w:rsidP="00C12720">
      <w:pPr>
        <w:keepNext/>
        <w:spacing w:before="60" w:after="0"/>
      </w:pPr>
      <w:bookmarkStart w:id="419" w:name="_Reforming_arrangements_for"/>
      <w:bookmarkStart w:id="420" w:name="_Toc510104983"/>
      <w:bookmarkStart w:id="421" w:name="_Toc510105780"/>
      <w:bookmarkStart w:id="422" w:name="_Toc510795112"/>
      <w:bookmarkStart w:id="423" w:name="_Toc511716315"/>
      <w:bookmarkStart w:id="424" w:name="_Toc511719126"/>
      <w:bookmarkStart w:id="425" w:name="_Toc522794118"/>
      <w:bookmarkEnd w:id="419"/>
      <w:r w:rsidRPr="006A2F04">
        <w:rPr>
          <w:noProof/>
        </w:rPr>
        <w:drawing>
          <wp:inline distT="0" distB="0" distL="0" distR="0" wp14:anchorId="2CB29916" wp14:editId="5AA7B955">
            <wp:extent cx="342900" cy="361950"/>
            <wp:effectExtent l="0" t="0" r="0" b="0"/>
            <wp:docPr id="120" name="Picture 120" descr="Amateur radio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Amateur radio icon"/>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38E2B269" w14:textId="1A709F19" w:rsidR="008B4A81" w:rsidRPr="00B53F89" w:rsidRDefault="005E0AAD">
      <w:pPr>
        <w:pStyle w:val="Heading3"/>
      </w:pPr>
      <w:bookmarkStart w:id="426" w:name="_Toc18505572"/>
      <w:r w:rsidRPr="00B53F89">
        <w:t>A</w:t>
      </w:r>
      <w:r w:rsidR="00266584" w:rsidRPr="00B53F89">
        <w:t>mateur certificates of proficiency</w:t>
      </w:r>
      <w:bookmarkEnd w:id="420"/>
      <w:bookmarkEnd w:id="421"/>
      <w:bookmarkEnd w:id="422"/>
      <w:bookmarkEnd w:id="423"/>
      <w:bookmarkEnd w:id="424"/>
      <w:bookmarkEnd w:id="425"/>
      <w:bookmarkEnd w:id="426"/>
    </w:p>
    <w:p w14:paraId="4AA0F59B" w14:textId="391B4C80" w:rsidR="00EB293C" w:rsidRPr="00B53F89" w:rsidRDefault="00BB6DB5" w:rsidP="008713AA">
      <w:bookmarkStart w:id="427" w:name="_Hlk10809423"/>
      <w:r w:rsidRPr="00B53F89">
        <w:t>In Q4 2019</w:t>
      </w:r>
      <w:r w:rsidR="0078681D" w:rsidRPr="00B53F89">
        <w:t xml:space="preserve"> t</w:t>
      </w:r>
      <w:r w:rsidR="00EB293C" w:rsidRPr="00B53F89">
        <w:t xml:space="preserve">he ACMA will establish a Syllabus Review Panel for amateur radio, consistent with </w:t>
      </w:r>
      <w:r w:rsidR="00E64F8E" w:rsidRPr="00B53F89">
        <w:t>the arrangements under the new Deed of Agreement</w:t>
      </w:r>
      <w:r w:rsidR="00EB293C" w:rsidRPr="00B53F89">
        <w:t xml:space="preserve"> with the </w:t>
      </w:r>
      <w:r w:rsidR="00471E36" w:rsidRPr="00B53F89">
        <w:t>AMC</w:t>
      </w:r>
      <w:r w:rsidR="00EB293C" w:rsidRPr="00B53F89">
        <w:t xml:space="preserve">. The Panel </w:t>
      </w:r>
      <w:r w:rsidR="008677DE" w:rsidRPr="00B53F89">
        <w:t>will ensure that the amateur radio syllabus</w:t>
      </w:r>
      <w:r w:rsidR="00E64F8E" w:rsidRPr="00B53F89">
        <w:t xml:space="preserve"> for examinations</w:t>
      </w:r>
      <w:r w:rsidR="008677DE" w:rsidRPr="00B53F89">
        <w:t xml:space="preserve"> continue</w:t>
      </w:r>
      <w:r w:rsidR="001230DA" w:rsidRPr="00B53F89">
        <w:t>s</w:t>
      </w:r>
      <w:r w:rsidR="008677DE" w:rsidRPr="00B53F89">
        <w:t xml:space="preserve"> to reflect the knowledge and skills necessary to operate an amateur station.</w:t>
      </w:r>
    </w:p>
    <w:p w14:paraId="2108210A" w14:textId="590B701D" w:rsidR="00987B06" w:rsidRPr="00B53F89" w:rsidRDefault="00987B06" w:rsidP="00CF66CF">
      <w:pPr>
        <w:keepNext/>
        <w:spacing w:before="60" w:after="0"/>
      </w:pPr>
      <w:bookmarkStart w:id="428" w:name="_Toc522794119"/>
      <w:bookmarkEnd w:id="427"/>
      <w:r w:rsidRPr="006A2F04">
        <w:rPr>
          <w:noProof/>
        </w:rPr>
        <w:drawing>
          <wp:inline distT="0" distB="0" distL="0" distR="0" wp14:anchorId="26D8E8F8" wp14:editId="6A6E432A">
            <wp:extent cx="342900" cy="361950"/>
            <wp:effectExtent l="0" t="0" r="0" b="0"/>
            <wp:docPr id="121" name="Picture 121" descr="Amateur radio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Amateur radio icon"/>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08767416" w14:textId="2F6DC415" w:rsidR="002D62C3" w:rsidRPr="00B53F89" w:rsidRDefault="002D62C3">
      <w:pPr>
        <w:pStyle w:val="Heading3"/>
        <w:rPr>
          <w:rFonts w:ascii="Calibri" w:hAnsi="Calibri"/>
        </w:rPr>
      </w:pPr>
      <w:bookmarkStart w:id="429" w:name="_Toc18505573"/>
      <w:r w:rsidRPr="00B53F89">
        <w:t>Consideration of changes to amateur licence conditions</w:t>
      </w:r>
      <w:bookmarkEnd w:id="428"/>
      <w:bookmarkEnd w:id="429"/>
    </w:p>
    <w:p w14:paraId="1523ECA4" w14:textId="5596A2DF" w:rsidR="00B54015" w:rsidRPr="00B53F89" w:rsidRDefault="0075693F" w:rsidP="00DE694D">
      <w:r w:rsidRPr="00B53F89">
        <w:t xml:space="preserve">The ACMA issues apparatus licences to applicants who have achieved the required amateur qualifications. </w:t>
      </w:r>
      <w:r w:rsidR="00B54015" w:rsidRPr="00B53F89">
        <w:t xml:space="preserve">Operators of licensed amateur stations are subject to a range of licence conditions that are set out in the </w:t>
      </w:r>
      <w:hyperlink r:id="rId133" w:history="1">
        <w:r w:rsidR="00AE7619" w:rsidRPr="00B53F89">
          <w:rPr>
            <w:rStyle w:val="Hyperlink"/>
            <w:i/>
            <w:iCs/>
          </w:rPr>
          <w:t>Radiocommunications Act 1992</w:t>
        </w:r>
      </w:hyperlink>
      <w:r w:rsidR="00AE7619" w:rsidRPr="00B53F89">
        <w:rPr>
          <w:i/>
          <w:iCs/>
        </w:rPr>
        <w:t xml:space="preserve">, </w:t>
      </w:r>
      <w:r w:rsidR="00AE7619" w:rsidRPr="00B53F89">
        <w:t>the</w:t>
      </w:r>
      <w:r w:rsidR="00AE7619" w:rsidRPr="00B53F89">
        <w:rPr>
          <w:i/>
          <w:iCs/>
        </w:rPr>
        <w:t xml:space="preserve"> </w:t>
      </w:r>
      <w:hyperlink r:id="rId134" w:history="1">
        <w:r w:rsidR="00AE7619" w:rsidRPr="006A2F04">
          <w:rPr>
            <w:rStyle w:val="Hyperlink"/>
          </w:rPr>
          <w:t>Radiocommunications Licence Conditions (Amateur Licence) Determination 2015</w:t>
        </w:r>
      </w:hyperlink>
      <w:r w:rsidR="00B54015" w:rsidRPr="00B53F89">
        <w:t xml:space="preserve"> (Amateur LCD) and in individual licences. </w:t>
      </w:r>
    </w:p>
    <w:p w14:paraId="0F5E9E32" w14:textId="4E5FA54A" w:rsidR="002D62C3" w:rsidRPr="00B53F89" w:rsidRDefault="00351CA6" w:rsidP="00DE694D">
      <w:bookmarkStart w:id="430" w:name="_Hlk16245379"/>
      <w:r w:rsidRPr="00B53F89">
        <w:t>T</w:t>
      </w:r>
      <w:r w:rsidR="00A1714A" w:rsidRPr="00B53F89">
        <w:t xml:space="preserve">he ACMA </w:t>
      </w:r>
      <w:r w:rsidR="00FC37E2" w:rsidRPr="00B53F89">
        <w:t xml:space="preserve">consulted </w:t>
      </w:r>
      <w:r w:rsidR="00A1714A" w:rsidRPr="00B53F89">
        <w:t xml:space="preserve">on </w:t>
      </w:r>
      <w:r w:rsidR="00FC37E2" w:rsidRPr="00B53F89">
        <w:t xml:space="preserve">proposed </w:t>
      </w:r>
      <w:r w:rsidR="00A1714A" w:rsidRPr="00B53F89">
        <w:t xml:space="preserve">changes to amateur licensing </w:t>
      </w:r>
      <w:r w:rsidR="00084C98" w:rsidRPr="00B53F89">
        <w:t>conditions</w:t>
      </w:r>
      <w:r w:rsidR="00A1714A" w:rsidRPr="00B53F89">
        <w:t xml:space="preserve"> in </w:t>
      </w:r>
      <w:r w:rsidR="005A199F" w:rsidRPr="00B53F89">
        <w:t>Q</w:t>
      </w:r>
      <w:r w:rsidR="00E00B33" w:rsidRPr="00B53F89">
        <w:t>2</w:t>
      </w:r>
      <w:r w:rsidRPr="00B53F89">
        <w:t xml:space="preserve"> </w:t>
      </w:r>
      <w:r w:rsidRPr="00B53F89" w:rsidDel="007E69B3">
        <w:t>20</w:t>
      </w:r>
      <w:r w:rsidR="007E69B3" w:rsidRPr="00B53F89">
        <w:t>19</w:t>
      </w:r>
      <w:r w:rsidRPr="00B53F89">
        <w:t xml:space="preserve"> </w:t>
      </w:r>
      <w:bookmarkEnd w:id="430"/>
      <w:r w:rsidRPr="00B53F89">
        <w:t>following its</w:t>
      </w:r>
      <w:r w:rsidRPr="00B53F89" w:rsidDel="007E69B3">
        <w:t xml:space="preserve"> </w:t>
      </w:r>
      <w:r w:rsidRPr="00B53F89">
        <w:t>review of submissions from the Wireless Institute of Australia and the Radio Amateur Society of Australia requesting changes to the conditions under which amateur licensees operate</w:t>
      </w:r>
      <w:r w:rsidR="00A848D1" w:rsidRPr="00B53F89">
        <w:t>.</w:t>
      </w:r>
      <w:r w:rsidR="007E69B3" w:rsidRPr="00B53F89">
        <w:t xml:space="preserve"> </w:t>
      </w:r>
      <w:r w:rsidR="004B3A24" w:rsidRPr="00B53F89">
        <w:t>The consultation process is closed and the ACMA is planning to amend the Amateur LCD in Q3/4 2019.</w:t>
      </w:r>
    </w:p>
    <w:p w14:paraId="704796E5" w14:textId="513AF32B" w:rsidR="00F054F9" w:rsidRPr="00B53F89" w:rsidRDefault="00F054F9" w:rsidP="00CF66CF">
      <w:pPr>
        <w:keepNext/>
        <w:spacing w:before="60" w:after="0"/>
      </w:pPr>
      <w:bookmarkStart w:id="431" w:name="_Toc510104984"/>
      <w:bookmarkStart w:id="432" w:name="_Toc510105781"/>
      <w:bookmarkStart w:id="433" w:name="_Toc510795113"/>
      <w:bookmarkStart w:id="434" w:name="_Toc511716316"/>
      <w:bookmarkStart w:id="435" w:name="_Toc511719127"/>
      <w:bookmarkStart w:id="436" w:name="_Toc522794120"/>
      <w:r w:rsidRPr="006A2F04">
        <w:rPr>
          <w:noProof/>
        </w:rPr>
        <w:drawing>
          <wp:inline distT="0" distB="0" distL="0" distR="0" wp14:anchorId="5D8F97B4" wp14:editId="68BBC17C">
            <wp:extent cx="342900" cy="361950"/>
            <wp:effectExtent l="0" t="0" r="0" b="0"/>
            <wp:docPr id="122" name="Picture 122"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3BE795D8" w14:textId="413A2FC6" w:rsidR="00266584" w:rsidRPr="00B53F89" w:rsidRDefault="000D7266" w:rsidP="00DE694D">
      <w:pPr>
        <w:pStyle w:val="Heading3"/>
      </w:pPr>
      <w:bookmarkStart w:id="437" w:name="_Toc18505574"/>
      <w:r w:rsidRPr="00B53F89">
        <w:t xml:space="preserve">Enabling trials of </w:t>
      </w:r>
      <w:r w:rsidR="00266584" w:rsidRPr="00B53F89">
        <w:t xml:space="preserve">mobile phone jammers </w:t>
      </w:r>
      <w:bookmarkEnd w:id="431"/>
      <w:bookmarkEnd w:id="432"/>
      <w:r w:rsidRPr="00B53F89">
        <w:t>in prisons</w:t>
      </w:r>
      <w:bookmarkEnd w:id="433"/>
      <w:bookmarkEnd w:id="434"/>
      <w:bookmarkEnd w:id="435"/>
      <w:bookmarkEnd w:id="436"/>
      <w:bookmarkEnd w:id="437"/>
    </w:p>
    <w:p w14:paraId="0E611091" w14:textId="236C7662" w:rsidR="00797B41" w:rsidRPr="00B53F89" w:rsidRDefault="00110722">
      <w:r w:rsidRPr="00B53F89">
        <w:t xml:space="preserve">An exemption is in place for Corrective Services NSW </w:t>
      </w:r>
      <w:r w:rsidR="00797B41" w:rsidRPr="00B53F89">
        <w:t>to conduct a trial</w:t>
      </w:r>
      <w:r w:rsidRPr="00B53F89">
        <w:t xml:space="preserve"> </w:t>
      </w:r>
      <w:r w:rsidR="00797B41" w:rsidRPr="00B53F89">
        <w:t xml:space="preserve">of </w:t>
      </w:r>
      <w:r w:rsidRPr="00B53F89">
        <w:t xml:space="preserve">a mobile phone </w:t>
      </w:r>
      <w:r w:rsidR="00B52BCF" w:rsidRPr="00B53F89">
        <w:t>jammer</w:t>
      </w:r>
      <w:r w:rsidRPr="00B53F89">
        <w:t xml:space="preserve"> at Goulburn Correctional Complex</w:t>
      </w:r>
      <w:r w:rsidR="00797B41" w:rsidRPr="00B53F89">
        <w:t xml:space="preserve">, which will test the operation of </w:t>
      </w:r>
      <w:r w:rsidR="00B52BCF" w:rsidRPr="00B53F89">
        <w:t>a</w:t>
      </w:r>
      <w:r w:rsidR="00797B41" w:rsidRPr="00B53F89">
        <w:t xml:space="preserve"> jammer in a medium density locat</w:t>
      </w:r>
      <w:r w:rsidR="00B52BCF" w:rsidRPr="00B53F89">
        <w:t>io</w:t>
      </w:r>
      <w:r w:rsidR="00797B41" w:rsidRPr="00B53F89">
        <w:t>n</w:t>
      </w:r>
      <w:r w:rsidRPr="00B53F89">
        <w:t xml:space="preserve">. </w:t>
      </w:r>
      <w:r w:rsidR="00797B41" w:rsidRPr="00B53F89">
        <w:t xml:space="preserve">The trial is expected to commence by the end of 2019. </w:t>
      </w:r>
    </w:p>
    <w:p w14:paraId="6027592B" w14:textId="5E72AC67" w:rsidR="00110722" w:rsidRPr="00B53F89" w:rsidRDefault="00797B41">
      <w:r w:rsidRPr="00B53F89">
        <w:t>The ACMA continues to facilitate trials of mobile phone jammers and has approached other States and Territories to gauge their interest in conducting trials</w:t>
      </w:r>
      <w:r w:rsidR="00B52BCF" w:rsidRPr="00B53F89">
        <w:t xml:space="preserve"> in low density locations</w:t>
      </w:r>
      <w:r w:rsidRPr="00B53F89">
        <w:t xml:space="preserve">. </w:t>
      </w:r>
      <w:r w:rsidR="002939EE" w:rsidRPr="00B53F89">
        <w:t>The ACMA will consider any request from other jurisdictions on a case by case basis.</w:t>
      </w:r>
    </w:p>
    <w:p w14:paraId="38FF7FC6" w14:textId="24C2C6C7" w:rsidR="00F054F9" w:rsidRPr="00B53F89" w:rsidRDefault="00F054F9" w:rsidP="00CF66CF">
      <w:pPr>
        <w:keepNext/>
        <w:spacing w:before="60" w:after="0"/>
      </w:pPr>
      <w:bookmarkStart w:id="438" w:name="_Toc510104985"/>
      <w:bookmarkStart w:id="439" w:name="_Toc510105782"/>
      <w:bookmarkStart w:id="440" w:name="_Toc510795114"/>
      <w:bookmarkStart w:id="441" w:name="_Toc511716317"/>
      <w:bookmarkStart w:id="442" w:name="_Toc511719128"/>
      <w:bookmarkStart w:id="443" w:name="_Toc522794121"/>
      <w:r w:rsidRPr="006A2F04">
        <w:rPr>
          <w:noProof/>
        </w:rPr>
        <w:lastRenderedPageBreak/>
        <w:drawing>
          <wp:inline distT="0" distB="0" distL="0" distR="0" wp14:anchorId="5F507FD5" wp14:editId="2E44E96B">
            <wp:extent cx="342900" cy="361950"/>
            <wp:effectExtent l="0" t="0" r="0" b="0"/>
            <wp:docPr id="123" name="Picture 123" descr="Maritim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Maritime icon"/>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5A60C343" w14:textId="30333EDD" w:rsidR="00266584" w:rsidRPr="00B53F89" w:rsidRDefault="00CA3CCA" w:rsidP="00DE694D">
      <w:pPr>
        <w:pStyle w:val="Heading3"/>
      </w:pPr>
      <w:bookmarkStart w:id="444" w:name="_Toc18505575"/>
      <w:r w:rsidRPr="00B53F89">
        <w:t>C</w:t>
      </w:r>
      <w:r w:rsidR="00266584" w:rsidRPr="00B53F89">
        <w:t>hanges to VHF marine radio channels and their use</w:t>
      </w:r>
      <w:bookmarkEnd w:id="438"/>
      <w:bookmarkEnd w:id="439"/>
      <w:bookmarkEnd w:id="440"/>
      <w:bookmarkEnd w:id="441"/>
      <w:bookmarkEnd w:id="442"/>
      <w:bookmarkEnd w:id="443"/>
      <w:bookmarkEnd w:id="444"/>
    </w:p>
    <w:p w14:paraId="4D2FCCF0" w14:textId="00197B9E" w:rsidR="00266584" w:rsidRPr="00B53F89" w:rsidRDefault="00E82CDB" w:rsidP="00DE694D">
      <w:r w:rsidRPr="00B53F89">
        <w:t>Following the 2018</w:t>
      </w:r>
      <w:r w:rsidR="00E16D5C" w:rsidRPr="00B53F89">
        <w:t>–</w:t>
      </w:r>
      <w:r w:rsidRPr="00B53F89">
        <w:t xml:space="preserve">19 consultation and </w:t>
      </w:r>
      <w:r w:rsidR="00807CB9" w:rsidRPr="00B53F89">
        <w:t xml:space="preserve">the </w:t>
      </w:r>
      <w:r w:rsidR="004A4E78" w:rsidRPr="00B53F89">
        <w:t>WRC-19</w:t>
      </w:r>
      <w:r w:rsidR="00807CB9" w:rsidRPr="00B53F89">
        <w:t xml:space="preserve">, the ACMA will consider what additional changes </w:t>
      </w:r>
      <w:r w:rsidRPr="00B53F89">
        <w:t>should</w:t>
      </w:r>
      <w:r w:rsidR="00807CB9" w:rsidRPr="00B53F89">
        <w:t xml:space="preserve"> be made to the VHF marine radio channels and their use.</w:t>
      </w:r>
      <w:r w:rsidR="005161F6" w:rsidRPr="00B53F89">
        <w:t xml:space="preserve"> </w:t>
      </w:r>
      <w:r w:rsidR="00752AB6" w:rsidRPr="00B53F89">
        <w:t>The ACMA will continue to work with industry, noting the outcomes of relevant international deliberat</w:t>
      </w:r>
      <w:r w:rsidR="00B53F89">
        <w:t>i</w:t>
      </w:r>
      <w:r w:rsidR="00752AB6" w:rsidRPr="00B53F89">
        <w:t>ons arisin</w:t>
      </w:r>
      <w:r w:rsidR="008E2B10" w:rsidRPr="00B53F89">
        <w:t>g</w:t>
      </w:r>
      <w:r w:rsidR="00752AB6" w:rsidRPr="00B53F89">
        <w:t xml:space="preserve"> from WRC-19.</w:t>
      </w:r>
    </w:p>
    <w:p w14:paraId="11234031" w14:textId="2AFB3B59" w:rsidR="00F054F9" w:rsidRPr="00B53F89" w:rsidRDefault="00F054F9" w:rsidP="00CF66CF">
      <w:pPr>
        <w:keepNext/>
        <w:spacing w:before="60" w:after="0"/>
      </w:pPr>
      <w:bookmarkStart w:id="445" w:name="_Toc510795115"/>
      <w:bookmarkStart w:id="446" w:name="_Toc511716318"/>
      <w:bookmarkStart w:id="447" w:name="_Toc511719129"/>
      <w:bookmarkStart w:id="448" w:name="_Toc522794122"/>
      <w:r w:rsidRPr="006A2F04">
        <w:rPr>
          <w:noProof/>
        </w:rPr>
        <w:drawing>
          <wp:inline distT="0" distB="0" distL="0" distR="0" wp14:anchorId="03209463" wp14:editId="13E93F48">
            <wp:extent cx="342900" cy="361950"/>
            <wp:effectExtent l="0" t="0" r="0" b="0"/>
            <wp:docPr id="124" name="Picture 124" descr="Point to multipo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Point to multipoint icon"/>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3DD5E6BC" w14:textId="2E411083" w:rsidR="002717D0" w:rsidRPr="00B53F89" w:rsidRDefault="002717D0">
      <w:pPr>
        <w:pStyle w:val="Heading3"/>
      </w:pPr>
      <w:bookmarkStart w:id="449" w:name="_Toc18505576"/>
      <w:r w:rsidRPr="00B53F89">
        <w:t>400 MHz band</w:t>
      </w:r>
      <w:bookmarkEnd w:id="445"/>
      <w:bookmarkEnd w:id="446"/>
      <w:bookmarkEnd w:id="447"/>
      <w:bookmarkEnd w:id="448"/>
      <w:bookmarkEnd w:id="449"/>
    </w:p>
    <w:p w14:paraId="52018214" w14:textId="197B25C8" w:rsidR="00B514B8" w:rsidRPr="00B53F89" w:rsidRDefault="002717D0">
      <w:pPr>
        <w:rPr>
          <w:rFonts w:cs="Arial"/>
          <w:szCs w:val="20"/>
        </w:rPr>
      </w:pPr>
      <w:bookmarkStart w:id="450" w:name="_Hlk16245481"/>
      <w:r w:rsidRPr="00B53F89">
        <w:t>The ACMA is preparing for the final milestone period o</w:t>
      </w:r>
      <w:bookmarkEnd w:id="450"/>
      <w:r w:rsidRPr="00B53F89">
        <w:t xml:space="preserve">f the 400 MHz </w:t>
      </w:r>
      <w:r w:rsidR="00B91108" w:rsidRPr="00B53F89">
        <w:t>i</w:t>
      </w:r>
      <w:r w:rsidRPr="00B53F89">
        <w:t>mplementation project</w:t>
      </w:r>
      <w:r w:rsidR="00B709BF" w:rsidRPr="00B53F89">
        <w:t xml:space="preserve"> during 2019</w:t>
      </w:r>
      <w:r w:rsidR="00B91108" w:rsidRPr="00B53F89">
        <w:t>–</w:t>
      </w:r>
      <w:r w:rsidR="00B709BF" w:rsidRPr="00B53F89">
        <w:t>20</w:t>
      </w:r>
      <w:r w:rsidRPr="00B53F89">
        <w:rPr>
          <w:color w:val="1F497D"/>
        </w:rPr>
        <w:t>.</w:t>
      </w:r>
      <w:r w:rsidRPr="00B53F89">
        <w:t xml:space="preserve"> </w:t>
      </w:r>
      <w:r w:rsidRPr="00B53F89">
        <w:rPr>
          <w:color w:val="1F497D"/>
        </w:rPr>
        <w:t>T</w:t>
      </w:r>
      <w:r w:rsidRPr="00B53F89">
        <w:t>his will complete the necessary transition of licences to appropriate segments of the 400 MHz band. The ACMA continue</w:t>
      </w:r>
      <w:r w:rsidR="00992F7E" w:rsidRPr="00B53F89">
        <w:t>s</w:t>
      </w:r>
      <w:r w:rsidRPr="00B53F89">
        <w:t xml:space="preserve"> to work closely with state and territory governments</w:t>
      </w:r>
      <w:r w:rsidR="00B91108" w:rsidRPr="00B53F89">
        <w:t>,</w:t>
      </w:r>
      <w:r w:rsidRPr="00B53F89">
        <w:t xml:space="preserve"> as well as industry participants and representative organisations that are yet to complete their transition requirements in the 400 MHz band.</w:t>
      </w:r>
    </w:p>
    <w:p w14:paraId="4E17DB06" w14:textId="4E74A955" w:rsidR="00F054F9" w:rsidRPr="00B53F89" w:rsidRDefault="00F054F9" w:rsidP="00CF66CF">
      <w:pPr>
        <w:keepNext/>
        <w:spacing w:before="60" w:after="0"/>
      </w:pPr>
      <w:bookmarkStart w:id="451" w:name="_Toc510795116"/>
      <w:bookmarkStart w:id="452" w:name="_Toc511716319"/>
      <w:bookmarkStart w:id="453" w:name="_Toc511719130"/>
      <w:bookmarkStart w:id="454" w:name="_Toc522794123"/>
      <w:r w:rsidRPr="006A2F04">
        <w:rPr>
          <w:noProof/>
        </w:rPr>
        <w:drawing>
          <wp:inline distT="0" distB="0" distL="0" distR="0" wp14:anchorId="4B90B86F" wp14:editId="0A005477">
            <wp:extent cx="342900" cy="361950"/>
            <wp:effectExtent l="0" t="0" r="0" b="0"/>
            <wp:docPr id="125" name="Picture 125"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FE7029" w:rsidRPr="006A2F04">
        <w:rPr>
          <w:noProof/>
        </w:rPr>
        <w:drawing>
          <wp:inline distT="0" distB="0" distL="0" distR="0" wp14:anchorId="6B86D2F8" wp14:editId="2E586F21">
            <wp:extent cx="341630" cy="359410"/>
            <wp:effectExtent l="0" t="0" r="1270" b="2540"/>
            <wp:docPr id="199" name="Picture 199"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31"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p>
    <w:p w14:paraId="0969CAAF" w14:textId="3B29CFDB" w:rsidR="00B72261" w:rsidRPr="00B53F89" w:rsidRDefault="00B72261">
      <w:pPr>
        <w:pStyle w:val="Heading3"/>
      </w:pPr>
      <w:bookmarkStart w:id="455" w:name="_Toc18505577"/>
      <w:r w:rsidRPr="00B53F89">
        <w:t>Review of prohibition declarations and exemption determinations</w:t>
      </w:r>
      <w:bookmarkEnd w:id="455"/>
    </w:p>
    <w:p w14:paraId="7C8EA98D" w14:textId="26A2E690" w:rsidR="0082214D" w:rsidRPr="00B53F89" w:rsidRDefault="00490734">
      <w:r w:rsidRPr="00B53F89">
        <w:t xml:space="preserve">Under the </w:t>
      </w:r>
      <w:hyperlink r:id="rId135" w:history="1">
        <w:r w:rsidRPr="00B53F89">
          <w:rPr>
            <w:rStyle w:val="Hyperlink"/>
            <w:i/>
          </w:rPr>
          <w:t>Radiocommun</w:t>
        </w:r>
        <w:r w:rsidR="00456E13" w:rsidRPr="00B53F89">
          <w:rPr>
            <w:rStyle w:val="Hyperlink"/>
            <w:i/>
          </w:rPr>
          <w:t>i</w:t>
        </w:r>
        <w:r w:rsidRPr="00B53F89">
          <w:rPr>
            <w:rStyle w:val="Hyperlink"/>
            <w:i/>
          </w:rPr>
          <w:t xml:space="preserve">cations Act </w:t>
        </w:r>
        <w:r w:rsidR="00FE2E4B" w:rsidRPr="00B53F89">
          <w:rPr>
            <w:rStyle w:val="Hyperlink"/>
            <w:i/>
          </w:rPr>
          <w:t>1992</w:t>
        </w:r>
      </w:hyperlink>
      <w:r w:rsidR="00A9407E" w:rsidRPr="006A2F04">
        <w:rPr>
          <w:iCs/>
        </w:rPr>
        <w:t>,</w:t>
      </w:r>
      <w:r w:rsidR="00FE2E4B" w:rsidRPr="00B53F89">
        <w:t xml:space="preserve"> </w:t>
      </w:r>
      <w:r w:rsidRPr="00B53F89">
        <w:t>t</w:t>
      </w:r>
      <w:r w:rsidR="00B72261" w:rsidRPr="00B53F89">
        <w:t xml:space="preserve">he ACMA has prohibited two </w:t>
      </w:r>
      <w:r w:rsidR="0082214D" w:rsidRPr="00B53F89">
        <w:t xml:space="preserve">kinds of </w:t>
      </w:r>
      <w:r w:rsidR="00B72261" w:rsidRPr="00B53F89">
        <w:t>devices: mobile phone jammers (</w:t>
      </w:r>
      <w:r w:rsidR="0082214D" w:rsidRPr="00B53F89">
        <w:t>public mobile telecommunications service jamming devices</w:t>
      </w:r>
      <w:r w:rsidR="00B72261" w:rsidRPr="00B53F89">
        <w:t>) and radionavigation-satellite service jammers</w:t>
      </w:r>
      <w:r w:rsidR="0082214D" w:rsidRPr="00B53F89">
        <w:t>, which include GPS jamming devices</w:t>
      </w:r>
      <w:r w:rsidR="00B72261" w:rsidRPr="00B53F89">
        <w:t>.</w:t>
      </w:r>
      <w:r w:rsidR="000810FF" w:rsidRPr="00B53F89">
        <w:t xml:space="preserve"> The ACMA may determine exemptions from the prohibition determinations</w:t>
      </w:r>
      <w:r w:rsidR="006615ED" w:rsidRPr="00B53F89">
        <w:t>,</w:t>
      </w:r>
      <w:r w:rsidR="000810FF" w:rsidRPr="00B53F89">
        <w:t xml:space="preserve"> and from other parts of the </w:t>
      </w:r>
      <w:hyperlink r:id="rId136" w:history="1">
        <w:r w:rsidR="002C64E4" w:rsidRPr="00B53F89">
          <w:rPr>
            <w:rStyle w:val="Hyperlink"/>
            <w:i/>
          </w:rPr>
          <w:t xml:space="preserve">Radiocommunications </w:t>
        </w:r>
        <w:r w:rsidR="000810FF" w:rsidRPr="00B53F89">
          <w:rPr>
            <w:rStyle w:val="Hyperlink"/>
            <w:i/>
          </w:rPr>
          <w:t xml:space="preserve">Act </w:t>
        </w:r>
        <w:r w:rsidR="002C64E4" w:rsidRPr="00B53F89">
          <w:rPr>
            <w:rStyle w:val="Hyperlink"/>
            <w:i/>
          </w:rPr>
          <w:t>1992</w:t>
        </w:r>
      </w:hyperlink>
      <w:r w:rsidR="006615ED" w:rsidRPr="00B53F89">
        <w:t>,</w:t>
      </w:r>
      <w:r w:rsidR="000810FF" w:rsidRPr="00B53F89">
        <w:t xml:space="preserve"> </w:t>
      </w:r>
      <w:r w:rsidR="00B6778B" w:rsidRPr="00B53F89">
        <w:t>in favour of</w:t>
      </w:r>
      <w:r w:rsidR="000810FF" w:rsidRPr="00B53F89">
        <w:t xml:space="preserve"> a narrow range o</w:t>
      </w:r>
      <w:r w:rsidR="00B6778B" w:rsidRPr="00B53F89">
        <w:t>f</w:t>
      </w:r>
      <w:r w:rsidR="000810FF" w:rsidRPr="00B53F89">
        <w:t xml:space="preserve"> persons.</w:t>
      </w:r>
    </w:p>
    <w:p w14:paraId="3C5C1C05" w14:textId="78990230" w:rsidR="000810FF" w:rsidRPr="00B53F89" w:rsidRDefault="0082214D">
      <w:r w:rsidRPr="00B53F89">
        <w:t>During 2019</w:t>
      </w:r>
      <w:r w:rsidR="00163513" w:rsidRPr="00B53F89">
        <w:t>–</w:t>
      </w:r>
      <w:r w:rsidRPr="00B53F89">
        <w:t xml:space="preserve">20, the ACMA will consider whether the prohibition </w:t>
      </w:r>
      <w:r w:rsidR="000810FF" w:rsidRPr="00B53F89">
        <w:t xml:space="preserve">framework is operating </w:t>
      </w:r>
      <w:r w:rsidRPr="00B53F89">
        <w:t xml:space="preserve">as intended, and whether the range of devices to which </w:t>
      </w:r>
      <w:r w:rsidR="000810FF" w:rsidRPr="00B53F89">
        <w:t xml:space="preserve">prohibition declarations </w:t>
      </w:r>
      <w:r w:rsidRPr="00B53F89">
        <w:t>apply remains appropriate.</w:t>
      </w:r>
      <w:r w:rsidR="000810FF" w:rsidRPr="00B53F89">
        <w:t xml:space="preserve"> In parallel, the ACMA will consider the scope and applicability of exemption determinations.</w:t>
      </w:r>
      <w:r w:rsidR="00DE760F" w:rsidRPr="00B53F89">
        <w:t xml:space="preserve"> </w:t>
      </w:r>
      <w:r w:rsidR="00DE760F" w:rsidRPr="00B53F89">
        <w:rPr>
          <w:rFonts w:cs="Arial"/>
          <w:szCs w:val="20"/>
        </w:rPr>
        <w:t xml:space="preserve">We will consult publicly via a discussion paper to be released in Q4 2019. </w:t>
      </w:r>
    </w:p>
    <w:p w14:paraId="69E0D2A8" w14:textId="6E5F35A4" w:rsidR="00F054F9" w:rsidRPr="00B53F89" w:rsidRDefault="00F054F9" w:rsidP="00CF66CF">
      <w:pPr>
        <w:keepNext/>
        <w:spacing w:before="60" w:after="0"/>
      </w:pPr>
      <w:r w:rsidRPr="006A2F04">
        <w:rPr>
          <w:noProof/>
        </w:rPr>
        <w:drawing>
          <wp:inline distT="0" distB="0" distL="0" distR="0" wp14:anchorId="55F1131F" wp14:editId="1C777563">
            <wp:extent cx="342900" cy="361950"/>
            <wp:effectExtent l="0" t="0" r="0" b="0"/>
            <wp:docPr id="127" name="Picture 127" descr="Aviation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Aviation icon"/>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5599D0BC" wp14:editId="08E99564">
            <wp:extent cx="342900" cy="361950"/>
            <wp:effectExtent l="0" t="0" r="0" b="0"/>
            <wp:docPr id="128" name="Picture 128" descr="International spectrum interest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nternational spectrum interests icon"/>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1EE8138E" w14:textId="4EE95EA6" w:rsidR="00B96C20" w:rsidRPr="00B53F89" w:rsidRDefault="00B96C20">
      <w:pPr>
        <w:pStyle w:val="Heading3"/>
      </w:pPr>
      <w:bookmarkStart w:id="456" w:name="_Toc18505578"/>
      <w:r w:rsidRPr="00B53F89">
        <w:t>Drone regulation</w:t>
      </w:r>
      <w:bookmarkEnd w:id="451"/>
      <w:bookmarkEnd w:id="452"/>
      <w:bookmarkEnd w:id="453"/>
      <w:bookmarkEnd w:id="454"/>
      <w:bookmarkEnd w:id="456"/>
    </w:p>
    <w:p w14:paraId="045C9E5C" w14:textId="7A5C86DD" w:rsidR="00E22A5B" w:rsidRPr="00B53F89" w:rsidRDefault="00600239">
      <w:r w:rsidRPr="00B53F89">
        <w:t>Unmanned Aircraft Systems</w:t>
      </w:r>
      <w:r w:rsidR="00163513" w:rsidRPr="00B53F89">
        <w:t xml:space="preserve">, also known as </w:t>
      </w:r>
      <w:r w:rsidR="00AE7619" w:rsidRPr="00B53F89">
        <w:t>RPAS</w:t>
      </w:r>
      <w:r w:rsidR="00163513" w:rsidRPr="00B53F89">
        <w:t xml:space="preserve">, and </w:t>
      </w:r>
      <w:r w:rsidR="00B96C20" w:rsidRPr="00B53F89">
        <w:t>commonly known as drones, have become increasingly popular with hobbyists and commercial users. Drones rely on radiocommunications for remote piloting and other uses</w:t>
      </w:r>
      <w:r w:rsidR="00990D9B" w:rsidRPr="00B53F89">
        <w:t>,</w:t>
      </w:r>
      <w:r w:rsidR="00B96C20" w:rsidRPr="00B53F89">
        <w:t xml:space="preserve"> such as video and sensing. </w:t>
      </w:r>
    </w:p>
    <w:p w14:paraId="562981E4" w14:textId="4AAEB52F" w:rsidR="00163513" w:rsidRPr="00B53F89" w:rsidRDefault="00B96C20">
      <w:r w:rsidRPr="00B53F89">
        <w:t>The ACMA has engaged with an inter-departmental contact network</w:t>
      </w:r>
      <w:r w:rsidR="00B91108" w:rsidRPr="00B53F89">
        <w:t>,</w:t>
      </w:r>
      <w:r w:rsidRPr="00B53F89">
        <w:t xml:space="preserve"> which is considering management of drones from a range of </w:t>
      </w:r>
      <w:r w:rsidR="005932F3" w:rsidRPr="00B53F89">
        <w:t xml:space="preserve">policy </w:t>
      </w:r>
      <w:r w:rsidRPr="00B53F89">
        <w:t>perspectives. During 201</w:t>
      </w:r>
      <w:r w:rsidR="00163513" w:rsidRPr="00B53F89">
        <w:t>9</w:t>
      </w:r>
      <w:r w:rsidR="00B91108" w:rsidRPr="00B53F89">
        <w:t>–</w:t>
      </w:r>
      <w:r w:rsidR="00163513" w:rsidRPr="00B53F89">
        <w:t>20</w:t>
      </w:r>
      <w:r w:rsidRPr="00B53F89">
        <w:t xml:space="preserve">, the ACMA </w:t>
      </w:r>
      <w:r w:rsidR="00163513" w:rsidRPr="00B53F89">
        <w:t>will continue to</w:t>
      </w:r>
      <w:r w:rsidR="00784268" w:rsidRPr="00B53F89">
        <w:t xml:space="preserve"> contribute to this network, and will continue to </w:t>
      </w:r>
      <w:r w:rsidR="00163513" w:rsidRPr="00B53F89">
        <w:t>monitor the licensing requirements for drones with reference to international developments in spectrum management.</w:t>
      </w:r>
    </w:p>
    <w:p w14:paraId="4DF1F76B" w14:textId="2B69B14E" w:rsidR="00B96C20" w:rsidRPr="00B53F89" w:rsidRDefault="00163513">
      <w:r w:rsidRPr="00B53F89">
        <w:t xml:space="preserve">As drones are becoming increasingly widespread, </w:t>
      </w:r>
      <w:r w:rsidR="00452901" w:rsidRPr="00B53F89">
        <w:t xml:space="preserve">so too are concerns about their use. </w:t>
      </w:r>
      <w:r w:rsidR="003D01E3" w:rsidRPr="00B53F89">
        <w:t xml:space="preserve">The ACMA is currently </w:t>
      </w:r>
      <w:r w:rsidR="002C64E4" w:rsidRPr="00B53F89">
        <w:t xml:space="preserve">working </w:t>
      </w:r>
      <w:r w:rsidR="003D01E3" w:rsidRPr="00B53F89">
        <w:t>with aviation</w:t>
      </w:r>
      <w:r w:rsidR="006E161E" w:rsidRPr="00B53F89">
        <w:t xml:space="preserve"> safety</w:t>
      </w:r>
      <w:r w:rsidR="003D01E3" w:rsidRPr="00B53F89">
        <w:t xml:space="preserve"> regulators</w:t>
      </w:r>
      <w:r w:rsidR="00E16D5C" w:rsidRPr="00B53F89">
        <w:t>,</w:t>
      </w:r>
      <w:r w:rsidR="003D01E3" w:rsidRPr="00B53F89">
        <w:t xml:space="preserve"> law enforcement and security agencie</w:t>
      </w:r>
      <w:r w:rsidR="002C64E4" w:rsidRPr="00B53F89">
        <w:t>s, and is monitoring international approaches to detecting and responding to incidents where drones could pose a risk to safety and security.</w:t>
      </w:r>
      <w:r w:rsidR="00D861D9" w:rsidRPr="00B53F89">
        <w:t xml:space="preserve"> In March 2019, the ACMA initiated consultation on proposed exemption arrangements </w:t>
      </w:r>
      <w:r w:rsidR="00D861D9" w:rsidRPr="00B53F89">
        <w:lastRenderedPageBreak/>
        <w:t>that would allow the Australian Federal Police to deploy drone jamming equipment over a two-year period.</w:t>
      </w:r>
      <w:r w:rsidR="002C64E4" w:rsidRPr="00B53F89">
        <w:t xml:space="preserve"> I</w:t>
      </w:r>
      <w:r w:rsidR="003D01E3" w:rsidRPr="00B53F89">
        <w:t xml:space="preserve">n 2019–20, the ACMA </w:t>
      </w:r>
      <w:r w:rsidR="005E2F24" w:rsidRPr="00B53F89">
        <w:t>will</w:t>
      </w:r>
      <w:r w:rsidR="00784268" w:rsidRPr="00B53F89">
        <w:t xml:space="preserve"> consult on </w:t>
      </w:r>
      <w:r w:rsidR="005E2F24" w:rsidRPr="00B53F89">
        <w:t xml:space="preserve">any </w:t>
      </w:r>
      <w:r w:rsidR="00761E91" w:rsidRPr="00B53F89">
        <w:t xml:space="preserve">required </w:t>
      </w:r>
      <w:r w:rsidR="005E2F24" w:rsidRPr="00B53F89">
        <w:t xml:space="preserve">changes to </w:t>
      </w:r>
      <w:r w:rsidR="00B96C20" w:rsidRPr="00B53F89">
        <w:t xml:space="preserve">regulatory </w:t>
      </w:r>
      <w:r w:rsidR="00784268" w:rsidRPr="00B53F89">
        <w:t>arrangements for counter-drone equipment.</w:t>
      </w:r>
    </w:p>
    <w:p w14:paraId="07BF5E7F" w14:textId="575F3C1F" w:rsidR="007412CD" w:rsidRPr="00B53F89" w:rsidRDefault="00A54553" w:rsidP="00C83864">
      <w:pPr>
        <w:pStyle w:val="Heading3"/>
      </w:pPr>
      <w:bookmarkStart w:id="457" w:name="_Developing_a_spectrum-space"/>
      <w:bookmarkEnd w:id="457"/>
      <w:r>
        <w:pict w14:anchorId="110AAEC4">
          <v:shape id="_x0000_i1049" type="#_x0000_t75" alt="A close up of a sign&#10;&#10;Description automatically generated" style="width:18.75pt;height:11.25pt;visibility:visible;mso-wrap-style:square">
            <v:imagedata r:id="rId43" o:title="A close up of a sign&#10;&#10;Description automatically generated"/>
          </v:shape>
        </w:pict>
      </w:r>
      <w:bookmarkStart w:id="458" w:name="_Toc18505579"/>
      <w:r w:rsidR="00125C80">
        <w:t xml:space="preserve"> </w:t>
      </w:r>
      <w:r w:rsidR="00A802B9" w:rsidRPr="00B53F89">
        <w:t>Exploring</w:t>
      </w:r>
      <w:r w:rsidR="00F74531" w:rsidRPr="00B53F89">
        <w:t xml:space="preserve"> the </w:t>
      </w:r>
      <w:r w:rsidR="00A802B9" w:rsidRPr="00B53F89">
        <w:t>design</w:t>
      </w:r>
      <w:r w:rsidR="00F74531" w:rsidRPr="00B53F89">
        <w:t xml:space="preserve"> of </w:t>
      </w:r>
      <w:r w:rsidR="00D91A40" w:rsidRPr="00B53F89">
        <w:t>a</w:t>
      </w:r>
      <w:r w:rsidR="00BF3437" w:rsidRPr="00B53F89">
        <w:t xml:space="preserve">n area-wide </w:t>
      </w:r>
      <w:r w:rsidR="007412CD" w:rsidRPr="00B53F89">
        <w:t>apparatus licence</w:t>
      </w:r>
      <w:bookmarkEnd w:id="458"/>
    </w:p>
    <w:p w14:paraId="557E6A8A" w14:textId="10C3C006" w:rsidR="00A919EC" w:rsidRPr="00B53F89" w:rsidRDefault="00FD64D4">
      <w:bookmarkStart w:id="459" w:name="_Hlk2682095"/>
      <w:r w:rsidRPr="00B53F89">
        <w:t xml:space="preserve">The ACMA is </w:t>
      </w:r>
      <w:r w:rsidR="00003CFD" w:rsidRPr="00B53F89">
        <w:t xml:space="preserve">exploring whether it </w:t>
      </w:r>
      <w:r w:rsidR="006D0635" w:rsidRPr="00B53F89">
        <w:t xml:space="preserve">will implement </w:t>
      </w:r>
      <w:r w:rsidR="00003CFD" w:rsidRPr="00B53F89">
        <w:t>a new</w:t>
      </w:r>
      <w:r w:rsidR="00F74531" w:rsidRPr="00B53F89">
        <w:t xml:space="preserve"> </w:t>
      </w:r>
      <w:r w:rsidR="00BF3437" w:rsidRPr="00B53F89">
        <w:t>area-wide</w:t>
      </w:r>
      <w:r w:rsidR="00964E90" w:rsidRPr="00B53F89">
        <w:t xml:space="preserve"> </w:t>
      </w:r>
      <w:r w:rsidRPr="00B53F89">
        <w:t>apparatus licence type</w:t>
      </w:r>
      <w:r w:rsidR="00964E90" w:rsidRPr="00B53F89">
        <w:t xml:space="preserve">. </w:t>
      </w:r>
      <w:r w:rsidR="00BF3437" w:rsidRPr="00B53F89">
        <w:t>In the draft FYSO</w:t>
      </w:r>
      <w:r w:rsidR="006D0635" w:rsidRPr="00B53F89">
        <w:t xml:space="preserve"> 2019</w:t>
      </w:r>
      <w:r w:rsidR="003208A0" w:rsidRPr="00B53F89">
        <w:t>–</w:t>
      </w:r>
      <w:r w:rsidR="006D0635" w:rsidRPr="00B53F89">
        <w:t>23</w:t>
      </w:r>
      <w:r w:rsidR="00BF3437" w:rsidRPr="00B53F89">
        <w:t xml:space="preserve">, this licence type was originally referred to as the spectrum space apparatus licence. </w:t>
      </w:r>
      <w:r w:rsidR="006D0635" w:rsidRPr="00B53F89">
        <w:t>It is now known as the ‘area-wide’ licence type.</w:t>
      </w:r>
    </w:p>
    <w:bookmarkEnd w:id="459"/>
    <w:p w14:paraId="439B56F0" w14:textId="5DB982A6" w:rsidR="00A919EC" w:rsidRPr="00B53F89" w:rsidRDefault="00964E90">
      <w:r w:rsidRPr="00B53F89">
        <w:t>Currently, apparatus licence types are generally linked to a specifi</w:t>
      </w:r>
      <w:r w:rsidR="00133204" w:rsidRPr="00B53F89">
        <w:t>c</w:t>
      </w:r>
      <w:r w:rsidRPr="00B53F89">
        <w:t xml:space="preserve"> purpose</w:t>
      </w:r>
      <w:r w:rsidR="00990D9B" w:rsidRPr="00B53F89">
        <w:t>—for example,</w:t>
      </w:r>
      <w:r w:rsidRPr="00B53F89">
        <w:t xml:space="preserve"> a maritime licence is for maritime purposes. </w:t>
      </w:r>
      <w:r w:rsidR="00DA4A50" w:rsidRPr="00B53F89">
        <w:t>A</w:t>
      </w:r>
      <w:r w:rsidR="00BF3437" w:rsidRPr="00B53F89">
        <w:t>n area-wide</w:t>
      </w:r>
      <w:r w:rsidRPr="00B53F89">
        <w:t xml:space="preserve"> licence </w:t>
      </w:r>
      <w:r w:rsidR="00A26F89" w:rsidRPr="00B53F89">
        <w:t xml:space="preserve">may be used to authorise a variety of different services and </w:t>
      </w:r>
      <w:r w:rsidR="00DA4A50" w:rsidRPr="00B53F89">
        <w:t xml:space="preserve">could </w:t>
      </w:r>
      <w:r w:rsidR="003B7ABD" w:rsidRPr="00B53F89">
        <w:t>allow the licensee to operate multiple</w:t>
      </w:r>
      <w:r w:rsidR="00594E79" w:rsidRPr="00B53F89">
        <w:t xml:space="preserve"> radiocommunications</w:t>
      </w:r>
      <w:r w:rsidR="003B7ABD" w:rsidRPr="00B53F89">
        <w:t xml:space="preserve"> devices at a specified frequency</w:t>
      </w:r>
      <w:r w:rsidR="00425E89" w:rsidRPr="00B53F89">
        <w:t xml:space="preserve"> or frequencies</w:t>
      </w:r>
      <w:r w:rsidR="003B7ABD" w:rsidRPr="00B53F89">
        <w:t xml:space="preserve"> in a specified geographic area, subject to any conditions on the licence that the ACMA considers appropriate.</w:t>
      </w:r>
      <w:r w:rsidR="003C1919" w:rsidRPr="00B53F89">
        <w:t xml:space="preserve"> </w:t>
      </w:r>
      <w:r w:rsidR="00F74531" w:rsidRPr="00B53F89">
        <w:t>Such a</w:t>
      </w:r>
      <w:r w:rsidR="00BF3437" w:rsidRPr="00B53F89">
        <w:t xml:space="preserve">n area-wide </w:t>
      </w:r>
      <w:r w:rsidR="003C6272" w:rsidRPr="00B53F89">
        <w:t xml:space="preserve">apparatus licence would provide analogous technical and operational flexibility to a spectrum licence. </w:t>
      </w:r>
      <w:r w:rsidR="009572F0" w:rsidRPr="00B53F89">
        <w:t xml:space="preserve">The </w:t>
      </w:r>
      <w:r w:rsidR="00BF3437" w:rsidRPr="00B53F89">
        <w:t>area-wide</w:t>
      </w:r>
      <w:r w:rsidR="009572F0" w:rsidRPr="00B53F89">
        <w:t xml:space="preserve"> licence</w:t>
      </w:r>
      <w:r w:rsidR="003C1919" w:rsidRPr="00B53F89">
        <w:t xml:space="preserve"> would assist </w:t>
      </w:r>
      <w:r w:rsidR="009572F0" w:rsidRPr="00B53F89">
        <w:t xml:space="preserve">the ACMA </w:t>
      </w:r>
      <w:r w:rsidR="003C1919" w:rsidRPr="00B53F89">
        <w:t xml:space="preserve">in authorising new and emerging technologies in use-cases where spectrum licensing may be inappropriate. </w:t>
      </w:r>
    </w:p>
    <w:p w14:paraId="6CECF6B4" w14:textId="1F736E08" w:rsidR="00964E90" w:rsidRPr="00B53F89" w:rsidRDefault="00DC26B6">
      <w:r w:rsidRPr="00B53F89">
        <w:t xml:space="preserve">The ACMA </w:t>
      </w:r>
      <w:r w:rsidR="004B063F" w:rsidRPr="00B53F89">
        <w:t>commenced</w:t>
      </w:r>
      <w:r w:rsidRPr="00B53F89">
        <w:t xml:space="preserve"> consult</w:t>
      </w:r>
      <w:r w:rsidR="004B063F" w:rsidRPr="00B53F89">
        <w:t>ation</w:t>
      </w:r>
      <w:r w:rsidR="00461ED8" w:rsidRPr="00B53F89">
        <w:t xml:space="preserve"> with stakeholders</w:t>
      </w:r>
      <w:r w:rsidRPr="00B53F89">
        <w:t xml:space="preserve"> </w:t>
      </w:r>
      <w:r w:rsidR="00461ED8" w:rsidRPr="00B53F89">
        <w:t xml:space="preserve">as part of its exploration of the design of </w:t>
      </w:r>
      <w:r w:rsidR="002F012C" w:rsidRPr="00B53F89">
        <w:t>the</w:t>
      </w:r>
      <w:r w:rsidR="00BF3437" w:rsidRPr="00B53F89">
        <w:t xml:space="preserve"> area-wide </w:t>
      </w:r>
      <w:r w:rsidRPr="00B53F89">
        <w:t>licence type in Q</w:t>
      </w:r>
      <w:r w:rsidR="00E00B33" w:rsidRPr="00B53F89">
        <w:t>2</w:t>
      </w:r>
      <w:r w:rsidRPr="00B53F89">
        <w:t xml:space="preserve"> </w:t>
      </w:r>
      <w:r w:rsidR="00583DF2" w:rsidRPr="00B53F89">
        <w:t>2019</w:t>
      </w:r>
      <w:r w:rsidRPr="00B53F89">
        <w:t xml:space="preserve">. </w:t>
      </w:r>
      <w:r w:rsidR="00530AD8" w:rsidRPr="00B53F89">
        <w:t xml:space="preserve">Following consideration of submissions, </w:t>
      </w:r>
      <w:r w:rsidR="00F80EBC" w:rsidRPr="00B53F89">
        <w:t xml:space="preserve">and depending on the nature of those submissions, </w:t>
      </w:r>
      <w:r w:rsidR="00530AD8" w:rsidRPr="00B53F89">
        <w:t xml:space="preserve">the </w:t>
      </w:r>
      <w:r w:rsidR="006D0635" w:rsidRPr="00B53F89">
        <w:t xml:space="preserve">ACMA </w:t>
      </w:r>
      <w:r w:rsidR="00A9407E" w:rsidRPr="00B53F89">
        <w:t xml:space="preserve">expects to </w:t>
      </w:r>
      <w:r w:rsidR="006D0635" w:rsidRPr="00B53F89">
        <w:t xml:space="preserve">consider making the </w:t>
      </w:r>
      <w:r w:rsidR="00530AD8" w:rsidRPr="00B53F89">
        <w:t>regulatory scaffolding to give effect to the new</w:t>
      </w:r>
      <w:r w:rsidR="00A9407E" w:rsidRPr="00B53F89">
        <w:t xml:space="preserve"> licence</w:t>
      </w:r>
      <w:r w:rsidR="00530AD8" w:rsidRPr="00B53F89">
        <w:t xml:space="preserve"> type in Q4 2019.</w:t>
      </w:r>
    </w:p>
    <w:p w14:paraId="272FE75E" w14:textId="42B337FB" w:rsidR="007C5FBA" w:rsidRPr="00B53F89" w:rsidRDefault="007C5FBA" w:rsidP="00CF66CF">
      <w:pPr>
        <w:keepNext/>
        <w:spacing w:before="60" w:after="0"/>
      </w:pPr>
      <w:r w:rsidRPr="006A2F04">
        <w:rPr>
          <w:noProof/>
        </w:rPr>
        <w:drawing>
          <wp:inline distT="0" distB="0" distL="0" distR="0" wp14:anchorId="04A97195" wp14:editId="737720F7">
            <wp:extent cx="342900" cy="361950"/>
            <wp:effectExtent l="0" t="0" r="0" b="0"/>
            <wp:docPr id="129" name="Picture 129" descr="Amateur radio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Amateur radio icon"/>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5AA8CDCD" w14:textId="3BAE423D" w:rsidR="007412CD" w:rsidRPr="00B53F89" w:rsidRDefault="00BB5498">
      <w:pPr>
        <w:pStyle w:val="Heading3"/>
      </w:pPr>
      <w:bookmarkStart w:id="460" w:name="_Toc18505580"/>
      <w:r w:rsidRPr="00B53F89">
        <w:t xml:space="preserve">Review </w:t>
      </w:r>
      <w:r w:rsidR="003F77BF" w:rsidRPr="00B53F89">
        <w:t xml:space="preserve">of </w:t>
      </w:r>
      <w:r w:rsidR="00E0549C" w:rsidRPr="00B53F89">
        <w:t xml:space="preserve">non-assigned </w:t>
      </w:r>
      <w:r w:rsidRPr="00B53F89">
        <w:t>amateur and outpost licensing arrangements with a view to reform</w:t>
      </w:r>
      <w:bookmarkEnd w:id="460"/>
      <w:r w:rsidRPr="00B53F89" w:rsidDel="00BB5498">
        <w:t xml:space="preserve"> </w:t>
      </w:r>
    </w:p>
    <w:p w14:paraId="0FBC0D8E" w14:textId="2A45061A" w:rsidR="00862B0E" w:rsidRPr="00B53F89" w:rsidRDefault="003008C8">
      <w:r w:rsidRPr="00B53F89">
        <w:t xml:space="preserve">The ACMA is </w:t>
      </w:r>
      <w:r w:rsidR="00DE65F3" w:rsidRPr="00B53F89">
        <w:t>considering</w:t>
      </w:r>
      <w:r w:rsidR="00E74EE6" w:rsidRPr="00B53F89">
        <w:t xml:space="preserve"> </w:t>
      </w:r>
      <w:r w:rsidR="001700A7" w:rsidRPr="00B53F89">
        <w:t xml:space="preserve">the </w:t>
      </w:r>
      <w:r w:rsidR="003F5050" w:rsidRPr="00B53F89">
        <w:t xml:space="preserve">best licensing mechanisms and conditions </w:t>
      </w:r>
      <w:r w:rsidR="00E0549C" w:rsidRPr="00B53F89">
        <w:t>for</w:t>
      </w:r>
      <w:r w:rsidR="00A919EC" w:rsidRPr="00B53F89" w:rsidDel="000E352E">
        <w:t xml:space="preserve"> </w:t>
      </w:r>
      <w:r w:rsidR="00A919EC" w:rsidRPr="00B53F89">
        <w:t>non-assigned amateur and outpost licences</w:t>
      </w:r>
      <w:r w:rsidRPr="00B53F89">
        <w:t xml:space="preserve">. </w:t>
      </w:r>
      <w:r w:rsidR="003B7ABD" w:rsidRPr="00B53F89">
        <w:t>Non-assigned licences are apparatus licences that authorise the operations of a radiocommunications device, but do not include a specific frequency</w:t>
      </w:r>
      <w:r w:rsidRPr="00B53F89">
        <w:t xml:space="preserve"> and </w:t>
      </w:r>
      <w:r w:rsidR="00BA183E" w:rsidRPr="00B53F89">
        <w:t>instead operate within a general part of the spectrum identified for similar activities</w:t>
      </w:r>
      <w:r w:rsidR="001B450C" w:rsidRPr="00B53F89">
        <w:t xml:space="preserve"> as specified</w:t>
      </w:r>
      <w:r w:rsidR="00BA183E" w:rsidRPr="00B53F89">
        <w:t xml:space="preserve"> in the relevant licence condition determination</w:t>
      </w:r>
      <w:r w:rsidRPr="00B53F89">
        <w:t>. Non-assigned licences are currently issued as part of the amateur, maritime, scientific and outpost licence types</w:t>
      </w:r>
      <w:r w:rsidR="003B7ABD" w:rsidRPr="00B53F89">
        <w:t>.</w:t>
      </w:r>
      <w:r w:rsidR="00BA183E" w:rsidRPr="00B53F89">
        <w:t xml:space="preserve"> </w:t>
      </w:r>
    </w:p>
    <w:p w14:paraId="065153C9" w14:textId="2A1ECB03" w:rsidR="000E352E" w:rsidRPr="00B53F89" w:rsidRDefault="000E352E">
      <w:r w:rsidRPr="00B53F89">
        <w:t xml:space="preserve">The </w:t>
      </w:r>
      <w:r w:rsidR="001E3005" w:rsidRPr="00B53F89">
        <w:t>A</w:t>
      </w:r>
      <w:r w:rsidRPr="00B53F89">
        <w:t xml:space="preserve">CMA is keen to ensure that </w:t>
      </w:r>
      <w:r w:rsidR="00B50E67" w:rsidRPr="00B53F89">
        <w:t xml:space="preserve">any </w:t>
      </w:r>
      <w:r w:rsidRPr="00B53F89">
        <w:t>transaction cost</w:t>
      </w:r>
      <w:r w:rsidR="001418A5" w:rsidRPr="00B53F89">
        <w:t>s</w:t>
      </w:r>
      <w:r w:rsidRPr="00B53F89">
        <w:t xml:space="preserve"> faced by licen</w:t>
      </w:r>
      <w:r w:rsidR="00FF193F" w:rsidRPr="00B53F89">
        <w:t>s</w:t>
      </w:r>
      <w:r w:rsidRPr="00B53F89">
        <w:t xml:space="preserve">ees </w:t>
      </w:r>
      <w:r w:rsidR="006E161E" w:rsidRPr="00B53F89">
        <w:t xml:space="preserve">and the ACMA </w:t>
      </w:r>
      <w:r w:rsidRPr="00B53F89">
        <w:t xml:space="preserve">are </w:t>
      </w:r>
      <w:r w:rsidR="00B50E67" w:rsidRPr="00B53F89">
        <w:t>minimal</w:t>
      </w:r>
      <w:r w:rsidR="001E3005" w:rsidRPr="00B53F89">
        <w:t>,</w:t>
      </w:r>
      <w:r w:rsidRPr="00B53F89">
        <w:t xml:space="preserve"> and that opportunities for </w:t>
      </w:r>
      <w:r w:rsidR="007A1CF3" w:rsidRPr="00B53F89">
        <w:t>appro</w:t>
      </w:r>
      <w:r w:rsidR="00A35596" w:rsidRPr="00B53F89">
        <w:t>pr</w:t>
      </w:r>
      <w:r w:rsidR="007A1CF3" w:rsidRPr="00B53F89">
        <w:t xml:space="preserve">iate </w:t>
      </w:r>
      <w:r w:rsidRPr="00B53F89">
        <w:t>self</w:t>
      </w:r>
      <w:r w:rsidR="007A1CF3" w:rsidRPr="00B53F89">
        <w:t>-</w:t>
      </w:r>
      <w:r w:rsidRPr="00B53F89">
        <w:t xml:space="preserve">regulation </w:t>
      </w:r>
      <w:r w:rsidR="007A1CF3" w:rsidRPr="00B53F89">
        <w:t>are realised</w:t>
      </w:r>
      <w:r w:rsidR="001E3005" w:rsidRPr="00B53F89">
        <w:t>, while recognising the continuing need for callsigns and</w:t>
      </w:r>
      <w:r w:rsidR="00B2469C" w:rsidRPr="00B53F89">
        <w:t>—</w:t>
      </w:r>
      <w:r w:rsidR="001E3005" w:rsidRPr="00B53F89">
        <w:t>in the case of amateur licensees</w:t>
      </w:r>
      <w:r w:rsidR="00B2469C" w:rsidRPr="00B53F89">
        <w:t>—</w:t>
      </w:r>
      <w:r w:rsidR="001E3005" w:rsidRPr="00B53F89">
        <w:t>appropriate qualifications</w:t>
      </w:r>
      <w:r w:rsidR="007A1CF3" w:rsidRPr="00B53F89">
        <w:t>.</w:t>
      </w:r>
    </w:p>
    <w:p w14:paraId="7C283A91" w14:textId="170EF11D" w:rsidR="00DD43C0" w:rsidRPr="00B53F89" w:rsidRDefault="003C6272">
      <w:r w:rsidRPr="00B53F89">
        <w:t xml:space="preserve">The ACMA expects to consult on </w:t>
      </w:r>
      <w:r w:rsidR="001E3005" w:rsidRPr="00B53F89">
        <w:t xml:space="preserve">options for associated licensing arrangements </w:t>
      </w:r>
      <w:r w:rsidRPr="00B53F89">
        <w:t xml:space="preserve">in </w:t>
      </w:r>
      <w:r w:rsidR="001E3005" w:rsidRPr="00B53F89">
        <w:t>Q</w:t>
      </w:r>
      <w:r w:rsidR="00E00B33" w:rsidRPr="00B53F89">
        <w:t>4</w:t>
      </w:r>
      <w:r w:rsidR="001E3005" w:rsidRPr="00B53F89">
        <w:t xml:space="preserve"> 2019</w:t>
      </w:r>
      <w:r w:rsidR="00383FEF" w:rsidRPr="00B53F89">
        <w:t xml:space="preserve">. </w:t>
      </w:r>
    </w:p>
    <w:p w14:paraId="2A28890E" w14:textId="3AE01E05" w:rsidR="009B3A56" w:rsidRPr="00B53F89" w:rsidRDefault="001E3005">
      <w:pPr>
        <w:pStyle w:val="Heading3"/>
      </w:pPr>
      <w:bookmarkStart w:id="461" w:name="_Reforming_the_apparatus"/>
      <w:bookmarkStart w:id="462" w:name="_Toc18505581"/>
      <w:bookmarkEnd w:id="461"/>
      <w:r w:rsidRPr="00B53F89">
        <w:rPr>
          <w:rFonts w:cstheme="minorHAnsi"/>
        </w:rPr>
        <w:t>Review</w:t>
      </w:r>
      <w:r w:rsidR="003F77BF" w:rsidRPr="00B53F89">
        <w:rPr>
          <w:rFonts w:cstheme="minorHAnsi"/>
        </w:rPr>
        <w:t xml:space="preserve"> of</w:t>
      </w:r>
      <w:r w:rsidRPr="00B53F89">
        <w:rPr>
          <w:rFonts w:cstheme="minorHAnsi"/>
        </w:rPr>
        <w:t xml:space="preserve"> elements of the existing apparatus licensing </w:t>
      </w:r>
      <w:r w:rsidR="009B3A56" w:rsidRPr="00B53F89">
        <w:t>framework</w:t>
      </w:r>
      <w:bookmarkEnd w:id="462"/>
    </w:p>
    <w:p w14:paraId="2BA18CDB" w14:textId="65A2CF49" w:rsidR="00F30B2D" w:rsidRPr="00B53F89" w:rsidRDefault="00E74EE6">
      <w:r w:rsidRPr="00B53F89">
        <w:t xml:space="preserve">The apparatus licensing framework is made up of the regulatory instruments, technical planning documents and operational practices that determine how apparatus licences are used and how the apparatus licensing system functions. </w:t>
      </w:r>
      <w:r w:rsidR="00F30B2D" w:rsidRPr="00B53F89">
        <w:t xml:space="preserve">A recurring issue with the framework has been its complexity and difficulty for users to navigate and understand. </w:t>
      </w:r>
      <w:r w:rsidR="009B3A56" w:rsidRPr="00B53F89">
        <w:t xml:space="preserve">The ACMA is </w:t>
      </w:r>
      <w:r w:rsidR="00880180" w:rsidRPr="00B53F89">
        <w:t>investigating</w:t>
      </w:r>
      <w:r w:rsidR="009B3A56" w:rsidRPr="00B53F89">
        <w:t xml:space="preserve"> </w:t>
      </w:r>
      <w:r w:rsidR="00852337" w:rsidRPr="00B53F89">
        <w:t xml:space="preserve">potential </w:t>
      </w:r>
      <w:r w:rsidR="001021BD" w:rsidRPr="00B53F89">
        <w:t xml:space="preserve">improvements </w:t>
      </w:r>
      <w:r w:rsidR="00E03185" w:rsidRPr="00B53F89">
        <w:t>to</w:t>
      </w:r>
      <w:r w:rsidR="00F30B2D" w:rsidRPr="00B53F89">
        <w:t xml:space="preserve"> </w:t>
      </w:r>
      <w:r w:rsidR="00852337" w:rsidRPr="00B53F89">
        <w:t xml:space="preserve">the apparatus licensing </w:t>
      </w:r>
      <w:r w:rsidR="00F30B2D" w:rsidRPr="00B53F89">
        <w:t xml:space="preserve">framework. </w:t>
      </w:r>
    </w:p>
    <w:p w14:paraId="71105FB3" w14:textId="31F6FF4F" w:rsidR="00852337" w:rsidRPr="00B53F89" w:rsidRDefault="0078563E" w:rsidP="00C83864">
      <w:pPr>
        <w:keepNext/>
        <w:keepLines/>
      </w:pPr>
      <w:r w:rsidRPr="00B53F89">
        <w:lastRenderedPageBreak/>
        <w:t>P</w:t>
      </w:r>
      <w:r w:rsidR="00852337" w:rsidRPr="00B53F89">
        <w:t xml:space="preserve">otential </w:t>
      </w:r>
      <w:r w:rsidR="00B31453" w:rsidRPr="00B53F89">
        <w:t xml:space="preserve">areas of </w:t>
      </w:r>
      <w:r w:rsidR="001021BD" w:rsidRPr="00B53F89">
        <w:t xml:space="preserve">improvement </w:t>
      </w:r>
      <w:r w:rsidR="00852337" w:rsidRPr="00B53F89">
        <w:t>include:</w:t>
      </w:r>
    </w:p>
    <w:p w14:paraId="5E59600B" w14:textId="7FFC1852" w:rsidR="00852337" w:rsidRPr="00B53F89" w:rsidRDefault="00852337" w:rsidP="00C83864">
      <w:pPr>
        <w:pStyle w:val="ListBullet"/>
        <w:ind w:left="284" w:hanging="284"/>
      </w:pPr>
      <w:r w:rsidRPr="00B53F89">
        <w:t xml:space="preserve">determining whether </w:t>
      </w:r>
      <w:r w:rsidR="009B3A56" w:rsidRPr="00B53F89">
        <w:t>the existing types of apparatus licence are still appropriate</w:t>
      </w:r>
      <w:r w:rsidR="004179D9" w:rsidRPr="00B53F89">
        <w:t>, and considering reducing the number of types and licensing option</w:t>
      </w:r>
      <w:r w:rsidR="00AF242D" w:rsidRPr="00B53F89">
        <w:t>s</w:t>
      </w:r>
      <w:r w:rsidR="004179D9" w:rsidRPr="00B53F89">
        <w:t xml:space="preserve"> where suitable</w:t>
      </w:r>
    </w:p>
    <w:p w14:paraId="48F80827" w14:textId="7AE92A8B" w:rsidR="00852337" w:rsidRPr="00B53F89" w:rsidRDefault="009B3A56" w:rsidP="00C83864">
      <w:pPr>
        <w:pStyle w:val="ListBullet"/>
        <w:ind w:left="284" w:hanging="284"/>
      </w:pPr>
      <w:r w:rsidRPr="00B53F89">
        <w:t>identifying the key spectrum management issues associated with these licence types, including any unnecessary regulatory barriers resulting from the licence types</w:t>
      </w:r>
    </w:p>
    <w:p w14:paraId="35B4A507" w14:textId="66806962" w:rsidR="00852337" w:rsidRPr="00B53F89" w:rsidRDefault="009B3A56" w:rsidP="00C83864">
      <w:pPr>
        <w:pStyle w:val="ListBulletLast"/>
        <w:ind w:left="284" w:hanging="284"/>
      </w:pPr>
      <w:r w:rsidRPr="00B53F89">
        <w:t>identifying opportunities</w:t>
      </w:r>
      <w:r w:rsidR="00852337" w:rsidRPr="00B53F89">
        <w:t xml:space="preserve"> in the legislative and non-legislative instruments that make up the apparatus licensing framework</w:t>
      </w:r>
      <w:r w:rsidRPr="00B53F89">
        <w:t xml:space="preserve"> to reduce complexity and increase transparency</w:t>
      </w:r>
      <w:r w:rsidR="00F30B2D" w:rsidRPr="00B53F89">
        <w:t xml:space="preserve"> for users</w:t>
      </w:r>
      <w:r w:rsidRPr="00B53F89">
        <w:t xml:space="preserve">. </w:t>
      </w:r>
    </w:p>
    <w:p w14:paraId="3BCF3C35" w14:textId="5EA0AE1B" w:rsidR="00EC0268" w:rsidRPr="00B53F89" w:rsidRDefault="00E209FC" w:rsidP="002E3C54">
      <w:r w:rsidRPr="00B53F89">
        <w:t>During 2019</w:t>
      </w:r>
      <w:r w:rsidR="003208A0" w:rsidRPr="00B53F89">
        <w:t>–</w:t>
      </w:r>
      <w:r w:rsidRPr="00B53F89">
        <w:t>20</w:t>
      </w:r>
      <w:r w:rsidR="00A9407E" w:rsidRPr="00B53F89">
        <w:t>,</w:t>
      </w:r>
      <w:r w:rsidRPr="00B53F89">
        <w:t xml:space="preserve"> the ACMA will give consideration to pursuing these improvements, to the extent they would not be overtaken by possible legislative reform. </w:t>
      </w:r>
      <w:r w:rsidR="00D01DA7" w:rsidRPr="00B53F89">
        <w:t>C</w:t>
      </w:r>
      <w:r w:rsidR="007F28AE" w:rsidRPr="00B53F89">
        <w:t>hanges to the licensing framework</w:t>
      </w:r>
      <w:r w:rsidR="00223D9D" w:rsidRPr="00B53F89">
        <w:t xml:space="preserve"> </w:t>
      </w:r>
      <w:r w:rsidR="004A1659" w:rsidRPr="00B53F89">
        <w:t xml:space="preserve">would </w:t>
      </w:r>
      <w:r w:rsidR="004179D9" w:rsidRPr="00B53F89">
        <w:t xml:space="preserve">be subject to </w:t>
      </w:r>
      <w:r w:rsidR="004A1659" w:rsidRPr="00B53F89">
        <w:t xml:space="preserve">public consultation. </w:t>
      </w:r>
    </w:p>
    <w:p w14:paraId="1DE46AD9" w14:textId="6C90F951" w:rsidR="003F17EB" w:rsidRPr="00B53F89" w:rsidRDefault="003F17EB" w:rsidP="00CF66CF">
      <w:pPr>
        <w:pageBreakBefore/>
        <w:spacing w:after="60"/>
      </w:pPr>
      <w:bookmarkStart w:id="463" w:name="_Pricing"/>
      <w:bookmarkStart w:id="464" w:name="_Toc510104987"/>
      <w:bookmarkStart w:id="465" w:name="_Toc510105784"/>
      <w:bookmarkStart w:id="466" w:name="_Toc510795118"/>
      <w:bookmarkStart w:id="467" w:name="_Toc511716320"/>
      <w:bookmarkStart w:id="468" w:name="_Toc511719131"/>
      <w:bookmarkStart w:id="469" w:name="_Toc522794124"/>
      <w:bookmarkEnd w:id="463"/>
      <w:r w:rsidRPr="006A2F04">
        <w:rPr>
          <w:noProof/>
        </w:rPr>
        <w:lastRenderedPageBreak/>
        <w:drawing>
          <wp:inline distT="0" distB="0" distL="0" distR="0" wp14:anchorId="109C8B9B" wp14:editId="60A477A6">
            <wp:extent cx="342900" cy="361950"/>
            <wp:effectExtent l="0" t="0" r="0" b="0"/>
            <wp:docPr id="131" name="Picture 131" descr="Pric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Pricing icon"/>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00FE7029" w:rsidRPr="006A2F04">
        <w:rPr>
          <w:noProof/>
        </w:rPr>
        <w:drawing>
          <wp:inline distT="0" distB="0" distL="0" distR="0" wp14:anchorId="7A92D252" wp14:editId="6D9B7F4F">
            <wp:extent cx="341630" cy="359410"/>
            <wp:effectExtent l="0" t="0" r="1270" b="2540"/>
            <wp:docPr id="200" name="Picture 200"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4" name="Picture 14" descr="A close up of a logo&#10;&#10;Description automatically generated"/>
                    <pic:cNvPicPr/>
                  </pic:nvPicPr>
                  <pic:blipFill>
                    <a:blip r:embed="rId31" cstate="print">
                      <a:extLst>
                        <a:ext uri="{28A0092B-C50C-407E-A947-70E740481C1C}">
                          <a14:useLocalDpi xmlns:a14="http://schemas.microsoft.com/office/drawing/2010/main" val="0"/>
                        </a:ext>
                      </a:extLst>
                    </a:blip>
                    <a:stretch>
                      <a:fillRect/>
                    </a:stretch>
                  </pic:blipFill>
                  <pic:spPr>
                    <a:xfrm>
                      <a:off x="0" y="0"/>
                      <a:ext cx="341630" cy="359410"/>
                    </a:xfrm>
                    <a:prstGeom prst="rect">
                      <a:avLst/>
                    </a:prstGeom>
                  </pic:spPr>
                </pic:pic>
              </a:graphicData>
            </a:graphic>
          </wp:inline>
        </w:drawing>
      </w:r>
      <w:r w:rsidRPr="006A2F04">
        <w:rPr>
          <w:noProof/>
        </w:rPr>
        <w:drawing>
          <wp:inline distT="0" distB="0" distL="0" distR="0" wp14:anchorId="3F402660" wp14:editId="1B0D1A01">
            <wp:extent cx="342900" cy="361950"/>
            <wp:effectExtent l="0" t="0" r="0" b="0"/>
            <wp:docPr id="133" name="Picture 133" descr="Radio/TV broadcast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Radio/TV broadcasting icon"/>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56AD9458" w14:textId="51A76542" w:rsidR="00286D6B" w:rsidRPr="00B53F89" w:rsidRDefault="00286D6B" w:rsidP="00CF66CF">
      <w:pPr>
        <w:pStyle w:val="Heading1"/>
        <w:pageBreakBefore w:val="0"/>
      </w:pPr>
      <w:bookmarkStart w:id="470" w:name="_Toc18505582"/>
      <w:r w:rsidRPr="00B53F89">
        <w:t>Pricing</w:t>
      </w:r>
      <w:bookmarkEnd w:id="464"/>
      <w:bookmarkEnd w:id="465"/>
      <w:bookmarkEnd w:id="466"/>
      <w:bookmarkEnd w:id="467"/>
      <w:bookmarkEnd w:id="468"/>
      <w:bookmarkEnd w:id="469"/>
      <w:bookmarkEnd w:id="470"/>
    </w:p>
    <w:p w14:paraId="5C20D0F4" w14:textId="77777777" w:rsidR="0058733B" w:rsidRPr="00B53F89" w:rsidRDefault="0058733B">
      <w:pPr>
        <w:pStyle w:val="Heading2"/>
      </w:pPr>
      <w:bookmarkStart w:id="471" w:name="_Toc510104988"/>
      <w:bookmarkStart w:id="472" w:name="_Toc510105785"/>
      <w:bookmarkStart w:id="473" w:name="_Toc510795119"/>
      <w:bookmarkStart w:id="474" w:name="_Toc511716321"/>
      <w:bookmarkStart w:id="475" w:name="_Toc511719132"/>
      <w:bookmarkStart w:id="476" w:name="_Toc522794125"/>
      <w:bookmarkStart w:id="477" w:name="_Toc18505583"/>
      <w:r w:rsidRPr="00B53F89">
        <w:t>Progress achieved</w:t>
      </w:r>
      <w:bookmarkEnd w:id="471"/>
      <w:bookmarkEnd w:id="472"/>
      <w:bookmarkEnd w:id="473"/>
      <w:bookmarkEnd w:id="474"/>
      <w:bookmarkEnd w:id="475"/>
      <w:bookmarkEnd w:id="476"/>
      <w:bookmarkEnd w:id="477"/>
    </w:p>
    <w:p w14:paraId="23BD213C" w14:textId="01F6E91E" w:rsidR="0058733B" w:rsidRPr="00B53F89" w:rsidRDefault="003F628D">
      <w:pPr>
        <w:pStyle w:val="Heading3"/>
      </w:pPr>
      <w:bookmarkStart w:id="478" w:name="_Toc18505584"/>
      <w:r w:rsidRPr="00B53F89">
        <w:t>3.6 GHz band</w:t>
      </w:r>
      <w:bookmarkEnd w:id="478"/>
    </w:p>
    <w:p w14:paraId="29B0D310" w14:textId="30BD5239" w:rsidR="0058733B" w:rsidRPr="00B53F89" w:rsidRDefault="005A09C8">
      <w:r w:rsidRPr="00B53F89">
        <w:t>In May 2018</w:t>
      </w:r>
      <w:r w:rsidR="00844848" w:rsidRPr="00B53F89">
        <w:t>,</w:t>
      </w:r>
      <w:r w:rsidRPr="00B53F89">
        <w:t xml:space="preserve"> the ACMA consulted on </w:t>
      </w:r>
      <w:r w:rsidR="00B31EC3" w:rsidRPr="00B53F89">
        <w:t xml:space="preserve">a </w:t>
      </w:r>
      <w:r w:rsidRPr="00B53F89">
        <w:t xml:space="preserve">proposal for </w:t>
      </w:r>
      <w:r w:rsidR="003F628D" w:rsidRPr="00B53F89">
        <w:t xml:space="preserve">a </w:t>
      </w:r>
      <w:r w:rsidRPr="00B53F89">
        <w:t>spectrum licence tax</w:t>
      </w:r>
      <w:r w:rsidR="00776AB0" w:rsidRPr="00B53F89">
        <w:t xml:space="preserve"> </w:t>
      </w:r>
      <w:r w:rsidR="003F628D" w:rsidRPr="00B53F89">
        <w:t xml:space="preserve">and an early access price </w:t>
      </w:r>
      <w:r w:rsidR="00776AB0" w:rsidRPr="00B53F89">
        <w:t xml:space="preserve">for the 3.6 </w:t>
      </w:r>
      <w:r w:rsidR="004959E5" w:rsidRPr="00B53F89">
        <w:t xml:space="preserve">GHz </w:t>
      </w:r>
      <w:r w:rsidR="00776AB0" w:rsidRPr="00B53F89">
        <w:t>band</w:t>
      </w:r>
      <w:r w:rsidR="00286D6B" w:rsidRPr="00B53F89">
        <w:t xml:space="preserve">. </w:t>
      </w:r>
      <w:r w:rsidR="00362799" w:rsidRPr="00B53F89">
        <w:t>In June and July 2018</w:t>
      </w:r>
      <w:r w:rsidR="00844848" w:rsidRPr="00B53F89">
        <w:t>,</w:t>
      </w:r>
      <w:r w:rsidR="00362799" w:rsidRPr="00B53F89">
        <w:t xml:space="preserve"> the ACMA made those </w:t>
      </w:r>
      <w:r w:rsidRPr="00B53F89">
        <w:t>respective</w:t>
      </w:r>
      <w:r w:rsidR="00362799" w:rsidRPr="00B53F89">
        <w:t xml:space="preserve"> changes to </w:t>
      </w:r>
      <w:r w:rsidR="00142772" w:rsidRPr="00B53F89">
        <w:t xml:space="preserve">the </w:t>
      </w:r>
      <w:r w:rsidR="00362799" w:rsidRPr="00B53F89">
        <w:t>spectrum licence tax</w:t>
      </w:r>
      <w:r w:rsidR="003F628D" w:rsidRPr="00B53F89">
        <w:t xml:space="preserve"> and </w:t>
      </w:r>
      <w:r w:rsidR="00142772" w:rsidRPr="00B53F89">
        <w:t xml:space="preserve">the </w:t>
      </w:r>
      <w:r w:rsidR="003F628D" w:rsidRPr="00B53F89">
        <w:t>apparatus licence tax</w:t>
      </w:r>
      <w:r w:rsidR="00362799" w:rsidRPr="00B53F89">
        <w:t>.</w:t>
      </w:r>
      <w:r w:rsidR="00362799" w:rsidRPr="00B53F89" w:rsidDel="00362799">
        <w:t xml:space="preserve"> </w:t>
      </w:r>
    </w:p>
    <w:p w14:paraId="7F9DE599" w14:textId="77777777" w:rsidR="0058733B" w:rsidRPr="00B53F89" w:rsidRDefault="0058733B">
      <w:pPr>
        <w:pStyle w:val="Heading3"/>
      </w:pPr>
      <w:bookmarkStart w:id="479" w:name="_Toc510104991"/>
      <w:bookmarkStart w:id="480" w:name="_Toc510105788"/>
      <w:bookmarkStart w:id="481" w:name="_Toc510795122"/>
      <w:bookmarkStart w:id="482" w:name="_Toc511716324"/>
      <w:bookmarkStart w:id="483" w:name="_Toc511719135"/>
      <w:bookmarkStart w:id="484" w:name="_Toc522794128"/>
      <w:bookmarkStart w:id="485" w:name="_Toc18505585"/>
      <w:r w:rsidRPr="00B53F89">
        <w:t>Apparatus licence taxes</w:t>
      </w:r>
      <w:bookmarkEnd w:id="479"/>
      <w:bookmarkEnd w:id="480"/>
      <w:bookmarkEnd w:id="481"/>
      <w:bookmarkEnd w:id="482"/>
      <w:bookmarkEnd w:id="483"/>
      <w:bookmarkEnd w:id="484"/>
      <w:bookmarkEnd w:id="485"/>
    </w:p>
    <w:p w14:paraId="677E2826" w14:textId="3BAA1AE6" w:rsidR="00286D6B" w:rsidRPr="00B53F89" w:rsidRDefault="006B2893">
      <w:r w:rsidRPr="00B53F89">
        <w:t>In Q</w:t>
      </w:r>
      <w:r w:rsidR="00001D42" w:rsidRPr="00B53F89">
        <w:t>1</w:t>
      </w:r>
      <w:r w:rsidRPr="00B53F89">
        <w:t xml:space="preserve"> 2019 a</w:t>
      </w:r>
      <w:r w:rsidR="00286D6B" w:rsidRPr="00B53F89">
        <w:t>djustments</w:t>
      </w:r>
      <w:r w:rsidR="0058733B" w:rsidRPr="00B53F89">
        <w:t xml:space="preserve"> were</w:t>
      </w:r>
      <w:r w:rsidR="00286D6B" w:rsidRPr="00B53F89">
        <w:t xml:space="preserve"> made to apparatus licence taxes to account for inflation</w:t>
      </w:r>
      <w:r w:rsidR="00C15BA7" w:rsidRPr="00B53F89">
        <w:t>,</w:t>
      </w:r>
      <w:r w:rsidR="00286D6B" w:rsidRPr="00B53F89">
        <w:t xml:space="preserve"> and </w:t>
      </w:r>
      <w:r w:rsidR="0058733B" w:rsidRPr="00B53F89">
        <w:t xml:space="preserve">to </w:t>
      </w:r>
      <w:r w:rsidR="00060315" w:rsidRPr="00B53F89">
        <w:t>remove some redundant taxes relating to the early access pricing arrangements in the 700 MHz band and specific body scanner apparatus licence taxes. The early access pricing arrangements are no longer needed because spectrum licences in that band have commenced. The apparatus licence taxes associated with airport body scanners have been removed after the ACMA introduced class licensing arrangements in November 2018</w:t>
      </w:r>
      <w:r w:rsidR="0058733B" w:rsidRPr="00B53F89">
        <w:t xml:space="preserve">. </w:t>
      </w:r>
      <w:r w:rsidR="00286D6B" w:rsidRPr="00B53F89">
        <w:t>The adjustments</w:t>
      </w:r>
      <w:r w:rsidR="00060315" w:rsidRPr="00B53F89">
        <w:t xml:space="preserve"> c</w:t>
      </w:r>
      <w:r w:rsidR="00DB2964" w:rsidRPr="00B53F89">
        <w:t>a</w:t>
      </w:r>
      <w:r w:rsidR="00060315" w:rsidRPr="00B53F89">
        <w:t>me</w:t>
      </w:r>
      <w:r w:rsidR="00286D6B" w:rsidRPr="00B53F89">
        <w:t xml:space="preserve"> into effect </w:t>
      </w:r>
      <w:r w:rsidR="00C15BA7" w:rsidRPr="00B53F89">
        <w:t>in</w:t>
      </w:r>
      <w:r w:rsidR="00286D6B" w:rsidRPr="00B53F89">
        <w:t xml:space="preserve"> April 201</w:t>
      </w:r>
      <w:r w:rsidR="00060315" w:rsidRPr="00B53F89">
        <w:t>9</w:t>
      </w:r>
      <w:r w:rsidR="00286D6B" w:rsidRPr="00B53F89">
        <w:t>.</w:t>
      </w:r>
    </w:p>
    <w:p w14:paraId="7B38F3E9" w14:textId="77777777" w:rsidR="009432FD" w:rsidRPr="00B53F89" w:rsidRDefault="009432FD">
      <w:pPr>
        <w:pStyle w:val="Heading3"/>
      </w:pPr>
      <w:bookmarkStart w:id="486" w:name="_Toc18505586"/>
      <w:r w:rsidRPr="00B53F89">
        <w:t>Commercial broadcasting taxes</w:t>
      </w:r>
      <w:bookmarkEnd w:id="486"/>
    </w:p>
    <w:p w14:paraId="2E9016A5" w14:textId="5789BB8C" w:rsidR="009432FD" w:rsidRPr="00B53F89" w:rsidRDefault="00DE6730">
      <w:r w:rsidRPr="00B53F89">
        <w:t>In 2018</w:t>
      </w:r>
      <w:r w:rsidR="004E64E0" w:rsidRPr="00B53F89">
        <w:t>–</w:t>
      </w:r>
      <w:r w:rsidRPr="00B53F89">
        <w:t>19, t</w:t>
      </w:r>
      <w:r w:rsidR="009432FD" w:rsidRPr="00B53F89">
        <w:t xml:space="preserve">he ACMA </w:t>
      </w:r>
      <w:r w:rsidR="009477C8" w:rsidRPr="00B53F89">
        <w:t xml:space="preserve">commenced </w:t>
      </w:r>
      <w:r w:rsidRPr="00B53F89">
        <w:t xml:space="preserve">the ongoing assessment of </w:t>
      </w:r>
      <w:r w:rsidR="009477C8" w:rsidRPr="00B53F89">
        <w:t xml:space="preserve">the taxes </w:t>
      </w:r>
      <w:r w:rsidRPr="00B53F89">
        <w:t xml:space="preserve">due </w:t>
      </w:r>
      <w:r w:rsidR="009432FD" w:rsidRPr="00B53F89">
        <w:t xml:space="preserve">for apparatus licences associated with the transmitters used by commercial radio and television broadcasters in the </w:t>
      </w:r>
      <w:r w:rsidR="0020287F" w:rsidRPr="00B53F89">
        <w:t>b</w:t>
      </w:r>
      <w:r w:rsidR="009432FD" w:rsidRPr="00B53F89">
        <w:t xml:space="preserve">roadcasting </w:t>
      </w:r>
      <w:r w:rsidR="0020287F" w:rsidRPr="00B53F89">
        <w:t>s</w:t>
      </w:r>
      <w:r w:rsidR="009432FD" w:rsidRPr="00B53F89">
        <w:t xml:space="preserve">ervices </w:t>
      </w:r>
      <w:r w:rsidR="0020287F" w:rsidRPr="00B53F89">
        <w:t>b</w:t>
      </w:r>
      <w:r w:rsidR="009432FD" w:rsidRPr="00B53F89">
        <w:t xml:space="preserve">ands. </w:t>
      </w:r>
      <w:r w:rsidR="009477C8" w:rsidRPr="00B53F89">
        <w:t xml:space="preserve">These assessments </w:t>
      </w:r>
      <w:r w:rsidR="009432FD" w:rsidRPr="00B53F89">
        <w:t>result</w:t>
      </w:r>
      <w:r w:rsidR="00142772" w:rsidRPr="00B53F89">
        <w:t>ed</w:t>
      </w:r>
      <w:r w:rsidR="009432FD" w:rsidRPr="00B53F89">
        <w:t xml:space="preserve"> from the media reform package passed by Parliament in 2017. </w:t>
      </w:r>
    </w:p>
    <w:p w14:paraId="2EDD38BD" w14:textId="0E428F8D" w:rsidR="00286D6B" w:rsidRPr="00B53F89" w:rsidRDefault="0020287F" w:rsidP="00D97C2D">
      <w:pPr>
        <w:pStyle w:val="Heading2"/>
        <w:numPr>
          <w:ilvl w:val="0"/>
          <w:numId w:val="191"/>
        </w:numPr>
        <w:tabs>
          <w:tab w:val="num" w:pos="397"/>
        </w:tabs>
        <w:ind w:left="0" w:firstLine="0"/>
      </w:pPr>
      <w:bookmarkStart w:id="487" w:name="_Toc522794130"/>
      <w:bookmarkStart w:id="488" w:name="_Toc18505587"/>
      <w:bookmarkStart w:id="489" w:name="_Toc510104993"/>
      <w:bookmarkStart w:id="490" w:name="_Toc510105790"/>
      <w:bookmarkStart w:id="491" w:name="_Toc510795124"/>
      <w:bookmarkStart w:id="492" w:name="_Toc511716326"/>
      <w:bookmarkStart w:id="493" w:name="_Toc511719137"/>
      <w:r w:rsidRPr="00B53F89">
        <w:t>New/ongoing activities planned for 2019–</w:t>
      </w:r>
      <w:bookmarkEnd w:id="487"/>
      <w:r w:rsidRPr="00B53F89">
        <w:t>20</w:t>
      </w:r>
      <w:bookmarkEnd w:id="488"/>
      <w:r w:rsidRPr="00B53F89">
        <w:t xml:space="preserve"> </w:t>
      </w:r>
      <w:bookmarkEnd w:id="489"/>
      <w:bookmarkEnd w:id="490"/>
      <w:bookmarkEnd w:id="491"/>
      <w:bookmarkEnd w:id="492"/>
      <w:bookmarkEnd w:id="493"/>
    </w:p>
    <w:p w14:paraId="52EC8579" w14:textId="5E121DD1" w:rsidR="00385D4D" w:rsidRPr="00B53F89" w:rsidRDefault="00385D4D">
      <w:pPr>
        <w:pStyle w:val="Heading3"/>
      </w:pPr>
      <w:bookmarkStart w:id="494" w:name="_Implementation_of_Government’s"/>
      <w:bookmarkStart w:id="495" w:name="_Toc18505588"/>
      <w:bookmarkEnd w:id="494"/>
      <w:r w:rsidRPr="00B53F89">
        <w:t xml:space="preserve">Implementation of </w:t>
      </w:r>
      <w:r w:rsidR="008540E9" w:rsidRPr="00B53F89">
        <w:t>the g</w:t>
      </w:r>
      <w:r w:rsidRPr="00B53F89">
        <w:t>overnment’s Spectrum Pricing Review</w:t>
      </w:r>
      <w:bookmarkEnd w:id="495"/>
    </w:p>
    <w:p w14:paraId="5176E5A9" w14:textId="32CDA8CF" w:rsidR="00AB57E5" w:rsidRPr="00B53F89" w:rsidRDefault="006108AA" w:rsidP="00C83864">
      <w:r w:rsidRPr="00B53F89">
        <w:rPr>
          <w:rFonts w:cs="Arial"/>
        </w:rPr>
        <w:t>Some of t</w:t>
      </w:r>
      <w:r w:rsidR="00AB57E5" w:rsidRPr="00B53F89">
        <w:rPr>
          <w:rFonts w:cs="Arial"/>
        </w:rPr>
        <w:t xml:space="preserve">he recommendations of </w:t>
      </w:r>
      <w:r w:rsidRPr="00B53F89">
        <w:t xml:space="preserve">the </w:t>
      </w:r>
      <w:r w:rsidR="008540E9" w:rsidRPr="00B53F89">
        <w:t>g</w:t>
      </w:r>
      <w:r w:rsidRPr="00B53F89">
        <w:t xml:space="preserve">overnment’s </w:t>
      </w:r>
      <w:r w:rsidR="00AB57E5" w:rsidRPr="00B53F89">
        <w:rPr>
          <w:rFonts w:cs="Arial"/>
        </w:rPr>
        <w:t>Spectrum Pricing Review anticipated a new legislative framework</w:t>
      </w:r>
      <w:r w:rsidRPr="00B53F89">
        <w:rPr>
          <w:rFonts w:cs="Arial"/>
        </w:rPr>
        <w:t xml:space="preserve"> and a single licensing framework. However</w:t>
      </w:r>
      <w:r w:rsidR="00AB57E5" w:rsidRPr="00B53F89">
        <w:rPr>
          <w:rFonts w:cs="Arial"/>
        </w:rPr>
        <w:t xml:space="preserve">, the ACMA considers that </w:t>
      </w:r>
      <w:r w:rsidR="00CD553F" w:rsidRPr="00B53F89">
        <w:rPr>
          <w:rFonts w:cs="Arial"/>
        </w:rPr>
        <w:t xml:space="preserve">much of </w:t>
      </w:r>
      <w:r w:rsidR="00AB57E5" w:rsidRPr="00B53F89">
        <w:rPr>
          <w:rFonts w:cs="Arial"/>
        </w:rPr>
        <w:t xml:space="preserve">the policy intent </w:t>
      </w:r>
      <w:r w:rsidRPr="00B53F89">
        <w:rPr>
          <w:rFonts w:cs="Arial"/>
        </w:rPr>
        <w:t xml:space="preserve">of the recommendations </w:t>
      </w:r>
      <w:r w:rsidR="00AB57E5" w:rsidRPr="00B53F89">
        <w:rPr>
          <w:rFonts w:cs="Arial"/>
        </w:rPr>
        <w:t xml:space="preserve">can also be implemented under existing legislation, and later transitioned to new </w:t>
      </w:r>
      <w:r w:rsidR="00B31EC3" w:rsidRPr="00B53F89">
        <w:rPr>
          <w:rFonts w:cs="Arial"/>
        </w:rPr>
        <w:t>legislative arrangements if required</w:t>
      </w:r>
      <w:r w:rsidRPr="00B53F89">
        <w:rPr>
          <w:rFonts w:cs="Arial"/>
        </w:rPr>
        <w:t>, and the ACMA intends to proceed in this way.</w:t>
      </w:r>
    </w:p>
    <w:p w14:paraId="1B689763" w14:textId="3B724858" w:rsidR="00110E5C" w:rsidRPr="00B53F89" w:rsidRDefault="00110E5C" w:rsidP="00C83864">
      <w:r w:rsidRPr="00B53F89">
        <w:t xml:space="preserve">To implement </w:t>
      </w:r>
      <w:r w:rsidR="006108AA" w:rsidRPr="00B53F89">
        <w:t xml:space="preserve">the </w:t>
      </w:r>
      <w:r w:rsidRPr="00B53F89">
        <w:t xml:space="preserve">recommendations of Spectrum Pricing Review, the ACMA </w:t>
      </w:r>
      <w:r w:rsidR="00C775FE" w:rsidRPr="00B53F89">
        <w:t>has</w:t>
      </w:r>
      <w:r w:rsidRPr="00B53F89">
        <w:t xml:space="preserve"> initiate</w:t>
      </w:r>
      <w:r w:rsidR="00C775FE" w:rsidRPr="00B53F89">
        <w:t>d</w:t>
      </w:r>
      <w:r w:rsidRPr="00B53F89">
        <w:t xml:space="preserve"> four substantive programs of work:</w:t>
      </w:r>
    </w:p>
    <w:p w14:paraId="16847B85" w14:textId="3F136D7F" w:rsidR="00110E5C" w:rsidRPr="00B53F89" w:rsidRDefault="00110E5C" w:rsidP="00C83864">
      <w:pPr>
        <w:pStyle w:val="ListBullet"/>
        <w:keepNext w:val="0"/>
        <w:keepLines w:val="0"/>
        <w:ind w:left="284" w:hanging="284"/>
      </w:pPr>
      <w:r w:rsidRPr="00B53F89">
        <w:t>further identify bands to transition from administratively set charges to competitive market-based allocation in its annual work program</w:t>
      </w:r>
      <w:r w:rsidR="00FF7E28" w:rsidRPr="00B53F89">
        <w:t xml:space="preserve"> </w:t>
      </w:r>
      <w:r w:rsidR="00FB4044" w:rsidRPr="00B53F89">
        <w:t>(currently</w:t>
      </w:r>
      <w:r w:rsidR="00F74C20" w:rsidRPr="00B53F89">
        <w:t xml:space="preserve"> the FYSO</w:t>
      </w:r>
      <w:r w:rsidR="00FB4044" w:rsidRPr="00B53F89">
        <w:t>)</w:t>
      </w:r>
      <w:r w:rsidRPr="00B53F89">
        <w:t xml:space="preserve"> (recommendation 4)</w:t>
      </w:r>
      <w:r w:rsidR="00066B73" w:rsidRPr="00B53F89">
        <w:t>. For more information on timing of these initiatives, please see the Forward Allocation Work Plan outlined in this FYSO.</w:t>
      </w:r>
    </w:p>
    <w:p w14:paraId="73836CE3" w14:textId="7284F10C" w:rsidR="00110E5C" w:rsidRPr="00B53F89" w:rsidRDefault="00110E5C" w:rsidP="00C83864">
      <w:pPr>
        <w:pStyle w:val="ListBullet"/>
        <w:keepNext w:val="0"/>
        <w:keepLines w:val="0"/>
        <w:ind w:left="284" w:hanging="284"/>
      </w:pPr>
      <w:r w:rsidRPr="00B53F89">
        <w:t>develop</w:t>
      </w:r>
      <w:r w:rsidR="007E055A" w:rsidRPr="00B53F89">
        <w:t xml:space="preserve"> and publi</w:t>
      </w:r>
      <w:r w:rsidR="00CD0046" w:rsidRPr="00B53F89">
        <w:t>sh</w:t>
      </w:r>
      <w:r w:rsidRPr="00B53F89">
        <w:t xml:space="preserve"> Spectrum Pricing Guidelines to provide better transparency and help licensees better understand how the ACMA approaches spectrum pricing (recommendation 1)</w:t>
      </w:r>
      <w:r w:rsidR="00EB7076" w:rsidRPr="00B53F89">
        <w:t>. The ACMA expects to consult on these guidelines in Q</w:t>
      </w:r>
      <w:r w:rsidR="00B417A7" w:rsidRPr="00B53F89">
        <w:t>4</w:t>
      </w:r>
      <w:r w:rsidR="00EB7076" w:rsidRPr="00B53F89">
        <w:t xml:space="preserve"> 2019.</w:t>
      </w:r>
    </w:p>
    <w:p w14:paraId="13F53CEC" w14:textId="4696F3A5" w:rsidR="00110E5C" w:rsidRPr="00B53F89" w:rsidRDefault="00110E5C" w:rsidP="00C83864">
      <w:pPr>
        <w:pStyle w:val="ListBullet"/>
        <w:keepNext w:val="0"/>
        <w:keepLines w:val="0"/>
        <w:ind w:left="284" w:hanging="284"/>
      </w:pPr>
      <w:r w:rsidRPr="00B53F89">
        <w:t xml:space="preserve">review how the ACMA administratively prices spectrum and the formula used to set many of the current apparatus licence taxes. There is potential to improve the ACMA’s administrative pricing of spectrum </w:t>
      </w:r>
      <w:r w:rsidR="00CD0046" w:rsidRPr="00B53F89">
        <w:t>to</w:t>
      </w:r>
      <w:r w:rsidRPr="00B53F89">
        <w:t xml:space="preserve"> more closely reflect market value through approaches</w:t>
      </w:r>
      <w:r w:rsidR="00990D9B" w:rsidRPr="00B53F89">
        <w:t>,</w:t>
      </w:r>
      <w:r w:rsidRPr="00B53F89">
        <w:t xml:space="preserve"> such as opportunity-cost</w:t>
      </w:r>
      <w:r w:rsidR="00CD0046" w:rsidRPr="00B53F89">
        <w:t>-</w:t>
      </w:r>
      <w:r w:rsidRPr="00B53F89">
        <w:t>based pricing (recommendations 7 and 8)</w:t>
      </w:r>
      <w:r w:rsidR="00F74C20" w:rsidRPr="00B53F89">
        <w:t>. Th</w:t>
      </w:r>
      <w:r w:rsidR="00FB4044" w:rsidRPr="00B53F89">
        <w:t>e</w:t>
      </w:r>
      <w:r w:rsidR="00F74C20" w:rsidRPr="00B53F89">
        <w:t xml:space="preserve"> </w:t>
      </w:r>
      <w:r w:rsidR="00D61EDE" w:rsidRPr="00B53F89">
        <w:t xml:space="preserve">principles guiding this review </w:t>
      </w:r>
      <w:r w:rsidR="00F74C20" w:rsidRPr="00B53F89">
        <w:t>will be part of the Spectrum Pricing Guidelines</w:t>
      </w:r>
      <w:r w:rsidR="00901F9A" w:rsidRPr="00B53F89">
        <w:t xml:space="preserve">. It is proposed that </w:t>
      </w:r>
      <w:r w:rsidR="00B31EC3" w:rsidRPr="00B53F89">
        <w:t>draft</w:t>
      </w:r>
      <w:r w:rsidR="00901F9A" w:rsidRPr="00B53F89">
        <w:t xml:space="preserve"> </w:t>
      </w:r>
      <w:r w:rsidR="00066B73" w:rsidRPr="00B53F89">
        <w:t>guidelines</w:t>
      </w:r>
      <w:r w:rsidR="00901F9A" w:rsidRPr="00B53F89">
        <w:t xml:space="preserve"> and the ACMA’s proposed approach </w:t>
      </w:r>
      <w:r w:rsidR="00901F9A" w:rsidRPr="00B53F89">
        <w:lastRenderedPageBreak/>
        <w:t>to implementing the Spectrum Pricing Review will</w:t>
      </w:r>
      <w:r w:rsidR="00F74C20" w:rsidRPr="00B53F89">
        <w:t xml:space="preserve"> </w:t>
      </w:r>
      <w:r w:rsidR="00B31EC3" w:rsidRPr="00B53F89">
        <w:t xml:space="preserve">released for </w:t>
      </w:r>
      <w:r w:rsidR="00F74C20" w:rsidRPr="00B53F89">
        <w:t>consult</w:t>
      </w:r>
      <w:r w:rsidR="00B31EC3" w:rsidRPr="00B53F89">
        <w:t>ation</w:t>
      </w:r>
      <w:r w:rsidR="00F74C20" w:rsidRPr="00B53F89">
        <w:t xml:space="preserve"> in </w:t>
      </w:r>
      <w:bookmarkStart w:id="496" w:name="_Hlk3287758"/>
      <w:r w:rsidR="00F74C20" w:rsidRPr="00B53F89">
        <w:t>Q</w:t>
      </w:r>
      <w:r w:rsidR="00B417A7" w:rsidRPr="00B53F89">
        <w:t>4</w:t>
      </w:r>
      <w:r w:rsidR="00F74C20" w:rsidRPr="00B53F89">
        <w:t xml:space="preserve"> 2019.</w:t>
      </w:r>
      <w:bookmarkEnd w:id="496"/>
      <w:r w:rsidR="00D61EDE" w:rsidRPr="00B53F89">
        <w:t xml:space="preserve"> </w:t>
      </w:r>
      <w:r w:rsidR="00B31EC3" w:rsidRPr="00B53F89">
        <w:t>In Q2 2020, t</w:t>
      </w:r>
      <w:r w:rsidR="00D61EDE" w:rsidRPr="00B53F89">
        <w:t xml:space="preserve">he ACMA will then consult on </w:t>
      </w:r>
      <w:r w:rsidR="00B31EC3" w:rsidRPr="00B53F89">
        <w:t xml:space="preserve">the detail of </w:t>
      </w:r>
      <w:r w:rsidR="00D61EDE" w:rsidRPr="00B53F89">
        <w:t xml:space="preserve">reflecting these principles in a new formula. </w:t>
      </w:r>
    </w:p>
    <w:p w14:paraId="422EF856" w14:textId="36F5697E" w:rsidR="00110E5C" w:rsidRPr="00B53F89" w:rsidRDefault="00A9339E" w:rsidP="00C83864">
      <w:pPr>
        <w:pStyle w:val="ListBulletLast"/>
        <w:keepNext/>
        <w:keepLines/>
        <w:ind w:left="284" w:hanging="284"/>
      </w:pPr>
      <w:bookmarkStart w:id="497" w:name="_Hlk14447793"/>
      <w:r w:rsidRPr="00B53F89">
        <w:t>simplify</w:t>
      </w:r>
      <w:r w:rsidR="007E055A" w:rsidRPr="00B53F89">
        <w:t xml:space="preserve"> industry’s</w:t>
      </w:r>
      <w:r w:rsidRPr="00B53F89">
        <w:t xml:space="preserve"> </w:t>
      </w:r>
      <w:r w:rsidR="00385D4D" w:rsidRPr="00B53F89">
        <w:t xml:space="preserve">spectrum management </w:t>
      </w:r>
      <w:r w:rsidR="00110E5C" w:rsidRPr="00B53F89">
        <w:t xml:space="preserve">cost recovery arrangements </w:t>
      </w:r>
      <w:r w:rsidR="00385D4D" w:rsidRPr="00B53F89">
        <w:t>to be consistent with the Australian Government Charging Framework</w:t>
      </w:r>
      <w:r w:rsidR="007E055A" w:rsidRPr="00B53F89">
        <w:t xml:space="preserve"> and make them more transparent</w:t>
      </w:r>
      <w:r w:rsidR="00385D4D" w:rsidRPr="00B53F89">
        <w:t xml:space="preserve">. </w:t>
      </w:r>
      <w:bookmarkStart w:id="498" w:name="_Hlk14447912"/>
      <w:r w:rsidR="0096499A" w:rsidRPr="00B53F89">
        <w:t xml:space="preserve">The ACMA proposes to consult on </w:t>
      </w:r>
      <w:r w:rsidR="003C3B05" w:rsidRPr="00B53F89">
        <w:t xml:space="preserve">potential </w:t>
      </w:r>
      <w:r w:rsidR="0096499A" w:rsidRPr="00B53F89">
        <w:t>new cost recovery proposals in Q</w:t>
      </w:r>
      <w:r w:rsidR="008F64F4" w:rsidRPr="00B53F89">
        <w:t>4</w:t>
      </w:r>
      <w:r w:rsidR="0096499A" w:rsidRPr="00B53F89">
        <w:t xml:space="preserve"> 2019.</w:t>
      </w:r>
      <w:bookmarkEnd w:id="498"/>
    </w:p>
    <w:p w14:paraId="6990AB85" w14:textId="65480143" w:rsidR="00385D4D" w:rsidRPr="00B53F89" w:rsidRDefault="00385D4D" w:rsidP="00DE694D">
      <w:bookmarkStart w:id="499" w:name="_Hlk1405093"/>
      <w:bookmarkStart w:id="500" w:name="_Hlk16243830"/>
      <w:bookmarkEnd w:id="497"/>
      <w:r w:rsidRPr="00B53F89">
        <w:t xml:space="preserve">The ACMA intends to consult on new approaches to pricing in </w:t>
      </w:r>
      <w:r w:rsidR="00F347D6" w:rsidRPr="00B53F89">
        <w:t>Q</w:t>
      </w:r>
      <w:r w:rsidR="00B417A7" w:rsidRPr="00B53F89">
        <w:t>4</w:t>
      </w:r>
      <w:r w:rsidR="00F347D6" w:rsidRPr="00B53F89">
        <w:t xml:space="preserve"> </w:t>
      </w:r>
      <w:r w:rsidR="00C775FE" w:rsidRPr="00B53F89">
        <w:t>201</w:t>
      </w:r>
      <w:r w:rsidR="000E3CE7" w:rsidRPr="00B53F89">
        <w:t>9</w:t>
      </w:r>
      <w:r w:rsidRPr="00B53F89">
        <w:t xml:space="preserve"> with a view to new arrangements being implemented over the course of 2020</w:t>
      </w:r>
      <w:r w:rsidR="000E3CE7" w:rsidRPr="00B53F89">
        <w:t xml:space="preserve"> and 2021</w:t>
      </w:r>
      <w:r w:rsidRPr="00B53F89">
        <w:t xml:space="preserve">. </w:t>
      </w:r>
    </w:p>
    <w:p w14:paraId="79E9DA4C" w14:textId="6A3AA5B6" w:rsidR="00110E5C" w:rsidRPr="00B53F89" w:rsidRDefault="00110E5C" w:rsidP="00596594">
      <w:pPr>
        <w:pStyle w:val="Heading3"/>
      </w:pPr>
      <w:bookmarkStart w:id="501" w:name="_Toc18505589"/>
      <w:bookmarkEnd w:id="499"/>
      <w:bookmarkEnd w:id="500"/>
      <w:r w:rsidRPr="00B53F89">
        <w:t>Commercial broadcast</w:t>
      </w:r>
      <w:r w:rsidR="00943FF9" w:rsidRPr="00B53F89">
        <w:t>ing</w:t>
      </w:r>
      <w:r w:rsidRPr="00B53F89">
        <w:t xml:space="preserve"> taxes</w:t>
      </w:r>
      <w:bookmarkEnd w:id="501"/>
    </w:p>
    <w:p w14:paraId="77D6700A" w14:textId="4445D1D1" w:rsidR="00F342D2" w:rsidRPr="00B53F89" w:rsidRDefault="009477C8">
      <w:r w:rsidRPr="00B53F89">
        <w:t xml:space="preserve">The </w:t>
      </w:r>
      <w:r w:rsidR="0094669F" w:rsidRPr="00B53F89">
        <w:t xml:space="preserve">ACMA </w:t>
      </w:r>
      <w:r w:rsidRPr="00B53F89">
        <w:t xml:space="preserve">will continue assessing commercial broadcast taxes </w:t>
      </w:r>
      <w:r w:rsidR="00362799" w:rsidRPr="00B53F89">
        <w:t>on an ongoing basis as apparatus licences associated with a commercial broadcast service</w:t>
      </w:r>
      <w:r w:rsidR="000E3CE7" w:rsidRPr="00B53F89">
        <w:t>s</w:t>
      </w:r>
      <w:r w:rsidR="00362799" w:rsidRPr="00B53F89">
        <w:t xml:space="preserve"> pass </w:t>
      </w:r>
      <w:r w:rsidR="005A09C8" w:rsidRPr="00B53F89">
        <w:t>their</w:t>
      </w:r>
      <w:r w:rsidR="00362799" w:rsidRPr="00B53F89">
        <w:t xml:space="preserve"> anniversary date</w:t>
      </w:r>
      <w:r w:rsidR="005A09C8" w:rsidRPr="00B53F89">
        <w:t>s</w:t>
      </w:r>
      <w:r w:rsidR="00F342D2" w:rsidRPr="00B53F89">
        <w:t>.</w:t>
      </w:r>
      <w:r w:rsidR="007E08F4" w:rsidRPr="00B53F89">
        <w:t xml:space="preserve"> To assist with planning of payments of tax assessments, early in Q3 2019 the ACMA provided all commercial broadcasters with estimates of their tax assessments for the financial year.</w:t>
      </w:r>
    </w:p>
    <w:p w14:paraId="7895377A" w14:textId="20B8BE93" w:rsidR="00F342D2" w:rsidRPr="00B53F89" w:rsidRDefault="00F342D2">
      <w:r w:rsidRPr="00B53F89">
        <w:t>After 30 June 2019, the ACMA must conduct a review of</w:t>
      </w:r>
      <w:r w:rsidR="00943FF9" w:rsidRPr="00B53F89">
        <w:t xml:space="preserve"> matters relating to</w:t>
      </w:r>
      <w:r w:rsidRPr="00B53F89">
        <w:t xml:space="preserve"> the </w:t>
      </w:r>
      <w:hyperlink r:id="rId137" w:history="1">
        <w:r w:rsidRPr="00B53F89">
          <w:rPr>
            <w:rStyle w:val="Hyperlink"/>
            <w:i/>
          </w:rPr>
          <w:t>Commercial Broadcasting (Tax) Act 2017</w:t>
        </w:r>
      </w:hyperlink>
      <w:r w:rsidRPr="00B53F89">
        <w:rPr>
          <w:i/>
        </w:rPr>
        <w:t>.</w:t>
      </w:r>
      <w:r w:rsidRPr="00B53F89">
        <w:t xml:space="preserve"> </w:t>
      </w:r>
      <w:bookmarkStart w:id="502" w:name="_Hlk2682401"/>
      <w:bookmarkStart w:id="503" w:name="_Hlk16243927"/>
      <w:r w:rsidR="007E08F4" w:rsidRPr="00B53F89">
        <w:t xml:space="preserve">The scope of the review is being considered. The ACMA expects to </w:t>
      </w:r>
      <w:r w:rsidRPr="00B53F89">
        <w:t xml:space="preserve">make announcements </w:t>
      </w:r>
      <w:r w:rsidR="00A713EB" w:rsidRPr="00B53F89">
        <w:t>in Q4 2019</w:t>
      </w:r>
      <w:r w:rsidRPr="00B53F89">
        <w:t>.</w:t>
      </w:r>
      <w:r w:rsidR="00362799" w:rsidRPr="00B53F89">
        <w:t xml:space="preserve"> </w:t>
      </w:r>
      <w:bookmarkEnd w:id="502"/>
      <w:bookmarkEnd w:id="503"/>
    </w:p>
    <w:p w14:paraId="05A2765C" w14:textId="649C62D3" w:rsidR="00385D4D" w:rsidRPr="00B53F89" w:rsidRDefault="00385D4D" w:rsidP="00596594">
      <w:pPr>
        <w:pStyle w:val="Heading3"/>
      </w:pPr>
      <w:bookmarkStart w:id="504" w:name="_Toc18505590"/>
      <w:r w:rsidRPr="00B53F89">
        <w:t>Other pricing updates</w:t>
      </w:r>
      <w:bookmarkEnd w:id="504"/>
    </w:p>
    <w:p w14:paraId="3277AC03" w14:textId="677E91C5" w:rsidR="009E7038" w:rsidRPr="00B53F89" w:rsidRDefault="009E7038" w:rsidP="009E7038">
      <w:r w:rsidRPr="00B53F89">
        <w:rPr>
          <w:rFonts w:cs="Arial"/>
          <w:szCs w:val="20"/>
        </w:rPr>
        <w:t>As part of the ACMA’s opportunity</w:t>
      </w:r>
      <w:r w:rsidR="00CD0046" w:rsidRPr="00B53F89">
        <w:rPr>
          <w:rFonts w:cs="Arial"/>
          <w:szCs w:val="20"/>
        </w:rPr>
        <w:t>-</w:t>
      </w:r>
      <w:r w:rsidRPr="00B53F89">
        <w:rPr>
          <w:rFonts w:cs="Arial"/>
          <w:szCs w:val="20"/>
        </w:rPr>
        <w:t>cost</w:t>
      </w:r>
      <w:r w:rsidR="00CD0046" w:rsidRPr="00B53F89">
        <w:rPr>
          <w:rFonts w:cs="Arial"/>
          <w:szCs w:val="20"/>
        </w:rPr>
        <w:t>-based</w:t>
      </w:r>
      <w:r w:rsidRPr="00B53F89">
        <w:rPr>
          <w:rFonts w:cs="Arial"/>
          <w:szCs w:val="20"/>
        </w:rPr>
        <w:t xml:space="preserve"> pricing work</w:t>
      </w:r>
      <w:r w:rsidR="00CD0046" w:rsidRPr="00B53F89">
        <w:rPr>
          <w:rFonts w:cs="Arial"/>
          <w:szCs w:val="20"/>
        </w:rPr>
        <w:t>,</w:t>
      </w:r>
      <w:r w:rsidRPr="00B53F89">
        <w:rPr>
          <w:rFonts w:cs="Arial"/>
          <w:szCs w:val="20"/>
        </w:rPr>
        <w:t xml:space="preserve"> the ACMA developed a monitoring framework for the </w:t>
      </w:r>
      <w:r w:rsidR="006B791A" w:rsidRPr="00B53F89">
        <w:rPr>
          <w:rFonts w:cs="Arial"/>
          <w:szCs w:val="20"/>
        </w:rPr>
        <w:t xml:space="preserve">400 MHz </w:t>
      </w:r>
      <w:r w:rsidRPr="00B53F89">
        <w:rPr>
          <w:rFonts w:cs="Arial"/>
          <w:szCs w:val="20"/>
        </w:rPr>
        <w:t>band. This monitoring will continue on a semi</w:t>
      </w:r>
      <w:r w:rsidR="007F123E" w:rsidRPr="00B53F89">
        <w:rPr>
          <w:rFonts w:cs="Arial"/>
          <w:szCs w:val="20"/>
        </w:rPr>
        <w:t>-</w:t>
      </w:r>
      <w:r w:rsidRPr="00B53F89">
        <w:rPr>
          <w:rFonts w:cs="Arial"/>
          <w:szCs w:val="20"/>
        </w:rPr>
        <w:t xml:space="preserve">regular basis. It is expected that consultation </w:t>
      </w:r>
      <w:r w:rsidR="00040D68" w:rsidRPr="00B53F89">
        <w:rPr>
          <w:rFonts w:cs="Arial"/>
          <w:szCs w:val="20"/>
        </w:rPr>
        <w:t>on further price increases</w:t>
      </w:r>
      <w:r w:rsidR="00165F48" w:rsidRPr="00B53F89">
        <w:rPr>
          <w:rFonts w:cs="Arial"/>
          <w:szCs w:val="20"/>
        </w:rPr>
        <w:t xml:space="preserve"> </w:t>
      </w:r>
      <w:r w:rsidRPr="00B53F89">
        <w:rPr>
          <w:rFonts w:cs="Arial"/>
          <w:szCs w:val="20"/>
        </w:rPr>
        <w:t>will only occur if there is evidence suggesting that demand is increasing and there is congestion in the band.</w:t>
      </w:r>
    </w:p>
    <w:p w14:paraId="309BEAE8" w14:textId="5BE1D7D7" w:rsidR="008A08D8" w:rsidRPr="00B53F89" w:rsidRDefault="00BA34A4" w:rsidP="00BA34A4">
      <w:pPr>
        <w:rPr>
          <w:szCs w:val="20"/>
        </w:rPr>
      </w:pPr>
      <w:r w:rsidRPr="00B53F89">
        <w:t xml:space="preserve">Feedback to the </w:t>
      </w:r>
      <w:r w:rsidR="00E845F2" w:rsidRPr="00B53F89">
        <w:t xml:space="preserve">draft </w:t>
      </w:r>
      <w:r w:rsidRPr="00B53F89">
        <w:t xml:space="preserve">FYSO </w:t>
      </w:r>
      <w:r w:rsidR="00E845F2" w:rsidRPr="00B53F89">
        <w:t>2019</w:t>
      </w:r>
      <w:r w:rsidR="00CD0046" w:rsidRPr="00B53F89">
        <w:t>–</w:t>
      </w:r>
      <w:r w:rsidR="00E845F2" w:rsidRPr="00B53F89">
        <w:t xml:space="preserve">23 </w:t>
      </w:r>
      <w:r w:rsidR="00F16D44" w:rsidRPr="00B53F89">
        <w:t xml:space="preserve">included discussion of </w:t>
      </w:r>
      <w:r w:rsidRPr="00B53F89">
        <w:t xml:space="preserve">potential changes to apparatus licence taxes and the flagging of information about reviews. </w:t>
      </w:r>
      <w:r w:rsidR="00CD0046" w:rsidRPr="00B53F89">
        <w:t>Several</w:t>
      </w:r>
      <w:r w:rsidRPr="00B53F89">
        <w:t xml:space="preserve"> submissions suggested that the ACMA should review spectrum pricing for particular services</w:t>
      </w:r>
      <w:r w:rsidR="009637AD" w:rsidRPr="00B53F89">
        <w:t>—</w:t>
      </w:r>
      <w:r w:rsidRPr="00B53F89">
        <w:t xml:space="preserve">such as satellite services in </w:t>
      </w:r>
      <w:r w:rsidRPr="00B53F89">
        <w:rPr>
          <w:szCs w:val="20"/>
        </w:rPr>
        <w:t>Ka and Ku</w:t>
      </w:r>
      <w:r w:rsidR="00301CA0" w:rsidRPr="00B53F89">
        <w:rPr>
          <w:szCs w:val="20"/>
        </w:rPr>
        <w:t xml:space="preserve"> </w:t>
      </w:r>
      <w:r w:rsidRPr="00B53F89">
        <w:rPr>
          <w:szCs w:val="20"/>
        </w:rPr>
        <w:t xml:space="preserve">bands, </w:t>
      </w:r>
      <w:r w:rsidR="005D29BD" w:rsidRPr="00B53F89">
        <w:rPr>
          <w:szCs w:val="20"/>
        </w:rPr>
        <w:t>open narrowcasting</w:t>
      </w:r>
      <w:r w:rsidRPr="00B53F89">
        <w:rPr>
          <w:szCs w:val="20"/>
        </w:rPr>
        <w:t xml:space="preserve"> services</w:t>
      </w:r>
      <w:r w:rsidR="00CD6F92" w:rsidRPr="00B53F89">
        <w:rPr>
          <w:szCs w:val="20"/>
        </w:rPr>
        <w:t>,</w:t>
      </w:r>
      <w:r w:rsidRPr="00B53F89">
        <w:rPr>
          <w:szCs w:val="20"/>
        </w:rPr>
        <w:t xml:space="preserve"> scientific licensing for 5G services</w:t>
      </w:r>
      <w:r w:rsidR="00CD6F92" w:rsidRPr="00B53F89">
        <w:rPr>
          <w:szCs w:val="20"/>
        </w:rPr>
        <w:t xml:space="preserve"> and scientific purposes and for services above 6</w:t>
      </w:r>
      <w:r w:rsidR="00F16D44" w:rsidRPr="00B53F89">
        <w:rPr>
          <w:szCs w:val="20"/>
        </w:rPr>
        <w:t> </w:t>
      </w:r>
      <w:r w:rsidR="00CD6F92" w:rsidRPr="00B53F89">
        <w:rPr>
          <w:szCs w:val="20"/>
        </w:rPr>
        <w:t>GHz which require large bandwidths and multiple sites</w:t>
      </w:r>
      <w:r w:rsidRPr="00B53F89">
        <w:rPr>
          <w:szCs w:val="20"/>
        </w:rPr>
        <w:t xml:space="preserve">. </w:t>
      </w:r>
    </w:p>
    <w:p w14:paraId="3182B046" w14:textId="22201D61" w:rsidR="005A16BD" w:rsidRPr="00B53F89" w:rsidRDefault="00BF204E" w:rsidP="00BA34A4">
      <w:pPr>
        <w:rPr>
          <w:szCs w:val="20"/>
        </w:rPr>
      </w:pPr>
      <w:r w:rsidRPr="00B53F89">
        <w:rPr>
          <w:szCs w:val="20"/>
        </w:rPr>
        <w:t>In o</w:t>
      </w:r>
      <w:r w:rsidR="009477C8" w:rsidRPr="00B53F89">
        <w:rPr>
          <w:szCs w:val="20"/>
        </w:rPr>
        <w:t>ther consultation processes</w:t>
      </w:r>
      <w:r w:rsidR="00990D9B" w:rsidRPr="00B53F89">
        <w:rPr>
          <w:szCs w:val="20"/>
        </w:rPr>
        <w:t>,</w:t>
      </w:r>
      <w:r w:rsidR="009477C8" w:rsidRPr="00B53F89">
        <w:rPr>
          <w:szCs w:val="20"/>
        </w:rPr>
        <w:t xml:space="preserve"> such as the</w:t>
      </w:r>
      <w:r w:rsidR="00AC437D" w:rsidRPr="00B53F89">
        <w:rPr>
          <w:szCs w:val="20"/>
        </w:rPr>
        <w:t xml:space="preserve"> </w:t>
      </w:r>
      <w:hyperlink r:id="rId138" w:history="1">
        <w:r w:rsidRPr="006A2F04">
          <w:rPr>
            <w:rStyle w:val="Hyperlink"/>
            <w:rFonts w:cs="Arial"/>
            <w:i/>
            <w:iCs/>
            <w:bdr w:val="none" w:sz="0" w:space="0" w:color="auto" w:frame="1"/>
            <w:shd w:val="clear" w:color="auto" w:fill="FFFFFF"/>
          </w:rPr>
          <w:t>Spectrum planning for the 28 GHz band</w:t>
        </w:r>
      </w:hyperlink>
      <w:r w:rsidR="009477C8" w:rsidRPr="00B53F89">
        <w:rPr>
          <w:rFonts w:cs="Arial"/>
          <w:szCs w:val="20"/>
        </w:rPr>
        <w:t xml:space="preserve"> paper</w:t>
      </w:r>
      <w:r w:rsidR="009637AD" w:rsidRPr="00B53F89">
        <w:rPr>
          <w:rFonts w:cs="Arial"/>
          <w:szCs w:val="20"/>
        </w:rPr>
        <w:t xml:space="preserve"> from September 2018</w:t>
      </w:r>
      <w:r w:rsidR="000E3CE7" w:rsidRPr="00B53F89">
        <w:rPr>
          <w:rFonts w:cs="Arial"/>
          <w:szCs w:val="20"/>
        </w:rPr>
        <w:t>,</w:t>
      </w:r>
      <w:r w:rsidRPr="00B53F89">
        <w:rPr>
          <w:rFonts w:cs="Arial"/>
          <w:szCs w:val="20"/>
        </w:rPr>
        <w:t xml:space="preserve"> </w:t>
      </w:r>
      <w:r w:rsidR="000165A6" w:rsidRPr="00B53F89">
        <w:rPr>
          <w:rFonts w:cs="Arial"/>
          <w:szCs w:val="20"/>
        </w:rPr>
        <w:t xml:space="preserve">it was </w:t>
      </w:r>
      <w:r w:rsidRPr="00B53F89">
        <w:rPr>
          <w:rFonts w:cs="Arial"/>
          <w:szCs w:val="20"/>
        </w:rPr>
        <w:t xml:space="preserve">proposed </w:t>
      </w:r>
      <w:r w:rsidR="000165A6" w:rsidRPr="00B53F89">
        <w:rPr>
          <w:rFonts w:cs="Arial"/>
          <w:szCs w:val="20"/>
        </w:rPr>
        <w:t xml:space="preserve">by a stakeholder </w:t>
      </w:r>
      <w:r w:rsidRPr="00B53F89">
        <w:rPr>
          <w:rFonts w:cs="Arial"/>
          <w:szCs w:val="20"/>
        </w:rPr>
        <w:t>that the ACMA c</w:t>
      </w:r>
      <w:r w:rsidRPr="00B53F89">
        <w:rPr>
          <w:szCs w:val="20"/>
        </w:rPr>
        <w:t>onsider alternative pricing arrangements for fixed link services.</w:t>
      </w:r>
    </w:p>
    <w:p w14:paraId="76032AB0" w14:textId="115486F3" w:rsidR="00BA34A4" w:rsidRPr="00B53F89" w:rsidRDefault="00BA34A4" w:rsidP="00BA34A4">
      <w:pPr>
        <w:rPr>
          <w:szCs w:val="20"/>
        </w:rPr>
      </w:pPr>
      <w:r w:rsidRPr="00B53F89">
        <w:rPr>
          <w:szCs w:val="20"/>
        </w:rPr>
        <w:t>The ACMA</w:t>
      </w:r>
      <w:r w:rsidR="003A645A" w:rsidRPr="00B53F89">
        <w:rPr>
          <w:szCs w:val="20"/>
        </w:rPr>
        <w:t xml:space="preserve">’s view is </w:t>
      </w:r>
      <w:r w:rsidRPr="00B53F89">
        <w:rPr>
          <w:szCs w:val="20"/>
        </w:rPr>
        <w:t xml:space="preserve">that </w:t>
      </w:r>
      <w:r w:rsidR="00385D4D" w:rsidRPr="00B53F89">
        <w:rPr>
          <w:szCs w:val="20"/>
        </w:rPr>
        <w:t xml:space="preserve">implementation </w:t>
      </w:r>
      <w:r w:rsidRPr="00B53F89">
        <w:rPr>
          <w:szCs w:val="20"/>
        </w:rPr>
        <w:t xml:space="preserve">of the Spectrum Pricing Review </w:t>
      </w:r>
      <w:r w:rsidR="003A645A" w:rsidRPr="00B53F89">
        <w:rPr>
          <w:szCs w:val="20"/>
        </w:rPr>
        <w:t xml:space="preserve">across all spectrum pricing arrangements is the best way to </w:t>
      </w:r>
      <w:r w:rsidRPr="00B53F89">
        <w:rPr>
          <w:szCs w:val="20"/>
        </w:rPr>
        <w:t xml:space="preserve">address pricing </w:t>
      </w:r>
      <w:r w:rsidR="003A645A" w:rsidRPr="00B53F89">
        <w:rPr>
          <w:szCs w:val="20"/>
        </w:rPr>
        <w:t xml:space="preserve">concerns recently raised regarding specific </w:t>
      </w:r>
      <w:r w:rsidRPr="00B53F89">
        <w:rPr>
          <w:szCs w:val="20"/>
        </w:rPr>
        <w:t xml:space="preserve">industries and spectrum bands. </w:t>
      </w:r>
    </w:p>
    <w:p w14:paraId="72899938" w14:textId="4513DBD1" w:rsidR="00D3495C" w:rsidRPr="00B53F89" w:rsidRDefault="00E41300">
      <w:r w:rsidRPr="00B53F89">
        <w:t xml:space="preserve">The ACMA will continue to </w:t>
      </w:r>
      <w:r w:rsidR="00E30A83" w:rsidRPr="00B53F89">
        <w:t xml:space="preserve">consider </w:t>
      </w:r>
      <w:r w:rsidRPr="00B53F89">
        <w:t xml:space="preserve">changes to the apparatus licence tax regime to account for </w:t>
      </w:r>
      <w:r w:rsidR="0069057D" w:rsidRPr="00B53F89">
        <w:t xml:space="preserve">routine </w:t>
      </w:r>
      <w:r w:rsidRPr="00B53F89">
        <w:t>matters including adjusting taxes for inflation.</w:t>
      </w:r>
      <w:r w:rsidR="006C6342" w:rsidRPr="00B53F89">
        <w:t xml:space="preserve"> </w:t>
      </w:r>
      <w:r w:rsidR="00CD0046" w:rsidRPr="00B53F89">
        <w:t>T</w:t>
      </w:r>
      <w:r w:rsidR="006C6342" w:rsidRPr="00B53F89">
        <w:t>he ACMA will also consult on a proposal</w:t>
      </w:r>
      <w:r w:rsidR="00E30A83" w:rsidRPr="00B53F89">
        <w:t xml:space="preserve"> to remove a </w:t>
      </w:r>
      <w:r w:rsidR="00B45DAB" w:rsidRPr="00B53F89">
        <w:t>‘</w:t>
      </w:r>
      <w:r w:rsidR="00E30A83" w:rsidRPr="00B53F89">
        <w:t>freeze</w:t>
      </w:r>
      <w:r w:rsidR="00B45DAB" w:rsidRPr="00B53F89">
        <w:t>’</w:t>
      </w:r>
      <w:r w:rsidR="00E30A83" w:rsidRPr="00B53F89">
        <w:t xml:space="preserve"> on apparatus licence taxes relating to fixed services below 960 MHz in remote density areas. </w:t>
      </w:r>
      <w:r w:rsidR="006B1A31" w:rsidRPr="00B53F89">
        <w:t>T</w:t>
      </w:r>
      <w:r w:rsidR="00E30A83" w:rsidRPr="00B53F89">
        <w:t xml:space="preserve">he ACMA considers it </w:t>
      </w:r>
      <w:r w:rsidR="006B1A31" w:rsidRPr="00B53F89">
        <w:t xml:space="preserve">is now </w:t>
      </w:r>
      <w:r w:rsidR="00E30A83" w:rsidRPr="00B53F89">
        <w:t>appropriate to consult on the proposal to remove the freeze</w:t>
      </w:r>
      <w:r w:rsidR="006B1A31" w:rsidRPr="00B53F89">
        <w:t xml:space="preserve"> as these taxes have remained unchanged since 2008</w:t>
      </w:r>
      <w:r w:rsidR="00E30A83" w:rsidRPr="00B53F89">
        <w:t>. It is expected that the ACMA will consult on both proposals in Q</w:t>
      </w:r>
      <w:r w:rsidR="00001D42" w:rsidRPr="00B53F89">
        <w:t>4</w:t>
      </w:r>
      <w:r w:rsidR="0069057D" w:rsidRPr="00B53F89">
        <w:t xml:space="preserve"> 20</w:t>
      </w:r>
      <w:r w:rsidR="00D54277" w:rsidRPr="00B53F89">
        <w:t>19</w:t>
      </w:r>
      <w:r w:rsidR="00E30A83" w:rsidRPr="00B53F89">
        <w:t>.</w:t>
      </w:r>
      <w:r w:rsidR="000B7EE9" w:rsidRPr="00B53F89">
        <w:t xml:space="preserve"> This consultation may be part of the consultation for the </w:t>
      </w:r>
      <w:r w:rsidR="00E845F2" w:rsidRPr="00B53F89">
        <w:t xml:space="preserve">implementation of the </w:t>
      </w:r>
      <w:r w:rsidR="000B7EE9" w:rsidRPr="00B53F89">
        <w:t>Spectrum Pricing Review.</w:t>
      </w:r>
    </w:p>
    <w:p w14:paraId="3952E714" w14:textId="01D30807" w:rsidR="00624407" w:rsidRPr="00B53F89" w:rsidRDefault="00624407" w:rsidP="00CF66CF">
      <w:pPr>
        <w:pageBreakBefore/>
        <w:spacing w:after="60"/>
      </w:pPr>
      <w:bookmarkStart w:id="505" w:name="_Toc510104994"/>
      <w:bookmarkStart w:id="506" w:name="_Toc510105791"/>
      <w:bookmarkStart w:id="507" w:name="_Toc510795125"/>
      <w:bookmarkStart w:id="508" w:name="_Toc511716327"/>
      <w:bookmarkStart w:id="509" w:name="_Toc511719138"/>
      <w:bookmarkStart w:id="510" w:name="_Toc522794131"/>
      <w:r w:rsidRPr="006A2F04">
        <w:rPr>
          <w:noProof/>
        </w:rPr>
        <w:lastRenderedPageBreak/>
        <w:drawing>
          <wp:inline distT="0" distB="0" distL="0" distR="0" wp14:anchorId="7F3942C6" wp14:editId="52C3A72E">
            <wp:extent cx="342900" cy="361950"/>
            <wp:effectExtent l="0" t="0" r="0" b="0"/>
            <wp:docPr id="134" name="Picture 134" descr="Wireless broadban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Wireless broadband icon"/>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r w:rsidRPr="006A2F04">
        <w:rPr>
          <w:noProof/>
        </w:rPr>
        <w:drawing>
          <wp:inline distT="0" distB="0" distL="0" distR="0" wp14:anchorId="17E79584" wp14:editId="2A5F9970">
            <wp:extent cx="342900" cy="361950"/>
            <wp:effectExtent l="0" t="0" r="0" b="0"/>
            <wp:docPr id="135" name="Picture 135" descr="Class licensing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lass licensing icon"/>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42900" cy="361950"/>
                    </a:xfrm>
                    <a:prstGeom prst="rect">
                      <a:avLst/>
                    </a:prstGeom>
                    <a:noFill/>
                    <a:ln>
                      <a:noFill/>
                    </a:ln>
                  </pic:spPr>
                </pic:pic>
              </a:graphicData>
            </a:graphic>
          </wp:inline>
        </w:drawing>
      </w:r>
    </w:p>
    <w:p w14:paraId="1567FC23" w14:textId="60265334" w:rsidR="00286D6B" w:rsidRPr="00B53F89" w:rsidRDefault="00286D6B" w:rsidP="00CF66CF">
      <w:pPr>
        <w:pStyle w:val="Heading1"/>
        <w:pageBreakBefore w:val="0"/>
      </w:pPr>
      <w:bookmarkStart w:id="511" w:name="_Toc18505591"/>
      <w:r w:rsidRPr="00B53F89">
        <w:t>Compliance and enforcement</w:t>
      </w:r>
      <w:bookmarkEnd w:id="505"/>
      <w:bookmarkEnd w:id="506"/>
      <w:bookmarkEnd w:id="507"/>
      <w:bookmarkEnd w:id="508"/>
      <w:bookmarkEnd w:id="509"/>
      <w:bookmarkEnd w:id="510"/>
      <w:bookmarkEnd w:id="511"/>
    </w:p>
    <w:p w14:paraId="4ABA363A" w14:textId="35BDE576" w:rsidR="001F307F" w:rsidRPr="00B53F89" w:rsidRDefault="00CE3083" w:rsidP="00E730C8">
      <w:pPr>
        <w:pStyle w:val="Heading2"/>
        <w:numPr>
          <w:ilvl w:val="0"/>
          <w:numId w:val="192"/>
        </w:numPr>
        <w:tabs>
          <w:tab w:val="num" w:pos="397"/>
        </w:tabs>
        <w:ind w:left="0" w:firstLine="0"/>
      </w:pPr>
      <w:bookmarkStart w:id="512" w:name="_Toc511716328"/>
      <w:bookmarkStart w:id="513" w:name="_Toc511719139"/>
      <w:bookmarkStart w:id="514" w:name="_Toc522794132"/>
      <w:bookmarkStart w:id="515" w:name="_Toc18505592"/>
      <w:bookmarkStart w:id="516" w:name="_Toc510104995"/>
      <w:bookmarkStart w:id="517" w:name="_Toc510105792"/>
      <w:bookmarkStart w:id="518" w:name="_Toc510795126"/>
      <w:r w:rsidRPr="00B53F89">
        <w:t>C</w:t>
      </w:r>
      <w:r w:rsidR="001F307F" w:rsidRPr="00B53F89">
        <w:t xml:space="preserve">ompliance </w:t>
      </w:r>
      <w:r w:rsidRPr="00B53F89">
        <w:t>priorities</w:t>
      </w:r>
      <w:bookmarkEnd w:id="512"/>
      <w:bookmarkEnd w:id="513"/>
      <w:bookmarkEnd w:id="514"/>
      <w:bookmarkEnd w:id="515"/>
    </w:p>
    <w:p w14:paraId="64BF1E0B" w14:textId="70113F8B" w:rsidR="001F307F" w:rsidRPr="00B53F89" w:rsidRDefault="001F307F" w:rsidP="00E63BF5">
      <w:r w:rsidRPr="00B53F89">
        <w:t xml:space="preserve">The ACMA’s </w:t>
      </w:r>
      <w:r w:rsidR="00844848" w:rsidRPr="00B53F89">
        <w:t>p</w:t>
      </w:r>
      <w:r w:rsidRPr="00B53F89">
        <w:t xml:space="preserve">riority </w:t>
      </w:r>
      <w:r w:rsidR="00844848" w:rsidRPr="00B53F89">
        <w:t>c</w:t>
      </w:r>
      <w:r w:rsidRPr="00B53F89">
        <w:t xml:space="preserve">ompliance </w:t>
      </w:r>
      <w:r w:rsidR="00844848" w:rsidRPr="00B53F89">
        <w:t>a</w:t>
      </w:r>
      <w:r w:rsidRPr="00B53F89">
        <w:t>rea (PCA) program commenced in 2012</w:t>
      </w:r>
      <w:r w:rsidR="006A26C9" w:rsidRPr="00B53F89">
        <w:t>–</w:t>
      </w:r>
      <w:r w:rsidRPr="00B53F89">
        <w:t xml:space="preserve">13 and </w:t>
      </w:r>
      <w:r w:rsidR="00AA64AA" w:rsidRPr="00B53F89">
        <w:t>has effectively guided</w:t>
      </w:r>
      <w:r w:rsidRPr="00B53F89">
        <w:t xml:space="preserve"> our approach to compliance and enforcement. Centred on a risk-based methodology, this program aim</w:t>
      </w:r>
      <w:r w:rsidR="00AA64AA" w:rsidRPr="00B53F89">
        <w:t>ed</w:t>
      </w:r>
      <w:r w:rsidRPr="00B53F89">
        <w:t xml:space="preserve"> to systematically identify and address high</w:t>
      </w:r>
      <w:r w:rsidR="006A26C9" w:rsidRPr="00B53F89">
        <w:t>-</w:t>
      </w:r>
      <w:r w:rsidRPr="00B53F89">
        <w:t>risk compliance issues</w:t>
      </w:r>
      <w:r w:rsidR="00545E0B" w:rsidRPr="00B53F89">
        <w:t xml:space="preserve"> by</w:t>
      </w:r>
      <w:r w:rsidRPr="00B53F89">
        <w:t xml:space="preserve"> </w:t>
      </w:r>
      <w:r w:rsidR="00545E0B" w:rsidRPr="00B53F89">
        <w:t xml:space="preserve">maximising </w:t>
      </w:r>
      <w:r w:rsidRPr="00B53F89">
        <w:t>the regulatory reach of the ACMA in a strategic and resource</w:t>
      </w:r>
      <w:r w:rsidR="00545E0B" w:rsidRPr="00B53F89">
        <w:t>-</w:t>
      </w:r>
      <w:r w:rsidRPr="00B53F89">
        <w:t xml:space="preserve">efficient manner. </w:t>
      </w:r>
    </w:p>
    <w:p w14:paraId="0D426E34" w14:textId="77777777" w:rsidR="003D7BE8" w:rsidRPr="00B53F89" w:rsidRDefault="003D7BE8" w:rsidP="003D7BE8">
      <w:r w:rsidRPr="00B53F89">
        <w:t>In April 2018, the ACMA consulted with industry through tune-ups held in Sydney and Melbourne on draft PCAs for 2018–19.</w:t>
      </w:r>
    </w:p>
    <w:p w14:paraId="12F07712" w14:textId="2E941CAA" w:rsidR="001F307F" w:rsidRPr="00B53F89" w:rsidRDefault="001F307F" w:rsidP="005759E7">
      <w:pPr>
        <w:spacing w:after="80"/>
      </w:pPr>
      <w:r w:rsidRPr="00B53F89">
        <w:t>PCAs are set annually. In 201</w:t>
      </w:r>
      <w:r w:rsidR="003D7BE8" w:rsidRPr="00B53F89">
        <w:t>8</w:t>
      </w:r>
      <w:r w:rsidR="006A26C9" w:rsidRPr="00B53F89">
        <w:t>–</w:t>
      </w:r>
      <w:r w:rsidRPr="00B53F89">
        <w:t>1</w:t>
      </w:r>
      <w:r w:rsidR="003D7BE8" w:rsidRPr="00B53F89">
        <w:t>9</w:t>
      </w:r>
      <w:r w:rsidRPr="00B53F89">
        <w:t>, the ACMA PCA programs focused on:</w:t>
      </w:r>
    </w:p>
    <w:p w14:paraId="14896A58" w14:textId="30EE832A" w:rsidR="00614686" w:rsidRPr="00B53F89" w:rsidRDefault="00DC674A" w:rsidP="00DE694D">
      <w:pPr>
        <w:pStyle w:val="ListBullet"/>
        <w:rPr>
          <w:color w:val="000000" w:themeColor="text1"/>
          <w:lang w:bidi="he-IL"/>
        </w:rPr>
      </w:pPr>
      <w:r w:rsidRPr="00B53F89">
        <w:rPr>
          <w:color w:val="000000" w:themeColor="text1"/>
        </w:rPr>
        <w:t>i</w:t>
      </w:r>
      <w:r w:rsidR="00614686" w:rsidRPr="00B53F89">
        <w:rPr>
          <w:color w:val="000000" w:themeColor="text1"/>
        </w:rPr>
        <w:t>nterference management</w:t>
      </w:r>
      <w:r w:rsidR="00614686" w:rsidRPr="00B53F89">
        <w:rPr>
          <w:snapToGrid w:val="0"/>
        </w:rPr>
        <w:t xml:space="preserve"> </w:t>
      </w:r>
    </w:p>
    <w:p w14:paraId="76C1678A" w14:textId="016882F2" w:rsidR="00614686" w:rsidRPr="00B53F89" w:rsidRDefault="00DC674A" w:rsidP="00DE694D">
      <w:pPr>
        <w:pStyle w:val="ListBullet"/>
        <w:rPr>
          <w:color w:val="000000" w:themeColor="text1"/>
        </w:rPr>
      </w:pPr>
      <w:r w:rsidRPr="00B53F89">
        <w:t>s</w:t>
      </w:r>
      <w:r w:rsidR="00614686" w:rsidRPr="00B53F89">
        <w:t xml:space="preserve">pectrum </w:t>
      </w:r>
      <w:r w:rsidRPr="00B53F89">
        <w:t>r</w:t>
      </w:r>
      <w:r w:rsidR="00614686" w:rsidRPr="00B53F89">
        <w:t xml:space="preserve">eview </w:t>
      </w:r>
      <w:r w:rsidR="00457F04" w:rsidRPr="00B53F89">
        <w:t>i</w:t>
      </w:r>
      <w:r w:rsidR="00614686" w:rsidRPr="00B53F89">
        <w:t>mplementation</w:t>
      </w:r>
    </w:p>
    <w:p w14:paraId="46ADEA8B" w14:textId="21743C42" w:rsidR="00614686" w:rsidRPr="00B53F89" w:rsidRDefault="00DC674A" w:rsidP="00DE694D">
      <w:pPr>
        <w:pStyle w:val="ListBullet"/>
      </w:pPr>
      <w:r w:rsidRPr="00B53F89">
        <w:t>l</w:t>
      </w:r>
      <w:r w:rsidR="00614686" w:rsidRPr="00B53F89">
        <w:t>icen</w:t>
      </w:r>
      <w:r w:rsidR="00A549A1" w:rsidRPr="00B53F89">
        <w:t>s</w:t>
      </w:r>
      <w:r w:rsidR="00614686" w:rsidRPr="00B53F89">
        <w:t xml:space="preserve">ing </w:t>
      </w:r>
      <w:r w:rsidR="00457F04" w:rsidRPr="00B53F89">
        <w:t>i</w:t>
      </w:r>
      <w:r w:rsidR="00614686" w:rsidRPr="00B53F89">
        <w:t xml:space="preserve">ntegrity. </w:t>
      </w:r>
    </w:p>
    <w:p w14:paraId="79D20B6D" w14:textId="36F3ECF9" w:rsidR="006B6F6E" w:rsidRPr="00B53F89" w:rsidRDefault="007A7B25" w:rsidP="005759E7">
      <w:pPr>
        <w:pStyle w:val="Heading2"/>
      </w:pPr>
      <w:bookmarkStart w:id="519" w:name="_Toc511716329"/>
      <w:bookmarkStart w:id="520" w:name="_Toc511719140"/>
      <w:bookmarkStart w:id="521" w:name="_Toc522794133"/>
      <w:bookmarkStart w:id="522" w:name="_Toc18505593"/>
      <w:r w:rsidRPr="00B53F89">
        <w:t>Progress achieved</w:t>
      </w:r>
      <w:bookmarkEnd w:id="516"/>
      <w:bookmarkEnd w:id="517"/>
      <w:bookmarkEnd w:id="518"/>
      <w:bookmarkEnd w:id="519"/>
      <w:bookmarkEnd w:id="520"/>
      <w:bookmarkEnd w:id="521"/>
      <w:bookmarkEnd w:id="522"/>
    </w:p>
    <w:p w14:paraId="0EE1D940" w14:textId="21919A65" w:rsidR="00DD7452" w:rsidRPr="00B53F89" w:rsidRDefault="00DD7452" w:rsidP="00DE694D">
      <w:pPr>
        <w:pStyle w:val="Heading3"/>
      </w:pPr>
      <w:bookmarkStart w:id="523" w:name="_Toc18505594"/>
      <w:r w:rsidRPr="00B53F89">
        <w:t>Licen</w:t>
      </w:r>
      <w:r w:rsidR="008D4926" w:rsidRPr="00B53F89">
        <w:t>s</w:t>
      </w:r>
      <w:r w:rsidRPr="00B53F89">
        <w:t xml:space="preserve">ing </w:t>
      </w:r>
      <w:r w:rsidR="00E73975" w:rsidRPr="00B53F89">
        <w:t>i</w:t>
      </w:r>
      <w:r w:rsidRPr="00B53F89">
        <w:t>ntegrity</w:t>
      </w:r>
      <w:bookmarkEnd w:id="523"/>
      <w:r w:rsidRPr="00B53F89">
        <w:t xml:space="preserve"> </w:t>
      </w:r>
    </w:p>
    <w:p w14:paraId="139E65B7" w14:textId="40BB8907" w:rsidR="00DD7452" w:rsidRPr="00B53F89" w:rsidRDefault="00DD7452" w:rsidP="002E3C54">
      <w:r w:rsidRPr="00B53F89">
        <w:t>The ACMA is focusing on issues relating to non-renewal of lapsed apparatus licences and compliance with licence conditions. This compl</w:t>
      </w:r>
      <w:r w:rsidR="00E86613" w:rsidRPr="00B53F89">
        <w:t>e</w:t>
      </w:r>
      <w:r w:rsidRPr="00B53F89">
        <w:t>ments the work that has already been done relating to the importation of cheap two-way radios that come pre-programmed with frequencies that are not covered by a class licence</w:t>
      </w:r>
      <w:r w:rsidR="00D95467" w:rsidRPr="00B53F89">
        <w:t>, and not apparatus-licensed,</w:t>
      </w:r>
      <w:r w:rsidR="00A549A1" w:rsidRPr="00B53F89">
        <w:t xml:space="preserve"> operating in land mobile spectrum.</w:t>
      </w:r>
    </w:p>
    <w:p w14:paraId="56005685" w14:textId="2E5861FD" w:rsidR="00614686" w:rsidRPr="00B53F89" w:rsidRDefault="00614686" w:rsidP="002E3C54">
      <w:r w:rsidRPr="00B53F89">
        <w:t xml:space="preserve">Spectrum </w:t>
      </w:r>
      <w:r w:rsidR="00461BD6" w:rsidRPr="00B53F89">
        <w:t>m</w:t>
      </w:r>
      <w:r w:rsidRPr="00B53F89">
        <w:t xml:space="preserve">onitoring </w:t>
      </w:r>
      <w:r w:rsidR="00461BD6" w:rsidRPr="00B53F89">
        <w:t xml:space="preserve">in the 400 MHz and 5.6 GHz bands has been completed in </w:t>
      </w:r>
      <w:r w:rsidR="00301B46" w:rsidRPr="00B53F89">
        <w:t>w</w:t>
      </w:r>
      <w:r w:rsidR="00461BD6" w:rsidRPr="00B53F89">
        <w:t xml:space="preserve">estern Victoria, South Australia and the Sunshine </w:t>
      </w:r>
      <w:r w:rsidR="002368B2" w:rsidRPr="00B53F89">
        <w:t>C</w:t>
      </w:r>
      <w:r w:rsidR="00461BD6" w:rsidRPr="00B53F89">
        <w:t>oast in Queensland</w:t>
      </w:r>
      <w:r w:rsidR="00757389" w:rsidRPr="00B53F89">
        <w:t>.</w:t>
      </w:r>
    </w:p>
    <w:p w14:paraId="1528B471" w14:textId="21CBB885" w:rsidR="00757389" w:rsidRPr="00B53F89" w:rsidRDefault="00757389" w:rsidP="002E3C54">
      <w:r w:rsidRPr="00B53F89">
        <w:t xml:space="preserve">The 400 MHz monitoring program </w:t>
      </w:r>
      <w:r w:rsidR="00ED6027" w:rsidRPr="00B53F89">
        <w:t xml:space="preserve">has been </w:t>
      </w:r>
      <w:r w:rsidRPr="00B53F89">
        <w:t xml:space="preserve">completed in Brisbane, Sydney and Melbourne. </w:t>
      </w:r>
      <w:bookmarkStart w:id="524" w:name="_Hlk16176637"/>
      <w:r w:rsidRPr="00B53F89">
        <w:t xml:space="preserve">The results from this monitoring activity </w:t>
      </w:r>
      <w:r w:rsidR="00ED6027" w:rsidRPr="00B53F89">
        <w:t xml:space="preserve">is being </w:t>
      </w:r>
      <w:r w:rsidRPr="00B53F89">
        <w:t xml:space="preserve">used </w:t>
      </w:r>
      <w:r w:rsidR="00ED6027" w:rsidRPr="00B53F89">
        <w:t xml:space="preserve">to scope the next stage </w:t>
      </w:r>
      <w:r w:rsidRPr="00B53F89">
        <w:t xml:space="preserve">of the </w:t>
      </w:r>
      <w:r w:rsidR="003D183A" w:rsidRPr="00B53F89">
        <w:t>compliance priority program</w:t>
      </w:r>
      <w:r w:rsidRPr="00B53F89">
        <w:t xml:space="preserve"> to target field-based compliance activities </w:t>
      </w:r>
      <w:r w:rsidR="003D7BE8" w:rsidRPr="00B53F89">
        <w:t xml:space="preserve">in </w:t>
      </w:r>
      <w:r w:rsidR="00ED6027" w:rsidRPr="00B53F89">
        <w:t>the 2019</w:t>
      </w:r>
      <w:r w:rsidR="00DC674A" w:rsidRPr="00B53F89">
        <w:t>–</w:t>
      </w:r>
      <w:r w:rsidR="00ED6027" w:rsidRPr="00B53F89">
        <w:t>20 FY</w:t>
      </w:r>
      <w:r w:rsidR="00877515" w:rsidRPr="00B53F89">
        <w:t>SO</w:t>
      </w:r>
      <w:r w:rsidR="00ED6027" w:rsidRPr="00B53F89">
        <w:t>.</w:t>
      </w:r>
      <w:bookmarkEnd w:id="524"/>
    </w:p>
    <w:p w14:paraId="5BCEB934" w14:textId="69DCC697" w:rsidR="00614686" w:rsidRPr="00B53F89" w:rsidRDefault="00614686" w:rsidP="002E3C54">
      <w:pPr>
        <w:pStyle w:val="Heading3"/>
      </w:pPr>
      <w:bookmarkStart w:id="525" w:name="_Toc18505595"/>
      <w:r w:rsidRPr="00B53F89">
        <w:t xml:space="preserve">Spectrum Review </w:t>
      </w:r>
      <w:r w:rsidR="00457F04" w:rsidRPr="00B53F89">
        <w:t>implementation</w:t>
      </w:r>
      <w:bookmarkEnd w:id="525"/>
    </w:p>
    <w:p w14:paraId="6D1AFDD8" w14:textId="745BEA0D" w:rsidR="00DD7452" w:rsidRPr="00B53F89" w:rsidRDefault="00DD7452" w:rsidP="00614686">
      <w:r w:rsidRPr="00B53F89">
        <w:t>Practices and procedures are being developed to support the</w:t>
      </w:r>
      <w:r w:rsidR="00D861D9" w:rsidRPr="00B53F89">
        <w:t xml:space="preserve"> potential</w:t>
      </w:r>
      <w:r w:rsidRPr="00B53F89">
        <w:t xml:space="preserve"> implementation of a </w:t>
      </w:r>
      <w:r w:rsidR="00457F04" w:rsidRPr="00B53F89">
        <w:t>c</w:t>
      </w:r>
      <w:r w:rsidRPr="00B53F89">
        <w:t xml:space="preserve">ivil </w:t>
      </w:r>
      <w:r w:rsidR="00457F04" w:rsidRPr="00B53F89">
        <w:t>p</w:t>
      </w:r>
      <w:r w:rsidRPr="00B53F89">
        <w:t>enalties regime and the introduction of supply side controls including interim bans and product recalls</w:t>
      </w:r>
      <w:r w:rsidR="00D861D9" w:rsidRPr="00B53F89">
        <w:t xml:space="preserve"> under </w:t>
      </w:r>
      <w:r w:rsidR="00664937" w:rsidRPr="00B53F89">
        <w:t xml:space="preserve">potential </w:t>
      </w:r>
      <w:r w:rsidR="00D861D9" w:rsidRPr="00B53F89">
        <w:t xml:space="preserve">new </w:t>
      </w:r>
      <w:r w:rsidR="00664937" w:rsidRPr="00B53F89">
        <w:t>legislative arrangements</w:t>
      </w:r>
      <w:r w:rsidR="00D861D9" w:rsidRPr="00B53F89">
        <w:t>. The scope and timing of this work is related to the progress of draft legislation.</w:t>
      </w:r>
      <w:r w:rsidRPr="00B53F89">
        <w:t xml:space="preserve"> </w:t>
      </w:r>
    </w:p>
    <w:p w14:paraId="07F3F4EA" w14:textId="6D277BD2" w:rsidR="00DD7452" w:rsidRPr="00B53F89" w:rsidRDefault="00DD7452" w:rsidP="002E3C54">
      <w:pPr>
        <w:pStyle w:val="Heading3"/>
        <w:rPr>
          <w:color w:val="000000" w:themeColor="text1"/>
        </w:rPr>
      </w:pPr>
      <w:bookmarkStart w:id="526" w:name="_Toc18505596"/>
      <w:r w:rsidRPr="00B53F89">
        <w:t>Interference management</w:t>
      </w:r>
      <w:bookmarkEnd w:id="526"/>
    </w:p>
    <w:p w14:paraId="662A4F9F" w14:textId="6DD03871" w:rsidR="004102B3" w:rsidRPr="00B53F89" w:rsidRDefault="004102B3" w:rsidP="004102B3">
      <w:bookmarkStart w:id="527" w:name="_Hlk16176716"/>
      <w:r w:rsidRPr="00B53F89">
        <w:t>The ACMA continues to consider industry feedback on its</w:t>
      </w:r>
      <w:r w:rsidRPr="00B53F89" w:rsidDel="008023C1">
        <w:t xml:space="preserve"> </w:t>
      </w:r>
      <w:r w:rsidRPr="00B53F89">
        <w:t xml:space="preserve">interference management principles and expects to finalise them </w:t>
      </w:r>
      <w:r w:rsidR="003D7BE8" w:rsidRPr="00B53F89">
        <w:t xml:space="preserve">in </w:t>
      </w:r>
      <w:r w:rsidR="00D95467" w:rsidRPr="00B53F89">
        <w:t>Q</w:t>
      </w:r>
      <w:r w:rsidR="00877515" w:rsidRPr="00B53F89">
        <w:t>4</w:t>
      </w:r>
      <w:r w:rsidRPr="00B53F89" w:rsidDel="003D7BE8">
        <w:t xml:space="preserve"> </w:t>
      </w:r>
      <w:r w:rsidRPr="00B53F89">
        <w:t>20</w:t>
      </w:r>
      <w:r w:rsidR="003D7BE8" w:rsidRPr="00B53F89">
        <w:t>19</w:t>
      </w:r>
      <w:bookmarkEnd w:id="527"/>
      <w:r w:rsidRPr="00B53F89">
        <w:t>. The principles will inform the development of an interference management framework, which will provide updated procedural guidance for licensees making interference complaints to the ACMA.</w:t>
      </w:r>
    </w:p>
    <w:p w14:paraId="52F12150" w14:textId="751433F4" w:rsidR="00461BD6" w:rsidRPr="00B53F89" w:rsidRDefault="002C5948" w:rsidP="002E3C54">
      <w:pPr>
        <w:pStyle w:val="Heading3"/>
      </w:pPr>
      <w:bookmarkStart w:id="528" w:name="_Toc18505597"/>
      <w:bookmarkStart w:id="529" w:name="_Toc522794136"/>
      <w:bookmarkStart w:id="530" w:name="_Toc510104998"/>
      <w:bookmarkStart w:id="531" w:name="_Toc510105795"/>
      <w:bookmarkStart w:id="532" w:name="_Toc510795129"/>
      <w:bookmarkStart w:id="533" w:name="_Toc511716332"/>
      <w:bookmarkStart w:id="534" w:name="_Toc511719143"/>
      <w:r w:rsidRPr="00B53F89">
        <w:t>Compliance themes</w:t>
      </w:r>
      <w:bookmarkEnd w:id="528"/>
    </w:p>
    <w:p w14:paraId="45004230" w14:textId="61EDD58A" w:rsidR="002659DF" w:rsidRPr="00B53F89" w:rsidRDefault="002659DF" w:rsidP="00C83864">
      <w:r w:rsidRPr="00B53F89">
        <w:t xml:space="preserve">Each year the ACMA investigates a broad range of issues and complaints relating to spectrum use, interference, licensing and device supply. </w:t>
      </w:r>
      <w:bookmarkStart w:id="535" w:name="_Hlk16176771"/>
      <w:r w:rsidRPr="00B53F89">
        <w:t>During the 2018</w:t>
      </w:r>
      <w:r w:rsidR="004E64E0" w:rsidRPr="00B53F89">
        <w:t>–</w:t>
      </w:r>
      <w:r w:rsidRPr="00B53F89">
        <w:t>19 year, the following themes have emerged:</w:t>
      </w:r>
    </w:p>
    <w:p w14:paraId="02D97F89" w14:textId="5B0B4C03" w:rsidR="00B62247" w:rsidRPr="00B53F89" w:rsidRDefault="00B62247" w:rsidP="00C83864">
      <w:pPr>
        <w:pStyle w:val="ListBullet"/>
        <w:ind w:left="284" w:hanging="284"/>
        <w:rPr>
          <w:rFonts w:cs="Arial"/>
          <w:sz w:val="22"/>
          <w:szCs w:val="22"/>
        </w:rPr>
      </w:pPr>
      <w:bookmarkStart w:id="536" w:name="_Hlk2683220"/>
      <w:bookmarkEnd w:id="535"/>
      <w:r w:rsidRPr="00B53F89">
        <w:lastRenderedPageBreak/>
        <w:t xml:space="preserve">ACMA compliance staff executed </w:t>
      </w:r>
      <w:r w:rsidR="00142772" w:rsidRPr="00B53F89">
        <w:t>three</w:t>
      </w:r>
      <w:r w:rsidRPr="00B53F89">
        <w:t xml:space="preserve"> search warrants relating to the operation of a mobile phone jammer, a GPS jammer and citizen band radio.</w:t>
      </w:r>
    </w:p>
    <w:p w14:paraId="3A5B7C0D" w14:textId="5DF95DF4" w:rsidR="00461BD6" w:rsidRPr="00B53F89" w:rsidRDefault="0000190B" w:rsidP="00C83864">
      <w:pPr>
        <w:pStyle w:val="ListBullet"/>
        <w:spacing w:after="240"/>
        <w:ind w:left="284" w:hanging="284"/>
      </w:pPr>
      <w:bookmarkStart w:id="537" w:name="_Hlk2683387"/>
      <w:bookmarkEnd w:id="536"/>
      <w:r w:rsidRPr="00B53F89">
        <w:t>F</w:t>
      </w:r>
      <w:r w:rsidR="00757389" w:rsidRPr="00B53F89">
        <w:t>ield staff conduct</w:t>
      </w:r>
      <w:r w:rsidR="007E5605" w:rsidRPr="00B53F89">
        <w:t>ed</w:t>
      </w:r>
      <w:r w:rsidR="00757389" w:rsidRPr="00B53F89">
        <w:t xml:space="preserve"> signal monitoring activities to identify unlicensed operation </w:t>
      </w:r>
      <w:bookmarkEnd w:id="537"/>
      <w:r w:rsidR="00757389" w:rsidRPr="00B53F89">
        <w:t xml:space="preserve">under the Licensing Integrity PCA. </w:t>
      </w:r>
      <w:r w:rsidR="007E5605" w:rsidRPr="00B53F89">
        <w:t>As a result</w:t>
      </w:r>
      <w:r w:rsidR="004C6570" w:rsidRPr="00B53F89">
        <w:t>,</w:t>
      </w:r>
      <w:r w:rsidR="007E5605" w:rsidRPr="00B53F89">
        <w:t xml:space="preserve"> </w:t>
      </w:r>
      <w:r w:rsidR="004C6570" w:rsidRPr="00B53F89">
        <w:t>f</w:t>
      </w:r>
      <w:r w:rsidR="00461BD6" w:rsidRPr="00B53F89">
        <w:t xml:space="preserve">ield staff are continuing to </w:t>
      </w:r>
      <w:r w:rsidR="004102B3" w:rsidRPr="00B53F89">
        <w:t>identify</w:t>
      </w:r>
      <w:r w:rsidR="00461BD6" w:rsidRPr="00B53F89">
        <w:t xml:space="preserve"> hand-held radios pre-programmed with unlicensed frequencies in the 400 MHz band. </w:t>
      </w:r>
    </w:p>
    <w:p w14:paraId="6DBDB640" w14:textId="3EAD9AB9" w:rsidR="002C5948" w:rsidRPr="00B53F89" w:rsidRDefault="00C603FF" w:rsidP="00596594">
      <w:r w:rsidRPr="00B53F89">
        <w:t>F</w:t>
      </w:r>
      <w:r w:rsidR="002C5948" w:rsidRPr="00B53F89">
        <w:t>u</w:t>
      </w:r>
      <w:r w:rsidR="002368B2" w:rsidRPr="00B53F89">
        <w:t>rther</w:t>
      </w:r>
      <w:r w:rsidR="002C5948" w:rsidRPr="00B53F89">
        <w:t xml:space="preserve"> reporting on the number of </w:t>
      </w:r>
      <w:r w:rsidR="00457F04" w:rsidRPr="00B53F89">
        <w:t>c</w:t>
      </w:r>
      <w:r w:rsidRPr="00B53F89">
        <w:t xml:space="preserve">ompliance and enforcement </w:t>
      </w:r>
      <w:r w:rsidR="002C5948" w:rsidRPr="00B53F89">
        <w:t>activities can be found in the</w:t>
      </w:r>
      <w:r w:rsidRPr="00B53F89">
        <w:t xml:space="preserve"> </w:t>
      </w:r>
      <w:hyperlink r:id="rId139" w:history="1">
        <w:r w:rsidRPr="00B53F89">
          <w:rPr>
            <w:rStyle w:val="Hyperlink"/>
          </w:rPr>
          <w:t>ACMA’s</w:t>
        </w:r>
        <w:r w:rsidR="002C5948" w:rsidRPr="00B53F89">
          <w:rPr>
            <w:rStyle w:val="Hyperlink"/>
          </w:rPr>
          <w:t xml:space="preserve"> </w:t>
        </w:r>
        <w:r w:rsidR="00087F58" w:rsidRPr="00B53F89">
          <w:rPr>
            <w:rStyle w:val="Hyperlink"/>
          </w:rPr>
          <w:t>2018–19 annual report</w:t>
        </w:r>
      </w:hyperlink>
      <w:r w:rsidR="002C5948" w:rsidRPr="00B53F89">
        <w:t>.</w:t>
      </w:r>
    </w:p>
    <w:p w14:paraId="53D83BD7" w14:textId="7F4B1923" w:rsidR="006B6F6E" w:rsidRPr="00B53F89" w:rsidRDefault="006B6F6E" w:rsidP="00E730C8">
      <w:pPr>
        <w:pStyle w:val="Heading2"/>
        <w:keepLines/>
        <w:numPr>
          <w:ilvl w:val="0"/>
          <w:numId w:val="193"/>
        </w:numPr>
        <w:tabs>
          <w:tab w:val="num" w:pos="397"/>
        </w:tabs>
        <w:ind w:left="0" w:firstLine="0"/>
      </w:pPr>
      <w:bookmarkStart w:id="538" w:name="_Toc18505598"/>
      <w:bookmarkStart w:id="539" w:name="_Hlk4584854"/>
      <w:r w:rsidRPr="00B53F89">
        <w:t xml:space="preserve">New/ongoing activities planned for </w:t>
      </w:r>
      <w:r w:rsidR="006A26C9" w:rsidRPr="00B53F89">
        <w:t>20</w:t>
      </w:r>
      <w:r w:rsidRPr="00B53F89">
        <w:t>1</w:t>
      </w:r>
      <w:r w:rsidR="00B52324" w:rsidRPr="00B53F89">
        <w:t>9</w:t>
      </w:r>
      <w:r w:rsidR="006A26C9" w:rsidRPr="00B53F89">
        <w:t>–</w:t>
      </w:r>
      <w:bookmarkEnd w:id="529"/>
      <w:r w:rsidR="00B52324" w:rsidRPr="00B53F89">
        <w:t>2</w:t>
      </w:r>
      <w:r w:rsidR="00041CA4" w:rsidRPr="00B53F89">
        <w:t>0</w:t>
      </w:r>
      <w:bookmarkEnd w:id="538"/>
      <w:r w:rsidRPr="00B53F89">
        <w:t xml:space="preserve"> </w:t>
      </w:r>
      <w:bookmarkEnd w:id="530"/>
      <w:bookmarkEnd w:id="531"/>
      <w:bookmarkEnd w:id="532"/>
      <w:bookmarkEnd w:id="533"/>
      <w:bookmarkEnd w:id="534"/>
    </w:p>
    <w:p w14:paraId="36F71AFC" w14:textId="4E06F3C2" w:rsidR="00DB102A" w:rsidRPr="00B53F89" w:rsidRDefault="00DB102A" w:rsidP="00DB102A">
      <w:pPr>
        <w:rPr>
          <w:rFonts w:ascii="Calibri" w:hAnsi="Calibri"/>
        </w:rPr>
      </w:pPr>
      <w:bookmarkStart w:id="540" w:name="_Toc510104999"/>
      <w:bookmarkStart w:id="541" w:name="_Toc510105796"/>
      <w:bookmarkStart w:id="542" w:name="_Toc510795130"/>
      <w:bookmarkStart w:id="543" w:name="_Toc511716333"/>
      <w:bookmarkStart w:id="544" w:name="_Toc511719144"/>
      <w:bookmarkStart w:id="545" w:name="_Toc522794137"/>
      <w:r w:rsidRPr="00B53F89">
        <w:t>For the 2019–20 period</w:t>
      </w:r>
      <w:r w:rsidR="00142772" w:rsidRPr="00B53F89">
        <w:t>,</w:t>
      </w:r>
      <w:r w:rsidRPr="00B53F89">
        <w:t xml:space="preserve"> the ACMA is adopting a whole</w:t>
      </w:r>
      <w:r w:rsidR="00A7610E" w:rsidRPr="00B53F89">
        <w:t>-</w:t>
      </w:r>
      <w:r w:rsidRPr="00B53F89">
        <w:t>of</w:t>
      </w:r>
      <w:r w:rsidR="00A7610E" w:rsidRPr="00B53F89">
        <w:t>-</w:t>
      </w:r>
      <w:r w:rsidRPr="00B53F89">
        <w:t>agency approach to setting priorities</w:t>
      </w:r>
      <w:r w:rsidR="00E743C9" w:rsidRPr="00B53F89">
        <w:t xml:space="preserve"> to guide our compliance and enforcement activities</w:t>
      </w:r>
      <w:r w:rsidRPr="00B53F89">
        <w:t>.</w:t>
      </w:r>
      <w:r w:rsidR="00E743C9" w:rsidRPr="00B53F89">
        <w:t xml:space="preserve"> This new approach will replace the setting of annual priority compliance areas for radiocommunications that has guided our approach in recent years.</w:t>
      </w:r>
      <w:r w:rsidRPr="00B53F89">
        <w:t xml:space="preserve"> There are three </w:t>
      </w:r>
      <w:r w:rsidR="00561D76" w:rsidRPr="00B53F89">
        <w:t>c</w:t>
      </w:r>
      <w:r w:rsidRPr="00B53F89">
        <w:t>ompliance</w:t>
      </w:r>
      <w:r w:rsidR="00E743C9" w:rsidRPr="00B53F89">
        <w:t xml:space="preserve"> </w:t>
      </w:r>
      <w:r w:rsidR="00561D76" w:rsidRPr="00B53F89">
        <w:t>p</w:t>
      </w:r>
      <w:r w:rsidR="00E743C9" w:rsidRPr="00B53F89">
        <w:t>riorities</w:t>
      </w:r>
      <w:r w:rsidRPr="00B53F89">
        <w:t xml:space="preserve"> identified in relation to our spectrum functions. </w:t>
      </w:r>
    </w:p>
    <w:p w14:paraId="7A784C5A" w14:textId="6ED7A92D" w:rsidR="00DB102A" w:rsidRPr="00B53F89" w:rsidRDefault="00E743C9" w:rsidP="00DE694D">
      <w:pPr>
        <w:rPr>
          <w:rFonts w:cs="Arial"/>
        </w:rPr>
      </w:pPr>
      <w:r w:rsidRPr="00B53F89">
        <w:t>With the expected increase in small cell deployments as 5G technology is implemented, t</w:t>
      </w:r>
      <w:r w:rsidR="00DB102A" w:rsidRPr="00B53F89">
        <w:rPr>
          <w:rFonts w:cs="Arial"/>
        </w:rPr>
        <w:t xml:space="preserve">he ACMA will conduct a program of compliance audits focused on small cell deployments by mobile network operators in 2019–20. The purpose of this audit program will be to test compliance with the Electromagnetic Energy </w:t>
      </w:r>
      <w:r w:rsidR="00003CFD" w:rsidRPr="00B53F89">
        <w:rPr>
          <w:rFonts w:cs="Arial"/>
        </w:rPr>
        <w:t>(EME) e</w:t>
      </w:r>
      <w:r w:rsidR="00DB102A" w:rsidRPr="00B53F89">
        <w:rPr>
          <w:rFonts w:cs="Arial"/>
        </w:rPr>
        <w:t>xposure obligations placed on mobile network operators and provide a baseline of compliance data. This data will complement the EME base station audit program conducted in 2013–14 and other previous EME priority compliance area programs relating to Smart Meters, Mobile Handsets and Wi-Fi devices.</w:t>
      </w:r>
    </w:p>
    <w:p w14:paraId="140A6F44" w14:textId="62820401" w:rsidR="00DE3DC4" w:rsidRPr="00B53F89" w:rsidRDefault="00DB102A" w:rsidP="00DE694D">
      <w:pPr>
        <w:rPr>
          <w:rFonts w:cs="Arial"/>
        </w:rPr>
      </w:pPr>
      <w:r w:rsidRPr="00B53F89">
        <w:rPr>
          <w:rFonts w:cs="Arial"/>
        </w:rPr>
        <w:t>The ACMA will extend its Licensing Integrity priority compliance area program into 2019</w:t>
      </w:r>
      <w:r w:rsidR="00FA620C" w:rsidRPr="00B53F89">
        <w:rPr>
          <w:rFonts w:cs="Arial"/>
        </w:rPr>
        <w:t>–</w:t>
      </w:r>
      <w:r w:rsidRPr="00B53F89">
        <w:rPr>
          <w:rFonts w:cs="Arial"/>
        </w:rPr>
        <w:t>20</w:t>
      </w:r>
      <w:r w:rsidR="00E743C9" w:rsidRPr="00B53F89">
        <w:rPr>
          <w:rFonts w:cs="Arial"/>
        </w:rPr>
        <w:t xml:space="preserve"> with a Compliance Priority aimed at</w:t>
      </w:r>
      <w:r w:rsidRPr="00B53F89">
        <w:rPr>
          <w:rFonts w:cs="Arial"/>
        </w:rPr>
        <w:t xml:space="preserve"> maximising the utility of licensed spectrum use by addressing various sources of unlicensed activit</w:t>
      </w:r>
      <w:r w:rsidR="00E743C9" w:rsidRPr="00B53F89">
        <w:rPr>
          <w:rFonts w:cs="Arial"/>
        </w:rPr>
        <w:t>y. This Compliance Priority will</w:t>
      </w:r>
      <w:r w:rsidRPr="00B53F89">
        <w:rPr>
          <w:rFonts w:cs="Arial"/>
        </w:rPr>
        <w:t xml:space="preserve"> focus on services operating unlawfully in the 5.6 GHz band and the operation of non-compliant devices in the 400 MHz band</w:t>
      </w:r>
      <w:r w:rsidR="00DE3DC4" w:rsidRPr="00B53F89">
        <w:rPr>
          <w:rFonts w:cs="Arial"/>
        </w:rPr>
        <w:t>.</w:t>
      </w:r>
    </w:p>
    <w:p w14:paraId="6EACFB62" w14:textId="2FAE2B5B" w:rsidR="006D59EB" w:rsidRPr="00B53F89" w:rsidRDefault="00DE3DC4" w:rsidP="00894245">
      <w:pPr>
        <w:spacing w:line="254" w:lineRule="auto"/>
        <w:rPr>
          <w:rFonts w:cs="Arial"/>
        </w:rPr>
      </w:pPr>
      <w:r w:rsidRPr="00B53F89">
        <w:rPr>
          <w:rFonts w:cs="Arial"/>
        </w:rPr>
        <w:t xml:space="preserve">The ACMA will </w:t>
      </w:r>
      <w:r w:rsidR="00894245" w:rsidRPr="00B53F89">
        <w:rPr>
          <w:rFonts w:cs="Arial"/>
        </w:rPr>
        <w:t xml:space="preserve">audit suppliers of </w:t>
      </w:r>
      <w:r w:rsidRPr="00B53F89">
        <w:rPr>
          <w:rFonts w:cs="Arial"/>
        </w:rPr>
        <w:t xml:space="preserve">solar inverters </w:t>
      </w:r>
      <w:r w:rsidR="00894245" w:rsidRPr="00B53F89">
        <w:rPr>
          <w:rFonts w:cs="Arial"/>
        </w:rPr>
        <w:t>for compliance with the requirements of t</w:t>
      </w:r>
      <w:r w:rsidR="007F1AE9" w:rsidRPr="00B53F89">
        <w:rPr>
          <w:rFonts w:cs="Arial"/>
        </w:rPr>
        <w:t>h</w:t>
      </w:r>
      <w:r w:rsidR="00894245" w:rsidRPr="00B53F89">
        <w:rPr>
          <w:rFonts w:cs="Arial"/>
        </w:rPr>
        <w:t>e ACMA</w:t>
      </w:r>
      <w:r w:rsidR="007F1AE9" w:rsidRPr="00B53F89">
        <w:rPr>
          <w:rFonts w:cs="Arial"/>
        </w:rPr>
        <w:t>’s</w:t>
      </w:r>
      <w:r w:rsidR="00894245" w:rsidRPr="00B53F89">
        <w:rPr>
          <w:rFonts w:cs="Arial"/>
        </w:rPr>
        <w:t xml:space="preserve"> electromagnetic compatibility</w:t>
      </w:r>
      <w:r w:rsidR="006D59EB" w:rsidRPr="00B53F89">
        <w:rPr>
          <w:rFonts w:cs="Arial"/>
        </w:rPr>
        <w:t xml:space="preserve"> </w:t>
      </w:r>
      <w:r w:rsidR="00894245" w:rsidRPr="00B53F89">
        <w:rPr>
          <w:rFonts w:cs="Arial"/>
        </w:rPr>
        <w:t>arrangements</w:t>
      </w:r>
      <w:r w:rsidR="006D59EB" w:rsidRPr="00B53F89">
        <w:rPr>
          <w:rFonts w:cs="Arial"/>
        </w:rPr>
        <w:t xml:space="preserve"> in order to min</w:t>
      </w:r>
      <w:r w:rsidR="004501A0" w:rsidRPr="00B53F89">
        <w:rPr>
          <w:rFonts w:cs="Arial"/>
        </w:rPr>
        <w:t>im</w:t>
      </w:r>
      <w:r w:rsidR="006D59EB" w:rsidRPr="00B53F89">
        <w:rPr>
          <w:rFonts w:cs="Arial"/>
        </w:rPr>
        <w:t>ise the risk of interference to radiocommunicat</w:t>
      </w:r>
      <w:r w:rsidR="004501A0" w:rsidRPr="00B53F89">
        <w:rPr>
          <w:rFonts w:cs="Arial"/>
        </w:rPr>
        <w:t>io</w:t>
      </w:r>
      <w:r w:rsidR="006D59EB" w:rsidRPr="00B53F89">
        <w:rPr>
          <w:rFonts w:cs="Arial"/>
        </w:rPr>
        <w:t xml:space="preserve">ns from non-compliant solar inverters. </w:t>
      </w:r>
    </w:p>
    <w:p w14:paraId="3CA86718" w14:textId="47C203C5" w:rsidR="006D59EB" w:rsidRPr="00B53F89" w:rsidRDefault="006D59EB" w:rsidP="00894245">
      <w:pPr>
        <w:spacing w:line="254" w:lineRule="auto"/>
        <w:rPr>
          <w:rFonts w:cs="Arial"/>
        </w:rPr>
      </w:pPr>
      <w:r w:rsidRPr="00B53F89">
        <w:rPr>
          <w:rFonts w:cs="Arial"/>
        </w:rPr>
        <w:t xml:space="preserve">The ACMA </w:t>
      </w:r>
      <w:r w:rsidR="00F11F65" w:rsidRPr="00B53F89">
        <w:rPr>
          <w:rFonts w:cs="Arial"/>
        </w:rPr>
        <w:t xml:space="preserve">is seeking to ensure that </w:t>
      </w:r>
      <w:r w:rsidRPr="00B53F89">
        <w:rPr>
          <w:rFonts w:cs="Arial"/>
        </w:rPr>
        <w:t>com</w:t>
      </w:r>
      <w:r w:rsidR="004501A0" w:rsidRPr="00B53F89">
        <w:rPr>
          <w:rFonts w:cs="Arial"/>
        </w:rPr>
        <w:t>p</w:t>
      </w:r>
      <w:r w:rsidRPr="00B53F89">
        <w:rPr>
          <w:rFonts w:cs="Arial"/>
        </w:rPr>
        <w:t xml:space="preserve">liant product </w:t>
      </w:r>
      <w:r w:rsidR="00F11F65" w:rsidRPr="00B53F89">
        <w:rPr>
          <w:rFonts w:cs="Arial"/>
        </w:rPr>
        <w:t xml:space="preserve">is </w:t>
      </w:r>
      <w:r w:rsidRPr="00B53F89">
        <w:rPr>
          <w:rFonts w:cs="Arial"/>
        </w:rPr>
        <w:t>being suppl</w:t>
      </w:r>
      <w:r w:rsidR="004501A0" w:rsidRPr="00B53F89">
        <w:rPr>
          <w:rFonts w:cs="Arial"/>
        </w:rPr>
        <w:t>i</w:t>
      </w:r>
      <w:r w:rsidRPr="00B53F89">
        <w:rPr>
          <w:rFonts w:cs="Arial"/>
        </w:rPr>
        <w:t>ed to the Austr</w:t>
      </w:r>
      <w:r w:rsidR="00F11F65" w:rsidRPr="00B53F89">
        <w:rPr>
          <w:rFonts w:cs="Arial"/>
        </w:rPr>
        <w:t>alian m</w:t>
      </w:r>
      <w:r w:rsidRPr="00B53F89">
        <w:rPr>
          <w:rFonts w:cs="Arial"/>
        </w:rPr>
        <w:t xml:space="preserve">arket as solar rebate schemes are </w:t>
      </w:r>
      <w:r w:rsidR="00F11F65" w:rsidRPr="00B53F89">
        <w:rPr>
          <w:rFonts w:cs="Arial"/>
        </w:rPr>
        <w:t xml:space="preserve">being </w:t>
      </w:r>
      <w:r w:rsidRPr="00B53F89">
        <w:rPr>
          <w:rFonts w:cs="Arial"/>
        </w:rPr>
        <w:t>reinv</w:t>
      </w:r>
      <w:r w:rsidR="004501A0" w:rsidRPr="00B53F89">
        <w:rPr>
          <w:rFonts w:cs="Arial"/>
        </w:rPr>
        <w:t>i</w:t>
      </w:r>
      <w:r w:rsidRPr="00B53F89">
        <w:rPr>
          <w:rFonts w:cs="Arial"/>
        </w:rPr>
        <w:t>g</w:t>
      </w:r>
      <w:r w:rsidR="004501A0" w:rsidRPr="00B53F89">
        <w:rPr>
          <w:rFonts w:cs="Arial"/>
        </w:rPr>
        <w:t>o</w:t>
      </w:r>
      <w:r w:rsidRPr="00B53F89">
        <w:rPr>
          <w:rFonts w:cs="Arial"/>
        </w:rPr>
        <w:t>rated.</w:t>
      </w:r>
    </w:p>
    <w:p w14:paraId="3E8B66C8" w14:textId="791781DE" w:rsidR="00E743C9" w:rsidRPr="00B53F89" w:rsidRDefault="00E743C9" w:rsidP="00252163">
      <w:pPr>
        <w:rPr>
          <w:rFonts w:cs="Arial"/>
          <w:szCs w:val="20"/>
        </w:rPr>
      </w:pPr>
      <w:r w:rsidRPr="00B53F89">
        <w:rPr>
          <w:rFonts w:cs="Arial"/>
          <w:szCs w:val="20"/>
        </w:rPr>
        <w:t>As part of our ongoing priorities, the ACMA will also undertake activities that support communications network safety and reduce threats of disruption by operating well established regulatory and non-regulatory strategies targeting unauthorised cellular repeaters and prohibited devices (mobile phone and GPS jammers).</w:t>
      </w:r>
      <w:bookmarkEnd w:id="539"/>
    </w:p>
    <w:p w14:paraId="2F2FF33B" w14:textId="77777777" w:rsidR="00197E92" w:rsidRPr="00B53F89" w:rsidRDefault="00197E92" w:rsidP="00197E92">
      <w:pPr>
        <w:pStyle w:val="Heading1"/>
      </w:pPr>
      <w:bookmarkStart w:id="546" w:name="_Making_a_submission"/>
      <w:bookmarkStart w:id="547" w:name="_Toc522794142"/>
      <w:bookmarkStart w:id="548" w:name="_Toc18505599"/>
      <w:bookmarkEnd w:id="540"/>
      <w:bookmarkEnd w:id="541"/>
      <w:bookmarkEnd w:id="542"/>
      <w:bookmarkEnd w:id="543"/>
      <w:bookmarkEnd w:id="544"/>
      <w:bookmarkEnd w:id="545"/>
      <w:bookmarkEnd w:id="546"/>
      <w:r w:rsidRPr="00B53F89">
        <w:lastRenderedPageBreak/>
        <w:t>Appendix A—Sunsetting instruments</w:t>
      </w:r>
      <w:bookmarkEnd w:id="547"/>
      <w:bookmarkEnd w:id="548"/>
    </w:p>
    <w:p w14:paraId="5D92E670" w14:textId="61A37CB4" w:rsidR="00197E92" w:rsidRPr="00B53F89" w:rsidRDefault="00DD201B" w:rsidP="00197E92">
      <w:pPr>
        <w:pStyle w:val="Heading2"/>
      </w:pPr>
      <w:bookmarkStart w:id="549" w:name="_Toc491854137"/>
      <w:bookmarkStart w:id="550" w:name="_Toc494115204"/>
      <w:bookmarkStart w:id="551" w:name="_Toc509581839"/>
      <w:bookmarkStart w:id="552" w:name="_Toc509585155"/>
      <w:bookmarkStart w:id="553" w:name="_Toc509585691"/>
      <w:bookmarkStart w:id="554" w:name="_Toc510105009"/>
      <w:bookmarkStart w:id="555" w:name="_Toc510105806"/>
      <w:bookmarkStart w:id="556" w:name="_Toc510795138"/>
      <w:bookmarkStart w:id="557" w:name="_Toc511716341"/>
      <w:bookmarkStart w:id="558" w:name="_Toc511719152"/>
      <w:bookmarkStart w:id="559" w:name="_Toc522794143"/>
      <w:bookmarkStart w:id="560" w:name="_Toc18505600"/>
      <w:r w:rsidRPr="00B53F89">
        <w:t>Radiocommunications-related i</w:t>
      </w:r>
      <w:r w:rsidR="00197E92" w:rsidRPr="00B53F89">
        <w:t xml:space="preserve">nstruments due to sunset </w:t>
      </w:r>
      <w:r w:rsidR="00C15BB6" w:rsidRPr="00B53F89">
        <w:t>in 2019</w:t>
      </w:r>
      <w:r w:rsidR="009C0761" w:rsidRPr="00B53F89">
        <w:t>–</w:t>
      </w:r>
      <w:r w:rsidR="00C15BB6" w:rsidRPr="00B53F89">
        <w:t>20</w:t>
      </w:r>
      <w:bookmarkEnd w:id="549"/>
      <w:bookmarkEnd w:id="550"/>
      <w:bookmarkEnd w:id="551"/>
      <w:bookmarkEnd w:id="552"/>
      <w:bookmarkEnd w:id="553"/>
      <w:bookmarkEnd w:id="554"/>
      <w:bookmarkEnd w:id="555"/>
      <w:bookmarkEnd w:id="556"/>
      <w:bookmarkEnd w:id="557"/>
      <w:bookmarkEnd w:id="558"/>
      <w:bookmarkEnd w:id="559"/>
      <w:bookmarkEnd w:id="560"/>
    </w:p>
    <w:p w14:paraId="679F45E1" w14:textId="4B1B40B6" w:rsidR="00197E92" w:rsidRPr="00B53F89" w:rsidRDefault="00197E92" w:rsidP="00197E92">
      <w:pPr>
        <w:pStyle w:val="ACMATableHeader"/>
      </w:pPr>
      <w:r w:rsidRPr="00B53F89">
        <w:t>Instruments due to sunset on 1 October 201</w:t>
      </w:r>
      <w:r w:rsidR="001F53C6" w:rsidRPr="00B53F89">
        <w:t>9</w:t>
      </w:r>
    </w:p>
    <w:tbl>
      <w:tblPr>
        <w:tblW w:w="471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bottom w:w="57" w:type="dxa"/>
          <w:right w:w="57" w:type="dxa"/>
        </w:tblCellMar>
        <w:tblLook w:val="04A0" w:firstRow="1" w:lastRow="0" w:firstColumn="1" w:lastColumn="0" w:noHBand="0" w:noVBand="1"/>
        <w:tblCaption w:val="Shows name of instrument, enabling legislation and status."/>
      </w:tblPr>
      <w:tblGrid>
        <w:gridCol w:w="3141"/>
        <w:gridCol w:w="2298"/>
        <w:gridCol w:w="1778"/>
      </w:tblGrid>
      <w:tr w:rsidR="00197E92" w:rsidRPr="00B53F89" w14:paraId="23410214" w14:textId="77777777" w:rsidTr="00DE694D">
        <w:trPr>
          <w:tblHeader/>
        </w:trPr>
        <w:tc>
          <w:tcPr>
            <w:tcW w:w="2176" w:type="pct"/>
            <w:shd w:val="clear" w:color="auto" w:fill="404040" w:themeFill="text1" w:themeFillTint="BF"/>
          </w:tcPr>
          <w:p w14:paraId="6448B7DB" w14:textId="77777777" w:rsidR="00197E92" w:rsidRPr="00B53F89" w:rsidRDefault="00197E92" w:rsidP="00197E92">
            <w:pPr>
              <w:pStyle w:val="TableHeading"/>
            </w:pPr>
            <w:r w:rsidRPr="00B53F89">
              <w:t>Instrument</w:t>
            </w:r>
          </w:p>
        </w:tc>
        <w:tc>
          <w:tcPr>
            <w:tcW w:w="1592" w:type="pct"/>
            <w:shd w:val="clear" w:color="auto" w:fill="404040" w:themeFill="text1" w:themeFillTint="BF"/>
          </w:tcPr>
          <w:p w14:paraId="54C234B5" w14:textId="77777777" w:rsidR="00197E92" w:rsidRPr="00B53F89" w:rsidRDefault="00197E92" w:rsidP="00197E92">
            <w:pPr>
              <w:pStyle w:val="TableHeading"/>
            </w:pPr>
            <w:r w:rsidRPr="00B53F89">
              <w:t>Enabling provision</w:t>
            </w:r>
          </w:p>
        </w:tc>
        <w:tc>
          <w:tcPr>
            <w:tcW w:w="1232" w:type="pct"/>
            <w:shd w:val="clear" w:color="auto" w:fill="404040" w:themeFill="text1" w:themeFillTint="BF"/>
          </w:tcPr>
          <w:p w14:paraId="396CF007" w14:textId="77777777" w:rsidR="00197E92" w:rsidRPr="00B53F89" w:rsidRDefault="00197E92" w:rsidP="00197E92">
            <w:pPr>
              <w:pStyle w:val="TableHeading"/>
            </w:pPr>
            <w:r w:rsidRPr="00B53F89">
              <w:t>Status</w:t>
            </w:r>
          </w:p>
        </w:tc>
      </w:tr>
      <w:tr w:rsidR="00197E92" w:rsidRPr="00B53F89" w14:paraId="417505C8" w14:textId="77777777" w:rsidTr="00DE694D">
        <w:tc>
          <w:tcPr>
            <w:tcW w:w="2176" w:type="pct"/>
            <w:shd w:val="clear" w:color="auto" w:fill="auto"/>
          </w:tcPr>
          <w:p w14:paraId="0FF98253" w14:textId="4CC8013F" w:rsidR="00197E92" w:rsidRPr="006A2F04" w:rsidRDefault="00A54553" w:rsidP="00DE694D">
            <w:pPr>
              <w:rPr>
                <w:rFonts w:cs="Arial"/>
                <w:iCs/>
              </w:rPr>
            </w:pPr>
            <w:hyperlink r:id="rId140" w:history="1">
              <w:r w:rsidR="001F53C6" w:rsidRPr="006A2F04">
                <w:rPr>
                  <w:rStyle w:val="Hyperlink"/>
                  <w:iCs/>
                </w:rPr>
                <w:t xml:space="preserve">Broadcasting Services (Amalgamated Remote Television Licence Areas </w:t>
              </w:r>
              <w:r w:rsidR="000D68E0" w:rsidRPr="006A2F04">
                <w:rPr>
                  <w:rStyle w:val="Hyperlink"/>
                  <w:iCs/>
                </w:rPr>
                <w:t>–</w:t>
              </w:r>
              <w:r w:rsidR="001F53C6" w:rsidRPr="006A2F04">
                <w:rPr>
                  <w:rStyle w:val="Hyperlink"/>
                  <w:iCs/>
                </w:rPr>
                <w:t xml:space="preserve"> Remote Central and Eastern Australia TV1 and Mt Isa TV1) Determination 2009</w:t>
              </w:r>
            </w:hyperlink>
          </w:p>
        </w:tc>
        <w:tc>
          <w:tcPr>
            <w:tcW w:w="1592" w:type="pct"/>
            <w:shd w:val="clear" w:color="auto" w:fill="auto"/>
          </w:tcPr>
          <w:p w14:paraId="72096172" w14:textId="75671331" w:rsidR="00197E92" w:rsidRPr="00B53F89" w:rsidRDefault="00A54553" w:rsidP="00DE694D">
            <w:pPr>
              <w:rPr>
                <w:rFonts w:cs="Arial"/>
                <w:i/>
              </w:rPr>
            </w:pPr>
            <w:hyperlink r:id="rId141" w:history="1">
              <w:r w:rsidR="001F53C6" w:rsidRPr="006A2F04">
                <w:rPr>
                  <w:rStyle w:val="Hyperlink"/>
                  <w:i/>
                  <w:iCs/>
                </w:rPr>
                <w:t>Broadcasting Services Act 1992</w:t>
              </w:r>
            </w:hyperlink>
            <w:r w:rsidR="00C76E06" w:rsidRPr="00B53F89">
              <w:t>—</w:t>
            </w:r>
            <w:r w:rsidR="001F53C6" w:rsidRPr="00B53F89">
              <w:t>s 38B(14)</w:t>
            </w:r>
          </w:p>
        </w:tc>
        <w:tc>
          <w:tcPr>
            <w:tcW w:w="1232" w:type="pct"/>
            <w:shd w:val="clear" w:color="auto" w:fill="auto"/>
          </w:tcPr>
          <w:p w14:paraId="6CEC5490" w14:textId="19435F56" w:rsidR="00197E92" w:rsidRPr="00B53F89" w:rsidRDefault="001F53C6" w:rsidP="00DE694D">
            <w:pPr>
              <w:rPr>
                <w:rFonts w:cs="Arial"/>
              </w:rPr>
            </w:pPr>
            <w:r w:rsidRPr="00B53F89">
              <w:t>Instrument will be allowed to sunset</w:t>
            </w:r>
          </w:p>
        </w:tc>
      </w:tr>
      <w:tr w:rsidR="00197E92" w:rsidRPr="00B53F89" w14:paraId="6A846C6A" w14:textId="77777777" w:rsidTr="00DE694D">
        <w:tc>
          <w:tcPr>
            <w:tcW w:w="2176" w:type="pct"/>
            <w:shd w:val="clear" w:color="auto" w:fill="auto"/>
          </w:tcPr>
          <w:p w14:paraId="416BB208" w14:textId="03736D0A" w:rsidR="00197E92" w:rsidRPr="006A2F04" w:rsidRDefault="00A54553" w:rsidP="00DE694D">
            <w:pPr>
              <w:rPr>
                <w:rFonts w:cs="Arial"/>
                <w:iCs/>
              </w:rPr>
            </w:pPr>
            <w:hyperlink r:id="rId142" w:history="1">
              <w:r w:rsidR="001F53C6" w:rsidRPr="006A2F04">
                <w:rPr>
                  <w:rStyle w:val="Hyperlink"/>
                  <w:iCs/>
                </w:rPr>
                <w:t xml:space="preserve">Broadcasting Services (Amalgamated Remote Television Licence Areas </w:t>
              </w:r>
              <w:r w:rsidR="000D68E0" w:rsidRPr="006A2F04">
                <w:rPr>
                  <w:rStyle w:val="Hyperlink"/>
                  <w:iCs/>
                </w:rPr>
                <w:t>–</w:t>
              </w:r>
              <w:r w:rsidR="001F53C6" w:rsidRPr="006A2F04">
                <w:rPr>
                  <w:rStyle w:val="Hyperlink"/>
                  <w:iCs/>
                </w:rPr>
                <w:t xml:space="preserve"> Remote Central and Eastern Australia TV1 and Remote Central and Eastern Australia TV2) Determination 2009</w:t>
              </w:r>
            </w:hyperlink>
          </w:p>
        </w:tc>
        <w:tc>
          <w:tcPr>
            <w:tcW w:w="1592" w:type="pct"/>
            <w:shd w:val="clear" w:color="auto" w:fill="auto"/>
          </w:tcPr>
          <w:p w14:paraId="5B99B7B8" w14:textId="3C139467" w:rsidR="00197E92" w:rsidRPr="00B53F89" w:rsidRDefault="00A54553" w:rsidP="00DE694D">
            <w:pPr>
              <w:rPr>
                <w:rFonts w:cs="Arial"/>
              </w:rPr>
            </w:pPr>
            <w:hyperlink r:id="rId143" w:history="1">
              <w:r w:rsidR="001F53C6" w:rsidRPr="006A2F04">
                <w:rPr>
                  <w:rStyle w:val="Hyperlink"/>
                  <w:i/>
                  <w:iCs/>
                </w:rPr>
                <w:t>Broadcasting Services Act 1992</w:t>
              </w:r>
            </w:hyperlink>
            <w:r w:rsidR="00C76E06" w:rsidRPr="00B53F89">
              <w:t>—</w:t>
            </w:r>
            <w:r w:rsidR="001F53C6" w:rsidRPr="00B53F89">
              <w:t>s 38B(14)</w:t>
            </w:r>
          </w:p>
        </w:tc>
        <w:tc>
          <w:tcPr>
            <w:tcW w:w="1232" w:type="pct"/>
            <w:shd w:val="clear" w:color="auto" w:fill="auto"/>
          </w:tcPr>
          <w:p w14:paraId="3329ED61" w14:textId="02A97AB3" w:rsidR="00197E92" w:rsidRPr="00B53F89" w:rsidRDefault="001F53C6" w:rsidP="00DE694D">
            <w:pPr>
              <w:rPr>
                <w:rFonts w:cs="Arial"/>
              </w:rPr>
            </w:pPr>
            <w:r w:rsidRPr="00B53F89">
              <w:t>Instrument will be allowed to sunset</w:t>
            </w:r>
          </w:p>
        </w:tc>
      </w:tr>
    </w:tbl>
    <w:p w14:paraId="7D096E1D" w14:textId="5F64210A" w:rsidR="006D3D21" w:rsidRPr="00B53F89" w:rsidRDefault="006D3D21" w:rsidP="00DE694D">
      <w:pPr>
        <w:spacing w:after="0" w:line="240" w:lineRule="auto"/>
      </w:pPr>
    </w:p>
    <w:sectPr w:rsidR="006D3D21" w:rsidRPr="00B53F89" w:rsidSect="00E97880">
      <w:headerReference w:type="even" r:id="rId144"/>
      <w:headerReference w:type="default" r:id="rId145"/>
      <w:footerReference w:type="even" r:id="rId146"/>
      <w:footerReference w:type="default" r:id="rId147"/>
      <w:pgSz w:w="11906" w:h="16838" w:code="9"/>
      <w:pgMar w:top="1945" w:right="3101" w:bottom="1134" w:left="1134" w:header="709" w:footer="11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810ECCF" w14:textId="77777777" w:rsidR="00AB3EDB" w:rsidRDefault="00AB3EDB">
      <w:r>
        <w:separator/>
      </w:r>
    </w:p>
    <w:p w14:paraId="7C5983CF" w14:textId="77777777" w:rsidR="00AB3EDB" w:rsidRDefault="00AB3EDB"/>
  </w:endnote>
  <w:endnote w:type="continuationSeparator" w:id="0">
    <w:p w14:paraId="74D76F9E" w14:textId="77777777" w:rsidR="00AB3EDB" w:rsidRDefault="00AB3EDB">
      <w:r>
        <w:continuationSeparator/>
      </w:r>
    </w:p>
    <w:p w14:paraId="07E1F3F1" w14:textId="77777777" w:rsidR="00AB3EDB" w:rsidRDefault="00AB3EDB"/>
  </w:endnote>
  <w:endnote w:type="continuationNotice" w:id="1">
    <w:p w14:paraId="09289003" w14:textId="77777777" w:rsidR="00AB3EDB" w:rsidRDefault="00AB3EDB">
      <w:pPr>
        <w:spacing w:after="0" w:line="240" w:lineRule="auto"/>
      </w:pPr>
    </w:p>
    <w:p w14:paraId="7429701F" w14:textId="77777777" w:rsidR="00AB3EDB" w:rsidRDefault="00AB3ED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HelveticaNeueLT Std">
    <w:altName w:val="Arial"/>
    <w:panose1 w:val="00000000000000000000"/>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FUIText">
    <w:altName w:val="Times New Roman"/>
    <w:panose1 w:val="00000000000000000000"/>
    <w:charset w:val="00"/>
    <w:family w:val="roman"/>
    <w:notTrueType/>
    <w:pitch w:val="default"/>
  </w:font>
  <w:font w:name=".SF UI Text">
    <w:altName w:val="Times New Roman"/>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Open Sans">
    <w:altName w:val="Segoe UI"/>
    <w:charset w:val="00"/>
    <w:family w:val="swiss"/>
    <w:pitch w:val="variable"/>
    <w:sig w:usb0="E00002EF" w:usb1="4000205B" w:usb2="00000028" w:usb3="00000000" w:csb0="0000019F" w:csb1="00000000"/>
  </w:font>
  <w:font w:name="Helvetica">
    <w:panose1 w:val="020B0604020202020204"/>
    <w:charset w:val="00"/>
    <w:family w:val="swiss"/>
    <w:pitch w:val="variable"/>
    <w:sig w:usb0="00000003" w:usb1="00000000" w:usb2="00000000" w:usb3="00000000" w:csb0="00000001" w:csb1="00000000"/>
  </w:font>
  <w:font w:name="HelveticaNeueW01-45Ligh">
    <w:altName w:val="Arial"/>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FBCC74" w14:textId="77777777" w:rsidR="00AB3EDB" w:rsidRDefault="00AB3EDB">
    <w:pPr>
      <w:pStyle w:val="Footer"/>
    </w:pPr>
    <w:r>
      <w:rPr>
        <w:noProof/>
      </w:rPr>
      <w:drawing>
        <wp:inline distT="0" distB="0" distL="0" distR="0" wp14:anchorId="73800B89" wp14:editId="124789D3">
          <wp:extent cx="3483864" cy="249613"/>
          <wp:effectExtent l="0" t="0" r="0" b="0"/>
          <wp:docPr id="4" name="Picture 4"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ext>
                  </a:extLst>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CFEE80" w14:textId="77777777" w:rsidR="00AB3EDB" w:rsidRDefault="00AB3ED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21D81D" w14:textId="77777777" w:rsidR="00AB3EDB" w:rsidRDefault="00AB3EDB">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714286" w14:textId="77777777" w:rsidR="00AB3EDB" w:rsidRPr="00622A3B" w:rsidRDefault="00AB3EDB"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0D11E6E0" w14:textId="77777777" w:rsidR="00AB3EDB" w:rsidRPr="00A5474E" w:rsidRDefault="00AB3EDB"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BC34B4" w14:textId="77777777" w:rsidR="00AB3EDB" w:rsidRPr="00622A3B" w:rsidRDefault="00AB3EDB"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2E3EC9BE" w14:textId="77777777" w:rsidR="00AB3EDB" w:rsidRPr="00A5474E" w:rsidRDefault="00AB3EDB"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C37C5C" w14:textId="77777777" w:rsidR="00AB3EDB" w:rsidRPr="00622A3B" w:rsidRDefault="00AB3EDB"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6186B029" w14:textId="77777777" w:rsidR="00AB3EDB" w:rsidRPr="00A5474E" w:rsidRDefault="00AB3EDB"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4E55FB" w14:textId="77777777" w:rsidR="00AB3EDB" w:rsidRPr="00622A3B" w:rsidRDefault="00AB3EDB"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30</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17454B23" w14:textId="77777777" w:rsidR="00AB3EDB" w:rsidRDefault="00AB3EDB"/>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6DF265" w14:textId="77777777" w:rsidR="00AB3EDB" w:rsidRPr="00622A3B" w:rsidRDefault="00AB3EDB" w:rsidP="00947E20">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31</w:t>
    </w:r>
    <w:r w:rsidRPr="00575AC5">
      <w:rPr>
        <w:color w:val="505050"/>
      </w:rPr>
      <w:fldChar w:fldCharType="end"/>
    </w:r>
  </w:p>
  <w:p w14:paraId="14F8C0D8" w14:textId="77777777" w:rsidR="00AB3EDB" w:rsidRDefault="00AB3EDB" w:rsidP="0037046B">
    <w:pPr>
      <w:pStyle w:val="Footer"/>
      <w:spacing w:after="0"/>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C3A104" w14:textId="77777777" w:rsidR="00AB3EDB" w:rsidRPr="00622A3B" w:rsidRDefault="00AB3EDB"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74</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5B04D850" w14:textId="77777777" w:rsidR="00AB3EDB" w:rsidRPr="00A5474E" w:rsidRDefault="00AB3EDB" w:rsidP="00A5474E">
    <w:pPr>
      <w:pStyle w:val="Footer"/>
    </w:pPr>
  </w:p>
  <w:p w14:paraId="63EB684D" w14:textId="77777777" w:rsidR="00AB3EDB" w:rsidRDefault="00AB3EDB"/>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6D442D" w14:textId="77777777" w:rsidR="00AB3EDB" w:rsidRPr="00622A3B" w:rsidRDefault="00AB3EDB"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75</w:t>
    </w:r>
    <w:r w:rsidRPr="00575AC5">
      <w:rPr>
        <w:color w:val="505050"/>
      </w:rPr>
      <w:fldChar w:fldCharType="end"/>
    </w:r>
  </w:p>
  <w:p w14:paraId="59DD72D9" w14:textId="77777777" w:rsidR="00AB3EDB" w:rsidRPr="00A5474E" w:rsidRDefault="00AB3EDB" w:rsidP="00A5474E">
    <w:pPr>
      <w:pStyle w:val="Footer"/>
    </w:pPr>
  </w:p>
  <w:p w14:paraId="1F8BDC74" w14:textId="77777777" w:rsidR="00AB3EDB" w:rsidRDefault="00AB3EDB"/>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FE6F52" w14:textId="77777777" w:rsidR="00AB3EDB" w:rsidRDefault="00AB3EDB">
      <w:r>
        <w:separator/>
      </w:r>
    </w:p>
  </w:footnote>
  <w:footnote w:type="continuationSeparator" w:id="0">
    <w:p w14:paraId="2A19D132" w14:textId="77777777" w:rsidR="00AB3EDB" w:rsidRDefault="00AB3EDB">
      <w:r>
        <w:continuationSeparator/>
      </w:r>
    </w:p>
  </w:footnote>
  <w:footnote w:type="continuationNotice" w:id="1">
    <w:p w14:paraId="0232D320" w14:textId="77777777" w:rsidR="00AB3EDB" w:rsidRPr="00716DE9" w:rsidRDefault="00AB3EDB" w:rsidP="00716DE9">
      <w:pPr>
        <w:pStyle w:val="Footer"/>
      </w:pPr>
    </w:p>
  </w:footnote>
  <w:footnote w:id="2">
    <w:p w14:paraId="4EAEDB4E" w14:textId="2BDEE802" w:rsidR="00AB3EDB" w:rsidRDefault="00AB3EDB">
      <w:pPr>
        <w:pStyle w:val="FootnoteText"/>
      </w:pPr>
      <w:r>
        <w:rPr>
          <w:rStyle w:val="FootnoteReference"/>
        </w:rPr>
        <w:footnoteRef/>
      </w:r>
      <w:r>
        <w:t xml:space="preserve"> ACMA, </w:t>
      </w:r>
      <w:hyperlink r:id="rId1" w:history="1">
        <w:r w:rsidRPr="006126F4">
          <w:rPr>
            <w:rStyle w:val="Hyperlink"/>
            <w:i/>
            <w:iCs/>
          </w:rPr>
          <w:t>Corporate plan 2019–20</w:t>
        </w:r>
      </w:hyperlink>
      <w:r>
        <w:t>, August 2019.</w:t>
      </w:r>
    </w:p>
  </w:footnote>
  <w:footnote w:id="3">
    <w:p w14:paraId="562964C6" w14:textId="70FE1C21" w:rsidR="00AB3EDB" w:rsidRDefault="00AB3EDB">
      <w:pPr>
        <w:pStyle w:val="FootnoteText"/>
      </w:pPr>
      <w:r>
        <w:rPr>
          <w:rStyle w:val="FootnoteReference"/>
        </w:rPr>
        <w:footnoteRef/>
      </w:r>
      <w:r>
        <w:t xml:space="preserve"> See </w:t>
      </w:r>
      <w:hyperlink r:id="rId2" w:history="1">
        <w:r w:rsidRPr="006126F4">
          <w:rPr>
            <w:rStyle w:val="Hyperlink"/>
          </w:rPr>
          <w:t>Australian Communications and Media Authority and Office of the eSafety Commissioner annual reports</w:t>
        </w:r>
      </w:hyperlink>
      <w:r>
        <w:t>.</w:t>
      </w:r>
    </w:p>
  </w:footnote>
  <w:footnote w:id="4">
    <w:p w14:paraId="6F9B9F2D" w14:textId="77777777" w:rsidR="00AB3EDB" w:rsidRPr="007342CC" w:rsidRDefault="00AB3EDB" w:rsidP="00C11FCB">
      <w:pPr>
        <w:pStyle w:val="Footer"/>
        <w:spacing w:after="0" w:line="200" w:lineRule="atLeast"/>
        <w:rPr>
          <w:rFonts w:cs="Arial"/>
          <w:szCs w:val="16"/>
        </w:rPr>
      </w:pPr>
      <w:r w:rsidRPr="007342CC">
        <w:rPr>
          <w:rStyle w:val="FootnoteReference"/>
          <w:rFonts w:cs="Arial"/>
          <w:szCs w:val="16"/>
        </w:rPr>
        <w:footnoteRef/>
      </w:r>
      <w:r w:rsidRPr="007342CC">
        <w:rPr>
          <w:rFonts w:cs="Arial"/>
          <w:szCs w:val="16"/>
        </w:rPr>
        <w:t xml:space="preserve"> </w:t>
      </w:r>
      <w:r w:rsidRPr="004A0EC1">
        <w:rPr>
          <w:rFonts w:cs="Arial"/>
          <w:szCs w:val="16"/>
        </w:rPr>
        <w:t xml:space="preserve">Report </w:t>
      </w:r>
      <w:hyperlink r:id="rId3" w:history="1">
        <w:r w:rsidRPr="004A0EC1">
          <w:rPr>
            <w:rStyle w:val="Hyperlink"/>
            <w:rFonts w:cs="Arial"/>
            <w:szCs w:val="16"/>
          </w:rPr>
          <w:t>ITU-R M.2410-0</w:t>
        </w:r>
      </w:hyperlink>
      <w:r w:rsidRPr="004A0EC1">
        <w:rPr>
          <w:rFonts w:cs="Arial"/>
          <w:szCs w:val="16"/>
        </w:rPr>
        <w:t xml:space="preserve"> Minimum requirements related to technical performance </w:t>
      </w:r>
      <w:r>
        <w:rPr>
          <w:rFonts w:cs="Arial"/>
          <w:szCs w:val="16"/>
        </w:rPr>
        <w:t xml:space="preserve">for IMT-2020 radio interface(s), </w:t>
      </w:r>
      <w:r w:rsidRPr="004A0EC1">
        <w:rPr>
          <w:rFonts w:cs="Arial"/>
          <w:szCs w:val="16"/>
        </w:rPr>
        <w:t>completed in November 2017</w:t>
      </w:r>
      <w:r>
        <w:rPr>
          <w:rFonts w:cs="Arial"/>
          <w:szCs w:val="16"/>
        </w:rPr>
        <w:t>.</w:t>
      </w:r>
    </w:p>
  </w:footnote>
  <w:footnote w:id="5">
    <w:p w14:paraId="1E5F9008" w14:textId="217751CC" w:rsidR="00AB3EDB" w:rsidRDefault="00AB3EDB">
      <w:pPr>
        <w:pStyle w:val="FootnoteText"/>
      </w:pPr>
      <w:r>
        <w:rPr>
          <w:rStyle w:val="FootnoteReference"/>
        </w:rPr>
        <w:footnoteRef/>
      </w:r>
      <w:r>
        <w:t xml:space="preserve"> </w:t>
      </w:r>
      <w:r w:rsidRPr="006F542F">
        <w:t>mmWaves span 30</w:t>
      </w:r>
      <w:r>
        <w:t xml:space="preserve"> GHz</w:t>
      </w:r>
      <w:r w:rsidRPr="006F542F">
        <w:t xml:space="preserve"> to 300 GHz (</w:t>
      </w:r>
      <w:r>
        <w:t>that is,</w:t>
      </w:r>
      <w:r w:rsidRPr="006F542F">
        <w:t xml:space="preserve"> a wavelength of 1 cm to 1 mm), however</w:t>
      </w:r>
      <w:r>
        <w:t>,</w:t>
      </w:r>
      <w:r w:rsidRPr="006F542F">
        <w:t xml:space="preserve"> in the current 5G context, mmWave bands in consideration span from around 24 GHz up to 86 GHz.</w:t>
      </w:r>
    </w:p>
  </w:footnote>
  <w:footnote w:id="6">
    <w:p w14:paraId="271BF8D3" w14:textId="6512AB2B" w:rsidR="00AB3EDB" w:rsidRDefault="00AB3EDB" w:rsidP="00C11FCB">
      <w:pPr>
        <w:pStyle w:val="FootnoteText"/>
      </w:pPr>
      <w:r>
        <w:rPr>
          <w:rStyle w:val="FootnoteReference"/>
        </w:rPr>
        <w:footnoteRef/>
      </w:r>
      <w:r>
        <w:t xml:space="preserve"> See </w:t>
      </w:r>
      <w:hyperlink r:id="rId4" w:history="1">
        <w:r w:rsidRPr="001F5B9C">
          <w:rPr>
            <w:rStyle w:val="Hyperlink"/>
          </w:rPr>
          <w:t>https://www.communications.gov.au/departmental-news/5g-working-group-convenes</w:t>
        </w:r>
      </w:hyperlink>
      <w:r>
        <w:t>.</w:t>
      </w:r>
    </w:p>
  </w:footnote>
  <w:footnote w:id="7">
    <w:p w14:paraId="5118C1E5" w14:textId="75344BB0" w:rsidR="00AB3EDB" w:rsidRDefault="00AB3EDB" w:rsidP="00D431CC">
      <w:pPr>
        <w:pStyle w:val="FootnoteText"/>
      </w:pPr>
      <w:r>
        <w:rPr>
          <w:rStyle w:val="FootnoteReference"/>
        </w:rPr>
        <w:footnoteRef/>
      </w:r>
      <w:r>
        <w:t xml:space="preserve"> See </w:t>
      </w:r>
      <w:hyperlink r:id="rId5" w:history="1">
        <w:r w:rsidRPr="00D2614F">
          <w:rPr>
            <w:rStyle w:val="Hyperlink"/>
          </w:rPr>
          <w:t>https://www.acma.gov.au/theACMA/class-licensing-updates-supporting-5g-and-other-technology-innovations</w:t>
        </w:r>
      </w:hyperlink>
      <w:r>
        <w:rPr>
          <w:rStyle w:val="Hyperlink"/>
        </w:rPr>
        <w:t>.</w:t>
      </w:r>
      <w:r>
        <w:t xml:space="preserve"> </w:t>
      </w:r>
    </w:p>
  </w:footnote>
  <w:footnote w:id="8">
    <w:p w14:paraId="72DA55AE" w14:textId="41B1BC41" w:rsidR="00AB3EDB" w:rsidRDefault="00AB3EDB">
      <w:pPr>
        <w:pStyle w:val="FootnoteText"/>
      </w:pPr>
      <w:r>
        <w:rPr>
          <w:rStyle w:val="FootnoteReference"/>
        </w:rPr>
        <w:footnoteRef/>
      </w:r>
      <w:r>
        <w:t xml:space="preserve"> For information on IoT technologies see the IoT Alliance Australia publication: IoT Alliance Australia, </w:t>
      </w:r>
      <w:hyperlink r:id="rId6" w:history="1">
        <w:r w:rsidRPr="006A2F04">
          <w:rPr>
            <w:rStyle w:val="Hyperlink"/>
            <w:i/>
            <w:iCs/>
          </w:rPr>
          <w:t>Internet of Things Platform Selection Guideline</w:t>
        </w:r>
      </w:hyperlink>
      <w:r w:rsidRPr="006A2F04">
        <w:rPr>
          <w:rStyle w:val="Hyperlink"/>
          <w:color w:val="auto"/>
          <w:u w:val="none"/>
        </w:rPr>
        <w:t>, July 2018</w:t>
      </w:r>
      <w:r w:rsidRPr="008F601F">
        <w:t>.</w:t>
      </w:r>
    </w:p>
  </w:footnote>
  <w:footnote w:id="9">
    <w:p w14:paraId="72BD4CC8" w14:textId="0C9C594A" w:rsidR="00AB3EDB" w:rsidRDefault="00AB3EDB" w:rsidP="00A96482">
      <w:pPr>
        <w:pStyle w:val="FootnoteText"/>
      </w:pPr>
      <w:r>
        <w:rPr>
          <w:rStyle w:val="FootnoteReference"/>
        </w:rPr>
        <w:footnoteRef/>
      </w:r>
      <w:r>
        <w:t xml:space="preserve"> See </w:t>
      </w:r>
      <w:hyperlink r:id="rId7" w:history="1">
        <w:r w:rsidRPr="0025664D">
          <w:rPr>
            <w:rStyle w:val="Hyperlink"/>
          </w:rPr>
          <w:t>https://www.acma.gov.au/Home/theACMA/changes-to-legislation-supporting-space-based-communications</w:t>
        </w:r>
      </w:hyperlink>
      <w:r>
        <w:rPr>
          <w:rStyle w:val="Hyperlink"/>
        </w:rPr>
        <w:t>.</w:t>
      </w:r>
    </w:p>
  </w:footnote>
  <w:footnote w:id="10">
    <w:p w14:paraId="1F972B5C" w14:textId="77777777" w:rsidR="00AB3EDB" w:rsidRDefault="00AB3EDB" w:rsidP="009962F3">
      <w:pPr>
        <w:pStyle w:val="FootnoteText"/>
      </w:pPr>
      <w:r>
        <w:rPr>
          <w:rStyle w:val="FootnoteReference"/>
          <w:rFonts w:eastAsiaTheme="majorEastAsia"/>
        </w:rPr>
        <w:footnoteRef/>
      </w:r>
      <w:r>
        <w:t xml:space="preserve"> FSS earth stations (as the name suggests) are intended to be at fixed locations on land. Spectrum planning, coordination and regulatory arrangements for FSS are designed on the principle that earth stations are at a fixed location and as such, moving earth stations are not typically supported by existing FSS arrangements.</w:t>
      </w:r>
    </w:p>
  </w:footnote>
  <w:footnote w:id="11">
    <w:p w14:paraId="1A94647D" w14:textId="5BD3B94C" w:rsidR="00AB3EDB" w:rsidRDefault="00AB3EDB">
      <w:pPr>
        <w:pStyle w:val="FootnoteText"/>
      </w:pPr>
      <w:r>
        <w:rPr>
          <w:rStyle w:val="FootnoteReference"/>
        </w:rPr>
        <w:footnoteRef/>
      </w:r>
      <w:r>
        <w:t xml:space="preserve"> For example in advance of WRC-19 (see </w:t>
      </w:r>
      <w:hyperlink r:id="rId8" w:history="1">
        <w:r w:rsidRPr="008D1F40">
          <w:rPr>
            <w:rStyle w:val="Hyperlink"/>
            <w:i/>
            <w:iCs/>
          </w:rPr>
          <w:t>Regulatory arrangements for GSO and NGSO ESIMS</w:t>
        </w:r>
      </w:hyperlink>
      <w:r>
        <w:t>) and WRC-15.</w:t>
      </w:r>
    </w:p>
  </w:footnote>
  <w:footnote w:id="12">
    <w:p w14:paraId="5BFEEBFF" w14:textId="0297CD9A" w:rsidR="00AB3EDB" w:rsidRDefault="00AB3EDB">
      <w:pPr>
        <w:pStyle w:val="FootnoteText"/>
      </w:pPr>
      <w:r>
        <w:rPr>
          <w:rStyle w:val="FootnoteReference"/>
        </w:rPr>
        <w:footnoteRef/>
      </w:r>
      <w:r>
        <w:t xml:space="preserve"> See </w:t>
      </w:r>
      <w:hyperlink r:id="rId9" w:history="1">
        <w:r w:rsidRPr="000C3D70">
          <w:rPr>
            <w:rStyle w:val="Hyperlink"/>
          </w:rPr>
          <w:t>https://www.acma.gov.au/theACMA/earth-stations-in-motion-in-ku-band</w:t>
        </w:r>
      </w:hyperlink>
      <w:r>
        <w:rPr>
          <w:rStyle w:val="Hyperlink"/>
        </w:rPr>
        <w:t>.</w:t>
      </w:r>
      <w:r>
        <w:t xml:space="preserve"> </w:t>
      </w:r>
    </w:p>
  </w:footnote>
  <w:footnote w:id="13">
    <w:p w14:paraId="481E97E4" w14:textId="77777777" w:rsidR="00AB3EDB" w:rsidRDefault="00AB3EDB" w:rsidP="00EA54D5">
      <w:pPr>
        <w:pStyle w:val="FootnoteText"/>
      </w:pPr>
      <w:r>
        <w:rPr>
          <w:rStyle w:val="FootnoteReference"/>
        </w:rPr>
        <w:footnoteRef/>
      </w:r>
      <w:r>
        <w:t xml:space="preserve"> In this context, a lower-tier user is a user that has lower priority compared to another user under a DSA arrangement. </w:t>
      </w:r>
    </w:p>
  </w:footnote>
  <w:footnote w:id="14">
    <w:p w14:paraId="01ECFE96" w14:textId="3EF0FC18" w:rsidR="00AB3EDB" w:rsidRPr="00AC568A" w:rsidRDefault="00AB3EDB">
      <w:pPr>
        <w:pStyle w:val="FootnoteText"/>
      </w:pPr>
      <w:r>
        <w:rPr>
          <w:rStyle w:val="FootnoteReference"/>
        </w:rPr>
        <w:footnoteRef/>
      </w:r>
      <w:r>
        <w:t xml:space="preserve"> See also M Cave and W Webb, </w:t>
      </w:r>
      <w:r>
        <w:rPr>
          <w:i/>
        </w:rPr>
        <w:t>Spectrum Management</w:t>
      </w:r>
      <w:r>
        <w:t>, Cambridge University Press, Cambridge, 2015, p. 5 and Chapter 8.</w:t>
      </w:r>
    </w:p>
  </w:footnote>
  <w:footnote w:id="15">
    <w:p w14:paraId="58B5D0C1" w14:textId="64787332" w:rsidR="00AB3EDB" w:rsidRDefault="00AB3EDB" w:rsidP="00EA54D5">
      <w:pPr>
        <w:pStyle w:val="FootnoteText"/>
      </w:pPr>
      <w:r>
        <w:rPr>
          <w:rStyle w:val="FootnoteReference"/>
        </w:rPr>
        <w:footnoteRef/>
      </w:r>
      <w:r>
        <w:t xml:space="preserve"> </w:t>
      </w:r>
      <w:r>
        <w:rPr>
          <w:i/>
          <w:iCs/>
        </w:rPr>
        <w:t>Cisco Visual Networking Index: Global Mobile Data Traffic Forecast Update</w:t>
      </w:r>
      <w:r>
        <w:t xml:space="preserve">, </w:t>
      </w:r>
      <w:r w:rsidRPr="005C7720">
        <w:rPr>
          <w:i/>
        </w:rPr>
        <w:t>2015-2020</w:t>
      </w:r>
      <w:r>
        <w:t xml:space="preserve">, 3 Feb. 2016, pp. 24–25, available at </w:t>
      </w:r>
      <w:hyperlink r:id="rId10" w:history="1">
        <w:r>
          <w:rPr>
            <w:rStyle w:val="Hyperlink"/>
          </w:rPr>
          <w:t>http://www.cisco.com/c/en/us/solutions/collateral/service-provider/visual-networking-index-vni/mobile-white-paper-c11-520862.pdf</w:t>
        </w:r>
      </w:hyperlink>
      <w:r>
        <w:t>.</w:t>
      </w:r>
    </w:p>
  </w:footnote>
  <w:footnote w:id="16">
    <w:p w14:paraId="52166E87" w14:textId="7BE83627" w:rsidR="00AB3EDB" w:rsidRDefault="00AB3EDB" w:rsidP="00EA54D5">
      <w:pPr>
        <w:pStyle w:val="FootnoteText"/>
      </w:pPr>
      <w:r>
        <w:rPr>
          <w:rStyle w:val="FootnoteReference"/>
        </w:rPr>
        <w:footnoteRef/>
      </w:r>
      <w:r>
        <w:t xml:space="preserve"> See FCC preceding ET </w:t>
      </w:r>
      <w:hyperlink r:id="rId11" w:history="1">
        <w:r>
          <w:rPr>
            <w:rStyle w:val="Hyperlink"/>
          </w:rPr>
          <w:t>18-295</w:t>
        </w:r>
      </w:hyperlink>
      <w:r>
        <w:t xml:space="preserve"> ‘</w:t>
      </w:r>
      <w:r>
        <w:rPr>
          <w:szCs w:val="22"/>
        </w:rPr>
        <w:t>Unlicensed Use of the 6 GHz Band’ and summary fact sheet at</w:t>
      </w:r>
      <w:r>
        <w:t xml:space="preserve"> </w:t>
      </w:r>
      <w:hyperlink r:id="rId12" w:history="1">
        <w:r>
          <w:rPr>
            <w:rStyle w:val="Hyperlink"/>
          </w:rPr>
          <w:t>https://docs.fcc.gov/public/attachments/DOC-354364A1.pdf</w:t>
        </w:r>
      </w:hyperlink>
      <w:r>
        <w:rPr>
          <w:rStyle w:val="Hyperlink"/>
        </w:rPr>
        <w:t>.</w:t>
      </w:r>
      <w:r>
        <w:t xml:space="preserve"> </w:t>
      </w:r>
    </w:p>
  </w:footnote>
  <w:footnote w:id="17">
    <w:p w14:paraId="5A000350" w14:textId="55AEA40E" w:rsidR="00AB3EDB" w:rsidRDefault="00AB3EDB" w:rsidP="00115791">
      <w:pPr>
        <w:pStyle w:val="FootnoteText"/>
      </w:pPr>
      <w:r>
        <w:rPr>
          <w:rStyle w:val="FootnoteReference"/>
        </w:rPr>
        <w:footnoteRef/>
      </w:r>
      <w:r>
        <w:t xml:space="preserve"> This lower boundary (617 MHz) is based on the bottom edge of the 2 x 35 MHz plan identified for the US 600 MHz band. The size of any guard band between the bottom of possible 600 MHz arrangements and the upper edge of ongoing broadcasting would need to be considered as part of any review of the band. The upper boundary aligns with the top edge of the US 600 MHz band plan, noting that the top edge of the highest channel used for broadcasting in Australia ceases at 694 MHz.</w:t>
      </w:r>
    </w:p>
  </w:footnote>
  <w:footnote w:id="18">
    <w:p w14:paraId="6155D81C" w14:textId="1459646D" w:rsidR="00AB3EDB" w:rsidRDefault="00AB3EDB" w:rsidP="00115791">
      <w:pPr>
        <w:pStyle w:val="FootnoteText"/>
      </w:pPr>
      <w:r>
        <w:rPr>
          <w:rStyle w:val="FootnoteReference"/>
        </w:rPr>
        <w:footnoteRef/>
      </w:r>
      <w:r>
        <w:t xml:space="preserve"> See the former </w:t>
      </w:r>
      <w:r>
        <w:rPr>
          <w:rStyle w:val="FooterChar"/>
        </w:rPr>
        <w:t xml:space="preserve">Minister for Communications Malcolm Turnbull’s speech to RadComms 2014, available at </w:t>
      </w:r>
      <w:hyperlink r:id="rId13" w:history="1">
        <w:r>
          <w:rPr>
            <w:rStyle w:val="Hyperlink"/>
            <w:rFonts w:eastAsiaTheme="majorEastAsia"/>
          </w:rPr>
          <w:t>www.malcolmturnbull.com.au/media/radcomms-2014-spectrum-in-the-age-of-digital-innovation</w:t>
        </w:r>
      </w:hyperlink>
      <w:r>
        <w:rPr>
          <w:rStyle w:val="Hyperlink"/>
          <w:rFonts w:eastAsiaTheme="majorEastAsia"/>
        </w:rPr>
        <w:t>.</w:t>
      </w:r>
      <w:r>
        <w:rPr>
          <w:rStyle w:val="FooterChar"/>
        </w:rPr>
        <w:t xml:space="preserve"> </w:t>
      </w:r>
    </w:p>
  </w:footnote>
  <w:footnote w:id="19">
    <w:p w14:paraId="35509240" w14:textId="77777777" w:rsidR="00AB3EDB" w:rsidRDefault="00AB3EDB" w:rsidP="00115791">
      <w:pPr>
        <w:pStyle w:val="FootnoteText"/>
      </w:pPr>
      <w:r>
        <w:rPr>
          <w:rStyle w:val="FootnoteReference"/>
        </w:rPr>
        <w:footnoteRef/>
      </w:r>
      <w:r>
        <w:t xml:space="preserve"> Information available on the </w:t>
      </w:r>
      <w:hyperlink r:id="rId14" w:anchor="block-menu-block-4" w:history="1">
        <w:r>
          <w:rPr>
            <w:rStyle w:val="Hyperlink"/>
            <w:rFonts w:eastAsiaTheme="majorEastAsia"/>
          </w:rPr>
          <w:t>FCC website</w:t>
        </w:r>
      </w:hyperlink>
      <w:r>
        <w:t>.</w:t>
      </w:r>
    </w:p>
  </w:footnote>
  <w:footnote w:id="20">
    <w:p w14:paraId="7F2C22D5" w14:textId="77777777" w:rsidR="00AB3EDB" w:rsidRDefault="00AB3EDB" w:rsidP="00115791">
      <w:pPr>
        <w:pStyle w:val="FootnoteText"/>
      </w:pPr>
      <w:r>
        <w:rPr>
          <w:rStyle w:val="FootnoteReference"/>
        </w:rPr>
        <w:footnoteRef/>
      </w:r>
      <w:r>
        <w:t xml:space="preserve"> GSA–Global mobile Suppliers Association, </w:t>
      </w:r>
      <w:hyperlink r:id="rId15" w:history="1">
        <w:r w:rsidRPr="006A2F04">
          <w:rPr>
            <w:rStyle w:val="Hyperlink"/>
            <w:rFonts w:eastAsiaTheme="majorEastAsia"/>
            <w:i/>
            <w:iCs/>
          </w:rPr>
          <w:t>The case for new 5G spectrum</w:t>
        </w:r>
      </w:hyperlink>
      <w:r>
        <w:t>, November 2016.</w:t>
      </w:r>
    </w:p>
  </w:footnote>
  <w:footnote w:id="21">
    <w:p w14:paraId="33E8576D" w14:textId="77777777" w:rsidR="00AB3EDB" w:rsidRDefault="00AB3EDB" w:rsidP="00064A98">
      <w:pPr>
        <w:pStyle w:val="FootnoteText"/>
        <w:rPr>
          <w:rFonts w:cs="Arial"/>
        </w:rPr>
      </w:pPr>
      <w:r>
        <w:rPr>
          <w:rStyle w:val="FootnoteReference"/>
        </w:rPr>
        <w:footnoteRef/>
      </w:r>
      <w:r>
        <w:rPr>
          <w:rFonts w:cs="Arial"/>
        </w:rPr>
        <w:t xml:space="preserve"> In accordance with ITU-R Resolution </w:t>
      </w:r>
      <w:r>
        <w:rPr>
          <w:rFonts w:cs="Arial"/>
          <w:b/>
        </w:rPr>
        <w:t>646</w:t>
      </w:r>
      <w:r>
        <w:rPr>
          <w:rFonts w:cs="Arial"/>
        </w:rPr>
        <w:t>.</w:t>
      </w:r>
    </w:p>
  </w:footnote>
  <w:footnote w:id="22">
    <w:p w14:paraId="6F7BE902" w14:textId="7CC5E92A" w:rsidR="00AB3EDB" w:rsidRDefault="00AB3EDB" w:rsidP="00D9739D">
      <w:pPr>
        <w:pStyle w:val="FootnoteText"/>
      </w:pPr>
      <w:r>
        <w:rPr>
          <w:rStyle w:val="FootnoteReference"/>
        </w:rPr>
        <w:footnoteRef/>
      </w:r>
      <w:r>
        <w:t xml:space="preserve"> </w:t>
      </w:r>
      <w:hyperlink r:id="rId16" w:history="1">
        <w:r w:rsidRPr="000A66CC">
          <w:rPr>
            <w:rStyle w:val="Hyperlink"/>
          </w:rPr>
          <w:t>Order and notice of proposed rulemaking – FCC 1</w:t>
        </w:r>
        <w:r>
          <w:rPr>
            <w:rStyle w:val="Hyperlink"/>
          </w:rPr>
          <w:t>8</w:t>
        </w:r>
        <w:r w:rsidRPr="000A66CC">
          <w:rPr>
            <w:rStyle w:val="Hyperlink"/>
          </w:rPr>
          <w:t>-91</w:t>
        </w:r>
      </w:hyperlink>
      <w:r w:rsidRPr="00D54969">
        <w:rPr>
          <w:rStyle w:val="Hyperlink"/>
          <w:color w:val="auto"/>
          <w:u w:val="none"/>
        </w:rPr>
        <w:t>.</w:t>
      </w:r>
    </w:p>
  </w:footnote>
  <w:footnote w:id="23">
    <w:p w14:paraId="07CC88DC" w14:textId="4F8EE1B3" w:rsidR="00AB3EDB" w:rsidRDefault="00AB3EDB" w:rsidP="000E5C87">
      <w:pPr>
        <w:pStyle w:val="FootnoteText"/>
        <w:spacing w:after="60"/>
      </w:pPr>
      <w:r>
        <w:rPr>
          <w:rStyle w:val="FootnoteReference"/>
        </w:rPr>
        <w:footnoteRef/>
      </w:r>
      <w:r>
        <w:t xml:space="preserve"> </w:t>
      </w:r>
      <w:hyperlink r:id="rId17" w:history="1">
        <w:r w:rsidRPr="00CC6CCA">
          <w:rPr>
            <w:rStyle w:val="Hyperlink"/>
            <w:rFonts w:cs="Arial"/>
            <w:i/>
            <w:lang w:val="en"/>
          </w:rPr>
          <w:t>Consultation on Revisions to the 3500 MHz Band to Accommodate Flexible Use and Preliminary Consultation on Changes to the 3800 MHz Band</w:t>
        </w:r>
      </w:hyperlink>
      <w:r>
        <w:rPr>
          <w:rFonts w:cs="Arial"/>
          <w:color w:val="333333"/>
          <w:lang w:val="en"/>
        </w:rPr>
        <w:t>, ISED.</w:t>
      </w:r>
      <w:hyperlink r:id="rId18" w:history="1"/>
    </w:p>
  </w:footnote>
  <w:footnote w:id="24">
    <w:p w14:paraId="4CAB1AD1" w14:textId="37756A2B" w:rsidR="00AB3EDB" w:rsidRDefault="00AB3EDB" w:rsidP="000E5C87">
      <w:pPr>
        <w:pStyle w:val="FootnoteText"/>
        <w:spacing w:after="60"/>
      </w:pPr>
      <w:r>
        <w:rPr>
          <w:rStyle w:val="FootnoteReference"/>
        </w:rPr>
        <w:footnoteRef/>
      </w:r>
      <w:r>
        <w:t xml:space="preserve"> </w:t>
      </w:r>
      <w:hyperlink r:id="rId19" w:anchor="s7.1" w:history="1">
        <w:r w:rsidRPr="00CC7BD0">
          <w:rPr>
            <w:rStyle w:val="Hyperlink"/>
            <w:i/>
          </w:rPr>
          <w:t>Decision on Revisions to the 3500 MHz Band to Accommodate Flexible Use and Preliminary Decisions on Changes to the 3800 MHz Band</w:t>
        </w:r>
      </w:hyperlink>
      <w:r>
        <w:rPr>
          <w:rFonts w:cs="Arial"/>
          <w:color w:val="333333"/>
          <w:lang w:val="en"/>
        </w:rPr>
        <w:t>, ISED, June 2019.</w:t>
      </w:r>
    </w:p>
  </w:footnote>
  <w:footnote w:id="25">
    <w:p w14:paraId="60D793A0" w14:textId="4457DCE0" w:rsidR="00AB3EDB" w:rsidRDefault="00AB3EDB">
      <w:pPr>
        <w:pStyle w:val="FootnoteText"/>
      </w:pPr>
      <w:r>
        <w:rPr>
          <w:rStyle w:val="FootnoteReference"/>
        </w:rPr>
        <w:footnoteRef/>
      </w:r>
      <w:r>
        <w:t xml:space="preserve"> </w:t>
      </w:r>
      <w:hyperlink r:id="rId20" w:history="1">
        <w:r w:rsidRPr="00CC6CCA">
          <w:rPr>
            <w:rStyle w:val="Hyperlink"/>
            <w:i/>
          </w:rPr>
          <w:t>EC 5G decision announcement</w:t>
        </w:r>
      </w:hyperlink>
      <w:r w:rsidRPr="006A2F04">
        <w:rPr>
          <w:rStyle w:val="Hyperlink"/>
          <w:color w:val="000000" w:themeColor="text1"/>
          <w:u w:val="none"/>
        </w:rPr>
        <w:t>, 24 January 2019.</w:t>
      </w:r>
    </w:p>
  </w:footnote>
  <w:footnote w:id="26">
    <w:p w14:paraId="16CE8632" w14:textId="1BE939BE" w:rsidR="00AB3EDB" w:rsidRDefault="00AB3EDB" w:rsidP="000E5C87">
      <w:pPr>
        <w:pStyle w:val="FootnoteText"/>
        <w:spacing w:after="60"/>
      </w:pPr>
      <w:r>
        <w:rPr>
          <w:rStyle w:val="FootnoteReference"/>
        </w:rPr>
        <w:footnoteRef/>
      </w:r>
      <w:r>
        <w:t xml:space="preserve"> </w:t>
      </w:r>
      <w:r w:rsidRPr="00CC6CCA">
        <w:rPr>
          <w:i/>
        </w:rPr>
        <w:t>Spectrum for Terrestrial 5G Networks: Licensing Developments Worldwide</w:t>
      </w:r>
      <w:r>
        <w:t>, GSA, 14 May 2019.</w:t>
      </w:r>
    </w:p>
  </w:footnote>
  <w:footnote w:id="27">
    <w:p w14:paraId="042800BE" w14:textId="446E7739" w:rsidR="00AB3EDB" w:rsidRDefault="00AB3EDB" w:rsidP="00963CDA">
      <w:pPr>
        <w:pStyle w:val="FootnoteText"/>
        <w:spacing w:after="120"/>
      </w:pPr>
      <w:r>
        <w:rPr>
          <w:rStyle w:val="FootnoteReference"/>
        </w:rPr>
        <w:footnoteRef/>
      </w:r>
      <w:r>
        <w:t xml:space="preserve"> </w:t>
      </w:r>
      <w:hyperlink r:id="rId21" w:history="1">
        <w:r w:rsidRPr="00D159D8">
          <w:rPr>
            <w:rStyle w:val="Hyperlink"/>
            <w:i/>
            <w:iCs/>
          </w:rPr>
          <w:t>Enabling wireless innovation through local licensing</w:t>
        </w:r>
      </w:hyperlink>
      <w:r w:rsidRPr="006A2F04">
        <w:rPr>
          <w:rStyle w:val="Hyperlink"/>
          <w:color w:val="auto"/>
          <w:u w:val="none"/>
        </w:rPr>
        <w:t>, Ofcom, 25 July 2019.</w:t>
      </w:r>
      <w:r w:rsidRPr="00581522">
        <w:t xml:space="preserve"> </w:t>
      </w:r>
    </w:p>
  </w:footnote>
  <w:footnote w:id="28">
    <w:p w14:paraId="40E7429B" w14:textId="77777777" w:rsidR="00AB3EDB" w:rsidRDefault="00AB3EDB" w:rsidP="00E460CF">
      <w:pPr>
        <w:pStyle w:val="FootnoteText"/>
      </w:pPr>
      <w:r>
        <w:rPr>
          <w:rStyle w:val="FootnoteReference"/>
        </w:rPr>
        <w:footnoteRef/>
      </w:r>
      <w:r>
        <w:t xml:space="preserve"> </w:t>
      </w:r>
      <w:hyperlink r:id="rId22" w:history="1">
        <w:r w:rsidRPr="00CC6CCA">
          <w:rPr>
            <w:rStyle w:val="Hyperlink"/>
            <w:i/>
          </w:rPr>
          <w:t>Preparing for 5G in New Zealand</w:t>
        </w:r>
      </w:hyperlink>
      <w:r>
        <w:t>, Radio Spectrum Management, New Zealand.</w:t>
      </w:r>
    </w:p>
  </w:footnote>
  <w:footnote w:id="29">
    <w:p w14:paraId="2C392A3F" w14:textId="0D3549F2" w:rsidR="00AB3EDB" w:rsidRPr="008D331E" w:rsidRDefault="00AB3EDB" w:rsidP="00C53C74">
      <w:pPr>
        <w:pStyle w:val="FootnoteText"/>
      </w:pPr>
      <w:r>
        <w:rPr>
          <w:rStyle w:val="FootnoteReference"/>
        </w:rPr>
        <w:footnoteRef/>
      </w:r>
      <w:r>
        <w:t xml:space="preserve"> That is, </w:t>
      </w:r>
      <w:r w:rsidRPr="00552CAE">
        <w:rPr>
          <w:rFonts w:cs="Arial"/>
          <w:szCs w:val="20"/>
        </w:rPr>
        <w:t xml:space="preserve">the </w:t>
      </w:r>
      <w:hyperlink r:id="rId23" w:history="1">
        <w:r w:rsidRPr="00062EF9">
          <w:rPr>
            <w:rStyle w:val="Hyperlink"/>
            <w:rFonts w:cs="Arial"/>
            <w:iCs/>
            <w:szCs w:val="20"/>
          </w:rPr>
          <w:t>Radiocommunications (Communication with Space Object) Class Licence 2015</w:t>
        </w:r>
      </w:hyperlink>
      <w:r>
        <w:rPr>
          <w:rFonts w:cs="Arial"/>
          <w:szCs w:val="20"/>
        </w:rPr>
        <w:t xml:space="preserve">, </w:t>
      </w:r>
      <w:hyperlink r:id="rId24" w:history="1">
        <w:r w:rsidRPr="008D331E">
          <w:rPr>
            <w:rStyle w:val="Hyperlink"/>
            <w:rFonts w:cs="Arial"/>
            <w:szCs w:val="20"/>
            <w:lang w:val="en"/>
          </w:rPr>
          <w:t>Radiocommunications (Foreign Space Objects) Determination 2014</w:t>
        </w:r>
      </w:hyperlink>
      <w:r w:rsidRPr="008D331E">
        <w:rPr>
          <w:rFonts w:cs="Arial"/>
          <w:szCs w:val="20"/>
          <w:lang w:val="en"/>
        </w:rPr>
        <w:t xml:space="preserve">, and the </w:t>
      </w:r>
      <w:hyperlink r:id="rId25" w:history="1">
        <w:r w:rsidRPr="00446847">
          <w:rPr>
            <w:rStyle w:val="Hyperlink"/>
            <w:rFonts w:cs="Arial"/>
            <w:szCs w:val="20"/>
            <w:lang w:val="en"/>
          </w:rPr>
          <w:t>Radiocommunications (Australian Space Objects) Determination 2</w:t>
        </w:r>
        <w:r w:rsidRPr="00446847">
          <w:rPr>
            <w:rStyle w:val="Hyperlink"/>
          </w:rPr>
          <w:t>0</w:t>
        </w:r>
        <w:r w:rsidRPr="00446847">
          <w:rPr>
            <w:rStyle w:val="Hyperlink"/>
            <w:rFonts w:cs="Arial"/>
            <w:szCs w:val="20"/>
            <w:lang w:val="en"/>
          </w:rPr>
          <w:t>14</w:t>
        </w:r>
      </w:hyperlink>
      <w:r w:rsidRPr="008D331E">
        <w:rPr>
          <w:rFonts w:cs="Arial"/>
          <w:szCs w:val="20"/>
          <w:lang w:val="en"/>
        </w:rPr>
        <w:t>.</w:t>
      </w:r>
    </w:p>
  </w:footnote>
  <w:footnote w:id="30">
    <w:p w14:paraId="28167B1F" w14:textId="77777777" w:rsidR="00AB3EDB" w:rsidRDefault="00AB3EDB" w:rsidP="000B35F0">
      <w:pPr>
        <w:pStyle w:val="FootnoteText"/>
      </w:pPr>
      <w:r>
        <w:rPr>
          <w:rStyle w:val="FootnoteReference"/>
        </w:rPr>
        <w:footnoteRef/>
      </w:r>
      <w:r>
        <w:t xml:space="preserve"> </w:t>
      </w:r>
      <w:hyperlink r:id="rId26" w:history="1">
        <w:r>
          <w:rPr>
            <w:rStyle w:val="Hyperlink"/>
          </w:rPr>
          <w:t>Business operating procedures</w:t>
        </w:r>
      </w:hyperlink>
      <w:r>
        <w:t>, including those related to space licensing, are available on the ACMA website.</w:t>
      </w:r>
    </w:p>
  </w:footnote>
  <w:footnote w:id="31">
    <w:p w14:paraId="3F6F3427" w14:textId="4AC42879" w:rsidR="00AB3EDB" w:rsidRDefault="00AB3EDB">
      <w:pPr>
        <w:pStyle w:val="FootnoteText"/>
      </w:pPr>
      <w:r>
        <w:rPr>
          <w:rStyle w:val="FootnoteReference"/>
        </w:rPr>
        <w:footnoteRef/>
      </w:r>
      <w:r>
        <w:t xml:space="preserve"> Refer ITU Radio Regulation 5.133B. Note</w:t>
      </w:r>
      <w:r w:rsidDel="00F11130">
        <w:t xml:space="preserve"> </w:t>
      </w:r>
      <w:r>
        <w:t>some ITU Region 2 countries alternative limits of 20 or 25 watts apply.</w:t>
      </w:r>
    </w:p>
  </w:footnote>
  <w:footnote w:id="32">
    <w:p w14:paraId="792FE0FF" w14:textId="50628502" w:rsidR="00AB3EDB" w:rsidRDefault="00AB3EDB" w:rsidP="003335E7">
      <w:pPr>
        <w:pStyle w:val="FootnoteText"/>
      </w:pPr>
      <w:r>
        <w:rPr>
          <w:rStyle w:val="FootnoteReference"/>
        </w:rPr>
        <w:footnoteRef/>
      </w:r>
      <w:r>
        <w:t xml:space="preserve"> </w:t>
      </w:r>
      <w:bookmarkStart w:id="357" w:name="_Hlk524341942"/>
      <w:r>
        <w:t xml:space="preserve">ACMA, </w:t>
      </w:r>
      <w:hyperlink r:id="rId27" w:history="1">
        <w:r w:rsidRPr="008D1F40">
          <w:rPr>
            <w:rStyle w:val="Hyperlink"/>
            <w:i/>
          </w:rPr>
          <w:t>Future approach to the 3.6 GHz band</w:t>
        </w:r>
      </w:hyperlink>
      <w:r>
        <w:t xml:space="preserve">, 2017. </w:t>
      </w:r>
      <w:bookmarkEnd w:id="357"/>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77B60C" w14:textId="77777777" w:rsidR="00AB3EDB" w:rsidRPr="00A5474E" w:rsidRDefault="00AB3EDB" w:rsidP="00A5474E">
    <w:pPr>
      <w:pStyle w:val="Header"/>
    </w:pPr>
    <w:r>
      <w:rPr>
        <w:noProof/>
      </w:rPr>
      <w:drawing>
        <wp:inline distT="0" distB="0" distL="0" distR="0" wp14:anchorId="05253C7E" wp14:editId="008E708A">
          <wp:extent cx="6388100" cy="520700"/>
          <wp:effectExtent l="0" t="0" r="0" b="12700"/>
          <wp:docPr id="2" name="Picture 2"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DCF73C" w14:textId="77777777" w:rsidR="00AB3EDB" w:rsidRDefault="00AB3EDB" w:rsidP="005759E7">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19E870" w14:textId="77777777" w:rsidR="00AB3EDB" w:rsidRDefault="00AB3ED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74FF63" w14:textId="77777777" w:rsidR="00AB3EDB" w:rsidRDefault="00AB3ED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AB3EDB" w14:paraId="1318C046" w14:textId="77777777" w:rsidTr="005435F9">
      <w:trPr>
        <w:trHeight w:hRule="exact" w:val="988"/>
      </w:trPr>
      <w:tc>
        <w:tcPr>
          <w:tcW w:w="7678" w:type="dxa"/>
          <w:shd w:val="clear" w:color="auto" w:fill="auto"/>
        </w:tcPr>
        <w:p w14:paraId="0F24D554" w14:textId="77777777" w:rsidR="00AB3EDB" w:rsidRDefault="00AB3EDB" w:rsidP="005435F9">
          <w:pPr>
            <w:pStyle w:val="Header"/>
          </w:pPr>
        </w:p>
      </w:tc>
    </w:tr>
    <w:tr w:rsidR="00AB3EDB" w14:paraId="6A0FCD40" w14:textId="77777777" w:rsidTr="005435F9">
      <w:tc>
        <w:tcPr>
          <w:tcW w:w="7678" w:type="dxa"/>
          <w:shd w:val="clear" w:color="auto" w:fill="auto"/>
        </w:tcPr>
        <w:p w14:paraId="3794FF38" w14:textId="77777777" w:rsidR="00AB3EDB" w:rsidRDefault="00AB3EDB" w:rsidP="005435F9">
          <w:pPr>
            <w:pStyle w:val="GridTable31"/>
          </w:pPr>
          <w:r>
            <w:t xml:space="preserve">Contents </w:t>
          </w:r>
          <w:r w:rsidRPr="00915B1C">
            <w:rPr>
              <w:b w:val="0"/>
              <w:spacing w:val="0"/>
              <w:sz w:val="28"/>
              <w:szCs w:val="28"/>
            </w:rPr>
            <w:t>(Continued)</w:t>
          </w:r>
        </w:p>
      </w:tc>
    </w:tr>
    <w:tr w:rsidR="00AB3EDB" w14:paraId="2D7306DC" w14:textId="77777777" w:rsidTr="005435F9">
      <w:trPr>
        <w:trHeight w:val="1220"/>
      </w:trPr>
      <w:tc>
        <w:tcPr>
          <w:tcW w:w="7678" w:type="dxa"/>
          <w:shd w:val="clear" w:color="auto" w:fill="auto"/>
        </w:tcPr>
        <w:p w14:paraId="7B41FC25" w14:textId="77777777" w:rsidR="00AB3EDB" w:rsidRDefault="00AB3EDB" w:rsidP="005435F9"/>
      </w:tc>
    </w:tr>
  </w:tbl>
  <w:p w14:paraId="30DB03A9" w14:textId="77777777" w:rsidR="00AB3EDB" w:rsidRPr="00652FC3" w:rsidRDefault="00AB3EDB" w:rsidP="004C4F33">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AB3EDB" w14:paraId="7F7DDCF3" w14:textId="77777777" w:rsidTr="00F16F31">
      <w:trPr>
        <w:trHeight w:hRule="exact" w:val="988"/>
      </w:trPr>
      <w:tc>
        <w:tcPr>
          <w:tcW w:w="7678" w:type="dxa"/>
          <w:shd w:val="clear" w:color="auto" w:fill="auto"/>
        </w:tcPr>
        <w:p w14:paraId="6864D64B" w14:textId="77777777" w:rsidR="00AB3EDB" w:rsidRDefault="00AB3EDB" w:rsidP="00F16F31">
          <w:pPr>
            <w:pStyle w:val="Header"/>
          </w:pPr>
        </w:p>
      </w:tc>
    </w:tr>
    <w:tr w:rsidR="00AB3EDB" w14:paraId="7A3D87BD" w14:textId="77777777" w:rsidTr="00F16F31">
      <w:tc>
        <w:tcPr>
          <w:tcW w:w="7678" w:type="dxa"/>
          <w:shd w:val="clear" w:color="auto" w:fill="auto"/>
        </w:tcPr>
        <w:p w14:paraId="1A925116" w14:textId="77777777" w:rsidR="00AB3EDB" w:rsidRDefault="00AB3EDB" w:rsidP="00F16F31">
          <w:pPr>
            <w:pStyle w:val="GridTable31"/>
          </w:pPr>
          <w:r>
            <w:t xml:space="preserve">Contents </w:t>
          </w:r>
          <w:r w:rsidRPr="00915B1C">
            <w:rPr>
              <w:b w:val="0"/>
              <w:spacing w:val="0"/>
              <w:sz w:val="28"/>
              <w:szCs w:val="28"/>
            </w:rPr>
            <w:t>(Continued)</w:t>
          </w:r>
        </w:p>
      </w:tc>
    </w:tr>
    <w:tr w:rsidR="00AB3EDB" w14:paraId="3AC9DF72" w14:textId="77777777" w:rsidTr="00F16F31">
      <w:trPr>
        <w:trHeight w:val="1220"/>
      </w:trPr>
      <w:tc>
        <w:tcPr>
          <w:tcW w:w="7678" w:type="dxa"/>
          <w:shd w:val="clear" w:color="auto" w:fill="auto"/>
        </w:tcPr>
        <w:p w14:paraId="258D5A31" w14:textId="77777777" w:rsidR="00AB3EDB" w:rsidRDefault="00AB3EDB" w:rsidP="00F16F31"/>
      </w:tc>
    </w:tr>
  </w:tbl>
  <w:p w14:paraId="6D8DE37D" w14:textId="77777777" w:rsidR="00AB3EDB" w:rsidRPr="00A5474E" w:rsidRDefault="00AB3EDB" w:rsidP="005435F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42962C" w14:textId="77777777" w:rsidR="00AB3EDB" w:rsidRDefault="00AB3ED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3771D4" w14:textId="77777777" w:rsidR="00AB3EDB" w:rsidRDefault="00AB3EDB">
    <w:pPr>
      <w:pStyle w:val="Header"/>
    </w:pPr>
  </w:p>
  <w:p w14:paraId="17168CE9" w14:textId="77777777" w:rsidR="00AB3EDB" w:rsidRDefault="00AB3EDB"/>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91F228" w14:textId="77777777" w:rsidR="00AB3EDB" w:rsidRPr="006F542F" w:rsidRDefault="00AB3EDB" w:rsidP="00704E9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7A8F57" w14:textId="77777777" w:rsidR="00AB3EDB" w:rsidRPr="00A5474E" w:rsidRDefault="00AB3EDB" w:rsidP="005435F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alt="A picture containing clipart&#10;&#10;Description automatically generated" style="width:21.75pt;height:12.75pt;visibility:visible;mso-wrap-style:square" o:bullet="t">
        <v:imagedata r:id="rId1" o:title="A picture containing clipart&#10;&#10;Description automatically generated"/>
      </v:shape>
    </w:pict>
  </w:numPicBullet>
  <w:numPicBullet w:numPicBulletId="1">
    <w:pict>
      <v:shape id="_x0000_i1027" type="#_x0000_t75" alt="A close up of a sign&#10;&#10;Description automatically generated" style="width:19.5pt;height:11.25pt;visibility:visible;mso-wrap-style:square" o:bullet="t">
        <v:imagedata r:id="rId2" o:title="A close up of a sign&#10;&#10;Description automatically generated"/>
      </v:shape>
    </w:pict>
  </w:numPicBullet>
  <w:abstractNum w:abstractNumId="0" w15:restartNumberingAfterBreak="0">
    <w:nsid w:val="FFFFFF7C"/>
    <w:multiLevelType w:val="singleLevel"/>
    <w:tmpl w:val="18FE28A4"/>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2" w15:restartNumberingAfterBreak="0">
    <w:nsid w:val="FFFFFF83"/>
    <w:multiLevelType w:val="singleLevel"/>
    <w:tmpl w:val="7A8CB434"/>
    <w:lvl w:ilvl="0">
      <w:start w:val="1"/>
      <w:numFmt w:val="bullet"/>
      <w:lvlText w:val=""/>
      <w:lvlJc w:val="left"/>
      <w:pPr>
        <w:tabs>
          <w:tab w:val="num" w:pos="643"/>
        </w:tabs>
        <w:ind w:left="643" w:hanging="360"/>
      </w:pPr>
      <w:rPr>
        <w:rFonts w:ascii="Symbol" w:hAnsi="Symbol" w:hint="default"/>
      </w:rPr>
    </w:lvl>
  </w:abstractNum>
  <w:abstractNum w:abstractNumId="3" w15:restartNumberingAfterBreak="0">
    <w:nsid w:val="FFFFFF89"/>
    <w:multiLevelType w:val="singleLevel"/>
    <w:tmpl w:val="40BAB0C4"/>
    <w:lvl w:ilvl="0">
      <w:start w:val="1"/>
      <w:numFmt w:val="bullet"/>
      <w:pStyle w:val="ListBullet"/>
      <w:lvlText w:val="&gt;"/>
      <w:lvlJc w:val="left"/>
      <w:pPr>
        <w:tabs>
          <w:tab w:val="num" w:pos="3273"/>
        </w:tabs>
        <w:ind w:left="3273" w:hanging="295"/>
      </w:pPr>
      <w:rPr>
        <w:rFonts w:ascii="HelveticaNeueLT Std Lt" w:hAnsi="HelveticaNeueLT Std Lt" w:hint="default"/>
        <w:sz w:val="20"/>
      </w:rPr>
    </w:lvl>
  </w:abstractNum>
  <w:abstractNum w:abstractNumId="4" w15:restartNumberingAfterBreak="0">
    <w:nsid w:val="009F7489"/>
    <w:multiLevelType w:val="hybridMultilevel"/>
    <w:tmpl w:val="FC5E4E4C"/>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00D05142"/>
    <w:multiLevelType w:val="hybridMultilevel"/>
    <w:tmpl w:val="1E0AE4B4"/>
    <w:lvl w:ilvl="0" w:tplc="70D07034">
      <w:start w:val="1"/>
      <w:numFmt w:val="bullet"/>
      <w:lvlText w:val=""/>
      <w:lvlPicBulletId w:val="1"/>
      <w:lvlJc w:val="left"/>
      <w:pPr>
        <w:tabs>
          <w:tab w:val="num" w:pos="720"/>
        </w:tabs>
        <w:ind w:left="720" w:hanging="360"/>
      </w:pPr>
      <w:rPr>
        <w:rFonts w:ascii="Symbol" w:hAnsi="Symbol" w:hint="default"/>
      </w:rPr>
    </w:lvl>
    <w:lvl w:ilvl="1" w:tplc="E19E26B8" w:tentative="1">
      <w:start w:val="1"/>
      <w:numFmt w:val="bullet"/>
      <w:lvlText w:val=""/>
      <w:lvlJc w:val="left"/>
      <w:pPr>
        <w:tabs>
          <w:tab w:val="num" w:pos="1440"/>
        </w:tabs>
        <w:ind w:left="1440" w:hanging="360"/>
      </w:pPr>
      <w:rPr>
        <w:rFonts w:ascii="Symbol" w:hAnsi="Symbol" w:hint="default"/>
      </w:rPr>
    </w:lvl>
    <w:lvl w:ilvl="2" w:tplc="ED2419CC" w:tentative="1">
      <w:start w:val="1"/>
      <w:numFmt w:val="bullet"/>
      <w:lvlText w:val=""/>
      <w:lvlJc w:val="left"/>
      <w:pPr>
        <w:tabs>
          <w:tab w:val="num" w:pos="2160"/>
        </w:tabs>
        <w:ind w:left="2160" w:hanging="360"/>
      </w:pPr>
      <w:rPr>
        <w:rFonts w:ascii="Symbol" w:hAnsi="Symbol" w:hint="default"/>
      </w:rPr>
    </w:lvl>
    <w:lvl w:ilvl="3" w:tplc="EA4ACF4A" w:tentative="1">
      <w:start w:val="1"/>
      <w:numFmt w:val="bullet"/>
      <w:lvlText w:val=""/>
      <w:lvlJc w:val="left"/>
      <w:pPr>
        <w:tabs>
          <w:tab w:val="num" w:pos="2880"/>
        </w:tabs>
        <w:ind w:left="2880" w:hanging="360"/>
      </w:pPr>
      <w:rPr>
        <w:rFonts w:ascii="Symbol" w:hAnsi="Symbol" w:hint="default"/>
      </w:rPr>
    </w:lvl>
    <w:lvl w:ilvl="4" w:tplc="C5D29754" w:tentative="1">
      <w:start w:val="1"/>
      <w:numFmt w:val="bullet"/>
      <w:lvlText w:val=""/>
      <w:lvlJc w:val="left"/>
      <w:pPr>
        <w:tabs>
          <w:tab w:val="num" w:pos="3600"/>
        </w:tabs>
        <w:ind w:left="3600" w:hanging="360"/>
      </w:pPr>
      <w:rPr>
        <w:rFonts w:ascii="Symbol" w:hAnsi="Symbol" w:hint="default"/>
      </w:rPr>
    </w:lvl>
    <w:lvl w:ilvl="5" w:tplc="F1726096" w:tentative="1">
      <w:start w:val="1"/>
      <w:numFmt w:val="bullet"/>
      <w:lvlText w:val=""/>
      <w:lvlJc w:val="left"/>
      <w:pPr>
        <w:tabs>
          <w:tab w:val="num" w:pos="4320"/>
        </w:tabs>
        <w:ind w:left="4320" w:hanging="360"/>
      </w:pPr>
      <w:rPr>
        <w:rFonts w:ascii="Symbol" w:hAnsi="Symbol" w:hint="default"/>
      </w:rPr>
    </w:lvl>
    <w:lvl w:ilvl="6" w:tplc="C2280BA6" w:tentative="1">
      <w:start w:val="1"/>
      <w:numFmt w:val="bullet"/>
      <w:lvlText w:val=""/>
      <w:lvlJc w:val="left"/>
      <w:pPr>
        <w:tabs>
          <w:tab w:val="num" w:pos="5040"/>
        </w:tabs>
        <w:ind w:left="5040" w:hanging="360"/>
      </w:pPr>
      <w:rPr>
        <w:rFonts w:ascii="Symbol" w:hAnsi="Symbol" w:hint="default"/>
      </w:rPr>
    </w:lvl>
    <w:lvl w:ilvl="7" w:tplc="2CE48400" w:tentative="1">
      <w:start w:val="1"/>
      <w:numFmt w:val="bullet"/>
      <w:lvlText w:val=""/>
      <w:lvlJc w:val="left"/>
      <w:pPr>
        <w:tabs>
          <w:tab w:val="num" w:pos="5760"/>
        </w:tabs>
        <w:ind w:left="5760" w:hanging="360"/>
      </w:pPr>
      <w:rPr>
        <w:rFonts w:ascii="Symbol" w:hAnsi="Symbol" w:hint="default"/>
      </w:rPr>
    </w:lvl>
    <w:lvl w:ilvl="8" w:tplc="5B5AF5C0" w:tentative="1">
      <w:start w:val="1"/>
      <w:numFmt w:val="bullet"/>
      <w:lvlText w:val=""/>
      <w:lvlJc w:val="left"/>
      <w:pPr>
        <w:tabs>
          <w:tab w:val="num" w:pos="6480"/>
        </w:tabs>
        <w:ind w:left="6480" w:hanging="360"/>
      </w:pPr>
      <w:rPr>
        <w:rFonts w:ascii="Symbol" w:hAnsi="Symbol" w:hint="default"/>
      </w:rPr>
    </w:lvl>
  </w:abstractNum>
  <w:abstractNum w:abstractNumId="6" w15:restartNumberingAfterBreak="0">
    <w:nsid w:val="010D0D9F"/>
    <w:multiLevelType w:val="hybridMultilevel"/>
    <w:tmpl w:val="5C382AE8"/>
    <w:lvl w:ilvl="0" w:tplc="820C6D68">
      <w:start w:val="1"/>
      <w:numFmt w:val="bullet"/>
      <w:lvlText w:val=""/>
      <w:lvlPicBulletId w:val="1"/>
      <w:lvlJc w:val="left"/>
      <w:pPr>
        <w:tabs>
          <w:tab w:val="num" w:pos="720"/>
        </w:tabs>
        <w:ind w:left="720" w:hanging="360"/>
      </w:pPr>
      <w:rPr>
        <w:rFonts w:ascii="Symbol" w:hAnsi="Symbol" w:hint="default"/>
      </w:rPr>
    </w:lvl>
    <w:lvl w:ilvl="1" w:tplc="B184C518" w:tentative="1">
      <w:start w:val="1"/>
      <w:numFmt w:val="bullet"/>
      <w:lvlText w:val=""/>
      <w:lvlJc w:val="left"/>
      <w:pPr>
        <w:tabs>
          <w:tab w:val="num" w:pos="1440"/>
        </w:tabs>
        <w:ind w:left="1440" w:hanging="360"/>
      </w:pPr>
      <w:rPr>
        <w:rFonts w:ascii="Symbol" w:hAnsi="Symbol" w:hint="default"/>
      </w:rPr>
    </w:lvl>
    <w:lvl w:ilvl="2" w:tplc="CF64CB78" w:tentative="1">
      <w:start w:val="1"/>
      <w:numFmt w:val="bullet"/>
      <w:lvlText w:val=""/>
      <w:lvlJc w:val="left"/>
      <w:pPr>
        <w:tabs>
          <w:tab w:val="num" w:pos="2160"/>
        </w:tabs>
        <w:ind w:left="2160" w:hanging="360"/>
      </w:pPr>
      <w:rPr>
        <w:rFonts w:ascii="Symbol" w:hAnsi="Symbol" w:hint="default"/>
      </w:rPr>
    </w:lvl>
    <w:lvl w:ilvl="3" w:tplc="3DAAF80A" w:tentative="1">
      <w:start w:val="1"/>
      <w:numFmt w:val="bullet"/>
      <w:lvlText w:val=""/>
      <w:lvlJc w:val="left"/>
      <w:pPr>
        <w:tabs>
          <w:tab w:val="num" w:pos="2880"/>
        </w:tabs>
        <w:ind w:left="2880" w:hanging="360"/>
      </w:pPr>
      <w:rPr>
        <w:rFonts w:ascii="Symbol" w:hAnsi="Symbol" w:hint="default"/>
      </w:rPr>
    </w:lvl>
    <w:lvl w:ilvl="4" w:tplc="56543818" w:tentative="1">
      <w:start w:val="1"/>
      <w:numFmt w:val="bullet"/>
      <w:lvlText w:val=""/>
      <w:lvlJc w:val="left"/>
      <w:pPr>
        <w:tabs>
          <w:tab w:val="num" w:pos="3600"/>
        </w:tabs>
        <w:ind w:left="3600" w:hanging="360"/>
      </w:pPr>
      <w:rPr>
        <w:rFonts w:ascii="Symbol" w:hAnsi="Symbol" w:hint="default"/>
      </w:rPr>
    </w:lvl>
    <w:lvl w:ilvl="5" w:tplc="4686FC5A" w:tentative="1">
      <w:start w:val="1"/>
      <w:numFmt w:val="bullet"/>
      <w:lvlText w:val=""/>
      <w:lvlJc w:val="left"/>
      <w:pPr>
        <w:tabs>
          <w:tab w:val="num" w:pos="4320"/>
        </w:tabs>
        <w:ind w:left="4320" w:hanging="360"/>
      </w:pPr>
      <w:rPr>
        <w:rFonts w:ascii="Symbol" w:hAnsi="Symbol" w:hint="default"/>
      </w:rPr>
    </w:lvl>
    <w:lvl w:ilvl="6" w:tplc="BBBE0AF4" w:tentative="1">
      <w:start w:val="1"/>
      <w:numFmt w:val="bullet"/>
      <w:lvlText w:val=""/>
      <w:lvlJc w:val="left"/>
      <w:pPr>
        <w:tabs>
          <w:tab w:val="num" w:pos="5040"/>
        </w:tabs>
        <w:ind w:left="5040" w:hanging="360"/>
      </w:pPr>
      <w:rPr>
        <w:rFonts w:ascii="Symbol" w:hAnsi="Symbol" w:hint="default"/>
      </w:rPr>
    </w:lvl>
    <w:lvl w:ilvl="7" w:tplc="9E2EBDDE" w:tentative="1">
      <w:start w:val="1"/>
      <w:numFmt w:val="bullet"/>
      <w:lvlText w:val=""/>
      <w:lvlJc w:val="left"/>
      <w:pPr>
        <w:tabs>
          <w:tab w:val="num" w:pos="5760"/>
        </w:tabs>
        <w:ind w:left="5760" w:hanging="360"/>
      </w:pPr>
      <w:rPr>
        <w:rFonts w:ascii="Symbol" w:hAnsi="Symbol" w:hint="default"/>
      </w:rPr>
    </w:lvl>
    <w:lvl w:ilvl="8" w:tplc="9B245F10" w:tentative="1">
      <w:start w:val="1"/>
      <w:numFmt w:val="bullet"/>
      <w:lvlText w:val=""/>
      <w:lvlJc w:val="left"/>
      <w:pPr>
        <w:tabs>
          <w:tab w:val="num" w:pos="6480"/>
        </w:tabs>
        <w:ind w:left="6480" w:hanging="360"/>
      </w:pPr>
      <w:rPr>
        <w:rFonts w:ascii="Symbol" w:hAnsi="Symbol" w:hint="default"/>
      </w:rPr>
    </w:lvl>
  </w:abstractNum>
  <w:abstractNum w:abstractNumId="7" w15:restartNumberingAfterBreak="0">
    <w:nsid w:val="01106B66"/>
    <w:multiLevelType w:val="hybridMultilevel"/>
    <w:tmpl w:val="D3C612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1C77057"/>
    <w:multiLevelType w:val="hybridMultilevel"/>
    <w:tmpl w:val="3086ECFE"/>
    <w:lvl w:ilvl="0" w:tplc="08D2AB58">
      <w:start w:val="1"/>
      <w:numFmt w:val="bullet"/>
      <w:lvlText w:val="&gt;"/>
      <w:lvlJc w:val="left"/>
      <w:pPr>
        <w:ind w:left="1800" w:hanging="360"/>
      </w:pPr>
      <w:rPr>
        <w:rFonts w:ascii="HelveticaNeueLT Std Lt" w:hAnsi="HelveticaNeueLT Std Lt" w:hint="default"/>
        <w:sz w:val="20"/>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9" w15:restartNumberingAfterBreak="0">
    <w:nsid w:val="01D040EB"/>
    <w:multiLevelType w:val="hybridMultilevel"/>
    <w:tmpl w:val="814A6C72"/>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04BC483B"/>
    <w:multiLevelType w:val="hybridMultilevel"/>
    <w:tmpl w:val="9A703D54"/>
    <w:lvl w:ilvl="0" w:tplc="0BC843DC">
      <w:start w:val="1"/>
      <w:numFmt w:val="bullet"/>
      <w:lvlText w:val=""/>
      <w:lvlPicBulletId w:val="1"/>
      <w:lvlJc w:val="left"/>
      <w:pPr>
        <w:tabs>
          <w:tab w:val="num" w:pos="720"/>
        </w:tabs>
        <w:ind w:left="720" w:hanging="360"/>
      </w:pPr>
      <w:rPr>
        <w:rFonts w:ascii="Symbol" w:hAnsi="Symbol" w:hint="default"/>
      </w:rPr>
    </w:lvl>
    <w:lvl w:ilvl="1" w:tplc="C59C669E" w:tentative="1">
      <w:start w:val="1"/>
      <w:numFmt w:val="bullet"/>
      <w:lvlText w:val=""/>
      <w:lvlJc w:val="left"/>
      <w:pPr>
        <w:tabs>
          <w:tab w:val="num" w:pos="1440"/>
        </w:tabs>
        <w:ind w:left="1440" w:hanging="360"/>
      </w:pPr>
      <w:rPr>
        <w:rFonts w:ascii="Symbol" w:hAnsi="Symbol" w:hint="default"/>
      </w:rPr>
    </w:lvl>
    <w:lvl w:ilvl="2" w:tplc="1974FE60" w:tentative="1">
      <w:start w:val="1"/>
      <w:numFmt w:val="bullet"/>
      <w:lvlText w:val=""/>
      <w:lvlJc w:val="left"/>
      <w:pPr>
        <w:tabs>
          <w:tab w:val="num" w:pos="2160"/>
        </w:tabs>
        <w:ind w:left="2160" w:hanging="360"/>
      </w:pPr>
      <w:rPr>
        <w:rFonts w:ascii="Symbol" w:hAnsi="Symbol" w:hint="default"/>
      </w:rPr>
    </w:lvl>
    <w:lvl w:ilvl="3" w:tplc="7278DBA2" w:tentative="1">
      <w:start w:val="1"/>
      <w:numFmt w:val="bullet"/>
      <w:lvlText w:val=""/>
      <w:lvlJc w:val="left"/>
      <w:pPr>
        <w:tabs>
          <w:tab w:val="num" w:pos="2880"/>
        </w:tabs>
        <w:ind w:left="2880" w:hanging="360"/>
      </w:pPr>
      <w:rPr>
        <w:rFonts w:ascii="Symbol" w:hAnsi="Symbol" w:hint="default"/>
      </w:rPr>
    </w:lvl>
    <w:lvl w:ilvl="4" w:tplc="9104A892" w:tentative="1">
      <w:start w:val="1"/>
      <w:numFmt w:val="bullet"/>
      <w:lvlText w:val=""/>
      <w:lvlJc w:val="left"/>
      <w:pPr>
        <w:tabs>
          <w:tab w:val="num" w:pos="3600"/>
        </w:tabs>
        <w:ind w:left="3600" w:hanging="360"/>
      </w:pPr>
      <w:rPr>
        <w:rFonts w:ascii="Symbol" w:hAnsi="Symbol" w:hint="default"/>
      </w:rPr>
    </w:lvl>
    <w:lvl w:ilvl="5" w:tplc="999426F8" w:tentative="1">
      <w:start w:val="1"/>
      <w:numFmt w:val="bullet"/>
      <w:lvlText w:val=""/>
      <w:lvlJc w:val="left"/>
      <w:pPr>
        <w:tabs>
          <w:tab w:val="num" w:pos="4320"/>
        </w:tabs>
        <w:ind w:left="4320" w:hanging="360"/>
      </w:pPr>
      <w:rPr>
        <w:rFonts w:ascii="Symbol" w:hAnsi="Symbol" w:hint="default"/>
      </w:rPr>
    </w:lvl>
    <w:lvl w:ilvl="6" w:tplc="4D0C2738" w:tentative="1">
      <w:start w:val="1"/>
      <w:numFmt w:val="bullet"/>
      <w:lvlText w:val=""/>
      <w:lvlJc w:val="left"/>
      <w:pPr>
        <w:tabs>
          <w:tab w:val="num" w:pos="5040"/>
        </w:tabs>
        <w:ind w:left="5040" w:hanging="360"/>
      </w:pPr>
      <w:rPr>
        <w:rFonts w:ascii="Symbol" w:hAnsi="Symbol" w:hint="default"/>
      </w:rPr>
    </w:lvl>
    <w:lvl w:ilvl="7" w:tplc="15D635EA" w:tentative="1">
      <w:start w:val="1"/>
      <w:numFmt w:val="bullet"/>
      <w:lvlText w:val=""/>
      <w:lvlJc w:val="left"/>
      <w:pPr>
        <w:tabs>
          <w:tab w:val="num" w:pos="5760"/>
        </w:tabs>
        <w:ind w:left="5760" w:hanging="360"/>
      </w:pPr>
      <w:rPr>
        <w:rFonts w:ascii="Symbol" w:hAnsi="Symbol" w:hint="default"/>
      </w:rPr>
    </w:lvl>
    <w:lvl w:ilvl="8" w:tplc="AF68AE48" w:tentative="1">
      <w:start w:val="1"/>
      <w:numFmt w:val="bullet"/>
      <w:lvlText w:val=""/>
      <w:lvlJc w:val="left"/>
      <w:pPr>
        <w:tabs>
          <w:tab w:val="num" w:pos="6480"/>
        </w:tabs>
        <w:ind w:left="6480" w:hanging="360"/>
      </w:pPr>
      <w:rPr>
        <w:rFonts w:ascii="Symbol" w:hAnsi="Symbol" w:hint="default"/>
      </w:rPr>
    </w:lvl>
  </w:abstractNum>
  <w:abstractNum w:abstractNumId="11" w15:restartNumberingAfterBreak="0">
    <w:nsid w:val="05D9092E"/>
    <w:multiLevelType w:val="hybridMultilevel"/>
    <w:tmpl w:val="A67EDA80"/>
    <w:lvl w:ilvl="0" w:tplc="D99E2784">
      <w:start w:val="1"/>
      <w:numFmt w:val="bullet"/>
      <w:lvlText w:val=""/>
      <w:lvlPicBulletId w:val="0"/>
      <w:lvlJc w:val="left"/>
      <w:pPr>
        <w:tabs>
          <w:tab w:val="num" w:pos="720"/>
        </w:tabs>
        <w:ind w:left="720" w:hanging="360"/>
      </w:pPr>
      <w:rPr>
        <w:rFonts w:ascii="Symbol" w:hAnsi="Symbol" w:hint="default"/>
      </w:rPr>
    </w:lvl>
    <w:lvl w:ilvl="1" w:tplc="81865FBE" w:tentative="1">
      <w:start w:val="1"/>
      <w:numFmt w:val="bullet"/>
      <w:lvlText w:val=""/>
      <w:lvlJc w:val="left"/>
      <w:pPr>
        <w:tabs>
          <w:tab w:val="num" w:pos="1440"/>
        </w:tabs>
        <w:ind w:left="1440" w:hanging="360"/>
      </w:pPr>
      <w:rPr>
        <w:rFonts w:ascii="Symbol" w:hAnsi="Symbol" w:hint="default"/>
      </w:rPr>
    </w:lvl>
    <w:lvl w:ilvl="2" w:tplc="8CE0E7E4" w:tentative="1">
      <w:start w:val="1"/>
      <w:numFmt w:val="bullet"/>
      <w:lvlText w:val=""/>
      <w:lvlJc w:val="left"/>
      <w:pPr>
        <w:tabs>
          <w:tab w:val="num" w:pos="2160"/>
        </w:tabs>
        <w:ind w:left="2160" w:hanging="360"/>
      </w:pPr>
      <w:rPr>
        <w:rFonts w:ascii="Symbol" w:hAnsi="Symbol" w:hint="default"/>
      </w:rPr>
    </w:lvl>
    <w:lvl w:ilvl="3" w:tplc="CB7036E2" w:tentative="1">
      <w:start w:val="1"/>
      <w:numFmt w:val="bullet"/>
      <w:lvlText w:val=""/>
      <w:lvlJc w:val="left"/>
      <w:pPr>
        <w:tabs>
          <w:tab w:val="num" w:pos="2880"/>
        </w:tabs>
        <w:ind w:left="2880" w:hanging="360"/>
      </w:pPr>
      <w:rPr>
        <w:rFonts w:ascii="Symbol" w:hAnsi="Symbol" w:hint="default"/>
      </w:rPr>
    </w:lvl>
    <w:lvl w:ilvl="4" w:tplc="D2627976" w:tentative="1">
      <w:start w:val="1"/>
      <w:numFmt w:val="bullet"/>
      <w:lvlText w:val=""/>
      <w:lvlJc w:val="left"/>
      <w:pPr>
        <w:tabs>
          <w:tab w:val="num" w:pos="3600"/>
        </w:tabs>
        <w:ind w:left="3600" w:hanging="360"/>
      </w:pPr>
      <w:rPr>
        <w:rFonts w:ascii="Symbol" w:hAnsi="Symbol" w:hint="default"/>
      </w:rPr>
    </w:lvl>
    <w:lvl w:ilvl="5" w:tplc="36527726" w:tentative="1">
      <w:start w:val="1"/>
      <w:numFmt w:val="bullet"/>
      <w:lvlText w:val=""/>
      <w:lvlJc w:val="left"/>
      <w:pPr>
        <w:tabs>
          <w:tab w:val="num" w:pos="4320"/>
        </w:tabs>
        <w:ind w:left="4320" w:hanging="360"/>
      </w:pPr>
      <w:rPr>
        <w:rFonts w:ascii="Symbol" w:hAnsi="Symbol" w:hint="default"/>
      </w:rPr>
    </w:lvl>
    <w:lvl w:ilvl="6" w:tplc="6ECC03F4" w:tentative="1">
      <w:start w:val="1"/>
      <w:numFmt w:val="bullet"/>
      <w:lvlText w:val=""/>
      <w:lvlJc w:val="left"/>
      <w:pPr>
        <w:tabs>
          <w:tab w:val="num" w:pos="5040"/>
        </w:tabs>
        <w:ind w:left="5040" w:hanging="360"/>
      </w:pPr>
      <w:rPr>
        <w:rFonts w:ascii="Symbol" w:hAnsi="Symbol" w:hint="default"/>
      </w:rPr>
    </w:lvl>
    <w:lvl w:ilvl="7" w:tplc="1EFC0104" w:tentative="1">
      <w:start w:val="1"/>
      <w:numFmt w:val="bullet"/>
      <w:lvlText w:val=""/>
      <w:lvlJc w:val="left"/>
      <w:pPr>
        <w:tabs>
          <w:tab w:val="num" w:pos="5760"/>
        </w:tabs>
        <w:ind w:left="5760" w:hanging="360"/>
      </w:pPr>
      <w:rPr>
        <w:rFonts w:ascii="Symbol" w:hAnsi="Symbol" w:hint="default"/>
      </w:rPr>
    </w:lvl>
    <w:lvl w:ilvl="8" w:tplc="75747FCA" w:tentative="1">
      <w:start w:val="1"/>
      <w:numFmt w:val="bullet"/>
      <w:lvlText w:val=""/>
      <w:lvlJc w:val="left"/>
      <w:pPr>
        <w:tabs>
          <w:tab w:val="num" w:pos="6480"/>
        </w:tabs>
        <w:ind w:left="6480" w:hanging="360"/>
      </w:pPr>
      <w:rPr>
        <w:rFonts w:ascii="Symbol" w:hAnsi="Symbol" w:hint="default"/>
      </w:rPr>
    </w:lvl>
  </w:abstractNum>
  <w:abstractNum w:abstractNumId="12" w15:restartNumberingAfterBreak="0">
    <w:nsid w:val="07DB7B85"/>
    <w:multiLevelType w:val="hybridMultilevel"/>
    <w:tmpl w:val="E2CC5B14"/>
    <w:lvl w:ilvl="0" w:tplc="A34665A0">
      <w:start w:val="1"/>
      <w:numFmt w:val="bullet"/>
      <w:lvlText w:val=""/>
      <w:lvlPicBulletId w:val="1"/>
      <w:lvlJc w:val="left"/>
      <w:pPr>
        <w:tabs>
          <w:tab w:val="num" w:pos="720"/>
        </w:tabs>
        <w:ind w:left="720" w:hanging="360"/>
      </w:pPr>
      <w:rPr>
        <w:rFonts w:ascii="Symbol" w:hAnsi="Symbol" w:hint="default"/>
      </w:rPr>
    </w:lvl>
    <w:lvl w:ilvl="1" w:tplc="2A508D10" w:tentative="1">
      <w:start w:val="1"/>
      <w:numFmt w:val="bullet"/>
      <w:lvlText w:val=""/>
      <w:lvlJc w:val="left"/>
      <w:pPr>
        <w:tabs>
          <w:tab w:val="num" w:pos="1440"/>
        </w:tabs>
        <w:ind w:left="1440" w:hanging="360"/>
      </w:pPr>
      <w:rPr>
        <w:rFonts w:ascii="Symbol" w:hAnsi="Symbol" w:hint="default"/>
      </w:rPr>
    </w:lvl>
    <w:lvl w:ilvl="2" w:tplc="05F029A8" w:tentative="1">
      <w:start w:val="1"/>
      <w:numFmt w:val="bullet"/>
      <w:lvlText w:val=""/>
      <w:lvlJc w:val="left"/>
      <w:pPr>
        <w:tabs>
          <w:tab w:val="num" w:pos="2160"/>
        </w:tabs>
        <w:ind w:left="2160" w:hanging="360"/>
      </w:pPr>
      <w:rPr>
        <w:rFonts w:ascii="Symbol" w:hAnsi="Symbol" w:hint="default"/>
      </w:rPr>
    </w:lvl>
    <w:lvl w:ilvl="3" w:tplc="961EA4CE" w:tentative="1">
      <w:start w:val="1"/>
      <w:numFmt w:val="bullet"/>
      <w:lvlText w:val=""/>
      <w:lvlJc w:val="left"/>
      <w:pPr>
        <w:tabs>
          <w:tab w:val="num" w:pos="2880"/>
        </w:tabs>
        <w:ind w:left="2880" w:hanging="360"/>
      </w:pPr>
      <w:rPr>
        <w:rFonts w:ascii="Symbol" w:hAnsi="Symbol" w:hint="default"/>
      </w:rPr>
    </w:lvl>
    <w:lvl w:ilvl="4" w:tplc="F6360F82" w:tentative="1">
      <w:start w:val="1"/>
      <w:numFmt w:val="bullet"/>
      <w:lvlText w:val=""/>
      <w:lvlJc w:val="left"/>
      <w:pPr>
        <w:tabs>
          <w:tab w:val="num" w:pos="3600"/>
        </w:tabs>
        <w:ind w:left="3600" w:hanging="360"/>
      </w:pPr>
      <w:rPr>
        <w:rFonts w:ascii="Symbol" w:hAnsi="Symbol" w:hint="default"/>
      </w:rPr>
    </w:lvl>
    <w:lvl w:ilvl="5" w:tplc="31A04440" w:tentative="1">
      <w:start w:val="1"/>
      <w:numFmt w:val="bullet"/>
      <w:lvlText w:val=""/>
      <w:lvlJc w:val="left"/>
      <w:pPr>
        <w:tabs>
          <w:tab w:val="num" w:pos="4320"/>
        </w:tabs>
        <w:ind w:left="4320" w:hanging="360"/>
      </w:pPr>
      <w:rPr>
        <w:rFonts w:ascii="Symbol" w:hAnsi="Symbol" w:hint="default"/>
      </w:rPr>
    </w:lvl>
    <w:lvl w:ilvl="6" w:tplc="B0FEA136" w:tentative="1">
      <w:start w:val="1"/>
      <w:numFmt w:val="bullet"/>
      <w:lvlText w:val=""/>
      <w:lvlJc w:val="left"/>
      <w:pPr>
        <w:tabs>
          <w:tab w:val="num" w:pos="5040"/>
        </w:tabs>
        <w:ind w:left="5040" w:hanging="360"/>
      </w:pPr>
      <w:rPr>
        <w:rFonts w:ascii="Symbol" w:hAnsi="Symbol" w:hint="default"/>
      </w:rPr>
    </w:lvl>
    <w:lvl w:ilvl="7" w:tplc="1E586882" w:tentative="1">
      <w:start w:val="1"/>
      <w:numFmt w:val="bullet"/>
      <w:lvlText w:val=""/>
      <w:lvlJc w:val="left"/>
      <w:pPr>
        <w:tabs>
          <w:tab w:val="num" w:pos="5760"/>
        </w:tabs>
        <w:ind w:left="5760" w:hanging="360"/>
      </w:pPr>
      <w:rPr>
        <w:rFonts w:ascii="Symbol" w:hAnsi="Symbol" w:hint="default"/>
      </w:rPr>
    </w:lvl>
    <w:lvl w:ilvl="8" w:tplc="ACAA88AE" w:tentative="1">
      <w:start w:val="1"/>
      <w:numFmt w:val="bullet"/>
      <w:lvlText w:val=""/>
      <w:lvlJc w:val="left"/>
      <w:pPr>
        <w:tabs>
          <w:tab w:val="num" w:pos="6480"/>
        </w:tabs>
        <w:ind w:left="6480" w:hanging="360"/>
      </w:pPr>
      <w:rPr>
        <w:rFonts w:ascii="Symbol" w:hAnsi="Symbol" w:hint="default"/>
      </w:rPr>
    </w:lvl>
  </w:abstractNum>
  <w:abstractNum w:abstractNumId="13" w15:restartNumberingAfterBreak="0">
    <w:nsid w:val="081B15D5"/>
    <w:multiLevelType w:val="hybridMultilevel"/>
    <w:tmpl w:val="91C00568"/>
    <w:lvl w:ilvl="0" w:tplc="AAFC161A">
      <w:start w:val="1"/>
      <w:numFmt w:val="bullet"/>
      <w:lvlText w:val=""/>
      <w:lvlPicBulletId w:val="1"/>
      <w:lvlJc w:val="left"/>
      <w:pPr>
        <w:tabs>
          <w:tab w:val="num" w:pos="720"/>
        </w:tabs>
        <w:ind w:left="720" w:hanging="360"/>
      </w:pPr>
      <w:rPr>
        <w:rFonts w:ascii="Symbol" w:hAnsi="Symbol" w:hint="default"/>
      </w:rPr>
    </w:lvl>
    <w:lvl w:ilvl="1" w:tplc="4252B07C" w:tentative="1">
      <w:start w:val="1"/>
      <w:numFmt w:val="bullet"/>
      <w:lvlText w:val=""/>
      <w:lvlJc w:val="left"/>
      <w:pPr>
        <w:tabs>
          <w:tab w:val="num" w:pos="1440"/>
        </w:tabs>
        <w:ind w:left="1440" w:hanging="360"/>
      </w:pPr>
      <w:rPr>
        <w:rFonts w:ascii="Symbol" w:hAnsi="Symbol" w:hint="default"/>
      </w:rPr>
    </w:lvl>
    <w:lvl w:ilvl="2" w:tplc="148812E2" w:tentative="1">
      <w:start w:val="1"/>
      <w:numFmt w:val="bullet"/>
      <w:lvlText w:val=""/>
      <w:lvlJc w:val="left"/>
      <w:pPr>
        <w:tabs>
          <w:tab w:val="num" w:pos="2160"/>
        </w:tabs>
        <w:ind w:left="2160" w:hanging="360"/>
      </w:pPr>
      <w:rPr>
        <w:rFonts w:ascii="Symbol" w:hAnsi="Symbol" w:hint="default"/>
      </w:rPr>
    </w:lvl>
    <w:lvl w:ilvl="3" w:tplc="D818C014" w:tentative="1">
      <w:start w:val="1"/>
      <w:numFmt w:val="bullet"/>
      <w:lvlText w:val=""/>
      <w:lvlJc w:val="left"/>
      <w:pPr>
        <w:tabs>
          <w:tab w:val="num" w:pos="2880"/>
        </w:tabs>
        <w:ind w:left="2880" w:hanging="360"/>
      </w:pPr>
      <w:rPr>
        <w:rFonts w:ascii="Symbol" w:hAnsi="Symbol" w:hint="default"/>
      </w:rPr>
    </w:lvl>
    <w:lvl w:ilvl="4" w:tplc="6930C2EE" w:tentative="1">
      <w:start w:val="1"/>
      <w:numFmt w:val="bullet"/>
      <w:lvlText w:val=""/>
      <w:lvlJc w:val="left"/>
      <w:pPr>
        <w:tabs>
          <w:tab w:val="num" w:pos="3600"/>
        </w:tabs>
        <w:ind w:left="3600" w:hanging="360"/>
      </w:pPr>
      <w:rPr>
        <w:rFonts w:ascii="Symbol" w:hAnsi="Symbol" w:hint="default"/>
      </w:rPr>
    </w:lvl>
    <w:lvl w:ilvl="5" w:tplc="CE4CCFFA" w:tentative="1">
      <w:start w:val="1"/>
      <w:numFmt w:val="bullet"/>
      <w:lvlText w:val=""/>
      <w:lvlJc w:val="left"/>
      <w:pPr>
        <w:tabs>
          <w:tab w:val="num" w:pos="4320"/>
        </w:tabs>
        <w:ind w:left="4320" w:hanging="360"/>
      </w:pPr>
      <w:rPr>
        <w:rFonts w:ascii="Symbol" w:hAnsi="Symbol" w:hint="default"/>
      </w:rPr>
    </w:lvl>
    <w:lvl w:ilvl="6" w:tplc="43DA86F8" w:tentative="1">
      <w:start w:val="1"/>
      <w:numFmt w:val="bullet"/>
      <w:lvlText w:val=""/>
      <w:lvlJc w:val="left"/>
      <w:pPr>
        <w:tabs>
          <w:tab w:val="num" w:pos="5040"/>
        </w:tabs>
        <w:ind w:left="5040" w:hanging="360"/>
      </w:pPr>
      <w:rPr>
        <w:rFonts w:ascii="Symbol" w:hAnsi="Symbol" w:hint="default"/>
      </w:rPr>
    </w:lvl>
    <w:lvl w:ilvl="7" w:tplc="656A168E" w:tentative="1">
      <w:start w:val="1"/>
      <w:numFmt w:val="bullet"/>
      <w:lvlText w:val=""/>
      <w:lvlJc w:val="left"/>
      <w:pPr>
        <w:tabs>
          <w:tab w:val="num" w:pos="5760"/>
        </w:tabs>
        <w:ind w:left="5760" w:hanging="360"/>
      </w:pPr>
      <w:rPr>
        <w:rFonts w:ascii="Symbol" w:hAnsi="Symbol" w:hint="default"/>
      </w:rPr>
    </w:lvl>
    <w:lvl w:ilvl="8" w:tplc="84E83776" w:tentative="1">
      <w:start w:val="1"/>
      <w:numFmt w:val="bullet"/>
      <w:lvlText w:val=""/>
      <w:lvlJc w:val="left"/>
      <w:pPr>
        <w:tabs>
          <w:tab w:val="num" w:pos="6480"/>
        </w:tabs>
        <w:ind w:left="6480" w:hanging="360"/>
      </w:pPr>
      <w:rPr>
        <w:rFonts w:ascii="Symbol" w:hAnsi="Symbol" w:hint="default"/>
      </w:rPr>
    </w:lvl>
  </w:abstractNum>
  <w:abstractNum w:abstractNumId="14" w15:restartNumberingAfterBreak="0">
    <w:nsid w:val="09EC57DB"/>
    <w:multiLevelType w:val="hybridMultilevel"/>
    <w:tmpl w:val="710EA874"/>
    <w:lvl w:ilvl="0" w:tplc="08D2AB58">
      <w:start w:val="1"/>
      <w:numFmt w:val="bullet"/>
      <w:lvlText w:val="&gt;"/>
      <w:lvlJc w:val="left"/>
      <w:pPr>
        <w:ind w:left="928" w:hanging="360"/>
      </w:pPr>
      <w:rPr>
        <w:rFonts w:ascii="HelveticaNeueLT Std Lt" w:hAnsi="HelveticaNeueLT Std Lt" w:hint="default"/>
        <w:sz w:val="20"/>
      </w:rPr>
    </w:lvl>
    <w:lvl w:ilvl="1" w:tplc="0C090003" w:tentative="1">
      <w:start w:val="1"/>
      <w:numFmt w:val="bullet"/>
      <w:lvlText w:val="o"/>
      <w:lvlJc w:val="left"/>
      <w:pPr>
        <w:ind w:left="1648" w:hanging="360"/>
      </w:pPr>
      <w:rPr>
        <w:rFonts w:ascii="Courier New" w:hAnsi="Courier New" w:cs="Courier New" w:hint="default"/>
      </w:rPr>
    </w:lvl>
    <w:lvl w:ilvl="2" w:tplc="0C090005" w:tentative="1">
      <w:start w:val="1"/>
      <w:numFmt w:val="bullet"/>
      <w:lvlText w:val=""/>
      <w:lvlJc w:val="left"/>
      <w:pPr>
        <w:ind w:left="2368" w:hanging="360"/>
      </w:pPr>
      <w:rPr>
        <w:rFonts w:ascii="Wingdings" w:hAnsi="Wingdings" w:hint="default"/>
      </w:rPr>
    </w:lvl>
    <w:lvl w:ilvl="3" w:tplc="0C090001" w:tentative="1">
      <w:start w:val="1"/>
      <w:numFmt w:val="bullet"/>
      <w:lvlText w:val=""/>
      <w:lvlJc w:val="left"/>
      <w:pPr>
        <w:ind w:left="3088" w:hanging="360"/>
      </w:pPr>
      <w:rPr>
        <w:rFonts w:ascii="Symbol" w:hAnsi="Symbol" w:hint="default"/>
      </w:rPr>
    </w:lvl>
    <w:lvl w:ilvl="4" w:tplc="0C090003" w:tentative="1">
      <w:start w:val="1"/>
      <w:numFmt w:val="bullet"/>
      <w:lvlText w:val="o"/>
      <w:lvlJc w:val="left"/>
      <w:pPr>
        <w:ind w:left="3808" w:hanging="360"/>
      </w:pPr>
      <w:rPr>
        <w:rFonts w:ascii="Courier New" w:hAnsi="Courier New" w:cs="Courier New" w:hint="default"/>
      </w:rPr>
    </w:lvl>
    <w:lvl w:ilvl="5" w:tplc="0C090005" w:tentative="1">
      <w:start w:val="1"/>
      <w:numFmt w:val="bullet"/>
      <w:lvlText w:val=""/>
      <w:lvlJc w:val="left"/>
      <w:pPr>
        <w:ind w:left="4528" w:hanging="360"/>
      </w:pPr>
      <w:rPr>
        <w:rFonts w:ascii="Wingdings" w:hAnsi="Wingdings" w:hint="default"/>
      </w:rPr>
    </w:lvl>
    <w:lvl w:ilvl="6" w:tplc="0C090001" w:tentative="1">
      <w:start w:val="1"/>
      <w:numFmt w:val="bullet"/>
      <w:lvlText w:val=""/>
      <w:lvlJc w:val="left"/>
      <w:pPr>
        <w:ind w:left="5248" w:hanging="360"/>
      </w:pPr>
      <w:rPr>
        <w:rFonts w:ascii="Symbol" w:hAnsi="Symbol" w:hint="default"/>
      </w:rPr>
    </w:lvl>
    <w:lvl w:ilvl="7" w:tplc="0C090003" w:tentative="1">
      <w:start w:val="1"/>
      <w:numFmt w:val="bullet"/>
      <w:lvlText w:val="o"/>
      <w:lvlJc w:val="left"/>
      <w:pPr>
        <w:ind w:left="5968" w:hanging="360"/>
      </w:pPr>
      <w:rPr>
        <w:rFonts w:ascii="Courier New" w:hAnsi="Courier New" w:cs="Courier New" w:hint="default"/>
      </w:rPr>
    </w:lvl>
    <w:lvl w:ilvl="8" w:tplc="0C090005" w:tentative="1">
      <w:start w:val="1"/>
      <w:numFmt w:val="bullet"/>
      <w:lvlText w:val=""/>
      <w:lvlJc w:val="left"/>
      <w:pPr>
        <w:ind w:left="6688" w:hanging="360"/>
      </w:pPr>
      <w:rPr>
        <w:rFonts w:ascii="Wingdings" w:hAnsi="Wingdings" w:hint="default"/>
      </w:rPr>
    </w:lvl>
  </w:abstractNum>
  <w:abstractNum w:abstractNumId="15" w15:restartNumberingAfterBreak="0">
    <w:nsid w:val="0A03458B"/>
    <w:multiLevelType w:val="hybridMultilevel"/>
    <w:tmpl w:val="5E681AF4"/>
    <w:lvl w:ilvl="0" w:tplc="44EEC084">
      <w:start w:val="1"/>
      <w:numFmt w:val="bullet"/>
      <w:lvlText w:val="&gt;"/>
      <w:lvlJc w:val="left"/>
      <w:pPr>
        <w:ind w:left="1015" w:hanging="360"/>
      </w:pPr>
      <w:rPr>
        <w:rFonts w:ascii="HelveticaNeueLT Std" w:hAnsi="HelveticaNeueLT Std" w:hint="default"/>
      </w:rPr>
    </w:lvl>
    <w:lvl w:ilvl="1" w:tplc="0C090003" w:tentative="1">
      <w:start w:val="1"/>
      <w:numFmt w:val="bullet"/>
      <w:lvlText w:val="o"/>
      <w:lvlJc w:val="left"/>
      <w:pPr>
        <w:ind w:left="1735" w:hanging="360"/>
      </w:pPr>
      <w:rPr>
        <w:rFonts w:ascii="Courier New" w:hAnsi="Courier New" w:cs="Courier New" w:hint="default"/>
      </w:rPr>
    </w:lvl>
    <w:lvl w:ilvl="2" w:tplc="0C090005" w:tentative="1">
      <w:start w:val="1"/>
      <w:numFmt w:val="bullet"/>
      <w:lvlText w:val=""/>
      <w:lvlJc w:val="left"/>
      <w:pPr>
        <w:ind w:left="2455" w:hanging="360"/>
      </w:pPr>
      <w:rPr>
        <w:rFonts w:ascii="Wingdings" w:hAnsi="Wingdings" w:hint="default"/>
      </w:rPr>
    </w:lvl>
    <w:lvl w:ilvl="3" w:tplc="0C090001" w:tentative="1">
      <w:start w:val="1"/>
      <w:numFmt w:val="bullet"/>
      <w:lvlText w:val=""/>
      <w:lvlJc w:val="left"/>
      <w:pPr>
        <w:ind w:left="3175" w:hanging="360"/>
      </w:pPr>
      <w:rPr>
        <w:rFonts w:ascii="Symbol" w:hAnsi="Symbol" w:hint="default"/>
      </w:rPr>
    </w:lvl>
    <w:lvl w:ilvl="4" w:tplc="0C090003" w:tentative="1">
      <w:start w:val="1"/>
      <w:numFmt w:val="bullet"/>
      <w:lvlText w:val="o"/>
      <w:lvlJc w:val="left"/>
      <w:pPr>
        <w:ind w:left="3895" w:hanging="360"/>
      </w:pPr>
      <w:rPr>
        <w:rFonts w:ascii="Courier New" w:hAnsi="Courier New" w:cs="Courier New" w:hint="default"/>
      </w:rPr>
    </w:lvl>
    <w:lvl w:ilvl="5" w:tplc="0C090005" w:tentative="1">
      <w:start w:val="1"/>
      <w:numFmt w:val="bullet"/>
      <w:lvlText w:val=""/>
      <w:lvlJc w:val="left"/>
      <w:pPr>
        <w:ind w:left="4615" w:hanging="360"/>
      </w:pPr>
      <w:rPr>
        <w:rFonts w:ascii="Wingdings" w:hAnsi="Wingdings" w:hint="default"/>
      </w:rPr>
    </w:lvl>
    <w:lvl w:ilvl="6" w:tplc="0C090001" w:tentative="1">
      <w:start w:val="1"/>
      <w:numFmt w:val="bullet"/>
      <w:lvlText w:val=""/>
      <w:lvlJc w:val="left"/>
      <w:pPr>
        <w:ind w:left="5335" w:hanging="360"/>
      </w:pPr>
      <w:rPr>
        <w:rFonts w:ascii="Symbol" w:hAnsi="Symbol" w:hint="default"/>
      </w:rPr>
    </w:lvl>
    <w:lvl w:ilvl="7" w:tplc="0C090003" w:tentative="1">
      <w:start w:val="1"/>
      <w:numFmt w:val="bullet"/>
      <w:lvlText w:val="o"/>
      <w:lvlJc w:val="left"/>
      <w:pPr>
        <w:ind w:left="6055" w:hanging="360"/>
      </w:pPr>
      <w:rPr>
        <w:rFonts w:ascii="Courier New" w:hAnsi="Courier New" w:cs="Courier New" w:hint="default"/>
      </w:rPr>
    </w:lvl>
    <w:lvl w:ilvl="8" w:tplc="0C090005" w:tentative="1">
      <w:start w:val="1"/>
      <w:numFmt w:val="bullet"/>
      <w:lvlText w:val=""/>
      <w:lvlJc w:val="left"/>
      <w:pPr>
        <w:ind w:left="6775" w:hanging="360"/>
      </w:pPr>
      <w:rPr>
        <w:rFonts w:ascii="Wingdings" w:hAnsi="Wingdings" w:hint="default"/>
      </w:rPr>
    </w:lvl>
  </w:abstractNum>
  <w:abstractNum w:abstractNumId="16" w15:restartNumberingAfterBreak="0">
    <w:nsid w:val="0A41123D"/>
    <w:multiLevelType w:val="hybridMultilevel"/>
    <w:tmpl w:val="C1403184"/>
    <w:lvl w:ilvl="0" w:tplc="063463FE">
      <w:start w:val="1"/>
      <w:numFmt w:val="bullet"/>
      <w:lvlText w:val=""/>
      <w:lvlPicBulletId w:val="1"/>
      <w:lvlJc w:val="left"/>
      <w:pPr>
        <w:tabs>
          <w:tab w:val="num" w:pos="720"/>
        </w:tabs>
        <w:ind w:left="720" w:hanging="360"/>
      </w:pPr>
      <w:rPr>
        <w:rFonts w:ascii="Symbol" w:hAnsi="Symbol" w:hint="default"/>
      </w:rPr>
    </w:lvl>
    <w:lvl w:ilvl="1" w:tplc="8CC604F4" w:tentative="1">
      <w:start w:val="1"/>
      <w:numFmt w:val="bullet"/>
      <w:lvlText w:val=""/>
      <w:lvlJc w:val="left"/>
      <w:pPr>
        <w:tabs>
          <w:tab w:val="num" w:pos="1440"/>
        </w:tabs>
        <w:ind w:left="1440" w:hanging="360"/>
      </w:pPr>
      <w:rPr>
        <w:rFonts w:ascii="Symbol" w:hAnsi="Symbol" w:hint="default"/>
      </w:rPr>
    </w:lvl>
    <w:lvl w:ilvl="2" w:tplc="6FD2248E" w:tentative="1">
      <w:start w:val="1"/>
      <w:numFmt w:val="bullet"/>
      <w:lvlText w:val=""/>
      <w:lvlJc w:val="left"/>
      <w:pPr>
        <w:tabs>
          <w:tab w:val="num" w:pos="2160"/>
        </w:tabs>
        <w:ind w:left="2160" w:hanging="360"/>
      </w:pPr>
      <w:rPr>
        <w:rFonts w:ascii="Symbol" w:hAnsi="Symbol" w:hint="default"/>
      </w:rPr>
    </w:lvl>
    <w:lvl w:ilvl="3" w:tplc="9DEE3DBE" w:tentative="1">
      <w:start w:val="1"/>
      <w:numFmt w:val="bullet"/>
      <w:lvlText w:val=""/>
      <w:lvlJc w:val="left"/>
      <w:pPr>
        <w:tabs>
          <w:tab w:val="num" w:pos="2880"/>
        </w:tabs>
        <w:ind w:left="2880" w:hanging="360"/>
      </w:pPr>
      <w:rPr>
        <w:rFonts w:ascii="Symbol" w:hAnsi="Symbol" w:hint="default"/>
      </w:rPr>
    </w:lvl>
    <w:lvl w:ilvl="4" w:tplc="34E8389C" w:tentative="1">
      <w:start w:val="1"/>
      <w:numFmt w:val="bullet"/>
      <w:lvlText w:val=""/>
      <w:lvlJc w:val="left"/>
      <w:pPr>
        <w:tabs>
          <w:tab w:val="num" w:pos="3600"/>
        </w:tabs>
        <w:ind w:left="3600" w:hanging="360"/>
      </w:pPr>
      <w:rPr>
        <w:rFonts w:ascii="Symbol" w:hAnsi="Symbol" w:hint="default"/>
      </w:rPr>
    </w:lvl>
    <w:lvl w:ilvl="5" w:tplc="18082DA6" w:tentative="1">
      <w:start w:val="1"/>
      <w:numFmt w:val="bullet"/>
      <w:lvlText w:val=""/>
      <w:lvlJc w:val="left"/>
      <w:pPr>
        <w:tabs>
          <w:tab w:val="num" w:pos="4320"/>
        </w:tabs>
        <w:ind w:left="4320" w:hanging="360"/>
      </w:pPr>
      <w:rPr>
        <w:rFonts w:ascii="Symbol" w:hAnsi="Symbol" w:hint="default"/>
      </w:rPr>
    </w:lvl>
    <w:lvl w:ilvl="6" w:tplc="B9FC7D42" w:tentative="1">
      <w:start w:val="1"/>
      <w:numFmt w:val="bullet"/>
      <w:lvlText w:val=""/>
      <w:lvlJc w:val="left"/>
      <w:pPr>
        <w:tabs>
          <w:tab w:val="num" w:pos="5040"/>
        </w:tabs>
        <w:ind w:left="5040" w:hanging="360"/>
      </w:pPr>
      <w:rPr>
        <w:rFonts w:ascii="Symbol" w:hAnsi="Symbol" w:hint="default"/>
      </w:rPr>
    </w:lvl>
    <w:lvl w:ilvl="7" w:tplc="C5AC0C28" w:tentative="1">
      <w:start w:val="1"/>
      <w:numFmt w:val="bullet"/>
      <w:lvlText w:val=""/>
      <w:lvlJc w:val="left"/>
      <w:pPr>
        <w:tabs>
          <w:tab w:val="num" w:pos="5760"/>
        </w:tabs>
        <w:ind w:left="5760" w:hanging="360"/>
      </w:pPr>
      <w:rPr>
        <w:rFonts w:ascii="Symbol" w:hAnsi="Symbol" w:hint="default"/>
      </w:rPr>
    </w:lvl>
    <w:lvl w:ilvl="8" w:tplc="B77C9D80" w:tentative="1">
      <w:start w:val="1"/>
      <w:numFmt w:val="bullet"/>
      <w:lvlText w:val=""/>
      <w:lvlJc w:val="left"/>
      <w:pPr>
        <w:tabs>
          <w:tab w:val="num" w:pos="6480"/>
        </w:tabs>
        <w:ind w:left="6480" w:hanging="360"/>
      </w:pPr>
      <w:rPr>
        <w:rFonts w:ascii="Symbol" w:hAnsi="Symbol" w:hint="default"/>
      </w:rPr>
    </w:lvl>
  </w:abstractNum>
  <w:abstractNum w:abstractNumId="17" w15:restartNumberingAfterBreak="0">
    <w:nsid w:val="0AF63B30"/>
    <w:multiLevelType w:val="hybridMultilevel"/>
    <w:tmpl w:val="DA3CC630"/>
    <w:lvl w:ilvl="0" w:tplc="CC8A5050">
      <w:start w:val="1"/>
      <w:numFmt w:val="bullet"/>
      <w:lvlText w:val=""/>
      <w:lvlPicBulletId w:val="0"/>
      <w:lvlJc w:val="left"/>
      <w:pPr>
        <w:tabs>
          <w:tab w:val="num" w:pos="720"/>
        </w:tabs>
        <w:ind w:left="720" w:hanging="360"/>
      </w:pPr>
      <w:rPr>
        <w:rFonts w:ascii="Symbol" w:hAnsi="Symbol" w:hint="default"/>
      </w:rPr>
    </w:lvl>
    <w:lvl w:ilvl="1" w:tplc="8C1A2908" w:tentative="1">
      <w:start w:val="1"/>
      <w:numFmt w:val="bullet"/>
      <w:lvlText w:val=""/>
      <w:lvlJc w:val="left"/>
      <w:pPr>
        <w:tabs>
          <w:tab w:val="num" w:pos="1440"/>
        </w:tabs>
        <w:ind w:left="1440" w:hanging="360"/>
      </w:pPr>
      <w:rPr>
        <w:rFonts w:ascii="Symbol" w:hAnsi="Symbol" w:hint="default"/>
      </w:rPr>
    </w:lvl>
    <w:lvl w:ilvl="2" w:tplc="8FC64C40" w:tentative="1">
      <w:start w:val="1"/>
      <w:numFmt w:val="bullet"/>
      <w:lvlText w:val=""/>
      <w:lvlJc w:val="left"/>
      <w:pPr>
        <w:tabs>
          <w:tab w:val="num" w:pos="2160"/>
        </w:tabs>
        <w:ind w:left="2160" w:hanging="360"/>
      </w:pPr>
      <w:rPr>
        <w:rFonts w:ascii="Symbol" w:hAnsi="Symbol" w:hint="default"/>
      </w:rPr>
    </w:lvl>
    <w:lvl w:ilvl="3" w:tplc="8FE48846" w:tentative="1">
      <w:start w:val="1"/>
      <w:numFmt w:val="bullet"/>
      <w:lvlText w:val=""/>
      <w:lvlJc w:val="left"/>
      <w:pPr>
        <w:tabs>
          <w:tab w:val="num" w:pos="2880"/>
        </w:tabs>
        <w:ind w:left="2880" w:hanging="360"/>
      </w:pPr>
      <w:rPr>
        <w:rFonts w:ascii="Symbol" w:hAnsi="Symbol" w:hint="default"/>
      </w:rPr>
    </w:lvl>
    <w:lvl w:ilvl="4" w:tplc="5CC46900" w:tentative="1">
      <w:start w:val="1"/>
      <w:numFmt w:val="bullet"/>
      <w:lvlText w:val=""/>
      <w:lvlJc w:val="left"/>
      <w:pPr>
        <w:tabs>
          <w:tab w:val="num" w:pos="3600"/>
        </w:tabs>
        <w:ind w:left="3600" w:hanging="360"/>
      </w:pPr>
      <w:rPr>
        <w:rFonts w:ascii="Symbol" w:hAnsi="Symbol" w:hint="default"/>
      </w:rPr>
    </w:lvl>
    <w:lvl w:ilvl="5" w:tplc="924625EE" w:tentative="1">
      <w:start w:val="1"/>
      <w:numFmt w:val="bullet"/>
      <w:lvlText w:val=""/>
      <w:lvlJc w:val="left"/>
      <w:pPr>
        <w:tabs>
          <w:tab w:val="num" w:pos="4320"/>
        </w:tabs>
        <w:ind w:left="4320" w:hanging="360"/>
      </w:pPr>
      <w:rPr>
        <w:rFonts w:ascii="Symbol" w:hAnsi="Symbol" w:hint="default"/>
      </w:rPr>
    </w:lvl>
    <w:lvl w:ilvl="6" w:tplc="7AA22276" w:tentative="1">
      <w:start w:val="1"/>
      <w:numFmt w:val="bullet"/>
      <w:lvlText w:val=""/>
      <w:lvlJc w:val="left"/>
      <w:pPr>
        <w:tabs>
          <w:tab w:val="num" w:pos="5040"/>
        </w:tabs>
        <w:ind w:left="5040" w:hanging="360"/>
      </w:pPr>
      <w:rPr>
        <w:rFonts w:ascii="Symbol" w:hAnsi="Symbol" w:hint="default"/>
      </w:rPr>
    </w:lvl>
    <w:lvl w:ilvl="7" w:tplc="4C8ABB32" w:tentative="1">
      <w:start w:val="1"/>
      <w:numFmt w:val="bullet"/>
      <w:lvlText w:val=""/>
      <w:lvlJc w:val="left"/>
      <w:pPr>
        <w:tabs>
          <w:tab w:val="num" w:pos="5760"/>
        </w:tabs>
        <w:ind w:left="5760" w:hanging="360"/>
      </w:pPr>
      <w:rPr>
        <w:rFonts w:ascii="Symbol" w:hAnsi="Symbol" w:hint="default"/>
      </w:rPr>
    </w:lvl>
    <w:lvl w:ilvl="8" w:tplc="EEA49C2A" w:tentative="1">
      <w:start w:val="1"/>
      <w:numFmt w:val="bullet"/>
      <w:lvlText w:val=""/>
      <w:lvlJc w:val="left"/>
      <w:pPr>
        <w:tabs>
          <w:tab w:val="num" w:pos="6480"/>
        </w:tabs>
        <w:ind w:left="6480" w:hanging="360"/>
      </w:pPr>
      <w:rPr>
        <w:rFonts w:ascii="Symbol" w:hAnsi="Symbol" w:hint="default"/>
      </w:rPr>
    </w:lvl>
  </w:abstractNum>
  <w:abstractNum w:abstractNumId="18" w15:restartNumberingAfterBreak="0">
    <w:nsid w:val="0B5318A0"/>
    <w:multiLevelType w:val="hybridMultilevel"/>
    <w:tmpl w:val="DA64DB24"/>
    <w:lvl w:ilvl="0" w:tplc="907ECC92">
      <w:start w:val="1"/>
      <w:numFmt w:val="bullet"/>
      <w:lvlText w:val=""/>
      <w:lvlPicBulletId w:val="0"/>
      <w:lvlJc w:val="left"/>
      <w:pPr>
        <w:tabs>
          <w:tab w:val="num" w:pos="720"/>
        </w:tabs>
        <w:ind w:left="720" w:hanging="360"/>
      </w:pPr>
      <w:rPr>
        <w:rFonts w:ascii="Symbol" w:hAnsi="Symbol" w:hint="default"/>
      </w:rPr>
    </w:lvl>
    <w:lvl w:ilvl="1" w:tplc="B69272B6" w:tentative="1">
      <w:start w:val="1"/>
      <w:numFmt w:val="bullet"/>
      <w:lvlText w:val=""/>
      <w:lvlJc w:val="left"/>
      <w:pPr>
        <w:tabs>
          <w:tab w:val="num" w:pos="1440"/>
        </w:tabs>
        <w:ind w:left="1440" w:hanging="360"/>
      </w:pPr>
      <w:rPr>
        <w:rFonts w:ascii="Symbol" w:hAnsi="Symbol" w:hint="default"/>
      </w:rPr>
    </w:lvl>
    <w:lvl w:ilvl="2" w:tplc="2DD6D536" w:tentative="1">
      <w:start w:val="1"/>
      <w:numFmt w:val="bullet"/>
      <w:lvlText w:val=""/>
      <w:lvlJc w:val="left"/>
      <w:pPr>
        <w:tabs>
          <w:tab w:val="num" w:pos="2160"/>
        </w:tabs>
        <w:ind w:left="2160" w:hanging="360"/>
      </w:pPr>
      <w:rPr>
        <w:rFonts w:ascii="Symbol" w:hAnsi="Symbol" w:hint="default"/>
      </w:rPr>
    </w:lvl>
    <w:lvl w:ilvl="3" w:tplc="03EE125E" w:tentative="1">
      <w:start w:val="1"/>
      <w:numFmt w:val="bullet"/>
      <w:lvlText w:val=""/>
      <w:lvlJc w:val="left"/>
      <w:pPr>
        <w:tabs>
          <w:tab w:val="num" w:pos="2880"/>
        </w:tabs>
        <w:ind w:left="2880" w:hanging="360"/>
      </w:pPr>
      <w:rPr>
        <w:rFonts w:ascii="Symbol" w:hAnsi="Symbol" w:hint="default"/>
      </w:rPr>
    </w:lvl>
    <w:lvl w:ilvl="4" w:tplc="E5E4E7EC" w:tentative="1">
      <w:start w:val="1"/>
      <w:numFmt w:val="bullet"/>
      <w:lvlText w:val=""/>
      <w:lvlJc w:val="left"/>
      <w:pPr>
        <w:tabs>
          <w:tab w:val="num" w:pos="3600"/>
        </w:tabs>
        <w:ind w:left="3600" w:hanging="360"/>
      </w:pPr>
      <w:rPr>
        <w:rFonts w:ascii="Symbol" w:hAnsi="Symbol" w:hint="default"/>
      </w:rPr>
    </w:lvl>
    <w:lvl w:ilvl="5" w:tplc="014C1672" w:tentative="1">
      <w:start w:val="1"/>
      <w:numFmt w:val="bullet"/>
      <w:lvlText w:val=""/>
      <w:lvlJc w:val="left"/>
      <w:pPr>
        <w:tabs>
          <w:tab w:val="num" w:pos="4320"/>
        </w:tabs>
        <w:ind w:left="4320" w:hanging="360"/>
      </w:pPr>
      <w:rPr>
        <w:rFonts w:ascii="Symbol" w:hAnsi="Symbol" w:hint="default"/>
      </w:rPr>
    </w:lvl>
    <w:lvl w:ilvl="6" w:tplc="967EDA02" w:tentative="1">
      <w:start w:val="1"/>
      <w:numFmt w:val="bullet"/>
      <w:lvlText w:val=""/>
      <w:lvlJc w:val="left"/>
      <w:pPr>
        <w:tabs>
          <w:tab w:val="num" w:pos="5040"/>
        </w:tabs>
        <w:ind w:left="5040" w:hanging="360"/>
      </w:pPr>
      <w:rPr>
        <w:rFonts w:ascii="Symbol" w:hAnsi="Symbol" w:hint="default"/>
      </w:rPr>
    </w:lvl>
    <w:lvl w:ilvl="7" w:tplc="294CB098" w:tentative="1">
      <w:start w:val="1"/>
      <w:numFmt w:val="bullet"/>
      <w:lvlText w:val=""/>
      <w:lvlJc w:val="left"/>
      <w:pPr>
        <w:tabs>
          <w:tab w:val="num" w:pos="5760"/>
        </w:tabs>
        <w:ind w:left="5760" w:hanging="360"/>
      </w:pPr>
      <w:rPr>
        <w:rFonts w:ascii="Symbol" w:hAnsi="Symbol" w:hint="default"/>
      </w:rPr>
    </w:lvl>
    <w:lvl w:ilvl="8" w:tplc="4B7C57F8" w:tentative="1">
      <w:start w:val="1"/>
      <w:numFmt w:val="bullet"/>
      <w:lvlText w:val=""/>
      <w:lvlJc w:val="left"/>
      <w:pPr>
        <w:tabs>
          <w:tab w:val="num" w:pos="6480"/>
        </w:tabs>
        <w:ind w:left="6480" w:hanging="360"/>
      </w:pPr>
      <w:rPr>
        <w:rFonts w:ascii="Symbol" w:hAnsi="Symbol" w:hint="default"/>
      </w:rPr>
    </w:lvl>
  </w:abstractNum>
  <w:abstractNum w:abstractNumId="19" w15:restartNumberingAfterBreak="0">
    <w:nsid w:val="0BFD1E10"/>
    <w:multiLevelType w:val="hybridMultilevel"/>
    <w:tmpl w:val="E98C1E42"/>
    <w:lvl w:ilvl="0" w:tplc="4B78D01C">
      <w:start w:val="1"/>
      <w:numFmt w:val="bullet"/>
      <w:lvlText w:val=""/>
      <w:lvlPicBulletId w:val="1"/>
      <w:lvlJc w:val="left"/>
      <w:pPr>
        <w:tabs>
          <w:tab w:val="num" w:pos="720"/>
        </w:tabs>
        <w:ind w:left="720" w:hanging="360"/>
      </w:pPr>
      <w:rPr>
        <w:rFonts w:ascii="Symbol" w:hAnsi="Symbol" w:hint="default"/>
      </w:rPr>
    </w:lvl>
    <w:lvl w:ilvl="1" w:tplc="73E80492" w:tentative="1">
      <w:start w:val="1"/>
      <w:numFmt w:val="bullet"/>
      <w:lvlText w:val=""/>
      <w:lvlJc w:val="left"/>
      <w:pPr>
        <w:tabs>
          <w:tab w:val="num" w:pos="1440"/>
        </w:tabs>
        <w:ind w:left="1440" w:hanging="360"/>
      </w:pPr>
      <w:rPr>
        <w:rFonts w:ascii="Symbol" w:hAnsi="Symbol" w:hint="default"/>
      </w:rPr>
    </w:lvl>
    <w:lvl w:ilvl="2" w:tplc="D5F8470C" w:tentative="1">
      <w:start w:val="1"/>
      <w:numFmt w:val="bullet"/>
      <w:lvlText w:val=""/>
      <w:lvlJc w:val="left"/>
      <w:pPr>
        <w:tabs>
          <w:tab w:val="num" w:pos="2160"/>
        </w:tabs>
        <w:ind w:left="2160" w:hanging="360"/>
      </w:pPr>
      <w:rPr>
        <w:rFonts w:ascii="Symbol" w:hAnsi="Symbol" w:hint="default"/>
      </w:rPr>
    </w:lvl>
    <w:lvl w:ilvl="3" w:tplc="F53EF144" w:tentative="1">
      <w:start w:val="1"/>
      <w:numFmt w:val="bullet"/>
      <w:lvlText w:val=""/>
      <w:lvlJc w:val="left"/>
      <w:pPr>
        <w:tabs>
          <w:tab w:val="num" w:pos="2880"/>
        </w:tabs>
        <w:ind w:left="2880" w:hanging="360"/>
      </w:pPr>
      <w:rPr>
        <w:rFonts w:ascii="Symbol" w:hAnsi="Symbol" w:hint="default"/>
      </w:rPr>
    </w:lvl>
    <w:lvl w:ilvl="4" w:tplc="46E899E2" w:tentative="1">
      <w:start w:val="1"/>
      <w:numFmt w:val="bullet"/>
      <w:lvlText w:val=""/>
      <w:lvlJc w:val="left"/>
      <w:pPr>
        <w:tabs>
          <w:tab w:val="num" w:pos="3600"/>
        </w:tabs>
        <w:ind w:left="3600" w:hanging="360"/>
      </w:pPr>
      <w:rPr>
        <w:rFonts w:ascii="Symbol" w:hAnsi="Symbol" w:hint="default"/>
      </w:rPr>
    </w:lvl>
    <w:lvl w:ilvl="5" w:tplc="22FA511E" w:tentative="1">
      <w:start w:val="1"/>
      <w:numFmt w:val="bullet"/>
      <w:lvlText w:val=""/>
      <w:lvlJc w:val="left"/>
      <w:pPr>
        <w:tabs>
          <w:tab w:val="num" w:pos="4320"/>
        </w:tabs>
        <w:ind w:left="4320" w:hanging="360"/>
      </w:pPr>
      <w:rPr>
        <w:rFonts w:ascii="Symbol" w:hAnsi="Symbol" w:hint="default"/>
      </w:rPr>
    </w:lvl>
    <w:lvl w:ilvl="6" w:tplc="46CEBD08" w:tentative="1">
      <w:start w:val="1"/>
      <w:numFmt w:val="bullet"/>
      <w:lvlText w:val=""/>
      <w:lvlJc w:val="left"/>
      <w:pPr>
        <w:tabs>
          <w:tab w:val="num" w:pos="5040"/>
        </w:tabs>
        <w:ind w:left="5040" w:hanging="360"/>
      </w:pPr>
      <w:rPr>
        <w:rFonts w:ascii="Symbol" w:hAnsi="Symbol" w:hint="default"/>
      </w:rPr>
    </w:lvl>
    <w:lvl w:ilvl="7" w:tplc="8662DFEE" w:tentative="1">
      <w:start w:val="1"/>
      <w:numFmt w:val="bullet"/>
      <w:lvlText w:val=""/>
      <w:lvlJc w:val="left"/>
      <w:pPr>
        <w:tabs>
          <w:tab w:val="num" w:pos="5760"/>
        </w:tabs>
        <w:ind w:left="5760" w:hanging="360"/>
      </w:pPr>
      <w:rPr>
        <w:rFonts w:ascii="Symbol" w:hAnsi="Symbol" w:hint="default"/>
      </w:rPr>
    </w:lvl>
    <w:lvl w:ilvl="8" w:tplc="5E10EDB2" w:tentative="1">
      <w:start w:val="1"/>
      <w:numFmt w:val="bullet"/>
      <w:lvlText w:val=""/>
      <w:lvlJc w:val="left"/>
      <w:pPr>
        <w:tabs>
          <w:tab w:val="num" w:pos="6480"/>
        </w:tabs>
        <w:ind w:left="6480" w:hanging="360"/>
      </w:pPr>
      <w:rPr>
        <w:rFonts w:ascii="Symbol" w:hAnsi="Symbol" w:hint="default"/>
      </w:rPr>
    </w:lvl>
  </w:abstractNum>
  <w:abstractNum w:abstractNumId="20" w15:restartNumberingAfterBreak="0">
    <w:nsid w:val="0CD85BFB"/>
    <w:multiLevelType w:val="hybridMultilevel"/>
    <w:tmpl w:val="CA803712"/>
    <w:lvl w:ilvl="0" w:tplc="3C9CAA56">
      <w:start w:val="1"/>
      <w:numFmt w:val="bullet"/>
      <w:lvlText w:val=""/>
      <w:lvlPicBulletId w:val="0"/>
      <w:lvlJc w:val="left"/>
      <w:pPr>
        <w:tabs>
          <w:tab w:val="num" w:pos="720"/>
        </w:tabs>
        <w:ind w:left="720" w:hanging="360"/>
      </w:pPr>
      <w:rPr>
        <w:rFonts w:ascii="Symbol" w:hAnsi="Symbol" w:hint="default"/>
      </w:rPr>
    </w:lvl>
    <w:lvl w:ilvl="1" w:tplc="145EC6F0" w:tentative="1">
      <w:start w:val="1"/>
      <w:numFmt w:val="bullet"/>
      <w:lvlText w:val=""/>
      <w:lvlJc w:val="left"/>
      <w:pPr>
        <w:tabs>
          <w:tab w:val="num" w:pos="1440"/>
        </w:tabs>
        <w:ind w:left="1440" w:hanging="360"/>
      </w:pPr>
      <w:rPr>
        <w:rFonts w:ascii="Symbol" w:hAnsi="Symbol" w:hint="default"/>
      </w:rPr>
    </w:lvl>
    <w:lvl w:ilvl="2" w:tplc="8BE2FBBE" w:tentative="1">
      <w:start w:val="1"/>
      <w:numFmt w:val="bullet"/>
      <w:lvlText w:val=""/>
      <w:lvlJc w:val="left"/>
      <w:pPr>
        <w:tabs>
          <w:tab w:val="num" w:pos="2160"/>
        </w:tabs>
        <w:ind w:left="2160" w:hanging="360"/>
      </w:pPr>
      <w:rPr>
        <w:rFonts w:ascii="Symbol" w:hAnsi="Symbol" w:hint="default"/>
      </w:rPr>
    </w:lvl>
    <w:lvl w:ilvl="3" w:tplc="31DEA2B4" w:tentative="1">
      <w:start w:val="1"/>
      <w:numFmt w:val="bullet"/>
      <w:lvlText w:val=""/>
      <w:lvlJc w:val="left"/>
      <w:pPr>
        <w:tabs>
          <w:tab w:val="num" w:pos="2880"/>
        </w:tabs>
        <w:ind w:left="2880" w:hanging="360"/>
      </w:pPr>
      <w:rPr>
        <w:rFonts w:ascii="Symbol" w:hAnsi="Symbol" w:hint="default"/>
      </w:rPr>
    </w:lvl>
    <w:lvl w:ilvl="4" w:tplc="69461F2A" w:tentative="1">
      <w:start w:val="1"/>
      <w:numFmt w:val="bullet"/>
      <w:lvlText w:val=""/>
      <w:lvlJc w:val="left"/>
      <w:pPr>
        <w:tabs>
          <w:tab w:val="num" w:pos="3600"/>
        </w:tabs>
        <w:ind w:left="3600" w:hanging="360"/>
      </w:pPr>
      <w:rPr>
        <w:rFonts w:ascii="Symbol" w:hAnsi="Symbol" w:hint="default"/>
      </w:rPr>
    </w:lvl>
    <w:lvl w:ilvl="5" w:tplc="E698F456" w:tentative="1">
      <w:start w:val="1"/>
      <w:numFmt w:val="bullet"/>
      <w:lvlText w:val=""/>
      <w:lvlJc w:val="left"/>
      <w:pPr>
        <w:tabs>
          <w:tab w:val="num" w:pos="4320"/>
        </w:tabs>
        <w:ind w:left="4320" w:hanging="360"/>
      </w:pPr>
      <w:rPr>
        <w:rFonts w:ascii="Symbol" w:hAnsi="Symbol" w:hint="default"/>
      </w:rPr>
    </w:lvl>
    <w:lvl w:ilvl="6" w:tplc="4880BEBE" w:tentative="1">
      <w:start w:val="1"/>
      <w:numFmt w:val="bullet"/>
      <w:lvlText w:val=""/>
      <w:lvlJc w:val="left"/>
      <w:pPr>
        <w:tabs>
          <w:tab w:val="num" w:pos="5040"/>
        </w:tabs>
        <w:ind w:left="5040" w:hanging="360"/>
      </w:pPr>
      <w:rPr>
        <w:rFonts w:ascii="Symbol" w:hAnsi="Symbol" w:hint="default"/>
      </w:rPr>
    </w:lvl>
    <w:lvl w:ilvl="7" w:tplc="2C8A05B8" w:tentative="1">
      <w:start w:val="1"/>
      <w:numFmt w:val="bullet"/>
      <w:lvlText w:val=""/>
      <w:lvlJc w:val="left"/>
      <w:pPr>
        <w:tabs>
          <w:tab w:val="num" w:pos="5760"/>
        </w:tabs>
        <w:ind w:left="5760" w:hanging="360"/>
      </w:pPr>
      <w:rPr>
        <w:rFonts w:ascii="Symbol" w:hAnsi="Symbol" w:hint="default"/>
      </w:rPr>
    </w:lvl>
    <w:lvl w:ilvl="8" w:tplc="C49C1D70" w:tentative="1">
      <w:start w:val="1"/>
      <w:numFmt w:val="bullet"/>
      <w:lvlText w:val=""/>
      <w:lvlJc w:val="left"/>
      <w:pPr>
        <w:tabs>
          <w:tab w:val="num" w:pos="6480"/>
        </w:tabs>
        <w:ind w:left="6480" w:hanging="360"/>
      </w:pPr>
      <w:rPr>
        <w:rFonts w:ascii="Symbol" w:hAnsi="Symbol" w:hint="default"/>
      </w:rPr>
    </w:lvl>
  </w:abstractNum>
  <w:abstractNum w:abstractNumId="21" w15:restartNumberingAfterBreak="0">
    <w:nsid w:val="0E382321"/>
    <w:multiLevelType w:val="hybridMultilevel"/>
    <w:tmpl w:val="B39CF6AE"/>
    <w:lvl w:ilvl="0" w:tplc="235AAC98">
      <w:start w:val="1"/>
      <w:numFmt w:val="bullet"/>
      <w:lvlText w:val=""/>
      <w:lvlPicBulletId w:val="1"/>
      <w:lvlJc w:val="left"/>
      <w:pPr>
        <w:tabs>
          <w:tab w:val="num" w:pos="720"/>
        </w:tabs>
        <w:ind w:left="720" w:hanging="360"/>
      </w:pPr>
      <w:rPr>
        <w:rFonts w:ascii="Symbol" w:hAnsi="Symbol" w:hint="default"/>
      </w:rPr>
    </w:lvl>
    <w:lvl w:ilvl="1" w:tplc="EB12AAE8" w:tentative="1">
      <w:start w:val="1"/>
      <w:numFmt w:val="bullet"/>
      <w:lvlText w:val=""/>
      <w:lvlJc w:val="left"/>
      <w:pPr>
        <w:tabs>
          <w:tab w:val="num" w:pos="1440"/>
        </w:tabs>
        <w:ind w:left="1440" w:hanging="360"/>
      </w:pPr>
      <w:rPr>
        <w:rFonts w:ascii="Symbol" w:hAnsi="Symbol" w:hint="default"/>
      </w:rPr>
    </w:lvl>
    <w:lvl w:ilvl="2" w:tplc="0A18A044" w:tentative="1">
      <w:start w:val="1"/>
      <w:numFmt w:val="bullet"/>
      <w:lvlText w:val=""/>
      <w:lvlJc w:val="left"/>
      <w:pPr>
        <w:tabs>
          <w:tab w:val="num" w:pos="2160"/>
        </w:tabs>
        <w:ind w:left="2160" w:hanging="360"/>
      </w:pPr>
      <w:rPr>
        <w:rFonts w:ascii="Symbol" w:hAnsi="Symbol" w:hint="default"/>
      </w:rPr>
    </w:lvl>
    <w:lvl w:ilvl="3" w:tplc="C5B68834" w:tentative="1">
      <w:start w:val="1"/>
      <w:numFmt w:val="bullet"/>
      <w:lvlText w:val=""/>
      <w:lvlJc w:val="left"/>
      <w:pPr>
        <w:tabs>
          <w:tab w:val="num" w:pos="2880"/>
        </w:tabs>
        <w:ind w:left="2880" w:hanging="360"/>
      </w:pPr>
      <w:rPr>
        <w:rFonts w:ascii="Symbol" w:hAnsi="Symbol" w:hint="default"/>
      </w:rPr>
    </w:lvl>
    <w:lvl w:ilvl="4" w:tplc="997815A4" w:tentative="1">
      <w:start w:val="1"/>
      <w:numFmt w:val="bullet"/>
      <w:lvlText w:val=""/>
      <w:lvlJc w:val="left"/>
      <w:pPr>
        <w:tabs>
          <w:tab w:val="num" w:pos="3600"/>
        </w:tabs>
        <w:ind w:left="3600" w:hanging="360"/>
      </w:pPr>
      <w:rPr>
        <w:rFonts w:ascii="Symbol" w:hAnsi="Symbol" w:hint="default"/>
      </w:rPr>
    </w:lvl>
    <w:lvl w:ilvl="5" w:tplc="809EA1C2" w:tentative="1">
      <w:start w:val="1"/>
      <w:numFmt w:val="bullet"/>
      <w:lvlText w:val=""/>
      <w:lvlJc w:val="left"/>
      <w:pPr>
        <w:tabs>
          <w:tab w:val="num" w:pos="4320"/>
        </w:tabs>
        <w:ind w:left="4320" w:hanging="360"/>
      </w:pPr>
      <w:rPr>
        <w:rFonts w:ascii="Symbol" w:hAnsi="Symbol" w:hint="default"/>
      </w:rPr>
    </w:lvl>
    <w:lvl w:ilvl="6" w:tplc="41A84C14" w:tentative="1">
      <w:start w:val="1"/>
      <w:numFmt w:val="bullet"/>
      <w:lvlText w:val=""/>
      <w:lvlJc w:val="left"/>
      <w:pPr>
        <w:tabs>
          <w:tab w:val="num" w:pos="5040"/>
        </w:tabs>
        <w:ind w:left="5040" w:hanging="360"/>
      </w:pPr>
      <w:rPr>
        <w:rFonts w:ascii="Symbol" w:hAnsi="Symbol" w:hint="default"/>
      </w:rPr>
    </w:lvl>
    <w:lvl w:ilvl="7" w:tplc="EFCC2D2E" w:tentative="1">
      <w:start w:val="1"/>
      <w:numFmt w:val="bullet"/>
      <w:lvlText w:val=""/>
      <w:lvlJc w:val="left"/>
      <w:pPr>
        <w:tabs>
          <w:tab w:val="num" w:pos="5760"/>
        </w:tabs>
        <w:ind w:left="5760" w:hanging="360"/>
      </w:pPr>
      <w:rPr>
        <w:rFonts w:ascii="Symbol" w:hAnsi="Symbol" w:hint="default"/>
      </w:rPr>
    </w:lvl>
    <w:lvl w:ilvl="8" w:tplc="C6763D0A" w:tentative="1">
      <w:start w:val="1"/>
      <w:numFmt w:val="bullet"/>
      <w:lvlText w:val=""/>
      <w:lvlJc w:val="left"/>
      <w:pPr>
        <w:tabs>
          <w:tab w:val="num" w:pos="6480"/>
        </w:tabs>
        <w:ind w:left="6480" w:hanging="360"/>
      </w:pPr>
      <w:rPr>
        <w:rFonts w:ascii="Symbol" w:hAnsi="Symbol" w:hint="default"/>
      </w:rPr>
    </w:lvl>
  </w:abstractNum>
  <w:abstractNum w:abstractNumId="22" w15:restartNumberingAfterBreak="0">
    <w:nsid w:val="0E3E0B52"/>
    <w:multiLevelType w:val="hybridMultilevel"/>
    <w:tmpl w:val="1958A464"/>
    <w:lvl w:ilvl="0" w:tplc="FE5E0A54">
      <w:start w:val="1"/>
      <w:numFmt w:val="bullet"/>
      <w:lvlText w:val=""/>
      <w:lvlPicBulletId w:val="1"/>
      <w:lvlJc w:val="left"/>
      <w:pPr>
        <w:tabs>
          <w:tab w:val="num" w:pos="720"/>
        </w:tabs>
        <w:ind w:left="720" w:hanging="360"/>
      </w:pPr>
      <w:rPr>
        <w:rFonts w:ascii="Symbol" w:hAnsi="Symbol" w:hint="default"/>
      </w:rPr>
    </w:lvl>
    <w:lvl w:ilvl="1" w:tplc="8E142052" w:tentative="1">
      <w:start w:val="1"/>
      <w:numFmt w:val="bullet"/>
      <w:lvlText w:val=""/>
      <w:lvlJc w:val="left"/>
      <w:pPr>
        <w:tabs>
          <w:tab w:val="num" w:pos="1440"/>
        </w:tabs>
        <w:ind w:left="1440" w:hanging="360"/>
      </w:pPr>
      <w:rPr>
        <w:rFonts w:ascii="Symbol" w:hAnsi="Symbol" w:hint="default"/>
      </w:rPr>
    </w:lvl>
    <w:lvl w:ilvl="2" w:tplc="3C2CB720" w:tentative="1">
      <w:start w:val="1"/>
      <w:numFmt w:val="bullet"/>
      <w:lvlText w:val=""/>
      <w:lvlJc w:val="left"/>
      <w:pPr>
        <w:tabs>
          <w:tab w:val="num" w:pos="2160"/>
        </w:tabs>
        <w:ind w:left="2160" w:hanging="360"/>
      </w:pPr>
      <w:rPr>
        <w:rFonts w:ascii="Symbol" w:hAnsi="Symbol" w:hint="default"/>
      </w:rPr>
    </w:lvl>
    <w:lvl w:ilvl="3" w:tplc="BE6E16D2" w:tentative="1">
      <w:start w:val="1"/>
      <w:numFmt w:val="bullet"/>
      <w:lvlText w:val=""/>
      <w:lvlJc w:val="left"/>
      <w:pPr>
        <w:tabs>
          <w:tab w:val="num" w:pos="2880"/>
        </w:tabs>
        <w:ind w:left="2880" w:hanging="360"/>
      </w:pPr>
      <w:rPr>
        <w:rFonts w:ascii="Symbol" w:hAnsi="Symbol" w:hint="default"/>
      </w:rPr>
    </w:lvl>
    <w:lvl w:ilvl="4" w:tplc="DB3ADCBC" w:tentative="1">
      <w:start w:val="1"/>
      <w:numFmt w:val="bullet"/>
      <w:lvlText w:val=""/>
      <w:lvlJc w:val="left"/>
      <w:pPr>
        <w:tabs>
          <w:tab w:val="num" w:pos="3600"/>
        </w:tabs>
        <w:ind w:left="3600" w:hanging="360"/>
      </w:pPr>
      <w:rPr>
        <w:rFonts w:ascii="Symbol" w:hAnsi="Symbol" w:hint="default"/>
      </w:rPr>
    </w:lvl>
    <w:lvl w:ilvl="5" w:tplc="BEAEB692" w:tentative="1">
      <w:start w:val="1"/>
      <w:numFmt w:val="bullet"/>
      <w:lvlText w:val=""/>
      <w:lvlJc w:val="left"/>
      <w:pPr>
        <w:tabs>
          <w:tab w:val="num" w:pos="4320"/>
        </w:tabs>
        <w:ind w:left="4320" w:hanging="360"/>
      </w:pPr>
      <w:rPr>
        <w:rFonts w:ascii="Symbol" w:hAnsi="Symbol" w:hint="default"/>
      </w:rPr>
    </w:lvl>
    <w:lvl w:ilvl="6" w:tplc="97C29012" w:tentative="1">
      <w:start w:val="1"/>
      <w:numFmt w:val="bullet"/>
      <w:lvlText w:val=""/>
      <w:lvlJc w:val="left"/>
      <w:pPr>
        <w:tabs>
          <w:tab w:val="num" w:pos="5040"/>
        </w:tabs>
        <w:ind w:left="5040" w:hanging="360"/>
      </w:pPr>
      <w:rPr>
        <w:rFonts w:ascii="Symbol" w:hAnsi="Symbol" w:hint="default"/>
      </w:rPr>
    </w:lvl>
    <w:lvl w:ilvl="7" w:tplc="89D41788" w:tentative="1">
      <w:start w:val="1"/>
      <w:numFmt w:val="bullet"/>
      <w:lvlText w:val=""/>
      <w:lvlJc w:val="left"/>
      <w:pPr>
        <w:tabs>
          <w:tab w:val="num" w:pos="5760"/>
        </w:tabs>
        <w:ind w:left="5760" w:hanging="360"/>
      </w:pPr>
      <w:rPr>
        <w:rFonts w:ascii="Symbol" w:hAnsi="Symbol" w:hint="default"/>
      </w:rPr>
    </w:lvl>
    <w:lvl w:ilvl="8" w:tplc="3D8A47CC" w:tentative="1">
      <w:start w:val="1"/>
      <w:numFmt w:val="bullet"/>
      <w:lvlText w:val=""/>
      <w:lvlJc w:val="left"/>
      <w:pPr>
        <w:tabs>
          <w:tab w:val="num" w:pos="6480"/>
        </w:tabs>
        <w:ind w:left="6480" w:hanging="360"/>
      </w:pPr>
      <w:rPr>
        <w:rFonts w:ascii="Symbol" w:hAnsi="Symbol" w:hint="default"/>
      </w:rPr>
    </w:lvl>
  </w:abstractNum>
  <w:abstractNum w:abstractNumId="23" w15:restartNumberingAfterBreak="0">
    <w:nsid w:val="0ED36DE4"/>
    <w:multiLevelType w:val="hybridMultilevel"/>
    <w:tmpl w:val="04F21F78"/>
    <w:lvl w:ilvl="0" w:tplc="999EC3D2">
      <w:start w:val="1"/>
      <w:numFmt w:val="bullet"/>
      <w:lvlText w:val=""/>
      <w:lvlPicBulletId w:val="1"/>
      <w:lvlJc w:val="left"/>
      <w:pPr>
        <w:tabs>
          <w:tab w:val="num" w:pos="720"/>
        </w:tabs>
        <w:ind w:left="720" w:hanging="360"/>
      </w:pPr>
      <w:rPr>
        <w:rFonts w:ascii="Symbol" w:hAnsi="Symbol" w:hint="default"/>
      </w:rPr>
    </w:lvl>
    <w:lvl w:ilvl="1" w:tplc="EB604E1C" w:tentative="1">
      <w:start w:val="1"/>
      <w:numFmt w:val="bullet"/>
      <w:lvlText w:val=""/>
      <w:lvlJc w:val="left"/>
      <w:pPr>
        <w:tabs>
          <w:tab w:val="num" w:pos="1440"/>
        </w:tabs>
        <w:ind w:left="1440" w:hanging="360"/>
      </w:pPr>
      <w:rPr>
        <w:rFonts w:ascii="Symbol" w:hAnsi="Symbol" w:hint="default"/>
      </w:rPr>
    </w:lvl>
    <w:lvl w:ilvl="2" w:tplc="FA4A6EB8" w:tentative="1">
      <w:start w:val="1"/>
      <w:numFmt w:val="bullet"/>
      <w:lvlText w:val=""/>
      <w:lvlJc w:val="left"/>
      <w:pPr>
        <w:tabs>
          <w:tab w:val="num" w:pos="2160"/>
        </w:tabs>
        <w:ind w:left="2160" w:hanging="360"/>
      </w:pPr>
      <w:rPr>
        <w:rFonts w:ascii="Symbol" w:hAnsi="Symbol" w:hint="default"/>
      </w:rPr>
    </w:lvl>
    <w:lvl w:ilvl="3" w:tplc="F66AE854" w:tentative="1">
      <w:start w:val="1"/>
      <w:numFmt w:val="bullet"/>
      <w:lvlText w:val=""/>
      <w:lvlJc w:val="left"/>
      <w:pPr>
        <w:tabs>
          <w:tab w:val="num" w:pos="2880"/>
        </w:tabs>
        <w:ind w:left="2880" w:hanging="360"/>
      </w:pPr>
      <w:rPr>
        <w:rFonts w:ascii="Symbol" w:hAnsi="Symbol" w:hint="default"/>
      </w:rPr>
    </w:lvl>
    <w:lvl w:ilvl="4" w:tplc="6068CE12" w:tentative="1">
      <w:start w:val="1"/>
      <w:numFmt w:val="bullet"/>
      <w:lvlText w:val=""/>
      <w:lvlJc w:val="left"/>
      <w:pPr>
        <w:tabs>
          <w:tab w:val="num" w:pos="3600"/>
        </w:tabs>
        <w:ind w:left="3600" w:hanging="360"/>
      </w:pPr>
      <w:rPr>
        <w:rFonts w:ascii="Symbol" w:hAnsi="Symbol" w:hint="default"/>
      </w:rPr>
    </w:lvl>
    <w:lvl w:ilvl="5" w:tplc="088E8BA0" w:tentative="1">
      <w:start w:val="1"/>
      <w:numFmt w:val="bullet"/>
      <w:lvlText w:val=""/>
      <w:lvlJc w:val="left"/>
      <w:pPr>
        <w:tabs>
          <w:tab w:val="num" w:pos="4320"/>
        </w:tabs>
        <w:ind w:left="4320" w:hanging="360"/>
      </w:pPr>
      <w:rPr>
        <w:rFonts w:ascii="Symbol" w:hAnsi="Symbol" w:hint="default"/>
      </w:rPr>
    </w:lvl>
    <w:lvl w:ilvl="6" w:tplc="0E90F644" w:tentative="1">
      <w:start w:val="1"/>
      <w:numFmt w:val="bullet"/>
      <w:lvlText w:val=""/>
      <w:lvlJc w:val="left"/>
      <w:pPr>
        <w:tabs>
          <w:tab w:val="num" w:pos="5040"/>
        </w:tabs>
        <w:ind w:left="5040" w:hanging="360"/>
      </w:pPr>
      <w:rPr>
        <w:rFonts w:ascii="Symbol" w:hAnsi="Symbol" w:hint="default"/>
      </w:rPr>
    </w:lvl>
    <w:lvl w:ilvl="7" w:tplc="455432FA" w:tentative="1">
      <w:start w:val="1"/>
      <w:numFmt w:val="bullet"/>
      <w:lvlText w:val=""/>
      <w:lvlJc w:val="left"/>
      <w:pPr>
        <w:tabs>
          <w:tab w:val="num" w:pos="5760"/>
        </w:tabs>
        <w:ind w:left="5760" w:hanging="360"/>
      </w:pPr>
      <w:rPr>
        <w:rFonts w:ascii="Symbol" w:hAnsi="Symbol" w:hint="default"/>
      </w:rPr>
    </w:lvl>
    <w:lvl w:ilvl="8" w:tplc="21480DC6" w:tentative="1">
      <w:start w:val="1"/>
      <w:numFmt w:val="bullet"/>
      <w:lvlText w:val=""/>
      <w:lvlJc w:val="left"/>
      <w:pPr>
        <w:tabs>
          <w:tab w:val="num" w:pos="6480"/>
        </w:tabs>
        <w:ind w:left="6480" w:hanging="360"/>
      </w:pPr>
      <w:rPr>
        <w:rFonts w:ascii="Symbol" w:hAnsi="Symbol" w:hint="default"/>
      </w:rPr>
    </w:lvl>
  </w:abstractNum>
  <w:abstractNum w:abstractNumId="24" w15:restartNumberingAfterBreak="0">
    <w:nsid w:val="0FE86CD1"/>
    <w:multiLevelType w:val="hybridMultilevel"/>
    <w:tmpl w:val="2AB6CF1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10815B5A"/>
    <w:multiLevelType w:val="hybridMultilevel"/>
    <w:tmpl w:val="B4F6CF3C"/>
    <w:lvl w:ilvl="0" w:tplc="D4B6E4CC">
      <w:start w:val="1"/>
      <w:numFmt w:val="bullet"/>
      <w:lvlText w:val=""/>
      <w:lvlPicBulletId w:val="1"/>
      <w:lvlJc w:val="left"/>
      <w:pPr>
        <w:tabs>
          <w:tab w:val="num" w:pos="720"/>
        </w:tabs>
        <w:ind w:left="720" w:hanging="360"/>
      </w:pPr>
      <w:rPr>
        <w:rFonts w:ascii="Symbol" w:hAnsi="Symbol" w:hint="default"/>
      </w:rPr>
    </w:lvl>
    <w:lvl w:ilvl="1" w:tplc="067886BA" w:tentative="1">
      <w:start w:val="1"/>
      <w:numFmt w:val="bullet"/>
      <w:lvlText w:val=""/>
      <w:lvlJc w:val="left"/>
      <w:pPr>
        <w:tabs>
          <w:tab w:val="num" w:pos="1440"/>
        </w:tabs>
        <w:ind w:left="1440" w:hanging="360"/>
      </w:pPr>
      <w:rPr>
        <w:rFonts w:ascii="Symbol" w:hAnsi="Symbol" w:hint="default"/>
      </w:rPr>
    </w:lvl>
    <w:lvl w:ilvl="2" w:tplc="04B0365A" w:tentative="1">
      <w:start w:val="1"/>
      <w:numFmt w:val="bullet"/>
      <w:lvlText w:val=""/>
      <w:lvlJc w:val="left"/>
      <w:pPr>
        <w:tabs>
          <w:tab w:val="num" w:pos="2160"/>
        </w:tabs>
        <w:ind w:left="2160" w:hanging="360"/>
      </w:pPr>
      <w:rPr>
        <w:rFonts w:ascii="Symbol" w:hAnsi="Symbol" w:hint="default"/>
      </w:rPr>
    </w:lvl>
    <w:lvl w:ilvl="3" w:tplc="A504F9EC" w:tentative="1">
      <w:start w:val="1"/>
      <w:numFmt w:val="bullet"/>
      <w:lvlText w:val=""/>
      <w:lvlJc w:val="left"/>
      <w:pPr>
        <w:tabs>
          <w:tab w:val="num" w:pos="2880"/>
        </w:tabs>
        <w:ind w:left="2880" w:hanging="360"/>
      </w:pPr>
      <w:rPr>
        <w:rFonts w:ascii="Symbol" w:hAnsi="Symbol" w:hint="default"/>
      </w:rPr>
    </w:lvl>
    <w:lvl w:ilvl="4" w:tplc="639001BA" w:tentative="1">
      <w:start w:val="1"/>
      <w:numFmt w:val="bullet"/>
      <w:lvlText w:val=""/>
      <w:lvlJc w:val="left"/>
      <w:pPr>
        <w:tabs>
          <w:tab w:val="num" w:pos="3600"/>
        </w:tabs>
        <w:ind w:left="3600" w:hanging="360"/>
      </w:pPr>
      <w:rPr>
        <w:rFonts w:ascii="Symbol" w:hAnsi="Symbol" w:hint="default"/>
      </w:rPr>
    </w:lvl>
    <w:lvl w:ilvl="5" w:tplc="7714C64E" w:tentative="1">
      <w:start w:val="1"/>
      <w:numFmt w:val="bullet"/>
      <w:lvlText w:val=""/>
      <w:lvlJc w:val="left"/>
      <w:pPr>
        <w:tabs>
          <w:tab w:val="num" w:pos="4320"/>
        </w:tabs>
        <w:ind w:left="4320" w:hanging="360"/>
      </w:pPr>
      <w:rPr>
        <w:rFonts w:ascii="Symbol" w:hAnsi="Symbol" w:hint="default"/>
      </w:rPr>
    </w:lvl>
    <w:lvl w:ilvl="6" w:tplc="1520EFBC" w:tentative="1">
      <w:start w:val="1"/>
      <w:numFmt w:val="bullet"/>
      <w:lvlText w:val=""/>
      <w:lvlJc w:val="left"/>
      <w:pPr>
        <w:tabs>
          <w:tab w:val="num" w:pos="5040"/>
        </w:tabs>
        <w:ind w:left="5040" w:hanging="360"/>
      </w:pPr>
      <w:rPr>
        <w:rFonts w:ascii="Symbol" w:hAnsi="Symbol" w:hint="default"/>
      </w:rPr>
    </w:lvl>
    <w:lvl w:ilvl="7" w:tplc="C6540E5E" w:tentative="1">
      <w:start w:val="1"/>
      <w:numFmt w:val="bullet"/>
      <w:lvlText w:val=""/>
      <w:lvlJc w:val="left"/>
      <w:pPr>
        <w:tabs>
          <w:tab w:val="num" w:pos="5760"/>
        </w:tabs>
        <w:ind w:left="5760" w:hanging="360"/>
      </w:pPr>
      <w:rPr>
        <w:rFonts w:ascii="Symbol" w:hAnsi="Symbol" w:hint="default"/>
      </w:rPr>
    </w:lvl>
    <w:lvl w:ilvl="8" w:tplc="9EDA9A20" w:tentative="1">
      <w:start w:val="1"/>
      <w:numFmt w:val="bullet"/>
      <w:lvlText w:val=""/>
      <w:lvlJc w:val="left"/>
      <w:pPr>
        <w:tabs>
          <w:tab w:val="num" w:pos="6480"/>
        </w:tabs>
        <w:ind w:left="6480" w:hanging="360"/>
      </w:pPr>
      <w:rPr>
        <w:rFonts w:ascii="Symbol" w:hAnsi="Symbol" w:hint="default"/>
      </w:rPr>
    </w:lvl>
  </w:abstractNum>
  <w:abstractNum w:abstractNumId="26" w15:restartNumberingAfterBreak="0">
    <w:nsid w:val="124645FB"/>
    <w:multiLevelType w:val="hybridMultilevel"/>
    <w:tmpl w:val="FD76232A"/>
    <w:lvl w:ilvl="0" w:tplc="63BCB244">
      <w:start w:val="1"/>
      <w:numFmt w:val="bullet"/>
      <w:lvlText w:val=""/>
      <w:lvlPicBulletId w:val="1"/>
      <w:lvlJc w:val="left"/>
      <w:pPr>
        <w:tabs>
          <w:tab w:val="num" w:pos="720"/>
        </w:tabs>
        <w:ind w:left="720" w:hanging="360"/>
      </w:pPr>
      <w:rPr>
        <w:rFonts w:ascii="Symbol" w:hAnsi="Symbol" w:hint="default"/>
      </w:rPr>
    </w:lvl>
    <w:lvl w:ilvl="1" w:tplc="54E8A570" w:tentative="1">
      <w:start w:val="1"/>
      <w:numFmt w:val="bullet"/>
      <w:lvlText w:val=""/>
      <w:lvlJc w:val="left"/>
      <w:pPr>
        <w:tabs>
          <w:tab w:val="num" w:pos="1440"/>
        </w:tabs>
        <w:ind w:left="1440" w:hanging="360"/>
      </w:pPr>
      <w:rPr>
        <w:rFonts w:ascii="Symbol" w:hAnsi="Symbol" w:hint="default"/>
      </w:rPr>
    </w:lvl>
    <w:lvl w:ilvl="2" w:tplc="3B34BFD4" w:tentative="1">
      <w:start w:val="1"/>
      <w:numFmt w:val="bullet"/>
      <w:lvlText w:val=""/>
      <w:lvlJc w:val="left"/>
      <w:pPr>
        <w:tabs>
          <w:tab w:val="num" w:pos="2160"/>
        </w:tabs>
        <w:ind w:left="2160" w:hanging="360"/>
      </w:pPr>
      <w:rPr>
        <w:rFonts w:ascii="Symbol" w:hAnsi="Symbol" w:hint="default"/>
      </w:rPr>
    </w:lvl>
    <w:lvl w:ilvl="3" w:tplc="C09E1C64" w:tentative="1">
      <w:start w:val="1"/>
      <w:numFmt w:val="bullet"/>
      <w:lvlText w:val=""/>
      <w:lvlJc w:val="left"/>
      <w:pPr>
        <w:tabs>
          <w:tab w:val="num" w:pos="2880"/>
        </w:tabs>
        <w:ind w:left="2880" w:hanging="360"/>
      </w:pPr>
      <w:rPr>
        <w:rFonts w:ascii="Symbol" w:hAnsi="Symbol" w:hint="default"/>
      </w:rPr>
    </w:lvl>
    <w:lvl w:ilvl="4" w:tplc="9B5EECFC" w:tentative="1">
      <w:start w:val="1"/>
      <w:numFmt w:val="bullet"/>
      <w:lvlText w:val=""/>
      <w:lvlJc w:val="left"/>
      <w:pPr>
        <w:tabs>
          <w:tab w:val="num" w:pos="3600"/>
        </w:tabs>
        <w:ind w:left="3600" w:hanging="360"/>
      </w:pPr>
      <w:rPr>
        <w:rFonts w:ascii="Symbol" w:hAnsi="Symbol" w:hint="default"/>
      </w:rPr>
    </w:lvl>
    <w:lvl w:ilvl="5" w:tplc="0330888E" w:tentative="1">
      <w:start w:val="1"/>
      <w:numFmt w:val="bullet"/>
      <w:lvlText w:val=""/>
      <w:lvlJc w:val="left"/>
      <w:pPr>
        <w:tabs>
          <w:tab w:val="num" w:pos="4320"/>
        </w:tabs>
        <w:ind w:left="4320" w:hanging="360"/>
      </w:pPr>
      <w:rPr>
        <w:rFonts w:ascii="Symbol" w:hAnsi="Symbol" w:hint="default"/>
      </w:rPr>
    </w:lvl>
    <w:lvl w:ilvl="6" w:tplc="1658B406" w:tentative="1">
      <w:start w:val="1"/>
      <w:numFmt w:val="bullet"/>
      <w:lvlText w:val=""/>
      <w:lvlJc w:val="left"/>
      <w:pPr>
        <w:tabs>
          <w:tab w:val="num" w:pos="5040"/>
        </w:tabs>
        <w:ind w:left="5040" w:hanging="360"/>
      </w:pPr>
      <w:rPr>
        <w:rFonts w:ascii="Symbol" w:hAnsi="Symbol" w:hint="default"/>
      </w:rPr>
    </w:lvl>
    <w:lvl w:ilvl="7" w:tplc="DF08E0A2" w:tentative="1">
      <w:start w:val="1"/>
      <w:numFmt w:val="bullet"/>
      <w:lvlText w:val=""/>
      <w:lvlJc w:val="left"/>
      <w:pPr>
        <w:tabs>
          <w:tab w:val="num" w:pos="5760"/>
        </w:tabs>
        <w:ind w:left="5760" w:hanging="360"/>
      </w:pPr>
      <w:rPr>
        <w:rFonts w:ascii="Symbol" w:hAnsi="Symbol" w:hint="default"/>
      </w:rPr>
    </w:lvl>
    <w:lvl w:ilvl="8" w:tplc="32BA7198" w:tentative="1">
      <w:start w:val="1"/>
      <w:numFmt w:val="bullet"/>
      <w:lvlText w:val=""/>
      <w:lvlJc w:val="left"/>
      <w:pPr>
        <w:tabs>
          <w:tab w:val="num" w:pos="6480"/>
        </w:tabs>
        <w:ind w:left="6480" w:hanging="360"/>
      </w:pPr>
      <w:rPr>
        <w:rFonts w:ascii="Symbol" w:hAnsi="Symbol" w:hint="default"/>
      </w:rPr>
    </w:lvl>
  </w:abstractNum>
  <w:abstractNum w:abstractNumId="27" w15:restartNumberingAfterBreak="0">
    <w:nsid w:val="12797208"/>
    <w:multiLevelType w:val="hybridMultilevel"/>
    <w:tmpl w:val="CF662D16"/>
    <w:lvl w:ilvl="0" w:tplc="44EEC084">
      <w:start w:val="1"/>
      <w:numFmt w:val="bullet"/>
      <w:lvlText w:val="&gt;"/>
      <w:lvlJc w:val="left"/>
      <w:pPr>
        <w:ind w:left="1015" w:hanging="360"/>
      </w:pPr>
      <w:rPr>
        <w:rFonts w:ascii="HelveticaNeueLT Std" w:hAnsi="HelveticaNeueLT Std" w:hint="default"/>
      </w:rPr>
    </w:lvl>
    <w:lvl w:ilvl="1" w:tplc="0C090003" w:tentative="1">
      <w:start w:val="1"/>
      <w:numFmt w:val="bullet"/>
      <w:lvlText w:val="o"/>
      <w:lvlJc w:val="left"/>
      <w:pPr>
        <w:ind w:left="1735" w:hanging="360"/>
      </w:pPr>
      <w:rPr>
        <w:rFonts w:ascii="Courier New" w:hAnsi="Courier New" w:cs="Courier New" w:hint="default"/>
      </w:rPr>
    </w:lvl>
    <w:lvl w:ilvl="2" w:tplc="0C090005" w:tentative="1">
      <w:start w:val="1"/>
      <w:numFmt w:val="bullet"/>
      <w:lvlText w:val=""/>
      <w:lvlJc w:val="left"/>
      <w:pPr>
        <w:ind w:left="2455" w:hanging="360"/>
      </w:pPr>
      <w:rPr>
        <w:rFonts w:ascii="Wingdings" w:hAnsi="Wingdings" w:hint="default"/>
      </w:rPr>
    </w:lvl>
    <w:lvl w:ilvl="3" w:tplc="0C090001" w:tentative="1">
      <w:start w:val="1"/>
      <w:numFmt w:val="bullet"/>
      <w:lvlText w:val=""/>
      <w:lvlJc w:val="left"/>
      <w:pPr>
        <w:ind w:left="3175" w:hanging="360"/>
      </w:pPr>
      <w:rPr>
        <w:rFonts w:ascii="Symbol" w:hAnsi="Symbol" w:hint="default"/>
      </w:rPr>
    </w:lvl>
    <w:lvl w:ilvl="4" w:tplc="0C090003" w:tentative="1">
      <w:start w:val="1"/>
      <w:numFmt w:val="bullet"/>
      <w:lvlText w:val="o"/>
      <w:lvlJc w:val="left"/>
      <w:pPr>
        <w:ind w:left="3895" w:hanging="360"/>
      </w:pPr>
      <w:rPr>
        <w:rFonts w:ascii="Courier New" w:hAnsi="Courier New" w:cs="Courier New" w:hint="default"/>
      </w:rPr>
    </w:lvl>
    <w:lvl w:ilvl="5" w:tplc="0C090005" w:tentative="1">
      <w:start w:val="1"/>
      <w:numFmt w:val="bullet"/>
      <w:lvlText w:val=""/>
      <w:lvlJc w:val="left"/>
      <w:pPr>
        <w:ind w:left="4615" w:hanging="360"/>
      </w:pPr>
      <w:rPr>
        <w:rFonts w:ascii="Wingdings" w:hAnsi="Wingdings" w:hint="default"/>
      </w:rPr>
    </w:lvl>
    <w:lvl w:ilvl="6" w:tplc="0C090001" w:tentative="1">
      <w:start w:val="1"/>
      <w:numFmt w:val="bullet"/>
      <w:lvlText w:val=""/>
      <w:lvlJc w:val="left"/>
      <w:pPr>
        <w:ind w:left="5335" w:hanging="360"/>
      </w:pPr>
      <w:rPr>
        <w:rFonts w:ascii="Symbol" w:hAnsi="Symbol" w:hint="default"/>
      </w:rPr>
    </w:lvl>
    <w:lvl w:ilvl="7" w:tplc="0C090003" w:tentative="1">
      <w:start w:val="1"/>
      <w:numFmt w:val="bullet"/>
      <w:lvlText w:val="o"/>
      <w:lvlJc w:val="left"/>
      <w:pPr>
        <w:ind w:left="6055" w:hanging="360"/>
      </w:pPr>
      <w:rPr>
        <w:rFonts w:ascii="Courier New" w:hAnsi="Courier New" w:cs="Courier New" w:hint="default"/>
      </w:rPr>
    </w:lvl>
    <w:lvl w:ilvl="8" w:tplc="0C090005" w:tentative="1">
      <w:start w:val="1"/>
      <w:numFmt w:val="bullet"/>
      <w:lvlText w:val=""/>
      <w:lvlJc w:val="left"/>
      <w:pPr>
        <w:ind w:left="6775" w:hanging="360"/>
      </w:pPr>
      <w:rPr>
        <w:rFonts w:ascii="Wingdings" w:hAnsi="Wingdings" w:hint="default"/>
      </w:rPr>
    </w:lvl>
  </w:abstractNum>
  <w:abstractNum w:abstractNumId="28" w15:restartNumberingAfterBreak="0">
    <w:nsid w:val="133917F8"/>
    <w:multiLevelType w:val="hybridMultilevel"/>
    <w:tmpl w:val="5ADE4C14"/>
    <w:lvl w:ilvl="0" w:tplc="06D6BC52">
      <w:start w:val="1"/>
      <w:numFmt w:val="bullet"/>
      <w:lvlText w:val=""/>
      <w:lvlPicBulletId w:val="1"/>
      <w:lvlJc w:val="left"/>
      <w:pPr>
        <w:tabs>
          <w:tab w:val="num" w:pos="720"/>
        </w:tabs>
        <w:ind w:left="720" w:hanging="360"/>
      </w:pPr>
      <w:rPr>
        <w:rFonts w:ascii="Symbol" w:hAnsi="Symbol" w:hint="default"/>
      </w:rPr>
    </w:lvl>
    <w:lvl w:ilvl="1" w:tplc="4D925C3A" w:tentative="1">
      <w:start w:val="1"/>
      <w:numFmt w:val="bullet"/>
      <w:lvlText w:val=""/>
      <w:lvlJc w:val="left"/>
      <w:pPr>
        <w:tabs>
          <w:tab w:val="num" w:pos="1440"/>
        </w:tabs>
        <w:ind w:left="1440" w:hanging="360"/>
      </w:pPr>
      <w:rPr>
        <w:rFonts w:ascii="Symbol" w:hAnsi="Symbol" w:hint="default"/>
      </w:rPr>
    </w:lvl>
    <w:lvl w:ilvl="2" w:tplc="B186F95A" w:tentative="1">
      <w:start w:val="1"/>
      <w:numFmt w:val="bullet"/>
      <w:lvlText w:val=""/>
      <w:lvlJc w:val="left"/>
      <w:pPr>
        <w:tabs>
          <w:tab w:val="num" w:pos="2160"/>
        </w:tabs>
        <w:ind w:left="2160" w:hanging="360"/>
      </w:pPr>
      <w:rPr>
        <w:rFonts w:ascii="Symbol" w:hAnsi="Symbol" w:hint="default"/>
      </w:rPr>
    </w:lvl>
    <w:lvl w:ilvl="3" w:tplc="96D61ECA" w:tentative="1">
      <w:start w:val="1"/>
      <w:numFmt w:val="bullet"/>
      <w:lvlText w:val=""/>
      <w:lvlJc w:val="left"/>
      <w:pPr>
        <w:tabs>
          <w:tab w:val="num" w:pos="2880"/>
        </w:tabs>
        <w:ind w:left="2880" w:hanging="360"/>
      </w:pPr>
      <w:rPr>
        <w:rFonts w:ascii="Symbol" w:hAnsi="Symbol" w:hint="default"/>
      </w:rPr>
    </w:lvl>
    <w:lvl w:ilvl="4" w:tplc="94949B74" w:tentative="1">
      <w:start w:val="1"/>
      <w:numFmt w:val="bullet"/>
      <w:lvlText w:val=""/>
      <w:lvlJc w:val="left"/>
      <w:pPr>
        <w:tabs>
          <w:tab w:val="num" w:pos="3600"/>
        </w:tabs>
        <w:ind w:left="3600" w:hanging="360"/>
      </w:pPr>
      <w:rPr>
        <w:rFonts w:ascii="Symbol" w:hAnsi="Symbol" w:hint="default"/>
      </w:rPr>
    </w:lvl>
    <w:lvl w:ilvl="5" w:tplc="3DCC2FBC" w:tentative="1">
      <w:start w:val="1"/>
      <w:numFmt w:val="bullet"/>
      <w:lvlText w:val=""/>
      <w:lvlJc w:val="left"/>
      <w:pPr>
        <w:tabs>
          <w:tab w:val="num" w:pos="4320"/>
        </w:tabs>
        <w:ind w:left="4320" w:hanging="360"/>
      </w:pPr>
      <w:rPr>
        <w:rFonts w:ascii="Symbol" w:hAnsi="Symbol" w:hint="default"/>
      </w:rPr>
    </w:lvl>
    <w:lvl w:ilvl="6" w:tplc="B12C7198" w:tentative="1">
      <w:start w:val="1"/>
      <w:numFmt w:val="bullet"/>
      <w:lvlText w:val=""/>
      <w:lvlJc w:val="left"/>
      <w:pPr>
        <w:tabs>
          <w:tab w:val="num" w:pos="5040"/>
        </w:tabs>
        <w:ind w:left="5040" w:hanging="360"/>
      </w:pPr>
      <w:rPr>
        <w:rFonts w:ascii="Symbol" w:hAnsi="Symbol" w:hint="default"/>
      </w:rPr>
    </w:lvl>
    <w:lvl w:ilvl="7" w:tplc="402437B2" w:tentative="1">
      <w:start w:val="1"/>
      <w:numFmt w:val="bullet"/>
      <w:lvlText w:val=""/>
      <w:lvlJc w:val="left"/>
      <w:pPr>
        <w:tabs>
          <w:tab w:val="num" w:pos="5760"/>
        </w:tabs>
        <w:ind w:left="5760" w:hanging="360"/>
      </w:pPr>
      <w:rPr>
        <w:rFonts w:ascii="Symbol" w:hAnsi="Symbol" w:hint="default"/>
      </w:rPr>
    </w:lvl>
    <w:lvl w:ilvl="8" w:tplc="0608E174" w:tentative="1">
      <w:start w:val="1"/>
      <w:numFmt w:val="bullet"/>
      <w:lvlText w:val=""/>
      <w:lvlJc w:val="left"/>
      <w:pPr>
        <w:tabs>
          <w:tab w:val="num" w:pos="6480"/>
        </w:tabs>
        <w:ind w:left="6480" w:hanging="360"/>
      </w:pPr>
      <w:rPr>
        <w:rFonts w:ascii="Symbol" w:hAnsi="Symbol" w:hint="default"/>
      </w:rPr>
    </w:lvl>
  </w:abstractNum>
  <w:abstractNum w:abstractNumId="29" w15:restartNumberingAfterBreak="0">
    <w:nsid w:val="135B3C99"/>
    <w:multiLevelType w:val="hybridMultilevel"/>
    <w:tmpl w:val="FD88E4CC"/>
    <w:lvl w:ilvl="0" w:tplc="07547296">
      <w:start w:val="1"/>
      <w:numFmt w:val="bullet"/>
      <w:lvlText w:val=""/>
      <w:lvlPicBulletId w:val="1"/>
      <w:lvlJc w:val="left"/>
      <w:pPr>
        <w:tabs>
          <w:tab w:val="num" w:pos="720"/>
        </w:tabs>
        <w:ind w:left="720" w:hanging="360"/>
      </w:pPr>
      <w:rPr>
        <w:rFonts w:ascii="Symbol" w:hAnsi="Symbol" w:hint="default"/>
      </w:rPr>
    </w:lvl>
    <w:lvl w:ilvl="1" w:tplc="71A2EB4C" w:tentative="1">
      <w:start w:val="1"/>
      <w:numFmt w:val="bullet"/>
      <w:lvlText w:val=""/>
      <w:lvlJc w:val="left"/>
      <w:pPr>
        <w:tabs>
          <w:tab w:val="num" w:pos="1440"/>
        </w:tabs>
        <w:ind w:left="1440" w:hanging="360"/>
      </w:pPr>
      <w:rPr>
        <w:rFonts w:ascii="Symbol" w:hAnsi="Symbol" w:hint="default"/>
      </w:rPr>
    </w:lvl>
    <w:lvl w:ilvl="2" w:tplc="6A92CAFE" w:tentative="1">
      <w:start w:val="1"/>
      <w:numFmt w:val="bullet"/>
      <w:lvlText w:val=""/>
      <w:lvlJc w:val="left"/>
      <w:pPr>
        <w:tabs>
          <w:tab w:val="num" w:pos="2160"/>
        </w:tabs>
        <w:ind w:left="2160" w:hanging="360"/>
      </w:pPr>
      <w:rPr>
        <w:rFonts w:ascii="Symbol" w:hAnsi="Symbol" w:hint="default"/>
      </w:rPr>
    </w:lvl>
    <w:lvl w:ilvl="3" w:tplc="F21CBBFC" w:tentative="1">
      <w:start w:val="1"/>
      <w:numFmt w:val="bullet"/>
      <w:lvlText w:val=""/>
      <w:lvlJc w:val="left"/>
      <w:pPr>
        <w:tabs>
          <w:tab w:val="num" w:pos="2880"/>
        </w:tabs>
        <w:ind w:left="2880" w:hanging="360"/>
      </w:pPr>
      <w:rPr>
        <w:rFonts w:ascii="Symbol" w:hAnsi="Symbol" w:hint="default"/>
      </w:rPr>
    </w:lvl>
    <w:lvl w:ilvl="4" w:tplc="2EEC63E4" w:tentative="1">
      <w:start w:val="1"/>
      <w:numFmt w:val="bullet"/>
      <w:lvlText w:val=""/>
      <w:lvlJc w:val="left"/>
      <w:pPr>
        <w:tabs>
          <w:tab w:val="num" w:pos="3600"/>
        </w:tabs>
        <w:ind w:left="3600" w:hanging="360"/>
      </w:pPr>
      <w:rPr>
        <w:rFonts w:ascii="Symbol" w:hAnsi="Symbol" w:hint="default"/>
      </w:rPr>
    </w:lvl>
    <w:lvl w:ilvl="5" w:tplc="A0B81B46" w:tentative="1">
      <w:start w:val="1"/>
      <w:numFmt w:val="bullet"/>
      <w:lvlText w:val=""/>
      <w:lvlJc w:val="left"/>
      <w:pPr>
        <w:tabs>
          <w:tab w:val="num" w:pos="4320"/>
        </w:tabs>
        <w:ind w:left="4320" w:hanging="360"/>
      </w:pPr>
      <w:rPr>
        <w:rFonts w:ascii="Symbol" w:hAnsi="Symbol" w:hint="default"/>
      </w:rPr>
    </w:lvl>
    <w:lvl w:ilvl="6" w:tplc="9FDC27F8" w:tentative="1">
      <w:start w:val="1"/>
      <w:numFmt w:val="bullet"/>
      <w:lvlText w:val=""/>
      <w:lvlJc w:val="left"/>
      <w:pPr>
        <w:tabs>
          <w:tab w:val="num" w:pos="5040"/>
        </w:tabs>
        <w:ind w:left="5040" w:hanging="360"/>
      </w:pPr>
      <w:rPr>
        <w:rFonts w:ascii="Symbol" w:hAnsi="Symbol" w:hint="default"/>
      </w:rPr>
    </w:lvl>
    <w:lvl w:ilvl="7" w:tplc="C3FE599A" w:tentative="1">
      <w:start w:val="1"/>
      <w:numFmt w:val="bullet"/>
      <w:lvlText w:val=""/>
      <w:lvlJc w:val="left"/>
      <w:pPr>
        <w:tabs>
          <w:tab w:val="num" w:pos="5760"/>
        </w:tabs>
        <w:ind w:left="5760" w:hanging="360"/>
      </w:pPr>
      <w:rPr>
        <w:rFonts w:ascii="Symbol" w:hAnsi="Symbol" w:hint="default"/>
      </w:rPr>
    </w:lvl>
    <w:lvl w:ilvl="8" w:tplc="DA441BD0" w:tentative="1">
      <w:start w:val="1"/>
      <w:numFmt w:val="bullet"/>
      <w:lvlText w:val=""/>
      <w:lvlJc w:val="left"/>
      <w:pPr>
        <w:tabs>
          <w:tab w:val="num" w:pos="6480"/>
        </w:tabs>
        <w:ind w:left="6480" w:hanging="360"/>
      </w:pPr>
      <w:rPr>
        <w:rFonts w:ascii="Symbol" w:hAnsi="Symbol" w:hint="default"/>
      </w:rPr>
    </w:lvl>
  </w:abstractNum>
  <w:abstractNum w:abstractNumId="30" w15:restartNumberingAfterBreak="0">
    <w:nsid w:val="13AD7D10"/>
    <w:multiLevelType w:val="hybridMultilevel"/>
    <w:tmpl w:val="63B0C9AA"/>
    <w:lvl w:ilvl="0" w:tplc="1B2AA3CE">
      <w:start w:val="1"/>
      <w:numFmt w:val="bullet"/>
      <w:lvlText w:val=""/>
      <w:lvlPicBulletId w:val="1"/>
      <w:lvlJc w:val="left"/>
      <w:pPr>
        <w:tabs>
          <w:tab w:val="num" w:pos="720"/>
        </w:tabs>
        <w:ind w:left="720" w:hanging="360"/>
      </w:pPr>
      <w:rPr>
        <w:rFonts w:ascii="Symbol" w:hAnsi="Symbol" w:hint="default"/>
      </w:rPr>
    </w:lvl>
    <w:lvl w:ilvl="1" w:tplc="94F86678" w:tentative="1">
      <w:start w:val="1"/>
      <w:numFmt w:val="bullet"/>
      <w:lvlText w:val=""/>
      <w:lvlJc w:val="left"/>
      <w:pPr>
        <w:tabs>
          <w:tab w:val="num" w:pos="1440"/>
        </w:tabs>
        <w:ind w:left="1440" w:hanging="360"/>
      </w:pPr>
      <w:rPr>
        <w:rFonts w:ascii="Symbol" w:hAnsi="Symbol" w:hint="default"/>
      </w:rPr>
    </w:lvl>
    <w:lvl w:ilvl="2" w:tplc="AA88D392" w:tentative="1">
      <w:start w:val="1"/>
      <w:numFmt w:val="bullet"/>
      <w:lvlText w:val=""/>
      <w:lvlJc w:val="left"/>
      <w:pPr>
        <w:tabs>
          <w:tab w:val="num" w:pos="2160"/>
        </w:tabs>
        <w:ind w:left="2160" w:hanging="360"/>
      </w:pPr>
      <w:rPr>
        <w:rFonts w:ascii="Symbol" w:hAnsi="Symbol" w:hint="default"/>
      </w:rPr>
    </w:lvl>
    <w:lvl w:ilvl="3" w:tplc="31AC07F6" w:tentative="1">
      <w:start w:val="1"/>
      <w:numFmt w:val="bullet"/>
      <w:lvlText w:val=""/>
      <w:lvlJc w:val="left"/>
      <w:pPr>
        <w:tabs>
          <w:tab w:val="num" w:pos="2880"/>
        </w:tabs>
        <w:ind w:left="2880" w:hanging="360"/>
      </w:pPr>
      <w:rPr>
        <w:rFonts w:ascii="Symbol" w:hAnsi="Symbol" w:hint="default"/>
      </w:rPr>
    </w:lvl>
    <w:lvl w:ilvl="4" w:tplc="C9E255C6" w:tentative="1">
      <w:start w:val="1"/>
      <w:numFmt w:val="bullet"/>
      <w:lvlText w:val=""/>
      <w:lvlJc w:val="left"/>
      <w:pPr>
        <w:tabs>
          <w:tab w:val="num" w:pos="3600"/>
        </w:tabs>
        <w:ind w:left="3600" w:hanging="360"/>
      </w:pPr>
      <w:rPr>
        <w:rFonts w:ascii="Symbol" w:hAnsi="Symbol" w:hint="default"/>
      </w:rPr>
    </w:lvl>
    <w:lvl w:ilvl="5" w:tplc="113A379E" w:tentative="1">
      <w:start w:val="1"/>
      <w:numFmt w:val="bullet"/>
      <w:lvlText w:val=""/>
      <w:lvlJc w:val="left"/>
      <w:pPr>
        <w:tabs>
          <w:tab w:val="num" w:pos="4320"/>
        </w:tabs>
        <w:ind w:left="4320" w:hanging="360"/>
      </w:pPr>
      <w:rPr>
        <w:rFonts w:ascii="Symbol" w:hAnsi="Symbol" w:hint="default"/>
      </w:rPr>
    </w:lvl>
    <w:lvl w:ilvl="6" w:tplc="3AD0A904" w:tentative="1">
      <w:start w:val="1"/>
      <w:numFmt w:val="bullet"/>
      <w:lvlText w:val=""/>
      <w:lvlJc w:val="left"/>
      <w:pPr>
        <w:tabs>
          <w:tab w:val="num" w:pos="5040"/>
        </w:tabs>
        <w:ind w:left="5040" w:hanging="360"/>
      </w:pPr>
      <w:rPr>
        <w:rFonts w:ascii="Symbol" w:hAnsi="Symbol" w:hint="default"/>
      </w:rPr>
    </w:lvl>
    <w:lvl w:ilvl="7" w:tplc="687CFC70" w:tentative="1">
      <w:start w:val="1"/>
      <w:numFmt w:val="bullet"/>
      <w:lvlText w:val=""/>
      <w:lvlJc w:val="left"/>
      <w:pPr>
        <w:tabs>
          <w:tab w:val="num" w:pos="5760"/>
        </w:tabs>
        <w:ind w:left="5760" w:hanging="360"/>
      </w:pPr>
      <w:rPr>
        <w:rFonts w:ascii="Symbol" w:hAnsi="Symbol" w:hint="default"/>
      </w:rPr>
    </w:lvl>
    <w:lvl w:ilvl="8" w:tplc="1EBA2590" w:tentative="1">
      <w:start w:val="1"/>
      <w:numFmt w:val="bullet"/>
      <w:lvlText w:val=""/>
      <w:lvlJc w:val="left"/>
      <w:pPr>
        <w:tabs>
          <w:tab w:val="num" w:pos="6480"/>
        </w:tabs>
        <w:ind w:left="6480" w:hanging="360"/>
      </w:pPr>
      <w:rPr>
        <w:rFonts w:ascii="Symbol" w:hAnsi="Symbol" w:hint="default"/>
      </w:rPr>
    </w:lvl>
  </w:abstractNum>
  <w:abstractNum w:abstractNumId="31" w15:restartNumberingAfterBreak="0">
    <w:nsid w:val="13CC1D8B"/>
    <w:multiLevelType w:val="hybridMultilevel"/>
    <w:tmpl w:val="05AC0BAA"/>
    <w:lvl w:ilvl="0" w:tplc="B434B076">
      <w:start w:val="1"/>
      <w:numFmt w:val="bullet"/>
      <w:lvlText w:val=""/>
      <w:lvlPicBulletId w:val="1"/>
      <w:lvlJc w:val="left"/>
      <w:pPr>
        <w:tabs>
          <w:tab w:val="num" w:pos="720"/>
        </w:tabs>
        <w:ind w:left="720" w:hanging="360"/>
      </w:pPr>
      <w:rPr>
        <w:rFonts w:ascii="Symbol" w:hAnsi="Symbol" w:hint="default"/>
      </w:rPr>
    </w:lvl>
    <w:lvl w:ilvl="1" w:tplc="38A2FCF6" w:tentative="1">
      <w:start w:val="1"/>
      <w:numFmt w:val="bullet"/>
      <w:lvlText w:val=""/>
      <w:lvlJc w:val="left"/>
      <w:pPr>
        <w:tabs>
          <w:tab w:val="num" w:pos="1440"/>
        </w:tabs>
        <w:ind w:left="1440" w:hanging="360"/>
      </w:pPr>
      <w:rPr>
        <w:rFonts w:ascii="Symbol" w:hAnsi="Symbol" w:hint="default"/>
      </w:rPr>
    </w:lvl>
    <w:lvl w:ilvl="2" w:tplc="0DFCC06E" w:tentative="1">
      <w:start w:val="1"/>
      <w:numFmt w:val="bullet"/>
      <w:lvlText w:val=""/>
      <w:lvlJc w:val="left"/>
      <w:pPr>
        <w:tabs>
          <w:tab w:val="num" w:pos="2160"/>
        </w:tabs>
        <w:ind w:left="2160" w:hanging="360"/>
      </w:pPr>
      <w:rPr>
        <w:rFonts w:ascii="Symbol" w:hAnsi="Symbol" w:hint="default"/>
      </w:rPr>
    </w:lvl>
    <w:lvl w:ilvl="3" w:tplc="DB6AFB00" w:tentative="1">
      <w:start w:val="1"/>
      <w:numFmt w:val="bullet"/>
      <w:lvlText w:val=""/>
      <w:lvlJc w:val="left"/>
      <w:pPr>
        <w:tabs>
          <w:tab w:val="num" w:pos="2880"/>
        </w:tabs>
        <w:ind w:left="2880" w:hanging="360"/>
      </w:pPr>
      <w:rPr>
        <w:rFonts w:ascii="Symbol" w:hAnsi="Symbol" w:hint="default"/>
      </w:rPr>
    </w:lvl>
    <w:lvl w:ilvl="4" w:tplc="F056B91C" w:tentative="1">
      <w:start w:val="1"/>
      <w:numFmt w:val="bullet"/>
      <w:lvlText w:val=""/>
      <w:lvlJc w:val="left"/>
      <w:pPr>
        <w:tabs>
          <w:tab w:val="num" w:pos="3600"/>
        </w:tabs>
        <w:ind w:left="3600" w:hanging="360"/>
      </w:pPr>
      <w:rPr>
        <w:rFonts w:ascii="Symbol" w:hAnsi="Symbol" w:hint="default"/>
      </w:rPr>
    </w:lvl>
    <w:lvl w:ilvl="5" w:tplc="F648E62E" w:tentative="1">
      <w:start w:val="1"/>
      <w:numFmt w:val="bullet"/>
      <w:lvlText w:val=""/>
      <w:lvlJc w:val="left"/>
      <w:pPr>
        <w:tabs>
          <w:tab w:val="num" w:pos="4320"/>
        </w:tabs>
        <w:ind w:left="4320" w:hanging="360"/>
      </w:pPr>
      <w:rPr>
        <w:rFonts w:ascii="Symbol" w:hAnsi="Symbol" w:hint="default"/>
      </w:rPr>
    </w:lvl>
    <w:lvl w:ilvl="6" w:tplc="F8A2FAA6" w:tentative="1">
      <w:start w:val="1"/>
      <w:numFmt w:val="bullet"/>
      <w:lvlText w:val=""/>
      <w:lvlJc w:val="left"/>
      <w:pPr>
        <w:tabs>
          <w:tab w:val="num" w:pos="5040"/>
        </w:tabs>
        <w:ind w:left="5040" w:hanging="360"/>
      </w:pPr>
      <w:rPr>
        <w:rFonts w:ascii="Symbol" w:hAnsi="Symbol" w:hint="default"/>
      </w:rPr>
    </w:lvl>
    <w:lvl w:ilvl="7" w:tplc="4E883CE2" w:tentative="1">
      <w:start w:val="1"/>
      <w:numFmt w:val="bullet"/>
      <w:lvlText w:val=""/>
      <w:lvlJc w:val="left"/>
      <w:pPr>
        <w:tabs>
          <w:tab w:val="num" w:pos="5760"/>
        </w:tabs>
        <w:ind w:left="5760" w:hanging="360"/>
      </w:pPr>
      <w:rPr>
        <w:rFonts w:ascii="Symbol" w:hAnsi="Symbol" w:hint="default"/>
      </w:rPr>
    </w:lvl>
    <w:lvl w:ilvl="8" w:tplc="35E03472" w:tentative="1">
      <w:start w:val="1"/>
      <w:numFmt w:val="bullet"/>
      <w:lvlText w:val=""/>
      <w:lvlJc w:val="left"/>
      <w:pPr>
        <w:tabs>
          <w:tab w:val="num" w:pos="6480"/>
        </w:tabs>
        <w:ind w:left="6480" w:hanging="360"/>
      </w:pPr>
      <w:rPr>
        <w:rFonts w:ascii="Symbol" w:hAnsi="Symbol" w:hint="default"/>
      </w:rPr>
    </w:lvl>
  </w:abstractNum>
  <w:abstractNum w:abstractNumId="32" w15:restartNumberingAfterBreak="0">
    <w:nsid w:val="158956B3"/>
    <w:multiLevelType w:val="hybridMultilevel"/>
    <w:tmpl w:val="A0488A1E"/>
    <w:lvl w:ilvl="0" w:tplc="2AD45928">
      <w:start w:val="1"/>
      <w:numFmt w:val="bullet"/>
      <w:lvlText w:val=""/>
      <w:lvlPicBulletId w:val="1"/>
      <w:lvlJc w:val="left"/>
      <w:pPr>
        <w:tabs>
          <w:tab w:val="num" w:pos="720"/>
        </w:tabs>
        <w:ind w:left="720" w:hanging="360"/>
      </w:pPr>
      <w:rPr>
        <w:rFonts w:ascii="Symbol" w:hAnsi="Symbol" w:hint="default"/>
      </w:rPr>
    </w:lvl>
    <w:lvl w:ilvl="1" w:tplc="DA5A70C8" w:tentative="1">
      <w:start w:val="1"/>
      <w:numFmt w:val="bullet"/>
      <w:lvlText w:val=""/>
      <w:lvlJc w:val="left"/>
      <w:pPr>
        <w:tabs>
          <w:tab w:val="num" w:pos="1440"/>
        </w:tabs>
        <w:ind w:left="1440" w:hanging="360"/>
      </w:pPr>
      <w:rPr>
        <w:rFonts w:ascii="Symbol" w:hAnsi="Symbol" w:hint="default"/>
      </w:rPr>
    </w:lvl>
    <w:lvl w:ilvl="2" w:tplc="3D229C54" w:tentative="1">
      <w:start w:val="1"/>
      <w:numFmt w:val="bullet"/>
      <w:lvlText w:val=""/>
      <w:lvlJc w:val="left"/>
      <w:pPr>
        <w:tabs>
          <w:tab w:val="num" w:pos="2160"/>
        </w:tabs>
        <w:ind w:left="2160" w:hanging="360"/>
      </w:pPr>
      <w:rPr>
        <w:rFonts w:ascii="Symbol" w:hAnsi="Symbol" w:hint="default"/>
      </w:rPr>
    </w:lvl>
    <w:lvl w:ilvl="3" w:tplc="D9447E38" w:tentative="1">
      <w:start w:val="1"/>
      <w:numFmt w:val="bullet"/>
      <w:lvlText w:val=""/>
      <w:lvlJc w:val="left"/>
      <w:pPr>
        <w:tabs>
          <w:tab w:val="num" w:pos="2880"/>
        </w:tabs>
        <w:ind w:left="2880" w:hanging="360"/>
      </w:pPr>
      <w:rPr>
        <w:rFonts w:ascii="Symbol" w:hAnsi="Symbol" w:hint="default"/>
      </w:rPr>
    </w:lvl>
    <w:lvl w:ilvl="4" w:tplc="B35A01A6" w:tentative="1">
      <w:start w:val="1"/>
      <w:numFmt w:val="bullet"/>
      <w:lvlText w:val=""/>
      <w:lvlJc w:val="left"/>
      <w:pPr>
        <w:tabs>
          <w:tab w:val="num" w:pos="3600"/>
        </w:tabs>
        <w:ind w:left="3600" w:hanging="360"/>
      </w:pPr>
      <w:rPr>
        <w:rFonts w:ascii="Symbol" w:hAnsi="Symbol" w:hint="default"/>
      </w:rPr>
    </w:lvl>
    <w:lvl w:ilvl="5" w:tplc="ABBA80C4" w:tentative="1">
      <w:start w:val="1"/>
      <w:numFmt w:val="bullet"/>
      <w:lvlText w:val=""/>
      <w:lvlJc w:val="left"/>
      <w:pPr>
        <w:tabs>
          <w:tab w:val="num" w:pos="4320"/>
        </w:tabs>
        <w:ind w:left="4320" w:hanging="360"/>
      </w:pPr>
      <w:rPr>
        <w:rFonts w:ascii="Symbol" w:hAnsi="Symbol" w:hint="default"/>
      </w:rPr>
    </w:lvl>
    <w:lvl w:ilvl="6" w:tplc="5E3E027E" w:tentative="1">
      <w:start w:val="1"/>
      <w:numFmt w:val="bullet"/>
      <w:lvlText w:val=""/>
      <w:lvlJc w:val="left"/>
      <w:pPr>
        <w:tabs>
          <w:tab w:val="num" w:pos="5040"/>
        </w:tabs>
        <w:ind w:left="5040" w:hanging="360"/>
      </w:pPr>
      <w:rPr>
        <w:rFonts w:ascii="Symbol" w:hAnsi="Symbol" w:hint="default"/>
      </w:rPr>
    </w:lvl>
    <w:lvl w:ilvl="7" w:tplc="D41825FA" w:tentative="1">
      <w:start w:val="1"/>
      <w:numFmt w:val="bullet"/>
      <w:lvlText w:val=""/>
      <w:lvlJc w:val="left"/>
      <w:pPr>
        <w:tabs>
          <w:tab w:val="num" w:pos="5760"/>
        </w:tabs>
        <w:ind w:left="5760" w:hanging="360"/>
      </w:pPr>
      <w:rPr>
        <w:rFonts w:ascii="Symbol" w:hAnsi="Symbol" w:hint="default"/>
      </w:rPr>
    </w:lvl>
    <w:lvl w:ilvl="8" w:tplc="526EDA96" w:tentative="1">
      <w:start w:val="1"/>
      <w:numFmt w:val="bullet"/>
      <w:lvlText w:val=""/>
      <w:lvlJc w:val="left"/>
      <w:pPr>
        <w:tabs>
          <w:tab w:val="num" w:pos="6480"/>
        </w:tabs>
        <w:ind w:left="6480" w:hanging="360"/>
      </w:pPr>
      <w:rPr>
        <w:rFonts w:ascii="Symbol" w:hAnsi="Symbol" w:hint="default"/>
      </w:rPr>
    </w:lvl>
  </w:abstractNum>
  <w:abstractNum w:abstractNumId="33" w15:restartNumberingAfterBreak="0">
    <w:nsid w:val="162419FA"/>
    <w:multiLevelType w:val="hybridMultilevel"/>
    <w:tmpl w:val="92622542"/>
    <w:lvl w:ilvl="0" w:tplc="BFDE6244">
      <w:start w:val="1"/>
      <w:numFmt w:val="bullet"/>
      <w:lvlText w:val=""/>
      <w:lvlPicBulletId w:val="0"/>
      <w:lvlJc w:val="left"/>
      <w:pPr>
        <w:tabs>
          <w:tab w:val="num" w:pos="720"/>
        </w:tabs>
        <w:ind w:left="720" w:hanging="360"/>
      </w:pPr>
      <w:rPr>
        <w:rFonts w:ascii="Symbol" w:hAnsi="Symbol" w:hint="default"/>
      </w:rPr>
    </w:lvl>
    <w:lvl w:ilvl="1" w:tplc="37006F52" w:tentative="1">
      <w:start w:val="1"/>
      <w:numFmt w:val="bullet"/>
      <w:lvlText w:val=""/>
      <w:lvlJc w:val="left"/>
      <w:pPr>
        <w:tabs>
          <w:tab w:val="num" w:pos="1440"/>
        </w:tabs>
        <w:ind w:left="1440" w:hanging="360"/>
      </w:pPr>
      <w:rPr>
        <w:rFonts w:ascii="Symbol" w:hAnsi="Symbol" w:hint="default"/>
      </w:rPr>
    </w:lvl>
    <w:lvl w:ilvl="2" w:tplc="3B1E6C3A" w:tentative="1">
      <w:start w:val="1"/>
      <w:numFmt w:val="bullet"/>
      <w:lvlText w:val=""/>
      <w:lvlJc w:val="left"/>
      <w:pPr>
        <w:tabs>
          <w:tab w:val="num" w:pos="2160"/>
        </w:tabs>
        <w:ind w:left="2160" w:hanging="360"/>
      </w:pPr>
      <w:rPr>
        <w:rFonts w:ascii="Symbol" w:hAnsi="Symbol" w:hint="default"/>
      </w:rPr>
    </w:lvl>
    <w:lvl w:ilvl="3" w:tplc="51EE9912" w:tentative="1">
      <w:start w:val="1"/>
      <w:numFmt w:val="bullet"/>
      <w:lvlText w:val=""/>
      <w:lvlJc w:val="left"/>
      <w:pPr>
        <w:tabs>
          <w:tab w:val="num" w:pos="2880"/>
        </w:tabs>
        <w:ind w:left="2880" w:hanging="360"/>
      </w:pPr>
      <w:rPr>
        <w:rFonts w:ascii="Symbol" w:hAnsi="Symbol" w:hint="default"/>
      </w:rPr>
    </w:lvl>
    <w:lvl w:ilvl="4" w:tplc="B3E4E654" w:tentative="1">
      <w:start w:val="1"/>
      <w:numFmt w:val="bullet"/>
      <w:lvlText w:val=""/>
      <w:lvlJc w:val="left"/>
      <w:pPr>
        <w:tabs>
          <w:tab w:val="num" w:pos="3600"/>
        </w:tabs>
        <w:ind w:left="3600" w:hanging="360"/>
      </w:pPr>
      <w:rPr>
        <w:rFonts w:ascii="Symbol" w:hAnsi="Symbol" w:hint="default"/>
      </w:rPr>
    </w:lvl>
    <w:lvl w:ilvl="5" w:tplc="ADB0EAFE" w:tentative="1">
      <w:start w:val="1"/>
      <w:numFmt w:val="bullet"/>
      <w:lvlText w:val=""/>
      <w:lvlJc w:val="left"/>
      <w:pPr>
        <w:tabs>
          <w:tab w:val="num" w:pos="4320"/>
        </w:tabs>
        <w:ind w:left="4320" w:hanging="360"/>
      </w:pPr>
      <w:rPr>
        <w:rFonts w:ascii="Symbol" w:hAnsi="Symbol" w:hint="default"/>
      </w:rPr>
    </w:lvl>
    <w:lvl w:ilvl="6" w:tplc="CA1C4162" w:tentative="1">
      <w:start w:val="1"/>
      <w:numFmt w:val="bullet"/>
      <w:lvlText w:val=""/>
      <w:lvlJc w:val="left"/>
      <w:pPr>
        <w:tabs>
          <w:tab w:val="num" w:pos="5040"/>
        </w:tabs>
        <w:ind w:left="5040" w:hanging="360"/>
      </w:pPr>
      <w:rPr>
        <w:rFonts w:ascii="Symbol" w:hAnsi="Symbol" w:hint="default"/>
      </w:rPr>
    </w:lvl>
    <w:lvl w:ilvl="7" w:tplc="DD4899DA" w:tentative="1">
      <w:start w:val="1"/>
      <w:numFmt w:val="bullet"/>
      <w:lvlText w:val=""/>
      <w:lvlJc w:val="left"/>
      <w:pPr>
        <w:tabs>
          <w:tab w:val="num" w:pos="5760"/>
        </w:tabs>
        <w:ind w:left="5760" w:hanging="360"/>
      </w:pPr>
      <w:rPr>
        <w:rFonts w:ascii="Symbol" w:hAnsi="Symbol" w:hint="default"/>
      </w:rPr>
    </w:lvl>
    <w:lvl w:ilvl="8" w:tplc="D50CA5BC" w:tentative="1">
      <w:start w:val="1"/>
      <w:numFmt w:val="bullet"/>
      <w:lvlText w:val=""/>
      <w:lvlJc w:val="left"/>
      <w:pPr>
        <w:tabs>
          <w:tab w:val="num" w:pos="6480"/>
        </w:tabs>
        <w:ind w:left="6480" w:hanging="360"/>
      </w:pPr>
      <w:rPr>
        <w:rFonts w:ascii="Symbol" w:hAnsi="Symbol" w:hint="default"/>
      </w:rPr>
    </w:lvl>
  </w:abstractNum>
  <w:abstractNum w:abstractNumId="34" w15:restartNumberingAfterBreak="0">
    <w:nsid w:val="18D900C9"/>
    <w:multiLevelType w:val="hybridMultilevel"/>
    <w:tmpl w:val="84B8EA6C"/>
    <w:lvl w:ilvl="0" w:tplc="F94C76B0">
      <w:start w:val="1"/>
      <w:numFmt w:val="bullet"/>
      <w:lvlText w:val=""/>
      <w:lvlPicBulletId w:val="1"/>
      <w:lvlJc w:val="left"/>
      <w:pPr>
        <w:tabs>
          <w:tab w:val="num" w:pos="720"/>
        </w:tabs>
        <w:ind w:left="720" w:hanging="360"/>
      </w:pPr>
      <w:rPr>
        <w:rFonts w:ascii="Symbol" w:hAnsi="Symbol" w:hint="default"/>
      </w:rPr>
    </w:lvl>
    <w:lvl w:ilvl="1" w:tplc="C106B4C2" w:tentative="1">
      <w:start w:val="1"/>
      <w:numFmt w:val="bullet"/>
      <w:lvlText w:val=""/>
      <w:lvlJc w:val="left"/>
      <w:pPr>
        <w:tabs>
          <w:tab w:val="num" w:pos="1440"/>
        </w:tabs>
        <w:ind w:left="1440" w:hanging="360"/>
      </w:pPr>
      <w:rPr>
        <w:rFonts w:ascii="Symbol" w:hAnsi="Symbol" w:hint="default"/>
      </w:rPr>
    </w:lvl>
    <w:lvl w:ilvl="2" w:tplc="163C7F00" w:tentative="1">
      <w:start w:val="1"/>
      <w:numFmt w:val="bullet"/>
      <w:lvlText w:val=""/>
      <w:lvlJc w:val="left"/>
      <w:pPr>
        <w:tabs>
          <w:tab w:val="num" w:pos="2160"/>
        </w:tabs>
        <w:ind w:left="2160" w:hanging="360"/>
      </w:pPr>
      <w:rPr>
        <w:rFonts w:ascii="Symbol" w:hAnsi="Symbol" w:hint="default"/>
      </w:rPr>
    </w:lvl>
    <w:lvl w:ilvl="3" w:tplc="93FE1246" w:tentative="1">
      <w:start w:val="1"/>
      <w:numFmt w:val="bullet"/>
      <w:lvlText w:val=""/>
      <w:lvlJc w:val="left"/>
      <w:pPr>
        <w:tabs>
          <w:tab w:val="num" w:pos="2880"/>
        </w:tabs>
        <w:ind w:left="2880" w:hanging="360"/>
      </w:pPr>
      <w:rPr>
        <w:rFonts w:ascii="Symbol" w:hAnsi="Symbol" w:hint="default"/>
      </w:rPr>
    </w:lvl>
    <w:lvl w:ilvl="4" w:tplc="7A2A04CA" w:tentative="1">
      <w:start w:val="1"/>
      <w:numFmt w:val="bullet"/>
      <w:lvlText w:val=""/>
      <w:lvlJc w:val="left"/>
      <w:pPr>
        <w:tabs>
          <w:tab w:val="num" w:pos="3600"/>
        </w:tabs>
        <w:ind w:left="3600" w:hanging="360"/>
      </w:pPr>
      <w:rPr>
        <w:rFonts w:ascii="Symbol" w:hAnsi="Symbol" w:hint="default"/>
      </w:rPr>
    </w:lvl>
    <w:lvl w:ilvl="5" w:tplc="2CF4D496" w:tentative="1">
      <w:start w:val="1"/>
      <w:numFmt w:val="bullet"/>
      <w:lvlText w:val=""/>
      <w:lvlJc w:val="left"/>
      <w:pPr>
        <w:tabs>
          <w:tab w:val="num" w:pos="4320"/>
        </w:tabs>
        <w:ind w:left="4320" w:hanging="360"/>
      </w:pPr>
      <w:rPr>
        <w:rFonts w:ascii="Symbol" w:hAnsi="Symbol" w:hint="default"/>
      </w:rPr>
    </w:lvl>
    <w:lvl w:ilvl="6" w:tplc="2DD24E88" w:tentative="1">
      <w:start w:val="1"/>
      <w:numFmt w:val="bullet"/>
      <w:lvlText w:val=""/>
      <w:lvlJc w:val="left"/>
      <w:pPr>
        <w:tabs>
          <w:tab w:val="num" w:pos="5040"/>
        </w:tabs>
        <w:ind w:left="5040" w:hanging="360"/>
      </w:pPr>
      <w:rPr>
        <w:rFonts w:ascii="Symbol" w:hAnsi="Symbol" w:hint="default"/>
      </w:rPr>
    </w:lvl>
    <w:lvl w:ilvl="7" w:tplc="1CEE3D1A" w:tentative="1">
      <w:start w:val="1"/>
      <w:numFmt w:val="bullet"/>
      <w:lvlText w:val=""/>
      <w:lvlJc w:val="left"/>
      <w:pPr>
        <w:tabs>
          <w:tab w:val="num" w:pos="5760"/>
        </w:tabs>
        <w:ind w:left="5760" w:hanging="360"/>
      </w:pPr>
      <w:rPr>
        <w:rFonts w:ascii="Symbol" w:hAnsi="Symbol" w:hint="default"/>
      </w:rPr>
    </w:lvl>
    <w:lvl w:ilvl="8" w:tplc="5FBAF050" w:tentative="1">
      <w:start w:val="1"/>
      <w:numFmt w:val="bullet"/>
      <w:lvlText w:val=""/>
      <w:lvlJc w:val="left"/>
      <w:pPr>
        <w:tabs>
          <w:tab w:val="num" w:pos="6480"/>
        </w:tabs>
        <w:ind w:left="6480" w:hanging="360"/>
      </w:pPr>
      <w:rPr>
        <w:rFonts w:ascii="Symbol" w:hAnsi="Symbol" w:hint="default"/>
      </w:rPr>
    </w:lvl>
  </w:abstractNum>
  <w:abstractNum w:abstractNumId="35" w15:restartNumberingAfterBreak="0">
    <w:nsid w:val="18F17A3F"/>
    <w:multiLevelType w:val="hybridMultilevel"/>
    <w:tmpl w:val="11EA8CA6"/>
    <w:lvl w:ilvl="0" w:tplc="39583AF8">
      <w:start w:val="1"/>
      <w:numFmt w:val="bullet"/>
      <w:lvlText w:val=""/>
      <w:lvlPicBulletId w:val="1"/>
      <w:lvlJc w:val="left"/>
      <w:pPr>
        <w:tabs>
          <w:tab w:val="num" w:pos="720"/>
        </w:tabs>
        <w:ind w:left="720" w:hanging="360"/>
      </w:pPr>
      <w:rPr>
        <w:rFonts w:ascii="Symbol" w:hAnsi="Symbol" w:hint="default"/>
      </w:rPr>
    </w:lvl>
    <w:lvl w:ilvl="1" w:tplc="840C6768" w:tentative="1">
      <w:start w:val="1"/>
      <w:numFmt w:val="bullet"/>
      <w:lvlText w:val=""/>
      <w:lvlJc w:val="left"/>
      <w:pPr>
        <w:tabs>
          <w:tab w:val="num" w:pos="1440"/>
        </w:tabs>
        <w:ind w:left="1440" w:hanging="360"/>
      </w:pPr>
      <w:rPr>
        <w:rFonts w:ascii="Symbol" w:hAnsi="Symbol" w:hint="default"/>
      </w:rPr>
    </w:lvl>
    <w:lvl w:ilvl="2" w:tplc="9A703686" w:tentative="1">
      <w:start w:val="1"/>
      <w:numFmt w:val="bullet"/>
      <w:lvlText w:val=""/>
      <w:lvlJc w:val="left"/>
      <w:pPr>
        <w:tabs>
          <w:tab w:val="num" w:pos="2160"/>
        </w:tabs>
        <w:ind w:left="2160" w:hanging="360"/>
      </w:pPr>
      <w:rPr>
        <w:rFonts w:ascii="Symbol" w:hAnsi="Symbol" w:hint="default"/>
      </w:rPr>
    </w:lvl>
    <w:lvl w:ilvl="3" w:tplc="13CE1B74" w:tentative="1">
      <w:start w:val="1"/>
      <w:numFmt w:val="bullet"/>
      <w:lvlText w:val=""/>
      <w:lvlJc w:val="left"/>
      <w:pPr>
        <w:tabs>
          <w:tab w:val="num" w:pos="2880"/>
        </w:tabs>
        <w:ind w:left="2880" w:hanging="360"/>
      </w:pPr>
      <w:rPr>
        <w:rFonts w:ascii="Symbol" w:hAnsi="Symbol" w:hint="default"/>
      </w:rPr>
    </w:lvl>
    <w:lvl w:ilvl="4" w:tplc="8B802744" w:tentative="1">
      <w:start w:val="1"/>
      <w:numFmt w:val="bullet"/>
      <w:lvlText w:val=""/>
      <w:lvlJc w:val="left"/>
      <w:pPr>
        <w:tabs>
          <w:tab w:val="num" w:pos="3600"/>
        </w:tabs>
        <w:ind w:left="3600" w:hanging="360"/>
      </w:pPr>
      <w:rPr>
        <w:rFonts w:ascii="Symbol" w:hAnsi="Symbol" w:hint="default"/>
      </w:rPr>
    </w:lvl>
    <w:lvl w:ilvl="5" w:tplc="E7D44C52" w:tentative="1">
      <w:start w:val="1"/>
      <w:numFmt w:val="bullet"/>
      <w:lvlText w:val=""/>
      <w:lvlJc w:val="left"/>
      <w:pPr>
        <w:tabs>
          <w:tab w:val="num" w:pos="4320"/>
        </w:tabs>
        <w:ind w:left="4320" w:hanging="360"/>
      </w:pPr>
      <w:rPr>
        <w:rFonts w:ascii="Symbol" w:hAnsi="Symbol" w:hint="default"/>
      </w:rPr>
    </w:lvl>
    <w:lvl w:ilvl="6" w:tplc="429485EA" w:tentative="1">
      <w:start w:val="1"/>
      <w:numFmt w:val="bullet"/>
      <w:lvlText w:val=""/>
      <w:lvlJc w:val="left"/>
      <w:pPr>
        <w:tabs>
          <w:tab w:val="num" w:pos="5040"/>
        </w:tabs>
        <w:ind w:left="5040" w:hanging="360"/>
      </w:pPr>
      <w:rPr>
        <w:rFonts w:ascii="Symbol" w:hAnsi="Symbol" w:hint="default"/>
      </w:rPr>
    </w:lvl>
    <w:lvl w:ilvl="7" w:tplc="FE603DBE" w:tentative="1">
      <w:start w:val="1"/>
      <w:numFmt w:val="bullet"/>
      <w:lvlText w:val=""/>
      <w:lvlJc w:val="left"/>
      <w:pPr>
        <w:tabs>
          <w:tab w:val="num" w:pos="5760"/>
        </w:tabs>
        <w:ind w:left="5760" w:hanging="360"/>
      </w:pPr>
      <w:rPr>
        <w:rFonts w:ascii="Symbol" w:hAnsi="Symbol" w:hint="default"/>
      </w:rPr>
    </w:lvl>
    <w:lvl w:ilvl="8" w:tplc="0E02A868" w:tentative="1">
      <w:start w:val="1"/>
      <w:numFmt w:val="bullet"/>
      <w:lvlText w:val=""/>
      <w:lvlJc w:val="left"/>
      <w:pPr>
        <w:tabs>
          <w:tab w:val="num" w:pos="6480"/>
        </w:tabs>
        <w:ind w:left="6480" w:hanging="360"/>
      </w:pPr>
      <w:rPr>
        <w:rFonts w:ascii="Symbol" w:hAnsi="Symbol" w:hint="default"/>
      </w:rPr>
    </w:lvl>
  </w:abstractNum>
  <w:abstractNum w:abstractNumId="36" w15:restartNumberingAfterBreak="0">
    <w:nsid w:val="1ADF1905"/>
    <w:multiLevelType w:val="hybridMultilevel"/>
    <w:tmpl w:val="26BA20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1B414604"/>
    <w:multiLevelType w:val="hybridMultilevel"/>
    <w:tmpl w:val="72B89E06"/>
    <w:lvl w:ilvl="0" w:tplc="D61C8EA0">
      <w:start w:val="1"/>
      <w:numFmt w:val="bullet"/>
      <w:lvlText w:val=""/>
      <w:lvlPicBulletId w:val="1"/>
      <w:lvlJc w:val="left"/>
      <w:pPr>
        <w:tabs>
          <w:tab w:val="num" w:pos="720"/>
        </w:tabs>
        <w:ind w:left="720" w:hanging="360"/>
      </w:pPr>
      <w:rPr>
        <w:rFonts w:ascii="Symbol" w:hAnsi="Symbol" w:hint="default"/>
      </w:rPr>
    </w:lvl>
    <w:lvl w:ilvl="1" w:tplc="F3269712" w:tentative="1">
      <w:start w:val="1"/>
      <w:numFmt w:val="bullet"/>
      <w:lvlText w:val=""/>
      <w:lvlJc w:val="left"/>
      <w:pPr>
        <w:tabs>
          <w:tab w:val="num" w:pos="1440"/>
        </w:tabs>
        <w:ind w:left="1440" w:hanging="360"/>
      </w:pPr>
      <w:rPr>
        <w:rFonts w:ascii="Symbol" w:hAnsi="Symbol" w:hint="default"/>
      </w:rPr>
    </w:lvl>
    <w:lvl w:ilvl="2" w:tplc="00C008C2" w:tentative="1">
      <w:start w:val="1"/>
      <w:numFmt w:val="bullet"/>
      <w:lvlText w:val=""/>
      <w:lvlJc w:val="left"/>
      <w:pPr>
        <w:tabs>
          <w:tab w:val="num" w:pos="2160"/>
        </w:tabs>
        <w:ind w:left="2160" w:hanging="360"/>
      </w:pPr>
      <w:rPr>
        <w:rFonts w:ascii="Symbol" w:hAnsi="Symbol" w:hint="default"/>
      </w:rPr>
    </w:lvl>
    <w:lvl w:ilvl="3" w:tplc="37447474" w:tentative="1">
      <w:start w:val="1"/>
      <w:numFmt w:val="bullet"/>
      <w:lvlText w:val=""/>
      <w:lvlJc w:val="left"/>
      <w:pPr>
        <w:tabs>
          <w:tab w:val="num" w:pos="2880"/>
        </w:tabs>
        <w:ind w:left="2880" w:hanging="360"/>
      </w:pPr>
      <w:rPr>
        <w:rFonts w:ascii="Symbol" w:hAnsi="Symbol" w:hint="default"/>
      </w:rPr>
    </w:lvl>
    <w:lvl w:ilvl="4" w:tplc="0C9AB4A2" w:tentative="1">
      <w:start w:val="1"/>
      <w:numFmt w:val="bullet"/>
      <w:lvlText w:val=""/>
      <w:lvlJc w:val="left"/>
      <w:pPr>
        <w:tabs>
          <w:tab w:val="num" w:pos="3600"/>
        </w:tabs>
        <w:ind w:left="3600" w:hanging="360"/>
      </w:pPr>
      <w:rPr>
        <w:rFonts w:ascii="Symbol" w:hAnsi="Symbol" w:hint="default"/>
      </w:rPr>
    </w:lvl>
    <w:lvl w:ilvl="5" w:tplc="4B242070" w:tentative="1">
      <w:start w:val="1"/>
      <w:numFmt w:val="bullet"/>
      <w:lvlText w:val=""/>
      <w:lvlJc w:val="left"/>
      <w:pPr>
        <w:tabs>
          <w:tab w:val="num" w:pos="4320"/>
        </w:tabs>
        <w:ind w:left="4320" w:hanging="360"/>
      </w:pPr>
      <w:rPr>
        <w:rFonts w:ascii="Symbol" w:hAnsi="Symbol" w:hint="default"/>
      </w:rPr>
    </w:lvl>
    <w:lvl w:ilvl="6" w:tplc="C948844C" w:tentative="1">
      <w:start w:val="1"/>
      <w:numFmt w:val="bullet"/>
      <w:lvlText w:val=""/>
      <w:lvlJc w:val="left"/>
      <w:pPr>
        <w:tabs>
          <w:tab w:val="num" w:pos="5040"/>
        </w:tabs>
        <w:ind w:left="5040" w:hanging="360"/>
      </w:pPr>
      <w:rPr>
        <w:rFonts w:ascii="Symbol" w:hAnsi="Symbol" w:hint="default"/>
      </w:rPr>
    </w:lvl>
    <w:lvl w:ilvl="7" w:tplc="DF86998A" w:tentative="1">
      <w:start w:val="1"/>
      <w:numFmt w:val="bullet"/>
      <w:lvlText w:val=""/>
      <w:lvlJc w:val="left"/>
      <w:pPr>
        <w:tabs>
          <w:tab w:val="num" w:pos="5760"/>
        </w:tabs>
        <w:ind w:left="5760" w:hanging="360"/>
      </w:pPr>
      <w:rPr>
        <w:rFonts w:ascii="Symbol" w:hAnsi="Symbol" w:hint="default"/>
      </w:rPr>
    </w:lvl>
    <w:lvl w:ilvl="8" w:tplc="C8AE4F38" w:tentative="1">
      <w:start w:val="1"/>
      <w:numFmt w:val="bullet"/>
      <w:lvlText w:val=""/>
      <w:lvlJc w:val="left"/>
      <w:pPr>
        <w:tabs>
          <w:tab w:val="num" w:pos="6480"/>
        </w:tabs>
        <w:ind w:left="6480" w:hanging="360"/>
      </w:pPr>
      <w:rPr>
        <w:rFonts w:ascii="Symbol" w:hAnsi="Symbol" w:hint="default"/>
      </w:rPr>
    </w:lvl>
  </w:abstractNum>
  <w:abstractNum w:abstractNumId="38" w15:restartNumberingAfterBreak="0">
    <w:nsid w:val="1B553A82"/>
    <w:multiLevelType w:val="hybridMultilevel"/>
    <w:tmpl w:val="915AA9F4"/>
    <w:lvl w:ilvl="0" w:tplc="5EB81A90">
      <w:start w:val="1"/>
      <w:numFmt w:val="bullet"/>
      <w:lvlText w:val=""/>
      <w:lvlPicBulletId w:val="1"/>
      <w:lvlJc w:val="left"/>
      <w:pPr>
        <w:tabs>
          <w:tab w:val="num" w:pos="720"/>
        </w:tabs>
        <w:ind w:left="720" w:hanging="360"/>
      </w:pPr>
      <w:rPr>
        <w:rFonts w:ascii="Symbol" w:hAnsi="Symbol" w:hint="default"/>
      </w:rPr>
    </w:lvl>
    <w:lvl w:ilvl="1" w:tplc="5A1E9DAE" w:tentative="1">
      <w:start w:val="1"/>
      <w:numFmt w:val="bullet"/>
      <w:lvlText w:val=""/>
      <w:lvlJc w:val="left"/>
      <w:pPr>
        <w:tabs>
          <w:tab w:val="num" w:pos="1440"/>
        </w:tabs>
        <w:ind w:left="1440" w:hanging="360"/>
      </w:pPr>
      <w:rPr>
        <w:rFonts w:ascii="Symbol" w:hAnsi="Symbol" w:hint="default"/>
      </w:rPr>
    </w:lvl>
    <w:lvl w:ilvl="2" w:tplc="8DA8D87A" w:tentative="1">
      <w:start w:val="1"/>
      <w:numFmt w:val="bullet"/>
      <w:lvlText w:val=""/>
      <w:lvlJc w:val="left"/>
      <w:pPr>
        <w:tabs>
          <w:tab w:val="num" w:pos="2160"/>
        </w:tabs>
        <w:ind w:left="2160" w:hanging="360"/>
      </w:pPr>
      <w:rPr>
        <w:rFonts w:ascii="Symbol" w:hAnsi="Symbol" w:hint="default"/>
      </w:rPr>
    </w:lvl>
    <w:lvl w:ilvl="3" w:tplc="40D47C6A" w:tentative="1">
      <w:start w:val="1"/>
      <w:numFmt w:val="bullet"/>
      <w:lvlText w:val=""/>
      <w:lvlJc w:val="left"/>
      <w:pPr>
        <w:tabs>
          <w:tab w:val="num" w:pos="2880"/>
        </w:tabs>
        <w:ind w:left="2880" w:hanging="360"/>
      </w:pPr>
      <w:rPr>
        <w:rFonts w:ascii="Symbol" w:hAnsi="Symbol" w:hint="default"/>
      </w:rPr>
    </w:lvl>
    <w:lvl w:ilvl="4" w:tplc="68E48598" w:tentative="1">
      <w:start w:val="1"/>
      <w:numFmt w:val="bullet"/>
      <w:lvlText w:val=""/>
      <w:lvlJc w:val="left"/>
      <w:pPr>
        <w:tabs>
          <w:tab w:val="num" w:pos="3600"/>
        </w:tabs>
        <w:ind w:left="3600" w:hanging="360"/>
      </w:pPr>
      <w:rPr>
        <w:rFonts w:ascii="Symbol" w:hAnsi="Symbol" w:hint="default"/>
      </w:rPr>
    </w:lvl>
    <w:lvl w:ilvl="5" w:tplc="97865A60" w:tentative="1">
      <w:start w:val="1"/>
      <w:numFmt w:val="bullet"/>
      <w:lvlText w:val=""/>
      <w:lvlJc w:val="left"/>
      <w:pPr>
        <w:tabs>
          <w:tab w:val="num" w:pos="4320"/>
        </w:tabs>
        <w:ind w:left="4320" w:hanging="360"/>
      </w:pPr>
      <w:rPr>
        <w:rFonts w:ascii="Symbol" w:hAnsi="Symbol" w:hint="default"/>
      </w:rPr>
    </w:lvl>
    <w:lvl w:ilvl="6" w:tplc="A9387998" w:tentative="1">
      <w:start w:val="1"/>
      <w:numFmt w:val="bullet"/>
      <w:lvlText w:val=""/>
      <w:lvlJc w:val="left"/>
      <w:pPr>
        <w:tabs>
          <w:tab w:val="num" w:pos="5040"/>
        </w:tabs>
        <w:ind w:left="5040" w:hanging="360"/>
      </w:pPr>
      <w:rPr>
        <w:rFonts w:ascii="Symbol" w:hAnsi="Symbol" w:hint="default"/>
      </w:rPr>
    </w:lvl>
    <w:lvl w:ilvl="7" w:tplc="56B4A0BA" w:tentative="1">
      <w:start w:val="1"/>
      <w:numFmt w:val="bullet"/>
      <w:lvlText w:val=""/>
      <w:lvlJc w:val="left"/>
      <w:pPr>
        <w:tabs>
          <w:tab w:val="num" w:pos="5760"/>
        </w:tabs>
        <w:ind w:left="5760" w:hanging="360"/>
      </w:pPr>
      <w:rPr>
        <w:rFonts w:ascii="Symbol" w:hAnsi="Symbol" w:hint="default"/>
      </w:rPr>
    </w:lvl>
    <w:lvl w:ilvl="8" w:tplc="8408984A" w:tentative="1">
      <w:start w:val="1"/>
      <w:numFmt w:val="bullet"/>
      <w:lvlText w:val=""/>
      <w:lvlJc w:val="left"/>
      <w:pPr>
        <w:tabs>
          <w:tab w:val="num" w:pos="6480"/>
        </w:tabs>
        <w:ind w:left="6480" w:hanging="360"/>
      </w:pPr>
      <w:rPr>
        <w:rFonts w:ascii="Symbol" w:hAnsi="Symbol" w:hint="default"/>
      </w:rPr>
    </w:lvl>
  </w:abstractNum>
  <w:abstractNum w:abstractNumId="39" w15:restartNumberingAfterBreak="0">
    <w:nsid w:val="1D3C3546"/>
    <w:multiLevelType w:val="hybridMultilevel"/>
    <w:tmpl w:val="DBB683C4"/>
    <w:lvl w:ilvl="0" w:tplc="77D473FC">
      <w:start w:val="1"/>
      <w:numFmt w:val="bullet"/>
      <w:lvlText w:val=""/>
      <w:lvlPicBulletId w:val="1"/>
      <w:lvlJc w:val="left"/>
      <w:pPr>
        <w:tabs>
          <w:tab w:val="num" w:pos="720"/>
        </w:tabs>
        <w:ind w:left="720" w:hanging="360"/>
      </w:pPr>
      <w:rPr>
        <w:rFonts w:ascii="Symbol" w:hAnsi="Symbol" w:hint="default"/>
      </w:rPr>
    </w:lvl>
    <w:lvl w:ilvl="1" w:tplc="E8DE4356" w:tentative="1">
      <w:start w:val="1"/>
      <w:numFmt w:val="bullet"/>
      <w:lvlText w:val=""/>
      <w:lvlJc w:val="left"/>
      <w:pPr>
        <w:tabs>
          <w:tab w:val="num" w:pos="1440"/>
        </w:tabs>
        <w:ind w:left="1440" w:hanging="360"/>
      </w:pPr>
      <w:rPr>
        <w:rFonts w:ascii="Symbol" w:hAnsi="Symbol" w:hint="default"/>
      </w:rPr>
    </w:lvl>
    <w:lvl w:ilvl="2" w:tplc="9A4029D8" w:tentative="1">
      <w:start w:val="1"/>
      <w:numFmt w:val="bullet"/>
      <w:lvlText w:val=""/>
      <w:lvlJc w:val="left"/>
      <w:pPr>
        <w:tabs>
          <w:tab w:val="num" w:pos="2160"/>
        </w:tabs>
        <w:ind w:left="2160" w:hanging="360"/>
      </w:pPr>
      <w:rPr>
        <w:rFonts w:ascii="Symbol" w:hAnsi="Symbol" w:hint="default"/>
      </w:rPr>
    </w:lvl>
    <w:lvl w:ilvl="3" w:tplc="C49E8B24" w:tentative="1">
      <w:start w:val="1"/>
      <w:numFmt w:val="bullet"/>
      <w:lvlText w:val=""/>
      <w:lvlJc w:val="left"/>
      <w:pPr>
        <w:tabs>
          <w:tab w:val="num" w:pos="2880"/>
        </w:tabs>
        <w:ind w:left="2880" w:hanging="360"/>
      </w:pPr>
      <w:rPr>
        <w:rFonts w:ascii="Symbol" w:hAnsi="Symbol" w:hint="default"/>
      </w:rPr>
    </w:lvl>
    <w:lvl w:ilvl="4" w:tplc="5B6A8E3A" w:tentative="1">
      <w:start w:val="1"/>
      <w:numFmt w:val="bullet"/>
      <w:lvlText w:val=""/>
      <w:lvlJc w:val="left"/>
      <w:pPr>
        <w:tabs>
          <w:tab w:val="num" w:pos="3600"/>
        </w:tabs>
        <w:ind w:left="3600" w:hanging="360"/>
      </w:pPr>
      <w:rPr>
        <w:rFonts w:ascii="Symbol" w:hAnsi="Symbol" w:hint="default"/>
      </w:rPr>
    </w:lvl>
    <w:lvl w:ilvl="5" w:tplc="B634928C" w:tentative="1">
      <w:start w:val="1"/>
      <w:numFmt w:val="bullet"/>
      <w:lvlText w:val=""/>
      <w:lvlJc w:val="left"/>
      <w:pPr>
        <w:tabs>
          <w:tab w:val="num" w:pos="4320"/>
        </w:tabs>
        <w:ind w:left="4320" w:hanging="360"/>
      </w:pPr>
      <w:rPr>
        <w:rFonts w:ascii="Symbol" w:hAnsi="Symbol" w:hint="default"/>
      </w:rPr>
    </w:lvl>
    <w:lvl w:ilvl="6" w:tplc="ADD8A3C8" w:tentative="1">
      <w:start w:val="1"/>
      <w:numFmt w:val="bullet"/>
      <w:lvlText w:val=""/>
      <w:lvlJc w:val="left"/>
      <w:pPr>
        <w:tabs>
          <w:tab w:val="num" w:pos="5040"/>
        </w:tabs>
        <w:ind w:left="5040" w:hanging="360"/>
      </w:pPr>
      <w:rPr>
        <w:rFonts w:ascii="Symbol" w:hAnsi="Symbol" w:hint="default"/>
      </w:rPr>
    </w:lvl>
    <w:lvl w:ilvl="7" w:tplc="E2F6B2EE" w:tentative="1">
      <w:start w:val="1"/>
      <w:numFmt w:val="bullet"/>
      <w:lvlText w:val=""/>
      <w:lvlJc w:val="left"/>
      <w:pPr>
        <w:tabs>
          <w:tab w:val="num" w:pos="5760"/>
        </w:tabs>
        <w:ind w:left="5760" w:hanging="360"/>
      </w:pPr>
      <w:rPr>
        <w:rFonts w:ascii="Symbol" w:hAnsi="Symbol" w:hint="default"/>
      </w:rPr>
    </w:lvl>
    <w:lvl w:ilvl="8" w:tplc="023610CC" w:tentative="1">
      <w:start w:val="1"/>
      <w:numFmt w:val="bullet"/>
      <w:lvlText w:val=""/>
      <w:lvlJc w:val="left"/>
      <w:pPr>
        <w:tabs>
          <w:tab w:val="num" w:pos="6480"/>
        </w:tabs>
        <w:ind w:left="6480" w:hanging="360"/>
      </w:pPr>
      <w:rPr>
        <w:rFonts w:ascii="Symbol" w:hAnsi="Symbol" w:hint="default"/>
      </w:rPr>
    </w:lvl>
  </w:abstractNum>
  <w:abstractNum w:abstractNumId="40" w15:restartNumberingAfterBreak="0">
    <w:nsid w:val="1E6F4938"/>
    <w:multiLevelType w:val="hybridMultilevel"/>
    <w:tmpl w:val="7EE49170"/>
    <w:lvl w:ilvl="0" w:tplc="1306239C">
      <w:start w:val="1"/>
      <w:numFmt w:val="bullet"/>
      <w:lvlText w:val=""/>
      <w:lvlPicBulletId w:val="0"/>
      <w:lvlJc w:val="left"/>
      <w:pPr>
        <w:tabs>
          <w:tab w:val="num" w:pos="720"/>
        </w:tabs>
        <w:ind w:left="720" w:hanging="360"/>
      </w:pPr>
      <w:rPr>
        <w:rFonts w:ascii="Symbol" w:hAnsi="Symbol" w:hint="default"/>
      </w:rPr>
    </w:lvl>
    <w:lvl w:ilvl="1" w:tplc="675A7D36" w:tentative="1">
      <w:start w:val="1"/>
      <w:numFmt w:val="bullet"/>
      <w:lvlText w:val=""/>
      <w:lvlJc w:val="left"/>
      <w:pPr>
        <w:tabs>
          <w:tab w:val="num" w:pos="1440"/>
        </w:tabs>
        <w:ind w:left="1440" w:hanging="360"/>
      </w:pPr>
      <w:rPr>
        <w:rFonts w:ascii="Symbol" w:hAnsi="Symbol" w:hint="default"/>
      </w:rPr>
    </w:lvl>
    <w:lvl w:ilvl="2" w:tplc="07DE1F30" w:tentative="1">
      <w:start w:val="1"/>
      <w:numFmt w:val="bullet"/>
      <w:lvlText w:val=""/>
      <w:lvlJc w:val="left"/>
      <w:pPr>
        <w:tabs>
          <w:tab w:val="num" w:pos="2160"/>
        </w:tabs>
        <w:ind w:left="2160" w:hanging="360"/>
      </w:pPr>
      <w:rPr>
        <w:rFonts w:ascii="Symbol" w:hAnsi="Symbol" w:hint="default"/>
      </w:rPr>
    </w:lvl>
    <w:lvl w:ilvl="3" w:tplc="C77A15D6" w:tentative="1">
      <w:start w:val="1"/>
      <w:numFmt w:val="bullet"/>
      <w:lvlText w:val=""/>
      <w:lvlJc w:val="left"/>
      <w:pPr>
        <w:tabs>
          <w:tab w:val="num" w:pos="2880"/>
        </w:tabs>
        <w:ind w:left="2880" w:hanging="360"/>
      </w:pPr>
      <w:rPr>
        <w:rFonts w:ascii="Symbol" w:hAnsi="Symbol" w:hint="default"/>
      </w:rPr>
    </w:lvl>
    <w:lvl w:ilvl="4" w:tplc="26C4A72A" w:tentative="1">
      <w:start w:val="1"/>
      <w:numFmt w:val="bullet"/>
      <w:lvlText w:val=""/>
      <w:lvlJc w:val="left"/>
      <w:pPr>
        <w:tabs>
          <w:tab w:val="num" w:pos="3600"/>
        </w:tabs>
        <w:ind w:left="3600" w:hanging="360"/>
      </w:pPr>
      <w:rPr>
        <w:rFonts w:ascii="Symbol" w:hAnsi="Symbol" w:hint="default"/>
      </w:rPr>
    </w:lvl>
    <w:lvl w:ilvl="5" w:tplc="A6E65A78" w:tentative="1">
      <w:start w:val="1"/>
      <w:numFmt w:val="bullet"/>
      <w:lvlText w:val=""/>
      <w:lvlJc w:val="left"/>
      <w:pPr>
        <w:tabs>
          <w:tab w:val="num" w:pos="4320"/>
        </w:tabs>
        <w:ind w:left="4320" w:hanging="360"/>
      </w:pPr>
      <w:rPr>
        <w:rFonts w:ascii="Symbol" w:hAnsi="Symbol" w:hint="default"/>
      </w:rPr>
    </w:lvl>
    <w:lvl w:ilvl="6" w:tplc="1CBA7D2E" w:tentative="1">
      <w:start w:val="1"/>
      <w:numFmt w:val="bullet"/>
      <w:lvlText w:val=""/>
      <w:lvlJc w:val="left"/>
      <w:pPr>
        <w:tabs>
          <w:tab w:val="num" w:pos="5040"/>
        </w:tabs>
        <w:ind w:left="5040" w:hanging="360"/>
      </w:pPr>
      <w:rPr>
        <w:rFonts w:ascii="Symbol" w:hAnsi="Symbol" w:hint="default"/>
      </w:rPr>
    </w:lvl>
    <w:lvl w:ilvl="7" w:tplc="BDFC044C" w:tentative="1">
      <w:start w:val="1"/>
      <w:numFmt w:val="bullet"/>
      <w:lvlText w:val=""/>
      <w:lvlJc w:val="left"/>
      <w:pPr>
        <w:tabs>
          <w:tab w:val="num" w:pos="5760"/>
        </w:tabs>
        <w:ind w:left="5760" w:hanging="360"/>
      </w:pPr>
      <w:rPr>
        <w:rFonts w:ascii="Symbol" w:hAnsi="Symbol" w:hint="default"/>
      </w:rPr>
    </w:lvl>
    <w:lvl w:ilvl="8" w:tplc="3FF63AE4" w:tentative="1">
      <w:start w:val="1"/>
      <w:numFmt w:val="bullet"/>
      <w:lvlText w:val=""/>
      <w:lvlJc w:val="left"/>
      <w:pPr>
        <w:tabs>
          <w:tab w:val="num" w:pos="6480"/>
        </w:tabs>
        <w:ind w:left="6480" w:hanging="360"/>
      </w:pPr>
      <w:rPr>
        <w:rFonts w:ascii="Symbol" w:hAnsi="Symbol" w:hint="default"/>
      </w:rPr>
    </w:lvl>
  </w:abstractNum>
  <w:abstractNum w:abstractNumId="41" w15:restartNumberingAfterBreak="0">
    <w:nsid w:val="1F0957BC"/>
    <w:multiLevelType w:val="hybridMultilevel"/>
    <w:tmpl w:val="0F56C5D8"/>
    <w:lvl w:ilvl="0" w:tplc="91BE940A">
      <w:start w:val="1"/>
      <w:numFmt w:val="bullet"/>
      <w:lvlText w:val=""/>
      <w:lvlPicBulletId w:val="1"/>
      <w:lvlJc w:val="left"/>
      <w:pPr>
        <w:tabs>
          <w:tab w:val="num" w:pos="720"/>
        </w:tabs>
        <w:ind w:left="720" w:hanging="360"/>
      </w:pPr>
      <w:rPr>
        <w:rFonts w:ascii="Symbol" w:hAnsi="Symbol" w:hint="default"/>
      </w:rPr>
    </w:lvl>
    <w:lvl w:ilvl="1" w:tplc="D79E58D2" w:tentative="1">
      <w:start w:val="1"/>
      <w:numFmt w:val="bullet"/>
      <w:lvlText w:val=""/>
      <w:lvlJc w:val="left"/>
      <w:pPr>
        <w:tabs>
          <w:tab w:val="num" w:pos="1440"/>
        </w:tabs>
        <w:ind w:left="1440" w:hanging="360"/>
      </w:pPr>
      <w:rPr>
        <w:rFonts w:ascii="Symbol" w:hAnsi="Symbol" w:hint="default"/>
      </w:rPr>
    </w:lvl>
    <w:lvl w:ilvl="2" w:tplc="F6920AE8" w:tentative="1">
      <w:start w:val="1"/>
      <w:numFmt w:val="bullet"/>
      <w:lvlText w:val=""/>
      <w:lvlJc w:val="left"/>
      <w:pPr>
        <w:tabs>
          <w:tab w:val="num" w:pos="2160"/>
        </w:tabs>
        <w:ind w:left="2160" w:hanging="360"/>
      </w:pPr>
      <w:rPr>
        <w:rFonts w:ascii="Symbol" w:hAnsi="Symbol" w:hint="default"/>
      </w:rPr>
    </w:lvl>
    <w:lvl w:ilvl="3" w:tplc="DDE2A4E8" w:tentative="1">
      <w:start w:val="1"/>
      <w:numFmt w:val="bullet"/>
      <w:lvlText w:val=""/>
      <w:lvlJc w:val="left"/>
      <w:pPr>
        <w:tabs>
          <w:tab w:val="num" w:pos="2880"/>
        </w:tabs>
        <w:ind w:left="2880" w:hanging="360"/>
      </w:pPr>
      <w:rPr>
        <w:rFonts w:ascii="Symbol" w:hAnsi="Symbol" w:hint="default"/>
      </w:rPr>
    </w:lvl>
    <w:lvl w:ilvl="4" w:tplc="EEA869F2" w:tentative="1">
      <w:start w:val="1"/>
      <w:numFmt w:val="bullet"/>
      <w:lvlText w:val=""/>
      <w:lvlJc w:val="left"/>
      <w:pPr>
        <w:tabs>
          <w:tab w:val="num" w:pos="3600"/>
        </w:tabs>
        <w:ind w:left="3600" w:hanging="360"/>
      </w:pPr>
      <w:rPr>
        <w:rFonts w:ascii="Symbol" w:hAnsi="Symbol" w:hint="default"/>
      </w:rPr>
    </w:lvl>
    <w:lvl w:ilvl="5" w:tplc="BED8E53A" w:tentative="1">
      <w:start w:val="1"/>
      <w:numFmt w:val="bullet"/>
      <w:lvlText w:val=""/>
      <w:lvlJc w:val="left"/>
      <w:pPr>
        <w:tabs>
          <w:tab w:val="num" w:pos="4320"/>
        </w:tabs>
        <w:ind w:left="4320" w:hanging="360"/>
      </w:pPr>
      <w:rPr>
        <w:rFonts w:ascii="Symbol" w:hAnsi="Symbol" w:hint="default"/>
      </w:rPr>
    </w:lvl>
    <w:lvl w:ilvl="6" w:tplc="766A1D78" w:tentative="1">
      <w:start w:val="1"/>
      <w:numFmt w:val="bullet"/>
      <w:lvlText w:val=""/>
      <w:lvlJc w:val="left"/>
      <w:pPr>
        <w:tabs>
          <w:tab w:val="num" w:pos="5040"/>
        </w:tabs>
        <w:ind w:left="5040" w:hanging="360"/>
      </w:pPr>
      <w:rPr>
        <w:rFonts w:ascii="Symbol" w:hAnsi="Symbol" w:hint="default"/>
      </w:rPr>
    </w:lvl>
    <w:lvl w:ilvl="7" w:tplc="F8A2FDF4" w:tentative="1">
      <w:start w:val="1"/>
      <w:numFmt w:val="bullet"/>
      <w:lvlText w:val=""/>
      <w:lvlJc w:val="left"/>
      <w:pPr>
        <w:tabs>
          <w:tab w:val="num" w:pos="5760"/>
        </w:tabs>
        <w:ind w:left="5760" w:hanging="360"/>
      </w:pPr>
      <w:rPr>
        <w:rFonts w:ascii="Symbol" w:hAnsi="Symbol" w:hint="default"/>
      </w:rPr>
    </w:lvl>
    <w:lvl w:ilvl="8" w:tplc="1DD271AE" w:tentative="1">
      <w:start w:val="1"/>
      <w:numFmt w:val="bullet"/>
      <w:lvlText w:val=""/>
      <w:lvlJc w:val="left"/>
      <w:pPr>
        <w:tabs>
          <w:tab w:val="num" w:pos="6480"/>
        </w:tabs>
        <w:ind w:left="6480" w:hanging="360"/>
      </w:pPr>
      <w:rPr>
        <w:rFonts w:ascii="Symbol" w:hAnsi="Symbol" w:hint="default"/>
      </w:rPr>
    </w:lvl>
  </w:abstractNum>
  <w:abstractNum w:abstractNumId="42" w15:restartNumberingAfterBreak="0">
    <w:nsid w:val="1FA415CB"/>
    <w:multiLevelType w:val="hybridMultilevel"/>
    <w:tmpl w:val="9E78EA12"/>
    <w:lvl w:ilvl="0" w:tplc="4976AA08">
      <w:start w:val="1"/>
      <w:numFmt w:val="bullet"/>
      <w:lvlText w:val=""/>
      <w:lvlPicBulletId w:val="1"/>
      <w:lvlJc w:val="left"/>
      <w:pPr>
        <w:tabs>
          <w:tab w:val="num" w:pos="720"/>
        </w:tabs>
        <w:ind w:left="720" w:hanging="360"/>
      </w:pPr>
      <w:rPr>
        <w:rFonts w:ascii="Symbol" w:hAnsi="Symbol" w:hint="default"/>
      </w:rPr>
    </w:lvl>
    <w:lvl w:ilvl="1" w:tplc="A8EE64BA" w:tentative="1">
      <w:start w:val="1"/>
      <w:numFmt w:val="bullet"/>
      <w:lvlText w:val=""/>
      <w:lvlJc w:val="left"/>
      <w:pPr>
        <w:tabs>
          <w:tab w:val="num" w:pos="1440"/>
        </w:tabs>
        <w:ind w:left="1440" w:hanging="360"/>
      </w:pPr>
      <w:rPr>
        <w:rFonts w:ascii="Symbol" w:hAnsi="Symbol" w:hint="default"/>
      </w:rPr>
    </w:lvl>
    <w:lvl w:ilvl="2" w:tplc="AB0A5338" w:tentative="1">
      <w:start w:val="1"/>
      <w:numFmt w:val="bullet"/>
      <w:lvlText w:val=""/>
      <w:lvlJc w:val="left"/>
      <w:pPr>
        <w:tabs>
          <w:tab w:val="num" w:pos="2160"/>
        </w:tabs>
        <w:ind w:left="2160" w:hanging="360"/>
      </w:pPr>
      <w:rPr>
        <w:rFonts w:ascii="Symbol" w:hAnsi="Symbol" w:hint="default"/>
      </w:rPr>
    </w:lvl>
    <w:lvl w:ilvl="3" w:tplc="FA2E841E" w:tentative="1">
      <w:start w:val="1"/>
      <w:numFmt w:val="bullet"/>
      <w:lvlText w:val=""/>
      <w:lvlJc w:val="left"/>
      <w:pPr>
        <w:tabs>
          <w:tab w:val="num" w:pos="2880"/>
        </w:tabs>
        <w:ind w:left="2880" w:hanging="360"/>
      </w:pPr>
      <w:rPr>
        <w:rFonts w:ascii="Symbol" w:hAnsi="Symbol" w:hint="default"/>
      </w:rPr>
    </w:lvl>
    <w:lvl w:ilvl="4" w:tplc="01B26764" w:tentative="1">
      <w:start w:val="1"/>
      <w:numFmt w:val="bullet"/>
      <w:lvlText w:val=""/>
      <w:lvlJc w:val="left"/>
      <w:pPr>
        <w:tabs>
          <w:tab w:val="num" w:pos="3600"/>
        </w:tabs>
        <w:ind w:left="3600" w:hanging="360"/>
      </w:pPr>
      <w:rPr>
        <w:rFonts w:ascii="Symbol" w:hAnsi="Symbol" w:hint="default"/>
      </w:rPr>
    </w:lvl>
    <w:lvl w:ilvl="5" w:tplc="FD0EB20A" w:tentative="1">
      <w:start w:val="1"/>
      <w:numFmt w:val="bullet"/>
      <w:lvlText w:val=""/>
      <w:lvlJc w:val="left"/>
      <w:pPr>
        <w:tabs>
          <w:tab w:val="num" w:pos="4320"/>
        </w:tabs>
        <w:ind w:left="4320" w:hanging="360"/>
      </w:pPr>
      <w:rPr>
        <w:rFonts w:ascii="Symbol" w:hAnsi="Symbol" w:hint="default"/>
      </w:rPr>
    </w:lvl>
    <w:lvl w:ilvl="6" w:tplc="BE64B108" w:tentative="1">
      <w:start w:val="1"/>
      <w:numFmt w:val="bullet"/>
      <w:lvlText w:val=""/>
      <w:lvlJc w:val="left"/>
      <w:pPr>
        <w:tabs>
          <w:tab w:val="num" w:pos="5040"/>
        </w:tabs>
        <w:ind w:left="5040" w:hanging="360"/>
      </w:pPr>
      <w:rPr>
        <w:rFonts w:ascii="Symbol" w:hAnsi="Symbol" w:hint="default"/>
      </w:rPr>
    </w:lvl>
    <w:lvl w:ilvl="7" w:tplc="285C98D6" w:tentative="1">
      <w:start w:val="1"/>
      <w:numFmt w:val="bullet"/>
      <w:lvlText w:val=""/>
      <w:lvlJc w:val="left"/>
      <w:pPr>
        <w:tabs>
          <w:tab w:val="num" w:pos="5760"/>
        </w:tabs>
        <w:ind w:left="5760" w:hanging="360"/>
      </w:pPr>
      <w:rPr>
        <w:rFonts w:ascii="Symbol" w:hAnsi="Symbol" w:hint="default"/>
      </w:rPr>
    </w:lvl>
    <w:lvl w:ilvl="8" w:tplc="E5DCDCA0" w:tentative="1">
      <w:start w:val="1"/>
      <w:numFmt w:val="bullet"/>
      <w:lvlText w:val=""/>
      <w:lvlJc w:val="left"/>
      <w:pPr>
        <w:tabs>
          <w:tab w:val="num" w:pos="6480"/>
        </w:tabs>
        <w:ind w:left="6480" w:hanging="360"/>
      </w:pPr>
      <w:rPr>
        <w:rFonts w:ascii="Symbol" w:hAnsi="Symbol" w:hint="default"/>
      </w:rPr>
    </w:lvl>
  </w:abstractNum>
  <w:abstractNum w:abstractNumId="43" w15:restartNumberingAfterBreak="0">
    <w:nsid w:val="1FEC502E"/>
    <w:multiLevelType w:val="hybridMultilevel"/>
    <w:tmpl w:val="77BCD3A0"/>
    <w:lvl w:ilvl="0" w:tplc="3B546040">
      <w:start w:val="1"/>
      <w:numFmt w:val="bullet"/>
      <w:lvlText w:val=""/>
      <w:lvlPicBulletId w:val="1"/>
      <w:lvlJc w:val="left"/>
      <w:pPr>
        <w:tabs>
          <w:tab w:val="num" w:pos="720"/>
        </w:tabs>
        <w:ind w:left="720" w:hanging="360"/>
      </w:pPr>
      <w:rPr>
        <w:rFonts w:ascii="Symbol" w:hAnsi="Symbol" w:hint="default"/>
      </w:rPr>
    </w:lvl>
    <w:lvl w:ilvl="1" w:tplc="D29C5A2E" w:tentative="1">
      <w:start w:val="1"/>
      <w:numFmt w:val="bullet"/>
      <w:lvlText w:val=""/>
      <w:lvlJc w:val="left"/>
      <w:pPr>
        <w:tabs>
          <w:tab w:val="num" w:pos="1440"/>
        </w:tabs>
        <w:ind w:left="1440" w:hanging="360"/>
      </w:pPr>
      <w:rPr>
        <w:rFonts w:ascii="Symbol" w:hAnsi="Symbol" w:hint="default"/>
      </w:rPr>
    </w:lvl>
    <w:lvl w:ilvl="2" w:tplc="2B907DAE" w:tentative="1">
      <w:start w:val="1"/>
      <w:numFmt w:val="bullet"/>
      <w:lvlText w:val=""/>
      <w:lvlJc w:val="left"/>
      <w:pPr>
        <w:tabs>
          <w:tab w:val="num" w:pos="2160"/>
        </w:tabs>
        <w:ind w:left="2160" w:hanging="360"/>
      </w:pPr>
      <w:rPr>
        <w:rFonts w:ascii="Symbol" w:hAnsi="Symbol" w:hint="default"/>
      </w:rPr>
    </w:lvl>
    <w:lvl w:ilvl="3" w:tplc="E4FE9FEC" w:tentative="1">
      <w:start w:val="1"/>
      <w:numFmt w:val="bullet"/>
      <w:lvlText w:val=""/>
      <w:lvlJc w:val="left"/>
      <w:pPr>
        <w:tabs>
          <w:tab w:val="num" w:pos="2880"/>
        </w:tabs>
        <w:ind w:left="2880" w:hanging="360"/>
      </w:pPr>
      <w:rPr>
        <w:rFonts w:ascii="Symbol" w:hAnsi="Symbol" w:hint="default"/>
      </w:rPr>
    </w:lvl>
    <w:lvl w:ilvl="4" w:tplc="B30A3966" w:tentative="1">
      <w:start w:val="1"/>
      <w:numFmt w:val="bullet"/>
      <w:lvlText w:val=""/>
      <w:lvlJc w:val="left"/>
      <w:pPr>
        <w:tabs>
          <w:tab w:val="num" w:pos="3600"/>
        </w:tabs>
        <w:ind w:left="3600" w:hanging="360"/>
      </w:pPr>
      <w:rPr>
        <w:rFonts w:ascii="Symbol" w:hAnsi="Symbol" w:hint="default"/>
      </w:rPr>
    </w:lvl>
    <w:lvl w:ilvl="5" w:tplc="4FE8DFBA" w:tentative="1">
      <w:start w:val="1"/>
      <w:numFmt w:val="bullet"/>
      <w:lvlText w:val=""/>
      <w:lvlJc w:val="left"/>
      <w:pPr>
        <w:tabs>
          <w:tab w:val="num" w:pos="4320"/>
        </w:tabs>
        <w:ind w:left="4320" w:hanging="360"/>
      </w:pPr>
      <w:rPr>
        <w:rFonts w:ascii="Symbol" w:hAnsi="Symbol" w:hint="default"/>
      </w:rPr>
    </w:lvl>
    <w:lvl w:ilvl="6" w:tplc="782CC7F2" w:tentative="1">
      <w:start w:val="1"/>
      <w:numFmt w:val="bullet"/>
      <w:lvlText w:val=""/>
      <w:lvlJc w:val="left"/>
      <w:pPr>
        <w:tabs>
          <w:tab w:val="num" w:pos="5040"/>
        </w:tabs>
        <w:ind w:left="5040" w:hanging="360"/>
      </w:pPr>
      <w:rPr>
        <w:rFonts w:ascii="Symbol" w:hAnsi="Symbol" w:hint="default"/>
      </w:rPr>
    </w:lvl>
    <w:lvl w:ilvl="7" w:tplc="190416DE" w:tentative="1">
      <w:start w:val="1"/>
      <w:numFmt w:val="bullet"/>
      <w:lvlText w:val=""/>
      <w:lvlJc w:val="left"/>
      <w:pPr>
        <w:tabs>
          <w:tab w:val="num" w:pos="5760"/>
        </w:tabs>
        <w:ind w:left="5760" w:hanging="360"/>
      </w:pPr>
      <w:rPr>
        <w:rFonts w:ascii="Symbol" w:hAnsi="Symbol" w:hint="default"/>
      </w:rPr>
    </w:lvl>
    <w:lvl w:ilvl="8" w:tplc="C1F6817C" w:tentative="1">
      <w:start w:val="1"/>
      <w:numFmt w:val="bullet"/>
      <w:lvlText w:val=""/>
      <w:lvlJc w:val="left"/>
      <w:pPr>
        <w:tabs>
          <w:tab w:val="num" w:pos="6480"/>
        </w:tabs>
        <w:ind w:left="6480" w:hanging="360"/>
      </w:pPr>
      <w:rPr>
        <w:rFonts w:ascii="Symbol" w:hAnsi="Symbol" w:hint="default"/>
      </w:rPr>
    </w:lvl>
  </w:abstractNum>
  <w:abstractNum w:abstractNumId="44" w15:restartNumberingAfterBreak="0">
    <w:nsid w:val="20337540"/>
    <w:multiLevelType w:val="hybridMultilevel"/>
    <w:tmpl w:val="D8C244BE"/>
    <w:lvl w:ilvl="0" w:tplc="8B26B774">
      <w:start w:val="1"/>
      <w:numFmt w:val="bullet"/>
      <w:lvlText w:val=""/>
      <w:lvlPicBulletId w:val="1"/>
      <w:lvlJc w:val="left"/>
      <w:pPr>
        <w:tabs>
          <w:tab w:val="num" w:pos="720"/>
        </w:tabs>
        <w:ind w:left="720" w:hanging="360"/>
      </w:pPr>
      <w:rPr>
        <w:rFonts w:ascii="Symbol" w:hAnsi="Symbol" w:hint="default"/>
      </w:rPr>
    </w:lvl>
    <w:lvl w:ilvl="1" w:tplc="6204B2BE" w:tentative="1">
      <w:start w:val="1"/>
      <w:numFmt w:val="bullet"/>
      <w:lvlText w:val=""/>
      <w:lvlJc w:val="left"/>
      <w:pPr>
        <w:tabs>
          <w:tab w:val="num" w:pos="1440"/>
        </w:tabs>
        <w:ind w:left="1440" w:hanging="360"/>
      </w:pPr>
      <w:rPr>
        <w:rFonts w:ascii="Symbol" w:hAnsi="Symbol" w:hint="default"/>
      </w:rPr>
    </w:lvl>
    <w:lvl w:ilvl="2" w:tplc="A64431BA" w:tentative="1">
      <w:start w:val="1"/>
      <w:numFmt w:val="bullet"/>
      <w:lvlText w:val=""/>
      <w:lvlJc w:val="left"/>
      <w:pPr>
        <w:tabs>
          <w:tab w:val="num" w:pos="2160"/>
        </w:tabs>
        <w:ind w:left="2160" w:hanging="360"/>
      </w:pPr>
      <w:rPr>
        <w:rFonts w:ascii="Symbol" w:hAnsi="Symbol" w:hint="default"/>
      </w:rPr>
    </w:lvl>
    <w:lvl w:ilvl="3" w:tplc="FB9879F6" w:tentative="1">
      <w:start w:val="1"/>
      <w:numFmt w:val="bullet"/>
      <w:lvlText w:val=""/>
      <w:lvlJc w:val="left"/>
      <w:pPr>
        <w:tabs>
          <w:tab w:val="num" w:pos="2880"/>
        </w:tabs>
        <w:ind w:left="2880" w:hanging="360"/>
      </w:pPr>
      <w:rPr>
        <w:rFonts w:ascii="Symbol" w:hAnsi="Symbol" w:hint="default"/>
      </w:rPr>
    </w:lvl>
    <w:lvl w:ilvl="4" w:tplc="3D7E825A" w:tentative="1">
      <w:start w:val="1"/>
      <w:numFmt w:val="bullet"/>
      <w:lvlText w:val=""/>
      <w:lvlJc w:val="left"/>
      <w:pPr>
        <w:tabs>
          <w:tab w:val="num" w:pos="3600"/>
        </w:tabs>
        <w:ind w:left="3600" w:hanging="360"/>
      </w:pPr>
      <w:rPr>
        <w:rFonts w:ascii="Symbol" w:hAnsi="Symbol" w:hint="default"/>
      </w:rPr>
    </w:lvl>
    <w:lvl w:ilvl="5" w:tplc="514419B0" w:tentative="1">
      <w:start w:val="1"/>
      <w:numFmt w:val="bullet"/>
      <w:lvlText w:val=""/>
      <w:lvlJc w:val="left"/>
      <w:pPr>
        <w:tabs>
          <w:tab w:val="num" w:pos="4320"/>
        </w:tabs>
        <w:ind w:left="4320" w:hanging="360"/>
      </w:pPr>
      <w:rPr>
        <w:rFonts w:ascii="Symbol" w:hAnsi="Symbol" w:hint="default"/>
      </w:rPr>
    </w:lvl>
    <w:lvl w:ilvl="6" w:tplc="F70E906A" w:tentative="1">
      <w:start w:val="1"/>
      <w:numFmt w:val="bullet"/>
      <w:lvlText w:val=""/>
      <w:lvlJc w:val="left"/>
      <w:pPr>
        <w:tabs>
          <w:tab w:val="num" w:pos="5040"/>
        </w:tabs>
        <w:ind w:left="5040" w:hanging="360"/>
      </w:pPr>
      <w:rPr>
        <w:rFonts w:ascii="Symbol" w:hAnsi="Symbol" w:hint="default"/>
      </w:rPr>
    </w:lvl>
    <w:lvl w:ilvl="7" w:tplc="9B28BF24" w:tentative="1">
      <w:start w:val="1"/>
      <w:numFmt w:val="bullet"/>
      <w:lvlText w:val=""/>
      <w:lvlJc w:val="left"/>
      <w:pPr>
        <w:tabs>
          <w:tab w:val="num" w:pos="5760"/>
        </w:tabs>
        <w:ind w:left="5760" w:hanging="360"/>
      </w:pPr>
      <w:rPr>
        <w:rFonts w:ascii="Symbol" w:hAnsi="Symbol" w:hint="default"/>
      </w:rPr>
    </w:lvl>
    <w:lvl w:ilvl="8" w:tplc="77BAA4D8" w:tentative="1">
      <w:start w:val="1"/>
      <w:numFmt w:val="bullet"/>
      <w:lvlText w:val=""/>
      <w:lvlJc w:val="left"/>
      <w:pPr>
        <w:tabs>
          <w:tab w:val="num" w:pos="6480"/>
        </w:tabs>
        <w:ind w:left="6480" w:hanging="360"/>
      </w:pPr>
      <w:rPr>
        <w:rFonts w:ascii="Symbol" w:hAnsi="Symbol" w:hint="default"/>
      </w:rPr>
    </w:lvl>
  </w:abstractNum>
  <w:abstractNum w:abstractNumId="45" w15:restartNumberingAfterBreak="0">
    <w:nsid w:val="20B85FF1"/>
    <w:multiLevelType w:val="hybridMultilevel"/>
    <w:tmpl w:val="BA247A8E"/>
    <w:lvl w:ilvl="0" w:tplc="29646AD6">
      <w:start w:val="1"/>
      <w:numFmt w:val="bullet"/>
      <w:lvlText w:val=""/>
      <w:lvlPicBulletId w:val="1"/>
      <w:lvlJc w:val="left"/>
      <w:pPr>
        <w:tabs>
          <w:tab w:val="num" w:pos="720"/>
        </w:tabs>
        <w:ind w:left="720" w:hanging="360"/>
      </w:pPr>
      <w:rPr>
        <w:rFonts w:ascii="Symbol" w:hAnsi="Symbol" w:hint="default"/>
      </w:rPr>
    </w:lvl>
    <w:lvl w:ilvl="1" w:tplc="287680CA" w:tentative="1">
      <w:start w:val="1"/>
      <w:numFmt w:val="bullet"/>
      <w:lvlText w:val=""/>
      <w:lvlJc w:val="left"/>
      <w:pPr>
        <w:tabs>
          <w:tab w:val="num" w:pos="1440"/>
        </w:tabs>
        <w:ind w:left="1440" w:hanging="360"/>
      </w:pPr>
      <w:rPr>
        <w:rFonts w:ascii="Symbol" w:hAnsi="Symbol" w:hint="default"/>
      </w:rPr>
    </w:lvl>
    <w:lvl w:ilvl="2" w:tplc="35FEBCCE" w:tentative="1">
      <w:start w:val="1"/>
      <w:numFmt w:val="bullet"/>
      <w:lvlText w:val=""/>
      <w:lvlJc w:val="left"/>
      <w:pPr>
        <w:tabs>
          <w:tab w:val="num" w:pos="2160"/>
        </w:tabs>
        <w:ind w:left="2160" w:hanging="360"/>
      </w:pPr>
      <w:rPr>
        <w:rFonts w:ascii="Symbol" w:hAnsi="Symbol" w:hint="default"/>
      </w:rPr>
    </w:lvl>
    <w:lvl w:ilvl="3" w:tplc="C532A71C" w:tentative="1">
      <w:start w:val="1"/>
      <w:numFmt w:val="bullet"/>
      <w:lvlText w:val=""/>
      <w:lvlJc w:val="left"/>
      <w:pPr>
        <w:tabs>
          <w:tab w:val="num" w:pos="2880"/>
        </w:tabs>
        <w:ind w:left="2880" w:hanging="360"/>
      </w:pPr>
      <w:rPr>
        <w:rFonts w:ascii="Symbol" w:hAnsi="Symbol" w:hint="default"/>
      </w:rPr>
    </w:lvl>
    <w:lvl w:ilvl="4" w:tplc="79FC235A" w:tentative="1">
      <w:start w:val="1"/>
      <w:numFmt w:val="bullet"/>
      <w:lvlText w:val=""/>
      <w:lvlJc w:val="left"/>
      <w:pPr>
        <w:tabs>
          <w:tab w:val="num" w:pos="3600"/>
        </w:tabs>
        <w:ind w:left="3600" w:hanging="360"/>
      </w:pPr>
      <w:rPr>
        <w:rFonts w:ascii="Symbol" w:hAnsi="Symbol" w:hint="default"/>
      </w:rPr>
    </w:lvl>
    <w:lvl w:ilvl="5" w:tplc="74AC849A" w:tentative="1">
      <w:start w:val="1"/>
      <w:numFmt w:val="bullet"/>
      <w:lvlText w:val=""/>
      <w:lvlJc w:val="left"/>
      <w:pPr>
        <w:tabs>
          <w:tab w:val="num" w:pos="4320"/>
        </w:tabs>
        <w:ind w:left="4320" w:hanging="360"/>
      </w:pPr>
      <w:rPr>
        <w:rFonts w:ascii="Symbol" w:hAnsi="Symbol" w:hint="default"/>
      </w:rPr>
    </w:lvl>
    <w:lvl w:ilvl="6" w:tplc="83469FF2" w:tentative="1">
      <w:start w:val="1"/>
      <w:numFmt w:val="bullet"/>
      <w:lvlText w:val=""/>
      <w:lvlJc w:val="left"/>
      <w:pPr>
        <w:tabs>
          <w:tab w:val="num" w:pos="5040"/>
        </w:tabs>
        <w:ind w:left="5040" w:hanging="360"/>
      </w:pPr>
      <w:rPr>
        <w:rFonts w:ascii="Symbol" w:hAnsi="Symbol" w:hint="default"/>
      </w:rPr>
    </w:lvl>
    <w:lvl w:ilvl="7" w:tplc="B1C21672" w:tentative="1">
      <w:start w:val="1"/>
      <w:numFmt w:val="bullet"/>
      <w:lvlText w:val=""/>
      <w:lvlJc w:val="left"/>
      <w:pPr>
        <w:tabs>
          <w:tab w:val="num" w:pos="5760"/>
        </w:tabs>
        <w:ind w:left="5760" w:hanging="360"/>
      </w:pPr>
      <w:rPr>
        <w:rFonts w:ascii="Symbol" w:hAnsi="Symbol" w:hint="default"/>
      </w:rPr>
    </w:lvl>
    <w:lvl w:ilvl="8" w:tplc="86304BA4" w:tentative="1">
      <w:start w:val="1"/>
      <w:numFmt w:val="bullet"/>
      <w:lvlText w:val=""/>
      <w:lvlJc w:val="left"/>
      <w:pPr>
        <w:tabs>
          <w:tab w:val="num" w:pos="6480"/>
        </w:tabs>
        <w:ind w:left="6480" w:hanging="360"/>
      </w:pPr>
      <w:rPr>
        <w:rFonts w:ascii="Symbol" w:hAnsi="Symbol" w:hint="default"/>
      </w:rPr>
    </w:lvl>
  </w:abstractNum>
  <w:abstractNum w:abstractNumId="46" w15:restartNumberingAfterBreak="0">
    <w:nsid w:val="217133DA"/>
    <w:multiLevelType w:val="hybridMultilevel"/>
    <w:tmpl w:val="02A6DB5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7" w15:restartNumberingAfterBreak="0">
    <w:nsid w:val="21894241"/>
    <w:multiLevelType w:val="hybridMultilevel"/>
    <w:tmpl w:val="10AE569E"/>
    <w:lvl w:ilvl="0" w:tplc="7E1A12FC">
      <w:start w:val="1"/>
      <w:numFmt w:val="bullet"/>
      <w:lvlText w:val=""/>
      <w:lvlPicBulletId w:val="1"/>
      <w:lvlJc w:val="left"/>
      <w:pPr>
        <w:tabs>
          <w:tab w:val="num" w:pos="720"/>
        </w:tabs>
        <w:ind w:left="720" w:hanging="360"/>
      </w:pPr>
      <w:rPr>
        <w:rFonts w:ascii="Symbol" w:hAnsi="Symbol" w:hint="default"/>
      </w:rPr>
    </w:lvl>
    <w:lvl w:ilvl="1" w:tplc="C8EE0B6E" w:tentative="1">
      <w:start w:val="1"/>
      <w:numFmt w:val="bullet"/>
      <w:lvlText w:val=""/>
      <w:lvlJc w:val="left"/>
      <w:pPr>
        <w:tabs>
          <w:tab w:val="num" w:pos="1440"/>
        </w:tabs>
        <w:ind w:left="1440" w:hanging="360"/>
      </w:pPr>
      <w:rPr>
        <w:rFonts w:ascii="Symbol" w:hAnsi="Symbol" w:hint="default"/>
      </w:rPr>
    </w:lvl>
    <w:lvl w:ilvl="2" w:tplc="F77023D2" w:tentative="1">
      <w:start w:val="1"/>
      <w:numFmt w:val="bullet"/>
      <w:lvlText w:val=""/>
      <w:lvlJc w:val="left"/>
      <w:pPr>
        <w:tabs>
          <w:tab w:val="num" w:pos="2160"/>
        </w:tabs>
        <w:ind w:left="2160" w:hanging="360"/>
      </w:pPr>
      <w:rPr>
        <w:rFonts w:ascii="Symbol" w:hAnsi="Symbol" w:hint="default"/>
      </w:rPr>
    </w:lvl>
    <w:lvl w:ilvl="3" w:tplc="92680724" w:tentative="1">
      <w:start w:val="1"/>
      <w:numFmt w:val="bullet"/>
      <w:lvlText w:val=""/>
      <w:lvlJc w:val="left"/>
      <w:pPr>
        <w:tabs>
          <w:tab w:val="num" w:pos="2880"/>
        </w:tabs>
        <w:ind w:left="2880" w:hanging="360"/>
      </w:pPr>
      <w:rPr>
        <w:rFonts w:ascii="Symbol" w:hAnsi="Symbol" w:hint="default"/>
      </w:rPr>
    </w:lvl>
    <w:lvl w:ilvl="4" w:tplc="2B885A54" w:tentative="1">
      <w:start w:val="1"/>
      <w:numFmt w:val="bullet"/>
      <w:lvlText w:val=""/>
      <w:lvlJc w:val="left"/>
      <w:pPr>
        <w:tabs>
          <w:tab w:val="num" w:pos="3600"/>
        </w:tabs>
        <w:ind w:left="3600" w:hanging="360"/>
      </w:pPr>
      <w:rPr>
        <w:rFonts w:ascii="Symbol" w:hAnsi="Symbol" w:hint="default"/>
      </w:rPr>
    </w:lvl>
    <w:lvl w:ilvl="5" w:tplc="CB588A96" w:tentative="1">
      <w:start w:val="1"/>
      <w:numFmt w:val="bullet"/>
      <w:lvlText w:val=""/>
      <w:lvlJc w:val="left"/>
      <w:pPr>
        <w:tabs>
          <w:tab w:val="num" w:pos="4320"/>
        </w:tabs>
        <w:ind w:left="4320" w:hanging="360"/>
      </w:pPr>
      <w:rPr>
        <w:rFonts w:ascii="Symbol" w:hAnsi="Symbol" w:hint="default"/>
      </w:rPr>
    </w:lvl>
    <w:lvl w:ilvl="6" w:tplc="FF0404BA" w:tentative="1">
      <w:start w:val="1"/>
      <w:numFmt w:val="bullet"/>
      <w:lvlText w:val=""/>
      <w:lvlJc w:val="left"/>
      <w:pPr>
        <w:tabs>
          <w:tab w:val="num" w:pos="5040"/>
        </w:tabs>
        <w:ind w:left="5040" w:hanging="360"/>
      </w:pPr>
      <w:rPr>
        <w:rFonts w:ascii="Symbol" w:hAnsi="Symbol" w:hint="default"/>
      </w:rPr>
    </w:lvl>
    <w:lvl w:ilvl="7" w:tplc="A1DAC3B8" w:tentative="1">
      <w:start w:val="1"/>
      <w:numFmt w:val="bullet"/>
      <w:lvlText w:val=""/>
      <w:lvlJc w:val="left"/>
      <w:pPr>
        <w:tabs>
          <w:tab w:val="num" w:pos="5760"/>
        </w:tabs>
        <w:ind w:left="5760" w:hanging="360"/>
      </w:pPr>
      <w:rPr>
        <w:rFonts w:ascii="Symbol" w:hAnsi="Symbol" w:hint="default"/>
      </w:rPr>
    </w:lvl>
    <w:lvl w:ilvl="8" w:tplc="E320E798" w:tentative="1">
      <w:start w:val="1"/>
      <w:numFmt w:val="bullet"/>
      <w:lvlText w:val=""/>
      <w:lvlJc w:val="left"/>
      <w:pPr>
        <w:tabs>
          <w:tab w:val="num" w:pos="6480"/>
        </w:tabs>
        <w:ind w:left="6480" w:hanging="360"/>
      </w:pPr>
      <w:rPr>
        <w:rFonts w:ascii="Symbol" w:hAnsi="Symbol" w:hint="default"/>
      </w:rPr>
    </w:lvl>
  </w:abstractNum>
  <w:abstractNum w:abstractNumId="48" w15:restartNumberingAfterBreak="0">
    <w:nsid w:val="22C05A96"/>
    <w:multiLevelType w:val="hybridMultilevel"/>
    <w:tmpl w:val="CE32E20A"/>
    <w:lvl w:ilvl="0" w:tplc="08D2AB58">
      <w:start w:val="1"/>
      <w:numFmt w:val="bullet"/>
      <w:lvlText w:val="&gt;"/>
      <w:lvlJc w:val="left"/>
      <w:pPr>
        <w:ind w:left="1211" w:hanging="360"/>
      </w:pPr>
      <w:rPr>
        <w:rFonts w:ascii="HelveticaNeueLT Std Lt" w:hAnsi="HelveticaNeueLT Std Lt" w:hint="default"/>
        <w:sz w:val="20"/>
      </w:rPr>
    </w:lvl>
    <w:lvl w:ilvl="1" w:tplc="0C090003" w:tentative="1">
      <w:start w:val="1"/>
      <w:numFmt w:val="bullet"/>
      <w:lvlText w:val="o"/>
      <w:lvlJc w:val="left"/>
      <w:pPr>
        <w:ind w:left="1931" w:hanging="360"/>
      </w:pPr>
      <w:rPr>
        <w:rFonts w:ascii="Courier New" w:hAnsi="Courier New" w:cs="Courier New" w:hint="default"/>
      </w:rPr>
    </w:lvl>
    <w:lvl w:ilvl="2" w:tplc="0C090005" w:tentative="1">
      <w:start w:val="1"/>
      <w:numFmt w:val="bullet"/>
      <w:lvlText w:val=""/>
      <w:lvlJc w:val="left"/>
      <w:pPr>
        <w:ind w:left="2651" w:hanging="360"/>
      </w:pPr>
      <w:rPr>
        <w:rFonts w:ascii="Wingdings" w:hAnsi="Wingdings" w:hint="default"/>
      </w:rPr>
    </w:lvl>
    <w:lvl w:ilvl="3" w:tplc="0C090001" w:tentative="1">
      <w:start w:val="1"/>
      <w:numFmt w:val="bullet"/>
      <w:lvlText w:val=""/>
      <w:lvlJc w:val="left"/>
      <w:pPr>
        <w:ind w:left="3371" w:hanging="360"/>
      </w:pPr>
      <w:rPr>
        <w:rFonts w:ascii="Symbol" w:hAnsi="Symbol" w:hint="default"/>
      </w:rPr>
    </w:lvl>
    <w:lvl w:ilvl="4" w:tplc="0C090003" w:tentative="1">
      <w:start w:val="1"/>
      <w:numFmt w:val="bullet"/>
      <w:lvlText w:val="o"/>
      <w:lvlJc w:val="left"/>
      <w:pPr>
        <w:ind w:left="4091" w:hanging="360"/>
      </w:pPr>
      <w:rPr>
        <w:rFonts w:ascii="Courier New" w:hAnsi="Courier New" w:cs="Courier New" w:hint="default"/>
      </w:rPr>
    </w:lvl>
    <w:lvl w:ilvl="5" w:tplc="0C090005" w:tentative="1">
      <w:start w:val="1"/>
      <w:numFmt w:val="bullet"/>
      <w:lvlText w:val=""/>
      <w:lvlJc w:val="left"/>
      <w:pPr>
        <w:ind w:left="4811" w:hanging="360"/>
      </w:pPr>
      <w:rPr>
        <w:rFonts w:ascii="Wingdings" w:hAnsi="Wingdings" w:hint="default"/>
      </w:rPr>
    </w:lvl>
    <w:lvl w:ilvl="6" w:tplc="0C090001" w:tentative="1">
      <w:start w:val="1"/>
      <w:numFmt w:val="bullet"/>
      <w:lvlText w:val=""/>
      <w:lvlJc w:val="left"/>
      <w:pPr>
        <w:ind w:left="5531" w:hanging="360"/>
      </w:pPr>
      <w:rPr>
        <w:rFonts w:ascii="Symbol" w:hAnsi="Symbol" w:hint="default"/>
      </w:rPr>
    </w:lvl>
    <w:lvl w:ilvl="7" w:tplc="0C090003" w:tentative="1">
      <w:start w:val="1"/>
      <w:numFmt w:val="bullet"/>
      <w:lvlText w:val="o"/>
      <w:lvlJc w:val="left"/>
      <w:pPr>
        <w:ind w:left="6251" w:hanging="360"/>
      </w:pPr>
      <w:rPr>
        <w:rFonts w:ascii="Courier New" w:hAnsi="Courier New" w:cs="Courier New" w:hint="default"/>
      </w:rPr>
    </w:lvl>
    <w:lvl w:ilvl="8" w:tplc="0C090005" w:tentative="1">
      <w:start w:val="1"/>
      <w:numFmt w:val="bullet"/>
      <w:lvlText w:val=""/>
      <w:lvlJc w:val="left"/>
      <w:pPr>
        <w:ind w:left="6971" w:hanging="360"/>
      </w:pPr>
      <w:rPr>
        <w:rFonts w:ascii="Wingdings" w:hAnsi="Wingdings" w:hint="default"/>
      </w:rPr>
    </w:lvl>
  </w:abstractNum>
  <w:abstractNum w:abstractNumId="49" w15:restartNumberingAfterBreak="0">
    <w:nsid w:val="231F078C"/>
    <w:multiLevelType w:val="hybridMultilevel"/>
    <w:tmpl w:val="6AF82188"/>
    <w:lvl w:ilvl="0" w:tplc="D74C2ECA">
      <w:start w:val="1"/>
      <w:numFmt w:val="bullet"/>
      <w:lvlText w:val=""/>
      <w:lvlPicBulletId w:val="1"/>
      <w:lvlJc w:val="left"/>
      <w:pPr>
        <w:tabs>
          <w:tab w:val="num" w:pos="720"/>
        </w:tabs>
        <w:ind w:left="720" w:hanging="360"/>
      </w:pPr>
      <w:rPr>
        <w:rFonts w:ascii="Symbol" w:hAnsi="Symbol" w:hint="default"/>
      </w:rPr>
    </w:lvl>
    <w:lvl w:ilvl="1" w:tplc="5E2E93A0" w:tentative="1">
      <w:start w:val="1"/>
      <w:numFmt w:val="bullet"/>
      <w:lvlText w:val=""/>
      <w:lvlJc w:val="left"/>
      <w:pPr>
        <w:tabs>
          <w:tab w:val="num" w:pos="1440"/>
        </w:tabs>
        <w:ind w:left="1440" w:hanging="360"/>
      </w:pPr>
      <w:rPr>
        <w:rFonts w:ascii="Symbol" w:hAnsi="Symbol" w:hint="default"/>
      </w:rPr>
    </w:lvl>
    <w:lvl w:ilvl="2" w:tplc="FD4E3A28" w:tentative="1">
      <w:start w:val="1"/>
      <w:numFmt w:val="bullet"/>
      <w:lvlText w:val=""/>
      <w:lvlJc w:val="left"/>
      <w:pPr>
        <w:tabs>
          <w:tab w:val="num" w:pos="2160"/>
        </w:tabs>
        <w:ind w:left="2160" w:hanging="360"/>
      </w:pPr>
      <w:rPr>
        <w:rFonts w:ascii="Symbol" w:hAnsi="Symbol" w:hint="default"/>
      </w:rPr>
    </w:lvl>
    <w:lvl w:ilvl="3" w:tplc="9B94FE1C" w:tentative="1">
      <w:start w:val="1"/>
      <w:numFmt w:val="bullet"/>
      <w:lvlText w:val=""/>
      <w:lvlJc w:val="left"/>
      <w:pPr>
        <w:tabs>
          <w:tab w:val="num" w:pos="2880"/>
        </w:tabs>
        <w:ind w:left="2880" w:hanging="360"/>
      </w:pPr>
      <w:rPr>
        <w:rFonts w:ascii="Symbol" w:hAnsi="Symbol" w:hint="default"/>
      </w:rPr>
    </w:lvl>
    <w:lvl w:ilvl="4" w:tplc="2EA022CC" w:tentative="1">
      <w:start w:val="1"/>
      <w:numFmt w:val="bullet"/>
      <w:lvlText w:val=""/>
      <w:lvlJc w:val="left"/>
      <w:pPr>
        <w:tabs>
          <w:tab w:val="num" w:pos="3600"/>
        </w:tabs>
        <w:ind w:left="3600" w:hanging="360"/>
      </w:pPr>
      <w:rPr>
        <w:rFonts w:ascii="Symbol" w:hAnsi="Symbol" w:hint="default"/>
      </w:rPr>
    </w:lvl>
    <w:lvl w:ilvl="5" w:tplc="7866532C" w:tentative="1">
      <w:start w:val="1"/>
      <w:numFmt w:val="bullet"/>
      <w:lvlText w:val=""/>
      <w:lvlJc w:val="left"/>
      <w:pPr>
        <w:tabs>
          <w:tab w:val="num" w:pos="4320"/>
        </w:tabs>
        <w:ind w:left="4320" w:hanging="360"/>
      </w:pPr>
      <w:rPr>
        <w:rFonts w:ascii="Symbol" w:hAnsi="Symbol" w:hint="default"/>
      </w:rPr>
    </w:lvl>
    <w:lvl w:ilvl="6" w:tplc="182EE440" w:tentative="1">
      <w:start w:val="1"/>
      <w:numFmt w:val="bullet"/>
      <w:lvlText w:val=""/>
      <w:lvlJc w:val="left"/>
      <w:pPr>
        <w:tabs>
          <w:tab w:val="num" w:pos="5040"/>
        </w:tabs>
        <w:ind w:left="5040" w:hanging="360"/>
      </w:pPr>
      <w:rPr>
        <w:rFonts w:ascii="Symbol" w:hAnsi="Symbol" w:hint="default"/>
      </w:rPr>
    </w:lvl>
    <w:lvl w:ilvl="7" w:tplc="FB7433BE" w:tentative="1">
      <w:start w:val="1"/>
      <w:numFmt w:val="bullet"/>
      <w:lvlText w:val=""/>
      <w:lvlJc w:val="left"/>
      <w:pPr>
        <w:tabs>
          <w:tab w:val="num" w:pos="5760"/>
        </w:tabs>
        <w:ind w:left="5760" w:hanging="360"/>
      </w:pPr>
      <w:rPr>
        <w:rFonts w:ascii="Symbol" w:hAnsi="Symbol" w:hint="default"/>
      </w:rPr>
    </w:lvl>
    <w:lvl w:ilvl="8" w:tplc="8DD0E8B8" w:tentative="1">
      <w:start w:val="1"/>
      <w:numFmt w:val="bullet"/>
      <w:lvlText w:val=""/>
      <w:lvlJc w:val="left"/>
      <w:pPr>
        <w:tabs>
          <w:tab w:val="num" w:pos="6480"/>
        </w:tabs>
        <w:ind w:left="6480" w:hanging="360"/>
      </w:pPr>
      <w:rPr>
        <w:rFonts w:ascii="Symbol" w:hAnsi="Symbol" w:hint="default"/>
      </w:rPr>
    </w:lvl>
  </w:abstractNum>
  <w:abstractNum w:abstractNumId="50" w15:restartNumberingAfterBreak="0">
    <w:nsid w:val="235768EA"/>
    <w:multiLevelType w:val="hybridMultilevel"/>
    <w:tmpl w:val="5A4EE660"/>
    <w:lvl w:ilvl="0" w:tplc="33BE7B98">
      <w:start w:val="1"/>
      <w:numFmt w:val="bullet"/>
      <w:lvlText w:val="&gt;"/>
      <w:lvlJc w:val="left"/>
      <w:pPr>
        <w:ind w:left="720" w:hanging="360"/>
      </w:pPr>
      <w:rPr>
        <w:rFonts w:ascii="HelveticaNeueLT Std Lt" w:hAnsi="HelveticaNeueLT Std Lt" w:hint="default"/>
        <w:sz w:val="2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248F4178"/>
    <w:multiLevelType w:val="hybridMultilevel"/>
    <w:tmpl w:val="C068F2BC"/>
    <w:lvl w:ilvl="0" w:tplc="C8B69472">
      <w:start w:val="1"/>
      <w:numFmt w:val="bullet"/>
      <w:lvlText w:val=""/>
      <w:lvlPicBulletId w:val="1"/>
      <w:lvlJc w:val="left"/>
      <w:pPr>
        <w:tabs>
          <w:tab w:val="num" w:pos="720"/>
        </w:tabs>
        <w:ind w:left="720" w:hanging="360"/>
      </w:pPr>
      <w:rPr>
        <w:rFonts w:ascii="Symbol" w:hAnsi="Symbol" w:hint="default"/>
      </w:rPr>
    </w:lvl>
    <w:lvl w:ilvl="1" w:tplc="8680605A" w:tentative="1">
      <w:start w:val="1"/>
      <w:numFmt w:val="bullet"/>
      <w:lvlText w:val=""/>
      <w:lvlJc w:val="left"/>
      <w:pPr>
        <w:tabs>
          <w:tab w:val="num" w:pos="1440"/>
        </w:tabs>
        <w:ind w:left="1440" w:hanging="360"/>
      </w:pPr>
      <w:rPr>
        <w:rFonts w:ascii="Symbol" w:hAnsi="Symbol" w:hint="default"/>
      </w:rPr>
    </w:lvl>
    <w:lvl w:ilvl="2" w:tplc="BF4C5D18" w:tentative="1">
      <w:start w:val="1"/>
      <w:numFmt w:val="bullet"/>
      <w:lvlText w:val=""/>
      <w:lvlJc w:val="left"/>
      <w:pPr>
        <w:tabs>
          <w:tab w:val="num" w:pos="2160"/>
        </w:tabs>
        <w:ind w:left="2160" w:hanging="360"/>
      </w:pPr>
      <w:rPr>
        <w:rFonts w:ascii="Symbol" w:hAnsi="Symbol" w:hint="default"/>
      </w:rPr>
    </w:lvl>
    <w:lvl w:ilvl="3" w:tplc="C2085A9C" w:tentative="1">
      <w:start w:val="1"/>
      <w:numFmt w:val="bullet"/>
      <w:lvlText w:val=""/>
      <w:lvlJc w:val="left"/>
      <w:pPr>
        <w:tabs>
          <w:tab w:val="num" w:pos="2880"/>
        </w:tabs>
        <w:ind w:left="2880" w:hanging="360"/>
      </w:pPr>
      <w:rPr>
        <w:rFonts w:ascii="Symbol" w:hAnsi="Symbol" w:hint="default"/>
      </w:rPr>
    </w:lvl>
    <w:lvl w:ilvl="4" w:tplc="6EB8F83E" w:tentative="1">
      <w:start w:val="1"/>
      <w:numFmt w:val="bullet"/>
      <w:lvlText w:val=""/>
      <w:lvlJc w:val="left"/>
      <w:pPr>
        <w:tabs>
          <w:tab w:val="num" w:pos="3600"/>
        </w:tabs>
        <w:ind w:left="3600" w:hanging="360"/>
      </w:pPr>
      <w:rPr>
        <w:rFonts w:ascii="Symbol" w:hAnsi="Symbol" w:hint="default"/>
      </w:rPr>
    </w:lvl>
    <w:lvl w:ilvl="5" w:tplc="E8604A02" w:tentative="1">
      <w:start w:val="1"/>
      <w:numFmt w:val="bullet"/>
      <w:lvlText w:val=""/>
      <w:lvlJc w:val="left"/>
      <w:pPr>
        <w:tabs>
          <w:tab w:val="num" w:pos="4320"/>
        </w:tabs>
        <w:ind w:left="4320" w:hanging="360"/>
      </w:pPr>
      <w:rPr>
        <w:rFonts w:ascii="Symbol" w:hAnsi="Symbol" w:hint="default"/>
      </w:rPr>
    </w:lvl>
    <w:lvl w:ilvl="6" w:tplc="AB0ECE40" w:tentative="1">
      <w:start w:val="1"/>
      <w:numFmt w:val="bullet"/>
      <w:lvlText w:val=""/>
      <w:lvlJc w:val="left"/>
      <w:pPr>
        <w:tabs>
          <w:tab w:val="num" w:pos="5040"/>
        </w:tabs>
        <w:ind w:left="5040" w:hanging="360"/>
      </w:pPr>
      <w:rPr>
        <w:rFonts w:ascii="Symbol" w:hAnsi="Symbol" w:hint="default"/>
      </w:rPr>
    </w:lvl>
    <w:lvl w:ilvl="7" w:tplc="14E29910" w:tentative="1">
      <w:start w:val="1"/>
      <w:numFmt w:val="bullet"/>
      <w:lvlText w:val=""/>
      <w:lvlJc w:val="left"/>
      <w:pPr>
        <w:tabs>
          <w:tab w:val="num" w:pos="5760"/>
        </w:tabs>
        <w:ind w:left="5760" w:hanging="360"/>
      </w:pPr>
      <w:rPr>
        <w:rFonts w:ascii="Symbol" w:hAnsi="Symbol" w:hint="default"/>
      </w:rPr>
    </w:lvl>
    <w:lvl w:ilvl="8" w:tplc="69AC47C8" w:tentative="1">
      <w:start w:val="1"/>
      <w:numFmt w:val="bullet"/>
      <w:lvlText w:val=""/>
      <w:lvlJc w:val="left"/>
      <w:pPr>
        <w:tabs>
          <w:tab w:val="num" w:pos="6480"/>
        </w:tabs>
        <w:ind w:left="6480" w:hanging="360"/>
      </w:pPr>
      <w:rPr>
        <w:rFonts w:ascii="Symbol" w:hAnsi="Symbol" w:hint="default"/>
      </w:rPr>
    </w:lvl>
  </w:abstractNum>
  <w:abstractNum w:abstractNumId="52" w15:restartNumberingAfterBreak="0">
    <w:nsid w:val="24F8661C"/>
    <w:multiLevelType w:val="hybridMultilevel"/>
    <w:tmpl w:val="F404CBB8"/>
    <w:lvl w:ilvl="0" w:tplc="E2E277DE">
      <w:start w:val="1"/>
      <w:numFmt w:val="bullet"/>
      <w:lvlText w:val=""/>
      <w:lvlPicBulletId w:val="1"/>
      <w:lvlJc w:val="left"/>
      <w:pPr>
        <w:tabs>
          <w:tab w:val="num" w:pos="720"/>
        </w:tabs>
        <w:ind w:left="720" w:hanging="360"/>
      </w:pPr>
      <w:rPr>
        <w:rFonts w:ascii="Symbol" w:hAnsi="Symbol" w:hint="default"/>
      </w:rPr>
    </w:lvl>
    <w:lvl w:ilvl="1" w:tplc="0BB0C680" w:tentative="1">
      <w:start w:val="1"/>
      <w:numFmt w:val="bullet"/>
      <w:lvlText w:val=""/>
      <w:lvlJc w:val="left"/>
      <w:pPr>
        <w:tabs>
          <w:tab w:val="num" w:pos="1440"/>
        </w:tabs>
        <w:ind w:left="1440" w:hanging="360"/>
      </w:pPr>
      <w:rPr>
        <w:rFonts w:ascii="Symbol" w:hAnsi="Symbol" w:hint="default"/>
      </w:rPr>
    </w:lvl>
    <w:lvl w:ilvl="2" w:tplc="A34868DA" w:tentative="1">
      <w:start w:val="1"/>
      <w:numFmt w:val="bullet"/>
      <w:lvlText w:val=""/>
      <w:lvlJc w:val="left"/>
      <w:pPr>
        <w:tabs>
          <w:tab w:val="num" w:pos="2160"/>
        </w:tabs>
        <w:ind w:left="2160" w:hanging="360"/>
      </w:pPr>
      <w:rPr>
        <w:rFonts w:ascii="Symbol" w:hAnsi="Symbol" w:hint="default"/>
      </w:rPr>
    </w:lvl>
    <w:lvl w:ilvl="3" w:tplc="143468A2" w:tentative="1">
      <w:start w:val="1"/>
      <w:numFmt w:val="bullet"/>
      <w:lvlText w:val=""/>
      <w:lvlJc w:val="left"/>
      <w:pPr>
        <w:tabs>
          <w:tab w:val="num" w:pos="2880"/>
        </w:tabs>
        <w:ind w:left="2880" w:hanging="360"/>
      </w:pPr>
      <w:rPr>
        <w:rFonts w:ascii="Symbol" w:hAnsi="Symbol" w:hint="default"/>
      </w:rPr>
    </w:lvl>
    <w:lvl w:ilvl="4" w:tplc="A8008C46" w:tentative="1">
      <w:start w:val="1"/>
      <w:numFmt w:val="bullet"/>
      <w:lvlText w:val=""/>
      <w:lvlJc w:val="left"/>
      <w:pPr>
        <w:tabs>
          <w:tab w:val="num" w:pos="3600"/>
        </w:tabs>
        <w:ind w:left="3600" w:hanging="360"/>
      </w:pPr>
      <w:rPr>
        <w:rFonts w:ascii="Symbol" w:hAnsi="Symbol" w:hint="default"/>
      </w:rPr>
    </w:lvl>
    <w:lvl w:ilvl="5" w:tplc="FDAAF500" w:tentative="1">
      <w:start w:val="1"/>
      <w:numFmt w:val="bullet"/>
      <w:lvlText w:val=""/>
      <w:lvlJc w:val="left"/>
      <w:pPr>
        <w:tabs>
          <w:tab w:val="num" w:pos="4320"/>
        </w:tabs>
        <w:ind w:left="4320" w:hanging="360"/>
      </w:pPr>
      <w:rPr>
        <w:rFonts w:ascii="Symbol" w:hAnsi="Symbol" w:hint="default"/>
      </w:rPr>
    </w:lvl>
    <w:lvl w:ilvl="6" w:tplc="B84A93B8" w:tentative="1">
      <w:start w:val="1"/>
      <w:numFmt w:val="bullet"/>
      <w:lvlText w:val=""/>
      <w:lvlJc w:val="left"/>
      <w:pPr>
        <w:tabs>
          <w:tab w:val="num" w:pos="5040"/>
        </w:tabs>
        <w:ind w:left="5040" w:hanging="360"/>
      </w:pPr>
      <w:rPr>
        <w:rFonts w:ascii="Symbol" w:hAnsi="Symbol" w:hint="default"/>
      </w:rPr>
    </w:lvl>
    <w:lvl w:ilvl="7" w:tplc="8188C2BE" w:tentative="1">
      <w:start w:val="1"/>
      <w:numFmt w:val="bullet"/>
      <w:lvlText w:val=""/>
      <w:lvlJc w:val="left"/>
      <w:pPr>
        <w:tabs>
          <w:tab w:val="num" w:pos="5760"/>
        </w:tabs>
        <w:ind w:left="5760" w:hanging="360"/>
      </w:pPr>
      <w:rPr>
        <w:rFonts w:ascii="Symbol" w:hAnsi="Symbol" w:hint="default"/>
      </w:rPr>
    </w:lvl>
    <w:lvl w:ilvl="8" w:tplc="95323A1E" w:tentative="1">
      <w:start w:val="1"/>
      <w:numFmt w:val="bullet"/>
      <w:lvlText w:val=""/>
      <w:lvlJc w:val="left"/>
      <w:pPr>
        <w:tabs>
          <w:tab w:val="num" w:pos="6480"/>
        </w:tabs>
        <w:ind w:left="6480" w:hanging="360"/>
      </w:pPr>
      <w:rPr>
        <w:rFonts w:ascii="Symbol" w:hAnsi="Symbol" w:hint="default"/>
      </w:rPr>
    </w:lvl>
  </w:abstractNum>
  <w:abstractNum w:abstractNumId="53" w15:restartNumberingAfterBreak="0">
    <w:nsid w:val="26937F86"/>
    <w:multiLevelType w:val="hybridMultilevel"/>
    <w:tmpl w:val="2F0AF8E8"/>
    <w:lvl w:ilvl="0" w:tplc="08D2AB5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4" w15:restartNumberingAfterBreak="0">
    <w:nsid w:val="272F0102"/>
    <w:multiLevelType w:val="hybridMultilevel"/>
    <w:tmpl w:val="D14A7CFE"/>
    <w:lvl w:ilvl="0" w:tplc="B386C3BA">
      <w:start w:val="1"/>
      <w:numFmt w:val="bullet"/>
      <w:lvlText w:val=""/>
      <w:lvlPicBulletId w:val="0"/>
      <w:lvlJc w:val="left"/>
      <w:pPr>
        <w:tabs>
          <w:tab w:val="num" w:pos="720"/>
        </w:tabs>
        <w:ind w:left="720" w:hanging="360"/>
      </w:pPr>
      <w:rPr>
        <w:rFonts w:ascii="Symbol" w:hAnsi="Symbol" w:hint="default"/>
      </w:rPr>
    </w:lvl>
    <w:lvl w:ilvl="1" w:tplc="46A48058" w:tentative="1">
      <w:start w:val="1"/>
      <w:numFmt w:val="bullet"/>
      <w:lvlText w:val=""/>
      <w:lvlJc w:val="left"/>
      <w:pPr>
        <w:tabs>
          <w:tab w:val="num" w:pos="1440"/>
        </w:tabs>
        <w:ind w:left="1440" w:hanging="360"/>
      </w:pPr>
      <w:rPr>
        <w:rFonts w:ascii="Symbol" w:hAnsi="Symbol" w:hint="default"/>
      </w:rPr>
    </w:lvl>
    <w:lvl w:ilvl="2" w:tplc="35F0C16C" w:tentative="1">
      <w:start w:val="1"/>
      <w:numFmt w:val="bullet"/>
      <w:lvlText w:val=""/>
      <w:lvlJc w:val="left"/>
      <w:pPr>
        <w:tabs>
          <w:tab w:val="num" w:pos="2160"/>
        </w:tabs>
        <w:ind w:left="2160" w:hanging="360"/>
      </w:pPr>
      <w:rPr>
        <w:rFonts w:ascii="Symbol" w:hAnsi="Symbol" w:hint="default"/>
      </w:rPr>
    </w:lvl>
    <w:lvl w:ilvl="3" w:tplc="E392099A" w:tentative="1">
      <w:start w:val="1"/>
      <w:numFmt w:val="bullet"/>
      <w:lvlText w:val=""/>
      <w:lvlJc w:val="left"/>
      <w:pPr>
        <w:tabs>
          <w:tab w:val="num" w:pos="2880"/>
        </w:tabs>
        <w:ind w:left="2880" w:hanging="360"/>
      </w:pPr>
      <w:rPr>
        <w:rFonts w:ascii="Symbol" w:hAnsi="Symbol" w:hint="default"/>
      </w:rPr>
    </w:lvl>
    <w:lvl w:ilvl="4" w:tplc="A022E740" w:tentative="1">
      <w:start w:val="1"/>
      <w:numFmt w:val="bullet"/>
      <w:lvlText w:val=""/>
      <w:lvlJc w:val="left"/>
      <w:pPr>
        <w:tabs>
          <w:tab w:val="num" w:pos="3600"/>
        </w:tabs>
        <w:ind w:left="3600" w:hanging="360"/>
      </w:pPr>
      <w:rPr>
        <w:rFonts w:ascii="Symbol" w:hAnsi="Symbol" w:hint="default"/>
      </w:rPr>
    </w:lvl>
    <w:lvl w:ilvl="5" w:tplc="49A0D264" w:tentative="1">
      <w:start w:val="1"/>
      <w:numFmt w:val="bullet"/>
      <w:lvlText w:val=""/>
      <w:lvlJc w:val="left"/>
      <w:pPr>
        <w:tabs>
          <w:tab w:val="num" w:pos="4320"/>
        </w:tabs>
        <w:ind w:left="4320" w:hanging="360"/>
      </w:pPr>
      <w:rPr>
        <w:rFonts w:ascii="Symbol" w:hAnsi="Symbol" w:hint="default"/>
      </w:rPr>
    </w:lvl>
    <w:lvl w:ilvl="6" w:tplc="F52EA284" w:tentative="1">
      <w:start w:val="1"/>
      <w:numFmt w:val="bullet"/>
      <w:lvlText w:val=""/>
      <w:lvlJc w:val="left"/>
      <w:pPr>
        <w:tabs>
          <w:tab w:val="num" w:pos="5040"/>
        </w:tabs>
        <w:ind w:left="5040" w:hanging="360"/>
      </w:pPr>
      <w:rPr>
        <w:rFonts w:ascii="Symbol" w:hAnsi="Symbol" w:hint="default"/>
      </w:rPr>
    </w:lvl>
    <w:lvl w:ilvl="7" w:tplc="35F438CE" w:tentative="1">
      <w:start w:val="1"/>
      <w:numFmt w:val="bullet"/>
      <w:lvlText w:val=""/>
      <w:lvlJc w:val="left"/>
      <w:pPr>
        <w:tabs>
          <w:tab w:val="num" w:pos="5760"/>
        </w:tabs>
        <w:ind w:left="5760" w:hanging="360"/>
      </w:pPr>
      <w:rPr>
        <w:rFonts w:ascii="Symbol" w:hAnsi="Symbol" w:hint="default"/>
      </w:rPr>
    </w:lvl>
    <w:lvl w:ilvl="8" w:tplc="BB4AAD1C" w:tentative="1">
      <w:start w:val="1"/>
      <w:numFmt w:val="bullet"/>
      <w:lvlText w:val=""/>
      <w:lvlJc w:val="left"/>
      <w:pPr>
        <w:tabs>
          <w:tab w:val="num" w:pos="6480"/>
        </w:tabs>
        <w:ind w:left="6480" w:hanging="360"/>
      </w:pPr>
      <w:rPr>
        <w:rFonts w:ascii="Symbol" w:hAnsi="Symbol" w:hint="default"/>
      </w:rPr>
    </w:lvl>
  </w:abstractNum>
  <w:abstractNum w:abstractNumId="55" w15:restartNumberingAfterBreak="0">
    <w:nsid w:val="27FE6A93"/>
    <w:multiLevelType w:val="hybridMultilevel"/>
    <w:tmpl w:val="99DE517C"/>
    <w:lvl w:ilvl="0" w:tplc="566CDF56">
      <w:start w:val="1"/>
      <w:numFmt w:val="bullet"/>
      <w:lvlText w:val=""/>
      <w:lvlPicBulletId w:val="1"/>
      <w:lvlJc w:val="left"/>
      <w:pPr>
        <w:tabs>
          <w:tab w:val="num" w:pos="720"/>
        </w:tabs>
        <w:ind w:left="720" w:hanging="360"/>
      </w:pPr>
      <w:rPr>
        <w:rFonts w:ascii="Symbol" w:hAnsi="Symbol" w:hint="default"/>
      </w:rPr>
    </w:lvl>
    <w:lvl w:ilvl="1" w:tplc="91CE3148" w:tentative="1">
      <w:start w:val="1"/>
      <w:numFmt w:val="bullet"/>
      <w:lvlText w:val=""/>
      <w:lvlJc w:val="left"/>
      <w:pPr>
        <w:tabs>
          <w:tab w:val="num" w:pos="1440"/>
        </w:tabs>
        <w:ind w:left="1440" w:hanging="360"/>
      </w:pPr>
      <w:rPr>
        <w:rFonts w:ascii="Symbol" w:hAnsi="Symbol" w:hint="default"/>
      </w:rPr>
    </w:lvl>
    <w:lvl w:ilvl="2" w:tplc="1B6A1ECC" w:tentative="1">
      <w:start w:val="1"/>
      <w:numFmt w:val="bullet"/>
      <w:lvlText w:val=""/>
      <w:lvlJc w:val="left"/>
      <w:pPr>
        <w:tabs>
          <w:tab w:val="num" w:pos="2160"/>
        </w:tabs>
        <w:ind w:left="2160" w:hanging="360"/>
      </w:pPr>
      <w:rPr>
        <w:rFonts w:ascii="Symbol" w:hAnsi="Symbol" w:hint="default"/>
      </w:rPr>
    </w:lvl>
    <w:lvl w:ilvl="3" w:tplc="F26CA75C" w:tentative="1">
      <w:start w:val="1"/>
      <w:numFmt w:val="bullet"/>
      <w:lvlText w:val=""/>
      <w:lvlJc w:val="left"/>
      <w:pPr>
        <w:tabs>
          <w:tab w:val="num" w:pos="2880"/>
        </w:tabs>
        <w:ind w:left="2880" w:hanging="360"/>
      </w:pPr>
      <w:rPr>
        <w:rFonts w:ascii="Symbol" w:hAnsi="Symbol" w:hint="default"/>
      </w:rPr>
    </w:lvl>
    <w:lvl w:ilvl="4" w:tplc="FE56BA84" w:tentative="1">
      <w:start w:val="1"/>
      <w:numFmt w:val="bullet"/>
      <w:lvlText w:val=""/>
      <w:lvlJc w:val="left"/>
      <w:pPr>
        <w:tabs>
          <w:tab w:val="num" w:pos="3600"/>
        </w:tabs>
        <w:ind w:left="3600" w:hanging="360"/>
      </w:pPr>
      <w:rPr>
        <w:rFonts w:ascii="Symbol" w:hAnsi="Symbol" w:hint="default"/>
      </w:rPr>
    </w:lvl>
    <w:lvl w:ilvl="5" w:tplc="D00AA07E" w:tentative="1">
      <w:start w:val="1"/>
      <w:numFmt w:val="bullet"/>
      <w:lvlText w:val=""/>
      <w:lvlJc w:val="left"/>
      <w:pPr>
        <w:tabs>
          <w:tab w:val="num" w:pos="4320"/>
        </w:tabs>
        <w:ind w:left="4320" w:hanging="360"/>
      </w:pPr>
      <w:rPr>
        <w:rFonts w:ascii="Symbol" w:hAnsi="Symbol" w:hint="default"/>
      </w:rPr>
    </w:lvl>
    <w:lvl w:ilvl="6" w:tplc="9198EA24" w:tentative="1">
      <w:start w:val="1"/>
      <w:numFmt w:val="bullet"/>
      <w:lvlText w:val=""/>
      <w:lvlJc w:val="left"/>
      <w:pPr>
        <w:tabs>
          <w:tab w:val="num" w:pos="5040"/>
        </w:tabs>
        <w:ind w:left="5040" w:hanging="360"/>
      </w:pPr>
      <w:rPr>
        <w:rFonts w:ascii="Symbol" w:hAnsi="Symbol" w:hint="default"/>
      </w:rPr>
    </w:lvl>
    <w:lvl w:ilvl="7" w:tplc="F152A1A8" w:tentative="1">
      <w:start w:val="1"/>
      <w:numFmt w:val="bullet"/>
      <w:lvlText w:val=""/>
      <w:lvlJc w:val="left"/>
      <w:pPr>
        <w:tabs>
          <w:tab w:val="num" w:pos="5760"/>
        </w:tabs>
        <w:ind w:left="5760" w:hanging="360"/>
      </w:pPr>
      <w:rPr>
        <w:rFonts w:ascii="Symbol" w:hAnsi="Symbol" w:hint="default"/>
      </w:rPr>
    </w:lvl>
    <w:lvl w:ilvl="8" w:tplc="43A2F828" w:tentative="1">
      <w:start w:val="1"/>
      <w:numFmt w:val="bullet"/>
      <w:lvlText w:val=""/>
      <w:lvlJc w:val="left"/>
      <w:pPr>
        <w:tabs>
          <w:tab w:val="num" w:pos="6480"/>
        </w:tabs>
        <w:ind w:left="6480" w:hanging="360"/>
      </w:pPr>
      <w:rPr>
        <w:rFonts w:ascii="Symbol" w:hAnsi="Symbol" w:hint="default"/>
      </w:rPr>
    </w:lvl>
  </w:abstractNum>
  <w:abstractNum w:abstractNumId="56" w15:restartNumberingAfterBreak="0">
    <w:nsid w:val="290D16ED"/>
    <w:multiLevelType w:val="hybridMultilevel"/>
    <w:tmpl w:val="5E9C2322"/>
    <w:lvl w:ilvl="0" w:tplc="36166560">
      <w:start w:val="1"/>
      <w:numFmt w:val="bullet"/>
      <w:lvlText w:val=""/>
      <w:lvlPicBulletId w:val="0"/>
      <w:lvlJc w:val="left"/>
      <w:pPr>
        <w:tabs>
          <w:tab w:val="num" w:pos="720"/>
        </w:tabs>
        <w:ind w:left="720" w:hanging="360"/>
      </w:pPr>
      <w:rPr>
        <w:rFonts w:ascii="Symbol" w:hAnsi="Symbol" w:hint="default"/>
      </w:rPr>
    </w:lvl>
    <w:lvl w:ilvl="1" w:tplc="A8987714" w:tentative="1">
      <w:start w:val="1"/>
      <w:numFmt w:val="bullet"/>
      <w:lvlText w:val=""/>
      <w:lvlJc w:val="left"/>
      <w:pPr>
        <w:tabs>
          <w:tab w:val="num" w:pos="1440"/>
        </w:tabs>
        <w:ind w:left="1440" w:hanging="360"/>
      </w:pPr>
      <w:rPr>
        <w:rFonts w:ascii="Symbol" w:hAnsi="Symbol" w:hint="default"/>
      </w:rPr>
    </w:lvl>
    <w:lvl w:ilvl="2" w:tplc="ABC8955E" w:tentative="1">
      <w:start w:val="1"/>
      <w:numFmt w:val="bullet"/>
      <w:lvlText w:val=""/>
      <w:lvlJc w:val="left"/>
      <w:pPr>
        <w:tabs>
          <w:tab w:val="num" w:pos="2160"/>
        </w:tabs>
        <w:ind w:left="2160" w:hanging="360"/>
      </w:pPr>
      <w:rPr>
        <w:rFonts w:ascii="Symbol" w:hAnsi="Symbol" w:hint="default"/>
      </w:rPr>
    </w:lvl>
    <w:lvl w:ilvl="3" w:tplc="AB323C76" w:tentative="1">
      <w:start w:val="1"/>
      <w:numFmt w:val="bullet"/>
      <w:lvlText w:val=""/>
      <w:lvlJc w:val="left"/>
      <w:pPr>
        <w:tabs>
          <w:tab w:val="num" w:pos="2880"/>
        </w:tabs>
        <w:ind w:left="2880" w:hanging="360"/>
      </w:pPr>
      <w:rPr>
        <w:rFonts w:ascii="Symbol" w:hAnsi="Symbol" w:hint="default"/>
      </w:rPr>
    </w:lvl>
    <w:lvl w:ilvl="4" w:tplc="DD6C1E68" w:tentative="1">
      <w:start w:val="1"/>
      <w:numFmt w:val="bullet"/>
      <w:lvlText w:val=""/>
      <w:lvlJc w:val="left"/>
      <w:pPr>
        <w:tabs>
          <w:tab w:val="num" w:pos="3600"/>
        </w:tabs>
        <w:ind w:left="3600" w:hanging="360"/>
      </w:pPr>
      <w:rPr>
        <w:rFonts w:ascii="Symbol" w:hAnsi="Symbol" w:hint="default"/>
      </w:rPr>
    </w:lvl>
    <w:lvl w:ilvl="5" w:tplc="E5EC1E34" w:tentative="1">
      <w:start w:val="1"/>
      <w:numFmt w:val="bullet"/>
      <w:lvlText w:val=""/>
      <w:lvlJc w:val="left"/>
      <w:pPr>
        <w:tabs>
          <w:tab w:val="num" w:pos="4320"/>
        </w:tabs>
        <w:ind w:left="4320" w:hanging="360"/>
      </w:pPr>
      <w:rPr>
        <w:rFonts w:ascii="Symbol" w:hAnsi="Symbol" w:hint="default"/>
      </w:rPr>
    </w:lvl>
    <w:lvl w:ilvl="6" w:tplc="205A68DC" w:tentative="1">
      <w:start w:val="1"/>
      <w:numFmt w:val="bullet"/>
      <w:lvlText w:val=""/>
      <w:lvlJc w:val="left"/>
      <w:pPr>
        <w:tabs>
          <w:tab w:val="num" w:pos="5040"/>
        </w:tabs>
        <w:ind w:left="5040" w:hanging="360"/>
      </w:pPr>
      <w:rPr>
        <w:rFonts w:ascii="Symbol" w:hAnsi="Symbol" w:hint="default"/>
      </w:rPr>
    </w:lvl>
    <w:lvl w:ilvl="7" w:tplc="5E44E77A" w:tentative="1">
      <w:start w:val="1"/>
      <w:numFmt w:val="bullet"/>
      <w:lvlText w:val=""/>
      <w:lvlJc w:val="left"/>
      <w:pPr>
        <w:tabs>
          <w:tab w:val="num" w:pos="5760"/>
        </w:tabs>
        <w:ind w:left="5760" w:hanging="360"/>
      </w:pPr>
      <w:rPr>
        <w:rFonts w:ascii="Symbol" w:hAnsi="Symbol" w:hint="default"/>
      </w:rPr>
    </w:lvl>
    <w:lvl w:ilvl="8" w:tplc="F8B016A0" w:tentative="1">
      <w:start w:val="1"/>
      <w:numFmt w:val="bullet"/>
      <w:lvlText w:val=""/>
      <w:lvlJc w:val="left"/>
      <w:pPr>
        <w:tabs>
          <w:tab w:val="num" w:pos="6480"/>
        </w:tabs>
        <w:ind w:left="6480" w:hanging="360"/>
      </w:pPr>
      <w:rPr>
        <w:rFonts w:ascii="Symbol" w:hAnsi="Symbol" w:hint="default"/>
      </w:rPr>
    </w:lvl>
  </w:abstractNum>
  <w:abstractNum w:abstractNumId="57" w15:restartNumberingAfterBreak="0">
    <w:nsid w:val="29D86F20"/>
    <w:multiLevelType w:val="hybridMultilevel"/>
    <w:tmpl w:val="EC724F10"/>
    <w:lvl w:ilvl="0" w:tplc="97DC6D4A">
      <w:start w:val="1"/>
      <w:numFmt w:val="bullet"/>
      <w:lvlText w:val=""/>
      <w:lvlPicBulletId w:val="0"/>
      <w:lvlJc w:val="left"/>
      <w:pPr>
        <w:tabs>
          <w:tab w:val="num" w:pos="720"/>
        </w:tabs>
        <w:ind w:left="720" w:hanging="360"/>
      </w:pPr>
      <w:rPr>
        <w:rFonts w:ascii="Symbol" w:hAnsi="Symbol" w:hint="default"/>
      </w:rPr>
    </w:lvl>
    <w:lvl w:ilvl="1" w:tplc="4508D434" w:tentative="1">
      <w:start w:val="1"/>
      <w:numFmt w:val="bullet"/>
      <w:lvlText w:val=""/>
      <w:lvlJc w:val="left"/>
      <w:pPr>
        <w:tabs>
          <w:tab w:val="num" w:pos="1440"/>
        </w:tabs>
        <w:ind w:left="1440" w:hanging="360"/>
      </w:pPr>
      <w:rPr>
        <w:rFonts w:ascii="Symbol" w:hAnsi="Symbol" w:hint="default"/>
      </w:rPr>
    </w:lvl>
    <w:lvl w:ilvl="2" w:tplc="6E760146" w:tentative="1">
      <w:start w:val="1"/>
      <w:numFmt w:val="bullet"/>
      <w:lvlText w:val=""/>
      <w:lvlJc w:val="left"/>
      <w:pPr>
        <w:tabs>
          <w:tab w:val="num" w:pos="2160"/>
        </w:tabs>
        <w:ind w:left="2160" w:hanging="360"/>
      </w:pPr>
      <w:rPr>
        <w:rFonts w:ascii="Symbol" w:hAnsi="Symbol" w:hint="default"/>
      </w:rPr>
    </w:lvl>
    <w:lvl w:ilvl="3" w:tplc="4F004B1A" w:tentative="1">
      <w:start w:val="1"/>
      <w:numFmt w:val="bullet"/>
      <w:lvlText w:val=""/>
      <w:lvlJc w:val="left"/>
      <w:pPr>
        <w:tabs>
          <w:tab w:val="num" w:pos="2880"/>
        </w:tabs>
        <w:ind w:left="2880" w:hanging="360"/>
      </w:pPr>
      <w:rPr>
        <w:rFonts w:ascii="Symbol" w:hAnsi="Symbol" w:hint="default"/>
      </w:rPr>
    </w:lvl>
    <w:lvl w:ilvl="4" w:tplc="AEE89042" w:tentative="1">
      <w:start w:val="1"/>
      <w:numFmt w:val="bullet"/>
      <w:lvlText w:val=""/>
      <w:lvlJc w:val="left"/>
      <w:pPr>
        <w:tabs>
          <w:tab w:val="num" w:pos="3600"/>
        </w:tabs>
        <w:ind w:left="3600" w:hanging="360"/>
      </w:pPr>
      <w:rPr>
        <w:rFonts w:ascii="Symbol" w:hAnsi="Symbol" w:hint="default"/>
      </w:rPr>
    </w:lvl>
    <w:lvl w:ilvl="5" w:tplc="B494FE4E" w:tentative="1">
      <w:start w:val="1"/>
      <w:numFmt w:val="bullet"/>
      <w:lvlText w:val=""/>
      <w:lvlJc w:val="left"/>
      <w:pPr>
        <w:tabs>
          <w:tab w:val="num" w:pos="4320"/>
        </w:tabs>
        <w:ind w:left="4320" w:hanging="360"/>
      </w:pPr>
      <w:rPr>
        <w:rFonts w:ascii="Symbol" w:hAnsi="Symbol" w:hint="default"/>
      </w:rPr>
    </w:lvl>
    <w:lvl w:ilvl="6" w:tplc="BFDE4252" w:tentative="1">
      <w:start w:val="1"/>
      <w:numFmt w:val="bullet"/>
      <w:lvlText w:val=""/>
      <w:lvlJc w:val="left"/>
      <w:pPr>
        <w:tabs>
          <w:tab w:val="num" w:pos="5040"/>
        </w:tabs>
        <w:ind w:left="5040" w:hanging="360"/>
      </w:pPr>
      <w:rPr>
        <w:rFonts w:ascii="Symbol" w:hAnsi="Symbol" w:hint="default"/>
      </w:rPr>
    </w:lvl>
    <w:lvl w:ilvl="7" w:tplc="9DC66350" w:tentative="1">
      <w:start w:val="1"/>
      <w:numFmt w:val="bullet"/>
      <w:lvlText w:val=""/>
      <w:lvlJc w:val="left"/>
      <w:pPr>
        <w:tabs>
          <w:tab w:val="num" w:pos="5760"/>
        </w:tabs>
        <w:ind w:left="5760" w:hanging="360"/>
      </w:pPr>
      <w:rPr>
        <w:rFonts w:ascii="Symbol" w:hAnsi="Symbol" w:hint="default"/>
      </w:rPr>
    </w:lvl>
    <w:lvl w:ilvl="8" w:tplc="53401BD6" w:tentative="1">
      <w:start w:val="1"/>
      <w:numFmt w:val="bullet"/>
      <w:lvlText w:val=""/>
      <w:lvlJc w:val="left"/>
      <w:pPr>
        <w:tabs>
          <w:tab w:val="num" w:pos="6480"/>
        </w:tabs>
        <w:ind w:left="6480" w:hanging="360"/>
      </w:pPr>
      <w:rPr>
        <w:rFonts w:ascii="Symbol" w:hAnsi="Symbol" w:hint="default"/>
      </w:rPr>
    </w:lvl>
  </w:abstractNum>
  <w:abstractNum w:abstractNumId="58" w15:restartNumberingAfterBreak="0">
    <w:nsid w:val="2A6A60E4"/>
    <w:multiLevelType w:val="hybridMultilevel"/>
    <w:tmpl w:val="C4A8E1EE"/>
    <w:lvl w:ilvl="0" w:tplc="08D2AB58">
      <w:start w:val="1"/>
      <w:numFmt w:val="bullet"/>
      <w:lvlText w:val="&gt;"/>
      <w:lvlJc w:val="left"/>
      <w:pPr>
        <w:ind w:left="720" w:hanging="360"/>
      </w:pPr>
      <w:rPr>
        <w:rFonts w:ascii="HelveticaNeueLT Std Lt" w:hAnsi="HelveticaNeueLT Std L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9" w15:restartNumberingAfterBreak="0">
    <w:nsid w:val="2AB525FB"/>
    <w:multiLevelType w:val="hybridMultilevel"/>
    <w:tmpl w:val="D0922840"/>
    <w:lvl w:ilvl="0" w:tplc="5746A350">
      <w:numFmt w:val="bullet"/>
      <w:lvlText w:val=""/>
      <w:lvlJc w:val="left"/>
      <w:pPr>
        <w:ind w:left="655" w:hanging="360"/>
      </w:pPr>
      <w:rPr>
        <w:rFonts w:ascii="Wingdings" w:eastAsia="Times New Roman" w:hAnsi="Wingdings" w:cs="Arial" w:hint="default"/>
        <w:b/>
      </w:rPr>
    </w:lvl>
    <w:lvl w:ilvl="1" w:tplc="0C090003" w:tentative="1">
      <w:start w:val="1"/>
      <w:numFmt w:val="bullet"/>
      <w:lvlText w:val="o"/>
      <w:lvlJc w:val="left"/>
      <w:pPr>
        <w:ind w:left="1375" w:hanging="360"/>
      </w:pPr>
      <w:rPr>
        <w:rFonts w:ascii="Courier New" w:hAnsi="Courier New" w:cs="Courier New" w:hint="default"/>
      </w:rPr>
    </w:lvl>
    <w:lvl w:ilvl="2" w:tplc="0C090005" w:tentative="1">
      <w:start w:val="1"/>
      <w:numFmt w:val="bullet"/>
      <w:lvlText w:val=""/>
      <w:lvlJc w:val="left"/>
      <w:pPr>
        <w:ind w:left="2095" w:hanging="360"/>
      </w:pPr>
      <w:rPr>
        <w:rFonts w:ascii="Wingdings" w:hAnsi="Wingdings" w:hint="default"/>
      </w:rPr>
    </w:lvl>
    <w:lvl w:ilvl="3" w:tplc="0C090001" w:tentative="1">
      <w:start w:val="1"/>
      <w:numFmt w:val="bullet"/>
      <w:lvlText w:val=""/>
      <w:lvlJc w:val="left"/>
      <w:pPr>
        <w:ind w:left="2815" w:hanging="360"/>
      </w:pPr>
      <w:rPr>
        <w:rFonts w:ascii="Symbol" w:hAnsi="Symbol" w:hint="default"/>
      </w:rPr>
    </w:lvl>
    <w:lvl w:ilvl="4" w:tplc="0C090003" w:tentative="1">
      <w:start w:val="1"/>
      <w:numFmt w:val="bullet"/>
      <w:lvlText w:val="o"/>
      <w:lvlJc w:val="left"/>
      <w:pPr>
        <w:ind w:left="3535" w:hanging="360"/>
      </w:pPr>
      <w:rPr>
        <w:rFonts w:ascii="Courier New" w:hAnsi="Courier New" w:cs="Courier New" w:hint="default"/>
      </w:rPr>
    </w:lvl>
    <w:lvl w:ilvl="5" w:tplc="0C090005" w:tentative="1">
      <w:start w:val="1"/>
      <w:numFmt w:val="bullet"/>
      <w:lvlText w:val=""/>
      <w:lvlJc w:val="left"/>
      <w:pPr>
        <w:ind w:left="4255" w:hanging="360"/>
      </w:pPr>
      <w:rPr>
        <w:rFonts w:ascii="Wingdings" w:hAnsi="Wingdings" w:hint="default"/>
      </w:rPr>
    </w:lvl>
    <w:lvl w:ilvl="6" w:tplc="0C090001" w:tentative="1">
      <w:start w:val="1"/>
      <w:numFmt w:val="bullet"/>
      <w:lvlText w:val=""/>
      <w:lvlJc w:val="left"/>
      <w:pPr>
        <w:ind w:left="4975" w:hanging="360"/>
      </w:pPr>
      <w:rPr>
        <w:rFonts w:ascii="Symbol" w:hAnsi="Symbol" w:hint="default"/>
      </w:rPr>
    </w:lvl>
    <w:lvl w:ilvl="7" w:tplc="0C090003" w:tentative="1">
      <w:start w:val="1"/>
      <w:numFmt w:val="bullet"/>
      <w:lvlText w:val="o"/>
      <w:lvlJc w:val="left"/>
      <w:pPr>
        <w:ind w:left="5695" w:hanging="360"/>
      </w:pPr>
      <w:rPr>
        <w:rFonts w:ascii="Courier New" w:hAnsi="Courier New" w:cs="Courier New" w:hint="default"/>
      </w:rPr>
    </w:lvl>
    <w:lvl w:ilvl="8" w:tplc="0C090005" w:tentative="1">
      <w:start w:val="1"/>
      <w:numFmt w:val="bullet"/>
      <w:lvlText w:val=""/>
      <w:lvlJc w:val="left"/>
      <w:pPr>
        <w:ind w:left="6415" w:hanging="360"/>
      </w:pPr>
      <w:rPr>
        <w:rFonts w:ascii="Wingdings" w:hAnsi="Wingdings" w:hint="default"/>
      </w:rPr>
    </w:lvl>
  </w:abstractNum>
  <w:abstractNum w:abstractNumId="60" w15:restartNumberingAfterBreak="0">
    <w:nsid w:val="2ADB526F"/>
    <w:multiLevelType w:val="hybridMultilevel"/>
    <w:tmpl w:val="44F4ADCA"/>
    <w:lvl w:ilvl="0" w:tplc="A1E2F840">
      <w:start w:val="1"/>
      <w:numFmt w:val="bullet"/>
      <w:lvlText w:val=""/>
      <w:lvlPicBulletId w:val="1"/>
      <w:lvlJc w:val="left"/>
      <w:pPr>
        <w:tabs>
          <w:tab w:val="num" w:pos="720"/>
        </w:tabs>
        <w:ind w:left="720" w:hanging="360"/>
      </w:pPr>
      <w:rPr>
        <w:rFonts w:ascii="Symbol" w:hAnsi="Symbol" w:hint="default"/>
      </w:rPr>
    </w:lvl>
    <w:lvl w:ilvl="1" w:tplc="3A704626" w:tentative="1">
      <w:start w:val="1"/>
      <w:numFmt w:val="bullet"/>
      <w:lvlText w:val=""/>
      <w:lvlJc w:val="left"/>
      <w:pPr>
        <w:tabs>
          <w:tab w:val="num" w:pos="1440"/>
        </w:tabs>
        <w:ind w:left="1440" w:hanging="360"/>
      </w:pPr>
      <w:rPr>
        <w:rFonts w:ascii="Symbol" w:hAnsi="Symbol" w:hint="default"/>
      </w:rPr>
    </w:lvl>
    <w:lvl w:ilvl="2" w:tplc="83C45534" w:tentative="1">
      <w:start w:val="1"/>
      <w:numFmt w:val="bullet"/>
      <w:lvlText w:val=""/>
      <w:lvlJc w:val="left"/>
      <w:pPr>
        <w:tabs>
          <w:tab w:val="num" w:pos="2160"/>
        </w:tabs>
        <w:ind w:left="2160" w:hanging="360"/>
      </w:pPr>
      <w:rPr>
        <w:rFonts w:ascii="Symbol" w:hAnsi="Symbol" w:hint="default"/>
      </w:rPr>
    </w:lvl>
    <w:lvl w:ilvl="3" w:tplc="3FFC35DC" w:tentative="1">
      <w:start w:val="1"/>
      <w:numFmt w:val="bullet"/>
      <w:lvlText w:val=""/>
      <w:lvlJc w:val="left"/>
      <w:pPr>
        <w:tabs>
          <w:tab w:val="num" w:pos="2880"/>
        </w:tabs>
        <w:ind w:left="2880" w:hanging="360"/>
      </w:pPr>
      <w:rPr>
        <w:rFonts w:ascii="Symbol" w:hAnsi="Symbol" w:hint="default"/>
      </w:rPr>
    </w:lvl>
    <w:lvl w:ilvl="4" w:tplc="BE22D64E" w:tentative="1">
      <w:start w:val="1"/>
      <w:numFmt w:val="bullet"/>
      <w:lvlText w:val=""/>
      <w:lvlJc w:val="left"/>
      <w:pPr>
        <w:tabs>
          <w:tab w:val="num" w:pos="3600"/>
        </w:tabs>
        <w:ind w:left="3600" w:hanging="360"/>
      </w:pPr>
      <w:rPr>
        <w:rFonts w:ascii="Symbol" w:hAnsi="Symbol" w:hint="default"/>
      </w:rPr>
    </w:lvl>
    <w:lvl w:ilvl="5" w:tplc="E892B09C" w:tentative="1">
      <w:start w:val="1"/>
      <w:numFmt w:val="bullet"/>
      <w:lvlText w:val=""/>
      <w:lvlJc w:val="left"/>
      <w:pPr>
        <w:tabs>
          <w:tab w:val="num" w:pos="4320"/>
        </w:tabs>
        <w:ind w:left="4320" w:hanging="360"/>
      </w:pPr>
      <w:rPr>
        <w:rFonts w:ascii="Symbol" w:hAnsi="Symbol" w:hint="default"/>
      </w:rPr>
    </w:lvl>
    <w:lvl w:ilvl="6" w:tplc="C04EFDDE" w:tentative="1">
      <w:start w:val="1"/>
      <w:numFmt w:val="bullet"/>
      <w:lvlText w:val=""/>
      <w:lvlJc w:val="left"/>
      <w:pPr>
        <w:tabs>
          <w:tab w:val="num" w:pos="5040"/>
        </w:tabs>
        <w:ind w:left="5040" w:hanging="360"/>
      </w:pPr>
      <w:rPr>
        <w:rFonts w:ascii="Symbol" w:hAnsi="Symbol" w:hint="default"/>
      </w:rPr>
    </w:lvl>
    <w:lvl w:ilvl="7" w:tplc="D06A031E" w:tentative="1">
      <w:start w:val="1"/>
      <w:numFmt w:val="bullet"/>
      <w:lvlText w:val=""/>
      <w:lvlJc w:val="left"/>
      <w:pPr>
        <w:tabs>
          <w:tab w:val="num" w:pos="5760"/>
        </w:tabs>
        <w:ind w:left="5760" w:hanging="360"/>
      </w:pPr>
      <w:rPr>
        <w:rFonts w:ascii="Symbol" w:hAnsi="Symbol" w:hint="default"/>
      </w:rPr>
    </w:lvl>
    <w:lvl w:ilvl="8" w:tplc="EF262790" w:tentative="1">
      <w:start w:val="1"/>
      <w:numFmt w:val="bullet"/>
      <w:lvlText w:val=""/>
      <w:lvlJc w:val="left"/>
      <w:pPr>
        <w:tabs>
          <w:tab w:val="num" w:pos="6480"/>
        </w:tabs>
        <w:ind w:left="6480" w:hanging="360"/>
      </w:pPr>
      <w:rPr>
        <w:rFonts w:ascii="Symbol" w:hAnsi="Symbol" w:hint="default"/>
      </w:rPr>
    </w:lvl>
  </w:abstractNum>
  <w:abstractNum w:abstractNumId="61" w15:restartNumberingAfterBreak="0">
    <w:nsid w:val="2B6A30D5"/>
    <w:multiLevelType w:val="hybridMultilevel"/>
    <w:tmpl w:val="4ED49D50"/>
    <w:lvl w:ilvl="0" w:tplc="8C229846">
      <w:start w:val="1"/>
      <w:numFmt w:val="bullet"/>
      <w:lvlText w:val=""/>
      <w:lvlPicBulletId w:val="1"/>
      <w:lvlJc w:val="left"/>
      <w:pPr>
        <w:tabs>
          <w:tab w:val="num" w:pos="720"/>
        </w:tabs>
        <w:ind w:left="720" w:hanging="360"/>
      </w:pPr>
      <w:rPr>
        <w:rFonts w:ascii="Symbol" w:hAnsi="Symbol" w:hint="default"/>
      </w:rPr>
    </w:lvl>
    <w:lvl w:ilvl="1" w:tplc="237A8510" w:tentative="1">
      <w:start w:val="1"/>
      <w:numFmt w:val="bullet"/>
      <w:lvlText w:val=""/>
      <w:lvlJc w:val="left"/>
      <w:pPr>
        <w:tabs>
          <w:tab w:val="num" w:pos="1440"/>
        </w:tabs>
        <w:ind w:left="1440" w:hanging="360"/>
      </w:pPr>
      <w:rPr>
        <w:rFonts w:ascii="Symbol" w:hAnsi="Symbol" w:hint="default"/>
      </w:rPr>
    </w:lvl>
    <w:lvl w:ilvl="2" w:tplc="1A78CD40" w:tentative="1">
      <w:start w:val="1"/>
      <w:numFmt w:val="bullet"/>
      <w:lvlText w:val=""/>
      <w:lvlJc w:val="left"/>
      <w:pPr>
        <w:tabs>
          <w:tab w:val="num" w:pos="2160"/>
        </w:tabs>
        <w:ind w:left="2160" w:hanging="360"/>
      </w:pPr>
      <w:rPr>
        <w:rFonts w:ascii="Symbol" w:hAnsi="Symbol" w:hint="default"/>
      </w:rPr>
    </w:lvl>
    <w:lvl w:ilvl="3" w:tplc="CE762CA6" w:tentative="1">
      <w:start w:val="1"/>
      <w:numFmt w:val="bullet"/>
      <w:lvlText w:val=""/>
      <w:lvlJc w:val="left"/>
      <w:pPr>
        <w:tabs>
          <w:tab w:val="num" w:pos="2880"/>
        </w:tabs>
        <w:ind w:left="2880" w:hanging="360"/>
      </w:pPr>
      <w:rPr>
        <w:rFonts w:ascii="Symbol" w:hAnsi="Symbol" w:hint="default"/>
      </w:rPr>
    </w:lvl>
    <w:lvl w:ilvl="4" w:tplc="56B23D0E" w:tentative="1">
      <w:start w:val="1"/>
      <w:numFmt w:val="bullet"/>
      <w:lvlText w:val=""/>
      <w:lvlJc w:val="left"/>
      <w:pPr>
        <w:tabs>
          <w:tab w:val="num" w:pos="3600"/>
        </w:tabs>
        <w:ind w:left="3600" w:hanging="360"/>
      </w:pPr>
      <w:rPr>
        <w:rFonts w:ascii="Symbol" w:hAnsi="Symbol" w:hint="default"/>
      </w:rPr>
    </w:lvl>
    <w:lvl w:ilvl="5" w:tplc="BF408B44" w:tentative="1">
      <w:start w:val="1"/>
      <w:numFmt w:val="bullet"/>
      <w:lvlText w:val=""/>
      <w:lvlJc w:val="left"/>
      <w:pPr>
        <w:tabs>
          <w:tab w:val="num" w:pos="4320"/>
        </w:tabs>
        <w:ind w:left="4320" w:hanging="360"/>
      </w:pPr>
      <w:rPr>
        <w:rFonts w:ascii="Symbol" w:hAnsi="Symbol" w:hint="default"/>
      </w:rPr>
    </w:lvl>
    <w:lvl w:ilvl="6" w:tplc="5BE286DC" w:tentative="1">
      <w:start w:val="1"/>
      <w:numFmt w:val="bullet"/>
      <w:lvlText w:val=""/>
      <w:lvlJc w:val="left"/>
      <w:pPr>
        <w:tabs>
          <w:tab w:val="num" w:pos="5040"/>
        </w:tabs>
        <w:ind w:left="5040" w:hanging="360"/>
      </w:pPr>
      <w:rPr>
        <w:rFonts w:ascii="Symbol" w:hAnsi="Symbol" w:hint="default"/>
      </w:rPr>
    </w:lvl>
    <w:lvl w:ilvl="7" w:tplc="2CCA9DD0" w:tentative="1">
      <w:start w:val="1"/>
      <w:numFmt w:val="bullet"/>
      <w:lvlText w:val=""/>
      <w:lvlJc w:val="left"/>
      <w:pPr>
        <w:tabs>
          <w:tab w:val="num" w:pos="5760"/>
        </w:tabs>
        <w:ind w:left="5760" w:hanging="360"/>
      </w:pPr>
      <w:rPr>
        <w:rFonts w:ascii="Symbol" w:hAnsi="Symbol" w:hint="default"/>
      </w:rPr>
    </w:lvl>
    <w:lvl w:ilvl="8" w:tplc="E07EE958" w:tentative="1">
      <w:start w:val="1"/>
      <w:numFmt w:val="bullet"/>
      <w:lvlText w:val=""/>
      <w:lvlJc w:val="left"/>
      <w:pPr>
        <w:tabs>
          <w:tab w:val="num" w:pos="6480"/>
        </w:tabs>
        <w:ind w:left="6480" w:hanging="360"/>
      </w:pPr>
      <w:rPr>
        <w:rFonts w:ascii="Symbol" w:hAnsi="Symbol" w:hint="default"/>
      </w:rPr>
    </w:lvl>
  </w:abstractNum>
  <w:abstractNum w:abstractNumId="62" w15:restartNumberingAfterBreak="0">
    <w:nsid w:val="2B6E468E"/>
    <w:multiLevelType w:val="hybridMultilevel"/>
    <w:tmpl w:val="04548724"/>
    <w:lvl w:ilvl="0" w:tplc="102E1484">
      <w:start w:val="1"/>
      <w:numFmt w:val="bullet"/>
      <w:lvlText w:val=""/>
      <w:lvlPicBulletId w:val="0"/>
      <w:lvlJc w:val="left"/>
      <w:pPr>
        <w:tabs>
          <w:tab w:val="num" w:pos="720"/>
        </w:tabs>
        <w:ind w:left="720" w:hanging="360"/>
      </w:pPr>
      <w:rPr>
        <w:rFonts w:ascii="Symbol" w:hAnsi="Symbol" w:hint="default"/>
      </w:rPr>
    </w:lvl>
    <w:lvl w:ilvl="1" w:tplc="655A99F0" w:tentative="1">
      <w:start w:val="1"/>
      <w:numFmt w:val="bullet"/>
      <w:lvlText w:val=""/>
      <w:lvlJc w:val="left"/>
      <w:pPr>
        <w:tabs>
          <w:tab w:val="num" w:pos="1440"/>
        </w:tabs>
        <w:ind w:left="1440" w:hanging="360"/>
      </w:pPr>
      <w:rPr>
        <w:rFonts w:ascii="Symbol" w:hAnsi="Symbol" w:hint="default"/>
      </w:rPr>
    </w:lvl>
    <w:lvl w:ilvl="2" w:tplc="201E7032" w:tentative="1">
      <w:start w:val="1"/>
      <w:numFmt w:val="bullet"/>
      <w:lvlText w:val=""/>
      <w:lvlJc w:val="left"/>
      <w:pPr>
        <w:tabs>
          <w:tab w:val="num" w:pos="2160"/>
        </w:tabs>
        <w:ind w:left="2160" w:hanging="360"/>
      </w:pPr>
      <w:rPr>
        <w:rFonts w:ascii="Symbol" w:hAnsi="Symbol" w:hint="default"/>
      </w:rPr>
    </w:lvl>
    <w:lvl w:ilvl="3" w:tplc="D15EBD1A" w:tentative="1">
      <w:start w:val="1"/>
      <w:numFmt w:val="bullet"/>
      <w:lvlText w:val=""/>
      <w:lvlJc w:val="left"/>
      <w:pPr>
        <w:tabs>
          <w:tab w:val="num" w:pos="2880"/>
        </w:tabs>
        <w:ind w:left="2880" w:hanging="360"/>
      </w:pPr>
      <w:rPr>
        <w:rFonts w:ascii="Symbol" w:hAnsi="Symbol" w:hint="default"/>
      </w:rPr>
    </w:lvl>
    <w:lvl w:ilvl="4" w:tplc="3766BFAC" w:tentative="1">
      <w:start w:val="1"/>
      <w:numFmt w:val="bullet"/>
      <w:lvlText w:val=""/>
      <w:lvlJc w:val="left"/>
      <w:pPr>
        <w:tabs>
          <w:tab w:val="num" w:pos="3600"/>
        </w:tabs>
        <w:ind w:left="3600" w:hanging="360"/>
      </w:pPr>
      <w:rPr>
        <w:rFonts w:ascii="Symbol" w:hAnsi="Symbol" w:hint="default"/>
      </w:rPr>
    </w:lvl>
    <w:lvl w:ilvl="5" w:tplc="C49AFF3C" w:tentative="1">
      <w:start w:val="1"/>
      <w:numFmt w:val="bullet"/>
      <w:lvlText w:val=""/>
      <w:lvlJc w:val="left"/>
      <w:pPr>
        <w:tabs>
          <w:tab w:val="num" w:pos="4320"/>
        </w:tabs>
        <w:ind w:left="4320" w:hanging="360"/>
      </w:pPr>
      <w:rPr>
        <w:rFonts w:ascii="Symbol" w:hAnsi="Symbol" w:hint="default"/>
      </w:rPr>
    </w:lvl>
    <w:lvl w:ilvl="6" w:tplc="471202BA" w:tentative="1">
      <w:start w:val="1"/>
      <w:numFmt w:val="bullet"/>
      <w:lvlText w:val=""/>
      <w:lvlJc w:val="left"/>
      <w:pPr>
        <w:tabs>
          <w:tab w:val="num" w:pos="5040"/>
        </w:tabs>
        <w:ind w:left="5040" w:hanging="360"/>
      </w:pPr>
      <w:rPr>
        <w:rFonts w:ascii="Symbol" w:hAnsi="Symbol" w:hint="default"/>
      </w:rPr>
    </w:lvl>
    <w:lvl w:ilvl="7" w:tplc="FF1EE1B0" w:tentative="1">
      <w:start w:val="1"/>
      <w:numFmt w:val="bullet"/>
      <w:lvlText w:val=""/>
      <w:lvlJc w:val="left"/>
      <w:pPr>
        <w:tabs>
          <w:tab w:val="num" w:pos="5760"/>
        </w:tabs>
        <w:ind w:left="5760" w:hanging="360"/>
      </w:pPr>
      <w:rPr>
        <w:rFonts w:ascii="Symbol" w:hAnsi="Symbol" w:hint="default"/>
      </w:rPr>
    </w:lvl>
    <w:lvl w:ilvl="8" w:tplc="D338948C" w:tentative="1">
      <w:start w:val="1"/>
      <w:numFmt w:val="bullet"/>
      <w:lvlText w:val=""/>
      <w:lvlJc w:val="left"/>
      <w:pPr>
        <w:tabs>
          <w:tab w:val="num" w:pos="6480"/>
        </w:tabs>
        <w:ind w:left="6480" w:hanging="360"/>
      </w:pPr>
      <w:rPr>
        <w:rFonts w:ascii="Symbol" w:hAnsi="Symbol" w:hint="default"/>
      </w:rPr>
    </w:lvl>
  </w:abstractNum>
  <w:abstractNum w:abstractNumId="63" w15:restartNumberingAfterBreak="0">
    <w:nsid w:val="2B940C89"/>
    <w:multiLevelType w:val="hybridMultilevel"/>
    <w:tmpl w:val="0C22B6B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4" w15:restartNumberingAfterBreak="0">
    <w:nsid w:val="2CAC02DE"/>
    <w:multiLevelType w:val="hybridMultilevel"/>
    <w:tmpl w:val="85989592"/>
    <w:lvl w:ilvl="0" w:tplc="08D2AB58">
      <w:start w:val="1"/>
      <w:numFmt w:val="bullet"/>
      <w:lvlText w:val="&gt;"/>
      <w:lvlJc w:val="left"/>
      <w:pPr>
        <w:ind w:left="1015" w:hanging="360"/>
      </w:pPr>
      <w:rPr>
        <w:rFonts w:ascii="HelveticaNeueLT Std Lt" w:hAnsi="HelveticaNeueLT Std Lt" w:hint="default"/>
        <w:sz w:val="20"/>
      </w:rPr>
    </w:lvl>
    <w:lvl w:ilvl="1" w:tplc="08D2AB58">
      <w:start w:val="1"/>
      <w:numFmt w:val="bullet"/>
      <w:lvlText w:val="&gt;"/>
      <w:lvlJc w:val="left"/>
      <w:pPr>
        <w:ind w:left="1735" w:hanging="360"/>
      </w:pPr>
      <w:rPr>
        <w:rFonts w:ascii="HelveticaNeueLT Std Lt" w:hAnsi="HelveticaNeueLT Std Lt" w:hint="default"/>
        <w:sz w:val="20"/>
      </w:rPr>
    </w:lvl>
    <w:lvl w:ilvl="2" w:tplc="0C090005" w:tentative="1">
      <w:start w:val="1"/>
      <w:numFmt w:val="bullet"/>
      <w:lvlText w:val=""/>
      <w:lvlJc w:val="left"/>
      <w:pPr>
        <w:ind w:left="2455" w:hanging="360"/>
      </w:pPr>
      <w:rPr>
        <w:rFonts w:ascii="Wingdings" w:hAnsi="Wingdings" w:hint="default"/>
      </w:rPr>
    </w:lvl>
    <w:lvl w:ilvl="3" w:tplc="0C090001" w:tentative="1">
      <w:start w:val="1"/>
      <w:numFmt w:val="bullet"/>
      <w:lvlText w:val=""/>
      <w:lvlJc w:val="left"/>
      <w:pPr>
        <w:ind w:left="3175" w:hanging="360"/>
      </w:pPr>
      <w:rPr>
        <w:rFonts w:ascii="Symbol" w:hAnsi="Symbol" w:hint="default"/>
      </w:rPr>
    </w:lvl>
    <w:lvl w:ilvl="4" w:tplc="0C090003" w:tentative="1">
      <w:start w:val="1"/>
      <w:numFmt w:val="bullet"/>
      <w:lvlText w:val="o"/>
      <w:lvlJc w:val="left"/>
      <w:pPr>
        <w:ind w:left="3895" w:hanging="360"/>
      </w:pPr>
      <w:rPr>
        <w:rFonts w:ascii="Courier New" w:hAnsi="Courier New" w:cs="Courier New" w:hint="default"/>
      </w:rPr>
    </w:lvl>
    <w:lvl w:ilvl="5" w:tplc="0C090005" w:tentative="1">
      <w:start w:val="1"/>
      <w:numFmt w:val="bullet"/>
      <w:lvlText w:val=""/>
      <w:lvlJc w:val="left"/>
      <w:pPr>
        <w:ind w:left="4615" w:hanging="360"/>
      </w:pPr>
      <w:rPr>
        <w:rFonts w:ascii="Wingdings" w:hAnsi="Wingdings" w:hint="default"/>
      </w:rPr>
    </w:lvl>
    <w:lvl w:ilvl="6" w:tplc="0C090001" w:tentative="1">
      <w:start w:val="1"/>
      <w:numFmt w:val="bullet"/>
      <w:lvlText w:val=""/>
      <w:lvlJc w:val="left"/>
      <w:pPr>
        <w:ind w:left="5335" w:hanging="360"/>
      </w:pPr>
      <w:rPr>
        <w:rFonts w:ascii="Symbol" w:hAnsi="Symbol" w:hint="default"/>
      </w:rPr>
    </w:lvl>
    <w:lvl w:ilvl="7" w:tplc="0C090003" w:tentative="1">
      <w:start w:val="1"/>
      <w:numFmt w:val="bullet"/>
      <w:lvlText w:val="o"/>
      <w:lvlJc w:val="left"/>
      <w:pPr>
        <w:ind w:left="6055" w:hanging="360"/>
      </w:pPr>
      <w:rPr>
        <w:rFonts w:ascii="Courier New" w:hAnsi="Courier New" w:cs="Courier New" w:hint="default"/>
      </w:rPr>
    </w:lvl>
    <w:lvl w:ilvl="8" w:tplc="0C090005" w:tentative="1">
      <w:start w:val="1"/>
      <w:numFmt w:val="bullet"/>
      <w:lvlText w:val=""/>
      <w:lvlJc w:val="left"/>
      <w:pPr>
        <w:ind w:left="6775" w:hanging="360"/>
      </w:pPr>
      <w:rPr>
        <w:rFonts w:ascii="Wingdings" w:hAnsi="Wingdings" w:hint="default"/>
      </w:rPr>
    </w:lvl>
  </w:abstractNum>
  <w:abstractNum w:abstractNumId="65" w15:restartNumberingAfterBreak="0">
    <w:nsid w:val="2CBD1A11"/>
    <w:multiLevelType w:val="hybridMultilevel"/>
    <w:tmpl w:val="58C858FA"/>
    <w:lvl w:ilvl="0" w:tplc="08D2AB58">
      <w:start w:val="1"/>
      <w:numFmt w:val="bullet"/>
      <w:lvlText w:val="&gt;"/>
      <w:lvlJc w:val="left"/>
      <w:pPr>
        <w:ind w:left="720" w:hanging="360"/>
      </w:pPr>
      <w:rPr>
        <w:rFonts w:ascii="HelveticaNeueLT Std Lt" w:hAnsi="HelveticaNeueLT Std L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6" w15:restartNumberingAfterBreak="0">
    <w:nsid w:val="2D3F10F3"/>
    <w:multiLevelType w:val="hybridMultilevel"/>
    <w:tmpl w:val="FBAEFEA0"/>
    <w:lvl w:ilvl="0" w:tplc="08D2AB58">
      <w:start w:val="1"/>
      <w:numFmt w:val="bullet"/>
      <w:lvlText w:val="&gt;"/>
      <w:lvlJc w:val="left"/>
      <w:pPr>
        <w:ind w:left="1469" w:hanging="360"/>
      </w:pPr>
      <w:rPr>
        <w:rFonts w:ascii="HelveticaNeueLT Std Lt" w:hAnsi="HelveticaNeueLT Std Lt" w:hint="default"/>
        <w:sz w:val="20"/>
      </w:rPr>
    </w:lvl>
    <w:lvl w:ilvl="1" w:tplc="0C090003">
      <w:start w:val="1"/>
      <w:numFmt w:val="bullet"/>
      <w:lvlText w:val="o"/>
      <w:lvlJc w:val="left"/>
      <w:pPr>
        <w:ind w:left="2189" w:hanging="360"/>
      </w:pPr>
      <w:rPr>
        <w:rFonts w:ascii="Courier New" w:hAnsi="Courier New" w:cs="Courier New" w:hint="default"/>
      </w:rPr>
    </w:lvl>
    <w:lvl w:ilvl="2" w:tplc="0C090005" w:tentative="1">
      <w:start w:val="1"/>
      <w:numFmt w:val="bullet"/>
      <w:lvlText w:val=""/>
      <w:lvlJc w:val="left"/>
      <w:pPr>
        <w:ind w:left="2909" w:hanging="360"/>
      </w:pPr>
      <w:rPr>
        <w:rFonts w:ascii="Wingdings" w:hAnsi="Wingdings" w:hint="default"/>
      </w:rPr>
    </w:lvl>
    <w:lvl w:ilvl="3" w:tplc="0C090001" w:tentative="1">
      <w:start w:val="1"/>
      <w:numFmt w:val="bullet"/>
      <w:lvlText w:val=""/>
      <w:lvlJc w:val="left"/>
      <w:pPr>
        <w:ind w:left="3629" w:hanging="360"/>
      </w:pPr>
      <w:rPr>
        <w:rFonts w:ascii="Symbol" w:hAnsi="Symbol" w:hint="default"/>
      </w:rPr>
    </w:lvl>
    <w:lvl w:ilvl="4" w:tplc="0C090003" w:tentative="1">
      <w:start w:val="1"/>
      <w:numFmt w:val="bullet"/>
      <w:lvlText w:val="o"/>
      <w:lvlJc w:val="left"/>
      <w:pPr>
        <w:ind w:left="4349" w:hanging="360"/>
      </w:pPr>
      <w:rPr>
        <w:rFonts w:ascii="Courier New" w:hAnsi="Courier New" w:cs="Courier New" w:hint="default"/>
      </w:rPr>
    </w:lvl>
    <w:lvl w:ilvl="5" w:tplc="0C090005" w:tentative="1">
      <w:start w:val="1"/>
      <w:numFmt w:val="bullet"/>
      <w:lvlText w:val=""/>
      <w:lvlJc w:val="left"/>
      <w:pPr>
        <w:ind w:left="5069" w:hanging="360"/>
      </w:pPr>
      <w:rPr>
        <w:rFonts w:ascii="Wingdings" w:hAnsi="Wingdings" w:hint="default"/>
      </w:rPr>
    </w:lvl>
    <w:lvl w:ilvl="6" w:tplc="0C090001" w:tentative="1">
      <w:start w:val="1"/>
      <w:numFmt w:val="bullet"/>
      <w:lvlText w:val=""/>
      <w:lvlJc w:val="left"/>
      <w:pPr>
        <w:ind w:left="5789" w:hanging="360"/>
      </w:pPr>
      <w:rPr>
        <w:rFonts w:ascii="Symbol" w:hAnsi="Symbol" w:hint="default"/>
      </w:rPr>
    </w:lvl>
    <w:lvl w:ilvl="7" w:tplc="0C090003" w:tentative="1">
      <w:start w:val="1"/>
      <w:numFmt w:val="bullet"/>
      <w:lvlText w:val="o"/>
      <w:lvlJc w:val="left"/>
      <w:pPr>
        <w:ind w:left="6509" w:hanging="360"/>
      </w:pPr>
      <w:rPr>
        <w:rFonts w:ascii="Courier New" w:hAnsi="Courier New" w:cs="Courier New" w:hint="default"/>
      </w:rPr>
    </w:lvl>
    <w:lvl w:ilvl="8" w:tplc="0C090005" w:tentative="1">
      <w:start w:val="1"/>
      <w:numFmt w:val="bullet"/>
      <w:lvlText w:val=""/>
      <w:lvlJc w:val="left"/>
      <w:pPr>
        <w:ind w:left="7229" w:hanging="360"/>
      </w:pPr>
      <w:rPr>
        <w:rFonts w:ascii="Wingdings" w:hAnsi="Wingdings" w:hint="default"/>
      </w:rPr>
    </w:lvl>
  </w:abstractNum>
  <w:abstractNum w:abstractNumId="67" w15:restartNumberingAfterBreak="0">
    <w:nsid w:val="2E9C4DD8"/>
    <w:multiLevelType w:val="hybridMultilevel"/>
    <w:tmpl w:val="40D0BD20"/>
    <w:lvl w:ilvl="0" w:tplc="25B4EB1E">
      <w:start w:val="1"/>
      <w:numFmt w:val="bullet"/>
      <w:lvlText w:val=""/>
      <w:lvlPicBulletId w:val="0"/>
      <w:lvlJc w:val="left"/>
      <w:pPr>
        <w:tabs>
          <w:tab w:val="num" w:pos="720"/>
        </w:tabs>
        <w:ind w:left="720" w:hanging="360"/>
      </w:pPr>
      <w:rPr>
        <w:rFonts w:ascii="Symbol" w:hAnsi="Symbol" w:hint="default"/>
      </w:rPr>
    </w:lvl>
    <w:lvl w:ilvl="1" w:tplc="93DE1D86" w:tentative="1">
      <w:start w:val="1"/>
      <w:numFmt w:val="bullet"/>
      <w:lvlText w:val=""/>
      <w:lvlJc w:val="left"/>
      <w:pPr>
        <w:tabs>
          <w:tab w:val="num" w:pos="1440"/>
        </w:tabs>
        <w:ind w:left="1440" w:hanging="360"/>
      </w:pPr>
      <w:rPr>
        <w:rFonts w:ascii="Symbol" w:hAnsi="Symbol" w:hint="default"/>
      </w:rPr>
    </w:lvl>
    <w:lvl w:ilvl="2" w:tplc="E918C3D8" w:tentative="1">
      <w:start w:val="1"/>
      <w:numFmt w:val="bullet"/>
      <w:lvlText w:val=""/>
      <w:lvlJc w:val="left"/>
      <w:pPr>
        <w:tabs>
          <w:tab w:val="num" w:pos="2160"/>
        </w:tabs>
        <w:ind w:left="2160" w:hanging="360"/>
      </w:pPr>
      <w:rPr>
        <w:rFonts w:ascii="Symbol" w:hAnsi="Symbol" w:hint="default"/>
      </w:rPr>
    </w:lvl>
    <w:lvl w:ilvl="3" w:tplc="D8B05DB4" w:tentative="1">
      <w:start w:val="1"/>
      <w:numFmt w:val="bullet"/>
      <w:lvlText w:val=""/>
      <w:lvlJc w:val="left"/>
      <w:pPr>
        <w:tabs>
          <w:tab w:val="num" w:pos="2880"/>
        </w:tabs>
        <w:ind w:left="2880" w:hanging="360"/>
      </w:pPr>
      <w:rPr>
        <w:rFonts w:ascii="Symbol" w:hAnsi="Symbol" w:hint="default"/>
      </w:rPr>
    </w:lvl>
    <w:lvl w:ilvl="4" w:tplc="26120274" w:tentative="1">
      <w:start w:val="1"/>
      <w:numFmt w:val="bullet"/>
      <w:lvlText w:val=""/>
      <w:lvlJc w:val="left"/>
      <w:pPr>
        <w:tabs>
          <w:tab w:val="num" w:pos="3600"/>
        </w:tabs>
        <w:ind w:left="3600" w:hanging="360"/>
      </w:pPr>
      <w:rPr>
        <w:rFonts w:ascii="Symbol" w:hAnsi="Symbol" w:hint="default"/>
      </w:rPr>
    </w:lvl>
    <w:lvl w:ilvl="5" w:tplc="9B2C6CC4" w:tentative="1">
      <w:start w:val="1"/>
      <w:numFmt w:val="bullet"/>
      <w:lvlText w:val=""/>
      <w:lvlJc w:val="left"/>
      <w:pPr>
        <w:tabs>
          <w:tab w:val="num" w:pos="4320"/>
        </w:tabs>
        <w:ind w:left="4320" w:hanging="360"/>
      </w:pPr>
      <w:rPr>
        <w:rFonts w:ascii="Symbol" w:hAnsi="Symbol" w:hint="default"/>
      </w:rPr>
    </w:lvl>
    <w:lvl w:ilvl="6" w:tplc="16AAD7C0" w:tentative="1">
      <w:start w:val="1"/>
      <w:numFmt w:val="bullet"/>
      <w:lvlText w:val=""/>
      <w:lvlJc w:val="left"/>
      <w:pPr>
        <w:tabs>
          <w:tab w:val="num" w:pos="5040"/>
        </w:tabs>
        <w:ind w:left="5040" w:hanging="360"/>
      </w:pPr>
      <w:rPr>
        <w:rFonts w:ascii="Symbol" w:hAnsi="Symbol" w:hint="default"/>
      </w:rPr>
    </w:lvl>
    <w:lvl w:ilvl="7" w:tplc="6FC427A8" w:tentative="1">
      <w:start w:val="1"/>
      <w:numFmt w:val="bullet"/>
      <w:lvlText w:val=""/>
      <w:lvlJc w:val="left"/>
      <w:pPr>
        <w:tabs>
          <w:tab w:val="num" w:pos="5760"/>
        </w:tabs>
        <w:ind w:left="5760" w:hanging="360"/>
      </w:pPr>
      <w:rPr>
        <w:rFonts w:ascii="Symbol" w:hAnsi="Symbol" w:hint="default"/>
      </w:rPr>
    </w:lvl>
    <w:lvl w:ilvl="8" w:tplc="A21E073A" w:tentative="1">
      <w:start w:val="1"/>
      <w:numFmt w:val="bullet"/>
      <w:lvlText w:val=""/>
      <w:lvlJc w:val="left"/>
      <w:pPr>
        <w:tabs>
          <w:tab w:val="num" w:pos="6480"/>
        </w:tabs>
        <w:ind w:left="6480" w:hanging="360"/>
      </w:pPr>
      <w:rPr>
        <w:rFonts w:ascii="Symbol" w:hAnsi="Symbol" w:hint="default"/>
      </w:rPr>
    </w:lvl>
  </w:abstractNum>
  <w:abstractNum w:abstractNumId="68" w15:restartNumberingAfterBreak="0">
    <w:nsid w:val="2ECF6AC0"/>
    <w:multiLevelType w:val="hybridMultilevel"/>
    <w:tmpl w:val="397A5874"/>
    <w:lvl w:ilvl="0" w:tplc="D88610F4">
      <w:start w:val="1"/>
      <w:numFmt w:val="bullet"/>
      <w:lvlText w:val=""/>
      <w:lvlPicBulletId w:val="1"/>
      <w:lvlJc w:val="left"/>
      <w:pPr>
        <w:tabs>
          <w:tab w:val="num" w:pos="720"/>
        </w:tabs>
        <w:ind w:left="720" w:hanging="360"/>
      </w:pPr>
      <w:rPr>
        <w:rFonts w:ascii="Symbol" w:hAnsi="Symbol" w:hint="default"/>
      </w:rPr>
    </w:lvl>
    <w:lvl w:ilvl="1" w:tplc="D5B287DE" w:tentative="1">
      <w:start w:val="1"/>
      <w:numFmt w:val="bullet"/>
      <w:lvlText w:val=""/>
      <w:lvlJc w:val="left"/>
      <w:pPr>
        <w:tabs>
          <w:tab w:val="num" w:pos="1440"/>
        </w:tabs>
        <w:ind w:left="1440" w:hanging="360"/>
      </w:pPr>
      <w:rPr>
        <w:rFonts w:ascii="Symbol" w:hAnsi="Symbol" w:hint="default"/>
      </w:rPr>
    </w:lvl>
    <w:lvl w:ilvl="2" w:tplc="F9A02250" w:tentative="1">
      <w:start w:val="1"/>
      <w:numFmt w:val="bullet"/>
      <w:lvlText w:val=""/>
      <w:lvlJc w:val="left"/>
      <w:pPr>
        <w:tabs>
          <w:tab w:val="num" w:pos="2160"/>
        </w:tabs>
        <w:ind w:left="2160" w:hanging="360"/>
      </w:pPr>
      <w:rPr>
        <w:rFonts w:ascii="Symbol" w:hAnsi="Symbol" w:hint="default"/>
      </w:rPr>
    </w:lvl>
    <w:lvl w:ilvl="3" w:tplc="CD54896E" w:tentative="1">
      <w:start w:val="1"/>
      <w:numFmt w:val="bullet"/>
      <w:lvlText w:val=""/>
      <w:lvlJc w:val="left"/>
      <w:pPr>
        <w:tabs>
          <w:tab w:val="num" w:pos="2880"/>
        </w:tabs>
        <w:ind w:left="2880" w:hanging="360"/>
      </w:pPr>
      <w:rPr>
        <w:rFonts w:ascii="Symbol" w:hAnsi="Symbol" w:hint="default"/>
      </w:rPr>
    </w:lvl>
    <w:lvl w:ilvl="4" w:tplc="C2D62CC6" w:tentative="1">
      <w:start w:val="1"/>
      <w:numFmt w:val="bullet"/>
      <w:lvlText w:val=""/>
      <w:lvlJc w:val="left"/>
      <w:pPr>
        <w:tabs>
          <w:tab w:val="num" w:pos="3600"/>
        </w:tabs>
        <w:ind w:left="3600" w:hanging="360"/>
      </w:pPr>
      <w:rPr>
        <w:rFonts w:ascii="Symbol" w:hAnsi="Symbol" w:hint="default"/>
      </w:rPr>
    </w:lvl>
    <w:lvl w:ilvl="5" w:tplc="2CF41092" w:tentative="1">
      <w:start w:val="1"/>
      <w:numFmt w:val="bullet"/>
      <w:lvlText w:val=""/>
      <w:lvlJc w:val="left"/>
      <w:pPr>
        <w:tabs>
          <w:tab w:val="num" w:pos="4320"/>
        </w:tabs>
        <w:ind w:left="4320" w:hanging="360"/>
      </w:pPr>
      <w:rPr>
        <w:rFonts w:ascii="Symbol" w:hAnsi="Symbol" w:hint="default"/>
      </w:rPr>
    </w:lvl>
    <w:lvl w:ilvl="6" w:tplc="28EAED3E" w:tentative="1">
      <w:start w:val="1"/>
      <w:numFmt w:val="bullet"/>
      <w:lvlText w:val=""/>
      <w:lvlJc w:val="left"/>
      <w:pPr>
        <w:tabs>
          <w:tab w:val="num" w:pos="5040"/>
        </w:tabs>
        <w:ind w:left="5040" w:hanging="360"/>
      </w:pPr>
      <w:rPr>
        <w:rFonts w:ascii="Symbol" w:hAnsi="Symbol" w:hint="default"/>
      </w:rPr>
    </w:lvl>
    <w:lvl w:ilvl="7" w:tplc="0F08EA06" w:tentative="1">
      <w:start w:val="1"/>
      <w:numFmt w:val="bullet"/>
      <w:lvlText w:val=""/>
      <w:lvlJc w:val="left"/>
      <w:pPr>
        <w:tabs>
          <w:tab w:val="num" w:pos="5760"/>
        </w:tabs>
        <w:ind w:left="5760" w:hanging="360"/>
      </w:pPr>
      <w:rPr>
        <w:rFonts w:ascii="Symbol" w:hAnsi="Symbol" w:hint="default"/>
      </w:rPr>
    </w:lvl>
    <w:lvl w:ilvl="8" w:tplc="946EEA9E" w:tentative="1">
      <w:start w:val="1"/>
      <w:numFmt w:val="bullet"/>
      <w:lvlText w:val=""/>
      <w:lvlJc w:val="left"/>
      <w:pPr>
        <w:tabs>
          <w:tab w:val="num" w:pos="6480"/>
        </w:tabs>
        <w:ind w:left="6480" w:hanging="360"/>
      </w:pPr>
      <w:rPr>
        <w:rFonts w:ascii="Symbol" w:hAnsi="Symbol" w:hint="default"/>
      </w:rPr>
    </w:lvl>
  </w:abstractNum>
  <w:abstractNum w:abstractNumId="69" w15:restartNumberingAfterBreak="0">
    <w:nsid w:val="2EF401C6"/>
    <w:multiLevelType w:val="hybridMultilevel"/>
    <w:tmpl w:val="939C58CC"/>
    <w:lvl w:ilvl="0" w:tplc="F9F0121E">
      <w:start w:val="1"/>
      <w:numFmt w:val="bullet"/>
      <w:lvlText w:val=""/>
      <w:lvlPicBulletId w:val="1"/>
      <w:lvlJc w:val="left"/>
      <w:pPr>
        <w:tabs>
          <w:tab w:val="num" w:pos="720"/>
        </w:tabs>
        <w:ind w:left="720" w:hanging="360"/>
      </w:pPr>
      <w:rPr>
        <w:rFonts w:ascii="Symbol" w:hAnsi="Symbol" w:hint="default"/>
      </w:rPr>
    </w:lvl>
    <w:lvl w:ilvl="1" w:tplc="461E7402" w:tentative="1">
      <w:start w:val="1"/>
      <w:numFmt w:val="bullet"/>
      <w:lvlText w:val=""/>
      <w:lvlJc w:val="left"/>
      <w:pPr>
        <w:tabs>
          <w:tab w:val="num" w:pos="1440"/>
        </w:tabs>
        <w:ind w:left="1440" w:hanging="360"/>
      </w:pPr>
      <w:rPr>
        <w:rFonts w:ascii="Symbol" w:hAnsi="Symbol" w:hint="default"/>
      </w:rPr>
    </w:lvl>
    <w:lvl w:ilvl="2" w:tplc="12E68166" w:tentative="1">
      <w:start w:val="1"/>
      <w:numFmt w:val="bullet"/>
      <w:lvlText w:val=""/>
      <w:lvlJc w:val="left"/>
      <w:pPr>
        <w:tabs>
          <w:tab w:val="num" w:pos="2160"/>
        </w:tabs>
        <w:ind w:left="2160" w:hanging="360"/>
      </w:pPr>
      <w:rPr>
        <w:rFonts w:ascii="Symbol" w:hAnsi="Symbol" w:hint="default"/>
      </w:rPr>
    </w:lvl>
    <w:lvl w:ilvl="3" w:tplc="A9B073C8" w:tentative="1">
      <w:start w:val="1"/>
      <w:numFmt w:val="bullet"/>
      <w:lvlText w:val=""/>
      <w:lvlJc w:val="left"/>
      <w:pPr>
        <w:tabs>
          <w:tab w:val="num" w:pos="2880"/>
        </w:tabs>
        <w:ind w:left="2880" w:hanging="360"/>
      </w:pPr>
      <w:rPr>
        <w:rFonts w:ascii="Symbol" w:hAnsi="Symbol" w:hint="default"/>
      </w:rPr>
    </w:lvl>
    <w:lvl w:ilvl="4" w:tplc="2542AAA8" w:tentative="1">
      <w:start w:val="1"/>
      <w:numFmt w:val="bullet"/>
      <w:lvlText w:val=""/>
      <w:lvlJc w:val="left"/>
      <w:pPr>
        <w:tabs>
          <w:tab w:val="num" w:pos="3600"/>
        </w:tabs>
        <w:ind w:left="3600" w:hanging="360"/>
      </w:pPr>
      <w:rPr>
        <w:rFonts w:ascii="Symbol" w:hAnsi="Symbol" w:hint="default"/>
      </w:rPr>
    </w:lvl>
    <w:lvl w:ilvl="5" w:tplc="7996FB1E" w:tentative="1">
      <w:start w:val="1"/>
      <w:numFmt w:val="bullet"/>
      <w:lvlText w:val=""/>
      <w:lvlJc w:val="left"/>
      <w:pPr>
        <w:tabs>
          <w:tab w:val="num" w:pos="4320"/>
        </w:tabs>
        <w:ind w:left="4320" w:hanging="360"/>
      </w:pPr>
      <w:rPr>
        <w:rFonts w:ascii="Symbol" w:hAnsi="Symbol" w:hint="default"/>
      </w:rPr>
    </w:lvl>
    <w:lvl w:ilvl="6" w:tplc="64D82B36" w:tentative="1">
      <w:start w:val="1"/>
      <w:numFmt w:val="bullet"/>
      <w:lvlText w:val=""/>
      <w:lvlJc w:val="left"/>
      <w:pPr>
        <w:tabs>
          <w:tab w:val="num" w:pos="5040"/>
        </w:tabs>
        <w:ind w:left="5040" w:hanging="360"/>
      </w:pPr>
      <w:rPr>
        <w:rFonts w:ascii="Symbol" w:hAnsi="Symbol" w:hint="default"/>
      </w:rPr>
    </w:lvl>
    <w:lvl w:ilvl="7" w:tplc="2632C1EC" w:tentative="1">
      <w:start w:val="1"/>
      <w:numFmt w:val="bullet"/>
      <w:lvlText w:val=""/>
      <w:lvlJc w:val="left"/>
      <w:pPr>
        <w:tabs>
          <w:tab w:val="num" w:pos="5760"/>
        </w:tabs>
        <w:ind w:left="5760" w:hanging="360"/>
      </w:pPr>
      <w:rPr>
        <w:rFonts w:ascii="Symbol" w:hAnsi="Symbol" w:hint="default"/>
      </w:rPr>
    </w:lvl>
    <w:lvl w:ilvl="8" w:tplc="F6828CCE" w:tentative="1">
      <w:start w:val="1"/>
      <w:numFmt w:val="bullet"/>
      <w:lvlText w:val=""/>
      <w:lvlJc w:val="left"/>
      <w:pPr>
        <w:tabs>
          <w:tab w:val="num" w:pos="6480"/>
        </w:tabs>
        <w:ind w:left="6480" w:hanging="360"/>
      </w:pPr>
      <w:rPr>
        <w:rFonts w:ascii="Symbol" w:hAnsi="Symbol" w:hint="default"/>
      </w:rPr>
    </w:lvl>
  </w:abstractNum>
  <w:abstractNum w:abstractNumId="70" w15:restartNumberingAfterBreak="0">
    <w:nsid w:val="2F5A5080"/>
    <w:multiLevelType w:val="hybridMultilevel"/>
    <w:tmpl w:val="24705096"/>
    <w:lvl w:ilvl="0" w:tplc="2668C79A">
      <w:start w:val="1"/>
      <w:numFmt w:val="bullet"/>
      <w:pStyle w:val="ACMABulletLevel1"/>
      <w:lvlText w:val="●"/>
      <w:lvlJc w:val="left"/>
      <w:pPr>
        <w:tabs>
          <w:tab w:val="num" w:pos="-31680"/>
        </w:tabs>
        <w:ind w:left="357" w:hanging="357"/>
      </w:pPr>
      <w:rPr>
        <w:rFonts w:ascii="Times New Roman" w:hAnsi="Times New Roman" w:cs="Times New Roman"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71" w15:restartNumberingAfterBreak="0">
    <w:nsid w:val="2FF33F37"/>
    <w:multiLevelType w:val="hybridMultilevel"/>
    <w:tmpl w:val="BE64AB4C"/>
    <w:lvl w:ilvl="0" w:tplc="04F8DAF6">
      <w:start w:val="1"/>
      <w:numFmt w:val="bullet"/>
      <w:lvlText w:val=""/>
      <w:lvlPicBulletId w:val="1"/>
      <w:lvlJc w:val="left"/>
      <w:pPr>
        <w:tabs>
          <w:tab w:val="num" w:pos="720"/>
        </w:tabs>
        <w:ind w:left="720" w:hanging="360"/>
      </w:pPr>
      <w:rPr>
        <w:rFonts w:ascii="Symbol" w:hAnsi="Symbol" w:hint="default"/>
      </w:rPr>
    </w:lvl>
    <w:lvl w:ilvl="1" w:tplc="9D542FB6" w:tentative="1">
      <w:start w:val="1"/>
      <w:numFmt w:val="bullet"/>
      <w:lvlText w:val=""/>
      <w:lvlJc w:val="left"/>
      <w:pPr>
        <w:tabs>
          <w:tab w:val="num" w:pos="1440"/>
        </w:tabs>
        <w:ind w:left="1440" w:hanging="360"/>
      </w:pPr>
      <w:rPr>
        <w:rFonts w:ascii="Symbol" w:hAnsi="Symbol" w:hint="default"/>
      </w:rPr>
    </w:lvl>
    <w:lvl w:ilvl="2" w:tplc="DC8A2BF2" w:tentative="1">
      <w:start w:val="1"/>
      <w:numFmt w:val="bullet"/>
      <w:lvlText w:val=""/>
      <w:lvlJc w:val="left"/>
      <w:pPr>
        <w:tabs>
          <w:tab w:val="num" w:pos="2160"/>
        </w:tabs>
        <w:ind w:left="2160" w:hanging="360"/>
      </w:pPr>
      <w:rPr>
        <w:rFonts w:ascii="Symbol" w:hAnsi="Symbol" w:hint="default"/>
      </w:rPr>
    </w:lvl>
    <w:lvl w:ilvl="3" w:tplc="3F4EF312" w:tentative="1">
      <w:start w:val="1"/>
      <w:numFmt w:val="bullet"/>
      <w:lvlText w:val=""/>
      <w:lvlJc w:val="left"/>
      <w:pPr>
        <w:tabs>
          <w:tab w:val="num" w:pos="2880"/>
        </w:tabs>
        <w:ind w:left="2880" w:hanging="360"/>
      </w:pPr>
      <w:rPr>
        <w:rFonts w:ascii="Symbol" w:hAnsi="Symbol" w:hint="default"/>
      </w:rPr>
    </w:lvl>
    <w:lvl w:ilvl="4" w:tplc="95264C0E" w:tentative="1">
      <w:start w:val="1"/>
      <w:numFmt w:val="bullet"/>
      <w:lvlText w:val=""/>
      <w:lvlJc w:val="left"/>
      <w:pPr>
        <w:tabs>
          <w:tab w:val="num" w:pos="3600"/>
        </w:tabs>
        <w:ind w:left="3600" w:hanging="360"/>
      </w:pPr>
      <w:rPr>
        <w:rFonts w:ascii="Symbol" w:hAnsi="Symbol" w:hint="default"/>
      </w:rPr>
    </w:lvl>
    <w:lvl w:ilvl="5" w:tplc="2460CB66" w:tentative="1">
      <w:start w:val="1"/>
      <w:numFmt w:val="bullet"/>
      <w:lvlText w:val=""/>
      <w:lvlJc w:val="left"/>
      <w:pPr>
        <w:tabs>
          <w:tab w:val="num" w:pos="4320"/>
        </w:tabs>
        <w:ind w:left="4320" w:hanging="360"/>
      </w:pPr>
      <w:rPr>
        <w:rFonts w:ascii="Symbol" w:hAnsi="Symbol" w:hint="default"/>
      </w:rPr>
    </w:lvl>
    <w:lvl w:ilvl="6" w:tplc="9F68E70C" w:tentative="1">
      <w:start w:val="1"/>
      <w:numFmt w:val="bullet"/>
      <w:lvlText w:val=""/>
      <w:lvlJc w:val="left"/>
      <w:pPr>
        <w:tabs>
          <w:tab w:val="num" w:pos="5040"/>
        </w:tabs>
        <w:ind w:left="5040" w:hanging="360"/>
      </w:pPr>
      <w:rPr>
        <w:rFonts w:ascii="Symbol" w:hAnsi="Symbol" w:hint="default"/>
      </w:rPr>
    </w:lvl>
    <w:lvl w:ilvl="7" w:tplc="78AE3788" w:tentative="1">
      <w:start w:val="1"/>
      <w:numFmt w:val="bullet"/>
      <w:lvlText w:val=""/>
      <w:lvlJc w:val="left"/>
      <w:pPr>
        <w:tabs>
          <w:tab w:val="num" w:pos="5760"/>
        </w:tabs>
        <w:ind w:left="5760" w:hanging="360"/>
      </w:pPr>
      <w:rPr>
        <w:rFonts w:ascii="Symbol" w:hAnsi="Symbol" w:hint="default"/>
      </w:rPr>
    </w:lvl>
    <w:lvl w:ilvl="8" w:tplc="BDA4EA36" w:tentative="1">
      <w:start w:val="1"/>
      <w:numFmt w:val="bullet"/>
      <w:lvlText w:val=""/>
      <w:lvlJc w:val="left"/>
      <w:pPr>
        <w:tabs>
          <w:tab w:val="num" w:pos="6480"/>
        </w:tabs>
        <w:ind w:left="6480" w:hanging="360"/>
      </w:pPr>
      <w:rPr>
        <w:rFonts w:ascii="Symbol" w:hAnsi="Symbol" w:hint="default"/>
      </w:rPr>
    </w:lvl>
  </w:abstractNum>
  <w:abstractNum w:abstractNumId="72" w15:restartNumberingAfterBreak="0">
    <w:nsid w:val="30530E9F"/>
    <w:multiLevelType w:val="hybridMultilevel"/>
    <w:tmpl w:val="3D94D9FC"/>
    <w:lvl w:ilvl="0" w:tplc="08D2AB5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3" w15:restartNumberingAfterBreak="0">
    <w:nsid w:val="31FF50AE"/>
    <w:multiLevelType w:val="hybridMultilevel"/>
    <w:tmpl w:val="DC8C9312"/>
    <w:lvl w:ilvl="0" w:tplc="08D2AB5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4" w15:restartNumberingAfterBreak="0">
    <w:nsid w:val="32F81F4F"/>
    <w:multiLevelType w:val="hybridMultilevel"/>
    <w:tmpl w:val="C5FA9E9A"/>
    <w:lvl w:ilvl="0" w:tplc="E63C1E18">
      <w:start w:val="1"/>
      <w:numFmt w:val="bullet"/>
      <w:lvlText w:val=""/>
      <w:lvlPicBulletId w:val="1"/>
      <w:lvlJc w:val="left"/>
      <w:pPr>
        <w:tabs>
          <w:tab w:val="num" w:pos="720"/>
        </w:tabs>
        <w:ind w:left="720" w:hanging="360"/>
      </w:pPr>
      <w:rPr>
        <w:rFonts w:ascii="Symbol" w:hAnsi="Symbol" w:hint="default"/>
      </w:rPr>
    </w:lvl>
    <w:lvl w:ilvl="1" w:tplc="E778A32C" w:tentative="1">
      <w:start w:val="1"/>
      <w:numFmt w:val="bullet"/>
      <w:lvlText w:val=""/>
      <w:lvlJc w:val="left"/>
      <w:pPr>
        <w:tabs>
          <w:tab w:val="num" w:pos="1440"/>
        </w:tabs>
        <w:ind w:left="1440" w:hanging="360"/>
      </w:pPr>
      <w:rPr>
        <w:rFonts w:ascii="Symbol" w:hAnsi="Symbol" w:hint="default"/>
      </w:rPr>
    </w:lvl>
    <w:lvl w:ilvl="2" w:tplc="61EAC4B8" w:tentative="1">
      <w:start w:val="1"/>
      <w:numFmt w:val="bullet"/>
      <w:lvlText w:val=""/>
      <w:lvlJc w:val="left"/>
      <w:pPr>
        <w:tabs>
          <w:tab w:val="num" w:pos="2160"/>
        </w:tabs>
        <w:ind w:left="2160" w:hanging="360"/>
      </w:pPr>
      <w:rPr>
        <w:rFonts w:ascii="Symbol" w:hAnsi="Symbol" w:hint="default"/>
      </w:rPr>
    </w:lvl>
    <w:lvl w:ilvl="3" w:tplc="40B00E3E" w:tentative="1">
      <w:start w:val="1"/>
      <w:numFmt w:val="bullet"/>
      <w:lvlText w:val=""/>
      <w:lvlJc w:val="left"/>
      <w:pPr>
        <w:tabs>
          <w:tab w:val="num" w:pos="2880"/>
        </w:tabs>
        <w:ind w:left="2880" w:hanging="360"/>
      </w:pPr>
      <w:rPr>
        <w:rFonts w:ascii="Symbol" w:hAnsi="Symbol" w:hint="default"/>
      </w:rPr>
    </w:lvl>
    <w:lvl w:ilvl="4" w:tplc="E2CE9F3A" w:tentative="1">
      <w:start w:val="1"/>
      <w:numFmt w:val="bullet"/>
      <w:lvlText w:val=""/>
      <w:lvlJc w:val="left"/>
      <w:pPr>
        <w:tabs>
          <w:tab w:val="num" w:pos="3600"/>
        </w:tabs>
        <w:ind w:left="3600" w:hanging="360"/>
      </w:pPr>
      <w:rPr>
        <w:rFonts w:ascii="Symbol" w:hAnsi="Symbol" w:hint="default"/>
      </w:rPr>
    </w:lvl>
    <w:lvl w:ilvl="5" w:tplc="1612132C" w:tentative="1">
      <w:start w:val="1"/>
      <w:numFmt w:val="bullet"/>
      <w:lvlText w:val=""/>
      <w:lvlJc w:val="left"/>
      <w:pPr>
        <w:tabs>
          <w:tab w:val="num" w:pos="4320"/>
        </w:tabs>
        <w:ind w:left="4320" w:hanging="360"/>
      </w:pPr>
      <w:rPr>
        <w:rFonts w:ascii="Symbol" w:hAnsi="Symbol" w:hint="default"/>
      </w:rPr>
    </w:lvl>
    <w:lvl w:ilvl="6" w:tplc="F95603A8" w:tentative="1">
      <w:start w:val="1"/>
      <w:numFmt w:val="bullet"/>
      <w:lvlText w:val=""/>
      <w:lvlJc w:val="left"/>
      <w:pPr>
        <w:tabs>
          <w:tab w:val="num" w:pos="5040"/>
        </w:tabs>
        <w:ind w:left="5040" w:hanging="360"/>
      </w:pPr>
      <w:rPr>
        <w:rFonts w:ascii="Symbol" w:hAnsi="Symbol" w:hint="default"/>
      </w:rPr>
    </w:lvl>
    <w:lvl w:ilvl="7" w:tplc="9B06A126" w:tentative="1">
      <w:start w:val="1"/>
      <w:numFmt w:val="bullet"/>
      <w:lvlText w:val=""/>
      <w:lvlJc w:val="left"/>
      <w:pPr>
        <w:tabs>
          <w:tab w:val="num" w:pos="5760"/>
        </w:tabs>
        <w:ind w:left="5760" w:hanging="360"/>
      </w:pPr>
      <w:rPr>
        <w:rFonts w:ascii="Symbol" w:hAnsi="Symbol" w:hint="default"/>
      </w:rPr>
    </w:lvl>
    <w:lvl w:ilvl="8" w:tplc="D4F68FDA" w:tentative="1">
      <w:start w:val="1"/>
      <w:numFmt w:val="bullet"/>
      <w:lvlText w:val=""/>
      <w:lvlJc w:val="left"/>
      <w:pPr>
        <w:tabs>
          <w:tab w:val="num" w:pos="6480"/>
        </w:tabs>
        <w:ind w:left="6480" w:hanging="360"/>
      </w:pPr>
      <w:rPr>
        <w:rFonts w:ascii="Symbol" w:hAnsi="Symbol" w:hint="default"/>
      </w:rPr>
    </w:lvl>
  </w:abstractNum>
  <w:abstractNum w:abstractNumId="75" w15:restartNumberingAfterBreak="0">
    <w:nsid w:val="33782DC7"/>
    <w:multiLevelType w:val="hybridMultilevel"/>
    <w:tmpl w:val="CE3C6BEA"/>
    <w:lvl w:ilvl="0" w:tplc="47446D9E">
      <w:start w:val="1"/>
      <w:numFmt w:val="bullet"/>
      <w:lvlText w:val=""/>
      <w:lvlPicBulletId w:val="1"/>
      <w:lvlJc w:val="left"/>
      <w:pPr>
        <w:tabs>
          <w:tab w:val="num" w:pos="720"/>
        </w:tabs>
        <w:ind w:left="720" w:hanging="360"/>
      </w:pPr>
      <w:rPr>
        <w:rFonts w:ascii="Symbol" w:hAnsi="Symbol" w:hint="default"/>
      </w:rPr>
    </w:lvl>
    <w:lvl w:ilvl="1" w:tplc="CA9A2988" w:tentative="1">
      <w:start w:val="1"/>
      <w:numFmt w:val="bullet"/>
      <w:lvlText w:val=""/>
      <w:lvlJc w:val="left"/>
      <w:pPr>
        <w:tabs>
          <w:tab w:val="num" w:pos="1440"/>
        </w:tabs>
        <w:ind w:left="1440" w:hanging="360"/>
      </w:pPr>
      <w:rPr>
        <w:rFonts w:ascii="Symbol" w:hAnsi="Symbol" w:hint="default"/>
      </w:rPr>
    </w:lvl>
    <w:lvl w:ilvl="2" w:tplc="AD96EF02" w:tentative="1">
      <w:start w:val="1"/>
      <w:numFmt w:val="bullet"/>
      <w:lvlText w:val=""/>
      <w:lvlJc w:val="left"/>
      <w:pPr>
        <w:tabs>
          <w:tab w:val="num" w:pos="2160"/>
        </w:tabs>
        <w:ind w:left="2160" w:hanging="360"/>
      </w:pPr>
      <w:rPr>
        <w:rFonts w:ascii="Symbol" w:hAnsi="Symbol" w:hint="default"/>
      </w:rPr>
    </w:lvl>
    <w:lvl w:ilvl="3" w:tplc="A2D6809A" w:tentative="1">
      <w:start w:val="1"/>
      <w:numFmt w:val="bullet"/>
      <w:lvlText w:val=""/>
      <w:lvlJc w:val="left"/>
      <w:pPr>
        <w:tabs>
          <w:tab w:val="num" w:pos="2880"/>
        </w:tabs>
        <w:ind w:left="2880" w:hanging="360"/>
      </w:pPr>
      <w:rPr>
        <w:rFonts w:ascii="Symbol" w:hAnsi="Symbol" w:hint="default"/>
      </w:rPr>
    </w:lvl>
    <w:lvl w:ilvl="4" w:tplc="3AE49788" w:tentative="1">
      <w:start w:val="1"/>
      <w:numFmt w:val="bullet"/>
      <w:lvlText w:val=""/>
      <w:lvlJc w:val="left"/>
      <w:pPr>
        <w:tabs>
          <w:tab w:val="num" w:pos="3600"/>
        </w:tabs>
        <w:ind w:left="3600" w:hanging="360"/>
      </w:pPr>
      <w:rPr>
        <w:rFonts w:ascii="Symbol" w:hAnsi="Symbol" w:hint="default"/>
      </w:rPr>
    </w:lvl>
    <w:lvl w:ilvl="5" w:tplc="C9D0BBE0" w:tentative="1">
      <w:start w:val="1"/>
      <w:numFmt w:val="bullet"/>
      <w:lvlText w:val=""/>
      <w:lvlJc w:val="left"/>
      <w:pPr>
        <w:tabs>
          <w:tab w:val="num" w:pos="4320"/>
        </w:tabs>
        <w:ind w:left="4320" w:hanging="360"/>
      </w:pPr>
      <w:rPr>
        <w:rFonts w:ascii="Symbol" w:hAnsi="Symbol" w:hint="default"/>
      </w:rPr>
    </w:lvl>
    <w:lvl w:ilvl="6" w:tplc="08D08950" w:tentative="1">
      <w:start w:val="1"/>
      <w:numFmt w:val="bullet"/>
      <w:lvlText w:val=""/>
      <w:lvlJc w:val="left"/>
      <w:pPr>
        <w:tabs>
          <w:tab w:val="num" w:pos="5040"/>
        </w:tabs>
        <w:ind w:left="5040" w:hanging="360"/>
      </w:pPr>
      <w:rPr>
        <w:rFonts w:ascii="Symbol" w:hAnsi="Symbol" w:hint="default"/>
      </w:rPr>
    </w:lvl>
    <w:lvl w:ilvl="7" w:tplc="480E947A" w:tentative="1">
      <w:start w:val="1"/>
      <w:numFmt w:val="bullet"/>
      <w:lvlText w:val=""/>
      <w:lvlJc w:val="left"/>
      <w:pPr>
        <w:tabs>
          <w:tab w:val="num" w:pos="5760"/>
        </w:tabs>
        <w:ind w:left="5760" w:hanging="360"/>
      </w:pPr>
      <w:rPr>
        <w:rFonts w:ascii="Symbol" w:hAnsi="Symbol" w:hint="default"/>
      </w:rPr>
    </w:lvl>
    <w:lvl w:ilvl="8" w:tplc="7FDA7568" w:tentative="1">
      <w:start w:val="1"/>
      <w:numFmt w:val="bullet"/>
      <w:lvlText w:val=""/>
      <w:lvlJc w:val="left"/>
      <w:pPr>
        <w:tabs>
          <w:tab w:val="num" w:pos="6480"/>
        </w:tabs>
        <w:ind w:left="6480" w:hanging="360"/>
      </w:pPr>
      <w:rPr>
        <w:rFonts w:ascii="Symbol" w:hAnsi="Symbol" w:hint="default"/>
      </w:rPr>
    </w:lvl>
  </w:abstractNum>
  <w:abstractNum w:abstractNumId="76" w15:restartNumberingAfterBreak="0">
    <w:nsid w:val="347828CE"/>
    <w:multiLevelType w:val="hybridMultilevel"/>
    <w:tmpl w:val="DE202FCA"/>
    <w:lvl w:ilvl="0" w:tplc="0C09000B">
      <w:numFmt w:val="bullet"/>
      <w:lvlText w:val=""/>
      <w:lvlJc w:val="left"/>
      <w:pPr>
        <w:ind w:left="720" w:hanging="360"/>
      </w:pPr>
      <w:rPr>
        <w:rFonts w:ascii="Wingdings" w:eastAsia="Times New Roman" w:hAnsi="Wingdings"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7" w15:restartNumberingAfterBreak="0">
    <w:nsid w:val="35640D42"/>
    <w:multiLevelType w:val="hybridMultilevel"/>
    <w:tmpl w:val="9CB663A2"/>
    <w:lvl w:ilvl="0" w:tplc="C9427EEE">
      <w:start w:val="1"/>
      <w:numFmt w:val="bullet"/>
      <w:lvlText w:val=""/>
      <w:lvlPicBulletId w:val="1"/>
      <w:lvlJc w:val="left"/>
      <w:pPr>
        <w:tabs>
          <w:tab w:val="num" w:pos="720"/>
        </w:tabs>
        <w:ind w:left="720" w:hanging="360"/>
      </w:pPr>
      <w:rPr>
        <w:rFonts w:ascii="Symbol" w:hAnsi="Symbol" w:hint="default"/>
      </w:rPr>
    </w:lvl>
    <w:lvl w:ilvl="1" w:tplc="DB6442EA" w:tentative="1">
      <w:start w:val="1"/>
      <w:numFmt w:val="bullet"/>
      <w:lvlText w:val=""/>
      <w:lvlJc w:val="left"/>
      <w:pPr>
        <w:tabs>
          <w:tab w:val="num" w:pos="1440"/>
        </w:tabs>
        <w:ind w:left="1440" w:hanging="360"/>
      </w:pPr>
      <w:rPr>
        <w:rFonts w:ascii="Symbol" w:hAnsi="Symbol" w:hint="default"/>
      </w:rPr>
    </w:lvl>
    <w:lvl w:ilvl="2" w:tplc="72908920" w:tentative="1">
      <w:start w:val="1"/>
      <w:numFmt w:val="bullet"/>
      <w:lvlText w:val=""/>
      <w:lvlJc w:val="left"/>
      <w:pPr>
        <w:tabs>
          <w:tab w:val="num" w:pos="2160"/>
        </w:tabs>
        <w:ind w:left="2160" w:hanging="360"/>
      </w:pPr>
      <w:rPr>
        <w:rFonts w:ascii="Symbol" w:hAnsi="Symbol" w:hint="default"/>
      </w:rPr>
    </w:lvl>
    <w:lvl w:ilvl="3" w:tplc="0C4C18AA" w:tentative="1">
      <w:start w:val="1"/>
      <w:numFmt w:val="bullet"/>
      <w:lvlText w:val=""/>
      <w:lvlJc w:val="left"/>
      <w:pPr>
        <w:tabs>
          <w:tab w:val="num" w:pos="2880"/>
        </w:tabs>
        <w:ind w:left="2880" w:hanging="360"/>
      </w:pPr>
      <w:rPr>
        <w:rFonts w:ascii="Symbol" w:hAnsi="Symbol" w:hint="default"/>
      </w:rPr>
    </w:lvl>
    <w:lvl w:ilvl="4" w:tplc="81CE4292" w:tentative="1">
      <w:start w:val="1"/>
      <w:numFmt w:val="bullet"/>
      <w:lvlText w:val=""/>
      <w:lvlJc w:val="left"/>
      <w:pPr>
        <w:tabs>
          <w:tab w:val="num" w:pos="3600"/>
        </w:tabs>
        <w:ind w:left="3600" w:hanging="360"/>
      </w:pPr>
      <w:rPr>
        <w:rFonts w:ascii="Symbol" w:hAnsi="Symbol" w:hint="default"/>
      </w:rPr>
    </w:lvl>
    <w:lvl w:ilvl="5" w:tplc="5F466EBA" w:tentative="1">
      <w:start w:val="1"/>
      <w:numFmt w:val="bullet"/>
      <w:lvlText w:val=""/>
      <w:lvlJc w:val="left"/>
      <w:pPr>
        <w:tabs>
          <w:tab w:val="num" w:pos="4320"/>
        </w:tabs>
        <w:ind w:left="4320" w:hanging="360"/>
      </w:pPr>
      <w:rPr>
        <w:rFonts w:ascii="Symbol" w:hAnsi="Symbol" w:hint="default"/>
      </w:rPr>
    </w:lvl>
    <w:lvl w:ilvl="6" w:tplc="3F089894" w:tentative="1">
      <w:start w:val="1"/>
      <w:numFmt w:val="bullet"/>
      <w:lvlText w:val=""/>
      <w:lvlJc w:val="left"/>
      <w:pPr>
        <w:tabs>
          <w:tab w:val="num" w:pos="5040"/>
        </w:tabs>
        <w:ind w:left="5040" w:hanging="360"/>
      </w:pPr>
      <w:rPr>
        <w:rFonts w:ascii="Symbol" w:hAnsi="Symbol" w:hint="default"/>
      </w:rPr>
    </w:lvl>
    <w:lvl w:ilvl="7" w:tplc="E48461C6" w:tentative="1">
      <w:start w:val="1"/>
      <w:numFmt w:val="bullet"/>
      <w:lvlText w:val=""/>
      <w:lvlJc w:val="left"/>
      <w:pPr>
        <w:tabs>
          <w:tab w:val="num" w:pos="5760"/>
        </w:tabs>
        <w:ind w:left="5760" w:hanging="360"/>
      </w:pPr>
      <w:rPr>
        <w:rFonts w:ascii="Symbol" w:hAnsi="Symbol" w:hint="default"/>
      </w:rPr>
    </w:lvl>
    <w:lvl w:ilvl="8" w:tplc="603089BA" w:tentative="1">
      <w:start w:val="1"/>
      <w:numFmt w:val="bullet"/>
      <w:lvlText w:val=""/>
      <w:lvlJc w:val="left"/>
      <w:pPr>
        <w:tabs>
          <w:tab w:val="num" w:pos="6480"/>
        </w:tabs>
        <w:ind w:left="6480" w:hanging="360"/>
      </w:pPr>
      <w:rPr>
        <w:rFonts w:ascii="Symbol" w:hAnsi="Symbol" w:hint="default"/>
      </w:rPr>
    </w:lvl>
  </w:abstractNum>
  <w:abstractNum w:abstractNumId="78" w15:restartNumberingAfterBreak="0">
    <w:nsid w:val="35843D54"/>
    <w:multiLevelType w:val="hybridMultilevel"/>
    <w:tmpl w:val="EA72D684"/>
    <w:lvl w:ilvl="0" w:tplc="ABB0ED9C">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9" w15:restartNumberingAfterBreak="0">
    <w:nsid w:val="35884D83"/>
    <w:multiLevelType w:val="hybridMultilevel"/>
    <w:tmpl w:val="F53471AE"/>
    <w:lvl w:ilvl="0" w:tplc="4A200054">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0" w15:restartNumberingAfterBreak="0">
    <w:nsid w:val="36A876A2"/>
    <w:multiLevelType w:val="hybridMultilevel"/>
    <w:tmpl w:val="FFCCE360"/>
    <w:lvl w:ilvl="0" w:tplc="5738805C">
      <w:start w:val="1"/>
      <w:numFmt w:val="bullet"/>
      <w:lvlText w:val=""/>
      <w:lvlPicBulletId w:val="1"/>
      <w:lvlJc w:val="left"/>
      <w:pPr>
        <w:tabs>
          <w:tab w:val="num" w:pos="720"/>
        </w:tabs>
        <w:ind w:left="720" w:hanging="360"/>
      </w:pPr>
      <w:rPr>
        <w:rFonts w:ascii="Symbol" w:hAnsi="Symbol" w:hint="default"/>
      </w:rPr>
    </w:lvl>
    <w:lvl w:ilvl="1" w:tplc="ABC091AA" w:tentative="1">
      <w:start w:val="1"/>
      <w:numFmt w:val="bullet"/>
      <w:lvlText w:val=""/>
      <w:lvlJc w:val="left"/>
      <w:pPr>
        <w:tabs>
          <w:tab w:val="num" w:pos="1440"/>
        </w:tabs>
        <w:ind w:left="1440" w:hanging="360"/>
      </w:pPr>
      <w:rPr>
        <w:rFonts w:ascii="Symbol" w:hAnsi="Symbol" w:hint="default"/>
      </w:rPr>
    </w:lvl>
    <w:lvl w:ilvl="2" w:tplc="B958DBEE" w:tentative="1">
      <w:start w:val="1"/>
      <w:numFmt w:val="bullet"/>
      <w:lvlText w:val=""/>
      <w:lvlJc w:val="left"/>
      <w:pPr>
        <w:tabs>
          <w:tab w:val="num" w:pos="2160"/>
        </w:tabs>
        <w:ind w:left="2160" w:hanging="360"/>
      </w:pPr>
      <w:rPr>
        <w:rFonts w:ascii="Symbol" w:hAnsi="Symbol" w:hint="default"/>
      </w:rPr>
    </w:lvl>
    <w:lvl w:ilvl="3" w:tplc="F1AE4748" w:tentative="1">
      <w:start w:val="1"/>
      <w:numFmt w:val="bullet"/>
      <w:lvlText w:val=""/>
      <w:lvlJc w:val="left"/>
      <w:pPr>
        <w:tabs>
          <w:tab w:val="num" w:pos="2880"/>
        </w:tabs>
        <w:ind w:left="2880" w:hanging="360"/>
      </w:pPr>
      <w:rPr>
        <w:rFonts w:ascii="Symbol" w:hAnsi="Symbol" w:hint="default"/>
      </w:rPr>
    </w:lvl>
    <w:lvl w:ilvl="4" w:tplc="2AC67648" w:tentative="1">
      <w:start w:val="1"/>
      <w:numFmt w:val="bullet"/>
      <w:lvlText w:val=""/>
      <w:lvlJc w:val="left"/>
      <w:pPr>
        <w:tabs>
          <w:tab w:val="num" w:pos="3600"/>
        </w:tabs>
        <w:ind w:left="3600" w:hanging="360"/>
      </w:pPr>
      <w:rPr>
        <w:rFonts w:ascii="Symbol" w:hAnsi="Symbol" w:hint="default"/>
      </w:rPr>
    </w:lvl>
    <w:lvl w:ilvl="5" w:tplc="17520EB6" w:tentative="1">
      <w:start w:val="1"/>
      <w:numFmt w:val="bullet"/>
      <w:lvlText w:val=""/>
      <w:lvlJc w:val="left"/>
      <w:pPr>
        <w:tabs>
          <w:tab w:val="num" w:pos="4320"/>
        </w:tabs>
        <w:ind w:left="4320" w:hanging="360"/>
      </w:pPr>
      <w:rPr>
        <w:rFonts w:ascii="Symbol" w:hAnsi="Symbol" w:hint="default"/>
      </w:rPr>
    </w:lvl>
    <w:lvl w:ilvl="6" w:tplc="BAAAB8D8" w:tentative="1">
      <w:start w:val="1"/>
      <w:numFmt w:val="bullet"/>
      <w:lvlText w:val=""/>
      <w:lvlJc w:val="left"/>
      <w:pPr>
        <w:tabs>
          <w:tab w:val="num" w:pos="5040"/>
        </w:tabs>
        <w:ind w:left="5040" w:hanging="360"/>
      </w:pPr>
      <w:rPr>
        <w:rFonts w:ascii="Symbol" w:hAnsi="Symbol" w:hint="default"/>
      </w:rPr>
    </w:lvl>
    <w:lvl w:ilvl="7" w:tplc="B61846FA" w:tentative="1">
      <w:start w:val="1"/>
      <w:numFmt w:val="bullet"/>
      <w:lvlText w:val=""/>
      <w:lvlJc w:val="left"/>
      <w:pPr>
        <w:tabs>
          <w:tab w:val="num" w:pos="5760"/>
        </w:tabs>
        <w:ind w:left="5760" w:hanging="360"/>
      </w:pPr>
      <w:rPr>
        <w:rFonts w:ascii="Symbol" w:hAnsi="Symbol" w:hint="default"/>
      </w:rPr>
    </w:lvl>
    <w:lvl w:ilvl="8" w:tplc="40BA87A4" w:tentative="1">
      <w:start w:val="1"/>
      <w:numFmt w:val="bullet"/>
      <w:lvlText w:val=""/>
      <w:lvlJc w:val="left"/>
      <w:pPr>
        <w:tabs>
          <w:tab w:val="num" w:pos="6480"/>
        </w:tabs>
        <w:ind w:left="6480" w:hanging="360"/>
      </w:pPr>
      <w:rPr>
        <w:rFonts w:ascii="Symbol" w:hAnsi="Symbol" w:hint="default"/>
      </w:rPr>
    </w:lvl>
  </w:abstractNum>
  <w:abstractNum w:abstractNumId="81" w15:restartNumberingAfterBreak="0">
    <w:nsid w:val="36D41108"/>
    <w:multiLevelType w:val="hybridMultilevel"/>
    <w:tmpl w:val="46DE0C00"/>
    <w:lvl w:ilvl="0" w:tplc="BCC8CE22">
      <w:start w:val="1"/>
      <w:numFmt w:val="bullet"/>
      <w:lvlText w:val=""/>
      <w:lvlPicBulletId w:val="1"/>
      <w:lvlJc w:val="left"/>
      <w:pPr>
        <w:tabs>
          <w:tab w:val="num" w:pos="720"/>
        </w:tabs>
        <w:ind w:left="720" w:hanging="360"/>
      </w:pPr>
      <w:rPr>
        <w:rFonts w:ascii="Symbol" w:hAnsi="Symbol" w:hint="default"/>
      </w:rPr>
    </w:lvl>
    <w:lvl w:ilvl="1" w:tplc="67908E1A" w:tentative="1">
      <w:start w:val="1"/>
      <w:numFmt w:val="bullet"/>
      <w:lvlText w:val=""/>
      <w:lvlJc w:val="left"/>
      <w:pPr>
        <w:tabs>
          <w:tab w:val="num" w:pos="1440"/>
        </w:tabs>
        <w:ind w:left="1440" w:hanging="360"/>
      </w:pPr>
      <w:rPr>
        <w:rFonts w:ascii="Symbol" w:hAnsi="Symbol" w:hint="default"/>
      </w:rPr>
    </w:lvl>
    <w:lvl w:ilvl="2" w:tplc="16A884C4" w:tentative="1">
      <w:start w:val="1"/>
      <w:numFmt w:val="bullet"/>
      <w:lvlText w:val=""/>
      <w:lvlJc w:val="left"/>
      <w:pPr>
        <w:tabs>
          <w:tab w:val="num" w:pos="2160"/>
        </w:tabs>
        <w:ind w:left="2160" w:hanging="360"/>
      </w:pPr>
      <w:rPr>
        <w:rFonts w:ascii="Symbol" w:hAnsi="Symbol" w:hint="default"/>
      </w:rPr>
    </w:lvl>
    <w:lvl w:ilvl="3" w:tplc="C14ADA46" w:tentative="1">
      <w:start w:val="1"/>
      <w:numFmt w:val="bullet"/>
      <w:lvlText w:val=""/>
      <w:lvlJc w:val="left"/>
      <w:pPr>
        <w:tabs>
          <w:tab w:val="num" w:pos="2880"/>
        </w:tabs>
        <w:ind w:left="2880" w:hanging="360"/>
      </w:pPr>
      <w:rPr>
        <w:rFonts w:ascii="Symbol" w:hAnsi="Symbol" w:hint="default"/>
      </w:rPr>
    </w:lvl>
    <w:lvl w:ilvl="4" w:tplc="3A4033D8" w:tentative="1">
      <w:start w:val="1"/>
      <w:numFmt w:val="bullet"/>
      <w:lvlText w:val=""/>
      <w:lvlJc w:val="left"/>
      <w:pPr>
        <w:tabs>
          <w:tab w:val="num" w:pos="3600"/>
        </w:tabs>
        <w:ind w:left="3600" w:hanging="360"/>
      </w:pPr>
      <w:rPr>
        <w:rFonts w:ascii="Symbol" w:hAnsi="Symbol" w:hint="default"/>
      </w:rPr>
    </w:lvl>
    <w:lvl w:ilvl="5" w:tplc="303A6B06" w:tentative="1">
      <w:start w:val="1"/>
      <w:numFmt w:val="bullet"/>
      <w:lvlText w:val=""/>
      <w:lvlJc w:val="left"/>
      <w:pPr>
        <w:tabs>
          <w:tab w:val="num" w:pos="4320"/>
        </w:tabs>
        <w:ind w:left="4320" w:hanging="360"/>
      </w:pPr>
      <w:rPr>
        <w:rFonts w:ascii="Symbol" w:hAnsi="Symbol" w:hint="default"/>
      </w:rPr>
    </w:lvl>
    <w:lvl w:ilvl="6" w:tplc="48BCB9AE" w:tentative="1">
      <w:start w:val="1"/>
      <w:numFmt w:val="bullet"/>
      <w:lvlText w:val=""/>
      <w:lvlJc w:val="left"/>
      <w:pPr>
        <w:tabs>
          <w:tab w:val="num" w:pos="5040"/>
        </w:tabs>
        <w:ind w:left="5040" w:hanging="360"/>
      </w:pPr>
      <w:rPr>
        <w:rFonts w:ascii="Symbol" w:hAnsi="Symbol" w:hint="default"/>
      </w:rPr>
    </w:lvl>
    <w:lvl w:ilvl="7" w:tplc="D70A2870" w:tentative="1">
      <w:start w:val="1"/>
      <w:numFmt w:val="bullet"/>
      <w:lvlText w:val=""/>
      <w:lvlJc w:val="left"/>
      <w:pPr>
        <w:tabs>
          <w:tab w:val="num" w:pos="5760"/>
        </w:tabs>
        <w:ind w:left="5760" w:hanging="360"/>
      </w:pPr>
      <w:rPr>
        <w:rFonts w:ascii="Symbol" w:hAnsi="Symbol" w:hint="default"/>
      </w:rPr>
    </w:lvl>
    <w:lvl w:ilvl="8" w:tplc="A468A6B8" w:tentative="1">
      <w:start w:val="1"/>
      <w:numFmt w:val="bullet"/>
      <w:lvlText w:val=""/>
      <w:lvlJc w:val="left"/>
      <w:pPr>
        <w:tabs>
          <w:tab w:val="num" w:pos="6480"/>
        </w:tabs>
        <w:ind w:left="6480" w:hanging="360"/>
      </w:pPr>
      <w:rPr>
        <w:rFonts w:ascii="Symbol" w:hAnsi="Symbol" w:hint="default"/>
      </w:rPr>
    </w:lvl>
  </w:abstractNum>
  <w:abstractNum w:abstractNumId="82" w15:restartNumberingAfterBreak="0">
    <w:nsid w:val="3731102D"/>
    <w:multiLevelType w:val="hybridMultilevel"/>
    <w:tmpl w:val="95CAD8B2"/>
    <w:lvl w:ilvl="0" w:tplc="08D2AB58">
      <w:start w:val="1"/>
      <w:numFmt w:val="bullet"/>
      <w:lvlText w:val="&gt;"/>
      <w:lvlJc w:val="left"/>
      <w:pPr>
        <w:ind w:left="720" w:hanging="360"/>
      </w:pPr>
      <w:rPr>
        <w:rFonts w:ascii="HelveticaNeueLT Std Lt" w:hAnsi="HelveticaNeueLT Std Lt" w:hint="default"/>
        <w:sz w:val="2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3" w15:restartNumberingAfterBreak="0">
    <w:nsid w:val="37DD6398"/>
    <w:multiLevelType w:val="hybridMultilevel"/>
    <w:tmpl w:val="0FE87A82"/>
    <w:lvl w:ilvl="0" w:tplc="08D2AB58">
      <w:start w:val="1"/>
      <w:numFmt w:val="bullet"/>
      <w:lvlText w:val="&gt;"/>
      <w:lvlJc w:val="left"/>
      <w:pPr>
        <w:ind w:left="928" w:hanging="360"/>
      </w:pPr>
      <w:rPr>
        <w:rFonts w:ascii="HelveticaNeueLT Std Lt" w:hAnsi="HelveticaNeueLT Std Lt" w:hint="default"/>
        <w:sz w:val="20"/>
      </w:rPr>
    </w:lvl>
    <w:lvl w:ilvl="1" w:tplc="0C090003" w:tentative="1">
      <w:start w:val="1"/>
      <w:numFmt w:val="bullet"/>
      <w:lvlText w:val="o"/>
      <w:lvlJc w:val="left"/>
      <w:pPr>
        <w:ind w:left="1648" w:hanging="360"/>
      </w:pPr>
      <w:rPr>
        <w:rFonts w:ascii="Courier New" w:hAnsi="Courier New" w:cs="Courier New" w:hint="default"/>
      </w:rPr>
    </w:lvl>
    <w:lvl w:ilvl="2" w:tplc="0C090005" w:tentative="1">
      <w:start w:val="1"/>
      <w:numFmt w:val="bullet"/>
      <w:lvlText w:val=""/>
      <w:lvlJc w:val="left"/>
      <w:pPr>
        <w:ind w:left="2368" w:hanging="360"/>
      </w:pPr>
      <w:rPr>
        <w:rFonts w:ascii="Wingdings" w:hAnsi="Wingdings" w:hint="default"/>
      </w:rPr>
    </w:lvl>
    <w:lvl w:ilvl="3" w:tplc="0C090001" w:tentative="1">
      <w:start w:val="1"/>
      <w:numFmt w:val="bullet"/>
      <w:lvlText w:val=""/>
      <w:lvlJc w:val="left"/>
      <w:pPr>
        <w:ind w:left="3088" w:hanging="360"/>
      </w:pPr>
      <w:rPr>
        <w:rFonts w:ascii="Symbol" w:hAnsi="Symbol" w:hint="default"/>
      </w:rPr>
    </w:lvl>
    <w:lvl w:ilvl="4" w:tplc="0C090003" w:tentative="1">
      <w:start w:val="1"/>
      <w:numFmt w:val="bullet"/>
      <w:lvlText w:val="o"/>
      <w:lvlJc w:val="left"/>
      <w:pPr>
        <w:ind w:left="3808" w:hanging="360"/>
      </w:pPr>
      <w:rPr>
        <w:rFonts w:ascii="Courier New" w:hAnsi="Courier New" w:cs="Courier New" w:hint="default"/>
      </w:rPr>
    </w:lvl>
    <w:lvl w:ilvl="5" w:tplc="0C090005" w:tentative="1">
      <w:start w:val="1"/>
      <w:numFmt w:val="bullet"/>
      <w:lvlText w:val=""/>
      <w:lvlJc w:val="left"/>
      <w:pPr>
        <w:ind w:left="4528" w:hanging="360"/>
      </w:pPr>
      <w:rPr>
        <w:rFonts w:ascii="Wingdings" w:hAnsi="Wingdings" w:hint="default"/>
      </w:rPr>
    </w:lvl>
    <w:lvl w:ilvl="6" w:tplc="0C090001" w:tentative="1">
      <w:start w:val="1"/>
      <w:numFmt w:val="bullet"/>
      <w:lvlText w:val=""/>
      <w:lvlJc w:val="left"/>
      <w:pPr>
        <w:ind w:left="5248" w:hanging="360"/>
      </w:pPr>
      <w:rPr>
        <w:rFonts w:ascii="Symbol" w:hAnsi="Symbol" w:hint="default"/>
      </w:rPr>
    </w:lvl>
    <w:lvl w:ilvl="7" w:tplc="0C090003" w:tentative="1">
      <w:start w:val="1"/>
      <w:numFmt w:val="bullet"/>
      <w:lvlText w:val="o"/>
      <w:lvlJc w:val="left"/>
      <w:pPr>
        <w:ind w:left="5968" w:hanging="360"/>
      </w:pPr>
      <w:rPr>
        <w:rFonts w:ascii="Courier New" w:hAnsi="Courier New" w:cs="Courier New" w:hint="default"/>
      </w:rPr>
    </w:lvl>
    <w:lvl w:ilvl="8" w:tplc="0C090005" w:tentative="1">
      <w:start w:val="1"/>
      <w:numFmt w:val="bullet"/>
      <w:lvlText w:val=""/>
      <w:lvlJc w:val="left"/>
      <w:pPr>
        <w:ind w:left="6688" w:hanging="360"/>
      </w:pPr>
      <w:rPr>
        <w:rFonts w:ascii="Wingdings" w:hAnsi="Wingdings" w:hint="default"/>
      </w:rPr>
    </w:lvl>
  </w:abstractNum>
  <w:abstractNum w:abstractNumId="84" w15:restartNumberingAfterBreak="0">
    <w:nsid w:val="38A41992"/>
    <w:multiLevelType w:val="hybridMultilevel"/>
    <w:tmpl w:val="593A8AAA"/>
    <w:lvl w:ilvl="0" w:tplc="26F264B2">
      <w:start w:val="1"/>
      <w:numFmt w:val="bullet"/>
      <w:lvlText w:val=""/>
      <w:lvlPicBulletId w:val="0"/>
      <w:lvlJc w:val="left"/>
      <w:pPr>
        <w:tabs>
          <w:tab w:val="num" w:pos="720"/>
        </w:tabs>
        <w:ind w:left="720" w:hanging="360"/>
      </w:pPr>
      <w:rPr>
        <w:rFonts w:ascii="Symbol" w:hAnsi="Symbol" w:hint="default"/>
      </w:rPr>
    </w:lvl>
    <w:lvl w:ilvl="1" w:tplc="5F3E55FA" w:tentative="1">
      <w:start w:val="1"/>
      <w:numFmt w:val="bullet"/>
      <w:lvlText w:val=""/>
      <w:lvlJc w:val="left"/>
      <w:pPr>
        <w:tabs>
          <w:tab w:val="num" w:pos="1440"/>
        </w:tabs>
        <w:ind w:left="1440" w:hanging="360"/>
      </w:pPr>
      <w:rPr>
        <w:rFonts w:ascii="Symbol" w:hAnsi="Symbol" w:hint="default"/>
      </w:rPr>
    </w:lvl>
    <w:lvl w:ilvl="2" w:tplc="B48CF6F0" w:tentative="1">
      <w:start w:val="1"/>
      <w:numFmt w:val="bullet"/>
      <w:lvlText w:val=""/>
      <w:lvlJc w:val="left"/>
      <w:pPr>
        <w:tabs>
          <w:tab w:val="num" w:pos="2160"/>
        </w:tabs>
        <w:ind w:left="2160" w:hanging="360"/>
      </w:pPr>
      <w:rPr>
        <w:rFonts w:ascii="Symbol" w:hAnsi="Symbol" w:hint="default"/>
      </w:rPr>
    </w:lvl>
    <w:lvl w:ilvl="3" w:tplc="21E0EC36" w:tentative="1">
      <w:start w:val="1"/>
      <w:numFmt w:val="bullet"/>
      <w:lvlText w:val=""/>
      <w:lvlJc w:val="left"/>
      <w:pPr>
        <w:tabs>
          <w:tab w:val="num" w:pos="2880"/>
        </w:tabs>
        <w:ind w:left="2880" w:hanging="360"/>
      </w:pPr>
      <w:rPr>
        <w:rFonts w:ascii="Symbol" w:hAnsi="Symbol" w:hint="default"/>
      </w:rPr>
    </w:lvl>
    <w:lvl w:ilvl="4" w:tplc="92A40348" w:tentative="1">
      <w:start w:val="1"/>
      <w:numFmt w:val="bullet"/>
      <w:lvlText w:val=""/>
      <w:lvlJc w:val="left"/>
      <w:pPr>
        <w:tabs>
          <w:tab w:val="num" w:pos="3600"/>
        </w:tabs>
        <w:ind w:left="3600" w:hanging="360"/>
      </w:pPr>
      <w:rPr>
        <w:rFonts w:ascii="Symbol" w:hAnsi="Symbol" w:hint="default"/>
      </w:rPr>
    </w:lvl>
    <w:lvl w:ilvl="5" w:tplc="5A48E17A" w:tentative="1">
      <w:start w:val="1"/>
      <w:numFmt w:val="bullet"/>
      <w:lvlText w:val=""/>
      <w:lvlJc w:val="left"/>
      <w:pPr>
        <w:tabs>
          <w:tab w:val="num" w:pos="4320"/>
        </w:tabs>
        <w:ind w:left="4320" w:hanging="360"/>
      </w:pPr>
      <w:rPr>
        <w:rFonts w:ascii="Symbol" w:hAnsi="Symbol" w:hint="default"/>
      </w:rPr>
    </w:lvl>
    <w:lvl w:ilvl="6" w:tplc="CA3E44C2" w:tentative="1">
      <w:start w:val="1"/>
      <w:numFmt w:val="bullet"/>
      <w:lvlText w:val=""/>
      <w:lvlJc w:val="left"/>
      <w:pPr>
        <w:tabs>
          <w:tab w:val="num" w:pos="5040"/>
        </w:tabs>
        <w:ind w:left="5040" w:hanging="360"/>
      </w:pPr>
      <w:rPr>
        <w:rFonts w:ascii="Symbol" w:hAnsi="Symbol" w:hint="default"/>
      </w:rPr>
    </w:lvl>
    <w:lvl w:ilvl="7" w:tplc="5688F148" w:tentative="1">
      <w:start w:val="1"/>
      <w:numFmt w:val="bullet"/>
      <w:lvlText w:val=""/>
      <w:lvlJc w:val="left"/>
      <w:pPr>
        <w:tabs>
          <w:tab w:val="num" w:pos="5760"/>
        </w:tabs>
        <w:ind w:left="5760" w:hanging="360"/>
      </w:pPr>
      <w:rPr>
        <w:rFonts w:ascii="Symbol" w:hAnsi="Symbol" w:hint="default"/>
      </w:rPr>
    </w:lvl>
    <w:lvl w:ilvl="8" w:tplc="008EBF56" w:tentative="1">
      <w:start w:val="1"/>
      <w:numFmt w:val="bullet"/>
      <w:lvlText w:val=""/>
      <w:lvlJc w:val="left"/>
      <w:pPr>
        <w:tabs>
          <w:tab w:val="num" w:pos="6480"/>
        </w:tabs>
        <w:ind w:left="6480" w:hanging="360"/>
      </w:pPr>
      <w:rPr>
        <w:rFonts w:ascii="Symbol" w:hAnsi="Symbol" w:hint="default"/>
      </w:rPr>
    </w:lvl>
  </w:abstractNum>
  <w:abstractNum w:abstractNumId="85" w15:restartNumberingAfterBreak="0">
    <w:nsid w:val="38F55BFD"/>
    <w:multiLevelType w:val="hybridMultilevel"/>
    <w:tmpl w:val="8A7C5670"/>
    <w:lvl w:ilvl="0" w:tplc="69DA2B86">
      <w:start w:val="1"/>
      <w:numFmt w:val="bullet"/>
      <w:lvlText w:val=""/>
      <w:lvlPicBulletId w:val="1"/>
      <w:lvlJc w:val="left"/>
      <w:pPr>
        <w:tabs>
          <w:tab w:val="num" w:pos="720"/>
        </w:tabs>
        <w:ind w:left="720" w:hanging="360"/>
      </w:pPr>
      <w:rPr>
        <w:rFonts w:ascii="Symbol" w:hAnsi="Symbol" w:hint="default"/>
      </w:rPr>
    </w:lvl>
    <w:lvl w:ilvl="1" w:tplc="0EF2A5CE" w:tentative="1">
      <w:start w:val="1"/>
      <w:numFmt w:val="bullet"/>
      <w:lvlText w:val=""/>
      <w:lvlJc w:val="left"/>
      <w:pPr>
        <w:tabs>
          <w:tab w:val="num" w:pos="1440"/>
        </w:tabs>
        <w:ind w:left="1440" w:hanging="360"/>
      </w:pPr>
      <w:rPr>
        <w:rFonts w:ascii="Symbol" w:hAnsi="Symbol" w:hint="default"/>
      </w:rPr>
    </w:lvl>
    <w:lvl w:ilvl="2" w:tplc="7DD6E996" w:tentative="1">
      <w:start w:val="1"/>
      <w:numFmt w:val="bullet"/>
      <w:lvlText w:val=""/>
      <w:lvlJc w:val="left"/>
      <w:pPr>
        <w:tabs>
          <w:tab w:val="num" w:pos="2160"/>
        </w:tabs>
        <w:ind w:left="2160" w:hanging="360"/>
      </w:pPr>
      <w:rPr>
        <w:rFonts w:ascii="Symbol" w:hAnsi="Symbol" w:hint="default"/>
      </w:rPr>
    </w:lvl>
    <w:lvl w:ilvl="3" w:tplc="B46E5EFA" w:tentative="1">
      <w:start w:val="1"/>
      <w:numFmt w:val="bullet"/>
      <w:lvlText w:val=""/>
      <w:lvlJc w:val="left"/>
      <w:pPr>
        <w:tabs>
          <w:tab w:val="num" w:pos="2880"/>
        </w:tabs>
        <w:ind w:left="2880" w:hanging="360"/>
      </w:pPr>
      <w:rPr>
        <w:rFonts w:ascii="Symbol" w:hAnsi="Symbol" w:hint="default"/>
      </w:rPr>
    </w:lvl>
    <w:lvl w:ilvl="4" w:tplc="02282EC4" w:tentative="1">
      <w:start w:val="1"/>
      <w:numFmt w:val="bullet"/>
      <w:lvlText w:val=""/>
      <w:lvlJc w:val="left"/>
      <w:pPr>
        <w:tabs>
          <w:tab w:val="num" w:pos="3600"/>
        </w:tabs>
        <w:ind w:left="3600" w:hanging="360"/>
      </w:pPr>
      <w:rPr>
        <w:rFonts w:ascii="Symbol" w:hAnsi="Symbol" w:hint="default"/>
      </w:rPr>
    </w:lvl>
    <w:lvl w:ilvl="5" w:tplc="6C185224" w:tentative="1">
      <w:start w:val="1"/>
      <w:numFmt w:val="bullet"/>
      <w:lvlText w:val=""/>
      <w:lvlJc w:val="left"/>
      <w:pPr>
        <w:tabs>
          <w:tab w:val="num" w:pos="4320"/>
        </w:tabs>
        <w:ind w:left="4320" w:hanging="360"/>
      </w:pPr>
      <w:rPr>
        <w:rFonts w:ascii="Symbol" w:hAnsi="Symbol" w:hint="default"/>
      </w:rPr>
    </w:lvl>
    <w:lvl w:ilvl="6" w:tplc="85DCD1CC" w:tentative="1">
      <w:start w:val="1"/>
      <w:numFmt w:val="bullet"/>
      <w:lvlText w:val=""/>
      <w:lvlJc w:val="left"/>
      <w:pPr>
        <w:tabs>
          <w:tab w:val="num" w:pos="5040"/>
        </w:tabs>
        <w:ind w:left="5040" w:hanging="360"/>
      </w:pPr>
      <w:rPr>
        <w:rFonts w:ascii="Symbol" w:hAnsi="Symbol" w:hint="default"/>
      </w:rPr>
    </w:lvl>
    <w:lvl w:ilvl="7" w:tplc="2B26C376" w:tentative="1">
      <w:start w:val="1"/>
      <w:numFmt w:val="bullet"/>
      <w:lvlText w:val=""/>
      <w:lvlJc w:val="left"/>
      <w:pPr>
        <w:tabs>
          <w:tab w:val="num" w:pos="5760"/>
        </w:tabs>
        <w:ind w:left="5760" w:hanging="360"/>
      </w:pPr>
      <w:rPr>
        <w:rFonts w:ascii="Symbol" w:hAnsi="Symbol" w:hint="default"/>
      </w:rPr>
    </w:lvl>
    <w:lvl w:ilvl="8" w:tplc="08B67350" w:tentative="1">
      <w:start w:val="1"/>
      <w:numFmt w:val="bullet"/>
      <w:lvlText w:val=""/>
      <w:lvlJc w:val="left"/>
      <w:pPr>
        <w:tabs>
          <w:tab w:val="num" w:pos="6480"/>
        </w:tabs>
        <w:ind w:left="6480" w:hanging="360"/>
      </w:pPr>
      <w:rPr>
        <w:rFonts w:ascii="Symbol" w:hAnsi="Symbol" w:hint="default"/>
      </w:rPr>
    </w:lvl>
  </w:abstractNum>
  <w:abstractNum w:abstractNumId="86" w15:restartNumberingAfterBreak="0">
    <w:nsid w:val="390251C4"/>
    <w:multiLevelType w:val="hybridMultilevel"/>
    <w:tmpl w:val="4096073C"/>
    <w:lvl w:ilvl="0" w:tplc="EE724686">
      <w:start w:val="1"/>
      <w:numFmt w:val="bullet"/>
      <w:lvlText w:val=""/>
      <w:lvlPicBulletId w:val="1"/>
      <w:lvlJc w:val="left"/>
      <w:pPr>
        <w:tabs>
          <w:tab w:val="num" w:pos="720"/>
        </w:tabs>
        <w:ind w:left="720" w:hanging="360"/>
      </w:pPr>
      <w:rPr>
        <w:rFonts w:ascii="Symbol" w:hAnsi="Symbol" w:hint="default"/>
      </w:rPr>
    </w:lvl>
    <w:lvl w:ilvl="1" w:tplc="DC509B4E" w:tentative="1">
      <w:start w:val="1"/>
      <w:numFmt w:val="bullet"/>
      <w:lvlText w:val=""/>
      <w:lvlJc w:val="left"/>
      <w:pPr>
        <w:tabs>
          <w:tab w:val="num" w:pos="1440"/>
        </w:tabs>
        <w:ind w:left="1440" w:hanging="360"/>
      </w:pPr>
      <w:rPr>
        <w:rFonts w:ascii="Symbol" w:hAnsi="Symbol" w:hint="default"/>
      </w:rPr>
    </w:lvl>
    <w:lvl w:ilvl="2" w:tplc="81A6634A" w:tentative="1">
      <w:start w:val="1"/>
      <w:numFmt w:val="bullet"/>
      <w:lvlText w:val=""/>
      <w:lvlJc w:val="left"/>
      <w:pPr>
        <w:tabs>
          <w:tab w:val="num" w:pos="2160"/>
        </w:tabs>
        <w:ind w:left="2160" w:hanging="360"/>
      </w:pPr>
      <w:rPr>
        <w:rFonts w:ascii="Symbol" w:hAnsi="Symbol" w:hint="default"/>
      </w:rPr>
    </w:lvl>
    <w:lvl w:ilvl="3" w:tplc="6B3C5618" w:tentative="1">
      <w:start w:val="1"/>
      <w:numFmt w:val="bullet"/>
      <w:lvlText w:val=""/>
      <w:lvlJc w:val="left"/>
      <w:pPr>
        <w:tabs>
          <w:tab w:val="num" w:pos="2880"/>
        </w:tabs>
        <w:ind w:left="2880" w:hanging="360"/>
      </w:pPr>
      <w:rPr>
        <w:rFonts w:ascii="Symbol" w:hAnsi="Symbol" w:hint="default"/>
      </w:rPr>
    </w:lvl>
    <w:lvl w:ilvl="4" w:tplc="55C254A4" w:tentative="1">
      <w:start w:val="1"/>
      <w:numFmt w:val="bullet"/>
      <w:lvlText w:val=""/>
      <w:lvlJc w:val="left"/>
      <w:pPr>
        <w:tabs>
          <w:tab w:val="num" w:pos="3600"/>
        </w:tabs>
        <w:ind w:left="3600" w:hanging="360"/>
      </w:pPr>
      <w:rPr>
        <w:rFonts w:ascii="Symbol" w:hAnsi="Symbol" w:hint="default"/>
      </w:rPr>
    </w:lvl>
    <w:lvl w:ilvl="5" w:tplc="875A1E04" w:tentative="1">
      <w:start w:val="1"/>
      <w:numFmt w:val="bullet"/>
      <w:lvlText w:val=""/>
      <w:lvlJc w:val="left"/>
      <w:pPr>
        <w:tabs>
          <w:tab w:val="num" w:pos="4320"/>
        </w:tabs>
        <w:ind w:left="4320" w:hanging="360"/>
      </w:pPr>
      <w:rPr>
        <w:rFonts w:ascii="Symbol" w:hAnsi="Symbol" w:hint="default"/>
      </w:rPr>
    </w:lvl>
    <w:lvl w:ilvl="6" w:tplc="FAAAD450" w:tentative="1">
      <w:start w:val="1"/>
      <w:numFmt w:val="bullet"/>
      <w:lvlText w:val=""/>
      <w:lvlJc w:val="left"/>
      <w:pPr>
        <w:tabs>
          <w:tab w:val="num" w:pos="5040"/>
        </w:tabs>
        <w:ind w:left="5040" w:hanging="360"/>
      </w:pPr>
      <w:rPr>
        <w:rFonts w:ascii="Symbol" w:hAnsi="Symbol" w:hint="default"/>
      </w:rPr>
    </w:lvl>
    <w:lvl w:ilvl="7" w:tplc="8BD014CE" w:tentative="1">
      <w:start w:val="1"/>
      <w:numFmt w:val="bullet"/>
      <w:lvlText w:val=""/>
      <w:lvlJc w:val="left"/>
      <w:pPr>
        <w:tabs>
          <w:tab w:val="num" w:pos="5760"/>
        </w:tabs>
        <w:ind w:left="5760" w:hanging="360"/>
      </w:pPr>
      <w:rPr>
        <w:rFonts w:ascii="Symbol" w:hAnsi="Symbol" w:hint="default"/>
      </w:rPr>
    </w:lvl>
    <w:lvl w:ilvl="8" w:tplc="6E784B0A" w:tentative="1">
      <w:start w:val="1"/>
      <w:numFmt w:val="bullet"/>
      <w:lvlText w:val=""/>
      <w:lvlJc w:val="left"/>
      <w:pPr>
        <w:tabs>
          <w:tab w:val="num" w:pos="6480"/>
        </w:tabs>
        <w:ind w:left="6480" w:hanging="360"/>
      </w:pPr>
      <w:rPr>
        <w:rFonts w:ascii="Symbol" w:hAnsi="Symbol" w:hint="default"/>
      </w:rPr>
    </w:lvl>
  </w:abstractNum>
  <w:abstractNum w:abstractNumId="87" w15:restartNumberingAfterBreak="0">
    <w:nsid w:val="39955711"/>
    <w:multiLevelType w:val="hybridMultilevel"/>
    <w:tmpl w:val="F2CC05CC"/>
    <w:lvl w:ilvl="0" w:tplc="DE3AD130">
      <w:start w:val="1"/>
      <w:numFmt w:val="bullet"/>
      <w:lvlText w:val=""/>
      <w:lvlPicBulletId w:val="1"/>
      <w:lvlJc w:val="left"/>
      <w:pPr>
        <w:tabs>
          <w:tab w:val="num" w:pos="720"/>
        </w:tabs>
        <w:ind w:left="720" w:hanging="360"/>
      </w:pPr>
      <w:rPr>
        <w:rFonts w:ascii="Symbol" w:hAnsi="Symbol" w:hint="default"/>
      </w:rPr>
    </w:lvl>
    <w:lvl w:ilvl="1" w:tplc="BF2ED716" w:tentative="1">
      <w:start w:val="1"/>
      <w:numFmt w:val="bullet"/>
      <w:lvlText w:val=""/>
      <w:lvlJc w:val="left"/>
      <w:pPr>
        <w:tabs>
          <w:tab w:val="num" w:pos="1440"/>
        </w:tabs>
        <w:ind w:left="1440" w:hanging="360"/>
      </w:pPr>
      <w:rPr>
        <w:rFonts w:ascii="Symbol" w:hAnsi="Symbol" w:hint="default"/>
      </w:rPr>
    </w:lvl>
    <w:lvl w:ilvl="2" w:tplc="24C4BB82" w:tentative="1">
      <w:start w:val="1"/>
      <w:numFmt w:val="bullet"/>
      <w:lvlText w:val=""/>
      <w:lvlJc w:val="left"/>
      <w:pPr>
        <w:tabs>
          <w:tab w:val="num" w:pos="2160"/>
        </w:tabs>
        <w:ind w:left="2160" w:hanging="360"/>
      </w:pPr>
      <w:rPr>
        <w:rFonts w:ascii="Symbol" w:hAnsi="Symbol" w:hint="default"/>
      </w:rPr>
    </w:lvl>
    <w:lvl w:ilvl="3" w:tplc="0582D064" w:tentative="1">
      <w:start w:val="1"/>
      <w:numFmt w:val="bullet"/>
      <w:lvlText w:val=""/>
      <w:lvlJc w:val="left"/>
      <w:pPr>
        <w:tabs>
          <w:tab w:val="num" w:pos="2880"/>
        </w:tabs>
        <w:ind w:left="2880" w:hanging="360"/>
      </w:pPr>
      <w:rPr>
        <w:rFonts w:ascii="Symbol" w:hAnsi="Symbol" w:hint="default"/>
      </w:rPr>
    </w:lvl>
    <w:lvl w:ilvl="4" w:tplc="2B40C178" w:tentative="1">
      <w:start w:val="1"/>
      <w:numFmt w:val="bullet"/>
      <w:lvlText w:val=""/>
      <w:lvlJc w:val="left"/>
      <w:pPr>
        <w:tabs>
          <w:tab w:val="num" w:pos="3600"/>
        </w:tabs>
        <w:ind w:left="3600" w:hanging="360"/>
      </w:pPr>
      <w:rPr>
        <w:rFonts w:ascii="Symbol" w:hAnsi="Symbol" w:hint="default"/>
      </w:rPr>
    </w:lvl>
    <w:lvl w:ilvl="5" w:tplc="D3B2EBB8" w:tentative="1">
      <w:start w:val="1"/>
      <w:numFmt w:val="bullet"/>
      <w:lvlText w:val=""/>
      <w:lvlJc w:val="left"/>
      <w:pPr>
        <w:tabs>
          <w:tab w:val="num" w:pos="4320"/>
        </w:tabs>
        <w:ind w:left="4320" w:hanging="360"/>
      </w:pPr>
      <w:rPr>
        <w:rFonts w:ascii="Symbol" w:hAnsi="Symbol" w:hint="default"/>
      </w:rPr>
    </w:lvl>
    <w:lvl w:ilvl="6" w:tplc="A000C9C6" w:tentative="1">
      <w:start w:val="1"/>
      <w:numFmt w:val="bullet"/>
      <w:lvlText w:val=""/>
      <w:lvlJc w:val="left"/>
      <w:pPr>
        <w:tabs>
          <w:tab w:val="num" w:pos="5040"/>
        </w:tabs>
        <w:ind w:left="5040" w:hanging="360"/>
      </w:pPr>
      <w:rPr>
        <w:rFonts w:ascii="Symbol" w:hAnsi="Symbol" w:hint="default"/>
      </w:rPr>
    </w:lvl>
    <w:lvl w:ilvl="7" w:tplc="2B62BD5C" w:tentative="1">
      <w:start w:val="1"/>
      <w:numFmt w:val="bullet"/>
      <w:lvlText w:val=""/>
      <w:lvlJc w:val="left"/>
      <w:pPr>
        <w:tabs>
          <w:tab w:val="num" w:pos="5760"/>
        </w:tabs>
        <w:ind w:left="5760" w:hanging="360"/>
      </w:pPr>
      <w:rPr>
        <w:rFonts w:ascii="Symbol" w:hAnsi="Symbol" w:hint="default"/>
      </w:rPr>
    </w:lvl>
    <w:lvl w:ilvl="8" w:tplc="F3B88342" w:tentative="1">
      <w:start w:val="1"/>
      <w:numFmt w:val="bullet"/>
      <w:lvlText w:val=""/>
      <w:lvlJc w:val="left"/>
      <w:pPr>
        <w:tabs>
          <w:tab w:val="num" w:pos="6480"/>
        </w:tabs>
        <w:ind w:left="6480" w:hanging="360"/>
      </w:pPr>
      <w:rPr>
        <w:rFonts w:ascii="Symbol" w:hAnsi="Symbol" w:hint="default"/>
      </w:rPr>
    </w:lvl>
  </w:abstractNum>
  <w:abstractNum w:abstractNumId="88" w15:restartNumberingAfterBreak="0">
    <w:nsid w:val="3AF800D4"/>
    <w:multiLevelType w:val="hybridMultilevel"/>
    <w:tmpl w:val="C8FACD32"/>
    <w:lvl w:ilvl="0" w:tplc="76900CFA">
      <w:start w:val="1"/>
      <w:numFmt w:val="bullet"/>
      <w:lvlText w:val=""/>
      <w:lvlPicBulletId w:val="1"/>
      <w:lvlJc w:val="left"/>
      <w:pPr>
        <w:tabs>
          <w:tab w:val="num" w:pos="720"/>
        </w:tabs>
        <w:ind w:left="720" w:hanging="360"/>
      </w:pPr>
      <w:rPr>
        <w:rFonts w:ascii="Symbol" w:hAnsi="Symbol" w:hint="default"/>
      </w:rPr>
    </w:lvl>
    <w:lvl w:ilvl="1" w:tplc="3414534E" w:tentative="1">
      <w:start w:val="1"/>
      <w:numFmt w:val="bullet"/>
      <w:lvlText w:val=""/>
      <w:lvlJc w:val="left"/>
      <w:pPr>
        <w:tabs>
          <w:tab w:val="num" w:pos="1440"/>
        </w:tabs>
        <w:ind w:left="1440" w:hanging="360"/>
      </w:pPr>
      <w:rPr>
        <w:rFonts w:ascii="Symbol" w:hAnsi="Symbol" w:hint="default"/>
      </w:rPr>
    </w:lvl>
    <w:lvl w:ilvl="2" w:tplc="6688CC0A" w:tentative="1">
      <w:start w:val="1"/>
      <w:numFmt w:val="bullet"/>
      <w:lvlText w:val=""/>
      <w:lvlJc w:val="left"/>
      <w:pPr>
        <w:tabs>
          <w:tab w:val="num" w:pos="2160"/>
        </w:tabs>
        <w:ind w:left="2160" w:hanging="360"/>
      </w:pPr>
      <w:rPr>
        <w:rFonts w:ascii="Symbol" w:hAnsi="Symbol" w:hint="default"/>
      </w:rPr>
    </w:lvl>
    <w:lvl w:ilvl="3" w:tplc="44749CA8" w:tentative="1">
      <w:start w:val="1"/>
      <w:numFmt w:val="bullet"/>
      <w:lvlText w:val=""/>
      <w:lvlJc w:val="left"/>
      <w:pPr>
        <w:tabs>
          <w:tab w:val="num" w:pos="2880"/>
        </w:tabs>
        <w:ind w:left="2880" w:hanging="360"/>
      </w:pPr>
      <w:rPr>
        <w:rFonts w:ascii="Symbol" w:hAnsi="Symbol" w:hint="default"/>
      </w:rPr>
    </w:lvl>
    <w:lvl w:ilvl="4" w:tplc="5ED0AFFC" w:tentative="1">
      <w:start w:val="1"/>
      <w:numFmt w:val="bullet"/>
      <w:lvlText w:val=""/>
      <w:lvlJc w:val="left"/>
      <w:pPr>
        <w:tabs>
          <w:tab w:val="num" w:pos="3600"/>
        </w:tabs>
        <w:ind w:left="3600" w:hanging="360"/>
      </w:pPr>
      <w:rPr>
        <w:rFonts w:ascii="Symbol" w:hAnsi="Symbol" w:hint="default"/>
      </w:rPr>
    </w:lvl>
    <w:lvl w:ilvl="5" w:tplc="C87268F4" w:tentative="1">
      <w:start w:val="1"/>
      <w:numFmt w:val="bullet"/>
      <w:lvlText w:val=""/>
      <w:lvlJc w:val="left"/>
      <w:pPr>
        <w:tabs>
          <w:tab w:val="num" w:pos="4320"/>
        </w:tabs>
        <w:ind w:left="4320" w:hanging="360"/>
      </w:pPr>
      <w:rPr>
        <w:rFonts w:ascii="Symbol" w:hAnsi="Symbol" w:hint="default"/>
      </w:rPr>
    </w:lvl>
    <w:lvl w:ilvl="6" w:tplc="B17A41EE" w:tentative="1">
      <w:start w:val="1"/>
      <w:numFmt w:val="bullet"/>
      <w:lvlText w:val=""/>
      <w:lvlJc w:val="left"/>
      <w:pPr>
        <w:tabs>
          <w:tab w:val="num" w:pos="5040"/>
        </w:tabs>
        <w:ind w:left="5040" w:hanging="360"/>
      </w:pPr>
      <w:rPr>
        <w:rFonts w:ascii="Symbol" w:hAnsi="Symbol" w:hint="default"/>
      </w:rPr>
    </w:lvl>
    <w:lvl w:ilvl="7" w:tplc="D772E0B6" w:tentative="1">
      <w:start w:val="1"/>
      <w:numFmt w:val="bullet"/>
      <w:lvlText w:val=""/>
      <w:lvlJc w:val="left"/>
      <w:pPr>
        <w:tabs>
          <w:tab w:val="num" w:pos="5760"/>
        </w:tabs>
        <w:ind w:left="5760" w:hanging="360"/>
      </w:pPr>
      <w:rPr>
        <w:rFonts w:ascii="Symbol" w:hAnsi="Symbol" w:hint="default"/>
      </w:rPr>
    </w:lvl>
    <w:lvl w:ilvl="8" w:tplc="2BD62C32" w:tentative="1">
      <w:start w:val="1"/>
      <w:numFmt w:val="bullet"/>
      <w:lvlText w:val=""/>
      <w:lvlJc w:val="left"/>
      <w:pPr>
        <w:tabs>
          <w:tab w:val="num" w:pos="6480"/>
        </w:tabs>
        <w:ind w:left="6480" w:hanging="360"/>
      </w:pPr>
      <w:rPr>
        <w:rFonts w:ascii="Symbol" w:hAnsi="Symbol" w:hint="default"/>
      </w:rPr>
    </w:lvl>
  </w:abstractNum>
  <w:abstractNum w:abstractNumId="89" w15:restartNumberingAfterBreak="0">
    <w:nsid w:val="3B3F2119"/>
    <w:multiLevelType w:val="hybridMultilevel"/>
    <w:tmpl w:val="D3AACBB6"/>
    <w:lvl w:ilvl="0" w:tplc="9C9CB2C6">
      <w:start w:val="1"/>
      <w:numFmt w:val="bullet"/>
      <w:lvlText w:val=""/>
      <w:lvlPicBulletId w:val="1"/>
      <w:lvlJc w:val="left"/>
      <w:pPr>
        <w:tabs>
          <w:tab w:val="num" w:pos="720"/>
        </w:tabs>
        <w:ind w:left="720" w:hanging="360"/>
      </w:pPr>
      <w:rPr>
        <w:rFonts w:ascii="Symbol" w:hAnsi="Symbol" w:hint="default"/>
      </w:rPr>
    </w:lvl>
    <w:lvl w:ilvl="1" w:tplc="E8E89AF6" w:tentative="1">
      <w:start w:val="1"/>
      <w:numFmt w:val="bullet"/>
      <w:lvlText w:val=""/>
      <w:lvlJc w:val="left"/>
      <w:pPr>
        <w:tabs>
          <w:tab w:val="num" w:pos="1440"/>
        </w:tabs>
        <w:ind w:left="1440" w:hanging="360"/>
      </w:pPr>
      <w:rPr>
        <w:rFonts w:ascii="Symbol" w:hAnsi="Symbol" w:hint="default"/>
      </w:rPr>
    </w:lvl>
    <w:lvl w:ilvl="2" w:tplc="5AD87530" w:tentative="1">
      <w:start w:val="1"/>
      <w:numFmt w:val="bullet"/>
      <w:lvlText w:val=""/>
      <w:lvlJc w:val="left"/>
      <w:pPr>
        <w:tabs>
          <w:tab w:val="num" w:pos="2160"/>
        </w:tabs>
        <w:ind w:left="2160" w:hanging="360"/>
      </w:pPr>
      <w:rPr>
        <w:rFonts w:ascii="Symbol" w:hAnsi="Symbol" w:hint="default"/>
      </w:rPr>
    </w:lvl>
    <w:lvl w:ilvl="3" w:tplc="196E0A1C" w:tentative="1">
      <w:start w:val="1"/>
      <w:numFmt w:val="bullet"/>
      <w:lvlText w:val=""/>
      <w:lvlJc w:val="left"/>
      <w:pPr>
        <w:tabs>
          <w:tab w:val="num" w:pos="2880"/>
        </w:tabs>
        <w:ind w:left="2880" w:hanging="360"/>
      </w:pPr>
      <w:rPr>
        <w:rFonts w:ascii="Symbol" w:hAnsi="Symbol" w:hint="default"/>
      </w:rPr>
    </w:lvl>
    <w:lvl w:ilvl="4" w:tplc="23469EF8" w:tentative="1">
      <w:start w:val="1"/>
      <w:numFmt w:val="bullet"/>
      <w:lvlText w:val=""/>
      <w:lvlJc w:val="left"/>
      <w:pPr>
        <w:tabs>
          <w:tab w:val="num" w:pos="3600"/>
        </w:tabs>
        <w:ind w:left="3600" w:hanging="360"/>
      </w:pPr>
      <w:rPr>
        <w:rFonts w:ascii="Symbol" w:hAnsi="Symbol" w:hint="default"/>
      </w:rPr>
    </w:lvl>
    <w:lvl w:ilvl="5" w:tplc="3920051E" w:tentative="1">
      <w:start w:val="1"/>
      <w:numFmt w:val="bullet"/>
      <w:lvlText w:val=""/>
      <w:lvlJc w:val="left"/>
      <w:pPr>
        <w:tabs>
          <w:tab w:val="num" w:pos="4320"/>
        </w:tabs>
        <w:ind w:left="4320" w:hanging="360"/>
      </w:pPr>
      <w:rPr>
        <w:rFonts w:ascii="Symbol" w:hAnsi="Symbol" w:hint="default"/>
      </w:rPr>
    </w:lvl>
    <w:lvl w:ilvl="6" w:tplc="BE2C3AAA" w:tentative="1">
      <w:start w:val="1"/>
      <w:numFmt w:val="bullet"/>
      <w:lvlText w:val=""/>
      <w:lvlJc w:val="left"/>
      <w:pPr>
        <w:tabs>
          <w:tab w:val="num" w:pos="5040"/>
        </w:tabs>
        <w:ind w:left="5040" w:hanging="360"/>
      </w:pPr>
      <w:rPr>
        <w:rFonts w:ascii="Symbol" w:hAnsi="Symbol" w:hint="default"/>
      </w:rPr>
    </w:lvl>
    <w:lvl w:ilvl="7" w:tplc="1A00E3A8" w:tentative="1">
      <w:start w:val="1"/>
      <w:numFmt w:val="bullet"/>
      <w:lvlText w:val=""/>
      <w:lvlJc w:val="left"/>
      <w:pPr>
        <w:tabs>
          <w:tab w:val="num" w:pos="5760"/>
        </w:tabs>
        <w:ind w:left="5760" w:hanging="360"/>
      </w:pPr>
      <w:rPr>
        <w:rFonts w:ascii="Symbol" w:hAnsi="Symbol" w:hint="default"/>
      </w:rPr>
    </w:lvl>
    <w:lvl w:ilvl="8" w:tplc="5E008CBE" w:tentative="1">
      <w:start w:val="1"/>
      <w:numFmt w:val="bullet"/>
      <w:lvlText w:val=""/>
      <w:lvlJc w:val="left"/>
      <w:pPr>
        <w:tabs>
          <w:tab w:val="num" w:pos="6480"/>
        </w:tabs>
        <w:ind w:left="6480" w:hanging="360"/>
      </w:pPr>
      <w:rPr>
        <w:rFonts w:ascii="Symbol" w:hAnsi="Symbol" w:hint="default"/>
      </w:rPr>
    </w:lvl>
  </w:abstractNum>
  <w:abstractNum w:abstractNumId="90" w15:restartNumberingAfterBreak="0">
    <w:nsid w:val="3BEE669C"/>
    <w:multiLevelType w:val="hybridMultilevel"/>
    <w:tmpl w:val="5B32F1F8"/>
    <w:lvl w:ilvl="0" w:tplc="4520569A">
      <w:start w:val="1"/>
      <w:numFmt w:val="bullet"/>
      <w:lvlText w:val=""/>
      <w:lvlPicBulletId w:val="0"/>
      <w:lvlJc w:val="left"/>
      <w:pPr>
        <w:tabs>
          <w:tab w:val="num" w:pos="720"/>
        </w:tabs>
        <w:ind w:left="720" w:hanging="360"/>
      </w:pPr>
      <w:rPr>
        <w:rFonts w:ascii="Symbol" w:hAnsi="Symbol" w:hint="default"/>
      </w:rPr>
    </w:lvl>
    <w:lvl w:ilvl="1" w:tplc="CBD437FC" w:tentative="1">
      <w:start w:val="1"/>
      <w:numFmt w:val="bullet"/>
      <w:lvlText w:val=""/>
      <w:lvlJc w:val="left"/>
      <w:pPr>
        <w:tabs>
          <w:tab w:val="num" w:pos="1440"/>
        </w:tabs>
        <w:ind w:left="1440" w:hanging="360"/>
      </w:pPr>
      <w:rPr>
        <w:rFonts w:ascii="Symbol" w:hAnsi="Symbol" w:hint="default"/>
      </w:rPr>
    </w:lvl>
    <w:lvl w:ilvl="2" w:tplc="2820BEFC" w:tentative="1">
      <w:start w:val="1"/>
      <w:numFmt w:val="bullet"/>
      <w:lvlText w:val=""/>
      <w:lvlJc w:val="left"/>
      <w:pPr>
        <w:tabs>
          <w:tab w:val="num" w:pos="2160"/>
        </w:tabs>
        <w:ind w:left="2160" w:hanging="360"/>
      </w:pPr>
      <w:rPr>
        <w:rFonts w:ascii="Symbol" w:hAnsi="Symbol" w:hint="default"/>
      </w:rPr>
    </w:lvl>
    <w:lvl w:ilvl="3" w:tplc="5C360056" w:tentative="1">
      <w:start w:val="1"/>
      <w:numFmt w:val="bullet"/>
      <w:lvlText w:val=""/>
      <w:lvlJc w:val="left"/>
      <w:pPr>
        <w:tabs>
          <w:tab w:val="num" w:pos="2880"/>
        </w:tabs>
        <w:ind w:left="2880" w:hanging="360"/>
      </w:pPr>
      <w:rPr>
        <w:rFonts w:ascii="Symbol" w:hAnsi="Symbol" w:hint="default"/>
      </w:rPr>
    </w:lvl>
    <w:lvl w:ilvl="4" w:tplc="440E338C" w:tentative="1">
      <w:start w:val="1"/>
      <w:numFmt w:val="bullet"/>
      <w:lvlText w:val=""/>
      <w:lvlJc w:val="left"/>
      <w:pPr>
        <w:tabs>
          <w:tab w:val="num" w:pos="3600"/>
        </w:tabs>
        <w:ind w:left="3600" w:hanging="360"/>
      </w:pPr>
      <w:rPr>
        <w:rFonts w:ascii="Symbol" w:hAnsi="Symbol" w:hint="default"/>
      </w:rPr>
    </w:lvl>
    <w:lvl w:ilvl="5" w:tplc="D5629ACA" w:tentative="1">
      <w:start w:val="1"/>
      <w:numFmt w:val="bullet"/>
      <w:lvlText w:val=""/>
      <w:lvlJc w:val="left"/>
      <w:pPr>
        <w:tabs>
          <w:tab w:val="num" w:pos="4320"/>
        </w:tabs>
        <w:ind w:left="4320" w:hanging="360"/>
      </w:pPr>
      <w:rPr>
        <w:rFonts w:ascii="Symbol" w:hAnsi="Symbol" w:hint="default"/>
      </w:rPr>
    </w:lvl>
    <w:lvl w:ilvl="6" w:tplc="CD362C1E" w:tentative="1">
      <w:start w:val="1"/>
      <w:numFmt w:val="bullet"/>
      <w:lvlText w:val=""/>
      <w:lvlJc w:val="left"/>
      <w:pPr>
        <w:tabs>
          <w:tab w:val="num" w:pos="5040"/>
        </w:tabs>
        <w:ind w:left="5040" w:hanging="360"/>
      </w:pPr>
      <w:rPr>
        <w:rFonts w:ascii="Symbol" w:hAnsi="Symbol" w:hint="default"/>
      </w:rPr>
    </w:lvl>
    <w:lvl w:ilvl="7" w:tplc="04546A6E" w:tentative="1">
      <w:start w:val="1"/>
      <w:numFmt w:val="bullet"/>
      <w:lvlText w:val=""/>
      <w:lvlJc w:val="left"/>
      <w:pPr>
        <w:tabs>
          <w:tab w:val="num" w:pos="5760"/>
        </w:tabs>
        <w:ind w:left="5760" w:hanging="360"/>
      </w:pPr>
      <w:rPr>
        <w:rFonts w:ascii="Symbol" w:hAnsi="Symbol" w:hint="default"/>
      </w:rPr>
    </w:lvl>
    <w:lvl w:ilvl="8" w:tplc="9A2E5C7E" w:tentative="1">
      <w:start w:val="1"/>
      <w:numFmt w:val="bullet"/>
      <w:lvlText w:val=""/>
      <w:lvlJc w:val="left"/>
      <w:pPr>
        <w:tabs>
          <w:tab w:val="num" w:pos="6480"/>
        </w:tabs>
        <w:ind w:left="6480" w:hanging="360"/>
      </w:pPr>
      <w:rPr>
        <w:rFonts w:ascii="Symbol" w:hAnsi="Symbol" w:hint="default"/>
      </w:rPr>
    </w:lvl>
  </w:abstractNum>
  <w:abstractNum w:abstractNumId="91" w15:restartNumberingAfterBreak="0">
    <w:nsid w:val="3CF71AA1"/>
    <w:multiLevelType w:val="hybridMultilevel"/>
    <w:tmpl w:val="A40280BC"/>
    <w:lvl w:ilvl="0" w:tplc="473648DC">
      <w:start w:val="1"/>
      <w:numFmt w:val="bullet"/>
      <w:lvlText w:val=""/>
      <w:lvlPicBulletId w:val="0"/>
      <w:lvlJc w:val="left"/>
      <w:pPr>
        <w:tabs>
          <w:tab w:val="num" w:pos="720"/>
        </w:tabs>
        <w:ind w:left="720" w:hanging="360"/>
      </w:pPr>
      <w:rPr>
        <w:rFonts w:ascii="Symbol" w:hAnsi="Symbol" w:hint="default"/>
      </w:rPr>
    </w:lvl>
    <w:lvl w:ilvl="1" w:tplc="6BFC31B0" w:tentative="1">
      <w:start w:val="1"/>
      <w:numFmt w:val="bullet"/>
      <w:lvlText w:val=""/>
      <w:lvlJc w:val="left"/>
      <w:pPr>
        <w:tabs>
          <w:tab w:val="num" w:pos="1440"/>
        </w:tabs>
        <w:ind w:left="1440" w:hanging="360"/>
      </w:pPr>
      <w:rPr>
        <w:rFonts w:ascii="Symbol" w:hAnsi="Symbol" w:hint="default"/>
      </w:rPr>
    </w:lvl>
    <w:lvl w:ilvl="2" w:tplc="9012767C" w:tentative="1">
      <w:start w:val="1"/>
      <w:numFmt w:val="bullet"/>
      <w:lvlText w:val=""/>
      <w:lvlJc w:val="left"/>
      <w:pPr>
        <w:tabs>
          <w:tab w:val="num" w:pos="2160"/>
        </w:tabs>
        <w:ind w:left="2160" w:hanging="360"/>
      </w:pPr>
      <w:rPr>
        <w:rFonts w:ascii="Symbol" w:hAnsi="Symbol" w:hint="default"/>
      </w:rPr>
    </w:lvl>
    <w:lvl w:ilvl="3" w:tplc="FC5882DA" w:tentative="1">
      <w:start w:val="1"/>
      <w:numFmt w:val="bullet"/>
      <w:lvlText w:val=""/>
      <w:lvlJc w:val="left"/>
      <w:pPr>
        <w:tabs>
          <w:tab w:val="num" w:pos="2880"/>
        </w:tabs>
        <w:ind w:left="2880" w:hanging="360"/>
      </w:pPr>
      <w:rPr>
        <w:rFonts w:ascii="Symbol" w:hAnsi="Symbol" w:hint="default"/>
      </w:rPr>
    </w:lvl>
    <w:lvl w:ilvl="4" w:tplc="8CF87874" w:tentative="1">
      <w:start w:val="1"/>
      <w:numFmt w:val="bullet"/>
      <w:lvlText w:val=""/>
      <w:lvlJc w:val="left"/>
      <w:pPr>
        <w:tabs>
          <w:tab w:val="num" w:pos="3600"/>
        </w:tabs>
        <w:ind w:left="3600" w:hanging="360"/>
      </w:pPr>
      <w:rPr>
        <w:rFonts w:ascii="Symbol" w:hAnsi="Symbol" w:hint="default"/>
      </w:rPr>
    </w:lvl>
    <w:lvl w:ilvl="5" w:tplc="7EE802D8" w:tentative="1">
      <w:start w:val="1"/>
      <w:numFmt w:val="bullet"/>
      <w:lvlText w:val=""/>
      <w:lvlJc w:val="left"/>
      <w:pPr>
        <w:tabs>
          <w:tab w:val="num" w:pos="4320"/>
        </w:tabs>
        <w:ind w:left="4320" w:hanging="360"/>
      </w:pPr>
      <w:rPr>
        <w:rFonts w:ascii="Symbol" w:hAnsi="Symbol" w:hint="default"/>
      </w:rPr>
    </w:lvl>
    <w:lvl w:ilvl="6" w:tplc="8D8A928A" w:tentative="1">
      <w:start w:val="1"/>
      <w:numFmt w:val="bullet"/>
      <w:lvlText w:val=""/>
      <w:lvlJc w:val="left"/>
      <w:pPr>
        <w:tabs>
          <w:tab w:val="num" w:pos="5040"/>
        </w:tabs>
        <w:ind w:left="5040" w:hanging="360"/>
      </w:pPr>
      <w:rPr>
        <w:rFonts w:ascii="Symbol" w:hAnsi="Symbol" w:hint="default"/>
      </w:rPr>
    </w:lvl>
    <w:lvl w:ilvl="7" w:tplc="3740E0EE" w:tentative="1">
      <w:start w:val="1"/>
      <w:numFmt w:val="bullet"/>
      <w:lvlText w:val=""/>
      <w:lvlJc w:val="left"/>
      <w:pPr>
        <w:tabs>
          <w:tab w:val="num" w:pos="5760"/>
        </w:tabs>
        <w:ind w:left="5760" w:hanging="360"/>
      </w:pPr>
      <w:rPr>
        <w:rFonts w:ascii="Symbol" w:hAnsi="Symbol" w:hint="default"/>
      </w:rPr>
    </w:lvl>
    <w:lvl w:ilvl="8" w:tplc="8FC8761A" w:tentative="1">
      <w:start w:val="1"/>
      <w:numFmt w:val="bullet"/>
      <w:lvlText w:val=""/>
      <w:lvlJc w:val="left"/>
      <w:pPr>
        <w:tabs>
          <w:tab w:val="num" w:pos="6480"/>
        </w:tabs>
        <w:ind w:left="6480" w:hanging="360"/>
      </w:pPr>
      <w:rPr>
        <w:rFonts w:ascii="Symbol" w:hAnsi="Symbol" w:hint="default"/>
      </w:rPr>
    </w:lvl>
  </w:abstractNum>
  <w:abstractNum w:abstractNumId="92" w15:restartNumberingAfterBreak="0">
    <w:nsid w:val="3E550F12"/>
    <w:multiLevelType w:val="hybridMultilevel"/>
    <w:tmpl w:val="C002C394"/>
    <w:lvl w:ilvl="0" w:tplc="A548430C">
      <w:start w:val="1"/>
      <w:numFmt w:val="bullet"/>
      <w:lvlText w:val=""/>
      <w:lvlPicBulletId w:val="1"/>
      <w:lvlJc w:val="left"/>
      <w:pPr>
        <w:tabs>
          <w:tab w:val="num" w:pos="720"/>
        </w:tabs>
        <w:ind w:left="720" w:hanging="360"/>
      </w:pPr>
      <w:rPr>
        <w:rFonts w:ascii="Symbol" w:hAnsi="Symbol" w:hint="default"/>
      </w:rPr>
    </w:lvl>
    <w:lvl w:ilvl="1" w:tplc="9BE04A2C" w:tentative="1">
      <w:start w:val="1"/>
      <w:numFmt w:val="bullet"/>
      <w:lvlText w:val=""/>
      <w:lvlJc w:val="left"/>
      <w:pPr>
        <w:tabs>
          <w:tab w:val="num" w:pos="1440"/>
        </w:tabs>
        <w:ind w:left="1440" w:hanging="360"/>
      </w:pPr>
      <w:rPr>
        <w:rFonts w:ascii="Symbol" w:hAnsi="Symbol" w:hint="default"/>
      </w:rPr>
    </w:lvl>
    <w:lvl w:ilvl="2" w:tplc="CDE6AF4A" w:tentative="1">
      <w:start w:val="1"/>
      <w:numFmt w:val="bullet"/>
      <w:lvlText w:val=""/>
      <w:lvlJc w:val="left"/>
      <w:pPr>
        <w:tabs>
          <w:tab w:val="num" w:pos="2160"/>
        </w:tabs>
        <w:ind w:left="2160" w:hanging="360"/>
      </w:pPr>
      <w:rPr>
        <w:rFonts w:ascii="Symbol" w:hAnsi="Symbol" w:hint="default"/>
      </w:rPr>
    </w:lvl>
    <w:lvl w:ilvl="3" w:tplc="544AFC46" w:tentative="1">
      <w:start w:val="1"/>
      <w:numFmt w:val="bullet"/>
      <w:lvlText w:val=""/>
      <w:lvlJc w:val="left"/>
      <w:pPr>
        <w:tabs>
          <w:tab w:val="num" w:pos="2880"/>
        </w:tabs>
        <w:ind w:left="2880" w:hanging="360"/>
      </w:pPr>
      <w:rPr>
        <w:rFonts w:ascii="Symbol" w:hAnsi="Symbol" w:hint="default"/>
      </w:rPr>
    </w:lvl>
    <w:lvl w:ilvl="4" w:tplc="CF1E2C7C" w:tentative="1">
      <w:start w:val="1"/>
      <w:numFmt w:val="bullet"/>
      <w:lvlText w:val=""/>
      <w:lvlJc w:val="left"/>
      <w:pPr>
        <w:tabs>
          <w:tab w:val="num" w:pos="3600"/>
        </w:tabs>
        <w:ind w:left="3600" w:hanging="360"/>
      </w:pPr>
      <w:rPr>
        <w:rFonts w:ascii="Symbol" w:hAnsi="Symbol" w:hint="default"/>
      </w:rPr>
    </w:lvl>
    <w:lvl w:ilvl="5" w:tplc="0A9A3A56" w:tentative="1">
      <w:start w:val="1"/>
      <w:numFmt w:val="bullet"/>
      <w:lvlText w:val=""/>
      <w:lvlJc w:val="left"/>
      <w:pPr>
        <w:tabs>
          <w:tab w:val="num" w:pos="4320"/>
        </w:tabs>
        <w:ind w:left="4320" w:hanging="360"/>
      </w:pPr>
      <w:rPr>
        <w:rFonts w:ascii="Symbol" w:hAnsi="Symbol" w:hint="default"/>
      </w:rPr>
    </w:lvl>
    <w:lvl w:ilvl="6" w:tplc="3D3A4A96" w:tentative="1">
      <w:start w:val="1"/>
      <w:numFmt w:val="bullet"/>
      <w:lvlText w:val=""/>
      <w:lvlJc w:val="left"/>
      <w:pPr>
        <w:tabs>
          <w:tab w:val="num" w:pos="5040"/>
        </w:tabs>
        <w:ind w:left="5040" w:hanging="360"/>
      </w:pPr>
      <w:rPr>
        <w:rFonts w:ascii="Symbol" w:hAnsi="Symbol" w:hint="default"/>
      </w:rPr>
    </w:lvl>
    <w:lvl w:ilvl="7" w:tplc="D55E1456" w:tentative="1">
      <w:start w:val="1"/>
      <w:numFmt w:val="bullet"/>
      <w:lvlText w:val=""/>
      <w:lvlJc w:val="left"/>
      <w:pPr>
        <w:tabs>
          <w:tab w:val="num" w:pos="5760"/>
        </w:tabs>
        <w:ind w:left="5760" w:hanging="360"/>
      </w:pPr>
      <w:rPr>
        <w:rFonts w:ascii="Symbol" w:hAnsi="Symbol" w:hint="default"/>
      </w:rPr>
    </w:lvl>
    <w:lvl w:ilvl="8" w:tplc="7730DDDA" w:tentative="1">
      <w:start w:val="1"/>
      <w:numFmt w:val="bullet"/>
      <w:lvlText w:val=""/>
      <w:lvlJc w:val="left"/>
      <w:pPr>
        <w:tabs>
          <w:tab w:val="num" w:pos="6480"/>
        </w:tabs>
        <w:ind w:left="6480" w:hanging="360"/>
      </w:pPr>
      <w:rPr>
        <w:rFonts w:ascii="Symbol" w:hAnsi="Symbol" w:hint="default"/>
      </w:rPr>
    </w:lvl>
  </w:abstractNum>
  <w:abstractNum w:abstractNumId="93" w15:restartNumberingAfterBreak="0">
    <w:nsid w:val="3EC5446E"/>
    <w:multiLevelType w:val="hybridMultilevel"/>
    <w:tmpl w:val="D5A6FE70"/>
    <w:lvl w:ilvl="0" w:tplc="BD2E0AF0">
      <w:start w:val="1"/>
      <w:numFmt w:val="bullet"/>
      <w:lvlText w:val=""/>
      <w:lvlPicBulletId w:val="0"/>
      <w:lvlJc w:val="left"/>
      <w:pPr>
        <w:tabs>
          <w:tab w:val="num" w:pos="720"/>
        </w:tabs>
        <w:ind w:left="720" w:hanging="360"/>
      </w:pPr>
      <w:rPr>
        <w:rFonts w:ascii="Symbol" w:hAnsi="Symbol" w:hint="default"/>
      </w:rPr>
    </w:lvl>
    <w:lvl w:ilvl="1" w:tplc="EFE86080" w:tentative="1">
      <w:start w:val="1"/>
      <w:numFmt w:val="bullet"/>
      <w:lvlText w:val=""/>
      <w:lvlJc w:val="left"/>
      <w:pPr>
        <w:tabs>
          <w:tab w:val="num" w:pos="1440"/>
        </w:tabs>
        <w:ind w:left="1440" w:hanging="360"/>
      </w:pPr>
      <w:rPr>
        <w:rFonts w:ascii="Symbol" w:hAnsi="Symbol" w:hint="default"/>
      </w:rPr>
    </w:lvl>
    <w:lvl w:ilvl="2" w:tplc="63204244" w:tentative="1">
      <w:start w:val="1"/>
      <w:numFmt w:val="bullet"/>
      <w:lvlText w:val=""/>
      <w:lvlJc w:val="left"/>
      <w:pPr>
        <w:tabs>
          <w:tab w:val="num" w:pos="2160"/>
        </w:tabs>
        <w:ind w:left="2160" w:hanging="360"/>
      </w:pPr>
      <w:rPr>
        <w:rFonts w:ascii="Symbol" w:hAnsi="Symbol" w:hint="default"/>
      </w:rPr>
    </w:lvl>
    <w:lvl w:ilvl="3" w:tplc="C04CA9EE" w:tentative="1">
      <w:start w:val="1"/>
      <w:numFmt w:val="bullet"/>
      <w:lvlText w:val=""/>
      <w:lvlJc w:val="left"/>
      <w:pPr>
        <w:tabs>
          <w:tab w:val="num" w:pos="2880"/>
        </w:tabs>
        <w:ind w:left="2880" w:hanging="360"/>
      </w:pPr>
      <w:rPr>
        <w:rFonts w:ascii="Symbol" w:hAnsi="Symbol" w:hint="default"/>
      </w:rPr>
    </w:lvl>
    <w:lvl w:ilvl="4" w:tplc="B622EDC2" w:tentative="1">
      <w:start w:val="1"/>
      <w:numFmt w:val="bullet"/>
      <w:lvlText w:val=""/>
      <w:lvlJc w:val="left"/>
      <w:pPr>
        <w:tabs>
          <w:tab w:val="num" w:pos="3600"/>
        </w:tabs>
        <w:ind w:left="3600" w:hanging="360"/>
      </w:pPr>
      <w:rPr>
        <w:rFonts w:ascii="Symbol" w:hAnsi="Symbol" w:hint="default"/>
      </w:rPr>
    </w:lvl>
    <w:lvl w:ilvl="5" w:tplc="B50076A8" w:tentative="1">
      <w:start w:val="1"/>
      <w:numFmt w:val="bullet"/>
      <w:lvlText w:val=""/>
      <w:lvlJc w:val="left"/>
      <w:pPr>
        <w:tabs>
          <w:tab w:val="num" w:pos="4320"/>
        </w:tabs>
        <w:ind w:left="4320" w:hanging="360"/>
      </w:pPr>
      <w:rPr>
        <w:rFonts w:ascii="Symbol" w:hAnsi="Symbol" w:hint="default"/>
      </w:rPr>
    </w:lvl>
    <w:lvl w:ilvl="6" w:tplc="6C8811BA" w:tentative="1">
      <w:start w:val="1"/>
      <w:numFmt w:val="bullet"/>
      <w:lvlText w:val=""/>
      <w:lvlJc w:val="left"/>
      <w:pPr>
        <w:tabs>
          <w:tab w:val="num" w:pos="5040"/>
        </w:tabs>
        <w:ind w:left="5040" w:hanging="360"/>
      </w:pPr>
      <w:rPr>
        <w:rFonts w:ascii="Symbol" w:hAnsi="Symbol" w:hint="default"/>
      </w:rPr>
    </w:lvl>
    <w:lvl w:ilvl="7" w:tplc="63FA06A6" w:tentative="1">
      <w:start w:val="1"/>
      <w:numFmt w:val="bullet"/>
      <w:lvlText w:val=""/>
      <w:lvlJc w:val="left"/>
      <w:pPr>
        <w:tabs>
          <w:tab w:val="num" w:pos="5760"/>
        </w:tabs>
        <w:ind w:left="5760" w:hanging="360"/>
      </w:pPr>
      <w:rPr>
        <w:rFonts w:ascii="Symbol" w:hAnsi="Symbol" w:hint="default"/>
      </w:rPr>
    </w:lvl>
    <w:lvl w:ilvl="8" w:tplc="5F2C7FB8" w:tentative="1">
      <w:start w:val="1"/>
      <w:numFmt w:val="bullet"/>
      <w:lvlText w:val=""/>
      <w:lvlJc w:val="left"/>
      <w:pPr>
        <w:tabs>
          <w:tab w:val="num" w:pos="6480"/>
        </w:tabs>
        <w:ind w:left="6480" w:hanging="360"/>
      </w:pPr>
      <w:rPr>
        <w:rFonts w:ascii="Symbol" w:hAnsi="Symbol" w:hint="default"/>
      </w:rPr>
    </w:lvl>
  </w:abstractNum>
  <w:abstractNum w:abstractNumId="94" w15:restartNumberingAfterBreak="0">
    <w:nsid w:val="3FA8491F"/>
    <w:multiLevelType w:val="hybridMultilevel"/>
    <w:tmpl w:val="B9DEF47C"/>
    <w:lvl w:ilvl="0" w:tplc="FCE8DC14">
      <w:start w:val="1"/>
      <w:numFmt w:val="bullet"/>
      <w:lvlText w:val=""/>
      <w:lvlPicBulletId w:val="0"/>
      <w:lvlJc w:val="left"/>
      <w:pPr>
        <w:tabs>
          <w:tab w:val="num" w:pos="720"/>
        </w:tabs>
        <w:ind w:left="720" w:hanging="360"/>
      </w:pPr>
      <w:rPr>
        <w:rFonts w:ascii="Symbol" w:hAnsi="Symbol" w:hint="default"/>
      </w:rPr>
    </w:lvl>
    <w:lvl w:ilvl="1" w:tplc="77B83BCA" w:tentative="1">
      <w:start w:val="1"/>
      <w:numFmt w:val="bullet"/>
      <w:lvlText w:val=""/>
      <w:lvlJc w:val="left"/>
      <w:pPr>
        <w:tabs>
          <w:tab w:val="num" w:pos="1440"/>
        </w:tabs>
        <w:ind w:left="1440" w:hanging="360"/>
      </w:pPr>
      <w:rPr>
        <w:rFonts w:ascii="Symbol" w:hAnsi="Symbol" w:hint="default"/>
      </w:rPr>
    </w:lvl>
    <w:lvl w:ilvl="2" w:tplc="31E0E844" w:tentative="1">
      <w:start w:val="1"/>
      <w:numFmt w:val="bullet"/>
      <w:lvlText w:val=""/>
      <w:lvlJc w:val="left"/>
      <w:pPr>
        <w:tabs>
          <w:tab w:val="num" w:pos="2160"/>
        </w:tabs>
        <w:ind w:left="2160" w:hanging="360"/>
      </w:pPr>
      <w:rPr>
        <w:rFonts w:ascii="Symbol" w:hAnsi="Symbol" w:hint="default"/>
      </w:rPr>
    </w:lvl>
    <w:lvl w:ilvl="3" w:tplc="31D05DEA" w:tentative="1">
      <w:start w:val="1"/>
      <w:numFmt w:val="bullet"/>
      <w:lvlText w:val=""/>
      <w:lvlJc w:val="left"/>
      <w:pPr>
        <w:tabs>
          <w:tab w:val="num" w:pos="2880"/>
        </w:tabs>
        <w:ind w:left="2880" w:hanging="360"/>
      </w:pPr>
      <w:rPr>
        <w:rFonts w:ascii="Symbol" w:hAnsi="Symbol" w:hint="default"/>
      </w:rPr>
    </w:lvl>
    <w:lvl w:ilvl="4" w:tplc="6CE4D316" w:tentative="1">
      <w:start w:val="1"/>
      <w:numFmt w:val="bullet"/>
      <w:lvlText w:val=""/>
      <w:lvlJc w:val="left"/>
      <w:pPr>
        <w:tabs>
          <w:tab w:val="num" w:pos="3600"/>
        </w:tabs>
        <w:ind w:left="3600" w:hanging="360"/>
      </w:pPr>
      <w:rPr>
        <w:rFonts w:ascii="Symbol" w:hAnsi="Symbol" w:hint="default"/>
      </w:rPr>
    </w:lvl>
    <w:lvl w:ilvl="5" w:tplc="7D6AC414" w:tentative="1">
      <w:start w:val="1"/>
      <w:numFmt w:val="bullet"/>
      <w:lvlText w:val=""/>
      <w:lvlJc w:val="left"/>
      <w:pPr>
        <w:tabs>
          <w:tab w:val="num" w:pos="4320"/>
        </w:tabs>
        <w:ind w:left="4320" w:hanging="360"/>
      </w:pPr>
      <w:rPr>
        <w:rFonts w:ascii="Symbol" w:hAnsi="Symbol" w:hint="default"/>
      </w:rPr>
    </w:lvl>
    <w:lvl w:ilvl="6" w:tplc="A8AAFE7E" w:tentative="1">
      <w:start w:val="1"/>
      <w:numFmt w:val="bullet"/>
      <w:lvlText w:val=""/>
      <w:lvlJc w:val="left"/>
      <w:pPr>
        <w:tabs>
          <w:tab w:val="num" w:pos="5040"/>
        </w:tabs>
        <w:ind w:left="5040" w:hanging="360"/>
      </w:pPr>
      <w:rPr>
        <w:rFonts w:ascii="Symbol" w:hAnsi="Symbol" w:hint="default"/>
      </w:rPr>
    </w:lvl>
    <w:lvl w:ilvl="7" w:tplc="B4EE9F26" w:tentative="1">
      <w:start w:val="1"/>
      <w:numFmt w:val="bullet"/>
      <w:lvlText w:val=""/>
      <w:lvlJc w:val="left"/>
      <w:pPr>
        <w:tabs>
          <w:tab w:val="num" w:pos="5760"/>
        </w:tabs>
        <w:ind w:left="5760" w:hanging="360"/>
      </w:pPr>
      <w:rPr>
        <w:rFonts w:ascii="Symbol" w:hAnsi="Symbol" w:hint="default"/>
      </w:rPr>
    </w:lvl>
    <w:lvl w:ilvl="8" w:tplc="DF64A9C2" w:tentative="1">
      <w:start w:val="1"/>
      <w:numFmt w:val="bullet"/>
      <w:lvlText w:val=""/>
      <w:lvlJc w:val="left"/>
      <w:pPr>
        <w:tabs>
          <w:tab w:val="num" w:pos="6480"/>
        </w:tabs>
        <w:ind w:left="6480" w:hanging="360"/>
      </w:pPr>
      <w:rPr>
        <w:rFonts w:ascii="Symbol" w:hAnsi="Symbol" w:hint="default"/>
      </w:rPr>
    </w:lvl>
  </w:abstractNum>
  <w:abstractNum w:abstractNumId="95" w15:restartNumberingAfterBreak="0">
    <w:nsid w:val="401E0F29"/>
    <w:multiLevelType w:val="hybridMultilevel"/>
    <w:tmpl w:val="700262EE"/>
    <w:lvl w:ilvl="0" w:tplc="44EEC084">
      <w:start w:val="1"/>
      <w:numFmt w:val="bullet"/>
      <w:lvlText w:val="&gt;"/>
      <w:lvlJc w:val="left"/>
      <w:pPr>
        <w:ind w:left="1015" w:hanging="360"/>
      </w:pPr>
      <w:rPr>
        <w:rFonts w:ascii="HelveticaNeueLT Std" w:hAnsi="HelveticaNeueLT Std" w:hint="default"/>
      </w:rPr>
    </w:lvl>
    <w:lvl w:ilvl="1" w:tplc="0C090003" w:tentative="1">
      <w:start w:val="1"/>
      <w:numFmt w:val="bullet"/>
      <w:lvlText w:val="o"/>
      <w:lvlJc w:val="left"/>
      <w:pPr>
        <w:ind w:left="1735" w:hanging="360"/>
      </w:pPr>
      <w:rPr>
        <w:rFonts w:ascii="Courier New" w:hAnsi="Courier New" w:cs="Courier New" w:hint="default"/>
      </w:rPr>
    </w:lvl>
    <w:lvl w:ilvl="2" w:tplc="0C090005" w:tentative="1">
      <w:start w:val="1"/>
      <w:numFmt w:val="bullet"/>
      <w:lvlText w:val=""/>
      <w:lvlJc w:val="left"/>
      <w:pPr>
        <w:ind w:left="2455" w:hanging="360"/>
      </w:pPr>
      <w:rPr>
        <w:rFonts w:ascii="Wingdings" w:hAnsi="Wingdings" w:hint="default"/>
      </w:rPr>
    </w:lvl>
    <w:lvl w:ilvl="3" w:tplc="0C090001" w:tentative="1">
      <w:start w:val="1"/>
      <w:numFmt w:val="bullet"/>
      <w:lvlText w:val=""/>
      <w:lvlJc w:val="left"/>
      <w:pPr>
        <w:ind w:left="3175" w:hanging="360"/>
      </w:pPr>
      <w:rPr>
        <w:rFonts w:ascii="Symbol" w:hAnsi="Symbol" w:hint="default"/>
      </w:rPr>
    </w:lvl>
    <w:lvl w:ilvl="4" w:tplc="0C090003" w:tentative="1">
      <w:start w:val="1"/>
      <w:numFmt w:val="bullet"/>
      <w:lvlText w:val="o"/>
      <w:lvlJc w:val="left"/>
      <w:pPr>
        <w:ind w:left="3895" w:hanging="360"/>
      </w:pPr>
      <w:rPr>
        <w:rFonts w:ascii="Courier New" w:hAnsi="Courier New" w:cs="Courier New" w:hint="default"/>
      </w:rPr>
    </w:lvl>
    <w:lvl w:ilvl="5" w:tplc="0C090005" w:tentative="1">
      <w:start w:val="1"/>
      <w:numFmt w:val="bullet"/>
      <w:lvlText w:val=""/>
      <w:lvlJc w:val="left"/>
      <w:pPr>
        <w:ind w:left="4615" w:hanging="360"/>
      </w:pPr>
      <w:rPr>
        <w:rFonts w:ascii="Wingdings" w:hAnsi="Wingdings" w:hint="default"/>
      </w:rPr>
    </w:lvl>
    <w:lvl w:ilvl="6" w:tplc="0C090001" w:tentative="1">
      <w:start w:val="1"/>
      <w:numFmt w:val="bullet"/>
      <w:lvlText w:val=""/>
      <w:lvlJc w:val="left"/>
      <w:pPr>
        <w:ind w:left="5335" w:hanging="360"/>
      </w:pPr>
      <w:rPr>
        <w:rFonts w:ascii="Symbol" w:hAnsi="Symbol" w:hint="default"/>
      </w:rPr>
    </w:lvl>
    <w:lvl w:ilvl="7" w:tplc="0C090003" w:tentative="1">
      <w:start w:val="1"/>
      <w:numFmt w:val="bullet"/>
      <w:lvlText w:val="o"/>
      <w:lvlJc w:val="left"/>
      <w:pPr>
        <w:ind w:left="6055" w:hanging="360"/>
      </w:pPr>
      <w:rPr>
        <w:rFonts w:ascii="Courier New" w:hAnsi="Courier New" w:cs="Courier New" w:hint="default"/>
      </w:rPr>
    </w:lvl>
    <w:lvl w:ilvl="8" w:tplc="0C090005" w:tentative="1">
      <w:start w:val="1"/>
      <w:numFmt w:val="bullet"/>
      <w:lvlText w:val=""/>
      <w:lvlJc w:val="left"/>
      <w:pPr>
        <w:ind w:left="6775" w:hanging="360"/>
      </w:pPr>
      <w:rPr>
        <w:rFonts w:ascii="Wingdings" w:hAnsi="Wingdings" w:hint="default"/>
      </w:rPr>
    </w:lvl>
  </w:abstractNum>
  <w:abstractNum w:abstractNumId="96" w15:restartNumberingAfterBreak="0">
    <w:nsid w:val="40CD36C9"/>
    <w:multiLevelType w:val="hybridMultilevel"/>
    <w:tmpl w:val="917AA308"/>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7" w15:restartNumberingAfterBreak="0">
    <w:nsid w:val="414422AC"/>
    <w:multiLevelType w:val="hybridMultilevel"/>
    <w:tmpl w:val="98B01C98"/>
    <w:lvl w:ilvl="0" w:tplc="44EEC084">
      <w:start w:val="1"/>
      <w:numFmt w:val="bullet"/>
      <w:lvlText w:val="&gt;"/>
      <w:lvlJc w:val="left"/>
      <w:pPr>
        <w:ind w:left="360" w:hanging="360"/>
      </w:pPr>
      <w:rPr>
        <w:rFonts w:ascii="HelveticaNeueLT Std" w:hAnsi="HelveticaNeueLT Std"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8" w15:restartNumberingAfterBreak="0">
    <w:nsid w:val="41680419"/>
    <w:multiLevelType w:val="hybridMultilevel"/>
    <w:tmpl w:val="76F2A8B2"/>
    <w:lvl w:ilvl="0" w:tplc="B3463CB6">
      <w:start w:val="26"/>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9" w15:restartNumberingAfterBreak="0">
    <w:nsid w:val="41E70333"/>
    <w:multiLevelType w:val="hybridMultilevel"/>
    <w:tmpl w:val="E13A221E"/>
    <w:lvl w:ilvl="0" w:tplc="1A3020EC">
      <w:start w:val="1"/>
      <w:numFmt w:val="bullet"/>
      <w:lvlText w:val=""/>
      <w:lvlPicBulletId w:val="1"/>
      <w:lvlJc w:val="left"/>
      <w:pPr>
        <w:tabs>
          <w:tab w:val="num" w:pos="720"/>
        </w:tabs>
        <w:ind w:left="720" w:hanging="360"/>
      </w:pPr>
      <w:rPr>
        <w:rFonts w:ascii="Symbol" w:hAnsi="Symbol" w:hint="default"/>
      </w:rPr>
    </w:lvl>
    <w:lvl w:ilvl="1" w:tplc="777AF68E" w:tentative="1">
      <w:start w:val="1"/>
      <w:numFmt w:val="bullet"/>
      <w:lvlText w:val=""/>
      <w:lvlJc w:val="left"/>
      <w:pPr>
        <w:tabs>
          <w:tab w:val="num" w:pos="1440"/>
        </w:tabs>
        <w:ind w:left="1440" w:hanging="360"/>
      </w:pPr>
      <w:rPr>
        <w:rFonts w:ascii="Symbol" w:hAnsi="Symbol" w:hint="default"/>
      </w:rPr>
    </w:lvl>
    <w:lvl w:ilvl="2" w:tplc="67520C24" w:tentative="1">
      <w:start w:val="1"/>
      <w:numFmt w:val="bullet"/>
      <w:lvlText w:val=""/>
      <w:lvlJc w:val="left"/>
      <w:pPr>
        <w:tabs>
          <w:tab w:val="num" w:pos="2160"/>
        </w:tabs>
        <w:ind w:left="2160" w:hanging="360"/>
      </w:pPr>
      <w:rPr>
        <w:rFonts w:ascii="Symbol" w:hAnsi="Symbol" w:hint="default"/>
      </w:rPr>
    </w:lvl>
    <w:lvl w:ilvl="3" w:tplc="02C203D4" w:tentative="1">
      <w:start w:val="1"/>
      <w:numFmt w:val="bullet"/>
      <w:lvlText w:val=""/>
      <w:lvlJc w:val="left"/>
      <w:pPr>
        <w:tabs>
          <w:tab w:val="num" w:pos="2880"/>
        </w:tabs>
        <w:ind w:left="2880" w:hanging="360"/>
      </w:pPr>
      <w:rPr>
        <w:rFonts w:ascii="Symbol" w:hAnsi="Symbol" w:hint="default"/>
      </w:rPr>
    </w:lvl>
    <w:lvl w:ilvl="4" w:tplc="4E50A3F8" w:tentative="1">
      <w:start w:val="1"/>
      <w:numFmt w:val="bullet"/>
      <w:lvlText w:val=""/>
      <w:lvlJc w:val="left"/>
      <w:pPr>
        <w:tabs>
          <w:tab w:val="num" w:pos="3600"/>
        </w:tabs>
        <w:ind w:left="3600" w:hanging="360"/>
      </w:pPr>
      <w:rPr>
        <w:rFonts w:ascii="Symbol" w:hAnsi="Symbol" w:hint="default"/>
      </w:rPr>
    </w:lvl>
    <w:lvl w:ilvl="5" w:tplc="EE548E36" w:tentative="1">
      <w:start w:val="1"/>
      <w:numFmt w:val="bullet"/>
      <w:lvlText w:val=""/>
      <w:lvlJc w:val="left"/>
      <w:pPr>
        <w:tabs>
          <w:tab w:val="num" w:pos="4320"/>
        </w:tabs>
        <w:ind w:left="4320" w:hanging="360"/>
      </w:pPr>
      <w:rPr>
        <w:rFonts w:ascii="Symbol" w:hAnsi="Symbol" w:hint="default"/>
      </w:rPr>
    </w:lvl>
    <w:lvl w:ilvl="6" w:tplc="2C88E95C" w:tentative="1">
      <w:start w:val="1"/>
      <w:numFmt w:val="bullet"/>
      <w:lvlText w:val=""/>
      <w:lvlJc w:val="left"/>
      <w:pPr>
        <w:tabs>
          <w:tab w:val="num" w:pos="5040"/>
        </w:tabs>
        <w:ind w:left="5040" w:hanging="360"/>
      </w:pPr>
      <w:rPr>
        <w:rFonts w:ascii="Symbol" w:hAnsi="Symbol" w:hint="default"/>
      </w:rPr>
    </w:lvl>
    <w:lvl w:ilvl="7" w:tplc="10529120" w:tentative="1">
      <w:start w:val="1"/>
      <w:numFmt w:val="bullet"/>
      <w:lvlText w:val=""/>
      <w:lvlJc w:val="left"/>
      <w:pPr>
        <w:tabs>
          <w:tab w:val="num" w:pos="5760"/>
        </w:tabs>
        <w:ind w:left="5760" w:hanging="360"/>
      </w:pPr>
      <w:rPr>
        <w:rFonts w:ascii="Symbol" w:hAnsi="Symbol" w:hint="default"/>
      </w:rPr>
    </w:lvl>
    <w:lvl w:ilvl="8" w:tplc="DDB064F2" w:tentative="1">
      <w:start w:val="1"/>
      <w:numFmt w:val="bullet"/>
      <w:lvlText w:val=""/>
      <w:lvlJc w:val="left"/>
      <w:pPr>
        <w:tabs>
          <w:tab w:val="num" w:pos="6480"/>
        </w:tabs>
        <w:ind w:left="6480" w:hanging="360"/>
      </w:pPr>
      <w:rPr>
        <w:rFonts w:ascii="Symbol" w:hAnsi="Symbol" w:hint="default"/>
      </w:rPr>
    </w:lvl>
  </w:abstractNum>
  <w:abstractNum w:abstractNumId="100" w15:restartNumberingAfterBreak="0">
    <w:nsid w:val="427E1B66"/>
    <w:multiLevelType w:val="hybridMultilevel"/>
    <w:tmpl w:val="B246DCB0"/>
    <w:lvl w:ilvl="0" w:tplc="E89ADF34">
      <w:start w:val="1"/>
      <w:numFmt w:val="bullet"/>
      <w:lvlText w:val=""/>
      <w:lvlPicBulletId w:val="0"/>
      <w:lvlJc w:val="left"/>
      <w:pPr>
        <w:tabs>
          <w:tab w:val="num" w:pos="720"/>
        </w:tabs>
        <w:ind w:left="720" w:hanging="360"/>
      </w:pPr>
      <w:rPr>
        <w:rFonts w:ascii="Symbol" w:hAnsi="Symbol" w:hint="default"/>
      </w:rPr>
    </w:lvl>
    <w:lvl w:ilvl="1" w:tplc="8182F6A4" w:tentative="1">
      <w:start w:val="1"/>
      <w:numFmt w:val="bullet"/>
      <w:lvlText w:val=""/>
      <w:lvlJc w:val="left"/>
      <w:pPr>
        <w:tabs>
          <w:tab w:val="num" w:pos="1440"/>
        </w:tabs>
        <w:ind w:left="1440" w:hanging="360"/>
      </w:pPr>
      <w:rPr>
        <w:rFonts w:ascii="Symbol" w:hAnsi="Symbol" w:hint="default"/>
      </w:rPr>
    </w:lvl>
    <w:lvl w:ilvl="2" w:tplc="950EC966" w:tentative="1">
      <w:start w:val="1"/>
      <w:numFmt w:val="bullet"/>
      <w:lvlText w:val=""/>
      <w:lvlJc w:val="left"/>
      <w:pPr>
        <w:tabs>
          <w:tab w:val="num" w:pos="2160"/>
        </w:tabs>
        <w:ind w:left="2160" w:hanging="360"/>
      </w:pPr>
      <w:rPr>
        <w:rFonts w:ascii="Symbol" w:hAnsi="Symbol" w:hint="default"/>
      </w:rPr>
    </w:lvl>
    <w:lvl w:ilvl="3" w:tplc="C14E5792" w:tentative="1">
      <w:start w:val="1"/>
      <w:numFmt w:val="bullet"/>
      <w:lvlText w:val=""/>
      <w:lvlJc w:val="left"/>
      <w:pPr>
        <w:tabs>
          <w:tab w:val="num" w:pos="2880"/>
        </w:tabs>
        <w:ind w:left="2880" w:hanging="360"/>
      </w:pPr>
      <w:rPr>
        <w:rFonts w:ascii="Symbol" w:hAnsi="Symbol" w:hint="default"/>
      </w:rPr>
    </w:lvl>
    <w:lvl w:ilvl="4" w:tplc="FD4E3D04" w:tentative="1">
      <w:start w:val="1"/>
      <w:numFmt w:val="bullet"/>
      <w:lvlText w:val=""/>
      <w:lvlJc w:val="left"/>
      <w:pPr>
        <w:tabs>
          <w:tab w:val="num" w:pos="3600"/>
        </w:tabs>
        <w:ind w:left="3600" w:hanging="360"/>
      </w:pPr>
      <w:rPr>
        <w:rFonts w:ascii="Symbol" w:hAnsi="Symbol" w:hint="default"/>
      </w:rPr>
    </w:lvl>
    <w:lvl w:ilvl="5" w:tplc="2FEE44A8" w:tentative="1">
      <w:start w:val="1"/>
      <w:numFmt w:val="bullet"/>
      <w:lvlText w:val=""/>
      <w:lvlJc w:val="left"/>
      <w:pPr>
        <w:tabs>
          <w:tab w:val="num" w:pos="4320"/>
        </w:tabs>
        <w:ind w:left="4320" w:hanging="360"/>
      </w:pPr>
      <w:rPr>
        <w:rFonts w:ascii="Symbol" w:hAnsi="Symbol" w:hint="default"/>
      </w:rPr>
    </w:lvl>
    <w:lvl w:ilvl="6" w:tplc="5EC4F84A" w:tentative="1">
      <w:start w:val="1"/>
      <w:numFmt w:val="bullet"/>
      <w:lvlText w:val=""/>
      <w:lvlJc w:val="left"/>
      <w:pPr>
        <w:tabs>
          <w:tab w:val="num" w:pos="5040"/>
        </w:tabs>
        <w:ind w:left="5040" w:hanging="360"/>
      </w:pPr>
      <w:rPr>
        <w:rFonts w:ascii="Symbol" w:hAnsi="Symbol" w:hint="default"/>
      </w:rPr>
    </w:lvl>
    <w:lvl w:ilvl="7" w:tplc="CBC4CBB0" w:tentative="1">
      <w:start w:val="1"/>
      <w:numFmt w:val="bullet"/>
      <w:lvlText w:val=""/>
      <w:lvlJc w:val="left"/>
      <w:pPr>
        <w:tabs>
          <w:tab w:val="num" w:pos="5760"/>
        </w:tabs>
        <w:ind w:left="5760" w:hanging="360"/>
      </w:pPr>
      <w:rPr>
        <w:rFonts w:ascii="Symbol" w:hAnsi="Symbol" w:hint="default"/>
      </w:rPr>
    </w:lvl>
    <w:lvl w:ilvl="8" w:tplc="B3A2FAE4" w:tentative="1">
      <w:start w:val="1"/>
      <w:numFmt w:val="bullet"/>
      <w:lvlText w:val=""/>
      <w:lvlJc w:val="left"/>
      <w:pPr>
        <w:tabs>
          <w:tab w:val="num" w:pos="6480"/>
        </w:tabs>
        <w:ind w:left="6480" w:hanging="360"/>
      </w:pPr>
      <w:rPr>
        <w:rFonts w:ascii="Symbol" w:hAnsi="Symbol" w:hint="default"/>
      </w:rPr>
    </w:lvl>
  </w:abstractNum>
  <w:abstractNum w:abstractNumId="101" w15:restartNumberingAfterBreak="0">
    <w:nsid w:val="42D056CD"/>
    <w:multiLevelType w:val="hybridMultilevel"/>
    <w:tmpl w:val="365E40A0"/>
    <w:lvl w:ilvl="0" w:tplc="CB1C8CB0">
      <w:start w:val="1"/>
      <w:numFmt w:val="bullet"/>
      <w:lvlText w:val="&gt;"/>
      <w:lvlJc w:val="left"/>
      <w:pPr>
        <w:tabs>
          <w:tab w:val="num" w:pos="644"/>
        </w:tabs>
        <w:ind w:left="644" w:hanging="360"/>
      </w:pPr>
      <w:rPr>
        <w:rFonts w:ascii="Arial" w:hAnsi="Arial" w:cs="Times New Roman" w:hint="default"/>
      </w:rPr>
    </w:lvl>
    <w:lvl w:ilvl="1" w:tplc="C8C0F1DE">
      <w:start w:val="124"/>
      <w:numFmt w:val="bullet"/>
      <w:lvlText w:val="&gt;"/>
      <w:lvlJc w:val="left"/>
      <w:pPr>
        <w:tabs>
          <w:tab w:val="num" w:pos="1364"/>
        </w:tabs>
        <w:ind w:left="1364" w:hanging="360"/>
      </w:pPr>
      <w:rPr>
        <w:rFonts w:ascii="Arial" w:hAnsi="Arial" w:cs="Times New Roman" w:hint="default"/>
      </w:rPr>
    </w:lvl>
    <w:lvl w:ilvl="2" w:tplc="60CCFA52">
      <w:start w:val="1"/>
      <w:numFmt w:val="bullet"/>
      <w:lvlText w:val="&gt;"/>
      <w:lvlJc w:val="left"/>
      <w:pPr>
        <w:tabs>
          <w:tab w:val="num" w:pos="2084"/>
        </w:tabs>
        <w:ind w:left="2084" w:hanging="360"/>
      </w:pPr>
      <w:rPr>
        <w:rFonts w:ascii="Arial" w:hAnsi="Arial" w:cs="Times New Roman" w:hint="default"/>
      </w:rPr>
    </w:lvl>
    <w:lvl w:ilvl="3" w:tplc="D7D6CD62">
      <w:start w:val="124"/>
      <w:numFmt w:val="bullet"/>
      <w:lvlText w:val="&gt;"/>
      <w:lvlJc w:val="left"/>
      <w:pPr>
        <w:tabs>
          <w:tab w:val="num" w:pos="2804"/>
        </w:tabs>
        <w:ind w:left="2804" w:hanging="360"/>
      </w:pPr>
      <w:rPr>
        <w:rFonts w:ascii="Arial" w:hAnsi="Arial" w:cs="Times New Roman" w:hint="default"/>
      </w:rPr>
    </w:lvl>
    <w:lvl w:ilvl="4" w:tplc="DD6E8A12">
      <w:start w:val="124"/>
      <w:numFmt w:val="bullet"/>
      <w:lvlText w:val="&gt;"/>
      <w:lvlJc w:val="left"/>
      <w:pPr>
        <w:tabs>
          <w:tab w:val="num" w:pos="3524"/>
        </w:tabs>
        <w:ind w:left="3524" w:hanging="360"/>
      </w:pPr>
      <w:rPr>
        <w:rFonts w:ascii="Arial" w:hAnsi="Arial" w:cs="Times New Roman" w:hint="default"/>
      </w:rPr>
    </w:lvl>
    <w:lvl w:ilvl="5" w:tplc="595477D8">
      <w:start w:val="1"/>
      <w:numFmt w:val="bullet"/>
      <w:lvlText w:val="&gt;"/>
      <w:lvlJc w:val="left"/>
      <w:pPr>
        <w:tabs>
          <w:tab w:val="num" w:pos="4244"/>
        </w:tabs>
        <w:ind w:left="4244" w:hanging="360"/>
      </w:pPr>
      <w:rPr>
        <w:rFonts w:ascii="Arial" w:hAnsi="Arial" w:cs="Times New Roman" w:hint="default"/>
      </w:rPr>
    </w:lvl>
    <w:lvl w:ilvl="6" w:tplc="18524E36">
      <w:start w:val="1"/>
      <w:numFmt w:val="bullet"/>
      <w:lvlText w:val="&gt;"/>
      <w:lvlJc w:val="left"/>
      <w:pPr>
        <w:tabs>
          <w:tab w:val="num" w:pos="4964"/>
        </w:tabs>
        <w:ind w:left="4964" w:hanging="360"/>
      </w:pPr>
      <w:rPr>
        <w:rFonts w:ascii="Arial" w:hAnsi="Arial" w:cs="Times New Roman" w:hint="default"/>
      </w:rPr>
    </w:lvl>
    <w:lvl w:ilvl="7" w:tplc="E82A51DE">
      <w:start w:val="1"/>
      <w:numFmt w:val="bullet"/>
      <w:lvlText w:val="&gt;"/>
      <w:lvlJc w:val="left"/>
      <w:pPr>
        <w:tabs>
          <w:tab w:val="num" w:pos="5684"/>
        </w:tabs>
        <w:ind w:left="5684" w:hanging="360"/>
      </w:pPr>
      <w:rPr>
        <w:rFonts w:ascii="Arial" w:hAnsi="Arial" w:cs="Times New Roman" w:hint="default"/>
      </w:rPr>
    </w:lvl>
    <w:lvl w:ilvl="8" w:tplc="3BE8B854">
      <w:start w:val="1"/>
      <w:numFmt w:val="bullet"/>
      <w:lvlText w:val="&gt;"/>
      <w:lvlJc w:val="left"/>
      <w:pPr>
        <w:tabs>
          <w:tab w:val="num" w:pos="6404"/>
        </w:tabs>
        <w:ind w:left="6404" w:hanging="360"/>
      </w:pPr>
      <w:rPr>
        <w:rFonts w:ascii="Arial" w:hAnsi="Arial" w:cs="Times New Roman" w:hint="default"/>
      </w:rPr>
    </w:lvl>
  </w:abstractNum>
  <w:abstractNum w:abstractNumId="102" w15:restartNumberingAfterBreak="0">
    <w:nsid w:val="44651863"/>
    <w:multiLevelType w:val="hybridMultilevel"/>
    <w:tmpl w:val="73B2FCE8"/>
    <w:lvl w:ilvl="0" w:tplc="FD92578E">
      <w:start w:val="1"/>
      <w:numFmt w:val="bullet"/>
      <w:lvlText w:val=""/>
      <w:lvlPicBulletId w:val="1"/>
      <w:lvlJc w:val="left"/>
      <w:pPr>
        <w:tabs>
          <w:tab w:val="num" w:pos="720"/>
        </w:tabs>
        <w:ind w:left="720" w:hanging="360"/>
      </w:pPr>
      <w:rPr>
        <w:rFonts w:ascii="Symbol" w:hAnsi="Symbol" w:hint="default"/>
      </w:rPr>
    </w:lvl>
    <w:lvl w:ilvl="1" w:tplc="5136153E" w:tentative="1">
      <w:start w:val="1"/>
      <w:numFmt w:val="bullet"/>
      <w:lvlText w:val=""/>
      <w:lvlJc w:val="left"/>
      <w:pPr>
        <w:tabs>
          <w:tab w:val="num" w:pos="1440"/>
        </w:tabs>
        <w:ind w:left="1440" w:hanging="360"/>
      </w:pPr>
      <w:rPr>
        <w:rFonts w:ascii="Symbol" w:hAnsi="Symbol" w:hint="default"/>
      </w:rPr>
    </w:lvl>
    <w:lvl w:ilvl="2" w:tplc="4802E5A2" w:tentative="1">
      <w:start w:val="1"/>
      <w:numFmt w:val="bullet"/>
      <w:lvlText w:val=""/>
      <w:lvlJc w:val="left"/>
      <w:pPr>
        <w:tabs>
          <w:tab w:val="num" w:pos="2160"/>
        </w:tabs>
        <w:ind w:left="2160" w:hanging="360"/>
      </w:pPr>
      <w:rPr>
        <w:rFonts w:ascii="Symbol" w:hAnsi="Symbol" w:hint="default"/>
      </w:rPr>
    </w:lvl>
    <w:lvl w:ilvl="3" w:tplc="324872B2" w:tentative="1">
      <w:start w:val="1"/>
      <w:numFmt w:val="bullet"/>
      <w:lvlText w:val=""/>
      <w:lvlJc w:val="left"/>
      <w:pPr>
        <w:tabs>
          <w:tab w:val="num" w:pos="2880"/>
        </w:tabs>
        <w:ind w:left="2880" w:hanging="360"/>
      </w:pPr>
      <w:rPr>
        <w:rFonts w:ascii="Symbol" w:hAnsi="Symbol" w:hint="default"/>
      </w:rPr>
    </w:lvl>
    <w:lvl w:ilvl="4" w:tplc="9F3AE9C8" w:tentative="1">
      <w:start w:val="1"/>
      <w:numFmt w:val="bullet"/>
      <w:lvlText w:val=""/>
      <w:lvlJc w:val="left"/>
      <w:pPr>
        <w:tabs>
          <w:tab w:val="num" w:pos="3600"/>
        </w:tabs>
        <w:ind w:left="3600" w:hanging="360"/>
      </w:pPr>
      <w:rPr>
        <w:rFonts w:ascii="Symbol" w:hAnsi="Symbol" w:hint="default"/>
      </w:rPr>
    </w:lvl>
    <w:lvl w:ilvl="5" w:tplc="412ED276" w:tentative="1">
      <w:start w:val="1"/>
      <w:numFmt w:val="bullet"/>
      <w:lvlText w:val=""/>
      <w:lvlJc w:val="left"/>
      <w:pPr>
        <w:tabs>
          <w:tab w:val="num" w:pos="4320"/>
        </w:tabs>
        <w:ind w:left="4320" w:hanging="360"/>
      </w:pPr>
      <w:rPr>
        <w:rFonts w:ascii="Symbol" w:hAnsi="Symbol" w:hint="default"/>
      </w:rPr>
    </w:lvl>
    <w:lvl w:ilvl="6" w:tplc="A98C07E8" w:tentative="1">
      <w:start w:val="1"/>
      <w:numFmt w:val="bullet"/>
      <w:lvlText w:val=""/>
      <w:lvlJc w:val="left"/>
      <w:pPr>
        <w:tabs>
          <w:tab w:val="num" w:pos="5040"/>
        </w:tabs>
        <w:ind w:left="5040" w:hanging="360"/>
      </w:pPr>
      <w:rPr>
        <w:rFonts w:ascii="Symbol" w:hAnsi="Symbol" w:hint="default"/>
      </w:rPr>
    </w:lvl>
    <w:lvl w:ilvl="7" w:tplc="C35E8908" w:tentative="1">
      <w:start w:val="1"/>
      <w:numFmt w:val="bullet"/>
      <w:lvlText w:val=""/>
      <w:lvlJc w:val="left"/>
      <w:pPr>
        <w:tabs>
          <w:tab w:val="num" w:pos="5760"/>
        </w:tabs>
        <w:ind w:left="5760" w:hanging="360"/>
      </w:pPr>
      <w:rPr>
        <w:rFonts w:ascii="Symbol" w:hAnsi="Symbol" w:hint="default"/>
      </w:rPr>
    </w:lvl>
    <w:lvl w:ilvl="8" w:tplc="5FFA674A" w:tentative="1">
      <w:start w:val="1"/>
      <w:numFmt w:val="bullet"/>
      <w:lvlText w:val=""/>
      <w:lvlJc w:val="left"/>
      <w:pPr>
        <w:tabs>
          <w:tab w:val="num" w:pos="6480"/>
        </w:tabs>
        <w:ind w:left="6480" w:hanging="360"/>
      </w:pPr>
      <w:rPr>
        <w:rFonts w:ascii="Symbol" w:hAnsi="Symbol" w:hint="default"/>
      </w:rPr>
    </w:lvl>
  </w:abstractNum>
  <w:abstractNum w:abstractNumId="103" w15:restartNumberingAfterBreak="0">
    <w:nsid w:val="448446BB"/>
    <w:multiLevelType w:val="hybridMultilevel"/>
    <w:tmpl w:val="7B2CC474"/>
    <w:lvl w:ilvl="0" w:tplc="498878BA">
      <w:start w:val="1"/>
      <w:numFmt w:val="bullet"/>
      <w:lvlText w:val=""/>
      <w:lvlPicBulletId w:val="1"/>
      <w:lvlJc w:val="left"/>
      <w:pPr>
        <w:tabs>
          <w:tab w:val="num" w:pos="720"/>
        </w:tabs>
        <w:ind w:left="720" w:hanging="360"/>
      </w:pPr>
      <w:rPr>
        <w:rFonts w:ascii="Symbol" w:hAnsi="Symbol" w:hint="default"/>
      </w:rPr>
    </w:lvl>
    <w:lvl w:ilvl="1" w:tplc="0DACFCE4" w:tentative="1">
      <w:start w:val="1"/>
      <w:numFmt w:val="bullet"/>
      <w:lvlText w:val=""/>
      <w:lvlJc w:val="left"/>
      <w:pPr>
        <w:tabs>
          <w:tab w:val="num" w:pos="1440"/>
        </w:tabs>
        <w:ind w:left="1440" w:hanging="360"/>
      </w:pPr>
      <w:rPr>
        <w:rFonts w:ascii="Symbol" w:hAnsi="Symbol" w:hint="default"/>
      </w:rPr>
    </w:lvl>
    <w:lvl w:ilvl="2" w:tplc="4B28D05E" w:tentative="1">
      <w:start w:val="1"/>
      <w:numFmt w:val="bullet"/>
      <w:lvlText w:val=""/>
      <w:lvlJc w:val="left"/>
      <w:pPr>
        <w:tabs>
          <w:tab w:val="num" w:pos="2160"/>
        </w:tabs>
        <w:ind w:left="2160" w:hanging="360"/>
      </w:pPr>
      <w:rPr>
        <w:rFonts w:ascii="Symbol" w:hAnsi="Symbol" w:hint="default"/>
      </w:rPr>
    </w:lvl>
    <w:lvl w:ilvl="3" w:tplc="3FCA7634" w:tentative="1">
      <w:start w:val="1"/>
      <w:numFmt w:val="bullet"/>
      <w:lvlText w:val=""/>
      <w:lvlJc w:val="left"/>
      <w:pPr>
        <w:tabs>
          <w:tab w:val="num" w:pos="2880"/>
        </w:tabs>
        <w:ind w:left="2880" w:hanging="360"/>
      </w:pPr>
      <w:rPr>
        <w:rFonts w:ascii="Symbol" w:hAnsi="Symbol" w:hint="default"/>
      </w:rPr>
    </w:lvl>
    <w:lvl w:ilvl="4" w:tplc="4290EADA" w:tentative="1">
      <w:start w:val="1"/>
      <w:numFmt w:val="bullet"/>
      <w:lvlText w:val=""/>
      <w:lvlJc w:val="left"/>
      <w:pPr>
        <w:tabs>
          <w:tab w:val="num" w:pos="3600"/>
        </w:tabs>
        <w:ind w:left="3600" w:hanging="360"/>
      </w:pPr>
      <w:rPr>
        <w:rFonts w:ascii="Symbol" w:hAnsi="Symbol" w:hint="default"/>
      </w:rPr>
    </w:lvl>
    <w:lvl w:ilvl="5" w:tplc="6E5E6F50" w:tentative="1">
      <w:start w:val="1"/>
      <w:numFmt w:val="bullet"/>
      <w:lvlText w:val=""/>
      <w:lvlJc w:val="left"/>
      <w:pPr>
        <w:tabs>
          <w:tab w:val="num" w:pos="4320"/>
        </w:tabs>
        <w:ind w:left="4320" w:hanging="360"/>
      </w:pPr>
      <w:rPr>
        <w:rFonts w:ascii="Symbol" w:hAnsi="Symbol" w:hint="default"/>
      </w:rPr>
    </w:lvl>
    <w:lvl w:ilvl="6" w:tplc="C2280C66" w:tentative="1">
      <w:start w:val="1"/>
      <w:numFmt w:val="bullet"/>
      <w:lvlText w:val=""/>
      <w:lvlJc w:val="left"/>
      <w:pPr>
        <w:tabs>
          <w:tab w:val="num" w:pos="5040"/>
        </w:tabs>
        <w:ind w:left="5040" w:hanging="360"/>
      </w:pPr>
      <w:rPr>
        <w:rFonts w:ascii="Symbol" w:hAnsi="Symbol" w:hint="default"/>
      </w:rPr>
    </w:lvl>
    <w:lvl w:ilvl="7" w:tplc="11AAEF54" w:tentative="1">
      <w:start w:val="1"/>
      <w:numFmt w:val="bullet"/>
      <w:lvlText w:val=""/>
      <w:lvlJc w:val="left"/>
      <w:pPr>
        <w:tabs>
          <w:tab w:val="num" w:pos="5760"/>
        </w:tabs>
        <w:ind w:left="5760" w:hanging="360"/>
      </w:pPr>
      <w:rPr>
        <w:rFonts w:ascii="Symbol" w:hAnsi="Symbol" w:hint="default"/>
      </w:rPr>
    </w:lvl>
    <w:lvl w:ilvl="8" w:tplc="29F02556" w:tentative="1">
      <w:start w:val="1"/>
      <w:numFmt w:val="bullet"/>
      <w:lvlText w:val=""/>
      <w:lvlJc w:val="left"/>
      <w:pPr>
        <w:tabs>
          <w:tab w:val="num" w:pos="6480"/>
        </w:tabs>
        <w:ind w:left="6480" w:hanging="360"/>
      </w:pPr>
      <w:rPr>
        <w:rFonts w:ascii="Symbol" w:hAnsi="Symbol" w:hint="default"/>
      </w:rPr>
    </w:lvl>
  </w:abstractNum>
  <w:abstractNum w:abstractNumId="104" w15:restartNumberingAfterBreak="0">
    <w:nsid w:val="44A5262F"/>
    <w:multiLevelType w:val="hybridMultilevel"/>
    <w:tmpl w:val="2C96ECD8"/>
    <w:lvl w:ilvl="0" w:tplc="08D2AB58">
      <w:start w:val="1"/>
      <w:numFmt w:val="bullet"/>
      <w:lvlText w:val="&gt;"/>
      <w:lvlJc w:val="left"/>
      <w:pPr>
        <w:ind w:left="2279" w:hanging="360"/>
      </w:pPr>
      <w:rPr>
        <w:rFonts w:ascii="HelveticaNeueLT Std Lt" w:hAnsi="HelveticaNeueLT Std Lt" w:hint="default"/>
        <w:sz w:val="20"/>
      </w:rPr>
    </w:lvl>
    <w:lvl w:ilvl="1" w:tplc="0C090003" w:tentative="1">
      <w:start w:val="1"/>
      <w:numFmt w:val="bullet"/>
      <w:lvlText w:val="o"/>
      <w:lvlJc w:val="left"/>
      <w:pPr>
        <w:ind w:left="2999" w:hanging="360"/>
      </w:pPr>
      <w:rPr>
        <w:rFonts w:ascii="Courier New" w:hAnsi="Courier New" w:cs="Courier New" w:hint="default"/>
      </w:rPr>
    </w:lvl>
    <w:lvl w:ilvl="2" w:tplc="0C090005" w:tentative="1">
      <w:start w:val="1"/>
      <w:numFmt w:val="bullet"/>
      <w:lvlText w:val=""/>
      <w:lvlJc w:val="left"/>
      <w:pPr>
        <w:ind w:left="3719" w:hanging="360"/>
      </w:pPr>
      <w:rPr>
        <w:rFonts w:ascii="Wingdings" w:hAnsi="Wingdings" w:hint="default"/>
      </w:rPr>
    </w:lvl>
    <w:lvl w:ilvl="3" w:tplc="0C090001" w:tentative="1">
      <w:start w:val="1"/>
      <w:numFmt w:val="bullet"/>
      <w:lvlText w:val=""/>
      <w:lvlJc w:val="left"/>
      <w:pPr>
        <w:ind w:left="4439" w:hanging="360"/>
      </w:pPr>
      <w:rPr>
        <w:rFonts w:ascii="Symbol" w:hAnsi="Symbol" w:hint="default"/>
      </w:rPr>
    </w:lvl>
    <w:lvl w:ilvl="4" w:tplc="0C090003" w:tentative="1">
      <w:start w:val="1"/>
      <w:numFmt w:val="bullet"/>
      <w:lvlText w:val="o"/>
      <w:lvlJc w:val="left"/>
      <w:pPr>
        <w:ind w:left="5159" w:hanging="360"/>
      </w:pPr>
      <w:rPr>
        <w:rFonts w:ascii="Courier New" w:hAnsi="Courier New" w:cs="Courier New" w:hint="default"/>
      </w:rPr>
    </w:lvl>
    <w:lvl w:ilvl="5" w:tplc="0C090005" w:tentative="1">
      <w:start w:val="1"/>
      <w:numFmt w:val="bullet"/>
      <w:lvlText w:val=""/>
      <w:lvlJc w:val="left"/>
      <w:pPr>
        <w:ind w:left="5879" w:hanging="360"/>
      </w:pPr>
      <w:rPr>
        <w:rFonts w:ascii="Wingdings" w:hAnsi="Wingdings" w:hint="default"/>
      </w:rPr>
    </w:lvl>
    <w:lvl w:ilvl="6" w:tplc="0C090001" w:tentative="1">
      <w:start w:val="1"/>
      <w:numFmt w:val="bullet"/>
      <w:lvlText w:val=""/>
      <w:lvlJc w:val="left"/>
      <w:pPr>
        <w:ind w:left="6599" w:hanging="360"/>
      </w:pPr>
      <w:rPr>
        <w:rFonts w:ascii="Symbol" w:hAnsi="Symbol" w:hint="default"/>
      </w:rPr>
    </w:lvl>
    <w:lvl w:ilvl="7" w:tplc="0C090003" w:tentative="1">
      <w:start w:val="1"/>
      <w:numFmt w:val="bullet"/>
      <w:lvlText w:val="o"/>
      <w:lvlJc w:val="left"/>
      <w:pPr>
        <w:ind w:left="7319" w:hanging="360"/>
      </w:pPr>
      <w:rPr>
        <w:rFonts w:ascii="Courier New" w:hAnsi="Courier New" w:cs="Courier New" w:hint="default"/>
      </w:rPr>
    </w:lvl>
    <w:lvl w:ilvl="8" w:tplc="0C090005" w:tentative="1">
      <w:start w:val="1"/>
      <w:numFmt w:val="bullet"/>
      <w:lvlText w:val=""/>
      <w:lvlJc w:val="left"/>
      <w:pPr>
        <w:ind w:left="8039" w:hanging="360"/>
      </w:pPr>
      <w:rPr>
        <w:rFonts w:ascii="Wingdings" w:hAnsi="Wingdings" w:hint="default"/>
      </w:rPr>
    </w:lvl>
  </w:abstractNum>
  <w:abstractNum w:abstractNumId="105" w15:restartNumberingAfterBreak="0">
    <w:nsid w:val="457B4CDB"/>
    <w:multiLevelType w:val="hybridMultilevel"/>
    <w:tmpl w:val="71DC702E"/>
    <w:lvl w:ilvl="0" w:tplc="15FE0DB2">
      <w:start w:val="1"/>
      <w:numFmt w:val="bullet"/>
      <w:lvlText w:val=""/>
      <w:lvlPicBulletId w:val="0"/>
      <w:lvlJc w:val="left"/>
      <w:pPr>
        <w:tabs>
          <w:tab w:val="num" w:pos="720"/>
        </w:tabs>
        <w:ind w:left="720" w:hanging="360"/>
      </w:pPr>
      <w:rPr>
        <w:rFonts w:ascii="Symbol" w:hAnsi="Symbol" w:hint="default"/>
      </w:rPr>
    </w:lvl>
    <w:lvl w:ilvl="1" w:tplc="B85E6E14" w:tentative="1">
      <w:start w:val="1"/>
      <w:numFmt w:val="bullet"/>
      <w:lvlText w:val=""/>
      <w:lvlJc w:val="left"/>
      <w:pPr>
        <w:tabs>
          <w:tab w:val="num" w:pos="1440"/>
        </w:tabs>
        <w:ind w:left="1440" w:hanging="360"/>
      </w:pPr>
      <w:rPr>
        <w:rFonts w:ascii="Symbol" w:hAnsi="Symbol" w:hint="default"/>
      </w:rPr>
    </w:lvl>
    <w:lvl w:ilvl="2" w:tplc="61B244F8" w:tentative="1">
      <w:start w:val="1"/>
      <w:numFmt w:val="bullet"/>
      <w:lvlText w:val=""/>
      <w:lvlJc w:val="left"/>
      <w:pPr>
        <w:tabs>
          <w:tab w:val="num" w:pos="2160"/>
        </w:tabs>
        <w:ind w:left="2160" w:hanging="360"/>
      </w:pPr>
      <w:rPr>
        <w:rFonts w:ascii="Symbol" w:hAnsi="Symbol" w:hint="default"/>
      </w:rPr>
    </w:lvl>
    <w:lvl w:ilvl="3" w:tplc="40A69D38" w:tentative="1">
      <w:start w:val="1"/>
      <w:numFmt w:val="bullet"/>
      <w:lvlText w:val=""/>
      <w:lvlJc w:val="left"/>
      <w:pPr>
        <w:tabs>
          <w:tab w:val="num" w:pos="2880"/>
        </w:tabs>
        <w:ind w:left="2880" w:hanging="360"/>
      </w:pPr>
      <w:rPr>
        <w:rFonts w:ascii="Symbol" w:hAnsi="Symbol" w:hint="default"/>
      </w:rPr>
    </w:lvl>
    <w:lvl w:ilvl="4" w:tplc="01EC0914" w:tentative="1">
      <w:start w:val="1"/>
      <w:numFmt w:val="bullet"/>
      <w:lvlText w:val=""/>
      <w:lvlJc w:val="left"/>
      <w:pPr>
        <w:tabs>
          <w:tab w:val="num" w:pos="3600"/>
        </w:tabs>
        <w:ind w:left="3600" w:hanging="360"/>
      </w:pPr>
      <w:rPr>
        <w:rFonts w:ascii="Symbol" w:hAnsi="Symbol" w:hint="default"/>
      </w:rPr>
    </w:lvl>
    <w:lvl w:ilvl="5" w:tplc="9F46C4B6" w:tentative="1">
      <w:start w:val="1"/>
      <w:numFmt w:val="bullet"/>
      <w:lvlText w:val=""/>
      <w:lvlJc w:val="left"/>
      <w:pPr>
        <w:tabs>
          <w:tab w:val="num" w:pos="4320"/>
        </w:tabs>
        <w:ind w:left="4320" w:hanging="360"/>
      </w:pPr>
      <w:rPr>
        <w:rFonts w:ascii="Symbol" w:hAnsi="Symbol" w:hint="default"/>
      </w:rPr>
    </w:lvl>
    <w:lvl w:ilvl="6" w:tplc="F6F4B426" w:tentative="1">
      <w:start w:val="1"/>
      <w:numFmt w:val="bullet"/>
      <w:lvlText w:val=""/>
      <w:lvlJc w:val="left"/>
      <w:pPr>
        <w:tabs>
          <w:tab w:val="num" w:pos="5040"/>
        </w:tabs>
        <w:ind w:left="5040" w:hanging="360"/>
      </w:pPr>
      <w:rPr>
        <w:rFonts w:ascii="Symbol" w:hAnsi="Symbol" w:hint="default"/>
      </w:rPr>
    </w:lvl>
    <w:lvl w:ilvl="7" w:tplc="8D20AFC8" w:tentative="1">
      <w:start w:val="1"/>
      <w:numFmt w:val="bullet"/>
      <w:lvlText w:val=""/>
      <w:lvlJc w:val="left"/>
      <w:pPr>
        <w:tabs>
          <w:tab w:val="num" w:pos="5760"/>
        </w:tabs>
        <w:ind w:left="5760" w:hanging="360"/>
      </w:pPr>
      <w:rPr>
        <w:rFonts w:ascii="Symbol" w:hAnsi="Symbol" w:hint="default"/>
      </w:rPr>
    </w:lvl>
    <w:lvl w:ilvl="8" w:tplc="3E165CB8" w:tentative="1">
      <w:start w:val="1"/>
      <w:numFmt w:val="bullet"/>
      <w:lvlText w:val=""/>
      <w:lvlJc w:val="left"/>
      <w:pPr>
        <w:tabs>
          <w:tab w:val="num" w:pos="6480"/>
        </w:tabs>
        <w:ind w:left="6480" w:hanging="360"/>
      </w:pPr>
      <w:rPr>
        <w:rFonts w:ascii="Symbol" w:hAnsi="Symbol" w:hint="default"/>
      </w:rPr>
    </w:lvl>
  </w:abstractNum>
  <w:abstractNum w:abstractNumId="106" w15:restartNumberingAfterBreak="0">
    <w:nsid w:val="46043BFA"/>
    <w:multiLevelType w:val="hybridMultilevel"/>
    <w:tmpl w:val="2AFC7C70"/>
    <w:lvl w:ilvl="0" w:tplc="612C60A8">
      <w:start w:val="1"/>
      <w:numFmt w:val="bullet"/>
      <w:lvlText w:val=""/>
      <w:lvlPicBulletId w:val="0"/>
      <w:lvlJc w:val="left"/>
      <w:pPr>
        <w:tabs>
          <w:tab w:val="num" w:pos="720"/>
        </w:tabs>
        <w:ind w:left="720" w:hanging="360"/>
      </w:pPr>
      <w:rPr>
        <w:rFonts w:ascii="Symbol" w:hAnsi="Symbol" w:hint="default"/>
      </w:rPr>
    </w:lvl>
    <w:lvl w:ilvl="1" w:tplc="71C037D6" w:tentative="1">
      <w:start w:val="1"/>
      <w:numFmt w:val="bullet"/>
      <w:lvlText w:val=""/>
      <w:lvlJc w:val="left"/>
      <w:pPr>
        <w:tabs>
          <w:tab w:val="num" w:pos="1440"/>
        </w:tabs>
        <w:ind w:left="1440" w:hanging="360"/>
      </w:pPr>
      <w:rPr>
        <w:rFonts w:ascii="Symbol" w:hAnsi="Symbol" w:hint="default"/>
      </w:rPr>
    </w:lvl>
    <w:lvl w:ilvl="2" w:tplc="6C686168" w:tentative="1">
      <w:start w:val="1"/>
      <w:numFmt w:val="bullet"/>
      <w:lvlText w:val=""/>
      <w:lvlJc w:val="left"/>
      <w:pPr>
        <w:tabs>
          <w:tab w:val="num" w:pos="2160"/>
        </w:tabs>
        <w:ind w:left="2160" w:hanging="360"/>
      </w:pPr>
      <w:rPr>
        <w:rFonts w:ascii="Symbol" w:hAnsi="Symbol" w:hint="default"/>
      </w:rPr>
    </w:lvl>
    <w:lvl w:ilvl="3" w:tplc="59BAB688" w:tentative="1">
      <w:start w:val="1"/>
      <w:numFmt w:val="bullet"/>
      <w:lvlText w:val=""/>
      <w:lvlJc w:val="left"/>
      <w:pPr>
        <w:tabs>
          <w:tab w:val="num" w:pos="2880"/>
        </w:tabs>
        <w:ind w:left="2880" w:hanging="360"/>
      </w:pPr>
      <w:rPr>
        <w:rFonts w:ascii="Symbol" w:hAnsi="Symbol" w:hint="default"/>
      </w:rPr>
    </w:lvl>
    <w:lvl w:ilvl="4" w:tplc="F3640D94" w:tentative="1">
      <w:start w:val="1"/>
      <w:numFmt w:val="bullet"/>
      <w:lvlText w:val=""/>
      <w:lvlJc w:val="left"/>
      <w:pPr>
        <w:tabs>
          <w:tab w:val="num" w:pos="3600"/>
        </w:tabs>
        <w:ind w:left="3600" w:hanging="360"/>
      </w:pPr>
      <w:rPr>
        <w:rFonts w:ascii="Symbol" w:hAnsi="Symbol" w:hint="default"/>
      </w:rPr>
    </w:lvl>
    <w:lvl w:ilvl="5" w:tplc="638A1C5A" w:tentative="1">
      <w:start w:val="1"/>
      <w:numFmt w:val="bullet"/>
      <w:lvlText w:val=""/>
      <w:lvlJc w:val="left"/>
      <w:pPr>
        <w:tabs>
          <w:tab w:val="num" w:pos="4320"/>
        </w:tabs>
        <w:ind w:left="4320" w:hanging="360"/>
      </w:pPr>
      <w:rPr>
        <w:rFonts w:ascii="Symbol" w:hAnsi="Symbol" w:hint="default"/>
      </w:rPr>
    </w:lvl>
    <w:lvl w:ilvl="6" w:tplc="1BBC66CA" w:tentative="1">
      <w:start w:val="1"/>
      <w:numFmt w:val="bullet"/>
      <w:lvlText w:val=""/>
      <w:lvlJc w:val="left"/>
      <w:pPr>
        <w:tabs>
          <w:tab w:val="num" w:pos="5040"/>
        </w:tabs>
        <w:ind w:left="5040" w:hanging="360"/>
      </w:pPr>
      <w:rPr>
        <w:rFonts w:ascii="Symbol" w:hAnsi="Symbol" w:hint="default"/>
      </w:rPr>
    </w:lvl>
    <w:lvl w:ilvl="7" w:tplc="F4C0F5FC" w:tentative="1">
      <w:start w:val="1"/>
      <w:numFmt w:val="bullet"/>
      <w:lvlText w:val=""/>
      <w:lvlJc w:val="left"/>
      <w:pPr>
        <w:tabs>
          <w:tab w:val="num" w:pos="5760"/>
        </w:tabs>
        <w:ind w:left="5760" w:hanging="360"/>
      </w:pPr>
      <w:rPr>
        <w:rFonts w:ascii="Symbol" w:hAnsi="Symbol" w:hint="default"/>
      </w:rPr>
    </w:lvl>
    <w:lvl w:ilvl="8" w:tplc="5B46E64E" w:tentative="1">
      <w:start w:val="1"/>
      <w:numFmt w:val="bullet"/>
      <w:lvlText w:val=""/>
      <w:lvlJc w:val="left"/>
      <w:pPr>
        <w:tabs>
          <w:tab w:val="num" w:pos="6480"/>
        </w:tabs>
        <w:ind w:left="6480" w:hanging="360"/>
      </w:pPr>
      <w:rPr>
        <w:rFonts w:ascii="Symbol" w:hAnsi="Symbol" w:hint="default"/>
      </w:rPr>
    </w:lvl>
  </w:abstractNum>
  <w:abstractNum w:abstractNumId="107" w15:restartNumberingAfterBreak="0">
    <w:nsid w:val="462F33EB"/>
    <w:multiLevelType w:val="hybridMultilevel"/>
    <w:tmpl w:val="00DE8C88"/>
    <w:lvl w:ilvl="0" w:tplc="9F6ED5AC">
      <w:start w:val="1"/>
      <w:numFmt w:val="bullet"/>
      <w:lvlText w:val=""/>
      <w:lvlPicBulletId w:val="0"/>
      <w:lvlJc w:val="left"/>
      <w:pPr>
        <w:tabs>
          <w:tab w:val="num" w:pos="720"/>
        </w:tabs>
        <w:ind w:left="720" w:hanging="360"/>
      </w:pPr>
      <w:rPr>
        <w:rFonts w:ascii="Symbol" w:hAnsi="Symbol" w:hint="default"/>
      </w:rPr>
    </w:lvl>
    <w:lvl w:ilvl="1" w:tplc="D58A88D8" w:tentative="1">
      <w:start w:val="1"/>
      <w:numFmt w:val="bullet"/>
      <w:lvlText w:val=""/>
      <w:lvlJc w:val="left"/>
      <w:pPr>
        <w:tabs>
          <w:tab w:val="num" w:pos="1440"/>
        </w:tabs>
        <w:ind w:left="1440" w:hanging="360"/>
      </w:pPr>
      <w:rPr>
        <w:rFonts w:ascii="Symbol" w:hAnsi="Symbol" w:hint="default"/>
      </w:rPr>
    </w:lvl>
    <w:lvl w:ilvl="2" w:tplc="42645502" w:tentative="1">
      <w:start w:val="1"/>
      <w:numFmt w:val="bullet"/>
      <w:lvlText w:val=""/>
      <w:lvlJc w:val="left"/>
      <w:pPr>
        <w:tabs>
          <w:tab w:val="num" w:pos="2160"/>
        </w:tabs>
        <w:ind w:left="2160" w:hanging="360"/>
      </w:pPr>
      <w:rPr>
        <w:rFonts w:ascii="Symbol" w:hAnsi="Symbol" w:hint="default"/>
      </w:rPr>
    </w:lvl>
    <w:lvl w:ilvl="3" w:tplc="C22C9850" w:tentative="1">
      <w:start w:val="1"/>
      <w:numFmt w:val="bullet"/>
      <w:lvlText w:val=""/>
      <w:lvlJc w:val="left"/>
      <w:pPr>
        <w:tabs>
          <w:tab w:val="num" w:pos="2880"/>
        </w:tabs>
        <w:ind w:left="2880" w:hanging="360"/>
      </w:pPr>
      <w:rPr>
        <w:rFonts w:ascii="Symbol" w:hAnsi="Symbol" w:hint="default"/>
      </w:rPr>
    </w:lvl>
    <w:lvl w:ilvl="4" w:tplc="C658C298" w:tentative="1">
      <w:start w:val="1"/>
      <w:numFmt w:val="bullet"/>
      <w:lvlText w:val=""/>
      <w:lvlJc w:val="left"/>
      <w:pPr>
        <w:tabs>
          <w:tab w:val="num" w:pos="3600"/>
        </w:tabs>
        <w:ind w:left="3600" w:hanging="360"/>
      </w:pPr>
      <w:rPr>
        <w:rFonts w:ascii="Symbol" w:hAnsi="Symbol" w:hint="default"/>
      </w:rPr>
    </w:lvl>
    <w:lvl w:ilvl="5" w:tplc="D9E84B3A" w:tentative="1">
      <w:start w:val="1"/>
      <w:numFmt w:val="bullet"/>
      <w:lvlText w:val=""/>
      <w:lvlJc w:val="left"/>
      <w:pPr>
        <w:tabs>
          <w:tab w:val="num" w:pos="4320"/>
        </w:tabs>
        <w:ind w:left="4320" w:hanging="360"/>
      </w:pPr>
      <w:rPr>
        <w:rFonts w:ascii="Symbol" w:hAnsi="Symbol" w:hint="default"/>
      </w:rPr>
    </w:lvl>
    <w:lvl w:ilvl="6" w:tplc="4BEACC0A" w:tentative="1">
      <w:start w:val="1"/>
      <w:numFmt w:val="bullet"/>
      <w:lvlText w:val=""/>
      <w:lvlJc w:val="left"/>
      <w:pPr>
        <w:tabs>
          <w:tab w:val="num" w:pos="5040"/>
        </w:tabs>
        <w:ind w:left="5040" w:hanging="360"/>
      </w:pPr>
      <w:rPr>
        <w:rFonts w:ascii="Symbol" w:hAnsi="Symbol" w:hint="default"/>
      </w:rPr>
    </w:lvl>
    <w:lvl w:ilvl="7" w:tplc="321CED3C" w:tentative="1">
      <w:start w:val="1"/>
      <w:numFmt w:val="bullet"/>
      <w:lvlText w:val=""/>
      <w:lvlJc w:val="left"/>
      <w:pPr>
        <w:tabs>
          <w:tab w:val="num" w:pos="5760"/>
        </w:tabs>
        <w:ind w:left="5760" w:hanging="360"/>
      </w:pPr>
      <w:rPr>
        <w:rFonts w:ascii="Symbol" w:hAnsi="Symbol" w:hint="default"/>
      </w:rPr>
    </w:lvl>
    <w:lvl w:ilvl="8" w:tplc="94E22CFA" w:tentative="1">
      <w:start w:val="1"/>
      <w:numFmt w:val="bullet"/>
      <w:lvlText w:val=""/>
      <w:lvlJc w:val="left"/>
      <w:pPr>
        <w:tabs>
          <w:tab w:val="num" w:pos="6480"/>
        </w:tabs>
        <w:ind w:left="6480" w:hanging="360"/>
      </w:pPr>
      <w:rPr>
        <w:rFonts w:ascii="Symbol" w:hAnsi="Symbol" w:hint="default"/>
      </w:rPr>
    </w:lvl>
  </w:abstractNum>
  <w:abstractNum w:abstractNumId="108" w15:restartNumberingAfterBreak="0">
    <w:nsid w:val="4750135E"/>
    <w:multiLevelType w:val="hybridMultilevel"/>
    <w:tmpl w:val="457E65B8"/>
    <w:lvl w:ilvl="0" w:tplc="0C090001">
      <w:start w:val="1"/>
      <w:numFmt w:val="bullet"/>
      <w:lvlText w:val=""/>
      <w:lvlJc w:val="left"/>
      <w:pPr>
        <w:ind w:left="577" w:hanging="360"/>
      </w:pPr>
      <w:rPr>
        <w:rFonts w:ascii="Symbol" w:hAnsi="Symbol" w:hint="default"/>
      </w:rPr>
    </w:lvl>
    <w:lvl w:ilvl="1" w:tplc="44EEC084">
      <w:start w:val="1"/>
      <w:numFmt w:val="bullet"/>
      <w:lvlText w:val="&gt;"/>
      <w:lvlJc w:val="left"/>
      <w:pPr>
        <w:ind w:left="1297" w:hanging="360"/>
      </w:pPr>
      <w:rPr>
        <w:rFonts w:ascii="HelveticaNeueLT Std" w:hAnsi="HelveticaNeueLT Std" w:hint="default"/>
      </w:rPr>
    </w:lvl>
    <w:lvl w:ilvl="2" w:tplc="0C090005">
      <w:start w:val="1"/>
      <w:numFmt w:val="bullet"/>
      <w:lvlText w:val=""/>
      <w:lvlJc w:val="left"/>
      <w:pPr>
        <w:ind w:left="2017" w:hanging="360"/>
      </w:pPr>
      <w:rPr>
        <w:rFonts w:ascii="Wingdings" w:hAnsi="Wingdings" w:hint="default"/>
      </w:rPr>
    </w:lvl>
    <w:lvl w:ilvl="3" w:tplc="0C090001" w:tentative="1">
      <w:start w:val="1"/>
      <w:numFmt w:val="bullet"/>
      <w:lvlText w:val=""/>
      <w:lvlJc w:val="left"/>
      <w:pPr>
        <w:ind w:left="2737" w:hanging="360"/>
      </w:pPr>
      <w:rPr>
        <w:rFonts w:ascii="Symbol" w:hAnsi="Symbol" w:hint="default"/>
      </w:rPr>
    </w:lvl>
    <w:lvl w:ilvl="4" w:tplc="0C090003" w:tentative="1">
      <w:start w:val="1"/>
      <w:numFmt w:val="bullet"/>
      <w:lvlText w:val="o"/>
      <w:lvlJc w:val="left"/>
      <w:pPr>
        <w:ind w:left="3457" w:hanging="360"/>
      </w:pPr>
      <w:rPr>
        <w:rFonts w:ascii="Courier New" w:hAnsi="Courier New" w:cs="Courier New" w:hint="default"/>
      </w:rPr>
    </w:lvl>
    <w:lvl w:ilvl="5" w:tplc="0C090005" w:tentative="1">
      <w:start w:val="1"/>
      <w:numFmt w:val="bullet"/>
      <w:lvlText w:val=""/>
      <w:lvlJc w:val="left"/>
      <w:pPr>
        <w:ind w:left="4177" w:hanging="360"/>
      </w:pPr>
      <w:rPr>
        <w:rFonts w:ascii="Wingdings" w:hAnsi="Wingdings" w:hint="default"/>
      </w:rPr>
    </w:lvl>
    <w:lvl w:ilvl="6" w:tplc="0C090001" w:tentative="1">
      <w:start w:val="1"/>
      <w:numFmt w:val="bullet"/>
      <w:lvlText w:val=""/>
      <w:lvlJc w:val="left"/>
      <w:pPr>
        <w:ind w:left="4897" w:hanging="360"/>
      </w:pPr>
      <w:rPr>
        <w:rFonts w:ascii="Symbol" w:hAnsi="Symbol" w:hint="default"/>
      </w:rPr>
    </w:lvl>
    <w:lvl w:ilvl="7" w:tplc="0C090003" w:tentative="1">
      <w:start w:val="1"/>
      <w:numFmt w:val="bullet"/>
      <w:lvlText w:val="o"/>
      <w:lvlJc w:val="left"/>
      <w:pPr>
        <w:ind w:left="5617" w:hanging="360"/>
      </w:pPr>
      <w:rPr>
        <w:rFonts w:ascii="Courier New" w:hAnsi="Courier New" w:cs="Courier New" w:hint="default"/>
      </w:rPr>
    </w:lvl>
    <w:lvl w:ilvl="8" w:tplc="0C090005" w:tentative="1">
      <w:start w:val="1"/>
      <w:numFmt w:val="bullet"/>
      <w:lvlText w:val=""/>
      <w:lvlJc w:val="left"/>
      <w:pPr>
        <w:ind w:left="6337" w:hanging="360"/>
      </w:pPr>
      <w:rPr>
        <w:rFonts w:ascii="Wingdings" w:hAnsi="Wingdings" w:hint="default"/>
      </w:rPr>
    </w:lvl>
  </w:abstractNum>
  <w:abstractNum w:abstractNumId="109" w15:restartNumberingAfterBreak="0">
    <w:nsid w:val="4978463F"/>
    <w:multiLevelType w:val="hybridMultilevel"/>
    <w:tmpl w:val="24CAB0AA"/>
    <w:lvl w:ilvl="0" w:tplc="F8D2479E">
      <w:start w:val="1"/>
      <w:numFmt w:val="bullet"/>
      <w:lvlText w:val=""/>
      <w:lvlPicBulletId w:val="1"/>
      <w:lvlJc w:val="left"/>
      <w:pPr>
        <w:tabs>
          <w:tab w:val="num" w:pos="720"/>
        </w:tabs>
        <w:ind w:left="720" w:hanging="360"/>
      </w:pPr>
      <w:rPr>
        <w:rFonts w:ascii="Symbol" w:hAnsi="Symbol" w:hint="default"/>
      </w:rPr>
    </w:lvl>
    <w:lvl w:ilvl="1" w:tplc="C54A53E8" w:tentative="1">
      <w:start w:val="1"/>
      <w:numFmt w:val="bullet"/>
      <w:lvlText w:val=""/>
      <w:lvlJc w:val="left"/>
      <w:pPr>
        <w:tabs>
          <w:tab w:val="num" w:pos="1440"/>
        </w:tabs>
        <w:ind w:left="1440" w:hanging="360"/>
      </w:pPr>
      <w:rPr>
        <w:rFonts w:ascii="Symbol" w:hAnsi="Symbol" w:hint="default"/>
      </w:rPr>
    </w:lvl>
    <w:lvl w:ilvl="2" w:tplc="7FE03280" w:tentative="1">
      <w:start w:val="1"/>
      <w:numFmt w:val="bullet"/>
      <w:lvlText w:val=""/>
      <w:lvlJc w:val="left"/>
      <w:pPr>
        <w:tabs>
          <w:tab w:val="num" w:pos="2160"/>
        </w:tabs>
        <w:ind w:left="2160" w:hanging="360"/>
      </w:pPr>
      <w:rPr>
        <w:rFonts w:ascii="Symbol" w:hAnsi="Symbol" w:hint="default"/>
      </w:rPr>
    </w:lvl>
    <w:lvl w:ilvl="3" w:tplc="CE369EEC" w:tentative="1">
      <w:start w:val="1"/>
      <w:numFmt w:val="bullet"/>
      <w:lvlText w:val=""/>
      <w:lvlJc w:val="left"/>
      <w:pPr>
        <w:tabs>
          <w:tab w:val="num" w:pos="2880"/>
        </w:tabs>
        <w:ind w:left="2880" w:hanging="360"/>
      </w:pPr>
      <w:rPr>
        <w:rFonts w:ascii="Symbol" w:hAnsi="Symbol" w:hint="default"/>
      </w:rPr>
    </w:lvl>
    <w:lvl w:ilvl="4" w:tplc="5C9AE1C2" w:tentative="1">
      <w:start w:val="1"/>
      <w:numFmt w:val="bullet"/>
      <w:lvlText w:val=""/>
      <w:lvlJc w:val="left"/>
      <w:pPr>
        <w:tabs>
          <w:tab w:val="num" w:pos="3600"/>
        </w:tabs>
        <w:ind w:left="3600" w:hanging="360"/>
      </w:pPr>
      <w:rPr>
        <w:rFonts w:ascii="Symbol" w:hAnsi="Symbol" w:hint="default"/>
      </w:rPr>
    </w:lvl>
    <w:lvl w:ilvl="5" w:tplc="933E4FBE" w:tentative="1">
      <w:start w:val="1"/>
      <w:numFmt w:val="bullet"/>
      <w:lvlText w:val=""/>
      <w:lvlJc w:val="left"/>
      <w:pPr>
        <w:tabs>
          <w:tab w:val="num" w:pos="4320"/>
        </w:tabs>
        <w:ind w:left="4320" w:hanging="360"/>
      </w:pPr>
      <w:rPr>
        <w:rFonts w:ascii="Symbol" w:hAnsi="Symbol" w:hint="default"/>
      </w:rPr>
    </w:lvl>
    <w:lvl w:ilvl="6" w:tplc="9F54FABC" w:tentative="1">
      <w:start w:val="1"/>
      <w:numFmt w:val="bullet"/>
      <w:lvlText w:val=""/>
      <w:lvlJc w:val="left"/>
      <w:pPr>
        <w:tabs>
          <w:tab w:val="num" w:pos="5040"/>
        </w:tabs>
        <w:ind w:left="5040" w:hanging="360"/>
      </w:pPr>
      <w:rPr>
        <w:rFonts w:ascii="Symbol" w:hAnsi="Symbol" w:hint="default"/>
      </w:rPr>
    </w:lvl>
    <w:lvl w:ilvl="7" w:tplc="C4AEF006" w:tentative="1">
      <w:start w:val="1"/>
      <w:numFmt w:val="bullet"/>
      <w:lvlText w:val=""/>
      <w:lvlJc w:val="left"/>
      <w:pPr>
        <w:tabs>
          <w:tab w:val="num" w:pos="5760"/>
        </w:tabs>
        <w:ind w:left="5760" w:hanging="360"/>
      </w:pPr>
      <w:rPr>
        <w:rFonts w:ascii="Symbol" w:hAnsi="Symbol" w:hint="default"/>
      </w:rPr>
    </w:lvl>
    <w:lvl w:ilvl="8" w:tplc="AA527836" w:tentative="1">
      <w:start w:val="1"/>
      <w:numFmt w:val="bullet"/>
      <w:lvlText w:val=""/>
      <w:lvlJc w:val="left"/>
      <w:pPr>
        <w:tabs>
          <w:tab w:val="num" w:pos="6480"/>
        </w:tabs>
        <w:ind w:left="6480" w:hanging="360"/>
      </w:pPr>
      <w:rPr>
        <w:rFonts w:ascii="Symbol" w:hAnsi="Symbol" w:hint="default"/>
      </w:rPr>
    </w:lvl>
  </w:abstractNum>
  <w:abstractNum w:abstractNumId="110" w15:restartNumberingAfterBreak="0">
    <w:nsid w:val="49870DDE"/>
    <w:multiLevelType w:val="hybridMultilevel"/>
    <w:tmpl w:val="86B0832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11" w15:restartNumberingAfterBreak="0">
    <w:nsid w:val="49D11D7D"/>
    <w:multiLevelType w:val="hybridMultilevel"/>
    <w:tmpl w:val="DAEC4232"/>
    <w:lvl w:ilvl="0" w:tplc="08D2AB58">
      <w:start w:val="1"/>
      <w:numFmt w:val="bullet"/>
      <w:lvlText w:val="&gt;"/>
      <w:lvlJc w:val="left"/>
      <w:pPr>
        <w:ind w:left="1583" w:hanging="360"/>
      </w:pPr>
      <w:rPr>
        <w:rFonts w:ascii="HelveticaNeueLT Std Lt" w:hAnsi="HelveticaNeueLT Std Lt" w:hint="default"/>
        <w:sz w:val="20"/>
      </w:rPr>
    </w:lvl>
    <w:lvl w:ilvl="1" w:tplc="0C090003" w:tentative="1">
      <w:start w:val="1"/>
      <w:numFmt w:val="bullet"/>
      <w:lvlText w:val="o"/>
      <w:lvlJc w:val="left"/>
      <w:pPr>
        <w:ind w:left="2303" w:hanging="360"/>
      </w:pPr>
      <w:rPr>
        <w:rFonts w:ascii="Courier New" w:hAnsi="Courier New" w:cs="Courier New" w:hint="default"/>
      </w:rPr>
    </w:lvl>
    <w:lvl w:ilvl="2" w:tplc="0C090005" w:tentative="1">
      <w:start w:val="1"/>
      <w:numFmt w:val="bullet"/>
      <w:lvlText w:val=""/>
      <w:lvlJc w:val="left"/>
      <w:pPr>
        <w:ind w:left="3023" w:hanging="360"/>
      </w:pPr>
      <w:rPr>
        <w:rFonts w:ascii="Wingdings" w:hAnsi="Wingdings" w:hint="default"/>
      </w:rPr>
    </w:lvl>
    <w:lvl w:ilvl="3" w:tplc="0C090001" w:tentative="1">
      <w:start w:val="1"/>
      <w:numFmt w:val="bullet"/>
      <w:lvlText w:val=""/>
      <w:lvlJc w:val="left"/>
      <w:pPr>
        <w:ind w:left="3743" w:hanging="360"/>
      </w:pPr>
      <w:rPr>
        <w:rFonts w:ascii="Symbol" w:hAnsi="Symbol" w:hint="default"/>
      </w:rPr>
    </w:lvl>
    <w:lvl w:ilvl="4" w:tplc="0C090003" w:tentative="1">
      <w:start w:val="1"/>
      <w:numFmt w:val="bullet"/>
      <w:lvlText w:val="o"/>
      <w:lvlJc w:val="left"/>
      <w:pPr>
        <w:ind w:left="4463" w:hanging="360"/>
      </w:pPr>
      <w:rPr>
        <w:rFonts w:ascii="Courier New" w:hAnsi="Courier New" w:cs="Courier New" w:hint="default"/>
      </w:rPr>
    </w:lvl>
    <w:lvl w:ilvl="5" w:tplc="0C090005" w:tentative="1">
      <w:start w:val="1"/>
      <w:numFmt w:val="bullet"/>
      <w:lvlText w:val=""/>
      <w:lvlJc w:val="left"/>
      <w:pPr>
        <w:ind w:left="5183" w:hanging="360"/>
      </w:pPr>
      <w:rPr>
        <w:rFonts w:ascii="Wingdings" w:hAnsi="Wingdings" w:hint="default"/>
      </w:rPr>
    </w:lvl>
    <w:lvl w:ilvl="6" w:tplc="0C090001" w:tentative="1">
      <w:start w:val="1"/>
      <w:numFmt w:val="bullet"/>
      <w:lvlText w:val=""/>
      <w:lvlJc w:val="left"/>
      <w:pPr>
        <w:ind w:left="5903" w:hanging="360"/>
      </w:pPr>
      <w:rPr>
        <w:rFonts w:ascii="Symbol" w:hAnsi="Symbol" w:hint="default"/>
      </w:rPr>
    </w:lvl>
    <w:lvl w:ilvl="7" w:tplc="0C090003" w:tentative="1">
      <w:start w:val="1"/>
      <w:numFmt w:val="bullet"/>
      <w:lvlText w:val="o"/>
      <w:lvlJc w:val="left"/>
      <w:pPr>
        <w:ind w:left="6623" w:hanging="360"/>
      </w:pPr>
      <w:rPr>
        <w:rFonts w:ascii="Courier New" w:hAnsi="Courier New" w:cs="Courier New" w:hint="default"/>
      </w:rPr>
    </w:lvl>
    <w:lvl w:ilvl="8" w:tplc="0C090005" w:tentative="1">
      <w:start w:val="1"/>
      <w:numFmt w:val="bullet"/>
      <w:lvlText w:val=""/>
      <w:lvlJc w:val="left"/>
      <w:pPr>
        <w:ind w:left="7343" w:hanging="360"/>
      </w:pPr>
      <w:rPr>
        <w:rFonts w:ascii="Wingdings" w:hAnsi="Wingdings" w:hint="default"/>
      </w:rPr>
    </w:lvl>
  </w:abstractNum>
  <w:abstractNum w:abstractNumId="112" w15:restartNumberingAfterBreak="0">
    <w:nsid w:val="4B234F6C"/>
    <w:multiLevelType w:val="hybridMultilevel"/>
    <w:tmpl w:val="31B09C4C"/>
    <w:lvl w:ilvl="0" w:tplc="BCD4AFB8">
      <w:start w:val="1"/>
      <w:numFmt w:val="bullet"/>
      <w:lvlText w:val=""/>
      <w:lvlPicBulletId w:val="1"/>
      <w:lvlJc w:val="left"/>
      <w:pPr>
        <w:tabs>
          <w:tab w:val="num" w:pos="720"/>
        </w:tabs>
        <w:ind w:left="720" w:hanging="360"/>
      </w:pPr>
      <w:rPr>
        <w:rFonts w:ascii="Symbol" w:hAnsi="Symbol" w:hint="default"/>
      </w:rPr>
    </w:lvl>
    <w:lvl w:ilvl="1" w:tplc="9FC6DD78" w:tentative="1">
      <w:start w:val="1"/>
      <w:numFmt w:val="bullet"/>
      <w:lvlText w:val=""/>
      <w:lvlJc w:val="left"/>
      <w:pPr>
        <w:tabs>
          <w:tab w:val="num" w:pos="1440"/>
        </w:tabs>
        <w:ind w:left="1440" w:hanging="360"/>
      </w:pPr>
      <w:rPr>
        <w:rFonts w:ascii="Symbol" w:hAnsi="Symbol" w:hint="default"/>
      </w:rPr>
    </w:lvl>
    <w:lvl w:ilvl="2" w:tplc="BDF61D16" w:tentative="1">
      <w:start w:val="1"/>
      <w:numFmt w:val="bullet"/>
      <w:lvlText w:val=""/>
      <w:lvlJc w:val="left"/>
      <w:pPr>
        <w:tabs>
          <w:tab w:val="num" w:pos="2160"/>
        </w:tabs>
        <w:ind w:left="2160" w:hanging="360"/>
      </w:pPr>
      <w:rPr>
        <w:rFonts w:ascii="Symbol" w:hAnsi="Symbol" w:hint="default"/>
      </w:rPr>
    </w:lvl>
    <w:lvl w:ilvl="3" w:tplc="576667CE" w:tentative="1">
      <w:start w:val="1"/>
      <w:numFmt w:val="bullet"/>
      <w:lvlText w:val=""/>
      <w:lvlJc w:val="left"/>
      <w:pPr>
        <w:tabs>
          <w:tab w:val="num" w:pos="2880"/>
        </w:tabs>
        <w:ind w:left="2880" w:hanging="360"/>
      </w:pPr>
      <w:rPr>
        <w:rFonts w:ascii="Symbol" w:hAnsi="Symbol" w:hint="default"/>
      </w:rPr>
    </w:lvl>
    <w:lvl w:ilvl="4" w:tplc="DB98E346" w:tentative="1">
      <w:start w:val="1"/>
      <w:numFmt w:val="bullet"/>
      <w:lvlText w:val=""/>
      <w:lvlJc w:val="left"/>
      <w:pPr>
        <w:tabs>
          <w:tab w:val="num" w:pos="3600"/>
        </w:tabs>
        <w:ind w:left="3600" w:hanging="360"/>
      </w:pPr>
      <w:rPr>
        <w:rFonts w:ascii="Symbol" w:hAnsi="Symbol" w:hint="default"/>
      </w:rPr>
    </w:lvl>
    <w:lvl w:ilvl="5" w:tplc="831C6270" w:tentative="1">
      <w:start w:val="1"/>
      <w:numFmt w:val="bullet"/>
      <w:lvlText w:val=""/>
      <w:lvlJc w:val="left"/>
      <w:pPr>
        <w:tabs>
          <w:tab w:val="num" w:pos="4320"/>
        </w:tabs>
        <w:ind w:left="4320" w:hanging="360"/>
      </w:pPr>
      <w:rPr>
        <w:rFonts w:ascii="Symbol" w:hAnsi="Symbol" w:hint="default"/>
      </w:rPr>
    </w:lvl>
    <w:lvl w:ilvl="6" w:tplc="C2C8243E" w:tentative="1">
      <w:start w:val="1"/>
      <w:numFmt w:val="bullet"/>
      <w:lvlText w:val=""/>
      <w:lvlJc w:val="left"/>
      <w:pPr>
        <w:tabs>
          <w:tab w:val="num" w:pos="5040"/>
        </w:tabs>
        <w:ind w:left="5040" w:hanging="360"/>
      </w:pPr>
      <w:rPr>
        <w:rFonts w:ascii="Symbol" w:hAnsi="Symbol" w:hint="default"/>
      </w:rPr>
    </w:lvl>
    <w:lvl w:ilvl="7" w:tplc="A6AA40FC" w:tentative="1">
      <w:start w:val="1"/>
      <w:numFmt w:val="bullet"/>
      <w:lvlText w:val=""/>
      <w:lvlJc w:val="left"/>
      <w:pPr>
        <w:tabs>
          <w:tab w:val="num" w:pos="5760"/>
        </w:tabs>
        <w:ind w:left="5760" w:hanging="360"/>
      </w:pPr>
      <w:rPr>
        <w:rFonts w:ascii="Symbol" w:hAnsi="Symbol" w:hint="default"/>
      </w:rPr>
    </w:lvl>
    <w:lvl w:ilvl="8" w:tplc="92380D70" w:tentative="1">
      <w:start w:val="1"/>
      <w:numFmt w:val="bullet"/>
      <w:lvlText w:val=""/>
      <w:lvlJc w:val="left"/>
      <w:pPr>
        <w:tabs>
          <w:tab w:val="num" w:pos="6480"/>
        </w:tabs>
        <w:ind w:left="6480" w:hanging="360"/>
      </w:pPr>
      <w:rPr>
        <w:rFonts w:ascii="Symbol" w:hAnsi="Symbol" w:hint="default"/>
      </w:rPr>
    </w:lvl>
  </w:abstractNum>
  <w:abstractNum w:abstractNumId="113" w15:restartNumberingAfterBreak="0">
    <w:nsid w:val="4B4C6168"/>
    <w:multiLevelType w:val="hybridMultilevel"/>
    <w:tmpl w:val="247633D0"/>
    <w:lvl w:ilvl="0" w:tplc="32AC69CE">
      <w:start w:val="1"/>
      <w:numFmt w:val="bullet"/>
      <w:lvlText w:val=""/>
      <w:lvlPicBulletId w:val="1"/>
      <w:lvlJc w:val="left"/>
      <w:pPr>
        <w:tabs>
          <w:tab w:val="num" w:pos="720"/>
        </w:tabs>
        <w:ind w:left="720" w:hanging="360"/>
      </w:pPr>
      <w:rPr>
        <w:rFonts w:ascii="Symbol" w:hAnsi="Symbol" w:hint="default"/>
      </w:rPr>
    </w:lvl>
    <w:lvl w:ilvl="1" w:tplc="866C7756" w:tentative="1">
      <w:start w:val="1"/>
      <w:numFmt w:val="bullet"/>
      <w:lvlText w:val=""/>
      <w:lvlJc w:val="left"/>
      <w:pPr>
        <w:tabs>
          <w:tab w:val="num" w:pos="1440"/>
        </w:tabs>
        <w:ind w:left="1440" w:hanging="360"/>
      </w:pPr>
      <w:rPr>
        <w:rFonts w:ascii="Symbol" w:hAnsi="Symbol" w:hint="default"/>
      </w:rPr>
    </w:lvl>
    <w:lvl w:ilvl="2" w:tplc="9704F71C" w:tentative="1">
      <w:start w:val="1"/>
      <w:numFmt w:val="bullet"/>
      <w:lvlText w:val=""/>
      <w:lvlJc w:val="left"/>
      <w:pPr>
        <w:tabs>
          <w:tab w:val="num" w:pos="2160"/>
        </w:tabs>
        <w:ind w:left="2160" w:hanging="360"/>
      </w:pPr>
      <w:rPr>
        <w:rFonts w:ascii="Symbol" w:hAnsi="Symbol" w:hint="default"/>
      </w:rPr>
    </w:lvl>
    <w:lvl w:ilvl="3" w:tplc="6FBAC7C8" w:tentative="1">
      <w:start w:val="1"/>
      <w:numFmt w:val="bullet"/>
      <w:lvlText w:val=""/>
      <w:lvlJc w:val="left"/>
      <w:pPr>
        <w:tabs>
          <w:tab w:val="num" w:pos="2880"/>
        </w:tabs>
        <w:ind w:left="2880" w:hanging="360"/>
      </w:pPr>
      <w:rPr>
        <w:rFonts w:ascii="Symbol" w:hAnsi="Symbol" w:hint="default"/>
      </w:rPr>
    </w:lvl>
    <w:lvl w:ilvl="4" w:tplc="E3E2D4BA" w:tentative="1">
      <w:start w:val="1"/>
      <w:numFmt w:val="bullet"/>
      <w:lvlText w:val=""/>
      <w:lvlJc w:val="left"/>
      <w:pPr>
        <w:tabs>
          <w:tab w:val="num" w:pos="3600"/>
        </w:tabs>
        <w:ind w:left="3600" w:hanging="360"/>
      </w:pPr>
      <w:rPr>
        <w:rFonts w:ascii="Symbol" w:hAnsi="Symbol" w:hint="default"/>
      </w:rPr>
    </w:lvl>
    <w:lvl w:ilvl="5" w:tplc="9948ED84" w:tentative="1">
      <w:start w:val="1"/>
      <w:numFmt w:val="bullet"/>
      <w:lvlText w:val=""/>
      <w:lvlJc w:val="left"/>
      <w:pPr>
        <w:tabs>
          <w:tab w:val="num" w:pos="4320"/>
        </w:tabs>
        <w:ind w:left="4320" w:hanging="360"/>
      </w:pPr>
      <w:rPr>
        <w:rFonts w:ascii="Symbol" w:hAnsi="Symbol" w:hint="default"/>
      </w:rPr>
    </w:lvl>
    <w:lvl w:ilvl="6" w:tplc="87D0D6B2" w:tentative="1">
      <w:start w:val="1"/>
      <w:numFmt w:val="bullet"/>
      <w:lvlText w:val=""/>
      <w:lvlJc w:val="left"/>
      <w:pPr>
        <w:tabs>
          <w:tab w:val="num" w:pos="5040"/>
        </w:tabs>
        <w:ind w:left="5040" w:hanging="360"/>
      </w:pPr>
      <w:rPr>
        <w:rFonts w:ascii="Symbol" w:hAnsi="Symbol" w:hint="default"/>
      </w:rPr>
    </w:lvl>
    <w:lvl w:ilvl="7" w:tplc="E8AEF402" w:tentative="1">
      <w:start w:val="1"/>
      <w:numFmt w:val="bullet"/>
      <w:lvlText w:val=""/>
      <w:lvlJc w:val="left"/>
      <w:pPr>
        <w:tabs>
          <w:tab w:val="num" w:pos="5760"/>
        </w:tabs>
        <w:ind w:left="5760" w:hanging="360"/>
      </w:pPr>
      <w:rPr>
        <w:rFonts w:ascii="Symbol" w:hAnsi="Symbol" w:hint="default"/>
      </w:rPr>
    </w:lvl>
    <w:lvl w:ilvl="8" w:tplc="ABA43F1C" w:tentative="1">
      <w:start w:val="1"/>
      <w:numFmt w:val="bullet"/>
      <w:lvlText w:val=""/>
      <w:lvlJc w:val="left"/>
      <w:pPr>
        <w:tabs>
          <w:tab w:val="num" w:pos="6480"/>
        </w:tabs>
        <w:ind w:left="6480" w:hanging="360"/>
      </w:pPr>
      <w:rPr>
        <w:rFonts w:ascii="Symbol" w:hAnsi="Symbol" w:hint="default"/>
      </w:rPr>
    </w:lvl>
  </w:abstractNum>
  <w:abstractNum w:abstractNumId="114" w15:restartNumberingAfterBreak="0">
    <w:nsid w:val="4BD02AF8"/>
    <w:multiLevelType w:val="hybridMultilevel"/>
    <w:tmpl w:val="43C42348"/>
    <w:lvl w:ilvl="0" w:tplc="E2742A14">
      <w:start w:val="1"/>
      <w:numFmt w:val="bullet"/>
      <w:lvlText w:val=""/>
      <w:lvlPicBulletId w:val="1"/>
      <w:lvlJc w:val="left"/>
      <w:pPr>
        <w:tabs>
          <w:tab w:val="num" w:pos="720"/>
        </w:tabs>
        <w:ind w:left="720" w:hanging="360"/>
      </w:pPr>
      <w:rPr>
        <w:rFonts w:ascii="Symbol" w:hAnsi="Symbol" w:hint="default"/>
      </w:rPr>
    </w:lvl>
    <w:lvl w:ilvl="1" w:tplc="8B9E91B6" w:tentative="1">
      <w:start w:val="1"/>
      <w:numFmt w:val="bullet"/>
      <w:lvlText w:val=""/>
      <w:lvlJc w:val="left"/>
      <w:pPr>
        <w:tabs>
          <w:tab w:val="num" w:pos="1440"/>
        </w:tabs>
        <w:ind w:left="1440" w:hanging="360"/>
      </w:pPr>
      <w:rPr>
        <w:rFonts w:ascii="Symbol" w:hAnsi="Symbol" w:hint="default"/>
      </w:rPr>
    </w:lvl>
    <w:lvl w:ilvl="2" w:tplc="645C8A94" w:tentative="1">
      <w:start w:val="1"/>
      <w:numFmt w:val="bullet"/>
      <w:lvlText w:val=""/>
      <w:lvlJc w:val="left"/>
      <w:pPr>
        <w:tabs>
          <w:tab w:val="num" w:pos="2160"/>
        </w:tabs>
        <w:ind w:left="2160" w:hanging="360"/>
      </w:pPr>
      <w:rPr>
        <w:rFonts w:ascii="Symbol" w:hAnsi="Symbol" w:hint="default"/>
      </w:rPr>
    </w:lvl>
    <w:lvl w:ilvl="3" w:tplc="ECA4FF68" w:tentative="1">
      <w:start w:val="1"/>
      <w:numFmt w:val="bullet"/>
      <w:lvlText w:val=""/>
      <w:lvlJc w:val="left"/>
      <w:pPr>
        <w:tabs>
          <w:tab w:val="num" w:pos="2880"/>
        </w:tabs>
        <w:ind w:left="2880" w:hanging="360"/>
      </w:pPr>
      <w:rPr>
        <w:rFonts w:ascii="Symbol" w:hAnsi="Symbol" w:hint="default"/>
      </w:rPr>
    </w:lvl>
    <w:lvl w:ilvl="4" w:tplc="011CFC30" w:tentative="1">
      <w:start w:val="1"/>
      <w:numFmt w:val="bullet"/>
      <w:lvlText w:val=""/>
      <w:lvlJc w:val="left"/>
      <w:pPr>
        <w:tabs>
          <w:tab w:val="num" w:pos="3600"/>
        </w:tabs>
        <w:ind w:left="3600" w:hanging="360"/>
      </w:pPr>
      <w:rPr>
        <w:rFonts w:ascii="Symbol" w:hAnsi="Symbol" w:hint="default"/>
      </w:rPr>
    </w:lvl>
    <w:lvl w:ilvl="5" w:tplc="87181514" w:tentative="1">
      <w:start w:val="1"/>
      <w:numFmt w:val="bullet"/>
      <w:lvlText w:val=""/>
      <w:lvlJc w:val="left"/>
      <w:pPr>
        <w:tabs>
          <w:tab w:val="num" w:pos="4320"/>
        </w:tabs>
        <w:ind w:left="4320" w:hanging="360"/>
      </w:pPr>
      <w:rPr>
        <w:rFonts w:ascii="Symbol" w:hAnsi="Symbol" w:hint="default"/>
      </w:rPr>
    </w:lvl>
    <w:lvl w:ilvl="6" w:tplc="02946644" w:tentative="1">
      <w:start w:val="1"/>
      <w:numFmt w:val="bullet"/>
      <w:lvlText w:val=""/>
      <w:lvlJc w:val="left"/>
      <w:pPr>
        <w:tabs>
          <w:tab w:val="num" w:pos="5040"/>
        </w:tabs>
        <w:ind w:left="5040" w:hanging="360"/>
      </w:pPr>
      <w:rPr>
        <w:rFonts w:ascii="Symbol" w:hAnsi="Symbol" w:hint="default"/>
      </w:rPr>
    </w:lvl>
    <w:lvl w:ilvl="7" w:tplc="D0FCFBFE" w:tentative="1">
      <w:start w:val="1"/>
      <w:numFmt w:val="bullet"/>
      <w:lvlText w:val=""/>
      <w:lvlJc w:val="left"/>
      <w:pPr>
        <w:tabs>
          <w:tab w:val="num" w:pos="5760"/>
        </w:tabs>
        <w:ind w:left="5760" w:hanging="360"/>
      </w:pPr>
      <w:rPr>
        <w:rFonts w:ascii="Symbol" w:hAnsi="Symbol" w:hint="default"/>
      </w:rPr>
    </w:lvl>
    <w:lvl w:ilvl="8" w:tplc="E3FA8558" w:tentative="1">
      <w:start w:val="1"/>
      <w:numFmt w:val="bullet"/>
      <w:lvlText w:val=""/>
      <w:lvlJc w:val="left"/>
      <w:pPr>
        <w:tabs>
          <w:tab w:val="num" w:pos="6480"/>
        </w:tabs>
        <w:ind w:left="6480" w:hanging="360"/>
      </w:pPr>
      <w:rPr>
        <w:rFonts w:ascii="Symbol" w:hAnsi="Symbol" w:hint="default"/>
      </w:rPr>
    </w:lvl>
  </w:abstractNum>
  <w:abstractNum w:abstractNumId="115" w15:restartNumberingAfterBreak="0">
    <w:nsid w:val="4C18763C"/>
    <w:multiLevelType w:val="hybridMultilevel"/>
    <w:tmpl w:val="4482AB10"/>
    <w:lvl w:ilvl="0" w:tplc="0A466FE0">
      <w:start w:val="1"/>
      <w:numFmt w:val="bullet"/>
      <w:lvlText w:val=""/>
      <w:lvlPicBulletId w:val="1"/>
      <w:lvlJc w:val="left"/>
      <w:pPr>
        <w:tabs>
          <w:tab w:val="num" w:pos="720"/>
        </w:tabs>
        <w:ind w:left="720" w:hanging="360"/>
      </w:pPr>
      <w:rPr>
        <w:rFonts w:ascii="Symbol" w:hAnsi="Symbol" w:hint="default"/>
      </w:rPr>
    </w:lvl>
    <w:lvl w:ilvl="1" w:tplc="52D89B10" w:tentative="1">
      <w:start w:val="1"/>
      <w:numFmt w:val="bullet"/>
      <w:lvlText w:val=""/>
      <w:lvlJc w:val="left"/>
      <w:pPr>
        <w:tabs>
          <w:tab w:val="num" w:pos="1440"/>
        </w:tabs>
        <w:ind w:left="1440" w:hanging="360"/>
      </w:pPr>
      <w:rPr>
        <w:rFonts w:ascii="Symbol" w:hAnsi="Symbol" w:hint="default"/>
      </w:rPr>
    </w:lvl>
    <w:lvl w:ilvl="2" w:tplc="503CA018" w:tentative="1">
      <w:start w:val="1"/>
      <w:numFmt w:val="bullet"/>
      <w:lvlText w:val=""/>
      <w:lvlJc w:val="left"/>
      <w:pPr>
        <w:tabs>
          <w:tab w:val="num" w:pos="2160"/>
        </w:tabs>
        <w:ind w:left="2160" w:hanging="360"/>
      </w:pPr>
      <w:rPr>
        <w:rFonts w:ascii="Symbol" w:hAnsi="Symbol" w:hint="default"/>
      </w:rPr>
    </w:lvl>
    <w:lvl w:ilvl="3" w:tplc="3A0C36F8" w:tentative="1">
      <w:start w:val="1"/>
      <w:numFmt w:val="bullet"/>
      <w:lvlText w:val=""/>
      <w:lvlJc w:val="left"/>
      <w:pPr>
        <w:tabs>
          <w:tab w:val="num" w:pos="2880"/>
        </w:tabs>
        <w:ind w:left="2880" w:hanging="360"/>
      </w:pPr>
      <w:rPr>
        <w:rFonts w:ascii="Symbol" w:hAnsi="Symbol" w:hint="default"/>
      </w:rPr>
    </w:lvl>
    <w:lvl w:ilvl="4" w:tplc="3F9A86D0" w:tentative="1">
      <w:start w:val="1"/>
      <w:numFmt w:val="bullet"/>
      <w:lvlText w:val=""/>
      <w:lvlJc w:val="left"/>
      <w:pPr>
        <w:tabs>
          <w:tab w:val="num" w:pos="3600"/>
        </w:tabs>
        <w:ind w:left="3600" w:hanging="360"/>
      </w:pPr>
      <w:rPr>
        <w:rFonts w:ascii="Symbol" w:hAnsi="Symbol" w:hint="default"/>
      </w:rPr>
    </w:lvl>
    <w:lvl w:ilvl="5" w:tplc="577224CC" w:tentative="1">
      <w:start w:val="1"/>
      <w:numFmt w:val="bullet"/>
      <w:lvlText w:val=""/>
      <w:lvlJc w:val="left"/>
      <w:pPr>
        <w:tabs>
          <w:tab w:val="num" w:pos="4320"/>
        </w:tabs>
        <w:ind w:left="4320" w:hanging="360"/>
      </w:pPr>
      <w:rPr>
        <w:rFonts w:ascii="Symbol" w:hAnsi="Symbol" w:hint="default"/>
      </w:rPr>
    </w:lvl>
    <w:lvl w:ilvl="6" w:tplc="20A00518" w:tentative="1">
      <w:start w:val="1"/>
      <w:numFmt w:val="bullet"/>
      <w:lvlText w:val=""/>
      <w:lvlJc w:val="left"/>
      <w:pPr>
        <w:tabs>
          <w:tab w:val="num" w:pos="5040"/>
        </w:tabs>
        <w:ind w:left="5040" w:hanging="360"/>
      </w:pPr>
      <w:rPr>
        <w:rFonts w:ascii="Symbol" w:hAnsi="Symbol" w:hint="default"/>
      </w:rPr>
    </w:lvl>
    <w:lvl w:ilvl="7" w:tplc="D9EE2846" w:tentative="1">
      <w:start w:val="1"/>
      <w:numFmt w:val="bullet"/>
      <w:lvlText w:val=""/>
      <w:lvlJc w:val="left"/>
      <w:pPr>
        <w:tabs>
          <w:tab w:val="num" w:pos="5760"/>
        </w:tabs>
        <w:ind w:left="5760" w:hanging="360"/>
      </w:pPr>
      <w:rPr>
        <w:rFonts w:ascii="Symbol" w:hAnsi="Symbol" w:hint="default"/>
      </w:rPr>
    </w:lvl>
    <w:lvl w:ilvl="8" w:tplc="718EAD10" w:tentative="1">
      <w:start w:val="1"/>
      <w:numFmt w:val="bullet"/>
      <w:lvlText w:val=""/>
      <w:lvlJc w:val="left"/>
      <w:pPr>
        <w:tabs>
          <w:tab w:val="num" w:pos="6480"/>
        </w:tabs>
        <w:ind w:left="6480" w:hanging="360"/>
      </w:pPr>
      <w:rPr>
        <w:rFonts w:ascii="Symbol" w:hAnsi="Symbol" w:hint="default"/>
      </w:rPr>
    </w:lvl>
  </w:abstractNum>
  <w:abstractNum w:abstractNumId="116" w15:restartNumberingAfterBreak="0">
    <w:nsid w:val="4C743A43"/>
    <w:multiLevelType w:val="hybridMultilevel"/>
    <w:tmpl w:val="D21AC3B0"/>
    <w:lvl w:ilvl="0" w:tplc="C688E3F2">
      <w:start w:val="1"/>
      <w:numFmt w:val="bullet"/>
      <w:lvlText w:val=""/>
      <w:lvlPicBulletId w:val="0"/>
      <w:lvlJc w:val="left"/>
      <w:pPr>
        <w:tabs>
          <w:tab w:val="num" w:pos="720"/>
        </w:tabs>
        <w:ind w:left="720" w:hanging="360"/>
      </w:pPr>
      <w:rPr>
        <w:rFonts w:ascii="Symbol" w:hAnsi="Symbol" w:hint="default"/>
      </w:rPr>
    </w:lvl>
    <w:lvl w:ilvl="1" w:tplc="4E00A43E" w:tentative="1">
      <w:start w:val="1"/>
      <w:numFmt w:val="bullet"/>
      <w:lvlText w:val=""/>
      <w:lvlJc w:val="left"/>
      <w:pPr>
        <w:tabs>
          <w:tab w:val="num" w:pos="1440"/>
        </w:tabs>
        <w:ind w:left="1440" w:hanging="360"/>
      </w:pPr>
      <w:rPr>
        <w:rFonts w:ascii="Symbol" w:hAnsi="Symbol" w:hint="default"/>
      </w:rPr>
    </w:lvl>
    <w:lvl w:ilvl="2" w:tplc="632AB378" w:tentative="1">
      <w:start w:val="1"/>
      <w:numFmt w:val="bullet"/>
      <w:lvlText w:val=""/>
      <w:lvlJc w:val="left"/>
      <w:pPr>
        <w:tabs>
          <w:tab w:val="num" w:pos="2160"/>
        </w:tabs>
        <w:ind w:left="2160" w:hanging="360"/>
      </w:pPr>
      <w:rPr>
        <w:rFonts w:ascii="Symbol" w:hAnsi="Symbol" w:hint="default"/>
      </w:rPr>
    </w:lvl>
    <w:lvl w:ilvl="3" w:tplc="707C9FC2" w:tentative="1">
      <w:start w:val="1"/>
      <w:numFmt w:val="bullet"/>
      <w:lvlText w:val=""/>
      <w:lvlJc w:val="left"/>
      <w:pPr>
        <w:tabs>
          <w:tab w:val="num" w:pos="2880"/>
        </w:tabs>
        <w:ind w:left="2880" w:hanging="360"/>
      </w:pPr>
      <w:rPr>
        <w:rFonts w:ascii="Symbol" w:hAnsi="Symbol" w:hint="default"/>
      </w:rPr>
    </w:lvl>
    <w:lvl w:ilvl="4" w:tplc="5E901564" w:tentative="1">
      <w:start w:val="1"/>
      <w:numFmt w:val="bullet"/>
      <w:lvlText w:val=""/>
      <w:lvlJc w:val="left"/>
      <w:pPr>
        <w:tabs>
          <w:tab w:val="num" w:pos="3600"/>
        </w:tabs>
        <w:ind w:left="3600" w:hanging="360"/>
      </w:pPr>
      <w:rPr>
        <w:rFonts w:ascii="Symbol" w:hAnsi="Symbol" w:hint="default"/>
      </w:rPr>
    </w:lvl>
    <w:lvl w:ilvl="5" w:tplc="040CBA38" w:tentative="1">
      <w:start w:val="1"/>
      <w:numFmt w:val="bullet"/>
      <w:lvlText w:val=""/>
      <w:lvlJc w:val="left"/>
      <w:pPr>
        <w:tabs>
          <w:tab w:val="num" w:pos="4320"/>
        </w:tabs>
        <w:ind w:left="4320" w:hanging="360"/>
      </w:pPr>
      <w:rPr>
        <w:rFonts w:ascii="Symbol" w:hAnsi="Symbol" w:hint="default"/>
      </w:rPr>
    </w:lvl>
    <w:lvl w:ilvl="6" w:tplc="939AFC98" w:tentative="1">
      <w:start w:val="1"/>
      <w:numFmt w:val="bullet"/>
      <w:lvlText w:val=""/>
      <w:lvlJc w:val="left"/>
      <w:pPr>
        <w:tabs>
          <w:tab w:val="num" w:pos="5040"/>
        </w:tabs>
        <w:ind w:left="5040" w:hanging="360"/>
      </w:pPr>
      <w:rPr>
        <w:rFonts w:ascii="Symbol" w:hAnsi="Symbol" w:hint="default"/>
      </w:rPr>
    </w:lvl>
    <w:lvl w:ilvl="7" w:tplc="162C0160" w:tentative="1">
      <w:start w:val="1"/>
      <w:numFmt w:val="bullet"/>
      <w:lvlText w:val=""/>
      <w:lvlJc w:val="left"/>
      <w:pPr>
        <w:tabs>
          <w:tab w:val="num" w:pos="5760"/>
        </w:tabs>
        <w:ind w:left="5760" w:hanging="360"/>
      </w:pPr>
      <w:rPr>
        <w:rFonts w:ascii="Symbol" w:hAnsi="Symbol" w:hint="default"/>
      </w:rPr>
    </w:lvl>
    <w:lvl w:ilvl="8" w:tplc="04EC2F28" w:tentative="1">
      <w:start w:val="1"/>
      <w:numFmt w:val="bullet"/>
      <w:lvlText w:val=""/>
      <w:lvlJc w:val="left"/>
      <w:pPr>
        <w:tabs>
          <w:tab w:val="num" w:pos="6480"/>
        </w:tabs>
        <w:ind w:left="6480" w:hanging="360"/>
      </w:pPr>
      <w:rPr>
        <w:rFonts w:ascii="Symbol" w:hAnsi="Symbol" w:hint="default"/>
      </w:rPr>
    </w:lvl>
  </w:abstractNum>
  <w:abstractNum w:abstractNumId="117" w15:restartNumberingAfterBreak="0">
    <w:nsid w:val="4CAC1D44"/>
    <w:multiLevelType w:val="hybridMultilevel"/>
    <w:tmpl w:val="BD26F38E"/>
    <w:lvl w:ilvl="0" w:tplc="4A480F80">
      <w:start w:val="1"/>
      <w:numFmt w:val="bullet"/>
      <w:lvlText w:val=""/>
      <w:lvlPicBulletId w:val="1"/>
      <w:lvlJc w:val="left"/>
      <w:pPr>
        <w:tabs>
          <w:tab w:val="num" w:pos="720"/>
        </w:tabs>
        <w:ind w:left="720" w:hanging="360"/>
      </w:pPr>
      <w:rPr>
        <w:rFonts w:ascii="Symbol" w:hAnsi="Symbol" w:hint="default"/>
      </w:rPr>
    </w:lvl>
    <w:lvl w:ilvl="1" w:tplc="F0907246" w:tentative="1">
      <w:start w:val="1"/>
      <w:numFmt w:val="bullet"/>
      <w:lvlText w:val=""/>
      <w:lvlJc w:val="left"/>
      <w:pPr>
        <w:tabs>
          <w:tab w:val="num" w:pos="1440"/>
        </w:tabs>
        <w:ind w:left="1440" w:hanging="360"/>
      </w:pPr>
      <w:rPr>
        <w:rFonts w:ascii="Symbol" w:hAnsi="Symbol" w:hint="default"/>
      </w:rPr>
    </w:lvl>
    <w:lvl w:ilvl="2" w:tplc="5608D6B8" w:tentative="1">
      <w:start w:val="1"/>
      <w:numFmt w:val="bullet"/>
      <w:lvlText w:val=""/>
      <w:lvlJc w:val="left"/>
      <w:pPr>
        <w:tabs>
          <w:tab w:val="num" w:pos="2160"/>
        </w:tabs>
        <w:ind w:left="2160" w:hanging="360"/>
      </w:pPr>
      <w:rPr>
        <w:rFonts w:ascii="Symbol" w:hAnsi="Symbol" w:hint="default"/>
      </w:rPr>
    </w:lvl>
    <w:lvl w:ilvl="3" w:tplc="DE80867A" w:tentative="1">
      <w:start w:val="1"/>
      <w:numFmt w:val="bullet"/>
      <w:lvlText w:val=""/>
      <w:lvlJc w:val="left"/>
      <w:pPr>
        <w:tabs>
          <w:tab w:val="num" w:pos="2880"/>
        </w:tabs>
        <w:ind w:left="2880" w:hanging="360"/>
      </w:pPr>
      <w:rPr>
        <w:rFonts w:ascii="Symbol" w:hAnsi="Symbol" w:hint="default"/>
      </w:rPr>
    </w:lvl>
    <w:lvl w:ilvl="4" w:tplc="93C0BB9A" w:tentative="1">
      <w:start w:val="1"/>
      <w:numFmt w:val="bullet"/>
      <w:lvlText w:val=""/>
      <w:lvlJc w:val="left"/>
      <w:pPr>
        <w:tabs>
          <w:tab w:val="num" w:pos="3600"/>
        </w:tabs>
        <w:ind w:left="3600" w:hanging="360"/>
      </w:pPr>
      <w:rPr>
        <w:rFonts w:ascii="Symbol" w:hAnsi="Symbol" w:hint="default"/>
      </w:rPr>
    </w:lvl>
    <w:lvl w:ilvl="5" w:tplc="A0C8B620" w:tentative="1">
      <w:start w:val="1"/>
      <w:numFmt w:val="bullet"/>
      <w:lvlText w:val=""/>
      <w:lvlJc w:val="left"/>
      <w:pPr>
        <w:tabs>
          <w:tab w:val="num" w:pos="4320"/>
        </w:tabs>
        <w:ind w:left="4320" w:hanging="360"/>
      </w:pPr>
      <w:rPr>
        <w:rFonts w:ascii="Symbol" w:hAnsi="Symbol" w:hint="default"/>
      </w:rPr>
    </w:lvl>
    <w:lvl w:ilvl="6" w:tplc="6E1A77A0" w:tentative="1">
      <w:start w:val="1"/>
      <w:numFmt w:val="bullet"/>
      <w:lvlText w:val=""/>
      <w:lvlJc w:val="left"/>
      <w:pPr>
        <w:tabs>
          <w:tab w:val="num" w:pos="5040"/>
        </w:tabs>
        <w:ind w:left="5040" w:hanging="360"/>
      </w:pPr>
      <w:rPr>
        <w:rFonts w:ascii="Symbol" w:hAnsi="Symbol" w:hint="default"/>
      </w:rPr>
    </w:lvl>
    <w:lvl w:ilvl="7" w:tplc="D534C1CE" w:tentative="1">
      <w:start w:val="1"/>
      <w:numFmt w:val="bullet"/>
      <w:lvlText w:val=""/>
      <w:lvlJc w:val="left"/>
      <w:pPr>
        <w:tabs>
          <w:tab w:val="num" w:pos="5760"/>
        </w:tabs>
        <w:ind w:left="5760" w:hanging="360"/>
      </w:pPr>
      <w:rPr>
        <w:rFonts w:ascii="Symbol" w:hAnsi="Symbol" w:hint="default"/>
      </w:rPr>
    </w:lvl>
    <w:lvl w:ilvl="8" w:tplc="980A541A" w:tentative="1">
      <w:start w:val="1"/>
      <w:numFmt w:val="bullet"/>
      <w:lvlText w:val=""/>
      <w:lvlJc w:val="left"/>
      <w:pPr>
        <w:tabs>
          <w:tab w:val="num" w:pos="6480"/>
        </w:tabs>
        <w:ind w:left="6480" w:hanging="360"/>
      </w:pPr>
      <w:rPr>
        <w:rFonts w:ascii="Symbol" w:hAnsi="Symbol" w:hint="default"/>
      </w:rPr>
    </w:lvl>
  </w:abstractNum>
  <w:abstractNum w:abstractNumId="118" w15:restartNumberingAfterBreak="0">
    <w:nsid w:val="4CE36CE1"/>
    <w:multiLevelType w:val="hybridMultilevel"/>
    <w:tmpl w:val="E89EAA62"/>
    <w:lvl w:ilvl="0" w:tplc="3CD2D188">
      <w:start w:val="3"/>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9" w15:restartNumberingAfterBreak="0">
    <w:nsid w:val="4E3A484D"/>
    <w:multiLevelType w:val="hybridMultilevel"/>
    <w:tmpl w:val="FD0092D4"/>
    <w:lvl w:ilvl="0" w:tplc="ABB0ED9C">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0" w15:restartNumberingAfterBreak="0">
    <w:nsid w:val="4E3D4EC8"/>
    <w:multiLevelType w:val="hybridMultilevel"/>
    <w:tmpl w:val="3F6698FA"/>
    <w:lvl w:ilvl="0" w:tplc="5BA06FD0">
      <w:start w:val="1"/>
      <w:numFmt w:val="bullet"/>
      <w:lvlText w:val=""/>
      <w:lvlPicBulletId w:val="0"/>
      <w:lvlJc w:val="left"/>
      <w:pPr>
        <w:tabs>
          <w:tab w:val="num" w:pos="720"/>
        </w:tabs>
        <w:ind w:left="720" w:hanging="360"/>
      </w:pPr>
      <w:rPr>
        <w:rFonts w:ascii="Symbol" w:hAnsi="Symbol" w:hint="default"/>
      </w:rPr>
    </w:lvl>
    <w:lvl w:ilvl="1" w:tplc="1DEA1F26" w:tentative="1">
      <w:start w:val="1"/>
      <w:numFmt w:val="bullet"/>
      <w:lvlText w:val=""/>
      <w:lvlJc w:val="left"/>
      <w:pPr>
        <w:tabs>
          <w:tab w:val="num" w:pos="1440"/>
        </w:tabs>
        <w:ind w:left="1440" w:hanging="360"/>
      </w:pPr>
      <w:rPr>
        <w:rFonts w:ascii="Symbol" w:hAnsi="Symbol" w:hint="default"/>
      </w:rPr>
    </w:lvl>
    <w:lvl w:ilvl="2" w:tplc="5900E5B8" w:tentative="1">
      <w:start w:val="1"/>
      <w:numFmt w:val="bullet"/>
      <w:lvlText w:val=""/>
      <w:lvlJc w:val="left"/>
      <w:pPr>
        <w:tabs>
          <w:tab w:val="num" w:pos="2160"/>
        </w:tabs>
        <w:ind w:left="2160" w:hanging="360"/>
      </w:pPr>
      <w:rPr>
        <w:rFonts w:ascii="Symbol" w:hAnsi="Symbol" w:hint="default"/>
      </w:rPr>
    </w:lvl>
    <w:lvl w:ilvl="3" w:tplc="5FBE6BE8" w:tentative="1">
      <w:start w:val="1"/>
      <w:numFmt w:val="bullet"/>
      <w:lvlText w:val=""/>
      <w:lvlJc w:val="left"/>
      <w:pPr>
        <w:tabs>
          <w:tab w:val="num" w:pos="2880"/>
        </w:tabs>
        <w:ind w:left="2880" w:hanging="360"/>
      </w:pPr>
      <w:rPr>
        <w:rFonts w:ascii="Symbol" w:hAnsi="Symbol" w:hint="default"/>
      </w:rPr>
    </w:lvl>
    <w:lvl w:ilvl="4" w:tplc="FD5C4F7C" w:tentative="1">
      <w:start w:val="1"/>
      <w:numFmt w:val="bullet"/>
      <w:lvlText w:val=""/>
      <w:lvlJc w:val="left"/>
      <w:pPr>
        <w:tabs>
          <w:tab w:val="num" w:pos="3600"/>
        </w:tabs>
        <w:ind w:left="3600" w:hanging="360"/>
      </w:pPr>
      <w:rPr>
        <w:rFonts w:ascii="Symbol" w:hAnsi="Symbol" w:hint="default"/>
      </w:rPr>
    </w:lvl>
    <w:lvl w:ilvl="5" w:tplc="B4DCF126" w:tentative="1">
      <w:start w:val="1"/>
      <w:numFmt w:val="bullet"/>
      <w:lvlText w:val=""/>
      <w:lvlJc w:val="left"/>
      <w:pPr>
        <w:tabs>
          <w:tab w:val="num" w:pos="4320"/>
        </w:tabs>
        <w:ind w:left="4320" w:hanging="360"/>
      </w:pPr>
      <w:rPr>
        <w:rFonts w:ascii="Symbol" w:hAnsi="Symbol" w:hint="default"/>
      </w:rPr>
    </w:lvl>
    <w:lvl w:ilvl="6" w:tplc="EDF0968C" w:tentative="1">
      <w:start w:val="1"/>
      <w:numFmt w:val="bullet"/>
      <w:lvlText w:val=""/>
      <w:lvlJc w:val="left"/>
      <w:pPr>
        <w:tabs>
          <w:tab w:val="num" w:pos="5040"/>
        </w:tabs>
        <w:ind w:left="5040" w:hanging="360"/>
      </w:pPr>
      <w:rPr>
        <w:rFonts w:ascii="Symbol" w:hAnsi="Symbol" w:hint="default"/>
      </w:rPr>
    </w:lvl>
    <w:lvl w:ilvl="7" w:tplc="E3C0FB12" w:tentative="1">
      <w:start w:val="1"/>
      <w:numFmt w:val="bullet"/>
      <w:lvlText w:val=""/>
      <w:lvlJc w:val="left"/>
      <w:pPr>
        <w:tabs>
          <w:tab w:val="num" w:pos="5760"/>
        </w:tabs>
        <w:ind w:left="5760" w:hanging="360"/>
      </w:pPr>
      <w:rPr>
        <w:rFonts w:ascii="Symbol" w:hAnsi="Symbol" w:hint="default"/>
      </w:rPr>
    </w:lvl>
    <w:lvl w:ilvl="8" w:tplc="6436F326" w:tentative="1">
      <w:start w:val="1"/>
      <w:numFmt w:val="bullet"/>
      <w:lvlText w:val=""/>
      <w:lvlJc w:val="left"/>
      <w:pPr>
        <w:tabs>
          <w:tab w:val="num" w:pos="6480"/>
        </w:tabs>
        <w:ind w:left="6480" w:hanging="360"/>
      </w:pPr>
      <w:rPr>
        <w:rFonts w:ascii="Symbol" w:hAnsi="Symbol" w:hint="default"/>
      </w:rPr>
    </w:lvl>
  </w:abstractNum>
  <w:abstractNum w:abstractNumId="121" w15:restartNumberingAfterBreak="0">
    <w:nsid w:val="4F42593D"/>
    <w:multiLevelType w:val="hybridMultilevel"/>
    <w:tmpl w:val="664006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2" w15:restartNumberingAfterBreak="0">
    <w:nsid w:val="4FA41DD3"/>
    <w:multiLevelType w:val="hybridMultilevel"/>
    <w:tmpl w:val="D6DA212A"/>
    <w:lvl w:ilvl="0" w:tplc="968AB68A">
      <w:start w:val="1"/>
      <w:numFmt w:val="bullet"/>
      <w:lvlText w:val=""/>
      <w:lvlPicBulletId w:val="1"/>
      <w:lvlJc w:val="left"/>
      <w:pPr>
        <w:tabs>
          <w:tab w:val="num" w:pos="720"/>
        </w:tabs>
        <w:ind w:left="720" w:hanging="360"/>
      </w:pPr>
      <w:rPr>
        <w:rFonts w:ascii="Symbol" w:hAnsi="Symbol" w:hint="default"/>
      </w:rPr>
    </w:lvl>
    <w:lvl w:ilvl="1" w:tplc="762285D6" w:tentative="1">
      <w:start w:val="1"/>
      <w:numFmt w:val="bullet"/>
      <w:lvlText w:val=""/>
      <w:lvlJc w:val="left"/>
      <w:pPr>
        <w:tabs>
          <w:tab w:val="num" w:pos="1440"/>
        </w:tabs>
        <w:ind w:left="1440" w:hanging="360"/>
      </w:pPr>
      <w:rPr>
        <w:rFonts w:ascii="Symbol" w:hAnsi="Symbol" w:hint="default"/>
      </w:rPr>
    </w:lvl>
    <w:lvl w:ilvl="2" w:tplc="E29CFAE0" w:tentative="1">
      <w:start w:val="1"/>
      <w:numFmt w:val="bullet"/>
      <w:lvlText w:val=""/>
      <w:lvlJc w:val="left"/>
      <w:pPr>
        <w:tabs>
          <w:tab w:val="num" w:pos="2160"/>
        </w:tabs>
        <w:ind w:left="2160" w:hanging="360"/>
      </w:pPr>
      <w:rPr>
        <w:rFonts w:ascii="Symbol" w:hAnsi="Symbol" w:hint="default"/>
      </w:rPr>
    </w:lvl>
    <w:lvl w:ilvl="3" w:tplc="00E6B500" w:tentative="1">
      <w:start w:val="1"/>
      <w:numFmt w:val="bullet"/>
      <w:lvlText w:val=""/>
      <w:lvlJc w:val="left"/>
      <w:pPr>
        <w:tabs>
          <w:tab w:val="num" w:pos="2880"/>
        </w:tabs>
        <w:ind w:left="2880" w:hanging="360"/>
      </w:pPr>
      <w:rPr>
        <w:rFonts w:ascii="Symbol" w:hAnsi="Symbol" w:hint="default"/>
      </w:rPr>
    </w:lvl>
    <w:lvl w:ilvl="4" w:tplc="2E7CA23C" w:tentative="1">
      <w:start w:val="1"/>
      <w:numFmt w:val="bullet"/>
      <w:lvlText w:val=""/>
      <w:lvlJc w:val="left"/>
      <w:pPr>
        <w:tabs>
          <w:tab w:val="num" w:pos="3600"/>
        </w:tabs>
        <w:ind w:left="3600" w:hanging="360"/>
      </w:pPr>
      <w:rPr>
        <w:rFonts w:ascii="Symbol" w:hAnsi="Symbol" w:hint="default"/>
      </w:rPr>
    </w:lvl>
    <w:lvl w:ilvl="5" w:tplc="7DB615BC" w:tentative="1">
      <w:start w:val="1"/>
      <w:numFmt w:val="bullet"/>
      <w:lvlText w:val=""/>
      <w:lvlJc w:val="left"/>
      <w:pPr>
        <w:tabs>
          <w:tab w:val="num" w:pos="4320"/>
        </w:tabs>
        <w:ind w:left="4320" w:hanging="360"/>
      </w:pPr>
      <w:rPr>
        <w:rFonts w:ascii="Symbol" w:hAnsi="Symbol" w:hint="default"/>
      </w:rPr>
    </w:lvl>
    <w:lvl w:ilvl="6" w:tplc="1C729D5E" w:tentative="1">
      <w:start w:val="1"/>
      <w:numFmt w:val="bullet"/>
      <w:lvlText w:val=""/>
      <w:lvlJc w:val="left"/>
      <w:pPr>
        <w:tabs>
          <w:tab w:val="num" w:pos="5040"/>
        </w:tabs>
        <w:ind w:left="5040" w:hanging="360"/>
      </w:pPr>
      <w:rPr>
        <w:rFonts w:ascii="Symbol" w:hAnsi="Symbol" w:hint="default"/>
      </w:rPr>
    </w:lvl>
    <w:lvl w:ilvl="7" w:tplc="B2DC5944" w:tentative="1">
      <w:start w:val="1"/>
      <w:numFmt w:val="bullet"/>
      <w:lvlText w:val=""/>
      <w:lvlJc w:val="left"/>
      <w:pPr>
        <w:tabs>
          <w:tab w:val="num" w:pos="5760"/>
        </w:tabs>
        <w:ind w:left="5760" w:hanging="360"/>
      </w:pPr>
      <w:rPr>
        <w:rFonts w:ascii="Symbol" w:hAnsi="Symbol" w:hint="default"/>
      </w:rPr>
    </w:lvl>
    <w:lvl w:ilvl="8" w:tplc="E842EFCA" w:tentative="1">
      <w:start w:val="1"/>
      <w:numFmt w:val="bullet"/>
      <w:lvlText w:val=""/>
      <w:lvlJc w:val="left"/>
      <w:pPr>
        <w:tabs>
          <w:tab w:val="num" w:pos="6480"/>
        </w:tabs>
        <w:ind w:left="6480" w:hanging="360"/>
      </w:pPr>
      <w:rPr>
        <w:rFonts w:ascii="Symbol" w:hAnsi="Symbol" w:hint="default"/>
      </w:rPr>
    </w:lvl>
  </w:abstractNum>
  <w:abstractNum w:abstractNumId="123" w15:restartNumberingAfterBreak="0">
    <w:nsid w:val="50910883"/>
    <w:multiLevelType w:val="hybridMultilevel"/>
    <w:tmpl w:val="974237DA"/>
    <w:lvl w:ilvl="0" w:tplc="088648B8">
      <w:start w:val="1"/>
      <w:numFmt w:val="bullet"/>
      <w:lvlText w:val=""/>
      <w:lvlPicBulletId w:val="1"/>
      <w:lvlJc w:val="left"/>
      <w:pPr>
        <w:tabs>
          <w:tab w:val="num" w:pos="720"/>
        </w:tabs>
        <w:ind w:left="720" w:hanging="360"/>
      </w:pPr>
      <w:rPr>
        <w:rFonts w:ascii="Symbol" w:hAnsi="Symbol" w:hint="default"/>
      </w:rPr>
    </w:lvl>
    <w:lvl w:ilvl="1" w:tplc="21A633CE" w:tentative="1">
      <w:start w:val="1"/>
      <w:numFmt w:val="bullet"/>
      <w:lvlText w:val=""/>
      <w:lvlJc w:val="left"/>
      <w:pPr>
        <w:tabs>
          <w:tab w:val="num" w:pos="1440"/>
        </w:tabs>
        <w:ind w:left="1440" w:hanging="360"/>
      </w:pPr>
      <w:rPr>
        <w:rFonts w:ascii="Symbol" w:hAnsi="Symbol" w:hint="default"/>
      </w:rPr>
    </w:lvl>
    <w:lvl w:ilvl="2" w:tplc="F47A7C10" w:tentative="1">
      <w:start w:val="1"/>
      <w:numFmt w:val="bullet"/>
      <w:lvlText w:val=""/>
      <w:lvlJc w:val="left"/>
      <w:pPr>
        <w:tabs>
          <w:tab w:val="num" w:pos="2160"/>
        </w:tabs>
        <w:ind w:left="2160" w:hanging="360"/>
      </w:pPr>
      <w:rPr>
        <w:rFonts w:ascii="Symbol" w:hAnsi="Symbol" w:hint="default"/>
      </w:rPr>
    </w:lvl>
    <w:lvl w:ilvl="3" w:tplc="E2B4A71C" w:tentative="1">
      <w:start w:val="1"/>
      <w:numFmt w:val="bullet"/>
      <w:lvlText w:val=""/>
      <w:lvlJc w:val="left"/>
      <w:pPr>
        <w:tabs>
          <w:tab w:val="num" w:pos="2880"/>
        </w:tabs>
        <w:ind w:left="2880" w:hanging="360"/>
      </w:pPr>
      <w:rPr>
        <w:rFonts w:ascii="Symbol" w:hAnsi="Symbol" w:hint="default"/>
      </w:rPr>
    </w:lvl>
    <w:lvl w:ilvl="4" w:tplc="57B64504" w:tentative="1">
      <w:start w:val="1"/>
      <w:numFmt w:val="bullet"/>
      <w:lvlText w:val=""/>
      <w:lvlJc w:val="left"/>
      <w:pPr>
        <w:tabs>
          <w:tab w:val="num" w:pos="3600"/>
        </w:tabs>
        <w:ind w:left="3600" w:hanging="360"/>
      </w:pPr>
      <w:rPr>
        <w:rFonts w:ascii="Symbol" w:hAnsi="Symbol" w:hint="default"/>
      </w:rPr>
    </w:lvl>
    <w:lvl w:ilvl="5" w:tplc="22CEB8CE" w:tentative="1">
      <w:start w:val="1"/>
      <w:numFmt w:val="bullet"/>
      <w:lvlText w:val=""/>
      <w:lvlJc w:val="left"/>
      <w:pPr>
        <w:tabs>
          <w:tab w:val="num" w:pos="4320"/>
        </w:tabs>
        <w:ind w:left="4320" w:hanging="360"/>
      </w:pPr>
      <w:rPr>
        <w:rFonts w:ascii="Symbol" w:hAnsi="Symbol" w:hint="default"/>
      </w:rPr>
    </w:lvl>
    <w:lvl w:ilvl="6" w:tplc="4DAAD138" w:tentative="1">
      <w:start w:val="1"/>
      <w:numFmt w:val="bullet"/>
      <w:lvlText w:val=""/>
      <w:lvlJc w:val="left"/>
      <w:pPr>
        <w:tabs>
          <w:tab w:val="num" w:pos="5040"/>
        </w:tabs>
        <w:ind w:left="5040" w:hanging="360"/>
      </w:pPr>
      <w:rPr>
        <w:rFonts w:ascii="Symbol" w:hAnsi="Symbol" w:hint="default"/>
      </w:rPr>
    </w:lvl>
    <w:lvl w:ilvl="7" w:tplc="068EC958" w:tentative="1">
      <w:start w:val="1"/>
      <w:numFmt w:val="bullet"/>
      <w:lvlText w:val=""/>
      <w:lvlJc w:val="left"/>
      <w:pPr>
        <w:tabs>
          <w:tab w:val="num" w:pos="5760"/>
        </w:tabs>
        <w:ind w:left="5760" w:hanging="360"/>
      </w:pPr>
      <w:rPr>
        <w:rFonts w:ascii="Symbol" w:hAnsi="Symbol" w:hint="default"/>
      </w:rPr>
    </w:lvl>
    <w:lvl w:ilvl="8" w:tplc="CB1A49BA" w:tentative="1">
      <w:start w:val="1"/>
      <w:numFmt w:val="bullet"/>
      <w:lvlText w:val=""/>
      <w:lvlJc w:val="left"/>
      <w:pPr>
        <w:tabs>
          <w:tab w:val="num" w:pos="6480"/>
        </w:tabs>
        <w:ind w:left="6480" w:hanging="360"/>
      </w:pPr>
      <w:rPr>
        <w:rFonts w:ascii="Symbol" w:hAnsi="Symbol" w:hint="default"/>
      </w:rPr>
    </w:lvl>
  </w:abstractNum>
  <w:abstractNum w:abstractNumId="124" w15:restartNumberingAfterBreak="0">
    <w:nsid w:val="50AE5825"/>
    <w:multiLevelType w:val="hybridMultilevel"/>
    <w:tmpl w:val="B306974E"/>
    <w:lvl w:ilvl="0" w:tplc="3976DF80">
      <w:start w:val="1"/>
      <w:numFmt w:val="bullet"/>
      <w:lvlText w:val=""/>
      <w:lvlPicBulletId w:val="1"/>
      <w:lvlJc w:val="left"/>
      <w:pPr>
        <w:tabs>
          <w:tab w:val="num" w:pos="720"/>
        </w:tabs>
        <w:ind w:left="720" w:hanging="360"/>
      </w:pPr>
      <w:rPr>
        <w:rFonts w:ascii="Symbol" w:hAnsi="Symbol" w:hint="default"/>
      </w:rPr>
    </w:lvl>
    <w:lvl w:ilvl="1" w:tplc="B1103D74" w:tentative="1">
      <w:start w:val="1"/>
      <w:numFmt w:val="bullet"/>
      <w:lvlText w:val=""/>
      <w:lvlJc w:val="left"/>
      <w:pPr>
        <w:tabs>
          <w:tab w:val="num" w:pos="1440"/>
        </w:tabs>
        <w:ind w:left="1440" w:hanging="360"/>
      </w:pPr>
      <w:rPr>
        <w:rFonts w:ascii="Symbol" w:hAnsi="Symbol" w:hint="default"/>
      </w:rPr>
    </w:lvl>
    <w:lvl w:ilvl="2" w:tplc="D876B0FA" w:tentative="1">
      <w:start w:val="1"/>
      <w:numFmt w:val="bullet"/>
      <w:lvlText w:val=""/>
      <w:lvlJc w:val="left"/>
      <w:pPr>
        <w:tabs>
          <w:tab w:val="num" w:pos="2160"/>
        </w:tabs>
        <w:ind w:left="2160" w:hanging="360"/>
      </w:pPr>
      <w:rPr>
        <w:rFonts w:ascii="Symbol" w:hAnsi="Symbol" w:hint="default"/>
      </w:rPr>
    </w:lvl>
    <w:lvl w:ilvl="3" w:tplc="1E90EF40" w:tentative="1">
      <w:start w:val="1"/>
      <w:numFmt w:val="bullet"/>
      <w:lvlText w:val=""/>
      <w:lvlJc w:val="left"/>
      <w:pPr>
        <w:tabs>
          <w:tab w:val="num" w:pos="2880"/>
        </w:tabs>
        <w:ind w:left="2880" w:hanging="360"/>
      </w:pPr>
      <w:rPr>
        <w:rFonts w:ascii="Symbol" w:hAnsi="Symbol" w:hint="default"/>
      </w:rPr>
    </w:lvl>
    <w:lvl w:ilvl="4" w:tplc="02C8EFE8" w:tentative="1">
      <w:start w:val="1"/>
      <w:numFmt w:val="bullet"/>
      <w:lvlText w:val=""/>
      <w:lvlJc w:val="left"/>
      <w:pPr>
        <w:tabs>
          <w:tab w:val="num" w:pos="3600"/>
        </w:tabs>
        <w:ind w:left="3600" w:hanging="360"/>
      </w:pPr>
      <w:rPr>
        <w:rFonts w:ascii="Symbol" w:hAnsi="Symbol" w:hint="default"/>
      </w:rPr>
    </w:lvl>
    <w:lvl w:ilvl="5" w:tplc="4AFC287E" w:tentative="1">
      <w:start w:val="1"/>
      <w:numFmt w:val="bullet"/>
      <w:lvlText w:val=""/>
      <w:lvlJc w:val="left"/>
      <w:pPr>
        <w:tabs>
          <w:tab w:val="num" w:pos="4320"/>
        </w:tabs>
        <w:ind w:left="4320" w:hanging="360"/>
      </w:pPr>
      <w:rPr>
        <w:rFonts w:ascii="Symbol" w:hAnsi="Symbol" w:hint="default"/>
      </w:rPr>
    </w:lvl>
    <w:lvl w:ilvl="6" w:tplc="B1547FAA" w:tentative="1">
      <w:start w:val="1"/>
      <w:numFmt w:val="bullet"/>
      <w:lvlText w:val=""/>
      <w:lvlJc w:val="left"/>
      <w:pPr>
        <w:tabs>
          <w:tab w:val="num" w:pos="5040"/>
        </w:tabs>
        <w:ind w:left="5040" w:hanging="360"/>
      </w:pPr>
      <w:rPr>
        <w:rFonts w:ascii="Symbol" w:hAnsi="Symbol" w:hint="default"/>
      </w:rPr>
    </w:lvl>
    <w:lvl w:ilvl="7" w:tplc="24D8D41E" w:tentative="1">
      <w:start w:val="1"/>
      <w:numFmt w:val="bullet"/>
      <w:lvlText w:val=""/>
      <w:lvlJc w:val="left"/>
      <w:pPr>
        <w:tabs>
          <w:tab w:val="num" w:pos="5760"/>
        </w:tabs>
        <w:ind w:left="5760" w:hanging="360"/>
      </w:pPr>
      <w:rPr>
        <w:rFonts w:ascii="Symbol" w:hAnsi="Symbol" w:hint="default"/>
      </w:rPr>
    </w:lvl>
    <w:lvl w:ilvl="8" w:tplc="256C2134" w:tentative="1">
      <w:start w:val="1"/>
      <w:numFmt w:val="bullet"/>
      <w:lvlText w:val=""/>
      <w:lvlJc w:val="left"/>
      <w:pPr>
        <w:tabs>
          <w:tab w:val="num" w:pos="6480"/>
        </w:tabs>
        <w:ind w:left="6480" w:hanging="360"/>
      </w:pPr>
      <w:rPr>
        <w:rFonts w:ascii="Symbol" w:hAnsi="Symbol" w:hint="default"/>
      </w:rPr>
    </w:lvl>
  </w:abstractNum>
  <w:abstractNum w:abstractNumId="125" w15:restartNumberingAfterBreak="0">
    <w:nsid w:val="518B114C"/>
    <w:multiLevelType w:val="hybridMultilevel"/>
    <w:tmpl w:val="97A400C0"/>
    <w:lvl w:ilvl="0" w:tplc="1C3EDED2">
      <w:start w:val="1"/>
      <w:numFmt w:val="bullet"/>
      <w:lvlText w:val=""/>
      <w:lvlPicBulletId w:val="1"/>
      <w:lvlJc w:val="left"/>
      <w:pPr>
        <w:tabs>
          <w:tab w:val="num" w:pos="720"/>
        </w:tabs>
        <w:ind w:left="720" w:hanging="360"/>
      </w:pPr>
      <w:rPr>
        <w:rFonts w:ascii="Symbol" w:hAnsi="Symbol" w:hint="default"/>
      </w:rPr>
    </w:lvl>
    <w:lvl w:ilvl="1" w:tplc="B4D27A52" w:tentative="1">
      <w:start w:val="1"/>
      <w:numFmt w:val="bullet"/>
      <w:lvlText w:val=""/>
      <w:lvlJc w:val="left"/>
      <w:pPr>
        <w:tabs>
          <w:tab w:val="num" w:pos="1440"/>
        </w:tabs>
        <w:ind w:left="1440" w:hanging="360"/>
      </w:pPr>
      <w:rPr>
        <w:rFonts w:ascii="Symbol" w:hAnsi="Symbol" w:hint="default"/>
      </w:rPr>
    </w:lvl>
    <w:lvl w:ilvl="2" w:tplc="25F80F02" w:tentative="1">
      <w:start w:val="1"/>
      <w:numFmt w:val="bullet"/>
      <w:lvlText w:val=""/>
      <w:lvlJc w:val="left"/>
      <w:pPr>
        <w:tabs>
          <w:tab w:val="num" w:pos="2160"/>
        </w:tabs>
        <w:ind w:left="2160" w:hanging="360"/>
      </w:pPr>
      <w:rPr>
        <w:rFonts w:ascii="Symbol" w:hAnsi="Symbol" w:hint="default"/>
      </w:rPr>
    </w:lvl>
    <w:lvl w:ilvl="3" w:tplc="2A6E48CC" w:tentative="1">
      <w:start w:val="1"/>
      <w:numFmt w:val="bullet"/>
      <w:lvlText w:val=""/>
      <w:lvlJc w:val="left"/>
      <w:pPr>
        <w:tabs>
          <w:tab w:val="num" w:pos="2880"/>
        </w:tabs>
        <w:ind w:left="2880" w:hanging="360"/>
      </w:pPr>
      <w:rPr>
        <w:rFonts w:ascii="Symbol" w:hAnsi="Symbol" w:hint="default"/>
      </w:rPr>
    </w:lvl>
    <w:lvl w:ilvl="4" w:tplc="397EE55A" w:tentative="1">
      <w:start w:val="1"/>
      <w:numFmt w:val="bullet"/>
      <w:lvlText w:val=""/>
      <w:lvlJc w:val="left"/>
      <w:pPr>
        <w:tabs>
          <w:tab w:val="num" w:pos="3600"/>
        </w:tabs>
        <w:ind w:left="3600" w:hanging="360"/>
      </w:pPr>
      <w:rPr>
        <w:rFonts w:ascii="Symbol" w:hAnsi="Symbol" w:hint="default"/>
      </w:rPr>
    </w:lvl>
    <w:lvl w:ilvl="5" w:tplc="4B72D64C" w:tentative="1">
      <w:start w:val="1"/>
      <w:numFmt w:val="bullet"/>
      <w:lvlText w:val=""/>
      <w:lvlJc w:val="left"/>
      <w:pPr>
        <w:tabs>
          <w:tab w:val="num" w:pos="4320"/>
        </w:tabs>
        <w:ind w:left="4320" w:hanging="360"/>
      </w:pPr>
      <w:rPr>
        <w:rFonts w:ascii="Symbol" w:hAnsi="Symbol" w:hint="default"/>
      </w:rPr>
    </w:lvl>
    <w:lvl w:ilvl="6" w:tplc="A4ACC85A" w:tentative="1">
      <w:start w:val="1"/>
      <w:numFmt w:val="bullet"/>
      <w:lvlText w:val=""/>
      <w:lvlJc w:val="left"/>
      <w:pPr>
        <w:tabs>
          <w:tab w:val="num" w:pos="5040"/>
        </w:tabs>
        <w:ind w:left="5040" w:hanging="360"/>
      </w:pPr>
      <w:rPr>
        <w:rFonts w:ascii="Symbol" w:hAnsi="Symbol" w:hint="default"/>
      </w:rPr>
    </w:lvl>
    <w:lvl w:ilvl="7" w:tplc="B72A3FE6" w:tentative="1">
      <w:start w:val="1"/>
      <w:numFmt w:val="bullet"/>
      <w:lvlText w:val=""/>
      <w:lvlJc w:val="left"/>
      <w:pPr>
        <w:tabs>
          <w:tab w:val="num" w:pos="5760"/>
        </w:tabs>
        <w:ind w:left="5760" w:hanging="360"/>
      </w:pPr>
      <w:rPr>
        <w:rFonts w:ascii="Symbol" w:hAnsi="Symbol" w:hint="default"/>
      </w:rPr>
    </w:lvl>
    <w:lvl w:ilvl="8" w:tplc="CC2C4D64" w:tentative="1">
      <w:start w:val="1"/>
      <w:numFmt w:val="bullet"/>
      <w:lvlText w:val=""/>
      <w:lvlJc w:val="left"/>
      <w:pPr>
        <w:tabs>
          <w:tab w:val="num" w:pos="6480"/>
        </w:tabs>
        <w:ind w:left="6480" w:hanging="360"/>
      </w:pPr>
      <w:rPr>
        <w:rFonts w:ascii="Symbol" w:hAnsi="Symbol" w:hint="default"/>
      </w:rPr>
    </w:lvl>
  </w:abstractNum>
  <w:abstractNum w:abstractNumId="126" w15:restartNumberingAfterBreak="0">
    <w:nsid w:val="524E38F0"/>
    <w:multiLevelType w:val="hybridMultilevel"/>
    <w:tmpl w:val="70A04D4C"/>
    <w:lvl w:ilvl="0" w:tplc="44EEC084">
      <w:start w:val="1"/>
      <w:numFmt w:val="bullet"/>
      <w:lvlText w:val="&gt;"/>
      <w:lvlJc w:val="left"/>
      <w:pPr>
        <w:ind w:left="720" w:hanging="360"/>
      </w:pPr>
      <w:rPr>
        <w:rFonts w:ascii="HelveticaNeueLT Std" w:hAnsi="HelveticaNeueLT Std"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7" w15:restartNumberingAfterBreak="0">
    <w:nsid w:val="52B812D2"/>
    <w:multiLevelType w:val="hybridMultilevel"/>
    <w:tmpl w:val="52946A6E"/>
    <w:lvl w:ilvl="0" w:tplc="0C090001">
      <w:start w:val="1"/>
      <w:numFmt w:val="bullet"/>
      <w:lvlText w:val=""/>
      <w:lvlJc w:val="left"/>
      <w:pPr>
        <w:ind w:left="577" w:hanging="360"/>
      </w:pPr>
      <w:rPr>
        <w:rFonts w:ascii="Symbol" w:hAnsi="Symbol" w:hint="default"/>
      </w:rPr>
    </w:lvl>
    <w:lvl w:ilvl="1" w:tplc="0C090003">
      <w:start w:val="1"/>
      <w:numFmt w:val="bullet"/>
      <w:lvlText w:val="o"/>
      <w:lvlJc w:val="left"/>
      <w:pPr>
        <w:ind w:left="1297" w:hanging="360"/>
      </w:pPr>
      <w:rPr>
        <w:rFonts w:ascii="Courier New" w:hAnsi="Courier New" w:cs="Courier New" w:hint="default"/>
      </w:rPr>
    </w:lvl>
    <w:lvl w:ilvl="2" w:tplc="0C090005">
      <w:start w:val="1"/>
      <w:numFmt w:val="bullet"/>
      <w:lvlText w:val=""/>
      <w:lvlJc w:val="left"/>
      <w:pPr>
        <w:ind w:left="2017" w:hanging="360"/>
      </w:pPr>
      <w:rPr>
        <w:rFonts w:ascii="Wingdings" w:hAnsi="Wingdings" w:hint="default"/>
      </w:rPr>
    </w:lvl>
    <w:lvl w:ilvl="3" w:tplc="0C090001" w:tentative="1">
      <w:start w:val="1"/>
      <w:numFmt w:val="bullet"/>
      <w:lvlText w:val=""/>
      <w:lvlJc w:val="left"/>
      <w:pPr>
        <w:ind w:left="2737" w:hanging="360"/>
      </w:pPr>
      <w:rPr>
        <w:rFonts w:ascii="Symbol" w:hAnsi="Symbol" w:hint="default"/>
      </w:rPr>
    </w:lvl>
    <w:lvl w:ilvl="4" w:tplc="0C090003" w:tentative="1">
      <w:start w:val="1"/>
      <w:numFmt w:val="bullet"/>
      <w:lvlText w:val="o"/>
      <w:lvlJc w:val="left"/>
      <w:pPr>
        <w:ind w:left="3457" w:hanging="360"/>
      </w:pPr>
      <w:rPr>
        <w:rFonts w:ascii="Courier New" w:hAnsi="Courier New" w:cs="Courier New" w:hint="default"/>
      </w:rPr>
    </w:lvl>
    <w:lvl w:ilvl="5" w:tplc="0C090005" w:tentative="1">
      <w:start w:val="1"/>
      <w:numFmt w:val="bullet"/>
      <w:lvlText w:val=""/>
      <w:lvlJc w:val="left"/>
      <w:pPr>
        <w:ind w:left="4177" w:hanging="360"/>
      </w:pPr>
      <w:rPr>
        <w:rFonts w:ascii="Wingdings" w:hAnsi="Wingdings" w:hint="default"/>
      </w:rPr>
    </w:lvl>
    <w:lvl w:ilvl="6" w:tplc="0C090001" w:tentative="1">
      <w:start w:val="1"/>
      <w:numFmt w:val="bullet"/>
      <w:lvlText w:val=""/>
      <w:lvlJc w:val="left"/>
      <w:pPr>
        <w:ind w:left="4897" w:hanging="360"/>
      </w:pPr>
      <w:rPr>
        <w:rFonts w:ascii="Symbol" w:hAnsi="Symbol" w:hint="default"/>
      </w:rPr>
    </w:lvl>
    <w:lvl w:ilvl="7" w:tplc="0C090003" w:tentative="1">
      <w:start w:val="1"/>
      <w:numFmt w:val="bullet"/>
      <w:lvlText w:val="o"/>
      <w:lvlJc w:val="left"/>
      <w:pPr>
        <w:ind w:left="5617" w:hanging="360"/>
      </w:pPr>
      <w:rPr>
        <w:rFonts w:ascii="Courier New" w:hAnsi="Courier New" w:cs="Courier New" w:hint="default"/>
      </w:rPr>
    </w:lvl>
    <w:lvl w:ilvl="8" w:tplc="0C090005" w:tentative="1">
      <w:start w:val="1"/>
      <w:numFmt w:val="bullet"/>
      <w:lvlText w:val=""/>
      <w:lvlJc w:val="left"/>
      <w:pPr>
        <w:ind w:left="6337" w:hanging="360"/>
      </w:pPr>
      <w:rPr>
        <w:rFonts w:ascii="Wingdings" w:hAnsi="Wingdings" w:hint="default"/>
      </w:rPr>
    </w:lvl>
  </w:abstractNum>
  <w:abstractNum w:abstractNumId="128" w15:restartNumberingAfterBreak="0">
    <w:nsid w:val="52D56CDF"/>
    <w:multiLevelType w:val="hybridMultilevel"/>
    <w:tmpl w:val="008C419C"/>
    <w:lvl w:ilvl="0" w:tplc="08D2AB58">
      <w:start w:val="1"/>
      <w:numFmt w:val="bullet"/>
      <w:lvlText w:val="&gt;"/>
      <w:lvlJc w:val="left"/>
      <w:pPr>
        <w:ind w:left="1211" w:hanging="360"/>
      </w:pPr>
      <w:rPr>
        <w:rFonts w:ascii="HelveticaNeueLT Std Lt" w:hAnsi="HelveticaNeueLT Std Lt" w:hint="default"/>
        <w:sz w:val="20"/>
      </w:rPr>
    </w:lvl>
    <w:lvl w:ilvl="1" w:tplc="0C090003">
      <w:start w:val="1"/>
      <w:numFmt w:val="bullet"/>
      <w:lvlText w:val="o"/>
      <w:lvlJc w:val="left"/>
      <w:pPr>
        <w:ind w:left="1931" w:hanging="360"/>
      </w:pPr>
      <w:rPr>
        <w:rFonts w:ascii="Courier New" w:hAnsi="Courier New" w:cs="Courier New" w:hint="default"/>
      </w:rPr>
    </w:lvl>
    <w:lvl w:ilvl="2" w:tplc="0C090005" w:tentative="1">
      <w:start w:val="1"/>
      <w:numFmt w:val="bullet"/>
      <w:lvlText w:val=""/>
      <w:lvlJc w:val="left"/>
      <w:pPr>
        <w:ind w:left="2651" w:hanging="360"/>
      </w:pPr>
      <w:rPr>
        <w:rFonts w:ascii="Wingdings" w:hAnsi="Wingdings" w:hint="default"/>
      </w:rPr>
    </w:lvl>
    <w:lvl w:ilvl="3" w:tplc="0C090001" w:tentative="1">
      <w:start w:val="1"/>
      <w:numFmt w:val="bullet"/>
      <w:lvlText w:val=""/>
      <w:lvlJc w:val="left"/>
      <w:pPr>
        <w:ind w:left="3371" w:hanging="360"/>
      </w:pPr>
      <w:rPr>
        <w:rFonts w:ascii="Symbol" w:hAnsi="Symbol" w:hint="default"/>
      </w:rPr>
    </w:lvl>
    <w:lvl w:ilvl="4" w:tplc="0C090003" w:tentative="1">
      <w:start w:val="1"/>
      <w:numFmt w:val="bullet"/>
      <w:lvlText w:val="o"/>
      <w:lvlJc w:val="left"/>
      <w:pPr>
        <w:ind w:left="4091" w:hanging="360"/>
      </w:pPr>
      <w:rPr>
        <w:rFonts w:ascii="Courier New" w:hAnsi="Courier New" w:cs="Courier New" w:hint="default"/>
      </w:rPr>
    </w:lvl>
    <w:lvl w:ilvl="5" w:tplc="0C090005" w:tentative="1">
      <w:start w:val="1"/>
      <w:numFmt w:val="bullet"/>
      <w:lvlText w:val=""/>
      <w:lvlJc w:val="left"/>
      <w:pPr>
        <w:ind w:left="4811" w:hanging="360"/>
      </w:pPr>
      <w:rPr>
        <w:rFonts w:ascii="Wingdings" w:hAnsi="Wingdings" w:hint="default"/>
      </w:rPr>
    </w:lvl>
    <w:lvl w:ilvl="6" w:tplc="0C090001" w:tentative="1">
      <w:start w:val="1"/>
      <w:numFmt w:val="bullet"/>
      <w:lvlText w:val=""/>
      <w:lvlJc w:val="left"/>
      <w:pPr>
        <w:ind w:left="5531" w:hanging="360"/>
      </w:pPr>
      <w:rPr>
        <w:rFonts w:ascii="Symbol" w:hAnsi="Symbol" w:hint="default"/>
      </w:rPr>
    </w:lvl>
    <w:lvl w:ilvl="7" w:tplc="0C090003" w:tentative="1">
      <w:start w:val="1"/>
      <w:numFmt w:val="bullet"/>
      <w:lvlText w:val="o"/>
      <w:lvlJc w:val="left"/>
      <w:pPr>
        <w:ind w:left="6251" w:hanging="360"/>
      </w:pPr>
      <w:rPr>
        <w:rFonts w:ascii="Courier New" w:hAnsi="Courier New" w:cs="Courier New" w:hint="default"/>
      </w:rPr>
    </w:lvl>
    <w:lvl w:ilvl="8" w:tplc="0C090005" w:tentative="1">
      <w:start w:val="1"/>
      <w:numFmt w:val="bullet"/>
      <w:lvlText w:val=""/>
      <w:lvlJc w:val="left"/>
      <w:pPr>
        <w:ind w:left="6971" w:hanging="360"/>
      </w:pPr>
      <w:rPr>
        <w:rFonts w:ascii="Wingdings" w:hAnsi="Wingdings" w:hint="default"/>
      </w:rPr>
    </w:lvl>
  </w:abstractNum>
  <w:abstractNum w:abstractNumId="129" w15:restartNumberingAfterBreak="0">
    <w:nsid w:val="53F650F1"/>
    <w:multiLevelType w:val="hybridMultilevel"/>
    <w:tmpl w:val="0A12CBDC"/>
    <w:lvl w:ilvl="0" w:tplc="08D2AB58">
      <w:start w:val="1"/>
      <w:numFmt w:val="bullet"/>
      <w:lvlText w:val="&gt;"/>
      <w:lvlJc w:val="left"/>
      <w:pPr>
        <w:ind w:left="644" w:hanging="360"/>
      </w:pPr>
      <w:rPr>
        <w:rFonts w:ascii="HelveticaNeueLT Std Lt" w:hAnsi="HelveticaNeueLT Std Lt" w:hint="default"/>
        <w:sz w:val="20"/>
      </w:rPr>
    </w:lvl>
    <w:lvl w:ilvl="1" w:tplc="0C090003">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130" w15:restartNumberingAfterBreak="0">
    <w:nsid w:val="55AA21F0"/>
    <w:multiLevelType w:val="hybridMultilevel"/>
    <w:tmpl w:val="D42E77D2"/>
    <w:lvl w:ilvl="0" w:tplc="141483F2">
      <w:start w:val="1"/>
      <w:numFmt w:val="decimal"/>
      <w:pStyle w:val="ACMATableHeader"/>
      <w:lvlText w:val="Table %1:"/>
      <w:lvlJc w:val="left"/>
      <w:pPr>
        <w:tabs>
          <w:tab w:val="num" w:pos="964"/>
        </w:tabs>
        <w:ind w:left="964" w:hanging="964"/>
      </w:pPr>
      <w:rPr>
        <w:rFonts w:cs="Times New Roman"/>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1" w15:restartNumberingAfterBreak="0">
    <w:nsid w:val="56647441"/>
    <w:multiLevelType w:val="hybridMultilevel"/>
    <w:tmpl w:val="870AE99E"/>
    <w:lvl w:ilvl="0" w:tplc="ABB0ED9C">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2" w15:restartNumberingAfterBreak="0">
    <w:nsid w:val="57B50135"/>
    <w:multiLevelType w:val="hybridMultilevel"/>
    <w:tmpl w:val="D7D0ECCC"/>
    <w:lvl w:ilvl="0" w:tplc="06D0C9EC">
      <w:start w:val="1"/>
      <w:numFmt w:val="bullet"/>
      <w:lvlText w:val=""/>
      <w:lvlPicBulletId w:val="0"/>
      <w:lvlJc w:val="left"/>
      <w:pPr>
        <w:tabs>
          <w:tab w:val="num" w:pos="720"/>
        </w:tabs>
        <w:ind w:left="720" w:hanging="360"/>
      </w:pPr>
      <w:rPr>
        <w:rFonts w:ascii="Symbol" w:hAnsi="Symbol" w:hint="default"/>
      </w:rPr>
    </w:lvl>
    <w:lvl w:ilvl="1" w:tplc="FF8AFE8C" w:tentative="1">
      <w:start w:val="1"/>
      <w:numFmt w:val="bullet"/>
      <w:lvlText w:val=""/>
      <w:lvlJc w:val="left"/>
      <w:pPr>
        <w:tabs>
          <w:tab w:val="num" w:pos="1440"/>
        </w:tabs>
        <w:ind w:left="1440" w:hanging="360"/>
      </w:pPr>
      <w:rPr>
        <w:rFonts w:ascii="Symbol" w:hAnsi="Symbol" w:hint="default"/>
      </w:rPr>
    </w:lvl>
    <w:lvl w:ilvl="2" w:tplc="F3300826" w:tentative="1">
      <w:start w:val="1"/>
      <w:numFmt w:val="bullet"/>
      <w:lvlText w:val=""/>
      <w:lvlJc w:val="left"/>
      <w:pPr>
        <w:tabs>
          <w:tab w:val="num" w:pos="2160"/>
        </w:tabs>
        <w:ind w:left="2160" w:hanging="360"/>
      </w:pPr>
      <w:rPr>
        <w:rFonts w:ascii="Symbol" w:hAnsi="Symbol" w:hint="default"/>
      </w:rPr>
    </w:lvl>
    <w:lvl w:ilvl="3" w:tplc="0CF461EC" w:tentative="1">
      <w:start w:val="1"/>
      <w:numFmt w:val="bullet"/>
      <w:lvlText w:val=""/>
      <w:lvlJc w:val="left"/>
      <w:pPr>
        <w:tabs>
          <w:tab w:val="num" w:pos="2880"/>
        </w:tabs>
        <w:ind w:left="2880" w:hanging="360"/>
      </w:pPr>
      <w:rPr>
        <w:rFonts w:ascii="Symbol" w:hAnsi="Symbol" w:hint="default"/>
      </w:rPr>
    </w:lvl>
    <w:lvl w:ilvl="4" w:tplc="F8463CCE" w:tentative="1">
      <w:start w:val="1"/>
      <w:numFmt w:val="bullet"/>
      <w:lvlText w:val=""/>
      <w:lvlJc w:val="left"/>
      <w:pPr>
        <w:tabs>
          <w:tab w:val="num" w:pos="3600"/>
        </w:tabs>
        <w:ind w:left="3600" w:hanging="360"/>
      </w:pPr>
      <w:rPr>
        <w:rFonts w:ascii="Symbol" w:hAnsi="Symbol" w:hint="default"/>
      </w:rPr>
    </w:lvl>
    <w:lvl w:ilvl="5" w:tplc="F35E0F5A" w:tentative="1">
      <w:start w:val="1"/>
      <w:numFmt w:val="bullet"/>
      <w:lvlText w:val=""/>
      <w:lvlJc w:val="left"/>
      <w:pPr>
        <w:tabs>
          <w:tab w:val="num" w:pos="4320"/>
        </w:tabs>
        <w:ind w:left="4320" w:hanging="360"/>
      </w:pPr>
      <w:rPr>
        <w:rFonts w:ascii="Symbol" w:hAnsi="Symbol" w:hint="default"/>
      </w:rPr>
    </w:lvl>
    <w:lvl w:ilvl="6" w:tplc="5B5A1608" w:tentative="1">
      <w:start w:val="1"/>
      <w:numFmt w:val="bullet"/>
      <w:lvlText w:val=""/>
      <w:lvlJc w:val="left"/>
      <w:pPr>
        <w:tabs>
          <w:tab w:val="num" w:pos="5040"/>
        </w:tabs>
        <w:ind w:left="5040" w:hanging="360"/>
      </w:pPr>
      <w:rPr>
        <w:rFonts w:ascii="Symbol" w:hAnsi="Symbol" w:hint="default"/>
      </w:rPr>
    </w:lvl>
    <w:lvl w:ilvl="7" w:tplc="B5421826" w:tentative="1">
      <w:start w:val="1"/>
      <w:numFmt w:val="bullet"/>
      <w:lvlText w:val=""/>
      <w:lvlJc w:val="left"/>
      <w:pPr>
        <w:tabs>
          <w:tab w:val="num" w:pos="5760"/>
        </w:tabs>
        <w:ind w:left="5760" w:hanging="360"/>
      </w:pPr>
      <w:rPr>
        <w:rFonts w:ascii="Symbol" w:hAnsi="Symbol" w:hint="default"/>
      </w:rPr>
    </w:lvl>
    <w:lvl w:ilvl="8" w:tplc="C01ECDD2" w:tentative="1">
      <w:start w:val="1"/>
      <w:numFmt w:val="bullet"/>
      <w:lvlText w:val=""/>
      <w:lvlJc w:val="left"/>
      <w:pPr>
        <w:tabs>
          <w:tab w:val="num" w:pos="6480"/>
        </w:tabs>
        <w:ind w:left="6480" w:hanging="360"/>
      </w:pPr>
      <w:rPr>
        <w:rFonts w:ascii="Symbol" w:hAnsi="Symbol" w:hint="default"/>
      </w:rPr>
    </w:lvl>
  </w:abstractNum>
  <w:abstractNum w:abstractNumId="133" w15:restartNumberingAfterBreak="0">
    <w:nsid w:val="57D8486C"/>
    <w:multiLevelType w:val="hybridMultilevel"/>
    <w:tmpl w:val="13FE5372"/>
    <w:lvl w:ilvl="0" w:tplc="B2F041CE">
      <w:start w:val="1"/>
      <w:numFmt w:val="bullet"/>
      <w:lvlText w:val=""/>
      <w:lvlPicBulletId w:val="1"/>
      <w:lvlJc w:val="left"/>
      <w:pPr>
        <w:tabs>
          <w:tab w:val="num" w:pos="720"/>
        </w:tabs>
        <w:ind w:left="720" w:hanging="360"/>
      </w:pPr>
      <w:rPr>
        <w:rFonts w:ascii="Symbol" w:hAnsi="Symbol" w:hint="default"/>
      </w:rPr>
    </w:lvl>
    <w:lvl w:ilvl="1" w:tplc="C7BE78DE" w:tentative="1">
      <w:start w:val="1"/>
      <w:numFmt w:val="bullet"/>
      <w:lvlText w:val=""/>
      <w:lvlJc w:val="left"/>
      <w:pPr>
        <w:tabs>
          <w:tab w:val="num" w:pos="1440"/>
        </w:tabs>
        <w:ind w:left="1440" w:hanging="360"/>
      </w:pPr>
      <w:rPr>
        <w:rFonts w:ascii="Symbol" w:hAnsi="Symbol" w:hint="default"/>
      </w:rPr>
    </w:lvl>
    <w:lvl w:ilvl="2" w:tplc="568CA9B2" w:tentative="1">
      <w:start w:val="1"/>
      <w:numFmt w:val="bullet"/>
      <w:lvlText w:val=""/>
      <w:lvlJc w:val="left"/>
      <w:pPr>
        <w:tabs>
          <w:tab w:val="num" w:pos="2160"/>
        </w:tabs>
        <w:ind w:left="2160" w:hanging="360"/>
      </w:pPr>
      <w:rPr>
        <w:rFonts w:ascii="Symbol" w:hAnsi="Symbol" w:hint="default"/>
      </w:rPr>
    </w:lvl>
    <w:lvl w:ilvl="3" w:tplc="A610204A" w:tentative="1">
      <w:start w:val="1"/>
      <w:numFmt w:val="bullet"/>
      <w:lvlText w:val=""/>
      <w:lvlJc w:val="left"/>
      <w:pPr>
        <w:tabs>
          <w:tab w:val="num" w:pos="2880"/>
        </w:tabs>
        <w:ind w:left="2880" w:hanging="360"/>
      </w:pPr>
      <w:rPr>
        <w:rFonts w:ascii="Symbol" w:hAnsi="Symbol" w:hint="default"/>
      </w:rPr>
    </w:lvl>
    <w:lvl w:ilvl="4" w:tplc="136ED802" w:tentative="1">
      <w:start w:val="1"/>
      <w:numFmt w:val="bullet"/>
      <w:lvlText w:val=""/>
      <w:lvlJc w:val="left"/>
      <w:pPr>
        <w:tabs>
          <w:tab w:val="num" w:pos="3600"/>
        </w:tabs>
        <w:ind w:left="3600" w:hanging="360"/>
      </w:pPr>
      <w:rPr>
        <w:rFonts w:ascii="Symbol" w:hAnsi="Symbol" w:hint="default"/>
      </w:rPr>
    </w:lvl>
    <w:lvl w:ilvl="5" w:tplc="56CC4F10" w:tentative="1">
      <w:start w:val="1"/>
      <w:numFmt w:val="bullet"/>
      <w:lvlText w:val=""/>
      <w:lvlJc w:val="left"/>
      <w:pPr>
        <w:tabs>
          <w:tab w:val="num" w:pos="4320"/>
        </w:tabs>
        <w:ind w:left="4320" w:hanging="360"/>
      </w:pPr>
      <w:rPr>
        <w:rFonts w:ascii="Symbol" w:hAnsi="Symbol" w:hint="default"/>
      </w:rPr>
    </w:lvl>
    <w:lvl w:ilvl="6" w:tplc="966C1134" w:tentative="1">
      <w:start w:val="1"/>
      <w:numFmt w:val="bullet"/>
      <w:lvlText w:val=""/>
      <w:lvlJc w:val="left"/>
      <w:pPr>
        <w:tabs>
          <w:tab w:val="num" w:pos="5040"/>
        </w:tabs>
        <w:ind w:left="5040" w:hanging="360"/>
      </w:pPr>
      <w:rPr>
        <w:rFonts w:ascii="Symbol" w:hAnsi="Symbol" w:hint="default"/>
      </w:rPr>
    </w:lvl>
    <w:lvl w:ilvl="7" w:tplc="61763F9E" w:tentative="1">
      <w:start w:val="1"/>
      <w:numFmt w:val="bullet"/>
      <w:lvlText w:val=""/>
      <w:lvlJc w:val="left"/>
      <w:pPr>
        <w:tabs>
          <w:tab w:val="num" w:pos="5760"/>
        </w:tabs>
        <w:ind w:left="5760" w:hanging="360"/>
      </w:pPr>
      <w:rPr>
        <w:rFonts w:ascii="Symbol" w:hAnsi="Symbol" w:hint="default"/>
      </w:rPr>
    </w:lvl>
    <w:lvl w:ilvl="8" w:tplc="106EBF3E" w:tentative="1">
      <w:start w:val="1"/>
      <w:numFmt w:val="bullet"/>
      <w:lvlText w:val=""/>
      <w:lvlJc w:val="left"/>
      <w:pPr>
        <w:tabs>
          <w:tab w:val="num" w:pos="6480"/>
        </w:tabs>
        <w:ind w:left="6480" w:hanging="360"/>
      </w:pPr>
      <w:rPr>
        <w:rFonts w:ascii="Symbol" w:hAnsi="Symbol" w:hint="default"/>
      </w:rPr>
    </w:lvl>
  </w:abstractNum>
  <w:abstractNum w:abstractNumId="134" w15:restartNumberingAfterBreak="0">
    <w:nsid w:val="589D384C"/>
    <w:multiLevelType w:val="hybridMultilevel"/>
    <w:tmpl w:val="124C3FFC"/>
    <w:lvl w:ilvl="0" w:tplc="020A713E">
      <w:start w:val="1"/>
      <w:numFmt w:val="bullet"/>
      <w:lvlText w:val=""/>
      <w:lvlPicBulletId w:val="0"/>
      <w:lvlJc w:val="left"/>
      <w:pPr>
        <w:tabs>
          <w:tab w:val="num" w:pos="720"/>
        </w:tabs>
        <w:ind w:left="720" w:hanging="360"/>
      </w:pPr>
      <w:rPr>
        <w:rFonts w:ascii="Symbol" w:hAnsi="Symbol" w:hint="default"/>
      </w:rPr>
    </w:lvl>
    <w:lvl w:ilvl="1" w:tplc="C47EC968" w:tentative="1">
      <w:start w:val="1"/>
      <w:numFmt w:val="bullet"/>
      <w:lvlText w:val=""/>
      <w:lvlJc w:val="left"/>
      <w:pPr>
        <w:tabs>
          <w:tab w:val="num" w:pos="1440"/>
        </w:tabs>
        <w:ind w:left="1440" w:hanging="360"/>
      </w:pPr>
      <w:rPr>
        <w:rFonts w:ascii="Symbol" w:hAnsi="Symbol" w:hint="default"/>
      </w:rPr>
    </w:lvl>
    <w:lvl w:ilvl="2" w:tplc="50E492B8" w:tentative="1">
      <w:start w:val="1"/>
      <w:numFmt w:val="bullet"/>
      <w:lvlText w:val=""/>
      <w:lvlJc w:val="left"/>
      <w:pPr>
        <w:tabs>
          <w:tab w:val="num" w:pos="2160"/>
        </w:tabs>
        <w:ind w:left="2160" w:hanging="360"/>
      </w:pPr>
      <w:rPr>
        <w:rFonts w:ascii="Symbol" w:hAnsi="Symbol" w:hint="default"/>
      </w:rPr>
    </w:lvl>
    <w:lvl w:ilvl="3" w:tplc="2312D004" w:tentative="1">
      <w:start w:val="1"/>
      <w:numFmt w:val="bullet"/>
      <w:lvlText w:val=""/>
      <w:lvlJc w:val="left"/>
      <w:pPr>
        <w:tabs>
          <w:tab w:val="num" w:pos="2880"/>
        </w:tabs>
        <w:ind w:left="2880" w:hanging="360"/>
      </w:pPr>
      <w:rPr>
        <w:rFonts w:ascii="Symbol" w:hAnsi="Symbol" w:hint="default"/>
      </w:rPr>
    </w:lvl>
    <w:lvl w:ilvl="4" w:tplc="B34CE324" w:tentative="1">
      <w:start w:val="1"/>
      <w:numFmt w:val="bullet"/>
      <w:lvlText w:val=""/>
      <w:lvlJc w:val="left"/>
      <w:pPr>
        <w:tabs>
          <w:tab w:val="num" w:pos="3600"/>
        </w:tabs>
        <w:ind w:left="3600" w:hanging="360"/>
      </w:pPr>
      <w:rPr>
        <w:rFonts w:ascii="Symbol" w:hAnsi="Symbol" w:hint="default"/>
      </w:rPr>
    </w:lvl>
    <w:lvl w:ilvl="5" w:tplc="75E2BA28" w:tentative="1">
      <w:start w:val="1"/>
      <w:numFmt w:val="bullet"/>
      <w:lvlText w:val=""/>
      <w:lvlJc w:val="left"/>
      <w:pPr>
        <w:tabs>
          <w:tab w:val="num" w:pos="4320"/>
        </w:tabs>
        <w:ind w:left="4320" w:hanging="360"/>
      </w:pPr>
      <w:rPr>
        <w:rFonts w:ascii="Symbol" w:hAnsi="Symbol" w:hint="default"/>
      </w:rPr>
    </w:lvl>
    <w:lvl w:ilvl="6" w:tplc="3A08CC3E" w:tentative="1">
      <w:start w:val="1"/>
      <w:numFmt w:val="bullet"/>
      <w:lvlText w:val=""/>
      <w:lvlJc w:val="left"/>
      <w:pPr>
        <w:tabs>
          <w:tab w:val="num" w:pos="5040"/>
        </w:tabs>
        <w:ind w:left="5040" w:hanging="360"/>
      </w:pPr>
      <w:rPr>
        <w:rFonts w:ascii="Symbol" w:hAnsi="Symbol" w:hint="default"/>
      </w:rPr>
    </w:lvl>
    <w:lvl w:ilvl="7" w:tplc="219E04B2" w:tentative="1">
      <w:start w:val="1"/>
      <w:numFmt w:val="bullet"/>
      <w:lvlText w:val=""/>
      <w:lvlJc w:val="left"/>
      <w:pPr>
        <w:tabs>
          <w:tab w:val="num" w:pos="5760"/>
        </w:tabs>
        <w:ind w:left="5760" w:hanging="360"/>
      </w:pPr>
      <w:rPr>
        <w:rFonts w:ascii="Symbol" w:hAnsi="Symbol" w:hint="default"/>
      </w:rPr>
    </w:lvl>
    <w:lvl w:ilvl="8" w:tplc="815E58AC" w:tentative="1">
      <w:start w:val="1"/>
      <w:numFmt w:val="bullet"/>
      <w:lvlText w:val=""/>
      <w:lvlJc w:val="left"/>
      <w:pPr>
        <w:tabs>
          <w:tab w:val="num" w:pos="6480"/>
        </w:tabs>
        <w:ind w:left="6480" w:hanging="360"/>
      </w:pPr>
      <w:rPr>
        <w:rFonts w:ascii="Symbol" w:hAnsi="Symbol" w:hint="default"/>
      </w:rPr>
    </w:lvl>
  </w:abstractNum>
  <w:abstractNum w:abstractNumId="135" w15:restartNumberingAfterBreak="0">
    <w:nsid w:val="58A90DBB"/>
    <w:multiLevelType w:val="hybridMultilevel"/>
    <w:tmpl w:val="ED1CF3C4"/>
    <w:lvl w:ilvl="0" w:tplc="3ADC5518">
      <w:start w:val="1"/>
      <w:numFmt w:val="bullet"/>
      <w:lvlText w:val=""/>
      <w:lvlPicBulletId w:val="0"/>
      <w:lvlJc w:val="left"/>
      <w:pPr>
        <w:tabs>
          <w:tab w:val="num" w:pos="720"/>
        </w:tabs>
        <w:ind w:left="720" w:hanging="360"/>
      </w:pPr>
      <w:rPr>
        <w:rFonts w:ascii="Symbol" w:hAnsi="Symbol" w:hint="default"/>
      </w:rPr>
    </w:lvl>
    <w:lvl w:ilvl="1" w:tplc="0968512E" w:tentative="1">
      <w:start w:val="1"/>
      <w:numFmt w:val="bullet"/>
      <w:lvlText w:val=""/>
      <w:lvlJc w:val="left"/>
      <w:pPr>
        <w:tabs>
          <w:tab w:val="num" w:pos="1440"/>
        </w:tabs>
        <w:ind w:left="1440" w:hanging="360"/>
      </w:pPr>
      <w:rPr>
        <w:rFonts w:ascii="Symbol" w:hAnsi="Symbol" w:hint="default"/>
      </w:rPr>
    </w:lvl>
    <w:lvl w:ilvl="2" w:tplc="D89A0390" w:tentative="1">
      <w:start w:val="1"/>
      <w:numFmt w:val="bullet"/>
      <w:lvlText w:val=""/>
      <w:lvlJc w:val="left"/>
      <w:pPr>
        <w:tabs>
          <w:tab w:val="num" w:pos="2160"/>
        </w:tabs>
        <w:ind w:left="2160" w:hanging="360"/>
      </w:pPr>
      <w:rPr>
        <w:rFonts w:ascii="Symbol" w:hAnsi="Symbol" w:hint="default"/>
      </w:rPr>
    </w:lvl>
    <w:lvl w:ilvl="3" w:tplc="F4505CBE" w:tentative="1">
      <w:start w:val="1"/>
      <w:numFmt w:val="bullet"/>
      <w:lvlText w:val=""/>
      <w:lvlJc w:val="left"/>
      <w:pPr>
        <w:tabs>
          <w:tab w:val="num" w:pos="2880"/>
        </w:tabs>
        <w:ind w:left="2880" w:hanging="360"/>
      </w:pPr>
      <w:rPr>
        <w:rFonts w:ascii="Symbol" w:hAnsi="Symbol" w:hint="default"/>
      </w:rPr>
    </w:lvl>
    <w:lvl w:ilvl="4" w:tplc="4EEE5102" w:tentative="1">
      <w:start w:val="1"/>
      <w:numFmt w:val="bullet"/>
      <w:lvlText w:val=""/>
      <w:lvlJc w:val="left"/>
      <w:pPr>
        <w:tabs>
          <w:tab w:val="num" w:pos="3600"/>
        </w:tabs>
        <w:ind w:left="3600" w:hanging="360"/>
      </w:pPr>
      <w:rPr>
        <w:rFonts w:ascii="Symbol" w:hAnsi="Symbol" w:hint="default"/>
      </w:rPr>
    </w:lvl>
    <w:lvl w:ilvl="5" w:tplc="11D0B36C" w:tentative="1">
      <w:start w:val="1"/>
      <w:numFmt w:val="bullet"/>
      <w:lvlText w:val=""/>
      <w:lvlJc w:val="left"/>
      <w:pPr>
        <w:tabs>
          <w:tab w:val="num" w:pos="4320"/>
        </w:tabs>
        <w:ind w:left="4320" w:hanging="360"/>
      </w:pPr>
      <w:rPr>
        <w:rFonts w:ascii="Symbol" w:hAnsi="Symbol" w:hint="default"/>
      </w:rPr>
    </w:lvl>
    <w:lvl w:ilvl="6" w:tplc="B5B2F2BE" w:tentative="1">
      <w:start w:val="1"/>
      <w:numFmt w:val="bullet"/>
      <w:lvlText w:val=""/>
      <w:lvlJc w:val="left"/>
      <w:pPr>
        <w:tabs>
          <w:tab w:val="num" w:pos="5040"/>
        </w:tabs>
        <w:ind w:left="5040" w:hanging="360"/>
      </w:pPr>
      <w:rPr>
        <w:rFonts w:ascii="Symbol" w:hAnsi="Symbol" w:hint="default"/>
      </w:rPr>
    </w:lvl>
    <w:lvl w:ilvl="7" w:tplc="1EA02196" w:tentative="1">
      <w:start w:val="1"/>
      <w:numFmt w:val="bullet"/>
      <w:lvlText w:val=""/>
      <w:lvlJc w:val="left"/>
      <w:pPr>
        <w:tabs>
          <w:tab w:val="num" w:pos="5760"/>
        </w:tabs>
        <w:ind w:left="5760" w:hanging="360"/>
      </w:pPr>
      <w:rPr>
        <w:rFonts w:ascii="Symbol" w:hAnsi="Symbol" w:hint="default"/>
      </w:rPr>
    </w:lvl>
    <w:lvl w:ilvl="8" w:tplc="C492D14A" w:tentative="1">
      <w:start w:val="1"/>
      <w:numFmt w:val="bullet"/>
      <w:lvlText w:val=""/>
      <w:lvlJc w:val="left"/>
      <w:pPr>
        <w:tabs>
          <w:tab w:val="num" w:pos="6480"/>
        </w:tabs>
        <w:ind w:left="6480" w:hanging="360"/>
      </w:pPr>
      <w:rPr>
        <w:rFonts w:ascii="Symbol" w:hAnsi="Symbol" w:hint="default"/>
      </w:rPr>
    </w:lvl>
  </w:abstractNum>
  <w:abstractNum w:abstractNumId="136" w15:restartNumberingAfterBreak="0">
    <w:nsid w:val="58CE1432"/>
    <w:multiLevelType w:val="hybridMultilevel"/>
    <w:tmpl w:val="074A1894"/>
    <w:lvl w:ilvl="0" w:tplc="3440E3FC">
      <w:start w:val="1"/>
      <w:numFmt w:val="bullet"/>
      <w:lvlText w:val=""/>
      <w:lvlPicBulletId w:val="1"/>
      <w:lvlJc w:val="left"/>
      <w:pPr>
        <w:tabs>
          <w:tab w:val="num" w:pos="720"/>
        </w:tabs>
        <w:ind w:left="720" w:hanging="360"/>
      </w:pPr>
      <w:rPr>
        <w:rFonts w:ascii="Symbol" w:hAnsi="Symbol" w:hint="default"/>
      </w:rPr>
    </w:lvl>
    <w:lvl w:ilvl="1" w:tplc="B51C6480" w:tentative="1">
      <w:start w:val="1"/>
      <w:numFmt w:val="bullet"/>
      <w:lvlText w:val=""/>
      <w:lvlJc w:val="left"/>
      <w:pPr>
        <w:tabs>
          <w:tab w:val="num" w:pos="1440"/>
        </w:tabs>
        <w:ind w:left="1440" w:hanging="360"/>
      </w:pPr>
      <w:rPr>
        <w:rFonts w:ascii="Symbol" w:hAnsi="Symbol" w:hint="default"/>
      </w:rPr>
    </w:lvl>
    <w:lvl w:ilvl="2" w:tplc="22C2EBC8" w:tentative="1">
      <w:start w:val="1"/>
      <w:numFmt w:val="bullet"/>
      <w:lvlText w:val=""/>
      <w:lvlJc w:val="left"/>
      <w:pPr>
        <w:tabs>
          <w:tab w:val="num" w:pos="2160"/>
        </w:tabs>
        <w:ind w:left="2160" w:hanging="360"/>
      </w:pPr>
      <w:rPr>
        <w:rFonts w:ascii="Symbol" w:hAnsi="Symbol" w:hint="default"/>
      </w:rPr>
    </w:lvl>
    <w:lvl w:ilvl="3" w:tplc="EEEEAB00" w:tentative="1">
      <w:start w:val="1"/>
      <w:numFmt w:val="bullet"/>
      <w:lvlText w:val=""/>
      <w:lvlJc w:val="left"/>
      <w:pPr>
        <w:tabs>
          <w:tab w:val="num" w:pos="2880"/>
        </w:tabs>
        <w:ind w:left="2880" w:hanging="360"/>
      </w:pPr>
      <w:rPr>
        <w:rFonts w:ascii="Symbol" w:hAnsi="Symbol" w:hint="default"/>
      </w:rPr>
    </w:lvl>
    <w:lvl w:ilvl="4" w:tplc="D45678E8" w:tentative="1">
      <w:start w:val="1"/>
      <w:numFmt w:val="bullet"/>
      <w:lvlText w:val=""/>
      <w:lvlJc w:val="left"/>
      <w:pPr>
        <w:tabs>
          <w:tab w:val="num" w:pos="3600"/>
        </w:tabs>
        <w:ind w:left="3600" w:hanging="360"/>
      </w:pPr>
      <w:rPr>
        <w:rFonts w:ascii="Symbol" w:hAnsi="Symbol" w:hint="default"/>
      </w:rPr>
    </w:lvl>
    <w:lvl w:ilvl="5" w:tplc="B83A1CDE" w:tentative="1">
      <w:start w:val="1"/>
      <w:numFmt w:val="bullet"/>
      <w:lvlText w:val=""/>
      <w:lvlJc w:val="left"/>
      <w:pPr>
        <w:tabs>
          <w:tab w:val="num" w:pos="4320"/>
        </w:tabs>
        <w:ind w:left="4320" w:hanging="360"/>
      </w:pPr>
      <w:rPr>
        <w:rFonts w:ascii="Symbol" w:hAnsi="Symbol" w:hint="default"/>
      </w:rPr>
    </w:lvl>
    <w:lvl w:ilvl="6" w:tplc="F60CEDC6" w:tentative="1">
      <w:start w:val="1"/>
      <w:numFmt w:val="bullet"/>
      <w:lvlText w:val=""/>
      <w:lvlJc w:val="left"/>
      <w:pPr>
        <w:tabs>
          <w:tab w:val="num" w:pos="5040"/>
        </w:tabs>
        <w:ind w:left="5040" w:hanging="360"/>
      </w:pPr>
      <w:rPr>
        <w:rFonts w:ascii="Symbol" w:hAnsi="Symbol" w:hint="default"/>
      </w:rPr>
    </w:lvl>
    <w:lvl w:ilvl="7" w:tplc="745A0CF4" w:tentative="1">
      <w:start w:val="1"/>
      <w:numFmt w:val="bullet"/>
      <w:lvlText w:val=""/>
      <w:lvlJc w:val="left"/>
      <w:pPr>
        <w:tabs>
          <w:tab w:val="num" w:pos="5760"/>
        </w:tabs>
        <w:ind w:left="5760" w:hanging="360"/>
      </w:pPr>
      <w:rPr>
        <w:rFonts w:ascii="Symbol" w:hAnsi="Symbol" w:hint="default"/>
      </w:rPr>
    </w:lvl>
    <w:lvl w:ilvl="8" w:tplc="68D4E49C" w:tentative="1">
      <w:start w:val="1"/>
      <w:numFmt w:val="bullet"/>
      <w:lvlText w:val=""/>
      <w:lvlJc w:val="left"/>
      <w:pPr>
        <w:tabs>
          <w:tab w:val="num" w:pos="6480"/>
        </w:tabs>
        <w:ind w:left="6480" w:hanging="360"/>
      </w:pPr>
      <w:rPr>
        <w:rFonts w:ascii="Symbol" w:hAnsi="Symbol" w:hint="default"/>
      </w:rPr>
    </w:lvl>
  </w:abstractNum>
  <w:abstractNum w:abstractNumId="137" w15:restartNumberingAfterBreak="0">
    <w:nsid w:val="58EA4E26"/>
    <w:multiLevelType w:val="hybridMultilevel"/>
    <w:tmpl w:val="B1DA945E"/>
    <w:lvl w:ilvl="0" w:tplc="8098ED12">
      <w:start w:val="1"/>
      <w:numFmt w:val="bullet"/>
      <w:lvlText w:val=""/>
      <w:lvlPicBulletId w:val="1"/>
      <w:lvlJc w:val="left"/>
      <w:pPr>
        <w:tabs>
          <w:tab w:val="num" w:pos="720"/>
        </w:tabs>
        <w:ind w:left="720" w:hanging="360"/>
      </w:pPr>
      <w:rPr>
        <w:rFonts w:ascii="Symbol" w:hAnsi="Symbol" w:hint="default"/>
      </w:rPr>
    </w:lvl>
    <w:lvl w:ilvl="1" w:tplc="6DE8D002" w:tentative="1">
      <w:start w:val="1"/>
      <w:numFmt w:val="bullet"/>
      <w:lvlText w:val=""/>
      <w:lvlJc w:val="left"/>
      <w:pPr>
        <w:tabs>
          <w:tab w:val="num" w:pos="1440"/>
        </w:tabs>
        <w:ind w:left="1440" w:hanging="360"/>
      </w:pPr>
      <w:rPr>
        <w:rFonts w:ascii="Symbol" w:hAnsi="Symbol" w:hint="default"/>
      </w:rPr>
    </w:lvl>
    <w:lvl w:ilvl="2" w:tplc="751883E0" w:tentative="1">
      <w:start w:val="1"/>
      <w:numFmt w:val="bullet"/>
      <w:lvlText w:val=""/>
      <w:lvlJc w:val="left"/>
      <w:pPr>
        <w:tabs>
          <w:tab w:val="num" w:pos="2160"/>
        </w:tabs>
        <w:ind w:left="2160" w:hanging="360"/>
      </w:pPr>
      <w:rPr>
        <w:rFonts w:ascii="Symbol" w:hAnsi="Symbol" w:hint="default"/>
      </w:rPr>
    </w:lvl>
    <w:lvl w:ilvl="3" w:tplc="D15EAA22" w:tentative="1">
      <w:start w:val="1"/>
      <w:numFmt w:val="bullet"/>
      <w:lvlText w:val=""/>
      <w:lvlJc w:val="left"/>
      <w:pPr>
        <w:tabs>
          <w:tab w:val="num" w:pos="2880"/>
        </w:tabs>
        <w:ind w:left="2880" w:hanging="360"/>
      </w:pPr>
      <w:rPr>
        <w:rFonts w:ascii="Symbol" w:hAnsi="Symbol" w:hint="default"/>
      </w:rPr>
    </w:lvl>
    <w:lvl w:ilvl="4" w:tplc="5A34DCFC" w:tentative="1">
      <w:start w:val="1"/>
      <w:numFmt w:val="bullet"/>
      <w:lvlText w:val=""/>
      <w:lvlJc w:val="left"/>
      <w:pPr>
        <w:tabs>
          <w:tab w:val="num" w:pos="3600"/>
        </w:tabs>
        <w:ind w:left="3600" w:hanging="360"/>
      </w:pPr>
      <w:rPr>
        <w:rFonts w:ascii="Symbol" w:hAnsi="Symbol" w:hint="default"/>
      </w:rPr>
    </w:lvl>
    <w:lvl w:ilvl="5" w:tplc="50D802AA" w:tentative="1">
      <w:start w:val="1"/>
      <w:numFmt w:val="bullet"/>
      <w:lvlText w:val=""/>
      <w:lvlJc w:val="left"/>
      <w:pPr>
        <w:tabs>
          <w:tab w:val="num" w:pos="4320"/>
        </w:tabs>
        <w:ind w:left="4320" w:hanging="360"/>
      </w:pPr>
      <w:rPr>
        <w:rFonts w:ascii="Symbol" w:hAnsi="Symbol" w:hint="default"/>
      </w:rPr>
    </w:lvl>
    <w:lvl w:ilvl="6" w:tplc="B5C257AA" w:tentative="1">
      <w:start w:val="1"/>
      <w:numFmt w:val="bullet"/>
      <w:lvlText w:val=""/>
      <w:lvlJc w:val="left"/>
      <w:pPr>
        <w:tabs>
          <w:tab w:val="num" w:pos="5040"/>
        </w:tabs>
        <w:ind w:left="5040" w:hanging="360"/>
      </w:pPr>
      <w:rPr>
        <w:rFonts w:ascii="Symbol" w:hAnsi="Symbol" w:hint="default"/>
      </w:rPr>
    </w:lvl>
    <w:lvl w:ilvl="7" w:tplc="6C5CA19C" w:tentative="1">
      <w:start w:val="1"/>
      <w:numFmt w:val="bullet"/>
      <w:lvlText w:val=""/>
      <w:lvlJc w:val="left"/>
      <w:pPr>
        <w:tabs>
          <w:tab w:val="num" w:pos="5760"/>
        </w:tabs>
        <w:ind w:left="5760" w:hanging="360"/>
      </w:pPr>
      <w:rPr>
        <w:rFonts w:ascii="Symbol" w:hAnsi="Symbol" w:hint="default"/>
      </w:rPr>
    </w:lvl>
    <w:lvl w:ilvl="8" w:tplc="86B8DC4C" w:tentative="1">
      <w:start w:val="1"/>
      <w:numFmt w:val="bullet"/>
      <w:lvlText w:val=""/>
      <w:lvlJc w:val="left"/>
      <w:pPr>
        <w:tabs>
          <w:tab w:val="num" w:pos="6480"/>
        </w:tabs>
        <w:ind w:left="6480" w:hanging="360"/>
      </w:pPr>
      <w:rPr>
        <w:rFonts w:ascii="Symbol" w:hAnsi="Symbol" w:hint="default"/>
      </w:rPr>
    </w:lvl>
  </w:abstractNum>
  <w:abstractNum w:abstractNumId="138" w15:restartNumberingAfterBreak="0">
    <w:nsid w:val="59C764BC"/>
    <w:multiLevelType w:val="hybridMultilevel"/>
    <w:tmpl w:val="90128A4E"/>
    <w:lvl w:ilvl="0" w:tplc="397CAAC2">
      <w:start w:val="1"/>
      <w:numFmt w:val="bullet"/>
      <w:lvlText w:val=""/>
      <w:lvlPicBulletId w:val="1"/>
      <w:lvlJc w:val="left"/>
      <w:pPr>
        <w:tabs>
          <w:tab w:val="num" w:pos="720"/>
        </w:tabs>
        <w:ind w:left="720" w:hanging="360"/>
      </w:pPr>
      <w:rPr>
        <w:rFonts w:ascii="Symbol" w:hAnsi="Symbol" w:hint="default"/>
      </w:rPr>
    </w:lvl>
    <w:lvl w:ilvl="1" w:tplc="4C38912C" w:tentative="1">
      <w:start w:val="1"/>
      <w:numFmt w:val="bullet"/>
      <w:lvlText w:val=""/>
      <w:lvlJc w:val="left"/>
      <w:pPr>
        <w:tabs>
          <w:tab w:val="num" w:pos="1440"/>
        </w:tabs>
        <w:ind w:left="1440" w:hanging="360"/>
      </w:pPr>
      <w:rPr>
        <w:rFonts w:ascii="Symbol" w:hAnsi="Symbol" w:hint="default"/>
      </w:rPr>
    </w:lvl>
    <w:lvl w:ilvl="2" w:tplc="EEDC0F6A" w:tentative="1">
      <w:start w:val="1"/>
      <w:numFmt w:val="bullet"/>
      <w:lvlText w:val=""/>
      <w:lvlJc w:val="left"/>
      <w:pPr>
        <w:tabs>
          <w:tab w:val="num" w:pos="2160"/>
        </w:tabs>
        <w:ind w:left="2160" w:hanging="360"/>
      </w:pPr>
      <w:rPr>
        <w:rFonts w:ascii="Symbol" w:hAnsi="Symbol" w:hint="default"/>
      </w:rPr>
    </w:lvl>
    <w:lvl w:ilvl="3" w:tplc="98D6C598" w:tentative="1">
      <w:start w:val="1"/>
      <w:numFmt w:val="bullet"/>
      <w:lvlText w:val=""/>
      <w:lvlJc w:val="left"/>
      <w:pPr>
        <w:tabs>
          <w:tab w:val="num" w:pos="2880"/>
        </w:tabs>
        <w:ind w:left="2880" w:hanging="360"/>
      </w:pPr>
      <w:rPr>
        <w:rFonts w:ascii="Symbol" w:hAnsi="Symbol" w:hint="default"/>
      </w:rPr>
    </w:lvl>
    <w:lvl w:ilvl="4" w:tplc="D5F22328" w:tentative="1">
      <w:start w:val="1"/>
      <w:numFmt w:val="bullet"/>
      <w:lvlText w:val=""/>
      <w:lvlJc w:val="left"/>
      <w:pPr>
        <w:tabs>
          <w:tab w:val="num" w:pos="3600"/>
        </w:tabs>
        <w:ind w:left="3600" w:hanging="360"/>
      </w:pPr>
      <w:rPr>
        <w:rFonts w:ascii="Symbol" w:hAnsi="Symbol" w:hint="default"/>
      </w:rPr>
    </w:lvl>
    <w:lvl w:ilvl="5" w:tplc="2A2662BC" w:tentative="1">
      <w:start w:val="1"/>
      <w:numFmt w:val="bullet"/>
      <w:lvlText w:val=""/>
      <w:lvlJc w:val="left"/>
      <w:pPr>
        <w:tabs>
          <w:tab w:val="num" w:pos="4320"/>
        </w:tabs>
        <w:ind w:left="4320" w:hanging="360"/>
      </w:pPr>
      <w:rPr>
        <w:rFonts w:ascii="Symbol" w:hAnsi="Symbol" w:hint="default"/>
      </w:rPr>
    </w:lvl>
    <w:lvl w:ilvl="6" w:tplc="1C9E18F2" w:tentative="1">
      <w:start w:val="1"/>
      <w:numFmt w:val="bullet"/>
      <w:lvlText w:val=""/>
      <w:lvlJc w:val="left"/>
      <w:pPr>
        <w:tabs>
          <w:tab w:val="num" w:pos="5040"/>
        </w:tabs>
        <w:ind w:left="5040" w:hanging="360"/>
      </w:pPr>
      <w:rPr>
        <w:rFonts w:ascii="Symbol" w:hAnsi="Symbol" w:hint="default"/>
      </w:rPr>
    </w:lvl>
    <w:lvl w:ilvl="7" w:tplc="638C5976" w:tentative="1">
      <w:start w:val="1"/>
      <w:numFmt w:val="bullet"/>
      <w:lvlText w:val=""/>
      <w:lvlJc w:val="left"/>
      <w:pPr>
        <w:tabs>
          <w:tab w:val="num" w:pos="5760"/>
        </w:tabs>
        <w:ind w:left="5760" w:hanging="360"/>
      </w:pPr>
      <w:rPr>
        <w:rFonts w:ascii="Symbol" w:hAnsi="Symbol" w:hint="default"/>
      </w:rPr>
    </w:lvl>
    <w:lvl w:ilvl="8" w:tplc="6ED2FC0A" w:tentative="1">
      <w:start w:val="1"/>
      <w:numFmt w:val="bullet"/>
      <w:lvlText w:val=""/>
      <w:lvlJc w:val="left"/>
      <w:pPr>
        <w:tabs>
          <w:tab w:val="num" w:pos="6480"/>
        </w:tabs>
        <w:ind w:left="6480" w:hanging="360"/>
      </w:pPr>
      <w:rPr>
        <w:rFonts w:ascii="Symbol" w:hAnsi="Symbol" w:hint="default"/>
      </w:rPr>
    </w:lvl>
  </w:abstractNum>
  <w:abstractNum w:abstractNumId="139" w15:restartNumberingAfterBreak="0">
    <w:nsid w:val="5B230A0E"/>
    <w:multiLevelType w:val="hybridMultilevel"/>
    <w:tmpl w:val="F5C0853C"/>
    <w:lvl w:ilvl="0" w:tplc="CC8A3DB4">
      <w:start w:val="1"/>
      <w:numFmt w:val="bullet"/>
      <w:lvlText w:val=""/>
      <w:lvlPicBulletId w:val="1"/>
      <w:lvlJc w:val="left"/>
      <w:pPr>
        <w:tabs>
          <w:tab w:val="num" w:pos="720"/>
        </w:tabs>
        <w:ind w:left="720" w:hanging="360"/>
      </w:pPr>
      <w:rPr>
        <w:rFonts w:ascii="Symbol" w:hAnsi="Symbol" w:hint="default"/>
      </w:rPr>
    </w:lvl>
    <w:lvl w:ilvl="1" w:tplc="99EEA63E" w:tentative="1">
      <w:start w:val="1"/>
      <w:numFmt w:val="bullet"/>
      <w:lvlText w:val=""/>
      <w:lvlJc w:val="left"/>
      <w:pPr>
        <w:tabs>
          <w:tab w:val="num" w:pos="1440"/>
        </w:tabs>
        <w:ind w:left="1440" w:hanging="360"/>
      </w:pPr>
      <w:rPr>
        <w:rFonts w:ascii="Symbol" w:hAnsi="Symbol" w:hint="default"/>
      </w:rPr>
    </w:lvl>
    <w:lvl w:ilvl="2" w:tplc="34BA477A" w:tentative="1">
      <w:start w:val="1"/>
      <w:numFmt w:val="bullet"/>
      <w:lvlText w:val=""/>
      <w:lvlJc w:val="left"/>
      <w:pPr>
        <w:tabs>
          <w:tab w:val="num" w:pos="2160"/>
        </w:tabs>
        <w:ind w:left="2160" w:hanging="360"/>
      </w:pPr>
      <w:rPr>
        <w:rFonts w:ascii="Symbol" w:hAnsi="Symbol" w:hint="default"/>
      </w:rPr>
    </w:lvl>
    <w:lvl w:ilvl="3" w:tplc="62B8AE3A" w:tentative="1">
      <w:start w:val="1"/>
      <w:numFmt w:val="bullet"/>
      <w:lvlText w:val=""/>
      <w:lvlJc w:val="left"/>
      <w:pPr>
        <w:tabs>
          <w:tab w:val="num" w:pos="2880"/>
        </w:tabs>
        <w:ind w:left="2880" w:hanging="360"/>
      </w:pPr>
      <w:rPr>
        <w:rFonts w:ascii="Symbol" w:hAnsi="Symbol" w:hint="default"/>
      </w:rPr>
    </w:lvl>
    <w:lvl w:ilvl="4" w:tplc="884C6C1E" w:tentative="1">
      <w:start w:val="1"/>
      <w:numFmt w:val="bullet"/>
      <w:lvlText w:val=""/>
      <w:lvlJc w:val="left"/>
      <w:pPr>
        <w:tabs>
          <w:tab w:val="num" w:pos="3600"/>
        </w:tabs>
        <w:ind w:left="3600" w:hanging="360"/>
      </w:pPr>
      <w:rPr>
        <w:rFonts w:ascii="Symbol" w:hAnsi="Symbol" w:hint="default"/>
      </w:rPr>
    </w:lvl>
    <w:lvl w:ilvl="5" w:tplc="5A34F182" w:tentative="1">
      <w:start w:val="1"/>
      <w:numFmt w:val="bullet"/>
      <w:lvlText w:val=""/>
      <w:lvlJc w:val="left"/>
      <w:pPr>
        <w:tabs>
          <w:tab w:val="num" w:pos="4320"/>
        </w:tabs>
        <w:ind w:left="4320" w:hanging="360"/>
      </w:pPr>
      <w:rPr>
        <w:rFonts w:ascii="Symbol" w:hAnsi="Symbol" w:hint="default"/>
      </w:rPr>
    </w:lvl>
    <w:lvl w:ilvl="6" w:tplc="C1021D26" w:tentative="1">
      <w:start w:val="1"/>
      <w:numFmt w:val="bullet"/>
      <w:lvlText w:val=""/>
      <w:lvlJc w:val="left"/>
      <w:pPr>
        <w:tabs>
          <w:tab w:val="num" w:pos="5040"/>
        </w:tabs>
        <w:ind w:left="5040" w:hanging="360"/>
      </w:pPr>
      <w:rPr>
        <w:rFonts w:ascii="Symbol" w:hAnsi="Symbol" w:hint="default"/>
      </w:rPr>
    </w:lvl>
    <w:lvl w:ilvl="7" w:tplc="9CA85712" w:tentative="1">
      <w:start w:val="1"/>
      <w:numFmt w:val="bullet"/>
      <w:lvlText w:val=""/>
      <w:lvlJc w:val="left"/>
      <w:pPr>
        <w:tabs>
          <w:tab w:val="num" w:pos="5760"/>
        </w:tabs>
        <w:ind w:left="5760" w:hanging="360"/>
      </w:pPr>
      <w:rPr>
        <w:rFonts w:ascii="Symbol" w:hAnsi="Symbol" w:hint="default"/>
      </w:rPr>
    </w:lvl>
    <w:lvl w:ilvl="8" w:tplc="D3DC4F42" w:tentative="1">
      <w:start w:val="1"/>
      <w:numFmt w:val="bullet"/>
      <w:lvlText w:val=""/>
      <w:lvlJc w:val="left"/>
      <w:pPr>
        <w:tabs>
          <w:tab w:val="num" w:pos="6480"/>
        </w:tabs>
        <w:ind w:left="6480" w:hanging="360"/>
      </w:pPr>
      <w:rPr>
        <w:rFonts w:ascii="Symbol" w:hAnsi="Symbol" w:hint="default"/>
      </w:rPr>
    </w:lvl>
  </w:abstractNum>
  <w:abstractNum w:abstractNumId="140" w15:restartNumberingAfterBreak="0">
    <w:nsid w:val="5C5576C5"/>
    <w:multiLevelType w:val="hybridMultilevel"/>
    <w:tmpl w:val="550ACB2C"/>
    <w:lvl w:ilvl="0" w:tplc="D7A8F566">
      <w:start w:val="1"/>
      <w:numFmt w:val="bullet"/>
      <w:lvlText w:val=""/>
      <w:lvlPicBulletId w:val="0"/>
      <w:lvlJc w:val="left"/>
      <w:pPr>
        <w:tabs>
          <w:tab w:val="num" w:pos="720"/>
        </w:tabs>
        <w:ind w:left="720" w:hanging="360"/>
      </w:pPr>
      <w:rPr>
        <w:rFonts w:ascii="Symbol" w:hAnsi="Symbol" w:hint="default"/>
      </w:rPr>
    </w:lvl>
    <w:lvl w:ilvl="1" w:tplc="EDD22F16" w:tentative="1">
      <w:start w:val="1"/>
      <w:numFmt w:val="bullet"/>
      <w:lvlText w:val=""/>
      <w:lvlJc w:val="left"/>
      <w:pPr>
        <w:tabs>
          <w:tab w:val="num" w:pos="1440"/>
        </w:tabs>
        <w:ind w:left="1440" w:hanging="360"/>
      </w:pPr>
      <w:rPr>
        <w:rFonts w:ascii="Symbol" w:hAnsi="Symbol" w:hint="default"/>
      </w:rPr>
    </w:lvl>
    <w:lvl w:ilvl="2" w:tplc="A70E5FB2" w:tentative="1">
      <w:start w:val="1"/>
      <w:numFmt w:val="bullet"/>
      <w:lvlText w:val=""/>
      <w:lvlJc w:val="left"/>
      <w:pPr>
        <w:tabs>
          <w:tab w:val="num" w:pos="2160"/>
        </w:tabs>
        <w:ind w:left="2160" w:hanging="360"/>
      </w:pPr>
      <w:rPr>
        <w:rFonts w:ascii="Symbol" w:hAnsi="Symbol" w:hint="default"/>
      </w:rPr>
    </w:lvl>
    <w:lvl w:ilvl="3" w:tplc="B3B6ECDE" w:tentative="1">
      <w:start w:val="1"/>
      <w:numFmt w:val="bullet"/>
      <w:lvlText w:val=""/>
      <w:lvlJc w:val="left"/>
      <w:pPr>
        <w:tabs>
          <w:tab w:val="num" w:pos="2880"/>
        </w:tabs>
        <w:ind w:left="2880" w:hanging="360"/>
      </w:pPr>
      <w:rPr>
        <w:rFonts w:ascii="Symbol" w:hAnsi="Symbol" w:hint="default"/>
      </w:rPr>
    </w:lvl>
    <w:lvl w:ilvl="4" w:tplc="A85A3186" w:tentative="1">
      <w:start w:val="1"/>
      <w:numFmt w:val="bullet"/>
      <w:lvlText w:val=""/>
      <w:lvlJc w:val="left"/>
      <w:pPr>
        <w:tabs>
          <w:tab w:val="num" w:pos="3600"/>
        </w:tabs>
        <w:ind w:left="3600" w:hanging="360"/>
      </w:pPr>
      <w:rPr>
        <w:rFonts w:ascii="Symbol" w:hAnsi="Symbol" w:hint="default"/>
      </w:rPr>
    </w:lvl>
    <w:lvl w:ilvl="5" w:tplc="3DB6D014" w:tentative="1">
      <w:start w:val="1"/>
      <w:numFmt w:val="bullet"/>
      <w:lvlText w:val=""/>
      <w:lvlJc w:val="left"/>
      <w:pPr>
        <w:tabs>
          <w:tab w:val="num" w:pos="4320"/>
        </w:tabs>
        <w:ind w:left="4320" w:hanging="360"/>
      </w:pPr>
      <w:rPr>
        <w:rFonts w:ascii="Symbol" w:hAnsi="Symbol" w:hint="default"/>
      </w:rPr>
    </w:lvl>
    <w:lvl w:ilvl="6" w:tplc="2A5A43E0" w:tentative="1">
      <w:start w:val="1"/>
      <w:numFmt w:val="bullet"/>
      <w:lvlText w:val=""/>
      <w:lvlJc w:val="left"/>
      <w:pPr>
        <w:tabs>
          <w:tab w:val="num" w:pos="5040"/>
        </w:tabs>
        <w:ind w:left="5040" w:hanging="360"/>
      </w:pPr>
      <w:rPr>
        <w:rFonts w:ascii="Symbol" w:hAnsi="Symbol" w:hint="default"/>
      </w:rPr>
    </w:lvl>
    <w:lvl w:ilvl="7" w:tplc="57829D48" w:tentative="1">
      <w:start w:val="1"/>
      <w:numFmt w:val="bullet"/>
      <w:lvlText w:val=""/>
      <w:lvlJc w:val="left"/>
      <w:pPr>
        <w:tabs>
          <w:tab w:val="num" w:pos="5760"/>
        </w:tabs>
        <w:ind w:left="5760" w:hanging="360"/>
      </w:pPr>
      <w:rPr>
        <w:rFonts w:ascii="Symbol" w:hAnsi="Symbol" w:hint="default"/>
      </w:rPr>
    </w:lvl>
    <w:lvl w:ilvl="8" w:tplc="4E5E0592" w:tentative="1">
      <w:start w:val="1"/>
      <w:numFmt w:val="bullet"/>
      <w:lvlText w:val=""/>
      <w:lvlJc w:val="left"/>
      <w:pPr>
        <w:tabs>
          <w:tab w:val="num" w:pos="6480"/>
        </w:tabs>
        <w:ind w:left="6480" w:hanging="360"/>
      </w:pPr>
      <w:rPr>
        <w:rFonts w:ascii="Symbol" w:hAnsi="Symbol" w:hint="default"/>
      </w:rPr>
    </w:lvl>
  </w:abstractNum>
  <w:abstractNum w:abstractNumId="141" w15:restartNumberingAfterBreak="0">
    <w:nsid w:val="5D5D7685"/>
    <w:multiLevelType w:val="hybridMultilevel"/>
    <w:tmpl w:val="488A4690"/>
    <w:lvl w:ilvl="0" w:tplc="80026084">
      <w:start w:val="1"/>
      <w:numFmt w:val="bullet"/>
      <w:lvlText w:val=""/>
      <w:lvlPicBulletId w:val="1"/>
      <w:lvlJc w:val="left"/>
      <w:pPr>
        <w:tabs>
          <w:tab w:val="num" w:pos="720"/>
        </w:tabs>
        <w:ind w:left="720" w:hanging="360"/>
      </w:pPr>
      <w:rPr>
        <w:rFonts w:ascii="Symbol" w:hAnsi="Symbol" w:hint="default"/>
      </w:rPr>
    </w:lvl>
    <w:lvl w:ilvl="1" w:tplc="0CCA0B52" w:tentative="1">
      <w:start w:val="1"/>
      <w:numFmt w:val="bullet"/>
      <w:lvlText w:val=""/>
      <w:lvlJc w:val="left"/>
      <w:pPr>
        <w:tabs>
          <w:tab w:val="num" w:pos="1440"/>
        </w:tabs>
        <w:ind w:left="1440" w:hanging="360"/>
      </w:pPr>
      <w:rPr>
        <w:rFonts w:ascii="Symbol" w:hAnsi="Symbol" w:hint="default"/>
      </w:rPr>
    </w:lvl>
    <w:lvl w:ilvl="2" w:tplc="9EF0D952" w:tentative="1">
      <w:start w:val="1"/>
      <w:numFmt w:val="bullet"/>
      <w:lvlText w:val=""/>
      <w:lvlJc w:val="left"/>
      <w:pPr>
        <w:tabs>
          <w:tab w:val="num" w:pos="2160"/>
        </w:tabs>
        <w:ind w:left="2160" w:hanging="360"/>
      </w:pPr>
      <w:rPr>
        <w:rFonts w:ascii="Symbol" w:hAnsi="Symbol" w:hint="default"/>
      </w:rPr>
    </w:lvl>
    <w:lvl w:ilvl="3" w:tplc="D1E61F46" w:tentative="1">
      <w:start w:val="1"/>
      <w:numFmt w:val="bullet"/>
      <w:lvlText w:val=""/>
      <w:lvlJc w:val="left"/>
      <w:pPr>
        <w:tabs>
          <w:tab w:val="num" w:pos="2880"/>
        </w:tabs>
        <w:ind w:left="2880" w:hanging="360"/>
      </w:pPr>
      <w:rPr>
        <w:rFonts w:ascii="Symbol" w:hAnsi="Symbol" w:hint="default"/>
      </w:rPr>
    </w:lvl>
    <w:lvl w:ilvl="4" w:tplc="11A67B96" w:tentative="1">
      <w:start w:val="1"/>
      <w:numFmt w:val="bullet"/>
      <w:lvlText w:val=""/>
      <w:lvlJc w:val="left"/>
      <w:pPr>
        <w:tabs>
          <w:tab w:val="num" w:pos="3600"/>
        </w:tabs>
        <w:ind w:left="3600" w:hanging="360"/>
      </w:pPr>
      <w:rPr>
        <w:rFonts w:ascii="Symbol" w:hAnsi="Symbol" w:hint="default"/>
      </w:rPr>
    </w:lvl>
    <w:lvl w:ilvl="5" w:tplc="89588E20" w:tentative="1">
      <w:start w:val="1"/>
      <w:numFmt w:val="bullet"/>
      <w:lvlText w:val=""/>
      <w:lvlJc w:val="left"/>
      <w:pPr>
        <w:tabs>
          <w:tab w:val="num" w:pos="4320"/>
        </w:tabs>
        <w:ind w:left="4320" w:hanging="360"/>
      </w:pPr>
      <w:rPr>
        <w:rFonts w:ascii="Symbol" w:hAnsi="Symbol" w:hint="default"/>
      </w:rPr>
    </w:lvl>
    <w:lvl w:ilvl="6" w:tplc="0DEA04AE" w:tentative="1">
      <w:start w:val="1"/>
      <w:numFmt w:val="bullet"/>
      <w:lvlText w:val=""/>
      <w:lvlJc w:val="left"/>
      <w:pPr>
        <w:tabs>
          <w:tab w:val="num" w:pos="5040"/>
        </w:tabs>
        <w:ind w:left="5040" w:hanging="360"/>
      </w:pPr>
      <w:rPr>
        <w:rFonts w:ascii="Symbol" w:hAnsi="Symbol" w:hint="default"/>
      </w:rPr>
    </w:lvl>
    <w:lvl w:ilvl="7" w:tplc="D2A0D472" w:tentative="1">
      <w:start w:val="1"/>
      <w:numFmt w:val="bullet"/>
      <w:lvlText w:val=""/>
      <w:lvlJc w:val="left"/>
      <w:pPr>
        <w:tabs>
          <w:tab w:val="num" w:pos="5760"/>
        </w:tabs>
        <w:ind w:left="5760" w:hanging="360"/>
      </w:pPr>
      <w:rPr>
        <w:rFonts w:ascii="Symbol" w:hAnsi="Symbol" w:hint="default"/>
      </w:rPr>
    </w:lvl>
    <w:lvl w:ilvl="8" w:tplc="BE38E6E6" w:tentative="1">
      <w:start w:val="1"/>
      <w:numFmt w:val="bullet"/>
      <w:lvlText w:val=""/>
      <w:lvlJc w:val="left"/>
      <w:pPr>
        <w:tabs>
          <w:tab w:val="num" w:pos="6480"/>
        </w:tabs>
        <w:ind w:left="6480" w:hanging="360"/>
      </w:pPr>
      <w:rPr>
        <w:rFonts w:ascii="Symbol" w:hAnsi="Symbol" w:hint="default"/>
      </w:rPr>
    </w:lvl>
  </w:abstractNum>
  <w:abstractNum w:abstractNumId="142" w15:restartNumberingAfterBreak="0">
    <w:nsid w:val="5DA00D8E"/>
    <w:multiLevelType w:val="hybridMultilevel"/>
    <w:tmpl w:val="783063AE"/>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3" w15:restartNumberingAfterBreak="0">
    <w:nsid w:val="603F170F"/>
    <w:multiLevelType w:val="hybridMultilevel"/>
    <w:tmpl w:val="8BDCDBEA"/>
    <w:lvl w:ilvl="0" w:tplc="08D2AB58">
      <w:start w:val="1"/>
      <w:numFmt w:val="bullet"/>
      <w:lvlText w:val="&gt;"/>
      <w:lvlJc w:val="left"/>
      <w:pPr>
        <w:ind w:left="720" w:hanging="360"/>
      </w:pPr>
      <w:rPr>
        <w:rFonts w:ascii="HelveticaNeueLT Std Lt" w:hAnsi="HelveticaNeueLT Std L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4" w15:restartNumberingAfterBreak="0">
    <w:nsid w:val="60974EF3"/>
    <w:multiLevelType w:val="hybridMultilevel"/>
    <w:tmpl w:val="0C3CB4DE"/>
    <w:lvl w:ilvl="0" w:tplc="16A2CD1A">
      <w:start w:val="1"/>
      <w:numFmt w:val="bullet"/>
      <w:lvlText w:val=""/>
      <w:lvlPicBulletId w:val="1"/>
      <w:lvlJc w:val="left"/>
      <w:pPr>
        <w:tabs>
          <w:tab w:val="num" w:pos="720"/>
        </w:tabs>
        <w:ind w:left="720" w:hanging="360"/>
      </w:pPr>
      <w:rPr>
        <w:rFonts w:ascii="Symbol" w:hAnsi="Symbol" w:hint="default"/>
      </w:rPr>
    </w:lvl>
    <w:lvl w:ilvl="1" w:tplc="DEFCEA40" w:tentative="1">
      <w:start w:val="1"/>
      <w:numFmt w:val="bullet"/>
      <w:lvlText w:val=""/>
      <w:lvlJc w:val="left"/>
      <w:pPr>
        <w:tabs>
          <w:tab w:val="num" w:pos="1440"/>
        </w:tabs>
        <w:ind w:left="1440" w:hanging="360"/>
      </w:pPr>
      <w:rPr>
        <w:rFonts w:ascii="Symbol" w:hAnsi="Symbol" w:hint="default"/>
      </w:rPr>
    </w:lvl>
    <w:lvl w:ilvl="2" w:tplc="4E06B438" w:tentative="1">
      <w:start w:val="1"/>
      <w:numFmt w:val="bullet"/>
      <w:lvlText w:val=""/>
      <w:lvlJc w:val="left"/>
      <w:pPr>
        <w:tabs>
          <w:tab w:val="num" w:pos="2160"/>
        </w:tabs>
        <w:ind w:left="2160" w:hanging="360"/>
      </w:pPr>
      <w:rPr>
        <w:rFonts w:ascii="Symbol" w:hAnsi="Symbol" w:hint="default"/>
      </w:rPr>
    </w:lvl>
    <w:lvl w:ilvl="3" w:tplc="65608EC8" w:tentative="1">
      <w:start w:val="1"/>
      <w:numFmt w:val="bullet"/>
      <w:lvlText w:val=""/>
      <w:lvlJc w:val="left"/>
      <w:pPr>
        <w:tabs>
          <w:tab w:val="num" w:pos="2880"/>
        </w:tabs>
        <w:ind w:left="2880" w:hanging="360"/>
      </w:pPr>
      <w:rPr>
        <w:rFonts w:ascii="Symbol" w:hAnsi="Symbol" w:hint="default"/>
      </w:rPr>
    </w:lvl>
    <w:lvl w:ilvl="4" w:tplc="FA96E72C" w:tentative="1">
      <w:start w:val="1"/>
      <w:numFmt w:val="bullet"/>
      <w:lvlText w:val=""/>
      <w:lvlJc w:val="left"/>
      <w:pPr>
        <w:tabs>
          <w:tab w:val="num" w:pos="3600"/>
        </w:tabs>
        <w:ind w:left="3600" w:hanging="360"/>
      </w:pPr>
      <w:rPr>
        <w:rFonts w:ascii="Symbol" w:hAnsi="Symbol" w:hint="default"/>
      </w:rPr>
    </w:lvl>
    <w:lvl w:ilvl="5" w:tplc="352C50E8" w:tentative="1">
      <w:start w:val="1"/>
      <w:numFmt w:val="bullet"/>
      <w:lvlText w:val=""/>
      <w:lvlJc w:val="left"/>
      <w:pPr>
        <w:tabs>
          <w:tab w:val="num" w:pos="4320"/>
        </w:tabs>
        <w:ind w:left="4320" w:hanging="360"/>
      </w:pPr>
      <w:rPr>
        <w:rFonts w:ascii="Symbol" w:hAnsi="Symbol" w:hint="default"/>
      </w:rPr>
    </w:lvl>
    <w:lvl w:ilvl="6" w:tplc="6284C796" w:tentative="1">
      <w:start w:val="1"/>
      <w:numFmt w:val="bullet"/>
      <w:lvlText w:val=""/>
      <w:lvlJc w:val="left"/>
      <w:pPr>
        <w:tabs>
          <w:tab w:val="num" w:pos="5040"/>
        </w:tabs>
        <w:ind w:left="5040" w:hanging="360"/>
      </w:pPr>
      <w:rPr>
        <w:rFonts w:ascii="Symbol" w:hAnsi="Symbol" w:hint="default"/>
      </w:rPr>
    </w:lvl>
    <w:lvl w:ilvl="7" w:tplc="7F30D330" w:tentative="1">
      <w:start w:val="1"/>
      <w:numFmt w:val="bullet"/>
      <w:lvlText w:val=""/>
      <w:lvlJc w:val="left"/>
      <w:pPr>
        <w:tabs>
          <w:tab w:val="num" w:pos="5760"/>
        </w:tabs>
        <w:ind w:left="5760" w:hanging="360"/>
      </w:pPr>
      <w:rPr>
        <w:rFonts w:ascii="Symbol" w:hAnsi="Symbol" w:hint="default"/>
      </w:rPr>
    </w:lvl>
    <w:lvl w:ilvl="8" w:tplc="69B6C9FC" w:tentative="1">
      <w:start w:val="1"/>
      <w:numFmt w:val="bullet"/>
      <w:lvlText w:val=""/>
      <w:lvlJc w:val="left"/>
      <w:pPr>
        <w:tabs>
          <w:tab w:val="num" w:pos="6480"/>
        </w:tabs>
        <w:ind w:left="6480" w:hanging="360"/>
      </w:pPr>
      <w:rPr>
        <w:rFonts w:ascii="Symbol" w:hAnsi="Symbol" w:hint="default"/>
      </w:rPr>
    </w:lvl>
  </w:abstractNum>
  <w:abstractNum w:abstractNumId="145" w15:restartNumberingAfterBreak="0">
    <w:nsid w:val="60E5059D"/>
    <w:multiLevelType w:val="hybridMultilevel"/>
    <w:tmpl w:val="2F2E7C9E"/>
    <w:lvl w:ilvl="0" w:tplc="2C04FC66">
      <w:start w:val="1"/>
      <w:numFmt w:val="bullet"/>
      <w:lvlText w:val=""/>
      <w:lvlPicBulletId w:val="1"/>
      <w:lvlJc w:val="left"/>
      <w:pPr>
        <w:tabs>
          <w:tab w:val="num" w:pos="720"/>
        </w:tabs>
        <w:ind w:left="720" w:hanging="360"/>
      </w:pPr>
      <w:rPr>
        <w:rFonts w:ascii="Symbol" w:hAnsi="Symbol" w:hint="default"/>
      </w:rPr>
    </w:lvl>
    <w:lvl w:ilvl="1" w:tplc="5DF4E266" w:tentative="1">
      <w:start w:val="1"/>
      <w:numFmt w:val="bullet"/>
      <w:lvlText w:val=""/>
      <w:lvlJc w:val="left"/>
      <w:pPr>
        <w:tabs>
          <w:tab w:val="num" w:pos="1440"/>
        </w:tabs>
        <w:ind w:left="1440" w:hanging="360"/>
      </w:pPr>
      <w:rPr>
        <w:rFonts w:ascii="Symbol" w:hAnsi="Symbol" w:hint="default"/>
      </w:rPr>
    </w:lvl>
    <w:lvl w:ilvl="2" w:tplc="0E88F5C4" w:tentative="1">
      <w:start w:val="1"/>
      <w:numFmt w:val="bullet"/>
      <w:lvlText w:val=""/>
      <w:lvlJc w:val="left"/>
      <w:pPr>
        <w:tabs>
          <w:tab w:val="num" w:pos="2160"/>
        </w:tabs>
        <w:ind w:left="2160" w:hanging="360"/>
      </w:pPr>
      <w:rPr>
        <w:rFonts w:ascii="Symbol" w:hAnsi="Symbol" w:hint="default"/>
      </w:rPr>
    </w:lvl>
    <w:lvl w:ilvl="3" w:tplc="F6E8B522" w:tentative="1">
      <w:start w:val="1"/>
      <w:numFmt w:val="bullet"/>
      <w:lvlText w:val=""/>
      <w:lvlJc w:val="left"/>
      <w:pPr>
        <w:tabs>
          <w:tab w:val="num" w:pos="2880"/>
        </w:tabs>
        <w:ind w:left="2880" w:hanging="360"/>
      </w:pPr>
      <w:rPr>
        <w:rFonts w:ascii="Symbol" w:hAnsi="Symbol" w:hint="default"/>
      </w:rPr>
    </w:lvl>
    <w:lvl w:ilvl="4" w:tplc="46AED27E" w:tentative="1">
      <w:start w:val="1"/>
      <w:numFmt w:val="bullet"/>
      <w:lvlText w:val=""/>
      <w:lvlJc w:val="left"/>
      <w:pPr>
        <w:tabs>
          <w:tab w:val="num" w:pos="3600"/>
        </w:tabs>
        <w:ind w:left="3600" w:hanging="360"/>
      </w:pPr>
      <w:rPr>
        <w:rFonts w:ascii="Symbol" w:hAnsi="Symbol" w:hint="default"/>
      </w:rPr>
    </w:lvl>
    <w:lvl w:ilvl="5" w:tplc="D0609D26" w:tentative="1">
      <w:start w:val="1"/>
      <w:numFmt w:val="bullet"/>
      <w:lvlText w:val=""/>
      <w:lvlJc w:val="left"/>
      <w:pPr>
        <w:tabs>
          <w:tab w:val="num" w:pos="4320"/>
        </w:tabs>
        <w:ind w:left="4320" w:hanging="360"/>
      </w:pPr>
      <w:rPr>
        <w:rFonts w:ascii="Symbol" w:hAnsi="Symbol" w:hint="default"/>
      </w:rPr>
    </w:lvl>
    <w:lvl w:ilvl="6" w:tplc="2C1C92BC" w:tentative="1">
      <w:start w:val="1"/>
      <w:numFmt w:val="bullet"/>
      <w:lvlText w:val=""/>
      <w:lvlJc w:val="left"/>
      <w:pPr>
        <w:tabs>
          <w:tab w:val="num" w:pos="5040"/>
        </w:tabs>
        <w:ind w:left="5040" w:hanging="360"/>
      </w:pPr>
      <w:rPr>
        <w:rFonts w:ascii="Symbol" w:hAnsi="Symbol" w:hint="default"/>
      </w:rPr>
    </w:lvl>
    <w:lvl w:ilvl="7" w:tplc="B734CD60" w:tentative="1">
      <w:start w:val="1"/>
      <w:numFmt w:val="bullet"/>
      <w:lvlText w:val=""/>
      <w:lvlJc w:val="left"/>
      <w:pPr>
        <w:tabs>
          <w:tab w:val="num" w:pos="5760"/>
        </w:tabs>
        <w:ind w:left="5760" w:hanging="360"/>
      </w:pPr>
      <w:rPr>
        <w:rFonts w:ascii="Symbol" w:hAnsi="Symbol" w:hint="default"/>
      </w:rPr>
    </w:lvl>
    <w:lvl w:ilvl="8" w:tplc="686C94E6" w:tentative="1">
      <w:start w:val="1"/>
      <w:numFmt w:val="bullet"/>
      <w:lvlText w:val=""/>
      <w:lvlJc w:val="left"/>
      <w:pPr>
        <w:tabs>
          <w:tab w:val="num" w:pos="6480"/>
        </w:tabs>
        <w:ind w:left="6480" w:hanging="360"/>
      </w:pPr>
      <w:rPr>
        <w:rFonts w:ascii="Symbol" w:hAnsi="Symbol" w:hint="default"/>
      </w:rPr>
    </w:lvl>
  </w:abstractNum>
  <w:abstractNum w:abstractNumId="146" w15:restartNumberingAfterBreak="0">
    <w:nsid w:val="625F3496"/>
    <w:multiLevelType w:val="multilevel"/>
    <w:tmpl w:val="4A143FE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7" w15:restartNumberingAfterBreak="0">
    <w:nsid w:val="62F94169"/>
    <w:multiLevelType w:val="hybridMultilevel"/>
    <w:tmpl w:val="34CAACA8"/>
    <w:lvl w:ilvl="0" w:tplc="08D2AB58">
      <w:start w:val="1"/>
      <w:numFmt w:val="bullet"/>
      <w:lvlText w:val="&gt;"/>
      <w:lvlJc w:val="left"/>
      <w:pPr>
        <w:ind w:left="1004" w:hanging="360"/>
      </w:pPr>
      <w:rPr>
        <w:rFonts w:ascii="HelveticaNeueLT Std Lt" w:hAnsi="HelveticaNeueLT Std Lt" w:hint="default"/>
        <w:sz w:val="20"/>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48" w15:restartNumberingAfterBreak="0">
    <w:nsid w:val="63284871"/>
    <w:multiLevelType w:val="hybridMultilevel"/>
    <w:tmpl w:val="D422C484"/>
    <w:lvl w:ilvl="0" w:tplc="7BDAF3B8">
      <w:start w:val="1"/>
      <w:numFmt w:val="bullet"/>
      <w:lvlText w:val=""/>
      <w:lvlPicBulletId w:val="1"/>
      <w:lvlJc w:val="left"/>
      <w:pPr>
        <w:tabs>
          <w:tab w:val="num" w:pos="720"/>
        </w:tabs>
        <w:ind w:left="720" w:hanging="360"/>
      </w:pPr>
      <w:rPr>
        <w:rFonts w:ascii="Symbol" w:hAnsi="Symbol" w:hint="default"/>
      </w:rPr>
    </w:lvl>
    <w:lvl w:ilvl="1" w:tplc="8C901334" w:tentative="1">
      <w:start w:val="1"/>
      <w:numFmt w:val="bullet"/>
      <w:lvlText w:val=""/>
      <w:lvlJc w:val="left"/>
      <w:pPr>
        <w:tabs>
          <w:tab w:val="num" w:pos="1440"/>
        </w:tabs>
        <w:ind w:left="1440" w:hanging="360"/>
      </w:pPr>
      <w:rPr>
        <w:rFonts w:ascii="Symbol" w:hAnsi="Symbol" w:hint="default"/>
      </w:rPr>
    </w:lvl>
    <w:lvl w:ilvl="2" w:tplc="134EEC66" w:tentative="1">
      <w:start w:val="1"/>
      <w:numFmt w:val="bullet"/>
      <w:lvlText w:val=""/>
      <w:lvlJc w:val="left"/>
      <w:pPr>
        <w:tabs>
          <w:tab w:val="num" w:pos="2160"/>
        </w:tabs>
        <w:ind w:left="2160" w:hanging="360"/>
      </w:pPr>
      <w:rPr>
        <w:rFonts w:ascii="Symbol" w:hAnsi="Symbol" w:hint="default"/>
      </w:rPr>
    </w:lvl>
    <w:lvl w:ilvl="3" w:tplc="CADCF0BC" w:tentative="1">
      <w:start w:val="1"/>
      <w:numFmt w:val="bullet"/>
      <w:lvlText w:val=""/>
      <w:lvlJc w:val="left"/>
      <w:pPr>
        <w:tabs>
          <w:tab w:val="num" w:pos="2880"/>
        </w:tabs>
        <w:ind w:left="2880" w:hanging="360"/>
      </w:pPr>
      <w:rPr>
        <w:rFonts w:ascii="Symbol" w:hAnsi="Symbol" w:hint="default"/>
      </w:rPr>
    </w:lvl>
    <w:lvl w:ilvl="4" w:tplc="E72AC182" w:tentative="1">
      <w:start w:val="1"/>
      <w:numFmt w:val="bullet"/>
      <w:lvlText w:val=""/>
      <w:lvlJc w:val="left"/>
      <w:pPr>
        <w:tabs>
          <w:tab w:val="num" w:pos="3600"/>
        </w:tabs>
        <w:ind w:left="3600" w:hanging="360"/>
      </w:pPr>
      <w:rPr>
        <w:rFonts w:ascii="Symbol" w:hAnsi="Symbol" w:hint="default"/>
      </w:rPr>
    </w:lvl>
    <w:lvl w:ilvl="5" w:tplc="09B00D46" w:tentative="1">
      <w:start w:val="1"/>
      <w:numFmt w:val="bullet"/>
      <w:lvlText w:val=""/>
      <w:lvlJc w:val="left"/>
      <w:pPr>
        <w:tabs>
          <w:tab w:val="num" w:pos="4320"/>
        </w:tabs>
        <w:ind w:left="4320" w:hanging="360"/>
      </w:pPr>
      <w:rPr>
        <w:rFonts w:ascii="Symbol" w:hAnsi="Symbol" w:hint="default"/>
      </w:rPr>
    </w:lvl>
    <w:lvl w:ilvl="6" w:tplc="AF4C8006" w:tentative="1">
      <w:start w:val="1"/>
      <w:numFmt w:val="bullet"/>
      <w:lvlText w:val=""/>
      <w:lvlJc w:val="left"/>
      <w:pPr>
        <w:tabs>
          <w:tab w:val="num" w:pos="5040"/>
        </w:tabs>
        <w:ind w:left="5040" w:hanging="360"/>
      </w:pPr>
      <w:rPr>
        <w:rFonts w:ascii="Symbol" w:hAnsi="Symbol" w:hint="default"/>
      </w:rPr>
    </w:lvl>
    <w:lvl w:ilvl="7" w:tplc="CCD0E7AE" w:tentative="1">
      <w:start w:val="1"/>
      <w:numFmt w:val="bullet"/>
      <w:lvlText w:val=""/>
      <w:lvlJc w:val="left"/>
      <w:pPr>
        <w:tabs>
          <w:tab w:val="num" w:pos="5760"/>
        </w:tabs>
        <w:ind w:left="5760" w:hanging="360"/>
      </w:pPr>
      <w:rPr>
        <w:rFonts w:ascii="Symbol" w:hAnsi="Symbol" w:hint="default"/>
      </w:rPr>
    </w:lvl>
    <w:lvl w:ilvl="8" w:tplc="9B7EBFE2" w:tentative="1">
      <w:start w:val="1"/>
      <w:numFmt w:val="bullet"/>
      <w:lvlText w:val=""/>
      <w:lvlJc w:val="left"/>
      <w:pPr>
        <w:tabs>
          <w:tab w:val="num" w:pos="6480"/>
        </w:tabs>
        <w:ind w:left="6480" w:hanging="360"/>
      </w:pPr>
      <w:rPr>
        <w:rFonts w:ascii="Symbol" w:hAnsi="Symbol" w:hint="default"/>
      </w:rPr>
    </w:lvl>
  </w:abstractNum>
  <w:abstractNum w:abstractNumId="149" w15:restartNumberingAfterBreak="0">
    <w:nsid w:val="63AA41DB"/>
    <w:multiLevelType w:val="hybridMultilevel"/>
    <w:tmpl w:val="A4085218"/>
    <w:lvl w:ilvl="0" w:tplc="DE3062E0">
      <w:start w:val="1"/>
      <w:numFmt w:val="decimal"/>
      <w:pStyle w:val="ListNumber"/>
      <w:lvlText w:val="%1."/>
      <w:lvlJc w:val="left"/>
      <w:pPr>
        <w:ind w:left="360" w:hanging="360"/>
      </w:pPr>
      <w:rPr>
        <w:rFonts w:eastAsia="Times New Roman" w:hint="default"/>
        <w:b w:val="0"/>
      </w:rPr>
    </w:lvl>
    <w:lvl w:ilvl="1" w:tplc="0C090019">
      <w:start w:val="1"/>
      <w:numFmt w:val="lowerLetter"/>
      <w:lvlText w:val="%2."/>
      <w:lvlJc w:val="left"/>
      <w:pPr>
        <w:ind w:left="-3314" w:hanging="360"/>
      </w:pPr>
    </w:lvl>
    <w:lvl w:ilvl="2" w:tplc="0C09001B">
      <w:start w:val="1"/>
      <w:numFmt w:val="lowerRoman"/>
      <w:lvlText w:val="%3."/>
      <w:lvlJc w:val="right"/>
      <w:pPr>
        <w:ind w:left="-2594" w:hanging="180"/>
      </w:pPr>
    </w:lvl>
    <w:lvl w:ilvl="3" w:tplc="0C09000F">
      <w:start w:val="1"/>
      <w:numFmt w:val="decimal"/>
      <w:lvlText w:val="%4."/>
      <w:lvlJc w:val="left"/>
      <w:pPr>
        <w:ind w:left="-1874" w:hanging="360"/>
      </w:pPr>
    </w:lvl>
    <w:lvl w:ilvl="4" w:tplc="0C090019">
      <w:start w:val="1"/>
      <w:numFmt w:val="lowerLetter"/>
      <w:lvlText w:val="%5."/>
      <w:lvlJc w:val="left"/>
      <w:pPr>
        <w:ind w:left="-1154" w:hanging="360"/>
      </w:pPr>
    </w:lvl>
    <w:lvl w:ilvl="5" w:tplc="0C09001B">
      <w:start w:val="1"/>
      <w:numFmt w:val="lowerRoman"/>
      <w:lvlText w:val="%6."/>
      <w:lvlJc w:val="right"/>
      <w:pPr>
        <w:ind w:left="-434" w:hanging="180"/>
      </w:pPr>
    </w:lvl>
    <w:lvl w:ilvl="6" w:tplc="6FE4F18C">
      <w:start w:val="2"/>
      <w:numFmt w:val="decimal"/>
      <w:lvlText w:val="%7."/>
      <w:lvlJc w:val="left"/>
      <w:pPr>
        <w:ind w:left="286" w:hanging="360"/>
      </w:pPr>
      <w:rPr>
        <w:rFonts w:hint="default"/>
      </w:rPr>
    </w:lvl>
    <w:lvl w:ilvl="7" w:tplc="0C090019">
      <w:start w:val="1"/>
      <w:numFmt w:val="lowerLetter"/>
      <w:lvlText w:val="%8."/>
      <w:lvlJc w:val="left"/>
      <w:pPr>
        <w:ind w:left="1006" w:hanging="360"/>
      </w:pPr>
    </w:lvl>
    <w:lvl w:ilvl="8" w:tplc="0C09001B" w:tentative="1">
      <w:start w:val="1"/>
      <w:numFmt w:val="lowerRoman"/>
      <w:lvlText w:val="%9."/>
      <w:lvlJc w:val="right"/>
      <w:pPr>
        <w:ind w:left="1726" w:hanging="180"/>
      </w:pPr>
    </w:lvl>
  </w:abstractNum>
  <w:abstractNum w:abstractNumId="150"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1" w15:restartNumberingAfterBreak="0">
    <w:nsid w:val="64027B94"/>
    <w:multiLevelType w:val="hybridMultilevel"/>
    <w:tmpl w:val="78364460"/>
    <w:lvl w:ilvl="0" w:tplc="A3F0D726">
      <w:start w:val="1"/>
      <w:numFmt w:val="bullet"/>
      <w:lvlText w:val=""/>
      <w:lvlPicBulletId w:val="1"/>
      <w:lvlJc w:val="left"/>
      <w:pPr>
        <w:tabs>
          <w:tab w:val="num" w:pos="720"/>
        </w:tabs>
        <w:ind w:left="720" w:hanging="360"/>
      </w:pPr>
      <w:rPr>
        <w:rFonts w:ascii="Symbol" w:hAnsi="Symbol" w:hint="default"/>
      </w:rPr>
    </w:lvl>
    <w:lvl w:ilvl="1" w:tplc="7DA81A42" w:tentative="1">
      <w:start w:val="1"/>
      <w:numFmt w:val="bullet"/>
      <w:lvlText w:val=""/>
      <w:lvlJc w:val="left"/>
      <w:pPr>
        <w:tabs>
          <w:tab w:val="num" w:pos="1440"/>
        </w:tabs>
        <w:ind w:left="1440" w:hanging="360"/>
      </w:pPr>
      <w:rPr>
        <w:rFonts w:ascii="Symbol" w:hAnsi="Symbol" w:hint="default"/>
      </w:rPr>
    </w:lvl>
    <w:lvl w:ilvl="2" w:tplc="AA24CEF8" w:tentative="1">
      <w:start w:val="1"/>
      <w:numFmt w:val="bullet"/>
      <w:lvlText w:val=""/>
      <w:lvlJc w:val="left"/>
      <w:pPr>
        <w:tabs>
          <w:tab w:val="num" w:pos="2160"/>
        </w:tabs>
        <w:ind w:left="2160" w:hanging="360"/>
      </w:pPr>
      <w:rPr>
        <w:rFonts w:ascii="Symbol" w:hAnsi="Symbol" w:hint="default"/>
      </w:rPr>
    </w:lvl>
    <w:lvl w:ilvl="3" w:tplc="ACF494CA" w:tentative="1">
      <w:start w:val="1"/>
      <w:numFmt w:val="bullet"/>
      <w:lvlText w:val=""/>
      <w:lvlJc w:val="left"/>
      <w:pPr>
        <w:tabs>
          <w:tab w:val="num" w:pos="2880"/>
        </w:tabs>
        <w:ind w:left="2880" w:hanging="360"/>
      </w:pPr>
      <w:rPr>
        <w:rFonts w:ascii="Symbol" w:hAnsi="Symbol" w:hint="default"/>
      </w:rPr>
    </w:lvl>
    <w:lvl w:ilvl="4" w:tplc="7BE20484" w:tentative="1">
      <w:start w:val="1"/>
      <w:numFmt w:val="bullet"/>
      <w:lvlText w:val=""/>
      <w:lvlJc w:val="left"/>
      <w:pPr>
        <w:tabs>
          <w:tab w:val="num" w:pos="3600"/>
        </w:tabs>
        <w:ind w:left="3600" w:hanging="360"/>
      </w:pPr>
      <w:rPr>
        <w:rFonts w:ascii="Symbol" w:hAnsi="Symbol" w:hint="default"/>
      </w:rPr>
    </w:lvl>
    <w:lvl w:ilvl="5" w:tplc="79A2B4CE" w:tentative="1">
      <w:start w:val="1"/>
      <w:numFmt w:val="bullet"/>
      <w:lvlText w:val=""/>
      <w:lvlJc w:val="left"/>
      <w:pPr>
        <w:tabs>
          <w:tab w:val="num" w:pos="4320"/>
        </w:tabs>
        <w:ind w:left="4320" w:hanging="360"/>
      </w:pPr>
      <w:rPr>
        <w:rFonts w:ascii="Symbol" w:hAnsi="Symbol" w:hint="default"/>
      </w:rPr>
    </w:lvl>
    <w:lvl w:ilvl="6" w:tplc="DA3E32E2" w:tentative="1">
      <w:start w:val="1"/>
      <w:numFmt w:val="bullet"/>
      <w:lvlText w:val=""/>
      <w:lvlJc w:val="left"/>
      <w:pPr>
        <w:tabs>
          <w:tab w:val="num" w:pos="5040"/>
        </w:tabs>
        <w:ind w:left="5040" w:hanging="360"/>
      </w:pPr>
      <w:rPr>
        <w:rFonts w:ascii="Symbol" w:hAnsi="Symbol" w:hint="default"/>
      </w:rPr>
    </w:lvl>
    <w:lvl w:ilvl="7" w:tplc="4E00D64E" w:tentative="1">
      <w:start w:val="1"/>
      <w:numFmt w:val="bullet"/>
      <w:lvlText w:val=""/>
      <w:lvlJc w:val="left"/>
      <w:pPr>
        <w:tabs>
          <w:tab w:val="num" w:pos="5760"/>
        </w:tabs>
        <w:ind w:left="5760" w:hanging="360"/>
      </w:pPr>
      <w:rPr>
        <w:rFonts w:ascii="Symbol" w:hAnsi="Symbol" w:hint="default"/>
      </w:rPr>
    </w:lvl>
    <w:lvl w:ilvl="8" w:tplc="160E813C" w:tentative="1">
      <w:start w:val="1"/>
      <w:numFmt w:val="bullet"/>
      <w:lvlText w:val=""/>
      <w:lvlJc w:val="left"/>
      <w:pPr>
        <w:tabs>
          <w:tab w:val="num" w:pos="6480"/>
        </w:tabs>
        <w:ind w:left="6480" w:hanging="360"/>
      </w:pPr>
      <w:rPr>
        <w:rFonts w:ascii="Symbol" w:hAnsi="Symbol" w:hint="default"/>
      </w:rPr>
    </w:lvl>
  </w:abstractNum>
  <w:abstractNum w:abstractNumId="152" w15:restartNumberingAfterBreak="0">
    <w:nsid w:val="64AA1E32"/>
    <w:multiLevelType w:val="hybridMultilevel"/>
    <w:tmpl w:val="276CDE04"/>
    <w:lvl w:ilvl="0" w:tplc="F76C896E">
      <w:start w:val="1"/>
      <w:numFmt w:val="bullet"/>
      <w:lvlText w:val=""/>
      <w:lvlPicBulletId w:val="1"/>
      <w:lvlJc w:val="left"/>
      <w:pPr>
        <w:tabs>
          <w:tab w:val="num" w:pos="720"/>
        </w:tabs>
        <w:ind w:left="720" w:hanging="360"/>
      </w:pPr>
      <w:rPr>
        <w:rFonts w:ascii="Symbol" w:hAnsi="Symbol" w:hint="default"/>
      </w:rPr>
    </w:lvl>
    <w:lvl w:ilvl="1" w:tplc="BC602F00" w:tentative="1">
      <w:start w:val="1"/>
      <w:numFmt w:val="bullet"/>
      <w:lvlText w:val=""/>
      <w:lvlJc w:val="left"/>
      <w:pPr>
        <w:tabs>
          <w:tab w:val="num" w:pos="1440"/>
        </w:tabs>
        <w:ind w:left="1440" w:hanging="360"/>
      </w:pPr>
      <w:rPr>
        <w:rFonts w:ascii="Symbol" w:hAnsi="Symbol" w:hint="default"/>
      </w:rPr>
    </w:lvl>
    <w:lvl w:ilvl="2" w:tplc="691A9D8C" w:tentative="1">
      <w:start w:val="1"/>
      <w:numFmt w:val="bullet"/>
      <w:lvlText w:val=""/>
      <w:lvlJc w:val="left"/>
      <w:pPr>
        <w:tabs>
          <w:tab w:val="num" w:pos="2160"/>
        </w:tabs>
        <w:ind w:left="2160" w:hanging="360"/>
      </w:pPr>
      <w:rPr>
        <w:rFonts w:ascii="Symbol" w:hAnsi="Symbol" w:hint="default"/>
      </w:rPr>
    </w:lvl>
    <w:lvl w:ilvl="3" w:tplc="8DE0682E" w:tentative="1">
      <w:start w:val="1"/>
      <w:numFmt w:val="bullet"/>
      <w:lvlText w:val=""/>
      <w:lvlJc w:val="left"/>
      <w:pPr>
        <w:tabs>
          <w:tab w:val="num" w:pos="2880"/>
        </w:tabs>
        <w:ind w:left="2880" w:hanging="360"/>
      </w:pPr>
      <w:rPr>
        <w:rFonts w:ascii="Symbol" w:hAnsi="Symbol" w:hint="default"/>
      </w:rPr>
    </w:lvl>
    <w:lvl w:ilvl="4" w:tplc="4B78BF12" w:tentative="1">
      <w:start w:val="1"/>
      <w:numFmt w:val="bullet"/>
      <w:lvlText w:val=""/>
      <w:lvlJc w:val="left"/>
      <w:pPr>
        <w:tabs>
          <w:tab w:val="num" w:pos="3600"/>
        </w:tabs>
        <w:ind w:left="3600" w:hanging="360"/>
      </w:pPr>
      <w:rPr>
        <w:rFonts w:ascii="Symbol" w:hAnsi="Symbol" w:hint="default"/>
      </w:rPr>
    </w:lvl>
    <w:lvl w:ilvl="5" w:tplc="A5202F52" w:tentative="1">
      <w:start w:val="1"/>
      <w:numFmt w:val="bullet"/>
      <w:lvlText w:val=""/>
      <w:lvlJc w:val="left"/>
      <w:pPr>
        <w:tabs>
          <w:tab w:val="num" w:pos="4320"/>
        </w:tabs>
        <w:ind w:left="4320" w:hanging="360"/>
      </w:pPr>
      <w:rPr>
        <w:rFonts w:ascii="Symbol" w:hAnsi="Symbol" w:hint="default"/>
      </w:rPr>
    </w:lvl>
    <w:lvl w:ilvl="6" w:tplc="A22E6D92" w:tentative="1">
      <w:start w:val="1"/>
      <w:numFmt w:val="bullet"/>
      <w:lvlText w:val=""/>
      <w:lvlJc w:val="left"/>
      <w:pPr>
        <w:tabs>
          <w:tab w:val="num" w:pos="5040"/>
        </w:tabs>
        <w:ind w:left="5040" w:hanging="360"/>
      </w:pPr>
      <w:rPr>
        <w:rFonts w:ascii="Symbol" w:hAnsi="Symbol" w:hint="default"/>
      </w:rPr>
    </w:lvl>
    <w:lvl w:ilvl="7" w:tplc="1982E59E" w:tentative="1">
      <w:start w:val="1"/>
      <w:numFmt w:val="bullet"/>
      <w:lvlText w:val=""/>
      <w:lvlJc w:val="left"/>
      <w:pPr>
        <w:tabs>
          <w:tab w:val="num" w:pos="5760"/>
        </w:tabs>
        <w:ind w:left="5760" w:hanging="360"/>
      </w:pPr>
      <w:rPr>
        <w:rFonts w:ascii="Symbol" w:hAnsi="Symbol" w:hint="default"/>
      </w:rPr>
    </w:lvl>
    <w:lvl w:ilvl="8" w:tplc="80ACD81E" w:tentative="1">
      <w:start w:val="1"/>
      <w:numFmt w:val="bullet"/>
      <w:lvlText w:val=""/>
      <w:lvlJc w:val="left"/>
      <w:pPr>
        <w:tabs>
          <w:tab w:val="num" w:pos="6480"/>
        </w:tabs>
        <w:ind w:left="6480" w:hanging="360"/>
      </w:pPr>
      <w:rPr>
        <w:rFonts w:ascii="Symbol" w:hAnsi="Symbol" w:hint="default"/>
      </w:rPr>
    </w:lvl>
  </w:abstractNum>
  <w:abstractNum w:abstractNumId="153" w15:restartNumberingAfterBreak="0">
    <w:nsid w:val="64E868CE"/>
    <w:multiLevelType w:val="hybridMultilevel"/>
    <w:tmpl w:val="FC52923A"/>
    <w:lvl w:ilvl="0" w:tplc="462ED28E">
      <w:start w:val="1"/>
      <w:numFmt w:val="bullet"/>
      <w:lvlText w:val=""/>
      <w:lvlPicBulletId w:val="1"/>
      <w:lvlJc w:val="left"/>
      <w:pPr>
        <w:tabs>
          <w:tab w:val="num" w:pos="720"/>
        </w:tabs>
        <w:ind w:left="720" w:hanging="360"/>
      </w:pPr>
      <w:rPr>
        <w:rFonts w:ascii="Symbol" w:hAnsi="Symbol" w:hint="default"/>
      </w:rPr>
    </w:lvl>
    <w:lvl w:ilvl="1" w:tplc="462ED36A" w:tentative="1">
      <w:start w:val="1"/>
      <w:numFmt w:val="bullet"/>
      <w:lvlText w:val=""/>
      <w:lvlJc w:val="left"/>
      <w:pPr>
        <w:tabs>
          <w:tab w:val="num" w:pos="1440"/>
        </w:tabs>
        <w:ind w:left="1440" w:hanging="360"/>
      </w:pPr>
      <w:rPr>
        <w:rFonts w:ascii="Symbol" w:hAnsi="Symbol" w:hint="default"/>
      </w:rPr>
    </w:lvl>
    <w:lvl w:ilvl="2" w:tplc="26C0E7A4" w:tentative="1">
      <w:start w:val="1"/>
      <w:numFmt w:val="bullet"/>
      <w:lvlText w:val=""/>
      <w:lvlJc w:val="left"/>
      <w:pPr>
        <w:tabs>
          <w:tab w:val="num" w:pos="2160"/>
        </w:tabs>
        <w:ind w:left="2160" w:hanging="360"/>
      </w:pPr>
      <w:rPr>
        <w:rFonts w:ascii="Symbol" w:hAnsi="Symbol" w:hint="default"/>
      </w:rPr>
    </w:lvl>
    <w:lvl w:ilvl="3" w:tplc="0942A170" w:tentative="1">
      <w:start w:val="1"/>
      <w:numFmt w:val="bullet"/>
      <w:lvlText w:val=""/>
      <w:lvlJc w:val="left"/>
      <w:pPr>
        <w:tabs>
          <w:tab w:val="num" w:pos="2880"/>
        </w:tabs>
        <w:ind w:left="2880" w:hanging="360"/>
      </w:pPr>
      <w:rPr>
        <w:rFonts w:ascii="Symbol" w:hAnsi="Symbol" w:hint="default"/>
      </w:rPr>
    </w:lvl>
    <w:lvl w:ilvl="4" w:tplc="C81EC014" w:tentative="1">
      <w:start w:val="1"/>
      <w:numFmt w:val="bullet"/>
      <w:lvlText w:val=""/>
      <w:lvlJc w:val="left"/>
      <w:pPr>
        <w:tabs>
          <w:tab w:val="num" w:pos="3600"/>
        </w:tabs>
        <w:ind w:left="3600" w:hanging="360"/>
      </w:pPr>
      <w:rPr>
        <w:rFonts w:ascii="Symbol" w:hAnsi="Symbol" w:hint="default"/>
      </w:rPr>
    </w:lvl>
    <w:lvl w:ilvl="5" w:tplc="44C0D68C" w:tentative="1">
      <w:start w:val="1"/>
      <w:numFmt w:val="bullet"/>
      <w:lvlText w:val=""/>
      <w:lvlJc w:val="left"/>
      <w:pPr>
        <w:tabs>
          <w:tab w:val="num" w:pos="4320"/>
        </w:tabs>
        <w:ind w:left="4320" w:hanging="360"/>
      </w:pPr>
      <w:rPr>
        <w:rFonts w:ascii="Symbol" w:hAnsi="Symbol" w:hint="default"/>
      </w:rPr>
    </w:lvl>
    <w:lvl w:ilvl="6" w:tplc="5112A644" w:tentative="1">
      <w:start w:val="1"/>
      <w:numFmt w:val="bullet"/>
      <w:lvlText w:val=""/>
      <w:lvlJc w:val="left"/>
      <w:pPr>
        <w:tabs>
          <w:tab w:val="num" w:pos="5040"/>
        </w:tabs>
        <w:ind w:left="5040" w:hanging="360"/>
      </w:pPr>
      <w:rPr>
        <w:rFonts w:ascii="Symbol" w:hAnsi="Symbol" w:hint="default"/>
      </w:rPr>
    </w:lvl>
    <w:lvl w:ilvl="7" w:tplc="F7F65AE4" w:tentative="1">
      <w:start w:val="1"/>
      <w:numFmt w:val="bullet"/>
      <w:lvlText w:val=""/>
      <w:lvlJc w:val="left"/>
      <w:pPr>
        <w:tabs>
          <w:tab w:val="num" w:pos="5760"/>
        </w:tabs>
        <w:ind w:left="5760" w:hanging="360"/>
      </w:pPr>
      <w:rPr>
        <w:rFonts w:ascii="Symbol" w:hAnsi="Symbol" w:hint="default"/>
      </w:rPr>
    </w:lvl>
    <w:lvl w:ilvl="8" w:tplc="336633A4" w:tentative="1">
      <w:start w:val="1"/>
      <w:numFmt w:val="bullet"/>
      <w:lvlText w:val=""/>
      <w:lvlJc w:val="left"/>
      <w:pPr>
        <w:tabs>
          <w:tab w:val="num" w:pos="6480"/>
        </w:tabs>
        <w:ind w:left="6480" w:hanging="360"/>
      </w:pPr>
      <w:rPr>
        <w:rFonts w:ascii="Symbol" w:hAnsi="Symbol" w:hint="default"/>
      </w:rPr>
    </w:lvl>
  </w:abstractNum>
  <w:abstractNum w:abstractNumId="154" w15:restartNumberingAfterBreak="0">
    <w:nsid w:val="65071478"/>
    <w:multiLevelType w:val="hybridMultilevel"/>
    <w:tmpl w:val="6B3444A0"/>
    <w:lvl w:ilvl="0" w:tplc="01D2533A">
      <w:start w:val="1"/>
      <w:numFmt w:val="decimal"/>
      <w:pStyle w:val="ACMAFigureHeader"/>
      <w:lvlText w:val="Figure %1: "/>
      <w:lvlJc w:val="left"/>
      <w:pPr>
        <w:tabs>
          <w:tab w:val="num" w:pos="1021"/>
        </w:tabs>
        <w:ind w:left="1021" w:hanging="1021"/>
      </w:pPr>
      <w:rPr>
        <w:rFonts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5" w15:restartNumberingAfterBreak="0">
    <w:nsid w:val="6538506B"/>
    <w:multiLevelType w:val="hybridMultilevel"/>
    <w:tmpl w:val="BB10D06C"/>
    <w:lvl w:ilvl="0" w:tplc="7B5CFE80">
      <w:start w:val="1"/>
      <w:numFmt w:val="bullet"/>
      <w:lvlText w:val=""/>
      <w:lvlPicBulletId w:val="1"/>
      <w:lvlJc w:val="left"/>
      <w:pPr>
        <w:tabs>
          <w:tab w:val="num" w:pos="720"/>
        </w:tabs>
        <w:ind w:left="720" w:hanging="360"/>
      </w:pPr>
      <w:rPr>
        <w:rFonts w:ascii="Symbol" w:hAnsi="Symbol" w:hint="default"/>
      </w:rPr>
    </w:lvl>
    <w:lvl w:ilvl="1" w:tplc="0012EC8E" w:tentative="1">
      <w:start w:val="1"/>
      <w:numFmt w:val="bullet"/>
      <w:lvlText w:val=""/>
      <w:lvlJc w:val="left"/>
      <w:pPr>
        <w:tabs>
          <w:tab w:val="num" w:pos="1440"/>
        </w:tabs>
        <w:ind w:left="1440" w:hanging="360"/>
      </w:pPr>
      <w:rPr>
        <w:rFonts w:ascii="Symbol" w:hAnsi="Symbol" w:hint="default"/>
      </w:rPr>
    </w:lvl>
    <w:lvl w:ilvl="2" w:tplc="B7361A74" w:tentative="1">
      <w:start w:val="1"/>
      <w:numFmt w:val="bullet"/>
      <w:lvlText w:val=""/>
      <w:lvlJc w:val="left"/>
      <w:pPr>
        <w:tabs>
          <w:tab w:val="num" w:pos="2160"/>
        </w:tabs>
        <w:ind w:left="2160" w:hanging="360"/>
      </w:pPr>
      <w:rPr>
        <w:rFonts w:ascii="Symbol" w:hAnsi="Symbol" w:hint="default"/>
      </w:rPr>
    </w:lvl>
    <w:lvl w:ilvl="3" w:tplc="4E3CADFA" w:tentative="1">
      <w:start w:val="1"/>
      <w:numFmt w:val="bullet"/>
      <w:lvlText w:val=""/>
      <w:lvlJc w:val="left"/>
      <w:pPr>
        <w:tabs>
          <w:tab w:val="num" w:pos="2880"/>
        </w:tabs>
        <w:ind w:left="2880" w:hanging="360"/>
      </w:pPr>
      <w:rPr>
        <w:rFonts w:ascii="Symbol" w:hAnsi="Symbol" w:hint="default"/>
      </w:rPr>
    </w:lvl>
    <w:lvl w:ilvl="4" w:tplc="C6483C66" w:tentative="1">
      <w:start w:val="1"/>
      <w:numFmt w:val="bullet"/>
      <w:lvlText w:val=""/>
      <w:lvlJc w:val="left"/>
      <w:pPr>
        <w:tabs>
          <w:tab w:val="num" w:pos="3600"/>
        </w:tabs>
        <w:ind w:left="3600" w:hanging="360"/>
      </w:pPr>
      <w:rPr>
        <w:rFonts w:ascii="Symbol" w:hAnsi="Symbol" w:hint="default"/>
      </w:rPr>
    </w:lvl>
    <w:lvl w:ilvl="5" w:tplc="A98E4908" w:tentative="1">
      <w:start w:val="1"/>
      <w:numFmt w:val="bullet"/>
      <w:lvlText w:val=""/>
      <w:lvlJc w:val="left"/>
      <w:pPr>
        <w:tabs>
          <w:tab w:val="num" w:pos="4320"/>
        </w:tabs>
        <w:ind w:left="4320" w:hanging="360"/>
      </w:pPr>
      <w:rPr>
        <w:rFonts w:ascii="Symbol" w:hAnsi="Symbol" w:hint="default"/>
      </w:rPr>
    </w:lvl>
    <w:lvl w:ilvl="6" w:tplc="39828328" w:tentative="1">
      <w:start w:val="1"/>
      <w:numFmt w:val="bullet"/>
      <w:lvlText w:val=""/>
      <w:lvlJc w:val="left"/>
      <w:pPr>
        <w:tabs>
          <w:tab w:val="num" w:pos="5040"/>
        </w:tabs>
        <w:ind w:left="5040" w:hanging="360"/>
      </w:pPr>
      <w:rPr>
        <w:rFonts w:ascii="Symbol" w:hAnsi="Symbol" w:hint="default"/>
      </w:rPr>
    </w:lvl>
    <w:lvl w:ilvl="7" w:tplc="F766A9D0" w:tentative="1">
      <w:start w:val="1"/>
      <w:numFmt w:val="bullet"/>
      <w:lvlText w:val=""/>
      <w:lvlJc w:val="left"/>
      <w:pPr>
        <w:tabs>
          <w:tab w:val="num" w:pos="5760"/>
        </w:tabs>
        <w:ind w:left="5760" w:hanging="360"/>
      </w:pPr>
      <w:rPr>
        <w:rFonts w:ascii="Symbol" w:hAnsi="Symbol" w:hint="default"/>
      </w:rPr>
    </w:lvl>
    <w:lvl w:ilvl="8" w:tplc="35EC0968" w:tentative="1">
      <w:start w:val="1"/>
      <w:numFmt w:val="bullet"/>
      <w:lvlText w:val=""/>
      <w:lvlJc w:val="left"/>
      <w:pPr>
        <w:tabs>
          <w:tab w:val="num" w:pos="6480"/>
        </w:tabs>
        <w:ind w:left="6480" w:hanging="360"/>
      </w:pPr>
      <w:rPr>
        <w:rFonts w:ascii="Symbol" w:hAnsi="Symbol" w:hint="default"/>
      </w:rPr>
    </w:lvl>
  </w:abstractNum>
  <w:abstractNum w:abstractNumId="156" w15:restartNumberingAfterBreak="0">
    <w:nsid w:val="67271270"/>
    <w:multiLevelType w:val="hybridMultilevel"/>
    <w:tmpl w:val="1E82E400"/>
    <w:lvl w:ilvl="0" w:tplc="ABB0ED9C">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7" w15:restartNumberingAfterBreak="0">
    <w:nsid w:val="682657A2"/>
    <w:multiLevelType w:val="hybridMultilevel"/>
    <w:tmpl w:val="4ABA3CE8"/>
    <w:lvl w:ilvl="0" w:tplc="055CDDFE">
      <w:start w:val="1"/>
      <w:numFmt w:val="bullet"/>
      <w:lvlText w:val=""/>
      <w:lvlPicBulletId w:val="0"/>
      <w:lvlJc w:val="left"/>
      <w:pPr>
        <w:tabs>
          <w:tab w:val="num" w:pos="720"/>
        </w:tabs>
        <w:ind w:left="720" w:hanging="360"/>
      </w:pPr>
      <w:rPr>
        <w:rFonts w:ascii="Symbol" w:hAnsi="Symbol" w:hint="default"/>
      </w:rPr>
    </w:lvl>
    <w:lvl w:ilvl="1" w:tplc="FD949AF2" w:tentative="1">
      <w:start w:val="1"/>
      <w:numFmt w:val="bullet"/>
      <w:lvlText w:val=""/>
      <w:lvlJc w:val="left"/>
      <w:pPr>
        <w:tabs>
          <w:tab w:val="num" w:pos="1440"/>
        </w:tabs>
        <w:ind w:left="1440" w:hanging="360"/>
      </w:pPr>
      <w:rPr>
        <w:rFonts w:ascii="Symbol" w:hAnsi="Symbol" w:hint="default"/>
      </w:rPr>
    </w:lvl>
    <w:lvl w:ilvl="2" w:tplc="C6A8D59C" w:tentative="1">
      <w:start w:val="1"/>
      <w:numFmt w:val="bullet"/>
      <w:lvlText w:val=""/>
      <w:lvlJc w:val="left"/>
      <w:pPr>
        <w:tabs>
          <w:tab w:val="num" w:pos="2160"/>
        </w:tabs>
        <w:ind w:left="2160" w:hanging="360"/>
      </w:pPr>
      <w:rPr>
        <w:rFonts w:ascii="Symbol" w:hAnsi="Symbol" w:hint="default"/>
      </w:rPr>
    </w:lvl>
    <w:lvl w:ilvl="3" w:tplc="3BAC7F5E" w:tentative="1">
      <w:start w:val="1"/>
      <w:numFmt w:val="bullet"/>
      <w:lvlText w:val=""/>
      <w:lvlJc w:val="left"/>
      <w:pPr>
        <w:tabs>
          <w:tab w:val="num" w:pos="2880"/>
        </w:tabs>
        <w:ind w:left="2880" w:hanging="360"/>
      </w:pPr>
      <w:rPr>
        <w:rFonts w:ascii="Symbol" w:hAnsi="Symbol" w:hint="default"/>
      </w:rPr>
    </w:lvl>
    <w:lvl w:ilvl="4" w:tplc="98E4E242" w:tentative="1">
      <w:start w:val="1"/>
      <w:numFmt w:val="bullet"/>
      <w:lvlText w:val=""/>
      <w:lvlJc w:val="left"/>
      <w:pPr>
        <w:tabs>
          <w:tab w:val="num" w:pos="3600"/>
        </w:tabs>
        <w:ind w:left="3600" w:hanging="360"/>
      </w:pPr>
      <w:rPr>
        <w:rFonts w:ascii="Symbol" w:hAnsi="Symbol" w:hint="default"/>
      </w:rPr>
    </w:lvl>
    <w:lvl w:ilvl="5" w:tplc="A9B29664" w:tentative="1">
      <w:start w:val="1"/>
      <w:numFmt w:val="bullet"/>
      <w:lvlText w:val=""/>
      <w:lvlJc w:val="left"/>
      <w:pPr>
        <w:tabs>
          <w:tab w:val="num" w:pos="4320"/>
        </w:tabs>
        <w:ind w:left="4320" w:hanging="360"/>
      </w:pPr>
      <w:rPr>
        <w:rFonts w:ascii="Symbol" w:hAnsi="Symbol" w:hint="default"/>
      </w:rPr>
    </w:lvl>
    <w:lvl w:ilvl="6" w:tplc="F25EB9A2" w:tentative="1">
      <w:start w:val="1"/>
      <w:numFmt w:val="bullet"/>
      <w:lvlText w:val=""/>
      <w:lvlJc w:val="left"/>
      <w:pPr>
        <w:tabs>
          <w:tab w:val="num" w:pos="5040"/>
        </w:tabs>
        <w:ind w:left="5040" w:hanging="360"/>
      </w:pPr>
      <w:rPr>
        <w:rFonts w:ascii="Symbol" w:hAnsi="Symbol" w:hint="default"/>
      </w:rPr>
    </w:lvl>
    <w:lvl w:ilvl="7" w:tplc="F59886BC" w:tentative="1">
      <w:start w:val="1"/>
      <w:numFmt w:val="bullet"/>
      <w:lvlText w:val=""/>
      <w:lvlJc w:val="left"/>
      <w:pPr>
        <w:tabs>
          <w:tab w:val="num" w:pos="5760"/>
        </w:tabs>
        <w:ind w:left="5760" w:hanging="360"/>
      </w:pPr>
      <w:rPr>
        <w:rFonts w:ascii="Symbol" w:hAnsi="Symbol" w:hint="default"/>
      </w:rPr>
    </w:lvl>
    <w:lvl w:ilvl="8" w:tplc="66D4512C" w:tentative="1">
      <w:start w:val="1"/>
      <w:numFmt w:val="bullet"/>
      <w:lvlText w:val=""/>
      <w:lvlJc w:val="left"/>
      <w:pPr>
        <w:tabs>
          <w:tab w:val="num" w:pos="6480"/>
        </w:tabs>
        <w:ind w:left="6480" w:hanging="360"/>
      </w:pPr>
      <w:rPr>
        <w:rFonts w:ascii="Symbol" w:hAnsi="Symbol" w:hint="default"/>
      </w:rPr>
    </w:lvl>
  </w:abstractNum>
  <w:abstractNum w:abstractNumId="158" w15:restartNumberingAfterBreak="0">
    <w:nsid w:val="68BE0D26"/>
    <w:multiLevelType w:val="hybridMultilevel"/>
    <w:tmpl w:val="44443A5E"/>
    <w:lvl w:ilvl="0" w:tplc="9B72D15E">
      <w:start w:val="1"/>
      <w:numFmt w:val="bullet"/>
      <w:lvlText w:val=""/>
      <w:lvlPicBulletId w:val="1"/>
      <w:lvlJc w:val="left"/>
      <w:pPr>
        <w:tabs>
          <w:tab w:val="num" w:pos="720"/>
        </w:tabs>
        <w:ind w:left="720" w:hanging="360"/>
      </w:pPr>
      <w:rPr>
        <w:rFonts w:ascii="Symbol" w:hAnsi="Symbol" w:hint="default"/>
      </w:rPr>
    </w:lvl>
    <w:lvl w:ilvl="1" w:tplc="C1FEDC16" w:tentative="1">
      <w:start w:val="1"/>
      <w:numFmt w:val="bullet"/>
      <w:lvlText w:val=""/>
      <w:lvlJc w:val="left"/>
      <w:pPr>
        <w:tabs>
          <w:tab w:val="num" w:pos="1440"/>
        </w:tabs>
        <w:ind w:left="1440" w:hanging="360"/>
      </w:pPr>
      <w:rPr>
        <w:rFonts w:ascii="Symbol" w:hAnsi="Symbol" w:hint="default"/>
      </w:rPr>
    </w:lvl>
    <w:lvl w:ilvl="2" w:tplc="EEB074DC" w:tentative="1">
      <w:start w:val="1"/>
      <w:numFmt w:val="bullet"/>
      <w:lvlText w:val=""/>
      <w:lvlJc w:val="left"/>
      <w:pPr>
        <w:tabs>
          <w:tab w:val="num" w:pos="2160"/>
        </w:tabs>
        <w:ind w:left="2160" w:hanging="360"/>
      </w:pPr>
      <w:rPr>
        <w:rFonts w:ascii="Symbol" w:hAnsi="Symbol" w:hint="default"/>
      </w:rPr>
    </w:lvl>
    <w:lvl w:ilvl="3" w:tplc="9E8CCD9E" w:tentative="1">
      <w:start w:val="1"/>
      <w:numFmt w:val="bullet"/>
      <w:lvlText w:val=""/>
      <w:lvlJc w:val="left"/>
      <w:pPr>
        <w:tabs>
          <w:tab w:val="num" w:pos="2880"/>
        </w:tabs>
        <w:ind w:left="2880" w:hanging="360"/>
      </w:pPr>
      <w:rPr>
        <w:rFonts w:ascii="Symbol" w:hAnsi="Symbol" w:hint="default"/>
      </w:rPr>
    </w:lvl>
    <w:lvl w:ilvl="4" w:tplc="BD18C4A8" w:tentative="1">
      <w:start w:val="1"/>
      <w:numFmt w:val="bullet"/>
      <w:lvlText w:val=""/>
      <w:lvlJc w:val="left"/>
      <w:pPr>
        <w:tabs>
          <w:tab w:val="num" w:pos="3600"/>
        </w:tabs>
        <w:ind w:left="3600" w:hanging="360"/>
      </w:pPr>
      <w:rPr>
        <w:rFonts w:ascii="Symbol" w:hAnsi="Symbol" w:hint="default"/>
      </w:rPr>
    </w:lvl>
    <w:lvl w:ilvl="5" w:tplc="04B4BF08" w:tentative="1">
      <w:start w:val="1"/>
      <w:numFmt w:val="bullet"/>
      <w:lvlText w:val=""/>
      <w:lvlJc w:val="left"/>
      <w:pPr>
        <w:tabs>
          <w:tab w:val="num" w:pos="4320"/>
        </w:tabs>
        <w:ind w:left="4320" w:hanging="360"/>
      </w:pPr>
      <w:rPr>
        <w:rFonts w:ascii="Symbol" w:hAnsi="Symbol" w:hint="default"/>
      </w:rPr>
    </w:lvl>
    <w:lvl w:ilvl="6" w:tplc="381880CC" w:tentative="1">
      <w:start w:val="1"/>
      <w:numFmt w:val="bullet"/>
      <w:lvlText w:val=""/>
      <w:lvlJc w:val="left"/>
      <w:pPr>
        <w:tabs>
          <w:tab w:val="num" w:pos="5040"/>
        </w:tabs>
        <w:ind w:left="5040" w:hanging="360"/>
      </w:pPr>
      <w:rPr>
        <w:rFonts w:ascii="Symbol" w:hAnsi="Symbol" w:hint="default"/>
      </w:rPr>
    </w:lvl>
    <w:lvl w:ilvl="7" w:tplc="844E4B6E" w:tentative="1">
      <w:start w:val="1"/>
      <w:numFmt w:val="bullet"/>
      <w:lvlText w:val=""/>
      <w:lvlJc w:val="left"/>
      <w:pPr>
        <w:tabs>
          <w:tab w:val="num" w:pos="5760"/>
        </w:tabs>
        <w:ind w:left="5760" w:hanging="360"/>
      </w:pPr>
      <w:rPr>
        <w:rFonts w:ascii="Symbol" w:hAnsi="Symbol" w:hint="default"/>
      </w:rPr>
    </w:lvl>
    <w:lvl w:ilvl="8" w:tplc="318298A0" w:tentative="1">
      <w:start w:val="1"/>
      <w:numFmt w:val="bullet"/>
      <w:lvlText w:val=""/>
      <w:lvlJc w:val="left"/>
      <w:pPr>
        <w:tabs>
          <w:tab w:val="num" w:pos="6480"/>
        </w:tabs>
        <w:ind w:left="6480" w:hanging="360"/>
      </w:pPr>
      <w:rPr>
        <w:rFonts w:ascii="Symbol" w:hAnsi="Symbol" w:hint="default"/>
      </w:rPr>
    </w:lvl>
  </w:abstractNum>
  <w:abstractNum w:abstractNumId="159" w15:restartNumberingAfterBreak="0">
    <w:nsid w:val="69484F84"/>
    <w:multiLevelType w:val="hybridMultilevel"/>
    <w:tmpl w:val="8678523A"/>
    <w:lvl w:ilvl="0" w:tplc="E0165290">
      <w:start w:val="1"/>
      <w:numFmt w:val="bullet"/>
      <w:lvlText w:val=""/>
      <w:lvlPicBulletId w:val="1"/>
      <w:lvlJc w:val="left"/>
      <w:pPr>
        <w:tabs>
          <w:tab w:val="num" w:pos="720"/>
        </w:tabs>
        <w:ind w:left="720" w:hanging="360"/>
      </w:pPr>
      <w:rPr>
        <w:rFonts w:ascii="Symbol" w:hAnsi="Symbol" w:hint="default"/>
      </w:rPr>
    </w:lvl>
    <w:lvl w:ilvl="1" w:tplc="E940C110" w:tentative="1">
      <w:start w:val="1"/>
      <w:numFmt w:val="bullet"/>
      <w:lvlText w:val=""/>
      <w:lvlJc w:val="left"/>
      <w:pPr>
        <w:tabs>
          <w:tab w:val="num" w:pos="1440"/>
        </w:tabs>
        <w:ind w:left="1440" w:hanging="360"/>
      </w:pPr>
      <w:rPr>
        <w:rFonts w:ascii="Symbol" w:hAnsi="Symbol" w:hint="default"/>
      </w:rPr>
    </w:lvl>
    <w:lvl w:ilvl="2" w:tplc="2CAE6A32" w:tentative="1">
      <w:start w:val="1"/>
      <w:numFmt w:val="bullet"/>
      <w:lvlText w:val=""/>
      <w:lvlJc w:val="left"/>
      <w:pPr>
        <w:tabs>
          <w:tab w:val="num" w:pos="2160"/>
        </w:tabs>
        <w:ind w:left="2160" w:hanging="360"/>
      </w:pPr>
      <w:rPr>
        <w:rFonts w:ascii="Symbol" w:hAnsi="Symbol" w:hint="default"/>
      </w:rPr>
    </w:lvl>
    <w:lvl w:ilvl="3" w:tplc="81CAAE04" w:tentative="1">
      <w:start w:val="1"/>
      <w:numFmt w:val="bullet"/>
      <w:lvlText w:val=""/>
      <w:lvlJc w:val="left"/>
      <w:pPr>
        <w:tabs>
          <w:tab w:val="num" w:pos="2880"/>
        </w:tabs>
        <w:ind w:left="2880" w:hanging="360"/>
      </w:pPr>
      <w:rPr>
        <w:rFonts w:ascii="Symbol" w:hAnsi="Symbol" w:hint="default"/>
      </w:rPr>
    </w:lvl>
    <w:lvl w:ilvl="4" w:tplc="64D6CD86" w:tentative="1">
      <w:start w:val="1"/>
      <w:numFmt w:val="bullet"/>
      <w:lvlText w:val=""/>
      <w:lvlJc w:val="left"/>
      <w:pPr>
        <w:tabs>
          <w:tab w:val="num" w:pos="3600"/>
        </w:tabs>
        <w:ind w:left="3600" w:hanging="360"/>
      </w:pPr>
      <w:rPr>
        <w:rFonts w:ascii="Symbol" w:hAnsi="Symbol" w:hint="default"/>
      </w:rPr>
    </w:lvl>
    <w:lvl w:ilvl="5" w:tplc="4A8434A6" w:tentative="1">
      <w:start w:val="1"/>
      <w:numFmt w:val="bullet"/>
      <w:lvlText w:val=""/>
      <w:lvlJc w:val="left"/>
      <w:pPr>
        <w:tabs>
          <w:tab w:val="num" w:pos="4320"/>
        </w:tabs>
        <w:ind w:left="4320" w:hanging="360"/>
      </w:pPr>
      <w:rPr>
        <w:rFonts w:ascii="Symbol" w:hAnsi="Symbol" w:hint="default"/>
      </w:rPr>
    </w:lvl>
    <w:lvl w:ilvl="6" w:tplc="1C845B66" w:tentative="1">
      <w:start w:val="1"/>
      <w:numFmt w:val="bullet"/>
      <w:lvlText w:val=""/>
      <w:lvlJc w:val="left"/>
      <w:pPr>
        <w:tabs>
          <w:tab w:val="num" w:pos="5040"/>
        </w:tabs>
        <w:ind w:left="5040" w:hanging="360"/>
      </w:pPr>
      <w:rPr>
        <w:rFonts w:ascii="Symbol" w:hAnsi="Symbol" w:hint="default"/>
      </w:rPr>
    </w:lvl>
    <w:lvl w:ilvl="7" w:tplc="CC14C13E" w:tentative="1">
      <w:start w:val="1"/>
      <w:numFmt w:val="bullet"/>
      <w:lvlText w:val=""/>
      <w:lvlJc w:val="left"/>
      <w:pPr>
        <w:tabs>
          <w:tab w:val="num" w:pos="5760"/>
        </w:tabs>
        <w:ind w:left="5760" w:hanging="360"/>
      </w:pPr>
      <w:rPr>
        <w:rFonts w:ascii="Symbol" w:hAnsi="Symbol" w:hint="default"/>
      </w:rPr>
    </w:lvl>
    <w:lvl w:ilvl="8" w:tplc="18EC9594" w:tentative="1">
      <w:start w:val="1"/>
      <w:numFmt w:val="bullet"/>
      <w:lvlText w:val=""/>
      <w:lvlJc w:val="left"/>
      <w:pPr>
        <w:tabs>
          <w:tab w:val="num" w:pos="6480"/>
        </w:tabs>
        <w:ind w:left="6480" w:hanging="360"/>
      </w:pPr>
      <w:rPr>
        <w:rFonts w:ascii="Symbol" w:hAnsi="Symbol" w:hint="default"/>
      </w:rPr>
    </w:lvl>
  </w:abstractNum>
  <w:abstractNum w:abstractNumId="160" w15:restartNumberingAfterBreak="0">
    <w:nsid w:val="6B393739"/>
    <w:multiLevelType w:val="hybridMultilevel"/>
    <w:tmpl w:val="7F92AA04"/>
    <w:lvl w:ilvl="0" w:tplc="DF7086B8">
      <w:start w:val="1"/>
      <w:numFmt w:val="bullet"/>
      <w:lvlText w:val=""/>
      <w:lvlPicBulletId w:val="1"/>
      <w:lvlJc w:val="left"/>
      <w:pPr>
        <w:tabs>
          <w:tab w:val="num" w:pos="720"/>
        </w:tabs>
        <w:ind w:left="720" w:hanging="360"/>
      </w:pPr>
      <w:rPr>
        <w:rFonts w:ascii="Symbol" w:hAnsi="Symbol" w:hint="default"/>
      </w:rPr>
    </w:lvl>
    <w:lvl w:ilvl="1" w:tplc="E446E4FA" w:tentative="1">
      <w:start w:val="1"/>
      <w:numFmt w:val="bullet"/>
      <w:lvlText w:val=""/>
      <w:lvlJc w:val="left"/>
      <w:pPr>
        <w:tabs>
          <w:tab w:val="num" w:pos="1440"/>
        </w:tabs>
        <w:ind w:left="1440" w:hanging="360"/>
      </w:pPr>
      <w:rPr>
        <w:rFonts w:ascii="Symbol" w:hAnsi="Symbol" w:hint="default"/>
      </w:rPr>
    </w:lvl>
    <w:lvl w:ilvl="2" w:tplc="C870F378" w:tentative="1">
      <w:start w:val="1"/>
      <w:numFmt w:val="bullet"/>
      <w:lvlText w:val=""/>
      <w:lvlJc w:val="left"/>
      <w:pPr>
        <w:tabs>
          <w:tab w:val="num" w:pos="2160"/>
        </w:tabs>
        <w:ind w:left="2160" w:hanging="360"/>
      </w:pPr>
      <w:rPr>
        <w:rFonts w:ascii="Symbol" w:hAnsi="Symbol" w:hint="default"/>
      </w:rPr>
    </w:lvl>
    <w:lvl w:ilvl="3" w:tplc="F5820B66" w:tentative="1">
      <w:start w:val="1"/>
      <w:numFmt w:val="bullet"/>
      <w:lvlText w:val=""/>
      <w:lvlJc w:val="left"/>
      <w:pPr>
        <w:tabs>
          <w:tab w:val="num" w:pos="2880"/>
        </w:tabs>
        <w:ind w:left="2880" w:hanging="360"/>
      </w:pPr>
      <w:rPr>
        <w:rFonts w:ascii="Symbol" w:hAnsi="Symbol" w:hint="default"/>
      </w:rPr>
    </w:lvl>
    <w:lvl w:ilvl="4" w:tplc="B66E0B7C" w:tentative="1">
      <w:start w:val="1"/>
      <w:numFmt w:val="bullet"/>
      <w:lvlText w:val=""/>
      <w:lvlJc w:val="left"/>
      <w:pPr>
        <w:tabs>
          <w:tab w:val="num" w:pos="3600"/>
        </w:tabs>
        <w:ind w:left="3600" w:hanging="360"/>
      </w:pPr>
      <w:rPr>
        <w:rFonts w:ascii="Symbol" w:hAnsi="Symbol" w:hint="default"/>
      </w:rPr>
    </w:lvl>
    <w:lvl w:ilvl="5" w:tplc="11A2E05E" w:tentative="1">
      <w:start w:val="1"/>
      <w:numFmt w:val="bullet"/>
      <w:lvlText w:val=""/>
      <w:lvlJc w:val="left"/>
      <w:pPr>
        <w:tabs>
          <w:tab w:val="num" w:pos="4320"/>
        </w:tabs>
        <w:ind w:left="4320" w:hanging="360"/>
      </w:pPr>
      <w:rPr>
        <w:rFonts w:ascii="Symbol" w:hAnsi="Symbol" w:hint="default"/>
      </w:rPr>
    </w:lvl>
    <w:lvl w:ilvl="6" w:tplc="0E923DEA" w:tentative="1">
      <w:start w:val="1"/>
      <w:numFmt w:val="bullet"/>
      <w:lvlText w:val=""/>
      <w:lvlJc w:val="left"/>
      <w:pPr>
        <w:tabs>
          <w:tab w:val="num" w:pos="5040"/>
        </w:tabs>
        <w:ind w:left="5040" w:hanging="360"/>
      </w:pPr>
      <w:rPr>
        <w:rFonts w:ascii="Symbol" w:hAnsi="Symbol" w:hint="default"/>
      </w:rPr>
    </w:lvl>
    <w:lvl w:ilvl="7" w:tplc="C352A5D4" w:tentative="1">
      <w:start w:val="1"/>
      <w:numFmt w:val="bullet"/>
      <w:lvlText w:val=""/>
      <w:lvlJc w:val="left"/>
      <w:pPr>
        <w:tabs>
          <w:tab w:val="num" w:pos="5760"/>
        </w:tabs>
        <w:ind w:left="5760" w:hanging="360"/>
      </w:pPr>
      <w:rPr>
        <w:rFonts w:ascii="Symbol" w:hAnsi="Symbol" w:hint="default"/>
      </w:rPr>
    </w:lvl>
    <w:lvl w:ilvl="8" w:tplc="30160F08" w:tentative="1">
      <w:start w:val="1"/>
      <w:numFmt w:val="bullet"/>
      <w:lvlText w:val=""/>
      <w:lvlJc w:val="left"/>
      <w:pPr>
        <w:tabs>
          <w:tab w:val="num" w:pos="6480"/>
        </w:tabs>
        <w:ind w:left="6480" w:hanging="360"/>
      </w:pPr>
      <w:rPr>
        <w:rFonts w:ascii="Symbol" w:hAnsi="Symbol" w:hint="default"/>
      </w:rPr>
    </w:lvl>
  </w:abstractNum>
  <w:abstractNum w:abstractNumId="161" w15:restartNumberingAfterBreak="0">
    <w:nsid w:val="6B421EA2"/>
    <w:multiLevelType w:val="hybridMultilevel"/>
    <w:tmpl w:val="A838F516"/>
    <w:lvl w:ilvl="0" w:tplc="0AC20602">
      <w:start w:val="1"/>
      <w:numFmt w:val="bullet"/>
      <w:lvlText w:val=""/>
      <w:lvlPicBulletId w:val="0"/>
      <w:lvlJc w:val="left"/>
      <w:pPr>
        <w:tabs>
          <w:tab w:val="num" w:pos="720"/>
        </w:tabs>
        <w:ind w:left="720" w:hanging="360"/>
      </w:pPr>
      <w:rPr>
        <w:rFonts w:ascii="Symbol" w:hAnsi="Symbol" w:hint="default"/>
      </w:rPr>
    </w:lvl>
    <w:lvl w:ilvl="1" w:tplc="DDE2DA38" w:tentative="1">
      <w:start w:val="1"/>
      <w:numFmt w:val="bullet"/>
      <w:lvlText w:val=""/>
      <w:lvlJc w:val="left"/>
      <w:pPr>
        <w:tabs>
          <w:tab w:val="num" w:pos="1440"/>
        </w:tabs>
        <w:ind w:left="1440" w:hanging="360"/>
      </w:pPr>
      <w:rPr>
        <w:rFonts w:ascii="Symbol" w:hAnsi="Symbol" w:hint="default"/>
      </w:rPr>
    </w:lvl>
    <w:lvl w:ilvl="2" w:tplc="480074D4" w:tentative="1">
      <w:start w:val="1"/>
      <w:numFmt w:val="bullet"/>
      <w:lvlText w:val=""/>
      <w:lvlJc w:val="left"/>
      <w:pPr>
        <w:tabs>
          <w:tab w:val="num" w:pos="2160"/>
        </w:tabs>
        <w:ind w:left="2160" w:hanging="360"/>
      </w:pPr>
      <w:rPr>
        <w:rFonts w:ascii="Symbol" w:hAnsi="Symbol" w:hint="default"/>
      </w:rPr>
    </w:lvl>
    <w:lvl w:ilvl="3" w:tplc="44664E4C" w:tentative="1">
      <w:start w:val="1"/>
      <w:numFmt w:val="bullet"/>
      <w:lvlText w:val=""/>
      <w:lvlJc w:val="left"/>
      <w:pPr>
        <w:tabs>
          <w:tab w:val="num" w:pos="2880"/>
        </w:tabs>
        <w:ind w:left="2880" w:hanging="360"/>
      </w:pPr>
      <w:rPr>
        <w:rFonts w:ascii="Symbol" w:hAnsi="Symbol" w:hint="default"/>
      </w:rPr>
    </w:lvl>
    <w:lvl w:ilvl="4" w:tplc="23B2C6B0" w:tentative="1">
      <w:start w:val="1"/>
      <w:numFmt w:val="bullet"/>
      <w:lvlText w:val=""/>
      <w:lvlJc w:val="left"/>
      <w:pPr>
        <w:tabs>
          <w:tab w:val="num" w:pos="3600"/>
        </w:tabs>
        <w:ind w:left="3600" w:hanging="360"/>
      </w:pPr>
      <w:rPr>
        <w:rFonts w:ascii="Symbol" w:hAnsi="Symbol" w:hint="default"/>
      </w:rPr>
    </w:lvl>
    <w:lvl w:ilvl="5" w:tplc="06CC056C" w:tentative="1">
      <w:start w:val="1"/>
      <w:numFmt w:val="bullet"/>
      <w:lvlText w:val=""/>
      <w:lvlJc w:val="left"/>
      <w:pPr>
        <w:tabs>
          <w:tab w:val="num" w:pos="4320"/>
        </w:tabs>
        <w:ind w:left="4320" w:hanging="360"/>
      </w:pPr>
      <w:rPr>
        <w:rFonts w:ascii="Symbol" w:hAnsi="Symbol" w:hint="default"/>
      </w:rPr>
    </w:lvl>
    <w:lvl w:ilvl="6" w:tplc="7C4C079C" w:tentative="1">
      <w:start w:val="1"/>
      <w:numFmt w:val="bullet"/>
      <w:lvlText w:val=""/>
      <w:lvlJc w:val="left"/>
      <w:pPr>
        <w:tabs>
          <w:tab w:val="num" w:pos="5040"/>
        </w:tabs>
        <w:ind w:left="5040" w:hanging="360"/>
      </w:pPr>
      <w:rPr>
        <w:rFonts w:ascii="Symbol" w:hAnsi="Symbol" w:hint="default"/>
      </w:rPr>
    </w:lvl>
    <w:lvl w:ilvl="7" w:tplc="47F03D18" w:tentative="1">
      <w:start w:val="1"/>
      <w:numFmt w:val="bullet"/>
      <w:lvlText w:val=""/>
      <w:lvlJc w:val="left"/>
      <w:pPr>
        <w:tabs>
          <w:tab w:val="num" w:pos="5760"/>
        </w:tabs>
        <w:ind w:left="5760" w:hanging="360"/>
      </w:pPr>
      <w:rPr>
        <w:rFonts w:ascii="Symbol" w:hAnsi="Symbol" w:hint="default"/>
      </w:rPr>
    </w:lvl>
    <w:lvl w:ilvl="8" w:tplc="10FAA980" w:tentative="1">
      <w:start w:val="1"/>
      <w:numFmt w:val="bullet"/>
      <w:lvlText w:val=""/>
      <w:lvlJc w:val="left"/>
      <w:pPr>
        <w:tabs>
          <w:tab w:val="num" w:pos="6480"/>
        </w:tabs>
        <w:ind w:left="6480" w:hanging="360"/>
      </w:pPr>
      <w:rPr>
        <w:rFonts w:ascii="Symbol" w:hAnsi="Symbol" w:hint="default"/>
      </w:rPr>
    </w:lvl>
  </w:abstractNum>
  <w:abstractNum w:abstractNumId="162" w15:restartNumberingAfterBreak="0">
    <w:nsid w:val="6B7C4288"/>
    <w:multiLevelType w:val="hybridMultilevel"/>
    <w:tmpl w:val="5DC6EF9A"/>
    <w:lvl w:ilvl="0" w:tplc="AA589B04">
      <w:start w:val="1"/>
      <w:numFmt w:val="bullet"/>
      <w:lvlText w:val=""/>
      <w:lvlPicBulletId w:val="0"/>
      <w:lvlJc w:val="left"/>
      <w:pPr>
        <w:tabs>
          <w:tab w:val="num" w:pos="720"/>
        </w:tabs>
        <w:ind w:left="720" w:hanging="360"/>
      </w:pPr>
      <w:rPr>
        <w:rFonts w:ascii="Symbol" w:hAnsi="Symbol" w:hint="default"/>
      </w:rPr>
    </w:lvl>
    <w:lvl w:ilvl="1" w:tplc="65980A0C" w:tentative="1">
      <w:start w:val="1"/>
      <w:numFmt w:val="bullet"/>
      <w:lvlText w:val=""/>
      <w:lvlJc w:val="left"/>
      <w:pPr>
        <w:tabs>
          <w:tab w:val="num" w:pos="1440"/>
        </w:tabs>
        <w:ind w:left="1440" w:hanging="360"/>
      </w:pPr>
      <w:rPr>
        <w:rFonts w:ascii="Symbol" w:hAnsi="Symbol" w:hint="default"/>
      </w:rPr>
    </w:lvl>
    <w:lvl w:ilvl="2" w:tplc="C6E60924" w:tentative="1">
      <w:start w:val="1"/>
      <w:numFmt w:val="bullet"/>
      <w:lvlText w:val=""/>
      <w:lvlJc w:val="left"/>
      <w:pPr>
        <w:tabs>
          <w:tab w:val="num" w:pos="2160"/>
        </w:tabs>
        <w:ind w:left="2160" w:hanging="360"/>
      </w:pPr>
      <w:rPr>
        <w:rFonts w:ascii="Symbol" w:hAnsi="Symbol" w:hint="default"/>
      </w:rPr>
    </w:lvl>
    <w:lvl w:ilvl="3" w:tplc="E6E46AB4" w:tentative="1">
      <w:start w:val="1"/>
      <w:numFmt w:val="bullet"/>
      <w:lvlText w:val=""/>
      <w:lvlJc w:val="left"/>
      <w:pPr>
        <w:tabs>
          <w:tab w:val="num" w:pos="2880"/>
        </w:tabs>
        <w:ind w:left="2880" w:hanging="360"/>
      </w:pPr>
      <w:rPr>
        <w:rFonts w:ascii="Symbol" w:hAnsi="Symbol" w:hint="default"/>
      </w:rPr>
    </w:lvl>
    <w:lvl w:ilvl="4" w:tplc="03D8EA3A" w:tentative="1">
      <w:start w:val="1"/>
      <w:numFmt w:val="bullet"/>
      <w:lvlText w:val=""/>
      <w:lvlJc w:val="left"/>
      <w:pPr>
        <w:tabs>
          <w:tab w:val="num" w:pos="3600"/>
        </w:tabs>
        <w:ind w:left="3600" w:hanging="360"/>
      </w:pPr>
      <w:rPr>
        <w:rFonts w:ascii="Symbol" w:hAnsi="Symbol" w:hint="default"/>
      </w:rPr>
    </w:lvl>
    <w:lvl w:ilvl="5" w:tplc="34DE8924" w:tentative="1">
      <w:start w:val="1"/>
      <w:numFmt w:val="bullet"/>
      <w:lvlText w:val=""/>
      <w:lvlJc w:val="left"/>
      <w:pPr>
        <w:tabs>
          <w:tab w:val="num" w:pos="4320"/>
        </w:tabs>
        <w:ind w:left="4320" w:hanging="360"/>
      </w:pPr>
      <w:rPr>
        <w:rFonts w:ascii="Symbol" w:hAnsi="Symbol" w:hint="default"/>
      </w:rPr>
    </w:lvl>
    <w:lvl w:ilvl="6" w:tplc="9FE244D8" w:tentative="1">
      <w:start w:val="1"/>
      <w:numFmt w:val="bullet"/>
      <w:lvlText w:val=""/>
      <w:lvlJc w:val="left"/>
      <w:pPr>
        <w:tabs>
          <w:tab w:val="num" w:pos="5040"/>
        </w:tabs>
        <w:ind w:left="5040" w:hanging="360"/>
      </w:pPr>
      <w:rPr>
        <w:rFonts w:ascii="Symbol" w:hAnsi="Symbol" w:hint="default"/>
      </w:rPr>
    </w:lvl>
    <w:lvl w:ilvl="7" w:tplc="6F5A6F0E" w:tentative="1">
      <w:start w:val="1"/>
      <w:numFmt w:val="bullet"/>
      <w:lvlText w:val=""/>
      <w:lvlJc w:val="left"/>
      <w:pPr>
        <w:tabs>
          <w:tab w:val="num" w:pos="5760"/>
        </w:tabs>
        <w:ind w:left="5760" w:hanging="360"/>
      </w:pPr>
      <w:rPr>
        <w:rFonts w:ascii="Symbol" w:hAnsi="Symbol" w:hint="default"/>
      </w:rPr>
    </w:lvl>
    <w:lvl w:ilvl="8" w:tplc="04544600" w:tentative="1">
      <w:start w:val="1"/>
      <w:numFmt w:val="bullet"/>
      <w:lvlText w:val=""/>
      <w:lvlJc w:val="left"/>
      <w:pPr>
        <w:tabs>
          <w:tab w:val="num" w:pos="6480"/>
        </w:tabs>
        <w:ind w:left="6480" w:hanging="360"/>
      </w:pPr>
      <w:rPr>
        <w:rFonts w:ascii="Symbol" w:hAnsi="Symbol" w:hint="default"/>
      </w:rPr>
    </w:lvl>
  </w:abstractNum>
  <w:abstractNum w:abstractNumId="163" w15:restartNumberingAfterBreak="0">
    <w:nsid w:val="6BC0799E"/>
    <w:multiLevelType w:val="hybridMultilevel"/>
    <w:tmpl w:val="DB62E6B2"/>
    <w:lvl w:ilvl="0" w:tplc="0C09000F">
      <w:start w:val="1"/>
      <w:numFmt w:val="decimal"/>
      <w:lvlText w:val="%1."/>
      <w:lvlJc w:val="left"/>
      <w:pPr>
        <w:ind w:left="1080" w:hanging="360"/>
      </w:p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164" w15:restartNumberingAfterBreak="0">
    <w:nsid w:val="6D285801"/>
    <w:multiLevelType w:val="hybridMultilevel"/>
    <w:tmpl w:val="B7B4F964"/>
    <w:lvl w:ilvl="0" w:tplc="3E0A63DC">
      <w:start w:val="1"/>
      <w:numFmt w:val="bullet"/>
      <w:lvlText w:val=""/>
      <w:lvlPicBulletId w:val="1"/>
      <w:lvlJc w:val="left"/>
      <w:pPr>
        <w:tabs>
          <w:tab w:val="num" w:pos="720"/>
        </w:tabs>
        <w:ind w:left="720" w:hanging="360"/>
      </w:pPr>
      <w:rPr>
        <w:rFonts w:ascii="Symbol" w:hAnsi="Symbol" w:hint="default"/>
      </w:rPr>
    </w:lvl>
    <w:lvl w:ilvl="1" w:tplc="82D45E98" w:tentative="1">
      <w:start w:val="1"/>
      <w:numFmt w:val="bullet"/>
      <w:lvlText w:val=""/>
      <w:lvlJc w:val="left"/>
      <w:pPr>
        <w:tabs>
          <w:tab w:val="num" w:pos="1440"/>
        </w:tabs>
        <w:ind w:left="1440" w:hanging="360"/>
      </w:pPr>
      <w:rPr>
        <w:rFonts w:ascii="Symbol" w:hAnsi="Symbol" w:hint="default"/>
      </w:rPr>
    </w:lvl>
    <w:lvl w:ilvl="2" w:tplc="7242D2EE" w:tentative="1">
      <w:start w:val="1"/>
      <w:numFmt w:val="bullet"/>
      <w:lvlText w:val=""/>
      <w:lvlJc w:val="left"/>
      <w:pPr>
        <w:tabs>
          <w:tab w:val="num" w:pos="2160"/>
        </w:tabs>
        <w:ind w:left="2160" w:hanging="360"/>
      </w:pPr>
      <w:rPr>
        <w:rFonts w:ascii="Symbol" w:hAnsi="Symbol" w:hint="default"/>
      </w:rPr>
    </w:lvl>
    <w:lvl w:ilvl="3" w:tplc="9E3256F0" w:tentative="1">
      <w:start w:val="1"/>
      <w:numFmt w:val="bullet"/>
      <w:lvlText w:val=""/>
      <w:lvlJc w:val="left"/>
      <w:pPr>
        <w:tabs>
          <w:tab w:val="num" w:pos="2880"/>
        </w:tabs>
        <w:ind w:left="2880" w:hanging="360"/>
      </w:pPr>
      <w:rPr>
        <w:rFonts w:ascii="Symbol" w:hAnsi="Symbol" w:hint="default"/>
      </w:rPr>
    </w:lvl>
    <w:lvl w:ilvl="4" w:tplc="9E664F4A" w:tentative="1">
      <w:start w:val="1"/>
      <w:numFmt w:val="bullet"/>
      <w:lvlText w:val=""/>
      <w:lvlJc w:val="left"/>
      <w:pPr>
        <w:tabs>
          <w:tab w:val="num" w:pos="3600"/>
        </w:tabs>
        <w:ind w:left="3600" w:hanging="360"/>
      </w:pPr>
      <w:rPr>
        <w:rFonts w:ascii="Symbol" w:hAnsi="Symbol" w:hint="default"/>
      </w:rPr>
    </w:lvl>
    <w:lvl w:ilvl="5" w:tplc="1DD28794" w:tentative="1">
      <w:start w:val="1"/>
      <w:numFmt w:val="bullet"/>
      <w:lvlText w:val=""/>
      <w:lvlJc w:val="left"/>
      <w:pPr>
        <w:tabs>
          <w:tab w:val="num" w:pos="4320"/>
        </w:tabs>
        <w:ind w:left="4320" w:hanging="360"/>
      </w:pPr>
      <w:rPr>
        <w:rFonts w:ascii="Symbol" w:hAnsi="Symbol" w:hint="default"/>
      </w:rPr>
    </w:lvl>
    <w:lvl w:ilvl="6" w:tplc="9D7E8FF4" w:tentative="1">
      <w:start w:val="1"/>
      <w:numFmt w:val="bullet"/>
      <w:lvlText w:val=""/>
      <w:lvlJc w:val="left"/>
      <w:pPr>
        <w:tabs>
          <w:tab w:val="num" w:pos="5040"/>
        </w:tabs>
        <w:ind w:left="5040" w:hanging="360"/>
      </w:pPr>
      <w:rPr>
        <w:rFonts w:ascii="Symbol" w:hAnsi="Symbol" w:hint="default"/>
      </w:rPr>
    </w:lvl>
    <w:lvl w:ilvl="7" w:tplc="2CBCB0D6" w:tentative="1">
      <w:start w:val="1"/>
      <w:numFmt w:val="bullet"/>
      <w:lvlText w:val=""/>
      <w:lvlJc w:val="left"/>
      <w:pPr>
        <w:tabs>
          <w:tab w:val="num" w:pos="5760"/>
        </w:tabs>
        <w:ind w:left="5760" w:hanging="360"/>
      </w:pPr>
      <w:rPr>
        <w:rFonts w:ascii="Symbol" w:hAnsi="Symbol" w:hint="default"/>
      </w:rPr>
    </w:lvl>
    <w:lvl w:ilvl="8" w:tplc="6E2E4596" w:tentative="1">
      <w:start w:val="1"/>
      <w:numFmt w:val="bullet"/>
      <w:lvlText w:val=""/>
      <w:lvlJc w:val="left"/>
      <w:pPr>
        <w:tabs>
          <w:tab w:val="num" w:pos="6480"/>
        </w:tabs>
        <w:ind w:left="6480" w:hanging="360"/>
      </w:pPr>
      <w:rPr>
        <w:rFonts w:ascii="Symbol" w:hAnsi="Symbol" w:hint="default"/>
      </w:rPr>
    </w:lvl>
  </w:abstractNum>
  <w:abstractNum w:abstractNumId="165"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6" w15:restartNumberingAfterBreak="0">
    <w:nsid w:val="6DEE10FC"/>
    <w:multiLevelType w:val="hybridMultilevel"/>
    <w:tmpl w:val="6F245794"/>
    <w:lvl w:ilvl="0" w:tplc="426C8AB4">
      <w:start w:val="1"/>
      <w:numFmt w:val="bullet"/>
      <w:lvlText w:val=""/>
      <w:lvlPicBulletId w:val="0"/>
      <w:lvlJc w:val="left"/>
      <w:pPr>
        <w:tabs>
          <w:tab w:val="num" w:pos="720"/>
        </w:tabs>
        <w:ind w:left="720" w:hanging="360"/>
      </w:pPr>
      <w:rPr>
        <w:rFonts w:ascii="Symbol" w:hAnsi="Symbol" w:hint="default"/>
      </w:rPr>
    </w:lvl>
    <w:lvl w:ilvl="1" w:tplc="9ACE80CE" w:tentative="1">
      <w:start w:val="1"/>
      <w:numFmt w:val="bullet"/>
      <w:lvlText w:val=""/>
      <w:lvlJc w:val="left"/>
      <w:pPr>
        <w:tabs>
          <w:tab w:val="num" w:pos="1440"/>
        </w:tabs>
        <w:ind w:left="1440" w:hanging="360"/>
      </w:pPr>
      <w:rPr>
        <w:rFonts w:ascii="Symbol" w:hAnsi="Symbol" w:hint="default"/>
      </w:rPr>
    </w:lvl>
    <w:lvl w:ilvl="2" w:tplc="D88ADC0C" w:tentative="1">
      <w:start w:val="1"/>
      <w:numFmt w:val="bullet"/>
      <w:lvlText w:val=""/>
      <w:lvlJc w:val="left"/>
      <w:pPr>
        <w:tabs>
          <w:tab w:val="num" w:pos="2160"/>
        </w:tabs>
        <w:ind w:left="2160" w:hanging="360"/>
      </w:pPr>
      <w:rPr>
        <w:rFonts w:ascii="Symbol" w:hAnsi="Symbol" w:hint="default"/>
      </w:rPr>
    </w:lvl>
    <w:lvl w:ilvl="3" w:tplc="4A8896F4" w:tentative="1">
      <w:start w:val="1"/>
      <w:numFmt w:val="bullet"/>
      <w:lvlText w:val=""/>
      <w:lvlJc w:val="left"/>
      <w:pPr>
        <w:tabs>
          <w:tab w:val="num" w:pos="2880"/>
        </w:tabs>
        <w:ind w:left="2880" w:hanging="360"/>
      </w:pPr>
      <w:rPr>
        <w:rFonts w:ascii="Symbol" w:hAnsi="Symbol" w:hint="default"/>
      </w:rPr>
    </w:lvl>
    <w:lvl w:ilvl="4" w:tplc="98D0E22C" w:tentative="1">
      <w:start w:val="1"/>
      <w:numFmt w:val="bullet"/>
      <w:lvlText w:val=""/>
      <w:lvlJc w:val="left"/>
      <w:pPr>
        <w:tabs>
          <w:tab w:val="num" w:pos="3600"/>
        </w:tabs>
        <w:ind w:left="3600" w:hanging="360"/>
      </w:pPr>
      <w:rPr>
        <w:rFonts w:ascii="Symbol" w:hAnsi="Symbol" w:hint="default"/>
      </w:rPr>
    </w:lvl>
    <w:lvl w:ilvl="5" w:tplc="6848163C" w:tentative="1">
      <w:start w:val="1"/>
      <w:numFmt w:val="bullet"/>
      <w:lvlText w:val=""/>
      <w:lvlJc w:val="left"/>
      <w:pPr>
        <w:tabs>
          <w:tab w:val="num" w:pos="4320"/>
        </w:tabs>
        <w:ind w:left="4320" w:hanging="360"/>
      </w:pPr>
      <w:rPr>
        <w:rFonts w:ascii="Symbol" w:hAnsi="Symbol" w:hint="default"/>
      </w:rPr>
    </w:lvl>
    <w:lvl w:ilvl="6" w:tplc="7524645C" w:tentative="1">
      <w:start w:val="1"/>
      <w:numFmt w:val="bullet"/>
      <w:lvlText w:val=""/>
      <w:lvlJc w:val="left"/>
      <w:pPr>
        <w:tabs>
          <w:tab w:val="num" w:pos="5040"/>
        </w:tabs>
        <w:ind w:left="5040" w:hanging="360"/>
      </w:pPr>
      <w:rPr>
        <w:rFonts w:ascii="Symbol" w:hAnsi="Symbol" w:hint="default"/>
      </w:rPr>
    </w:lvl>
    <w:lvl w:ilvl="7" w:tplc="9E1E7822" w:tentative="1">
      <w:start w:val="1"/>
      <w:numFmt w:val="bullet"/>
      <w:lvlText w:val=""/>
      <w:lvlJc w:val="left"/>
      <w:pPr>
        <w:tabs>
          <w:tab w:val="num" w:pos="5760"/>
        </w:tabs>
        <w:ind w:left="5760" w:hanging="360"/>
      </w:pPr>
      <w:rPr>
        <w:rFonts w:ascii="Symbol" w:hAnsi="Symbol" w:hint="default"/>
      </w:rPr>
    </w:lvl>
    <w:lvl w:ilvl="8" w:tplc="3A08AC4C" w:tentative="1">
      <w:start w:val="1"/>
      <w:numFmt w:val="bullet"/>
      <w:lvlText w:val=""/>
      <w:lvlJc w:val="left"/>
      <w:pPr>
        <w:tabs>
          <w:tab w:val="num" w:pos="6480"/>
        </w:tabs>
        <w:ind w:left="6480" w:hanging="360"/>
      </w:pPr>
      <w:rPr>
        <w:rFonts w:ascii="Symbol" w:hAnsi="Symbol" w:hint="default"/>
      </w:rPr>
    </w:lvl>
  </w:abstractNum>
  <w:abstractNum w:abstractNumId="167" w15:restartNumberingAfterBreak="0">
    <w:nsid w:val="6E475D7B"/>
    <w:multiLevelType w:val="hybridMultilevel"/>
    <w:tmpl w:val="FC143ED6"/>
    <w:lvl w:ilvl="0" w:tplc="ED02EC92">
      <w:start w:val="1"/>
      <w:numFmt w:val="bullet"/>
      <w:lvlText w:val=""/>
      <w:lvlPicBulletId w:val="0"/>
      <w:lvlJc w:val="left"/>
      <w:pPr>
        <w:tabs>
          <w:tab w:val="num" w:pos="720"/>
        </w:tabs>
        <w:ind w:left="720" w:hanging="360"/>
      </w:pPr>
      <w:rPr>
        <w:rFonts w:ascii="Symbol" w:hAnsi="Symbol" w:hint="default"/>
      </w:rPr>
    </w:lvl>
    <w:lvl w:ilvl="1" w:tplc="36F6CAE2" w:tentative="1">
      <w:start w:val="1"/>
      <w:numFmt w:val="bullet"/>
      <w:lvlText w:val=""/>
      <w:lvlJc w:val="left"/>
      <w:pPr>
        <w:tabs>
          <w:tab w:val="num" w:pos="1440"/>
        </w:tabs>
        <w:ind w:left="1440" w:hanging="360"/>
      </w:pPr>
      <w:rPr>
        <w:rFonts w:ascii="Symbol" w:hAnsi="Symbol" w:hint="default"/>
      </w:rPr>
    </w:lvl>
    <w:lvl w:ilvl="2" w:tplc="C2DADFB0" w:tentative="1">
      <w:start w:val="1"/>
      <w:numFmt w:val="bullet"/>
      <w:lvlText w:val=""/>
      <w:lvlJc w:val="left"/>
      <w:pPr>
        <w:tabs>
          <w:tab w:val="num" w:pos="2160"/>
        </w:tabs>
        <w:ind w:left="2160" w:hanging="360"/>
      </w:pPr>
      <w:rPr>
        <w:rFonts w:ascii="Symbol" w:hAnsi="Symbol" w:hint="default"/>
      </w:rPr>
    </w:lvl>
    <w:lvl w:ilvl="3" w:tplc="E74022BE" w:tentative="1">
      <w:start w:val="1"/>
      <w:numFmt w:val="bullet"/>
      <w:lvlText w:val=""/>
      <w:lvlJc w:val="left"/>
      <w:pPr>
        <w:tabs>
          <w:tab w:val="num" w:pos="2880"/>
        </w:tabs>
        <w:ind w:left="2880" w:hanging="360"/>
      </w:pPr>
      <w:rPr>
        <w:rFonts w:ascii="Symbol" w:hAnsi="Symbol" w:hint="default"/>
      </w:rPr>
    </w:lvl>
    <w:lvl w:ilvl="4" w:tplc="150CDC48" w:tentative="1">
      <w:start w:val="1"/>
      <w:numFmt w:val="bullet"/>
      <w:lvlText w:val=""/>
      <w:lvlJc w:val="left"/>
      <w:pPr>
        <w:tabs>
          <w:tab w:val="num" w:pos="3600"/>
        </w:tabs>
        <w:ind w:left="3600" w:hanging="360"/>
      </w:pPr>
      <w:rPr>
        <w:rFonts w:ascii="Symbol" w:hAnsi="Symbol" w:hint="default"/>
      </w:rPr>
    </w:lvl>
    <w:lvl w:ilvl="5" w:tplc="365849AC" w:tentative="1">
      <w:start w:val="1"/>
      <w:numFmt w:val="bullet"/>
      <w:lvlText w:val=""/>
      <w:lvlJc w:val="left"/>
      <w:pPr>
        <w:tabs>
          <w:tab w:val="num" w:pos="4320"/>
        </w:tabs>
        <w:ind w:left="4320" w:hanging="360"/>
      </w:pPr>
      <w:rPr>
        <w:rFonts w:ascii="Symbol" w:hAnsi="Symbol" w:hint="default"/>
      </w:rPr>
    </w:lvl>
    <w:lvl w:ilvl="6" w:tplc="B60A36BE" w:tentative="1">
      <w:start w:val="1"/>
      <w:numFmt w:val="bullet"/>
      <w:lvlText w:val=""/>
      <w:lvlJc w:val="left"/>
      <w:pPr>
        <w:tabs>
          <w:tab w:val="num" w:pos="5040"/>
        </w:tabs>
        <w:ind w:left="5040" w:hanging="360"/>
      </w:pPr>
      <w:rPr>
        <w:rFonts w:ascii="Symbol" w:hAnsi="Symbol" w:hint="default"/>
      </w:rPr>
    </w:lvl>
    <w:lvl w:ilvl="7" w:tplc="6DF6EC90" w:tentative="1">
      <w:start w:val="1"/>
      <w:numFmt w:val="bullet"/>
      <w:lvlText w:val=""/>
      <w:lvlJc w:val="left"/>
      <w:pPr>
        <w:tabs>
          <w:tab w:val="num" w:pos="5760"/>
        </w:tabs>
        <w:ind w:left="5760" w:hanging="360"/>
      </w:pPr>
      <w:rPr>
        <w:rFonts w:ascii="Symbol" w:hAnsi="Symbol" w:hint="default"/>
      </w:rPr>
    </w:lvl>
    <w:lvl w:ilvl="8" w:tplc="CE589686" w:tentative="1">
      <w:start w:val="1"/>
      <w:numFmt w:val="bullet"/>
      <w:lvlText w:val=""/>
      <w:lvlJc w:val="left"/>
      <w:pPr>
        <w:tabs>
          <w:tab w:val="num" w:pos="6480"/>
        </w:tabs>
        <w:ind w:left="6480" w:hanging="360"/>
      </w:pPr>
      <w:rPr>
        <w:rFonts w:ascii="Symbol" w:hAnsi="Symbol" w:hint="default"/>
      </w:rPr>
    </w:lvl>
  </w:abstractNum>
  <w:abstractNum w:abstractNumId="168" w15:restartNumberingAfterBreak="0">
    <w:nsid w:val="6E701039"/>
    <w:multiLevelType w:val="hybridMultilevel"/>
    <w:tmpl w:val="1D92B77E"/>
    <w:lvl w:ilvl="0" w:tplc="E9FADA58">
      <w:start w:val="1"/>
      <w:numFmt w:val="bullet"/>
      <w:lvlText w:val=""/>
      <w:lvlPicBulletId w:val="0"/>
      <w:lvlJc w:val="left"/>
      <w:pPr>
        <w:tabs>
          <w:tab w:val="num" w:pos="720"/>
        </w:tabs>
        <w:ind w:left="720" w:hanging="360"/>
      </w:pPr>
      <w:rPr>
        <w:rFonts w:ascii="Symbol" w:hAnsi="Symbol" w:hint="default"/>
      </w:rPr>
    </w:lvl>
    <w:lvl w:ilvl="1" w:tplc="185A7FA6" w:tentative="1">
      <w:start w:val="1"/>
      <w:numFmt w:val="bullet"/>
      <w:lvlText w:val=""/>
      <w:lvlJc w:val="left"/>
      <w:pPr>
        <w:tabs>
          <w:tab w:val="num" w:pos="1440"/>
        </w:tabs>
        <w:ind w:left="1440" w:hanging="360"/>
      </w:pPr>
      <w:rPr>
        <w:rFonts w:ascii="Symbol" w:hAnsi="Symbol" w:hint="default"/>
      </w:rPr>
    </w:lvl>
    <w:lvl w:ilvl="2" w:tplc="9D346500" w:tentative="1">
      <w:start w:val="1"/>
      <w:numFmt w:val="bullet"/>
      <w:lvlText w:val=""/>
      <w:lvlJc w:val="left"/>
      <w:pPr>
        <w:tabs>
          <w:tab w:val="num" w:pos="2160"/>
        </w:tabs>
        <w:ind w:left="2160" w:hanging="360"/>
      </w:pPr>
      <w:rPr>
        <w:rFonts w:ascii="Symbol" w:hAnsi="Symbol" w:hint="default"/>
      </w:rPr>
    </w:lvl>
    <w:lvl w:ilvl="3" w:tplc="26804AF0" w:tentative="1">
      <w:start w:val="1"/>
      <w:numFmt w:val="bullet"/>
      <w:lvlText w:val=""/>
      <w:lvlJc w:val="left"/>
      <w:pPr>
        <w:tabs>
          <w:tab w:val="num" w:pos="2880"/>
        </w:tabs>
        <w:ind w:left="2880" w:hanging="360"/>
      </w:pPr>
      <w:rPr>
        <w:rFonts w:ascii="Symbol" w:hAnsi="Symbol" w:hint="default"/>
      </w:rPr>
    </w:lvl>
    <w:lvl w:ilvl="4" w:tplc="34C2432C" w:tentative="1">
      <w:start w:val="1"/>
      <w:numFmt w:val="bullet"/>
      <w:lvlText w:val=""/>
      <w:lvlJc w:val="left"/>
      <w:pPr>
        <w:tabs>
          <w:tab w:val="num" w:pos="3600"/>
        </w:tabs>
        <w:ind w:left="3600" w:hanging="360"/>
      </w:pPr>
      <w:rPr>
        <w:rFonts w:ascii="Symbol" w:hAnsi="Symbol" w:hint="default"/>
      </w:rPr>
    </w:lvl>
    <w:lvl w:ilvl="5" w:tplc="66C06E22" w:tentative="1">
      <w:start w:val="1"/>
      <w:numFmt w:val="bullet"/>
      <w:lvlText w:val=""/>
      <w:lvlJc w:val="left"/>
      <w:pPr>
        <w:tabs>
          <w:tab w:val="num" w:pos="4320"/>
        </w:tabs>
        <w:ind w:left="4320" w:hanging="360"/>
      </w:pPr>
      <w:rPr>
        <w:rFonts w:ascii="Symbol" w:hAnsi="Symbol" w:hint="default"/>
      </w:rPr>
    </w:lvl>
    <w:lvl w:ilvl="6" w:tplc="7D52325C" w:tentative="1">
      <w:start w:val="1"/>
      <w:numFmt w:val="bullet"/>
      <w:lvlText w:val=""/>
      <w:lvlJc w:val="left"/>
      <w:pPr>
        <w:tabs>
          <w:tab w:val="num" w:pos="5040"/>
        </w:tabs>
        <w:ind w:left="5040" w:hanging="360"/>
      </w:pPr>
      <w:rPr>
        <w:rFonts w:ascii="Symbol" w:hAnsi="Symbol" w:hint="default"/>
      </w:rPr>
    </w:lvl>
    <w:lvl w:ilvl="7" w:tplc="54E2C856" w:tentative="1">
      <w:start w:val="1"/>
      <w:numFmt w:val="bullet"/>
      <w:lvlText w:val=""/>
      <w:lvlJc w:val="left"/>
      <w:pPr>
        <w:tabs>
          <w:tab w:val="num" w:pos="5760"/>
        </w:tabs>
        <w:ind w:left="5760" w:hanging="360"/>
      </w:pPr>
      <w:rPr>
        <w:rFonts w:ascii="Symbol" w:hAnsi="Symbol" w:hint="default"/>
      </w:rPr>
    </w:lvl>
    <w:lvl w:ilvl="8" w:tplc="181C5DF0" w:tentative="1">
      <w:start w:val="1"/>
      <w:numFmt w:val="bullet"/>
      <w:lvlText w:val=""/>
      <w:lvlJc w:val="left"/>
      <w:pPr>
        <w:tabs>
          <w:tab w:val="num" w:pos="6480"/>
        </w:tabs>
        <w:ind w:left="6480" w:hanging="360"/>
      </w:pPr>
      <w:rPr>
        <w:rFonts w:ascii="Symbol" w:hAnsi="Symbol" w:hint="default"/>
      </w:rPr>
    </w:lvl>
  </w:abstractNum>
  <w:abstractNum w:abstractNumId="169" w15:restartNumberingAfterBreak="0">
    <w:nsid w:val="6E766668"/>
    <w:multiLevelType w:val="hybridMultilevel"/>
    <w:tmpl w:val="D556DCD2"/>
    <w:lvl w:ilvl="0" w:tplc="FC6ECCDA">
      <w:start w:val="1"/>
      <w:numFmt w:val="bullet"/>
      <w:lvlText w:val=""/>
      <w:lvlPicBulletId w:val="1"/>
      <w:lvlJc w:val="left"/>
      <w:pPr>
        <w:tabs>
          <w:tab w:val="num" w:pos="720"/>
        </w:tabs>
        <w:ind w:left="720" w:hanging="360"/>
      </w:pPr>
      <w:rPr>
        <w:rFonts w:ascii="Symbol" w:hAnsi="Symbol" w:hint="default"/>
      </w:rPr>
    </w:lvl>
    <w:lvl w:ilvl="1" w:tplc="7AC8CF4C" w:tentative="1">
      <w:start w:val="1"/>
      <w:numFmt w:val="bullet"/>
      <w:lvlText w:val=""/>
      <w:lvlJc w:val="left"/>
      <w:pPr>
        <w:tabs>
          <w:tab w:val="num" w:pos="1440"/>
        </w:tabs>
        <w:ind w:left="1440" w:hanging="360"/>
      </w:pPr>
      <w:rPr>
        <w:rFonts w:ascii="Symbol" w:hAnsi="Symbol" w:hint="default"/>
      </w:rPr>
    </w:lvl>
    <w:lvl w:ilvl="2" w:tplc="4C00074E" w:tentative="1">
      <w:start w:val="1"/>
      <w:numFmt w:val="bullet"/>
      <w:lvlText w:val=""/>
      <w:lvlJc w:val="left"/>
      <w:pPr>
        <w:tabs>
          <w:tab w:val="num" w:pos="2160"/>
        </w:tabs>
        <w:ind w:left="2160" w:hanging="360"/>
      </w:pPr>
      <w:rPr>
        <w:rFonts w:ascii="Symbol" w:hAnsi="Symbol" w:hint="default"/>
      </w:rPr>
    </w:lvl>
    <w:lvl w:ilvl="3" w:tplc="867A8B46" w:tentative="1">
      <w:start w:val="1"/>
      <w:numFmt w:val="bullet"/>
      <w:lvlText w:val=""/>
      <w:lvlJc w:val="left"/>
      <w:pPr>
        <w:tabs>
          <w:tab w:val="num" w:pos="2880"/>
        </w:tabs>
        <w:ind w:left="2880" w:hanging="360"/>
      </w:pPr>
      <w:rPr>
        <w:rFonts w:ascii="Symbol" w:hAnsi="Symbol" w:hint="default"/>
      </w:rPr>
    </w:lvl>
    <w:lvl w:ilvl="4" w:tplc="6260878C" w:tentative="1">
      <w:start w:val="1"/>
      <w:numFmt w:val="bullet"/>
      <w:lvlText w:val=""/>
      <w:lvlJc w:val="left"/>
      <w:pPr>
        <w:tabs>
          <w:tab w:val="num" w:pos="3600"/>
        </w:tabs>
        <w:ind w:left="3600" w:hanging="360"/>
      </w:pPr>
      <w:rPr>
        <w:rFonts w:ascii="Symbol" w:hAnsi="Symbol" w:hint="default"/>
      </w:rPr>
    </w:lvl>
    <w:lvl w:ilvl="5" w:tplc="72D02068" w:tentative="1">
      <w:start w:val="1"/>
      <w:numFmt w:val="bullet"/>
      <w:lvlText w:val=""/>
      <w:lvlJc w:val="left"/>
      <w:pPr>
        <w:tabs>
          <w:tab w:val="num" w:pos="4320"/>
        </w:tabs>
        <w:ind w:left="4320" w:hanging="360"/>
      </w:pPr>
      <w:rPr>
        <w:rFonts w:ascii="Symbol" w:hAnsi="Symbol" w:hint="default"/>
      </w:rPr>
    </w:lvl>
    <w:lvl w:ilvl="6" w:tplc="7E8E7920" w:tentative="1">
      <w:start w:val="1"/>
      <w:numFmt w:val="bullet"/>
      <w:lvlText w:val=""/>
      <w:lvlJc w:val="left"/>
      <w:pPr>
        <w:tabs>
          <w:tab w:val="num" w:pos="5040"/>
        </w:tabs>
        <w:ind w:left="5040" w:hanging="360"/>
      </w:pPr>
      <w:rPr>
        <w:rFonts w:ascii="Symbol" w:hAnsi="Symbol" w:hint="default"/>
      </w:rPr>
    </w:lvl>
    <w:lvl w:ilvl="7" w:tplc="32B6D2BE" w:tentative="1">
      <w:start w:val="1"/>
      <w:numFmt w:val="bullet"/>
      <w:lvlText w:val=""/>
      <w:lvlJc w:val="left"/>
      <w:pPr>
        <w:tabs>
          <w:tab w:val="num" w:pos="5760"/>
        </w:tabs>
        <w:ind w:left="5760" w:hanging="360"/>
      </w:pPr>
      <w:rPr>
        <w:rFonts w:ascii="Symbol" w:hAnsi="Symbol" w:hint="default"/>
      </w:rPr>
    </w:lvl>
    <w:lvl w:ilvl="8" w:tplc="792C1C14" w:tentative="1">
      <w:start w:val="1"/>
      <w:numFmt w:val="bullet"/>
      <w:lvlText w:val=""/>
      <w:lvlJc w:val="left"/>
      <w:pPr>
        <w:tabs>
          <w:tab w:val="num" w:pos="6480"/>
        </w:tabs>
        <w:ind w:left="6480" w:hanging="360"/>
      </w:pPr>
      <w:rPr>
        <w:rFonts w:ascii="Symbol" w:hAnsi="Symbol" w:hint="default"/>
      </w:rPr>
    </w:lvl>
  </w:abstractNum>
  <w:abstractNum w:abstractNumId="170" w15:restartNumberingAfterBreak="0">
    <w:nsid w:val="6E795E49"/>
    <w:multiLevelType w:val="hybridMultilevel"/>
    <w:tmpl w:val="DFEE6A1A"/>
    <w:lvl w:ilvl="0" w:tplc="EB4208DE">
      <w:start w:val="1"/>
      <w:numFmt w:val="bullet"/>
      <w:lvlText w:val=""/>
      <w:lvlPicBulletId w:val="1"/>
      <w:lvlJc w:val="left"/>
      <w:pPr>
        <w:tabs>
          <w:tab w:val="num" w:pos="720"/>
        </w:tabs>
        <w:ind w:left="720" w:hanging="360"/>
      </w:pPr>
      <w:rPr>
        <w:rFonts w:ascii="Symbol" w:hAnsi="Symbol" w:hint="default"/>
      </w:rPr>
    </w:lvl>
    <w:lvl w:ilvl="1" w:tplc="81A647C2" w:tentative="1">
      <w:start w:val="1"/>
      <w:numFmt w:val="bullet"/>
      <w:lvlText w:val=""/>
      <w:lvlJc w:val="left"/>
      <w:pPr>
        <w:tabs>
          <w:tab w:val="num" w:pos="1440"/>
        </w:tabs>
        <w:ind w:left="1440" w:hanging="360"/>
      </w:pPr>
      <w:rPr>
        <w:rFonts w:ascii="Symbol" w:hAnsi="Symbol" w:hint="default"/>
      </w:rPr>
    </w:lvl>
    <w:lvl w:ilvl="2" w:tplc="328EF210" w:tentative="1">
      <w:start w:val="1"/>
      <w:numFmt w:val="bullet"/>
      <w:lvlText w:val=""/>
      <w:lvlJc w:val="left"/>
      <w:pPr>
        <w:tabs>
          <w:tab w:val="num" w:pos="2160"/>
        </w:tabs>
        <w:ind w:left="2160" w:hanging="360"/>
      </w:pPr>
      <w:rPr>
        <w:rFonts w:ascii="Symbol" w:hAnsi="Symbol" w:hint="default"/>
      </w:rPr>
    </w:lvl>
    <w:lvl w:ilvl="3" w:tplc="DBB2EB2E" w:tentative="1">
      <w:start w:val="1"/>
      <w:numFmt w:val="bullet"/>
      <w:lvlText w:val=""/>
      <w:lvlJc w:val="left"/>
      <w:pPr>
        <w:tabs>
          <w:tab w:val="num" w:pos="2880"/>
        </w:tabs>
        <w:ind w:left="2880" w:hanging="360"/>
      </w:pPr>
      <w:rPr>
        <w:rFonts w:ascii="Symbol" w:hAnsi="Symbol" w:hint="default"/>
      </w:rPr>
    </w:lvl>
    <w:lvl w:ilvl="4" w:tplc="C2F00918" w:tentative="1">
      <w:start w:val="1"/>
      <w:numFmt w:val="bullet"/>
      <w:lvlText w:val=""/>
      <w:lvlJc w:val="left"/>
      <w:pPr>
        <w:tabs>
          <w:tab w:val="num" w:pos="3600"/>
        </w:tabs>
        <w:ind w:left="3600" w:hanging="360"/>
      </w:pPr>
      <w:rPr>
        <w:rFonts w:ascii="Symbol" w:hAnsi="Symbol" w:hint="default"/>
      </w:rPr>
    </w:lvl>
    <w:lvl w:ilvl="5" w:tplc="419A2812" w:tentative="1">
      <w:start w:val="1"/>
      <w:numFmt w:val="bullet"/>
      <w:lvlText w:val=""/>
      <w:lvlJc w:val="left"/>
      <w:pPr>
        <w:tabs>
          <w:tab w:val="num" w:pos="4320"/>
        </w:tabs>
        <w:ind w:left="4320" w:hanging="360"/>
      </w:pPr>
      <w:rPr>
        <w:rFonts w:ascii="Symbol" w:hAnsi="Symbol" w:hint="default"/>
      </w:rPr>
    </w:lvl>
    <w:lvl w:ilvl="6" w:tplc="92961210" w:tentative="1">
      <w:start w:val="1"/>
      <w:numFmt w:val="bullet"/>
      <w:lvlText w:val=""/>
      <w:lvlJc w:val="left"/>
      <w:pPr>
        <w:tabs>
          <w:tab w:val="num" w:pos="5040"/>
        </w:tabs>
        <w:ind w:left="5040" w:hanging="360"/>
      </w:pPr>
      <w:rPr>
        <w:rFonts w:ascii="Symbol" w:hAnsi="Symbol" w:hint="default"/>
      </w:rPr>
    </w:lvl>
    <w:lvl w:ilvl="7" w:tplc="51AEFA2E" w:tentative="1">
      <w:start w:val="1"/>
      <w:numFmt w:val="bullet"/>
      <w:lvlText w:val=""/>
      <w:lvlJc w:val="left"/>
      <w:pPr>
        <w:tabs>
          <w:tab w:val="num" w:pos="5760"/>
        </w:tabs>
        <w:ind w:left="5760" w:hanging="360"/>
      </w:pPr>
      <w:rPr>
        <w:rFonts w:ascii="Symbol" w:hAnsi="Symbol" w:hint="default"/>
      </w:rPr>
    </w:lvl>
    <w:lvl w:ilvl="8" w:tplc="47BECE32" w:tentative="1">
      <w:start w:val="1"/>
      <w:numFmt w:val="bullet"/>
      <w:lvlText w:val=""/>
      <w:lvlJc w:val="left"/>
      <w:pPr>
        <w:tabs>
          <w:tab w:val="num" w:pos="6480"/>
        </w:tabs>
        <w:ind w:left="6480" w:hanging="360"/>
      </w:pPr>
      <w:rPr>
        <w:rFonts w:ascii="Symbol" w:hAnsi="Symbol" w:hint="default"/>
      </w:rPr>
    </w:lvl>
  </w:abstractNum>
  <w:abstractNum w:abstractNumId="171" w15:restartNumberingAfterBreak="0">
    <w:nsid w:val="6F596A34"/>
    <w:multiLevelType w:val="hybridMultilevel"/>
    <w:tmpl w:val="D1E24E2C"/>
    <w:lvl w:ilvl="0" w:tplc="08D2AB5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2" w15:restartNumberingAfterBreak="0">
    <w:nsid w:val="6FAE27D1"/>
    <w:multiLevelType w:val="hybridMultilevel"/>
    <w:tmpl w:val="88C46060"/>
    <w:lvl w:ilvl="0" w:tplc="C72EA978">
      <w:start w:val="1"/>
      <w:numFmt w:val="bullet"/>
      <w:lvlText w:val=""/>
      <w:lvlPicBulletId w:val="0"/>
      <w:lvlJc w:val="left"/>
      <w:pPr>
        <w:tabs>
          <w:tab w:val="num" w:pos="720"/>
        </w:tabs>
        <w:ind w:left="720" w:hanging="360"/>
      </w:pPr>
      <w:rPr>
        <w:rFonts w:ascii="Symbol" w:hAnsi="Symbol" w:hint="default"/>
      </w:rPr>
    </w:lvl>
    <w:lvl w:ilvl="1" w:tplc="006444E6" w:tentative="1">
      <w:start w:val="1"/>
      <w:numFmt w:val="bullet"/>
      <w:lvlText w:val=""/>
      <w:lvlJc w:val="left"/>
      <w:pPr>
        <w:tabs>
          <w:tab w:val="num" w:pos="1440"/>
        </w:tabs>
        <w:ind w:left="1440" w:hanging="360"/>
      </w:pPr>
      <w:rPr>
        <w:rFonts w:ascii="Symbol" w:hAnsi="Symbol" w:hint="default"/>
      </w:rPr>
    </w:lvl>
    <w:lvl w:ilvl="2" w:tplc="84B0F906" w:tentative="1">
      <w:start w:val="1"/>
      <w:numFmt w:val="bullet"/>
      <w:lvlText w:val=""/>
      <w:lvlJc w:val="left"/>
      <w:pPr>
        <w:tabs>
          <w:tab w:val="num" w:pos="2160"/>
        </w:tabs>
        <w:ind w:left="2160" w:hanging="360"/>
      </w:pPr>
      <w:rPr>
        <w:rFonts w:ascii="Symbol" w:hAnsi="Symbol" w:hint="default"/>
      </w:rPr>
    </w:lvl>
    <w:lvl w:ilvl="3" w:tplc="1C16DE1A" w:tentative="1">
      <w:start w:val="1"/>
      <w:numFmt w:val="bullet"/>
      <w:lvlText w:val=""/>
      <w:lvlJc w:val="left"/>
      <w:pPr>
        <w:tabs>
          <w:tab w:val="num" w:pos="2880"/>
        </w:tabs>
        <w:ind w:left="2880" w:hanging="360"/>
      </w:pPr>
      <w:rPr>
        <w:rFonts w:ascii="Symbol" w:hAnsi="Symbol" w:hint="default"/>
      </w:rPr>
    </w:lvl>
    <w:lvl w:ilvl="4" w:tplc="367CB52C" w:tentative="1">
      <w:start w:val="1"/>
      <w:numFmt w:val="bullet"/>
      <w:lvlText w:val=""/>
      <w:lvlJc w:val="left"/>
      <w:pPr>
        <w:tabs>
          <w:tab w:val="num" w:pos="3600"/>
        </w:tabs>
        <w:ind w:left="3600" w:hanging="360"/>
      </w:pPr>
      <w:rPr>
        <w:rFonts w:ascii="Symbol" w:hAnsi="Symbol" w:hint="default"/>
      </w:rPr>
    </w:lvl>
    <w:lvl w:ilvl="5" w:tplc="E1EA57AA" w:tentative="1">
      <w:start w:val="1"/>
      <w:numFmt w:val="bullet"/>
      <w:lvlText w:val=""/>
      <w:lvlJc w:val="left"/>
      <w:pPr>
        <w:tabs>
          <w:tab w:val="num" w:pos="4320"/>
        </w:tabs>
        <w:ind w:left="4320" w:hanging="360"/>
      </w:pPr>
      <w:rPr>
        <w:rFonts w:ascii="Symbol" w:hAnsi="Symbol" w:hint="default"/>
      </w:rPr>
    </w:lvl>
    <w:lvl w:ilvl="6" w:tplc="6628A0EC" w:tentative="1">
      <w:start w:val="1"/>
      <w:numFmt w:val="bullet"/>
      <w:lvlText w:val=""/>
      <w:lvlJc w:val="left"/>
      <w:pPr>
        <w:tabs>
          <w:tab w:val="num" w:pos="5040"/>
        </w:tabs>
        <w:ind w:left="5040" w:hanging="360"/>
      </w:pPr>
      <w:rPr>
        <w:rFonts w:ascii="Symbol" w:hAnsi="Symbol" w:hint="default"/>
      </w:rPr>
    </w:lvl>
    <w:lvl w:ilvl="7" w:tplc="094E53EA" w:tentative="1">
      <w:start w:val="1"/>
      <w:numFmt w:val="bullet"/>
      <w:lvlText w:val=""/>
      <w:lvlJc w:val="left"/>
      <w:pPr>
        <w:tabs>
          <w:tab w:val="num" w:pos="5760"/>
        </w:tabs>
        <w:ind w:left="5760" w:hanging="360"/>
      </w:pPr>
      <w:rPr>
        <w:rFonts w:ascii="Symbol" w:hAnsi="Symbol" w:hint="default"/>
      </w:rPr>
    </w:lvl>
    <w:lvl w:ilvl="8" w:tplc="D2DE3EB0" w:tentative="1">
      <w:start w:val="1"/>
      <w:numFmt w:val="bullet"/>
      <w:lvlText w:val=""/>
      <w:lvlJc w:val="left"/>
      <w:pPr>
        <w:tabs>
          <w:tab w:val="num" w:pos="6480"/>
        </w:tabs>
        <w:ind w:left="6480" w:hanging="360"/>
      </w:pPr>
      <w:rPr>
        <w:rFonts w:ascii="Symbol" w:hAnsi="Symbol" w:hint="default"/>
      </w:rPr>
    </w:lvl>
  </w:abstractNum>
  <w:abstractNum w:abstractNumId="173" w15:restartNumberingAfterBreak="0">
    <w:nsid w:val="71BF72E1"/>
    <w:multiLevelType w:val="hybridMultilevel"/>
    <w:tmpl w:val="D190F7D8"/>
    <w:lvl w:ilvl="0" w:tplc="ED266384">
      <w:start w:val="1"/>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74" w15:restartNumberingAfterBreak="0">
    <w:nsid w:val="72DE0DEA"/>
    <w:multiLevelType w:val="hybridMultilevel"/>
    <w:tmpl w:val="E82C8002"/>
    <w:lvl w:ilvl="0" w:tplc="688E8B26">
      <w:start w:val="1"/>
      <w:numFmt w:val="bullet"/>
      <w:lvlText w:val=""/>
      <w:lvlPicBulletId w:val="1"/>
      <w:lvlJc w:val="left"/>
      <w:pPr>
        <w:tabs>
          <w:tab w:val="num" w:pos="720"/>
        </w:tabs>
        <w:ind w:left="720" w:hanging="360"/>
      </w:pPr>
      <w:rPr>
        <w:rFonts w:ascii="Symbol" w:hAnsi="Symbol" w:hint="default"/>
      </w:rPr>
    </w:lvl>
    <w:lvl w:ilvl="1" w:tplc="CFA22772" w:tentative="1">
      <w:start w:val="1"/>
      <w:numFmt w:val="bullet"/>
      <w:lvlText w:val=""/>
      <w:lvlJc w:val="left"/>
      <w:pPr>
        <w:tabs>
          <w:tab w:val="num" w:pos="1440"/>
        </w:tabs>
        <w:ind w:left="1440" w:hanging="360"/>
      </w:pPr>
      <w:rPr>
        <w:rFonts w:ascii="Symbol" w:hAnsi="Symbol" w:hint="default"/>
      </w:rPr>
    </w:lvl>
    <w:lvl w:ilvl="2" w:tplc="8670FBE6" w:tentative="1">
      <w:start w:val="1"/>
      <w:numFmt w:val="bullet"/>
      <w:lvlText w:val=""/>
      <w:lvlJc w:val="left"/>
      <w:pPr>
        <w:tabs>
          <w:tab w:val="num" w:pos="2160"/>
        </w:tabs>
        <w:ind w:left="2160" w:hanging="360"/>
      </w:pPr>
      <w:rPr>
        <w:rFonts w:ascii="Symbol" w:hAnsi="Symbol" w:hint="default"/>
      </w:rPr>
    </w:lvl>
    <w:lvl w:ilvl="3" w:tplc="3CEA4480" w:tentative="1">
      <w:start w:val="1"/>
      <w:numFmt w:val="bullet"/>
      <w:lvlText w:val=""/>
      <w:lvlJc w:val="left"/>
      <w:pPr>
        <w:tabs>
          <w:tab w:val="num" w:pos="2880"/>
        </w:tabs>
        <w:ind w:left="2880" w:hanging="360"/>
      </w:pPr>
      <w:rPr>
        <w:rFonts w:ascii="Symbol" w:hAnsi="Symbol" w:hint="default"/>
      </w:rPr>
    </w:lvl>
    <w:lvl w:ilvl="4" w:tplc="798C6E0A" w:tentative="1">
      <w:start w:val="1"/>
      <w:numFmt w:val="bullet"/>
      <w:lvlText w:val=""/>
      <w:lvlJc w:val="left"/>
      <w:pPr>
        <w:tabs>
          <w:tab w:val="num" w:pos="3600"/>
        </w:tabs>
        <w:ind w:left="3600" w:hanging="360"/>
      </w:pPr>
      <w:rPr>
        <w:rFonts w:ascii="Symbol" w:hAnsi="Symbol" w:hint="default"/>
      </w:rPr>
    </w:lvl>
    <w:lvl w:ilvl="5" w:tplc="F7B6C6BC" w:tentative="1">
      <w:start w:val="1"/>
      <w:numFmt w:val="bullet"/>
      <w:lvlText w:val=""/>
      <w:lvlJc w:val="left"/>
      <w:pPr>
        <w:tabs>
          <w:tab w:val="num" w:pos="4320"/>
        </w:tabs>
        <w:ind w:left="4320" w:hanging="360"/>
      </w:pPr>
      <w:rPr>
        <w:rFonts w:ascii="Symbol" w:hAnsi="Symbol" w:hint="default"/>
      </w:rPr>
    </w:lvl>
    <w:lvl w:ilvl="6" w:tplc="D3305296" w:tentative="1">
      <w:start w:val="1"/>
      <w:numFmt w:val="bullet"/>
      <w:lvlText w:val=""/>
      <w:lvlJc w:val="left"/>
      <w:pPr>
        <w:tabs>
          <w:tab w:val="num" w:pos="5040"/>
        </w:tabs>
        <w:ind w:left="5040" w:hanging="360"/>
      </w:pPr>
      <w:rPr>
        <w:rFonts w:ascii="Symbol" w:hAnsi="Symbol" w:hint="default"/>
      </w:rPr>
    </w:lvl>
    <w:lvl w:ilvl="7" w:tplc="9CB0A5E4" w:tentative="1">
      <w:start w:val="1"/>
      <w:numFmt w:val="bullet"/>
      <w:lvlText w:val=""/>
      <w:lvlJc w:val="left"/>
      <w:pPr>
        <w:tabs>
          <w:tab w:val="num" w:pos="5760"/>
        </w:tabs>
        <w:ind w:left="5760" w:hanging="360"/>
      </w:pPr>
      <w:rPr>
        <w:rFonts w:ascii="Symbol" w:hAnsi="Symbol" w:hint="default"/>
      </w:rPr>
    </w:lvl>
    <w:lvl w:ilvl="8" w:tplc="A814A536" w:tentative="1">
      <w:start w:val="1"/>
      <w:numFmt w:val="bullet"/>
      <w:lvlText w:val=""/>
      <w:lvlJc w:val="left"/>
      <w:pPr>
        <w:tabs>
          <w:tab w:val="num" w:pos="6480"/>
        </w:tabs>
        <w:ind w:left="6480" w:hanging="360"/>
      </w:pPr>
      <w:rPr>
        <w:rFonts w:ascii="Symbol" w:hAnsi="Symbol" w:hint="default"/>
      </w:rPr>
    </w:lvl>
  </w:abstractNum>
  <w:abstractNum w:abstractNumId="175" w15:restartNumberingAfterBreak="0">
    <w:nsid w:val="743854EE"/>
    <w:multiLevelType w:val="hybridMultilevel"/>
    <w:tmpl w:val="D29054A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76" w15:restartNumberingAfterBreak="0">
    <w:nsid w:val="74482F6F"/>
    <w:multiLevelType w:val="hybridMultilevel"/>
    <w:tmpl w:val="CF2C7284"/>
    <w:lvl w:ilvl="0" w:tplc="C3E00D6E">
      <w:start w:val="1"/>
      <w:numFmt w:val="bullet"/>
      <w:lvlText w:val=""/>
      <w:lvlPicBulletId w:val="1"/>
      <w:lvlJc w:val="left"/>
      <w:pPr>
        <w:tabs>
          <w:tab w:val="num" w:pos="720"/>
        </w:tabs>
        <w:ind w:left="720" w:hanging="360"/>
      </w:pPr>
      <w:rPr>
        <w:rFonts w:ascii="Symbol" w:hAnsi="Symbol" w:hint="default"/>
      </w:rPr>
    </w:lvl>
    <w:lvl w:ilvl="1" w:tplc="7DC69652" w:tentative="1">
      <w:start w:val="1"/>
      <w:numFmt w:val="bullet"/>
      <w:lvlText w:val=""/>
      <w:lvlJc w:val="left"/>
      <w:pPr>
        <w:tabs>
          <w:tab w:val="num" w:pos="1440"/>
        </w:tabs>
        <w:ind w:left="1440" w:hanging="360"/>
      </w:pPr>
      <w:rPr>
        <w:rFonts w:ascii="Symbol" w:hAnsi="Symbol" w:hint="default"/>
      </w:rPr>
    </w:lvl>
    <w:lvl w:ilvl="2" w:tplc="308CFB96" w:tentative="1">
      <w:start w:val="1"/>
      <w:numFmt w:val="bullet"/>
      <w:lvlText w:val=""/>
      <w:lvlJc w:val="left"/>
      <w:pPr>
        <w:tabs>
          <w:tab w:val="num" w:pos="2160"/>
        </w:tabs>
        <w:ind w:left="2160" w:hanging="360"/>
      </w:pPr>
      <w:rPr>
        <w:rFonts w:ascii="Symbol" w:hAnsi="Symbol" w:hint="default"/>
      </w:rPr>
    </w:lvl>
    <w:lvl w:ilvl="3" w:tplc="5068FAE6" w:tentative="1">
      <w:start w:val="1"/>
      <w:numFmt w:val="bullet"/>
      <w:lvlText w:val=""/>
      <w:lvlJc w:val="left"/>
      <w:pPr>
        <w:tabs>
          <w:tab w:val="num" w:pos="2880"/>
        </w:tabs>
        <w:ind w:left="2880" w:hanging="360"/>
      </w:pPr>
      <w:rPr>
        <w:rFonts w:ascii="Symbol" w:hAnsi="Symbol" w:hint="default"/>
      </w:rPr>
    </w:lvl>
    <w:lvl w:ilvl="4" w:tplc="F606DA12" w:tentative="1">
      <w:start w:val="1"/>
      <w:numFmt w:val="bullet"/>
      <w:lvlText w:val=""/>
      <w:lvlJc w:val="left"/>
      <w:pPr>
        <w:tabs>
          <w:tab w:val="num" w:pos="3600"/>
        </w:tabs>
        <w:ind w:left="3600" w:hanging="360"/>
      </w:pPr>
      <w:rPr>
        <w:rFonts w:ascii="Symbol" w:hAnsi="Symbol" w:hint="default"/>
      </w:rPr>
    </w:lvl>
    <w:lvl w:ilvl="5" w:tplc="698A7560" w:tentative="1">
      <w:start w:val="1"/>
      <w:numFmt w:val="bullet"/>
      <w:lvlText w:val=""/>
      <w:lvlJc w:val="left"/>
      <w:pPr>
        <w:tabs>
          <w:tab w:val="num" w:pos="4320"/>
        </w:tabs>
        <w:ind w:left="4320" w:hanging="360"/>
      </w:pPr>
      <w:rPr>
        <w:rFonts w:ascii="Symbol" w:hAnsi="Symbol" w:hint="default"/>
      </w:rPr>
    </w:lvl>
    <w:lvl w:ilvl="6" w:tplc="5B7886B0" w:tentative="1">
      <w:start w:val="1"/>
      <w:numFmt w:val="bullet"/>
      <w:lvlText w:val=""/>
      <w:lvlJc w:val="left"/>
      <w:pPr>
        <w:tabs>
          <w:tab w:val="num" w:pos="5040"/>
        </w:tabs>
        <w:ind w:left="5040" w:hanging="360"/>
      </w:pPr>
      <w:rPr>
        <w:rFonts w:ascii="Symbol" w:hAnsi="Symbol" w:hint="default"/>
      </w:rPr>
    </w:lvl>
    <w:lvl w:ilvl="7" w:tplc="757C9D58" w:tentative="1">
      <w:start w:val="1"/>
      <w:numFmt w:val="bullet"/>
      <w:lvlText w:val=""/>
      <w:lvlJc w:val="left"/>
      <w:pPr>
        <w:tabs>
          <w:tab w:val="num" w:pos="5760"/>
        </w:tabs>
        <w:ind w:left="5760" w:hanging="360"/>
      </w:pPr>
      <w:rPr>
        <w:rFonts w:ascii="Symbol" w:hAnsi="Symbol" w:hint="default"/>
      </w:rPr>
    </w:lvl>
    <w:lvl w:ilvl="8" w:tplc="D5A00718" w:tentative="1">
      <w:start w:val="1"/>
      <w:numFmt w:val="bullet"/>
      <w:lvlText w:val=""/>
      <w:lvlJc w:val="left"/>
      <w:pPr>
        <w:tabs>
          <w:tab w:val="num" w:pos="6480"/>
        </w:tabs>
        <w:ind w:left="6480" w:hanging="360"/>
      </w:pPr>
      <w:rPr>
        <w:rFonts w:ascii="Symbol" w:hAnsi="Symbol" w:hint="default"/>
      </w:rPr>
    </w:lvl>
  </w:abstractNum>
  <w:abstractNum w:abstractNumId="177" w15:restartNumberingAfterBreak="0">
    <w:nsid w:val="74C16C0B"/>
    <w:multiLevelType w:val="hybridMultilevel"/>
    <w:tmpl w:val="60088398"/>
    <w:lvl w:ilvl="0" w:tplc="080865CC">
      <w:start w:val="1"/>
      <w:numFmt w:val="bullet"/>
      <w:lvlText w:val=""/>
      <w:lvlPicBulletId w:val="1"/>
      <w:lvlJc w:val="left"/>
      <w:pPr>
        <w:tabs>
          <w:tab w:val="num" w:pos="720"/>
        </w:tabs>
        <w:ind w:left="720" w:hanging="360"/>
      </w:pPr>
      <w:rPr>
        <w:rFonts w:ascii="Symbol" w:hAnsi="Symbol" w:hint="default"/>
      </w:rPr>
    </w:lvl>
    <w:lvl w:ilvl="1" w:tplc="A3AC82EA" w:tentative="1">
      <w:start w:val="1"/>
      <w:numFmt w:val="bullet"/>
      <w:lvlText w:val=""/>
      <w:lvlJc w:val="left"/>
      <w:pPr>
        <w:tabs>
          <w:tab w:val="num" w:pos="1440"/>
        </w:tabs>
        <w:ind w:left="1440" w:hanging="360"/>
      </w:pPr>
      <w:rPr>
        <w:rFonts w:ascii="Symbol" w:hAnsi="Symbol" w:hint="default"/>
      </w:rPr>
    </w:lvl>
    <w:lvl w:ilvl="2" w:tplc="C7965D18" w:tentative="1">
      <w:start w:val="1"/>
      <w:numFmt w:val="bullet"/>
      <w:lvlText w:val=""/>
      <w:lvlJc w:val="left"/>
      <w:pPr>
        <w:tabs>
          <w:tab w:val="num" w:pos="2160"/>
        </w:tabs>
        <w:ind w:left="2160" w:hanging="360"/>
      </w:pPr>
      <w:rPr>
        <w:rFonts w:ascii="Symbol" w:hAnsi="Symbol" w:hint="default"/>
      </w:rPr>
    </w:lvl>
    <w:lvl w:ilvl="3" w:tplc="D8501D82" w:tentative="1">
      <w:start w:val="1"/>
      <w:numFmt w:val="bullet"/>
      <w:lvlText w:val=""/>
      <w:lvlJc w:val="left"/>
      <w:pPr>
        <w:tabs>
          <w:tab w:val="num" w:pos="2880"/>
        </w:tabs>
        <w:ind w:left="2880" w:hanging="360"/>
      </w:pPr>
      <w:rPr>
        <w:rFonts w:ascii="Symbol" w:hAnsi="Symbol" w:hint="default"/>
      </w:rPr>
    </w:lvl>
    <w:lvl w:ilvl="4" w:tplc="53346BF8" w:tentative="1">
      <w:start w:val="1"/>
      <w:numFmt w:val="bullet"/>
      <w:lvlText w:val=""/>
      <w:lvlJc w:val="left"/>
      <w:pPr>
        <w:tabs>
          <w:tab w:val="num" w:pos="3600"/>
        </w:tabs>
        <w:ind w:left="3600" w:hanging="360"/>
      </w:pPr>
      <w:rPr>
        <w:rFonts w:ascii="Symbol" w:hAnsi="Symbol" w:hint="default"/>
      </w:rPr>
    </w:lvl>
    <w:lvl w:ilvl="5" w:tplc="66AC2E38" w:tentative="1">
      <w:start w:val="1"/>
      <w:numFmt w:val="bullet"/>
      <w:lvlText w:val=""/>
      <w:lvlJc w:val="left"/>
      <w:pPr>
        <w:tabs>
          <w:tab w:val="num" w:pos="4320"/>
        </w:tabs>
        <w:ind w:left="4320" w:hanging="360"/>
      </w:pPr>
      <w:rPr>
        <w:rFonts w:ascii="Symbol" w:hAnsi="Symbol" w:hint="default"/>
      </w:rPr>
    </w:lvl>
    <w:lvl w:ilvl="6" w:tplc="A55C2EE4" w:tentative="1">
      <w:start w:val="1"/>
      <w:numFmt w:val="bullet"/>
      <w:lvlText w:val=""/>
      <w:lvlJc w:val="left"/>
      <w:pPr>
        <w:tabs>
          <w:tab w:val="num" w:pos="5040"/>
        </w:tabs>
        <w:ind w:left="5040" w:hanging="360"/>
      </w:pPr>
      <w:rPr>
        <w:rFonts w:ascii="Symbol" w:hAnsi="Symbol" w:hint="default"/>
      </w:rPr>
    </w:lvl>
    <w:lvl w:ilvl="7" w:tplc="596CEA00" w:tentative="1">
      <w:start w:val="1"/>
      <w:numFmt w:val="bullet"/>
      <w:lvlText w:val=""/>
      <w:lvlJc w:val="left"/>
      <w:pPr>
        <w:tabs>
          <w:tab w:val="num" w:pos="5760"/>
        </w:tabs>
        <w:ind w:left="5760" w:hanging="360"/>
      </w:pPr>
      <w:rPr>
        <w:rFonts w:ascii="Symbol" w:hAnsi="Symbol" w:hint="default"/>
      </w:rPr>
    </w:lvl>
    <w:lvl w:ilvl="8" w:tplc="C598DB9A" w:tentative="1">
      <w:start w:val="1"/>
      <w:numFmt w:val="bullet"/>
      <w:lvlText w:val=""/>
      <w:lvlJc w:val="left"/>
      <w:pPr>
        <w:tabs>
          <w:tab w:val="num" w:pos="6480"/>
        </w:tabs>
        <w:ind w:left="6480" w:hanging="360"/>
      </w:pPr>
      <w:rPr>
        <w:rFonts w:ascii="Symbol" w:hAnsi="Symbol" w:hint="default"/>
      </w:rPr>
    </w:lvl>
  </w:abstractNum>
  <w:abstractNum w:abstractNumId="178" w15:restartNumberingAfterBreak="0">
    <w:nsid w:val="753366E2"/>
    <w:multiLevelType w:val="hybridMultilevel"/>
    <w:tmpl w:val="650AC10A"/>
    <w:lvl w:ilvl="0" w:tplc="25B05ACE">
      <w:start w:val="1"/>
      <w:numFmt w:val="bullet"/>
      <w:lvlText w:val=""/>
      <w:lvlPicBulletId w:val="1"/>
      <w:lvlJc w:val="left"/>
      <w:pPr>
        <w:tabs>
          <w:tab w:val="num" w:pos="720"/>
        </w:tabs>
        <w:ind w:left="720" w:hanging="360"/>
      </w:pPr>
      <w:rPr>
        <w:rFonts w:ascii="Symbol" w:hAnsi="Symbol" w:hint="default"/>
      </w:rPr>
    </w:lvl>
    <w:lvl w:ilvl="1" w:tplc="E2906A40" w:tentative="1">
      <w:start w:val="1"/>
      <w:numFmt w:val="bullet"/>
      <w:lvlText w:val=""/>
      <w:lvlJc w:val="left"/>
      <w:pPr>
        <w:tabs>
          <w:tab w:val="num" w:pos="1440"/>
        </w:tabs>
        <w:ind w:left="1440" w:hanging="360"/>
      </w:pPr>
      <w:rPr>
        <w:rFonts w:ascii="Symbol" w:hAnsi="Symbol" w:hint="default"/>
      </w:rPr>
    </w:lvl>
    <w:lvl w:ilvl="2" w:tplc="746026D4" w:tentative="1">
      <w:start w:val="1"/>
      <w:numFmt w:val="bullet"/>
      <w:lvlText w:val=""/>
      <w:lvlJc w:val="left"/>
      <w:pPr>
        <w:tabs>
          <w:tab w:val="num" w:pos="2160"/>
        </w:tabs>
        <w:ind w:left="2160" w:hanging="360"/>
      </w:pPr>
      <w:rPr>
        <w:rFonts w:ascii="Symbol" w:hAnsi="Symbol" w:hint="default"/>
      </w:rPr>
    </w:lvl>
    <w:lvl w:ilvl="3" w:tplc="DB82CB72" w:tentative="1">
      <w:start w:val="1"/>
      <w:numFmt w:val="bullet"/>
      <w:lvlText w:val=""/>
      <w:lvlJc w:val="left"/>
      <w:pPr>
        <w:tabs>
          <w:tab w:val="num" w:pos="2880"/>
        </w:tabs>
        <w:ind w:left="2880" w:hanging="360"/>
      </w:pPr>
      <w:rPr>
        <w:rFonts w:ascii="Symbol" w:hAnsi="Symbol" w:hint="default"/>
      </w:rPr>
    </w:lvl>
    <w:lvl w:ilvl="4" w:tplc="9006A0E6" w:tentative="1">
      <w:start w:val="1"/>
      <w:numFmt w:val="bullet"/>
      <w:lvlText w:val=""/>
      <w:lvlJc w:val="left"/>
      <w:pPr>
        <w:tabs>
          <w:tab w:val="num" w:pos="3600"/>
        </w:tabs>
        <w:ind w:left="3600" w:hanging="360"/>
      </w:pPr>
      <w:rPr>
        <w:rFonts w:ascii="Symbol" w:hAnsi="Symbol" w:hint="default"/>
      </w:rPr>
    </w:lvl>
    <w:lvl w:ilvl="5" w:tplc="1256AC1E" w:tentative="1">
      <w:start w:val="1"/>
      <w:numFmt w:val="bullet"/>
      <w:lvlText w:val=""/>
      <w:lvlJc w:val="left"/>
      <w:pPr>
        <w:tabs>
          <w:tab w:val="num" w:pos="4320"/>
        </w:tabs>
        <w:ind w:left="4320" w:hanging="360"/>
      </w:pPr>
      <w:rPr>
        <w:rFonts w:ascii="Symbol" w:hAnsi="Symbol" w:hint="default"/>
      </w:rPr>
    </w:lvl>
    <w:lvl w:ilvl="6" w:tplc="79287BDC" w:tentative="1">
      <w:start w:val="1"/>
      <w:numFmt w:val="bullet"/>
      <w:lvlText w:val=""/>
      <w:lvlJc w:val="left"/>
      <w:pPr>
        <w:tabs>
          <w:tab w:val="num" w:pos="5040"/>
        </w:tabs>
        <w:ind w:left="5040" w:hanging="360"/>
      </w:pPr>
      <w:rPr>
        <w:rFonts w:ascii="Symbol" w:hAnsi="Symbol" w:hint="default"/>
      </w:rPr>
    </w:lvl>
    <w:lvl w:ilvl="7" w:tplc="277659D0" w:tentative="1">
      <w:start w:val="1"/>
      <w:numFmt w:val="bullet"/>
      <w:lvlText w:val=""/>
      <w:lvlJc w:val="left"/>
      <w:pPr>
        <w:tabs>
          <w:tab w:val="num" w:pos="5760"/>
        </w:tabs>
        <w:ind w:left="5760" w:hanging="360"/>
      </w:pPr>
      <w:rPr>
        <w:rFonts w:ascii="Symbol" w:hAnsi="Symbol" w:hint="default"/>
      </w:rPr>
    </w:lvl>
    <w:lvl w:ilvl="8" w:tplc="FD1A8E4A" w:tentative="1">
      <w:start w:val="1"/>
      <w:numFmt w:val="bullet"/>
      <w:lvlText w:val=""/>
      <w:lvlJc w:val="left"/>
      <w:pPr>
        <w:tabs>
          <w:tab w:val="num" w:pos="6480"/>
        </w:tabs>
        <w:ind w:left="6480" w:hanging="360"/>
      </w:pPr>
      <w:rPr>
        <w:rFonts w:ascii="Symbol" w:hAnsi="Symbol" w:hint="default"/>
      </w:rPr>
    </w:lvl>
  </w:abstractNum>
  <w:abstractNum w:abstractNumId="179" w15:restartNumberingAfterBreak="0">
    <w:nsid w:val="758954A5"/>
    <w:multiLevelType w:val="hybridMultilevel"/>
    <w:tmpl w:val="001C7306"/>
    <w:lvl w:ilvl="0" w:tplc="500C517C">
      <w:start w:val="1"/>
      <w:numFmt w:val="bullet"/>
      <w:lvlText w:val=""/>
      <w:lvlPicBulletId w:val="0"/>
      <w:lvlJc w:val="left"/>
      <w:pPr>
        <w:tabs>
          <w:tab w:val="num" w:pos="720"/>
        </w:tabs>
        <w:ind w:left="720" w:hanging="360"/>
      </w:pPr>
      <w:rPr>
        <w:rFonts w:ascii="Symbol" w:hAnsi="Symbol" w:hint="default"/>
      </w:rPr>
    </w:lvl>
    <w:lvl w:ilvl="1" w:tplc="6D34BBC0" w:tentative="1">
      <w:start w:val="1"/>
      <w:numFmt w:val="bullet"/>
      <w:lvlText w:val=""/>
      <w:lvlJc w:val="left"/>
      <w:pPr>
        <w:tabs>
          <w:tab w:val="num" w:pos="1440"/>
        </w:tabs>
        <w:ind w:left="1440" w:hanging="360"/>
      </w:pPr>
      <w:rPr>
        <w:rFonts w:ascii="Symbol" w:hAnsi="Symbol" w:hint="default"/>
      </w:rPr>
    </w:lvl>
    <w:lvl w:ilvl="2" w:tplc="53E4B5E4" w:tentative="1">
      <w:start w:val="1"/>
      <w:numFmt w:val="bullet"/>
      <w:lvlText w:val=""/>
      <w:lvlJc w:val="left"/>
      <w:pPr>
        <w:tabs>
          <w:tab w:val="num" w:pos="2160"/>
        </w:tabs>
        <w:ind w:left="2160" w:hanging="360"/>
      </w:pPr>
      <w:rPr>
        <w:rFonts w:ascii="Symbol" w:hAnsi="Symbol" w:hint="default"/>
      </w:rPr>
    </w:lvl>
    <w:lvl w:ilvl="3" w:tplc="74289A6C" w:tentative="1">
      <w:start w:val="1"/>
      <w:numFmt w:val="bullet"/>
      <w:lvlText w:val=""/>
      <w:lvlJc w:val="left"/>
      <w:pPr>
        <w:tabs>
          <w:tab w:val="num" w:pos="2880"/>
        </w:tabs>
        <w:ind w:left="2880" w:hanging="360"/>
      </w:pPr>
      <w:rPr>
        <w:rFonts w:ascii="Symbol" w:hAnsi="Symbol" w:hint="default"/>
      </w:rPr>
    </w:lvl>
    <w:lvl w:ilvl="4" w:tplc="B9B04B0E" w:tentative="1">
      <w:start w:val="1"/>
      <w:numFmt w:val="bullet"/>
      <w:lvlText w:val=""/>
      <w:lvlJc w:val="left"/>
      <w:pPr>
        <w:tabs>
          <w:tab w:val="num" w:pos="3600"/>
        </w:tabs>
        <w:ind w:left="3600" w:hanging="360"/>
      </w:pPr>
      <w:rPr>
        <w:rFonts w:ascii="Symbol" w:hAnsi="Symbol" w:hint="default"/>
      </w:rPr>
    </w:lvl>
    <w:lvl w:ilvl="5" w:tplc="E88E15E8" w:tentative="1">
      <w:start w:val="1"/>
      <w:numFmt w:val="bullet"/>
      <w:lvlText w:val=""/>
      <w:lvlJc w:val="left"/>
      <w:pPr>
        <w:tabs>
          <w:tab w:val="num" w:pos="4320"/>
        </w:tabs>
        <w:ind w:left="4320" w:hanging="360"/>
      </w:pPr>
      <w:rPr>
        <w:rFonts w:ascii="Symbol" w:hAnsi="Symbol" w:hint="default"/>
      </w:rPr>
    </w:lvl>
    <w:lvl w:ilvl="6" w:tplc="E5D268F8" w:tentative="1">
      <w:start w:val="1"/>
      <w:numFmt w:val="bullet"/>
      <w:lvlText w:val=""/>
      <w:lvlJc w:val="left"/>
      <w:pPr>
        <w:tabs>
          <w:tab w:val="num" w:pos="5040"/>
        </w:tabs>
        <w:ind w:left="5040" w:hanging="360"/>
      </w:pPr>
      <w:rPr>
        <w:rFonts w:ascii="Symbol" w:hAnsi="Symbol" w:hint="default"/>
      </w:rPr>
    </w:lvl>
    <w:lvl w:ilvl="7" w:tplc="608C4624" w:tentative="1">
      <w:start w:val="1"/>
      <w:numFmt w:val="bullet"/>
      <w:lvlText w:val=""/>
      <w:lvlJc w:val="left"/>
      <w:pPr>
        <w:tabs>
          <w:tab w:val="num" w:pos="5760"/>
        </w:tabs>
        <w:ind w:left="5760" w:hanging="360"/>
      </w:pPr>
      <w:rPr>
        <w:rFonts w:ascii="Symbol" w:hAnsi="Symbol" w:hint="default"/>
      </w:rPr>
    </w:lvl>
    <w:lvl w:ilvl="8" w:tplc="477E2E82" w:tentative="1">
      <w:start w:val="1"/>
      <w:numFmt w:val="bullet"/>
      <w:lvlText w:val=""/>
      <w:lvlJc w:val="left"/>
      <w:pPr>
        <w:tabs>
          <w:tab w:val="num" w:pos="6480"/>
        </w:tabs>
        <w:ind w:left="6480" w:hanging="360"/>
      </w:pPr>
      <w:rPr>
        <w:rFonts w:ascii="Symbol" w:hAnsi="Symbol" w:hint="default"/>
      </w:rPr>
    </w:lvl>
  </w:abstractNum>
  <w:abstractNum w:abstractNumId="180" w15:restartNumberingAfterBreak="0">
    <w:nsid w:val="76DA573C"/>
    <w:multiLevelType w:val="hybridMultilevel"/>
    <w:tmpl w:val="DF86ADB8"/>
    <w:lvl w:ilvl="0" w:tplc="ABB0ED9C">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1" w15:restartNumberingAfterBreak="0">
    <w:nsid w:val="78BE507A"/>
    <w:multiLevelType w:val="hybridMultilevel"/>
    <w:tmpl w:val="48CE8846"/>
    <w:lvl w:ilvl="0" w:tplc="797E748A">
      <w:start w:val="1"/>
      <w:numFmt w:val="bullet"/>
      <w:lvlText w:val=""/>
      <w:lvlPicBulletId w:val="1"/>
      <w:lvlJc w:val="left"/>
      <w:pPr>
        <w:tabs>
          <w:tab w:val="num" w:pos="720"/>
        </w:tabs>
        <w:ind w:left="720" w:hanging="360"/>
      </w:pPr>
      <w:rPr>
        <w:rFonts w:ascii="Symbol" w:hAnsi="Symbol" w:hint="default"/>
      </w:rPr>
    </w:lvl>
    <w:lvl w:ilvl="1" w:tplc="2D7437B8" w:tentative="1">
      <w:start w:val="1"/>
      <w:numFmt w:val="bullet"/>
      <w:lvlText w:val=""/>
      <w:lvlJc w:val="left"/>
      <w:pPr>
        <w:tabs>
          <w:tab w:val="num" w:pos="1440"/>
        </w:tabs>
        <w:ind w:left="1440" w:hanging="360"/>
      </w:pPr>
      <w:rPr>
        <w:rFonts w:ascii="Symbol" w:hAnsi="Symbol" w:hint="default"/>
      </w:rPr>
    </w:lvl>
    <w:lvl w:ilvl="2" w:tplc="07E43912" w:tentative="1">
      <w:start w:val="1"/>
      <w:numFmt w:val="bullet"/>
      <w:lvlText w:val=""/>
      <w:lvlJc w:val="left"/>
      <w:pPr>
        <w:tabs>
          <w:tab w:val="num" w:pos="2160"/>
        </w:tabs>
        <w:ind w:left="2160" w:hanging="360"/>
      </w:pPr>
      <w:rPr>
        <w:rFonts w:ascii="Symbol" w:hAnsi="Symbol" w:hint="default"/>
      </w:rPr>
    </w:lvl>
    <w:lvl w:ilvl="3" w:tplc="F5926750" w:tentative="1">
      <w:start w:val="1"/>
      <w:numFmt w:val="bullet"/>
      <w:lvlText w:val=""/>
      <w:lvlJc w:val="left"/>
      <w:pPr>
        <w:tabs>
          <w:tab w:val="num" w:pos="2880"/>
        </w:tabs>
        <w:ind w:left="2880" w:hanging="360"/>
      </w:pPr>
      <w:rPr>
        <w:rFonts w:ascii="Symbol" w:hAnsi="Symbol" w:hint="default"/>
      </w:rPr>
    </w:lvl>
    <w:lvl w:ilvl="4" w:tplc="D80AB024" w:tentative="1">
      <w:start w:val="1"/>
      <w:numFmt w:val="bullet"/>
      <w:lvlText w:val=""/>
      <w:lvlJc w:val="left"/>
      <w:pPr>
        <w:tabs>
          <w:tab w:val="num" w:pos="3600"/>
        </w:tabs>
        <w:ind w:left="3600" w:hanging="360"/>
      </w:pPr>
      <w:rPr>
        <w:rFonts w:ascii="Symbol" w:hAnsi="Symbol" w:hint="default"/>
      </w:rPr>
    </w:lvl>
    <w:lvl w:ilvl="5" w:tplc="D8585F9E" w:tentative="1">
      <w:start w:val="1"/>
      <w:numFmt w:val="bullet"/>
      <w:lvlText w:val=""/>
      <w:lvlJc w:val="left"/>
      <w:pPr>
        <w:tabs>
          <w:tab w:val="num" w:pos="4320"/>
        </w:tabs>
        <w:ind w:left="4320" w:hanging="360"/>
      </w:pPr>
      <w:rPr>
        <w:rFonts w:ascii="Symbol" w:hAnsi="Symbol" w:hint="default"/>
      </w:rPr>
    </w:lvl>
    <w:lvl w:ilvl="6" w:tplc="B680CE1E" w:tentative="1">
      <w:start w:val="1"/>
      <w:numFmt w:val="bullet"/>
      <w:lvlText w:val=""/>
      <w:lvlJc w:val="left"/>
      <w:pPr>
        <w:tabs>
          <w:tab w:val="num" w:pos="5040"/>
        </w:tabs>
        <w:ind w:left="5040" w:hanging="360"/>
      </w:pPr>
      <w:rPr>
        <w:rFonts w:ascii="Symbol" w:hAnsi="Symbol" w:hint="default"/>
      </w:rPr>
    </w:lvl>
    <w:lvl w:ilvl="7" w:tplc="E8BE4FFC" w:tentative="1">
      <w:start w:val="1"/>
      <w:numFmt w:val="bullet"/>
      <w:lvlText w:val=""/>
      <w:lvlJc w:val="left"/>
      <w:pPr>
        <w:tabs>
          <w:tab w:val="num" w:pos="5760"/>
        </w:tabs>
        <w:ind w:left="5760" w:hanging="360"/>
      </w:pPr>
      <w:rPr>
        <w:rFonts w:ascii="Symbol" w:hAnsi="Symbol" w:hint="default"/>
      </w:rPr>
    </w:lvl>
    <w:lvl w:ilvl="8" w:tplc="DE3638EE" w:tentative="1">
      <w:start w:val="1"/>
      <w:numFmt w:val="bullet"/>
      <w:lvlText w:val=""/>
      <w:lvlJc w:val="left"/>
      <w:pPr>
        <w:tabs>
          <w:tab w:val="num" w:pos="6480"/>
        </w:tabs>
        <w:ind w:left="6480" w:hanging="360"/>
      </w:pPr>
      <w:rPr>
        <w:rFonts w:ascii="Symbol" w:hAnsi="Symbol" w:hint="default"/>
      </w:rPr>
    </w:lvl>
  </w:abstractNum>
  <w:abstractNum w:abstractNumId="182" w15:restartNumberingAfterBreak="0">
    <w:nsid w:val="78C446A0"/>
    <w:multiLevelType w:val="hybridMultilevel"/>
    <w:tmpl w:val="75E8C310"/>
    <w:lvl w:ilvl="0" w:tplc="D3D092D2">
      <w:start w:val="1"/>
      <w:numFmt w:val="bullet"/>
      <w:lvlText w:val=""/>
      <w:lvlPicBulletId w:val="1"/>
      <w:lvlJc w:val="left"/>
      <w:pPr>
        <w:tabs>
          <w:tab w:val="num" w:pos="720"/>
        </w:tabs>
        <w:ind w:left="720" w:hanging="360"/>
      </w:pPr>
      <w:rPr>
        <w:rFonts w:ascii="Symbol" w:hAnsi="Symbol" w:hint="default"/>
      </w:rPr>
    </w:lvl>
    <w:lvl w:ilvl="1" w:tplc="2A50A8DC" w:tentative="1">
      <w:start w:val="1"/>
      <w:numFmt w:val="bullet"/>
      <w:lvlText w:val=""/>
      <w:lvlJc w:val="left"/>
      <w:pPr>
        <w:tabs>
          <w:tab w:val="num" w:pos="1440"/>
        </w:tabs>
        <w:ind w:left="1440" w:hanging="360"/>
      </w:pPr>
      <w:rPr>
        <w:rFonts w:ascii="Symbol" w:hAnsi="Symbol" w:hint="default"/>
      </w:rPr>
    </w:lvl>
    <w:lvl w:ilvl="2" w:tplc="94DA140A" w:tentative="1">
      <w:start w:val="1"/>
      <w:numFmt w:val="bullet"/>
      <w:lvlText w:val=""/>
      <w:lvlJc w:val="left"/>
      <w:pPr>
        <w:tabs>
          <w:tab w:val="num" w:pos="2160"/>
        </w:tabs>
        <w:ind w:left="2160" w:hanging="360"/>
      </w:pPr>
      <w:rPr>
        <w:rFonts w:ascii="Symbol" w:hAnsi="Symbol" w:hint="default"/>
      </w:rPr>
    </w:lvl>
    <w:lvl w:ilvl="3" w:tplc="45B803C0" w:tentative="1">
      <w:start w:val="1"/>
      <w:numFmt w:val="bullet"/>
      <w:lvlText w:val=""/>
      <w:lvlJc w:val="left"/>
      <w:pPr>
        <w:tabs>
          <w:tab w:val="num" w:pos="2880"/>
        </w:tabs>
        <w:ind w:left="2880" w:hanging="360"/>
      </w:pPr>
      <w:rPr>
        <w:rFonts w:ascii="Symbol" w:hAnsi="Symbol" w:hint="default"/>
      </w:rPr>
    </w:lvl>
    <w:lvl w:ilvl="4" w:tplc="30EC2AFE" w:tentative="1">
      <w:start w:val="1"/>
      <w:numFmt w:val="bullet"/>
      <w:lvlText w:val=""/>
      <w:lvlJc w:val="left"/>
      <w:pPr>
        <w:tabs>
          <w:tab w:val="num" w:pos="3600"/>
        </w:tabs>
        <w:ind w:left="3600" w:hanging="360"/>
      </w:pPr>
      <w:rPr>
        <w:rFonts w:ascii="Symbol" w:hAnsi="Symbol" w:hint="default"/>
      </w:rPr>
    </w:lvl>
    <w:lvl w:ilvl="5" w:tplc="CB925300" w:tentative="1">
      <w:start w:val="1"/>
      <w:numFmt w:val="bullet"/>
      <w:lvlText w:val=""/>
      <w:lvlJc w:val="left"/>
      <w:pPr>
        <w:tabs>
          <w:tab w:val="num" w:pos="4320"/>
        </w:tabs>
        <w:ind w:left="4320" w:hanging="360"/>
      </w:pPr>
      <w:rPr>
        <w:rFonts w:ascii="Symbol" w:hAnsi="Symbol" w:hint="default"/>
      </w:rPr>
    </w:lvl>
    <w:lvl w:ilvl="6" w:tplc="7B46B524" w:tentative="1">
      <w:start w:val="1"/>
      <w:numFmt w:val="bullet"/>
      <w:lvlText w:val=""/>
      <w:lvlJc w:val="left"/>
      <w:pPr>
        <w:tabs>
          <w:tab w:val="num" w:pos="5040"/>
        </w:tabs>
        <w:ind w:left="5040" w:hanging="360"/>
      </w:pPr>
      <w:rPr>
        <w:rFonts w:ascii="Symbol" w:hAnsi="Symbol" w:hint="default"/>
      </w:rPr>
    </w:lvl>
    <w:lvl w:ilvl="7" w:tplc="D5D00BB6" w:tentative="1">
      <w:start w:val="1"/>
      <w:numFmt w:val="bullet"/>
      <w:lvlText w:val=""/>
      <w:lvlJc w:val="left"/>
      <w:pPr>
        <w:tabs>
          <w:tab w:val="num" w:pos="5760"/>
        </w:tabs>
        <w:ind w:left="5760" w:hanging="360"/>
      </w:pPr>
      <w:rPr>
        <w:rFonts w:ascii="Symbol" w:hAnsi="Symbol" w:hint="default"/>
      </w:rPr>
    </w:lvl>
    <w:lvl w:ilvl="8" w:tplc="94089FFA" w:tentative="1">
      <w:start w:val="1"/>
      <w:numFmt w:val="bullet"/>
      <w:lvlText w:val=""/>
      <w:lvlJc w:val="left"/>
      <w:pPr>
        <w:tabs>
          <w:tab w:val="num" w:pos="6480"/>
        </w:tabs>
        <w:ind w:left="6480" w:hanging="360"/>
      </w:pPr>
      <w:rPr>
        <w:rFonts w:ascii="Symbol" w:hAnsi="Symbol" w:hint="default"/>
      </w:rPr>
    </w:lvl>
  </w:abstractNum>
  <w:abstractNum w:abstractNumId="183" w15:restartNumberingAfterBreak="0">
    <w:nsid w:val="7A38056D"/>
    <w:multiLevelType w:val="hybridMultilevel"/>
    <w:tmpl w:val="9A32F9E8"/>
    <w:lvl w:ilvl="0" w:tplc="08D2AB58">
      <w:start w:val="1"/>
      <w:numFmt w:val="bullet"/>
      <w:lvlText w:val="&gt;"/>
      <w:lvlJc w:val="left"/>
      <w:pPr>
        <w:ind w:left="720" w:hanging="360"/>
      </w:pPr>
      <w:rPr>
        <w:rFonts w:ascii="HelveticaNeueLT Std Lt" w:hAnsi="HelveticaNeueLT Std L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4" w15:restartNumberingAfterBreak="0">
    <w:nsid w:val="7A8A4413"/>
    <w:multiLevelType w:val="multilevel"/>
    <w:tmpl w:val="8D2A1B7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85" w15:restartNumberingAfterBreak="0">
    <w:nsid w:val="7BCD3E0A"/>
    <w:multiLevelType w:val="hybridMultilevel"/>
    <w:tmpl w:val="892CDE82"/>
    <w:lvl w:ilvl="0" w:tplc="A75ACB68">
      <w:start w:val="1"/>
      <w:numFmt w:val="bullet"/>
      <w:lvlText w:val=""/>
      <w:lvlPicBulletId w:val="0"/>
      <w:lvlJc w:val="left"/>
      <w:pPr>
        <w:tabs>
          <w:tab w:val="num" w:pos="720"/>
        </w:tabs>
        <w:ind w:left="720" w:hanging="360"/>
      </w:pPr>
      <w:rPr>
        <w:rFonts w:ascii="Symbol" w:hAnsi="Symbol" w:hint="default"/>
      </w:rPr>
    </w:lvl>
    <w:lvl w:ilvl="1" w:tplc="ECDEB8BA" w:tentative="1">
      <w:start w:val="1"/>
      <w:numFmt w:val="bullet"/>
      <w:lvlText w:val=""/>
      <w:lvlJc w:val="left"/>
      <w:pPr>
        <w:tabs>
          <w:tab w:val="num" w:pos="1440"/>
        </w:tabs>
        <w:ind w:left="1440" w:hanging="360"/>
      </w:pPr>
      <w:rPr>
        <w:rFonts w:ascii="Symbol" w:hAnsi="Symbol" w:hint="default"/>
      </w:rPr>
    </w:lvl>
    <w:lvl w:ilvl="2" w:tplc="313C2420" w:tentative="1">
      <w:start w:val="1"/>
      <w:numFmt w:val="bullet"/>
      <w:lvlText w:val=""/>
      <w:lvlJc w:val="left"/>
      <w:pPr>
        <w:tabs>
          <w:tab w:val="num" w:pos="2160"/>
        </w:tabs>
        <w:ind w:left="2160" w:hanging="360"/>
      </w:pPr>
      <w:rPr>
        <w:rFonts w:ascii="Symbol" w:hAnsi="Symbol" w:hint="default"/>
      </w:rPr>
    </w:lvl>
    <w:lvl w:ilvl="3" w:tplc="4894CB9C" w:tentative="1">
      <w:start w:val="1"/>
      <w:numFmt w:val="bullet"/>
      <w:lvlText w:val=""/>
      <w:lvlJc w:val="left"/>
      <w:pPr>
        <w:tabs>
          <w:tab w:val="num" w:pos="2880"/>
        </w:tabs>
        <w:ind w:left="2880" w:hanging="360"/>
      </w:pPr>
      <w:rPr>
        <w:rFonts w:ascii="Symbol" w:hAnsi="Symbol" w:hint="default"/>
      </w:rPr>
    </w:lvl>
    <w:lvl w:ilvl="4" w:tplc="D64CA0A6" w:tentative="1">
      <w:start w:val="1"/>
      <w:numFmt w:val="bullet"/>
      <w:lvlText w:val=""/>
      <w:lvlJc w:val="left"/>
      <w:pPr>
        <w:tabs>
          <w:tab w:val="num" w:pos="3600"/>
        </w:tabs>
        <w:ind w:left="3600" w:hanging="360"/>
      </w:pPr>
      <w:rPr>
        <w:rFonts w:ascii="Symbol" w:hAnsi="Symbol" w:hint="default"/>
      </w:rPr>
    </w:lvl>
    <w:lvl w:ilvl="5" w:tplc="9FBEA9D0" w:tentative="1">
      <w:start w:val="1"/>
      <w:numFmt w:val="bullet"/>
      <w:lvlText w:val=""/>
      <w:lvlJc w:val="left"/>
      <w:pPr>
        <w:tabs>
          <w:tab w:val="num" w:pos="4320"/>
        </w:tabs>
        <w:ind w:left="4320" w:hanging="360"/>
      </w:pPr>
      <w:rPr>
        <w:rFonts w:ascii="Symbol" w:hAnsi="Symbol" w:hint="default"/>
      </w:rPr>
    </w:lvl>
    <w:lvl w:ilvl="6" w:tplc="27BA7348" w:tentative="1">
      <w:start w:val="1"/>
      <w:numFmt w:val="bullet"/>
      <w:lvlText w:val=""/>
      <w:lvlJc w:val="left"/>
      <w:pPr>
        <w:tabs>
          <w:tab w:val="num" w:pos="5040"/>
        </w:tabs>
        <w:ind w:left="5040" w:hanging="360"/>
      </w:pPr>
      <w:rPr>
        <w:rFonts w:ascii="Symbol" w:hAnsi="Symbol" w:hint="default"/>
      </w:rPr>
    </w:lvl>
    <w:lvl w:ilvl="7" w:tplc="10CA8B9E" w:tentative="1">
      <w:start w:val="1"/>
      <w:numFmt w:val="bullet"/>
      <w:lvlText w:val=""/>
      <w:lvlJc w:val="left"/>
      <w:pPr>
        <w:tabs>
          <w:tab w:val="num" w:pos="5760"/>
        </w:tabs>
        <w:ind w:left="5760" w:hanging="360"/>
      </w:pPr>
      <w:rPr>
        <w:rFonts w:ascii="Symbol" w:hAnsi="Symbol" w:hint="default"/>
      </w:rPr>
    </w:lvl>
    <w:lvl w:ilvl="8" w:tplc="B70CFB4A" w:tentative="1">
      <w:start w:val="1"/>
      <w:numFmt w:val="bullet"/>
      <w:lvlText w:val=""/>
      <w:lvlJc w:val="left"/>
      <w:pPr>
        <w:tabs>
          <w:tab w:val="num" w:pos="6480"/>
        </w:tabs>
        <w:ind w:left="6480" w:hanging="360"/>
      </w:pPr>
      <w:rPr>
        <w:rFonts w:ascii="Symbol" w:hAnsi="Symbol" w:hint="default"/>
      </w:rPr>
    </w:lvl>
  </w:abstractNum>
  <w:abstractNum w:abstractNumId="186" w15:restartNumberingAfterBreak="0">
    <w:nsid w:val="7BDF7731"/>
    <w:multiLevelType w:val="hybridMultilevel"/>
    <w:tmpl w:val="AD5C1412"/>
    <w:lvl w:ilvl="0" w:tplc="60145BE6">
      <w:start w:val="1"/>
      <w:numFmt w:val="bullet"/>
      <w:lvlText w:val=""/>
      <w:lvlPicBulletId w:val="0"/>
      <w:lvlJc w:val="left"/>
      <w:pPr>
        <w:tabs>
          <w:tab w:val="num" w:pos="720"/>
        </w:tabs>
        <w:ind w:left="720" w:hanging="360"/>
      </w:pPr>
      <w:rPr>
        <w:rFonts w:ascii="Symbol" w:hAnsi="Symbol" w:hint="default"/>
      </w:rPr>
    </w:lvl>
    <w:lvl w:ilvl="1" w:tplc="F2322DEE" w:tentative="1">
      <w:start w:val="1"/>
      <w:numFmt w:val="bullet"/>
      <w:lvlText w:val=""/>
      <w:lvlJc w:val="left"/>
      <w:pPr>
        <w:tabs>
          <w:tab w:val="num" w:pos="1440"/>
        </w:tabs>
        <w:ind w:left="1440" w:hanging="360"/>
      </w:pPr>
      <w:rPr>
        <w:rFonts w:ascii="Symbol" w:hAnsi="Symbol" w:hint="default"/>
      </w:rPr>
    </w:lvl>
    <w:lvl w:ilvl="2" w:tplc="60B20830" w:tentative="1">
      <w:start w:val="1"/>
      <w:numFmt w:val="bullet"/>
      <w:lvlText w:val=""/>
      <w:lvlJc w:val="left"/>
      <w:pPr>
        <w:tabs>
          <w:tab w:val="num" w:pos="2160"/>
        </w:tabs>
        <w:ind w:left="2160" w:hanging="360"/>
      </w:pPr>
      <w:rPr>
        <w:rFonts w:ascii="Symbol" w:hAnsi="Symbol" w:hint="default"/>
      </w:rPr>
    </w:lvl>
    <w:lvl w:ilvl="3" w:tplc="7902CD06" w:tentative="1">
      <w:start w:val="1"/>
      <w:numFmt w:val="bullet"/>
      <w:lvlText w:val=""/>
      <w:lvlJc w:val="left"/>
      <w:pPr>
        <w:tabs>
          <w:tab w:val="num" w:pos="2880"/>
        </w:tabs>
        <w:ind w:left="2880" w:hanging="360"/>
      </w:pPr>
      <w:rPr>
        <w:rFonts w:ascii="Symbol" w:hAnsi="Symbol" w:hint="default"/>
      </w:rPr>
    </w:lvl>
    <w:lvl w:ilvl="4" w:tplc="D77EA770" w:tentative="1">
      <w:start w:val="1"/>
      <w:numFmt w:val="bullet"/>
      <w:lvlText w:val=""/>
      <w:lvlJc w:val="left"/>
      <w:pPr>
        <w:tabs>
          <w:tab w:val="num" w:pos="3600"/>
        </w:tabs>
        <w:ind w:left="3600" w:hanging="360"/>
      </w:pPr>
      <w:rPr>
        <w:rFonts w:ascii="Symbol" w:hAnsi="Symbol" w:hint="default"/>
      </w:rPr>
    </w:lvl>
    <w:lvl w:ilvl="5" w:tplc="DDFA796E" w:tentative="1">
      <w:start w:val="1"/>
      <w:numFmt w:val="bullet"/>
      <w:lvlText w:val=""/>
      <w:lvlJc w:val="left"/>
      <w:pPr>
        <w:tabs>
          <w:tab w:val="num" w:pos="4320"/>
        </w:tabs>
        <w:ind w:left="4320" w:hanging="360"/>
      </w:pPr>
      <w:rPr>
        <w:rFonts w:ascii="Symbol" w:hAnsi="Symbol" w:hint="default"/>
      </w:rPr>
    </w:lvl>
    <w:lvl w:ilvl="6" w:tplc="F4367DA0" w:tentative="1">
      <w:start w:val="1"/>
      <w:numFmt w:val="bullet"/>
      <w:lvlText w:val=""/>
      <w:lvlJc w:val="left"/>
      <w:pPr>
        <w:tabs>
          <w:tab w:val="num" w:pos="5040"/>
        </w:tabs>
        <w:ind w:left="5040" w:hanging="360"/>
      </w:pPr>
      <w:rPr>
        <w:rFonts w:ascii="Symbol" w:hAnsi="Symbol" w:hint="default"/>
      </w:rPr>
    </w:lvl>
    <w:lvl w:ilvl="7" w:tplc="D3AABA90" w:tentative="1">
      <w:start w:val="1"/>
      <w:numFmt w:val="bullet"/>
      <w:lvlText w:val=""/>
      <w:lvlJc w:val="left"/>
      <w:pPr>
        <w:tabs>
          <w:tab w:val="num" w:pos="5760"/>
        </w:tabs>
        <w:ind w:left="5760" w:hanging="360"/>
      </w:pPr>
      <w:rPr>
        <w:rFonts w:ascii="Symbol" w:hAnsi="Symbol" w:hint="default"/>
      </w:rPr>
    </w:lvl>
    <w:lvl w:ilvl="8" w:tplc="A35EF582" w:tentative="1">
      <w:start w:val="1"/>
      <w:numFmt w:val="bullet"/>
      <w:lvlText w:val=""/>
      <w:lvlJc w:val="left"/>
      <w:pPr>
        <w:tabs>
          <w:tab w:val="num" w:pos="6480"/>
        </w:tabs>
        <w:ind w:left="6480" w:hanging="360"/>
      </w:pPr>
      <w:rPr>
        <w:rFonts w:ascii="Symbol" w:hAnsi="Symbol" w:hint="default"/>
      </w:rPr>
    </w:lvl>
  </w:abstractNum>
  <w:abstractNum w:abstractNumId="187" w15:restartNumberingAfterBreak="0">
    <w:nsid w:val="7ED92877"/>
    <w:multiLevelType w:val="hybridMultilevel"/>
    <w:tmpl w:val="D8AE3FE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8" w15:restartNumberingAfterBreak="0">
    <w:nsid w:val="7F94149F"/>
    <w:multiLevelType w:val="hybridMultilevel"/>
    <w:tmpl w:val="AA98FDCE"/>
    <w:lvl w:ilvl="0" w:tplc="53E61188">
      <w:start w:val="1"/>
      <w:numFmt w:val="bullet"/>
      <w:lvlText w:val=""/>
      <w:lvlPicBulletId w:val="1"/>
      <w:lvlJc w:val="left"/>
      <w:pPr>
        <w:tabs>
          <w:tab w:val="num" w:pos="720"/>
        </w:tabs>
        <w:ind w:left="720" w:hanging="360"/>
      </w:pPr>
      <w:rPr>
        <w:rFonts w:ascii="Symbol" w:hAnsi="Symbol" w:hint="default"/>
      </w:rPr>
    </w:lvl>
    <w:lvl w:ilvl="1" w:tplc="070A603C" w:tentative="1">
      <w:start w:val="1"/>
      <w:numFmt w:val="bullet"/>
      <w:lvlText w:val=""/>
      <w:lvlJc w:val="left"/>
      <w:pPr>
        <w:tabs>
          <w:tab w:val="num" w:pos="1440"/>
        </w:tabs>
        <w:ind w:left="1440" w:hanging="360"/>
      </w:pPr>
      <w:rPr>
        <w:rFonts w:ascii="Symbol" w:hAnsi="Symbol" w:hint="default"/>
      </w:rPr>
    </w:lvl>
    <w:lvl w:ilvl="2" w:tplc="70307D14" w:tentative="1">
      <w:start w:val="1"/>
      <w:numFmt w:val="bullet"/>
      <w:lvlText w:val=""/>
      <w:lvlJc w:val="left"/>
      <w:pPr>
        <w:tabs>
          <w:tab w:val="num" w:pos="2160"/>
        </w:tabs>
        <w:ind w:left="2160" w:hanging="360"/>
      </w:pPr>
      <w:rPr>
        <w:rFonts w:ascii="Symbol" w:hAnsi="Symbol" w:hint="default"/>
      </w:rPr>
    </w:lvl>
    <w:lvl w:ilvl="3" w:tplc="D982E7DA" w:tentative="1">
      <w:start w:val="1"/>
      <w:numFmt w:val="bullet"/>
      <w:lvlText w:val=""/>
      <w:lvlJc w:val="left"/>
      <w:pPr>
        <w:tabs>
          <w:tab w:val="num" w:pos="2880"/>
        </w:tabs>
        <w:ind w:left="2880" w:hanging="360"/>
      </w:pPr>
      <w:rPr>
        <w:rFonts w:ascii="Symbol" w:hAnsi="Symbol" w:hint="default"/>
      </w:rPr>
    </w:lvl>
    <w:lvl w:ilvl="4" w:tplc="19BCB296" w:tentative="1">
      <w:start w:val="1"/>
      <w:numFmt w:val="bullet"/>
      <w:lvlText w:val=""/>
      <w:lvlJc w:val="left"/>
      <w:pPr>
        <w:tabs>
          <w:tab w:val="num" w:pos="3600"/>
        </w:tabs>
        <w:ind w:left="3600" w:hanging="360"/>
      </w:pPr>
      <w:rPr>
        <w:rFonts w:ascii="Symbol" w:hAnsi="Symbol" w:hint="default"/>
      </w:rPr>
    </w:lvl>
    <w:lvl w:ilvl="5" w:tplc="B7E2D23A" w:tentative="1">
      <w:start w:val="1"/>
      <w:numFmt w:val="bullet"/>
      <w:lvlText w:val=""/>
      <w:lvlJc w:val="left"/>
      <w:pPr>
        <w:tabs>
          <w:tab w:val="num" w:pos="4320"/>
        </w:tabs>
        <w:ind w:left="4320" w:hanging="360"/>
      </w:pPr>
      <w:rPr>
        <w:rFonts w:ascii="Symbol" w:hAnsi="Symbol" w:hint="default"/>
      </w:rPr>
    </w:lvl>
    <w:lvl w:ilvl="6" w:tplc="87180916" w:tentative="1">
      <w:start w:val="1"/>
      <w:numFmt w:val="bullet"/>
      <w:lvlText w:val=""/>
      <w:lvlJc w:val="left"/>
      <w:pPr>
        <w:tabs>
          <w:tab w:val="num" w:pos="5040"/>
        </w:tabs>
        <w:ind w:left="5040" w:hanging="360"/>
      </w:pPr>
      <w:rPr>
        <w:rFonts w:ascii="Symbol" w:hAnsi="Symbol" w:hint="default"/>
      </w:rPr>
    </w:lvl>
    <w:lvl w:ilvl="7" w:tplc="0E4A9BB8" w:tentative="1">
      <w:start w:val="1"/>
      <w:numFmt w:val="bullet"/>
      <w:lvlText w:val=""/>
      <w:lvlJc w:val="left"/>
      <w:pPr>
        <w:tabs>
          <w:tab w:val="num" w:pos="5760"/>
        </w:tabs>
        <w:ind w:left="5760" w:hanging="360"/>
      </w:pPr>
      <w:rPr>
        <w:rFonts w:ascii="Symbol" w:hAnsi="Symbol" w:hint="default"/>
      </w:rPr>
    </w:lvl>
    <w:lvl w:ilvl="8" w:tplc="6212AA54" w:tentative="1">
      <w:start w:val="1"/>
      <w:numFmt w:val="bullet"/>
      <w:lvlText w:val=""/>
      <w:lvlJc w:val="left"/>
      <w:pPr>
        <w:tabs>
          <w:tab w:val="num" w:pos="6480"/>
        </w:tabs>
        <w:ind w:left="6480" w:hanging="360"/>
      </w:pPr>
      <w:rPr>
        <w:rFonts w:ascii="Symbol" w:hAnsi="Symbol" w:hint="default"/>
      </w:rPr>
    </w:lvl>
  </w:abstractNum>
  <w:num w:numId="1">
    <w:abstractNumId w:val="3"/>
  </w:num>
  <w:num w:numId="2">
    <w:abstractNumId w:val="1"/>
  </w:num>
  <w:num w:numId="3">
    <w:abstractNumId w:val="150"/>
  </w:num>
  <w:num w:numId="4">
    <w:abstractNumId w:val="165"/>
  </w:num>
  <w:num w:numId="5">
    <w:abstractNumId w:val="70"/>
  </w:num>
  <w:num w:numId="6">
    <w:abstractNumId w:val="171"/>
  </w:num>
  <w:num w:numId="7">
    <w:abstractNumId w:val="72"/>
  </w:num>
  <w:num w:numId="8">
    <w:abstractNumId w:val="154"/>
  </w:num>
  <w:num w:numId="9">
    <w:abstractNumId w:val="130"/>
  </w:num>
  <w:num w:numId="10">
    <w:abstractNumId w:val="149"/>
  </w:num>
  <w:num w:numId="11">
    <w:abstractNumId w:val="8"/>
  </w:num>
  <w:num w:numId="12">
    <w:abstractNumId w:val="149"/>
  </w:num>
  <w:num w:numId="13">
    <w:abstractNumId w:val="58"/>
  </w:num>
  <w:num w:numId="14">
    <w:abstractNumId w:val="96"/>
  </w:num>
  <w:num w:numId="15">
    <w:abstractNumId w:val="50"/>
  </w:num>
  <w:num w:numId="16">
    <w:abstractNumId w:val="46"/>
  </w:num>
  <w:num w:numId="17">
    <w:abstractNumId w:val="36"/>
  </w:num>
  <w:num w:numId="18">
    <w:abstractNumId w:val="118"/>
  </w:num>
  <w:num w:numId="19">
    <w:abstractNumId w:val="175"/>
  </w:num>
  <w:num w:numId="20">
    <w:abstractNumId w:val="175"/>
  </w:num>
  <w:num w:numId="21">
    <w:abstractNumId w:val="83"/>
  </w:num>
  <w:num w:numId="22">
    <w:abstractNumId w:val="147"/>
  </w:num>
  <w:num w:numId="23">
    <w:abstractNumId w:val="14"/>
  </w:num>
  <w:num w:numId="24">
    <w:abstractNumId w:val="128"/>
  </w:num>
  <w:num w:numId="25">
    <w:abstractNumId w:val="48"/>
  </w:num>
  <w:num w:numId="26">
    <w:abstractNumId w:val="146"/>
  </w:num>
  <w:num w:numId="27">
    <w:abstractNumId w:val="129"/>
  </w:num>
  <w:num w:numId="28">
    <w:abstractNumId w:val="3"/>
  </w:num>
  <w:num w:numId="29">
    <w:abstractNumId w:val="0"/>
  </w:num>
  <w:num w:numId="30">
    <w:abstractNumId w:val="73"/>
  </w:num>
  <w:num w:numId="31">
    <w:abstractNumId w:val="3"/>
  </w:num>
  <w:num w:numId="32">
    <w:abstractNumId w:val="3"/>
  </w:num>
  <w:num w:numId="33">
    <w:abstractNumId w:val="110"/>
  </w:num>
  <w:num w:numId="34">
    <w:abstractNumId w:val="110"/>
  </w:num>
  <w:num w:numId="35">
    <w:abstractNumId w:val="149"/>
    <w:lvlOverride w:ilvl="0">
      <w:startOverride w:val="1"/>
    </w:lvlOverride>
  </w:num>
  <w:num w:numId="36">
    <w:abstractNumId w:val="3"/>
  </w:num>
  <w:num w:numId="37">
    <w:abstractNumId w:val="3"/>
  </w:num>
  <w:num w:numId="38">
    <w:abstractNumId w:val="184"/>
  </w:num>
  <w:num w:numId="39">
    <w:abstractNumId w:val="2"/>
  </w:num>
  <w:num w:numId="40">
    <w:abstractNumId w:val="121"/>
  </w:num>
  <w:num w:numId="41">
    <w:abstractNumId w:val="142"/>
  </w:num>
  <w:num w:numId="42">
    <w:abstractNumId w:val="95"/>
  </w:num>
  <w:num w:numId="43">
    <w:abstractNumId w:val="27"/>
  </w:num>
  <w:num w:numId="44">
    <w:abstractNumId w:val="59"/>
  </w:num>
  <w:num w:numId="45">
    <w:abstractNumId w:val="15"/>
  </w:num>
  <w:num w:numId="46">
    <w:abstractNumId w:val="64"/>
  </w:num>
  <w:num w:numId="47">
    <w:abstractNumId w:val="82"/>
  </w:num>
  <w:num w:numId="48">
    <w:abstractNumId w:val="66"/>
  </w:num>
  <w:num w:numId="49">
    <w:abstractNumId w:val="3"/>
  </w:num>
  <w:num w:numId="50">
    <w:abstractNumId w:val="3"/>
  </w:num>
  <w:num w:numId="51">
    <w:abstractNumId w:val="3"/>
  </w:num>
  <w:num w:numId="52">
    <w:abstractNumId w:val="111"/>
  </w:num>
  <w:num w:numId="53">
    <w:abstractNumId w:val="3"/>
  </w:num>
  <w:num w:numId="54">
    <w:abstractNumId w:val="24"/>
  </w:num>
  <w:num w:numId="55">
    <w:abstractNumId w:val="79"/>
  </w:num>
  <w:num w:numId="56">
    <w:abstractNumId w:val="142"/>
  </w:num>
  <w:num w:numId="57">
    <w:abstractNumId w:val="149"/>
    <w:lvlOverride w:ilvl="0">
      <w:startOverride w:val="3"/>
    </w:lvlOverride>
  </w:num>
  <w:num w:numId="58">
    <w:abstractNumId w:val="104"/>
  </w:num>
  <w:num w:numId="59">
    <w:abstractNumId w:val="149"/>
  </w:num>
  <w:num w:numId="60">
    <w:abstractNumId w:val="63"/>
  </w:num>
  <w:num w:numId="61">
    <w:abstractNumId w:val="53"/>
  </w:num>
  <w:num w:numId="62">
    <w:abstractNumId w:val="143"/>
  </w:num>
  <w:num w:numId="63">
    <w:abstractNumId w:val="1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65"/>
  </w:num>
  <w:num w:numId="65">
    <w:abstractNumId w:val="187"/>
  </w:num>
  <w:num w:numId="66">
    <w:abstractNumId w:val="127"/>
  </w:num>
  <w:num w:numId="67">
    <w:abstractNumId w:val="4"/>
  </w:num>
  <w:num w:numId="68">
    <w:abstractNumId w:val="97"/>
  </w:num>
  <w:num w:numId="69">
    <w:abstractNumId w:val="108"/>
  </w:num>
  <w:num w:numId="70">
    <w:abstractNumId w:val="9"/>
  </w:num>
  <w:num w:numId="71">
    <w:abstractNumId w:val="7"/>
  </w:num>
  <w:num w:numId="72">
    <w:abstractNumId w:val="98"/>
  </w:num>
  <w:num w:numId="73">
    <w:abstractNumId w:val="180"/>
  </w:num>
  <w:num w:numId="74">
    <w:abstractNumId w:val="76"/>
  </w:num>
  <w:num w:numId="75">
    <w:abstractNumId w:val="126"/>
  </w:num>
  <w:num w:numId="76">
    <w:abstractNumId w:val="78"/>
  </w:num>
  <w:num w:numId="77">
    <w:abstractNumId w:val="131"/>
  </w:num>
  <w:num w:numId="78">
    <w:abstractNumId w:val="183"/>
  </w:num>
  <w:num w:numId="79">
    <w:abstractNumId w:val="101"/>
  </w:num>
  <w:num w:numId="80">
    <w:abstractNumId w:val="119"/>
  </w:num>
  <w:num w:numId="81">
    <w:abstractNumId w:val="57"/>
  </w:num>
  <w:num w:numId="82">
    <w:abstractNumId w:val="140"/>
  </w:num>
  <w:num w:numId="83">
    <w:abstractNumId w:val="6"/>
  </w:num>
  <w:num w:numId="84">
    <w:abstractNumId w:val="74"/>
  </w:num>
  <w:num w:numId="85">
    <w:abstractNumId w:val="122"/>
  </w:num>
  <w:num w:numId="86">
    <w:abstractNumId w:val="31"/>
  </w:num>
  <w:num w:numId="87">
    <w:abstractNumId w:val="152"/>
  </w:num>
  <w:num w:numId="88">
    <w:abstractNumId w:val="181"/>
  </w:num>
  <w:num w:numId="89">
    <w:abstractNumId w:val="39"/>
  </w:num>
  <w:num w:numId="90">
    <w:abstractNumId w:val="87"/>
  </w:num>
  <w:num w:numId="91">
    <w:abstractNumId w:val="71"/>
  </w:num>
  <w:num w:numId="92">
    <w:abstractNumId w:val="47"/>
  </w:num>
  <w:num w:numId="93">
    <w:abstractNumId w:val="182"/>
  </w:num>
  <w:num w:numId="94">
    <w:abstractNumId w:val="139"/>
  </w:num>
  <w:num w:numId="95">
    <w:abstractNumId w:val="69"/>
  </w:num>
  <w:num w:numId="96">
    <w:abstractNumId w:val="55"/>
  </w:num>
  <w:num w:numId="97">
    <w:abstractNumId w:val="43"/>
  </w:num>
  <w:num w:numId="98">
    <w:abstractNumId w:val="23"/>
  </w:num>
  <w:num w:numId="99">
    <w:abstractNumId w:val="151"/>
  </w:num>
  <w:num w:numId="100">
    <w:abstractNumId w:val="85"/>
  </w:num>
  <w:num w:numId="101">
    <w:abstractNumId w:val="120"/>
  </w:num>
  <w:num w:numId="102">
    <w:abstractNumId w:val="67"/>
  </w:num>
  <w:num w:numId="103">
    <w:abstractNumId w:val="164"/>
  </w:num>
  <w:num w:numId="104">
    <w:abstractNumId w:val="30"/>
  </w:num>
  <w:num w:numId="105">
    <w:abstractNumId w:val="44"/>
  </w:num>
  <w:num w:numId="106">
    <w:abstractNumId w:val="86"/>
  </w:num>
  <w:num w:numId="107">
    <w:abstractNumId w:val="145"/>
  </w:num>
  <w:num w:numId="108">
    <w:abstractNumId w:val="174"/>
  </w:num>
  <w:num w:numId="109">
    <w:abstractNumId w:val="157"/>
  </w:num>
  <w:num w:numId="110">
    <w:abstractNumId w:val="80"/>
  </w:num>
  <w:num w:numId="111">
    <w:abstractNumId w:val="45"/>
  </w:num>
  <w:num w:numId="112">
    <w:abstractNumId w:val="138"/>
  </w:num>
  <w:num w:numId="113">
    <w:abstractNumId w:val="177"/>
  </w:num>
  <w:num w:numId="114">
    <w:abstractNumId w:val="153"/>
  </w:num>
  <w:num w:numId="115">
    <w:abstractNumId w:val="132"/>
  </w:num>
  <w:num w:numId="116">
    <w:abstractNumId w:val="166"/>
  </w:num>
  <w:num w:numId="117">
    <w:abstractNumId w:val="188"/>
  </w:num>
  <w:num w:numId="118">
    <w:abstractNumId w:val="116"/>
  </w:num>
  <w:num w:numId="119">
    <w:abstractNumId w:val="161"/>
  </w:num>
  <w:num w:numId="120">
    <w:abstractNumId w:val="135"/>
  </w:num>
  <w:num w:numId="121">
    <w:abstractNumId w:val="91"/>
  </w:num>
  <w:num w:numId="122">
    <w:abstractNumId w:val="17"/>
  </w:num>
  <w:num w:numId="123">
    <w:abstractNumId w:val="68"/>
  </w:num>
  <w:num w:numId="124">
    <w:abstractNumId w:val="49"/>
  </w:num>
  <w:num w:numId="125">
    <w:abstractNumId w:val="107"/>
  </w:num>
  <w:num w:numId="126">
    <w:abstractNumId w:val="51"/>
  </w:num>
  <w:num w:numId="127">
    <w:abstractNumId w:val="99"/>
  </w:num>
  <w:num w:numId="128">
    <w:abstractNumId w:val="52"/>
  </w:num>
  <w:num w:numId="129">
    <w:abstractNumId w:val="93"/>
  </w:num>
  <w:num w:numId="130">
    <w:abstractNumId w:val="185"/>
  </w:num>
  <w:num w:numId="131">
    <w:abstractNumId w:val="56"/>
  </w:num>
  <w:num w:numId="132">
    <w:abstractNumId w:val="162"/>
  </w:num>
  <w:num w:numId="133">
    <w:abstractNumId w:val="144"/>
  </w:num>
  <w:num w:numId="134">
    <w:abstractNumId w:val="16"/>
  </w:num>
  <w:num w:numId="135">
    <w:abstractNumId w:val="21"/>
  </w:num>
  <w:num w:numId="136">
    <w:abstractNumId w:val="41"/>
  </w:num>
  <w:num w:numId="137">
    <w:abstractNumId w:val="77"/>
  </w:num>
  <w:num w:numId="138">
    <w:abstractNumId w:val="148"/>
  </w:num>
  <w:num w:numId="139">
    <w:abstractNumId w:val="100"/>
  </w:num>
  <w:num w:numId="140">
    <w:abstractNumId w:val="60"/>
  </w:num>
  <w:num w:numId="141">
    <w:abstractNumId w:val="29"/>
  </w:num>
  <w:num w:numId="142">
    <w:abstractNumId w:val="20"/>
  </w:num>
  <w:num w:numId="143">
    <w:abstractNumId w:val="61"/>
  </w:num>
  <w:num w:numId="144">
    <w:abstractNumId w:val="179"/>
  </w:num>
  <w:num w:numId="145">
    <w:abstractNumId w:val="26"/>
  </w:num>
  <w:num w:numId="146">
    <w:abstractNumId w:val="115"/>
  </w:num>
  <w:num w:numId="147">
    <w:abstractNumId w:val="32"/>
  </w:num>
  <w:num w:numId="148">
    <w:abstractNumId w:val="106"/>
  </w:num>
  <w:num w:numId="149">
    <w:abstractNumId w:val="19"/>
  </w:num>
  <w:num w:numId="150">
    <w:abstractNumId w:val="54"/>
  </w:num>
  <w:num w:numId="151">
    <w:abstractNumId w:val="137"/>
  </w:num>
  <w:num w:numId="152">
    <w:abstractNumId w:val="22"/>
  </w:num>
  <w:num w:numId="153">
    <w:abstractNumId w:val="159"/>
  </w:num>
  <w:num w:numId="154">
    <w:abstractNumId w:val="141"/>
  </w:num>
  <w:num w:numId="155">
    <w:abstractNumId w:val="89"/>
  </w:num>
  <w:num w:numId="156">
    <w:abstractNumId w:val="160"/>
  </w:num>
  <w:num w:numId="157">
    <w:abstractNumId w:val="11"/>
  </w:num>
  <w:num w:numId="158">
    <w:abstractNumId w:val="114"/>
  </w:num>
  <w:num w:numId="159">
    <w:abstractNumId w:val="75"/>
  </w:num>
  <w:num w:numId="160">
    <w:abstractNumId w:val="136"/>
  </w:num>
  <w:num w:numId="161">
    <w:abstractNumId w:val="105"/>
  </w:num>
  <w:num w:numId="162">
    <w:abstractNumId w:val="12"/>
  </w:num>
  <w:num w:numId="163">
    <w:abstractNumId w:val="88"/>
  </w:num>
  <w:num w:numId="164">
    <w:abstractNumId w:val="124"/>
  </w:num>
  <w:num w:numId="165">
    <w:abstractNumId w:val="10"/>
  </w:num>
  <w:num w:numId="166">
    <w:abstractNumId w:val="113"/>
  </w:num>
  <w:num w:numId="167">
    <w:abstractNumId w:val="38"/>
  </w:num>
  <w:num w:numId="168">
    <w:abstractNumId w:val="133"/>
  </w:num>
  <w:num w:numId="169">
    <w:abstractNumId w:val="123"/>
  </w:num>
  <w:num w:numId="170">
    <w:abstractNumId w:val="172"/>
  </w:num>
  <w:num w:numId="171">
    <w:abstractNumId w:val="109"/>
  </w:num>
  <w:num w:numId="172">
    <w:abstractNumId w:val="81"/>
  </w:num>
  <w:num w:numId="173">
    <w:abstractNumId w:val="102"/>
  </w:num>
  <w:num w:numId="174">
    <w:abstractNumId w:val="34"/>
  </w:num>
  <w:num w:numId="175">
    <w:abstractNumId w:val="37"/>
  </w:num>
  <w:num w:numId="176">
    <w:abstractNumId w:val="167"/>
  </w:num>
  <w:num w:numId="177">
    <w:abstractNumId w:val="170"/>
  </w:num>
  <w:num w:numId="178">
    <w:abstractNumId w:val="40"/>
  </w:num>
  <w:num w:numId="179">
    <w:abstractNumId w:val="13"/>
  </w:num>
  <w:num w:numId="180">
    <w:abstractNumId w:val="5"/>
  </w:num>
  <w:num w:numId="181">
    <w:abstractNumId w:val="92"/>
  </w:num>
  <w:num w:numId="182">
    <w:abstractNumId w:val="117"/>
  </w:num>
  <w:num w:numId="183">
    <w:abstractNumId w:val="25"/>
  </w:num>
  <w:num w:numId="184">
    <w:abstractNumId w:val="42"/>
  </w:num>
  <w:num w:numId="185">
    <w:abstractNumId w:val="173"/>
  </w:num>
  <w:num w:numId="186">
    <w:abstractNumId w:val="169"/>
  </w:num>
  <w:num w:numId="187">
    <w:abstractNumId w:val="176"/>
  </w:num>
  <w:num w:numId="188">
    <w:abstractNumId w:val="28"/>
  </w:num>
  <w:num w:numId="189">
    <w:abstractNumId w:val="130"/>
    <w:lvlOverride w:ilvl="0">
      <w:startOverride w:val="12"/>
    </w:lvlOverride>
  </w:num>
  <w:num w:numId="190">
    <w:abstractNumId w:val="155"/>
  </w:num>
  <w:num w:numId="191">
    <w:abstractNumId w:val="112"/>
  </w:num>
  <w:num w:numId="192">
    <w:abstractNumId w:val="158"/>
  </w:num>
  <w:num w:numId="193">
    <w:abstractNumId w:val="103"/>
  </w:num>
  <w:num w:numId="194">
    <w:abstractNumId w:val="35"/>
  </w:num>
  <w:num w:numId="195">
    <w:abstractNumId w:val="90"/>
  </w:num>
  <w:num w:numId="196">
    <w:abstractNumId w:val="18"/>
  </w:num>
  <w:num w:numId="197">
    <w:abstractNumId w:val="134"/>
  </w:num>
  <w:num w:numId="198">
    <w:abstractNumId w:val="178"/>
  </w:num>
  <w:num w:numId="199">
    <w:abstractNumId w:val="33"/>
  </w:num>
  <w:num w:numId="200">
    <w:abstractNumId w:val="62"/>
  </w:num>
  <w:num w:numId="201">
    <w:abstractNumId w:val="186"/>
  </w:num>
  <w:num w:numId="202">
    <w:abstractNumId w:val="94"/>
  </w:num>
  <w:num w:numId="203">
    <w:abstractNumId w:val="125"/>
  </w:num>
  <w:num w:numId="204">
    <w:abstractNumId w:val="84"/>
  </w:num>
  <w:num w:numId="205">
    <w:abstractNumId w:val="168"/>
  </w:num>
  <w:num w:numId="206">
    <w:abstractNumId w:val="156"/>
  </w:num>
  <w:numIdMacAtCleanup w:val="20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ocumentProtection w:edit="trackedChanges" w:enforcement="0"/>
  <w:defaultTabStop w:val="397"/>
  <w:evenAndOddHeaders/>
  <w:drawingGridHorizontalSpacing w:val="100"/>
  <w:displayHorizontalDrawingGridEvery w:val="2"/>
  <w:characterSpacingControl w:val="doNotCompress"/>
  <w:hdrShapeDefaults>
    <o:shapedefaults v:ext="edit" spidmax="2049">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szAwNTQ1MzW2MLMwNjNV0lEKTi0uzszPAykwMqwFAJIM//ItAAAA"/>
  </w:docVars>
  <w:rsids>
    <w:rsidRoot w:val="00835321"/>
    <w:rsid w:val="00000432"/>
    <w:rsid w:val="00000A63"/>
    <w:rsid w:val="00000C59"/>
    <w:rsid w:val="000010A8"/>
    <w:rsid w:val="00001230"/>
    <w:rsid w:val="00001253"/>
    <w:rsid w:val="000013AB"/>
    <w:rsid w:val="000017BB"/>
    <w:rsid w:val="000018BA"/>
    <w:rsid w:val="0000190B"/>
    <w:rsid w:val="00001C6C"/>
    <w:rsid w:val="00001D27"/>
    <w:rsid w:val="00001D42"/>
    <w:rsid w:val="000020A8"/>
    <w:rsid w:val="00002633"/>
    <w:rsid w:val="0000263D"/>
    <w:rsid w:val="00002B03"/>
    <w:rsid w:val="00002BAF"/>
    <w:rsid w:val="00002E62"/>
    <w:rsid w:val="00002FBA"/>
    <w:rsid w:val="00003B1B"/>
    <w:rsid w:val="00003CFD"/>
    <w:rsid w:val="00004D7C"/>
    <w:rsid w:val="00004E6F"/>
    <w:rsid w:val="000051E0"/>
    <w:rsid w:val="00005275"/>
    <w:rsid w:val="00005734"/>
    <w:rsid w:val="000063D7"/>
    <w:rsid w:val="000066D7"/>
    <w:rsid w:val="0000676B"/>
    <w:rsid w:val="00006D8C"/>
    <w:rsid w:val="00007308"/>
    <w:rsid w:val="00007BD1"/>
    <w:rsid w:val="00007E63"/>
    <w:rsid w:val="00007F9C"/>
    <w:rsid w:val="0001012F"/>
    <w:rsid w:val="000101C6"/>
    <w:rsid w:val="000103FF"/>
    <w:rsid w:val="00010667"/>
    <w:rsid w:val="0001077C"/>
    <w:rsid w:val="00010941"/>
    <w:rsid w:val="000109DF"/>
    <w:rsid w:val="00010FC1"/>
    <w:rsid w:val="000111F4"/>
    <w:rsid w:val="000113B7"/>
    <w:rsid w:val="00011742"/>
    <w:rsid w:val="00011B67"/>
    <w:rsid w:val="00011BDD"/>
    <w:rsid w:val="00011E1E"/>
    <w:rsid w:val="00011FC0"/>
    <w:rsid w:val="00011FE3"/>
    <w:rsid w:val="0001205D"/>
    <w:rsid w:val="0001229F"/>
    <w:rsid w:val="000127CC"/>
    <w:rsid w:val="000129D5"/>
    <w:rsid w:val="000130D4"/>
    <w:rsid w:val="00013233"/>
    <w:rsid w:val="0001323E"/>
    <w:rsid w:val="0001327C"/>
    <w:rsid w:val="0001389F"/>
    <w:rsid w:val="00013FAB"/>
    <w:rsid w:val="00014090"/>
    <w:rsid w:val="000148CE"/>
    <w:rsid w:val="00014AF5"/>
    <w:rsid w:val="0001563E"/>
    <w:rsid w:val="00015AD4"/>
    <w:rsid w:val="00015AE7"/>
    <w:rsid w:val="00015C87"/>
    <w:rsid w:val="00015E27"/>
    <w:rsid w:val="0001610A"/>
    <w:rsid w:val="000163AE"/>
    <w:rsid w:val="000163DF"/>
    <w:rsid w:val="00016561"/>
    <w:rsid w:val="000165A6"/>
    <w:rsid w:val="00016A25"/>
    <w:rsid w:val="00016E21"/>
    <w:rsid w:val="0001719C"/>
    <w:rsid w:val="00017411"/>
    <w:rsid w:val="000175A7"/>
    <w:rsid w:val="00017D3B"/>
    <w:rsid w:val="00017F53"/>
    <w:rsid w:val="0002060C"/>
    <w:rsid w:val="000206D5"/>
    <w:rsid w:val="00020C3E"/>
    <w:rsid w:val="00020CC6"/>
    <w:rsid w:val="00020DBC"/>
    <w:rsid w:val="00020E4A"/>
    <w:rsid w:val="0002172A"/>
    <w:rsid w:val="00021AB8"/>
    <w:rsid w:val="00021D6C"/>
    <w:rsid w:val="00021FCC"/>
    <w:rsid w:val="0002224D"/>
    <w:rsid w:val="0002224E"/>
    <w:rsid w:val="0002229B"/>
    <w:rsid w:val="000222DF"/>
    <w:rsid w:val="000229F7"/>
    <w:rsid w:val="000230C5"/>
    <w:rsid w:val="00023468"/>
    <w:rsid w:val="00023A5C"/>
    <w:rsid w:val="00023B7B"/>
    <w:rsid w:val="0002402B"/>
    <w:rsid w:val="000242D7"/>
    <w:rsid w:val="0002443B"/>
    <w:rsid w:val="00024681"/>
    <w:rsid w:val="000246DF"/>
    <w:rsid w:val="00024E7D"/>
    <w:rsid w:val="00024F5C"/>
    <w:rsid w:val="000251C5"/>
    <w:rsid w:val="00025E4A"/>
    <w:rsid w:val="00025F2D"/>
    <w:rsid w:val="000260EB"/>
    <w:rsid w:val="0002661A"/>
    <w:rsid w:val="00026F91"/>
    <w:rsid w:val="000270BE"/>
    <w:rsid w:val="00027123"/>
    <w:rsid w:val="00027F41"/>
    <w:rsid w:val="000301A7"/>
    <w:rsid w:val="000301E8"/>
    <w:rsid w:val="0003043A"/>
    <w:rsid w:val="00031269"/>
    <w:rsid w:val="00031CC2"/>
    <w:rsid w:val="000320C9"/>
    <w:rsid w:val="00032439"/>
    <w:rsid w:val="00032946"/>
    <w:rsid w:val="00033A65"/>
    <w:rsid w:val="00033EF9"/>
    <w:rsid w:val="00033F3C"/>
    <w:rsid w:val="00034106"/>
    <w:rsid w:val="0003411E"/>
    <w:rsid w:val="0003417C"/>
    <w:rsid w:val="00034324"/>
    <w:rsid w:val="000345D2"/>
    <w:rsid w:val="00034F62"/>
    <w:rsid w:val="0003548E"/>
    <w:rsid w:val="00035ECB"/>
    <w:rsid w:val="000361CE"/>
    <w:rsid w:val="00036358"/>
    <w:rsid w:val="000366A5"/>
    <w:rsid w:val="00036C8A"/>
    <w:rsid w:val="00036D0C"/>
    <w:rsid w:val="00036E61"/>
    <w:rsid w:val="0003712D"/>
    <w:rsid w:val="000374D8"/>
    <w:rsid w:val="0003791B"/>
    <w:rsid w:val="00037A1C"/>
    <w:rsid w:val="00037CCC"/>
    <w:rsid w:val="00037D60"/>
    <w:rsid w:val="0004000E"/>
    <w:rsid w:val="000403CD"/>
    <w:rsid w:val="000405FA"/>
    <w:rsid w:val="00040782"/>
    <w:rsid w:val="000409DA"/>
    <w:rsid w:val="00040AD7"/>
    <w:rsid w:val="00040D68"/>
    <w:rsid w:val="00040EE8"/>
    <w:rsid w:val="00040F5C"/>
    <w:rsid w:val="00040F6A"/>
    <w:rsid w:val="00041640"/>
    <w:rsid w:val="00041A60"/>
    <w:rsid w:val="00041CA4"/>
    <w:rsid w:val="00041FC9"/>
    <w:rsid w:val="00042002"/>
    <w:rsid w:val="00042376"/>
    <w:rsid w:val="00042A3E"/>
    <w:rsid w:val="00042C68"/>
    <w:rsid w:val="00043310"/>
    <w:rsid w:val="00043C65"/>
    <w:rsid w:val="00043E19"/>
    <w:rsid w:val="00043F7E"/>
    <w:rsid w:val="0004462A"/>
    <w:rsid w:val="00044639"/>
    <w:rsid w:val="00045407"/>
    <w:rsid w:val="000454CA"/>
    <w:rsid w:val="000458E6"/>
    <w:rsid w:val="00045F5A"/>
    <w:rsid w:val="00045FA7"/>
    <w:rsid w:val="000469EF"/>
    <w:rsid w:val="00046F64"/>
    <w:rsid w:val="0004735B"/>
    <w:rsid w:val="0004764C"/>
    <w:rsid w:val="00047667"/>
    <w:rsid w:val="000476A7"/>
    <w:rsid w:val="000478C7"/>
    <w:rsid w:val="00047C45"/>
    <w:rsid w:val="00047EA2"/>
    <w:rsid w:val="000500E9"/>
    <w:rsid w:val="0005011A"/>
    <w:rsid w:val="00050196"/>
    <w:rsid w:val="0005045A"/>
    <w:rsid w:val="00050C4F"/>
    <w:rsid w:val="00050DB6"/>
    <w:rsid w:val="00051029"/>
    <w:rsid w:val="000510EB"/>
    <w:rsid w:val="00051696"/>
    <w:rsid w:val="00051B3B"/>
    <w:rsid w:val="00051BCF"/>
    <w:rsid w:val="00051C1E"/>
    <w:rsid w:val="00051DF7"/>
    <w:rsid w:val="00051EBE"/>
    <w:rsid w:val="00052715"/>
    <w:rsid w:val="00052E1E"/>
    <w:rsid w:val="000535A6"/>
    <w:rsid w:val="00053876"/>
    <w:rsid w:val="000539F9"/>
    <w:rsid w:val="00053BAC"/>
    <w:rsid w:val="00053BAF"/>
    <w:rsid w:val="0005411F"/>
    <w:rsid w:val="000542B9"/>
    <w:rsid w:val="0005440C"/>
    <w:rsid w:val="000544B1"/>
    <w:rsid w:val="0005463D"/>
    <w:rsid w:val="0005496D"/>
    <w:rsid w:val="00054AEF"/>
    <w:rsid w:val="00054C27"/>
    <w:rsid w:val="00055989"/>
    <w:rsid w:val="00055CFE"/>
    <w:rsid w:val="00055D50"/>
    <w:rsid w:val="00055EB2"/>
    <w:rsid w:val="00055EC3"/>
    <w:rsid w:val="000563CE"/>
    <w:rsid w:val="00056B79"/>
    <w:rsid w:val="00056FC2"/>
    <w:rsid w:val="0005707A"/>
    <w:rsid w:val="0005707C"/>
    <w:rsid w:val="0005708D"/>
    <w:rsid w:val="000570E4"/>
    <w:rsid w:val="00057119"/>
    <w:rsid w:val="0005757D"/>
    <w:rsid w:val="000576F0"/>
    <w:rsid w:val="00057C54"/>
    <w:rsid w:val="00057F1C"/>
    <w:rsid w:val="00057F49"/>
    <w:rsid w:val="00057FA4"/>
    <w:rsid w:val="00060315"/>
    <w:rsid w:val="00060551"/>
    <w:rsid w:val="00060686"/>
    <w:rsid w:val="000609CE"/>
    <w:rsid w:val="00060CC9"/>
    <w:rsid w:val="000610B1"/>
    <w:rsid w:val="000610F4"/>
    <w:rsid w:val="00061255"/>
    <w:rsid w:val="0006198B"/>
    <w:rsid w:val="00061A3C"/>
    <w:rsid w:val="00061DEE"/>
    <w:rsid w:val="000626E0"/>
    <w:rsid w:val="000629D9"/>
    <w:rsid w:val="00062A2A"/>
    <w:rsid w:val="00062A60"/>
    <w:rsid w:val="00062A94"/>
    <w:rsid w:val="00062EF9"/>
    <w:rsid w:val="000632B1"/>
    <w:rsid w:val="0006345E"/>
    <w:rsid w:val="00063F57"/>
    <w:rsid w:val="00063F94"/>
    <w:rsid w:val="00064057"/>
    <w:rsid w:val="000643CB"/>
    <w:rsid w:val="000646AA"/>
    <w:rsid w:val="000646F0"/>
    <w:rsid w:val="000647FF"/>
    <w:rsid w:val="00064A98"/>
    <w:rsid w:val="00064C61"/>
    <w:rsid w:val="00064F89"/>
    <w:rsid w:val="000650F2"/>
    <w:rsid w:val="000651E8"/>
    <w:rsid w:val="00065477"/>
    <w:rsid w:val="000654CA"/>
    <w:rsid w:val="00065568"/>
    <w:rsid w:val="000655FE"/>
    <w:rsid w:val="000656BD"/>
    <w:rsid w:val="000659B6"/>
    <w:rsid w:val="00065CC4"/>
    <w:rsid w:val="00065DA9"/>
    <w:rsid w:val="00065DE2"/>
    <w:rsid w:val="000661FE"/>
    <w:rsid w:val="00066375"/>
    <w:rsid w:val="0006686F"/>
    <w:rsid w:val="00066AA0"/>
    <w:rsid w:val="00066B73"/>
    <w:rsid w:val="00066DD0"/>
    <w:rsid w:val="0006722A"/>
    <w:rsid w:val="00067332"/>
    <w:rsid w:val="000673C8"/>
    <w:rsid w:val="000674DA"/>
    <w:rsid w:val="000677E8"/>
    <w:rsid w:val="00067AE6"/>
    <w:rsid w:val="00067CE0"/>
    <w:rsid w:val="00070934"/>
    <w:rsid w:val="00070ABF"/>
    <w:rsid w:val="00070C1F"/>
    <w:rsid w:val="00071108"/>
    <w:rsid w:val="00071368"/>
    <w:rsid w:val="000718EC"/>
    <w:rsid w:val="00071C18"/>
    <w:rsid w:val="00071FEB"/>
    <w:rsid w:val="000724A6"/>
    <w:rsid w:val="00072815"/>
    <w:rsid w:val="000729C4"/>
    <w:rsid w:val="00072BF8"/>
    <w:rsid w:val="00072C10"/>
    <w:rsid w:val="00072D47"/>
    <w:rsid w:val="000732CF"/>
    <w:rsid w:val="000737DC"/>
    <w:rsid w:val="00073827"/>
    <w:rsid w:val="00073B1E"/>
    <w:rsid w:val="00073F2F"/>
    <w:rsid w:val="00074165"/>
    <w:rsid w:val="00074AA8"/>
    <w:rsid w:val="00074B4A"/>
    <w:rsid w:val="00074CE7"/>
    <w:rsid w:val="0007505D"/>
    <w:rsid w:val="000752EF"/>
    <w:rsid w:val="00075336"/>
    <w:rsid w:val="000755F7"/>
    <w:rsid w:val="0007580F"/>
    <w:rsid w:val="00075B96"/>
    <w:rsid w:val="0007620C"/>
    <w:rsid w:val="00076479"/>
    <w:rsid w:val="0007649C"/>
    <w:rsid w:val="000767CC"/>
    <w:rsid w:val="000769AB"/>
    <w:rsid w:val="00076A6C"/>
    <w:rsid w:val="000774DC"/>
    <w:rsid w:val="00077B95"/>
    <w:rsid w:val="00077DAC"/>
    <w:rsid w:val="00077EE8"/>
    <w:rsid w:val="0008031D"/>
    <w:rsid w:val="00080B2A"/>
    <w:rsid w:val="00080B90"/>
    <w:rsid w:val="00080DA2"/>
    <w:rsid w:val="00080E40"/>
    <w:rsid w:val="000810FF"/>
    <w:rsid w:val="000818BF"/>
    <w:rsid w:val="0008196A"/>
    <w:rsid w:val="00081979"/>
    <w:rsid w:val="00082070"/>
    <w:rsid w:val="00082247"/>
    <w:rsid w:val="00082995"/>
    <w:rsid w:val="00082A09"/>
    <w:rsid w:val="00082B03"/>
    <w:rsid w:val="000834A6"/>
    <w:rsid w:val="000836B5"/>
    <w:rsid w:val="00083D03"/>
    <w:rsid w:val="00083D0E"/>
    <w:rsid w:val="0008424E"/>
    <w:rsid w:val="00084498"/>
    <w:rsid w:val="0008463B"/>
    <w:rsid w:val="00084C98"/>
    <w:rsid w:val="00084E0E"/>
    <w:rsid w:val="00085711"/>
    <w:rsid w:val="00085DC0"/>
    <w:rsid w:val="00085F83"/>
    <w:rsid w:val="00086467"/>
    <w:rsid w:val="00086611"/>
    <w:rsid w:val="00086D27"/>
    <w:rsid w:val="00087F58"/>
    <w:rsid w:val="000901C6"/>
    <w:rsid w:val="00090794"/>
    <w:rsid w:val="000908EE"/>
    <w:rsid w:val="000915ED"/>
    <w:rsid w:val="0009177C"/>
    <w:rsid w:val="00091E8B"/>
    <w:rsid w:val="0009209D"/>
    <w:rsid w:val="000922AB"/>
    <w:rsid w:val="0009247A"/>
    <w:rsid w:val="000927B9"/>
    <w:rsid w:val="0009281A"/>
    <w:rsid w:val="00092847"/>
    <w:rsid w:val="00092D6A"/>
    <w:rsid w:val="000934C7"/>
    <w:rsid w:val="000934ED"/>
    <w:rsid w:val="000936D7"/>
    <w:rsid w:val="0009395C"/>
    <w:rsid w:val="00093E88"/>
    <w:rsid w:val="000942DA"/>
    <w:rsid w:val="000946DD"/>
    <w:rsid w:val="0009498C"/>
    <w:rsid w:val="00095039"/>
    <w:rsid w:val="00095194"/>
    <w:rsid w:val="00095457"/>
    <w:rsid w:val="00095482"/>
    <w:rsid w:val="000955A7"/>
    <w:rsid w:val="0009633A"/>
    <w:rsid w:val="000963FF"/>
    <w:rsid w:val="000969BD"/>
    <w:rsid w:val="000969BF"/>
    <w:rsid w:val="00096C02"/>
    <w:rsid w:val="00096D17"/>
    <w:rsid w:val="000973CA"/>
    <w:rsid w:val="00097539"/>
    <w:rsid w:val="0009761F"/>
    <w:rsid w:val="000976F2"/>
    <w:rsid w:val="000977F0"/>
    <w:rsid w:val="0009789D"/>
    <w:rsid w:val="000A04B1"/>
    <w:rsid w:val="000A0BEB"/>
    <w:rsid w:val="000A0C22"/>
    <w:rsid w:val="000A1113"/>
    <w:rsid w:val="000A11E4"/>
    <w:rsid w:val="000A1400"/>
    <w:rsid w:val="000A216C"/>
    <w:rsid w:val="000A243C"/>
    <w:rsid w:val="000A27F5"/>
    <w:rsid w:val="000A2A58"/>
    <w:rsid w:val="000A2BE0"/>
    <w:rsid w:val="000A2E74"/>
    <w:rsid w:val="000A2E85"/>
    <w:rsid w:val="000A30D4"/>
    <w:rsid w:val="000A34CE"/>
    <w:rsid w:val="000A38F5"/>
    <w:rsid w:val="000A3C43"/>
    <w:rsid w:val="000A4137"/>
    <w:rsid w:val="000A4138"/>
    <w:rsid w:val="000A4A51"/>
    <w:rsid w:val="000A4B84"/>
    <w:rsid w:val="000A4CA2"/>
    <w:rsid w:val="000A4F28"/>
    <w:rsid w:val="000A52AC"/>
    <w:rsid w:val="000A52BA"/>
    <w:rsid w:val="000A5336"/>
    <w:rsid w:val="000A5A3C"/>
    <w:rsid w:val="000A5B13"/>
    <w:rsid w:val="000A5B2C"/>
    <w:rsid w:val="000A5D2B"/>
    <w:rsid w:val="000A5DBC"/>
    <w:rsid w:val="000A5DD6"/>
    <w:rsid w:val="000A641D"/>
    <w:rsid w:val="000A66DA"/>
    <w:rsid w:val="000A6CA9"/>
    <w:rsid w:val="000A6F02"/>
    <w:rsid w:val="000A709F"/>
    <w:rsid w:val="000A726A"/>
    <w:rsid w:val="000A7916"/>
    <w:rsid w:val="000A7C27"/>
    <w:rsid w:val="000B0939"/>
    <w:rsid w:val="000B09DA"/>
    <w:rsid w:val="000B0F65"/>
    <w:rsid w:val="000B121E"/>
    <w:rsid w:val="000B195C"/>
    <w:rsid w:val="000B286C"/>
    <w:rsid w:val="000B2E24"/>
    <w:rsid w:val="000B3167"/>
    <w:rsid w:val="000B35E5"/>
    <w:rsid w:val="000B35F0"/>
    <w:rsid w:val="000B36B8"/>
    <w:rsid w:val="000B392C"/>
    <w:rsid w:val="000B3A6E"/>
    <w:rsid w:val="000B3AE7"/>
    <w:rsid w:val="000B4149"/>
    <w:rsid w:val="000B45A1"/>
    <w:rsid w:val="000B490E"/>
    <w:rsid w:val="000B4A3B"/>
    <w:rsid w:val="000B4D0B"/>
    <w:rsid w:val="000B53C9"/>
    <w:rsid w:val="000B5550"/>
    <w:rsid w:val="000B56A7"/>
    <w:rsid w:val="000B5DE3"/>
    <w:rsid w:val="000B6534"/>
    <w:rsid w:val="000B664A"/>
    <w:rsid w:val="000B6880"/>
    <w:rsid w:val="000B6C9B"/>
    <w:rsid w:val="000B7554"/>
    <w:rsid w:val="000B7781"/>
    <w:rsid w:val="000B7B73"/>
    <w:rsid w:val="000B7D7D"/>
    <w:rsid w:val="000B7EE9"/>
    <w:rsid w:val="000C080F"/>
    <w:rsid w:val="000C0A57"/>
    <w:rsid w:val="000C0BD4"/>
    <w:rsid w:val="000C0CA1"/>
    <w:rsid w:val="000C0D3C"/>
    <w:rsid w:val="000C10CF"/>
    <w:rsid w:val="000C1A29"/>
    <w:rsid w:val="000C230C"/>
    <w:rsid w:val="000C2325"/>
    <w:rsid w:val="000C23F6"/>
    <w:rsid w:val="000C24A6"/>
    <w:rsid w:val="000C2A2F"/>
    <w:rsid w:val="000C2BEB"/>
    <w:rsid w:val="000C2F4B"/>
    <w:rsid w:val="000C3113"/>
    <w:rsid w:val="000C32FB"/>
    <w:rsid w:val="000C353A"/>
    <w:rsid w:val="000C3771"/>
    <w:rsid w:val="000C3803"/>
    <w:rsid w:val="000C39C1"/>
    <w:rsid w:val="000C4B19"/>
    <w:rsid w:val="000C4D88"/>
    <w:rsid w:val="000C4ED6"/>
    <w:rsid w:val="000C50A2"/>
    <w:rsid w:val="000C52BE"/>
    <w:rsid w:val="000C5674"/>
    <w:rsid w:val="000C56AF"/>
    <w:rsid w:val="000C5D75"/>
    <w:rsid w:val="000C5F00"/>
    <w:rsid w:val="000C600D"/>
    <w:rsid w:val="000C609A"/>
    <w:rsid w:val="000C6AB4"/>
    <w:rsid w:val="000C6B74"/>
    <w:rsid w:val="000C6CCF"/>
    <w:rsid w:val="000C6CE5"/>
    <w:rsid w:val="000C6DAD"/>
    <w:rsid w:val="000C70F6"/>
    <w:rsid w:val="000C7185"/>
    <w:rsid w:val="000C76E0"/>
    <w:rsid w:val="000C7EBD"/>
    <w:rsid w:val="000D00D0"/>
    <w:rsid w:val="000D016D"/>
    <w:rsid w:val="000D0B29"/>
    <w:rsid w:val="000D1444"/>
    <w:rsid w:val="000D16D6"/>
    <w:rsid w:val="000D183B"/>
    <w:rsid w:val="000D218D"/>
    <w:rsid w:val="000D2253"/>
    <w:rsid w:val="000D2635"/>
    <w:rsid w:val="000D27B0"/>
    <w:rsid w:val="000D28CB"/>
    <w:rsid w:val="000D292F"/>
    <w:rsid w:val="000D2B61"/>
    <w:rsid w:val="000D2F88"/>
    <w:rsid w:val="000D3200"/>
    <w:rsid w:val="000D337E"/>
    <w:rsid w:val="000D3399"/>
    <w:rsid w:val="000D38C1"/>
    <w:rsid w:val="000D396A"/>
    <w:rsid w:val="000D39EB"/>
    <w:rsid w:val="000D40F0"/>
    <w:rsid w:val="000D44DC"/>
    <w:rsid w:val="000D4773"/>
    <w:rsid w:val="000D4A26"/>
    <w:rsid w:val="000D4B8E"/>
    <w:rsid w:val="000D4C24"/>
    <w:rsid w:val="000D4EE2"/>
    <w:rsid w:val="000D4F5C"/>
    <w:rsid w:val="000D55E8"/>
    <w:rsid w:val="000D5AAB"/>
    <w:rsid w:val="000D61D5"/>
    <w:rsid w:val="000D6211"/>
    <w:rsid w:val="000D68D4"/>
    <w:rsid w:val="000D68E0"/>
    <w:rsid w:val="000D6B90"/>
    <w:rsid w:val="000D6CC7"/>
    <w:rsid w:val="000D7086"/>
    <w:rsid w:val="000D71D9"/>
    <w:rsid w:val="000D7266"/>
    <w:rsid w:val="000D731A"/>
    <w:rsid w:val="000D7466"/>
    <w:rsid w:val="000D76E0"/>
    <w:rsid w:val="000D7969"/>
    <w:rsid w:val="000D7E8B"/>
    <w:rsid w:val="000D7F96"/>
    <w:rsid w:val="000E050A"/>
    <w:rsid w:val="000E0A8D"/>
    <w:rsid w:val="000E0CE6"/>
    <w:rsid w:val="000E123C"/>
    <w:rsid w:val="000E1325"/>
    <w:rsid w:val="000E14B3"/>
    <w:rsid w:val="000E1D41"/>
    <w:rsid w:val="000E2009"/>
    <w:rsid w:val="000E2019"/>
    <w:rsid w:val="000E208F"/>
    <w:rsid w:val="000E22E4"/>
    <w:rsid w:val="000E25E6"/>
    <w:rsid w:val="000E2C12"/>
    <w:rsid w:val="000E2E02"/>
    <w:rsid w:val="000E352E"/>
    <w:rsid w:val="000E3A0F"/>
    <w:rsid w:val="000E3CCA"/>
    <w:rsid w:val="000E3CE7"/>
    <w:rsid w:val="000E4449"/>
    <w:rsid w:val="000E454E"/>
    <w:rsid w:val="000E4E55"/>
    <w:rsid w:val="000E5141"/>
    <w:rsid w:val="000E522F"/>
    <w:rsid w:val="000E53B8"/>
    <w:rsid w:val="000E53C6"/>
    <w:rsid w:val="000E55BB"/>
    <w:rsid w:val="000E575E"/>
    <w:rsid w:val="000E57E5"/>
    <w:rsid w:val="000E5C5B"/>
    <w:rsid w:val="000E5C87"/>
    <w:rsid w:val="000E5CA5"/>
    <w:rsid w:val="000E5DBC"/>
    <w:rsid w:val="000E5DDE"/>
    <w:rsid w:val="000E6097"/>
    <w:rsid w:val="000E6BD6"/>
    <w:rsid w:val="000E6CF1"/>
    <w:rsid w:val="000E7525"/>
    <w:rsid w:val="000E7BB8"/>
    <w:rsid w:val="000E7F56"/>
    <w:rsid w:val="000F0837"/>
    <w:rsid w:val="000F0A4C"/>
    <w:rsid w:val="000F0CCD"/>
    <w:rsid w:val="000F12F1"/>
    <w:rsid w:val="000F15C3"/>
    <w:rsid w:val="000F1900"/>
    <w:rsid w:val="000F1BD7"/>
    <w:rsid w:val="000F25D8"/>
    <w:rsid w:val="000F2E79"/>
    <w:rsid w:val="000F3336"/>
    <w:rsid w:val="000F3357"/>
    <w:rsid w:val="000F38B6"/>
    <w:rsid w:val="000F39D4"/>
    <w:rsid w:val="000F3E26"/>
    <w:rsid w:val="000F403A"/>
    <w:rsid w:val="000F41F5"/>
    <w:rsid w:val="000F46E5"/>
    <w:rsid w:val="000F47BB"/>
    <w:rsid w:val="000F4877"/>
    <w:rsid w:val="000F48E2"/>
    <w:rsid w:val="000F4B2A"/>
    <w:rsid w:val="000F4B2C"/>
    <w:rsid w:val="000F4F50"/>
    <w:rsid w:val="000F51E4"/>
    <w:rsid w:val="000F52C2"/>
    <w:rsid w:val="000F54A6"/>
    <w:rsid w:val="000F5B9F"/>
    <w:rsid w:val="000F5D4D"/>
    <w:rsid w:val="000F5DB3"/>
    <w:rsid w:val="000F6611"/>
    <w:rsid w:val="000F6619"/>
    <w:rsid w:val="000F66C8"/>
    <w:rsid w:val="000F6CAC"/>
    <w:rsid w:val="000F6E21"/>
    <w:rsid w:val="000F73F4"/>
    <w:rsid w:val="000F7D31"/>
    <w:rsid w:val="000F7DE0"/>
    <w:rsid w:val="00101103"/>
    <w:rsid w:val="001011D4"/>
    <w:rsid w:val="0010123C"/>
    <w:rsid w:val="001014C5"/>
    <w:rsid w:val="0010179A"/>
    <w:rsid w:val="001017C7"/>
    <w:rsid w:val="0010188F"/>
    <w:rsid w:val="001019D0"/>
    <w:rsid w:val="00101C69"/>
    <w:rsid w:val="0010212A"/>
    <w:rsid w:val="001021BD"/>
    <w:rsid w:val="00102592"/>
    <w:rsid w:val="001025B8"/>
    <w:rsid w:val="0010283C"/>
    <w:rsid w:val="00102A84"/>
    <w:rsid w:val="00102B3D"/>
    <w:rsid w:val="00103829"/>
    <w:rsid w:val="00103AC9"/>
    <w:rsid w:val="00104A88"/>
    <w:rsid w:val="00104B93"/>
    <w:rsid w:val="0010610D"/>
    <w:rsid w:val="001062C2"/>
    <w:rsid w:val="00107190"/>
    <w:rsid w:val="0010768C"/>
    <w:rsid w:val="001076A8"/>
    <w:rsid w:val="0010781B"/>
    <w:rsid w:val="00107C5A"/>
    <w:rsid w:val="00107CDC"/>
    <w:rsid w:val="00110097"/>
    <w:rsid w:val="00110126"/>
    <w:rsid w:val="00110428"/>
    <w:rsid w:val="0011071A"/>
    <w:rsid w:val="00110722"/>
    <w:rsid w:val="00110B67"/>
    <w:rsid w:val="00110D15"/>
    <w:rsid w:val="00110E5C"/>
    <w:rsid w:val="00110EDA"/>
    <w:rsid w:val="00111052"/>
    <w:rsid w:val="001110F9"/>
    <w:rsid w:val="00111428"/>
    <w:rsid w:val="001116B1"/>
    <w:rsid w:val="001118FC"/>
    <w:rsid w:val="00111C5E"/>
    <w:rsid w:val="00111FCE"/>
    <w:rsid w:val="00112234"/>
    <w:rsid w:val="00112875"/>
    <w:rsid w:val="00112888"/>
    <w:rsid w:val="00112936"/>
    <w:rsid w:val="00112ACC"/>
    <w:rsid w:val="00112AED"/>
    <w:rsid w:val="00112FC6"/>
    <w:rsid w:val="00113435"/>
    <w:rsid w:val="00113576"/>
    <w:rsid w:val="001137C1"/>
    <w:rsid w:val="00113806"/>
    <w:rsid w:val="00113F70"/>
    <w:rsid w:val="00114864"/>
    <w:rsid w:val="00114905"/>
    <w:rsid w:val="00114CE4"/>
    <w:rsid w:val="00114D15"/>
    <w:rsid w:val="00115791"/>
    <w:rsid w:val="00115A68"/>
    <w:rsid w:val="00115ABB"/>
    <w:rsid w:val="00115B07"/>
    <w:rsid w:val="00115B0E"/>
    <w:rsid w:val="00115D43"/>
    <w:rsid w:val="00115E84"/>
    <w:rsid w:val="00115EA0"/>
    <w:rsid w:val="001161D8"/>
    <w:rsid w:val="001164EA"/>
    <w:rsid w:val="0011666A"/>
    <w:rsid w:val="0011739B"/>
    <w:rsid w:val="0011749C"/>
    <w:rsid w:val="001178EE"/>
    <w:rsid w:val="00117ADD"/>
    <w:rsid w:val="00117D3F"/>
    <w:rsid w:val="00117DF8"/>
    <w:rsid w:val="001206D7"/>
    <w:rsid w:val="0012081C"/>
    <w:rsid w:val="001209FC"/>
    <w:rsid w:val="00120A77"/>
    <w:rsid w:val="00121583"/>
    <w:rsid w:val="001215A2"/>
    <w:rsid w:val="0012165E"/>
    <w:rsid w:val="001216FB"/>
    <w:rsid w:val="001217C7"/>
    <w:rsid w:val="00121983"/>
    <w:rsid w:val="00121A03"/>
    <w:rsid w:val="00121A9B"/>
    <w:rsid w:val="00121F70"/>
    <w:rsid w:val="0012201B"/>
    <w:rsid w:val="001221BA"/>
    <w:rsid w:val="00122240"/>
    <w:rsid w:val="001229A5"/>
    <w:rsid w:val="00122F87"/>
    <w:rsid w:val="001230DA"/>
    <w:rsid w:val="001231D3"/>
    <w:rsid w:val="00123505"/>
    <w:rsid w:val="0012357B"/>
    <w:rsid w:val="0012381C"/>
    <w:rsid w:val="00123A51"/>
    <w:rsid w:val="00123AE2"/>
    <w:rsid w:val="00123BA8"/>
    <w:rsid w:val="00123BF1"/>
    <w:rsid w:val="00123C05"/>
    <w:rsid w:val="00124080"/>
    <w:rsid w:val="0012409C"/>
    <w:rsid w:val="00124128"/>
    <w:rsid w:val="00124141"/>
    <w:rsid w:val="0012414E"/>
    <w:rsid w:val="00124167"/>
    <w:rsid w:val="00124232"/>
    <w:rsid w:val="00124454"/>
    <w:rsid w:val="001246F8"/>
    <w:rsid w:val="0012489B"/>
    <w:rsid w:val="00124DE4"/>
    <w:rsid w:val="0012548D"/>
    <w:rsid w:val="00125B1C"/>
    <w:rsid w:val="00125C80"/>
    <w:rsid w:val="00125FC9"/>
    <w:rsid w:val="00126264"/>
    <w:rsid w:val="00126776"/>
    <w:rsid w:val="00126BB5"/>
    <w:rsid w:val="00126CB6"/>
    <w:rsid w:val="00126E4C"/>
    <w:rsid w:val="0012749A"/>
    <w:rsid w:val="001278FC"/>
    <w:rsid w:val="00127B59"/>
    <w:rsid w:val="00130017"/>
    <w:rsid w:val="001308D1"/>
    <w:rsid w:val="00130AFC"/>
    <w:rsid w:val="00130F91"/>
    <w:rsid w:val="00131002"/>
    <w:rsid w:val="0013101D"/>
    <w:rsid w:val="00131041"/>
    <w:rsid w:val="00131661"/>
    <w:rsid w:val="0013210C"/>
    <w:rsid w:val="00132A3A"/>
    <w:rsid w:val="00132B09"/>
    <w:rsid w:val="00132B84"/>
    <w:rsid w:val="00132BC6"/>
    <w:rsid w:val="00132D65"/>
    <w:rsid w:val="00133204"/>
    <w:rsid w:val="0013345D"/>
    <w:rsid w:val="00133E30"/>
    <w:rsid w:val="00133FB3"/>
    <w:rsid w:val="00133FC5"/>
    <w:rsid w:val="00133FE5"/>
    <w:rsid w:val="00134131"/>
    <w:rsid w:val="0013440A"/>
    <w:rsid w:val="001349ED"/>
    <w:rsid w:val="00134BC0"/>
    <w:rsid w:val="00134FFB"/>
    <w:rsid w:val="001352AC"/>
    <w:rsid w:val="00135353"/>
    <w:rsid w:val="001355CA"/>
    <w:rsid w:val="001356EE"/>
    <w:rsid w:val="001357EF"/>
    <w:rsid w:val="0013592F"/>
    <w:rsid w:val="00135D39"/>
    <w:rsid w:val="0013606C"/>
    <w:rsid w:val="00136E32"/>
    <w:rsid w:val="00137279"/>
    <w:rsid w:val="00137424"/>
    <w:rsid w:val="001376E5"/>
    <w:rsid w:val="001400D4"/>
    <w:rsid w:val="00140240"/>
    <w:rsid w:val="00140318"/>
    <w:rsid w:val="00140589"/>
    <w:rsid w:val="001407B1"/>
    <w:rsid w:val="0014181C"/>
    <w:rsid w:val="001418A5"/>
    <w:rsid w:val="00141AD9"/>
    <w:rsid w:val="001426D7"/>
    <w:rsid w:val="001426F8"/>
    <w:rsid w:val="00142708"/>
    <w:rsid w:val="00142772"/>
    <w:rsid w:val="00142A89"/>
    <w:rsid w:val="00142C48"/>
    <w:rsid w:val="00143312"/>
    <w:rsid w:val="001438A9"/>
    <w:rsid w:val="00143993"/>
    <w:rsid w:val="00144072"/>
    <w:rsid w:val="00144235"/>
    <w:rsid w:val="001443A5"/>
    <w:rsid w:val="001444BE"/>
    <w:rsid w:val="00144811"/>
    <w:rsid w:val="00144B13"/>
    <w:rsid w:val="00144EF8"/>
    <w:rsid w:val="00145096"/>
    <w:rsid w:val="00145942"/>
    <w:rsid w:val="00145D28"/>
    <w:rsid w:val="00145FD5"/>
    <w:rsid w:val="0014623C"/>
    <w:rsid w:val="00146421"/>
    <w:rsid w:val="0014662D"/>
    <w:rsid w:val="00146B1A"/>
    <w:rsid w:val="00146CE6"/>
    <w:rsid w:val="00146FB5"/>
    <w:rsid w:val="001470A3"/>
    <w:rsid w:val="0014735E"/>
    <w:rsid w:val="001473C7"/>
    <w:rsid w:val="0014757A"/>
    <w:rsid w:val="001477F2"/>
    <w:rsid w:val="001478D2"/>
    <w:rsid w:val="00147B0D"/>
    <w:rsid w:val="00147F0C"/>
    <w:rsid w:val="001501F4"/>
    <w:rsid w:val="00150635"/>
    <w:rsid w:val="00150E32"/>
    <w:rsid w:val="00150EB2"/>
    <w:rsid w:val="001511DE"/>
    <w:rsid w:val="00151263"/>
    <w:rsid w:val="00151518"/>
    <w:rsid w:val="00151DC8"/>
    <w:rsid w:val="00151E83"/>
    <w:rsid w:val="00151E99"/>
    <w:rsid w:val="001525AB"/>
    <w:rsid w:val="00152903"/>
    <w:rsid w:val="00153344"/>
    <w:rsid w:val="001537F1"/>
    <w:rsid w:val="00153945"/>
    <w:rsid w:val="00153E80"/>
    <w:rsid w:val="00153FD5"/>
    <w:rsid w:val="001540D8"/>
    <w:rsid w:val="001543E4"/>
    <w:rsid w:val="00154804"/>
    <w:rsid w:val="0015481B"/>
    <w:rsid w:val="00154BE1"/>
    <w:rsid w:val="00154D22"/>
    <w:rsid w:val="00154EB9"/>
    <w:rsid w:val="001556CE"/>
    <w:rsid w:val="0015597B"/>
    <w:rsid w:val="00155D31"/>
    <w:rsid w:val="00155FA4"/>
    <w:rsid w:val="0015614F"/>
    <w:rsid w:val="001567F7"/>
    <w:rsid w:val="00156A44"/>
    <w:rsid w:val="00156B40"/>
    <w:rsid w:val="00156F2F"/>
    <w:rsid w:val="0015716C"/>
    <w:rsid w:val="001573B8"/>
    <w:rsid w:val="00157553"/>
    <w:rsid w:val="001577C2"/>
    <w:rsid w:val="001577D8"/>
    <w:rsid w:val="00157F7F"/>
    <w:rsid w:val="001605F3"/>
    <w:rsid w:val="001608C5"/>
    <w:rsid w:val="00160A4C"/>
    <w:rsid w:val="00160A93"/>
    <w:rsid w:val="00161027"/>
    <w:rsid w:val="00161584"/>
    <w:rsid w:val="001616BA"/>
    <w:rsid w:val="00161941"/>
    <w:rsid w:val="00162093"/>
    <w:rsid w:val="0016228E"/>
    <w:rsid w:val="001623B2"/>
    <w:rsid w:val="00163338"/>
    <w:rsid w:val="001633C4"/>
    <w:rsid w:val="0016342C"/>
    <w:rsid w:val="00163513"/>
    <w:rsid w:val="00163608"/>
    <w:rsid w:val="001636C7"/>
    <w:rsid w:val="001639FB"/>
    <w:rsid w:val="00163EA5"/>
    <w:rsid w:val="001640BD"/>
    <w:rsid w:val="00164C38"/>
    <w:rsid w:val="00165015"/>
    <w:rsid w:val="00165F48"/>
    <w:rsid w:val="001664C4"/>
    <w:rsid w:val="00166575"/>
    <w:rsid w:val="00166FA5"/>
    <w:rsid w:val="00167099"/>
    <w:rsid w:val="001670BD"/>
    <w:rsid w:val="00167133"/>
    <w:rsid w:val="00167289"/>
    <w:rsid w:val="00167BA4"/>
    <w:rsid w:val="001700A7"/>
    <w:rsid w:val="00170871"/>
    <w:rsid w:val="00170EE1"/>
    <w:rsid w:val="00171473"/>
    <w:rsid w:val="00171591"/>
    <w:rsid w:val="00171986"/>
    <w:rsid w:val="00171C01"/>
    <w:rsid w:val="00171C4F"/>
    <w:rsid w:val="00172279"/>
    <w:rsid w:val="001724E2"/>
    <w:rsid w:val="00172695"/>
    <w:rsid w:val="0017298B"/>
    <w:rsid w:val="00172A0F"/>
    <w:rsid w:val="00172B26"/>
    <w:rsid w:val="00172B54"/>
    <w:rsid w:val="00172EB0"/>
    <w:rsid w:val="00173888"/>
    <w:rsid w:val="00173981"/>
    <w:rsid w:val="00173EC1"/>
    <w:rsid w:val="00173F24"/>
    <w:rsid w:val="001757D9"/>
    <w:rsid w:val="00176275"/>
    <w:rsid w:val="00176583"/>
    <w:rsid w:val="00176BB4"/>
    <w:rsid w:val="00176C26"/>
    <w:rsid w:val="00176D22"/>
    <w:rsid w:val="00176E22"/>
    <w:rsid w:val="0017719D"/>
    <w:rsid w:val="00177523"/>
    <w:rsid w:val="001779E4"/>
    <w:rsid w:val="00177A40"/>
    <w:rsid w:val="00177FC0"/>
    <w:rsid w:val="00180017"/>
    <w:rsid w:val="001801F4"/>
    <w:rsid w:val="0018044B"/>
    <w:rsid w:val="001805D0"/>
    <w:rsid w:val="001809E0"/>
    <w:rsid w:val="00180CBE"/>
    <w:rsid w:val="00180CD4"/>
    <w:rsid w:val="00181063"/>
    <w:rsid w:val="00181690"/>
    <w:rsid w:val="001818EC"/>
    <w:rsid w:val="00181C9E"/>
    <w:rsid w:val="00181D78"/>
    <w:rsid w:val="001820EF"/>
    <w:rsid w:val="0018271D"/>
    <w:rsid w:val="0018396F"/>
    <w:rsid w:val="00183D00"/>
    <w:rsid w:val="00183E47"/>
    <w:rsid w:val="00183EDF"/>
    <w:rsid w:val="00183FD7"/>
    <w:rsid w:val="00185173"/>
    <w:rsid w:val="00185CAB"/>
    <w:rsid w:val="00185D43"/>
    <w:rsid w:val="00186911"/>
    <w:rsid w:val="00186B43"/>
    <w:rsid w:val="00186B66"/>
    <w:rsid w:val="00186F06"/>
    <w:rsid w:val="001871AB"/>
    <w:rsid w:val="0018757E"/>
    <w:rsid w:val="001875B7"/>
    <w:rsid w:val="001878E8"/>
    <w:rsid w:val="00187AA5"/>
    <w:rsid w:val="00187CB3"/>
    <w:rsid w:val="00187F5C"/>
    <w:rsid w:val="00190008"/>
    <w:rsid w:val="00190041"/>
    <w:rsid w:val="001901FF"/>
    <w:rsid w:val="00190408"/>
    <w:rsid w:val="0019050A"/>
    <w:rsid w:val="00190BD2"/>
    <w:rsid w:val="00190C3F"/>
    <w:rsid w:val="00191034"/>
    <w:rsid w:val="00191085"/>
    <w:rsid w:val="001910D4"/>
    <w:rsid w:val="00191164"/>
    <w:rsid w:val="00191724"/>
    <w:rsid w:val="001918E1"/>
    <w:rsid w:val="00191A25"/>
    <w:rsid w:val="00192392"/>
    <w:rsid w:val="0019258A"/>
    <w:rsid w:val="001928EB"/>
    <w:rsid w:val="001936FE"/>
    <w:rsid w:val="00193828"/>
    <w:rsid w:val="00193A70"/>
    <w:rsid w:val="00193CCF"/>
    <w:rsid w:val="0019432F"/>
    <w:rsid w:val="00194846"/>
    <w:rsid w:val="0019484B"/>
    <w:rsid w:val="001948DF"/>
    <w:rsid w:val="001949D3"/>
    <w:rsid w:val="00195041"/>
    <w:rsid w:val="001950E3"/>
    <w:rsid w:val="00195AB7"/>
    <w:rsid w:val="00195C0E"/>
    <w:rsid w:val="001962B2"/>
    <w:rsid w:val="00196553"/>
    <w:rsid w:val="00196768"/>
    <w:rsid w:val="00196BAF"/>
    <w:rsid w:val="001971EA"/>
    <w:rsid w:val="00197216"/>
    <w:rsid w:val="001976E3"/>
    <w:rsid w:val="00197E92"/>
    <w:rsid w:val="001A0068"/>
    <w:rsid w:val="001A05F1"/>
    <w:rsid w:val="001A0B63"/>
    <w:rsid w:val="001A0B85"/>
    <w:rsid w:val="001A143F"/>
    <w:rsid w:val="001A1552"/>
    <w:rsid w:val="001A1C72"/>
    <w:rsid w:val="001A1CCF"/>
    <w:rsid w:val="001A2292"/>
    <w:rsid w:val="001A25C7"/>
    <w:rsid w:val="001A2904"/>
    <w:rsid w:val="001A2A2F"/>
    <w:rsid w:val="001A30F0"/>
    <w:rsid w:val="001A359E"/>
    <w:rsid w:val="001A3814"/>
    <w:rsid w:val="001A3EC1"/>
    <w:rsid w:val="001A3F7F"/>
    <w:rsid w:val="001A42E7"/>
    <w:rsid w:val="001A4307"/>
    <w:rsid w:val="001A44EA"/>
    <w:rsid w:val="001A44EC"/>
    <w:rsid w:val="001A469C"/>
    <w:rsid w:val="001A47A1"/>
    <w:rsid w:val="001A47A9"/>
    <w:rsid w:val="001A4D89"/>
    <w:rsid w:val="001A4FC2"/>
    <w:rsid w:val="001A5088"/>
    <w:rsid w:val="001A52A3"/>
    <w:rsid w:val="001A5433"/>
    <w:rsid w:val="001A543F"/>
    <w:rsid w:val="001A5B1D"/>
    <w:rsid w:val="001A6339"/>
    <w:rsid w:val="001A6A34"/>
    <w:rsid w:val="001A6E38"/>
    <w:rsid w:val="001A75B2"/>
    <w:rsid w:val="001A76DB"/>
    <w:rsid w:val="001A7901"/>
    <w:rsid w:val="001A7D52"/>
    <w:rsid w:val="001B035B"/>
    <w:rsid w:val="001B0437"/>
    <w:rsid w:val="001B05AC"/>
    <w:rsid w:val="001B0687"/>
    <w:rsid w:val="001B09F8"/>
    <w:rsid w:val="001B0F77"/>
    <w:rsid w:val="001B12D2"/>
    <w:rsid w:val="001B1A0B"/>
    <w:rsid w:val="001B1B7A"/>
    <w:rsid w:val="001B1CA4"/>
    <w:rsid w:val="001B272D"/>
    <w:rsid w:val="001B2889"/>
    <w:rsid w:val="001B2DB3"/>
    <w:rsid w:val="001B310F"/>
    <w:rsid w:val="001B31CF"/>
    <w:rsid w:val="001B378A"/>
    <w:rsid w:val="001B3FA1"/>
    <w:rsid w:val="001B3FE4"/>
    <w:rsid w:val="001B420E"/>
    <w:rsid w:val="001B450C"/>
    <w:rsid w:val="001B473D"/>
    <w:rsid w:val="001B4850"/>
    <w:rsid w:val="001B4CF7"/>
    <w:rsid w:val="001B4ED4"/>
    <w:rsid w:val="001B501C"/>
    <w:rsid w:val="001B50D7"/>
    <w:rsid w:val="001B58AA"/>
    <w:rsid w:val="001B5A63"/>
    <w:rsid w:val="001B5B22"/>
    <w:rsid w:val="001B6223"/>
    <w:rsid w:val="001B64BF"/>
    <w:rsid w:val="001B6590"/>
    <w:rsid w:val="001B6712"/>
    <w:rsid w:val="001B696E"/>
    <w:rsid w:val="001B6C04"/>
    <w:rsid w:val="001B6E03"/>
    <w:rsid w:val="001B75F1"/>
    <w:rsid w:val="001B7611"/>
    <w:rsid w:val="001B76B6"/>
    <w:rsid w:val="001B76CC"/>
    <w:rsid w:val="001B7AEF"/>
    <w:rsid w:val="001B7E48"/>
    <w:rsid w:val="001C0300"/>
    <w:rsid w:val="001C0B58"/>
    <w:rsid w:val="001C0CBB"/>
    <w:rsid w:val="001C0D0E"/>
    <w:rsid w:val="001C0E03"/>
    <w:rsid w:val="001C0F1C"/>
    <w:rsid w:val="001C17CE"/>
    <w:rsid w:val="001C18FF"/>
    <w:rsid w:val="001C2180"/>
    <w:rsid w:val="001C221D"/>
    <w:rsid w:val="001C23FF"/>
    <w:rsid w:val="001C2BF4"/>
    <w:rsid w:val="001C3132"/>
    <w:rsid w:val="001C36CA"/>
    <w:rsid w:val="001C37A8"/>
    <w:rsid w:val="001C37D8"/>
    <w:rsid w:val="001C39C8"/>
    <w:rsid w:val="001C3B42"/>
    <w:rsid w:val="001C4163"/>
    <w:rsid w:val="001C4306"/>
    <w:rsid w:val="001C44D1"/>
    <w:rsid w:val="001C4B76"/>
    <w:rsid w:val="001C4C83"/>
    <w:rsid w:val="001C4DDC"/>
    <w:rsid w:val="001C4E21"/>
    <w:rsid w:val="001C4FFD"/>
    <w:rsid w:val="001C517F"/>
    <w:rsid w:val="001C597B"/>
    <w:rsid w:val="001C5E46"/>
    <w:rsid w:val="001C6117"/>
    <w:rsid w:val="001C6177"/>
    <w:rsid w:val="001C61F0"/>
    <w:rsid w:val="001C6582"/>
    <w:rsid w:val="001C6A7E"/>
    <w:rsid w:val="001C6AEE"/>
    <w:rsid w:val="001C7338"/>
    <w:rsid w:val="001C7630"/>
    <w:rsid w:val="001C777D"/>
    <w:rsid w:val="001C7BF2"/>
    <w:rsid w:val="001C7D99"/>
    <w:rsid w:val="001D02A7"/>
    <w:rsid w:val="001D063A"/>
    <w:rsid w:val="001D09EB"/>
    <w:rsid w:val="001D0A2E"/>
    <w:rsid w:val="001D0BEF"/>
    <w:rsid w:val="001D0CFD"/>
    <w:rsid w:val="001D19BE"/>
    <w:rsid w:val="001D1F26"/>
    <w:rsid w:val="001D20A4"/>
    <w:rsid w:val="001D2120"/>
    <w:rsid w:val="001D2969"/>
    <w:rsid w:val="001D2B02"/>
    <w:rsid w:val="001D2BC9"/>
    <w:rsid w:val="001D3119"/>
    <w:rsid w:val="001D349B"/>
    <w:rsid w:val="001D376C"/>
    <w:rsid w:val="001D3B96"/>
    <w:rsid w:val="001D3E52"/>
    <w:rsid w:val="001D3F8B"/>
    <w:rsid w:val="001D3FAD"/>
    <w:rsid w:val="001D4358"/>
    <w:rsid w:val="001D4362"/>
    <w:rsid w:val="001D4CF9"/>
    <w:rsid w:val="001D51CB"/>
    <w:rsid w:val="001D52B8"/>
    <w:rsid w:val="001D53BE"/>
    <w:rsid w:val="001D5911"/>
    <w:rsid w:val="001D59F8"/>
    <w:rsid w:val="001D5AFF"/>
    <w:rsid w:val="001D5FA8"/>
    <w:rsid w:val="001D61B4"/>
    <w:rsid w:val="001D61D7"/>
    <w:rsid w:val="001D63C7"/>
    <w:rsid w:val="001D66A7"/>
    <w:rsid w:val="001D6D15"/>
    <w:rsid w:val="001D6F68"/>
    <w:rsid w:val="001D6F6E"/>
    <w:rsid w:val="001D72BA"/>
    <w:rsid w:val="001D766D"/>
    <w:rsid w:val="001D76E6"/>
    <w:rsid w:val="001E0016"/>
    <w:rsid w:val="001E0B0C"/>
    <w:rsid w:val="001E0DF4"/>
    <w:rsid w:val="001E1270"/>
    <w:rsid w:val="001E1833"/>
    <w:rsid w:val="001E1B65"/>
    <w:rsid w:val="001E2468"/>
    <w:rsid w:val="001E2C33"/>
    <w:rsid w:val="001E3005"/>
    <w:rsid w:val="001E3228"/>
    <w:rsid w:val="001E333A"/>
    <w:rsid w:val="001E3372"/>
    <w:rsid w:val="001E3956"/>
    <w:rsid w:val="001E3A8F"/>
    <w:rsid w:val="001E3A98"/>
    <w:rsid w:val="001E3C7A"/>
    <w:rsid w:val="001E41D5"/>
    <w:rsid w:val="001E44D2"/>
    <w:rsid w:val="001E4C2C"/>
    <w:rsid w:val="001E5274"/>
    <w:rsid w:val="001E530C"/>
    <w:rsid w:val="001E5449"/>
    <w:rsid w:val="001E5885"/>
    <w:rsid w:val="001E59D9"/>
    <w:rsid w:val="001E5A4A"/>
    <w:rsid w:val="001E5AB1"/>
    <w:rsid w:val="001E5C04"/>
    <w:rsid w:val="001E6669"/>
    <w:rsid w:val="001E67A0"/>
    <w:rsid w:val="001E6AF5"/>
    <w:rsid w:val="001E6D41"/>
    <w:rsid w:val="001E6FEA"/>
    <w:rsid w:val="001E70D8"/>
    <w:rsid w:val="001E7166"/>
    <w:rsid w:val="001E7B95"/>
    <w:rsid w:val="001E7C05"/>
    <w:rsid w:val="001F0040"/>
    <w:rsid w:val="001F03F1"/>
    <w:rsid w:val="001F0531"/>
    <w:rsid w:val="001F181A"/>
    <w:rsid w:val="001F1E22"/>
    <w:rsid w:val="001F20F5"/>
    <w:rsid w:val="001F2399"/>
    <w:rsid w:val="001F25DE"/>
    <w:rsid w:val="001F2792"/>
    <w:rsid w:val="001F2D19"/>
    <w:rsid w:val="001F2ECD"/>
    <w:rsid w:val="001F307F"/>
    <w:rsid w:val="001F3495"/>
    <w:rsid w:val="001F3CAC"/>
    <w:rsid w:val="001F3E7B"/>
    <w:rsid w:val="001F4382"/>
    <w:rsid w:val="001F4473"/>
    <w:rsid w:val="001F4791"/>
    <w:rsid w:val="001F4890"/>
    <w:rsid w:val="001F51FF"/>
    <w:rsid w:val="001F53C6"/>
    <w:rsid w:val="001F55C9"/>
    <w:rsid w:val="001F565B"/>
    <w:rsid w:val="001F5787"/>
    <w:rsid w:val="001F5C40"/>
    <w:rsid w:val="001F5DCD"/>
    <w:rsid w:val="001F5E1C"/>
    <w:rsid w:val="001F5EA0"/>
    <w:rsid w:val="001F634F"/>
    <w:rsid w:val="001F63F9"/>
    <w:rsid w:val="001F68F7"/>
    <w:rsid w:val="001F6A12"/>
    <w:rsid w:val="001F6C3D"/>
    <w:rsid w:val="001F7558"/>
    <w:rsid w:val="001F7577"/>
    <w:rsid w:val="001F75A5"/>
    <w:rsid w:val="001F76E6"/>
    <w:rsid w:val="00200105"/>
    <w:rsid w:val="0020014B"/>
    <w:rsid w:val="002001E9"/>
    <w:rsid w:val="0020049B"/>
    <w:rsid w:val="0020051D"/>
    <w:rsid w:val="0020051E"/>
    <w:rsid w:val="002008E9"/>
    <w:rsid w:val="00200924"/>
    <w:rsid w:val="00200AE7"/>
    <w:rsid w:val="00200CFE"/>
    <w:rsid w:val="002013BD"/>
    <w:rsid w:val="00201AF1"/>
    <w:rsid w:val="00201DB8"/>
    <w:rsid w:val="00201DE5"/>
    <w:rsid w:val="00201FB7"/>
    <w:rsid w:val="002024CD"/>
    <w:rsid w:val="002025FC"/>
    <w:rsid w:val="002026BE"/>
    <w:rsid w:val="002026C0"/>
    <w:rsid w:val="0020286E"/>
    <w:rsid w:val="0020287F"/>
    <w:rsid w:val="0020289D"/>
    <w:rsid w:val="00202F16"/>
    <w:rsid w:val="002038D0"/>
    <w:rsid w:val="00203F63"/>
    <w:rsid w:val="0020408F"/>
    <w:rsid w:val="002041BD"/>
    <w:rsid w:val="0020445B"/>
    <w:rsid w:val="0020488C"/>
    <w:rsid w:val="0020501E"/>
    <w:rsid w:val="00205514"/>
    <w:rsid w:val="00205768"/>
    <w:rsid w:val="00205997"/>
    <w:rsid w:val="00205B57"/>
    <w:rsid w:val="00205E5A"/>
    <w:rsid w:val="00205F0B"/>
    <w:rsid w:val="00205F9D"/>
    <w:rsid w:val="002062EB"/>
    <w:rsid w:val="002064DB"/>
    <w:rsid w:val="00206A1E"/>
    <w:rsid w:val="00206EC6"/>
    <w:rsid w:val="00207199"/>
    <w:rsid w:val="0020740B"/>
    <w:rsid w:val="0020762C"/>
    <w:rsid w:val="00207915"/>
    <w:rsid w:val="00207B11"/>
    <w:rsid w:val="002104A1"/>
    <w:rsid w:val="00210857"/>
    <w:rsid w:val="00210980"/>
    <w:rsid w:val="00210EE0"/>
    <w:rsid w:val="00211031"/>
    <w:rsid w:val="002111ED"/>
    <w:rsid w:val="00211AFF"/>
    <w:rsid w:val="00211D44"/>
    <w:rsid w:val="00212268"/>
    <w:rsid w:val="0021241B"/>
    <w:rsid w:val="002127EF"/>
    <w:rsid w:val="0021280A"/>
    <w:rsid w:val="00212DF8"/>
    <w:rsid w:val="00213104"/>
    <w:rsid w:val="002133A1"/>
    <w:rsid w:val="0021381F"/>
    <w:rsid w:val="00213B58"/>
    <w:rsid w:val="00213C1A"/>
    <w:rsid w:val="0021404A"/>
    <w:rsid w:val="00214171"/>
    <w:rsid w:val="00214465"/>
    <w:rsid w:val="00214700"/>
    <w:rsid w:val="00214A2B"/>
    <w:rsid w:val="00214D93"/>
    <w:rsid w:val="00214E77"/>
    <w:rsid w:val="00215006"/>
    <w:rsid w:val="002152E1"/>
    <w:rsid w:val="002157E0"/>
    <w:rsid w:val="00215AD1"/>
    <w:rsid w:val="002160B3"/>
    <w:rsid w:val="00216A57"/>
    <w:rsid w:val="00216A86"/>
    <w:rsid w:val="00216EAE"/>
    <w:rsid w:val="00216F58"/>
    <w:rsid w:val="00216FFC"/>
    <w:rsid w:val="0021703C"/>
    <w:rsid w:val="002175AB"/>
    <w:rsid w:val="00217C7C"/>
    <w:rsid w:val="0022063D"/>
    <w:rsid w:val="0022070E"/>
    <w:rsid w:val="00220775"/>
    <w:rsid w:val="00220C13"/>
    <w:rsid w:val="00220FF6"/>
    <w:rsid w:val="002210D9"/>
    <w:rsid w:val="00221421"/>
    <w:rsid w:val="00221A0F"/>
    <w:rsid w:val="002225DD"/>
    <w:rsid w:val="002225E4"/>
    <w:rsid w:val="0022278D"/>
    <w:rsid w:val="0022334F"/>
    <w:rsid w:val="00223C73"/>
    <w:rsid w:val="00223D30"/>
    <w:rsid w:val="00223D9D"/>
    <w:rsid w:val="0022429D"/>
    <w:rsid w:val="00224F2C"/>
    <w:rsid w:val="00225351"/>
    <w:rsid w:val="0022547B"/>
    <w:rsid w:val="002254DB"/>
    <w:rsid w:val="0022550C"/>
    <w:rsid w:val="002256FC"/>
    <w:rsid w:val="00225799"/>
    <w:rsid w:val="002258BF"/>
    <w:rsid w:val="00225AFF"/>
    <w:rsid w:val="00225B46"/>
    <w:rsid w:val="00225E2F"/>
    <w:rsid w:val="00225FC8"/>
    <w:rsid w:val="0022609D"/>
    <w:rsid w:val="002263B2"/>
    <w:rsid w:val="00226819"/>
    <w:rsid w:val="00226BDF"/>
    <w:rsid w:val="00226D46"/>
    <w:rsid w:val="00226E18"/>
    <w:rsid w:val="0022739C"/>
    <w:rsid w:val="00227C89"/>
    <w:rsid w:val="0023020D"/>
    <w:rsid w:val="00230F28"/>
    <w:rsid w:val="00231075"/>
    <w:rsid w:val="002312D5"/>
    <w:rsid w:val="00231397"/>
    <w:rsid w:val="00231649"/>
    <w:rsid w:val="00231D4A"/>
    <w:rsid w:val="0023233B"/>
    <w:rsid w:val="002323D0"/>
    <w:rsid w:val="00233101"/>
    <w:rsid w:val="0023319A"/>
    <w:rsid w:val="00233575"/>
    <w:rsid w:val="002336EF"/>
    <w:rsid w:val="00233817"/>
    <w:rsid w:val="00233921"/>
    <w:rsid w:val="00233C52"/>
    <w:rsid w:val="00233CC3"/>
    <w:rsid w:val="00233E05"/>
    <w:rsid w:val="00233E65"/>
    <w:rsid w:val="002340E3"/>
    <w:rsid w:val="00234509"/>
    <w:rsid w:val="00234516"/>
    <w:rsid w:val="002345FB"/>
    <w:rsid w:val="0023477F"/>
    <w:rsid w:val="00234C5A"/>
    <w:rsid w:val="002350CC"/>
    <w:rsid w:val="00235261"/>
    <w:rsid w:val="002364FC"/>
    <w:rsid w:val="00236532"/>
    <w:rsid w:val="00236678"/>
    <w:rsid w:val="002367D4"/>
    <w:rsid w:val="002367FF"/>
    <w:rsid w:val="002368B2"/>
    <w:rsid w:val="00236E8C"/>
    <w:rsid w:val="002370F2"/>
    <w:rsid w:val="00237373"/>
    <w:rsid w:val="00237A13"/>
    <w:rsid w:val="00237EBB"/>
    <w:rsid w:val="0024022B"/>
    <w:rsid w:val="00240CB1"/>
    <w:rsid w:val="00240CE9"/>
    <w:rsid w:val="00241191"/>
    <w:rsid w:val="00241986"/>
    <w:rsid w:val="00242011"/>
    <w:rsid w:val="00242238"/>
    <w:rsid w:val="00242304"/>
    <w:rsid w:val="00242754"/>
    <w:rsid w:val="00242CFC"/>
    <w:rsid w:val="00242E62"/>
    <w:rsid w:val="00242F3B"/>
    <w:rsid w:val="0024313C"/>
    <w:rsid w:val="00243330"/>
    <w:rsid w:val="002434BA"/>
    <w:rsid w:val="00243870"/>
    <w:rsid w:val="00243966"/>
    <w:rsid w:val="00243C8F"/>
    <w:rsid w:val="00243F7D"/>
    <w:rsid w:val="0024450C"/>
    <w:rsid w:val="00244F54"/>
    <w:rsid w:val="00245069"/>
    <w:rsid w:val="0024527A"/>
    <w:rsid w:val="0024566B"/>
    <w:rsid w:val="0024592D"/>
    <w:rsid w:val="00246089"/>
    <w:rsid w:val="00246093"/>
    <w:rsid w:val="002460B3"/>
    <w:rsid w:val="002460EB"/>
    <w:rsid w:val="00246702"/>
    <w:rsid w:val="00246BA1"/>
    <w:rsid w:val="00246C58"/>
    <w:rsid w:val="00246D11"/>
    <w:rsid w:val="00246FEC"/>
    <w:rsid w:val="002472CF"/>
    <w:rsid w:val="002474DE"/>
    <w:rsid w:val="002474DF"/>
    <w:rsid w:val="002474F6"/>
    <w:rsid w:val="0024755B"/>
    <w:rsid w:val="00247C59"/>
    <w:rsid w:val="00247E63"/>
    <w:rsid w:val="00247F2E"/>
    <w:rsid w:val="00247F97"/>
    <w:rsid w:val="00247FE4"/>
    <w:rsid w:val="0025006A"/>
    <w:rsid w:val="00250766"/>
    <w:rsid w:val="00250818"/>
    <w:rsid w:val="0025081F"/>
    <w:rsid w:val="00250ADC"/>
    <w:rsid w:val="00250B07"/>
    <w:rsid w:val="002512ED"/>
    <w:rsid w:val="002516E5"/>
    <w:rsid w:val="00251C73"/>
    <w:rsid w:val="00252163"/>
    <w:rsid w:val="00252285"/>
    <w:rsid w:val="00252ACF"/>
    <w:rsid w:val="0025307D"/>
    <w:rsid w:val="00253744"/>
    <w:rsid w:val="0025399C"/>
    <w:rsid w:val="00253B7B"/>
    <w:rsid w:val="002547D3"/>
    <w:rsid w:val="002552D6"/>
    <w:rsid w:val="00255402"/>
    <w:rsid w:val="00256127"/>
    <w:rsid w:val="002561FB"/>
    <w:rsid w:val="002566B6"/>
    <w:rsid w:val="0025695C"/>
    <w:rsid w:val="00257553"/>
    <w:rsid w:val="00257818"/>
    <w:rsid w:val="002579A8"/>
    <w:rsid w:val="00257D00"/>
    <w:rsid w:val="002601BE"/>
    <w:rsid w:val="00260547"/>
    <w:rsid w:val="0026070D"/>
    <w:rsid w:val="00260B3F"/>
    <w:rsid w:val="00260C3E"/>
    <w:rsid w:val="00260FB2"/>
    <w:rsid w:val="002612B1"/>
    <w:rsid w:val="002616CF"/>
    <w:rsid w:val="00261865"/>
    <w:rsid w:val="00261C53"/>
    <w:rsid w:val="00261CA8"/>
    <w:rsid w:val="00261FCD"/>
    <w:rsid w:val="0026211E"/>
    <w:rsid w:val="00262128"/>
    <w:rsid w:val="00262139"/>
    <w:rsid w:val="002624A6"/>
    <w:rsid w:val="002628AE"/>
    <w:rsid w:val="00262A29"/>
    <w:rsid w:val="00263489"/>
    <w:rsid w:val="00263623"/>
    <w:rsid w:val="0026368B"/>
    <w:rsid w:val="00263ADD"/>
    <w:rsid w:val="00264555"/>
    <w:rsid w:val="0026479C"/>
    <w:rsid w:val="002648FD"/>
    <w:rsid w:val="00264E46"/>
    <w:rsid w:val="002651E4"/>
    <w:rsid w:val="002654B5"/>
    <w:rsid w:val="00265523"/>
    <w:rsid w:val="002657D9"/>
    <w:rsid w:val="002657E9"/>
    <w:rsid w:val="002659DF"/>
    <w:rsid w:val="00265AC6"/>
    <w:rsid w:val="00265C73"/>
    <w:rsid w:val="00265E8F"/>
    <w:rsid w:val="00265FB6"/>
    <w:rsid w:val="00265FDD"/>
    <w:rsid w:val="00266297"/>
    <w:rsid w:val="002662DC"/>
    <w:rsid w:val="002664B9"/>
    <w:rsid w:val="00266584"/>
    <w:rsid w:val="002667D4"/>
    <w:rsid w:val="00266A63"/>
    <w:rsid w:val="00266AD8"/>
    <w:rsid w:val="00266F11"/>
    <w:rsid w:val="00267652"/>
    <w:rsid w:val="0027021C"/>
    <w:rsid w:val="0027091F"/>
    <w:rsid w:val="00270D8B"/>
    <w:rsid w:val="00271262"/>
    <w:rsid w:val="0027128C"/>
    <w:rsid w:val="002714B8"/>
    <w:rsid w:val="0027165D"/>
    <w:rsid w:val="00271764"/>
    <w:rsid w:val="002717D0"/>
    <w:rsid w:val="002720A6"/>
    <w:rsid w:val="00272309"/>
    <w:rsid w:val="00272D44"/>
    <w:rsid w:val="002732D6"/>
    <w:rsid w:val="002733C0"/>
    <w:rsid w:val="00273580"/>
    <w:rsid w:val="00273BF7"/>
    <w:rsid w:val="00273CEB"/>
    <w:rsid w:val="00273DAF"/>
    <w:rsid w:val="00273DB5"/>
    <w:rsid w:val="002740ED"/>
    <w:rsid w:val="002752F8"/>
    <w:rsid w:val="00275DD1"/>
    <w:rsid w:val="00275EDA"/>
    <w:rsid w:val="00276546"/>
    <w:rsid w:val="002766EE"/>
    <w:rsid w:val="00276B85"/>
    <w:rsid w:val="00276BE6"/>
    <w:rsid w:val="002771D8"/>
    <w:rsid w:val="00277366"/>
    <w:rsid w:val="002776F4"/>
    <w:rsid w:val="002803A9"/>
    <w:rsid w:val="0028045F"/>
    <w:rsid w:val="00280702"/>
    <w:rsid w:val="00280AD1"/>
    <w:rsid w:val="002813BF"/>
    <w:rsid w:val="00281521"/>
    <w:rsid w:val="002819C9"/>
    <w:rsid w:val="00281C89"/>
    <w:rsid w:val="00281E49"/>
    <w:rsid w:val="0028222D"/>
    <w:rsid w:val="00282488"/>
    <w:rsid w:val="0028282F"/>
    <w:rsid w:val="002828D5"/>
    <w:rsid w:val="00282A60"/>
    <w:rsid w:val="00282E96"/>
    <w:rsid w:val="0028306F"/>
    <w:rsid w:val="002838AB"/>
    <w:rsid w:val="00283C63"/>
    <w:rsid w:val="00283D92"/>
    <w:rsid w:val="002840E1"/>
    <w:rsid w:val="0028445F"/>
    <w:rsid w:val="00284612"/>
    <w:rsid w:val="0028468E"/>
    <w:rsid w:val="002849CF"/>
    <w:rsid w:val="00284BC8"/>
    <w:rsid w:val="00284DD7"/>
    <w:rsid w:val="00285549"/>
    <w:rsid w:val="00285554"/>
    <w:rsid w:val="002856E7"/>
    <w:rsid w:val="00285C5D"/>
    <w:rsid w:val="00285CA6"/>
    <w:rsid w:val="00286214"/>
    <w:rsid w:val="00286401"/>
    <w:rsid w:val="002864B6"/>
    <w:rsid w:val="00286D6B"/>
    <w:rsid w:val="00287253"/>
    <w:rsid w:val="00287335"/>
    <w:rsid w:val="00287537"/>
    <w:rsid w:val="00287A1C"/>
    <w:rsid w:val="00290182"/>
    <w:rsid w:val="00290235"/>
    <w:rsid w:val="00290D0F"/>
    <w:rsid w:val="00290D71"/>
    <w:rsid w:val="00290E92"/>
    <w:rsid w:val="00290F8A"/>
    <w:rsid w:val="0029103D"/>
    <w:rsid w:val="00291371"/>
    <w:rsid w:val="00291714"/>
    <w:rsid w:val="00291B27"/>
    <w:rsid w:val="00292191"/>
    <w:rsid w:val="002926FF"/>
    <w:rsid w:val="00292BAD"/>
    <w:rsid w:val="00293207"/>
    <w:rsid w:val="00293633"/>
    <w:rsid w:val="00293704"/>
    <w:rsid w:val="00293937"/>
    <w:rsid w:val="002939EE"/>
    <w:rsid w:val="00293B01"/>
    <w:rsid w:val="00293D5E"/>
    <w:rsid w:val="00293E0E"/>
    <w:rsid w:val="00294266"/>
    <w:rsid w:val="002942F7"/>
    <w:rsid w:val="00294601"/>
    <w:rsid w:val="00294691"/>
    <w:rsid w:val="00294B52"/>
    <w:rsid w:val="00294C5C"/>
    <w:rsid w:val="0029522E"/>
    <w:rsid w:val="002957B9"/>
    <w:rsid w:val="0029593B"/>
    <w:rsid w:val="002959D4"/>
    <w:rsid w:val="00295A18"/>
    <w:rsid w:val="00295BE3"/>
    <w:rsid w:val="00295E74"/>
    <w:rsid w:val="00296065"/>
    <w:rsid w:val="002964BD"/>
    <w:rsid w:val="0029692C"/>
    <w:rsid w:val="00296D54"/>
    <w:rsid w:val="00296E5E"/>
    <w:rsid w:val="00296EFA"/>
    <w:rsid w:val="0029703F"/>
    <w:rsid w:val="00297691"/>
    <w:rsid w:val="00297736"/>
    <w:rsid w:val="00297CE0"/>
    <w:rsid w:val="00297FC5"/>
    <w:rsid w:val="002A029F"/>
    <w:rsid w:val="002A0417"/>
    <w:rsid w:val="002A06CC"/>
    <w:rsid w:val="002A0B90"/>
    <w:rsid w:val="002A11ED"/>
    <w:rsid w:val="002A16D8"/>
    <w:rsid w:val="002A170C"/>
    <w:rsid w:val="002A1BB6"/>
    <w:rsid w:val="002A1BC8"/>
    <w:rsid w:val="002A2055"/>
    <w:rsid w:val="002A2220"/>
    <w:rsid w:val="002A24EE"/>
    <w:rsid w:val="002A2886"/>
    <w:rsid w:val="002A3139"/>
    <w:rsid w:val="002A31E7"/>
    <w:rsid w:val="002A33DC"/>
    <w:rsid w:val="002A3EF2"/>
    <w:rsid w:val="002A4101"/>
    <w:rsid w:val="002A4293"/>
    <w:rsid w:val="002A4542"/>
    <w:rsid w:val="002A4693"/>
    <w:rsid w:val="002A4D38"/>
    <w:rsid w:val="002A539A"/>
    <w:rsid w:val="002A572D"/>
    <w:rsid w:val="002A5AA7"/>
    <w:rsid w:val="002A5B2D"/>
    <w:rsid w:val="002A5E66"/>
    <w:rsid w:val="002A5ED1"/>
    <w:rsid w:val="002A612D"/>
    <w:rsid w:val="002A6185"/>
    <w:rsid w:val="002A6188"/>
    <w:rsid w:val="002A6CC7"/>
    <w:rsid w:val="002A6EBA"/>
    <w:rsid w:val="002A6FFA"/>
    <w:rsid w:val="002A70FF"/>
    <w:rsid w:val="002A7116"/>
    <w:rsid w:val="002A7167"/>
    <w:rsid w:val="002A77C4"/>
    <w:rsid w:val="002A7AB5"/>
    <w:rsid w:val="002A7BDB"/>
    <w:rsid w:val="002A7C96"/>
    <w:rsid w:val="002B0541"/>
    <w:rsid w:val="002B0AAD"/>
    <w:rsid w:val="002B0DED"/>
    <w:rsid w:val="002B0EF6"/>
    <w:rsid w:val="002B1081"/>
    <w:rsid w:val="002B1116"/>
    <w:rsid w:val="002B131A"/>
    <w:rsid w:val="002B1952"/>
    <w:rsid w:val="002B19A2"/>
    <w:rsid w:val="002B1D8F"/>
    <w:rsid w:val="002B1F12"/>
    <w:rsid w:val="002B2257"/>
    <w:rsid w:val="002B291E"/>
    <w:rsid w:val="002B2BED"/>
    <w:rsid w:val="002B2F2E"/>
    <w:rsid w:val="002B369B"/>
    <w:rsid w:val="002B381A"/>
    <w:rsid w:val="002B3D33"/>
    <w:rsid w:val="002B3DEC"/>
    <w:rsid w:val="002B3F96"/>
    <w:rsid w:val="002B40C1"/>
    <w:rsid w:val="002B44DC"/>
    <w:rsid w:val="002B4826"/>
    <w:rsid w:val="002B494D"/>
    <w:rsid w:val="002B4A0A"/>
    <w:rsid w:val="002B4C0F"/>
    <w:rsid w:val="002B4DE7"/>
    <w:rsid w:val="002B4EA9"/>
    <w:rsid w:val="002B4FCC"/>
    <w:rsid w:val="002B5905"/>
    <w:rsid w:val="002B619D"/>
    <w:rsid w:val="002B6A59"/>
    <w:rsid w:val="002B70FA"/>
    <w:rsid w:val="002B7290"/>
    <w:rsid w:val="002B7408"/>
    <w:rsid w:val="002B7588"/>
    <w:rsid w:val="002B7CFD"/>
    <w:rsid w:val="002B7DE5"/>
    <w:rsid w:val="002B7F07"/>
    <w:rsid w:val="002C015E"/>
    <w:rsid w:val="002C0328"/>
    <w:rsid w:val="002C04AC"/>
    <w:rsid w:val="002C0657"/>
    <w:rsid w:val="002C14E7"/>
    <w:rsid w:val="002C1562"/>
    <w:rsid w:val="002C1C12"/>
    <w:rsid w:val="002C1EC5"/>
    <w:rsid w:val="002C210F"/>
    <w:rsid w:val="002C22BB"/>
    <w:rsid w:val="002C2521"/>
    <w:rsid w:val="002C253A"/>
    <w:rsid w:val="002C2569"/>
    <w:rsid w:val="002C2F95"/>
    <w:rsid w:val="002C32DE"/>
    <w:rsid w:val="002C32FA"/>
    <w:rsid w:val="002C3401"/>
    <w:rsid w:val="002C3414"/>
    <w:rsid w:val="002C360F"/>
    <w:rsid w:val="002C3747"/>
    <w:rsid w:val="002C37B1"/>
    <w:rsid w:val="002C3994"/>
    <w:rsid w:val="002C3EA9"/>
    <w:rsid w:val="002C40B9"/>
    <w:rsid w:val="002C44EF"/>
    <w:rsid w:val="002C4520"/>
    <w:rsid w:val="002C4865"/>
    <w:rsid w:val="002C4B55"/>
    <w:rsid w:val="002C4ED3"/>
    <w:rsid w:val="002C5352"/>
    <w:rsid w:val="002C53EE"/>
    <w:rsid w:val="002C57BD"/>
    <w:rsid w:val="002C58C3"/>
    <w:rsid w:val="002C5948"/>
    <w:rsid w:val="002C59A5"/>
    <w:rsid w:val="002C5DB5"/>
    <w:rsid w:val="002C61DA"/>
    <w:rsid w:val="002C64E4"/>
    <w:rsid w:val="002C689F"/>
    <w:rsid w:val="002C68BD"/>
    <w:rsid w:val="002C6981"/>
    <w:rsid w:val="002C6A30"/>
    <w:rsid w:val="002C6A94"/>
    <w:rsid w:val="002C6CB2"/>
    <w:rsid w:val="002C6F1C"/>
    <w:rsid w:val="002C7355"/>
    <w:rsid w:val="002C7440"/>
    <w:rsid w:val="002C75CA"/>
    <w:rsid w:val="002C75FC"/>
    <w:rsid w:val="002C7C8A"/>
    <w:rsid w:val="002C7CB4"/>
    <w:rsid w:val="002C7D06"/>
    <w:rsid w:val="002D0188"/>
    <w:rsid w:val="002D02BD"/>
    <w:rsid w:val="002D048A"/>
    <w:rsid w:val="002D05FC"/>
    <w:rsid w:val="002D0853"/>
    <w:rsid w:val="002D0916"/>
    <w:rsid w:val="002D1215"/>
    <w:rsid w:val="002D19DF"/>
    <w:rsid w:val="002D1D48"/>
    <w:rsid w:val="002D2017"/>
    <w:rsid w:val="002D2528"/>
    <w:rsid w:val="002D2E47"/>
    <w:rsid w:val="002D3219"/>
    <w:rsid w:val="002D3600"/>
    <w:rsid w:val="002D3ADB"/>
    <w:rsid w:val="002D3BF9"/>
    <w:rsid w:val="002D3E68"/>
    <w:rsid w:val="002D4491"/>
    <w:rsid w:val="002D4532"/>
    <w:rsid w:val="002D4C7D"/>
    <w:rsid w:val="002D51A6"/>
    <w:rsid w:val="002D570C"/>
    <w:rsid w:val="002D574A"/>
    <w:rsid w:val="002D5995"/>
    <w:rsid w:val="002D5F09"/>
    <w:rsid w:val="002D62C3"/>
    <w:rsid w:val="002D631C"/>
    <w:rsid w:val="002D639E"/>
    <w:rsid w:val="002D64A5"/>
    <w:rsid w:val="002D69D6"/>
    <w:rsid w:val="002D6A60"/>
    <w:rsid w:val="002D769B"/>
    <w:rsid w:val="002D7804"/>
    <w:rsid w:val="002D7978"/>
    <w:rsid w:val="002D7AB2"/>
    <w:rsid w:val="002E03C7"/>
    <w:rsid w:val="002E0B37"/>
    <w:rsid w:val="002E0D8A"/>
    <w:rsid w:val="002E0DAD"/>
    <w:rsid w:val="002E156E"/>
    <w:rsid w:val="002E1793"/>
    <w:rsid w:val="002E1796"/>
    <w:rsid w:val="002E1886"/>
    <w:rsid w:val="002E1C52"/>
    <w:rsid w:val="002E1E92"/>
    <w:rsid w:val="002E1FCB"/>
    <w:rsid w:val="002E213B"/>
    <w:rsid w:val="002E2200"/>
    <w:rsid w:val="002E2230"/>
    <w:rsid w:val="002E2907"/>
    <w:rsid w:val="002E2A6E"/>
    <w:rsid w:val="002E2A92"/>
    <w:rsid w:val="002E2CFC"/>
    <w:rsid w:val="002E2DD6"/>
    <w:rsid w:val="002E32BA"/>
    <w:rsid w:val="002E3623"/>
    <w:rsid w:val="002E3A88"/>
    <w:rsid w:val="002E3B22"/>
    <w:rsid w:val="002E3C54"/>
    <w:rsid w:val="002E4AEA"/>
    <w:rsid w:val="002E4DDC"/>
    <w:rsid w:val="002E4EAA"/>
    <w:rsid w:val="002E57FA"/>
    <w:rsid w:val="002E5AB0"/>
    <w:rsid w:val="002E5C95"/>
    <w:rsid w:val="002E6284"/>
    <w:rsid w:val="002E68E6"/>
    <w:rsid w:val="002E7447"/>
    <w:rsid w:val="002E757B"/>
    <w:rsid w:val="002F012C"/>
    <w:rsid w:val="002F0136"/>
    <w:rsid w:val="002F072F"/>
    <w:rsid w:val="002F0B06"/>
    <w:rsid w:val="002F0BB4"/>
    <w:rsid w:val="002F0C55"/>
    <w:rsid w:val="002F10B6"/>
    <w:rsid w:val="002F128B"/>
    <w:rsid w:val="002F1422"/>
    <w:rsid w:val="002F166B"/>
    <w:rsid w:val="002F175F"/>
    <w:rsid w:val="002F1CB5"/>
    <w:rsid w:val="002F3686"/>
    <w:rsid w:val="002F3DE3"/>
    <w:rsid w:val="002F4211"/>
    <w:rsid w:val="002F450E"/>
    <w:rsid w:val="002F47B9"/>
    <w:rsid w:val="002F4948"/>
    <w:rsid w:val="002F4D94"/>
    <w:rsid w:val="002F4F7A"/>
    <w:rsid w:val="002F5087"/>
    <w:rsid w:val="002F56CC"/>
    <w:rsid w:val="002F5B33"/>
    <w:rsid w:val="002F5D1F"/>
    <w:rsid w:val="002F643C"/>
    <w:rsid w:val="002F6454"/>
    <w:rsid w:val="002F7981"/>
    <w:rsid w:val="002F7C02"/>
    <w:rsid w:val="002F7C36"/>
    <w:rsid w:val="002F7DB7"/>
    <w:rsid w:val="002F7E5E"/>
    <w:rsid w:val="003003EF"/>
    <w:rsid w:val="003005AD"/>
    <w:rsid w:val="003006F0"/>
    <w:rsid w:val="0030075C"/>
    <w:rsid w:val="003008C8"/>
    <w:rsid w:val="00301280"/>
    <w:rsid w:val="00301313"/>
    <w:rsid w:val="003016DF"/>
    <w:rsid w:val="00301B46"/>
    <w:rsid w:val="00301CA0"/>
    <w:rsid w:val="003021AE"/>
    <w:rsid w:val="00302480"/>
    <w:rsid w:val="00302EE2"/>
    <w:rsid w:val="00303368"/>
    <w:rsid w:val="003038DD"/>
    <w:rsid w:val="003039C5"/>
    <w:rsid w:val="00303A12"/>
    <w:rsid w:val="00303C65"/>
    <w:rsid w:val="00303F02"/>
    <w:rsid w:val="003045D4"/>
    <w:rsid w:val="00304909"/>
    <w:rsid w:val="00304A26"/>
    <w:rsid w:val="0030614C"/>
    <w:rsid w:val="00307323"/>
    <w:rsid w:val="00307332"/>
    <w:rsid w:val="0030745A"/>
    <w:rsid w:val="00307607"/>
    <w:rsid w:val="003078CD"/>
    <w:rsid w:val="00307CD7"/>
    <w:rsid w:val="00310564"/>
    <w:rsid w:val="00310B0C"/>
    <w:rsid w:val="00310BF1"/>
    <w:rsid w:val="00310D69"/>
    <w:rsid w:val="00310D99"/>
    <w:rsid w:val="00311094"/>
    <w:rsid w:val="0031134E"/>
    <w:rsid w:val="00311BF8"/>
    <w:rsid w:val="00311C13"/>
    <w:rsid w:val="0031223E"/>
    <w:rsid w:val="00312848"/>
    <w:rsid w:val="00312AD8"/>
    <w:rsid w:val="00313157"/>
    <w:rsid w:val="00313163"/>
    <w:rsid w:val="0031384A"/>
    <w:rsid w:val="00314676"/>
    <w:rsid w:val="00314997"/>
    <w:rsid w:val="00314CAF"/>
    <w:rsid w:val="0031549A"/>
    <w:rsid w:val="003155C7"/>
    <w:rsid w:val="003155CA"/>
    <w:rsid w:val="00315B33"/>
    <w:rsid w:val="00315B96"/>
    <w:rsid w:val="003165E6"/>
    <w:rsid w:val="00316C24"/>
    <w:rsid w:val="00316C42"/>
    <w:rsid w:val="0031717B"/>
    <w:rsid w:val="00317235"/>
    <w:rsid w:val="0031727F"/>
    <w:rsid w:val="00317BCD"/>
    <w:rsid w:val="00317D67"/>
    <w:rsid w:val="003208A0"/>
    <w:rsid w:val="00320B36"/>
    <w:rsid w:val="00320D78"/>
    <w:rsid w:val="00321075"/>
    <w:rsid w:val="003215B5"/>
    <w:rsid w:val="003218BF"/>
    <w:rsid w:val="003221CF"/>
    <w:rsid w:val="00322642"/>
    <w:rsid w:val="00322801"/>
    <w:rsid w:val="003233ED"/>
    <w:rsid w:val="003234BC"/>
    <w:rsid w:val="00323CF9"/>
    <w:rsid w:val="003240F9"/>
    <w:rsid w:val="003242CC"/>
    <w:rsid w:val="003247D4"/>
    <w:rsid w:val="003247FC"/>
    <w:rsid w:val="00324848"/>
    <w:rsid w:val="003249A9"/>
    <w:rsid w:val="00324D9F"/>
    <w:rsid w:val="00325068"/>
    <w:rsid w:val="00325545"/>
    <w:rsid w:val="00325684"/>
    <w:rsid w:val="00325AC5"/>
    <w:rsid w:val="00325B09"/>
    <w:rsid w:val="00325B74"/>
    <w:rsid w:val="00326380"/>
    <w:rsid w:val="00326C3D"/>
    <w:rsid w:val="003274E6"/>
    <w:rsid w:val="0032791E"/>
    <w:rsid w:val="00327948"/>
    <w:rsid w:val="00327990"/>
    <w:rsid w:val="00327EA2"/>
    <w:rsid w:val="00327F18"/>
    <w:rsid w:val="00327F58"/>
    <w:rsid w:val="0033000F"/>
    <w:rsid w:val="00330303"/>
    <w:rsid w:val="0033037C"/>
    <w:rsid w:val="003304B3"/>
    <w:rsid w:val="0033081E"/>
    <w:rsid w:val="00331544"/>
    <w:rsid w:val="00331AE9"/>
    <w:rsid w:val="00331FCF"/>
    <w:rsid w:val="00332011"/>
    <w:rsid w:val="003321B7"/>
    <w:rsid w:val="003321FF"/>
    <w:rsid w:val="00332518"/>
    <w:rsid w:val="0033274B"/>
    <w:rsid w:val="00332925"/>
    <w:rsid w:val="00332E1A"/>
    <w:rsid w:val="003332ED"/>
    <w:rsid w:val="003333A7"/>
    <w:rsid w:val="003335E7"/>
    <w:rsid w:val="00333AEA"/>
    <w:rsid w:val="00333FFA"/>
    <w:rsid w:val="00334701"/>
    <w:rsid w:val="003348B9"/>
    <w:rsid w:val="003350FD"/>
    <w:rsid w:val="00335336"/>
    <w:rsid w:val="0033592D"/>
    <w:rsid w:val="003359AE"/>
    <w:rsid w:val="00335A60"/>
    <w:rsid w:val="00335C95"/>
    <w:rsid w:val="00335E58"/>
    <w:rsid w:val="003360A4"/>
    <w:rsid w:val="003363AA"/>
    <w:rsid w:val="003366B9"/>
    <w:rsid w:val="00336830"/>
    <w:rsid w:val="003368DC"/>
    <w:rsid w:val="00336F9E"/>
    <w:rsid w:val="00337259"/>
    <w:rsid w:val="003372F6"/>
    <w:rsid w:val="00337338"/>
    <w:rsid w:val="003378AD"/>
    <w:rsid w:val="00337EE1"/>
    <w:rsid w:val="003404D2"/>
    <w:rsid w:val="00340753"/>
    <w:rsid w:val="00340AD7"/>
    <w:rsid w:val="00341214"/>
    <w:rsid w:val="003413AA"/>
    <w:rsid w:val="003416E7"/>
    <w:rsid w:val="00341B15"/>
    <w:rsid w:val="00341CA5"/>
    <w:rsid w:val="00341F65"/>
    <w:rsid w:val="0034236B"/>
    <w:rsid w:val="0034277E"/>
    <w:rsid w:val="003428B2"/>
    <w:rsid w:val="00342961"/>
    <w:rsid w:val="00342CDC"/>
    <w:rsid w:val="00342E92"/>
    <w:rsid w:val="003431B1"/>
    <w:rsid w:val="00343248"/>
    <w:rsid w:val="00343471"/>
    <w:rsid w:val="00343737"/>
    <w:rsid w:val="00343CFF"/>
    <w:rsid w:val="00343D23"/>
    <w:rsid w:val="00343FBC"/>
    <w:rsid w:val="0034408A"/>
    <w:rsid w:val="00344590"/>
    <w:rsid w:val="003447F5"/>
    <w:rsid w:val="00344DC3"/>
    <w:rsid w:val="00344EAC"/>
    <w:rsid w:val="003453AB"/>
    <w:rsid w:val="0034554A"/>
    <w:rsid w:val="003455D4"/>
    <w:rsid w:val="003458F3"/>
    <w:rsid w:val="00345927"/>
    <w:rsid w:val="00345C92"/>
    <w:rsid w:val="00345E2E"/>
    <w:rsid w:val="00346E6E"/>
    <w:rsid w:val="003475BE"/>
    <w:rsid w:val="00347844"/>
    <w:rsid w:val="00347D7F"/>
    <w:rsid w:val="00350584"/>
    <w:rsid w:val="00350A37"/>
    <w:rsid w:val="00350C45"/>
    <w:rsid w:val="00350C72"/>
    <w:rsid w:val="00350CCF"/>
    <w:rsid w:val="00350F88"/>
    <w:rsid w:val="0035126D"/>
    <w:rsid w:val="003515BA"/>
    <w:rsid w:val="00351778"/>
    <w:rsid w:val="00351857"/>
    <w:rsid w:val="00351CA6"/>
    <w:rsid w:val="00351E90"/>
    <w:rsid w:val="0035288E"/>
    <w:rsid w:val="00352C46"/>
    <w:rsid w:val="0035302B"/>
    <w:rsid w:val="00353064"/>
    <w:rsid w:val="00353B4E"/>
    <w:rsid w:val="00353F8B"/>
    <w:rsid w:val="003542EB"/>
    <w:rsid w:val="003545E8"/>
    <w:rsid w:val="00354E2B"/>
    <w:rsid w:val="00355B27"/>
    <w:rsid w:val="00355E96"/>
    <w:rsid w:val="00355F21"/>
    <w:rsid w:val="003561BF"/>
    <w:rsid w:val="003566F0"/>
    <w:rsid w:val="0035722E"/>
    <w:rsid w:val="00357812"/>
    <w:rsid w:val="00357B3C"/>
    <w:rsid w:val="00357DDA"/>
    <w:rsid w:val="00357F30"/>
    <w:rsid w:val="003600AC"/>
    <w:rsid w:val="003600B5"/>
    <w:rsid w:val="003602BB"/>
    <w:rsid w:val="003603EA"/>
    <w:rsid w:val="00360739"/>
    <w:rsid w:val="00360774"/>
    <w:rsid w:val="0036087D"/>
    <w:rsid w:val="00360933"/>
    <w:rsid w:val="00360B31"/>
    <w:rsid w:val="00360DA2"/>
    <w:rsid w:val="00360F88"/>
    <w:rsid w:val="0036107F"/>
    <w:rsid w:val="003610E1"/>
    <w:rsid w:val="00361357"/>
    <w:rsid w:val="003618A0"/>
    <w:rsid w:val="00361A93"/>
    <w:rsid w:val="00361CE3"/>
    <w:rsid w:val="00361F9B"/>
    <w:rsid w:val="003620E7"/>
    <w:rsid w:val="00362445"/>
    <w:rsid w:val="00362799"/>
    <w:rsid w:val="00362FA4"/>
    <w:rsid w:val="003634D3"/>
    <w:rsid w:val="003637E5"/>
    <w:rsid w:val="00363C53"/>
    <w:rsid w:val="00363FF5"/>
    <w:rsid w:val="003644BF"/>
    <w:rsid w:val="00364AB0"/>
    <w:rsid w:val="0036513E"/>
    <w:rsid w:val="00365525"/>
    <w:rsid w:val="0036561C"/>
    <w:rsid w:val="00365B45"/>
    <w:rsid w:val="00365C08"/>
    <w:rsid w:val="00366016"/>
    <w:rsid w:val="00366149"/>
    <w:rsid w:val="00366580"/>
    <w:rsid w:val="00366B44"/>
    <w:rsid w:val="00366EA5"/>
    <w:rsid w:val="00366F24"/>
    <w:rsid w:val="003670C0"/>
    <w:rsid w:val="003671BE"/>
    <w:rsid w:val="003673CB"/>
    <w:rsid w:val="00367A92"/>
    <w:rsid w:val="00367B3E"/>
    <w:rsid w:val="00367DA0"/>
    <w:rsid w:val="00367F41"/>
    <w:rsid w:val="0037036F"/>
    <w:rsid w:val="0037046B"/>
    <w:rsid w:val="0037061F"/>
    <w:rsid w:val="003708F3"/>
    <w:rsid w:val="00371082"/>
    <w:rsid w:val="00371E74"/>
    <w:rsid w:val="00372485"/>
    <w:rsid w:val="0037254E"/>
    <w:rsid w:val="00372B2A"/>
    <w:rsid w:val="00373200"/>
    <w:rsid w:val="00373242"/>
    <w:rsid w:val="00373613"/>
    <w:rsid w:val="00373B64"/>
    <w:rsid w:val="0037419F"/>
    <w:rsid w:val="003746B5"/>
    <w:rsid w:val="00374875"/>
    <w:rsid w:val="003750B4"/>
    <w:rsid w:val="003752C8"/>
    <w:rsid w:val="00375635"/>
    <w:rsid w:val="003757AA"/>
    <w:rsid w:val="00375EF5"/>
    <w:rsid w:val="00375FAA"/>
    <w:rsid w:val="003762E0"/>
    <w:rsid w:val="00376387"/>
    <w:rsid w:val="003765AC"/>
    <w:rsid w:val="003767A5"/>
    <w:rsid w:val="00376C30"/>
    <w:rsid w:val="00376D57"/>
    <w:rsid w:val="0037720C"/>
    <w:rsid w:val="0037746A"/>
    <w:rsid w:val="00377715"/>
    <w:rsid w:val="00377FEF"/>
    <w:rsid w:val="003802BB"/>
    <w:rsid w:val="0038034D"/>
    <w:rsid w:val="003803BB"/>
    <w:rsid w:val="00380438"/>
    <w:rsid w:val="00380B56"/>
    <w:rsid w:val="00380D3D"/>
    <w:rsid w:val="00381A31"/>
    <w:rsid w:val="00381CAB"/>
    <w:rsid w:val="00381D15"/>
    <w:rsid w:val="00381F16"/>
    <w:rsid w:val="003821B5"/>
    <w:rsid w:val="00382643"/>
    <w:rsid w:val="003826E0"/>
    <w:rsid w:val="00382C83"/>
    <w:rsid w:val="00382D2B"/>
    <w:rsid w:val="003835C0"/>
    <w:rsid w:val="00383AD8"/>
    <w:rsid w:val="00383ADA"/>
    <w:rsid w:val="00383B34"/>
    <w:rsid w:val="00383CC6"/>
    <w:rsid w:val="00383FEF"/>
    <w:rsid w:val="0038436D"/>
    <w:rsid w:val="00384455"/>
    <w:rsid w:val="00384509"/>
    <w:rsid w:val="003845CA"/>
    <w:rsid w:val="0038466D"/>
    <w:rsid w:val="00384778"/>
    <w:rsid w:val="0038490C"/>
    <w:rsid w:val="00384BE2"/>
    <w:rsid w:val="00384C98"/>
    <w:rsid w:val="003850DD"/>
    <w:rsid w:val="00385254"/>
    <w:rsid w:val="0038566C"/>
    <w:rsid w:val="0038595F"/>
    <w:rsid w:val="003859BE"/>
    <w:rsid w:val="00385D4D"/>
    <w:rsid w:val="00386514"/>
    <w:rsid w:val="003865B1"/>
    <w:rsid w:val="00386982"/>
    <w:rsid w:val="00386E56"/>
    <w:rsid w:val="00387113"/>
    <w:rsid w:val="00387121"/>
    <w:rsid w:val="0038729C"/>
    <w:rsid w:val="0038731A"/>
    <w:rsid w:val="00387B74"/>
    <w:rsid w:val="00387C28"/>
    <w:rsid w:val="00387C46"/>
    <w:rsid w:val="00390189"/>
    <w:rsid w:val="00390ABF"/>
    <w:rsid w:val="00390D04"/>
    <w:rsid w:val="00390DCE"/>
    <w:rsid w:val="00390F03"/>
    <w:rsid w:val="00390F23"/>
    <w:rsid w:val="00391210"/>
    <w:rsid w:val="00391C81"/>
    <w:rsid w:val="00392576"/>
    <w:rsid w:val="0039272D"/>
    <w:rsid w:val="00392ECB"/>
    <w:rsid w:val="00393139"/>
    <w:rsid w:val="003932CE"/>
    <w:rsid w:val="003934B8"/>
    <w:rsid w:val="003934CA"/>
    <w:rsid w:val="00394164"/>
    <w:rsid w:val="00394290"/>
    <w:rsid w:val="00394811"/>
    <w:rsid w:val="00394934"/>
    <w:rsid w:val="00395685"/>
    <w:rsid w:val="00395E35"/>
    <w:rsid w:val="00396FC4"/>
    <w:rsid w:val="00397236"/>
    <w:rsid w:val="003973A4"/>
    <w:rsid w:val="003973CB"/>
    <w:rsid w:val="00397BA8"/>
    <w:rsid w:val="00397DC6"/>
    <w:rsid w:val="003A010B"/>
    <w:rsid w:val="003A04DB"/>
    <w:rsid w:val="003A06EE"/>
    <w:rsid w:val="003A09D8"/>
    <w:rsid w:val="003A0C6D"/>
    <w:rsid w:val="003A0DB8"/>
    <w:rsid w:val="003A125E"/>
    <w:rsid w:val="003A130A"/>
    <w:rsid w:val="003A1815"/>
    <w:rsid w:val="003A18E1"/>
    <w:rsid w:val="003A1E74"/>
    <w:rsid w:val="003A1F35"/>
    <w:rsid w:val="003A216A"/>
    <w:rsid w:val="003A2294"/>
    <w:rsid w:val="003A2873"/>
    <w:rsid w:val="003A28DC"/>
    <w:rsid w:val="003A292F"/>
    <w:rsid w:val="003A2A8A"/>
    <w:rsid w:val="003A34F3"/>
    <w:rsid w:val="003A4236"/>
    <w:rsid w:val="003A4386"/>
    <w:rsid w:val="003A4841"/>
    <w:rsid w:val="003A4986"/>
    <w:rsid w:val="003A4CBB"/>
    <w:rsid w:val="003A53AD"/>
    <w:rsid w:val="003A549A"/>
    <w:rsid w:val="003A5828"/>
    <w:rsid w:val="003A5947"/>
    <w:rsid w:val="003A59ED"/>
    <w:rsid w:val="003A5F5B"/>
    <w:rsid w:val="003A645A"/>
    <w:rsid w:val="003A68CB"/>
    <w:rsid w:val="003A6AB5"/>
    <w:rsid w:val="003A6ADB"/>
    <w:rsid w:val="003A7120"/>
    <w:rsid w:val="003A760C"/>
    <w:rsid w:val="003A77CC"/>
    <w:rsid w:val="003A789A"/>
    <w:rsid w:val="003A7BAF"/>
    <w:rsid w:val="003A7C74"/>
    <w:rsid w:val="003B04E0"/>
    <w:rsid w:val="003B0B32"/>
    <w:rsid w:val="003B0B57"/>
    <w:rsid w:val="003B0C9D"/>
    <w:rsid w:val="003B0FDC"/>
    <w:rsid w:val="003B1074"/>
    <w:rsid w:val="003B115E"/>
    <w:rsid w:val="003B12EC"/>
    <w:rsid w:val="003B191B"/>
    <w:rsid w:val="003B1CAA"/>
    <w:rsid w:val="003B1F5F"/>
    <w:rsid w:val="003B23E1"/>
    <w:rsid w:val="003B26AE"/>
    <w:rsid w:val="003B2801"/>
    <w:rsid w:val="003B2D24"/>
    <w:rsid w:val="003B30B8"/>
    <w:rsid w:val="003B319F"/>
    <w:rsid w:val="003B374B"/>
    <w:rsid w:val="003B3D67"/>
    <w:rsid w:val="003B4268"/>
    <w:rsid w:val="003B46D3"/>
    <w:rsid w:val="003B471E"/>
    <w:rsid w:val="003B4CCE"/>
    <w:rsid w:val="003B5126"/>
    <w:rsid w:val="003B520F"/>
    <w:rsid w:val="003B5304"/>
    <w:rsid w:val="003B5368"/>
    <w:rsid w:val="003B53D5"/>
    <w:rsid w:val="003B5717"/>
    <w:rsid w:val="003B5CA8"/>
    <w:rsid w:val="003B6566"/>
    <w:rsid w:val="003B65A2"/>
    <w:rsid w:val="003B6A4D"/>
    <w:rsid w:val="003B6D5F"/>
    <w:rsid w:val="003B730F"/>
    <w:rsid w:val="003B7673"/>
    <w:rsid w:val="003B7852"/>
    <w:rsid w:val="003B7ABD"/>
    <w:rsid w:val="003B7D2A"/>
    <w:rsid w:val="003C0132"/>
    <w:rsid w:val="003C03A2"/>
    <w:rsid w:val="003C0DBC"/>
    <w:rsid w:val="003C1253"/>
    <w:rsid w:val="003C125C"/>
    <w:rsid w:val="003C1919"/>
    <w:rsid w:val="003C19DC"/>
    <w:rsid w:val="003C1D9C"/>
    <w:rsid w:val="003C1DEA"/>
    <w:rsid w:val="003C297E"/>
    <w:rsid w:val="003C32A6"/>
    <w:rsid w:val="003C35C4"/>
    <w:rsid w:val="003C3B05"/>
    <w:rsid w:val="003C410E"/>
    <w:rsid w:val="003C43A9"/>
    <w:rsid w:val="003C4B23"/>
    <w:rsid w:val="003C4C25"/>
    <w:rsid w:val="003C4EF6"/>
    <w:rsid w:val="003C5202"/>
    <w:rsid w:val="003C531B"/>
    <w:rsid w:val="003C618F"/>
    <w:rsid w:val="003C6272"/>
    <w:rsid w:val="003C64AD"/>
    <w:rsid w:val="003C69B2"/>
    <w:rsid w:val="003C6C9E"/>
    <w:rsid w:val="003C6F8E"/>
    <w:rsid w:val="003C714E"/>
    <w:rsid w:val="003C77C9"/>
    <w:rsid w:val="003C77E0"/>
    <w:rsid w:val="003C78EA"/>
    <w:rsid w:val="003C7D74"/>
    <w:rsid w:val="003D01E3"/>
    <w:rsid w:val="003D0257"/>
    <w:rsid w:val="003D07FB"/>
    <w:rsid w:val="003D08DC"/>
    <w:rsid w:val="003D0A3D"/>
    <w:rsid w:val="003D0F3F"/>
    <w:rsid w:val="003D17D7"/>
    <w:rsid w:val="003D183A"/>
    <w:rsid w:val="003D19DD"/>
    <w:rsid w:val="003D2678"/>
    <w:rsid w:val="003D2F51"/>
    <w:rsid w:val="003D2F75"/>
    <w:rsid w:val="003D3044"/>
    <w:rsid w:val="003D30EF"/>
    <w:rsid w:val="003D3259"/>
    <w:rsid w:val="003D32E8"/>
    <w:rsid w:val="003D3608"/>
    <w:rsid w:val="003D379E"/>
    <w:rsid w:val="003D37C6"/>
    <w:rsid w:val="003D38B9"/>
    <w:rsid w:val="003D39CF"/>
    <w:rsid w:val="003D3A85"/>
    <w:rsid w:val="003D3F6E"/>
    <w:rsid w:val="003D4016"/>
    <w:rsid w:val="003D4443"/>
    <w:rsid w:val="003D4996"/>
    <w:rsid w:val="003D49A6"/>
    <w:rsid w:val="003D4A3D"/>
    <w:rsid w:val="003D5254"/>
    <w:rsid w:val="003D5370"/>
    <w:rsid w:val="003D55D5"/>
    <w:rsid w:val="003D5A22"/>
    <w:rsid w:val="003D632C"/>
    <w:rsid w:val="003D68F1"/>
    <w:rsid w:val="003D6916"/>
    <w:rsid w:val="003D6EA9"/>
    <w:rsid w:val="003D71A3"/>
    <w:rsid w:val="003D7BE8"/>
    <w:rsid w:val="003D7C6E"/>
    <w:rsid w:val="003D7E71"/>
    <w:rsid w:val="003D7F68"/>
    <w:rsid w:val="003D7FAC"/>
    <w:rsid w:val="003E00A6"/>
    <w:rsid w:val="003E0226"/>
    <w:rsid w:val="003E0400"/>
    <w:rsid w:val="003E08D6"/>
    <w:rsid w:val="003E0A99"/>
    <w:rsid w:val="003E1101"/>
    <w:rsid w:val="003E149A"/>
    <w:rsid w:val="003E1695"/>
    <w:rsid w:val="003E19B7"/>
    <w:rsid w:val="003E206B"/>
    <w:rsid w:val="003E22C5"/>
    <w:rsid w:val="003E2342"/>
    <w:rsid w:val="003E27C2"/>
    <w:rsid w:val="003E2B8A"/>
    <w:rsid w:val="003E2DAE"/>
    <w:rsid w:val="003E3559"/>
    <w:rsid w:val="003E3B37"/>
    <w:rsid w:val="003E3FBA"/>
    <w:rsid w:val="003E3FDF"/>
    <w:rsid w:val="003E413E"/>
    <w:rsid w:val="003E4159"/>
    <w:rsid w:val="003E4246"/>
    <w:rsid w:val="003E49F3"/>
    <w:rsid w:val="003E4A13"/>
    <w:rsid w:val="003E4FD4"/>
    <w:rsid w:val="003E5705"/>
    <w:rsid w:val="003E5FDA"/>
    <w:rsid w:val="003E6473"/>
    <w:rsid w:val="003E6710"/>
    <w:rsid w:val="003E6765"/>
    <w:rsid w:val="003E69A6"/>
    <w:rsid w:val="003E6CCC"/>
    <w:rsid w:val="003E6CF6"/>
    <w:rsid w:val="003E6D58"/>
    <w:rsid w:val="003E6F65"/>
    <w:rsid w:val="003E7410"/>
    <w:rsid w:val="003E7566"/>
    <w:rsid w:val="003E7BA2"/>
    <w:rsid w:val="003E7EB0"/>
    <w:rsid w:val="003F04B7"/>
    <w:rsid w:val="003F0C5A"/>
    <w:rsid w:val="003F0C92"/>
    <w:rsid w:val="003F10EE"/>
    <w:rsid w:val="003F14F4"/>
    <w:rsid w:val="003F16F6"/>
    <w:rsid w:val="003F17EB"/>
    <w:rsid w:val="003F1A30"/>
    <w:rsid w:val="003F1F82"/>
    <w:rsid w:val="003F218E"/>
    <w:rsid w:val="003F2430"/>
    <w:rsid w:val="003F2472"/>
    <w:rsid w:val="003F2482"/>
    <w:rsid w:val="003F248B"/>
    <w:rsid w:val="003F259F"/>
    <w:rsid w:val="003F265F"/>
    <w:rsid w:val="003F2699"/>
    <w:rsid w:val="003F2C91"/>
    <w:rsid w:val="003F2CA7"/>
    <w:rsid w:val="003F2CC8"/>
    <w:rsid w:val="003F3244"/>
    <w:rsid w:val="003F3297"/>
    <w:rsid w:val="003F3507"/>
    <w:rsid w:val="003F37A1"/>
    <w:rsid w:val="003F3841"/>
    <w:rsid w:val="003F3B7E"/>
    <w:rsid w:val="003F43DE"/>
    <w:rsid w:val="003F46FC"/>
    <w:rsid w:val="003F4B5E"/>
    <w:rsid w:val="003F4B80"/>
    <w:rsid w:val="003F4DC7"/>
    <w:rsid w:val="003F5050"/>
    <w:rsid w:val="003F5235"/>
    <w:rsid w:val="003F5274"/>
    <w:rsid w:val="003F5663"/>
    <w:rsid w:val="003F628D"/>
    <w:rsid w:val="003F692F"/>
    <w:rsid w:val="003F7378"/>
    <w:rsid w:val="003F77BF"/>
    <w:rsid w:val="003F7A6E"/>
    <w:rsid w:val="003F7C76"/>
    <w:rsid w:val="003F7E3C"/>
    <w:rsid w:val="00400211"/>
    <w:rsid w:val="004004F2"/>
    <w:rsid w:val="00400943"/>
    <w:rsid w:val="00400A16"/>
    <w:rsid w:val="00400A7B"/>
    <w:rsid w:val="00400B15"/>
    <w:rsid w:val="00400C75"/>
    <w:rsid w:val="004012D8"/>
    <w:rsid w:val="00401E19"/>
    <w:rsid w:val="0040202F"/>
    <w:rsid w:val="00402133"/>
    <w:rsid w:val="00402652"/>
    <w:rsid w:val="004027E4"/>
    <w:rsid w:val="00403070"/>
    <w:rsid w:val="00403D2A"/>
    <w:rsid w:val="004041C1"/>
    <w:rsid w:val="004044E4"/>
    <w:rsid w:val="00404753"/>
    <w:rsid w:val="004047DA"/>
    <w:rsid w:val="004048FE"/>
    <w:rsid w:val="00404ADB"/>
    <w:rsid w:val="00404D68"/>
    <w:rsid w:val="0040544A"/>
    <w:rsid w:val="0040569F"/>
    <w:rsid w:val="00405CE3"/>
    <w:rsid w:val="00405EBA"/>
    <w:rsid w:val="0040602E"/>
    <w:rsid w:val="004065B5"/>
    <w:rsid w:val="00406ADF"/>
    <w:rsid w:val="00406F08"/>
    <w:rsid w:val="004074FA"/>
    <w:rsid w:val="004078EC"/>
    <w:rsid w:val="00407B32"/>
    <w:rsid w:val="00407E51"/>
    <w:rsid w:val="00407F95"/>
    <w:rsid w:val="004102B3"/>
    <w:rsid w:val="004105AD"/>
    <w:rsid w:val="0041071D"/>
    <w:rsid w:val="00410A6D"/>
    <w:rsid w:val="00410CA4"/>
    <w:rsid w:val="00410CC1"/>
    <w:rsid w:val="00410E40"/>
    <w:rsid w:val="00411137"/>
    <w:rsid w:val="00411294"/>
    <w:rsid w:val="00411405"/>
    <w:rsid w:val="00411825"/>
    <w:rsid w:val="004118DD"/>
    <w:rsid w:val="00412768"/>
    <w:rsid w:val="00412E4D"/>
    <w:rsid w:val="00413772"/>
    <w:rsid w:val="00413C65"/>
    <w:rsid w:val="00413D0C"/>
    <w:rsid w:val="00414494"/>
    <w:rsid w:val="00414AFC"/>
    <w:rsid w:val="00414C78"/>
    <w:rsid w:val="00414F57"/>
    <w:rsid w:val="00414FFF"/>
    <w:rsid w:val="004151A7"/>
    <w:rsid w:val="00415310"/>
    <w:rsid w:val="004153E4"/>
    <w:rsid w:val="00415451"/>
    <w:rsid w:val="0041567B"/>
    <w:rsid w:val="00415C9A"/>
    <w:rsid w:val="00415D85"/>
    <w:rsid w:val="00415DFD"/>
    <w:rsid w:val="004163C0"/>
    <w:rsid w:val="004165B4"/>
    <w:rsid w:val="00416849"/>
    <w:rsid w:val="004169A4"/>
    <w:rsid w:val="004177A2"/>
    <w:rsid w:val="004179D9"/>
    <w:rsid w:val="00420166"/>
    <w:rsid w:val="00420515"/>
    <w:rsid w:val="00420F38"/>
    <w:rsid w:val="00421158"/>
    <w:rsid w:val="00421661"/>
    <w:rsid w:val="00421709"/>
    <w:rsid w:val="00421ACA"/>
    <w:rsid w:val="00421FAA"/>
    <w:rsid w:val="004221D5"/>
    <w:rsid w:val="00422290"/>
    <w:rsid w:val="00422718"/>
    <w:rsid w:val="004235E7"/>
    <w:rsid w:val="00423763"/>
    <w:rsid w:val="00423AB7"/>
    <w:rsid w:val="004240D9"/>
    <w:rsid w:val="00424200"/>
    <w:rsid w:val="00424A6A"/>
    <w:rsid w:val="00424A6F"/>
    <w:rsid w:val="00424B25"/>
    <w:rsid w:val="00424B56"/>
    <w:rsid w:val="00424B7F"/>
    <w:rsid w:val="00424F77"/>
    <w:rsid w:val="00425E89"/>
    <w:rsid w:val="00425FAB"/>
    <w:rsid w:val="00426A17"/>
    <w:rsid w:val="00426CFA"/>
    <w:rsid w:val="00427375"/>
    <w:rsid w:val="0042762F"/>
    <w:rsid w:val="00427680"/>
    <w:rsid w:val="00427CCF"/>
    <w:rsid w:val="00427DC7"/>
    <w:rsid w:val="004301E7"/>
    <w:rsid w:val="0043055C"/>
    <w:rsid w:val="00430A47"/>
    <w:rsid w:val="00430C5E"/>
    <w:rsid w:val="004313FB"/>
    <w:rsid w:val="00431613"/>
    <w:rsid w:val="00431792"/>
    <w:rsid w:val="00431DCA"/>
    <w:rsid w:val="00431E35"/>
    <w:rsid w:val="00431E8B"/>
    <w:rsid w:val="00432196"/>
    <w:rsid w:val="0043226D"/>
    <w:rsid w:val="0043231A"/>
    <w:rsid w:val="0043247C"/>
    <w:rsid w:val="00432840"/>
    <w:rsid w:val="0043297A"/>
    <w:rsid w:val="00432CA1"/>
    <w:rsid w:val="00432D7E"/>
    <w:rsid w:val="00432EB2"/>
    <w:rsid w:val="0043332F"/>
    <w:rsid w:val="00434876"/>
    <w:rsid w:val="00434C07"/>
    <w:rsid w:val="00434EA3"/>
    <w:rsid w:val="004352EC"/>
    <w:rsid w:val="0043599E"/>
    <w:rsid w:val="004368C6"/>
    <w:rsid w:val="0043697A"/>
    <w:rsid w:val="00436AC2"/>
    <w:rsid w:val="00436CE8"/>
    <w:rsid w:val="0043714F"/>
    <w:rsid w:val="004373DC"/>
    <w:rsid w:val="004375D9"/>
    <w:rsid w:val="0044006D"/>
    <w:rsid w:val="004401E6"/>
    <w:rsid w:val="00440C88"/>
    <w:rsid w:val="00440CC7"/>
    <w:rsid w:val="00440EAF"/>
    <w:rsid w:val="00440FA3"/>
    <w:rsid w:val="00442798"/>
    <w:rsid w:val="0044286A"/>
    <w:rsid w:val="00443189"/>
    <w:rsid w:val="00443291"/>
    <w:rsid w:val="00443370"/>
    <w:rsid w:val="004438B5"/>
    <w:rsid w:val="00443D9E"/>
    <w:rsid w:val="0044408E"/>
    <w:rsid w:val="00444646"/>
    <w:rsid w:val="00444B04"/>
    <w:rsid w:val="00444F9E"/>
    <w:rsid w:val="0044524E"/>
    <w:rsid w:val="004452CB"/>
    <w:rsid w:val="00445302"/>
    <w:rsid w:val="004458F1"/>
    <w:rsid w:val="00445F0B"/>
    <w:rsid w:val="0044612A"/>
    <w:rsid w:val="00446847"/>
    <w:rsid w:val="00446D9B"/>
    <w:rsid w:val="00447037"/>
    <w:rsid w:val="00447155"/>
    <w:rsid w:val="004471FF"/>
    <w:rsid w:val="00447762"/>
    <w:rsid w:val="0044794E"/>
    <w:rsid w:val="00447C74"/>
    <w:rsid w:val="00447E52"/>
    <w:rsid w:val="00450041"/>
    <w:rsid w:val="004501A0"/>
    <w:rsid w:val="004502A2"/>
    <w:rsid w:val="004503FC"/>
    <w:rsid w:val="0045051C"/>
    <w:rsid w:val="00450643"/>
    <w:rsid w:val="0045097E"/>
    <w:rsid w:val="00450DCC"/>
    <w:rsid w:val="00450E6D"/>
    <w:rsid w:val="00450FFE"/>
    <w:rsid w:val="0045124D"/>
    <w:rsid w:val="0045160D"/>
    <w:rsid w:val="004518F9"/>
    <w:rsid w:val="00451EDE"/>
    <w:rsid w:val="00452091"/>
    <w:rsid w:val="0045211A"/>
    <w:rsid w:val="004521A1"/>
    <w:rsid w:val="00452901"/>
    <w:rsid w:val="00452BAB"/>
    <w:rsid w:val="004534D7"/>
    <w:rsid w:val="004542E5"/>
    <w:rsid w:val="00454596"/>
    <w:rsid w:val="00454877"/>
    <w:rsid w:val="004551E7"/>
    <w:rsid w:val="004555EC"/>
    <w:rsid w:val="0045598D"/>
    <w:rsid w:val="00455A05"/>
    <w:rsid w:val="00455D60"/>
    <w:rsid w:val="00455E70"/>
    <w:rsid w:val="00455E7F"/>
    <w:rsid w:val="0045604F"/>
    <w:rsid w:val="0045605D"/>
    <w:rsid w:val="00456433"/>
    <w:rsid w:val="0045662B"/>
    <w:rsid w:val="004567ED"/>
    <w:rsid w:val="00456E13"/>
    <w:rsid w:val="00457502"/>
    <w:rsid w:val="00457766"/>
    <w:rsid w:val="0045799F"/>
    <w:rsid w:val="00457A4D"/>
    <w:rsid w:val="00457C5C"/>
    <w:rsid w:val="00457EAA"/>
    <w:rsid w:val="00457F04"/>
    <w:rsid w:val="004602C5"/>
    <w:rsid w:val="0046088C"/>
    <w:rsid w:val="00460C66"/>
    <w:rsid w:val="0046119E"/>
    <w:rsid w:val="0046135B"/>
    <w:rsid w:val="004615B7"/>
    <w:rsid w:val="0046168D"/>
    <w:rsid w:val="004617B5"/>
    <w:rsid w:val="00461BD6"/>
    <w:rsid w:val="00461D47"/>
    <w:rsid w:val="00461D92"/>
    <w:rsid w:val="00461ED8"/>
    <w:rsid w:val="004624AA"/>
    <w:rsid w:val="004629B4"/>
    <w:rsid w:val="00463A65"/>
    <w:rsid w:val="00463F04"/>
    <w:rsid w:val="004646DB"/>
    <w:rsid w:val="004651B1"/>
    <w:rsid w:val="00465408"/>
    <w:rsid w:val="00465574"/>
    <w:rsid w:val="00465725"/>
    <w:rsid w:val="004659C4"/>
    <w:rsid w:val="00466184"/>
    <w:rsid w:val="0046660F"/>
    <w:rsid w:val="00466A9E"/>
    <w:rsid w:val="00466DD3"/>
    <w:rsid w:val="00466DDA"/>
    <w:rsid w:val="00466E9A"/>
    <w:rsid w:val="004673D3"/>
    <w:rsid w:val="00467507"/>
    <w:rsid w:val="00467651"/>
    <w:rsid w:val="00467AAA"/>
    <w:rsid w:val="00467DB8"/>
    <w:rsid w:val="004700C5"/>
    <w:rsid w:val="00470792"/>
    <w:rsid w:val="004714A2"/>
    <w:rsid w:val="00471595"/>
    <w:rsid w:val="004718CC"/>
    <w:rsid w:val="00471E36"/>
    <w:rsid w:val="00472ECC"/>
    <w:rsid w:val="00472F67"/>
    <w:rsid w:val="0047313F"/>
    <w:rsid w:val="004732CE"/>
    <w:rsid w:val="00473475"/>
    <w:rsid w:val="0047383B"/>
    <w:rsid w:val="00473991"/>
    <w:rsid w:val="00473B52"/>
    <w:rsid w:val="00473F72"/>
    <w:rsid w:val="00473F85"/>
    <w:rsid w:val="0047410E"/>
    <w:rsid w:val="0047459A"/>
    <w:rsid w:val="004746FE"/>
    <w:rsid w:val="00474A22"/>
    <w:rsid w:val="00474A73"/>
    <w:rsid w:val="0047508A"/>
    <w:rsid w:val="0047527A"/>
    <w:rsid w:val="004754EF"/>
    <w:rsid w:val="00475875"/>
    <w:rsid w:val="00475ADB"/>
    <w:rsid w:val="00476195"/>
    <w:rsid w:val="00476411"/>
    <w:rsid w:val="0047696E"/>
    <w:rsid w:val="0047698B"/>
    <w:rsid w:val="00476A53"/>
    <w:rsid w:val="00476DB9"/>
    <w:rsid w:val="00477123"/>
    <w:rsid w:val="00477154"/>
    <w:rsid w:val="004771C3"/>
    <w:rsid w:val="0047723C"/>
    <w:rsid w:val="004776F6"/>
    <w:rsid w:val="0048005A"/>
    <w:rsid w:val="00480A08"/>
    <w:rsid w:val="00480A48"/>
    <w:rsid w:val="00480CED"/>
    <w:rsid w:val="00481187"/>
    <w:rsid w:val="00481695"/>
    <w:rsid w:val="00481BE5"/>
    <w:rsid w:val="00482158"/>
    <w:rsid w:val="00482233"/>
    <w:rsid w:val="00482B64"/>
    <w:rsid w:val="00482C0E"/>
    <w:rsid w:val="00482C23"/>
    <w:rsid w:val="004834FC"/>
    <w:rsid w:val="00483883"/>
    <w:rsid w:val="00483DC5"/>
    <w:rsid w:val="00483E07"/>
    <w:rsid w:val="00483F4A"/>
    <w:rsid w:val="00484699"/>
    <w:rsid w:val="00485287"/>
    <w:rsid w:val="0048534A"/>
    <w:rsid w:val="00485BA8"/>
    <w:rsid w:val="00485CBC"/>
    <w:rsid w:val="004860D2"/>
    <w:rsid w:val="004860E8"/>
    <w:rsid w:val="0048634F"/>
    <w:rsid w:val="004869C3"/>
    <w:rsid w:val="00486CE4"/>
    <w:rsid w:val="00486DA2"/>
    <w:rsid w:val="00486FD3"/>
    <w:rsid w:val="004871BD"/>
    <w:rsid w:val="00487258"/>
    <w:rsid w:val="0048737F"/>
    <w:rsid w:val="004878C5"/>
    <w:rsid w:val="00490734"/>
    <w:rsid w:val="0049086C"/>
    <w:rsid w:val="00490C3B"/>
    <w:rsid w:val="004912DC"/>
    <w:rsid w:val="00491821"/>
    <w:rsid w:val="0049198C"/>
    <w:rsid w:val="004919C5"/>
    <w:rsid w:val="00491C6D"/>
    <w:rsid w:val="00491C9C"/>
    <w:rsid w:val="00491DC5"/>
    <w:rsid w:val="00491EF7"/>
    <w:rsid w:val="00492012"/>
    <w:rsid w:val="004924F3"/>
    <w:rsid w:val="0049283D"/>
    <w:rsid w:val="0049287B"/>
    <w:rsid w:val="004929F9"/>
    <w:rsid w:val="00492D9F"/>
    <w:rsid w:val="00493062"/>
    <w:rsid w:val="00493098"/>
    <w:rsid w:val="00493441"/>
    <w:rsid w:val="00493811"/>
    <w:rsid w:val="00493B5D"/>
    <w:rsid w:val="00493E2E"/>
    <w:rsid w:val="00493EE3"/>
    <w:rsid w:val="0049480D"/>
    <w:rsid w:val="00494BB9"/>
    <w:rsid w:val="00494C76"/>
    <w:rsid w:val="0049500A"/>
    <w:rsid w:val="00495210"/>
    <w:rsid w:val="004952AE"/>
    <w:rsid w:val="00495390"/>
    <w:rsid w:val="00495639"/>
    <w:rsid w:val="004959E5"/>
    <w:rsid w:val="00495A96"/>
    <w:rsid w:val="00495AEC"/>
    <w:rsid w:val="00495BB3"/>
    <w:rsid w:val="00495BFE"/>
    <w:rsid w:val="00495FCA"/>
    <w:rsid w:val="00496338"/>
    <w:rsid w:val="00496766"/>
    <w:rsid w:val="00496BAE"/>
    <w:rsid w:val="00497051"/>
    <w:rsid w:val="00497349"/>
    <w:rsid w:val="00497771"/>
    <w:rsid w:val="004978DD"/>
    <w:rsid w:val="00497A4A"/>
    <w:rsid w:val="00497F93"/>
    <w:rsid w:val="004A053F"/>
    <w:rsid w:val="004A05BC"/>
    <w:rsid w:val="004A0728"/>
    <w:rsid w:val="004A0A10"/>
    <w:rsid w:val="004A0BF8"/>
    <w:rsid w:val="004A0EC1"/>
    <w:rsid w:val="004A0F9E"/>
    <w:rsid w:val="004A10FB"/>
    <w:rsid w:val="004A12E3"/>
    <w:rsid w:val="004A1597"/>
    <w:rsid w:val="004A15B9"/>
    <w:rsid w:val="004A1659"/>
    <w:rsid w:val="004A18AB"/>
    <w:rsid w:val="004A21ED"/>
    <w:rsid w:val="004A23F6"/>
    <w:rsid w:val="004A29A2"/>
    <w:rsid w:val="004A29EC"/>
    <w:rsid w:val="004A2BF5"/>
    <w:rsid w:val="004A2F78"/>
    <w:rsid w:val="004A2F93"/>
    <w:rsid w:val="004A3036"/>
    <w:rsid w:val="004A36BB"/>
    <w:rsid w:val="004A4153"/>
    <w:rsid w:val="004A41AA"/>
    <w:rsid w:val="004A49FD"/>
    <w:rsid w:val="004A4E4E"/>
    <w:rsid w:val="004A4E78"/>
    <w:rsid w:val="004A4FF8"/>
    <w:rsid w:val="004A504A"/>
    <w:rsid w:val="004A50A3"/>
    <w:rsid w:val="004A5499"/>
    <w:rsid w:val="004A56BB"/>
    <w:rsid w:val="004A5862"/>
    <w:rsid w:val="004A5A1E"/>
    <w:rsid w:val="004A5E00"/>
    <w:rsid w:val="004A5FDD"/>
    <w:rsid w:val="004A63A5"/>
    <w:rsid w:val="004A63B5"/>
    <w:rsid w:val="004A68D1"/>
    <w:rsid w:val="004A6929"/>
    <w:rsid w:val="004A6CDE"/>
    <w:rsid w:val="004A6E4C"/>
    <w:rsid w:val="004A6EBD"/>
    <w:rsid w:val="004A6EEF"/>
    <w:rsid w:val="004A7341"/>
    <w:rsid w:val="004A7EB2"/>
    <w:rsid w:val="004B02AD"/>
    <w:rsid w:val="004B063F"/>
    <w:rsid w:val="004B065E"/>
    <w:rsid w:val="004B0F1D"/>
    <w:rsid w:val="004B0F73"/>
    <w:rsid w:val="004B1052"/>
    <w:rsid w:val="004B14A5"/>
    <w:rsid w:val="004B1751"/>
    <w:rsid w:val="004B1DFC"/>
    <w:rsid w:val="004B1FC5"/>
    <w:rsid w:val="004B214B"/>
    <w:rsid w:val="004B3010"/>
    <w:rsid w:val="004B3099"/>
    <w:rsid w:val="004B334B"/>
    <w:rsid w:val="004B35BB"/>
    <w:rsid w:val="004B37A3"/>
    <w:rsid w:val="004B393F"/>
    <w:rsid w:val="004B3A24"/>
    <w:rsid w:val="004B3B8D"/>
    <w:rsid w:val="004B3E09"/>
    <w:rsid w:val="004B3F53"/>
    <w:rsid w:val="004B446D"/>
    <w:rsid w:val="004B448A"/>
    <w:rsid w:val="004B4993"/>
    <w:rsid w:val="004B4CC8"/>
    <w:rsid w:val="004B5029"/>
    <w:rsid w:val="004B516D"/>
    <w:rsid w:val="004B519E"/>
    <w:rsid w:val="004B51A0"/>
    <w:rsid w:val="004B54E9"/>
    <w:rsid w:val="004B5603"/>
    <w:rsid w:val="004B56FD"/>
    <w:rsid w:val="004B6199"/>
    <w:rsid w:val="004B6295"/>
    <w:rsid w:val="004B64B7"/>
    <w:rsid w:val="004B65A9"/>
    <w:rsid w:val="004B71C9"/>
    <w:rsid w:val="004B71E8"/>
    <w:rsid w:val="004B72C3"/>
    <w:rsid w:val="004B7531"/>
    <w:rsid w:val="004B75C7"/>
    <w:rsid w:val="004B78A1"/>
    <w:rsid w:val="004B79C2"/>
    <w:rsid w:val="004C0225"/>
    <w:rsid w:val="004C0253"/>
    <w:rsid w:val="004C03AD"/>
    <w:rsid w:val="004C05E2"/>
    <w:rsid w:val="004C0AFC"/>
    <w:rsid w:val="004C0CF8"/>
    <w:rsid w:val="004C110B"/>
    <w:rsid w:val="004C1638"/>
    <w:rsid w:val="004C180A"/>
    <w:rsid w:val="004C1B53"/>
    <w:rsid w:val="004C22D2"/>
    <w:rsid w:val="004C23E1"/>
    <w:rsid w:val="004C283C"/>
    <w:rsid w:val="004C297B"/>
    <w:rsid w:val="004C2A8B"/>
    <w:rsid w:val="004C2AB9"/>
    <w:rsid w:val="004C2B05"/>
    <w:rsid w:val="004C2D31"/>
    <w:rsid w:val="004C3210"/>
    <w:rsid w:val="004C336E"/>
    <w:rsid w:val="004C386A"/>
    <w:rsid w:val="004C3EDC"/>
    <w:rsid w:val="004C3FE3"/>
    <w:rsid w:val="004C4046"/>
    <w:rsid w:val="004C41E5"/>
    <w:rsid w:val="004C4A36"/>
    <w:rsid w:val="004C4F33"/>
    <w:rsid w:val="004C506A"/>
    <w:rsid w:val="004C59CC"/>
    <w:rsid w:val="004C5C77"/>
    <w:rsid w:val="004C6570"/>
    <w:rsid w:val="004C6BFF"/>
    <w:rsid w:val="004C73EF"/>
    <w:rsid w:val="004C7505"/>
    <w:rsid w:val="004C765C"/>
    <w:rsid w:val="004C7804"/>
    <w:rsid w:val="004C7C15"/>
    <w:rsid w:val="004C7E04"/>
    <w:rsid w:val="004D01EE"/>
    <w:rsid w:val="004D05C7"/>
    <w:rsid w:val="004D0737"/>
    <w:rsid w:val="004D08DB"/>
    <w:rsid w:val="004D0DA5"/>
    <w:rsid w:val="004D0E46"/>
    <w:rsid w:val="004D0ED5"/>
    <w:rsid w:val="004D0F4E"/>
    <w:rsid w:val="004D14B4"/>
    <w:rsid w:val="004D1A17"/>
    <w:rsid w:val="004D1B59"/>
    <w:rsid w:val="004D1C26"/>
    <w:rsid w:val="004D23E6"/>
    <w:rsid w:val="004D2846"/>
    <w:rsid w:val="004D2936"/>
    <w:rsid w:val="004D2D68"/>
    <w:rsid w:val="004D2E2A"/>
    <w:rsid w:val="004D3133"/>
    <w:rsid w:val="004D3396"/>
    <w:rsid w:val="004D36F4"/>
    <w:rsid w:val="004D4BF1"/>
    <w:rsid w:val="004D4F46"/>
    <w:rsid w:val="004D56FF"/>
    <w:rsid w:val="004D61EB"/>
    <w:rsid w:val="004D65BE"/>
    <w:rsid w:val="004D65E4"/>
    <w:rsid w:val="004D6B6B"/>
    <w:rsid w:val="004D6E6C"/>
    <w:rsid w:val="004D6FB7"/>
    <w:rsid w:val="004D7341"/>
    <w:rsid w:val="004D76D9"/>
    <w:rsid w:val="004D7A79"/>
    <w:rsid w:val="004D7CF1"/>
    <w:rsid w:val="004E03E6"/>
    <w:rsid w:val="004E064B"/>
    <w:rsid w:val="004E0ABA"/>
    <w:rsid w:val="004E10B8"/>
    <w:rsid w:val="004E2782"/>
    <w:rsid w:val="004E2B83"/>
    <w:rsid w:val="004E2BFF"/>
    <w:rsid w:val="004E2D53"/>
    <w:rsid w:val="004E3397"/>
    <w:rsid w:val="004E39D3"/>
    <w:rsid w:val="004E3E5F"/>
    <w:rsid w:val="004E3FFB"/>
    <w:rsid w:val="004E4195"/>
    <w:rsid w:val="004E442B"/>
    <w:rsid w:val="004E46B1"/>
    <w:rsid w:val="004E4739"/>
    <w:rsid w:val="004E48D7"/>
    <w:rsid w:val="004E4DF6"/>
    <w:rsid w:val="004E508A"/>
    <w:rsid w:val="004E51C6"/>
    <w:rsid w:val="004E58D9"/>
    <w:rsid w:val="004E59BE"/>
    <w:rsid w:val="004E616D"/>
    <w:rsid w:val="004E64E0"/>
    <w:rsid w:val="004E66A1"/>
    <w:rsid w:val="004E6C77"/>
    <w:rsid w:val="004E7CB9"/>
    <w:rsid w:val="004F00F6"/>
    <w:rsid w:val="004F0100"/>
    <w:rsid w:val="004F0107"/>
    <w:rsid w:val="004F030C"/>
    <w:rsid w:val="004F0511"/>
    <w:rsid w:val="004F0826"/>
    <w:rsid w:val="004F1353"/>
    <w:rsid w:val="004F1842"/>
    <w:rsid w:val="004F18BC"/>
    <w:rsid w:val="004F1BDE"/>
    <w:rsid w:val="004F1F06"/>
    <w:rsid w:val="004F2570"/>
    <w:rsid w:val="004F2763"/>
    <w:rsid w:val="004F2CEE"/>
    <w:rsid w:val="004F3663"/>
    <w:rsid w:val="004F3A19"/>
    <w:rsid w:val="004F3B1F"/>
    <w:rsid w:val="004F3D3C"/>
    <w:rsid w:val="004F3F62"/>
    <w:rsid w:val="004F476E"/>
    <w:rsid w:val="004F48A6"/>
    <w:rsid w:val="004F4A6F"/>
    <w:rsid w:val="004F4D40"/>
    <w:rsid w:val="004F50C4"/>
    <w:rsid w:val="004F51BB"/>
    <w:rsid w:val="004F51FA"/>
    <w:rsid w:val="004F52E7"/>
    <w:rsid w:val="004F556E"/>
    <w:rsid w:val="004F591C"/>
    <w:rsid w:val="004F5923"/>
    <w:rsid w:val="004F595C"/>
    <w:rsid w:val="004F5E5F"/>
    <w:rsid w:val="004F60E4"/>
    <w:rsid w:val="004F6AEE"/>
    <w:rsid w:val="004F6DDC"/>
    <w:rsid w:val="004F7156"/>
    <w:rsid w:val="004F7277"/>
    <w:rsid w:val="004F74D5"/>
    <w:rsid w:val="004F7A4E"/>
    <w:rsid w:val="004F7F44"/>
    <w:rsid w:val="00500299"/>
    <w:rsid w:val="0050035E"/>
    <w:rsid w:val="00500964"/>
    <w:rsid w:val="00500D12"/>
    <w:rsid w:val="00500F2E"/>
    <w:rsid w:val="00501215"/>
    <w:rsid w:val="005012D4"/>
    <w:rsid w:val="00501624"/>
    <w:rsid w:val="0050169B"/>
    <w:rsid w:val="00501947"/>
    <w:rsid w:val="00501BC1"/>
    <w:rsid w:val="0050203C"/>
    <w:rsid w:val="00502797"/>
    <w:rsid w:val="005027FF"/>
    <w:rsid w:val="00502B1C"/>
    <w:rsid w:val="0050301C"/>
    <w:rsid w:val="005032D8"/>
    <w:rsid w:val="0050338D"/>
    <w:rsid w:val="005037B4"/>
    <w:rsid w:val="00503DAE"/>
    <w:rsid w:val="00503E21"/>
    <w:rsid w:val="00504281"/>
    <w:rsid w:val="005047B5"/>
    <w:rsid w:val="00504DDF"/>
    <w:rsid w:val="00505154"/>
    <w:rsid w:val="0050528B"/>
    <w:rsid w:val="005064F4"/>
    <w:rsid w:val="00506EFA"/>
    <w:rsid w:val="005078A4"/>
    <w:rsid w:val="00507947"/>
    <w:rsid w:val="005079BF"/>
    <w:rsid w:val="00507AEB"/>
    <w:rsid w:val="005103C7"/>
    <w:rsid w:val="005110C2"/>
    <w:rsid w:val="00511801"/>
    <w:rsid w:val="00512009"/>
    <w:rsid w:val="0051233A"/>
    <w:rsid w:val="0051269A"/>
    <w:rsid w:val="00512E30"/>
    <w:rsid w:val="005134C5"/>
    <w:rsid w:val="005135A3"/>
    <w:rsid w:val="00513A68"/>
    <w:rsid w:val="00513AFA"/>
    <w:rsid w:val="00513DE0"/>
    <w:rsid w:val="00513E96"/>
    <w:rsid w:val="0051523E"/>
    <w:rsid w:val="00515533"/>
    <w:rsid w:val="00515878"/>
    <w:rsid w:val="0051589F"/>
    <w:rsid w:val="00515ACB"/>
    <w:rsid w:val="00515AE6"/>
    <w:rsid w:val="00515C93"/>
    <w:rsid w:val="00515EC0"/>
    <w:rsid w:val="005161F6"/>
    <w:rsid w:val="00516237"/>
    <w:rsid w:val="00516EAC"/>
    <w:rsid w:val="00517297"/>
    <w:rsid w:val="00517E82"/>
    <w:rsid w:val="0052019B"/>
    <w:rsid w:val="005202B1"/>
    <w:rsid w:val="00520508"/>
    <w:rsid w:val="00520728"/>
    <w:rsid w:val="00520BA6"/>
    <w:rsid w:val="00520E51"/>
    <w:rsid w:val="005218A1"/>
    <w:rsid w:val="005219A3"/>
    <w:rsid w:val="005219E7"/>
    <w:rsid w:val="00522D84"/>
    <w:rsid w:val="00523341"/>
    <w:rsid w:val="005234FD"/>
    <w:rsid w:val="00523791"/>
    <w:rsid w:val="0052380D"/>
    <w:rsid w:val="00523AA1"/>
    <w:rsid w:val="00523C81"/>
    <w:rsid w:val="00523F56"/>
    <w:rsid w:val="005244A5"/>
    <w:rsid w:val="00524C66"/>
    <w:rsid w:val="0052504D"/>
    <w:rsid w:val="005255AE"/>
    <w:rsid w:val="0052650D"/>
    <w:rsid w:val="00526EA5"/>
    <w:rsid w:val="00526F1E"/>
    <w:rsid w:val="005270FE"/>
    <w:rsid w:val="005274D2"/>
    <w:rsid w:val="00527787"/>
    <w:rsid w:val="00527DE1"/>
    <w:rsid w:val="00527E06"/>
    <w:rsid w:val="00527EC6"/>
    <w:rsid w:val="00527F5E"/>
    <w:rsid w:val="00527F68"/>
    <w:rsid w:val="0053070A"/>
    <w:rsid w:val="00530731"/>
    <w:rsid w:val="00530A2E"/>
    <w:rsid w:val="00530AD8"/>
    <w:rsid w:val="0053110A"/>
    <w:rsid w:val="0053110F"/>
    <w:rsid w:val="0053127A"/>
    <w:rsid w:val="0053149E"/>
    <w:rsid w:val="005315A6"/>
    <w:rsid w:val="0053178C"/>
    <w:rsid w:val="00531947"/>
    <w:rsid w:val="005319A0"/>
    <w:rsid w:val="005319E7"/>
    <w:rsid w:val="00531AE0"/>
    <w:rsid w:val="00531B9A"/>
    <w:rsid w:val="00531CF7"/>
    <w:rsid w:val="00531D15"/>
    <w:rsid w:val="00531E5D"/>
    <w:rsid w:val="005321B8"/>
    <w:rsid w:val="0053231D"/>
    <w:rsid w:val="00532359"/>
    <w:rsid w:val="00532F65"/>
    <w:rsid w:val="0053302C"/>
    <w:rsid w:val="005331DB"/>
    <w:rsid w:val="00533216"/>
    <w:rsid w:val="005332BB"/>
    <w:rsid w:val="005338F9"/>
    <w:rsid w:val="00533ABB"/>
    <w:rsid w:val="00533DCD"/>
    <w:rsid w:val="00534720"/>
    <w:rsid w:val="005348E4"/>
    <w:rsid w:val="00534C7D"/>
    <w:rsid w:val="00534F27"/>
    <w:rsid w:val="00534FD4"/>
    <w:rsid w:val="005351C1"/>
    <w:rsid w:val="00535224"/>
    <w:rsid w:val="005356A3"/>
    <w:rsid w:val="00535AA9"/>
    <w:rsid w:val="00535B51"/>
    <w:rsid w:val="00535B5D"/>
    <w:rsid w:val="00535FF6"/>
    <w:rsid w:val="0053618B"/>
    <w:rsid w:val="00536827"/>
    <w:rsid w:val="0053705F"/>
    <w:rsid w:val="00537604"/>
    <w:rsid w:val="0053771D"/>
    <w:rsid w:val="0053795B"/>
    <w:rsid w:val="00537FCA"/>
    <w:rsid w:val="00540324"/>
    <w:rsid w:val="00540666"/>
    <w:rsid w:val="00540EFB"/>
    <w:rsid w:val="0054121C"/>
    <w:rsid w:val="00541947"/>
    <w:rsid w:val="00541C40"/>
    <w:rsid w:val="00541FA7"/>
    <w:rsid w:val="00542175"/>
    <w:rsid w:val="00542377"/>
    <w:rsid w:val="005423CD"/>
    <w:rsid w:val="005428EA"/>
    <w:rsid w:val="005429FE"/>
    <w:rsid w:val="00542CBA"/>
    <w:rsid w:val="00542D4C"/>
    <w:rsid w:val="0054358A"/>
    <w:rsid w:val="005435F9"/>
    <w:rsid w:val="00543919"/>
    <w:rsid w:val="00543ED7"/>
    <w:rsid w:val="0054421A"/>
    <w:rsid w:val="00544373"/>
    <w:rsid w:val="00544E93"/>
    <w:rsid w:val="00545114"/>
    <w:rsid w:val="0054532C"/>
    <w:rsid w:val="005455E1"/>
    <w:rsid w:val="00545902"/>
    <w:rsid w:val="00545D9E"/>
    <w:rsid w:val="00545DF8"/>
    <w:rsid w:val="00545E0B"/>
    <w:rsid w:val="005460FB"/>
    <w:rsid w:val="005467AD"/>
    <w:rsid w:val="00546A56"/>
    <w:rsid w:val="00546BC1"/>
    <w:rsid w:val="00547324"/>
    <w:rsid w:val="00547560"/>
    <w:rsid w:val="005476EB"/>
    <w:rsid w:val="00547999"/>
    <w:rsid w:val="005479B8"/>
    <w:rsid w:val="005500AB"/>
    <w:rsid w:val="0055018B"/>
    <w:rsid w:val="0055026C"/>
    <w:rsid w:val="00551105"/>
    <w:rsid w:val="00551384"/>
    <w:rsid w:val="005514D8"/>
    <w:rsid w:val="00551782"/>
    <w:rsid w:val="00551873"/>
    <w:rsid w:val="00552064"/>
    <w:rsid w:val="00552A41"/>
    <w:rsid w:val="00552B68"/>
    <w:rsid w:val="00553779"/>
    <w:rsid w:val="00553E6A"/>
    <w:rsid w:val="005540A2"/>
    <w:rsid w:val="00554165"/>
    <w:rsid w:val="00554504"/>
    <w:rsid w:val="00554698"/>
    <w:rsid w:val="005548E6"/>
    <w:rsid w:val="00554B0F"/>
    <w:rsid w:val="00554E86"/>
    <w:rsid w:val="00555117"/>
    <w:rsid w:val="005552DB"/>
    <w:rsid w:val="005555D3"/>
    <w:rsid w:val="00555B32"/>
    <w:rsid w:val="00555CE4"/>
    <w:rsid w:val="00555F8C"/>
    <w:rsid w:val="005561A5"/>
    <w:rsid w:val="00556EE5"/>
    <w:rsid w:val="005572B5"/>
    <w:rsid w:val="00557853"/>
    <w:rsid w:val="005579F1"/>
    <w:rsid w:val="00557D3A"/>
    <w:rsid w:val="00557F77"/>
    <w:rsid w:val="00560241"/>
    <w:rsid w:val="00560597"/>
    <w:rsid w:val="005605BB"/>
    <w:rsid w:val="005608A9"/>
    <w:rsid w:val="00560F03"/>
    <w:rsid w:val="00561515"/>
    <w:rsid w:val="00561BBD"/>
    <w:rsid w:val="00561CF6"/>
    <w:rsid w:val="00561D76"/>
    <w:rsid w:val="00561FEC"/>
    <w:rsid w:val="00562078"/>
    <w:rsid w:val="00562562"/>
    <w:rsid w:val="005629C8"/>
    <w:rsid w:val="00562CD5"/>
    <w:rsid w:val="005630C4"/>
    <w:rsid w:val="005631DB"/>
    <w:rsid w:val="00563246"/>
    <w:rsid w:val="0056373A"/>
    <w:rsid w:val="00563955"/>
    <w:rsid w:val="00563A04"/>
    <w:rsid w:val="00563AC8"/>
    <w:rsid w:val="00563EF1"/>
    <w:rsid w:val="00563EF9"/>
    <w:rsid w:val="0056454C"/>
    <w:rsid w:val="0056460C"/>
    <w:rsid w:val="00564B2F"/>
    <w:rsid w:val="00564F70"/>
    <w:rsid w:val="00565137"/>
    <w:rsid w:val="0056544C"/>
    <w:rsid w:val="005654DC"/>
    <w:rsid w:val="00565C2D"/>
    <w:rsid w:val="00566544"/>
    <w:rsid w:val="00566897"/>
    <w:rsid w:val="00566AB4"/>
    <w:rsid w:val="00566C7E"/>
    <w:rsid w:val="00566F8A"/>
    <w:rsid w:val="0056784A"/>
    <w:rsid w:val="00567BD1"/>
    <w:rsid w:val="00567FAB"/>
    <w:rsid w:val="00570220"/>
    <w:rsid w:val="0057039D"/>
    <w:rsid w:val="005716DE"/>
    <w:rsid w:val="005719DD"/>
    <w:rsid w:val="00571BC2"/>
    <w:rsid w:val="005725C6"/>
    <w:rsid w:val="00572615"/>
    <w:rsid w:val="00572AD3"/>
    <w:rsid w:val="00572CC5"/>
    <w:rsid w:val="0057302D"/>
    <w:rsid w:val="005732B0"/>
    <w:rsid w:val="005735C7"/>
    <w:rsid w:val="005735FC"/>
    <w:rsid w:val="00573638"/>
    <w:rsid w:val="005737ED"/>
    <w:rsid w:val="00574860"/>
    <w:rsid w:val="00575163"/>
    <w:rsid w:val="00575398"/>
    <w:rsid w:val="0057542F"/>
    <w:rsid w:val="005759E7"/>
    <w:rsid w:val="00575AC5"/>
    <w:rsid w:val="00575BE0"/>
    <w:rsid w:val="00575C13"/>
    <w:rsid w:val="0057605D"/>
    <w:rsid w:val="00576859"/>
    <w:rsid w:val="005770AF"/>
    <w:rsid w:val="005770DA"/>
    <w:rsid w:val="00577600"/>
    <w:rsid w:val="0057772C"/>
    <w:rsid w:val="005778B6"/>
    <w:rsid w:val="00577C8A"/>
    <w:rsid w:val="005803C1"/>
    <w:rsid w:val="005805A6"/>
    <w:rsid w:val="0058077F"/>
    <w:rsid w:val="00580796"/>
    <w:rsid w:val="00580FBF"/>
    <w:rsid w:val="005811D3"/>
    <w:rsid w:val="00581347"/>
    <w:rsid w:val="00581522"/>
    <w:rsid w:val="0058182C"/>
    <w:rsid w:val="00581A5B"/>
    <w:rsid w:val="00581AC9"/>
    <w:rsid w:val="00581CBA"/>
    <w:rsid w:val="00583363"/>
    <w:rsid w:val="00583DF2"/>
    <w:rsid w:val="00583FEF"/>
    <w:rsid w:val="00584466"/>
    <w:rsid w:val="0058450A"/>
    <w:rsid w:val="005849F8"/>
    <w:rsid w:val="00584ED5"/>
    <w:rsid w:val="0058537D"/>
    <w:rsid w:val="00585DA3"/>
    <w:rsid w:val="00585DB1"/>
    <w:rsid w:val="00585FB9"/>
    <w:rsid w:val="0058653F"/>
    <w:rsid w:val="005865CD"/>
    <w:rsid w:val="00586644"/>
    <w:rsid w:val="00586ACB"/>
    <w:rsid w:val="0058733B"/>
    <w:rsid w:val="00587458"/>
    <w:rsid w:val="005874BA"/>
    <w:rsid w:val="00590278"/>
    <w:rsid w:val="00590573"/>
    <w:rsid w:val="00590886"/>
    <w:rsid w:val="00590B7F"/>
    <w:rsid w:val="00590BC6"/>
    <w:rsid w:val="00590EB5"/>
    <w:rsid w:val="00591073"/>
    <w:rsid w:val="005910F5"/>
    <w:rsid w:val="0059149F"/>
    <w:rsid w:val="00592C2D"/>
    <w:rsid w:val="00592F64"/>
    <w:rsid w:val="0059314C"/>
    <w:rsid w:val="00593172"/>
    <w:rsid w:val="005932F3"/>
    <w:rsid w:val="0059341B"/>
    <w:rsid w:val="005934EF"/>
    <w:rsid w:val="00593787"/>
    <w:rsid w:val="005938DF"/>
    <w:rsid w:val="00593ECC"/>
    <w:rsid w:val="0059434C"/>
    <w:rsid w:val="00594674"/>
    <w:rsid w:val="00594766"/>
    <w:rsid w:val="005947C1"/>
    <w:rsid w:val="00594855"/>
    <w:rsid w:val="00594E79"/>
    <w:rsid w:val="00594E9C"/>
    <w:rsid w:val="005952FE"/>
    <w:rsid w:val="005954B5"/>
    <w:rsid w:val="00595874"/>
    <w:rsid w:val="00595C33"/>
    <w:rsid w:val="00595C7D"/>
    <w:rsid w:val="00595D76"/>
    <w:rsid w:val="00596209"/>
    <w:rsid w:val="005962BE"/>
    <w:rsid w:val="00596487"/>
    <w:rsid w:val="00596594"/>
    <w:rsid w:val="005968EC"/>
    <w:rsid w:val="00596931"/>
    <w:rsid w:val="00596E84"/>
    <w:rsid w:val="005975E4"/>
    <w:rsid w:val="00597B49"/>
    <w:rsid w:val="005A005D"/>
    <w:rsid w:val="005A012B"/>
    <w:rsid w:val="005A099B"/>
    <w:rsid w:val="005A09C8"/>
    <w:rsid w:val="005A0BC5"/>
    <w:rsid w:val="005A0BCE"/>
    <w:rsid w:val="005A10E6"/>
    <w:rsid w:val="005A123C"/>
    <w:rsid w:val="005A1283"/>
    <w:rsid w:val="005A128D"/>
    <w:rsid w:val="005A12BC"/>
    <w:rsid w:val="005A15C2"/>
    <w:rsid w:val="005A16BD"/>
    <w:rsid w:val="005A1939"/>
    <w:rsid w:val="005A199F"/>
    <w:rsid w:val="005A19C7"/>
    <w:rsid w:val="005A1BE3"/>
    <w:rsid w:val="005A2067"/>
    <w:rsid w:val="005A283D"/>
    <w:rsid w:val="005A2C0D"/>
    <w:rsid w:val="005A2CE2"/>
    <w:rsid w:val="005A2D0B"/>
    <w:rsid w:val="005A2D9C"/>
    <w:rsid w:val="005A322C"/>
    <w:rsid w:val="005A3409"/>
    <w:rsid w:val="005A3620"/>
    <w:rsid w:val="005A3A19"/>
    <w:rsid w:val="005A4939"/>
    <w:rsid w:val="005A4D59"/>
    <w:rsid w:val="005A4DAE"/>
    <w:rsid w:val="005A55FE"/>
    <w:rsid w:val="005A58BB"/>
    <w:rsid w:val="005A5969"/>
    <w:rsid w:val="005A6168"/>
    <w:rsid w:val="005A63F9"/>
    <w:rsid w:val="005A649D"/>
    <w:rsid w:val="005A67D7"/>
    <w:rsid w:val="005A6987"/>
    <w:rsid w:val="005A6A11"/>
    <w:rsid w:val="005A6AC4"/>
    <w:rsid w:val="005A6ACF"/>
    <w:rsid w:val="005A6B90"/>
    <w:rsid w:val="005A6EAB"/>
    <w:rsid w:val="005A77B8"/>
    <w:rsid w:val="005A79E4"/>
    <w:rsid w:val="005A7B76"/>
    <w:rsid w:val="005A7DAB"/>
    <w:rsid w:val="005B009C"/>
    <w:rsid w:val="005B0403"/>
    <w:rsid w:val="005B0DCF"/>
    <w:rsid w:val="005B0E99"/>
    <w:rsid w:val="005B169C"/>
    <w:rsid w:val="005B1CAC"/>
    <w:rsid w:val="005B1E62"/>
    <w:rsid w:val="005B1F89"/>
    <w:rsid w:val="005B218E"/>
    <w:rsid w:val="005B254C"/>
    <w:rsid w:val="005B2A6D"/>
    <w:rsid w:val="005B2ED3"/>
    <w:rsid w:val="005B347B"/>
    <w:rsid w:val="005B359B"/>
    <w:rsid w:val="005B36E2"/>
    <w:rsid w:val="005B397B"/>
    <w:rsid w:val="005B3C0B"/>
    <w:rsid w:val="005B3CE3"/>
    <w:rsid w:val="005B3CF7"/>
    <w:rsid w:val="005B419F"/>
    <w:rsid w:val="005B42D6"/>
    <w:rsid w:val="005B4710"/>
    <w:rsid w:val="005B4845"/>
    <w:rsid w:val="005B4B88"/>
    <w:rsid w:val="005B4BF4"/>
    <w:rsid w:val="005B4DD1"/>
    <w:rsid w:val="005B4E5F"/>
    <w:rsid w:val="005B4F0F"/>
    <w:rsid w:val="005B52CC"/>
    <w:rsid w:val="005B5334"/>
    <w:rsid w:val="005B5690"/>
    <w:rsid w:val="005B57C4"/>
    <w:rsid w:val="005B64B6"/>
    <w:rsid w:val="005B6BF0"/>
    <w:rsid w:val="005B7218"/>
    <w:rsid w:val="005B72CC"/>
    <w:rsid w:val="005B7455"/>
    <w:rsid w:val="005B7C2B"/>
    <w:rsid w:val="005C04DA"/>
    <w:rsid w:val="005C09C8"/>
    <w:rsid w:val="005C0D56"/>
    <w:rsid w:val="005C0EB4"/>
    <w:rsid w:val="005C14E8"/>
    <w:rsid w:val="005C1691"/>
    <w:rsid w:val="005C188F"/>
    <w:rsid w:val="005C2026"/>
    <w:rsid w:val="005C3347"/>
    <w:rsid w:val="005C3429"/>
    <w:rsid w:val="005C363F"/>
    <w:rsid w:val="005C36FC"/>
    <w:rsid w:val="005C4002"/>
    <w:rsid w:val="005C4341"/>
    <w:rsid w:val="005C4545"/>
    <w:rsid w:val="005C4A64"/>
    <w:rsid w:val="005C4D86"/>
    <w:rsid w:val="005C5242"/>
    <w:rsid w:val="005C588A"/>
    <w:rsid w:val="005C5CE1"/>
    <w:rsid w:val="005C5D01"/>
    <w:rsid w:val="005C5E04"/>
    <w:rsid w:val="005C6303"/>
    <w:rsid w:val="005C646B"/>
    <w:rsid w:val="005C6890"/>
    <w:rsid w:val="005C69D4"/>
    <w:rsid w:val="005C6E0F"/>
    <w:rsid w:val="005C7720"/>
    <w:rsid w:val="005C7A3B"/>
    <w:rsid w:val="005C7BDE"/>
    <w:rsid w:val="005C7DDB"/>
    <w:rsid w:val="005D00A1"/>
    <w:rsid w:val="005D0274"/>
    <w:rsid w:val="005D02D5"/>
    <w:rsid w:val="005D0424"/>
    <w:rsid w:val="005D055C"/>
    <w:rsid w:val="005D06D9"/>
    <w:rsid w:val="005D161D"/>
    <w:rsid w:val="005D1745"/>
    <w:rsid w:val="005D17B8"/>
    <w:rsid w:val="005D1819"/>
    <w:rsid w:val="005D1833"/>
    <w:rsid w:val="005D212B"/>
    <w:rsid w:val="005D2191"/>
    <w:rsid w:val="005D2502"/>
    <w:rsid w:val="005D29BD"/>
    <w:rsid w:val="005D2B43"/>
    <w:rsid w:val="005D2EE9"/>
    <w:rsid w:val="005D3500"/>
    <w:rsid w:val="005D3B4A"/>
    <w:rsid w:val="005D40BB"/>
    <w:rsid w:val="005D45F8"/>
    <w:rsid w:val="005D47C2"/>
    <w:rsid w:val="005D47F3"/>
    <w:rsid w:val="005D49BF"/>
    <w:rsid w:val="005D4A25"/>
    <w:rsid w:val="005D4AA5"/>
    <w:rsid w:val="005D530F"/>
    <w:rsid w:val="005D54AB"/>
    <w:rsid w:val="005D554E"/>
    <w:rsid w:val="005D585F"/>
    <w:rsid w:val="005D5C36"/>
    <w:rsid w:val="005D5C5B"/>
    <w:rsid w:val="005D5E78"/>
    <w:rsid w:val="005D6250"/>
    <w:rsid w:val="005D62AC"/>
    <w:rsid w:val="005D6A73"/>
    <w:rsid w:val="005D6EF8"/>
    <w:rsid w:val="005D6F4E"/>
    <w:rsid w:val="005D75EE"/>
    <w:rsid w:val="005D78F5"/>
    <w:rsid w:val="005D7C73"/>
    <w:rsid w:val="005D7E27"/>
    <w:rsid w:val="005E045F"/>
    <w:rsid w:val="005E0AAD"/>
    <w:rsid w:val="005E1451"/>
    <w:rsid w:val="005E14A6"/>
    <w:rsid w:val="005E1578"/>
    <w:rsid w:val="005E1AFF"/>
    <w:rsid w:val="005E257E"/>
    <w:rsid w:val="005E26CF"/>
    <w:rsid w:val="005E2F04"/>
    <w:rsid w:val="005E2F24"/>
    <w:rsid w:val="005E398B"/>
    <w:rsid w:val="005E39B2"/>
    <w:rsid w:val="005E3ACD"/>
    <w:rsid w:val="005E3D56"/>
    <w:rsid w:val="005E4559"/>
    <w:rsid w:val="005E47C6"/>
    <w:rsid w:val="005E55D5"/>
    <w:rsid w:val="005E5905"/>
    <w:rsid w:val="005E5A71"/>
    <w:rsid w:val="005E5F10"/>
    <w:rsid w:val="005E64E4"/>
    <w:rsid w:val="005E6B3C"/>
    <w:rsid w:val="005E7226"/>
    <w:rsid w:val="005E75FE"/>
    <w:rsid w:val="005E7A57"/>
    <w:rsid w:val="005E7F54"/>
    <w:rsid w:val="005F0005"/>
    <w:rsid w:val="005F030B"/>
    <w:rsid w:val="005F064E"/>
    <w:rsid w:val="005F07AD"/>
    <w:rsid w:val="005F12F8"/>
    <w:rsid w:val="005F18BE"/>
    <w:rsid w:val="005F1ECE"/>
    <w:rsid w:val="005F2001"/>
    <w:rsid w:val="005F21F1"/>
    <w:rsid w:val="005F24B0"/>
    <w:rsid w:val="005F25BB"/>
    <w:rsid w:val="005F27D7"/>
    <w:rsid w:val="005F2CEF"/>
    <w:rsid w:val="005F2D55"/>
    <w:rsid w:val="005F2DB5"/>
    <w:rsid w:val="005F3411"/>
    <w:rsid w:val="005F3D42"/>
    <w:rsid w:val="005F3D9F"/>
    <w:rsid w:val="005F405D"/>
    <w:rsid w:val="005F4236"/>
    <w:rsid w:val="005F4561"/>
    <w:rsid w:val="005F4566"/>
    <w:rsid w:val="005F4C3E"/>
    <w:rsid w:val="005F4DD6"/>
    <w:rsid w:val="005F4EFF"/>
    <w:rsid w:val="005F5045"/>
    <w:rsid w:val="005F533C"/>
    <w:rsid w:val="005F540B"/>
    <w:rsid w:val="005F561E"/>
    <w:rsid w:val="005F569A"/>
    <w:rsid w:val="005F5BD7"/>
    <w:rsid w:val="005F5FD4"/>
    <w:rsid w:val="005F607D"/>
    <w:rsid w:val="005F667E"/>
    <w:rsid w:val="005F669A"/>
    <w:rsid w:val="005F6C41"/>
    <w:rsid w:val="005F6CAB"/>
    <w:rsid w:val="005F7153"/>
    <w:rsid w:val="005F7321"/>
    <w:rsid w:val="005F7D28"/>
    <w:rsid w:val="005F7D98"/>
    <w:rsid w:val="00600239"/>
    <w:rsid w:val="00600431"/>
    <w:rsid w:val="00600432"/>
    <w:rsid w:val="00601133"/>
    <w:rsid w:val="00601162"/>
    <w:rsid w:val="006016D8"/>
    <w:rsid w:val="00601B91"/>
    <w:rsid w:val="006024CB"/>
    <w:rsid w:val="0060260E"/>
    <w:rsid w:val="0060293D"/>
    <w:rsid w:val="00602EAF"/>
    <w:rsid w:val="006030FE"/>
    <w:rsid w:val="00603853"/>
    <w:rsid w:val="006038C6"/>
    <w:rsid w:val="00603CC4"/>
    <w:rsid w:val="00603D64"/>
    <w:rsid w:val="00603FB5"/>
    <w:rsid w:val="00604269"/>
    <w:rsid w:val="00604315"/>
    <w:rsid w:val="0060463F"/>
    <w:rsid w:val="00604E26"/>
    <w:rsid w:val="00604FA2"/>
    <w:rsid w:val="00604FFC"/>
    <w:rsid w:val="006050A5"/>
    <w:rsid w:val="006052CF"/>
    <w:rsid w:val="00605919"/>
    <w:rsid w:val="006059F6"/>
    <w:rsid w:val="00605A87"/>
    <w:rsid w:val="00605B89"/>
    <w:rsid w:val="00605CA9"/>
    <w:rsid w:val="0060700B"/>
    <w:rsid w:val="0060720E"/>
    <w:rsid w:val="00607236"/>
    <w:rsid w:val="0060746E"/>
    <w:rsid w:val="00607582"/>
    <w:rsid w:val="00607A56"/>
    <w:rsid w:val="00607B8D"/>
    <w:rsid w:val="00607F18"/>
    <w:rsid w:val="0061002C"/>
    <w:rsid w:val="0061043D"/>
    <w:rsid w:val="006108AA"/>
    <w:rsid w:val="0061187E"/>
    <w:rsid w:val="00611B77"/>
    <w:rsid w:val="00611DDE"/>
    <w:rsid w:val="00611E0B"/>
    <w:rsid w:val="00611F5C"/>
    <w:rsid w:val="006126F4"/>
    <w:rsid w:val="006127C2"/>
    <w:rsid w:val="00612905"/>
    <w:rsid w:val="00612A14"/>
    <w:rsid w:val="00612C16"/>
    <w:rsid w:val="006130B3"/>
    <w:rsid w:val="0061464D"/>
    <w:rsid w:val="00614686"/>
    <w:rsid w:val="0061575D"/>
    <w:rsid w:val="00615E26"/>
    <w:rsid w:val="006167B4"/>
    <w:rsid w:val="00616AF9"/>
    <w:rsid w:val="00616E09"/>
    <w:rsid w:val="006170D6"/>
    <w:rsid w:val="00617206"/>
    <w:rsid w:val="00617754"/>
    <w:rsid w:val="00617A37"/>
    <w:rsid w:val="00617E77"/>
    <w:rsid w:val="00617EAC"/>
    <w:rsid w:val="006204A2"/>
    <w:rsid w:val="006204F6"/>
    <w:rsid w:val="006206FE"/>
    <w:rsid w:val="00620A65"/>
    <w:rsid w:val="006210F6"/>
    <w:rsid w:val="00621279"/>
    <w:rsid w:val="00621401"/>
    <w:rsid w:val="006218D9"/>
    <w:rsid w:val="00621956"/>
    <w:rsid w:val="00621AB8"/>
    <w:rsid w:val="00621AD3"/>
    <w:rsid w:val="00621B92"/>
    <w:rsid w:val="00622416"/>
    <w:rsid w:val="006225A4"/>
    <w:rsid w:val="00622A3B"/>
    <w:rsid w:val="00622DBC"/>
    <w:rsid w:val="00622EEA"/>
    <w:rsid w:val="006231E7"/>
    <w:rsid w:val="00623219"/>
    <w:rsid w:val="0062396C"/>
    <w:rsid w:val="00623C2E"/>
    <w:rsid w:val="00623D7E"/>
    <w:rsid w:val="00623FF9"/>
    <w:rsid w:val="00624035"/>
    <w:rsid w:val="00624407"/>
    <w:rsid w:val="00624C6C"/>
    <w:rsid w:val="00624ECC"/>
    <w:rsid w:val="00624F54"/>
    <w:rsid w:val="006252A4"/>
    <w:rsid w:val="0062569F"/>
    <w:rsid w:val="006259D2"/>
    <w:rsid w:val="006259E4"/>
    <w:rsid w:val="00625C8F"/>
    <w:rsid w:val="00625C95"/>
    <w:rsid w:val="00625D7A"/>
    <w:rsid w:val="00625DC7"/>
    <w:rsid w:val="00626B25"/>
    <w:rsid w:val="00626BC8"/>
    <w:rsid w:val="00626C59"/>
    <w:rsid w:val="00626F16"/>
    <w:rsid w:val="006272D7"/>
    <w:rsid w:val="0062732F"/>
    <w:rsid w:val="00627752"/>
    <w:rsid w:val="0062777E"/>
    <w:rsid w:val="00627CDC"/>
    <w:rsid w:val="00627D1D"/>
    <w:rsid w:val="00627D4E"/>
    <w:rsid w:val="00627D5C"/>
    <w:rsid w:val="00627DB4"/>
    <w:rsid w:val="0063011F"/>
    <w:rsid w:val="006306F7"/>
    <w:rsid w:val="00630AA2"/>
    <w:rsid w:val="00630E71"/>
    <w:rsid w:val="0063153E"/>
    <w:rsid w:val="00631C21"/>
    <w:rsid w:val="00631D8F"/>
    <w:rsid w:val="00632045"/>
    <w:rsid w:val="00632425"/>
    <w:rsid w:val="0063259B"/>
    <w:rsid w:val="00632661"/>
    <w:rsid w:val="00632B89"/>
    <w:rsid w:val="00632B97"/>
    <w:rsid w:val="00632F8B"/>
    <w:rsid w:val="00633005"/>
    <w:rsid w:val="00633323"/>
    <w:rsid w:val="0063338B"/>
    <w:rsid w:val="006335F7"/>
    <w:rsid w:val="00633721"/>
    <w:rsid w:val="00633AA2"/>
    <w:rsid w:val="00633B1E"/>
    <w:rsid w:val="00633B20"/>
    <w:rsid w:val="00633E1E"/>
    <w:rsid w:val="0063429C"/>
    <w:rsid w:val="00634478"/>
    <w:rsid w:val="00634767"/>
    <w:rsid w:val="00634AA9"/>
    <w:rsid w:val="00634ACD"/>
    <w:rsid w:val="00634BCB"/>
    <w:rsid w:val="00634C7D"/>
    <w:rsid w:val="00634F43"/>
    <w:rsid w:val="0063544C"/>
    <w:rsid w:val="00635DBD"/>
    <w:rsid w:val="00636019"/>
    <w:rsid w:val="006362C0"/>
    <w:rsid w:val="00636724"/>
    <w:rsid w:val="0063695E"/>
    <w:rsid w:val="00636D0D"/>
    <w:rsid w:val="006370A2"/>
    <w:rsid w:val="006372FF"/>
    <w:rsid w:val="00637B3E"/>
    <w:rsid w:val="00637B9F"/>
    <w:rsid w:val="0064092A"/>
    <w:rsid w:val="00640BB1"/>
    <w:rsid w:val="00641342"/>
    <w:rsid w:val="006415DC"/>
    <w:rsid w:val="00641610"/>
    <w:rsid w:val="0064165F"/>
    <w:rsid w:val="0064167E"/>
    <w:rsid w:val="0064200C"/>
    <w:rsid w:val="006421E3"/>
    <w:rsid w:val="00642449"/>
    <w:rsid w:val="00642A7D"/>
    <w:rsid w:val="00642D45"/>
    <w:rsid w:val="00642DDA"/>
    <w:rsid w:val="006435B1"/>
    <w:rsid w:val="006438B5"/>
    <w:rsid w:val="00643F29"/>
    <w:rsid w:val="00644373"/>
    <w:rsid w:val="006445C6"/>
    <w:rsid w:val="006448BD"/>
    <w:rsid w:val="006449C9"/>
    <w:rsid w:val="00644B95"/>
    <w:rsid w:val="00645039"/>
    <w:rsid w:val="0064524B"/>
    <w:rsid w:val="00645565"/>
    <w:rsid w:val="006458E9"/>
    <w:rsid w:val="00645915"/>
    <w:rsid w:val="0064598B"/>
    <w:rsid w:val="00645C2C"/>
    <w:rsid w:val="00645DAC"/>
    <w:rsid w:val="006462AC"/>
    <w:rsid w:val="006463F6"/>
    <w:rsid w:val="006466D2"/>
    <w:rsid w:val="006468BB"/>
    <w:rsid w:val="00646DF3"/>
    <w:rsid w:val="006470D3"/>
    <w:rsid w:val="00647687"/>
    <w:rsid w:val="00647B1D"/>
    <w:rsid w:val="00647CF9"/>
    <w:rsid w:val="006500AF"/>
    <w:rsid w:val="0065139B"/>
    <w:rsid w:val="006516E6"/>
    <w:rsid w:val="006518CF"/>
    <w:rsid w:val="006519C3"/>
    <w:rsid w:val="006521B4"/>
    <w:rsid w:val="006522E7"/>
    <w:rsid w:val="00652503"/>
    <w:rsid w:val="0065256F"/>
    <w:rsid w:val="0065283C"/>
    <w:rsid w:val="00652AD2"/>
    <w:rsid w:val="00652B30"/>
    <w:rsid w:val="00652C1E"/>
    <w:rsid w:val="00652DB3"/>
    <w:rsid w:val="00652F67"/>
    <w:rsid w:val="00652FC3"/>
    <w:rsid w:val="0065304E"/>
    <w:rsid w:val="006531C6"/>
    <w:rsid w:val="0065335D"/>
    <w:rsid w:val="00653E5E"/>
    <w:rsid w:val="0065435D"/>
    <w:rsid w:val="00654428"/>
    <w:rsid w:val="00654A48"/>
    <w:rsid w:val="00655264"/>
    <w:rsid w:val="00655585"/>
    <w:rsid w:val="00655786"/>
    <w:rsid w:val="00655825"/>
    <w:rsid w:val="0065583E"/>
    <w:rsid w:val="00655C94"/>
    <w:rsid w:val="00656345"/>
    <w:rsid w:val="00656805"/>
    <w:rsid w:val="00656DC6"/>
    <w:rsid w:val="006577A0"/>
    <w:rsid w:val="00660866"/>
    <w:rsid w:val="006608EF"/>
    <w:rsid w:val="00660B27"/>
    <w:rsid w:val="00660EC6"/>
    <w:rsid w:val="006611DE"/>
    <w:rsid w:val="006615ED"/>
    <w:rsid w:val="00661694"/>
    <w:rsid w:val="00661753"/>
    <w:rsid w:val="0066184D"/>
    <w:rsid w:val="00661DC7"/>
    <w:rsid w:val="00661F34"/>
    <w:rsid w:val="006624CE"/>
    <w:rsid w:val="00662552"/>
    <w:rsid w:val="006626AE"/>
    <w:rsid w:val="0066279E"/>
    <w:rsid w:val="0066295F"/>
    <w:rsid w:val="00662E8F"/>
    <w:rsid w:val="00663370"/>
    <w:rsid w:val="00663793"/>
    <w:rsid w:val="0066388E"/>
    <w:rsid w:val="0066390A"/>
    <w:rsid w:val="00663A93"/>
    <w:rsid w:val="00663E68"/>
    <w:rsid w:val="006640D3"/>
    <w:rsid w:val="00664110"/>
    <w:rsid w:val="006644B6"/>
    <w:rsid w:val="0066453F"/>
    <w:rsid w:val="00664617"/>
    <w:rsid w:val="00664937"/>
    <w:rsid w:val="00664C5B"/>
    <w:rsid w:val="00664D17"/>
    <w:rsid w:val="00665286"/>
    <w:rsid w:val="00665820"/>
    <w:rsid w:val="00665B86"/>
    <w:rsid w:val="00665F9E"/>
    <w:rsid w:val="0066634A"/>
    <w:rsid w:val="006664BD"/>
    <w:rsid w:val="00666520"/>
    <w:rsid w:val="0066666D"/>
    <w:rsid w:val="00666C3A"/>
    <w:rsid w:val="00667020"/>
    <w:rsid w:val="0066732A"/>
    <w:rsid w:val="00667538"/>
    <w:rsid w:val="00667ABF"/>
    <w:rsid w:val="00667C5B"/>
    <w:rsid w:val="00667E14"/>
    <w:rsid w:val="006701CA"/>
    <w:rsid w:val="00670264"/>
    <w:rsid w:val="00670324"/>
    <w:rsid w:val="00670822"/>
    <w:rsid w:val="00670B86"/>
    <w:rsid w:val="00671273"/>
    <w:rsid w:val="00671274"/>
    <w:rsid w:val="006714C4"/>
    <w:rsid w:val="006714FD"/>
    <w:rsid w:val="00671D80"/>
    <w:rsid w:val="00672016"/>
    <w:rsid w:val="0067276C"/>
    <w:rsid w:val="00672770"/>
    <w:rsid w:val="006728B9"/>
    <w:rsid w:val="006729FD"/>
    <w:rsid w:val="00672DEB"/>
    <w:rsid w:val="00672FF4"/>
    <w:rsid w:val="00673277"/>
    <w:rsid w:val="006732DE"/>
    <w:rsid w:val="00673940"/>
    <w:rsid w:val="00674062"/>
    <w:rsid w:val="0067422B"/>
    <w:rsid w:val="006748B0"/>
    <w:rsid w:val="00674925"/>
    <w:rsid w:val="006750EC"/>
    <w:rsid w:val="00675553"/>
    <w:rsid w:val="0067566E"/>
    <w:rsid w:val="00675B90"/>
    <w:rsid w:val="00676443"/>
    <w:rsid w:val="00676637"/>
    <w:rsid w:val="00676909"/>
    <w:rsid w:val="0067774B"/>
    <w:rsid w:val="00680125"/>
    <w:rsid w:val="006803F9"/>
    <w:rsid w:val="00680A31"/>
    <w:rsid w:val="00680E12"/>
    <w:rsid w:val="006812C2"/>
    <w:rsid w:val="00681BED"/>
    <w:rsid w:val="00681EF8"/>
    <w:rsid w:val="00681F3C"/>
    <w:rsid w:val="0068223A"/>
    <w:rsid w:val="00682BE8"/>
    <w:rsid w:val="00682E19"/>
    <w:rsid w:val="00682FBB"/>
    <w:rsid w:val="00682FD9"/>
    <w:rsid w:val="006830C9"/>
    <w:rsid w:val="006836E4"/>
    <w:rsid w:val="0068398F"/>
    <w:rsid w:val="00683A0C"/>
    <w:rsid w:val="00683BDD"/>
    <w:rsid w:val="0068411D"/>
    <w:rsid w:val="006842E9"/>
    <w:rsid w:val="00684715"/>
    <w:rsid w:val="006863EE"/>
    <w:rsid w:val="0068668D"/>
    <w:rsid w:val="00686D72"/>
    <w:rsid w:val="00686F3A"/>
    <w:rsid w:val="00686FAF"/>
    <w:rsid w:val="00687376"/>
    <w:rsid w:val="006874C7"/>
    <w:rsid w:val="0068779F"/>
    <w:rsid w:val="00687958"/>
    <w:rsid w:val="0069057D"/>
    <w:rsid w:val="00690704"/>
    <w:rsid w:val="00690922"/>
    <w:rsid w:val="00690AF0"/>
    <w:rsid w:val="00690C4F"/>
    <w:rsid w:val="00690D19"/>
    <w:rsid w:val="0069108A"/>
    <w:rsid w:val="00691135"/>
    <w:rsid w:val="0069136C"/>
    <w:rsid w:val="00691466"/>
    <w:rsid w:val="0069167F"/>
    <w:rsid w:val="00691896"/>
    <w:rsid w:val="00691EB8"/>
    <w:rsid w:val="006921C5"/>
    <w:rsid w:val="006923AF"/>
    <w:rsid w:val="006925BF"/>
    <w:rsid w:val="00692645"/>
    <w:rsid w:val="00692CDE"/>
    <w:rsid w:val="00692D0A"/>
    <w:rsid w:val="00693073"/>
    <w:rsid w:val="00693BFD"/>
    <w:rsid w:val="00693FD6"/>
    <w:rsid w:val="00694256"/>
    <w:rsid w:val="00694CE2"/>
    <w:rsid w:val="00695362"/>
    <w:rsid w:val="00695E27"/>
    <w:rsid w:val="006960A5"/>
    <w:rsid w:val="0069613F"/>
    <w:rsid w:val="00696268"/>
    <w:rsid w:val="0069634B"/>
    <w:rsid w:val="00696371"/>
    <w:rsid w:val="00696632"/>
    <w:rsid w:val="00696986"/>
    <w:rsid w:val="0069723C"/>
    <w:rsid w:val="006975FE"/>
    <w:rsid w:val="00697651"/>
    <w:rsid w:val="006977FF"/>
    <w:rsid w:val="00697859"/>
    <w:rsid w:val="00697F31"/>
    <w:rsid w:val="006A01FA"/>
    <w:rsid w:val="006A043B"/>
    <w:rsid w:val="006A0504"/>
    <w:rsid w:val="006A0750"/>
    <w:rsid w:val="006A0B3A"/>
    <w:rsid w:val="006A0CF1"/>
    <w:rsid w:val="006A0D17"/>
    <w:rsid w:val="006A0DED"/>
    <w:rsid w:val="006A0E9E"/>
    <w:rsid w:val="006A1250"/>
    <w:rsid w:val="006A13DE"/>
    <w:rsid w:val="006A22CC"/>
    <w:rsid w:val="006A2512"/>
    <w:rsid w:val="006A25C7"/>
    <w:rsid w:val="006A25F2"/>
    <w:rsid w:val="006A26C9"/>
    <w:rsid w:val="006A2F04"/>
    <w:rsid w:val="006A30C3"/>
    <w:rsid w:val="006A3C1E"/>
    <w:rsid w:val="006A3C62"/>
    <w:rsid w:val="006A45A2"/>
    <w:rsid w:val="006A49D6"/>
    <w:rsid w:val="006A4AAD"/>
    <w:rsid w:val="006A4BF3"/>
    <w:rsid w:val="006A4E67"/>
    <w:rsid w:val="006A515F"/>
    <w:rsid w:val="006A532A"/>
    <w:rsid w:val="006A5DF1"/>
    <w:rsid w:val="006A5E8A"/>
    <w:rsid w:val="006A63EE"/>
    <w:rsid w:val="006A6BAF"/>
    <w:rsid w:val="006A6DA2"/>
    <w:rsid w:val="006A731B"/>
    <w:rsid w:val="006A7982"/>
    <w:rsid w:val="006A7AB2"/>
    <w:rsid w:val="006A7C57"/>
    <w:rsid w:val="006A7EB2"/>
    <w:rsid w:val="006A7EFB"/>
    <w:rsid w:val="006B02C2"/>
    <w:rsid w:val="006B061F"/>
    <w:rsid w:val="006B1A31"/>
    <w:rsid w:val="006B236A"/>
    <w:rsid w:val="006B2814"/>
    <w:rsid w:val="006B2893"/>
    <w:rsid w:val="006B2A2D"/>
    <w:rsid w:val="006B2DB6"/>
    <w:rsid w:val="006B2EEC"/>
    <w:rsid w:val="006B2F53"/>
    <w:rsid w:val="006B2FAC"/>
    <w:rsid w:val="006B301B"/>
    <w:rsid w:val="006B3797"/>
    <w:rsid w:val="006B397D"/>
    <w:rsid w:val="006B40E4"/>
    <w:rsid w:val="006B41C5"/>
    <w:rsid w:val="006B50AC"/>
    <w:rsid w:val="006B5401"/>
    <w:rsid w:val="006B5607"/>
    <w:rsid w:val="006B5717"/>
    <w:rsid w:val="006B582F"/>
    <w:rsid w:val="006B5EA6"/>
    <w:rsid w:val="006B6460"/>
    <w:rsid w:val="006B6711"/>
    <w:rsid w:val="006B69DB"/>
    <w:rsid w:val="006B6CC2"/>
    <w:rsid w:val="006B6E36"/>
    <w:rsid w:val="006B6F6E"/>
    <w:rsid w:val="006B7748"/>
    <w:rsid w:val="006B791A"/>
    <w:rsid w:val="006B7A24"/>
    <w:rsid w:val="006B7CFF"/>
    <w:rsid w:val="006C005C"/>
    <w:rsid w:val="006C06C5"/>
    <w:rsid w:val="006C0A86"/>
    <w:rsid w:val="006C0CEB"/>
    <w:rsid w:val="006C0D96"/>
    <w:rsid w:val="006C1C5C"/>
    <w:rsid w:val="006C20D8"/>
    <w:rsid w:val="006C2247"/>
    <w:rsid w:val="006C25E5"/>
    <w:rsid w:val="006C2D6B"/>
    <w:rsid w:val="006C2E47"/>
    <w:rsid w:val="006C2F18"/>
    <w:rsid w:val="006C3061"/>
    <w:rsid w:val="006C3167"/>
    <w:rsid w:val="006C35F3"/>
    <w:rsid w:val="006C3666"/>
    <w:rsid w:val="006C398E"/>
    <w:rsid w:val="006C3A84"/>
    <w:rsid w:val="006C3B1E"/>
    <w:rsid w:val="006C3CD8"/>
    <w:rsid w:val="006C4303"/>
    <w:rsid w:val="006C44EA"/>
    <w:rsid w:val="006C47FD"/>
    <w:rsid w:val="006C48EA"/>
    <w:rsid w:val="006C4D48"/>
    <w:rsid w:val="006C504A"/>
    <w:rsid w:val="006C51B7"/>
    <w:rsid w:val="006C53EF"/>
    <w:rsid w:val="006C54F7"/>
    <w:rsid w:val="006C5C19"/>
    <w:rsid w:val="006C5E36"/>
    <w:rsid w:val="006C6342"/>
    <w:rsid w:val="006C67CC"/>
    <w:rsid w:val="006C70A0"/>
    <w:rsid w:val="006C74C5"/>
    <w:rsid w:val="006C78FB"/>
    <w:rsid w:val="006C7AC1"/>
    <w:rsid w:val="006C7D36"/>
    <w:rsid w:val="006C7F26"/>
    <w:rsid w:val="006D04DC"/>
    <w:rsid w:val="006D0576"/>
    <w:rsid w:val="006D0635"/>
    <w:rsid w:val="006D06A5"/>
    <w:rsid w:val="006D07A6"/>
    <w:rsid w:val="006D0B5D"/>
    <w:rsid w:val="006D0ED7"/>
    <w:rsid w:val="006D1162"/>
    <w:rsid w:val="006D1187"/>
    <w:rsid w:val="006D134F"/>
    <w:rsid w:val="006D178E"/>
    <w:rsid w:val="006D18E9"/>
    <w:rsid w:val="006D1943"/>
    <w:rsid w:val="006D1B7A"/>
    <w:rsid w:val="006D1C82"/>
    <w:rsid w:val="006D1E6A"/>
    <w:rsid w:val="006D2370"/>
    <w:rsid w:val="006D274E"/>
    <w:rsid w:val="006D27CB"/>
    <w:rsid w:val="006D2F08"/>
    <w:rsid w:val="006D2F43"/>
    <w:rsid w:val="006D32FD"/>
    <w:rsid w:val="006D344A"/>
    <w:rsid w:val="006D3D21"/>
    <w:rsid w:val="006D47C0"/>
    <w:rsid w:val="006D4871"/>
    <w:rsid w:val="006D4CE8"/>
    <w:rsid w:val="006D5321"/>
    <w:rsid w:val="006D576C"/>
    <w:rsid w:val="006D5865"/>
    <w:rsid w:val="006D59EB"/>
    <w:rsid w:val="006D5A4F"/>
    <w:rsid w:val="006D5D04"/>
    <w:rsid w:val="006D5DFE"/>
    <w:rsid w:val="006D5FC0"/>
    <w:rsid w:val="006D64BD"/>
    <w:rsid w:val="006D6594"/>
    <w:rsid w:val="006D6657"/>
    <w:rsid w:val="006D718C"/>
    <w:rsid w:val="006D72FA"/>
    <w:rsid w:val="006D7A3D"/>
    <w:rsid w:val="006D7BFC"/>
    <w:rsid w:val="006D7D65"/>
    <w:rsid w:val="006D7FCE"/>
    <w:rsid w:val="006E0234"/>
    <w:rsid w:val="006E0361"/>
    <w:rsid w:val="006E048F"/>
    <w:rsid w:val="006E0D63"/>
    <w:rsid w:val="006E0E7C"/>
    <w:rsid w:val="006E113A"/>
    <w:rsid w:val="006E1486"/>
    <w:rsid w:val="006E161E"/>
    <w:rsid w:val="006E164C"/>
    <w:rsid w:val="006E1876"/>
    <w:rsid w:val="006E190F"/>
    <w:rsid w:val="006E1B4D"/>
    <w:rsid w:val="006E224B"/>
    <w:rsid w:val="006E243C"/>
    <w:rsid w:val="006E29B3"/>
    <w:rsid w:val="006E3445"/>
    <w:rsid w:val="006E3A31"/>
    <w:rsid w:val="006E3B5B"/>
    <w:rsid w:val="006E4114"/>
    <w:rsid w:val="006E447B"/>
    <w:rsid w:val="006E4918"/>
    <w:rsid w:val="006E4B1B"/>
    <w:rsid w:val="006E4BE6"/>
    <w:rsid w:val="006E4D43"/>
    <w:rsid w:val="006E50FF"/>
    <w:rsid w:val="006E5115"/>
    <w:rsid w:val="006E520F"/>
    <w:rsid w:val="006E5445"/>
    <w:rsid w:val="006E5E42"/>
    <w:rsid w:val="006E61C3"/>
    <w:rsid w:val="006E63D6"/>
    <w:rsid w:val="006E63FE"/>
    <w:rsid w:val="006E655A"/>
    <w:rsid w:val="006E6586"/>
    <w:rsid w:val="006E659B"/>
    <w:rsid w:val="006E6B6B"/>
    <w:rsid w:val="006E6BA8"/>
    <w:rsid w:val="006E6F28"/>
    <w:rsid w:val="006E6FB1"/>
    <w:rsid w:val="006E727B"/>
    <w:rsid w:val="006E75C7"/>
    <w:rsid w:val="006E7737"/>
    <w:rsid w:val="006E7B70"/>
    <w:rsid w:val="006E7D15"/>
    <w:rsid w:val="006E7D93"/>
    <w:rsid w:val="006F0584"/>
    <w:rsid w:val="006F0649"/>
    <w:rsid w:val="006F0795"/>
    <w:rsid w:val="006F0930"/>
    <w:rsid w:val="006F0CF9"/>
    <w:rsid w:val="006F149D"/>
    <w:rsid w:val="006F1CB1"/>
    <w:rsid w:val="006F2B02"/>
    <w:rsid w:val="006F2BAF"/>
    <w:rsid w:val="006F2EE1"/>
    <w:rsid w:val="006F31F5"/>
    <w:rsid w:val="006F3207"/>
    <w:rsid w:val="006F378F"/>
    <w:rsid w:val="006F3F88"/>
    <w:rsid w:val="006F41DF"/>
    <w:rsid w:val="006F43A3"/>
    <w:rsid w:val="006F4C38"/>
    <w:rsid w:val="006F542F"/>
    <w:rsid w:val="006F54B0"/>
    <w:rsid w:val="006F5B0F"/>
    <w:rsid w:val="006F6CD2"/>
    <w:rsid w:val="006F7426"/>
    <w:rsid w:val="006F799C"/>
    <w:rsid w:val="006F7E0C"/>
    <w:rsid w:val="007000CD"/>
    <w:rsid w:val="00700221"/>
    <w:rsid w:val="0070084E"/>
    <w:rsid w:val="00700D18"/>
    <w:rsid w:val="007013A2"/>
    <w:rsid w:val="007015A8"/>
    <w:rsid w:val="00701676"/>
    <w:rsid w:val="007016FF"/>
    <w:rsid w:val="0070191A"/>
    <w:rsid w:val="007024E3"/>
    <w:rsid w:val="0070256F"/>
    <w:rsid w:val="007029A3"/>
    <w:rsid w:val="00703070"/>
    <w:rsid w:val="00703DA1"/>
    <w:rsid w:val="00704992"/>
    <w:rsid w:val="00704CB6"/>
    <w:rsid w:val="00704E91"/>
    <w:rsid w:val="00704F39"/>
    <w:rsid w:val="00704F47"/>
    <w:rsid w:val="007053C8"/>
    <w:rsid w:val="007054DB"/>
    <w:rsid w:val="0070568B"/>
    <w:rsid w:val="007058B2"/>
    <w:rsid w:val="00705AC6"/>
    <w:rsid w:val="00705B0E"/>
    <w:rsid w:val="00705D55"/>
    <w:rsid w:val="00706004"/>
    <w:rsid w:val="007061DC"/>
    <w:rsid w:val="00706222"/>
    <w:rsid w:val="007066CF"/>
    <w:rsid w:val="0070682A"/>
    <w:rsid w:val="007069F4"/>
    <w:rsid w:val="00706E4E"/>
    <w:rsid w:val="00707413"/>
    <w:rsid w:val="0070791C"/>
    <w:rsid w:val="00707D94"/>
    <w:rsid w:val="00710160"/>
    <w:rsid w:val="00710244"/>
    <w:rsid w:val="007103D3"/>
    <w:rsid w:val="0071080F"/>
    <w:rsid w:val="00710B9D"/>
    <w:rsid w:val="00710F7C"/>
    <w:rsid w:val="00711019"/>
    <w:rsid w:val="00711139"/>
    <w:rsid w:val="007115EB"/>
    <w:rsid w:val="007115F4"/>
    <w:rsid w:val="0071176C"/>
    <w:rsid w:val="00711ED5"/>
    <w:rsid w:val="007121CF"/>
    <w:rsid w:val="00712283"/>
    <w:rsid w:val="00712B57"/>
    <w:rsid w:val="00712CCF"/>
    <w:rsid w:val="00712D96"/>
    <w:rsid w:val="00712F74"/>
    <w:rsid w:val="007132A4"/>
    <w:rsid w:val="0071372D"/>
    <w:rsid w:val="0071383C"/>
    <w:rsid w:val="00713D9D"/>
    <w:rsid w:val="007141A7"/>
    <w:rsid w:val="007143B8"/>
    <w:rsid w:val="00714539"/>
    <w:rsid w:val="007148BE"/>
    <w:rsid w:val="0071499E"/>
    <w:rsid w:val="00714AD0"/>
    <w:rsid w:val="00714BBD"/>
    <w:rsid w:val="00714FD8"/>
    <w:rsid w:val="00715722"/>
    <w:rsid w:val="00715BB9"/>
    <w:rsid w:val="00715C79"/>
    <w:rsid w:val="0071684C"/>
    <w:rsid w:val="00716DE9"/>
    <w:rsid w:val="00716EBD"/>
    <w:rsid w:val="007171FF"/>
    <w:rsid w:val="007175E7"/>
    <w:rsid w:val="0071796B"/>
    <w:rsid w:val="00717DDD"/>
    <w:rsid w:val="007200C5"/>
    <w:rsid w:val="0072016A"/>
    <w:rsid w:val="0072031C"/>
    <w:rsid w:val="007206FF"/>
    <w:rsid w:val="007208D8"/>
    <w:rsid w:val="00720CC8"/>
    <w:rsid w:val="00720FC4"/>
    <w:rsid w:val="00721032"/>
    <w:rsid w:val="0072140C"/>
    <w:rsid w:val="0072144A"/>
    <w:rsid w:val="00721B55"/>
    <w:rsid w:val="00721D72"/>
    <w:rsid w:val="00721FB7"/>
    <w:rsid w:val="00722618"/>
    <w:rsid w:val="0072262E"/>
    <w:rsid w:val="007229D3"/>
    <w:rsid w:val="00722CA9"/>
    <w:rsid w:val="007235CB"/>
    <w:rsid w:val="00723FFE"/>
    <w:rsid w:val="00724119"/>
    <w:rsid w:val="007244B2"/>
    <w:rsid w:val="007246E7"/>
    <w:rsid w:val="0072518B"/>
    <w:rsid w:val="007251F1"/>
    <w:rsid w:val="00725322"/>
    <w:rsid w:val="00725675"/>
    <w:rsid w:val="007261F6"/>
    <w:rsid w:val="00726357"/>
    <w:rsid w:val="00726465"/>
    <w:rsid w:val="0072685A"/>
    <w:rsid w:val="007269A3"/>
    <w:rsid w:val="007269E8"/>
    <w:rsid w:val="00726CE4"/>
    <w:rsid w:val="00726D3C"/>
    <w:rsid w:val="00726F45"/>
    <w:rsid w:val="0072724B"/>
    <w:rsid w:val="007272E2"/>
    <w:rsid w:val="0072754E"/>
    <w:rsid w:val="00727699"/>
    <w:rsid w:val="0072787A"/>
    <w:rsid w:val="00727B57"/>
    <w:rsid w:val="00727C16"/>
    <w:rsid w:val="00727DD8"/>
    <w:rsid w:val="00727FEB"/>
    <w:rsid w:val="007300A5"/>
    <w:rsid w:val="007306A2"/>
    <w:rsid w:val="00730994"/>
    <w:rsid w:val="00730A1C"/>
    <w:rsid w:val="00730E6E"/>
    <w:rsid w:val="00731991"/>
    <w:rsid w:val="00731E1C"/>
    <w:rsid w:val="007323E0"/>
    <w:rsid w:val="00732438"/>
    <w:rsid w:val="00732A3E"/>
    <w:rsid w:val="00732B30"/>
    <w:rsid w:val="007333AE"/>
    <w:rsid w:val="007333B9"/>
    <w:rsid w:val="007335E1"/>
    <w:rsid w:val="0073394E"/>
    <w:rsid w:val="00733B77"/>
    <w:rsid w:val="00734143"/>
    <w:rsid w:val="00734169"/>
    <w:rsid w:val="007342CC"/>
    <w:rsid w:val="007344C4"/>
    <w:rsid w:val="00734EF8"/>
    <w:rsid w:val="007351C3"/>
    <w:rsid w:val="007355D4"/>
    <w:rsid w:val="007356DC"/>
    <w:rsid w:val="00735745"/>
    <w:rsid w:val="007357DD"/>
    <w:rsid w:val="00735B1B"/>
    <w:rsid w:val="00735E3C"/>
    <w:rsid w:val="007365BD"/>
    <w:rsid w:val="00736757"/>
    <w:rsid w:val="00736CD8"/>
    <w:rsid w:val="007370FE"/>
    <w:rsid w:val="00737694"/>
    <w:rsid w:val="007378B1"/>
    <w:rsid w:val="00737E47"/>
    <w:rsid w:val="007404E8"/>
    <w:rsid w:val="00740EAC"/>
    <w:rsid w:val="007412CD"/>
    <w:rsid w:val="00741C2B"/>
    <w:rsid w:val="00742671"/>
    <w:rsid w:val="00742870"/>
    <w:rsid w:val="00742AFC"/>
    <w:rsid w:val="00742B4C"/>
    <w:rsid w:val="00742CF1"/>
    <w:rsid w:val="00742E37"/>
    <w:rsid w:val="00742F3E"/>
    <w:rsid w:val="0074305A"/>
    <w:rsid w:val="0074394E"/>
    <w:rsid w:val="00743BEF"/>
    <w:rsid w:val="00744060"/>
    <w:rsid w:val="007441EB"/>
    <w:rsid w:val="00744418"/>
    <w:rsid w:val="00744956"/>
    <w:rsid w:val="007449D0"/>
    <w:rsid w:val="00744A5E"/>
    <w:rsid w:val="00744F18"/>
    <w:rsid w:val="00745710"/>
    <w:rsid w:val="00745A5C"/>
    <w:rsid w:val="00745A6F"/>
    <w:rsid w:val="00745A90"/>
    <w:rsid w:val="0074605F"/>
    <w:rsid w:val="00746463"/>
    <w:rsid w:val="007467F0"/>
    <w:rsid w:val="007469FE"/>
    <w:rsid w:val="00746A75"/>
    <w:rsid w:val="00746CAB"/>
    <w:rsid w:val="00746F0C"/>
    <w:rsid w:val="00747BD8"/>
    <w:rsid w:val="00747E94"/>
    <w:rsid w:val="0075013D"/>
    <w:rsid w:val="00750502"/>
    <w:rsid w:val="00750719"/>
    <w:rsid w:val="00750CEC"/>
    <w:rsid w:val="00750F05"/>
    <w:rsid w:val="007510CE"/>
    <w:rsid w:val="00751342"/>
    <w:rsid w:val="007515BD"/>
    <w:rsid w:val="00751602"/>
    <w:rsid w:val="00751AEC"/>
    <w:rsid w:val="00751DC1"/>
    <w:rsid w:val="00751E5B"/>
    <w:rsid w:val="0075215F"/>
    <w:rsid w:val="0075246E"/>
    <w:rsid w:val="0075253B"/>
    <w:rsid w:val="007525E8"/>
    <w:rsid w:val="0075276B"/>
    <w:rsid w:val="007527BE"/>
    <w:rsid w:val="00752857"/>
    <w:rsid w:val="00752AB6"/>
    <w:rsid w:val="00752AD3"/>
    <w:rsid w:val="00752B03"/>
    <w:rsid w:val="00752F6D"/>
    <w:rsid w:val="0075300A"/>
    <w:rsid w:val="0075302B"/>
    <w:rsid w:val="007538FB"/>
    <w:rsid w:val="00753AFB"/>
    <w:rsid w:val="00753D44"/>
    <w:rsid w:val="00753E8C"/>
    <w:rsid w:val="007542A3"/>
    <w:rsid w:val="0075460D"/>
    <w:rsid w:val="00754C83"/>
    <w:rsid w:val="0075534E"/>
    <w:rsid w:val="00755459"/>
    <w:rsid w:val="00755BCE"/>
    <w:rsid w:val="00755E71"/>
    <w:rsid w:val="00756048"/>
    <w:rsid w:val="0075627F"/>
    <w:rsid w:val="00756566"/>
    <w:rsid w:val="007567E5"/>
    <w:rsid w:val="0075693F"/>
    <w:rsid w:val="00756974"/>
    <w:rsid w:val="0075730F"/>
    <w:rsid w:val="00757389"/>
    <w:rsid w:val="00760066"/>
    <w:rsid w:val="00760440"/>
    <w:rsid w:val="00760C0F"/>
    <w:rsid w:val="00760D15"/>
    <w:rsid w:val="00761079"/>
    <w:rsid w:val="0076117F"/>
    <w:rsid w:val="00761E91"/>
    <w:rsid w:val="00762FBD"/>
    <w:rsid w:val="00763477"/>
    <w:rsid w:val="0076358B"/>
    <w:rsid w:val="0076373B"/>
    <w:rsid w:val="0076382A"/>
    <w:rsid w:val="00764154"/>
    <w:rsid w:val="007641B3"/>
    <w:rsid w:val="00764684"/>
    <w:rsid w:val="0076505D"/>
    <w:rsid w:val="007652CF"/>
    <w:rsid w:val="0076534E"/>
    <w:rsid w:val="00765BF1"/>
    <w:rsid w:val="00765C17"/>
    <w:rsid w:val="00765DF8"/>
    <w:rsid w:val="00765E77"/>
    <w:rsid w:val="00765F2B"/>
    <w:rsid w:val="00766243"/>
    <w:rsid w:val="00766504"/>
    <w:rsid w:val="0076664C"/>
    <w:rsid w:val="00766749"/>
    <w:rsid w:val="00766C33"/>
    <w:rsid w:val="00766D28"/>
    <w:rsid w:val="007677E6"/>
    <w:rsid w:val="007678D0"/>
    <w:rsid w:val="007678D1"/>
    <w:rsid w:val="007679AD"/>
    <w:rsid w:val="00767C1B"/>
    <w:rsid w:val="00767CAC"/>
    <w:rsid w:val="00767CEE"/>
    <w:rsid w:val="00767D09"/>
    <w:rsid w:val="00767DF9"/>
    <w:rsid w:val="00767E9E"/>
    <w:rsid w:val="007701B8"/>
    <w:rsid w:val="00770CB1"/>
    <w:rsid w:val="00771226"/>
    <w:rsid w:val="007714A9"/>
    <w:rsid w:val="007716AB"/>
    <w:rsid w:val="00771F76"/>
    <w:rsid w:val="00772021"/>
    <w:rsid w:val="00772126"/>
    <w:rsid w:val="0077221D"/>
    <w:rsid w:val="00772993"/>
    <w:rsid w:val="00772E93"/>
    <w:rsid w:val="00773EC1"/>
    <w:rsid w:val="00773F01"/>
    <w:rsid w:val="00773FB7"/>
    <w:rsid w:val="0077443F"/>
    <w:rsid w:val="00774BB2"/>
    <w:rsid w:val="00774F88"/>
    <w:rsid w:val="00774FDB"/>
    <w:rsid w:val="0077533E"/>
    <w:rsid w:val="00775560"/>
    <w:rsid w:val="0077559E"/>
    <w:rsid w:val="007756B4"/>
    <w:rsid w:val="00775A60"/>
    <w:rsid w:val="00775B4A"/>
    <w:rsid w:val="0077609B"/>
    <w:rsid w:val="007764EF"/>
    <w:rsid w:val="00776862"/>
    <w:rsid w:val="00776AB0"/>
    <w:rsid w:val="00776E08"/>
    <w:rsid w:val="007777FF"/>
    <w:rsid w:val="00777B6A"/>
    <w:rsid w:val="00777BA2"/>
    <w:rsid w:val="00777FDE"/>
    <w:rsid w:val="007800F2"/>
    <w:rsid w:val="00780118"/>
    <w:rsid w:val="00780282"/>
    <w:rsid w:val="007803BD"/>
    <w:rsid w:val="00780803"/>
    <w:rsid w:val="00780AA5"/>
    <w:rsid w:val="00781408"/>
    <w:rsid w:val="0078141C"/>
    <w:rsid w:val="00781BEF"/>
    <w:rsid w:val="00781E49"/>
    <w:rsid w:val="00781FD0"/>
    <w:rsid w:val="007825EB"/>
    <w:rsid w:val="007826D5"/>
    <w:rsid w:val="00782EA7"/>
    <w:rsid w:val="00782EFC"/>
    <w:rsid w:val="00783131"/>
    <w:rsid w:val="007834C7"/>
    <w:rsid w:val="00783534"/>
    <w:rsid w:val="007835D5"/>
    <w:rsid w:val="00784268"/>
    <w:rsid w:val="007846E9"/>
    <w:rsid w:val="00784C93"/>
    <w:rsid w:val="00784CCE"/>
    <w:rsid w:val="00784F7F"/>
    <w:rsid w:val="007853DD"/>
    <w:rsid w:val="0078544D"/>
    <w:rsid w:val="0078563E"/>
    <w:rsid w:val="00785757"/>
    <w:rsid w:val="00785935"/>
    <w:rsid w:val="00785CFB"/>
    <w:rsid w:val="00785F7B"/>
    <w:rsid w:val="0078681D"/>
    <w:rsid w:val="00786A4A"/>
    <w:rsid w:val="00786F04"/>
    <w:rsid w:val="0078767B"/>
    <w:rsid w:val="00787743"/>
    <w:rsid w:val="007878BD"/>
    <w:rsid w:val="00787C86"/>
    <w:rsid w:val="00790056"/>
    <w:rsid w:val="007903BD"/>
    <w:rsid w:val="00790752"/>
    <w:rsid w:val="0079085E"/>
    <w:rsid w:val="0079118B"/>
    <w:rsid w:val="007912CB"/>
    <w:rsid w:val="007916F4"/>
    <w:rsid w:val="00791838"/>
    <w:rsid w:val="007918F7"/>
    <w:rsid w:val="007919E4"/>
    <w:rsid w:val="00791A35"/>
    <w:rsid w:val="00791C7D"/>
    <w:rsid w:val="00791F9A"/>
    <w:rsid w:val="007921CB"/>
    <w:rsid w:val="007921FB"/>
    <w:rsid w:val="00792F51"/>
    <w:rsid w:val="00793A9D"/>
    <w:rsid w:val="00793D8C"/>
    <w:rsid w:val="00793DFD"/>
    <w:rsid w:val="0079442E"/>
    <w:rsid w:val="00794490"/>
    <w:rsid w:val="007944CA"/>
    <w:rsid w:val="00794608"/>
    <w:rsid w:val="00794D0A"/>
    <w:rsid w:val="007951F8"/>
    <w:rsid w:val="00795A19"/>
    <w:rsid w:val="00795AFC"/>
    <w:rsid w:val="007961C4"/>
    <w:rsid w:val="00796A02"/>
    <w:rsid w:val="00796C4C"/>
    <w:rsid w:val="00796F25"/>
    <w:rsid w:val="00797676"/>
    <w:rsid w:val="007976D2"/>
    <w:rsid w:val="00797B41"/>
    <w:rsid w:val="00797DFB"/>
    <w:rsid w:val="00797F18"/>
    <w:rsid w:val="007A00F3"/>
    <w:rsid w:val="007A0A16"/>
    <w:rsid w:val="007A102F"/>
    <w:rsid w:val="007A1074"/>
    <w:rsid w:val="007A17FB"/>
    <w:rsid w:val="007A1856"/>
    <w:rsid w:val="007A1AA8"/>
    <w:rsid w:val="007A1CF3"/>
    <w:rsid w:val="007A2098"/>
    <w:rsid w:val="007A23B5"/>
    <w:rsid w:val="007A241B"/>
    <w:rsid w:val="007A2435"/>
    <w:rsid w:val="007A27BB"/>
    <w:rsid w:val="007A2A4C"/>
    <w:rsid w:val="007A2ADC"/>
    <w:rsid w:val="007A2B62"/>
    <w:rsid w:val="007A2E98"/>
    <w:rsid w:val="007A3263"/>
    <w:rsid w:val="007A3772"/>
    <w:rsid w:val="007A3796"/>
    <w:rsid w:val="007A3BA3"/>
    <w:rsid w:val="007A3BEE"/>
    <w:rsid w:val="007A4188"/>
    <w:rsid w:val="007A443D"/>
    <w:rsid w:val="007A4F06"/>
    <w:rsid w:val="007A516D"/>
    <w:rsid w:val="007A51D1"/>
    <w:rsid w:val="007A52DC"/>
    <w:rsid w:val="007A556D"/>
    <w:rsid w:val="007A55F0"/>
    <w:rsid w:val="007A58D2"/>
    <w:rsid w:val="007A591B"/>
    <w:rsid w:val="007A635D"/>
    <w:rsid w:val="007A6CC0"/>
    <w:rsid w:val="007A6E64"/>
    <w:rsid w:val="007A78A6"/>
    <w:rsid w:val="007A7B25"/>
    <w:rsid w:val="007A7B2A"/>
    <w:rsid w:val="007A7B97"/>
    <w:rsid w:val="007A7BF4"/>
    <w:rsid w:val="007A7FEC"/>
    <w:rsid w:val="007B036D"/>
    <w:rsid w:val="007B0663"/>
    <w:rsid w:val="007B0700"/>
    <w:rsid w:val="007B0928"/>
    <w:rsid w:val="007B0B47"/>
    <w:rsid w:val="007B0BCC"/>
    <w:rsid w:val="007B111C"/>
    <w:rsid w:val="007B1159"/>
    <w:rsid w:val="007B1499"/>
    <w:rsid w:val="007B1654"/>
    <w:rsid w:val="007B1BBF"/>
    <w:rsid w:val="007B1BE0"/>
    <w:rsid w:val="007B1F1B"/>
    <w:rsid w:val="007B258D"/>
    <w:rsid w:val="007B2960"/>
    <w:rsid w:val="007B2A05"/>
    <w:rsid w:val="007B2D5A"/>
    <w:rsid w:val="007B2F4F"/>
    <w:rsid w:val="007B300B"/>
    <w:rsid w:val="007B33EF"/>
    <w:rsid w:val="007B355D"/>
    <w:rsid w:val="007B38D6"/>
    <w:rsid w:val="007B3992"/>
    <w:rsid w:val="007B3BC2"/>
    <w:rsid w:val="007B4644"/>
    <w:rsid w:val="007B477C"/>
    <w:rsid w:val="007B49F7"/>
    <w:rsid w:val="007B516E"/>
    <w:rsid w:val="007B579C"/>
    <w:rsid w:val="007B5B9C"/>
    <w:rsid w:val="007B5D20"/>
    <w:rsid w:val="007B6741"/>
    <w:rsid w:val="007B6BA8"/>
    <w:rsid w:val="007B6E82"/>
    <w:rsid w:val="007B6FDC"/>
    <w:rsid w:val="007B72A8"/>
    <w:rsid w:val="007B788C"/>
    <w:rsid w:val="007B792C"/>
    <w:rsid w:val="007B7980"/>
    <w:rsid w:val="007B79A3"/>
    <w:rsid w:val="007B79CC"/>
    <w:rsid w:val="007B7B81"/>
    <w:rsid w:val="007C00B9"/>
    <w:rsid w:val="007C0658"/>
    <w:rsid w:val="007C0715"/>
    <w:rsid w:val="007C0ABA"/>
    <w:rsid w:val="007C0B07"/>
    <w:rsid w:val="007C0DEF"/>
    <w:rsid w:val="007C1251"/>
    <w:rsid w:val="007C1AD3"/>
    <w:rsid w:val="007C297B"/>
    <w:rsid w:val="007C3ACA"/>
    <w:rsid w:val="007C3B13"/>
    <w:rsid w:val="007C3E9D"/>
    <w:rsid w:val="007C473A"/>
    <w:rsid w:val="007C47C1"/>
    <w:rsid w:val="007C49B5"/>
    <w:rsid w:val="007C4C45"/>
    <w:rsid w:val="007C528A"/>
    <w:rsid w:val="007C534F"/>
    <w:rsid w:val="007C5683"/>
    <w:rsid w:val="007C56B6"/>
    <w:rsid w:val="007C58F2"/>
    <w:rsid w:val="007C5A32"/>
    <w:rsid w:val="007C5D5A"/>
    <w:rsid w:val="007C5FBA"/>
    <w:rsid w:val="007C607F"/>
    <w:rsid w:val="007C610F"/>
    <w:rsid w:val="007C613D"/>
    <w:rsid w:val="007C6141"/>
    <w:rsid w:val="007C633E"/>
    <w:rsid w:val="007C6819"/>
    <w:rsid w:val="007C6885"/>
    <w:rsid w:val="007C711B"/>
    <w:rsid w:val="007C7777"/>
    <w:rsid w:val="007C77FF"/>
    <w:rsid w:val="007C79DD"/>
    <w:rsid w:val="007C7CA0"/>
    <w:rsid w:val="007C7CD4"/>
    <w:rsid w:val="007C7D28"/>
    <w:rsid w:val="007D027A"/>
    <w:rsid w:val="007D05C3"/>
    <w:rsid w:val="007D0DFE"/>
    <w:rsid w:val="007D12F2"/>
    <w:rsid w:val="007D1A97"/>
    <w:rsid w:val="007D1FB0"/>
    <w:rsid w:val="007D22A2"/>
    <w:rsid w:val="007D243C"/>
    <w:rsid w:val="007D2582"/>
    <w:rsid w:val="007D26B6"/>
    <w:rsid w:val="007D2800"/>
    <w:rsid w:val="007D2CD4"/>
    <w:rsid w:val="007D2CD6"/>
    <w:rsid w:val="007D2F77"/>
    <w:rsid w:val="007D3063"/>
    <w:rsid w:val="007D381B"/>
    <w:rsid w:val="007D3CEB"/>
    <w:rsid w:val="007D47D9"/>
    <w:rsid w:val="007D47F8"/>
    <w:rsid w:val="007D4950"/>
    <w:rsid w:val="007D4AC7"/>
    <w:rsid w:val="007D4DAC"/>
    <w:rsid w:val="007D5765"/>
    <w:rsid w:val="007D57F6"/>
    <w:rsid w:val="007D5F04"/>
    <w:rsid w:val="007D5F3E"/>
    <w:rsid w:val="007D6628"/>
    <w:rsid w:val="007D6822"/>
    <w:rsid w:val="007D68B7"/>
    <w:rsid w:val="007D7271"/>
    <w:rsid w:val="007D7B0F"/>
    <w:rsid w:val="007D7C29"/>
    <w:rsid w:val="007E005E"/>
    <w:rsid w:val="007E03EE"/>
    <w:rsid w:val="007E055A"/>
    <w:rsid w:val="007E06EA"/>
    <w:rsid w:val="007E08F4"/>
    <w:rsid w:val="007E0D19"/>
    <w:rsid w:val="007E0F6C"/>
    <w:rsid w:val="007E12C2"/>
    <w:rsid w:val="007E12CE"/>
    <w:rsid w:val="007E1423"/>
    <w:rsid w:val="007E1431"/>
    <w:rsid w:val="007E1478"/>
    <w:rsid w:val="007E1AEE"/>
    <w:rsid w:val="007E253F"/>
    <w:rsid w:val="007E268B"/>
    <w:rsid w:val="007E28B3"/>
    <w:rsid w:val="007E28C7"/>
    <w:rsid w:val="007E2F91"/>
    <w:rsid w:val="007E311E"/>
    <w:rsid w:val="007E3413"/>
    <w:rsid w:val="007E38A4"/>
    <w:rsid w:val="007E42B2"/>
    <w:rsid w:val="007E4378"/>
    <w:rsid w:val="007E43E1"/>
    <w:rsid w:val="007E4700"/>
    <w:rsid w:val="007E4B7B"/>
    <w:rsid w:val="007E4BBD"/>
    <w:rsid w:val="007E4E6A"/>
    <w:rsid w:val="007E55F4"/>
    <w:rsid w:val="007E5605"/>
    <w:rsid w:val="007E5D97"/>
    <w:rsid w:val="007E6189"/>
    <w:rsid w:val="007E65C0"/>
    <w:rsid w:val="007E6806"/>
    <w:rsid w:val="007E69B3"/>
    <w:rsid w:val="007E6B17"/>
    <w:rsid w:val="007E7092"/>
    <w:rsid w:val="007E70A6"/>
    <w:rsid w:val="007E7683"/>
    <w:rsid w:val="007E7A0B"/>
    <w:rsid w:val="007E7ACE"/>
    <w:rsid w:val="007F02F8"/>
    <w:rsid w:val="007F068B"/>
    <w:rsid w:val="007F10AD"/>
    <w:rsid w:val="007F1132"/>
    <w:rsid w:val="007F123E"/>
    <w:rsid w:val="007F19E5"/>
    <w:rsid w:val="007F1A09"/>
    <w:rsid w:val="007F1AE9"/>
    <w:rsid w:val="007F1E93"/>
    <w:rsid w:val="007F28AE"/>
    <w:rsid w:val="007F3368"/>
    <w:rsid w:val="007F3405"/>
    <w:rsid w:val="007F3687"/>
    <w:rsid w:val="007F42FF"/>
    <w:rsid w:val="007F450D"/>
    <w:rsid w:val="007F4754"/>
    <w:rsid w:val="007F496B"/>
    <w:rsid w:val="007F49FA"/>
    <w:rsid w:val="007F4F3F"/>
    <w:rsid w:val="007F54C4"/>
    <w:rsid w:val="007F5539"/>
    <w:rsid w:val="007F5626"/>
    <w:rsid w:val="007F5823"/>
    <w:rsid w:val="007F5DB8"/>
    <w:rsid w:val="007F5F84"/>
    <w:rsid w:val="007F5FF6"/>
    <w:rsid w:val="007F63F9"/>
    <w:rsid w:val="007F6E9A"/>
    <w:rsid w:val="007F70EB"/>
    <w:rsid w:val="007F750B"/>
    <w:rsid w:val="007F77A0"/>
    <w:rsid w:val="007F7991"/>
    <w:rsid w:val="007F799A"/>
    <w:rsid w:val="00800647"/>
    <w:rsid w:val="00800A7F"/>
    <w:rsid w:val="008010CB"/>
    <w:rsid w:val="008012DB"/>
    <w:rsid w:val="00801E32"/>
    <w:rsid w:val="0080223C"/>
    <w:rsid w:val="00802241"/>
    <w:rsid w:val="008023C1"/>
    <w:rsid w:val="008023EB"/>
    <w:rsid w:val="00802497"/>
    <w:rsid w:val="00802DC1"/>
    <w:rsid w:val="00802E81"/>
    <w:rsid w:val="00803392"/>
    <w:rsid w:val="0080400A"/>
    <w:rsid w:val="008041DB"/>
    <w:rsid w:val="008044B0"/>
    <w:rsid w:val="008044D4"/>
    <w:rsid w:val="008045DC"/>
    <w:rsid w:val="0080461D"/>
    <w:rsid w:val="00804833"/>
    <w:rsid w:val="00804B67"/>
    <w:rsid w:val="00804C21"/>
    <w:rsid w:val="00804DA8"/>
    <w:rsid w:val="0080506C"/>
    <w:rsid w:val="0080603B"/>
    <w:rsid w:val="00806686"/>
    <w:rsid w:val="00806835"/>
    <w:rsid w:val="00806B2F"/>
    <w:rsid w:val="00807059"/>
    <w:rsid w:val="00807B75"/>
    <w:rsid w:val="00807CB9"/>
    <w:rsid w:val="00807DE2"/>
    <w:rsid w:val="00807ED2"/>
    <w:rsid w:val="00810445"/>
    <w:rsid w:val="00810AB4"/>
    <w:rsid w:val="00810CDA"/>
    <w:rsid w:val="008111D8"/>
    <w:rsid w:val="0081172E"/>
    <w:rsid w:val="00812140"/>
    <w:rsid w:val="008121E9"/>
    <w:rsid w:val="0081299A"/>
    <w:rsid w:val="00812CB3"/>
    <w:rsid w:val="008131EB"/>
    <w:rsid w:val="008135E0"/>
    <w:rsid w:val="00813712"/>
    <w:rsid w:val="00813809"/>
    <w:rsid w:val="00813DA8"/>
    <w:rsid w:val="008140F7"/>
    <w:rsid w:val="00814272"/>
    <w:rsid w:val="0081444A"/>
    <w:rsid w:val="00814452"/>
    <w:rsid w:val="0081474A"/>
    <w:rsid w:val="00814B62"/>
    <w:rsid w:val="00814CF1"/>
    <w:rsid w:val="00814D40"/>
    <w:rsid w:val="00814D4D"/>
    <w:rsid w:val="00814DA0"/>
    <w:rsid w:val="00815112"/>
    <w:rsid w:val="00815463"/>
    <w:rsid w:val="00815878"/>
    <w:rsid w:val="00815CD2"/>
    <w:rsid w:val="00815E58"/>
    <w:rsid w:val="008161DE"/>
    <w:rsid w:val="008163AE"/>
    <w:rsid w:val="00816923"/>
    <w:rsid w:val="00817176"/>
    <w:rsid w:val="008171A2"/>
    <w:rsid w:val="0081737B"/>
    <w:rsid w:val="00817862"/>
    <w:rsid w:val="00817B56"/>
    <w:rsid w:val="00817DB8"/>
    <w:rsid w:val="00820B1D"/>
    <w:rsid w:val="00820EA0"/>
    <w:rsid w:val="00821645"/>
    <w:rsid w:val="00821A88"/>
    <w:rsid w:val="0082214D"/>
    <w:rsid w:val="00822330"/>
    <w:rsid w:val="0082264C"/>
    <w:rsid w:val="00822711"/>
    <w:rsid w:val="00822830"/>
    <w:rsid w:val="00822964"/>
    <w:rsid w:val="00822EEA"/>
    <w:rsid w:val="008233A7"/>
    <w:rsid w:val="008234B1"/>
    <w:rsid w:val="008239E7"/>
    <w:rsid w:val="00823AF4"/>
    <w:rsid w:val="00823C1E"/>
    <w:rsid w:val="00824291"/>
    <w:rsid w:val="0082440C"/>
    <w:rsid w:val="00824744"/>
    <w:rsid w:val="0082495D"/>
    <w:rsid w:val="00824E79"/>
    <w:rsid w:val="00824F96"/>
    <w:rsid w:val="008255EA"/>
    <w:rsid w:val="00825C58"/>
    <w:rsid w:val="00825C69"/>
    <w:rsid w:val="00825F78"/>
    <w:rsid w:val="00825F8D"/>
    <w:rsid w:val="00825FA5"/>
    <w:rsid w:val="00826240"/>
    <w:rsid w:val="00826641"/>
    <w:rsid w:val="00826B12"/>
    <w:rsid w:val="00826B48"/>
    <w:rsid w:val="008271C5"/>
    <w:rsid w:val="008278FE"/>
    <w:rsid w:val="008279B2"/>
    <w:rsid w:val="00827CCE"/>
    <w:rsid w:val="00827ECA"/>
    <w:rsid w:val="00827F49"/>
    <w:rsid w:val="008300DC"/>
    <w:rsid w:val="00830163"/>
    <w:rsid w:val="00830C1C"/>
    <w:rsid w:val="00831133"/>
    <w:rsid w:val="008316D0"/>
    <w:rsid w:val="00831AC3"/>
    <w:rsid w:val="008321DA"/>
    <w:rsid w:val="0083252D"/>
    <w:rsid w:val="008327B5"/>
    <w:rsid w:val="00832943"/>
    <w:rsid w:val="00832CC8"/>
    <w:rsid w:val="00832F27"/>
    <w:rsid w:val="008333AE"/>
    <w:rsid w:val="008333F6"/>
    <w:rsid w:val="00833401"/>
    <w:rsid w:val="00833486"/>
    <w:rsid w:val="008334DF"/>
    <w:rsid w:val="008334F7"/>
    <w:rsid w:val="0083362E"/>
    <w:rsid w:val="008343CD"/>
    <w:rsid w:val="00834714"/>
    <w:rsid w:val="008350AA"/>
    <w:rsid w:val="00835321"/>
    <w:rsid w:val="008357C1"/>
    <w:rsid w:val="0083582F"/>
    <w:rsid w:val="008358AF"/>
    <w:rsid w:val="00835B1B"/>
    <w:rsid w:val="00835E98"/>
    <w:rsid w:val="008360E3"/>
    <w:rsid w:val="0083614A"/>
    <w:rsid w:val="00836444"/>
    <w:rsid w:val="0083652C"/>
    <w:rsid w:val="00836917"/>
    <w:rsid w:val="00836BD4"/>
    <w:rsid w:val="00836BEE"/>
    <w:rsid w:val="00836D7C"/>
    <w:rsid w:val="00836F0E"/>
    <w:rsid w:val="008370E8"/>
    <w:rsid w:val="008371CC"/>
    <w:rsid w:val="0083739F"/>
    <w:rsid w:val="00837E8A"/>
    <w:rsid w:val="008402D6"/>
    <w:rsid w:val="00840579"/>
    <w:rsid w:val="008408FF"/>
    <w:rsid w:val="00840966"/>
    <w:rsid w:val="00840A6D"/>
    <w:rsid w:val="0084138C"/>
    <w:rsid w:val="00841827"/>
    <w:rsid w:val="00841D41"/>
    <w:rsid w:val="00841EE3"/>
    <w:rsid w:val="0084242D"/>
    <w:rsid w:val="008424FA"/>
    <w:rsid w:val="0084259A"/>
    <w:rsid w:val="008428E0"/>
    <w:rsid w:val="00842CA1"/>
    <w:rsid w:val="00843027"/>
    <w:rsid w:val="00843160"/>
    <w:rsid w:val="00843C96"/>
    <w:rsid w:val="00843E8B"/>
    <w:rsid w:val="00843EC1"/>
    <w:rsid w:val="0084401C"/>
    <w:rsid w:val="008441D8"/>
    <w:rsid w:val="008444AE"/>
    <w:rsid w:val="008444F6"/>
    <w:rsid w:val="008445FB"/>
    <w:rsid w:val="00844615"/>
    <w:rsid w:val="008446E0"/>
    <w:rsid w:val="00844848"/>
    <w:rsid w:val="00844869"/>
    <w:rsid w:val="00844B52"/>
    <w:rsid w:val="00844FAD"/>
    <w:rsid w:val="0084523B"/>
    <w:rsid w:val="00845ABE"/>
    <w:rsid w:val="00845BC5"/>
    <w:rsid w:val="008460FB"/>
    <w:rsid w:val="008464F0"/>
    <w:rsid w:val="00846B03"/>
    <w:rsid w:val="00846B14"/>
    <w:rsid w:val="0084740B"/>
    <w:rsid w:val="008474E3"/>
    <w:rsid w:val="0084769C"/>
    <w:rsid w:val="008477CF"/>
    <w:rsid w:val="0084784C"/>
    <w:rsid w:val="008478B4"/>
    <w:rsid w:val="00847C59"/>
    <w:rsid w:val="00847DCA"/>
    <w:rsid w:val="008504DB"/>
    <w:rsid w:val="008506FD"/>
    <w:rsid w:val="00850A15"/>
    <w:rsid w:val="00850A4B"/>
    <w:rsid w:val="00850AAB"/>
    <w:rsid w:val="00850D5F"/>
    <w:rsid w:val="00851C18"/>
    <w:rsid w:val="00851F3F"/>
    <w:rsid w:val="00851F6D"/>
    <w:rsid w:val="00852337"/>
    <w:rsid w:val="00852665"/>
    <w:rsid w:val="00852E08"/>
    <w:rsid w:val="0085303F"/>
    <w:rsid w:val="00853E3C"/>
    <w:rsid w:val="00853E51"/>
    <w:rsid w:val="008540E9"/>
    <w:rsid w:val="008543DB"/>
    <w:rsid w:val="00854677"/>
    <w:rsid w:val="00854D88"/>
    <w:rsid w:val="00854F23"/>
    <w:rsid w:val="0085542A"/>
    <w:rsid w:val="00855E0A"/>
    <w:rsid w:val="00855F83"/>
    <w:rsid w:val="00856119"/>
    <w:rsid w:val="00856A0D"/>
    <w:rsid w:val="00856E1C"/>
    <w:rsid w:val="00856EDC"/>
    <w:rsid w:val="008579AB"/>
    <w:rsid w:val="008600BF"/>
    <w:rsid w:val="008600FC"/>
    <w:rsid w:val="008602F8"/>
    <w:rsid w:val="008606C8"/>
    <w:rsid w:val="00860AE2"/>
    <w:rsid w:val="00860DF2"/>
    <w:rsid w:val="00860E95"/>
    <w:rsid w:val="00860F70"/>
    <w:rsid w:val="00860FE8"/>
    <w:rsid w:val="008610D7"/>
    <w:rsid w:val="008616F7"/>
    <w:rsid w:val="008618A9"/>
    <w:rsid w:val="008623B5"/>
    <w:rsid w:val="008624E0"/>
    <w:rsid w:val="00862758"/>
    <w:rsid w:val="0086290F"/>
    <w:rsid w:val="00862B0E"/>
    <w:rsid w:val="00862B6F"/>
    <w:rsid w:val="00862DF4"/>
    <w:rsid w:val="00863251"/>
    <w:rsid w:val="00863342"/>
    <w:rsid w:val="0086351E"/>
    <w:rsid w:val="00863A8A"/>
    <w:rsid w:val="00863B49"/>
    <w:rsid w:val="00863CB0"/>
    <w:rsid w:val="00863CCC"/>
    <w:rsid w:val="00863D68"/>
    <w:rsid w:val="00863E31"/>
    <w:rsid w:val="00863E78"/>
    <w:rsid w:val="00863F47"/>
    <w:rsid w:val="008641A5"/>
    <w:rsid w:val="008643C3"/>
    <w:rsid w:val="0086445B"/>
    <w:rsid w:val="00864CAA"/>
    <w:rsid w:val="00864FEF"/>
    <w:rsid w:val="00865143"/>
    <w:rsid w:val="00865494"/>
    <w:rsid w:val="008656CF"/>
    <w:rsid w:val="00865B39"/>
    <w:rsid w:val="00866D3B"/>
    <w:rsid w:val="0086702B"/>
    <w:rsid w:val="008677DE"/>
    <w:rsid w:val="00867C96"/>
    <w:rsid w:val="00867EE8"/>
    <w:rsid w:val="00870937"/>
    <w:rsid w:val="00870ABA"/>
    <w:rsid w:val="00870E53"/>
    <w:rsid w:val="00870F63"/>
    <w:rsid w:val="0087107B"/>
    <w:rsid w:val="008710E1"/>
    <w:rsid w:val="008712BC"/>
    <w:rsid w:val="008713AA"/>
    <w:rsid w:val="008716E5"/>
    <w:rsid w:val="008717CB"/>
    <w:rsid w:val="008720AB"/>
    <w:rsid w:val="008720FB"/>
    <w:rsid w:val="00872284"/>
    <w:rsid w:val="0087232C"/>
    <w:rsid w:val="00872A8A"/>
    <w:rsid w:val="00872AFA"/>
    <w:rsid w:val="00873BC3"/>
    <w:rsid w:val="008743BE"/>
    <w:rsid w:val="008749FA"/>
    <w:rsid w:val="00874FEB"/>
    <w:rsid w:val="00875115"/>
    <w:rsid w:val="008754C7"/>
    <w:rsid w:val="00875697"/>
    <w:rsid w:val="00875861"/>
    <w:rsid w:val="00875938"/>
    <w:rsid w:val="00875A0C"/>
    <w:rsid w:val="00875AEB"/>
    <w:rsid w:val="00875C5D"/>
    <w:rsid w:val="008765F6"/>
    <w:rsid w:val="00876A2C"/>
    <w:rsid w:val="00876BF5"/>
    <w:rsid w:val="00877515"/>
    <w:rsid w:val="008775B2"/>
    <w:rsid w:val="00877627"/>
    <w:rsid w:val="00877807"/>
    <w:rsid w:val="008778A6"/>
    <w:rsid w:val="008779D5"/>
    <w:rsid w:val="00877A7D"/>
    <w:rsid w:val="00877FF2"/>
    <w:rsid w:val="00880180"/>
    <w:rsid w:val="00880204"/>
    <w:rsid w:val="00880248"/>
    <w:rsid w:val="008803FE"/>
    <w:rsid w:val="008812E7"/>
    <w:rsid w:val="008818A6"/>
    <w:rsid w:val="00881CA9"/>
    <w:rsid w:val="00881E4A"/>
    <w:rsid w:val="008823DA"/>
    <w:rsid w:val="00882C33"/>
    <w:rsid w:val="00882E17"/>
    <w:rsid w:val="00883441"/>
    <w:rsid w:val="0088347D"/>
    <w:rsid w:val="00883511"/>
    <w:rsid w:val="00883628"/>
    <w:rsid w:val="00883A72"/>
    <w:rsid w:val="00883B95"/>
    <w:rsid w:val="00883E7F"/>
    <w:rsid w:val="00884089"/>
    <w:rsid w:val="0088444E"/>
    <w:rsid w:val="0088477E"/>
    <w:rsid w:val="00884DF1"/>
    <w:rsid w:val="008854C3"/>
    <w:rsid w:val="00885544"/>
    <w:rsid w:val="00886039"/>
    <w:rsid w:val="008862A9"/>
    <w:rsid w:val="0088634E"/>
    <w:rsid w:val="008863B5"/>
    <w:rsid w:val="008863B6"/>
    <w:rsid w:val="008867A7"/>
    <w:rsid w:val="00886BCC"/>
    <w:rsid w:val="008873B7"/>
    <w:rsid w:val="0088767A"/>
    <w:rsid w:val="00887717"/>
    <w:rsid w:val="008877B6"/>
    <w:rsid w:val="00887A04"/>
    <w:rsid w:val="00887B0F"/>
    <w:rsid w:val="00887C01"/>
    <w:rsid w:val="00887EB0"/>
    <w:rsid w:val="00890124"/>
    <w:rsid w:val="00890A25"/>
    <w:rsid w:val="00890AD1"/>
    <w:rsid w:val="00890D09"/>
    <w:rsid w:val="00890D68"/>
    <w:rsid w:val="00890D6F"/>
    <w:rsid w:val="00890F31"/>
    <w:rsid w:val="00891108"/>
    <w:rsid w:val="008911CF"/>
    <w:rsid w:val="0089137E"/>
    <w:rsid w:val="00891392"/>
    <w:rsid w:val="00891BA1"/>
    <w:rsid w:val="00892897"/>
    <w:rsid w:val="00892B79"/>
    <w:rsid w:val="00893AB8"/>
    <w:rsid w:val="00893DA2"/>
    <w:rsid w:val="00894245"/>
    <w:rsid w:val="00894562"/>
    <w:rsid w:val="0089456D"/>
    <w:rsid w:val="00894B28"/>
    <w:rsid w:val="00894D74"/>
    <w:rsid w:val="00895439"/>
    <w:rsid w:val="00895B92"/>
    <w:rsid w:val="00895D88"/>
    <w:rsid w:val="008964D6"/>
    <w:rsid w:val="00896BAC"/>
    <w:rsid w:val="00896CB6"/>
    <w:rsid w:val="00896E1C"/>
    <w:rsid w:val="0089706B"/>
    <w:rsid w:val="00897427"/>
    <w:rsid w:val="0089742B"/>
    <w:rsid w:val="00897D25"/>
    <w:rsid w:val="00897E53"/>
    <w:rsid w:val="00897EBE"/>
    <w:rsid w:val="008A01A0"/>
    <w:rsid w:val="008A04C8"/>
    <w:rsid w:val="008A08D8"/>
    <w:rsid w:val="008A0B01"/>
    <w:rsid w:val="008A11E4"/>
    <w:rsid w:val="008A1478"/>
    <w:rsid w:val="008A1527"/>
    <w:rsid w:val="008A1555"/>
    <w:rsid w:val="008A1838"/>
    <w:rsid w:val="008A199D"/>
    <w:rsid w:val="008A1A2A"/>
    <w:rsid w:val="008A1D3E"/>
    <w:rsid w:val="008A1FCC"/>
    <w:rsid w:val="008A2164"/>
    <w:rsid w:val="008A21A4"/>
    <w:rsid w:val="008A2282"/>
    <w:rsid w:val="008A2387"/>
    <w:rsid w:val="008A2417"/>
    <w:rsid w:val="008A2740"/>
    <w:rsid w:val="008A29E2"/>
    <w:rsid w:val="008A3150"/>
    <w:rsid w:val="008A3189"/>
    <w:rsid w:val="008A36DA"/>
    <w:rsid w:val="008A3954"/>
    <w:rsid w:val="008A3C29"/>
    <w:rsid w:val="008A3C75"/>
    <w:rsid w:val="008A3F77"/>
    <w:rsid w:val="008A40B1"/>
    <w:rsid w:val="008A40B8"/>
    <w:rsid w:val="008A4A0E"/>
    <w:rsid w:val="008A4A5F"/>
    <w:rsid w:val="008A508A"/>
    <w:rsid w:val="008A5BD0"/>
    <w:rsid w:val="008A5BE7"/>
    <w:rsid w:val="008A6603"/>
    <w:rsid w:val="008A6913"/>
    <w:rsid w:val="008A6A03"/>
    <w:rsid w:val="008A6F3D"/>
    <w:rsid w:val="008A7B76"/>
    <w:rsid w:val="008A7D92"/>
    <w:rsid w:val="008B0279"/>
    <w:rsid w:val="008B0328"/>
    <w:rsid w:val="008B03FE"/>
    <w:rsid w:val="008B12DF"/>
    <w:rsid w:val="008B1F99"/>
    <w:rsid w:val="008B1FCC"/>
    <w:rsid w:val="008B211A"/>
    <w:rsid w:val="008B22C5"/>
    <w:rsid w:val="008B257B"/>
    <w:rsid w:val="008B28B0"/>
    <w:rsid w:val="008B2B2F"/>
    <w:rsid w:val="008B3020"/>
    <w:rsid w:val="008B31C6"/>
    <w:rsid w:val="008B3773"/>
    <w:rsid w:val="008B3780"/>
    <w:rsid w:val="008B37E3"/>
    <w:rsid w:val="008B39CC"/>
    <w:rsid w:val="008B3EEB"/>
    <w:rsid w:val="008B4559"/>
    <w:rsid w:val="008B48CC"/>
    <w:rsid w:val="008B4A81"/>
    <w:rsid w:val="008B500B"/>
    <w:rsid w:val="008B50ED"/>
    <w:rsid w:val="008B5136"/>
    <w:rsid w:val="008B5679"/>
    <w:rsid w:val="008B57CC"/>
    <w:rsid w:val="008B58B1"/>
    <w:rsid w:val="008B5BEB"/>
    <w:rsid w:val="008B5BF8"/>
    <w:rsid w:val="008B5C1E"/>
    <w:rsid w:val="008B6C32"/>
    <w:rsid w:val="008B6ECD"/>
    <w:rsid w:val="008B6F4A"/>
    <w:rsid w:val="008B7078"/>
    <w:rsid w:val="008B70F3"/>
    <w:rsid w:val="008B71C4"/>
    <w:rsid w:val="008B76DF"/>
    <w:rsid w:val="008B78D9"/>
    <w:rsid w:val="008C0086"/>
    <w:rsid w:val="008C0297"/>
    <w:rsid w:val="008C0480"/>
    <w:rsid w:val="008C05BE"/>
    <w:rsid w:val="008C089F"/>
    <w:rsid w:val="008C0F1F"/>
    <w:rsid w:val="008C10F4"/>
    <w:rsid w:val="008C20BC"/>
    <w:rsid w:val="008C2207"/>
    <w:rsid w:val="008C226E"/>
    <w:rsid w:val="008C29CE"/>
    <w:rsid w:val="008C2E1D"/>
    <w:rsid w:val="008C2FB9"/>
    <w:rsid w:val="008C3242"/>
    <w:rsid w:val="008C3BCF"/>
    <w:rsid w:val="008C3C62"/>
    <w:rsid w:val="008C4219"/>
    <w:rsid w:val="008C44DD"/>
    <w:rsid w:val="008C4634"/>
    <w:rsid w:val="008C490A"/>
    <w:rsid w:val="008C5122"/>
    <w:rsid w:val="008C5833"/>
    <w:rsid w:val="008C61B7"/>
    <w:rsid w:val="008C640E"/>
    <w:rsid w:val="008C65F7"/>
    <w:rsid w:val="008C6674"/>
    <w:rsid w:val="008C66C2"/>
    <w:rsid w:val="008C6D61"/>
    <w:rsid w:val="008C6FCE"/>
    <w:rsid w:val="008C717C"/>
    <w:rsid w:val="008C731A"/>
    <w:rsid w:val="008C74A4"/>
    <w:rsid w:val="008C752F"/>
    <w:rsid w:val="008C76B5"/>
    <w:rsid w:val="008C7725"/>
    <w:rsid w:val="008C7C77"/>
    <w:rsid w:val="008C7ECA"/>
    <w:rsid w:val="008D0125"/>
    <w:rsid w:val="008D0389"/>
    <w:rsid w:val="008D094F"/>
    <w:rsid w:val="008D0C09"/>
    <w:rsid w:val="008D0C2F"/>
    <w:rsid w:val="008D14A9"/>
    <w:rsid w:val="008D15BC"/>
    <w:rsid w:val="008D1B09"/>
    <w:rsid w:val="008D1CD6"/>
    <w:rsid w:val="008D1E9D"/>
    <w:rsid w:val="008D1F40"/>
    <w:rsid w:val="008D21FC"/>
    <w:rsid w:val="008D2306"/>
    <w:rsid w:val="008D2392"/>
    <w:rsid w:val="008D2883"/>
    <w:rsid w:val="008D2C91"/>
    <w:rsid w:val="008D2ECB"/>
    <w:rsid w:val="008D2F9F"/>
    <w:rsid w:val="008D3021"/>
    <w:rsid w:val="008D3118"/>
    <w:rsid w:val="008D31BB"/>
    <w:rsid w:val="008D331E"/>
    <w:rsid w:val="008D375E"/>
    <w:rsid w:val="008D3E7B"/>
    <w:rsid w:val="008D47CE"/>
    <w:rsid w:val="008D4926"/>
    <w:rsid w:val="008D5491"/>
    <w:rsid w:val="008D54A0"/>
    <w:rsid w:val="008D58AC"/>
    <w:rsid w:val="008D596D"/>
    <w:rsid w:val="008D6184"/>
    <w:rsid w:val="008D65A3"/>
    <w:rsid w:val="008D6620"/>
    <w:rsid w:val="008D664E"/>
    <w:rsid w:val="008D6737"/>
    <w:rsid w:val="008D67AD"/>
    <w:rsid w:val="008D6A3E"/>
    <w:rsid w:val="008D6AAC"/>
    <w:rsid w:val="008D7241"/>
    <w:rsid w:val="008D7450"/>
    <w:rsid w:val="008D74BE"/>
    <w:rsid w:val="008D78B9"/>
    <w:rsid w:val="008D7F7A"/>
    <w:rsid w:val="008E072E"/>
    <w:rsid w:val="008E0D94"/>
    <w:rsid w:val="008E0FD5"/>
    <w:rsid w:val="008E0FDB"/>
    <w:rsid w:val="008E1EE8"/>
    <w:rsid w:val="008E20C3"/>
    <w:rsid w:val="008E2269"/>
    <w:rsid w:val="008E2B0A"/>
    <w:rsid w:val="008E2B10"/>
    <w:rsid w:val="008E2D22"/>
    <w:rsid w:val="008E3089"/>
    <w:rsid w:val="008E3578"/>
    <w:rsid w:val="008E3660"/>
    <w:rsid w:val="008E3D4E"/>
    <w:rsid w:val="008E418E"/>
    <w:rsid w:val="008E4767"/>
    <w:rsid w:val="008E4A5B"/>
    <w:rsid w:val="008E546C"/>
    <w:rsid w:val="008E62B5"/>
    <w:rsid w:val="008E6685"/>
    <w:rsid w:val="008E6D05"/>
    <w:rsid w:val="008E7142"/>
    <w:rsid w:val="008E7319"/>
    <w:rsid w:val="008E77B0"/>
    <w:rsid w:val="008E78DC"/>
    <w:rsid w:val="008E7A8C"/>
    <w:rsid w:val="008E7F61"/>
    <w:rsid w:val="008F03F4"/>
    <w:rsid w:val="008F041B"/>
    <w:rsid w:val="008F089F"/>
    <w:rsid w:val="008F0D2F"/>
    <w:rsid w:val="008F0DA6"/>
    <w:rsid w:val="008F1305"/>
    <w:rsid w:val="008F1416"/>
    <w:rsid w:val="008F1982"/>
    <w:rsid w:val="008F1D98"/>
    <w:rsid w:val="008F2A30"/>
    <w:rsid w:val="008F2CBC"/>
    <w:rsid w:val="008F2D70"/>
    <w:rsid w:val="008F3280"/>
    <w:rsid w:val="008F3780"/>
    <w:rsid w:val="008F401E"/>
    <w:rsid w:val="008F43EF"/>
    <w:rsid w:val="008F44F6"/>
    <w:rsid w:val="008F512F"/>
    <w:rsid w:val="008F52D9"/>
    <w:rsid w:val="008F571A"/>
    <w:rsid w:val="008F5A7C"/>
    <w:rsid w:val="008F5DFB"/>
    <w:rsid w:val="008F601F"/>
    <w:rsid w:val="008F64F4"/>
    <w:rsid w:val="008F664E"/>
    <w:rsid w:val="008F6D6E"/>
    <w:rsid w:val="008F6FE8"/>
    <w:rsid w:val="008F7686"/>
    <w:rsid w:val="008F7E77"/>
    <w:rsid w:val="00900648"/>
    <w:rsid w:val="00900992"/>
    <w:rsid w:val="009009FD"/>
    <w:rsid w:val="00901101"/>
    <w:rsid w:val="0090124D"/>
    <w:rsid w:val="009015DE"/>
    <w:rsid w:val="0090176D"/>
    <w:rsid w:val="00901BE1"/>
    <w:rsid w:val="00901C9D"/>
    <w:rsid w:val="00901F9A"/>
    <w:rsid w:val="0090224F"/>
    <w:rsid w:val="00902596"/>
    <w:rsid w:val="00902989"/>
    <w:rsid w:val="00902D9B"/>
    <w:rsid w:val="00903166"/>
    <w:rsid w:val="00903285"/>
    <w:rsid w:val="009034B0"/>
    <w:rsid w:val="00903660"/>
    <w:rsid w:val="00903CE5"/>
    <w:rsid w:val="00904191"/>
    <w:rsid w:val="009043F0"/>
    <w:rsid w:val="009045F4"/>
    <w:rsid w:val="0090467E"/>
    <w:rsid w:val="0090492F"/>
    <w:rsid w:val="00904E3E"/>
    <w:rsid w:val="00904E55"/>
    <w:rsid w:val="0090505F"/>
    <w:rsid w:val="00905604"/>
    <w:rsid w:val="009059E2"/>
    <w:rsid w:val="00905AAE"/>
    <w:rsid w:val="00905CBE"/>
    <w:rsid w:val="00905E00"/>
    <w:rsid w:val="00906717"/>
    <w:rsid w:val="00906975"/>
    <w:rsid w:val="00906B00"/>
    <w:rsid w:val="00906B66"/>
    <w:rsid w:val="00906BAB"/>
    <w:rsid w:val="00906F40"/>
    <w:rsid w:val="0090731E"/>
    <w:rsid w:val="009076CC"/>
    <w:rsid w:val="009078A6"/>
    <w:rsid w:val="009079DD"/>
    <w:rsid w:val="00907BD5"/>
    <w:rsid w:val="00907DBE"/>
    <w:rsid w:val="00910044"/>
    <w:rsid w:val="009101B5"/>
    <w:rsid w:val="009104A8"/>
    <w:rsid w:val="0091099A"/>
    <w:rsid w:val="00910B21"/>
    <w:rsid w:val="00910BAB"/>
    <w:rsid w:val="009116B7"/>
    <w:rsid w:val="00911DA3"/>
    <w:rsid w:val="009126B7"/>
    <w:rsid w:val="0091279C"/>
    <w:rsid w:val="009127C7"/>
    <w:rsid w:val="00912927"/>
    <w:rsid w:val="00912CC4"/>
    <w:rsid w:val="00912F9C"/>
    <w:rsid w:val="0091315D"/>
    <w:rsid w:val="009132D6"/>
    <w:rsid w:val="009133F7"/>
    <w:rsid w:val="00913845"/>
    <w:rsid w:val="00913C2B"/>
    <w:rsid w:val="00913DC4"/>
    <w:rsid w:val="00913F55"/>
    <w:rsid w:val="00914114"/>
    <w:rsid w:val="009142E5"/>
    <w:rsid w:val="009143D1"/>
    <w:rsid w:val="00914760"/>
    <w:rsid w:val="00914AA3"/>
    <w:rsid w:val="00914AC2"/>
    <w:rsid w:val="009151E8"/>
    <w:rsid w:val="00915A32"/>
    <w:rsid w:val="00915B1C"/>
    <w:rsid w:val="009162AA"/>
    <w:rsid w:val="009162DA"/>
    <w:rsid w:val="00916C98"/>
    <w:rsid w:val="009171B9"/>
    <w:rsid w:val="0091732B"/>
    <w:rsid w:val="009174F3"/>
    <w:rsid w:val="009178A6"/>
    <w:rsid w:val="0091797D"/>
    <w:rsid w:val="00917D06"/>
    <w:rsid w:val="0092021D"/>
    <w:rsid w:val="00920D3D"/>
    <w:rsid w:val="00921643"/>
    <w:rsid w:val="00921A28"/>
    <w:rsid w:val="00922434"/>
    <w:rsid w:val="009227D4"/>
    <w:rsid w:val="009228A1"/>
    <w:rsid w:val="009228B8"/>
    <w:rsid w:val="009228E1"/>
    <w:rsid w:val="009228EF"/>
    <w:rsid w:val="00922B08"/>
    <w:rsid w:val="00922BC2"/>
    <w:rsid w:val="00922CF5"/>
    <w:rsid w:val="00922DF3"/>
    <w:rsid w:val="009232F1"/>
    <w:rsid w:val="009238EF"/>
    <w:rsid w:val="00923CBA"/>
    <w:rsid w:val="00924191"/>
    <w:rsid w:val="009246FC"/>
    <w:rsid w:val="00924CC4"/>
    <w:rsid w:val="00924DDE"/>
    <w:rsid w:val="00924E88"/>
    <w:rsid w:val="00924F1E"/>
    <w:rsid w:val="00925362"/>
    <w:rsid w:val="0092557D"/>
    <w:rsid w:val="00925599"/>
    <w:rsid w:val="009255AB"/>
    <w:rsid w:val="00925884"/>
    <w:rsid w:val="00925F16"/>
    <w:rsid w:val="00925F78"/>
    <w:rsid w:val="00926054"/>
    <w:rsid w:val="009261CD"/>
    <w:rsid w:val="00926339"/>
    <w:rsid w:val="009263D1"/>
    <w:rsid w:val="00926565"/>
    <w:rsid w:val="00926581"/>
    <w:rsid w:val="00926703"/>
    <w:rsid w:val="0092692C"/>
    <w:rsid w:val="0092703B"/>
    <w:rsid w:val="00927334"/>
    <w:rsid w:val="0092762A"/>
    <w:rsid w:val="00927691"/>
    <w:rsid w:val="00927734"/>
    <w:rsid w:val="0092792D"/>
    <w:rsid w:val="00927A5F"/>
    <w:rsid w:val="0093015F"/>
    <w:rsid w:val="009305E4"/>
    <w:rsid w:val="009307F1"/>
    <w:rsid w:val="00930A61"/>
    <w:rsid w:val="00930A6A"/>
    <w:rsid w:val="00930C9A"/>
    <w:rsid w:val="009316F9"/>
    <w:rsid w:val="00931921"/>
    <w:rsid w:val="00932058"/>
    <w:rsid w:val="0093226E"/>
    <w:rsid w:val="009324FE"/>
    <w:rsid w:val="00932575"/>
    <w:rsid w:val="0093278E"/>
    <w:rsid w:val="0093285F"/>
    <w:rsid w:val="00932BC3"/>
    <w:rsid w:val="00932E4E"/>
    <w:rsid w:val="00933517"/>
    <w:rsid w:val="009337DA"/>
    <w:rsid w:val="00934761"/>
    <w:rsid w:val="0093483E"/>
    <w:rsid w:val="00934D96"/>
    <w:rsid w:val="00935007"/>
    <w:rsid w:val="00935160"/>
    <w:rsid w:val="009352D4"/>
    <w:rsid w:val="009352E6"/>
    <w:rsid w:val="009352F7"/>
    <w:rsid w:val="009354DF"/>
    <w:rsid w:val="00935B63"/>
    <w:rsid w:val="00935DE8"/>
    <w:rsid w:val="00935E4D"/>
    <w:rsid w:val="00935F0E"/>
    <w:rsid w:val="009361C2"/>
    <w:rsid w:val="009364D7"/>
    <w:rsid w:val="00937554"/>
    <w:rsid w:val="00937D6F"/>
    <w:rsid w:val="00937E7C"/>
    <w:rsid w:val="0094024C"/>
    <w:rsid w:val="00940326"/>
    <w:rsid w:val="0094078F"/>
    <w:rsid w:val="00940D6C"/>
    <w:rsid w:val="00940DB8"/>
    <w:rsid w:val="00940FA3"/>
    <w:rsid w:val="00941188"/>
    <w:rsid w:val="009414CE"/>
    <w:rsid w:val="009414DF"/>
    <w:rsid w:val="0094186B"/>
    <w:rsid w:val="00941E22"/>
    <w:rsid w:val="00941FB0"/>
    <w:rsid w:val="0094229E"/>
    <w:rsid w:val="009425F5"/>
    <w:rsid w:val="00942667"/>
    <w:rsid w:val="009426D4"/>
    <w:rsid w:val="009426E9"/>
    <w:rsid w:val="0094288A"/>
    <w:rsid w:val="00942A48"/>
    <w:rsid w:val="00942C13"/>
    <w:rsid w:val="00942EE3"/>
    <w:rsid w:val="009432FD"/>
    <w:rsid w:val="00943890"/>
    <w:rsid w:val="0094390D"/>
    <w:rsid w:val="00943ABA"/>
    <w:rsid w:val="00943B09"/>
    <w:rsid w:val="00943C4E"/>
    <w:rsid w:val="00943E03"/>
    <w:rsid w:val="00943FF9"/>
    <w:rsid w:val="00944118"/>
    <w:rsid w:val="0094426F"/>
    <w:rsid w:val="009444E6"/>
    <w:rsid w:val="00944618"/>
    <w:rsid w:val="00944E21"/>
    <w:rsid w:val="00944E5D"/>
    <w:rsid w:val="00944F0F"/>
    <w:rsid w:val="00944F3F"/>
    <w:rsid w:val="00944F44"/>
    <w:rsid w:val="00944FEE"/>
    <w:rsid w:val="00945637"/>
    <w:rsid w:val="00945686"/>
    <w:rsid w:val="00945A0F"/>
    <w:rsid w:val="00945C4D"/>
    <w:rsid w:val="00945C4F"/>
    <w:rsid w:val="00945D0C"/>
    <w:rsid w:val="0094638E"/>
    <w:rsid w:val="009465F5"/>
    <w:rsid w:val="0094669F"/>
    <w:rsid w:val="0094696C"/>
    <w:rsid w:val="00946A6B"/>
    <w:rsid w:val="00947319"/>
    <w:rsid w:val="00947754"/>
    <w:rsid w:val="009477C8"/>
    <w:rsid w:val="00947A8E"/>
    <w:rsid w:val="00947B86"/>
    <w:rsid w:val="00947E20"/>
    <w:rsid w:val="00947F25"/>
    <w:rsid w:val="00947F88"/>
    <w:rsid w:val="00950159"/>
    <w:rsid w:val="009506D3"/>
    <w:rsid w:val="009509EF"/>
    <w:rsid w:val="00950ACD"/>
    <w:rsid w:val="00951B3B"/>
    <w:rsid w:val="009520A3"/>
    <w:rsid w:val="009521F5"/>
    <w:rsid w:val="0095317E"/>
    <w:rsid w:val="00953ACE"/>
    <w:rsid w:val="00953B3A"/>
    <w:rsid w:val="00953BB8"/>
    <w:rsid w:val="00953D65"/>
    <w:rsid w:val="009542FF"/>
    <w:rsid w:val="00954362"/>
    <w:rsid w:val="009543F7"/>
    <w:rsid w:val="00954440"/>
    <w:rsid w:val="00954615"/>
    <w:rsid w:val="0095465F"/>
    <w:rsid w:val="00954847"/>
    <w:rsid w:val="0095490B"/>
    <w:rsid w:val="00954969"/>
    <w:rsid w:val="00954EBA"/>
    <w:rsid w:val="009554F2"/>
    <w:rsid w:val="00955709"/>
    <w:rsid w:val="0095594D"/>
    <w:rsid w:val="009566CB"/>
    <w:rsid w:val="0095686A"/>
    <w:rsid w:val="009568E7"/>
    <w:rsid w:val="00956914"/>
    <w:rsid w:val="009570E7"/>
    <w:rsid w:val="009572F0"/>
    <w:rsid w:val="00960667"/>
    <w:rsid w:val="00960783"/>
    <w:rsid w:val="00960A33"/>
    <w:rsid w:val="00960D1B"/>
    <w:rsid w:val="00960DF3"/>
    <w:rsid w:val="00960E40"/>
    <w:rsid w:val="009618D8"/>
    <w:rsid w:val="00961BC8"/>
    <w:rsid w:val="00961E3F"/>
    <w:rsid w:val="009622AB"/>
    <w:rsid w:val="00962912"/>
    <w:rsid w:val="00962925"/>
    <w:rsid w:val="00962DF3"/>
    <w:rsid w:val="009630BF"/>
    <w:rsid w:val="00963781"/>
    <w:rsid w:val="009637AD"/>
    <w:rsid w:val="00963CDA"/>
    <w:rsid w:val="00963DBC"/>
    <w:rsid w:val="00963F43"/>
    <w:rsid w:val="0096499A"/>
    <w:rsid w:val="00964E90"/>
    <w:rsid w:val="00964F02"/>
    <w:rsid w:val="00965056"/>
    <w:rsid w:val="0096506E"/>
    <w:rsid w:val="009655EF"/>
    <w:rsid w:val="009658BD"/>
    <w:rsid w:val="00965CE1"/>
    <w:rsid w:val="00966009"/>
    <w:rsid w:val="00966517"/>
    <w:rsid w:val="009667DB"/>
    <w:rsid w:val="009669DE"/>
    <w:rsid w:val="00966A3B"/>
    <w:rsid w:val="00966B90"/>
    <w:rsid w:val="00966DE2"/>
    <w:rsid w:val="00966F98"/>
    <w:rsid w:val="00967519"/>
    <w:rsid w:val="0096774F"/>
    <w:rsid w:val="00967E70"/>
    <w:rsid w:val="009704FD"/>
    <w:rsid w:val="00970B23"/>
    <w:rsid w:val="0097116F"/>
    <w:rsid w:val="00971403"/>
    <w:rsid w:val="00971432"/>
    <w:rsid w:val="00971914"/>
    <w:rsid w:val="009719CB"/>
    <w:rsid w:val="00972098"/>
    <w:rsid w:val="0097259E"/>
    <w:rsid w:val="009726F9"/>
    <w:rsid w:val="009726FD"/>
    <w:rsid w:val="00972721"/>
    <w:rsid w:val="00972BE4"/>
    <w:rsid w:val="0097320E"/>
    <w:rsid w:val="0097336E"/>
    <w:rsid w:val="00973A12"/>
    <w:rsid w:val="00973B6F"/>
    <w:rsid w:val="00973F64"/>
    <w:rsid w:val="00973FBC"/>
    <w:rsid w:val="00974363"/>
    <w:rsid w:val="009745F7"/>
    <w:rsid w:val="0097464D"/>
    <w:rsid w:val="00974CE6"/>
    <w:rsid w:val="0097528A"/>
    <w:rsid w:val="009759F5"/>
    <w:rsid w:val="00975A78"/>
    <w:rsid w:val="009761D7"/>
    <w:rsid w:val="009764C4"/>
    <w:rsid w:val="00976AD3"/>
    <w:rsid w:val="00976D51"/>
    <w:rsid w:val="00976F86"/>
    <w:rsid w:val="009776EC"/>
    <w:rsid w:val="00980ACD"/>
    <w:rsid w:val="00980B1A"/>
    <w:rsid w:val="00980C5E"/>
    <w:rsid w:val="00980EE9"/>
    <w:rsid w:val="00981306"/>
    <w:rsid w:val="009814FB"/>
    <w:rsid w:val="0098167E"/>
    <w:rsid w:val="00981898"/>
    <w:rsid w:val="00981AED"/>
    <w:rsid w:val="00981B4A"/>
    <w:rsid w:val="00981F3A"/>
    <w:rsid w:val="0098204B"/>
    <w:rsid w:val="0098207E"/>
    <w:rsid w:val="00982A9F"/>
    <w:rsid w:val="00982C10"/>
    <w:rsid w:val="00982E91"/>
    <w:rsid w:val="00982F6C"/>
    <w:rsid w:val="00982FB7"/>
    <w:rsid w:val="00983301"/>
    <w:rsid w:val="00983391"/>
    <w:rsid w:val="0098453B"/>
    <w:rsid w:val="009850D5"/>
    <w:rsid w:val="009853BF"/>
    <w:rsid w:val="00985684"/>
    <w:rsid w:val="0098569B"/>
    <w:rsid w:val="00985817"/>
    <w:rsid w:val="00985FA1"/>
    <w:rsid w:val="00986663"/>
    <w:rsid w:val="009868D1"/>
    <w:rsid w:val="00986B07"/>
    <w:rsid w:val="00986CF2"/>
    <w:rsid w:val="00986FD5"/>
    <w:rsid w:val="009870C5"/>
    <w:rsid w:val="009870FD"/>
    <w:rsid w:val="00987287"/>
    <w:rsid w:val="00987648"/>
    <w:rsid w:val="00987995"/>
    <w:rsid w:val="00987B06"/>
    <w:rsid w:val="00987B99"/>
    <w:rsid w:val="009909CD"/>
    <w:rsid w:val="00990A0A"/>
    <w:rsid w:val="00990A4A"/>
    <w:rsid w:val="00990BB9"/>
    <w:rsid w:val="00990D9B"/>
    <w:rsid w:val="0099123E"/>
    <w:rsid w:val="009914A7"/>
    <w:rsid w:val="009914B8"/>
    <w:rsid w:val="00991742"/>
    <w:rsid w:val="00991C4F"/>
    <w:rsid w:val="00991CD9"/>
    <w:rsid w:val="00991F0F"/>
    <w:rsid w:val="00992750"/>
    <w:rsid w:val="00992ECD"/>
    <w:rsid w:val="00992F7E"/>
    <w:rsid w:val="00993051"/>
    <w:rsid w:val="0099362C"/>
    <w:rsid w:val="00993C5C"/>
    <w:rsid w:val="00993DCA"/>
    <w:rsid w:val="00993F1D"/>
    <w:rsid w:val="00994722"/>
    <w:rsid w:val="0099545C"/>
    <w:rsid w:val="009955CD"/>
    <w:rsid w:val="0099577C"/>
    <w:rsid w:val="009962F3"/>
    <w:rsid w:val="0099663C"/>
    <w:rsid w:val="00996688"/>
    <w:rsid w:val="00996912"/>
    <w:rsid w:val="00996BEC"/>
    <w:rsid w:val="009977B2"/>
    <w:rsid w:val="00997BF0"/>
    <w:rsid w:val="009A0C7E"/>
    <w:rsid w:val="009A117B"/>
    <w:rsid w:val="009A1484"/>
    <w:rsid w:val="009A27C4"/>
    <w:rsid w:val="009A2C23"/>
    <w:rsid w:val="009A3403"/>
    <w:rsid w:val="009A36A6"/>
    <w:rsid w:val="009A37C8"/>
    <w:rsid w:val="009A384B"/>
    <w:rsid w:val="009A3876"/>
    <w:rsid w:val="009A3A7A"/>
    <w:rsid w:val="009A41EC"/>
    <w:rsid w:val="009A42F6"/>
    <w:rsid w:val="009A488C"/>
    <w:rsid w:val="009A4920"/>
    <w:rsid w:val="009A499C"/>
    <w:rsid w:val="009A4B8D"/>
    <w:rsid w:val="009A4B99"/>
    <w:rsid w:val="009A5993"/>
    <w:rsid w:val="009A59A0"/>
    <w:rsid w:val="009A5F1B"/>
    <w:rsid w:val="009A743D"/>
    <w:rsid w:val="009A7729"/>
    <w:rsid w:val="009A7FC8"/>
    <w:rsid w:val="009A7FE9"/>
    <w:rsid w:val="009B0419"/>
    <w:rsid w:val="009B06CA"/>
    <w:rsid w:val="009B08C1"/>
    <w:rsid w:val="009B0C98"/>
    <w:rsid w:val="009B1481"/>
    <w:rsid w:val="009B1B22"/>
    <w:rsid w:val="009B1CDB"/>
    <w:rsid w:val="009B2601"/>
    <w:rsid w:val="009B3395"/>
    <w:rsid w:val="009B3A56"/>
    <w:rsid w:val="009B3A86"/>
    <w:rsid w:val="009B3B19"/>
    <w:rsid w:val="009B3DEB"/>
    <w:rsid w:val="009B44A6"/>
    <w:rsid w:val="009B4511"/>
    <w:rsid w:val="009B488B"/>
    <w:rsid w:val="009B4E9E"/>
    <w:rsid w:val="009B539A"/>
    <w:rsid w:val="009B587A"/>
    <w:rsid w:val="009B5F4A"/>
    <w:rsid w:val="009B60A1"/>
    <w:rsid w:val="009B6273"/>
    <w:rsid w:val="009B637F"/>
    <w:rsid w:val="009B6BFD"/>
    <w:rsid w:val="009B6DFA"/>
    <w:rsid w:val="009B70AB"/>
    <w:rsid w:val="009B723E"/>
    <w:rsid w:val="009B7745"/>
    <w:rsid w:val="009B7D14"/>
    <w:rsid w:val="009B7D58"/>
    <w:rsid w:val="009C0645"/>
    <w:rsid w:val="009C0761"/>
    <w:rsid w:val="009C098B"/>
    <w:rsid w:val="009C0AAF"/>
    <w:rsid w:val="009C0BE6"/>
    <w:rsid w:val="009C0EA1"/>
    <w:rsid w:val="009C11AA"/>
    <w:rsid w:val="009C1338"/>
    <w:rsid w:val="009C1423"/>
    <w:rsid w:val="009C14DD"/>
    <w:rsid w:val="009C1690"/>
    <w:rsid w:val="009C194E"/>
    <w:rsid w:val="009C1F69"/>
    <w:rsid w:val="009C1F7A"/>
    <w:rsid w:val="009C264A"/>
    <w:rsid w:val="009C2FFE"/>
    <w:rsid w:val="009C32EB"/>
    <w:rsid w:val="009C3A09"/>
    <w:rsid w:val="009C3A74"/>
    <w:rsid w:val="009C3FA7"/>
    <w:rsid w:val="009C42E1"/>
    <w:rsid w:val="009C49F0"/>
    <w:rsid w:val="009C52A0"/>
    <w:rsid w:val="009C57BD"/>
    <w:rsid w:val="009C5A1C"/>
    <w:rsid w:val="009C60F1"/>
    <w:rsid w:val="009C6275"/>
    <w:rsid w:val="009C653D"/>
    <w:rsid w:val="009C65CB"/>
    <w:rsid w:val="009C6881"/>
    <w:rsid w:val="009C7446"/>
    <w:rsid w:val="009C76CD"/>
    <w:rsid w:val="009C7759"/>
    <w:rsid w:val="009C7876"/>
    <w:rsid w:val="009C78CE"/>
    <w:rsid w:val="009D0090"/>
    <w:rsid w:val="009D030A"/>
    <w:rsid w:val="009D043D"/>
    <w:rsid w:val="009D07C8"/>
    <w:rsid w:val="009D0AFB"/>
    <w:rsid w:val="009D0C21"/>
    <w:rsid w:val="009D0EB7"/>
    <w:rsid w:val="009D1602"/>
    <w:rsid w:val="009D2498"/>
    <w:rsid w:val="009D25D7"/>
    <w:rsid w:val="009D29A1"/>
    <w:rsid w:val="009D2DE8"/>
    <w:rsid w:val="009D335A"/>
    <w:rsid w:val="009D3517"/>
    <w:rsid w:val="009D3560"/>
    <w:rsid w:val="009D383C"/>
    <w:rsid w:val="009D3A67"/>
    <w:rsid w:val="009D3B58"/>
    <w:rsid w:val="009D46AD"/>
    <w:rsid w:val="009D4777"/>
    <w:rsid w:val="009D4FAA"/>
    <w:rsid w:val="009D526D"/>
    <w:rsid w:val="009D54DB"/>
    <w:rsid w:val="009D61B0"/>
    <w:rsid w:val="009D643B"/>
    <w:rsid w:val="009D6A9B"/>
    <w:rsid w:val="009D6C54"/>
    <w:rsid w:val="009D6C71"/>
    <w:rsid w:val="009D6DCE"/>
    <w:rsid w:val="009D6EE8"/>
    <w:rsid w:val="009D7A2A"/>
    <w:rsid w:val="009D7F3D"/>
    <w:rsid w:val="009E0370"/>
    <w:rsid w:val="009E0485"/>
    <w:rsid w:val="009E0577"/>
    <w:rsid w:val="009E0631"/>
    <w:rsid w:val="009E08B9"/>
    <w:rsid w:val="009E0CB3"/>
    <w:rsid w:val="009E0CDB"/>
    <w:rsid w:val="009E0F3F"/>
    <w:rsid w:val="009E0F86"/>
    <w:rsid w:val="009E12DE"/>
    <w:rsid w:val="009E13B7"/>
    <w:rsid w:val="009E16D0"/>
    <w:rsid w:val="009E17C0"/>
    <w:rsid w:val="009E1864"/>
    <w:rsid w:val="009E1A61"/>
    <w:rsid w:val="009E1B6F"/>
    <w:rsid w:val="009E2173"/>
    <w:rsid w:val="009E21B6"/>
    <w:rsid w:val="009E2FED"/>
    <w:rsid w:val="009E3063"/>
    <w:rsid w:val="009E31E5"/>
    <w:rsid w:val="009E330B"/>
    <w:rsid w:val="009E3520"/>
    <w:rsid w:val="009E355E"/>
    <w:rsid w:val="009E38FD"/>
    <w:rsid w:val="009E41C8"/>
    <w:rsid w:val="009E4543"/>
    <w:rsid w:val="009E461B"/>
    <w:rsid w:val="009E4B23"/>
    <w:rsid w:val="009E5037"/>
    <w:rsid w:val="009E53C9"/>
    <w:rsid w:val="009E566A"/>
    <w:rsid w:val="009E5E53"/>
    <w:rsid w:val="009E641E"/>
    <w:rsid w:val="009E7038"/>
    <w:rsid w:val="009E7AFD"/>
    <w:rsid w:val="009E7F80"/>
    <w:rsid w:val="009F00C9"/>
    <w:rsid w:val="009F0108"/>
    <w:rsid w:val="009F02BC"/>
    <w:rsid w:val="009F05D1"/>
    <w:rsid w:val="009F07F5"/>
    <w:rsid w:val="009F0A1B"/>
    <w:rsid w:val="009F0DB3"/>
    <w:rsid w:val="009F0FF1"/>
    <w:rsid w:val="009F13D6"/>
    <w:rsid w:val="009F1456"/>
    <w:rsid w:val="009F1571"/>
    <w:rsid w:val="009F15B3"/>
    <w:rsid w:val="009F1673"/>
    <w:rsid w:val="009F2013"/>
    <w:rsid w:val="009F231F"/>
    <w:rsid w:val="009F249A"/>
    <w:rsid w:val="009F310D"/>
    <w:rsid w:val="009F3174"/>
    <w:rsid w:val="009F36F7"/>
    <w:rsid w:val="009F3BBB"/>
    <w:rsid w:val="009F419A"/>
    <w:rsid w:val="009F4536"/>
    <w:rsid w:val="009F49A2"/>
    <w:rsid w:val="009F4A9E"/>
    <w:rsid w:val="009F4BAA"/>
    <w:rsid w:val="009F4C6B"/>
    <w:rsid w:val="009F5585"/>
    <w:rsid w:val="009F572F"/>
    <w:rsid w:val="009F5E07"/>
    <w:rsid w:val="009F6560"/>
    <w:rsid w:val="009F658E"/>
    <w:rsid w:val="009F774E"/>
    <w:rsid w:val="009F78A8"/>
    <w:rsid w:val="009F794D"/>
    <w:rsid w:val="00A000D0"/>
    <w:rsid w:val="00A0010E"/>
    <w:rsid w:val="00A0013F"/>
    <w:rsid w:val="00A001ED"/>
    <w:rsid w:val="00A00203"/>
    <w:rsid w:val="00A0073F"/>
    <w:rsid w:val="00A0082E"/>
    <w:rsid w:val="00A00930"/>
    <w:rsid w:val="00A009BA"/>
    <w:rsid w:val="00A00D1A"/>
    <w:rsid w:val="00A00E05"/>
    <w:rsid w:val="00A01611"/>
    <w:rsid w:val="00A01828"/>
    <w:rsid w:val="00A01A2B"/>
    <w:rsid w:val="00A01C5A"/>
    <w:rsid w:val="00A01EB5"/>
    <w:rsid w:val="00A02017"/>
    <w:rsid w:val="00A02176"/>
    <w:rsid w:val="00A0288F"/>
    <w:rsid w:val="00A02AD6"/>
    <w:rsid w:val="00A02AE2"/>
    <w:rsid w:val="00A02D08"/>
    <w:rsid w:val="00A02E95"/>
    <w:rsid w:val="00A02F8C"/>
    <w:rsid w:val="00A0369A"/>
    <w:rsid w:val="00A03B16"/>
    <w:rsid w:val="00A03B91"/>
    <w:rsid w:val="00A03F53"/>
    <w:rsid w:val="00A045E5"/>
    <w:rsid w:val="00A04782"/>
    <w:rsid w:val="00A0514D"/>
    <w:rsid w:val="00A061D5"/>
    <w:rsid w:val="00A06649"/>
    <w:rsid w:val="00A0668C"/>
    <w:rsid w:val="00A066FC"/>
    <w:rsid w:val="00A0686A"/>
    <w:rsid w:val="00A068F5"/>
    <w:rsid w:val="00A06C5D"/>
    <w:rsid w:val="00A06EF0"/>
    <w:rsid w:val="00A06F34"/>
    <w:rsid w:val="00A07096"/>
    <w:rsid w:val="00A07137"/>
    <w:rsid w:val="00A0713E"/>
    <w:rsid w:val="00A07318"/>
    <w:rsid w:val="00A07743"/>
    <w:rsid w:val="00A07C39"/>
    <w:rsid w:val="00A106A7"/>
    <w:rsid w:val="00A106C6"/>
    <w:rsid w:val="00A106EC"/>
    <w:rsid w:val="00A10824"/>
    <w:rsid w:val="00A10BF6"/>
    <w:rsid w:val="00A10EED"/>
    <w:rsid w:val="00A11196"/>
    <w:rsid w:val="00A11370"/>
    <w:rsid w:val="00A11D08"/>
    <w:rsid w:val="00A11FAB"/>
    <w:rsid w:val="00A12C5B"/>
    <w:rsid w:val="00A13290"/>
    <w:rsid w:val="00A138EE"/>
    <w:rsid w:val="00A13A98"/>
    <w:rsid w:val="00A13E17"/>
    <w:rsid w:val="00A14003"/>
    <w:rsid w:val="00A140B6"/>
    <w:rsid w:val="00A14BB7"/>
    <w:rsid w:val="00A15042"/>
    <w:rsid w:val="00A1557E"/>
    <w:rsid w:val="00A15BCE"/>
    <w:rsid w:val="00A15C39"/>
    <w:rsid w:val="00A15D52"/>
    <w:rsid w:val="00A16104"/>
    <w:rsid w:val="00A161DE"/>
    <w:rsid w:val="00A16630"/>
    <w:rsid w:val="00A16C15"/>
    <w:rsid w:val="00A16D29"/>
    <w:rsid w:val="00A16FF9"/>
    <w:rsid w:val="00A1714A"/>
    <w:rsid w:val="00A172C0"/>
    <w:rsid w:val="00A1733A"/>
    <w:rsid w:val="00A1766B"/>
    <w:rsid w:val="00A176D4"/>
    <w:rsid w:val="00A179D2"/>
    <w:rsid w:val="00A17AAE"/>
    <w:rsid w:val="00A2003F"/>
    <w:rsid w:val="00A20302"/>
    <w:rsid w:val="00A2079D"/>
    <w:rsid w:val="00A209E1"/>
    <w:rsid w:val="00A20F3A"/>
    <w:rsid w:val="00A21435"/>
    <w:rsid w:val="00A21694"/>
    <w:rsid w:val="00A21814"/>
    <w:rsid w:val="00A21DD1"/>
    <w:rsid w:val="00A21F95"/>
    <w:rsid w:val="00A2215F"/>
    <w:rsid w:val="00A224CE"/>
    <w:rsid w:val="00A22522"/>
    <w:rsid w:val="00A22809"/>
    <w:rsid w:val="00A22CB0"/>
    <w:rsid w:val="00A23463"/>
    <w:rsid w:val="00A23941"/>
    <w:rsid w:val="00A23A67"/>
    <w:rsid w:val="00A23B40"/>
    <w:rsid w:val="00A24446"/>
    <w:rsid w:val="00A24472"/>
    <w:rsid w:val="00A24AFD"/>
    <w:rsid w:val="00A24CFC"/>
    <w:rsid w:val="00A24DD5"/>
    <w:rsid w:val="00A24F5C"/>
    <w:rsid w:val="00A2525C"/>
    <w:rsid w:val="00A2540C"/>
    <w:rsid w:val="00A25816"/>
    <w:rsid w:val="00A259CA"/>
    <w:rsid w:val="00A25D99"/>
    <w:rsid w:val="00A2616B"/>
    <w:rsid w:val="00A2631D"/>
    <w:rsid w:val="00A264F3"/>
    <w:rsid w:val="00A267A8"/>
    <w:rsid w:val="00A26F89"/>
    <w:rsid w:val="00A275D9"/>
    <w:rsid w:val="00A27602"/>
    <w:rsid w:val="00A27742"/>
    <w:rsid w:val="00A277D5"/>
    <w:rsid w:val="00A27D30"/>
    <w:rsid w:val="00A30159"/>
    <w:rsid w:val="00A30730"/>
    <w:rsid w:val="00A30790"/>
    <w:rsid w:val="00A3090E"/>
    <w:rsid w:val="00A30B5B"/>
    <w:rsid w:val="00A30C58"/>
    <w:rsid w:val="00A30CFC"/>
    <w:rsid w:val="00A312EF"/>
    <w:rsid w:val="00A315E1"/>
    <w:rsid w:val="00A31926"/>
    <w:rsid w:val="00A323F5"/>
    <w:rsid w:val="00A32DD7"/>
    <w:rsid w:val="00A32F96"/>
    <w:rsid w:val="00A33B4C"/>
    <w:rsid w:val="00A33F90"/>
    <w:rsid w:val="00A341E4"/>
    <w:rsid w:val="00A3433F"/>
    <w:rsid w:val="00A3456F"/>
    <w:rsid w:val="00A34769"/>
    <w:rsid w:val="00A35507"/>
    <w:rsid w:val="00A35596"/>
    <w:rsid w:val="00A35AB2"/>
    <w:rsid w:val="00A35B03"/>
    <w:rsid w:val="00A35F83"/>
    <w:rsid w:val="00A36118"/>
    <w:rsid w:val="00A36272"/>
    <w:rsid w:val="00A36B17"/>
    <w:rsid w:val="00A37B4E"/>
    <w:rsid w:val="00A37CC8"/>
    <w:rsid w:val="00A37F49"/>
    <w:rsid w:val="00A37F8D"/>
    <w:rsid w:val="00A403B2"/>
    <w:rsid w:val="00A407A1"/>
    <w:rsid w:val="00A40871"/>
    <w:rsid w:val="00A40D2F"/>
    <w:rsid w:val="00A412AB"/>
    <w:rsid w:val="00A41307"/>
    <w:rsid w:val="00A417D6"/>
    <w:rsid w:val="00A4193E"/>
    <w:rsid w:val="00A41F11"/>
    <w:rsid w:val="00A41F77"/>
    <w:rsid w:val="00A42082"/>
    <w:rsid w:val="00A4216F"/>
    <w:rsid w:val="00A42544"/>
    <w:rsid w:val="00A42EE9"/>
    <w:rsid w:val="00A43006"/>
    <w:rsid w:val="00A43062"/>
    <w:rsid w:val="00A43223"/>
    <w:rsid w:val="00A43459"/>
    <w:rsid w:val="00A435A4"/>
    <w:rsid w:val="00A43918"/>
    <w:rsid w:val="00A43F41"/>
    <w:rsid w:val="00A440E0"/>
    <w:rsid w:val="00A442EF"/>
    <w:rsid w:val="00A4569B"/>
    <w:rsid w:val="00A45CCD"/>
    <w:rsid w:val="00A45F9A"/>
    <w:rsid w:val="00A465B9"/>
    <w:rsid w:val="00A466DC"/>
    <w:rsid w:val="00A46777"/>
    <w:rsid w:val="00A46ABC"/>
    <w:rsid w:val="00A46D09"/>
    <w:rsid w:val="00A4733D"/>
    <w:rsid w:val="00A47B4A"/>
    <w:rsid w:val="00A47CA1"/>
    <w:rsid w:val="00A47CB3"/>
    <w:rsid w:val="00A47F34"/>
    <w:rsid w:val="00A50C01"/>
    <w:rsid w:val="00A50C0F"/>
    <w:rsid w:val="00A50F3C"/>
    <w:rsid w:val="00A513C2"/>
    <w:rsid w:val="00A514D0"/>
    <w:rsid w:val="00A5154C"/>
    <w:rsid w:val="00A51948"/>
    <w:rsid w:val="00A51D1A"/>
    <w:rsid w:val="00A52012"/>
    <w:rsid w:val="00A52046"/>
    <w:rsid w:val="00A523DD"/>
    <w:rsid w:val="00A5258F"/>
    <w:rsid w:val="00A52BEA"/>
    <w:rsid w:val="00A52E0D"/>
    <w:rsid w:val="00A53364"/>
    <w:rsid w:val="00A533DA"/>
    <w:rsid w:val="00A5378E"/>
    <w:rsid w:val="00A53BF8"/>
    <w:rsid w:val="00A5418D"/>
    <w:rsid w:val="00A54553"/>
    <w:rsid w:val="00A5474E"/>
    <w:rsid w:val="00A549A1"/>
    <w:rsid w:val="00A54D1F"/>
    <w:rsid w:val="00A54E97"/>
    <w:rsid w:val="00A5503E"/>
    <w:rsid w:val="00A55071"/>
    <w:rsid w:val="00A550A7"/>
    <w:rsid w:val="00A5541A"/>
    <w:rsid w:val="00A55B38"/>
    <w:rsid w:val="00A55BE8"/>
    <w:rsid w:val="00A564F0"/>
    <w:rsid w:val="00A566E0"/>
    <w:rsid w:val="00A56C27"/>
    <w:rsid w:val="00A56D57"/>
    <w:rsid w:val="00A56FF3"/>
    <w:rsid w:val="00A5710E"/>
    <w:rsid w:val="00A57494"/>
    <w:rsid w:val="00A5770A"/>
    <w:rsid w:val="00A578BC"/>
    <w:rsid w:val="00A57C83"/>
    <w:rsid w:val="00A57D79"/>
    <w:rsid w:val="00A57DBC"/>
    <w:rsid w:val="00A57FD3"/>
    <w:rsid w:val="00A60139"/>
    <w:rsid w:val="00A6055C"/>
    <w:rsid w:val="00A6115C"/>
    <w:rsid w:val="00A6130D"/>
    <w:rsid w:val="00A616C4"/>
    <w:rsid w:val="00A61702"/>
    <w:rsid w:val="00A61888"/>
    <w:rsid w:val="00A61BF0"/>
    <w:rsid w:val="00A61DC3"/>
    <w:rsid w:val="00A62767"/>
    <w:rsid w:val="00A627EC"/>
    <w:rsid w:val="00A63ABB"/>
    <w:rsid w:val="00A63F2A"/>
    <w:rsid w:val="00A64015"/>
    <w:rsid w:val="00A641F6"/>
    <w:rsid w:val="00A64234"/>
    <w:rsid w:val="00A642AF"/>
    <w:rsid w:val="00A6444F"/>
    <w:rsid w:val="00A648DF"/>
    <w:rsid w:val="00A64A14"/>
    <w:rsid w:val="00A64DB5"/>
    <w:rsid w:val="00A64DF0"/>
    <w:rsid w:val="00A6506C"/>
    <w:rsid w:val="00A650D6"/>
    <w:rsid w:val="00A650FF"/>
    <w:rsid w:val="00A65C7B"/>
    <w:rsid w:val="00A65ED8"/>
    <w:rsid w:val="00A661F0"/>
    <w:rsid w:val="00A664D1"/>
    <w:rsid w:val="00A66631"/>
    <w:rsid w:val="00A666B6"/>
    <w:rsid w:val="00A66C3A"/>
    <w:rsid w:val="00A66E8D"/>
    <w:rsid w:val="00A66F9E"/>
    <w:rsid w:val="00A66FFA"/>
    <w:rsid w:val="00A6709A"/>
    <w:rsid w:val="00A67202"/>
    <w:rsid w:val="00A674A0"/>
    <w:rsid w:val="00A674DB"/>
    <w:rsid w:val="00A67865"/>
    <w:rsid w:val="00A6797B"/>
    <w:rsid w:val="00A679F9"/>
    <w:rsid w:val="00A704DE"/>
    <w:rsid w:val="00A705DE"/>
    <w:rsid w:val="00A7095E"/>
    <w:rsid w:val="00A70ADF"/>
    <w:rsid w:val="00A70F47"/>
    <w:rsid w:val="00A713EB"/>
    <w:rsid w:val="00A7142C"/>
    <w:rsid w:val="00A71466"/>
    <w:rsid w:val="00A716B7"/>
    <w:rsid w:val="00A716C2"/>
    <w:rsid w:val="00A7188C"/>
    <w:rsid w:val="00A71B9E"/>
    <w:rsid w:val="00A71C8E"/>
    <w:rsid w:val="00A71F80"/>
    <w:rsid w:val="00A72323"/>
    <w:rsid w:val="00A724E7"/>
    <w:rsid w:val="00A729C8"/>
    <w:rsid w:val="00A72CCF"/>
    <w:rsid w:val="00A72FCA"/>
    <w:rsid w:val="00A7326F"/>
    <w:rsid w:val="00A734CE"/>
    <w:rsid w:val="00A736D2"/>
    <w:rsid w:val="00A73B27"/>
    <w:rsid w:val="00A73B50"/>
    <w:rsid w:val="00A7403A"/>
    <w:rsid w:val="00A74AB4"/>
    <w:rsid w:val="00A74B5E"/>
    <w:rsid w:val="00A751E5"/>
    <w:rsid w:val="00A751F7"/>
    <w:rsid w:val="00A75AAF"/>
    <w:rsid w:val="00A76060"/>
    <w:rsid w:val="00A7610E"/>
    <w:rsid w:val="00A763AF"/>
    <w:rsid w:val="00A767B7"/>
    <w:rsid w:val="00A76A7A"/>
    <w:rsid w:val="00A770EF"/>
    <w:rsid w:val="00A8003C"/>
    <w:rsid w:val="00A801C0"/>
    <w:rsid w:val="00A802B9"/>
    <w:rsid w:val="00A804CD"/>
    <w:rsid w:val="00A805ED"/>
    <w:rsid w:val="00A80825"/>
    <w:rsid w:val="00A808E3"/>
    <w:rsid w:val="00A8114F"/>
    <w:rsid w:val="00A81687"/>
    <w:rsid w:val="00A817AC"/>
    <w:rsid w:val="00A81BED"/>
    <w:rsid w:val="00A81EC4"/>
    <w:rsid w:val="00A81FA7"/>
    <w:rsid w:val="00A82080"/>
    <w:rsid w:val="00A82114"/>
    <w:rsid w:val="00A82792"/>
    <w:rsid w:val="00A82C91"/>
    <w:rsid w:val="00A82D58"/>
    <w:rsid w:val="00A82F70"/>
    <w:rsid w:val="00A843A1"/>
    <w:rsid w:val="00A848D1"/>
    <w:rsid w:val="00A84EFB"/>
    <w:rsid w:val="00A8617E"/>
    <w:rsid w:val="00A8645B"/>
    <w:rsid w:val="00A86898"/>
    <w:rsid w:val="00A86FF1"/>
    <w:rsid w:val="00A874CF"/>
    <w:rsid w:val="00A874FA"/>
    <w:rsid w:val="00A8766A"/>
    <w:rsid w:val="00A87915"/>
    <w:rsid w:val="00A901C5"/>
    <w:rsid w:val="00A9043E"/>
    <w:rsid w:val="00A907B4"/>
    <w:rsid w:val="00A90818"/>
    <w:rsid w:val="00A9095D"/>
    <w:rsid w:val="00A90ABF"/>
    <w:rsid w:val="00A90BBD"/>
    <w:rsid w:val="00A90E25"/>
    <w:rsid w:val="00A90E9D"/>
    <w:rsid w:val="00A9171C"/>
    <w:rsid w:val="00A91783"/>
    <w:rsid w:val="00A9185A"/>
    <w:rsid w:val="00A918E9"/>
    <w:rsid w:val="00A919EC"/>
    <w:rsid w:val="00A91C26"/>
    <w:rsid w:val="00A91D86"/>
    <w:rsid w:val="00A92511"/>
    <w:rsid w:val="00A927C4"/>
    <w:rsid w:val="00A928C3"/>
    <w:rsid w:val="00A928DE"/>
    <w:rsid w:val="00A92E12"/>
    <w:rsid w:val="00A9310F"/>
    <w:rsid w:val="00A9339E"/>
    <w:rsid w:val="00A93743"/>
    <w:rsid w:val="00A9407E"/>
    <w:rsid w:val="00A9438F"/>
    <w:rsid w:val="00A94B1A"/>
    <w:rsid w:val="00A94BBB"/>
    <w:rsid w:val="00A9506F"/>
    <w:rsid w:val="00A95558"/>
    <w:rsid w:val="00A955CA"/>
    <w:rsid w:val="00A9571E"/>
    <w:rsid w:val="00A9579B"/>
    <w:rsid w:val="00A95A30"/>
    <w:rsid w:val="00A95A97"/>
    <w:rsid w:val="00A96482"/>
    <w:rsid w:val="00A967FD"/>
    <w:rsid w:val="00A96B2C"/>
    <w:rsid w:val="00A96CF8"/>
    <w:rsid w:val="00A9736E"/>
    <w:rsid w:val="00A97701"/>
    <w:rsid w:val="00A97CE3"/>
    <w:rsid w:val="00A97E6D"/>
    <w:rsid w:val="00AA0262"/>
    <w:rsid w:val="00AA099C"/>
    <w:rsid w:val="00AA0BDC"/>
    <w:rsid w:val="00AA1507"/>
    <w:rsid w:val="00AA1577"/>
    <w:rsid w:val="00AA15BC"/>
    <w:rsid w:val="00AA15F2"/>
    <w:rsid w:val="00AA1709"/>
    <w:rsid w:val="00AA1CF5"/>
    <w:rsid w:val="00AA2525"/>
    <w:rsid w:val="00AA26B9"/>
    <w:rsid w:val="00AA275D"/>
    <w:rsid w:val="00AA2A9B"/>
    <w:rsid w:val="00AA2C1F"/>
    <w:rsid w:val="00AA2C3D"/>
    <w:rsid w:val="00AA322C"/>
    <w:rsid w:val="00AA3298"/>
    <w:rsid w:val="00AA4184"/>
    <w:rsid w:val="00AA43F2"/>
    <w:rsid w:val="00AA45B0"/>
    <w:rsid w:val="00AA4917"/>
    <w:rsid w:val="00AA52DE"/>
    <w:rsid w:val="00AA5321"/>
    <w:rsid w:val="00AA5F3D"/>
    <w:rsid w:val="00AA619E"/>
    <w:rsid w:val="00AA64AA"/>
    <w:rsid w:val="00AA64B0"/>
    <w:rsid w:val="00AA6963"/>
    <w:rsid w:val="00AA6D3C"/>
    <w:rsid w:val="00AA6E3B"/>
    <w:rsid w:val="00AA6EE0"/>
    <w:rsid w:val="00AA746A"/>
    <w:rsid w:val="00AA7770"/>
    <w:rsid w:val="00AA7A03"/>
    <w:rsid w:val="00AA7D4C"/>
    <w:rsid w:val="00AB00AD"/>
    <w:rsid w:val="00AB0340"/>
    <w:rsid w:val="00AB044A"/>
    <w:rsid w:val="00AB0F5A"/>
    <w:rsid w:val="00AB156C"/>
    <w:rsid w:val="00AB1A67"/>
    <w:rsid w:val="00AB1C92"/>
    <w:rsid w:val="00AB1F7F"/>
    <w:rsid w:val="00AB1FE2"/>
    <w:rsid w:val="00AB2100"/>
    <w:rsid w:val="00AB2A15"/>
    <w:rsid w:val="00AB2C20"/>
    <w:rsid w:val="00AB3938"/>
    <w:rsid w:val="00AB3BD2"/>
    <w:rsid w:val="00AB3EDB"/>
    <w:rsid w:val="00AB4A4F"/>
    <w:rsid w:val="00AB4CCA"/>
    <w:rsid w:val="00AB4E9B"/>
    <w:rsid w:val="00AB52F0"/>
    <w:rsid w:val="00AB5442"/>
    <w:rsid w:val="00AB55F3"/>
    <w:rsid w:val="00AB57E5"/>
    <w:rsid w:val="00AB5B44"/>
    <w:rsid w:val="00AB5B9A"/>
    <w:rsid w:val="00AB5DA2"/>
    <w:rsid w:val="00AB6735"/>
    <w:rsid w:val="00AB6814"/>
    <w:rsid w:val="00AB77C0"/>
    <w:rsid w:val="00AC004B"/>
    <w:rsid w:val="00AC03A7"/>
    <w:rsid w:val="00AC04BA"/>
    <w:rsid w:val="00AC074A"/>
    <w:rsid w:val="00AC0BDE"/>
    <w:rsid w:val="00AC0D30"/>
    <w:rsid w:val="00AC0E39"/>
    <w:rsid w:val="00AC12C6"/>
    <w:rsid w:val="00AC15AB"/>
    <w:rsid w:val="00AC18A9"/>
    <w:rsid w:val="00AC20B4"/>
    <w:rsid w:val="00AC2377"/>
    <w:rsid w:val="00AC2382"/>
    <w:rsid w:val="00AC24F7"/>
    <w:rsid w:val="00AC2500"/>
    <w:rsid w:val="00AC2AED"/>
    <w:rsid w:val="00AC2DE1"/>
    <w:rsid w:val="00AC30C8"/>
    <w:rsid w:val="00AC35F5"/>
    <w:rsid w:val="00AC3804"/>
    <w:rsid w:val="00AC3D61"/>
    <w:rsid w:val="00AC3D96"/>
    <w:rsid w:val="00AC4159"/>
    <w:rsid w:val="00AC4205"/>
    <w:rsid w:val="00AC437D"/>
    <w:rsid w:val="00AC4812"/>
    <w:rsid w:val="00AC4A08"/>
    <w:rsid w:val="00AC5133"/>
    <w:rsid w:val="00AC560D"/>
    <w:rsid w:val="00AC5626"/>
    <w:rsid w:val="00AC568A"/>
    <w:rsid w:val="00AC56CC"/>
    <w:rsid w:val="00AC5716"/>
    <w:rsid w:val="00AC58B8"/>
    <w:rsid w:val="00AC5D88"/>
    <w:rsid w:val="00AC631A"/>
    <w:rsid w:val="00AC65C6"/>
    <w:rsid w:val="00AC691E"/>
    <w:rsid w:val="00AC69B8"/>
    <w:rsid w:val="00AC6A99"/>
    <w:rsid w:val="00AC7336"/>
    <w:rsid w:val="00AC7578"/>
    <w:rsid w:val="00AC7712"/>
    <w:rsid w:val="00AC7A62"/>
    <w:rsid w:val="00AC7D4B"/>
    <w:rsid w:val="00AD035B"/>
    <w:rsid w:val="00AD0483"/>
    <w:rsid w:val="00AD0BC6"/>
    <w:rsid w:val="00AD0EEB"/>
    <w:rsid w:val="00AD1671"/>
    <w:rsid w:val="00AD1AAE"/>
    <w:rsid w:val="00AD1C00"/>
    <w:rsid w:val="00AD1C50"/>
    <w:rsid w:val="00AD21B3"/>
    <w:rsid w:val="00AD277F"/>
    <w:rsid w:val="00AD283A"/>
    <w:rsid w:val="00AD2D42"/>
    <w:rsid w:val="00AD2FEE"/>
    <w:rsid w:val="00AD3082"/>
    <w:rsid w:val="00AD32B4"/>
    <w:rsid w:val="00AD32C9"/>
    <w:rsid w:val="00AD35B8"/>
    <w:rsid w:val="00AD36FA"/>
    <w:rsid w:val="00AD3ABC"/>
    <w:rsid w:val="00AD3F86"/>
    <w:rsid w:val="00AD45CD"/>
    <w:rsid w:val="00AD4AD0"/>
    <w:rsid w:val="00AD4C4E"/>
    <w:rsid w:val="00AD52B7"/>
    <w:rsid w:val="00AD5347"/>
    <w:rsid w:val="00AD5379"/>
    <w:rsid w:val="00AD5436"/>
    <w:rsid w:val="00AD563A"/>
    <w:rsid w:val="00AD5DBF"/>
    <w:rsid w:val="00AD60CD"/>
    <w:rsid w:val="00AD6AD3"/>
    <w:rsid w:val="00AD6C8C"/>
    <w:rsid w:val="00AD70A7"/>
    <w:rsid w:val="00AD733D"/>
    <w:rsid w:val="00AD789E"/>
    <w:rsid w:val="00AD7F28"/>
    <w:rsid w:val="00AD7F8F"/>
    <w:rsid w:val="00AE04D3"/>
    <w:rsid w:val="00AE091D"/>
    <w:rsid w:val="00AE0C82"/>
    <w:rsid w:val="00AE0FC6"/>
    <w:rsid w:val="00AE1FBF"/>
    <w:rsid w:val="00AE2ABA"/>
    <w:rsid w:val="00AE2C61"/>
    <w:rsid w:val="00AE2C7C"/>
    <w:rsid w:val="00AE31E2"/>
    <w:rsid w:val="00AE3B60"/>
    <w:rsid w:val="00AE3BF5"/>
    <w:rsid w:val="00AE3CA3"/>
    <w:rsid w:val="00AE3E97"/>
    <w:rsid w:val="00AE42E2"/>
    <w:rsid w:val="00AE4753"/>
    <w:rsid w:val="00AE4965"/>
    <w:rsid w:val="00AE4BCA"/>
    <w:rsid w:val="00AE4D67"/>
    <w:rsid w:val="00AE4EFA"/>
    <w:rsid w:val="00AE5049"/>
    <w:rsid w:val="00AE53A1"/>
    <w:rsid w:val="00AE5657"/>
    <w:rsid w:val="00AE5744"/>
    <w:rsid w:val="00AE5A22"/>
    <w:rsid w:val="00AE5C53"/>
    <w:rsid w:val="00AE5DFA"/>
    <w:rsid w:val="00AE5E25"/>
    <w:rsid w:val="00AE63A3"/>
    <w:rsid w:val="00AE6453"/>
    <w:rsid w:val="00AE71F5"/>
    <w:rsid w:val="00AE74CF"/>
    <w:rsid w:val="00AE7615"/>
    <w:rsid w:val="00AE7619"/>
    <w:rsid w:val="00AE778C"/>
    <w:rsid w:val="00AE7FD8"/>
    <w:rsid w:val="00AF01AF"/>
    <w:rsid w:val="00AF01BC"/>
    <w:rsid w:val="00AF01C0"/>
    <w:rsid w:val="00AF0880"/>
    <w:rsid w:val="00AF12B6"/>
    <w:rsid w:val="00AF1598"/>
    <w:rsid w:val="00AF19BE"/>
    <w:rsid w:val="00AF242D"/>
    <w:rsid w:val="00AF2462"/>
    <w:rsid w:val="00AF2484"/>
    <w:rsid w:val="00AF2E71"/>
    <w:rsid w:val="00AF3168"/>
    <w:rsid w:val="00AF316F"/>
    <w:rsid w:val="00AF3299"/>
    <w:rsid w:val="00AF32E1"/>
    <w:rsid w:val="00AF3348"/>
    <w:rsid w:val="00AF3361"/>
    <w:rsid w:val="00AF3B68"/>
    <w:rsid w:val="00AF3F8B"/>
    <w:rsid w:val="00AF4C03"/>
    <w:rsid w:val="00AF4D09"/>
    <w:rsid w:val="00AF5350"/>
    <w:rsid w:val="00AF5601"/>
    <w:rsid w:val="00AF6067"/>
    <w:rsid w:val="00AF637E"/>
    <w:rsid w:val="00AF63E7"/>
    <w:rsid w:val="00AF65F1"/>
    <w:rsid w:val="00AF668D"/>
    <w:rsid w:val="00AF675B"/>
    <w:rsid w:val="00AF6C4C"/>
    <w:rsid w:val="00AF6DCC"/>
    <w:rsid w:val="00AF6E17"/>
    <w:rsid w:val="00AF6F78"/>
    <w:rsid w:val="00AF78CE"/>
    <w:rsid w:val="00AF7C6C"/>
    <w:rsid w:val="00AF7DDA"/>
    <w:rsid w:val="00AF7F33"/>
    <w:rsid w:val="00B00C17"/>
    <w:rsid w:val="00B010BE"/>
    <w:rsid w:val="00B0165D"/>
    <w:rsid w:val="00B01AA6"/>
    <w:rsid w:val="00B01AAE"/>
    <w:rsid w:val="00B01B60"/>
    <w:rsid w:val="00B02062"/>
    <w:rsid w:val="00B02225"/>
    <w:rsid w:val="00B02631"/>
    <w:rsid w:val="00B026E8"/>
    <w:rsid w:val="00B02919"/>
    <w:rsid w:val="00B02C86"/>
    <w:rsid w:val="00B02D7B"/>
    <w:rsid w:val="00B031F3"/>
    <w:rsid w:val="00B03387"/>
    <w:rsid w:val="00B03F03"/>
    <w:rsid w:val="00B041D6"/>
    <w:rsid w:val="00B042D3"/>
    <w:rsid w:val="00B048F0"/>
    <w:rsid w:val="00B04C47"/>
    <w:rsid w:val="00B04F39"/>
    <w:rsid w:val="00B05171"/>
    <w:rsid w:val="00B051DA"/>
    <w:rsid w:val="00B052A4"/>
    <w:rsid w:val="00B07FB5"/>
    <w:rsid w:val="00B100D4"/>
    <w:rsid w:val="00B103E5"/>
    <w:rsid w:val="00B108F7"/>
    <w:rsid w:val="00B10E52"/>
    <w:rsid w:val="00B10EA1"/>
    <w:rsid w:val="00B11728"/>
    <w:rsid w:val="00B125DE"/>
    <w:rsid w:val="00B12C6F"/>
    <w:rsid w:val="00B13426"/>
    <w:rsid w:val="00B1350D"/>
    <w:rsid w:val="00B13695"/>
    <w:rsid w:val="00B136B3"/>
    <w:rsid w:val="00B138EF"/>
    <w:rsid w:val="00B13A1C"/>
    <w:rsid w:val="00B13EB7"/>
    <w:rsid w:val="00B13FDD"/>
    <w:rsid w:val="00B14A59"/>
    <w:rsid w:val="00B14BFD"/>
    <w:rsid w:val="00B14D15"/>
    <w:rsid w:val="00B14DB9"/>
    <w:rsid w:val="00B15496"/>
    <w:rsid w:val="00B15596"/>
    <w:rsid w:val="00B1578F"/>
    <w:rsid w:val="00B15AC3"/>
    <w:rsid w:val="00B160DF"/>
    <w:rsid w:val="00B16411"/>
    <w:rsid w:val="00B16F68"/>
    <w:rsid w:val="00B172CE"/>
    <w:rsid w:val="00B17745"/>
    <w:rsid w:val="00B17B8B"/>
    <w:rsid w:val="00B17DC7"/>
    <w:rsid w:val="00B17E46"/>
    <w:rsid w:val="00B2030F"/>
    <w:rsid w:val="00B20AFA"/>
    <w:rsid w:val="00B20CDD"/>
    <w:rsid w:val="00B20DBD"/>
    <w:rsid w:val="00B20F51"/>
    <w:rsid w:val="00B211D1"/>
    <w:rsid w:val="00B213F2"/>
    <w:rsid w:val="00B2171A"/>
    <w:rsid w:val="00B22392"/>
    <w:rsid w:val="00B225AD"/>
    <w:rsid w:val="00B228E5"/>
    <w:rsid w:val="00B22921"/>
    <w:rsid w:val="00B22EB2"/>
    <w:rsid w:val="00B2318D"/>
    <w:rsid w:val="00B2342D"/>
    <w:rsid w:val="00B2366E"/>
    <w:rsid w:val="00B23C44"/>
    <w:rsid w:val="00B245F5"/>
    <w:rsid w:val="00B2469C"/>
    <w:rsid w:val="00B24775"/>
    <w:rsid w:val="00B247A2"/>
    <w:rsid w:val="00B24A60"/>
    <w:rsid w:val="00B24BBE"/>
    <w:rsid w:val="00B24CB5"/>
    <w:rsid w:val="00B252AE"/>
    <w:rsid w:val="00B25372"/>
    <w:rsid w:val="00B2551A"/>
    <w:rsid w:val="00B2598A"/>
    <w:rsid w:val="00B259A7"/>
    <w:rsid w:val="00B269A2"/>
    <w:rsid w:val="00B26F66"/>
    <w:rsid w:val="00B272EA"/>
    <w:rsid w:val="00B27442"/>
    <w:rsid w:val="00B27564"/>
    <w:rsid w:val="00B27749"/>
    <w:rsid w:val="00B27758"/>
    <w:rsid w:val="00B277BF"/>
    <w:rsid w:val="00B277CB"/>
    <w:rsid w:val="00B27A4D"/>
    <w:rsid w:val="00B304E3"/>
    <w:rsid w:val="00B3091D"/>
    <w:rsid w:val="00B30C47"/>
    <w:rsid w:val="00B30DBE"/>
    <w:rsid w:val="00B31167"/>
    <w:rsid w:val="00B31195"/>
    <w:rsid w:val="00B3132A"/>
    <w:rsid w:val="00B31453"/>
    <w:rsid w:val="00B31AB7"/>
    <w:rsid w:val="00B31DB9"/>
    <w:rsid w:val="00B31EC3"/>
    <w:rsid w:val="00B329D8"/>
    <w:rsid w:val="00B32BB9"/>
    <w:rsid w:val="00B32E98"/>
    <w:rsid w:val="00B3343F"/>
    <w:rsid w:val="00B337BB"/>
    <w:rsid w:val="00B3388E"/>
    <w:rsid w:val="00B339D1"/>
    <w:rsid w:val="00B33AE1"/>
    <w:rsid w:val="00B33B81"/>
    <w:rsid w:val="00B3401B"/>
    <w:rsid w:val="00B3413E"/>
    <w:rsid w:val="00B34298"/>
    <w:rsid w:val="00B34424"/>
    <w:rsid w:val="00B34BDB"/>
    <w:rsid w:val="00B35476"/>
    <w:rsid w:val="00B35517"/>
    <w:rsid w:val="00B35588"/>
    <w:rsid w:val="00B3571E"/>
    <w:rsid w:val="00B3622F"/>
    <w:rsid w:val="00B362E3"/>
    <w:rsid w:val="00B36417"/>
    <w:rsid w:val="00B36722"/>
    <w:rsid w:val="00B379AE"/>
    <w:rsid w:val="00B37A05"/>
    <w:rsid w:val="00B37C38"/>
    <w:rsid w:val="00B37E82"/>
    <w:rsid w:val="00B400BC"/>
    <w:rsid w:val="00B40807"/>
    <w:rsid w:val="00B40C53"/>
    <w:rsid w:val="00B40D1E"/>
    <w:rsid w:val="00B40D3B"/>
    <w:rsid w:val="00B40EBB"/>
    <w:rsid w:val="00B41517"/>
    <w:rsid w:val="00B416A9"/>
    <w:rsid w:val="00B417A7"/>
    <w:rsid w:val="00B41819"/>
    <w:rsid w:val="00B42751"/>
    <w:rsid w:val="00B427E2"/>
    <w:rsid w:val="00B4288C"/>
    <w:rsid w:val="00B42A32"/>
    <w:rsid w:val="00B42C41"/>
    <w:rsid w:val="00B42EF1"/>
    <w:rsid w:val="00B430A1"/>
    <w:rsid w:val="00B43262"/>
    <w:rsid w:val="00B43510"/>
    <w:rsid w:val="00B43D42"/>
    <w:rsid w:val="00B43D9D"/>
    <w:rsid w:val="00B43FB0"/>
    <w:rsid w:val="00B44100"/>
    <w:rsid w:val="00B44378"/>
    <w:rsid w:val="00B4480C"/>
    <w:rsid w:val="00B4487F"/>
    <w:rsid w:val="00B4490D"/>
    <w:rsid w:val="00B45C75"/>
    <w:rsid w:val="00B45DAB"/>
    <w:rsid w:val="00B45DDC"/>
    <w:rsid w:val="00B45FDA"/>
    <w:rsid w:val="00B465C9"/>
    <w:rsid w:val="00B466BB"/>
    <w:rsid w:val="00B468E4"/>
    <w:rsid w:val="00B46CBA"/>
    <w:rsid w:val="00B46F94"/>
    <w:rsid w:val="00B47C14"/>
    <w:rsid w:val="00B47E30"/>
    <w:rsid w:val="00B50C3D"/>
    <w:rsid w:val="00B50E67"/>
    <w:rsid w:val="00B514B8"/>
    <w:rsid w:val="00B51774"/>
    <w:rsid w:val="00B519AC"/>
    <w:rsid w:val="00B520AA"/>
    <w:rsid w:val="00B521E5"/>
    <w:rsid w:val="00B522E5"/>
    <w:rsid w:val="00B52324"/>
    <w:rsid w:val="00B523A3"/>
    <w:rsid w:val="00B52691"/>
    <w:rsid w:val="00B52756"/>
    <w:rsid w:val="00B52B51"/>
    <w:rsid w:val="00B52BCF"/>
    <w:rsid w:val="00B52D8F"/>
    <w:rsid w:val="00B532A0"/>
    <w:rsid w:val="00B53F89"/>
    <w:rsid w:val="00B54015"/>
    <w:rsid w:val="00B5403D"/>
    <w:rsid w:val="00B541B7"/>
    <w:rsid w:val="00B5473E"/>
    <w:rsid w:val="00B54889"/>
    <w:rsid w:val="00B548F2"/>
    <w:rsid w:val="00B55256"/>
    <w:rsid w:val="00B55387"/>
    <w:rsid w:val="00B55977"/>
    <w:rsid w:val="00B55C13"/>
    <w:rsid w:val="00B56445"/>
    <w:rsid w:val="00B5645B"/>
    <w:rsid w:val="00B565D4"/>
    <w:rsid w:val="00B56938"/>
    <w:rsid w:val="00B571FB"/>
    <w:rsid w:val="00B57277"/>
    <w:rsid w:val="00B572AE"/>
    <w:rsid w:val="00B5738F"/>
    <w:rsid w:val="00B573F3"/>
    <w:rsid w:val="00B574FA"/>
    <w:rsid w:val="00B57D57"/>
    <w:rsid w:val="00B57DC3"/>
    <w:rsid w:val="00B6003C"/>
    <w:rsid w:val="00B609F1"/>
    <w:rsid w:val="00B60A66"/>
    <w:rsid w:val="00B60B11"/>
    <w:rsid w:val="00B60BFA"/>
    <w:rsid w:val="00B61158"/>
    <w:rsid w:val="00B616D9"/>
    <w:rsid w:val="00B61BC7"/>
    <w:rsid w:val="00B61E9E"/>
    <w:rsid w:val="00B61F03"/>
    <w:rsid w:val="00B61FC1"/>
    <w:rsid w:val="00B6218E"/>
    <w:rsid w:val="00B62247"/>
    <w:rsid w:val="00B626E4"/>
    <w:rsid w:val="00B6279C"/>
    <w:rsid w:val="00B62FA6"/>
    <w:rsid w:val="00B634AC"/>
    <w:rsid w:val="00B637A2"/>
    <w:rsid w:val="00B63F44"/>
    <w:rsid w:val="00B64C88"/>
    <w:rsid w:val="00B64CCC"/>
    <w:rsid w:val="00B64D3E"/>
    <w:rsid w:val="00B64EBB"/>
    <w:rsid w:val="00B65068"/>
    <w:rsid w:val="00B65231"/>
    <w:rsid w:val="00B65737"/>
    <w:rsid w:val="00B6601F"/>
    <w:rsid w:val="00B6657D"/>
    <w:rsid w:val="00B667FE"/>
    <w:rsid w:val="00B67426"/>
    <w:rsid w:val="00B6778B"/>
    <w:rsid w:val="00B67A08"/>
    <w:rsid w:val="00B67A39"/>
    <w:rsid w:val="00B67B75"/>
    <w:rsid w:val="00B67C99"/>
    <w:rsid w:val="00B709BF"/>
    <w:rsid w:val="00B70F87"/>
    <w:rsid w:val="00B7106E"/>
    <w:rsid w:val="00B712AC"/>
    <w:rsid w:val="00B7138A"/>
    <w:rsid w:val="00B717B0"/>
    <w:rsid w:val="00B717E0"/>
    <w:rsid w:val="00B71AFE"/>
    <w:rsid w:val="00B72000"/>
    <w:rsid w:val="00B72261"/>
    <w:rsid w:val="00B727E9"/>
    <w:rsid w:val="00B72C4A"/>
    <w:rsid w:val="00B72DB2"/>
    <w:rsid w:val="00B72F4A"/>
    <w:rsid w:val="00B73252"/>
    <w:rsid w:val="00B7330F"/>
    <w:rsid w:val="00B73366"/>
    <w:rsid w:val="00B735F5"/>
    <w:rsid w:val="00B7372D"/>
    <w:rsid w:val="00B7374B"/>
    <w:rsid w:val="00B73957"/>
    <w:rsid w:val="00B73A3F"/>
    <w:rsid w:val="00B73CFE"/>
    <w:rsid w:val="00B73D8C"/>
    <w:rsid w:val="00B7404B"/>
    <w:rsid w:val="00B747E1"/>
    <w:rsid w:val="00B74E7A"/>
    <w:rsid w:val="00B74EC3"/>
    <w:rsid w:val="00B74F45"/>
    <w:rsid w:val="00B75087"/>
    <w:rsid w:val="00B755AE"/>
    <w:rsid w:val="00B75618"/>
    <w:rsid w:val="00B75775"/>
    <w:rsid w:val="00B75A6C"/>
    <w:rsid w:val="00B75AC2"/>
    <w:rsid w:val="00B760AC"/>
    <w:rsid w:val="00B767BF"/>
    <w:rsid w:val="00B7681C"/>
    <w:rsid w:val="00B76F6D"/>
    <w:rsid w:val="00B7707C"/>
    <w:rsid w:val="00B771EC"/>
    <w:rsid w:val="00B77341"/>
    <w:rsid w:val="00B77544"/>
    <w:rsid w:val="00B777C0"/>
    <w:rsid w:val="00B77EFD"/>
    <w:rsid w:val="00B77FC2"/>
    <w:rsid w:val="00B801AB"/>
    <w:rsid w:val="00B80555"/>
    <w:rsid w:val="00B80595"/>
    <w:rsid w:val="00B810A2"/>
    <w:rsid w:val="00B81138"/>
    <w:rsid w:val="00B815D9"/>
    <w:rsid w:val="00B81A45"/>
    <w:rsid w:val="00B81A4B"/>
    <w:rsid w:val="00B81E1C"/>
    <w:rsid w:val="00B81E7C"/>
    <w:rsid w:val="00B82069"/>
    <w:rsid w:val="00B82340"/>
    <w:rsid w:val="00B82D2E"/>
    <w:rsid w:val="00B82F05"/>
    <w:rsid w:val="00B830D0"/>
    <w:rsid w:val="00B8339F"/>
    <w:rsid w:val="00B83A2D"/>
    <w:rsid w:val="00B83C27"/>
    <w:rsid w:val="00B83CC4"/>
    <w:rsid w:val="00B83EE3"/>
    <w:rsid w:val="00B83F8F"/>
    <w:rsid w:val="00B842B0"/>
    <w:rsid w:val="00B84700"/>
    <w:rsid w:val="00B84904"/>
    <w:rsid w:val="00B84965"/>
    <w:rsid w:val="00B84A97"/>
    <w:rsid w:val="00B84BC3"/>
    <w:rsid w:val="00B84BDD"/>
    <w:rsid w:val="00B84DB2"/>
    <w:rsid w:val="00B851E3"/>
    <w:rsid w:val="00B85367"/>
    <w:rsid w:val="00B864BB"/>
    <w:rsid w:val="00B86678"/>
    <w:rsid w:val="00B86855"/>
    <w:rsid w:val="00B868CB"/>
    <w:rsid w:val="00B86C35"/>
    <w:rsid w:val="00B870EF"/>
    <w:rsid w:val="00B872B3"/>
    <w:rsid w:val="00B87646"/>
    <w:rsid w:val="00B8783C"/>
    <w:rsid w:val="00B8785F"/>
    <w:rsid w:val="00B87E7C"/>
    <w:rsid w:val="00B90022"/>
    <w:rsid w:val="00B9014C"/>
    <w:rsid w:val="00B9054D"/>
    <w:rsid w:val="00B90D53"/>
    <w:rsid w:val="00B91085"/>
    <w:rsid w:val="00B91108"/>
    <w:rsid w:val="00B911D6"/>
    <w:rsid w:val="00B91314"/>
    <w:rsid w:val="00B91637"/>
    <w:rsid w:val="00B9195F"/>
    <w:rsid w:val="00B91BFC"/>
    <w:rsid w:val="00B91DFA"/>
    <w:rsid w:val="00B92022"/>
    <w:rsid w:val="00B92141"/>
    <w:rsid w:val="00B9217D"/>
    <w:rsid w:val="00B926A1"/>
    <w:rsid w:val="00B92812"/>
    <w:rsid w:val="00B929B9"/>
    <w:rsid w:val="00B932A5"/>
    <w:rsid w:val="00B93616"/>
    <w:rsid w:val="00B937C5"/>
    <w:rsid w:val="00B93ED6"/>
    <w:rsid w:val="00B9470D"/>
    <w:rsid w:val="00B94C86"/>
    <w:rsid w:val="00B95841"/>
    <w:rsid w:val="00B959D2"/>
    <w:rsid w:val="00B959EB"/>
    <w:rsid w:val="00B95AAA"/>
    <w:rsid w:val="00B962CD"/>
    <w:rsid w:val="00B96762"/>
    <w:rsid w:val="00B969FE"/>
    <w:rsid w:val="00B96C20"/>
    <w:rsid w:val="00B96DBC"/>
    <w:rsid w:val="00B96DFD"/>
    <w:rsid w:val="00B97161"/>
    <w:rsid w:val="00B971FB"/>
    <w:rsid w:val="00B97667"/>
    <w:rsid w:val="00BA00C6"/>
    <w:rsid w:val="00BA046F"/>
    <w:rsid w:val="00BA0673"/>
    <w:rsid w:val="00BA09A8"/>
    <w:rsid w:val="00BA1590"/>
    <w:rsid w:val="00BA181B"/>
    <w:rsid w:val="00BA183E"/>
    <w:rsid w:val="00BA2178"/>
    <w:rsid w:val="00BA25B3"/>
    <w:rsid w:val="00BA25DD"/>
    <w:rsid w:val="00BA2679"/>
    <w:rsid w:val="00BA26FE"/>
    <w:rsid w:val="00BA2D2E"/>
    <w:rsid w:val="00BA34A4"/>
    <w:rsid w:val="00BA3D87"/>
    <w:rsid w:val="00BA4032"/>
    <w:rsid w:val="00BA446C"/>
    <w:rsid w:val="00BA48AA"/>
    <w:rsid w:val="00BA498C"/>
    <w:rsid w:val="00BA49E4"/>
    <w:rsid w:val="00BA5226"/>
    <w:rsid w:val="00BA5537"/>
    <w:rsid w:val="00BA5740"/>
    <w:rsid w:val="00BA5DA7"/>
    <w:rsid w:val="00BA6010"/>
    <w:rsid w:val="00BA7A2D"/>
    <w:rsid w:val="00BA7AE9"/>
    <w:rsid w:val="00BB048E"/>
    <w:rsid w:val="00BB06BC"/>
    <w:rsid w:val="00BB08FD"/>
    <w:rsid w:val="00BB0B09"/>
    <w:rsid w:val="00BB1239"/>
    <w:rsid w:val="00BB1258"/>
    <w:rsid w:val="00BB14AB"/>
    <w:rsid w:val="00BB1511"/>
    <w:rsid w:val="00BB1907"/>
    <w:rsid w:val="00BB1CDE"/>
    <w:rsid w:val="00BB2944"/>
    <w:rsid w:val="00BB2A90"/>
    <w:rsid w:val="00BB303E"/>
    <w:rsid w:val="00BB38F9"/>
    <w:rsid w:val="00BB3B22"/>
    <w:rsid w:val="00BB44EF"/>
    <w:rsid w:val="00BB4594"/>
    <w:rsid w:val="00BB45A1"/>
    <w:rsid w:val="00BB46A4"/>
    <w:rsid w:val="00BB4B2C"/>
    <w:rsid w:val="00BB4EA4"/>
    <w:rsid w:val="00BB4FBE"/>
    <w:rsid w:val="00BB4FD9"/>
    <w:rsid w:val="00BB5233"/>
    <w:rsid w:val="00BB5498"/>
    <w:rsid w:val="00BB5904"/>
    <w:rsid w:val="00BB6070"/>
    <w:rsid w:val="00BB6309"/>
    <w:rsid w:val="00BB63CE"/>
    <w:rsid w:val="00BB6428"/>
    <w:rsid w:val="00BB6634"/>
    <w:rsid w:val="00BB6D81"/>
    <w:rsid w:val="00BB6DB5"/>
    <w:rsid w:val="00BB7187"/>
    <w:rsid w:val="00BB7328"/>
    <w:rsid w:val="00BB7686"/>
    <w:rsid w:val="00BB788D"/>
    <w:rsid w:val="00BB7915"/>
    <w:rsid w:val="00BC015C"/>
    <w:rsid w:val="00BC0C4A"/>
    <w:rsid w:val="00BC0D00"/>
    <w:rsid w:val="00BC0D50"/>
    <w:rsid w:val="00BC0E4C"/>
    <w:rsid w:val="00BC1967"/>
    <w:rsid w:val="00BC1B76"/>
    <w:rsid w:val="00BC1FF2"/>
    <w:rsid w:val="00BC23F9"/>
    <w:rsid w:val="00BC324A"/>
    <w:rsid w:val="00BC3396"/>
    <w:rsid w:val="00BC33FD"/>
    <w:rsid w:val="00BC3421"/>
    <w:rsid w:val="00BC38F8"/>
    <w:rsid w:val="00BC4222"/>
    <w:rsid w:val="00BC429C"/>
    <w:rsid w:val="00BC4376"/>
    <w:rsid w:val="00BC5180"/>
    <w:rsid w:val="00BC55D6"/>
    <w:rsid w:val="00BC5942"/>
    <w:rsid w:val="00BC5CC2"/>
    <w:rsid w:val="00BC629D"/>
    <w:rsid w:val="00BC673B"/>
    <w:rsid w:val="00BC6B8C"/>
    <w:rsid w:val="00BC6DDD"/>
    <w:rsid w:val="00BC732C"/>
    <w:rsid w:val="00BC738B"/>
    <w:rsid w:val="00BC7702"/>
    <w:rsid w:val="00BC7708"/>
    <w:rsid w:val="00BC79B9"/>
    <w:rsid w:val="00BC7F0B"/>
    <w:rsid w:val="00BD0C06"/>
    <w:rsid w:val="00BD1600"/>
    <w:rsid w:val="00BD186B"/>
    <w:rsid w:val="00BD189F"/>
    <w:rsid w:val="00BD18A5"/>
    <w:rsid w:val="00BD2194"/>
    <w:rsid w:val="00BD2593"/>
    <w:rsid w:val="00BD28D6"/>
    <w:rsid w:val="00BD2B64"/>
    <w:rsid w:val="00BD2EEB"/>
    <w:rsid w:val="00BD34F1"/>
    <w:rsid w:val="00BD36DA"/>
    <w:rsid w:val="00BD3820"/>
    <w:rsid w:val="00BD3CF9"/>
    <w:rsid w:val="00BD4301"/>
    <w:rsid w:val="00BD4D2A"/>
    <w:rsid w:val="00BD4E1C"/>
    <w:rsid w:val="00BD528D"/>
    <w:rsid w:val="00BD54CD"/>
    <w:rsid w:val="00BD5862"/>
    <w:rsid w:val="00BD5B28"/>
    <w:rsid w:val="00BD5B2C"/>
    <w:rsid w:val="00BD60E3"/>
    <w:rsid w:val="00BD6168"/>
    <w:rsid w:val="00BD6AED"/>
    <w:rsid w:val="00BD6BEB"/>
    <w:rsid w:val="00BD6CAB"/>
    <w:rsid w:val="00BD726D"/>
    <w:rsid w:val="00BD73C0"/>
    <w:rsid w:val="00BD7424"/>
    <w:rsid w:val="00BD7F04"/>
    <w:rsid w:val="00BE0423"/>
    <w:rsid w:val="00BE07A9"/>
    <w:rsid w:val="00BE0B4F"/>
    <w:rsid w:val="00BE0BC1"/>
    <w:rsid w:val="00BE13F4"/>
    <w:rsid w:val="00BE194D"/>
    <w:rsid w:val="00BE1B55"/>
    <w:rsid w:val="00BE1C25"/>
    <w:rsid w:val="00BE1E1D"/>
    <w:rsid w:val="00BE2203"/>
    <w:rsid w:val="00BE2580"/>
    <w:rsid w:val="00BE266D"/>
    <w:rsid w:val="00BE291C"/>
    <w:rsid w:val="00BE2C02"/>
    <w:rsid w:val="00BE2CC9"/>
    <w:rsid w:val="00BE2DC0"/>
    <w:rsid w:val="00BE38BD"/>
    <w:rsid w:val="00BE3938"/>
    <w:rsid w:val="00BE3A94"/>
    <w:rsid w:val="00BE43B6"/>
    <w:rsid w:val="00BE4890"/>
    <w:rsid w:val="00BE4C11"/>
    <w:rsid w:val="00BE4FB5"/>
    <w:rsid w:val="00BE514A"/>
    <w:rsid w:val="00BE5811"/>
    <w:rsid w:val="00BE59BE"/>
    <w:rsid w:val="00BE6916"/>
    <w:rsid w:val="00BE6AAD"/>
    <w:rsid w:val="00BE71C0"/>
    <w:rsid w:val="00BE7323"/>
    <w:rsid w:val="00BE74D5"/>
    <w:rsid w:val="00BE75A7"/>
    <w:rsid w:val="00BE7AFE"/>
    <w:rsid w:val="00BF0ED1"/>
    <w:rsid w:val="00BF1606"/>
    <w:rsid w:val="00BF1D21"/>
    <w:rsid w:val="00BF2007"/>
    <w:rsid w:val="00BF204E"/>
    <w:rsid w:val="00BF25CB"/>
    <w:rsid w:val="00BF26C5"/>
    <w:rsid w:val="00BF3437"/>
    <w:rsid w:val="00BF346D"/>
    <w:rsid w:val="00BF3786"/>
    <w:rsid w:val="00BF3D4A"/>
    <w:rsid w:val="00BF3EC0"/>
    <w:rsid w:val="00BF42A0"/>
    <w:rsid w:val="00BF456C"/>
    <w:rsid w:val="00BF4BFF"/>
    <w:rsid w:val="00BF4E58"/>
    <w:rsid w:val="00BF546C"/>
    <w:rsid w:val="00BF5593"/>
    <w:rsid w:val="00BF5FD2"/>
    <w:rsid w:val="00BF610C"/>
    <w:rsid w:val="00BF6675"/>
    <w:rsid w:val="00BF674C"/>
    <w:rsid w:val="00BF6B26"/>
    <w:rsid w:val="00BF6CEA"/>
    <w:rsid w:val="00BF728D"/>
    <w:rsid w:val="00BF7348"/>
    <w:rsid w:val="00BF76BC"/>
    <w:rsid w:val="00BF77F7"/>
    <w:rsid w:val="00BF78ED"/>
    <w:rsid w:val="00BF7A33"/>
    <w:rsid w:val="00BF7D9F"/>
    <w:rsid w:val="00C00396"/>
    <w:rsid w:val="00C0060B"/>
    <w:rsid w:val="00C0067C"/>
    <w:rsid w:val="00C0070D"/>
    <w:rsid w:val="00C01D18"/>
    <w:rsid w:val="00C0236C"/>
    <w:rsid w:val="00C02759"/>
    <w:rsid w:val="00C0277D"/>
    <w:rsid w:val="00C02BF4"/>
    <w:rsid w:val="00C02C2A"/>
    <w:rsid w:val="00C02CD4"/>
    <w:rsid w:val="00C02DED"/>
    <w:rsid w:val="00C02F47"/>
    <w:rsid w:val="00C03302"/>
    <w:rsid w:val="00C0336E"/>
    <w:rsid w:val="00C03871"/>
    <w:rsid w:val="00C03BF4"/>
    <w:rsid w:val="00C03C27"/>
    <w:rsid w:val="00C0442E"/>
    <w:rsid w:val="00C0454F"/>
    <w:rsid w:val="00C0487A"/>
    <w:rsid w:val="00C0488E"/>
    <w:rsid w:val="00C04A62"/>
    <w:rsid w:val="00C04CE8"/>
    <w:rsid w:val="00C04FC0"/>
    <w:rsid w:val="00C0526F"/>
    <w:rsid w:val="00C0539D"/>
    <w:rsid w:val="00C053A1"/>
    <w:rsid w:val="00C05934"/>
    <w:rsid w:val="00C05D37"/>
    <w:rsid w:val="00C05DF9"/>
    <w:rsid w:val="00C05FB9"/>
    <w:rsid w:val="00C0647F"/>
    <w:rsid w:val="00C06614"/>
    <w:rsid w:val="00C0685A"/>
    <w:rsid w:val="00C06D75"/>
    <w:rsid w:val="00C06F98"/>
    <w:rsid w:val="00C070D8"/>
    <w:rsid w:val="00C073D9"/>
    <w:rsid w:val="00C07B39"/>
    <w:rsid w:val="00C10118"/>
    <w:rsid w:val="00C10368"/>
    <w:rsid w:val="00C107F5"/>
    <w:rsid w:val="00C1097D"/>
    <w:rsid w:val="00C10A83"/>
    <w:rsid w:val="00C10B00"/>
    <w:rsid w:val="00C10DEF"/>
    <w:rsid w:val="00C10EF3"/>
    <w:rsid w:val="00C1152D"/>
    <w:rsid w:val="00C11B58"/>
    <w:rsid w:val="00C11E22"/>
    <w:rsid w:val="00C11FCB"/>
    <w:rsid w:val="00C12084"/>
    <w:rsid w:val="00C12183"/>
    <w:rsid w:val="00C12207"/>
    <w:rsid w:val="00C12545"/>
    <w:rsid w:val="00C1270E"/>
    <w:rsid w:val="00C12720"/>
    <w:rsid w:val="00C12F50"/>
    <w:rsid w:val="00C12F75"/>
    <w:rsid w:val="00C132A1"/>
    <w:rsid w:val="00C13349"/>
    <w:rsid w:val="00C137B9"/>
    <w:rsid w:val="00C1475E"/>
    <w:rsid w:val="00C14ABE"/>
    <w:rsid w:val="00C14AD3"/>
    <w:rsid w:val="00C14F95"/>
    <w:rsid w:val="00C1500C"/>
    <w:rsid w:val="00C1569B"/>
    <w:rsid w:val="00C1576A"/>
    <w:rsid w:val="00C15BA7"/>
    <w:rsid w:val="00C15BB6"/>
    <w:rsid w:val="00C15CC6"/>
    <w:rsid w:val="00C15D07"/>
    <w:rsid w:val="00C15D46"/>
    <w:rsid w:val="00C15FC3"/>
    <w:rsid w:val="00C16198"/>
    <w:rsid w:val="00C16D34"/>
    <w:rsid w:val="00C16F12"/>
    <w:rsid w:val="00C171A0"/>
    <w:rsid w:val="00C174A4"/>
    <w:rsid w:val="00C17DA2"/>
    <w:rsid w:val="00C200E3"/>
    <w:rsid w:val="00C20270"/>
    <w:rsid w:val="00C2083D"/>
    <w:rsid w:val="00C20C9A"/>
    <w:rsid w:val="00C21030"/>
    <w:rsid w:val="00C21909"/>
    <w:rsid w:val="00C21912"/>
    <w:rsid w:val="00C21AD3"/>
    <w:rsid w:val="00C21B53"/>
    <w:rsid w:val="00C21F4C"/>
    <w:rsid w:val="00C22313"/>
    <w:rsid w:val="00C228CB"/>
    <w:rsid w:val="00C22ED2"/>
    <w:rsid w:val="00C232CA"/>
    <w:rsid w:val="00C23659"/>
    <w:rsid w:val="00C2367E"/>
    <w:rsid w:val="00C23C75"/>
    <w:rsid w:val="00C23E35"/>
    <w:rsid w:val="00C23F9E"/>
    <w:rsid w:val="00C242FE"/>
    <w:rsid w:val="00C24A53"/>
    <w:rsid w:val="00C25658"/>
    <w:rsid w:val="00C25A23"/>
    <w:rsid w:val="00C260DF"/>
    <w:rsid w:val="00C26173"/>
    <w:rsid w:val="00C2668B"/>
    <w:rsid w:val="00C27140"/>
    <w:rsid w:val="00C2734E"/>
    <w:rsid w:val="00C27E21"/>
    <w:rsid w:val="00C30372"/>
    <w:rsid w:val="00C30939"/>
    <w:rsid w:val="00C30B26"/>
    <w:rsid w:val="00C30FEE"/>
    <w:rsid w:val="00C3158F"/>
    <w:rsid w:val="00C319E5"/>
    <w:rsid w:val="00C32455"/>
    <w:rsid w:val="00C327A6"/>
    <w:rsid w:val="00C32A63"/>
    <w:rsid w:val="00C32FE4"/>
    <w:rsid w:val="00C33021"/>
    <w:rsid w:val="00C33176"/>
    <w:rsid w:val="00C33447"/>
    <w:rsid w:val="00C33A37"/>
    <w:rsid w:val="00C33CDD"/>
    <w:rsid w:val="00C34362"/>
    <w:rsid w:val="00C347F6"/>
    <w:rsid w:val="00C34A05"/>
    <w:rsid w:val="00C34F65"/>
    <w:rsid w:val="00C355ED"/>
    <w:rsid w:val="00C3564A"/>
    <w:rsid w:val="00C35901"/>
    <w:rsid w:val="00C35920"/>
    <w:rsid w:val="00C3593B"/>
    <w:rsid w:val="00C35A25"/>
    <w:rsid w:val="00C35ABF"/>
    <w:rsid w:val="00C3604C"/>
    <w:rsid w:val="00C364F1"/>
    <w:rsid w:val="00C36639"/>
    <w:rsid w:val="00C3665E"/>
    <w:rsid w:val="00C367FC"/>
    <w:rsid w:val="00C36C96"/>
    <w:rsid w:val="00C374D1"/>
    <w:rsid w:val="00C37768"/>
    <w:rsid w:val="00C37AE0"/>
    <w:rsid w:val="00C400F4"/>
    <w:rsid w:val="00C401A8"/>
    <w:rsid w:val="00C4032F"/>
    <w:rsid w:val="00C404E9"/>
    <w:rsid w:val="00C40619"/>
    <w:rsid w:val="00C407B7"/>
    <w:rsid w:val="00C40966"/>
    <w:rsid w:val="00C409CA"/>
    <w:rsid w:val="00C40E65"/>
    <w:rsid w:val="00C41F76"/>
    <w:rsid w:val="00C42025"/>
    <w:rsid w:val="00C42276"/>
    <w:rsid w:val="00C42991"/>
    <w:rsid w:val="00C429D4"/>
    <w:rsid w:val="00C42A48"/>
    <w:rsid w:val="00C42BCF"/>
    <w:rsid w:val="00C42C15"/>
    <w:rsid w:val="00C43153"/>
    <w:rsid w:val="00C433AB"/>
    <w:rsid w:val="00C43A99"/>
    <w:rsid w:val="00C43D45"/>
    <w:rsid w:val="00C43E52"/>
    <w:rsid w:val="00C4400B"/>
    <w:rsid w:val="00C44047"/>
    <w:rsid w:val="00C443C7"/>
    <w:rsid w:val="00C4441C"/>
    <w:rsid w:val="00C44770"/>
    <w:rsid w:val="00C44903"/>
    <w:rsid w:val="00C44E73"/>
    <w:rsid w:val="00C45155"/>
    <w:rsid w:val="00C45395"/>
    <w:rsid w:val="00C458EA"/>
    <w:rsid w:val="00C45AA4"/>
    <w:rsid w:val="00C4637D"/>
    <w:rsid w:val="00C4678B"/>
    <w:rsid w:val="00C4694C"/>
    <w:rsid w:val="00C469C7"/>
    <w:rsid w:val="00C46BF3"/>
    <w:rsid w:val="00C47FC4"/>
    <w:rsid w:val="00C50103"/>
    <w:rsid w:val="00C502AA"/>
    <w:rsid w:val="00C50635"/>
    <w:rsid w:val="00C50A4C"/>
    <w:rsid w:val="00C50B4E"/>
    <w:rsid w:val="00C50CD1"/>
    <w:rsid w:val="00C5109E"/>
    <w:rsid w:val="00C51923"/>
    <w:rsid w:val="00C5192A"/>
    <w:rsid w:val="00C52030"/>
    <w:rsid w:val="00C52474"/>
    <w:rsid w:val="00C52619"/>
    <w:rsid w:val="00C52A58"/>
    <w:rsid w:val="00C52A8F"/>
    <w:rsid w:val="00C52C07"/>
    <w:rsid w:val="00C53383"/>
    <w:rsid w:val="00C533F4"/>
    <w:rsid w:val="00C5369F"/>
    <w:rsid w:val="00C53C74"/>
    <w:rsid w:val="00C543D2"/>
    <w:rsid w:val="00C5498F"/>
    <w:rsid w:val="00C54BEA"/>
    <w:rsid w:val="00C54DE0"/>
    <w:rsid w:val="00C550F4"/>
    <w:rsid w:val="00C55235"/>
    <w:rsid w:val="00C55263"/>
    <w:rsid w:val="00C55D45"/>
    <w:rsid w:val="00C55E57"/>
    <w:rsid w:val="00C56000"/>
    <w:rsid w:val="00C564E1"/>
    <w:rsid w:val="00C565BB"/>
    <w:rsid w:val="00C567B9"/>
    <w:rsid w:val="00C568CD"/>
    <w:rsid w:val="00C569F1"/>
    <w:rsid w:val="00C56B65"/>
    <w:rsid w:val="00C56B71"/>
    <w:rsid w:val="00C56E61"/>
    <w:rsid w:val="00C56F4D"/>
    <w:rsid w:val="00C57226"/>
    <w:rsid w:val="00C5782B"/>
    <w:rsid w:val="00C57888"/>
    <w:rsid w:val="00C5788B"/>
    <w:rsid w:val="00C57BF6"/>
    <w:rsid w:val="00C57EFE"/>
    <w:rsid w:val="00C57F57"/>
    <w:rsid w:val="00C603C6"/>
    <w:rsid w:val="00C603FF"/>
    <w:rsid w:val="00C60F01"/>
    <w:rsid w:val="00C61075"/>
    <w:rsid w:val="00C61187"/>
    <w:rsid w:val="00C613A3"/>
    <w:rsid w:val="00C61717"/>
    <w:rsid w:val="00C61B31"/>
    <w:rsid w:val="00C61FD4"/>
    <w:rsid w:val="00C62009"/>
    <w:rsid w:val="00C63BD8"/>
    <w:rsid w:val="00C63BEC"/>
    <w:rsid w:val="00C64561"/>
    <w:rsid w:val="00C6464C"/>
    <w:rsid w:val="00C64CD0"/>
    <w:rsid w:val="00C64E1C"/>
    <w:rsid w:val="00C6573A"/>
    <w:rsid w:val="00C65B01"/>
    <w:rsid w:val="00C65E88"/>
    <w:rsid w:val="00C66453"/>
    <w:rsid w:val="00C6684F"/>
    <w:rsid w:val="00C66850"/>
    <w:rsid w:val="00C66ADD"/>
    <w:rsid w:val="00C66FA9"/>
    <w:rsid w:val="00C67429"/>
    <w:rsid w:val="00C67AF6"/>
    <w:rsid w:val="00C67BC0"/>
    <w:rsid w:val="00C67DDB"/>
    <w:rsid w:val="00C67E91"/>
    <w:rsid w:val="00C70630"/>
    <w:rsid w:val="00C70674"/>
    <w:rsid w:val="00C7077C"/>
    <w:rsid w:val="00C7089C"/>
    <w:rsid w:val="00C70997"/>
    <w:rsid w:val="00C70E70"/>
    <w:rsid w:val="00C70FBF"/>
    <w:rsid w:val="00C7153A"/>
    <w:rsid w:val="00C72265"/>
    <w:rsid w:val="00C7245A"/>
    <w:rsid w:val="00C72A4C"/>
    <w:rsid w:val="00C72BF9"/>
    <w:rsid w:val="00C73416"/>
    <w:rsid w:val="00C73D17"/>
    <w:rsid w:val="00C73FDD"/>
    <w:rsid w:val="00C74ACC"/>
    <w:rsid w:val="00C74ADE"/>
    <w:rsid w:val="00C74B41"/>
    <w:rsid w:val="00C74CA1"/>
    <w:rsid w:val="00C74D77"/>
    <w:rsid w:val="00C75BFD"/>
    <w:rsid w:val="00C75EC8"/>
    <w:rsid w:val="00C75F8D"/>
    <w:rsid w:val="00C76383"/>
    <w:rsid w:val="00C765F9"/>
    <w:rsid w:val="00C7660A"/>
    <w:rsid w:val="00C76C17"/>
    <w:rsid w:val="00C76C36"/>
    <w:rsid w:val="00C76DB6"/>
    <w:rsid w:val="00C76E06"/>
    <w:rsid w:val="00C7711E"/>
    <w:rsid w:val="00C77380"/>
    <w:rsid w:val="00C775FE"/>
    <w:rsid w:val="00C77641"/>
    <w:rsid w:val="00C7787A"/>
    <w:rsid w:val="00C77B91"/>
    <w:rsid w:val="00C77D22"/>
    <w:rsid w:val="00C80011"/>
    <w:rsid w:val="00C8052B"/>
    <w:rsid w:val="00C8072E"/>
    <w:rsid w:val="00C808DB"/>
    <w:rsid w:val="00C81327"/>
    <w:rsid w:val="00C8181C"/>
    <w:rsid w:val="00C81934"/>
    <w:rsid w:val="00C81AB6"/>
    <w:rsid w:val="00C81DDB"/>
    <w:rsid w:val="00C8209A"/>
    <w:rsid w:val="00C82255"/>
    <w:rsid w:val="00C82472"/>
    <w:rsid w:val="00C82984"/>
    <w:rsid w:val="00C83799"/>
    <w:rsid w:val="00C837A5"/>
    <w:rsid w:val="00C83864"/>
    <w:rsid w:val="00C83887"/>
    <w:rsid w:val="00C83A57"/>
    <w:rsid w:val="00C83B47"/>
    <w:rsid w:val="00C83C71"/>
    <w:rsid w:val="00C84314"/>
    <w:rsid w:val="00C84323"/>
    <w:rsid w:val="00C85003"/>
    <w:rsid w:val="00C8570C"/>
    <w:rsid w:val="00C85767"/>
    <w:rsid w:val="00C86356"/>
    <w:rsid w:val="00C86924"/>
    <w:rsid w:val="00C86A25"/>
    <w:rsid w:val="00C8721B"/>
    <w:rsid w:val="00C87342"/>
    <w:rsid w:val="00C879B4"/>
    <w:rsid w:val="00C87EF3"/>
    <w:rsid w:val="00C901EF"/>
    <w:rsid w:val="00C90475"/>
    <w:rsid w:val="00C90A45"/>
    <w:rsid w:val="00C90D8B"/>
    <w:rsid w:val="00C90E70"/>
    <w:rsid w:val="00C910E5"/>
    <w:rsid w:val="00C91243"/>
    <w:rsid w:val="00C91793"/>
    <w:rsid w:val="00C918FF"/>
    <w:rsid w:val="00C919C5"/>
    <w:rsid w:val="00C91C17"/>
    <w:rsid w:val="00C92115"/>
    <w:rsid w:val="00C92124"/>
    <w:rsid w:val="00C9230E"/>
    <w:rsid w:val="00C92594"/>
    <w:rsid w:val="00C93139"/>
    <w:rsid w:val="00C932C4"/>
    <w:rsid w:val="00C9390F"/>
    <w:rsid w:val="00C939D5"/>
    <w:rsid w:val="00C93C1C"/>
    <w:rsid w:val="00C94409"/>
    <w:rsid w:val="00C94652"/>
    <w:rsid w:val="00C948F5"/>
    <w:rsid w:val="00C94AA8"/>
    <w:rsid w:val="00C94B42"/>
    <w:rsid w:val="00C9538A"/>
    <w:rsid w:val="00C95B03"/>
    <w:rsid w:val="00C96325"/>
    <w:rsid w:val="00C9672C"/>
    <w:rsid w:val="00C96A25"/>
    <w:rsid w:val="00C96C3D"/>
    <w:rsid w:val="00C96CB4"/>
    <w:rsid w:val="00C96D02"/>
    <w:rsid w:val="00C97736"/>
    <w:rsid w:val="00C979DB"/>
    <w:rsid w:val="00C97D22"/>
    <w:rsid w:val="00CA01D5"/>
    <w:rsid w:val="00CA0245"/>
    <w:rsid w:val="00CA03C3"/>
    <w:rsid w:val="00CA049A"/>
    <w:rsid w:val="00CA0DFC"/>
    <w:rsid w:val="00CA13F7"/>
    <w:rsid w:val="00CA26C9"/>
    <w:rsid w:val="00CA289D"/>
    <w:rsid w:val="00CA29A1"/>
    <w:rsid w:val="00CA2E02"/>
    <w:rsid w:val="00CA3025"/>
    <w:rsid w:val="00CA3436"/>
    <w:rsid w:val="00CA345A"/>
    <w:rsid w:val="00CA3C2B"/>
    <w:rsid w:val="00CA3CCA"/>
    <w:rsid w:val="00CA3DBE"/>
    <w:rsid w:val="00CA3FF4"/>
    <w:rsid w:val="00CA45D7"/>
    <w:rsid w:val="00CA46C1"/>
    <w:rsid w:val="00CA4858"/>
    <w:rsid w:val="00CA4931"/>
    <w:rsid w:val="00CA4F05"/>
    <w:rsid w:val="00CA524D"/>
    <w:rsid w:val="00CA55FB"/>
    <w:rsid w:val="00CA57F5"/>
    <w:rsid w:val="00CA5A31"/>
    <w:rsid w:val="00CA5E24"/>
    <w:rsid w:val="00CA5FD2"/>
    <w:rsid w:val="00CA6207"/>
    <w:rsid w:val="00CA636C"/>
    <w:rsid w:val="00CA668C"/>
    <w:rsid w:val="00CA6804"/>
    <w:rsid w:val="00CA6DC3"/>
    <w:rsid w:val="00CA6ED9"/>
    <w:rsid w:val="00CA71C5"/>
    <w:rsid w:val="00CA76C8"/>
    <w:rsid w:val="00CB0040"/>
    <w:rsid w:val="00CB0353"/>
    <w:rsid w:val="00CB050D"/>
    <w:rsid w:val="00CB074E"/>
    <w:rsid w:val="00CB087E"/>
    <w:rsid w:val="00CB0963"/>
    <w:rsid w:val="00CB0E53"/>
    <w:rsid w:val="00CB0ED4"/>
    <w:rsid w:val="00CB14D5"/>
    <w:rsid w:val="00CB1AA5"/>
    <w:rsid w:val="00CB1DCC"/>
    <w:rsid w:val="00CB1E82"/>
    <w:rsid w:val="00CB2223"/>
    <w:rsid w:val="00CB2374"/>
    <w:rsid w:val="00CB24A1"/>
    <w:rsid w:val="00CB2B01"/>
    <w:rsid w:val="00CB2CC1"/>
    <w:rsid w:val="00CB368F"/>
    <w:rsid w:val="00CB373C"/>
    <w:rsid w:val="00CB40F1"/>
    <w:rsid w:val="00CB4118"/>
    <w:rsid w:val="00CB42C1"/>
    <w:rsid w:val="00CB4BA8"/>
    <w:rsid w:val="00CB4C45"/>
    <w:rsid w:val="00CB4E08"/>
    <w:rsid w:val="00CB52D7"/>
    <w:rsid w:val="00CB5716"/>
    <w:rsid w:val="00CB5884"/>
    <w:rsid w:val="00CB6389"/>
    <w:rsid w:val="00CB64EC"/>
    <w:rsid w:val="00CB687F"/>
    <w:rsid w:val="00CB6E97"/>
    <w:rsid w:val="00CB7FDA"/>
    <w:rsid w:val="00CC0240"/>
    <w:rsid w:val="00CC0445"/>
    <w:rsid w:val="00CC06D8"/>
    <w:rsid w:val="00CC06DD"/>
    <w:rsid w:val="00CC09F5"/>
    <w:rsid w:val="00CC0A68"/>
    <w:rsid w:val="00CC0B2B"/>
    <w:rsid w:val="00CC1371"/>
    <w:rsid w:val="00CC15B2"/>
    <w:rsid w:val="00CC17B7"/>
    <w:rsid w:val="00CC18D6"/>
    <w:rsid w:val="00CC1E13"/>
    <w:rsid w:val="00CC1F37"/>
    <w:rsid w:val="00CC24F8"/>
    <w:rsid w:val="00CC2508"/>
    <w:rsid w:val="00CC296A"/>
    <w:rsid w:val="00CC29F0"/>
    <w:rsid w:val="00CC2EFB"/>
    <w:rsid w:val="00CC2FB3"/>
    <w:rsid w:val="00CC342E"/>
    <w:rsid w:val="00CC36C2"/>
    <w:rsid w:val="00CC38CA"/>
    <w:rsid w:val="00CC3CBB"/>
    <w:rsid w:val="00CC3FC1"/>
    <w:rsid w:val="00CC4D60"/>
    <w:rsid w:val="00CC4D77"/>
    <w:rsid w:val="00CC5B35"/>
    <w:rsid w:val="00CC5B97"/>
    <w:rsid w:val="00CC5C65"/>
    <w:rsid w:val="00CC61D5"/>
    <w:rsid w:val="00CC6732"/>
    <w:rsid w:val="00CC6950"/>
    <w:rsid w:val="00CC6D4C"/>
    <w:rsid w:val="00CC6E47"/>
    <w:rsid w:val="00CC7472"/>
    <w:rsid w:val="00CC78AD"/>
    <w:rsid w:val="00CD0046"/>
    <w:rsid w:val="00CD06CC"/>
    <w:rsid w:val="00CD12F0"/>
    <w:rsid w:val="00CD16E1"/>
    <w:rsid w:val="00CD17DD"/>
    <w:rsid w:val="00CD1E47"/>
    <w:rsid w:val="00CD20C4"/>
    <w:rsid w:val="00CD32BA"/>
    <w:rsid w:val="00CD35A7"/>
    <w:rsid w:val="00CD3A81"/>
    <w:rsid w:val="00CD3AD4"/>
    <w:rsid w:val="00CD3BDA"/>
    <w:rsid w:val="00CD3EAA"/>
    <w:rsid w:val="00CD4145"/>
    <w:rsid w:val="00CD4566"/>
    <w:rsid w:val="00CD459E"/>
    <w:rsid w:val="00CD47B3"/>
    <w:rsid w:val="00CD494A"/>
    <w:rsid w:val="00CD4A5B"/>
    <w:rsid w:val="00CD553F"/>
    <w:rsid w:val="00CD5625"/>
    <w:rsid w:val="00CD56D5"/>
    <w:rsid w:val="00CD598A"/>
    <w:rsid w:val="00CD5A8C"/>
    <w:rsid w:val="00CD5C5B"/>
    <w:rsid w:val="00CD6124"/>
    <w:rsid w:val="00CD61C3"/>
    <w:rsid w:val="00CD69F5"/>
    <w:rsid w:val="00CD6F0A"/>
    <w:rsid w:val="00CD6F92"/>
    <w:rsid w:val="00CD7056"/>
    <w:rsid w:val="00CD70A3"/>
    <w:rsid w:val="00CD7244"/>
    <w:rsid w:val="00CD72D5"/>
    <w:rsid w:val="00CD77BB"/>
    <w:rsid w:val="00CD7A87"/>
    <w:rsid w:val="00CE00C9"/>
    <w:rsid w:val="00CE04A3"/>
    <w:rsid w:val="00CE09FE"/>
    <w:rsid w:val="00CE0B46"/>
    <w:rsid w:val="00CE1123"/>
    <w:rsid w:val="00CE1133"/>
    <w:rsid w:val="00CE1D8A"/>
    <w:rsid w:val="00CE22BC"/>
    <w:rsid w:val="00CE27B4"/>
    <w:rsid w:val="00CE2B49"/>
    <w:rsid w:val="00CE2E9C"/>
    <w:rsid w:val="00CE3083"/>
    <w:rsid w:val="00CE315E"/>
    <w:rsid w:val="00CE36AE"/>
    <w:rsid w:val="00CE38E8"/>
    <w:rsid w:val="00CE3A28"/>
    <w:rsid w:val="00CE3C15"/>
    <w:rsid w:val="00CE3C2E"/>
    <w:rsid w:val="00CE3C4D"/>
    <w:rsid w:val="00CE3C96"/>
    <w:rsid w:val="00CE3CC3"/>
    <w:rsid w:val="00CE3EF0"/>
    <w:rsid w:val="00CE4127"/>
    <w:rsid w:val="00CE45B3"/>
    <w:rsid w:val="00CE4E75"/>
    <w:rsid w:val="00CE51A8"/>
    <w:rsid w:val="00CE54A7"/>
    <w:rsid w:val="00CE5571"/>
    <w:rsid w:val="00CE5C85"/>
    <w:rsid w:val="00CE6032"/>
    <w:rsid w:val="00CE63EC"/>
    <w:rsid w:val="00CE6D4A"/>
    <w:rsid w:val="00CE7AC8"/>
    <w:rsid w:val="00CE7E15"/>
    <w:rsid w:val="00CF189A"/>
    <w:rsid w:val="00CF1BE6"/>
    <w:rsid w:val="00CF1EC4"/>
    <w:rsid w:val="00CF1FEF"/>
    <w:rsid w:val="00CF22C7"/>
    <w:rsid w:val="00CF26B7"/>
    <w:rsid w:val="00CF29B2"/>
    <w:rsid w:val="00CF322E"/>
    <w:rsid w:val="00CF369B"/>
    <w:rsid w:val="00CF3D41"/>
    <w:rsid w:val="00CF4F74"/>
    <w:rsid w:val="00CF505E"/>
    <w:rsid w:val="00CF5365"/>
    <w:rsid w:val="00CF55DE"/>
    <w:rsid w:val="00CF58FB"/>
    <w:rsid w:val="00CF5999"/>
    <w:rsid w:val="00CF5CBA"/>
    <w:rsid w:val="00CF66CF"/>
    <w:rsid w:val="00CF6ED1"/>
    <w:rsid w:val="00CF7198"/>
    <w:rsid w:val="00CF75B8"/>
    <w:rsid w:val="00CF7B42"/>
    <w:rsid w:val="00CF7C7A"/>
    <w:rsid w:val="00CF7DA3"/>
    <w:rsid w:val="00CF7EF4"/>
    <w:rsid w:val="00D00412"/>
    <w:rsid w:val="00D004A3"/>
    <w:rsid w:val="00D00BC3"/>
    <w:rsid w:val="00D00E28"/>
    <w:rsid w:val="00D00FCC"/>
    <w:rsid w:val="00D01D55"/>
    <w:rsid w:val="00D01DA7"/>
    <w:rsid w:val="00D01E2E"/>
    <w:rsid w:val="00D02159"/>
    <w:rsid w:val="00D0227D"/>
    <w:rsid w:val="00D02662"/>
    <w:rsid w:val="00D0269E"/>
    <w:rsid w:val="00D028F7"/>
    <w:rsid w:val="00D02B2C"/>
    <w:rsid w:val="00D032A4"/>
    <w:rsid w:val="00D034B2"/>
    <w:rsid w:val="00D038FC"/>
    <w:rsid w:val="00D045E1"/>
    <w:rsid w:val="00D045F3"/>
    <w:rsid w:val="00D04A40"/>
    <w:rsid w:val="00D04A5A"/>
    <w:rsid w:val="00D04F2B"/>
    <w:rsid w:val="00D0518C"/>
    <w:rsid w:val="00D051C8"/>
    <w:rsid w:val="00D05932"/>
    <w:rsid w:val="00D05A8D"/>
    <w:rsid w:val="00D05D6C"/>
    <w:rsid w:val="00D05F1A"/>
    <w:rsid w:val="00D06279"/>
    <w:rsid w:val="00D0698A"/>
    <w:rsid w:val="00D06996"/>
    <w:rsid w:val="00D06A5D"/>
    <w:rsid w:val="00D06C1E"/>
    <w:rsid w:val="00D07167"/>
    <w:rsid w:val="00D07192"/>
    <w:rsid w:val="00D0778B"/>
    <w:rsid w:val="00D07A20"/>
    <w:rsid w:val="00D10280"/>
    <w:rsid w:val="00D104E9"/>
    <w:rsid w:val="00D109C3"/>
    <w:rsid w:val="00D110FC"/>
    <w:rsid w:val="00D1134B"/>
    <w:rsid w:val="00D11951"/>
    <w:rsid w:val="00D11D4B"/>
    <w:rsid w:val="00D123E8"/>
    <w:rsid w:val="00D127FC"/>
    <w:rsid w:val="00D12899"/>
    <w:rsid w:val="00D12BB1"/>
    <w:rsid w:val="00D12C70"/>
    <w:rsid w:val="00D13BC8"/>
    <w:rsid w:val="00D13C95"/>
    <w:rsid w:val="00D13FC5"/>
    <w:rsid w:val="00D143F0"/>
    <w:rsid w:val="00D14434"/>
    <w:rsid w:val="00D1493B"/>
    <w:rsid w:val="00D15191"/>
    <w:rsid w:val="00D15256"/>
    <w:rsid w:val="00D1527A"/>
    <w:rsid w:val="00D15810"/>
    <w:rsid w:val="00D158D6"/>
    <w:rsid w:val="00D159D8"/>
    <w:rsid w:val="00D15CCF"/>
    <w:rsid w:val="00D161DF"/>
    <w:rsid w:val="00D162CB"/>
    <w:rsid w:val="00D16385"/>
    <w:rsid w:val="00D1638A"/>
    <w:rsid w:val="00D16411"/>
    <w:rsid w:val="00D169BA"/>
    <w:rsid w:val="00D169D9"/>
    <w:rsid w:val="00D16A11"/>
    <w:rsid w:val="00D16BEB"/>
    <w:rsid w:val="00D16D4E"/>
    <w:rsid w:val="00D16FE3"/>
    <w:rsid w:val="00D170B9"/>
    <w:rsid w:val="00D17557"/>
    <w:rsid w:val="00D17AA1"/>
    <w:rsid w:val="00D200FA"/>
    <w:rsid w:val="00D20753"/>
    <w:rsid w:val="00D210EA"/>
    <w:rsid w:val="00D2115C"/>
    <w:rsid w:val="00D21C04"/>
    <w:rsid w:val="00D21E49"/>
    <w:rsid w:val="00D22AFB"/>
    <w:rsid w:val="00D22CAE"/>
    <w:rsid w:val="00D2321C"/>
    <w:rsid w:val="00D232C0"/>
    <w:rsid w:val="00D23863"/>
    <w:rsid w:val="00D23871"/>
    <w:rsid w:val="00D23B04"/>
    <w:rsid w:val="00D23EA9"/>
    <w:rsid w:val="00D23F2E"/>
    <w:rsid w:val="00D2475C"/>
    <w:rsid w:val="00D24A52"/>
    <w:rsid w:val="00D24E0D"/>
    <w:rsid w:val="00D24EC9"/>
    <w:rsid w:val="00D24ECA"/>
    <w:rsid w:val="00D25046"/>
    <w:rsid w:val="00D25492"/>
    <w:rsid w:val="00D254CD"/>
    <w:rsid w:val="00D2553A"/>
    <w:rsid w:val="00D25B7C"/>
    <w:rsid w:val="00D25F9B"/>
    <w:rsid w:val="00D26163"/>
    <w:rsid w:val="00D263A8"/>
    <w:rsid w:val="00D267CF"/>
    <w:rsid w:val="00D26845"/>
    <w:rsid w:val="00D2689B"/>
    <w:rsid w:val="00D268FF"/>
    <w:rsid w:val="00D27095"/>
    <w:rsid w:val="00D2732D"/>
    <w:rsid w:val="00D27770"/>
    <w:rsid w:val="00D27EE4"/>
    <w:rsid w:val="00D27F41"/>
    <w:rsid w:val="00D27F67"/>
    <w:rsid w:val="00D3059D"/>
    <w:rsid w:val="00D306D3"/>
    <w:rsid w:val="00D30865"/>
    <w:rsid w:val="00D30AEF"/>
    <w:rsid w:val="00D31129"/>
    <w:rsid w:val="00D311B2"/>
    <w:rsid w:val="00D31322"/>
    <w:rsid w:val="00D315CE"/>
    <w:rsid w:val="00D3165D"/>
    <w:rsid w:val="00D320C0"/>
    <w:rsid w:val="00D322AE"/>
    <w:rsid w:val="00D325B2"/>
    <w:rsid w:val="00D32654"/>
    <w:rsid w:val="00D327FD"/>
    <w:rsid w:val="00D32E04"/>
    <w:rsid w:val="00D33077"/>
    <w:rsid w:val="00D33644"/>
    <w:rsid w:val="00D336F8"/>
    <w:rsid w:val="00D339FD"/>
    <w:rsid w:val="00D34107"/>
    <w:rsid w:val="00D34788"/>
    <w:rsid w:val="00D34806"/>
    <w:rsid w:val="00D3495C"/>
    <w:rsid w:val="00D34C68"/>
    <w:rsid w:val="00D357B4"/>
    <w:rsid w:val="00D35A66"/>
    <w:rsid w:val="00D35B32"/>
    <w:rsid w:val="00D35C27"/>
    <w:rsid w:val="00D36085"/>
    <w:rsid w:val="00D36441"/>
    <w:rsid w:val="00D365CA"/>
    <w:rsid w:val="00D36DCE"/>
    <w:rsid w:val="00D37548"/>
    <w:rsid w:val="00D37927"/>
    <w:rsid w:val="00D37C78"/>
    <w:rsid w:val="00D37DC6"/>
    <w:rsid w:val="00D4014B"/>
    <w:rsid w:val="00D4064E"/>
    <w:rsid w:val="00D40975"/>
    <w:rsid w:val="00D409F6"/>
    <w:rsid w:val="00D40D18"/>
    <w:rsid w:val="00D4102A"/>
    <w:rsid w:val="00D411B9"/>
    <w:rsid w:val="00D41227"/>
    <w:rsid w:val="00D4180B"/>
    <w:rsid w:val="00D423BA"/>
    <w:rsid w:val="00D42441"/>
    <w:rsid w:val="00D4263E"/>
    <w:rsid w:val="00D42788"/>
    <w:rsid w:val="00D42D90"/>
    <w:rsid w:val="00D42F3A"/>
    <w:rsid w:val="00D431CC"/>
    <w:rsid w:val="00D4327C"/>
    <w:rsid w:val="00D433F2"/>
    <w:rsid w:val="00D4390B"/>
    <w:rsid w:val="00D440E8"/>
    <w:rsid w:val="00D44420"/>
    <w:rsid w:val="00D4447A"/>
    <w:rsid w:val="00D447F5"/>
    <w:rsid w:val="00D4494E"/>
    <w:rsid w:val="00D44CDE"/>
    <w:rsid w:val="00D44E9B"/>
    <w:rsid w:val="00D45071"/>
    <w:rsid w:val="00D455AB"/>
    <w:rsid w:val="00D456EC"/>
    <w:rsid w:val="00D45FDA"/>
    <w:rsid w:val="00D46295"/>
    <w:rsid w:val="00D46D0F"/>
    <w:rsid w:val="00D46D79"/>
    <w:rsid w:val="00D46F26"/>
    <w:rsid w:val="00D47117"/>
    <w:rsid w:val="00D47205"/>
    <w:rsid w:val="00D4726B"/>
    <w:rsid w:val="00D47533"/>
    <w:rsid w:val="00D475C7"/>
    <w:rsid w:val="00D47775"/>
    <w:rsid w:val="00D47AEB"/>
    <w:rsid w:val="00D47C89"/>
    <w:rsid w:val="00D47E9D"/>
    <w:rsid w:val="00D47F6A"/>
    <w:rsid w:val="00D50A45"/>
    <w:rsid w:val="00D50DB9"/>
    <w:rsid w:val="00D50FE7"/>
    <w:rsid w:val="00D512E8"/>
    <w:rsid w:val="00D51302"/>
    <w:rsid w:val="00D5156F"/>
    <w:rsid w:val="00D515B5"/>
    <w:rsid w:val="00D5184E"/>
    <w:rsid w:val="00D51B44"/>
    <w:rsid w:val="00D51FFF"/>
    <w:rsid w:val="00D520B3"/>
    <w:rsid w:val="00D52C43"/>
    <w:rsid w:val="00D52F13"/>
    <w:rsid w:val="00D5330A"/>
    <w:rsid w:val="00D53B9A"/>
    <w:rsid w:val="00D53E9B"/>
    <w:rsid w:val="00D53F9B"/>
    <w:rsid w:val="00D54277"/>
    <w:rsid w:val="00D544D7"/>
    <w:rsid w:val="00D54969"/>
    <w:rsid w:val="00D55052"/>
    <w:rsid w:val="00D55B26"/>
    <w:rsid w:val="00D56126"/>
    <w:rsid w:val="00D56202"/>
    <w:rsid w:val="00D562D1"/>
    <w:rsid w:val="00D562EB"/>
    <w:rsid w:val="00D56A3C"/>
    <w:rsid w:val="00D579BF"/>
    <w:rsid w:val="00D57DA8"/>
    <w:rsid w:val="00D618B4"/>
    <w:rsid w:val="00D61EDE"/>
    <w:rsid w:val="00D6253E"/>
    <w:rsid w:val="00D62ABE"/>
    <w:rsid w:val="00D6330F"/>
    <w:rsid w:val="00D64ACF"/>
    <w:rsid w:val="00D6507F"/>
    <w:rsid w:val="00D651D6"/>
    <w:rsid w:val="00D65A4D"/>
    <w:rsid w:val="00D65B4A"/>
    <w:rsid w:val="00D66004"/>
    <w:rsid w:val="00D6667D"/>
    <w:rsid w:val="00D6681F"/>
    <w:rsid w:val="00D66846"/>
    <w:rsid w:val="00D67A77"/>
    <w:rsid w:val="00D70590"/>
    <w:rsid w:val="00D70C57"/>
    <w:rsid w:val="00D70DE0"/>
    <w:rsid w:val="00D7100B"/>
    <w:rsid w:val="00D71068"/>
    <w:rsid w:val="00D71281"/>
    <w:rsid w:val="00D71607"/>
    <w:rsid w:val="00D718B3"/>
    <w:rsid w:val="00D71EFA"/>
    <w:rsid w:val="00D72626"/>
    <w:rsid w:val="00D72881"/>
    <w:rsid w:val="00D72CD2"/>
    <w:rsid w:val="00D72E39"/>
    <w:rsid w:val="00D730BC"/>
    <w:rsid w:val="00D731AB"/>
    <w:rsid w:val="00D735FC"/>
    <w:rsid w:val="00D73786"/>
    <w:rsid w:val="00D73912"/>
    <w:rsid w:val="00D739BA"/>
    <w:rsid w:val="00D73FDF"/>
    <w:rsid w:val="00D741F2"/>
    <w:rsid w:val="00D74381"/>
    <w:rsid w:val="00D745DF"/>
    <w:rsid w:val="00D74E8E"/>
    <w:rsid w:val="00D7505C"/>
    <w:rsid w:val="00D75274"/>
    <w:rsid w:val="00D754D4"/>
    <w:rsid w:val="00D7587C"/>
    <w:rsid w:val="00D759BB"/>
    <w:rsid w:val="00D75C57"/>
    <w:rsid w:val="00D75DF6"/>
    <w:rsid w:val="00D76885"/>
    <w:rsid w:val="00D76EC8"/>
    <w:rsid w:val="00D7755E"/>
    <w:rsid w:val="00D775E8"/>
    <w:rsid w:val="00D77E51"/>
    <w:rsid w:val="00D8013A"/>
    <w:rsid w:val="00D8016D"/>
    <w:rsid w:val="00D80390"/>
    <w:rsid w:val="00D806CB"/>
    <w:rsid w:val="00D80A22"/>
    <w:rsid w:val="00D80CCD"/>
    <w:rsid w:val="00D811F1"/>
    <w:rsid w:val="00D81850"/>
    <w:rsid w:val="00D818E9"/>
    <w:rsid w:val="00D81EAB"/>
    <w:rsid w:val="00D823F5"/>
    <w:rsid w:val="00D82C96"/>
    <w:rsid w:val="00D82D08"/>
    <w:rsid w:val="00D8349B"/>
    <w:rsid w:val="00D83A9B"/>
    <w:rsid w:val="00D83DFE"/>
    <w:rsid w:val="00D83FF7"/>
    <w:rsid w:val="00D842C8"/>
    <w:rsid w:val="00D84904"/>
    <w:rsid w:val="00D84CFA"/>
    <w:rsid w:val="00D84DCC"/>
    <w:rsid w:val="00D8506D"/>
    <w:rsid w:val="00D85226"/>
    <w:rsid w:val="00D8596E"/>
    <w:rsid w:val="00D85B20"/>
    <w:rsid w:val="00D85BE8"/>
    <w:rsid w:val="00D861D9"/>
    <w:rsid w:val="00D862E3"/>
    <w:rsid w:val="00D866EF"/>
    <w:rsid w:val="00D868F4"/>
    <w:rsid w:val="00D86AAD"/>
    <w:rsid w:val="00D872D3"/>
    <w:rsid w:val="00D8757A"/>
    <w:rsid w:val="00D877B7"/>
    <w:rsid w:val="00D87B94"/>
    <w:rsid w:val="00D87D34"/>
    <w:rsid w:val="00D87E10"/>
    <w:rsid w:val="00D900BB"/>
    <w:rsid w:val="00D9088B"/>
    <w:rsid w:val="00D90A85"/>
    <w:rsid w:val="00D90D77"/>
    <w:rsid w:val="00D90F28"/>
    <w:rsid w:val="00D9128F"/>
    <w:rsid w:val="00D91A40"/>
    <w:rsid w:val="00D91A77"/>
    <w:rsid w:val="00D91DB4"/>
    <w:rsid w:val="00D921A6"/>
    <w:rsid w:val="00D92954"/>
    <w:rsid w:val="00D92D49"/>
    <w:rsid w:val="00D92E3D"/>
    <w:rsid w:val="00D92EC1"/>
    <w:rsid w:val="00D9313A"/>
    <w:rsid w:val="00D9316E"/>
    <w:rsid w:val="00D9352E"/>
    <w:rsid w:val="00D93549"/>
    <w:rsid w:val="00D93CDF"/>
    <w:rsid w:val="00D9474C"/>
    <w:rsid w:val="00D94CDD"/>
    <w:rsid w:val="00D94F8A"/>
    <w:rsid w:val="00D9539D"/>
    <w:rsid w:val="00D95467"/>
    <w:rsid w:val="00D954EC"/>
    <w:rsid w:val="00D96081"/>
    <w:rsid w:val="00D9633D"/>
    <w:rsid w:val="00D96DEA"/>
    <w:rsid w:val="00D970E3"/>
    <w:rsid w:val="00D9739D"/>
    <w:rsid w:val="00D97440"/>
    <w:rsid w:val="00D97808"/>
    <w:rsid w:val="00D978B1"/>
    <w:rsid w:val="00D97A62"/>
    <w:rsid w:val="00D97C2D"/>
    <w:rsid w:val="00DA046D"/>
    <w:rsid w:val="00DA05E7"/>
    <w:rsid w:val="00DA0918"/>
    <w:rsid w:val="00DA0DC2"/>
    <w:rsid w:val="00DA0E52"/>
    <w:rsid w:val="00DA191A"/>
    <w:rsid w:val="00DA2077"/>
    <w:rsid w:val="00DA2132"/>
    <w:rsid w:val="00DA279E"/>
    <w:rsid w:val="00DA29A6"/>
    <w:rsid w:val="00DA2A39"/>
    <w:rsid w:val="00DA33AA"/>
    <w:rsid w:val="00DA33AD"/>
    <w:rsid w:val="00DA3629"/>
    <w:rsid w:val="00DA3C27"/>
    <w:rsid w:val="00DA3CE7"/>
    <w:rsid w:val="00DA3DB4"/>
    <w:rsid w:val="00DA41D4"/>
    <w:rsid w:val="00DA4290"/>
    <w:rsid w:val="00DA4309"/>
    <w:rsid w:val="00DA4557"/>
    <w:rsid w:val="00DA45F0"/>
    <w:rsid w:val="00DA460E"/>
    <w:rsid w:val="00DA49BF"/>
    <w:rsid w:val="00DA4A50"/>
    <w:rsid w:val="00DA4B21"/>
    <w:rsid w:val="00DA4E41"/>
    <w:rsid w:val="00DA5144"/>
    <w:rsid w:val="00DA5353"/>
    <w:rsid w:val="00DA54E0"/>
    <w:rsid w:val="00DA5870"/>
    <w:rsid w:val="00DA5F73"/>
    <w:rsid w:val="00DA681F"/>
    <w:rsid w:val="00DA6A5B"/>
    <w:rsid w:val="00DA6C00"/>
    <w:rsid w:val="00DA6E73"/>
    <w:rsid w:val="00DA7873"/>
    <w:rsid w:val="00DB04B9"/>
    <w:rsid w:val="00DB0695"/>
    <w:rsid w:val="00DB0A03"/>
    <w:rsid w:val="00DB0CFD"/>
    <w:rsid w:val="00DB0ECD"/>
    <w:rsid w:val="00DB102A"/>
    <w:rsid w:val="00DB117A"/>
    <w:rsid w:val="00DB1A38"/>
    <w:rsid w:val="00DB1B52"/>
    <w:rsid w:val="00DB1B8C"/>
    <w:rsid w:val="00DB1C0F"/>
    <w:rsid w:val="00DB2320"/>
    <w:rsid w:val="00DB28D7"/>
    <w:rsid w:val="00DB2964"/>
    <w:rsid w:val="00DB299E"/>
    <w:rsid w:val="00DB2AE8"/>
    <w:rsid w:val="00DB2C5A"/>
    <w:rsid w:val="00DB2D6B"/>
    <w:rsid w:val="00DB317A"/>
    <w:rsid w:val="00DB34DD"/>
    <w:rsid w:val="00DB357F"/>
    <w:rsid w:val="00DB3C7E"/>
    <w:rsid w:val="00DB478B"/>
    <w:rsid w:val="00DB48D7"/>
    <w:rsid w:val="00DB4EE6"/>
    <w:rsid w:val="00DB5173"/>
    <w:rsid w:val="00DB534D"/>
    <w:rsid w:val="00DB5A42"/>
    <w:rsid w:val="00DB5EAA"/>
    <w:rsid w:val="00DB6391"/>
    <w:rsid w:val="00DB69B8"/>
    <w:rsid w:val="00DB72D8"/>
    <w:rsid w:val="00DB7873"/>
    <w:rsid w:val="00DB78F2"/>
    <w:rsid w:val="00DB7A77"/>
    <w:rsid w:val="00DC032C"/>
    <w:rsid w:val="00DC1046"/>
    <w:rsid w:val="00DC107D"/>
    <w:rsid w:val="00DC151C"/>
    <w:rsid w:val="00DC187B"/>
    <w:rsid w:val="00DC1B29"/>
    <w:rsid w:val="00DC1CA2"/>
    <w:rsid w:val="00DC21BD"/>
    <w:rsid w:val="00DC26B6"/>
    <w:rsid w:val="00DC2776"/>
    <w:rsid w:val="00DC281E"/>
    <w:rsid w:val="00DC2FCE"/>
    <w:rsid w:val="00DC3548"/>
    <w:rsid w:val="00DC3581"/>
    <w:rsid w:val="00DC41D9"/>
    <w:rsid w:val="00DC46A6"/>
    <w:rsid w:val="00DC4C97"/>
    <w:rsid w:val="00DC4EB3"/>
    <w:rsid w:val="00DC54D4"/>
    <w:rsid w:val="00DC5583"/>
    <w:rsid w:val="00DC5A3F"/>
    <w:rsid w:val="00DC5E3C"/>
    <w:rsid w:val="00DC61D7"/>
    <w:rsid w:val="00DC670C"/>
    <w:rsid w:val="00DC674A"/>
    <w:rsid w:val="00DC6BF8"/>
    <w:rsid w:val="00DC72D4"/>
    <w:rsid w:val="00DC7457"/>
    <w:rsid w:val="00DC77F5"/>
    <w:rsid w:val="00DC7966"/>
    <w:rsid w:val="00DC7DC2"/>
    <w:rsid w:val="00DD058F"/>
    <w:rsid w:val="00DD0AA7"/>
    <w:rsid w:val="00DD0E1A"/>
    <w:rsid w:val="00DD1124"/>
    <w:rsid w:val="00DD1130"/>
    <w:rsid w:val="00DD12BD"/>
    <w:rsid w:val="00DD1649"/>
    <w:rsid w:val="00DD201B"/>
    <w:rsid w:val="00DD21A7"/>
    <w:rsid w:val="00DD2667"/>
    <w:rsid w:val="00DD279F"/>
    <w:rsid w:val="00DD27BF"/>
    <w:rsid w:val="00DD28E0"/>
    <w:rsid w:val="00DD2E57"/>
    <w:rsid w:val="00DD3044"/>
    <w:rsid w:val="00DD3658"/>
    <w:rsid w:val="00DD3FC5"/>
    <w:rsid w:val="00DD4079"/>
    <w:rsid w:val="00DD43C0"/>
    <w:rsid w:val="00DD43DE"/>
    <w:rsid w:val="00DD457C"/>
    <w:rsid w:val="00DD45D7"/>
    <w:rsid w:val="00DD489A"/>
    <w:rsid w:val="00DD4AA4"/>
    <w:rsid w:val="00DD50F2"/>
    <w:rsid w:val="00DD54C6"/>
    <w:rsid w:val="00DD59F3"/>
    <w:rsid w:val="00DD639C"/>
    <w:rsid w:val="00DD642F"/>
    <w:rsid w:val="00DD6A6F"/>
    <w:rsid w:val="00DD6EF5"/>
    <w:rsid w:val="00DD71D5"/>
    <w:rsid w:val="00DD73C2"/>
    <w:rsid w:val="00DD7452"/>
    <w:rsid w:val="00DD7D6F"/>
    <w:rsid w:val="00DE05DB"/>
    <w:rsid w:val="00DE073E"/>
    <w:rsid w:val="00DE0802"/>
    <w:rsid w:val="00DE0828"/>
    <w:rsid w:val="00DE09E8"/>
    <w:rsid w:val="00DE0DA3"/>
    <w:rsid w:val="00DE0F39"/>
    <w:rsid w:val="00DE1229"/>
    <w:rsid w:val="00DE1330"/>
    <w:rsid w:val="00DE14D6"/>
    <w:rsid w:val="00DE2074"/>
    <w:rsid w:val="00DE2DE9"/>
    <w:rsid w:val="00DE3004"/>
    <w:rsid w:val="00DE319B"/>
    <w:rsid w:val="00DE3A1A"/>
    <w:rsid w:val="00DE3DC4"/>
    <w:rsid w:val="00DE3DD4"/>
    <w:rsid w:val="00DE3EAD"/>
    <w:rsid w:val="00DE464B"/>
    <w:rsid w:val="00DE4A93"/>
    <w:rsid w:val="00DE501B"/>
    <w:rsid w:val="00DE585C"/>
    <w:rsid w:val="00DE5C10"/>
    <w:rsid w:val="00DE5C44"/>
    <w:rsid w:val="00DE5CBC"/>
    <w:rsid w:val="00DE5F26"/>
    <w:rsid w:val="00DE646F"/>
    <w:rsid w:val="00DE65F3"/>
    <w:rsid w:val="00DE6730"/>
    <w:rsid w:val="00DE6912"/>
    <w:rsid w:val="00DE694D"/>
    <w:rsid w:val="00DE69A6"/>
    <w:rsid w:val="00DE6C8C"/>
    <w:rsid w:val="00DE74D8"/>
    <w:rsid w:val="00DE760F"/>
    <w:rsid w:val="00DE780F"/>
    <w:rsid w:val="00DE7F23"/>
    <w:rsid w:val="00DF0031"/>
    <w:rsid w:val="00DF0112"/>
    <w:rsid w:val="00DF02C9"/>
    <w:rsid w:val="00DF085D"/>
    <w:rsid w:val="00DF0E0A"/>
    <w:rsid w:val="00DF0E95"/>
    <w:rsid w:val="00DF17EE"/>
    <w:rsid w:val="00DF1842"/>
    <w:rsid w:val="00DF1AC1"/>
    <w:rsid w:val="00DF1BA4"/>
    <w:rsid w:val="00DF1E33"/>
    <w:rsid w:val="00DF26F8"/>
    <w:rsid w:val="00DF28CE"/>
    <w:rsid w:val="00DF30FE"/>
    <w:rsid w:val="00DF32B7"/>
    <w:rsid w:val="00DF34FE"/>
    <w:rsid w:val="00DF3812"/>
    <w:rsid w:val="00DF3A88"/>
    <w:rsid w:val="00DF43B1"/>
    <w:rsid w:val="00DF56AA"/>
    <w:rsid w:val="00DF56AF"/>
    <w:rsid w:val="00DF5C0F"/>
    <w:rsid w:val="00DF6126"/>
    <w:rsid w:val="00DF6334"/>
    <w:rsid w:val="00DF6388"/>
    <w:rsid w:val="00DF6416"/>
    <w:rsid w:val="00DF6CE2"/>
    <w:rsid w:val="00DF6DDF"/>
    <w:rsid w:val="00DF6E45"/>
    <w:rsid w:val="00DF706E"/>
    <w:rsid w:val="00DF78E7"/>
    <w:rsid w:val="00DF7D0E"/>
    <w:rsid w:val="00DF7F0C"/>
    <w:rsid w:val="00E004B6"/>
    <w:rsid w:val="00E00578"/>
    <w:rsid w:val="00E00864"/>
    <w:rsid w:val="00E00889"/>
    <w:rsid w:val="00E00A7B"/>
    <w:rsid w:val="00E00B33"/>
    <w:rsid w:val="00E0141F"/>
    <w:rsid w:val="00E0178A"/>
    <w:rsid w:val="00E01F54"/>
    <w:rsid w:val="00E02187"/>
    <w:rsid w:val="00E022B4"/>
    <w:rsid w:val="00E027D3"/>
    <w:rsid w:val="00E029D8"/>
    <w:rsid w:val="00E02D46"/>
    <w:rsid w:val="00E02D62"/>
    <w:rsid w:val="00E02ED8"/>
    <w:rsid w:val="00E03185"/>
    <w:rsid w:val="00E03470"/>
    <w:rsid w:val="00E03672"/>
    <w:rsid w:val="00E037C5"/>
    <w:rsid w:val="00E043D9"/>
    <w:rsid w:val="00E04E4D"/>
    <w:rsid w:val="00E04EC9"/>
    <w:rsid w:val="00E0549C"/>
    <w:rsid w:val="00E0570C"/>
    <w:rsid w:val="00E05718"/>
    <w:rsid w:val="00E05B96"/>
    <w:rsid w:val="00E064B5"/>
    <w:rsid w:val="00E0663D"/>
    <w:rsid w:val="00E06763"/>
    <w:rsid w:val="00E06849"/>
    <w:rsid w:val="00E06919"/>
    <w:rsid w:val="00E06C1C"/>
    <w:rsid w:val="00E0708F"/>
    <w:rsid w:val="00E071B6"/>
    <w:rsid w:val="00E07819"/>
    <w:rsid w:val="00E07A0B"/>
    <w:rsid w:val="00E07CF7"/>
    <w:rsid w:val="00E07FB1"/>
    <w:rsid w:val="00E07FBF"/>
    <w:rsid w:val="00E10160"/>
    <w:rsid w:val="00E10A1D"/>
    <w:rsid w:val="00E10A3B"/>
    <w:rsid w:val="00E10FE3"/>
    <w:rsid w:val="00E110E0"/>
    <w:rsid w:val="00E11CEA"/>
    <w:rsid w:val="00E11E5E"/>
    <w:rsid w:val="00E12399"/>
    <w:rsid w:val="00E12457"/>
    <w:rsid w:val="00E1249B"/>
    <w:rsid w:val="00E1258A"/>
    <w:rsid w:val="00E129A4"/>
    <w:rsid w:val="00E12AB7"/>
    <w:rsid w:val="00E12E28"/>
    <w:rsid w:val="00E12E45"/>
    <w:rsid w:val="00E131EB"/>
    <w:rsid w:val="00E13A22"/>
    <w:rsid w:val="00E14131"/>
    <w:rsid w:val="00E14287"/>
    <w:rsid w:val="00E14596"/>
    <w:rsid w:val="00E14A5D"/>
    <w:rsid w:val="00E15179"/>
    <w:rsid w:val="00E15371"/>
    <w:rsid w:val="00E1639D"/>
    <w:rsid w:val="00E1661D"/>
    <w:rsid w:val="00E16D5C"/>
    <w:rsid w:val="00E17CE7"/>
    <w:rsid w:val="00E17DAB"/>
    <w:rsid w:val="00E17E82"/>
    <w:rsid w:val="00E20815"/>
    <w:rsid w:val="00E209FC"/>
    <w:rsid w:val="00E20A7E"/>
    <w:rsid w:val="00E20ACF"/>
    <w:rsid w:val="00E20AFE"/>
    <w:rsid w:val="00E20C6B"/>
    <w:rsid w:val="00E20EBC"/>
    <w:rsid w:val="00E21698"/>
    <w:rsid w:val="00E217F2"/>
    <w:rsid w:val="00E219BE"/>
    <w:rsid w:val="00E21B3C"/>
    <w:rsid w:val="00E21D73"/>
    <w:rsid w:val="00E2210B"/>
    <w:rsid w:val="00E222FC"/>
    <w:rsid w:val="00E22757"/>
    <w:rsid w:val="00E22A5B"/>
    <w:rsid w:val="00E22D9C"/>
    <w:rsid w:val="00E23C08"/>
    <w:rsid w:val="00E24104"/>
    <w:rsid w:val="00E24427"/>
    <w:rsid w:val="00E246E6"/>
    <w:rsid w:val="00E25275"/>
    <w:rsid w:val="00E25277"/>
    <w:rsid w:val="00E256A1"/>
    <w:rsid w:val="00E257A9"/>
    <w:rsid w:val="00E2592E"/>
    <w:rsid w:val="00E259DA"/>
    <w:rsid w:val="00E25D3F"/>
    <w:rsid w:val="00E26672"/>
    <w:rsid w:val="00E266AD"/>
    <w:rsid w:val="00E27627"/>
    <w:rsid w:val="00E301E2"/>
    <w:rsid w:val="00E302D0"/>
    <w:rsid w:val="00E305B5"/>
    <w:rsid w:val="00E305BF"/>
    <w:rsid w:val="00E30764"/>
    <w:rsid w:val="00E309B2"/>
    <w:rsid w:val="00E309DB"/>
    <w:rsid w:val="00E30A83"/>
    <w:rsid w:val="00E30B1D"/>
    <w:rsid w:val="00E30D4B"/>
    <w:rsid w:val="00E31793"/>
    <w:rsid w:val="00E3200E"/>
    <w:rsid w:val="00E32217"/>
    <w:rsid w:val="00E325A7"/>
    <w:rsid w:val="00E3328B"/>
    <w:rsid w:val="00E335C3"/>
    <w:rsid w:val="00E337A4"/>
    <w:rsid w:val="00E33885"/>
    <w:rsid w:val="00E33F33"/>
    <w:rsid w:val="00E341CA"/>
    <w:rsid w:val="00E34315"/>
    <w:rsid w:val="00E343C5"/>
    <w:rsid w:val="00E351F4"/>
    <w:rsid w:val="00E35707"/>
    <w:rsid w:val="00E357D0"/>
    <w:rsid w:val="00E35E3C"/>
    <w:rsid w:val="00E36449"/>
    <w:rsid w:val="00E364F0"/>
    <w:rsid w:val="00E36754"/>
    <w:rsid w:val="00E36872"/>
    <w:rsid w:val="00E36AA1"/>
    <w:rsid w:val="00E37007"/>
    <w:rsid w:val="00E375A5"/>
    <w:rsid w:val="00E375DA"/>
    <w:rsid w:val="00E37A68"/>
    <w:rsid w:val="00E37CCA"/>
    <w:rsid w:val="00E402DA"/>
    <w:rsid w:val="00E4040D"/>
    <w:rsid w:val="00E40D12"/>
    <w:rsid w:val="00E40FDF"/>
    <w:rsid w:val="00E41124"/>
    <w:rsid w:val="00E41275"/>
    <w:rsid w:val="00E412B1"/>
    <w:rsid w:val="00E41300"/>
    <w:rsid w:val="00E41328"/>
    <w:rsid w:val="00E41464"/>
    <w:rsid w:val="00E4159B"/>
    <w:rsid w:val="00E416C3"/>
    <w:rsid w:val="00E41902"/>
    <w:rsid w:val="00E41A5D"/>
    <w:rsid w:val="00E41ECB"/>
    <w:rsid w:val="00E41F03"/>
    <w:rsid w:val="00E420D8"/>
    <w:rsid w:val="00E4210C"/>
    <w:rsid w:val="00E42A87"/>
    <w:rsid w:val="00E42F71"/>
    <w:rsid w:val="00E433C2"/>
    <w:rsid w:val="00E43565"/>
    <w:rsid w:val="00E437ED"/>
    <w:rsid w:val="00E43978"/>
    <w:rsid w:val="00E43AB2"/>
    <w:rsid w:val="00E43B6A"/>
    <w:rsid w:val="00E43CB7"/>
    <w:rsid w:val="00E4400D"/>
    <w:rsid w:val="00E44D4A"/>
    <w:rsid w:val="00E450FA"/>
    <w:rsid w:val="00E45387"/>
    <w:rsid w:val="00E45424"/>
    <w:rsid w:val="00E4595A"/>
    <w:rsid w:val="00E45CF3"/>
    <w:rsid w:val="00E45DC4"/>
    <w:rsid w:val="00E460CF"/>
    <w:rsid w:val="00E463B3"/>
    <w:rsid w:val="00E4682B"/>
    <w:rsid w:val="00E46B0D"/>
    <w:rsid w:val="00E46F7B"/>
    <w:rsid w:val="00E47212"/>
    <w:rsid w:val="00E47AFA"/>
    <w:rsid w:val="00E47BC0"/>
    <w:rsid w:val="00E47E3F"/>
    <w:rsid w:val="00E50079"/>
    <w:rsid w:val="00E504AE"/>
    <w:rsid w:val="00E50661"/>
    <w:rsid w:val="00E51489"/>
    <w:rsid w:val="00E5180E"/>
    <w:rsid w:val="00E5220E"/>
    <w:rsid w:val="00E5227B"/>
    <w:rsid w:val="00E52414"/>
    <w:rsid w:val="00E52616"/>
    <w:rsid w:val="00E529C4"/>
    <w:rsid w:val="00E52C08"/>
    <w:rsid w:val="00E5300F"/>
    <w:rsid w:val="00E53030"/>
    <w:rsid w:val="00E5304E"/>
    <w:rsid w:val="00E5311C"/>
    <w:rsid w:val="00E5351E"/>
    <w:rsid w:val="00E53A2F"/>
    <w:rsid w:val="00E53A96"/>
    <w:rsid w:val="00E53CF1"/>
    <w:rsid w:val="00E54808"/>
    <w:rsid w:val="00E54C54"/>
    <w:rsid w:val="00E54D6D"/>
    <w:rsid w:val="00E54F03"/>
    <w:rsid w:val="00E54FDB"/>
    <w:rsid w:val="00E5617D"/>
    <w:rsid w:val="00E5638E"/>
    <w:rsid w:val="00E563D7"/>
    <w:rsid w:val="00E5686D"/>
    <w:rsid w:val="00E56874"/>
    <w:rsid w:val="00E569FA"/>
    <w:rsid w:val="00E56F45"/>
    <w:rsid w:val="00E57108"/>
    <w:rsid w:val="00E57489"/>
    <w:rsid w:val="00E576D3"/>
    <w:rsid w:val="00E57965"/>
    <w:rsid w:val="00E57BD4"/>
    <w:rsid w:val="00E57E43"/>
    <w:rsid w:val="00E57E5C"/>
    <w:rsid w:val="00E602CB"/>
    <w:rsid w:val="00E605E5"/>
    <w:rsid w:val="00E60636"/>
    <w:rsid w:val="00E6078C"/>
    <w:rsid w:val="00E608AD"/>
    <w:rsid w:val="00E617C3"/>
    <w:rsid w:val="00E61F35"/>
    <w:rsid w:val="00E62380"/>
    <w:rsid w:val="00E62627"/>
    <w:rsid w:val="00E628D4"/>
    <w:rsid w:val="00E62FA4"/>
    <w:rsid w:val="00E631AF"/>
    <w:rsid w:val="00E6326B"/>
    <w:rsid w:val="00E63300"/>
    <w:rsid w:val="00E6355E"/>
    <w:rsid w:val="00E6359C"/>
    <w:rsid w:val="00E6363D"/>
    <w:rsid w:val="00E63741"/>
    <w:rsid w:val="00E63BF5"/>
    <w:rsid w:val="00E643CE"/>
    <w:rsid w:val="00E64C55"/>
    <w:rsid w:val="00E64CF7"/>
    <w:rsid w:val="00E64F42"/>
    <w:rsid w:val="00E64F8E"/>
    <w:rsid w:val="00E655B6"/>
    <w:rsid w:val="00E662CD"/>
    <w:rsid w:val="00E66335"/>
    <w:rsid w:val="00E663F4"/>
    <w:rsid w:val="00E66578"/>
    <w:rsid w:val="00E666F2"/>
    <w:rsid w:val="00E66711"/>
    <w:rsid w:val="00E6674F"/>
    <w:rsid w:val="00E6685A"/>
    <w:rsid w:val="00E66D57"/>
    <w:rsid w:val="00E66DD4"/>
    <w:rsid w:val="00E66F03"/>
    <w:rsid w:val="00E66FDC"/>
    <w:rsid w:val="00E674CE"/>
    <w:rsid w:val="00E67726"/>
    <w:rsid w:val="00E67DB8"/>
    <w:rsid w:val="00E70110"/>
    <w:rsid w:val="00E7016E"/>
    <w:rsid w:val="00E704A4"/>
    <w:rsid w:val="00E706F9"/>
    <w:rsid w:val="00E709AF"/>
    <w:rsid w:val="00E70C08"/>
    <w:rsid w:val="00E70F23"/>
    <w:rsid w:val="00E71067"/>
    <w:rsid w:val="00E71503"/>
    <w:rsid w:val="00E71617"/>
    <w:rsid w:val="00E71992"/>
    <w:rsid w:val="00E71C54"/>
    <w:rsid w:val="00E71DBC"/>
    <w:rsid w:val="00E72334"/>
    <w:rsid w:val="00E72675"/>
    <w:rsid w:val="00E730C8"/>
    <w:rsid w:val="00E734FC"/>
    <w:rsid w:val="00E7355E"/>
    <w:rsid w:val="00E736A5"/>
    <w:rsid w:val="00E737FD"/>
    <w:rsid w:val="00E73908"/>
    <w:rsid w:val="00E73975"/>
    <w:rsid w:val="00E73C74"/>
    <w:rsid w:val="00E7417D"/>
    <w:rsid w:val="00E743C9"/>
    <w:rsid w:val="00E744C2"/>
    <w:rsid w:val="00E748CC"/>
    <w:rsid w:val="00E74917"/>
    <w:rsid w:val="00E74B57"/>
    <w:rsid w:val="00E74E18"/>
    <w:rsid w:val="00E74EE6"/>
    <w:rsid w:val="00E74F77"/>
    <w:rsid w:val="00E74FFE"/>
    <w:rsid w:val="00E750AD"/>
    <w:rsid w:val="00E751B8"/>
    <w:rsid w:val="00E75415"/>
    <w:rsid w:val="00E75468"/>
    <w:rsid w:val="00E758E0"/>
    <w:rsid w:val="00E76074"/>
    <w:rsid w:val="00E768BB"/>
    <w:rsid w:val="00E76BBB"/>
    <w:rsid w:val="00E76FC5"/>
    <w:rsid w:val="00E77352"/>
    <w:rsid w:val="00E773DF"/>
    <w:rsid w:val="00E775B1"/>
    <w:rsid w:val="00E77A5E"/>
    <w:rsid w:val="00E77C71"/>
    <w:rsid w:val="00E77F3C"/>
    <w:rsid w:val="00E80126"/>
    <w:rsid w:val="00E803B3"/>
    <w:rsid w:val="00E80BF9"/>
    <w:rsid w:val="00E8112A"/>
    <w:rsid w:val="00E8152A"/>
    <w:rsid w:val="00E81806"/>
    <w:rsid w:val="00E81D00"/>
    <w:rsid w:val="00E8232F"/>
    <w:rsid w:val="00E827C8"/>
    <w:rsid w:val="00E82CDB"/>
    <w:rsid w:val="00E82D2F"/>
    <w:rsid w:val="00E82F73"/>
    <w:rsid w:val="00E830BA"/>
    <w:rsid w:val="00E8328C"/>
    <w:rsid w:val="00E83BF0"/>
    <w:rsid w:val="00E8426B"/>
    <w:rsid w:val="00E845F2"/>
    <w:rsid w:val="00E8467A"/>
    <w:rsid w:val="00E848EB"/>
    <w:rsid w:val="00E849D5"/>
    <w:rsid w:val="00E84AB7"/>
    <w:rsid w:val="00E84B24"/>
    <w:rsid w:val="00E85270"/>
    <w:rsid w:val="00E865D5"/>
    <w:rsid w:val="00E86613"/>
    <w:rsid w:val="00E86CCE"/>
    <w:rsid w:val="00E86F46"/>
    <w:rsid w:val="00E87316"/>
    <w:rsid w:val="00E874F1"/>
    <w:rsid w:val="00E875FC"/>
    <w:rsid w:val="00E87C0B"/>
    <w:rsid w:val="00E87F7D"/>
    <w:rsid w:val="00E87F90"/>
    <w:rsid w:val="00E90748"/>
    <w:rsid w:val="00E91165"/>
    <w:rsid w:val="00E911A8"/>
    <w:rsid w:val="00E91567"/>
    <w:rsid w:val="00E92115"/>
    <w:rsid w:val="00E92242"/>
    <w:rsid w:val="00E92458"/>
    <w:rsid w:val="00E92791"/>
    <w:rsid w:val="00E92C6D"/>
    <w:rsid w:val="00E92E20"/>
    <w:rsid w:val="00E9320C"/>
    <w:rsid w:val="00E933E2"/>
    <w:rsid w:val="00E93629"/>
    <w:rsid w:val="00E936AC"/>
    <w:rsid w:val="00E937D1"/>
    <w:rsid w:val="00E93A04"/>
    <w:rsid w:val="00E93B5C"/>
    <w:rsid w:val="00E93BD6"/>
    <w:rsid w:val="00E94117"/>
    <w:rsid w:val="00E9436B"/>
    <w:rsid w:val="00E94604"/>
    <w:rsid w:val="00E94CEC"/>
    <w:rsid w:val="00E95720"/>
    <w:rsid w:val="00E95880"/>
    <w:rsid w:val="00E95B07"/>
    <w:rsid w:val="00E96017"/>
    <w:rsid w:val="00E96900"/>
    <w:rsid w:val="00E96A64"/>
    <w:rsid w:val="00E96B09"/>
    <w:rsid w:val="00E96BE7"/>
    <w:rsid w:val="00E972C7"/>
    <w:rsid w:val="00E9739F"/>
    <w:rsid w:val="00E97423"/>
    <w:rsid w:val="00E97880"/>
    <w:rsid w:val="00E9794E"/>
    <w:rsid w:val="00E97BE0"/>
    <w:rsid w:val="00EA04EF"/>
    <w:rsid w:val="00EA0641"/>
    <w:rsid w:val="00EA0960"/>
    <w:rsid w:val="00EA0B8B"/>
    <w:rsid w:val="00EA0BF5"/>
    <w:rsid w:val="00EA1059"/>
    <w:rsid w:val="00EA1182"/>
    <w:rsid w:val="00EA135C"/>
    <w:rsid w:val="00EA18CC"/>
    <w:rsid w:val="00EA1A65"/>
    <w:rsid w:val="00EA1B63"/>
    <w:rsid w:val="00EA1B89"/>
    <w:rsid w:val="00EA28B4"/>
    <w:rsid w:val="00EA2A36"/>
    <w:rsid w:val="00EA2F63"/>
    <w:rsid w:val="00EA31AB"/>
    <w:rsid w:val="00EA3F9E"/>
    <w:rsid w:val="00EA418C"/>
    <w:rsid w:val="00EA52A2"/>
    <w:rsid w:val="00EA52D5"/>
    <w:rsid w:val="00EA54D5"/>
    <w:rsid w:val="00EA56AB"/>
    <w:rsid w:val="00EA59BF"/>
    <w:rsid w:val="00EA5B17"/>
    <w:rsid w:val="00EA5FAC"/>
    <w:rsid w:val="00EA60DE"/>
    <w:rsid w:val="00EA62D2"/>
    <w:rsid w:val="00EA6495"/>
    <w:rsid w:val="00EA64AB"/>
    <w:rsid w:val="00EA687B"/>
    <w:rsid w:val="00EA6BBC"/>
    <w:rsid w:val="00EA6DEF"/>
    <w:rsid w:val="00EA6F19"/>
    <w:rsid w:val="00EA73F4"/>
    <w:rsid w:val="00EA7A6D"/>
    <w:rsid w:val="00EA7FD9"/>
    <w:rsid w:val="00EB067A"/>
    <w:rsid w:val="00EB0B5E"/>
    <w:rsid w:val="00EB0B92"/>
    <w:rsid w:val="00EB0CCD"/>
    <w:rsid w:val="00EB14A1"/>
    <w:rsid w:val="00EB167D"/>
    <w:rsid w:val="00EB16DB"/>
    <w:rsid w:val="00EB1A90"/>
    <w:rsid w:val="00EB229F"/>
    <w:rsid w:val="00EB2600"/>
    <w:rsid w:val="00EB293C"/>
    <w:rsid w:val="00EB2A56"/>
    <w:rsid w:val="00EB2F1B"/>
    <w:rsid w:val="00EB338D"/>
    <w:rsid w:val="00EB3509"/>
    <w:rsid w:val="00EB3C47"/>
    <w:rsid w:val="00EB3C74"/>
    <w:rsid w:val="00EB3D99"/>
    <w:rsid w:val="00EB3E8B"/>
    <w:rsid w:val="00EB414F"/>
    <w:rsid w:val="00EB4153"/>
    <w:rsid w:val="00EB452E"/>
    <w:rsid w:val="00EB5146"/>
    <w:rsid w:val="00EB53BC"/>
    <w:rsid w:val="00EB5605"/>
    <w:rsid w:val="00EB57F6"/>
    <w:rsid w:val="00EB5CC9"/>
    <w:rsid w:val="00EB66D1"/>
    <w:rsid w:val="00EB67FF"/>
    <w:rsid w:val="00EB697A"/>
    <w:rsid w:val="00EB6C22"/>
    <w:rsid w:val="00EB6D74"/>
    <w:rsid w:val="00EB7076"/>
    <w:rsid w:val="00EB7090"/>
    <w:rsid w:val="00EB7535"/>
    <w:rsid w:val="00EB78D9"/>
    <w:rsid w:val="00EC0268"/>
    <w:rsid w:val="00EC0405"/>
    <w:rsid w:val="00EC0565"/>
    <w:rsid w:val="00EC06A3"/>
    <w:rsid w:val="00EC06F4"/>
    <w:rsid w:val="00EC10F9"/>
    <w:rsid w:val="00EC1474"/>
    <w:rsid w:val="00EC1BBE"/>
    <w:rsid w:val="00EC22DC"/>
    <w:rsid w:val="00EC2CF8"/>
    <w:rsid w:val="00EC2F66"/>
    <w:rsid w:val="00EC396D"/>
    <w:rsid w:val="00EC42B6"/>
    <w:rsid w:val="00EC4994"/>
    <w:rsid w:val="00EC4B07"/>
    <w:rsid w:val="00EC4D23"/>
    <w:rsid w:val="00EC4DC7"/>
    <w:rsid w:val="00EC5388"/>
    <w:rsid w:val="00EC564D"/>
    <w:rsid w:val="00EC58F7"/>
    <w:rsid w:val="00EC5982"/>
    <w:rsid w:val="00EC5C76"/>
    <w:rsid w:val="00EC5CD7"/>
    <w:rsid w:val="00EC5D59"/>
    <w:rsid w:val="00EC6499"/>
    <w:rsid w:val="00EC656B"/>
    <w:rsid w:val="00EC71E9"/>
    <w:rsid w:val="00EC7994"/>
    <w:rsid w:val="00EC7BC6"/>
    <w:rsid w:val="00EC7CC4"/>
    <w:rsid w:val="00EC7F5D"/>
    <w:rsid w:val="00EC7FE5"/>
    <w:rsid w:val="00ED028C"/>
    <w:rsid w:val="00ED02B0"/>
    <w:rsid w:val="00ED0624"/>
    <w:rsid w:val="00ED1160"/>
    <w:rsid w:val="00ED1542"/>
    <w:rsid w:val="00ED163C"/>
    <w:rsid w:val="00ED1A8E"/>
    <w:rsid w:val="00ED1B7A"/>
    <w:rsid w:val="00ED1CCA"/>
    <w:rsid w:val="00ED201B"/>
    <w:rsid w:val="00ED28B7"/>
    <w:rsid w:val="00ED3944"/>
    <w:rsid w:val="00ED3A77"/>
    <w:rsid w:val="00ED4005"/>
    <w:rsid w:val="00ED468C"/>
    <w:rsid w:val="00ED477B"/>
    <w:rsid w:val="00ED4A2B"/>
    <w:rsid w:val="00ED4AC9"/>
    <w:rsid w:val="00ED4B30"/>
    <w:rsid w:val="00ED4C1D"/>
    <w:rsid w:val="00ED4C8A"/>
    <w:rsid w:val="00ED4E90"/>
    <w:rsid w:val="00ED4FE2"/>
    <w:rsid w:val="00ED5001"/>
    <w:rsid w:val="00ED52AD"/>
    <w:rsid w:val="00ED53EC"/>
    <w:rsid w:val="00ED5406"/>
    <w:rsid w:val="00ED59E3"/>
    <w:rsid w:val="00ED5F43"/>
    <w:rsid w:val="00ED6027"/>
    <w:rsid w:val="00ED61F8"/>
    <w:rsid w:val="00ED67AC"/>
    <w:rsid w:val="00ED67AD"/>
    <w:rsid w:val="00ED6893"/>
    <w:rsid w:val="00ED6B0D"/>
    <w:rsid w:val="00EE00C9"/>
    <w:rsid w:val="00EE022E"/>
    <w:rsid w:val="00EE0639"/>
    <w:rsid w:val="00EE08CA"/>
    <w:rsid w:val="00EE08DD"/>
    <w:rsid w:val="00EE0BFC"/>
    <w:rsid w:val="00EE1182"/>
    <w:rsid w:val="00EE12B1"/>
    <w:rsid w:val="00EE153D"/>
    <w:rsid w:val="00EE170F"/>
    <w:rsid w:val="00EE175A"/>
    <w:rsid w:val="00EE1971"/>
    <w:rsid w:val="00EE1BBE"/>
    <w:rsid w:val="00EE298A"/>
    <w:rsid w:val="00EE2FDD"/>
    <w:rsid w:val="00EE318C"/>
    <w:rsid w:val="00EE35DA"/>
    <w:rsid w:val="00EE3C7B"/>
    <w:rsid w:val="00EE3EFE"/>
    <w:rsid w:val="00EE4410"/>
    <w:rsid w:val="00EE47F5"/>
    <w:rsid w:val="00EE49BB"/>
    <w:rsid w:val="00EE49F6"/>
    <w:rsid w:val="00EE4CA0"/>
    <w:rsid w:val="00EE57A6"/>
    <w:rsid w:val="00EE58EA"/>
    <w:rsid w:val="00EE5FB3"/>
    <w:rsid w:val="00EE6079"/>
    <w:rsid w:val="00EE6120"/>
    <w:rsid w:val="00EE627A"/>
    <w:rsid w:val="00EE6E57"/>
    <w:rsid w:val="00EE6E9B"/>
    <w:rsid w:val="00EE70EA"/>
    <w:rsid w:val="00EE710F"/>
    <w:rsid w:val="00EE7514"/>
    <w:rsid w:val="00EE7591"/>
    <w:rsid w:val="00EE7A0D"/>
    <w:rsid w:val="00EE7AE9"/>
    <w:rsid w:val="00EE7E08"/>
    <w:rsid w:val="00EE7F79"/>
    <w:rsid w:val="00EF0223"/>
    <w:rsid w:val="00EF0431"/>
    <w:rsid w:val="00EF095F"/>
    <w:rsid w:val="00EF0E54"/>
    <w:rsid w:val="00EF0E76"/>
    <w:rsid w:val="00EF0F26"/>
    <w:rsid w:val="00EF0F5D"/>
    <w:rsid w:val="00EF1004"/>
    <w:rsid w:val="00EF1999"/>
    <w:rsid w:val="00EF1B0A"/>
    <w:rsid w:val="00EF1BC8"/>
    <w:rsid w:val="00EF20BA"/>
    <w:rsid w:val="00EF20E4"/>
    <w:rsid w:val="00EF2D3F"/>
    <w:rsid w:val="00EF31DA"/>
    <w:rsid w:val="00EF334B"/>
    <w:rsid w:val="00EF3A10"/>
    <w:rsid w:val="00EF3D1A"/>
    <w:rsid w:val="00EF4037"/>
    <w:rsid w:val="00EF404A"/>
    <w:rsid w:val="00EF48AB"/>
    <w:rsid w:val="00EF4987"/>
    <w:rsid w:val="00EF4C9E"/>
    <w:rsid w:val="00EF5C96"/>
    <w:rsid w:val="00EF6022"/>
    <w:rsid w:val="00EF622A"/>
    <w:rsid w:val="00EF65D2"/>
    <w:rsid w:val="00EF6BBE"/>
    <w:rsid w:val="00EF6C63"/>
    <w:rsid w:val="00EF6F9B"/>
    <w:rsid w:val="00EF6FD5"/>
    <w:rsid w:val="00EF715A"/>
    <w:rsid w:val="00EF716D"/>
    <w:rsid w:val="00EF7904"/>
    <w:rsid w:val="00EF7BD9"/>
    <w:rsid w:val="00EF7FAE"/>
    <w:rsid w:val="00F00490"/>
    <w:rsid w:val="00F0061D"/>
    <w:rsid w:val="00F0087E"/>
    <w:rsid w:val="00F00E00"/>
    <w:rsid w:val="00F00F18"/>
    <w:rsid w:val="00F012F0"/>
    <w:rsid w:val="00F015D2"/>
    <w:rsid w:val="00F01663"/>
    <w:rsid w:val="00F017EC"/>
    <w:rsid w:val="00F0187E"/>
    <w:rsid w:val="00F01A56"/>
    <w:rsid w:val="00F01E2C"/>
    <w:rsid w:val="00F021A4"/>
    <w:rsid w:val="00F025B7"/>
    <w:rsid w:val="00F029CD"/>
    <w:rsid w:val="00F030F1"/>
    <w:rsid w:val="00F03207"/>
    <w:rsid w:val="00F03699"/>
    <w:rsid w:val="00F037E5"/>
    <w:rsid w:val="00F03A14"/>
    <w:rsid w:val="00F03D7F"/>
    <w:rsid w:val="00F03DE8"/>
    <w:rsid w:val="00F042EC"/>
    <w:rsid w:val="00F04402"/>
    <w:rsid w:val="00F048AB"/>
    <w:rsid w:val="00F04C10"/>
    <w:rsid w:val="00F04CE6"/>
    <w:rsid w:val="00F04FB3"/>
    <w:rsid w:val="00F051AD"/>
    <w:rsid w:val="00F054F9"/>
    <w:rsid w:val="00F05E18"/>
    <w:rsid w:val="00F063CB"/>
    <w:rsid w:val="00F06540"/>
    <w:rsid w:val="00F066BB"/>
    <w:rsid w:val="00F06E14"/>
    <w:rsid w:val="00F06FD6"/>
    <w:rsid w:val="00F072DF"/>
    <w:rsid w:val="00F07402"/>
    <w:rsid w:val="00F07755"/>
    <w:rsid w:val="00F104EE"/>
    <w:rsid w:val="00F10540"/>
    <w:rsid w:val="00F11130"/>
    <w:rsid w:val="00F11148"/>
    <w:rsid w:val="00F11660"/>
    <w:rsid w:val="00F116D3"/>
    <w:rsid w:val="00F11809"/>
    <w:rsid w:val="00F1180D"/>
    <w:rsid w:val="00F11F65"/>
    <w:rsid w:val="00F13068"/>
    <w:rsid w:val="00F13186"/>
    <w:rsid w:val="00F131C4"/>
    <w:rsid w:val="00F13664"/>
    <w:rsid w:val="00F14910"/>
    <w:rsid w:val="00F14C74"/>
    <w:rsid w:val="00F14E81"/>
    <w:rsid w:val="00F157C9"/>
    <w:rsid w:val="00F15806"/>
    <w:rsid w:val="00F15BFE"/>
    <w:rsid w:val="00F15C88"/>
    <w:rsid w:val="00F15EAF"/>
    <w:rsid w:val="00F15FDF"/>
    <w:rsid w:val="00F16026"/>
    <w:rsid w:val="00F163A2"/>
    <w:rsid w:val="00F16497"/>
    <w:rsid w:val="00F16D44"/>
    <w:rsid w:val="00F16F31"/>
    <w:rsid w:val="00F173B6"/>
    <w:rsid w:val="00F17532"/>
    <w:rsid w:val="00F179D4"/>
    <w:rsid w:val="00F20448"/>
    <w:rsid w:val="00F205E5"/>
    <w:rsid w:val="00F20A70"/>
    <w:rsid w:val="00F20D2E"/>
    <w:rsid w:val="00F210C0"/>
    <w:rsid w:val="00F21574"/>
    <w:rsid w:val="00F215BB"/>
    <w:rsid w:val="00F21914"/>
    <w:rsid w:val="00F21F53"/>
    <w:rsid w:val="00F223BA"/>
    <w:rsid w:val="00F22681"/>
    <w:rsid w:val="00F22FDB"/>
    <w:rsid w:val="00F23170"/>
    <w:rsid w:val="00F23532"/>
    <w:rsid w:val="00F23BAE"/>
    <w:rsid w:val="00F23C27"/>
    <w:rsid w:val="00F23FE4"/>
    <w:rsid w:val="00F2455D"/>
    <w:rsid w:val="00F24C85"/>
    <w:rsid w:val="00F24C8A"/>
    <w:rsid w:val="00F24CC6"/>
    <w:rsid w:val="00F24DE9"/>
    <w:rsid w:val="00F255D8"/>
    <w:rsid w:val="00F25634"/>
    <w:rsid w:val="00F25AAF"/>
    <w:rsid w:val="00F25D66"/>
    <w:rsid w:val="00F26154"/>
    <w:rsid w:val="00F268C4"/>
    <w:rsid w:val="00F2691D"/>
    <w:rsid w:val="00F26959"/>
    <w:rsid w:val="00F26BE1"/>
    <w:rsid w:val="00F26CF0"/>
    <w:rsid w:val="00F2704B"/>
    <w:rsid w:val="00F27541"/>
    <w:rsid w:val="00F27917"/>
    <w:rsid w:val="00F2797B"/>
    <w:rsid w:val="00F27C8F"/>
    <w:rsid w:val="00F27C9F"/>
    <w:rsid w:val="00F30B2D"/>
    <w:rsid w:val="00F30CA2"/>
    <w:rsid w:val="00F30CA4"/>
    <w:rsid w:val="00F30CCA"/>
    <w:rsid w:val="00F31F27"/>
    <w:rsid w:val="00F32235"/>
    <w:rsid w:val="00F327DE"/>
    <w:rsid w:val="00F32A93"/>
    <w:rsid w:val="00F32B25"/>
    <w:rsid w:val="00F32B5C"/>
    <w:rsid w:val="00F33071"/>
    <w:rsid w:val="00F336EB"/>
    <w:rsid w:val="00F33B1D"/>
    <w:rsid w:val="00F33B85"/>
    <w:rsid w:val="00F33C56"/>
    <w:rsid w:val="00F33C6F"/>
    <w:rsid w:val="00F33C89"/>
    <w:rsid w:val="00F33D0F"/>
    <w:rsid w:val="00F33E86"/>
    <w:rsid w:val="00F342D2"/>
    <w:rsid w:val="00F346D9"/>
    <w:rsid w:val="00F347C7"/>
    <w:rsid w:val="00F347D6"/>
    <w:rsid w:val="00F347E5"/>
    <w:rsid w:val="00F34848"/>
    <w:rsid w:val="00F34880"/>
    <w:rsid w:val="00F349AA"/>
    <w:rsid w:val="00F349E0"/>
    <w:rsid w:val="00F34A96"/>
    <w:rsid w:val="00F35B00"/>
    <w:rsid w:val="00F35D15"/>
    <w:rsid w:val="00F35DEF"/>
    <w:rsid w:val="00F3621E"/>
    <w:rsid w:val="00F362C0"/>
    <w:rsid w:val="00F36893"/>
    <w:rsid w:val="00F3696E"/>
    <w:rsid w:val="00F369CE"/>
    <w:rsid w:val="00F36B41"/>
    <w:rsid w:val="00F375E4"/>
    <w:rsid w:val="00F40063"/>
    <w:rsid w:val="00F4057E"/>
    <w:rsid w:val="00F407B0"/>
    <w:rsid w:val="00F40F62"/>
    <w:rsid w:val="00F413C8"/>
    <w:rsid w:val="00F41648"/>
    <w:rsid w:val="00F41680"/>
    <w:rsid w:val="00F41A04"/>
    <w:rsid w:val="00F41C31"/>
    <w:rsid w:val="00F41CDB"/>
    <w:rsid w:val="00F41E17"/>
    <w:rsid w:val="00F41F3B"/>
    <w:rsid w:val="00F41F89"/>
    <w:rsid w:val="00F4202B"/>
    <w:rsid w:val="00F42222"/>
    <w:rsid w:val="00F42585"/>
    <w:rsid w:val="00F427AE"/>
    <w:rsid w:val="00F42AB8"/>
    <w:rsid w:val="00F42B63"/>
    <w:rsid w:val="00F42C38"/>
    <w:rsid w:val="00F42D46"/>
    <w:rsid w:val="00F42E07"/>
    <w:rsid w:val="00F4360B"/>
    <w:rsid w:val="00F43889"/>
    <w:rsid w:val="00F4496C"/>
    <w:rsid w:val="00F449B0"/>
    <w:rsid w:val="00F44BA3"/>
    <w:rsid w:val="00F44C24"/>
    <w:rsid w:val="00F44F3A"/>
    <w:rsid w:val="00F44F65"/>
    <w:rsid w:val="00F45196"/>
    <w:rsid w:val="00F45B50"/>
    <w:rsid w:val="00F45C16"/>
    <w:rsid w:val="00F4620B"/>
    <w:rsid w:val="00F465B8"/>
    <w:rsid w:val="00F46B37"/>
    <w:rsid w:val="00F46EA9"/>
    <w:rsid w:val="00F47A45"/>
    <w:rsid w:val="00F502CE"/>
    <w:rsid w:val="00F503AE"/>
    <w:rsid w:val="00F50437"/>
    <w:rsid w:val="00F5063F"/>
    <w:rsid w:val="00F50D32"/>
    <w:rsid w:val="00F51F10"/>
    <w:rsid w:val="00F522DC"/>
    <w:rsid w:val="00F524E9"/>
    <w:rsid w:val="00F5271E"/>
    <w:rsid w:val="00F529A5"/>
    <w:rsid w:val="00F52F12"/>
    <w:rsid w:val="00F53FEE"/>
    <w:rsid w:val="00F54608"/>
    <w:rsid w:val="00F55892"/>
    <w:rsid w:val="00F55B3C"/>
    <w:rsid w:val="00F55CD9"/>
    <w:rsid w:val="00F56B00"/>
    <w:rsid w:val="00F56D4C"/>
    <w:rsid w:val="00F56EE6"/>
    <w:rsid w:val="00F57206"/>
    <w:rsid w:val="00F57787"/>
    <w:rsid w:val="00F579F9"/>
    <w:rsid w:val="00F60020"/>
    <w:rsid w:val="00F602BF"/>
    <w:rsid w:val="00F60352"/>
    <w:rsid w:val="00F603AA"/>
    <w:rsid w:val="00F60DD9"/>
    <w:rsid w:val="00F60F00"/>
    <w:rsid w:val="00F610C4"/>
    <w:rsid w:val="00F6121B"/>
    <w:rsid w:val="00F614C0"/>
    <w:rsid w:val="00F61BE2"/>
    <w:rsid w:val="00F62040"/>
    <w:rsid w:val="00F62361"/>
    <w:rsid w:val="00F63016"/>
    <w:rsid w:val="00F63049"/>
    <w:rsid w:val="00F6321A"/>
    <w:rsid w:val="00F6369F"/>
    <w:rsid w:val="00F636A9"/>
    <w:rsid w:val="00F63A10"/>
    <w:rsid w:val="00F63A99"/>
    <w:rsid w:val="00F640C7"/>
    <w:rsid w:val="00F64116"/>
    <w:rsid w:val="00F64144"/>
    <w:rsid w:val="00F64215"/>
    <w:rsid w:val="00F642DB"/>
    <w:rsid w:val="00F64528"/>
    <w:rsid w:val="00F646F2"/>
    <w:rsid w:val="00F648AD"/>
    <w:rsid w:val="00F64B58"/>
    <w:rsid w:val="00F64F79"/>
    <w:rsid w:val="00F65481"/>
    <w:rsid w:val="00F656B5"/>
    <w:rsid w:val="00F65810"/>
    <w:rsid w:val="00F659B2"/>
    <w:rsid w:val="00F65D31"/>
    <w:rsid w:val="00F65DA1"/>
    <w:rsid w:val="00F65DE1"/>
    <w:rsid w:val="00F65E8D"/>
    <w:rsid w:val="00F65F83"/>
    <w:rsid w:val="00F66522"/>
    <w:rsid w:val="00F6692E"/>
    <w:rsid w:val="00F66E28"/>
    <w:rsid w:val="00F67B0F"/>
    <w:rsid w:val="00F67B2D"/>
    <w:rsid w:val="00F67C41"/>
    <w:rsid w:val="00F67D15"/>
    <w:rsid w:val="00F67E85"/>
    <w:rsid w:val="00F70009"/>
    <w:rsid w:val="00F70039"/>
    <w:rsid w:val="00F70900"/>
    <w:rsid w:val="00F70A22"/>
    <w:rsid w:val="00F70F09"/>
    <w:rsid w:val="00F716FB"/>
    <w:rsid w:val="00F71D33"/>
    <w:rsid w:val="00F722A0"/>
    <w:rsid w:val="00F7244F"/>
    <w:rsid w:val="00F72652"/>
    <w:rsid w:val="00F72E39"/>
    <w:rsid w:val="00F72F31"/>
    <w:rsid w:val="00F72FE9"/>
    <w:rsid w:val="00F7333F"/>
    <w:rsid w:val="00F73393"/>
    <w:rsid w:val="00F73809"/>
    <w:rsid w:val="00F74066"/>
    <w:rsid w:val="00F7439E"/>
    <w:rsid w:val="00F74531"/>
    <w:rsid w:val="00F74A08"/>
    <w:rsid w:val="00F74B7B"/>
    <w:rsid w:val="00F74C20"/>
    <w:rsid w:val="00F74E38"/>
    <w:rsid w:val="00F74E41"/>
    <w:rsid w:val="00F74E46"/>
    <w:rsid w:val="00F74ED6"/>
    <w:rsid w:val="00F75211"/>
    <w:rsid w:val="00F75E23"/>
    <w:rsid w:val="00F76422"/>
    <w:rsid w:val="00F76785"/>
    <w:rsid w:val="00F7696C"/>
    <w:rsid w:val="00F76FC6"/>
    <w:rsid w:val="00F7709E"/>
    <w:rsid w:val="00F775E0"/>
    <w:rsid w:val="00F776B0"/>
    <w:rsid w:val="00F776CD"/>
    <w:rsid w:val="00F778D5"/>
    <w:rsid w:val="00F779D8"/>
    <w:rsid w:val="00F77D56"/>
    <w:rsid w:val="00F77EAE"/>
    <w:rsid w:val="00F77FA7"/>
    <w:rsid w:val="00F801A6"/>
    <w:rsid w:val="00F807DE"/>
    <w:rsid w:val="00F808AA"/>
    <w:rsid w:val="00F80E09"/>
    <w:rsid w:val="00F80EBC"/>
    <w:rsid w:val="00F80FB1"/>
    <w:rsid w:val="00F81204"/>
    <w:rsid w:val="00F81829"/>
    <w:rsid w:val="00F81889"/>
    <w:rsid w:val="00F81C86"/>
    <w:rsid w:val="00F81DC1"/>
    <w:rsid w:val="00F82C7C"/>
    <w:rsid w:val="00F831CE"/>
    <w:rsid w:val="00F83240"/>
    <w:rsid w:val="00F83848"/>
    <w:rsid w:val="00F83901"/>
    <w:rsid w:val="00F83EBA"/>
    <w:rsid w:val="00F83FE6"/>
    <w:rsid w:val="00F844CF"/>
    <w:rsid w:val="00F84899"/>
    <w:rsid w:val="00F84A8F"/>
    <w:rsid w:val="00F84D70"/>
    <w:rsid w:val="00F84DD4"/>
    <w:rsid w:val="00F850E7"/>
    <w:rsid w:val="00F85181"/>
    <w:rsid w:val="00F85529"/>
    <w:rsid w:val="00F85642"/>
    <w:rsid w:val="00F85852"/>
    <w:rsid w:val="00F85D01"/>
    <w:rsid w:val="00F86111"/>
    <w:rsid w:val="00F866D7"/>
    <w:rsid w:val="00F868F2"/>
    <w:rsid w:val="00F86A10"/>
    <w:rsid w:val="00F86BE2"/>
    <w:rsid w:val="00F86C22"/>
    <w:rsid w:val="00F871E4"/>
    <w:rsid w:val="00F8748A"/>
    <w:rsid w:val="00F87685"/>
    <w:rsid w:val="00F87691"/>
    <w:rsid w:val="00F87DDA"/>
    <w:rsid w:val="00F87F42"/>
    <w:rsid w:val="00F9002B"/>
    <w:rsid w:val="00F9032D"/>
    <w:rsid w:val="00F90BA2"/>
    <w:rsid w:val="00F9107A"/>
    <w:rsid w:val="00F91327"/>
    <w:rsid w:val="00F91902"/>
    <w:rsid w:val="00F91A30"/>
    <w:rsid w:val="00F91E56"/>
    <w:rsid w:val="00F9206E"/>
    <w:rsid w:val="00F92394"/>
    <w:rsid w:val="00F9289F"/>
    <w:rsid w:val="00F932A0"/>
    <w:rsid w:val="00F935DC"/>
    <w:rsid w:val="00F93787"/>
    <w:rsid w:val="00F938A7"/>
    <w:rsid w:val="00F9397B"/>
    <w:rsid w:val="00F93C6E"/>
    <w:rsid w:val="00F93E07"/>
    <w:rsid w:val="00F94E92"/>
    <w:rsid w:val="00F95170"/>
    <w:rsid w:val="00F95552"/>
    <w:rsid w:val="00F9560D"/>
    <w:rsid w:val="00F956C9"/>
    <w:rsid w:val="00F95E53"/>
    <w:rsid w:val="00F95F64"/>
    <w:rsid w:val="00F96BE2"/>
    <w:rsid w:val="00F9709B"/>
    <w:rsid w:val="00F97173"/>
    <w:rsid w:val="00F97496"/>
    <w:rsid w:val="00F975E9"/>
    <w:rsid w:val="00F9779D"/>
    <w:rsid w:val="00F97D59"/>
    <w:rsid w:val="00FA0355"/>
    <w:rsid w:val="00FA0B97"/>
    <w:rsid w:val="00FA0C87"/>
    <w:rsid w:val="00FA1030"/>
    <w:rsid w:val="00FA13BB"/>
    <w:rsid w:val="00FA1B7D"/>
    <w:rsid w:val="00FA1E97"/>
    <w:rsid w:val="00FA20BF"/>
    <w:rsid w:val="00FA21FD"/>
    <w:rsid w:val="00FA230E"/>
    <w:rsid w:val="00FA25A8"/>
    <w:rsid w:val="00FA2957"/>
    <w:rsid w:val="00FA29D1"/>
    <w:rsid w:val="00FA350F"/>
    <w:rsid w:val="00FA3993"/>
    <w:rsid w:val="00FA44DA"/>
    <w:rsid w:val="00FA47F2"/>
    <w:rsid w:val="00FA484C"/>
    <w:rsid w:val="00FA5669"/>
    <w:rsid w:val="00FA581F"/>
    <w:rsid w:val="00FA5ADE"/>
    <w:rsid w:val="00FA5B45"/>
    <w:rsid w:val="00FA5C7E"/>
    <w:rsid w:val="00FA620C"/>
    <w:rsid w:val="00FA6324"/>
    <w:rsid w:val="00FA6837"/>
    <w:rsid w:val="00FA6981"/>
    <w:rsid w:val="00FA6B5B"/>
    <w:rsid w:val="00FA6BEC"/>
    <w:rsid w:val="00FA7157"/>
    <w:rsid w:val="00FA73CF"/>
    <w:rsid w:val="00FA7446"/>
    <w:rsid w:val="00FA7A83"/>
    <w:rsid w:val="00FA7B20"/>
    <w:rsid w:val="00FA7BA9"/>
    <w:rsid w:val="00FA7F13"/>
    <w:rsid w:val="00FB0028"/>
    <w:rsid w:val="00FB034F"/>
    <w:rsid w:val="00FB0427"/>
    <w:rsid w:val="00FB05C9"/>
    <w:rsid w:val="00FB0E4A"/>
    <w:rsid w:val="00FB0E88"/>
    <w:rsid w:val="00FB1204"/>
    <w:rsid w:val="00FB14AF"/>
    <w:rsid w:val="00FB1D8C"/>
    <w:rsid w:val="00FB22D2"/>
    <w:rsid w:val="00FB22F6"/>
    <w:rsid w:val="00FB2521"/>
    <w:rsid w:val="00FB25A4"/>
    <w:rsid w:val="00FB2845"/>
    <w:rsid w:val="00FB338B"/>
    <w:rsid w:val="00FB3DD3"/>
    <w:rsid w:val="00FB4044"/>
    <w:rsid w:val="00FB4BAF"/>
    <w:rsid w:val="00FB53DF"/>
    <w:rsid w:val="00FB5756"/>
    <w:rsid w:val="00FB5888"/>
    <w:rsid w:val="00FB5947"/>
    <w:rsid w:val="00FB5D27"/>
    <w:rsid w:val="00FB68CB"/>
    <w:rsid w:val="00FB6AD1"/>
    <w:rsid w:val="00FB6B0A"/>
    <w:rsid w:val="00FB6D20"/>
    <w:rsid w:val="00FB6D24"/>
    <w:rsid w:val="00FB70A5"/>
    <w:rsid w:val="00FB73BB"/>
    <w:rsid w:val="00FB741A"/>
    <w:rsid w:val="00FB742D"/>
    <w:rsid w:val="00FB75A6"/>
    <w:rsid w:val="00FB7724"/>
    <w:rsid w:val="00FB7790"/>
    <w:rsid w:val="00FB7A73"/>
    <w:rsid w:val="00FB7E3E"/>
    <w:rsid w:val="00FC07B9"/>
    <w:rsid w:val="00FC0F56"/>
    <w:rsid w:val="00FC0F78"/>
    <w:rsid w:val="00FC1306"/>
    <w:rsid w:val="00FC15A7"/>
    <w:rsid w:val="00FC18FA"/>
    <w:rsid w:val="00FC1D23"/>
    <w:rsid w:val="00FC1E04"/>
    <w:rsid w:val="00FC205F"/>
    <w:rsid w:val="00FC268E"/>
    <w:rsid w:val="00FC2C04"/>
    <w:rsid w:val="00FC2DE9"/>
    <w:rsid w:val="00FC2E86"/>
    <w:rsid w:val="00FC315A"/>
    <w:rsid w:val="00FC37E2"/>
    <w:rsid w:val="00FC384C"/>
    <w:rsid w:val="00FC4487"/>
    <w:rsid w:val="00FC44D3"/>
    <w:rsid w:val="00FC4512"/>
    <w:rsid w:val="00FC48EA"/>
    <w:rsid w:val="00FC4E21"/>
    <w:rsid w:val="00FC5A44"/>
    <w:rsid w:val="00FC5CF7"/>
    <w:rsid w:val="00FC5D2F"/>
    <w:rsid w:val="00FC5F1B"/>
    <w:rsid w:val="00FC5F6D"/>
    <w:rsid w:val="00FC6008"/>
    <w:rsid w:val="00FC601E"/>
    <w:rsid w:val="00FC654E"/>
    <w:rsid w:val="00FC6AAE"/>
    <w:rsid w:val="00FC6AD2"/>
    <w:rsid w:val="00FC6EF0"/>
    <w:rsid w:val="00FC7423"/>
    <w:rsid w:val="00FD0107"/>
    <w:rsid w:val="00FD05B5"/>
    <w:rsid w:val="00FD0666"/>
    <w:rsid w:val="00FD07DC"/>
    <w:rsid w:val="00FD0856"/>
    <w:rsid w:val="00FD0986"/>
    <w:rsid w:val="00FD12BA"/>
    <w:rsid w:val="00FD13E4"/>
    <w:rsid w:val="00FD147A"/>
    <w:rsid w:val="00FD15C4"/>
    <w:rsid w:val="00FD182C"/>
    <w:rsid w:val="00FD1F2A"/>
    <w:rsid w:val="00FD214F"/>
    <w:rsid w:val="00FD218A"/>
    <w:rsid w:val="00FD2362"/>
    <w:rsid w:val="00FD25FD"/>
    <w:rsid w:val="00FD2C2F"/>
    <w:rsid w:val="00FD3A80"/>
    <w:rsid w:val="00FD3B31"/>
    <w:rsid w:val="00FD3D58"/>
    <w:rsid w:val="00FD3EA3"/>
    <w:rsid w:val="00FD4AB9"/>
    <w:rsid w:val="00FD52F9"/>
    <w:rsid w:val="00FD5A69"/>
    <w:rsid w:val="00FD5CC7"/>
    <w:rsid w:val="00FD62FA"/>
    <w:rsid w:val="00FD6356"/>
    <w:rsid w:val="00FD64D4"/>
    <w:rsid w:val="00FD6502"/>
    <w:rsid w:val="00FD665A"/>
    <w:rsid w:val="00FD67D3"/>
    <w:rsid w:val="00FD6949"/>
    <w:rsid w:val="00FD6F03"/>
    <w:rsid w:val="00FD7182"/>
    <w:rsid w:val="00FD7639"/>
    <w:rsid w:val="00FD79AD"/>
    <w:rsid w:val="00FD7A51"/>
    <w:rsid w:val="00FD7FDC"/>
    <w:rsid w:val="00FE0089"/>
    <w:rsid w:val="00FE00F0"/>
    <w:rsid w:val="00FE010A"/>
    <w:rsid w:val="00FE0565"/>
    <w:rsid w:val="00FE059D"/>
    <w:rsid w:val="00FE05B7"/>
    <w:rsid w:val="00FE0D39"/>
    <w:rsid w:val="00FE15F4"/>
    <w:rsid w:val="00FE1823"/>
    <w:rsid w:val="00FE2593"/>
    <w:rsid w:val="00FE2BE0"/>
    <w:rsid w:val="00FE2E4B"/>
    <w:rsid w:val="00FE2F73"/>
    <w:rsid w:val="00FE2F8A"/>
    <w:rsid w:val="00FE31F4"/>
    <w:rsid w:val="00FE34CB"/>
    <w:rsid w:val="00FE36EC"/>
    <w:rsid w:val="00FE36FA"/>
    <w:rsid w:val="00FE459E"/>
    <w:rsid w:val="00FE465D"/>
    <w:rsid w:val="00FE4764"/>
    <w:rsid w:val="00FE487A"/>
    <w:rsid w:val="00FE4E15"/>
    <w:rsid w:val="00FE4E90"/>
    <w:rsid w:val="00FE5F71"/>
    <w:rsid w:val="00FE6142"/>
    <w:rsid w:val="00FE6935"/>
    <w:rsid w:val="00FE6972"/>
    <w:rsid w:val="00FE7029"/>
    <w:rsid w:val="00FE75BB"/>
    <w:rsid w:val="00FE77BD"/>
    <w:rsid w:val="00FE7C23"/>
    <w:rsid w:val="00FF01E8"/>
    <w:rsid w:val="00FF0569"/>
    <w:rsid w:val="00FF0C2E"/>
    <w:rsid w:val="00FF1179"/>
    <w:rsid w:val="00FF131C"/>
    <w:rsid w:val="00FF193F"/>
    <w:rsid w:val="00FF1D35"/>
    <w:rsid w:val="00FF206E"/>
    <w:rsid w:val="00FF21B8"/>
    <w:rsid w:val="00FF2485"/>
    <w:rsid w:val="00FF289F"/>
    <w:rsid w:val="00FF28DD"/>
    <w:rsid w:val="00FF2943"/>
    <w:rsid w:val="00FF2CF2"/>
    <w:rsid w:val="00FF2E22"/>
    <w:rsid w:val="00FF308E"/>
    <w:rsid w:val="00FF3332"/>
    <w:rsid w:val="00FF33D5"/>
    <w:rsid w:val="00FF3492"/>
    <w:rsid w:val="00FF3B1A"/>
    <w:rsid w:val="00FF3B30"/>
    <w:rsid w:val="00FF3C69"/>
    <w:rsid w:val="00FF3CA0"/>
    <w:rsid w:val="00FF3EFD"/>
    <w:rsid w:val="00FF4080"/>
    <w:rsid w:val="00FF40A8"/>
    <w:rsid w:val="00FF4136"/>
    <w:rsid w:val="00FF4735"/>
    <w:rsid w:val="00FF4B9C"/>
    <w:rsid w:val="00FF4EF2"/>
    <w:rsid w:val="00FF5819"/>
    <w:rsid w:val="00FF5949"/>
    <w:rsid w:val="00FF5C07"/>
    <w:rsid w:val="00FF6214"/>
    <w:rsid w:val="00FF64D7"/>
    <w:rsid w:val="00FF6747"/>
    <w:rsid w:val="00FF6B75"/>
    <w:rsid w:val="00FF6BAF"/>
    <w:rsid w:val="00FF6E0A"/>
    <w:rsid w:val="00FF6E2D"/>
    <w:rsid w:val="00FF78AC"/>
    <w:rsid w:val="00FF7AA0"/>
    <w:rsid w:val="00FF7BA8"/>
    <w:rsid w:val="00FF7E28"/>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red,#4d4d4f"/>
    </o:shapedefaults>
    <o:shapelayout v:ext="edit">
      <o:idmap v:ext="edit" data="1"/>
    </o:shapelayout>
  </w:shapeDefaults>
  <w:decimalSymbol w:val="."/>
  <w:listSeparator w:val=","/>
  <w14:docId w14:val="290BAB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iPriority="99" w:unhideWhenUsed="1"/>
    <w:lsdException w:name="header" w:semiHidden="1" w:uiPriority="99"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uiPriority="67"/>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Intense Emphasis" w:uiPriority="21" w:qFormat="1"/>
    <w:lsdException w:name="Bibliography" w:semiHidden="1" w:unhideWhenUsed="1"/>
    <w:lsdException w:name="TOC Heading" w:semiHidden="1" w:uiPriority="39" w:unhideWhenUsed="1" w:qFormat="1"/>
    <w:lsdException w:name="Plain Table 1" w:uiPriority="4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E25277"/>
    <w:pPr>
      <w:keepNext/>
      <w:spacing w:before="60" w:after="60"/>
      <w:outlineLvl w:val="2"/>
    </w:pPr>
    <w:rPr>
      <w:rFonts w:cs="Arial"/>
      <w:b/>
      <w:bCs/>
      <w:sz w:val="22"/>
      <w:szCs w:val="26"/>
    </w:rPr>
  </w:style>
  <w:style w:type="paragraph" w:styleId="Heading4">
    <w:name w:val="heading 4"/>
    <w:basedOn w:val="BodySubHeader"/>
    <w:next w:val="Normal"/>
    <w:link w:val="Heading4Char"/>
    <w:qFormat/>
    <w:rsid w:val="007E311E"/>
    <w:pPr>
      <w:outlineLvl w:val="3"/>
    </w:pPr>
  </w:style>
  <w:style w:type="paragraph" w:styleId="Heading5">
    <w:name w:val="heading 5"/>
    <w:basedOn w:val="Normal"/>
    <w:next w:val="Normal"/>
    <w:link w:val="Heading5Char"/>
    <w:qFormat/>
    <w:rsid w:val="00E25277"/>
    <w:pPr>
      <w:keepNext/>
      <w:spacing w:before="240" w:after="60"/>
      <w:outlineLvl w:val="4"/>
    </w:pPr>
    <w:rPr>
      <w:b/>
      <w:bCs/>
      <w:iCs/>
      <w:szCs w:val="18"/>
    </w:rPr>
  </w:style>
  <w:style w:type="paragraph" w:styleId="Heading6">
    <w:name w:val="heading 6"/>
    <w:basedOn w:val="Normal"/>
    <w:next w:val="Normal"/>
    <w:link w:val="Heading6Char"/>
    <w:qFormat/>
    <w:rsid w:val="00AD5436"/>
    <w:pPr>
      <w:spacing w:before="240" w:after="60"/>
      <w:ind w:left="1152" w:hanging="432"/>
      <w:outlineLvl w:val="5"/>
    </w:pPr>
    <w:rPr>
      <w:rFonts w:ascii="Times New Roman" w:hAnsi="Times New Roman"/>
      <w:b/>
      <w:bCs/>
      <w:sz w:val="22"/>
      <w:szCs w:val="22"/>
    </w:rPr>
  </w:style>
  <w:style w:type="paragraph" w:styleId="Heading7">
    <w:name w:val="heading 7"/>
    <w:basedOn w:val="Normal"/>
    <w:next w:val="Normal"/>
    <w:link w:val="Heading7Char"/>
    <w:qFormat/>
    <w:rsid w:val="00AD5436"/>
    <w:pPr>
      <w:spacing w:before="240" w:after="60"/>
      <w:ind w:left="1296" w:hanging="288"/>
      <w:outlineLvl w:val="6"/>
    </w:pPr>
    <w:rPr>
      <w:rFonts w:ascii="Times New Roman" w:hAnsi="Times New Roman"/>
      <w:sz w:val="24"/>
    </w:rPr>
  </w:style>
  <w:style w:type="paragraph" w:styleId="Heading8">
    <w:name w:val="heading 8"/>
    <w:basedOn w:val="Normal"/>
    <w:next w:val="Normal"/>
    <w:semiHidden/>
    <w:qFormat/>
    <w:rsid w:val="00AD5436"/>
    <w:pPr>
      <w:spacing w:before="240" w:after="60"/>
      <w:ind w:left="1440" w:hanging="432"/>
      <w:outlineLvl w:val="7"/>
    </w:pPr>
    <w:rPr>
      <w:rFonts w:ascii="Times New Roman" w:hAnsi="Times New Roman"/>
      <w:i/>
      <w:iCs/>
      <w:sz w:val="24"/>
    </w:rPr>
  </w:style>
  <w:style w:type="paragraph" w:styleId="Heading9">
    <w:name w:val="heading 9"/>
    <w:basedOn w:val="Normal"/>
    <w:next w:val="Normal"/>
    <w:semiHidden/>
    <w:qFormat/>
    <w:rsid w:val="00AD5436"/>
    <w:pPr>
      <w:spacing w:before="240" w:after="60"/>
      <w:ind w:left="1584" w:hanging="144"/>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35321"/>
    <w:rPr>
      <w:rFonts w:ascii="Arial" w:hAnsi="Arial" w:cs="Arial"/>
      <w:bCs/>
      <w:color w:val="323232"/>
      <w:kern w:val="32"/>
      <w:sz w:val="53"/>
      <w:szCs w:val="32"/>
    </w:rPr>
  </w:style>
  <w:style w:type="character" w:customStyle="1" w:styleId="Heading2Char">
    <w:name w:val="Heading 2 Char"/>
    <w:basedOn w:val="DefaultParagraphFont"/>
    <w:link w:val="Heading2"/>
    <w:rsid w:val="00835321"/>
    <w:rPr>
      <w:rFonts w:ascii="Arial" w:hAnsi="Arial" w:cs="Arial"/>
      <w:b/>
      <w:bCs/>
      <w:iCs/>
      <w:sz w:val="28"/>
      <w:szCs w:val="28"/>
    </w:rPr>
  </w:style>
  <w:style w:type="character" w:customStyle="1" w:styleId="Heading3Char">
    <w:name w:val="Heading 3 Char"/>
    <w:basedOn w:val="DefaultParagraphFont"/>
    <w:link w:val="Heading3"/>
    <w:rsid w:val="00E25277"/>
    <w:rPr>
      <w:rFonts w:ascii="Arial" w:hAnsi="Arial" w:cs="Arial"/>
      <w:b/>
      <w:bCs/>
      <w:sz w:val="22"/>
      <w:szCs w:val="26"/>
    </w:rPr>
  </w:style>
  <w:style w:type="paragraph" w:customStyle="1" w:styleId="BodySubHeader">
    <w:name w:val="BodySubHeader"/>
    <w:basedOn w:val="Normal"/>
    <w:next w:val="Normal"/>
    <w:qFormat/>
    <w:rsid w:val="00146CE6"/>
    <w:pPr>
      <w:spacing w:before="240" w:after="0"/>
    </w:pPr>
    <w:rPr>
      <w:b/>
      <w:i/>
    </w:rPr>
  </w:style>
  <w:style w:type="character" w:customStyle="1" w:styleId="Heading4Char">
    <w:name w:val="Heading 4 Char"/>
    <w:basedOn w:val="DefaultParagraphFont"/>
    <w:link w:val="Heading4"/>
    <w:rsid w:val="007E311E"/>
    <w:rPr>
      <w:rFonts w:ascii="Arial" w:hAnsi="Arial"/>
      <w:b/>
      <w:i/>
      <w:sz w:val="20"/>
    </w:rPr>
  </w:style>
  <w:style w:type="character" w:customStyle="1" w:styleId="Heading5Char">
    <w:name w:val="Heading 5 Char"/>
    <w:basedOn w:val="DefaultParagraphFont"/>
    <w:link w:val="Heading5"/>
    <w:rsid w:val="00E25277"/>
    <w:rPr>
      <w:rFonts w:ascii="Arial" w:hAnsi="Arial"/>
      <w:b/>
      <w:bCs/>
      <w:iCs/>
      <w:sz w:val="20"/>
      <w:szCs w:val="18"/>
    </w:rPr>
  </w:style>
  <w:style w:type="character" w:customStyle="1" w:styleId="Heading6Char">
    <w:name w:val="Heading 6 Char"/>
    <w:basedOn w:val="DefaultParagraphFont"/>
    <w:link w:val="Heading6"/>
    <w:rsid w:val="00B94C86"/>
    <w:rPr>
      <w:b/>
      <w:bCs/>
      <w:sz w:val="22"/>
      <w:szCs w:val="22"/>
    </w:rPr>
  </w:style>
  <w:style w:type="character" w:customStyle="1" w:styleId="Heading7Char">
    <w:name w:val="Heading 7 Char"/>
    <w:basedOn w:val="DefaultParagraphFont"/>
    <w:link w:val="Heading7"/>
    <w:rsid w:val="00B94C86"/>
  </w:style>
  <w:style w:type="paragraph" w:styleId="Header">
    <w:name w:val="header"/>
    <w:basedOn w:val="Normal"/>
    <w:link w:val="HeaderChar"/>
    <w:uiPriority w:val="99"/>
    <w:rsid w:val="0070791C"/>
    <w:pPr>
      <w:tabs>
        <w:tab w:val="center" w:pos="4153"/>
        <w:tab w:val="right" w:pos="8306"/>
      </w:tabs>
      <w:spacing w:line="240" w:lineRule="auto"/>
    </w:pPr>
    <w:rPr>
      <w:sz w:val="16"/>
    </w:rPr>
  </w:style>
  <w:style w:type="character" w:customStyle="1" w:styleId="HeaderChar">
    <w:name w:val="Header Char"/>
    <w:link w:val="Header"/>
    <w:uiPriority w:val="99"/>
    <w:rsid w:val="00971914"/>
    <w:rPr>
      <w:rFonts w:ascii="Arial" w:hAnsi="Arial"/>
      <w:sz w:val="16"/>
    </w:rPr>
  </w:style>
  <w:style w:type="paragraph" w:styleId="Footer">
    <w:name w:val="footer"/>
    <w:basedOn w:val="Normal"/>
    <w:link w:val="FooterChar"/>
    <w:uiPriority w:val="99"/>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uiPriority w:val="99"/>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B747E1"/>
    <w:pPr>
      <w:keepNext/>
      <w:keepLines/>
      <w:spacing w:after="0"/>
    </w:pPr>
    <w:rPr>
      <w:b/>
      <w:color w:val="FFFFFF" w:themeColor="background1"/>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uiPriority w:val="39"/>
    <w:qFormat/>
    <w:rsid w:val="00950159"/>
    <w:pPr>
      <w:spacing w:before="1200" w:line="240" w:lineRule="auto"/>
    </w:pPr>
    <w:rPr>
      <w:b/>
      <w:color w:val="323232"/>
      <w:spacing w:val="-28"/>
      <w:sz w:val="53"/>
    </w:rPr>
  </w:style>
  <w:style w:type="paragraph" w:styleId="Caption">
    <w:name w:val="caption"/>
    <w:aliases w:val="Caption table"/>
    <w:basedOn w:val="Normal"/>
    <w:next w:val="Normal"/>
    <w:link w:val="CaptionChar"/>
    <w:qFormat/>
    <w:rsid w:val="00E8152A"/>
    <w:pPr>
      <w:numPr>
        <w:numId w:val="4"/>
      </w:numPr>
      <w:spacing w:after="0"/>
    </w:pPr>
    <w:rPr>
      <w:b/>
      <w:bCs/>
      <w:color w:val="323232"/>
      <w:szCs w:val="20"/>
    </w:rPr>
  </w:style>
  <w:style w:type="character" w:customStyle="1" w:styleId="CaptionChar">
    <w:name w:val="Caption Char"/>
    <w:aliases w:val="Caption table Char"/>
    <w:basedOn w:val="DefaultParagraphFont"/>
    <w:link w:val="Caption"/>
    <w:rsid w:val="00B94C86"/>
    <w:rPr>
      <w:rFonts w:ascii="Arial" w:hAnsi="Arial"/>
      <w:b/>
      <w:bCs/>
      <w:color w:val="323232"/>
      <w:sz w:val="20"/>
      <w:szCs w:val="20"/>
    </w:rPr>
  </w:style>
  <w:style w:type="paragraph" w:styleId="ListBullet">
    <w:name w:val="List Bullet"/>
    <w:aliases w:val="List Bullet 1"/>
    <w:basedOn w:val="Normal"/>
    <w:link w:val="ListBulletChar"/>
    <w:qFormat/>
    <w:rsid w:val="004F0100"/>
    <w:pPr>
      <w:keepNext/>
      <w:keepLines/>
      <w:numPr>
        <w:numId w:val="1"/>
      </w:numPr>
      <w:tabs>
        <w:tab w:val="num" w:pos="-261"/>
      </w:tabs>
      <w:spacing w:after="80"/>
      <w:ind w:left="714" w:hanging="357"/>
    </w:pPr>
  </w:style>
  <w:style w:type="character" w:customStyle="1" w:styleId="ListBulletChar">
    <w:name w:val="List Bullet Char"/>
    <w:aliases w:val="List Bullet 1 Char"/>
    <w:basedOn w:val="DefaultParagraphFont"/>
    <w:link w:val="ListBullet"/>
    <w:rsid w:val="004F0100"/>
    <w:rPr>
      <w:rFonts w:ascii="Arial" w:hAnsi="Arial"/>
      <w:sz w:val="20"/>
    </w:rPr>
  </w:style>
  <w:style w:type="paragraph" w:styleId="ListBullet2">
    <w:name w:val="List Bullet 2"/>
    <w:basedOn w:val="ListBullet"/>
    <w:qFormat/>
    <w:rsid w:val="0091315D"/>
    <w:pPr>
      <w:keepNext w:val="0"/>
      <w:keepLines w:val="0"/>
      <w:tabs>
        <w:tab w:val="clear" w:pos="-261"/>
        <w:tab w:val="num" w:pos="295"/>
      </w:tabs>
    </w:pPr>
    <w:rPr>
      <w:rFonts w:cs="Arial"/>
    </w:rPr>
  </w:style>
  <w:style w:type="paragraph" w:styleId="ListNumber">
    <w:name w:val="List Number"/>
    <w:basedOn w:val="Normal"/>
    <w:qFormat/>
    <w:rsid w:val="003D0F3F"/>
    <w:pPr>
      <w:numPr>
        <w:numId w:val="10"/>
      </w:numPr>
      <w:shd w:val="clear" w:color="auto" w:fill="F2F2F2" w:themeFill="background1" w:themeFillShade="F2"/>
      <w:spacing w:after="80"/>
    </w:pPr>
    <w:rPr>
      <w:b/>
    </w:rPr>
  </w:style>
  <w:style w:type="paragraph" w:styleId="ListNumber2">
    <w:name w:val="List Number 2"/>
    <w:basedOn w:val="Normal"/>
    <w:qFormat/>
    <w:rsid w:val="00247C59"/>
    <w:pPr>
      <w:numPr>
        <w:numId w:val="2"/>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aliases w:val="CEO_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Appel note de bas de p1,Appel note de bas de p2,Appel note de bas de p3,Footnote Reference/,Footnote,Style 12,(NECG) Footnote Reference,Style 124,o,fr,Style 3,Style 13,FR"/>
    <w:basedOn w:val="DefaultParagraphFont"/>
    <w:uiPriority w:val="99"/>
    <w:qFormat/>
    <w:rsid w:val="00566AB4"/>
    <w:rPr>
      <w:rFonts w:ascii="Arial" w:hAnsi="Arial"/>
      <w:vertAlign w:val="superscript"/>
    </w:rPr>
  </w:style>
  <w:style w:type="paragraph" w:styleId="FootnoteText">
    <w:name w:val="footnote text"/>
    <w:aliases w:val="ACMA Footnote Text,footnote text,Footnote Text Char1,Footnote Text Char Char,Footnote Text Char1 Char Char,Footnote Text Char Char Char Char,Footnote Text Char1 Char Char Char Char,Footnote Text Char Char Char Char Char Char,ALTS FOOTNOTE"/>
    <w:basedOn w:val="Normal"/>
    <w:link w:val="FootnoteTextChar"/>
    <w:qFormat/>
    <w:rsid w:val="0037046B"/>
    <w:pPr>
      <w:spacing w:after="0" w:line="200" w:lineRule="atLeast"/>
    </w:pPr>
    <w:rPr>
      <w:sz w:val="16"/>
      <w:szCs w:val="16"/>
    </w:rPr>
  </w:style>
  <w:style w:type="character" w:customStyle="1" w:styleId="FootnoteTextChar">
    <w:name w:val="Footnote Text Char"/>
    <w:aliases w:val="ACMA Footnote Text Char,footnote text Char,Footnote Text Char1 Char,Footnote Text Char Char Char,Footnote Text Char1 Char Char Char,Footnote Text Char Char Char Char Char,Footnote Text Char1 Char Char Char Char Char,ALTS FOOTNOTE Char"/>
    <w:basedOn w:val="DefaultParagraphFont"/>
    <w:link w:val="FootnoteText"/>
    <w:qFormat/>
    <w:rsid w:val="0037046B"/>
    <w:rPr>
      <w:rFonts w:ascii="Arial" w:hAnsi="Arial"/>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A27602"/>
    <w:pPr>
      <w:keepNext w:val="0"/>
      <w:keepLines w:val="0"/>
      <w:tabs>
        <w:tab w:val="clear" w:pos="-261"/>
        <w:tab w:val="num" w:pos="295"/>
      </w:tabs>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0D38C1"/>
    <w:pPr>
      <w:numPr>
        <w:numId w:val="9"/>
      </w:numPr>
      <w:spacing w:after="160" w:line="240" w:lineRule="atLeast"/>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uiPriority w:val="20"/>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CF75B8"/>
    <w:pPr>
      <w:numPr>
        <w:numId w:val="8"/>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3"/>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paragraph" w:styleId="Title">
    <w:name w:val="Title"/>
    <w:basedOn w:val="Normal"/>
    <w:next w:val="Normal"/>
    <w:link w:val="TitleChar"/>
    <w:uiPriority w:val="10"/>
    <w:qFormat/>
    <w:rsid w:val="00835321"/>
    <w:pPr>
      <w:spacing w:after="0" w:line="240" w:lineRule="auto"/>
      <w:contextualSpacing/>
    </w:pPr>
    <w:rPr>
      <w:rFonts w:asciiTheme="majorHAnsi" w:eastAsiaTheme="majorEastAsia" w:hAnsiTheme="majorHAnsi" w:cstheme="majorBidi"/>
      <w:spacing w:val="-10"/>
      <w:kern w:val="28"/>
      <w:sz w:val="56"/>
      <w:szCs w:val="56"/>
      <w:lang w:eastAsia="en-US"/>
    </w:rPr>
  </w:style>
  <w:style w:type="character" w:customStyle="1" w:styleId="TitleChar">
    <w:name w:val="Title Char"/>
    <w:basedOn w:val="DefaultParagraphFont"/>
    <w:link w:val="Title"/>
    <w:uiPriority w:val="10"/>
    <w:rsid w:val="00835321"/>
    <w:rPr>
      <w:rFonts w:asciiTheme="majorHAnsi" w:eastAsiaTheme="majorEastAsia" w:hAnsiTheme="majorHAnsi" w:cstheme="majorBidi"/>
      <w:spacing w:val="-10"/>
      <w:kern w:val="28"/>
      <w:sz w:val="56"/>
      <w:szCs w:val="56"/>
      <w:lang w:eastAsia="en-US"/>
    </w:rPr>
  </w:style>
  <w:style w:type="paragraph" w:styleId="ListParagraph">
    <w:name w:val="List Paragraph"/>
    <w:aliases w:val="List Paragraph1,List Paragraph11,Recommendation,bullet point list,L,CV text,Dot pt,F5 List Paragraph,No Spacing1,List Paragraph Char Char Char,Indicator Text,Numbered Para 1,List Paragraph12,Bullet Points,MAIN CONTENT,ACMA_ListParagraph"/>
    <w:basedOn w:val="Normal"/>
    <w:link w:val="ListParagraphChar"/>
    <w:uiPriority w:val="34"/>
    <w:qFormat/>
    <w:rsid w:val="00E07819"/>
    <w:pPr>
      <w:spacing w:after="160" w:line="259" w:lineRule="auto"/>
      <w:ind w:left="720"/>
      <w:contextualSpacing/>
    </w:pPr>
    <w:rPr>
      <w:rFonts w:eastAsiaTheme="minorHAnsi" w:cstheme="minorBidi"/>
      <w:szCs w:val="22"/>
      <w:lang w:eastAsia="en-US"/>
    </w:rPr>
  </w:style>
  <w:style w:type="character" w:customStyle="1" w:styleId="ListParagraphChar">
    <w:name w:val="List Paragraph Char"/>
    <w:aliases w:val="List Paragraph1 Char,List Paragraph11 Char,Recommendation Char,bullet point list Char,L Char,CV text Char,Dot pt Char,F5 List Paragraph Char,No Spacing1 Char,List Paragraph Char Char Char Char,Indicator Text Char,Numbered Para 1 Char"/>
    <w:basedOn w:val="DefaultParagraphFont"/>
    <w:link w:val="ListParagraph"/>
    <w:uiPriority w:val="34"/>
    <w:rsid w:val="00835321"/>
    <w:rPr>
      <w:rFonts w:ascii="Arial" w:eastAsiaTheme="minorHAnsi" w:hAnsi="Arial" w:cstheme="minorBidi"/>
      <w:sz w:val="20"/>
      <w:szCs w:val="22"/>
      <w:lang w:eastAsia="en-US"/>
    </w:rPr>
  </w:style>
  <w:style w:type="character" w:customStyle="1" w:styleId="s1">
    <w:name w:val="s1"/>
    <w:basedOn w:val="DefaultParagraphFont"/>
    <w:rsid w:val="00835321"/>
    <w:rPr>
      <w:rFonts w:ascii=".SFUIText" w:hAnsi=".SFUIText" w:hint="default"/>
      <w:b w:val="0"/>
      <w:bCs w:val="0"/>
      <w:i w:val="0"/>
      <w:iCs w:val="0"/>
    </w:rPr>
  </w:style>
  <w:style w:type="character" w:customStyle="1" w:styleId="tgc">
    <w:name w:val="_tgc"/>
    <w:basedOn w:val="DefaultParagraphFont"/>
    <w:rsid w:val="00835321"/>
  </w:style>
  <w:style w:type="character" w:customStyle="1" w:styleId="s2">
    <w:name w:val="s2"/>
    <w:basedOn w:val="DefaultParagraphFont"/>
    <w:rsid w:val="00835321"/>
    <w:rPr>
      <w:color w:val="3789BD"/>
      <w:u w:val="single"/>
    </w:rPr>
  </w:style>
  <w:style w:type="character" w:styleId="IntenseEmphasis">
    <w:name w:val="Intense Emphasis"/>
    <w:basedOn w:val="DefaultParagraphFont"/>
    <w:uiPriority w:val="21"/>
    <w:qFormat/>
    <w:rsid w:val="00B94C86"/>
    <w:rPr>
      <w:i/>
      <w:iCs/>
      <w:color w:val="4F81BD" w:themeColor="accent1"/>
    </w:rPr>
  </w:style>
  <w:style w:type="table" w:customStyle="1" w:styleId="TableGrid2">
    <w:name w:val="Table Grid2"/>
    <w:basedOn w:val="TableNormal"/>
    <w:next w:val="TableGrid"/>
    <w:uiPriority w:val="59"/>
    <w:rsid w:val="00B94C86"/>
    <w:pPr>
      <w:spacing w:line="240" w:lineRule="atLeast"/>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NumberedList">
    <w:name w:val="ACMA Numbered List"/>
    <w:rsid w:val="00B94C86"/>
    <w:pPr>
      <w:spacing w:before="20" w:after="20"/>
    </w:pPr>
    <w:rPr>
      <w:szCs w:val="20"/>
      <w:lang w:eastAsia="en-US"/>
    </w:rPr>
  </w:style>
  <w:style w:type="paragraph" w:customStyle="1" w:styleId="Default">
    <w:name w:val="Default"/>
    <w:rsid w:val="00B94C86"/>
    <w:pPr>
      <w:autoSpaceDE w:val="0"/>
      <w:autoSpaceDN w:val="0"/>
      <w:adjustRightInd w:val="0"/>
    </w:pPr>
    <w:rPr>
      <w:rFonts w:ascii="Arial" w:eastAsiaTheme="minorHAnsi" w:hAnsi="Arial" w:cs="Arial"/>
      <w:color w:val="000000"/>
      <w:lang w:eastAsia="en-US"/>
    </w:rPr>
  </w:style>
  <w:style w:type="paragraph" w:styleId="PlainText">
    <w:name w:val="Plain Text"/>
    <w:basedOn w:val="Normal"/>
    <w:link w:val="PlainTextChar"/>
    <w:uiPriority w:val="99"/>
    <w:semiHidden/>
    <w:unhideWhenUsed/>
    <w:rsid w:val="00B94C86"/>
    <w:pPr>
      <w:spacing w:after="0" w:line="240" w:lineRule="auto"/>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semiHidden/>
    <w:rsid w:val="00B94C86"/>
    <w:rPr>
      <w:rFonts w:ascii="Calibri" w:eastAsiaTheme="minorHAnsi" w:hAnsi="Calibri" w:cstheme="minorBidi"/>
      <w:sz w:val="22"/>
      <w:szCs w:val="21"/>
      <w:lang w:eastAsia="en-US"/>
    </w:rPr>
  </w:style>
  <w:style w:type="paragraph" w:customStyle="1" w:styleId="p1">
    <w:name w:val="p1"/>
    <w:basedOn w:val="Normal"/>
    <w:rsid w:val="00B94C86"/>
    <w:pPr>
      <w:spacing w:after="0" w:line="240" w:lineRule="auto"/>
    </w:pPr>
    <w:rPr>
      <w:rFonts w:ascii=".SF UI Text" w:eastAsiaTheme="minorHAnsi" w:hAnsi=".SF UI Text"/>
      <w:color w:val="454545"/>
      <w:sz w:val="26"/>
      <w:szCs w:val="26"/>
    </w:rPr>
  </w:style>
  <w:style w:type="paragraph" w:customStyle="1" w:styleId="p2">
    <w:name w:val="p2"/>
    <w:basedOn w:val="Normal"/>
    <w:rsid w:val="00B94C86"/>
    <w:pPr>
      <w:spacing w:after="0" w:line="240" w:lineRule="auto"/>
    </w:pPr>
    <w:rPr>
      <w:rFonts w:ascii=".SF UI Text" w:eastAsiaTheme="minorHAnsi" w:hAnsi=".SF UI Text"/>
      <w:color w:val="454545"/>
      <w:sz w:val="26"/>
      <w:szCs w:val="26"/>
    </w:rPr>
  </w:style>
  <w:style w:type="character" w:customStyle="1" w:styleId="apple-converted-space">
    <w:name w:val="apple-converted-space"/>
    <w:basedOn w:val="DefaultParagraphFont"/>
    <w:rsid w:val="00B94C86"/>
  </w:style>
  <w:style w:type="paragraph" w:customStyle="1" w:styleId="Bullet1">
    <w:name w:val="Bullet 1"/>
    <w:basedOn w:val="ListBullet2"/>
    <w:qFormat/>
    <w:rsid w:val="00B94C86"/>
    <w:pPr>
      <w:spacing w:after="240" w:line="240" w:lineRule="auto"/>
      <w:ind w:left="567" w:hanging="567"/>
      <w:contextualSpacing/>
    </w:pPr>
    <w:rPr>
      <w:rFonts w:ascii="Calibri" w:eastAsia="Calibri" w:hAnsi="Calibri" w:cs="Calibri"/>
      <w:w w:val="105"/>
      <w:kern w:val="40"/>
      <w:sz w:val="22"/>
      <w:szCs w:val="22"/>
      <w:lang w:eastAsia="en-US"/>
    </w:rPr>
  </w:style>
  <w:style w:type="paragraph" w:styleId="NormalWeb">
    <w:name w:val="Normal (Web)"/>
    <w:basedOn w:val="Normal"/>
    <w:uiPriority w:val="99"/>
    <w:unhideWhenUsed/>
    <w:rsid w:val="00B94C86"/>
    <w:pPr>
      <w:spacing w:line="240" w:lineRule="auto"/>
    </w:pPr>
    <w:rPr>
      <w:rFonts w:ascii="Times New Roman" w:hAnsi="Times New Roman"/>
      <w:sz w:val="24"/>
    </w:rPr>
  </w:style>
  <w:style w:type="paragraph" w:customStyle="1" w:styleId="ACMABulletLevel1">
    <w:name w:val="ACMA Bullet Level 1"/>
    <w:rsid w:val="00B94C86"/>
    <w:pPr>
      <w:numPr>
        <w:numId w:val="5"/>
      </w:numPr>
      <w:spacing w:after="120"/>
    </w:pPr>
    <w:rPr>
      <w:szCs w:val="20"/>
      <w:lang w:eastAsia="en-US"/>
    </w:rPr>
  </w:style>
  <w:style w:type="table" w:customStyle="1" w:styleId="TableGrid1">
    <w:name w:val="Table Grid1"/>
    <w:basedOn w:val="TableNormal"/>
    <w:next w:val="TableGrid"/>
    <w:uiPriority w:val="59"/>
    <w:rsid w:val="00B94C86"/>
    <w:pPr>
      <w:spacing w:before="80" w:after="120" w:line="280" w:lineRule="atLeast"/>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B94C86"/>
    <w:rPr>
      <w:rFonts w:asciiTheme="minorHAnsi" w:eastAsiaTheme="minorHAnsi" w:hAnsiTheme="minorHAnsi" w:cstheme="minorBidi"/>
      <w:sz w:val="22"/>
      <w:szCs w:val="22"/>
      <w:lang w:eastAsia="en-US"/>
    </w:rPr>
  </w:style>
  <w:style w:type="paragraph" w:styleId="Subtitle">
    <w:name w:val="Subtitle"/>
    <w:basedOn w:val="Normal"/>
    <w:next w:val="Normal"/>
    <w:link w:val="SubtitleChar"/>
    <w:uiPriority w:val="11"/>
    <w:qFormat/>
    <w:rsid w:val="00B94C86"/>
    <w:pPr>
      <w:numPr>
        <w:ilvl w:val="1"/>
      </w:numPr>
      <w:spacing w:after="160" w:line="259" w:lineRule="auto"/>
    </w:pPr>
    <w:rPr>
      <w:rFonts w:asciiTheme="minorHAnsi" w:eastAsiaTheme="minorEastAsia" w:hAnsiTheme="minorHAnsi" w:cstheme="minorBidi"/>
      <w:color w:val="5A5A5A" w:themeColor="text1" w:themeTint="A5"/>
      <w:spacing w:val="15"/>
      <w:sz w:val="22"/>
      <w:szCs w:val="22"/>
      <w:lang w:eastAsia="en-US"/>
    </w:rPr>
  </w:style>
  <w:style w:type="character" w:customStyle="1" w:styleId="SubtitleChar">
    <w:name w:val="Subtitle Char"/>
    <w:basedOn w:val="DefaultParagraphFont"/>
    <w:link w:val="Subtitle"/>
    <w:uiPriority w:val="11"/>
    <w:rsid w:val="00B94C86"/>
    <w:rPr>
      <w:rFonts w:asciiTheme="minorHAnsi" w:eastAsiaTheme="minorEastAsia" w:hAnsiTheme="minorHAnsi" w:cstheme="minorBidi"/>
      <w:color w:val="5A5A5A" w:themeColor="text1" w:themeTint="A5"/>
      <w:spacing w:val="15"/>
      <w:sz w:val="22"/>
      <w:szCs w:val="22"/>
      <w:lang w:eastAsia="en-US"/>
    </w:rPr>
  </w:style>
  <w:style w:type="paragraph" w:styleId="NoSpacing">
    <w:name w:val="No Spacing"/>
    <w:link w:val="NoSpacingChar"/>
    <w:uiPriority w:val="1"/>
    <w:qFormat/>
    <w:rsid w:val="00B94C86"/>
    <w:rPr>
      <w:rFonts w:ascii="Arial" w:hAnsi="Arial"/>
      <w:sz w:val="20"/>
    </w:rPr>
  </w:style>
  <w:style w:type="character" w:customStyle="1" w:styleId="NoSpacingChar">
    <w:name w:val="No Spacing Char"/>
    <w:link w:val="NoSpacing"/>
    <w:uiPriority w:val="1"/>
    <w:locked/>
    <w:rsid w:val="00B94C86"/>
    <w:rPr>
      <w:rFonts w:ascii="Arial" w:hAnsi="Arial"/>
      <w:sz w:val="20"/>
    </w:rPr>
  </w:style>
  <w:style w:type="paragraph" w:customStyle="1" w:styleId="ACMABodyText">
    <w:name w:val="ACMA Body Text"/>
    <w:link w:val="ACMABodyTextChar"/>
    <w:qFormat/>
    <w:rsid w:val="00B94C86"/>
    <w:pPr>
      <w:suppressAutoHyphens/>
      <w:spacing w:before="80" w:after="120" w:line="280" w:lineRule="atLeast"/>
    </w:pPr>
    <w:rPr>
      <w:snapToGrid w:val="0"/>
      <w:szCs w:val="20"/>
      <w:lang w:eastAsia="en-US"/>
    </w:rPr>
  </w:style>
  <w:style w:type="character" w:customStyle="1" w:styleId="ACMABodyTextChar">
    <w:name w:val="ACMA Body Text Char"/>
    <w:basedOn w:val="DefaultParagraphFont"/>
    <w:link w:val="ACMABodyText"/>
    <w:rsid w:val="00B94C86"/>
    <w:rPr>
      <w:snapToGrid w:val="0"/>
      <w:szCs w:val="20"/>
      <w:lang w:eastAsia="en-US"/>
    </w:rPr>
  </w:style>
  <w:style w:type="paragraph" w:customStyle="1" w:styleId="ExecSummaryHeading">
    <w:name w:val="Exec Summary Heading"/>
    <w:basedOn w:val="Normal"/>
    <w:rsid w:val="00B94C86"/>
    <w:pPr>
      <w:spacing w:after="1440" w:line="550" w:lineRule="exact"/>
    </w:pPr>
    <w:rPr>
      <w:b/>
      <w:color w:val="4D4D4F"/>
      <w:spacing w:val="-18"/>
      <w:sz w:val="53"/>
    </w:rPr>
  </w:style>
  <w:style w:type="paragraph" w:customStyle="1" w:styleId="ACMABodyText0">
    <w:name w:val="ACMA_BodyText"/>
    <w:qFormat/>
    <w:rsid w:val="00B94C86"/>
    <w:pPr>
      <w:suppressAutoHyphens/>
      <w:spacing w:after="80" w:line="280" w:lineRule="atLeast"/>
    </w:pPr>
    <w:rPr>
      <w:rFonts w:ascii="Arial" w:hAnsi="Arial"/>
      <w:snapToGrid w:val="0"/>
      <w:sz w:val="19"/>
      <w:szCs w:val="20"/>
      <w:lang w:eastAsia="en-US"/>
    </w:rPr>
  </w:style>
  <w:style w:type="table" w:styleId="MediumGrid1-Accent5">
    <w:name w:val="Medium Grid 1 Accent 5"/>
    <w:basedOn w:val="TableNormal"/>
    <w:uiPriority w:val="67"/>
    <w:rsid w:val="00B94C86"/>
    <w:rPr>
      <w:sz w:val="20"/>
      <w:szCs w:val="20"/>
    </w:r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paragraph" w:customStyle="1" w:styleId="ReportTitle">
    <w:name w:val="Report Title"/>
    <w:basedOn w:val="Normal"/>
    <w:rsid w:val="00B94C86"/>
    <w:pPr>
      <w:spacing w:after="0" w:line="560" w:lineRule="exact"/>
    </w:pPr>
    <w:rPr>
      <w:b/>
      <w:color w:val="4D4D4F"/>
      <w:spacing w:val="-28"/>
      <w:sz w:val="53"/>
    </w:rPr>
  </w:style>
  <w:style w:type="paragraph" w:customStyle="1" w:styleId="ReportSubtitle">
    <w:name w:val="Report Sub title"/>
    <w:basedOn w:val="Normal"/>
    <w:rsid w:val="00B94C86"/>
    <w:pPr>
      <w:spacing w:after="0" w:line="560" w:lineRule="exact"/>
    </w:pPr>
    <w:rPr>
      <w:color w:val="808285"/>
      <w:spacing w:val="-28"/>
      <w:sz w:val="53"/>
    </w:rPr>
  </w:style>
  <w:style w:type="paragraph" w:customStyle="1" w:styleId="ReportDate">
    <w:name w:val="Report Date"/>
    <w:basedOn w:val="ReportSubtitle"/>
    <w:rsid w:val="00B94C86"/>
    <w:pPr>
      <w:spacing w:line="240" w:lineRule="auto"/>
    </w:pPr>
    <w:rPr>
      <w:caps/>
      <w:spacing w:val="-10"/>
      <w:sz w:val="20"/>
    </w:rPr>
  </w:style>
  <w:style w:type="paragraph" w:customStyle="1" w:styleId="Bodysubheader0">
    <w:name w:val="Body sub header"/>
    <w:basedOn w:val="Normal"/>
    <w:next w:val="Normal"/>
    <w:rsid w:val="00B94C86"/>
    <w:pPr>
      <w:spacing w:after="0"/>
    </w:pPr>
    <w:rPr>
      <w:b/>
      <w:i/>
    </w:rPr>
  </w:style>
  <w:style w:type="paragraph" w:styleId="TOC9">
    <w:name w:val="toc 9"/>
    <w:aliases w:val="TOC ExecSumm"/>
    <w:basedOn w:val="Normal"/>
    <w:next w:val="Normal"/>
    <w:uiPriority w:val="39"/>
    <w:rsid w:val="00B94C86"/>
    <w:pPr>
      <w:tabs>
        <w:tab w:val="right" w:pos="7660"/>
      </w:tabs>
      <w:spacing w:before="280" w:after="0" w:line="320" w:lineRule="exact"/>
    </w:pPr>
    <w:rPr>
      <w:b/>
      <w:noProof/>
      <w:color w:val="808285"/>
      <w:sz w:val="28"/>
      <w:szCs w:val="28"/>
    </w:rPr>
  </w:style>
  <w:style w:type="paragraph" w:customStyle="1" w:styleId="ChapterHeading">
    <w:name w:val="Chapter Heading"/>
    <w:basedOn w:val="Normal"/>
    <w:rsid w:val="00B94C86"/>
    <w:pPr>
      <w:spacing w:after="0" w:line="560" w:lineRule="exact"/>
    </w:pPr>
    <w:rPr>
      <w:color w:val="808285"/>
      <w:spacing w:val="-28"/>
      <w:sz w:val="53"/>
    </w:rPr>
  </w:style>
  <w:style w:type="character" w:customStyle="1" w:styleId="apple-style-span">
    <w:name w:val="apple-style-span"/>
    <w:basedOn w:val="DefaultParagraphFont"/>
    <w:rsid w:val="00B94C86"/>
  </w:style>
  <w:style w:type="paragraph" w:customStyle="1" w:styleId="StyleListParagraphListParagraph1ListParagraph11Recommendatio">
    <w:name w:val="Style List ParagraphList Paragraph1List Paragraph11Recommendatio..."/>
    <w:basedOn w:val="ListParagraph"/>
    <w:rsid w:val="00B94C86"/>
    <w:pPr>
      <w:spacing w:after="240" w:line="240" w:lineRule="auto"/>
      <w:ind w:left="1134" w:hanging="567"/>
    </w:pPr>
    <w:rPr>
      <w:rFonts w:eastAsia="Times New Roman" w:cs="Times New Roman"/>
      <w:szCs w:val="20"/>
    </w:rPr>
  </w:style>
  <w:style w:type="paragraph" w:customStyle="1" w:styleId="ACMAHeading3">
    <w:name w:val="ACMA Heading 3"/>
    <w:next w:val="ACMABodyText"/>
    <w:rsid w:val="00B94C86"/>
    <w:pPr>
      <w:keepNext/>
      <w:tabs>
        <w:tab w:val="num" w:pos="720"/>
      </w:tabs>
      <w:suppressAutoHyphens/>
      <w:spacing w:before="240"/>
      <w:outlineLvl w:val="3"/>
    </w:pPr>
    <w:rPr>
      <w:rFonts w:ascii="Arial" w:hAnsi="Arial"/>
      <w:b/>
      <w:szCs w:val="20"/>
      <w:lang w:val="en-US" w:eastAsia="en-US"/>
    </w:rPr>
  </w:style>
  <w:style w:type="paragraph" w:customStyle="1" w:styleId="Summary">
    <w:name w:val="Summary"/>
    <w:basedOn w:val="Normal"/>
    <w:next w:val="Normal"/>
    <w:autoRedefine/>
    <w:rsid w:val="00B94C86"/>
    <w:pPr>
      <w:tabs>
        <w:tab w:val="left" w:pos="794"/>
        <w:tab w:val="left" w:pos="1191"/>
        <w:tab w:val="left" w:pos="1588"/>
        <w:tab w:val="left" w:pos="1985"/>
      </w:tabs>
      <w:overflowPunct w:val="0"/>
      <w:autoSpaceDE w:val="0"/>
      <w:autoSpaceDN w:val="0"/>
      <w:adjustRightInd w:val="0"/>
      <w:spacing w:before="120" w:after="0" w:line="240" w:lineRule="auto"/>
      <w:jc w:val="both"/>
      <w:textAlignment w:val="baseline"/>
    </w:pPr>
    <w:rPr>
      <w:rFonts w:ascii="Times New Roman" w:hAnsi="Times New Roman"/>
      <w:sz w:val="22"/>
      <w:szCs w:val="20"/>
      <w:lang w:val="es-ES_tradnl" w:eastAsia="en-US"/>
    </w:rPr>
  </w:style>
  <w:style w:type="paragraph" w:customStyle="1" w:styleId="enumlev1">
    <w:name w:val="enumlev1"/>
    <w:basedOn w:val="Normal"/>
    <w:rsid w:val="00B94C86"/>
    <w:pPr>
      <w:tabs>
        <w:tab w:val="left" w:pos="1134"/>
        <w:tab w:val="left" w:pos="1871"/>
        <w:tab w:val="left" w:pos="2608"/>
        <w:tab w:val="left" w:pos="3345"/>
      </w:tabs>
      <w:overflowPunct w:val="0"/>
      <w:autoSpaceDE w:val="0"/>
      <w:autoSpaceDN w:val="0"/>
      <w:adjustRightInd w:val="0"/>
      <w:spacing w:before="80" w:after="0" w:line="240" w:lineRule="auto"/>
      <w:ind w:left="1134" w:hanging="1134"/>
      <w:textAlignment w:val="baseline"/>
    </w:pPr>
    <w:rPr>
      <w:rFonts w:ascii="Times New Roman" w:hAnsi="Times New Roman"/>
      <w:sz w:val="24"/>
      <w:szCs w:val="20"/>
      <w:lang w:val="en-GB" w:eastAsia="en-US"/>
    </w:rPr>
  </w:style>
  <w:style w:type="paragraph" w:styleId="BodyTextIndent3">
    <w:name w:val="Body Text Indent 3"/>
    <w:basedOn w:val="Normal"/>
    <w:link w:val="BodyTextIndent3Char"/>
    <w:rsid w:val="00B94C86"/>
    <w:pPr>
      <w:spacing w:after="120"/>
      <w:ind w:left="283"/>
    </w:pPr>
    <w:rPr>
      <w:sz w:val="16"/>
      <w:szCs w:val="16"/>
    </w:rPr>
  </w:style>
  <w:style w:type="character" w:customStyle="1" w:styleId="BodyTextIndent3Char">
    <w:name w:val="Body Text Indent 3 Char"/>
    <w:basedOn w:val="DefaultParagraphFont"/>
    <w:link w:val="BodyTextIndent3"/>
    <w:rsid w:val="00B94C86"/>
    <w:rPr>
      <w:rFonts w:ascii="Arial" w:hAnsi="Arial"/>
      <w:sz w:val="16"/>
      <w:szCs w:val="16"/>
    </w:rPr>
  </w:style>
  <w:style w:type="paragraph" w:customStyle="1" w:styleId="Normalaftertitle">
    <w:name w:val="Normal after title"/>
    <w:basedOn w:val="Normal"/>
    <w:next w:val="Normal"/>
    <w:rsid w:val="00B94C86"/>
    <w:pPr>
      <w:tabs>
        <w:tab w:val="left" w:pos="1134"/>
        <w:tab w:val="left" w:pos="1871"/>
        <w:tab w:val="left" w:pos="2268"/>
      </w:tabs>
      <w:overflowPunct w:val="0"/>
      <w:autoSpaceDE w:val="0"/>
      <w:autoSpaceDN w:val="0"/>
      <w:adjustRightInd w:val="0"/>
      <w:spacing w:before="280" w:after="0" w:line="240" w:lineRule="auto"/>
    </w:pPr>
    <w:rPr>
      <w:rFonts w:ascii="Times New Roman" w:hAnsi="Times New Roman"/>
      <w:sz w:val="24"/>
      <w:szCs w:val="20"/>
      <w:lang w:val="en-GB" w:eastAsia="en-US"/>
    </w:rPr>
  </w:style>
  <w:style w:type="table" w:customStyle="1" w:styleId="TableGrid3">
    <w:name w:val="Table Grid3"/>
    <w:basedOn w:val="TableNormal"/>
    <w:next w:val="TableGrid"/>
    <w:uiPriority w:val="39"/>
    <w:rsid w:val="00D169BA"/>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F42AB8"/>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D365CA"/>
    <w:pPr>
      <w:widowControl w:val="0"/>
      <w:autoSpaceDE w:val="0"/>
      <w:autoSpaceDN w:val="0"/>
      <w:spacing w:before="13" w:after="0" w:line="240" w:lineRule="auto"/>
      <w:ind w:left="113"/>
    </w:pPr>
    <w:rPr>
      <w:rFonts w:eastAsia="Arial" w:cs="Arial"/>
      <w:sz w:val="22"/>
      <w:szCs w:val="22"/>
      <w:lang w:val="en-US" w:eastAsia="en-US" w:bidi="en-US"/>
    </w:rPr>
  </w:style>
  <w:style w:type="character" w:customStyle="1" w:styleId="UnresolvedMention1">
    <w:name w:val="Unresolved Mention1"/>
    <w:basedOn w:val="DefaultParagraphFont"/>
    <w:uiPriority w:val="99"/>
    <w:semiHidden/>
    <w:unhideWhenUsed/>
    <w:rsid w:val="00295A18"/>
    <w:rPr>
      <w:color w:val="605E5C"/>
      <w:shd w:val="clear" w:color="auto" w:fill="E1DFDD"/>
    </w:rPr>
  </w:style>
  <w:style w:type="character" w:customStyle="1" w:styleId="UnresolvedMention2">
    <w:name w:val="Unresolved Mention2"/>
    <w:basedOn w:val="DefaultParagraphFont"/>
    <w:uiPriority w:val="99"/>
    <w:semiHidden/>
    <w:unhideWhenUsed/>
    <w:rsid w:val="00BA498C"/>
    <w:rPr>
      <w:color w:val="605E5C"/>
      <w:shd w:val="clear" w:color="auto" w:fill="E1DFDD"/>
    </w:rPr>
  </w:style>
  <w:style w:type="character" w:customStyle="1" w:styleId="UnresolvedMention3">
    <w:name w:val="Unresolved Mention3"/>
    <w:basedOn w:val="DefaultParagraphFont"/>
    <w:uiPriority w:val="99"/>
    <w:semiHidden/>
    <w:unhideWhenUsed/>
    <w:rsid w:val="00365525"/>
    <w:rPr>
      <w:color w:val="605E5C"/>
      <w:shd w:val="clear" w:color="auto" w:fill="E1DFDD"/>
    </w:rPr>
  </w:style>
  <w:style w:type="character" w:customStyle="1" w:styleId="UnresolvedMention4">
    <w:name w:val="Unresolved Mention4"/>
    <w:basedOn w:val="DefaultParagraphFont"/>
    <w:uiPriority w:val="99"/>
    <w:semiHidden/>
    <w:unhideWhenUsed/>
    <w:rsid w:val="00A02D08"/>
    <w:rPr>
      <w:color w:val="605E5C"/>
      <w:shd w:val="clear" w:color="auto" w:fill="E1DFDD"/>
    </w:rPr>
  </w:style>
  <w:style w:type="character" w:styleId="UnresolvedMention">
    <w:name w:val="Unresolved Mention"/>
    <w:basedOn w:val="DefaultParagraphFont"/>
    <w:uiPriority w:val="99"/>
    <w:semiHidden/>
    <w:unhideWhenUsed/>
    <w:rsid w:val="00BF204E"/>
    <w:rPr>
      <w:color w:val="605E5C"/>
      <w:shd w:val="clear" w:color="auto" w:fill="E1DFDD"/>
    </w:rPr>
  </w:style>
  <w:style w:type="table" w:styleId="PlainTable1">
    <w:name w:val="Plain Table 1"/>
    <w:basedOn w:val="TableNormal"/>
    <w:uiPriority w:val="41"/>
    <w:rsid w:val="00D90D77"/>
    <w:rPr>
      <w:rFonts w:asciiTheme="minorHAnsi" w:eastAsiaTheme="minorHAnsi" w:hAnsiTheme="minorHAnsi" w:cstheme="minorBidi"/>
      <w:sz w:val="22"/>
      <w:szCs w:val="22"/>
      <w:lang w:eastAsia="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Tableheading2">
    <w:name w:val="Table heading 2"/>
    <w:basedOn w:val="ACMATableHeader"/>
    <w:qFormat/>
    <w:rsid w:val="00C837A5"/>
    <w:pPr>
      <w:keepNext/>
      <w:numPr>
        <w:numId w:val="0"/>
      </w:numPr>
      <w:spacing w:after="0"/>
      <w:ind w:left="97" w:hanging="40"/>
    </w:pPr>
    <w:rPr>
      <w:color w:val="auto"/>
      <w:sz w:val="24"/>
    </w:rPr>
  </w:style>
  <w:style w:type="paragraph" w:styleId="TOC4">
    <w:name w:val="toc 4"/>
    <w:basedOn w:val="Normal"/>
    <w:next w:val="Normal"/>
    <w:autoRedefine/>
    <w:uiPriority w:val="39"/>
    <w:unhideWhenUsed/>
    <w:rsid w:val="00775B4A"/>
    <w:pPr>
      <w:spacing w:after="100" w:line="259" w:lineRule="auto"/>
      <w:ind w:left="660"/>
    </w:pPr>
    <w:rPr>
      <w:rFonts w:asciiTheme="minorHAnsi" w:eastAsiaTheme="minorEastAsia" w:hAnsiTheme="minorHAnsi" w:cstheme="minorBidi"/>
      <w:sz w:val="22"/>
      <w:szCs w:val="22"/>
    </w:rPr>
  </w:style>
  <w:style w:type="paragraph" w:styleId="TOC5">
    <w:name w:val="toc 5"/>
    <w:basedOn w:val="Normal"/>
    <w:next w:val="Normal"/>
    <w:autoRedefine/>
    <w:uiPriority w:val="39"/>
    <w:unhideWhenUsed/>
    <w:rsid w:val="00775B4A"/>
    <w:pPr>
      <w:spacing w:after="100" w:line="259"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775B4A"/>
    <w:pPr>
      <w:spacing w:after="100" w:line="259"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775B4A"/>
    <w:pPr>
      <w:spacing w:after="100" w:line="259"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775B4A"/>
    <w:pPr>
      <w:spacing w:after="100" w:line="259" w:lineRule="auto"/>
      <w:ind w:left="1540"/>
    </w:pPr>
    <w:rPr>
      <w:rFonts w:asciiTheme="minorHAnsi" w:eastAsiaTheme="minorEastAsia"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35894">
      <w:bodyDiv w:val="1"/>
      <w:marLeft w:val="0"/>
      <w:marRight w:val="0"/>
      <w:marTop w:val="0"/>
      <w:marBottom w:val="0"/>
      <w:divBdr>
        <w:top w:val="none" w:sz="0" w:space="0" w:color="auto"/>
        <w:left w:val="none" w:sz="0" w:space="0" w:color="auto"/>
        <w:bottom w:val="none" w:sz="0" w:space="0" w:color="auto"/>
        <w:right w:val="none" w:sz="0" w:space="0" w:color="auto"/>
      </w:divBdr>
      <w:divsChild>
        <w:div w:id="109207078">
          <w:marLeft w:val="0"/>
          <w:marRight w:val="0"/>
          <w:marTop w:val="0"/>
          <w:marBottom w:val="0"/>
          <w:divBdr>
            <w:top w:val="none" w:sz="0" w:space="0" w:color="auto"/>
            <w:left w:val="none" w:sz="0" w:space="0" w:color="auto"/>
            <w:bottom w:val="none" w:sz="0" w:space="0" w:color="auto"/>
            <w:right w:val="none" w:sz="0" w:space="0" w:color="auto"/>
          </w:divBdr>
          <w:divsChild>
            <w:div w:id="1530871569">
              <w:marLeft w:val="0"/>
              <w:marRight w:val="0"/>
              <w:marTop w:val="0"/>
              <w:marBottom w:val="0"/>
              <w:divBdr>
                <w:top w:val="none" w:sz="0" w:space="0" w:color="auto"/>
                <w:left w:val="none" w:sz="0" w:space="0" w:color="auto"/>
                <w:bottom w:val="none" w:sz="0" w:space="0" w:color="auto"/>
                <w:right w:val="none" w:sz="0" w:space="0" w:color="auto"/>
              </w:divBdr>
              <w:divsChild>
                <w:div w:id="1888445366">
                  <w:marLeft w:val="0"/>
                  <w:marRight w:val="0"/>
                  <w:marTop w:val="0"/>
                  <w:marBottom w:val="0"/>
                  <w:divBdr>
                    <w:top w:val="none" w:sz="0" w:space="0" w:color="auto"/>
                    <w:left w:val="none" w:sz="0" w:space="0" w:color="auto"/>
                    <w:bottom w:val="none" w:sz="0" w:space="0" w:color="auto"/>
                    <w:right w:val="none" w:sz="0" w:space="0" w:color="auto"/>
                  </w:divBdr>
                  <w:divsChild>
                    <w:div w:id="1299530523">
                      <w:marLeft w:val="0"/>
                      <w:marRight w:val="0"/>
                      <w:marTop w:val="0"/>
                      <w:marBottom w:val="0"/>
                      <w:divBdr>
                        <w:top w:val="none" w:sz="0" w:space="0" w:color="auto"/>
                        <w:left w:val="none" w:sz="0" w:space="0" w:color="auto"/>
                        <w:bottom w:val="none" w:sz="0" w:space="0" w:color="auto"/>
                        <w:right w:val="none" w:sz="0" w:space="0" w:color="auto"/>
                      </w:divBdr>
                      <w:divsChild>
                        <w:div w:id="1059980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0784548">
      <w:bodyDiv w:val="1"/>
      <w:marLeft w:val="0"/>
      <w:marRight w:val="0"/>
      <w:marTop w:val="0"/>
      <w:marBottom w:val="0"/>
      <w:divBdr>
        <w:top w:val="none" w:sz="0" w:space="0" w:color="auto"/>
        <w:left w:val="none" w:sz="0" w:space="0" w:color="auto"/>
        <w:bottom w:val="none" w:sz="0" w:space="0" w:color="auto"/>
        <w:right w:val="none" w:sz="0" w:space="0" w:color="auto"/>
      </w:divBdr>
    </w:div>
    <w:div w:id="102574492">
      <w:bodyDiv w:val="1"/>
      <w:marLeft w:val="0"/>
      <w:marRight w:val="0"/>
      <w:marTop w:val="0"/>
      <w:marBottom w:val="0"/>
      <w:divBdr>
        <w:top w:val="none" w:sz="0" w:space="0" w:color="auto"/>
        <w:left w:val="none" w:sz="0" w:space="0" w:color="auto"/>
        <w:bottom w:val="none" w:sz="0" w:space="0" w:color="auto"/>
        <w:right w:val="none" w:sz="0" w:space="0" w:color="auto"/>
      </w:divBdr>
    </w:div>
    <w:div w:id="124079014">
      <w:bodyDiv w:val="1"/>
      <w:marLeft w:val="0"/>
      <w:marRight w:val="0"/>
      <w:marTop w:val="0"/>
      <w:marBottom w:val="0"/>
      <w:divBdr>
        <w:top w:val="none" w:sz="0" w:space="0" w:color="auto"/>
        <w:left w:val="none" w:sz="0" w:space="0" w:color="auto"/>
        <w:bottom w:val="none" w:sz="0" w:space="0" w:color="auto"/>
        <w:right w:val="none" w:sz="0" w:space="0" w:color="auto"/>
      </w:divBdr>
    </w:div>
    <w:div w:id="127208210">
      <w:bodyDiv w:val="1"/>
      <w:marLeft w:val="0"/>
      <w:marRight w:val="0"/>
      <w:marTop w:val="0"/>
      <w:marBottom w:val="0"/>
      <w:divBdr>
        <w:top w:val="none" w:sz="0" w:space="0" w:color="auto"/>
        <w:left w:val="none" w:sz="0" w:space="0" w:color="auto"/>
        <w:bottom w:val="none" w:sz="0" w:space="0" w:color="auto"/>
        <w:right w:val="none" w:sz="0" w:space="0" w:color="auto"/>
      </w:divBdr>
    </w:div>
    <w:div w:id="146825606">
      <w:bodyDiv w:val="1"/>
      <w:marLeft w:val="0"/>
      <w:marRight w:val="0"/>
      <w:marTop w:val="0"/>
      <w:marBottom w:val="0"/>
      <w:divBdr>
        <w:top w:val="none" w:sz="0" w:space="0" w:color="auto"/>
        <w:left w:val="none" w:sz="0" w:space="0" w:color="auto"/>
        <w:bottom w:val="none" w:sz="0" w:space="0" w:color="auto"/>
        <w:right w:val="none" w:sz="0" w:space="0" w:color="auto"/>
      </w:divBdr>
    </w:div>
    <w:div w:id="163666300">
      <w:bodyDiv w:val="1"/>
      <w:marLeft w:val="0"/>
      <w:marRight w:val="0"/>
      <w:marTop w:val="0"/>
      <w:marBottom w:val="0"/>
      <w:divBdr>
        <w:top w:val="none" w:sz="0" w:space="0" w:color="auto"/>
        <w:left w:val="none" w:sz="0" w:space="0" w:color="auto"/>
        <w:bottom w:val="none" w:sz="0" w:space="0" w:color="auto"/>
        <w:right w:val="none" w:sz="0" w:space="0" w:color="auto"/>
      </w:divBdr>
    </w:div>
    <w:div w:id="165947953">
      <w:bodyDiv w:val="1"/>
      <w:marLeft w:val="0"/>
      <w:marRight w:val="0"/>
      <w:marTop w:val="0"/>
      <w:marBottom w:val="0"/>
      <w:divBdr>
        <w:top w:val="none" w:sz="0" w:space="0" w:color="auto"/>
        <w:left w:val="none" w:sz="0" w:space="0" w:color="auto"/>
        <w:bottom w:val="none" w:sz="0" w:space="0" w:color="auto"/>
        <w:right w:val="none" w:sz="0" w:space="0" w:color="auto"/>
      </w:divBdr>
    </w:div>
    <w:div w:id="166986358">
      <w:bodyDiv w:val="1"/>
      <w:marLeft w:val="0"/>
      <w:marRight w:val="0"/>
      <w:marTop w:val="0"/>
      <w:marBottom w:val="0"/>
      <w:divBdr>
        <w:top w:val="none" w:sz="0" w:space="0" w:color="auto"/>
        <w:left w:val="none" w:sz="0" w:space="0" w:color="auto"/>
        <w:bottom w:val="none" w:sz="0" w:space="0" w:color="auto"/>
        <w:right w:val="none" w:sz="0" w:space="0" w:color="auto"/>
      </w:divBdr>
    </w:div>
    <w:div w:id="167717739">
      <w:bodyDiv w:val="1"/>
      <w:marLeft w:val="0"/>
      <w:marRight w:val="0"/>
      <w:marTop w:val="0"/>
      <w:marBottom w:val="0"/>
      <w:divBdr>
        <w:top w:val="none" w:sz="0" w:space="0" w:color="auto"/>
        <w:left w:val="none" w:sz="0" w:space="0" w:color="auto"/>
        <w:bottom w:val="none" w:sz="0" w:space="0" w:color="auto"/>
        <w:right w:val="none" w:sz="0" w:space="0" w:color="auto"/>
      </w:divBdr>
    </w:div>
    <w:div w:id="215238411">
      <w:bodyDiv w:val="1"/>
      <w:marLeft w:val="0"/>
      <w:marRight w:val="0"/>
      <w:marTop w:val="0"/>
      <w:marBottom w:val="0"/>
      <w:divBdr>
        <w:top w:val="none" w:sz="0" w:space="0" w:color="auto"/>
        <w:left w:val="none" w:sz="0" w:space="0" w:color="auto"/>
        <w:bottom w:val="none" w:sz="0" w:space="0" w:color="auto"/>
        <w:right w:val="none" w:sz="0" w:space="0" w:color="auto"/>
      </w:divBdr>
    </w:div>
    <w:div w:id="221523862">
      <w:bodyDiv w:val="1"/>
      <w:marLeft w:val="0"/>
      <w:marRight w:val="0"/>
      <w:marTop w:val="0"/>
      <w:marBottom w:val="0"/>
      <w:divBdr>
        <w:top w:val="none" w:sz="0" w:space="0" w:color="auto"/>
        <w:left w:val="none" w:sz="0" w:space="0" w:color="auto"/>
        <w:bottom w:val="none" w:sz="0" w:space="0" w:color="auto"/>
        <w:right w:val="none" w:sz="0" w:space="0" w:color="auto"/>
      </w:divBdr>
    </w:div>
    <w:div w:id="245647689">
      <w:bodyDiv w:val="1"/>
      <w:marLeft w:val="0"/>
      <w:marRight w:val="0"/>
      <w:marTop w:val="0"/>
      <w:marBottom w:val="0"/>
      <w:divBdr>
        <w:top w:val="none" w:sz="0" w:space="0" w:color="auto"/>
        <w:left w:val="none" w:sz="0" w:space="0" w:color="auto"/>
        <w:bottom w:val="none" w:sz="0" w:space="0" w:color="auto"/>
        <w:right w:val="none" w:sz="0" w:space="0" w:color="auto"/>
      </w:divBdr>
    </w:div>
    <w:div w:id="252477244">
      <w:bodyDiv w:val="1"/>
      <w:marLeft w:val="0"/>
      <w:marRight w:val="0"/>
      <w:marTop w:val="0"/>
      <w:marBottom w:val="0"/>
      <w:divBdr>
        <w:top w:val="none" w:sz="0" w:space="0" w:color="auto"/>
        <w:left w:val="none" w:sz="0" w:space="0" w:color="auto"/>
        <w:bottom w:val="none" w:sz="0" w:space="0" w:color="auto"/>
        <w:right w:val="none" w:sz="0" w:space="0" w:color="auto"/>
      </w:divBdr>
    </w:div>
    <w:div w:id="263148020">
      <w:bodyDiv w:val="1"/>
      <w:marLeft w:val="0"/>
      <w:marRight w:val="0"/>
      <w:marTop w:val="0"/>
      <w:marBottom w:val="0"/>
      <w:divBdr>
        <w:top w:val="none" w:sz="0" w:space="0" w:color="auto"/>
        <w:left w:val="none" w:sz="0" w:space="0" w:color="auto"/>
        <w:bottom w:val="none" w:sz="0" w:space="0" w:color="auto"/>
        <w:right w:val="none" w:sz="0" w:space="0" w:color="auto"/>
      </w:divBdr>
    </w:div>
    <w:div w:id="338895039">
      <w:bodyDiv w:val="1"/>
      <w:marLeft w:val="0"/>
      <w:marRight w:val="0"/>
      <w:marTop w:val="0"/>
      <w:marBottom w:val="0"/>
      <w:divBdr>
        <w:top w:val="none" w:sz="0" w:space="0" w:color="auto"/>
        <w:left w:val="none" w:sz="0" w:space="0" w:color="auto"/>
        <w:bottom w:val="none" w:sz="0" w:space="0" w:color="auto"/>
        <w:right w:val="none" w:sz="0" w:space="0" w:color="auto"/>
      </w:divBdr>
    </w:div>
    <w:div w:id="357660826">
      <w:bodyDiv w:val="1"/>
      <w:marLeft w:val="0"/>
      <w:marRight w:val="0"/>
      <w:marTop w:val="0"/>
      <w:marBottom w:val="0"/>
      <w:divBdr>
        <w:top w:val="none" w:sz="0" w:space="0" w:color="auto"/>
        <w:left w:val="none" w:sz="0" w:space="0" w:color="auto"/>
        <w:bottom w:val="none" w:sz="0" w:space="0" w:color="auto"/>
        <w:right w:val="none" w:sz="0" w:space="0" w:color="auto"/>
      </w:divBdr>
    </w:div>
    <w:div w:id="366759458">
      <w:bodyDiv w:val="1"/>
      <w:marLeft w:val="0"/>
      <w:marRight w:val="0"/>
      <w:marTop w:val="0"/>
      <w:marBottom w:val="0"/>
      <w:divBdr>
        <w:top w:val="none" w:sz="0" w:space="0" w:color="auto"/>
        <w:left w:val="none" w:sz="0" w:space="0" w:color="auto"/>
        <w:bottom w:val="none" w:sz="0" w:space="0" w:color="auto"/>
        <w:right w:val="none" w:sz="0" w:space="0" w:color="auto"/>
      </w:divBdr>
    </w:div>
    <w:div w:id="422990865">
      <w:bodyDiv w:val="1"/>
      <w:marLeft w:val="0"/>
      <w:marRight w:val="0"/>
      <w:marTop w:val="0"/>
      <w:marBottom w:val="0"/>
      <w:divBdr>
        <w:top w:val="none" w:sz="0" w:space="0" w:color="auto"/>
        <w:left w:val="none" w:sz="0" w:space="0" w:color="auto"/>
        <w:bottom w:val="none" w:sz="0" w:space="0" w:color="auto"/>
        <w:right w:val="none" w:sz="0" w:space="0" w:color="auto"/>
      </w:divBdr>
    </w:div>
    <w:div w:id="431241558">
      <w:bodyDiv w:val="1"/>
      <w:marLeft w:val="0"/>
      <w:marRight w:val="0"/>
      <w:marTop w:val="0"/>
      <w:marBottom w:val="0"/>
      <w:divBdr>
        <w:top w:val="none" w:sz="0" w:space="0" w:color="auto"/>
        <w:left w:val="none" w:sz="0" w:space="0" w:color="auto"/>
        <w:bottom w:val="none" w:sz="0" w:space="0" w:color="auto"/>
        <w:right w:val="none" w:sz="0" w:space="0" w:color="auto"/>
      </w:divBdr>
    </w:div>
    <w:div w:id="451242372">
      <w:bodyDiv w:val="1"/>
      <w:marLeft w:val="0"/>
      <w:marRight w:val="0"/>
      <w:marTop w:val="0"/>
      <w:marBottom w:val="0"/>
      <w:divBdr>
        <w:top w:val="none" w:sz="0" w:space="0" w:color="auto"/>
        <w:left w:val="none" w:sz="0" w:space="0" w:color="auto"/>
        <w:bottom w:val="none" w:sz="0" w:space="0" w:color="auto"/>
        <w:right w:val="none" w:sz="0" w:space="0" w:color="auto"/>
      </w:divBdr>
    </w:div>
    <w:div w:id="457916219">
      <w:bodyDiv w:val="1"/>
      <w:marLeft w:val="0"/>
      <w:marRight w:val="0"/>
      <w:marTop w:val="0"/>
      <w:marBottom w:val="0"/>
      <w:divBdr>
        <w:top w:val="none" w:sz="0" w:space="0" w:color="auto"/>
        <w:left w:val="none" w:sz="0" w:space="0" w:color="auto"/>
        <w:bottom w:val="none" w:sz="0" w:space="0" w:color="auto"/>
        <w:right w:val="none" w:sz="0" w:space="0" w:color="auto"/>
      </w:divBdr>
    </w:div>
    <w:div w:id="468403279">
      <w:bodyDiv w:val="1"/>
      <w:marLeft w:val="0"/>
      <w:marRight w:val="0"/>
      <w:marTop w:val="0"/>
      <w:marBottom w:val="0"/>
      <w:divBdr>
        <w:top w:val="none" w:sz="0" w:space="0" w:color="auto"/>
        <w:left w:val="none" w:sz="0" w:space="0" w:color="auto"/>
        <w:bottom w:val="none" w:sz="0" w:space="0" w:color="auto"/>
        <w:right w:val="none" w:sz="0" w:space="0" w:color="auto"/>
      </w:divBdr>
    </w:div>
    <w:div w:id="493492433">
      <w:bodyDiv w:val="1"/>
      <w:marLeft w:val="0"/>
      <w:marRight w:val="0"/>
      <w:marTop w:val="0"/>
      <w:marBottom w:val="0"/>
      <w:divBdr>
        <w:top w:val="none" w:sz="0" w:space="0" w:color="auto"/>
        <w:left w:val="none" w:sz="0" w:space="0" w:color="auto"/>
        <w:bottom w:val="none" w:sz="0" w:space="0" w:color="auto"/>
        <w:right w:val="none" w:sz="0" w:space="0" w:color="auto"/>
      </w:divBdr>
    </w:div>
    <w:div w:id="501629245">
      <w:bodyDiv w:val="1"/>
      <w:marLeft w:val="0"/>
      <w:marRight w:val="0"/>
      <w:marTop w:val="0"/>
      <w:marBottom w:val="0"/>
      <w:divBdr>
        <w:top w:val="none" w:sz="0" w:space="0" w:color="auto"/>
        <w:left w:val="none" w:sz="0" w:space="0" w:color="auto"/>
        <w:bottom w:val="none" w:sz="0" w:space="0" w:color="auto"/>
        <w:right w:val="none" w:sz="0" w:space="0" w:color="auto"/>
      </w:divBdr>
    </w:div>
    <w:div w:id="513568602">
      <w:bodyDiv w:val="1"/>
      <w:marLeft w:val="0"/>
      <w:marRight w:val="0"/>
      <w:marTop w:val="0"/>
      <w:marBottom w:val="0"/>
      <w:divBdr>
        <w:top w:val="none" w:sz="0" w:space="0" w:color="auto"/>
        <w:left w:val="none" w:sz="0" w:space="0" w:color="auto"/>
        <w:bottom w:val="none" w:sz="0" w:space="0" w:color="auto"/>
        <w:right w:val="none" w:sz="0" w:space="0" w:color="auto"/>
      </w:divBdr>
    </w:div>
    <w:div w:id="532884536">
      <w:bodyDiv w:val="1"/>
      <w:marLeft w:val="0"/>
      <w:marRight w:val="0"/>
      <w:marTop w:val="0"/>
      <w:marBottom w:val="0"/>
      <w:divBdr>
        <w:top w:val="none" w:sz="0" w:space="0" w:color="auto"/>
        <w:left w:val="none" w:sz="0" w:space="0" w:color="auto"/>
        <w:bottom w:val="none" w:sz="0" w:space="0" w:color="auto"/>
        <w:right w:val="none" w:sz="0" w:space="0" w:color="auto"/>
      </w:divBdr>
    </w:div>
    <w:div w:id="646251656">
      <w:bodyDiv w:val="1"/>
      <w:marLeft w:val="0"/>
      <w:marRight w:val="0"/>
      <w:marTop w:val="0"/>
      <w:marBottom w:val="0"/>
      <w:divBdr>
        <w:top w:val="none" w:sz="0" w:space="0" w:color="auto"/>
        <w:left w:val="none" w:sz="0" w:space="0" w:color="auto"/>
        <w:bottom w:val="none" w:sz="0" w:space="0" w:color="auto"/>
        <w:right w:val="none" w:sz="0" w:space="0" w:color="auto"/>
      </w:divBdr>
    </w:div>
    <w:div w:id="647436425">
      <w:bodyDiv w:val="1"/>
      <w:marLeft w:val="0"/>
      <w:marRight w:val="0"/>
      <w:marTop w:val="0"/>
      <w:marBottom w:val="0"/>
      <w:divBdr>
        <w:top w:val="none" w:sz="0" w:space="0" w:color="auto"/>
        <w:left w:val="none" w:sz="0" w:space="0" w:color="auto"/>
        <w:bottom w:val="none" w:sz="0" w:space="0" w:color="auto"/>
        <w:right w:val="none" w:sz="0" w:space="0" w:color="auto"/>
      </w:divBdr>
    </w:div>
    <w:div w:id="672027022">
      <w:bodyDiv w:val="1"/>
      <w:marLeft w:val="0"/>
      <w:marRight w:val="0"/>
      <w:marTop w:val="0"/>
      <w:marBottom w:val="0"/>
      <w:divBdr>
        <w:top w:val="none" w:sz="0" w:space="0" w:color="auto"/>
        <w:left w:val="none" w:sz="0" w:space="0" w:color="auto"/>
        <w:bottom w:val="none" w:sz="0" w:space="0" w:color="auto"/>
        <w:right w:val="none" w:sz="0" w:space="0" w:color="auto"/>
      </w:divBdr>
    </w:div>
    <w:div w:id="681207527">
      <w:bodyDiv w:val="1"/>
      <w:marLeft w:val="0"/>
      <w:marRight w:val="0"/>
      <w:marTop w:val="0"/>
      <w:marBottom w:val="0"/>
      <w:divBdr>
        <w:top w:val="none" w:sz="0" w:space="0" w:color="auto"/>
        <w:left w:val="none" w:sz="0" w:space="0" w:color="auto"/>
        <w:bottom w:val="none" w:sz="0" w:space="0" w:color="auto"/>
        <w:right w:val="none" w:sz="0" w:space="0" w:color="auto"/>
      </w:divBdr>
    </w:div>
    <w:div w:id="695499344">
      <w:bodyDiv w:val="1"/>
      <w:marLeft w:val="0"/>
      <w:marRight w:val="0"/>
      <w:marTop w:val="0"/>
      <w:marBottom w:val="0"/>
      <w:divBdr>
        <w:top w:val="none" w:sz="0" w:space="0" w:color="auto"/>
        <w:left w:val="none" w:sz="0" w:space="0" w:color="auto"/>
        <w:bottom w:val="none" w:sz="0" w:space="0" w:color="auto"/>
        <w:right w:val="none" w:sz="0" w:space="0" w:color="auto"/>
      </w:divBdr>
      <w:divsChild>
        <w:div w:id="34545407">
          <w:marLeft w:val="547"/>
          <w:marRight w:val="0"/>
          <w:marTop w:val="0"/>
          <w:marBottom w:val="0"/>
          <w:divBdr>
            <w:top w:val="none" w:sz="0" w:space="0" w:color="auto"/>
            <w:left w:val="none" w:sz="0" w:space="0" w:color="auto"/>
            <w:bottom w:val="none" w:sz="0" w:space="0" w:color="auto"/>
            <w:right w:val="none" w:sz="0" w:space="0" w:color="auto"/>
          </w:divBdr>
        </w:div>
      </w:divsChild>
    </w:div>
    <w:div w:id="746197366">
      <w:bodyDiv w:val="1"/>
      <w:marLeft w:val="0"/>
      <w:marRight w:val="0"/>
      <w:marTop w:val="0"/>
      <w:marBottom w:val="0"/>
      <w:divBdr>
        <w:top w:val="none" w:sz="0" w:space="0" w:color="auto"/>
        <w:left w:val="none" w:sz="0" w:space="0" w:color="auto"/>
        <w:bottom w:val="none" w:sz="0" w:space="0" w:color="auto"/>
        <w:right w:val="none" w:sz="0" w:space="0" w:color="auto"/>
      </w:divBdr>
    </w:div>
    <w:div w:id="768233440">
      <w:bodyDiv w:val="1"/>
      <w:marLeft w:val="0"/>
      <w:marRight w:val="0"/>
      <w:marTop w:val="0"/>
      <w:marBottom w:val="0"/>
      <w:divBdr>
        <w:top w:val="none" w:sz="0" w:space="0" w:color="auto"/>
        <w:left w:val="none" w:sz="0" w:space="0" w:color="auto"/>
        <w:bottom w:val="none" w:sz="0" w:space="0" w:color="auto"/>
        <w:right w:val="none" w:sz="0" w:space="0" w:color="auto"/>
      </w:divBdr>
    </w:div>
    <w:div w:id="798718863">
      <w:bodyDiv w:val="1"/>
      <w:marLeft w:val="0"/>
      <w:marRight w:val="0"/>
      <w:marTop w:val="0"/>
      <w:marBottom w:val="0"/>
      <w:divBdr>
        <w:top w:val="none" w:sz="0" w:space="0" w:color="auto"/>
        <w:left w:val="none" w:sz="0" w:space="0" w:color="auto"/>
        <w:bottom w:val="none" w:sz="0" w:space="0" w:color="auto"/>
        <w:right w:val="none" w:sz="0" w:space="0" w:color="auto"/>
      </w:divBdr>
    </w:div>
    <w:div w:id="834807572">
      <w:bodyDiv w:val="1"/>
      <w:marLeft w:val="0"/>
      <w:marRight w:val="0"/>
      <w:marTop w:val="0"/>
      <w:marBottom w:val="0"/>
      <w:divBdr>
        <w:top w:val="none" w:sz="0" w:space="0" w:color="auto"/>
        <w:left w:val="none" w:sz="0" w:space="0" w:color="auto"/>
        <w:bottom w:val="none" w:sz="0" w:space="0" w:color="auto"/>
        <w:right w:val="none" w:sz="0" w:space="0" w:color="auto"/>
      </w:divBdr>
    </w:div>
    <w:div w:id="865220641">
      <w:bodyDiv w:val="1"/>
      <w:marLeft w:val="0"/>
      <w:marRight w:val="0"/>
      <w:marTop w:val="0"/>
      <w:marBottom w:val="0"/>
      <w:divBdr>
        <w:top w:val="none" w:sz="0" w:space="0" w:color="auto"/>
        <w:left w:val="none" w:sz="0" w:space="0" w:color="auto"/>
        <w:bottom w:val="none" w:sz="0" w:space="0" w:color="auto"/>
        <w:right w:val="none" w:sz="0" w:space="0" w:color="auto"/>
      </w:divBdr>
    </w:div>
    <w:div w:id="868299399">
      <w:bodyDiv w:val="1"/>
      <w:marLeft w:val="0"/>
      <w:marRight w:val="0"/>
      <w:marTop w:val="0"/>
      <w:marBottom w:val="0"/>
      <w:divBdr>
        <w:top w:val="none" w:sz="0" w:space="0" w:color="auto"/>
        <w:left w:val="none" w:sz="0" w:space="0" w:color="auto"/>
        <w:bottom w:val="none" w:sz="0" w:space="0" w:color="auto"/>
        <w:right w:val="none" w:sz="0" w:space="0" w:color="auto"/>
      </w:divBdr>
    </w:div>
    <w:div w:id="882058575">
      <w:bodyDiv w:val="1"/>
      <w:marLeft w:val="0"/>
      <w:marRight w:val="0"/>
      <w:marTop w:val="0"/>
      <w:marBottom w:val="0"/>
      <w:divBdr>
        <w:top w:val="none" w:sz="0" w:space="0" w:color="auto"/>
        <w:left w:val="none" w:sz="0" w:space="0" w:color="auto"/>
        <w:bottom w:val="none" w:sz="0" w:space="0" w:color="auto"/>
        <w:right w:val="none" w:sz="0" w:space="0" w:color="auto"/>
      </w:divBdr>
    </w:div>
    <w:div w:id="897715211">
      <w:bodyDiv w:val="1"/>
      <w:marLeft w:val="0"/>
      <w:marRight w:val="0"/>
      <w:marTop w:val="0"/>
      <w:marBottom w:val="0"/>
      <w:divBdr>
        <w:top w:val="none" w:sz="0" w:space="0" w:color="auto"/>
        <w:left w:val="none" w:sz="0" w:space="0" w:color="auto"/>
        <w:bottom w:val="none" w:sz="0" w:space="0" w:color="auto"/>
        <w:right w:val="none" w:sz="0" w:space="0" w:color="auto"/>
      </w:divBdr>
    </w:div>
    <w:div w:id="899484534">
      <w:bodyDiv w:val="1"/>
      <w:marLeft w:val="0"/>
      <w:marRight w:val="0"/>
      <w:marTop w:val="0"/>
      <w:marBottom w:val="0"/>
      <w:divBdr>
        <w:top w:val="none" w:sz="0" w:space="0" w:color="auto"/>
        <w:left w:val="none" w:sz="0" w:space="0" w:color="auto"/>
        <w:bottom w:val="none" w:sz="0" w:space="0" w:color="auto"/>
        <w:right w:val="none" w:sz="0" w:space="0" w:color="auto"/>
      </w:divBdr>
    </w:div>
    <w:div w:id="918364870">
      <w:bodyDiv w:val="1"/>
      <w:marLeft w:val="0"/>
      <w:marRight w:val="0"/>
      <w:marTop w:val="0"/>
      <w:marBottom w:val="0"/>
      <w:divBdr>
        <w:top w:val="none" w:sz="0" w:space="0" w:color="auto"/>
        <w:left w:val="none" w:sz="0" w:space="0" w:color="auto"/>
        <w:bottom w:val="none" w:sz="0" w:space="0" w:color="auto"/>
        <w:right w:val="none" w:sz="0" w:space="0" w:color="auto"/>
      </w:divBdr>
    </w:div>
    <w:div w:id="939870570">
      <w:bodyDiv w:val="1"/>
      <w:marLeft w:val="0"/>
      <w:marRight w:val="0"/>
      <w:marTop w:val="0"/>
      <w:marBottom w:val="0"/>
      <w:divBdr>
        <w:top w:val="none" w:sz="0" w:space="0" w:color="auto"/>
        <w:left w:val="none" w:sz="0" w:space="0" w:color="auto"/>
        <w:bottom w:val="none" w:sz="0" w:space="0" w:color="auto"/>
        <w:right w:val="none" w:sz="0" w:space="0" w:color="auto"/>
      </w:divBdr>
    </w:div>
    <w:div w:id="955671975">
      <w:bodyDiv w:val="1"/>
      <w:marLeft w:val="0"/>
      <w:marRight w:val="0"/>
      <w:marTop w:val="0"/>
      <w:marBottom w:val="0"/>
      <w:divBdr>
        <w:top w:val="none" w:sz="0" w:space="0" w:color="auto"/>
        <w:left w:val="none" w:sz="0" w:space="0" w:color="auto"/>
        <w:bottom w:val="none" w:sz="0" w:space="0" w:color="auto"/>
        <w:right w:val="none" w:sz="0" w:space="0" w:color="auto"/>
      </w:divBdr>
    </w:div>
    <w:div w:id="984893040">
      <w:bodyDiv w:val="1"/>
      <w:marLeft w:val="0"/>
      <w:marRight w:val="0"/>
      <w:marTop w:val="0"/>
      <w:marBottom w:val="0"/>
      <w:divBdr>
        <w:top w:val="none" w:sz="0" w:space="0" w:color="auto"/>
        <w:left w:val="none" w:sz="0" w:space="0" w:color="auto"/>
        <w:bottom w:val="none" w:sz="0" w:space="0" w:color="auto"/>
        <w:right w:val="none" w:sz="0" w:space="0" w:color="auto"/>
      </w:divBdr>
    </w:div>
    <w:div w:id="994063709">
      <w:bodyDiv w:val="1"/>
      <w:marLeft w:val="0"/>
      <w:marRight w:val="0"/>
      <w:marTop w:val="0"/>
      <w:marBottom w:val="0"/>
      <w:divBdr>
        <w:top w:val="none" w:sz="0" w:space="0" w:color="auto"/>
        <w:left w:val="none" w:sz="0" w:space="0" w:color="auto"/>
        <w:bottom w:val="none" w:sz="0" w:space="0" w:color="auto"/>
        <w:right w:val="none" w:sz="0" w:space="0" w:color="auto"/>
      </w:divBdr>
    </w:div>
    <w:div w:id="1010058570">
      <w:bodyDiv w:val="1"/>
      <w:marLeft w:val="0"/>
      <w:marRight w:val="0"/>
      <w:marTop w:val="0"/>
      <w:marBottom w:val="0"/>
      <w:divBdr>
        <w:top w:val="none" w:sz="0" w:space="0" w:color="auto"/>
        <w:left w:val="none" w:sz="0" w:space="0" w:color="auto"/>
        <w:bottom w:val="none" w:sz="0" w:space="0" w:color="auto"/>
        <w:right w:val="none" w:sz="0" w:space="0" w:color="auto"/>
      </w:divBdr>
    </w:div>
    <w:div w:id="1056978055">
      <w:bodyDiv w:val="1"/>
      <w:marLeft w:val="0"/>
      <w:marRight w:val="0"/>
      <w:marTop w:val="0"/>
      <w:marBottom w:val="0"/>
      <w:divBdr>
        <w:top w:val="none" w:sz="0" w:space="0" w:color="auto"/>
        <w:left w:val="none" w:sz="0" w:space="0" w:color="auto"/>
        <w:bottom w:val="none" w:sz="0" w:space="0" w:color="auto"/>
        <w:right w:val="none" w:sz="0" w:space="0" w:color="auto"/>
      </w:divBdr>
    </w:div>
    <w:div w:id="1061563174">
      <w:bodyDiv w:val="1"/>
      <w:marLeft w:val="0"/>
      <w:marRight w:val="0"/>
      <w:marTop w:val="0"/>
      <w:marBottom w:val="0"/>
      <w:divBdr>
        <w:top w:val="none" w:sz="0" w:space="0" w:color="auto"/>
        <w:left w:val="none" w:sz="0" w:space="0" w:color="auto"/>
        <w:bottom w:val="none" w:sz="0" w:space="0" w:color="auto"/>
        <w:right w:val="none" w:sz="0" w:space="0" w:color="auto"/>
      </w:divBdr>
    </w:div>
    <w:div w:id="1066368791">
      <w:bodyDiv w:val="1"/>
      <w:marLeft w:val="0"/>
      <w:marRight w:val="0"/>
      <w:marTop w:val="0"/>
      <w:marBottom w:val="0"/>
      <w:divBdr>
        <w:top w:val="none" w:sz="0" w:space="0" w:color="auto"/>
        <w:left w:val="none" w:sz="0" w:space="0" w:color="auto"/>
        <w:bottom w:val="none" w:sz="0" w:space="0" w:color="auto"/>
        <w:right w:val="none" w:sz="0" w:space="0" w:color="auto"/>
      </w:divBdr>
    </w:div>
    <w:div w:id="1101611783">
      <w:bodyDiv w:val="1"/>
      <w:marLeft w:val="0"/>
      <w:marRight w:val="0"/>
      <w:marTop w:val="0"/>
      <w:marBottom w:val="0"/>
      <w:divBdr>
        <w:top w:val="none" w:sz="0" w:space="0" w:color="auto"/>
        <w:left w:val="none" w:sz="0" w:space="0" w:color="auto"/>
        <w:bottom w:val="none" w:sz="0" w:space="0" w:color="auto"/>
        <w:right w:val="none" w:sz="0" w:space="0" w:color="auto"/>
      </w:divBdr>
    </w:div>
    <w:div w:id="1113403943">
      <w:bodyDiv w:val="1"/>
      <w:marLeft w:val="0"/>
      <w:marRight w:val="0"/>
      <w:marTop w:val="0"/>
      <w:marBottom w:val="0"/>
      <w:divBdr>
        <w:top w:val="none" w:sz="0" w:space="0" w:color="auto"/>
        <w:left w:val="none" w:sz="0" w:space="0" w:color="auto"/>
        <w:bottom w:val="none" w:sz="0" w:space="0" w:color="auto"/>
        <w:right w:val="none" w:sz="0" w:space="0" w:color="auto"/>
      </w:divBdr>
    </w:div>
    <w:div w:id="1144935346">
      <w:bodyDiv w:val="1"/>
      <w:marLeft w:val="0"/>
      <w:marRight w:val="0"/>
      <w:marTop w:val="0"/>
      <w:marBottom w:val="0"/>
      <w:divBdr>
        <w:top w:val="none" w:sz="0" w:space="0" w:color="auto"/>
        <w:left w:val="none" w:sz="0" w:space="0" w:color="auto"/>
        <w:bottom w:val="none" w:sz="0" w:space="0" w:color="auto"/>
        <w:right w:val="none" w:sz="0" w:space="0" w:color="auto"/>
      </w:divBdr>
    </w:div>
    <w:div w:id="1240404727">
      <w:bodyDiv w:val="1"/>
      <w:marLeft w:val="0"/>
      <w:marRight w:val="0"/>
      <w:marTop w:val="0"/>
      <w:marBottom w:val="0"/>
      <w:divBdr>
        <w:top w:val="none" w:sz="0" w:space="0" w:color="auto"/>
        <w:left w:val="none" w:sz="0" w:space="0" w:color="auto"/>
        <w:bottom w:val="none" w:sz="0" w:space="0" w:color="auto"/>
        <w:right w:val="none" w:sz="0" w:space="0" w:color="auto"/>
      </w:divBdr>
    </w:div>
    <w:div w:id="1269002896">
      <w:bodyDiv w:val="1"/>
      <w:marLeft w:val="0"/>
      <w:marRight w:val="0"/>
      <w:marTop w:val="0"/>
      <w:marBottom w:val="0"/>
      <w:divBdr>
        <w:top w:val="none" w:sz="0" w:space="0" w:color="auto"/>
        <w:left w:val="none" w:sz="0" w:space="0" w:color="auto"/>
        <w:bottom w:val="none" w:sz="0" w:space="0" w:color="auto"/>
        <w:right w:val="none" w:sz="0" w:space="0" w:color="auto"/>
      </w:divBdr>
    </w:div>
    <w:div w:id="1295017897">
      <w:bodyDiv w:val="1"/>
      <w:marLeft w:val="0"/>
      <w:marRight w:val="0"/>
      <w:marTop w:val="0"/>
      <w:marBottom w:val="0"/>
      <w:divBdr>
        <w:top w:val="none" w:sz="0" w:space="0" w:color="auto"/>
        <w:left w:val="none" w:sz="0" w:space="0" w:color="auto"/>
        <w:bottom w:val="none" w:sz="0" w:space="0" w:color="auto"/>
        <w:right w:val="none" w:sz="0" w:space="0" w:color="auto"/>
      </w:divBdr>
      <w:divsChild>
        <w:div w:id="975526590">
          <w:marLeft w:val="0"/>
          <w:marRight w:val="0"/>
          <w:marTop w:val="0"/>
          <w:marBottom w:val="0"/>
          <w:divBdr>
            <w:top w:val="none" w:sz="0" w:space="0" w:color="auto"/>
            <w:left w:val="none" w:sz="0" w:space="0" w:color="auto"/>
            <w:bottom w:val="none" w:sz="0" w:space="0" w:color="auto"/>
            <w:right w:val="none" w:sz="0" w:space="0" w:color="auto"/>
          </w:divBdr>
          <w:divsChild>
            <w:div w:id="714739171">
              <w:marLeft w:val="0"/>
              <w:marRight w:val="0"/>
              <w:marTop w:val="0"/>
              <w:marBottom w:val="0"/>
              <w:divBdr>
                <w:top w:val="none" w:sz="0" w:space="0" w:color="auto"/>
                <w:left w:val="none" w:sz="0" w:space="0" w:color="auto"/>
                <w:bottom w:val="none" w:sz="0" w:space="0" w:color="auto"/>
                <w:right w:val="none" w:sz="0" w:space="0" w:color="auto"/>
              </w:divBdr>
              <w:divsChild>
                <w:div w:id="1073626164">
                  <w:marLeft w:val="0"/>
                  <w:marRight w:val="0"/>
                  <w:marTop w:val="0"/>
                  <w:marBottom w:val="0"/>
                  <w:divBdr>
                    <w:top w:val="none" w:sz="0" w:space="0" w:color="auto"/>
                    <w:left w:val="none" w:sz="0" w:space="0" w:color="auto"/>
                    <w:bottom w:val="none" w:sz="0" w:space="0" w:color="auto"/>
                    <w:right w:val="none" w:sz="0" w:space="0" w:color="auto"/>
                  </w:divBdr>
                  <w:divsChild>
                    <w:div w:id="39332532">
                      <w:marLeft w:val="0"/>
                      <w:marRight w:val="0"/>
                      <w:marTop w:val="0"/>
                      <w:marBottom w:val="0"/>
                      <w:divBdr>
                        <w:top w:val="none" w:sz="0" w:space="0" w:color="auto"/>
                        <w:left w:val="none" w:sz="0" w:space="0" w:color="auto"/>
                        <w:bottom w:val="none" w:sz="0" w:space="0" w:color="auto"/>
                        <w:right w:val="none" w:sz="0" w:space="0" w:color="auto"/>
                      </w:divBdr>
                      <w:divsChild>
                        <w:div w:id="2087025899">
                          <w:marLeft w:val="0"/>
                          <w:marRight w:val="0"/>
                          <w:marTop w:val="0"/>
                          <w:marBottom w:val="0"/>
                          <w:divBdr>
                            <w:top w:val="none" w:sz="0" w:space="0" w:color="auto"/>
                            <w:left w:val="none" w:sz="0" w:space="0" w:color="auto"/>
                            <w:bottom w:val="none" w:sz="0" w:space="0" w:color="auto"/>
                            <w:right w:val="none" w:sz="0" w:space="0" w:color="auto"/>
                          </w:divBdr>
                          <w:divsChild>
                            <w:div w:id="1178232198">
                              <w:marLeft w:val="0"/>
                              <w:marRight w:val="0"/>
                              <w:marTop w:val="0"/>
                              <w:marBottom w:val="0"/>
                              <w:divBdr>
                                <w:top w:val="none" w:sz="0" w:space="0" w:color="auto"/>
                                <w:left w:val="none" w:sz="0" w:space="0" w:color="auto"/>
                                <w:bottom w:val="none" w:sz="0" w:space="0" w:color="auto"/>
                                <w:right w:val="none" w:sz="0" w:space="0" w:color="auto"/>
                              </w:divBdr>
                              <w:divsChild>
                                <w:div w:id="1674262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08898507">
      <w:bodyDiv w:val="1"/>
      <w:marLeft w:val="0"/>
      <w:marRight w:val="0"/>
      <w:marTop w:val="0"/>
      <w:marBottom w:val="0"/>
      <w:divBdr>
        <w:top w:val="none" w:sz="0" w:space="0" w:color="auto"/>
        <w:left w:val="none" w:sz="0" w:space="0" w:color="auto"/>
        <w:bottom w:val="none" w:sz="0" w:space="0" w:color="auto"/>
        <w:right w:val="none" w:sz="0" w:space="0" w:color="auto"/>
      </w:divBdr>
    </w:div>
    <w:div w:id="1310670285">
      <w:bodyDiv w:val="1"/>
      <w:marLeft w:val="0"/>
      <w:marRight w:val="0"/>
      <w:marTop w:val="0"/>
      <w:marBottom w:val="0"/>
      <w:divBdr>
        <w:top w:val="none" w:sz="0" w:space="0" w:color="auto"/>
        <w:left w:val="none" w:sz="0" w:space="0" w:color="auto"/>
        <w:bottom w:val="none" w:sz="0" w:space="0" w:color="auto"/>
        <w:right w:val="none" w:sz="0" w:space="0" w:color="auto"/>
      </w:divBdr>
    </w:div>
    <w:div w:id="1314144584">
      <w:bodyDiv w:val="1"/>
      <w:marLeft w:val="0"/>
      <w:marRight w:val="0"/>
      <w:marTop w:val="0"/>
      <w:marBottom w:val="0"/>
      <w:divBdr>
        <w:top w:val="none" w:sz="0" w:space="0" w:color="auto"/>
        <w:left w:val="none" w:sz="0" w:space="0" w:color="auto"/>
        <w:bottom w:val="none" w:sz="0" w:space="0" w:color="auto"/>
        <w:right w:val="none" w:sz="0" w:space="0" w:color="auto"/>
      </w:divBdr>
    </w:div>
    <w:div w:id="1320187251">
      <w:bodyDiv w:val="1"/>
      <w:marLeft w:val="0"/>
      <w:marRight w:val="0"/>
      <w:marTop w:val="0"/>
      <w:marBottom w:val="0"/>
      <w:divBdr>
        <w:top w:val="none" w:sz="0" w:space="0" w:color="auto"/>
        <w:left w:val="none" w:sz="0" w:space="0" w:color="auto"/>
        <w:bottom w:val="none" w:sz="0" w:space="0" w:color="auto"/>
        <w:right w:val="none" w:sz="0" w:space="0" w:color="auto"/>
      </w:divBdr>
    </w:div>
    <w:div w:id="1336807693">
      <w:bodyDiv w:val="1"/>
      <w:marLeft w:val="0"/>
      <w:marRight w:val="0"/>
      <w:marTop w:val="0"/>
      <w:marBottom w:val="0"/>
      <w:divBdr>
        <w:top w:val="none" w:sz="0" w:space="0" w:color="auto"/>
        <w:left w:val="none" w:sz="0" w:space="0" w:color="auto"/>
        <w:bottom w:val="none" w:sz="0" w:space="0" w:color="auto"/>
        <w:right w:val="none" w:sz="0" w:space="0" w:color="auto"/>
      </w:divBdr>
    </w:div>
    <w:div w:id="1441148969">
      <w:bodyDiv w:val="1"/>
      <w:marLeft w:val="0"/>
      <w:marRight w:val="0"/>
      <w:marTop w:val="0"/>
      <w:marBottom w:val="0"/>
      <w:divBdr>
        <w:top w:val="none" w:sz="0" w:space="0" w:color="auto"/>
        <w:left w:val="none" w:sz="0" w:space="0" w:color="auto"/>
        <w:bottom w:val="none" w:sz="0" w:space="0" w:color="auto"/>
        <w:right w:val="none" w:sz="0" w:space="0" w:color="auto"/>
      </w:divBdr>
    </w:div>
    <w:div w:id="1456488667">
      <w:bodyDiv w:val="1"/>
      <w:marLeft w:val="0"/>
      <w:marRight w:val="0"/>
      <w:marTop w:val="0"/>
      <w:marBottom w:val="0"/>
      <w:divBdr>
        <w:top w:val="none" w:sz="0" w:space="0" w:color="auto"/>
        <w:left w:val="none" w:sz="0" w:space="0" w:color="auto"/>
        <w:bottom w:val="none" w:sz="0" w:space="0" w:color="auto"/>
        <w:right w:val="none" w:sz="0" w:space="0" w:color="auto"/>
      </w:divBdr>
    </w:div>
    <w:div w:id="1466314597">
      <w:bodyDiv w:val="1"/>
      <w:marLeft w:val="0"/>
      <w:marRight w:val="0"/>
      <w:marTop w:val="0"/>
      <w:marBottom w:val="0"/>
      <w:divBdr>
        <w:top w:val="none" w:sz="0" w:space="0" w:color="auto"/>
        <w:left w:val="none" w:sz="0" w:space="0" w:color="auto"/>
        <w:bottom w:val="none" w:sz="0" w:space="0" w:color="auto"/>
        <w:right w:val="none" w:sz="0" w:space="0" w:color="auto"/>
      </w:divBdr>
      <w:divsChild>
        <w:div w:id="144786085">
          <w:marLeft w:val="1166"/>
          <w:marRight w:val="0"/>
          <w:marTop w:val="0"/>
          <w:marBottom w:val="0"/>
          <w:divBdr>
            <w:top w:val="none" w:sz="0" w:space="0" w:color="auto"/>
            <w:left w:val="none" w:sz="0" w:space="0" w:color="auto"/>
            <w:bottom w:val="none" w:sz="0" w:space="0" w:color="auto"/>
            <w:right w:val="none" w:sz="0" w:space="0" w:color="auto"/>
          </w:divBdr>
        </w:div>
        <w:div w:id="795024856">
          <w:marLeft w:val="547"/>
          <w:marRight w:val="0"/>
          <w:marTop w:val="0"/>
          <w:marBottom w:val="0"/>
          <w:divBdr>
            <w:top w:val="none" w:sz="0" w:space="0" w:color="auto"/>
            <w:left w:val="none" w:sz="0" w:space="0" w:color="auto"/>
            <w:bottom w:val="none" w:sz="0" w:space="0" w:color="auto"/>
            <w:right w:val="none" w:sz="0" w:space="0" w:color="auto"/>
          </w:divBdr>
        </w:div>
        <w:div w:id="1182742280">
          <w:marLeft w:val="547"/>
          <w:marRight w:val="0"/>
          <w:marTop w:val="0"/>
          <w:marBottom w:val="0"/>
          <w:divBdr>
            <w:top w:val="none" w:sz="0" w:space="0" w:color="auto"/>
            <w:left w:val="none" w:sz="0" w:space="0" w:color="auto"/>
            <w:bottom w:val="none" w:sz="0" w:space="0" w:color="auto"/>
            <w:right w:val="none" w:sz="0" w:space="0" w:color="auto"/>
          </w:divBdr>
        </w:div>
        <w:div w:id="1192260074">
          <w:marLeft w:val="547"/>
          <w:marRight w:val="0"/>
          <w:marTop w:val="0"/>
          <w:marBottom w:val="0"/>
          <w:divBdr>
            <w:top w:val="none" w:sz="0" w:space="0" w:color="auto"/>
            <w:left w:val="none" w:sz="0" w:space="0" w:color="auto"/>
            <w:bottom w:val="none" w:sz="0" w:space="0" w:color="auto"/>
            <w:right w:val="none" w:sz="0" w:space="0" w:color="auto"/>
          </w:divBdr>
        </w:div>
        <w:div w:id="1206991890">
          <w:marLeft w:val="547"/>
          <w:marRight w:val="0"/>
          <w:marTop w:val="0"/>
          <w:marBottom w:val="0"/>
          <w:divBdr>
            <w:top w:val="none" w:sz="0" w:space="0" w:color="auto"/>
            <w:left w:val="none" w:sz="0" w:space="0" w:color="auto"/>
            <w:bottom w:val="none" w:sz="0" w:space="0" w:color="auto"/>
            <w:right w:val="none" w:sz="0" w:space="0" w:color="auto"/>
          </w:divBdr>
        </w:div>
        <w:div w:id="1440637706">
          <w:marLeft w:val="1166"/>
          <w:marRight w:val="0"/>
          <w:marTop w:val="0"/>
          <w:marBottom w:val="0"/>
          <w:divBdr>
            <w:top w:val="none" w:sz="0" w:space="0" w:color="auto"/>
            <w:left w:val="none" w:sz="0" w:space="0" w:color="auto"/>
            <w:bottom w:val="none" w:sz="0" w:space="0" w:color="auto"/>
            <w:right w:val="none" w:sz="0" w:space="0" w:color="auto"/>
          </w:divBdr>
        </w:div>
        <w:div w:id="1686206583">
          <w:marLeft w:val="1166"/>
          <w:marRight w:val="0"/>
          <w:marTop w:val="0"/>
          <w:marBottom w:val="0"/>
          <w:divBdr>
            <w:top w:val="none" w:sz="0" w:space="0" w:color="auto"/>
            <w:left w:val="none" w:sz="0" w:space="0" w:color="auto"/>
            <w:bottom w:val="none" w:sz="0" w:space="0" w:color="auto"/>
            <w:right w:val="none" w:sz="0" w:space="0" w:color="auto"/>
          </w:divBdr>
        </w:div>
        <w:div w:id="1796437883">
          <w:marLeft w:val="1166"/>
          <w:marRight w:val="0"/>
          <w:marTop w:val="0"/>
          <w:marBottom w:val="0"/>
          <w:divBdr>
            <w:top w:val="none" w:sz="0" w:space="0" w:color="auto"/>
            <w:left w:val="none" w:sz="0" w:space="0" w:color="auto"/>
            <w:bottom w:val="none" w:sz="0" w:space="0" w:color="auto"/>
            <w:right w:val="none" w:sz="0" w:space="0" w:color="auto"/>
          </w:divBdr>
        </w:div>
      </w:divsChild>
    </w:div>
    <w:div w:id="1481849365">
      <w:bodyDiv w:val="1"/>
      <w:marLeft w:val="0"/>
      <w:marRight w:val="0"/>
      <w:marTop w:val="0"/>
      <w:marBottom w:val="0"/>
      <w:divBdr>
        <w:top w:val="none" w:sz="0" w:space="0" w:color="auto"/>
        <w:left w:val="none" w:sz="0" w:space="0" w:color="auto"/>
        <w:bottom w:val="none" w:sz="0" w:space="0" w:color="auto"/>
        <w:right w:val="none" w:sz="0" w:space="0" w:color="auto"/>
      </w:divBdr>
    </w:div>
    <w:div w:id="1493254020">
      <w:bodyDiv w:val="1"/>
      <w:marLeft w:val="0"/>
      <w:marRight w:val="0"/>
      <w:marTop w:val="0"/>
      <w:marBottom w:val="0"/>
      <w:divBdr>
        <w:top w:val="none" w:sz="0" w:space="0" w:color="auto"/>
        <w:left w:val="none" w:sz="0" w:space="0" w:color="auto"/>
        <w:bottom w:val="none" w:sz="0" w:space="0" w:color="auto"/>
        <w:right w:val="none" w:sz="0" w:space="0" w:color="auto"/>
      </w:divBdr>
    </w:div>
    <w:div w:id="1535194643">
      <w:bodyDiv w:val="1"/>
      <w:marLeft w:val="0"/>
      <w:marRight w:val="0"/>
      <w:marTop w:val="0"/>
      <w:marBottom w:val="0"/>
      <w:divBdr>
        <w:top w:val="none" w:sz="0" w:space="0" w:color="auto"/>
        <w:left w:val="none" w:sz="0" w:space="0" w:color="auto"/>
        <w:bottom w:val="none" w:sz="0" w:space="0" w:color="auto"/>
        <w:right w:val="none" w:sz="0" w:space="0" w:color="auto"/>
      </w:divBdr>
    </w:div>
    <w:div w:id="1538277599">
      <w:bodyDiv w:val="1"/>
      <w:marLeft w:val="0"/>
      <w:marRight w:val="0"/>
      <w:marTop w:val="0"/>
      <w:marBottom w:val="0"/>
      <w:divBdr>
        <w:top w:val="none" w:sz="0" w:space="0" w:color="auto"/>
        <w:left w:val="none" w:sz="0" w:space="0" w:color="auto"/>
        <w:bottom w:val="none" w:sz="0" w:space="0" w:color="auto"/>
        <w:right w:val="none" w:sz="0" w:space="0" w:color="auto"/>
      </w:divBdr>
    </w:div>
    <w:div w:id="1542328719">
      <w:bodyDiv w:val="1"/>
      <w:marLeft w:val="0"/>
      <w:marRight w:val="0"/>
      <w:marTop w:val="0"/>
      <w:marBottom w:val="0"/>
      <w:divBdr>
        <w:top w:val="none" w:sz="0" w:space="0" w:color="auto"/>
        <w:left w:val="none" w:sz="0" w:space="0" w:color="auto"/>
        <w:bottom w:val="none" w:sz="0" w:space="0" w:color="auto"/>
        <w:right w:val="none" w:sz="0" w:space="0" w:color="auto"/>
      </w:divBdr>
    </w:div>
    <w:div w:id="1568295746">
      <w:bodyDiv w:val="1"/>
      <w:marLeft w:val="0"/>
      <w:marRight w:val="0"/>
      <w:marTop w:val="0"/>
      <w:marBottom w:val="0"/>
      <w:divBdr>
        <w:top w:val="none" w:sz="0" w:space="0" w:color="auto"/>
        <w:left w:val="none" w:sz="0" w:space="0" w:color="auto"/>
        <w:bottom w:val="none" w:sz="0" w:space="0" w:color="auto"/>
        <w:right w:val="none" w:sz="0" w:space="0" w:color="auto"/>
      </w:divBdr>
    </w:div>
    <w:div w:id="1622029226">
      <w:bodyDiv w:val="1"/>
      <w:marLeft w:val="0"/>
      <w:marRight w:val="0"/>
      <w:marTop w:val="0"/>
      <w:marBottom w:val="0"/>
      <w:divBdr>
        <w:top w:val="none" w:sz="0" w:space="0" w:color="auto"/>
        <w:left w:val="none" w:sz="0" w:space="0" w:color="auto"/>
        <w:bottom w:val="none" w:sz="0" w:space="0" w:color="auto"/>
        <w:right w:val="none" w:sz="0" w:space="0" w:color="auto"/>
      </w:divBdr>
    </w:div>
    <w:div w:id="1633948987">
      <w:bodyDiv w:val="1"/>
      <w:marLeft w:val="0"/>
      <w:marRight w:val="0"/>
      <w:marTop w:val="0"/>
      <w:marBottom w:val="0"/>
      <w:divBdr>
        <w:top w:val="none" w:sz="0" w:space="0" w:color="auto"/>
        <w:left w:val="none" w:sz="0" w:space="0" w:color="auto"/>
        <w:bottom w:val="none" w:sz="0" w:space="0" w:color="auto"/>
        <w:right w:val="none" w:sz="0" w:space="0" w:color="auto"/>
      </w:divBdr>
    </w:div>
    <w:div w:id="1636369498">
      <w:bodyDiv w:val="1"/>
      <w:marLeft w:val="0"/>
      <w:marRight w:val="0"/>
      <w:marTop w:val="0"/>
      <w:marBottom w:val="0"/>
      <w:divBdr>
        <w:top w:val="none" w:sz="0" w:space="0" w:color="auto"/>
        <w:left w:val="none" w:sz="0" w:space="0" w:color="auto"/>
        <w:bottom w:val="none" w:sz="0" w:space="0" w:color="auto"/>
        <w:right w:val="none" w:sz="0" w:space="0" w:color="auto"/>
      </w:divBdr>
    </w:div>
    <w:div w:id="1675573876">
      <w:bodyDiv w:val="1"/>
      <w:marLeft w:val="0"/>
      <w:marRight w:val="0"/>
      <w:marTop w:val="0"/>
      <w:marBottom w:val="0"/>
      <w:divBdr>
        <w:top w:val="none" w:sz="0" w:space="0" w:color="auto"/>
        <w:left w:val="none" w:sz="0" w:space="0" w:color="auto"/>
        <w:bottom w:val="none" w:sz="0" w:space="0" w:color="auto"/>
        <w:right w:val="none" w:sz="0" w:space="0" w:color="auto"/>
      </w:divBdr>
    </w:div>
    <w:div w:id="1705473733">
      <w:bodyDiv w:val="1"/>
      <w:marLeft w:val="0"/>
      <w:marRight w:val="0"/>
      <w:marTop w:val="0"/>
      <w:marBottom w:val="0"/>
      <w:divBdr>
        <w:top w:val="none" w:sz="0" w:space="0" w:color="auto"/>
        <w:left w:val="none" w:sz="0" w:space="0" w:color="auto"/>
        <w:bottom w:val="none" w:sz="0" w:space="0" w:color="auto"/>
        <w:right w:val="none" w:sz="0" w:space="0" w:color="auto"/>
      </w:divBdr>
    </w:div>
    <w:div w:id="1767269219">
      <w:bodyDiv w:val="1"/>
      <w:marLeft w:val="0"/>
      <w:marRight w:val="0"/>
      <w:marTop w:val="0"/>
      <w:marBottom w:val="0"/>
      <w:divBdr>
        <w:top w:val="none" w:sz="0" w:space="0" w:color="auto"/>
        <w:left w:val="none" w:sz="0" w:space="0" w:color="auto"/>
        <w:bottom w:val="none" w:sz="0" w:space="0" w:color="auto"/>
        <w:right w:val="none" w:sz="0" w:space="0" w:color="auto"/>
      </w:divBdr>
    </w:div>
    <w:div w:id="1830168467">
      <w:bodyDiv w:val="1"/>
      <w:marLeft w:val="0"/>
      <w:marRight w:val="0"/>
      <w:marTop w:val="0"/>
      <w:marBottom w:val="0"/>
      <w:divBdr>
        <w:top w:val="none" w:sz="0" w:space="0" w:color="auto"/>
        <w:left w:val="none" w:sz="0" w:space="0" w:color="auto"/>
        <w:bottom w:val="none" w:sz="0" w:space="0" w:color="auto"/>
        <w:right w:val="none" w:sz="0" w:space="0" w:color="auto"/>
      </w:divBdr>
    </w:div>
    <w:div w:id="1847674053">
      <w:bodyDiv w:val="1"/>
      <w:marLeft w:val="0"/>
      <w:marRight w:val="0"/>
      <w:marTop w:val="0"/>
      <w:marBottom w:val="0"/>
      <w:divBdr>
        <w:top w:val="none" w:sz="0" w:space="0" w:color="auto"/>
        <w:left w:val="none" w:sz="0" w:space="0" w:color="auto"/>
        <w:bottom w:val="none" w:sz="0" w:space="0" w:color="auto"/>
        <w:right w:val="none" w:sz="0" w:space="0" w:color="auto"/>
      </w:divBdr>
    </w:div>
    <w:div w:id="1858302502">
      <w:bodyDiv w:val="1"/>
      <w:marLeft w:val="0"/>
      <w:marRight w:val="0"/>
      <w:marTop w:val="0"/>
      <w:marBottom w:val="0"/>
      <w:divBdr>
        <w:top w:val="none" w:sz="0" w:space="0" w:color="auto"/>
        <w:left w:val="none" w:sz="0" w:space="0" w:color="auto"/>
        <w:bottom w:val="none" w:sz="0" w:space="0" w:color="auto"/>
        <w:right w:val="none" w:sz="0" w:space="0" w:color="auto"/>
      </w:divBdr>
    </w:div>
    <w:div w:id="1884753343">
      <w:bodyDiv w:val="1"/>
      <w:marLeft w:val="0"/>
      <w:marRight w:val="0"/>
      <w:marTop w:val="0"/>
      <w:marBottom w:val="0"/>
      <w:divBdr>
        <w:top w:val="none" w:sz="0" w:space="0" w:color="auto"/>
        <w:left w:val="none" w:sz="0" w:space="0" w:color="auto"/>
        <w:bottom w:val="none" w:sz="0" w:space="0" w:color="auto"/>
        <w:right w:val="none" w:sz="0" w:space="0" w:color="auto"/>
      </w:divBdr>
    </w:div>
    <w:div w:id="1916163526">
      <w:bodyDiv w:val="1"/>
      <w:marLeft w:val="0"/>
      <w:marRight w:val="0"/>
      <w:marTop w:val="0"/>
      <w:marBottom w:val="0"/>
      <w:divBdr>
        <w:top w:val="none" w:sz="0" w:space="0" w:color="auto"/>
        <w:left w:val="none" w:sz="0" w:space="0" w:color="auto"/>
        <w:bottom w:val="none" w:sz="0" w:space="0" w:color="auto"/>
        <w:right w:val="none" w:sz="0" w:space="0" w:color="auto"/>
      </w:divBdr>
    </w:div>
    <w:div w:id="1958100410">
      <w:bodyDiv w:val="1"/>
      <w:marLeft w:val="0"/>
      <w:marRight w:val="0"/>
      <w:marTop w:val="0"/>
      <w:marBottom w:val="0"/>
      <w:divBdr>
        <w:top w:val="none" w:sz="0" w:space="0" w:color="auto"/>
        <w:left w:val="none" w:sz="0" w:space="0" w:color="auto"/>
        <w:bottom w:val="none" w:sz="0" w:space="0" w:color="auto"/>
        <w:right w:val="none" w:sz="0" w:space="0" w:color="auto"/>
      </w:divBdr>
    </w:div>
    <w:div w:id="1960139337">
      <w:bodyDiv w:val="1"/>
      <w:marLeft w:val="0"/>
      <w:marRight w:val="0"/>
      <w:marTop w:val="0"/>
      <w:marBottom w:val="0"/>
      <w:divBdr>
        <w:top w:val="none" w:sz="0" w:space="0" w:color="auto"/>
        <w:left w:val="none" w:sz="0" w:space="0" w:color="auto"/>
        <w:bottom w:val="none" w:sz="0" w:space="0" w:color="auto"/>
        <w:right w:val="none" w:sz="0" w:space="0" w:color="auto"/>
      </w:divBdr>
    </w:div>
    <w:div w:id="1980958774">
      <w:bodyDiv w:val="1"/>
      <w:marLeft w:val="0"/>
      <w:marRight w:val="0"/>
      <w:marTop w:val="0"/>
      <w:marBottom w:val="0"/>
      <w:divBdr>
        <w:top w:val="none" w:sz="0" w:space="0" w:color="auto"/>
        <w:left w:val="none" w:sz="0" w:space="0" w:color="auto"/>
        <w:bottom w:val="none" w:sz="0" w:space="0" w:color="auto"/>
        <w:right w:val="none" w:sz="0" w:space="0" w:color="auto"/>
      </w:divBdr>
    </w:div>
    <w:div w:id="1991904030">
      <w:bodyDiv w:val="1"/>
      <w:marLeft w:val="0"/>
      <w:marRight w:val="0"/>
      <w:marTop w:val="0"/>
      <w:marBottom w:val="0"/>
      <w:divBdr>
        <w:top w:val="none" w:sz="0" w:space="0" w:color="auto"/>
        <w:left w:val="none" w:sz="0" w:space="0" w:color="auto"/>
        <w:bottom w:val="none" w:sz="0" w:space="0" w:color="auto"/>
        <w:right w:val="none" w:sz="0" w:space="0" w:color="auto"/>
      </w:divBdr>
    </w:div>
    <w:div w:id="2002082624">
      <w:bodyDiv w:val="1"/>
      <w:marLeft w:val="0"/>
      <w:marRight w:val="0"/>
      <w:marTop w:val="0"/>
      <w:marBottom w:val="0"/>
      <w:divBdr>
        <w:top w:val="none" w:sz="0" w:space="0" w:color="auto"/>
        <w:left w:val="none" w:sz="0" w:space="0" w:color="auto"/>
        <w:bottom w:val="none" w:sz="0" w:space="0" w:color="auto"/>
        <w:right w:val="none" w:sz="0" w:space="0" w:color="auto"/>
      </w:divBdr>
    </w:div>
    <w:div w:id="2007197715">
      <w:bodyDiv w:val="1"/>
      <w:marLeft w:val="0"/>
      <w:marRight w:val="0"/>
      <w:marTop w:val="0"/>
      <w:marBottom w:val="0"/>
      <w:divBdr>
        <w:top w:val="none" w:sz="0" w:space="0" w:color="auto"/>
        <w:left w:val="none" w:sz="0" w:space="0" w:color="auto"/>
        <w:bottom w:val="none" w:sz="0" w:space="0" w:color="auto"/>
        <w:right w:val="none" w:sz="0" w:space="0" w:color="auto"/>
      </w:divBdr>
    </w:div>
    <w:div w:id="2022007269">
      <w:bodyDiv w:val="1"/>
      <w:marLeft w:val="0"/>
      <w:marRight w:val="0"/>
      <w:marTop w:val="0"/>
      <w:marBottom w:val="0"/>
      <w:divBdr>
        <w:top w:val="none" w:sz="0" w:space="0" w:color="auto"/>
        <w:left w:val="none" w:sz="0" w:space="0" w:color="auto"/>
        <w:bottom w:val="none" w:sz="0" w:space="0" w:color="auto"/>
        <w:right w:val="none" w:sz="0" w:space="0" w:color="auto"/>
      </w:divBdr>
    </w:div>
    <w:div w:id="2080857791">
      <w:bodyDiv w:val="1"/>
      <w:marLeft w:val="0"/>
      <w:marRight w:val="0"/>
      <w:marTop w:val="0"/>
      <w:marBottom w:val="0"/>
      <w:divBdr>
        <w:top w:val="none" w:sz="0" w:space="0" w:color="auto"/>
        <w:left w:val="none" w:sz="0" w:space="0" w:color="auto"/>
        <w:bottom w:val="none" w:sz="0" w:space="0" w:color="auto"/>
        <w:right w:val="none" w:sz="0" w:space="0" w:color="auto"/>
      </w:divBdr>
    </w:div>
    <w:div w:id="21219513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117" Type="http://schemas.openxmlformats.org/officeDocument/2006/relationships/hyperlink" Target="https://www.acma.gov.au/theACMA/future-use-of-the-1_5-ghz-and-3_6-ghz-bands-2" TargetMode="External"/><Relationship Id="rId21" Type="http://schemas.openxmlformats.org/officeDocument/2006/relationships/footer" Target="footer3.xml"/><Relationship Id="rId42" Type="http://schemas.openxmlformats.org/officeDocument/2006/relationships/image" Target="media/image21.png"/><Relationship Id="rId47" Type="http://schemas.openxmlformats.org/officeDocument/2006/relationships/hyperlink" Target="https://www.legislation.gov.au/Details/F2018C00845" TargetMode="External"/><Relationship Id="rId63" Type="http://schemas.openxmlformats.org/officeDocument/2006/relationships/hyperlink" Target="http://www.itu.int/md/R00-CA-CIR-0226/en" TargetMode="External"/><Relationship Id="rId68" Type="http://schemas.openxmlformats.org/officeDocument/2006/relationships/hyperlink" Target="https://www.acma.gov.au/Industry/Spectrum/Spectrum-planning/Current-APs-info-and-resources/rali-fx21-tv-ob-services" TargetMode="External"/><Relationship Id="rId84" Type="http://schemas.openxmlformats.org/officeDocument/2006/relationships/hyperlink" Target="https://www.acma.gov.au/theACMA/reconfiguring-the-900-mhz-band" TargetMode="External"/><Relationship Id="rId89" Type="http://schemas.openxmlformats.org/officeDocument/2006/relationships/hyperlink" Target="https://www.ecodocdb.dk/document/category/ECC_Decisions?" TargetMode="External"/><Relationship Id="rId112" Type="http://schemas.openxmlformats.org/officeDocument/2006/relationships/footer" Target="footer7.xml"/><Relationship Id="rId133" Type="http://schemas.openxmlformats.org/officeDocument/2006/relationships/hyperlink" Target="https://www.legislation.gov.au/Details/C2018C00336" TargetMode="External"/><Relationship Id="rId138" Type="http://schemas.openxmlformats.org/officeDocument/2006/relationships/hyperlink" Target="https://www.acma.gov.au/Home/theACMA/spectrum-planning-for-the-28-ghz-band" TargetMode="External"/><Relationship Id="rId16" Type="http://schemas.openxmlformats.org/officeDocument/2006/relationships/hyperlink" Target="https://creativecommons.org/licenses/by/4.0/" TargetMode="External"/><Relationship Id="rId107" Type="http://schemas.openxmlformats.org/officeDocument/2006/relationships/hyperlink" Target="https://www.acma.gov.au/theACMA/proposed-updates-to-rali-ms-44" TargetMode="External"/><Relationship Id="rId11" Type="http://schemas.openxmlformats.org/officeDocument/2006/relationships/header" Target="header1.xml"/><Relationship Id="rId32" Type="http://schemas.openxmlformats.org/officeDocument/2006/relationships/image" Target="media/image11.png"/><Relationship Id="rId37" Type="http://schemas.openxmlformats.org/officeDocument/2006/relationships/image" Target="media/image16.png"/><Relationship Id="rId53" Type="http://schemas.openxmlformats.org/officeDocument/2006/relationships/hyperlink" Target="https://www.legislation.gov.au/Series/F2015L01438" TargetMode="External"/><Relationship Id="rId58" Type="http://schemas.openxmlformats.org/officeDocument/2006/relationships/hyperlink" Target="http://rspg-spectrum.eu/wp-content/uploads/2014/03/RSPG14-555final_Request-for-Opinion-UHF-band.pdf" TargetMode="External"/><Relationship Id="rId74" Type="http://schemas.openxmlformats.org/officeDocument/2006/relationships/hyperlink" Target="https://www.acma.gov.au/theACMA/future-use-of-the-1_5-ghz-and-3_6-ghz-bands-2" TargetMode="External"/><Relationship Id="rId79" Type="http://schemas.openxmlformats.org/officeDocument/2006/relationships/hyperlink" Target="https://www.acma.gov.au/theACMA/planning-options-for-the-28-ghz-band" TargetMode="External"/><Relationship Id="rId102" Type="http://schemas.openxmlformats.org/officeDocument/2006/relationships/hyperlink" Target="http://archive.acma.gov.au/webwr/_assets/main/lib410135/aust_procedures-coordination_notification_of_satellite_systems.pdf" TargetMode="External"/><Relationship Id="rId123" Type="http://schemas.openxmlformats.org/officeDocument/2006/relationships/hyperlink" Target="https://www.acma.gov.au/theACMA/~/~/~/~/~/link.aspx?_id=9B4557DFD817466D9BE21E0139ADC296&amp;_z=z" TargetMode="External"/><Relationship Id="rId128" Type="http://schemas.openxmlformats.org/officeDocument/2006/relationships/hyperlink" Target="https://www.legislation.gov.au/Details/F2018L01583" TargetMode="External"/><Relationship Id="rId144" Type="http://schemas.openxmlformats.org/officeDocument/2006/relationships/header" Target="header9.xml"/><Relationship Id="rId149" Type="http://schemas.openxmlformats.org/officeDocument/2006/relationships/theme" Target="theme/theme1.xml"/><Relationship Id="rId5" Type="http://schemas.openxmlformats.org/officeDocument/2006/relationships/numbering" Target="numbering.xml"/><Relationship Id="rId90" Type="http://schemas.openxmlformats.org/officeDocument/2006/relationships/hyperlink" Target="https://www.acma.gov.au/theACMA/options-for-wireless-broadband-in-the-26-ghz-band" TargetMode="External"/><Relationship Id="rId95" Type="http://schemas.openxmlformats.org/officeDocument/2006/relationships/hyperlink" Target="https://www.legislation.gov.au/Details/F2018C00844" TargetMode="External"/><Relationship Id="rId22" Type="http://schemas.openxmlformats.org/officeDocument/2006/relationships/header" Target="header5.xml"/><Relationship Id="rId27" Type="http://schemas.openxmlformats.org/officeDocument/2006/relationships/image" Target="media/image6.png"/><Relationship Id="rId43" Type="http://schemas.openxmlformats.org/officeDocument/2006/relationships/image" Target="media/image2.png"/><Relationship Id="rId48" Type="http://schemas.openxmlformats.org/officeDocument/2006/relationships/hyperlink" Target="https://www.legislation.gov.au/Details/F2018C00844" TargetMode="External"/><Relationship Id="rId64" Type="http://schemas.openxmlformats.org/officeDocument/2006/relationships/hyperlink" Target="https://www.itu.int/md/R15-TG5.1-C-0076/en" TargetMode="External"/><Relationship Id="rId69" Type="http://schemas.openxmlformats.org/officeDocument/2006/relationships/hyperlink" Target="https://www.acma.gov.au/theACMA/planning-of-the-2-ghz-band" TargetMode="External"/><Relationship Id="rId113" Type="http://schemas.openxmlformats.org/officeDocument/2006/relationships/footer" Target="footer8.xml"/><Relationship Id="rId118" Type="http://schemas.openxmlformats.org/officeDocument/2006/relationships/hyperlink" Target="https://www.acma.gov.au/theACMA/optimising-the-3400-3575-mhz-band" TargetMode="External"/><Relationship Id="rId134" Type="http://schemas.openxmlformats.org/officeDocument/2006/relationships/hyperlink" Target="https://www.legislation.gov.au/Details/F2016C00286" TargetMode="External"/><Relationship Id="rId139" Type="http://schemas.openxmlformats.org/officeDocument/2006/relationships/hyperlink" Target="https://www.acma.gov.au/theACMA/annual-report" TargetMode="External"/><Relationship Id="rId80" Type="http://schemas.openxmlformats.org/officeDocument/2006/relationships/hyperlink" Target="https://www.acma.gov.au/layouts/web/standardasset/consultation%20asset/viewmore.aspx?i=9e017d8a-ac20-4ac0-8810-ee185bad9372&amp;type=submission&amp;sectionID=" TargetMode="External"/><Relationship Id="rId85" Type="http://schemas.openxmlformats.org/officeDocument/2006/relationships/hyperlink" Target="https://www.acma.gov.au/theACMA/reconfiguring-the-900-mhz-band" TargetMode="External"/><Relationship Id="rId3" Type="http://schemas.openxmlformats.org/officeDocument/2006/relationships/customXml" Target="../customXml/item3.xml"/><Relationship Id="rId12" Type="http://schemas.openxmlformats.org/officeDocument/2006/relationships/footer" Target="footer1.xml"/><Relationship Id="rId17" Type="http://schemas.openxmlformats.org/officeDocument/2006/relationships/hyperlink" Target="mailto:info@acma.gov.au" TargetMode="External"/><Relationship Id="rId25" Type="http://schemas.openxmlformats.org/officeDocument/2006/relationships/footer" Target="footer5.xml"/><Relationship Id="rId33" Type="http://schemas.openxmlformats.org/officeDocument/2006/relationships/image" Target="media/image12.png"/><Relationship Id="rId38" Type="http://schemas.openxmlformats.org/officeDocument/2006/relationships/image" Target="media/image17.png"/><Relationship Id="rId46" Type="http://schemas.openxmlformats.org/officeDocument/2006/relationships/hyperlink" Target="https://www.legislation.gov.au/Details/C2017A00110" TargetMode="External"/><Relationship Id="rId59" Type="http://schemas.openxmlformats.org/officeDocument/2006/relationships/hyperlink" Target="http://ec.europa.eu/smart-regulation/roadmaps/docs/2015_cnect_017_uhf_en.pdf" TargetMode="External"/><Relationship Id="rId67" Type="http://schemas.openxmlformats.org/officeDocument/2006/relationships/hyperlink" Target="https://www.itu.int/md/R15-TG5.1-C-0290/en" TargetMode="External"/><Relationship Id="rId103" Type="http://schemas.openxmlformats.org/officeDocument/2006/relationships/hyperlink" Target="http://www.acma.gov.au/Industry/Spectrum/Spectrum-planning/About-spectrum-planning/radiofrequency-planning-framework-spectrum-planning-acma" TargetMode="External"/><Relationship Id="rId108" Type="http://schemas.openxmlformats.org/officeDocument/2006/relationships/hyperlink" Target="https://www.acma.gov.au/theACMA/proposed-updates-to-several-ralis" TargetMode="External"/><Relationship Id="rId116" Type="http://schemas.openxmlformats.org/officeDocument/2006/relationships/hyperlink" Target="https://www.acma.gov.au/theACMA/future-approach-to-the-3_6-ghz-band" TargetMode="External"/><Relationship Id="rId124" Type="http://schemas.openxmlformats.org/officeDocument/2006/relationships/hyperlink" Target="https://www.acma.gov.au/theACMA/~/~/~/~/~/link.aspx?_id=9E017D8AAC204AC08810EE185BAD9372&amp;_z=z" TargetMode="External"/><Relationship Id="rId129" Type="http://schemas.openxmlformats.org/officeDocument/2006/relationships/hyperlink" Target="https://www.legislation.gov.au/Details/F2018L01185" TargetMode="External"/><Relationship Id="rId137" Type="http://schemas.openxmlformats.org/officeDocument/2006/relationships/hyperlink" Target="https://www.legislation.gov.au/Details/C2017A00110" TargetMode="External"/><Relationship Id="rId20" Type="http://schemas.openxmlformats.org/officeDocument/2006/relationships/footer" Target="footer2.xml"/><Relationship Id="rId41" Type="http://schemas.openxmlformats.org/officeDocument/2006/relationships/image" Target="media/image20.png"/><Relationship Id="rId54" Type="http://schemas.openxmlformats.org/officeDocument/2006/relationships/hyperlink" Target="https://www.legislation.gov.au/Details/F2018C00845" TargetMode="External"/><Relationship Id="rId62" Type="http://schemas.openxmlformats.org/officeDocument/2006/relationships/hyperlink" Target="https://www.legislation.gov.au/Details/F2018L01658" TargetMode="External"/><Relationship Id="rId70" Type="http://schemas.openxmlformats.org/officeDocument/2006/relationships/hyperlink" Target="https://www.acma.gov.au/theACMA/planning-of-the-2-ghz-band" TargetMode="External"/><Relationship Id="rId75" Type="http://schemas.openxmlformats.org/officeDocument/2006/relationships/hyperlink" Target="https://www.acma.gov.au/theACMA/optimising-the-3400-3575-mhz-band" TargetMode="External"/><Relationship Id="rId83" Type="http://schemas.openxmlformats.org/officeDocument/2006/relationships/hyperlink" Target="https://www.acma.gov.au/theACMA/800-900-mhz-band-update-of-planning-arrangements" TargetMode="External"/><Relationship Id="rId88" Type="http://schemas.openxmlformats.org/officeDocument/2006/relationships/hyperlink" Target="https://www.acma.gov.au/theACMA/-/media/AF3D0BB2F7BB456EB073DD48F1C0FB00.ashx" TargetMode="External"/><Relationship Id="rId91" Type="http://schemas.openxmlformats.org/officeDocument/2006/relationships/hyperlink" Target="https://www.acma.gov.au/layouts/web/standardasset/consultation%20asset/viewmore.aspx?i=08b4a6e1-ba84-459c-a930-50ca565a3d54&amp;type=submission&amp;sectionID=" TargetMode="External"/><Relationship Id="rId96" Type="http://schemas.openxmlformats.org/officeDocument/2006/relationships/hyperlink" Target="https://www.legislation.gov.au/Details/F2018C00846" TargetMode="External"/><Relationship Id="rId111" Type="http://schemas.openxmlformats.org/officeDocument/2006/relationships/header" Target="header8.xml"/><Relationship Id="rId132" Type="http://schemas.openxmlformats.org/officeDocument/2006/relationships/hyperlink" Target="https://www.acma.gov.au/theACMA/vhf-maritime-mobile-band-channel-allocations" TargetMode="External"/><Relationship Id="rId140" Type="http://schemas.openxmlformats.org/officeDocument/2006/relationships/hyperlink" Target="https://www.legislation.gov.au/Details/F2009L01239" TargetMode="External"/><Relationship Id="rId145" Type="http://schemas.openxmlformats.org/officeDocument/2006/relationships/header" Target="header10.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5.png"/><Relationship Id="rId23" Type="http://schemas.openxmlformats.org/officeDocument/2006/relationships/header" Target="header6.xml"/><Relationship Id="rId28" Type="http://schemas.openxmlformats.org/officeDocument/2006/relationships/image" Target="media/image7.png"/><Relationship Id="rId36" Type="http://schemas.openxmlformats.org/officeDocument/2006/relationships/image" Target="media/image15.png"/><Relationship Id="rId49" Type="http://schemas.openxmlformats.org/officeDocument/2006/relationships/hyperlink" Target="https://www.acma.gov.au/theACMA/fyso-2018-22-progress-report-for-july-2018-june-2019" TargetMode="External"/><Relationship Id="rId57" Type="http://schemas.openxmlformats.org/officeDocument/2006/relationships/image" Target="media/image23.png"/><Relationship Id="rId106" Type="http://schemas.openxmlformats.org/officeDocument/2006/relationships/hyperlink" Target="https://www.acma.gov.au/theACMA/updates-to-rali-fx1-narrowband-and-wideband-services-in-403-420-mhz" TargetMode="External"/><Relationship Id="rId114" Type="http://schemas.openxmlformats.org/officeDocument/2006/relationships/hyperlink" Target="https://www.acma.gov.au/Home/theACMA/reconfiguring-the-890-915-935-960-mhz-band-way-forward" TargetMode="External"/><Relationship Id="rId119" Type="http://schemas.openxmlformats.org/officeDocument/2006/relationships/hyperlink" Target="https://www.acma.gov.au/theACMA/options-for-wireless-broadband-in-the-26-ghz-band" TargetMode="External"/><Relationship Id="rId127" Type="http://schemas.openxmlformats.org/officeDocument/2006/relationships/hyperlink" Target="https://www.legislation.gov.au/Details/C2018C00336" TargetMode="External"/><Relationship Id="rId10" Type="http://schemas.openxmlformats.org/officeDocument/2006/relationships/endnotes" Target="endnotes.xml"/><Relationship Id="rId31" Type="http://schemas.openxmlformats.org/officeDocument/2006/relationships/image" Target="media/image10.png"/><Relationship Id="rId44" Type="http://schemas.openxmlformats.org/officeDocument/2006/relationships/hyperlink" Target="https://www.legislation.gov.au/Details/F2018C00845" TargetMode="External"/><Relationship Id="rId52" Type="http://schemas.openxmlformats.org/officeDocument/2006/relationships/hyperlink" Target="https://www.communications.gov.au/publications/impacts-5g-productivity-and-economic-growth" TargetMode="External"/><Relationship Id="rId60" Type="http://schemas.openxmlformats.org/officeDocument/2006/relationships/image" Target="media/image1.png"/><Relationship Id="rId65" Type="http://schemas.openxmlformats.org/officeDocument/2006/relationships/hyperlink" Target="https://www.itu.int/md/R15-TG5.1-C-0117/en" TargetMode="External"/><Relationship Id="rId73" Type="http://schemas.openxmlformats.org/officeDocument/2006/relationships/hyperlink" Target="https://www.acma.gov.au/theACMA/future-approach-to-the-3_6-ghz-band" TargetMode="External"/><Relationship Id="rId78" Type="http://schemas.openxmlformats.org/officeDocument/2006/relationships/hyperlink" Target="https://www.acma.gov.au/layouts/web/standardasset/consultation%20asset/viewmore.aspx?i=9b4557df-d817-466d-9be2-1e0139adc296&amp;type=submission&amp;sectionID=" TargetMode="External"/><Relationship Id="rId81" Type="http://schemas.openxmlformats.org/officeDocument/2006/relationships/hyperlink" Target="http://www.acma.gov.au/~/media/Spectrum%20Licensing%20Policy/Information/Word%20Document/The%20ACMAs%20long-term%20strategy%20for%20the%20803960%20MHz%20band_decision%20paper%20docx.docx" TargetMode="External"/><Relationship Id="rId86" Type="http://schemas.openxmlformats.org/officeDocument/2006/relationships/hyperlink" Target="https://www.acma.gov.au/theACMA/future-approach-to-the-3_6-ghz-band" TargetMode="External"/><Relationship Id="rId94" Type="http://schemas.openxmlformats.org/officeDocument/2006/relationships/hyperlink" Target="https://www.legislation.gov.au/Details/F2018C00845" TargetMode="External"/><Relationship Id="rId99" Type="http://schemas.openxmlformats.org/officeDocument/2006/relationships/hyperlink" Target="https://www.legislation.gov.au/Details/F2018C00845" TargetMode="External"/><Relationship Id="rId101" Type="http://schemas.openxmlformats.org/officeDocument/2006/relationships/hyperlink" Target="https://www.acma.gov.au/theACMA/proposed-sharing-arrangements-in-the-11-ghz-band" TargetMode="External"/><Relationship Id="rId122" Type="http://schemas.openxmlformats.org/officeDocument/2006/relationships/hyperlink" Target="https://www.legislation.gov.au/Details/C2018C00336" TargetMode="External"/><Relationship Id="rId130" Type="http://schemas.openxmlformats.org/officeDocument/2006/relationships/hyperlink" Target="https://www.acma.gov.au/theACMA/new-approaches-to-amateur-radio-qualification-arrangements" TargetMode="External"/><Relationship Id="rId135" Type="http://schemas.openxmlformats.org/officeDocument/2006/relationships/hyperlink" Target="https://www.legislation.gov.au/Details/C2018C00336" TargetMode="External"/><Relationship Id="rId143" Type="http://schemas.openxmlformats.org/officeDocument/2006/relationships/hyperlink" Target="https://www.legislation.gov.au/Details/C2018C00375" TargetMode="External"/><Relationship Id="rId148"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header" Target="header3.xml"/><Relationship Id="rId39" Type="http://schemas.openxmlformats.org/officeDocument/2006/relationships/image" Target="media/image18.png"/><Relationship Id="rId109" Type="http://schemas.openxmlformats.org/officeDocument/2006/relationships/hyperlink" Target="https://www.acma.gov.au/theACMA/new-approaches-to-spectrum-sharing-1" TargetMode="External"/><Relationship Id="rId34" Type="http://schemas.openxmlformats.org/officeDocument/2006/relationships/image" Target="media/image13.png"/><Relationship Id="rId50" Type="http://schemas.openxmlformats.org/officeDocument/2006/relationships/image" Target="media/image22.png"/><Relationship Id="rId55" Type="http://schemas.openxmlformats.org/officeDocument/2006/relationships/hyperlink" Target="https://www.acma.gov.au/theacma/australian-radiofrequency-spectrum-plan-spectrum-planning-acma" TargetMode="External"/><Relationship Id="rId76" Type="http://schemas.openxmlformats.org/officeDocument/2006/relationships/hyperlink" Target="https://www.acma.gov.au/theACMA/future-approach-to-the-3_6-ghz-band" TargetMode="External"/><Relationship Id="rId97" Type="http://schemas.openxmlformats.org/officeDocument/2006/relationships/hyperlink" Target="https://www.legislation.gov.au/Details/F2018C00845" TargetMode="External"/><Relationship Id="rId104" Type="http://schemas.openxmlformats.org/officeDocument/2006/relationships/hyperlink" Target="https://www.acma.gov.au/theACMA/-/media/Spectrum-Engineering/Issue-for-comment/IFC-26-2018/Review-work-program-2018-19_final-docx.docx" TargetMode="External"/><Relationship Id="rId120" Type="http://schemas.openxmlformats.org/officeDocument/2006/relationships/hyperlink" Target="https://www.acma.gov.au/theACMA/options-for-wireless-broadband-in-the-26-ghz-band" TargetMode="External"/><Relationship Id="rId125" Type="http://schemas.openxmlformats.org/officeDocument/2006/relationships/hyperlink" Target="https://www.legislation.gov.au/Details/C2018C00336" TargetMode="External"/><Relationship Id="rId141" Type="http://schemas.openxmlformats.org/officeDocument/2006/relationships/hyperlink" Target="https://www.legislation.gov.au/Details/C2018C00375" TargetMode="External"/><Relationship Id="rId146" Type="http://schemas.openxmlformats.org/officeDocument/2006/relationships/footer" Target="footer9.xml"/><Relationship Id="rId7" Type="http://schemas.openxmlformats.org/officeDocument/2006/relationships/settings" Target="settings.xml"/><Relationship Id="rId71" Type="http://schemas.openxmlformats.org/officeDocument/2006/relationships/hyperlink" Target="https://www.acma.gov.au/theACMA/planning-of-the-3700-4200-mhz-band" TargetMode="External"/><Relationship Id="rId92" Type="http://schemas.openxmlformats.org/officeDocument/2006/relationships/hyperlink" Target="https://www.acma.gov.au/theACMA/options-for-wireless-broadband-in-the-26-ghz-band" TargetMode="External"/><Relationship Id="rId2" Type="http://schemas.openxmlformats.org/officeDocument/2006/relationships/customXml" Target="../customXml/item2.xml"/><Relationship Id="rId29" Type="http://schemas.openxmlformats.org/officeDocument/2006/relationships/image" Target="media/image8.png"/><Relationship Id="rId24" Type="http://schemas.openxmlformats.org/officeDocument/2006/relationships/footer" Target="footer4.xml"/><Relationship Id="rId40" Type="http://schemas.openxmlformats.org/officeDocument/2006/relationships/image" Target="media/image19.png"/><Relationship Id="rId45" Type="http://schemas.openxmlformats.org/officeDocument/2006/relationships/hyperlink" Target="https://www.legislation.gov.au/Details/F2018C00844" TargetMode="External"/><Relationship Id="rId66" Type="http://schemas.openxmlformats.org/officeDocument/2006/relationships/hyperlink" Target="https://www.itu.int/md/R15-TG5.1-C-0193/en" TargetMode="External"/><Relationship Id="rId87" Type="http://schemas.openxmlformats.org/officeDocument/2006/relationships/hyperlink" Target="https://www.acma.gov.au/theACMA/spectrum-for-broadband-in-mmwave-bands" TargetMode="External"/><Relationship Id="rId110" Type="http://schemas.openxmlformats.org/officeDocument/2006/relationships/header" Target="header7.xml"/><Relationship Id="rId115" Type="http://schemas.openxmlformats.org/officeDocument/2006/relationships/hyperlink" Target="https://www.acma.gov.au/Home/theACMA/reconfiguring-the-900-mhz-band" TargetMode="External"/><Relationship Id="rId131" Type="http://schemas.openxmlformats.org/officeDocument/2006/relationships/hyperlink" Target="https://www.acma.gov.au/Home/theACMA/update-to-maritime-vhf-channel-arrangements" TargetMode="External"/><Relationship Id="rId136" Type="http://schemas.openxmlformats.org/officeDocument/2006/relationships/hyperlink" Target="https://www.legislation.gov.au/Details/C2018C00336" TargetMode="External"/><Relationship Id="rId61" Type="http://schemas.openxmlformats.org/officeDocument/2006/relationships/hyperlink" Target="https://www.comlaw.gov.au/Details/F2013L00827" TargetMode="External"/><Relationship Id="rId82" Type="http://schemas.openxmlformats.org/officeDocument/2006/relationships/hyperlink" Target="https://www.coag.gov.au/meeting-outcomes/coag-meeting-communique-12-december-2018" TargetMode="External"/><Relationship Id="rId19" Type="http://schemas.openxmlformats.org/officeDocument/2006/relationships/header" Target="header4.xml"/><Relationship Id="rId14" Type="http://schemas.openxmlformats.org/officeDocument/2006/relationships/hyperlink" Target="http://i.creativecommons.org/l/by/3.0/88x31.png" TargetMode="External"/><Relationship Id="rId30" Type="http://schemas.openxmlformats.org/officeDocument/2006/relationships/image" Target="media/image9.png"/><Relationship Id="rId35" Type="http://schemas.openxmlformats.org/officeDocument/2006/relationships/image" Target="media/image14.png"/><Relationship Id="rId56" Type="http://schemas.openxmlformats.org/officeDocument/2006/relationships/hyperlink" Target="https://www.legislation.gov.au/Details/F2010L00821" TargetMode="External"/><Relationship Id="rId77" Type="http://schemas.openxmlformats.org/officeDocument/2006/relationships/hyperlink" Target="https://www.acma.gov.au/theACMA/spectrum-planning-for-the-28-ghz-band" TargetMode="External"/><Relationship Id="rId100" Type="http://schemas.openxmlformats.org/officeDocument/2006/relationships/hyperlink" Target="https://www.legislation.gov.au/Details/F2018C00845" TargetMode="External"/><Relationship Id="rId105" Type="http://schemas.openxmlformats.org/officeDocument/2006/relationships/hyperlink" Target="https://www.acma.gov.au/theACMA/proposed-updates-to-several-ralis" TargetMode="External"/><Relationship Id="rId126" Type="http://schemas.openxmlformats.org/officeDocument/2006/relationships/hyperlink" Target="https://www.communications.gov.au/publications/impacts-5g-productivity-and-economic-growth" TargetMode="External"/><Relationship Id="rId147" Type="http://schemas.openxmlformats.org/officeDocument/2006/relationships/footer" Target="footer10.xml"/><Relationship Id="rId8" Type="http://schemas.openxmlformats.org/officeDocument/2006/relationships/webSettings" Target="webSettings.xml"/><Relationship Id="rId51" Type="http://schemas.openxmlformats.org/officeDocument/2006/relationships/hyperlink" Target="https://www.acma.gov.au/Home/theACMA/~/~/link.aspx?_id=AD9E24F4DE0144C1871A4EF958689120&amp;_z=z" TargetMode="External"/><Relationship Id="rId72" Type="http://schemas.openxmlformats.org/officeDocument/2006/relationships/hyperlink" Target="https://www.acma.gov.au/theACMA/future-use-of-the-1_5-ghz-and-3_6-ghz-bands-2" TargetMode="External"/><Relationship Id="rId93" Type="http://schemas.openxmlformats.org/officeDocument/2006/relationships/hyperlink" Target="https://acma.gov.au/theACMA/draft-spectrum-reallocation-recommendation-for-the-26-ghz-band" TargetMode="External"/><Relationship Id="rId98" Type="http://schemas.openxmlformats.org/officeDocument/2006/relationships/hyperlink" Target="https://www.legislation.gov.au/Details/F2018C00844" TargetMode="External"/><Relationship Id="rId121" Type="http://schemas.openxmlformats.org/officeDocument/2006/relationships/hyperlink" Target="https://www.acma.gov.au/theACMA/draft-spectrum-reallocation-recommendation-for-the-26-ghz-band" TargetMode="External"/><Relationship Id="rId142" Type="http://schemas.openxmlformats.org/officeDocument/2006/relationships/hyperlink" Target="https://www.legislation.gov.au/Details/F2009L01237"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4.jpeg"/></Relationships>
</file>

<file path=word/_rels/footnotes.xml.rels><?xml version="1.0" encoding="UTF-8" standalone="yes"?>
<Relationships xmlns="http://schemas.openxmlformats.org/package/2006/relationships"><Relationship Id="rId8" Type="http://schemas.openxmlformats.org/officeDocument/2006/relationships/hyperlink" Target="https://www.acma.gov.au/theACMA/regulatory-arrangements-for-gso-and-ngso-esims" TargetMode="External"/><Relationship Id="rId13" Type="http://schemas.openxmlformats.org/officeDocument/2006/relationships/hyperlink" Target="http://www.malcolmturnbull.com.au/media/radcomms-2014-spectrum-in-the-age-of-digital-innovation" TargetMode="External"/><Relationship Id="rId18" Type="http://schemas.openxmlformats.org/officeDocument/2006/relationships/hyperlink" Target="https://gsacom.com/download.php?id=6824" TargetMode="External"/><Relationship Id="rId26" Type="http://schemas.openxmlformats.org/officeDocument/2006/relationships/hyperlink" Target="https://www.acma.gov.au/Industry/Spectrum/Spectrum-planning/Current-APs-info-and-resources/business-operating-procedures-spectrum-planning-acma" TargetMode="External"/><Relationship Id="rId3" Type="http://schemas.openxmlformats.org/officeDocument/2006/relationships/hyperlink" Target="https://www.itu.int/pub/R-REP-M.2410-2017" TargetMode="External"/><Relationship Id="rId21" Type="http://schemas.openxmlformats.org/officeDocument/2006/relationships/hyperlink" Target="https://www.ofcom.org.uk/__data/assets/pdf_file/0033/157884/enabling-wireless-innovation-through-local-licensing.pdf" TargetMode="External"/><Relationship Id="rId7" Type="http://schemas.openxmlformats.org/officeDocument/2006/relationships/hyperlink" Target="https://www.acma.gov.au/Home/theACMA/changes-to-legislation-supporting-space-based-communications" TargetMode="External"/><Relationship Id="rId12" Type="http://schemas.openxmlformats.org/officeDocument/2006/relationships/hyperlink" Target="https://docs.fcc.gov/public/attachments/DOC-354364A1.pdf" TargetMode="External"/><Relationship Id="rId17" Type="http://schemas.openxmlformats.org/officeDocument/2006/relationships/hyperlink" Target="http://www.ic.gc.ca/eic/site/smt-gst.nsf/eng/sf11401.html" TargetMode="External"/><Relationship Id="rId25" Type="http://schemas.openxmlformats.org/officeDocument/2006/relationships/hyperlink" Target="https://www.legislation.gov.au/Details/F2018C00846" TargetMode="External"/><Relationship Id="rId2" Type="http://schemas.openxmlformats.org/officeDocument/2006/relationships/hyperlink" Target="https://www.acma.gov.au/theACMA/annual-report" TargetMode="External"/><Relationship Id="rId16" Type="http://schemas.openxmlformats.org/officeDocument/2006/relationships/hyperlink" Target="https://www.fcc.gov/document/fcc-expands-flexible-use-mid-band-spectrum" TargetMode="External"/><Relationship Id="rId20" Type="http://schemas.openxmlformats.org/officeDocument/2006/relationships/hyperlink" Target="https://ec.europa.eu/digital-single-market/en/news/commission-decides-harmonise-radio-spectrum-future-5g" TargetMode="External"/><Relationship Id="rId1" Type="http://schemas.openxmlformats.org/officeDocument/2006/relationships/hyperlink" Target="https://www.acma.gov.au/Home/theACMA/Library/Corporate-library/Corporate-publications/acma-corporate-plan" TargetMode="External"/><Relationship Id="rId6" Type="http://schemas.openxmlformats.org/officeDocument/2006/relationships/hyperlink" Target="http://www.iot.org.au/wp/wp-content/uploads/2016/12/IoTAA_IoT-Platform-Selection-Guideline-V1.1-July-2018.pdf" TargetMode="External"/><Relationship Id="rId11" Type="http://schemas.openxmlformats.org/officeDocument/2006/relationships/hyperlink" Target="https://www.fcc.gov/ecfs/search/filings?proceedings_name=18-295&amp;sort=date_disseminated,DESC" TargetMode="External"/><Relationship Id="rId24" Type="http://schemas.openxmlformats.org/officeDocument/2006/relationships/hyperlink" Target="https://www.legislation.gov.au/Details/F2018C00844" TargetMode="External"/><Relationship Id="rId5" Type="http://schemas.openxmlformats.org/officeDocument/2006/relationships/hyperlink" Target="https://www.acma.gov.au/theACMA/class-licensing-updates-supporting-5g-and-other-technology-innovations" TargetMode="External"/><Relationship Id="rId15" Type="http://schemas.openxmlformats.org/officeDocument/2006/relationships/hyperlink" Target="http://www.google.com.au/url?sa=t&amp;rct=j&amp;q=&amp;esrc=s&amp;source=web&amp;cd=10&amp;cad=rja&amp;uact=8&amp;ved=0ahUKEwi_yvCXi5zWAhWBQZQKHVGWCJ0QFghWMAk&amp;url=http%3A%2F%2Fwww2.caict.ac.cn%2Fzscp%2Fqqzkgz%2Fljyd%2F201611%2FP020161125552600506791.pdf&amp;usg=AFQjCNFC3W5_9fbfKj1nvBVkFqyGn2Qdpg" TargetMode="External"/><Relationship Id="rId23" Type="http://schemas.openxmlformats.org/officeDocument/2006/relationships/hyperlink" Target="https://www.legislation.gov.au/Details/F2018C00845" TargetMode="External"/><Relationship Id="rId10" Type="http://schemas.openxmlformats.org/officeDocument/2006/relationships/hyperlink" Target="http://www.cisco.com/c/en/us/solutions/collateral/service-provider/visual-networking-index-vni/mobile-white-paper-c11-520862.pdf" TargetMode="External"/><Relationship Id="rId19" Type="http://schemas.openxmlformats.org/officeDocument/2006/relationships/hyperlink" Target="https://www.ic.gc.ca/eic/site/smt-gst.nsf/eng/sf11437.html" TargetMode="External"/><Relationship Id="rId4" Type="http://schemas.openxmlformats.org/officeDocument/2006/relationships/hyperlink" Target="https://www.communications.gov.au/departmental-news/5g-working-group-convenes" TargetMode="External"/><Relationship Id="rId9" Type="http://schemas.openxmlformats.org/officeDocument/2006/relationships/hyperlink" Target="https://www.acma.gov.au/theACMA/earth-stations-in-motion-in-ku-band" TargetMode="External"/><Relationship Id="rId14" Type="http://schemas.openxmlformats.org/officeDocument/2006/relationships/hyperlink" Target="https://www.fcc.gov/about-fcc/fcc-initiatives/incentive-auctions" TargetMode="External"/><Relationship Id="rId22" Type="http://schemas.openxmlformats.org/officeDocument/2006/relationships/hyperlink" Target="https://www.rsm.govt.nz/projects-and-auctions/current-projects/preparing-for-5g-in-new-zealand/" TargetMode="External"/><Relationship Id="rId27" Type="http://schemas.openxmlformats.org/officeDocument/2006/relationships/hyperlink" Target="https://www.acma.gov.au/theACMA/~/link.aspx?_id=17BFF36784FF4151B1217647D6957112&amp;_z=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emf"/></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80208D3386B714F868445C21D19A09D" ma:contentTypeVersion="11" ma:contentTypeDescription="Create a new document." ma:contentTypeScope="" ma:versionID="0c10b79bc5a3301e21816051eab7e2ee">
  <xsd:schema xmlns:xsd="http://www.w3.org/2001/XMLSchema" xmlns:xs="http://www.w3.org/2001/XMLSchema" xmlns:p="http://schemas.microsoft.com/office/2006/metadata/properties" xmlns:ns3="f46e3ec0-68a7-4224-820d-95137d47d6b5" xmlns:ns4="4eb9cabd-8d5a-42b9-b1ef-e48dbcba3a05" targetNamespace="http://schemas.microsoft.com/office/2006/metadata/properties" ma:root="true" ma:fieldsID="934f7a57d0a3a12022cb51fb7a810ae4" ns3:_="" ns4:_="">
    <xsd:import namespace="f46e3ec0-68a7-4224-820d-95137d47d6b5"/>
    <xsd:import namespace="4eb9cabd-8d5a-42b9-b1ef-e48dbcba3a05"/>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4:SharedWithUsers" minOccurs="0"/>
                <xsd:element ref="ns4:SharedWithDetails" minOccurs="0"/>
                <xsd:element ref="ns4:SharingHintHash" minOccurs="0"/>
                <xsd:element ref="ns3:MediaServiceLocation" minOccurs="0"/>
                <xsd:element ref="ns3:MediaServiceEventHashCode" minOccurs="0"/>
                <xsd:element ref="ns3: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6e3ec0-68a7-4224-820d-95137d47d6b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6" nillable="true" ma:displayName="MediaServiceLocation" ma:internalName="MediaServiceLocation"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eb9cabd-8d5a-42b9-b1ef-e48dbcba3a0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ECBF10-EDB4-4E87-996E-F4F8006609C1}">
  <ds:schemaRefs>
    <ds:schemaRef ds:uri="http://schemas.microsoft.com/sharepoint/v3/contenttype/forms"/>
  </ds:schemaRefs>
</ds:datastoreItem>
</file>

<file path=customXml/itemProps2.xml><?xml version="1.0" encoding="utf-8"?>
<ds:datastoreItem xmlns:ds="http://schemas.openxmlformats.org/officeDocument/2006/customXml" ds:itemID="{0E2878A1-9E75-49A4-B986-76AE911E20C9}">
  <ds:schemaRefs>
    <ds:schemaRef ds:uri="http://purl.org/dc/terms/"/>
    <ds:schemaRef ds:uri="http://schemas.openxmlformats.org/package/2006/metadata/core-properties"/>
    <ds:schemaRef ds:uri="http://schemas.microsoft.com/office/2006/documentManagement/types"/>
    <ds:schemaRef ds:uri="http://purl.org/dc/dcmitype/"/>
    <ds:schemaRef ds:uri="http://schemas.microsoft.com/office/infopath/2007/PartnerControls"/>
    <ds:schemaRef ds:uri="http://purl.org/dc/elements/1.1/"/>
    <ds:schemaRef ds:uri="http://schemas.microsoft.com/office/2006/metadata/properties"/>
    <ds:schemaRef ds:uri="4eb9cabd-8d5a-42b9-b1ef-e48dbcba3a05"/>
    <ds:schemaRef ds:uri="f46e3ec0-68a7-4224-820d-95137d47d6b5"/>
    <ds:schemaRef ds:uri="http://www.w3.org/XML/1998/namespace"/>
  </ds:schemaRefs>
</ds:datastoreItem>
</file>

<file path=customXml/itemProps3.xml><?xml version="1.0" encoding="utf-8"?>
<ds:datastoreItem xmlns:ds="http://schemas.openxmlformats.org/officeDocument/2006/customXml" ds:itemID="{97DCA2E0-03EF-4885-90D9-E5346598991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6e3ec0-68a7-4224-820d-95137d47d6b5"/>
    <ds:schemaRef ds:uri="4eb9cabd-8d5a-42b9-b1ef-e48dbcba3a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FB64F8D-7F6C-4D65-93CD-6C932FA757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78</Pages>
  <Words>27904</Words>
  <Characters>159056</Characters>
  <Application>Microsoft Office Word</Application>
  <DocSecurity>0</DocSecurity>
  <Lines>1325</Lines>
  <Paragraphs>373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186587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2019-09-12T03:32:00Z</dcterms:created>
  <dcterms:modified xsi:type="dcterms:W3CDTF">2019-09-12T03:53:00Z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0x010100880208D3386B714F868445C21D19A09D</vt:lpwstr>
  </property>
</Properties>
</file>